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0D2DCD" w:rsidRDefault="00F81CE0" w14:paraId="1074E168" w14:textId="77777777">
      <w:pPr>
        <w:pStyle w:val="BodyText"/>
        <w:ind w:left="112"/>
        <w:rPr>
          <w:rFonts w:ascii="Times New Roman"/>
          <w:sz w:val="20"/>
        </w:rPr>
      </w:pPr>
      <w:r>
        <w:rPr>
          <w:rFonts w:ascii="Times New Roman"/>
          <w:noProof/>
          <w:sz w:val="20"/>
        </w:rPr>
        <w:drawing>
          <wp:inline distT="0" distB="0" distL="0" distR="0" wp14:anchorId="1074E35A" wp14:editId="1074E35B">
            <wp:extent cx="2351752" cy="4434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51752" cy="443483"/>
                    </a:xfrm>
                    <a:prstGeom prst="rect">
                      <a:avLst/>
                    </a:prstGeom>
                  </pic:spPr>
                </pic:pic>
              </a:graphicData>
            </a:graphic>
          </wp:inline>
        </w:drawing>
      </w:r>
    </w:p>
    <w:p w:rsidR="000D2DCD" w:rsidRDefault="000D2DCD" w14:paraId="1074E169" w14:textId="77777777">
      <w:pPr>
        <w:pStyle w:val="BodyText"/>
        <w:rPr>
          <w:rFonts w:ascii="Times New Roman"/>
        </w:rPr>
      </w:pPr>
    </w:p>
    <w:p w:rsidR="000D2DCD" w:rsidRDefault="000D2DCD" w14:paraId="1074E16A" w14:textId="77777777">
      <w:pPr>
        <w:pStyle w:val="BodyText"/>
        <w:spacing w:before="227"/>
        <w:rPr>
          <w:rFonts w:ascii="Times New Roman"/>
        </w:rPr>
      </w:pPr>
    </w:p>
    <w:p w:rsidR="000D2DCD" w:rsidRDefault="00F81CE0" w14:paraId="1074E16B" w14:textId="77777777">
      <w:pPr>
        <w:pStyle w:val="BodyText"/>
        <w:ind w:left="760"/>
      </w:pPr>
      <w:r>
        <w:t>Dr</w:t>
      </w:r>
      <w:r>
        <w:rPr>
          <w:spacing w:val="-1"/>
        </w:rPr>
        <w:t xml:space="preserve"> </w:t>
      </w:r>
      <w:r>
        <w:t>Mark</w:t>
      </w:r>
      <w:r>
        <w:rPr>
          <w:spacing w:val="3"/>
        </w:rPr>
        <w:t xml:space="preserve"> </w:t>
      </w:r>
      <w:r>
        <w:rPr>
          <w:spacing w:val="-2"/>
        </w:rPr>
        <w:t>Chakravarty</w:t>
      </w:r>
    </w:p>
    <w:p w:rsidR="000D2DCD" w:rsidRDefault="00F81CE0" w14:paraId="1074E16C" w14:textId="77777777">
      <w:pPr>
        <w:pStyle w:val="BodyText"/>
        <w:spacing w:before="35" w:line="276" w:lineRule="auto"/>
        <w:ind w:left="760" w:right="5577"/>
      </w:pPr>
      <w:r>
        <w:t>Lead</w:t>
      </w:r>
      <w:r>
        <w:rPr>
          <w:spacing w:val="-12"/>
        </w:rPr>
        <w:t xml:space="preserve"> </w:t>
      </w:r>
      <w:r>
        <w:t>non-executive</w:t>
      </w:r>
      <w:r>
        <w:rPr>
          <w:spacing w:val="-12"/>
        </w:rPr>
        <w:t xml:space="preserve"> </w:t>
      </w:r>
      <w:r>
        <w:t>director</w:t>
      </w:r>
      <w:r>
        <w:rPr>
          <w:spacing w:val="-16"/>
        </w:rPr>
        <w:t xml:space="preserve"> </w:t>
      </w:r>
      <w:r>
        <w:t>for</w:t>
      </w:r>
      <w:r>
        <w:rPr>
          <w:spacing w:val="-12"/>
        </w:rPr>
        <w:t xml:space="preserve"> </w:t>
      </w:r>
      <w:r>
        <w:t>appeals National Institute for Health and Care Excellence 2nd Floor, 2 Redman</w:t>
      </w:r>
    </w:p>
    <w:p w:rsidR="000D2DCD" w:rsidRDefault="00F81CE0" w14:paraId="1074E16D" w14:textId="77777777">
      <w:pPr>
        <w:pStyle w:val="BodyText"/>
        <w:spacing w:before="3"/>
        <w:ind w:left="760"/>
      </w:pPr>
      <w:r>
        <w:rPr>
          <w:spacing w:val="-4"/>
        </w:rPr>
        <w:t>Place</w:t>
      </w:r>
    </w:p>
    <w:p w:rsidR="000D2DCD" w:rsidRDefault="00F81CE0" w14:paraId="1074E16E" w14:textId="77777777">
      <w:pPr>
        <w:pStyle w:val="BodyText"/>
        <w:spacing w:before="43" w:line="722" w:lineRule="auto"/>
        <w:ind w:left="760" w:right="8109"/>
      </w:pPr>
      <w:r>
        <w:t>London</w:t>
      </w:r>
      <w:r>
        <w:rPr>
          <w:spacing w:val="-16"/>
        </w:rPr>
        <w:t xml:space="preserve"> </w:t>
      </w:r>
      <w:r>
        <w:t>E20</w:t>
      </w:r>
      <w:r>
        <w:rPr>
          <w:spacing w:val="-15"/>
        </w:rPr>
        <w:t xml:space="preserve"> </w:t>
      </w:r>
      <w:r>
        <w:t>1JQ 2</w:t>
      </w:r>
      <w:r>
        <w:rPr>
          <w:vertAlign w:val="superscript"/>
        </w:rPr>
        <w:t>nd</w:t>
      </w:r>
      <w:r>
        <w:t xml:space="preserve"> May 2024</w:t>
      </w:r>
    </w:p>
    <w:p w:rsidR="000D2DCD" w:rsidRDefault="000D2DCD" w14:paraId="1074E16F" w14:textId="77777777">
      <w:pPr>
        <w:pStyle w:val="BodyText"/>
        <w:spacing w:before="123"/>
      </w:pPr>
    </w:p>
    <w:p w:rsidR="000D2DCD" w:rsidRDefault="00F81CE0" w14:paraId="1074E170" w14:textId="77777777">
      <w:pPr>
        <w:pStyle w:val="BodyText"/>
        <w:ind w:left="760"/>
      </w:pPr>
      <w:r>
        <w:t>Dear</w:t>
      </w:r>
      <w:r>
        <w:rPr>
          <w:spacing w:val="-2"/>
        </w:rPr>
        <w:t xml:space="preserve"> </w:t>
      </w:r>
      <w:r>
        <w:t>Dr</w:t>
      </w:r>
      <w:r>
        <w:rPr>
          <w:spacing w:val="-3"/>
        </w:rPr>
        <w:t xml:space="preserve"> </w:t>
      </w:r>
      <w:r>
        <w:rPr>
          <w:spacing w:val="-2"/>
        </w:rPr>
        <w:t>Chakravarty,</w:t>
      </w:r>
    </w:p>
    <w:p w:rsidR="000D2DCD" w:rsidRDefault="000D2DCD" w14:paraId="1074E171" w14:textId="77777777">
      <w:pPr>
        <w:pStyle w:val="BodyText"/>
        <w:spacing w:before="250"/>
      </w:pPr>
    </w:p>
    <w:p w:rsidR="000D2DCD" w:rsidRDefault="00F81CE0" w14:paraId="1074E172" w14:textId="77777777">
      <w:pPr>
        <w:pStyle w:val="Heading1"/>
        <w:spacing w:line="360" w:lineRule="auto"/>
        <w:ind w:right="162" w:firstLine="0"/>
      </w:pPr>
      <w:r>
        <w:t>Re:</w:t>
      </w:r>
      <w:r>
        <w:rPr>
          <w:spacing w:val="39"/>
        </w:rPr>
        <w:t xml:space="preserve"> </w:t>
      </w:r>
      <w:r>
        <w:t>Final</w:t>
      </w:r>
      <w:r>
        <w:rPr>
          <w:spacing w:val="37"/>
        </w:rPr>
        <w:t xml:space="preserve"> </w:t>
      </w:r>
      <w:r>
        <w:t>draft</w:t>
      </w:r>
      <w:r>
        <w:rPr>
          <w:spacing w:val="37"/>
        </w:rPr>
        <w:t xml:space="preserve"> </w:t>
      </w:r>
      <w:r>
        <w:t>guidance</w:t>
      </w:r>
      <w:r>
        <w:rPr>
          <w:spacing w:val="37"/>
        </w:rPr>
        <w:t xml:space="preserve"> </w:t>
      </w:r>
      <w:r>
        <w:t>(‘FDG’)</w:t>
      </w:r>
      <w:r>
        <w:rPr>
          <w:spacing w:val="34"/>
        </w:rPr>
        <w:t xml:space="preserve"> </w:t>
      </w:r>
      <w:r>
        <w:t>for</w:t>
      </w:r>
      <w:r>
        <w:rPr>
          <w:spacing w:val="36"/>
        </w:rPr>
        <w:t xml:space="preserve"> </w:t>
      </w:r>
      <w:r>
        <w:t>ID1615:</w:t>
      </w:r>
      <w:r>
        <w:rPr>
          <w:spacing w:val="40"/>
        </w:rPr>
        <w:t xml:space="preserve"> </w:t>
      </w:r>
      <w:r>
        <w:t>Fenfluramine</w:t>
      </w:r>
      <w:r>
        <w:rPr>
          <w:spacing w:val="33"/>
        </w:rPr>
        <w:t xml:space="preserve"> </w:t>
      </w:r>
      <w:r>
        <w:t>for</w:t>
      </w:r>
      <w:r>
        <w:rPr>
          <w:spacing w:val="36"/>
        </w:rPr>
        <w:t xml:space="preserve"> </w:t>
      </w:r>
      <w:r>
        <w:t>treating</w:t>
      </w:r>
      <w:r>
        <w:rPr>
          <w:spacing w:val="37"/>
        </w:rPr>
        <w:t xml:space="preserve"> </w:t>
      </w:r>
      <w:r>
        <w:t>seizures associated with Lennox–Gastaut syndrome (‘LGS’) in people 2 years and over</w:t>
      </w:r>
    </w:p>
    <w:p w:rsidR="000D2DCD" w:rsidRDefault="000D2DCD" w14:paraId="1074E173" w14:textId="77777777">
      <w:pPr>
        <w:pStyle w:val="BodyText"/>
        <w:spacing w:before="125"/>
        <w:rPr>
          <w:b/>
        </w:rPr>
      </w:pPr>
    </w:p>
    <w:p w:rsidR="000D2DCD" w:rsidRDefault="00F81CE0" w14:paraId="1074E174" w14:textId="77777777">
      <w:pPr>
        <w:ind w:left="760"/>
        <w:rPr>
          <w:b/>
        </w:rPr>
      </w:pPr>
      <w:r>
        <w:rPr>
          <w:b/>
        </w:rPr>
        <w:t>Executive</w:t>
      </w:r>
      <w:r>
        <w:rPr>
          <w:b/>
          <w:spacing w:val="-6"/>
        </w:rPr>
        <w:t xml:space="preserve"> </w:t>
      </w:r>
      <w:r>
        <w:rPr>
          <w:b/>
          <w:spacing w:val="-2"/>
        </w:rPr>
        <w:t>summary</w:t>
      </w:r>
    </w:p>
    <w:p w:rsidR="000D2DCD" w:rsidRDefault="00F81CE0" w14:paraId="1074E175" w14:textId="77777777">
      <w:pPr>
        <w:pStyle w:val="BodyText"/>
        <w:spacing w:before="132"/>
        <w:ind w:left="760"/>
      </w:pPr>
      <w:r>
        <w:t>UCB’s</w:t>
      </w:r>
      <w:r>
        <w:rPr>
          <w:spacing w:val="-4"/>
        </w:rPr>
        <w:t xml:space="preserve"> </w:t>
      </w:r>
      <w:r>
        <w:t>appeal</w:t>
      </w:r>
      <w:r>
        <w:rPr>
          <w:spacing w:val="-5"/>
        </w:rPr>
        <w:t xml:space="preserve"> </w:t>
      </w:r>
      <w:r>
        <w:t>is</w:t>
      </w:r>
      <w:r>
        <w:rPr>
          <w:spacing w:val="-4"/>
        </w:rPr>
        <w:t xml:space="preserve"> </w:t>
      </w:r>
      <w:r>
        <w:t>based</w:t>
      </w:r>
      <w:r>
        <w:rPr>
          <w:spacing w:val="-4"/>
        </w:rPr>
        <w:t xml:space="preserve"> </w:t>
      </w:r>
      <w:r>
        <w:t>on</w:t>
      </w:r>
      <w:r>
        <w:rPr>
          <w:spacing w:val="-5"/>
        </w:rPr>
        <w:t xml:space="preserve"> </w:t>
      </w:r>
      <w:r>
        <w:t>the</w:t>
      </w:r>
      <w:r>
        <w:rPr>
          <w:spacing w:val="-9"/>
        </w:rPr>
        <w:t xml:space="preserve"> </w:t>
      </w:r>
      <w:r>
        <w:t>following</w:t>
      </w:r>
      <w:r>
        <w:rPr>
          <w:spacing w:val="-2"/>
        </w:rPr>
        <w:t xml:space="preserve"> grounds:</w:t>
      </w:r>
    </w:p>
    <w:p w:rsidR="000D2DCD" w:rsidRDefault="000D2DCD" w14:paraId="1074E176" w14:textId="77777777">
      <w:pPr>
        <w:pStyle w:val="BodyText"/>
        <w:spacing w:before="251"/>
      </w:pPr>
    </w:p>
    <w:p w:rsidR="000D2DCD" w:rsidRDefault="00F81CE0" w14:paraId="1074E177" w14:textId="77777777">
      <w:pPr>
        <w:pStyle w:val="ListParagraph"/>
        <w:numPr>
          <w:ilvl w:val="0"/>
          <w:numId w:val="18"/>
        </w:numPr>
        <w:tabs>
          <w:tab w:val="left" w:pos="1471"/>
          <w:tab w:val="left" w:pos="1473"/>
        </w:tabs>
        <w:spacing w:before="1" w:line="355" w:lineRule="auto"/>
        <w:ind w:right="1238"/>
      </w:pPr>
      <w:r>
        <w:t>Ground</w:t>
      </w:r>
      <w:r>
        <w:rPr>
          <w:spacing w:val="-10"/>
        </w:rPr>
        <w:t xml:space="preserve"> </w:t>
      </w:r>
      <w:r>
        <w:t>1(a).1:</w:t>
      </w:r>
      <w:r>
        <w:rPr>
          <w:spacing w:val="-7"/>
        </w:rPr>
        <w:t xml:space="preserve"> </w:t>
      </w:r>
      <w:r>
        <w:t>NICE’s</w:t>
      </w:r>
      <w:r>
        <w:rPr>
          <w:spacing w:val="-8"/>
        </w:rPr>
        <w:t xml:space="preserve"> </w:t>
      </w:r>
      <w:r>
        <w:t>refusal</w:t>
      </w:r>
      <w:r>
        <w:rPr>
          <w:spacing w:val="-9"/>
        </w:rPr>
        <w:t xml:space="preserve"> </w:t>
      </w:r>
      <w:r>
        <w:t>of</w:t>
      </w:r>
      <w:r>
        <w:rPr>
          <w:spacing w:val="-7"/>
        </w:rPr>
        <w:t xml:space="preserve"> </w:t>
      </w:r>
      <w:r>
        <w:t>UCB’s</w:t>
      </w:r>
      <w:r>
        <w:rPr>
          <w:spacing w:val="-8"/>
        </w:rPr>
        <w:t xml:space="preserve"> </w:t>
      </w:r>
      <w:r>
        <w:t>request</w:t>
      </w:r>
      <w:r>
        <w:rPr>
          <w:spacing w:val="-9"/>
        </w:rPr>
        <w:t xml:space="preserve"> </w:t>
      </w:r>
      <w:r>
        <w:t>for</w:t>
      </w:r>
      <w:r>
        <w:rPr>
          <w:spacing w:val="-10"/>
        </w:rPr>
        <w:t xml:space="preserve"> </w:t>
      </w:r>
      <w:r>
        <w:t>technical</w:t>
      </w:r>
      <w:r>
        <w:rPr>
          <w:spacing w:val="-9"/>
        </w:rPr>
        <w:t xml:space="preserve"> </w:t>
      </w:r>
      <w:r>
        <w:t>engagement</w:t>
      </w:r>
      <w:r>
        <w:rPr>
          <w:spacing w:val="-9"/>
        </w:rPr>
        <w:t xml:space="preserve"> </w:t>
      </w:r>
      <w:r>
        <w:t>before the first meeting of the Appraisal Committee was procedurally unfair and has prejudiced the conduct of the appraisal.</w:t>
      </w:r>
    </w:p>
    <w:p w:rsidR="000D2DCD" w:rsidRDefault="00F81CE0" w14:paraId="1074E178" w14:textId="77777777">
      <w:pPr>
        <w:pStyle w:val="ListParagraph"/>
        <w:numPr>
          <w:ilvl w:val="0"/>
          <w:numId w:val="18"/>
        </w:numPr>
        <w:tabs>
          <w:tab w:val="left" w:pos="1471"/>
          <w:tab w:val="left" w:pos="1473"/>
        </w:tabs>
        <w:spacing w:before="244" w:line="357" w:lineRule="auto"/>
        <w:ind w:right="1237"/>
      </w:pPr>
      <w:r>
        <w:t>Ground 1(a).2: In the circumstances of this appraisal, including the lack of technical engagement, the multiple unresolved issues and the change in approach</w:t>
      </w:r>
      <w:r>
        <w:rPr>
          <w:spacing w:val="-10"/>
        </w:rPr>
        <w:t xml:space="preserve"> </w:t>
      </w:r>
      <w:r>
        <w:t>between</w:t>
      </w:r>
      <w:r>
        <w:rPr>
          <w:spacing w:val="-10"/>
        </w:rPr>
        <w:t xml:space="preserve"> </w:t>
      </w:r>
      <w:r>
        <w:t>ACM1</w:t>
      </w:r>
      <w:r>
        <w:rPr>
          <w:spacing w:val="-10"/>
        </w:rPr>
        <w:t xml:space="preserve"> </w:t>
      </w:r>
      <w:r>
        <w:t>and</w:t>
      </w:r>
      <w:r>
        <w:rPr>
          <w:spacing w:val="-12"/>
        </w:rPr>
        <w:t xml:space="preserve"> </w:t>
      </w:r>
      <w:r>
        <w:t>ACM2,</w:t>
      </w:r>
      <w:r>
        <w:rPr>
          <w:spacing w:val="-9"/>
        </w:rPr>
        <w:t xml:space="preserve"> </w:t>
      </w:r>
      <w:r>
        <w:t>a</w:t>
      </w:r>
      <w:r>
        <w:rPr>
          <w:spacing w:val="-10"/>
        </w:rPr>
        <w:t xml:space="preserve"> </w:t>
      </w:r>
      <w:r>
        <w:t>third</w:t>
      </w:r>
      <w:r>
        <w:rPr>
          <w:spacing w:val="-15"/>
        </w:rPr>
        <w:t xml:space="preserve"> </w:t>
      </w:r>
      <w:r>
        <w:t>meeting</w:t>
      </w:r>
      <w:r>
        <w:rPr>
          <w:spacing w:val="-10"/>
        </w:rPr>
        <w:t xml:space="preserve"> </w:t>
      </w:r>
      <w:r>
        <w:t>of</w:t>
      </w:r>
      <w:r>
        <w:rPr>
          <w:spacing w:val="-11"/>
        </w:rPr>
        <w:t xml:space="preserve"> </w:t>
      </w:r>
      <w:r>
        <w:t>the</w:t>
      </w:r>
      <w:r>
        <w:rPr>
          <w:spacing w:val="-10"/>
        </w:rPr>
        <w:t xml:space="preserve"> </w:t>
      </w:r>
      <w:r>
        <w:t>Appraisal</w:t>
      </w:r>
      <w:r>
        <w:rPr>
          <w:spacing w:val="-11"/>
        </w:rPr>
        <w:t xml:space="preserve"> </w:t>
      </w:r>
      <w:r>
        <w:t>Committee should have been scheduled prior to issue of Final Draft Guidance.</w:t>
      </w:r>
    </w:p>
    <w:p w:rsidR="000D2DCD" w:rsidRDefault="00F81CE0" w14:paraId="1074E179" w14:textId="77777777">
      <w:pPr>
        <w:pStyle w:val="ListParagraph"/>
        <w:numPr>
          <w:ilvl w:val="0"/>
          <w:numId w:val="18"/>
        </w:numPr>
        <w:tabs>
          <w:tab w:val="left" w:pos="1471"/>
          <w:tab w:val="left" w:pos="1473"/>
        </w:tabs>
        <w:spacing w:before="241" w:line="350" w:lineRule="auto"/>
        <w:ind w:right="1242"/>
      </w:pPr>
      <w:r>
        <w:t>Ground 1(a).3: Standard of Care (SoC) alone does not reflect NHS clinical practice and is not an appropriate comparator for fenfluramine.</w:t>
      </w:r>
    </w:p>
    <w:p w:rsidR="000D2DCD" w:rsidRDefault="00F81CE0" w14:paraId="1074E17A" w14:textId="77777777">
      <w:pPr>
        <w:pStyle w:val="ListParagraph"/>
        <w:numPr>
          <w:ilvl w:val="0"/>
          <w:numId w:val="18"/>
        </w:numPr>
        <w:tabs>
          <w:tab w:val="left" w:pos="1471"/>
          <w:tab w:val="left" w:pos="1473"/>
        </w:tabs>
        <w:spacing w:before="251" w:line="357" w:lineRule="auto"/>
        <w:ind w:right="1239"/>
      </w:pPr>
      <w:r>
        <w:t>Ground</w:t>
      </w:r>
      <w:r>
        <w:rPr>
          <w:spacing w:val="-4"/>
        </w:rPr>
        <w:t xml:space="preserve"> </w:t>
      </w:r>
      <w:r>
        <w:t>1(a).4:</w:t>
      </w:r>
      <w:r>
        <w:rPr>
          <w:spacing w:val="-4"/>
        </w:rPr>
        <w:t xml:space="preserve"> </w:t>
      </w:r>
      <w:r>
        <w:t>NICE’s</w:t>
      </w:r>
      <w:r>
        <w:rPr>
          <w:spacing w:val="-4"/>
        </w:rPr>
        <w:t xml:space="preserve"> </w:t>
      </w:r>
      <w:r>
        <w:t>approach</w:t>
      </w:r>
      <w:r>
        <w:rPr>
          <w:spacing w:val="-4"/>
        </w:rPr>
        <w:t xml:space="preserve"> </w:t>
      </w:r>
      <w:r>
        <w:t>to</w:t>
      </w:r>
      <w:r>
        <w:rPr>
          <w:spacing w:val="-4"/>
        </w:rPr>
        <w:t xml:space="preserve"> </w:t>
      </w:r>
      <w:r>
        <w:t>the</w:t>
      </w:r>
      <w:r>
        <w:rPr>
          <w:spacing w:val="-3"/>
        </w:rPr>
        <w:t xml:space="preserve"> </w:t>
      </w:r>
      <w:r>
        <w:t>use</w:t>
      </w:r>
      <w:r>
        <w:rPr>
          <w:spacing w:val="-3"/>
        </w:rPr>
        <w:t xml:space="preserve"> </w:t>
      </w:r>
      <w:r>
        <w:t>of</w:t>
      </w:r>
      <w:r>
        <w:rPr>
          <w:spacing w:val="-4"/>
        </w:rPr>
        <w:t xml:space="preserve"> </w:t>
      </w:r>
      <w:r>
        <w:t>ITT</w:t>
      </w:r>
      <w:r>
        <w:rPr>
          <w:spacing w:val="-3"/>
        </w:rPr>
        <w:t xml:space="preserve"> </w:t>
      </w:r>
      <w:r>
        <w:t>LOCF</w:t>
      </w:r>
      <w:r>
        <w:rPr>
          <w:spacing w:val="-3"/>
        </w:rPr>
        <w:t xml:space="preserve"> </w:t>
      </w:r>
      <w:r>
        <w:t>data</w:t>
      </w:r>
      <w:r>
        <w:rPr>
          <w:spacing w:val="-4"/>
        </w:rPr>
        <w:t xml:space="preserve"> </w:t>
      </w:r>
      <w:r>
        <w:t>versus</w:t>
      </w:r>
      <w:r>
        <w:rPr>
          <w:spacing w:val="-4"/>
        </w:rPr>
        <w:t xml:space="preserve"> </w:t>
      </w:r>
      <w:r>
        <w:t>clinical</w:t>
      </w:r>
      <w:r>
        <w:rPr>
          <w:spacing w:val="-4"/>
        </w:rPr>
        <w:t xml:space="preserve"> </w:t>
      </w:r>
      <w:r>
        <w:t>trial state</w:t>
      </w:r>
      <w:r>
        <w:rPr>
          <w:spacing w:val="-6"/>
        </w:rPr>
        <w:t xml:space="preserve"> </w:t>
      </w:r>
      <w:r>
        <w:t>occupancy</w:t>
      </w:r>
      <w:r>
        <w:rPr>
          <w:spacing w:val="-8"/>
        </w:rPr>
        <w:t xml:space="preserve"> </w:t>
      </w:r>
      <w:r>
        <w:t>data</w:t>
      </w:r>
      <w:r>
        <w:rPr>
          <w:spacing w:val="-6"/>
        </w:rPr>
        <w:t xml:space="preserve"> </w:t>
      </w:r>
      <w:r>
        <w:t>in</w:t>
      </w:r>
      <w:r>
        <w:rPr>
          <w:spacing w:val="-9"/>
        </w:rPr>
        <w:t xml:space="preserve"> </w:t>
      </w:r>
      <w:r>
        <w:t>order</w:t>
      </w:r>
      <w:r>
        <w:rPr>
          <w:spacing w:val="-8"/>
        </w:rPr>
        <w:t xml:space="preserve"> </w:t>
      </w:r>
      <w:r>
        <w:t>to</w:t>
      </w:r>
      <w:r>
        <w:rPr>
          <w:spacing w:val="-6"/>
        </w:rPr>
        <w:t xml:space="preserve"> </w:t>
      </w:r>
      <w:r>
        <w:t>compare</w:t>
      </w:r>
      <w:r>
        <w:rPr>
          <w:spacing w:val="-9"/>
        </w:rPr>
        <w:t xml:space="preserve"> </w:t>
      </w:r>
      <w:r>
        <w:t>fenfluramine</w:t>
      </w:r>
      <w:r>
        <w:rPr>
          <w:spacing w:val="-6"/>
        </w:rPr>
        <w:t xml:space="preserve"> </w:t>
      </w:r>
      <w:r>
        <w:t>+</w:t>
      </w:r>
      <w:r>
        <w:rPr>
          <w:spacing w:val="-5"/>
        </w:rPr>
        <w:t xml:space="preserve"> </w:t>
      </w:r>
      <w:r>
        <w:t>SoC</w:t>
      </w:r>
      <w:r>
        <w:rPr>
          <w:spacing w:val="-7"/>
        </w:rPr>
        <w:t xml:space="preserve"> </w:t>
      </w:r>
      <w:r>
        <w:t>with</w:t>
      </w:r>
      <w:r>
        <w:rPr>
          <w:spacing w:val="-6"/>
        </w:rPr>
        <w:t xml:space="preserve"> </w:t>
      </w:r>
      <w:r>
        <w:t>CBD</w:t>
      </w:r>
      <w:r>
        <w:rPr>
          <w:spacing w:val="-7"/>
        </w:rPr>
        <w:t xml:space="preserve"> </w:t>
      </w:r>
      <w:r>
        <w:t>+</w:t>
      </w:r>
      <w:r>
        <w:rPr>
          <w:spacing w:val="-5"/>
        </w:rPr>
        <w:t xml:space="preserve"> </w:t>
      </w:r>
      <w:r>
        <w:t>CLB</w:t>
      </w:r>
      <w:r>
        <w:rPr>
          <w:spacing w:val="-7"/>
        </w:rPr>
        <w:t xml:space="preserve"> </w:t>
      </w:r>
      <w:r>
        <w:t>+ SoC, is procedurally unfair and inconsistent with the approach followed in the appraisal of CBD for the same indication (TA615).</w:t>
      </w:r>
    </w:p>
    <w:p w:rsidR="000D2DCD" w:rsidRDefault="00F81CE0" w14:paraId="1074E17B" w14:textId="77777777">
      <w:pPr>
        <w:pStyle w:val="ListParagraph"/>
        <w:numPr>
          <w:ilvl w:val="0"/>
          <w:numId w:val="18"/>
        </w:numPr>
        <w:tabs>
          <w:tab w:val="left" w:pos="1471"/>
          <w:tab w:val="left" w:pos="1473"/>
        </w:tabs>
        <w:spacing w:before="241" w:line="350" w:lineRule="auto"/>
        <w:ind w:right="1233"/>
      </w:pPr>
      <w:r>
        <w:t>Ground 1(a).5: The absence of any indication of the Committee’s preferred assumptions</w:t>
      </w:r>
      <w:r>
        <w:rPr>
          <w:spacing w:val="-11"/>
        </w:rPr>
        <w:t xml:space="preserve"> </w:t>
      </w:r>
      <w:r>
        <w:t>at</w:t>
      </w:r>
      <w:r>
        <w:rPr>
          <w:spacing w:val="-13"/>
        </w:rPr>
        <w:t xml:space="preserve"> </w:t>
      </w:r>
      <w:r>
        <w:t>the</w:t>
      </w:r>
      <w:r>
        <w:rPr>
          <w:spacing w:val="-14"/>
        </w:rPr>
        <w:t xml:space="preserve"> </w:t>
      </w:r>
      <w:r>
        <w:t>Draft</w:t>
      </w:r>
      <w:r>
        <w:rPr>
          <w:spacing w:val="-15"/>
        </w:rPr>
        <w:t xml:space="preserve"> </w:t>
      </w:r>
      <w:r>
        <w:t>Guidance</w:t>
      </w:r>
      <w:r>
        <w:rPr>
          <w:spacing w:val="-12"/>
        </w:rPr>
        <w:t xml:space="preserve"> </w:t>
      </w:r>
      <w:r>
        <w:t>stage</w:t>
      </w:r>
      <w:r>
        <w:rPr>
          <w:spacing w:val="-9"/>
        </w:rPr>
        <w:t xml:space="preserve"> </w:t>
      </w:r>
      <w:r>
        <w:t>and</w:t>
      </w:r>
      <w:r>
        <w:rPr>
          <w:spacing w:val="-14"/>
        </w:rPr>
        <w:t xml:space="preserve"> </w:t>
      </w:r>
      <w:r>
        <w:t>the</w:t>
      </w:r>
      <w:r>
        <w:rPr>
          <w:spacing w:val="-14"/>
        </w:rPr>
        <w:t xml:space="preserve"> </w:t>
      </w:r>
      <w:r>
        <w:t>lack</w:t>
      </w:r>
      <w:r>
        <w:rPr>
          <w:spacing w:val="-11"/>
        </w:rPr>
        <w:t xml:space="preserve"> </w:t>
      </w:r>
      <w:r>
        <w:t>of</w:t>
      </w:r>
      <w:r>
        <w:rPr>
          <w:spacing w:val="-10"/>
        </w:rPr>
        <w:t xml:space="preserve"> </w:t>
      </w:r>
      <w:r>
        <w:t>clear</w:t>
      </w:r>
      <w:r>
        <w:rPr>
          <w:spacing w:val="-10"/>
        </w:rPr>
        <w:t xml:space="preserve"> </w:t>
      </w:r>
      <w:r>
        <w:t>explanation</w:t>
      </w:r>
      <w:r>
        <w:rPr>
          <w:spacing w:val="-14"/>
        </w:rPr>
        <w:t xml:space="preserve"> </w:t>
      </w:r>
      <w:r>
        <w:t>of</w:t>
      </w:r>
      <w:r>
        <w:rPr>
          <w:spacing w:val="-8"/>
        </w:rPr>
        <w:t xml:space="preserve"> </w:t>
      </w:r>
      <w:r>
        <w:t>how</w:t>
      </w:r>
    </w:p>
    <w:p w:rsidR="000D2DCD" w:rsidRDefault="000D2DCD" w14:paraId="1074E17C" w14:textId="77777777">
      <w:pPr>
        <w:spacing w:line="350" w:lineRule="auto"/>
        <w:jc w:val="both"/>
        <w:sectPr w:rsidR="000D2DCD">
          <w:headerReference w:type="default" r:id="rId8"/>
          <w:footerReference w:type="default" r:id="rId9"/>
          <w:type w:val="continuous"/>
          <w:pgSz w:w="11910" w:h="16840" w:orient="portrait"/>
          <w:pgMar w:top="860" w:right="360" w:bottom="1200" w:left="1040" w:header="182" w:footer="1007" w:gutter="0"/>
          <w:pgNumType w:start="1"/>
          <w:cols w:space="720"/>
        </w:sectPr>
      </w:pPr>
    </w:p>
    <w:p w:rsidR="000D2DCD" w:rsidRDefault="000D2DCD" w14:paraId="1074E17D" w14:textId="77777777">
      <w:pPr>
        <w:pStyle w:val="BodyText"/>
      </w:pPr>
    </w:p>
    <w:p w:rsidR="000D2DCD" w:rsidRDefault="000D2DCD" w14:paraId="1074E17E" w14:textId="77777777">
      <w:pPr>
        <w:pStyle w:val="BodyText"/>
        <w:spacing w:before="59"/>
      </w:pPr>
    </w:p>
    <w:p w:rsidR="000D2DCD" w:rsidRDefault="00F81CE0" w14:paraId="1074E17F" w14:textId="77777777">
      <w:pPr>
        <w:pStyle w:val="BodyText"/>
        <w:spacing w:line="360" w:lineRule="auto"/>
        <w:ind w:left="1473" w:right="1239"/>
        <w:jc w:val="both"/>
      </w:pPr>
      <w:r>
        <w:t>the Committee had taken into account the status of LGS as a rare disease, substantially prejudiced UCB’s ability to offer a discount that would meet the Committee’s expectations of cost-effectiveness.</w:t>
      </w:r>
    </w:p>
    <w:p w:rsidR="000D2DCD" w:rsidRDefault="00F81CE0" w14:paraId="1074E180" w14:textId="77777777">
      <w:pPr>
        <w:pStyle w:val="ListParagraph"/>
        <w:numPr>
          <w:ilvl w:val="0"/>
          <w:numId w:val="18"/>
        </w:numPr>
        <w:tabs>
          <w:tab w:val="left" w:pos="1471"/>
          <w:tab w:val="left" w:pos="1473"/>
        </w:tabs>
        <w:spacing w:before="240" w:line="357" w:lineRule="auto"/>
        <w:ind w:right="1236"/>
      </w:pPr>
      <w:r>
        <w:t>Ground 1(a).6: The requirement for UCB to produce new analyses and for substantive disclosure of important material from the EAG immediately before ACM2</w:t>
      </w:r>
      <w:r>
        <w:rPr>
          <w:spacing w:val="-2"/>
        </w:rPr>
        <w:t xml:space="preserve"> </w:t>
      </w:r>
      <w:r>
        <w:t>did</w:t>
      </w:r>
      <w:r>
        <w:rPr>
          <w:spacing w:val="-2"/>
        </w:rPr>
        <w:t xml:space="preserve"> </w:t>
      </w:r>
      <w:r>
        <w:t>not</w:t>
      </w:r>
      <w:r>
        <w:rPr>
          <w:spacing w:val="-1"/>
        </w:rPr>
        <w:t xml:space="preserve"> </w:t>
      </w:r>
      <w:r>
        <w:t>allow</w:t>
      </w:r>
      <w:r>
        <w:rPr>
          <w:spacing w:val="-5"/>
        </w:rPr>
        <w:t xml:space="preserve"> </w:t>
      </w:r>
      <w:r>
        <w:t>adequate</w:t>
      </w:r>
      <w:r>
        <w:rPr>
          <w:spacing w:val="-2"/>
        </w:rPr>
        <w:t xml:space="preserve"> </w:t>
      </w:r>
      <w:r>
        <w:t>time</w:t>
      </w:r>
      <w:r>
        <w:rPr>
          <w:spacing w:val="-6"/>
        </w:rPr>
        <w:t xml:space="preserve"> </w:t>
      </w:r>
      <w:r>
        <w:t>for</w:t>
      </w:r>
      <w:r>
        <w:rPr>
          <w:spacing w:val="-1"/>
        </w:rPr>
        <w:t xml:space="preserve"> </w:t>
      </w:r>
      <w:r>
        <w:t>consideration</w:t>
      </w:r>
      <w:r>
        <w:rPr>
          <w:spacing w:val="-2"/>
        </w:rPr>
        <w:t xml:space="preserve"> </w:t>
      </w:r>
      <w:r>
        <w:t>and</w:t>
      </w:r>
      <w:r>
        <w:rPr>
          <w:spacing w:val="-2"/>
        </w:rPr>
        <w:t xml:space="preserve"> </w:t>
      </w:r>
      <w:r>
        <w:t>was</w:t>
      </w:r>
      <w:r>
        <w:rPr>
          <w:spacing w:val="-2"/>
        </w:rPr>
        <w:t xml:space="preserve"> </w:t>
      </w:r>
      <w:r>
        <w:t>inconsistent with</w:t>
      </w:r>
      <w:r>
        <w:rPr>
          <w:spacing w:val="-2"/>
        </w:rPr>
        <w:t xml:space="preserve"> </w:t>
      </w:r>
      <w:r>
        <w:t>a fair procedure.</w:t>
      </w:r>
    </w:p>
    <w:p w:rsidR="000D2DCD" w:rsidRDefault="00F81CE0" w14:paraId="1074E181" w14:textId="77777777">
      <w:pPr>
        <w:pStyle w:val="ListParagraph"/>
        <w:numPr>
          <w:ilvl w:val="0"/>
          <w:numId w:val="18"/>
        </w:numPr>
        <w:tabs>
          <w:tab w:val="left" w:pos="1471"/>
          <w:tab w:val="left" w:pos="1473"/>
        </w:tabs>
        <w:spacing w:before="241" w:line="350" w:lineRule="auto"/>
        <w:ind w:right="1238"/>
      </w:pPr>
      <w:r>
        <w:t>Ground 2.1: The Committee’s preference for a naïve comparison between the trials</w:t>
      </w:r>
      <w:r>
        <w:rPr>
          <w:spacing w:val="-2"/>
        </w:rPr>
        <w:t xml:space="preserve"> </w:t>
      </w:r>
      <w:r>
        <w:t>instead</w:t>
      </w:r>
      <w:r>
        <w:rPr>
          <w:spacing w:val="-4"/>
        </w:rPr>
        <w:t xml:space="preserve"> </w:t>
      </w:r>
      <w:r>
        <w:t>of</w:t>
      </w:r>
      <w:r>
        <w:rPr>
          <w:spacing w:val="-1"/>
        </w:rPr>
        <w:t xml:space="preserve"> </w:t>
      </w:r>
      <w:r>
        <w:t>an</w:t>
      </w:r>
      <w:r>
        <w:rPr>
          <w:spacing w:val="-4"/>
        </w:rPr>
        <w:t xml:space="preserve"> </w:t>
      </w:r>
      <w:r>
        <w:t>indirect</w:t>
      </w:r>
      <w:r>
        <w:rPr>
          <w:spacing w:val="-3"/>
        </w:rPr>
        <w:t xml:space="preserve"> </w:t>
      </w:r>
      <w:r>
        <w:t>treatment</w:t>
      </w:r>
      <w:r>
        <w:rPr>
          <w:spacing w:val="-3"/>
        </w:rPr>
        <w:t xml:space="preserve"> </w:t>
      </w:r>
      <w:r>
        <w:t>comparison</w:t>
      </w:r>
      <w:r>
        <w:rPr>
          <w:spacing w:val="-4"/>
        </w:rPr>
        <w:t xml:space="preserve"> </w:t>
      </w:r>
      <w:r>
        <w:t>of</w:t>
      </w:r>
      <w:r>
        <w:rPr>
          <w:spacing w:val="-1"/>
        </w:rPr>
        <w:t xml:space="preserve"> </w:t>
      </w:r>
      <w:r>
        <w:t>ITT</w:t>
      </w:r>
      <w:r>
        <w:rPr>
          <w:spacing w:val="-1"/>
        </w:rPr>
        <w:t xml:space="preserve"> </w:t>
      </w:r>
      <w:r>
        <w:t>data was</w:t>
      </w:r>
      <w:r>
        <w:rPr>
          <w:spacing w:val="-3"/>
        </w:rPr>
        <w:t xml:space="preserve"> </w:t>
      </w:r>
      <w:r>
        <w:t>unreasonable.</w:t>
      </w:r>
    </w:p>
    <w:p w:rsidR="000D2DCD" w:rsidRDefault="00F81CE0" w14:paraId="1074E182" w14:textId="77777777">
      <w:pPr>
        <w:pStyle w:val="ListParagraph"/>
        <w:numPr>
          <w:ilvl w:val="0"/>
          <w:numId w:val="18"/>
        </w:numPr>
        <w:tabs>
          <w:tab w:val="left" w:pos="1471"/>
          <w:tab w:val="left" w:pos="1473"/>
        </w:tabs>
        <w:spacing w:before="250" w:line="357" w:lineRule="auto"/>
        <w:ind w:right="1238"/>
      </w:pPr>
      <w:r>
        <w:t xml:space="preserve">Ground 2.2: The Committee’s conclusions in relation to the waning of the treatment effects associated with fenfluramine and cannabidiol are inconsistent with the available evidence and with the approach followed in previous </w:t>
      </w:r>
      <w:r>
        <w:rPr>
          <w:spacing w:val="-2"/>
        </w:rPr>
        <w:t>appraisals.</w:t>
      </w:r>
    </w:p>
    <w:p w:rsidR="000D2DCD" w:rsidRDefault="00F81CE0" w14:paraId="1074E183" w14:textId="77777777">
      <w:pPr>
        <w:pStyle w:val="ListParagraph"/>
        <w:numPr>
          <w:ilvl w:val="0"/>
          <w:numId w:val="18"/>
        </w:numPr>
        <w:tabs>
          <w:tab w:val="left" w:pos="1471"/>
          <w:tab w:val="left" w:pos="1473"/>
        </w:tabs>
        <w:spacing w:before="242" w:line="355" w:lineRule="auto"/>
        <w:ind w:right="1240"/>
      </w:pPr>
      <w:r>
        <w:t>Ground 2.3: NICE’s conclusion that it should assume no treatment wastage between</w:t>
      </w:r>
      <w:r>
        <w:rPr>
          <w:spacing w:val="-12"/>
        </w:rPr>
        <w:t xml:space="preserve"> </w:t>
      </w:r>
      <w:r>
        <w:t>fenfluramine</w:t>
      </w:r>
      <w:r>
        <w:rPr>
          <w:spacing w:val="-8"/>
        </w:rPr>
        <w:t xml:space="preserve"> </w:t>
      </w:r>
      <w:r>
        <w:t>and</w:t>
      </w:r>
      <w:r>
        <w:rPr>
          <w:spacing w:val="-9"/>
        </w:rPr>
        <w:t xml:space="preserve"> </w:t>
      </w:r>
      <w:r>
        <w:t>cannabidiol</w:t>
      </w:r>
      <w:r>
        <w:rPr>
          <w:spacing w:val="-10"/>
        </w:rPr>
        <w:t xml:space="preserve"> </w:t>
      </w:r>
      <w:r>
        <w:t>is</w:t>
      </w:r>
      <w:r>
        <w:rPr>
          <w:spacing w:val="-9"/>
        </w:rPr>
        <w:t xml:space="preserve"> </w:t>
      </w:r>
      <w:r>
        <w:t>inconsistent</w:t>
      </w:r>
      <w:r>
        <w:rPr>
          <w:spacing w:val="-8"/>
        </w:rPr>
        <w:t xml:space="preserve"> </w:t>
      </w:r>
      <w:r>
        <w:t>with</w:t>
      </w:r>
      <w:r>
        <w:rPr>
          <w:spacing w:val="-12"/>
        </w:rPr>
        <w:t xml:space="preserve"> </w:t>
      </w:r>
      <w:r>
        <w:t>the</w:t>
      </w:r>
      <w:r>
        <w:rPr>
          <w:spacing w:val="-10"/>
        </w:rPr>
        <w:t xml:space="preserve"> </w:t>
      </w:r>
      <w:r>
        <w:t>available</w:t>
      </w:r>
      <w:r>
        <w:rPr>
          <w:spacing w:val="-9"/>
        </w:rPr>
        <w:t xml:space="preserve"> </w:t>
      </w:r>
      <w:r>
        <w:t>evidence and therefore unreasonable</w:t>
      </w:r>
    </w:p>
    <w:p w:rsidR="000D2DCD" w:rsidRDefault="000D2DCD" w14:paraId="1074E184" w14:textId="77777777">
      <w:pPr>
        <w:pStyle w:val="BodyText"/>
      </w:pPr>
    </w:p>
    <w:p w:rsidR="000D2DCD" w:rsidRDefault="000D2DCD" w14:paraId="1074E185" w14:textId="77777777">
      <w:pPr>
        <w:pStyle w:val="BodyText"/>
      </w:pPr>
    </w:p>
    <w:p w:rsidR="000D2DCD" w:rsidRDefault="000D2DCD" w14:paraId="1074E186" w14:textId="77777777">
      <w:pPr>
        <w:pStyle w:val="BodyText"/>
        <w:spacing w:before="105"/>
      </w:pPr>
    </w:p>
    <w:p w:rsidR="000D2DCD" w:rsidRDefault="00F81CE0" w14:paraId="1074E187" w14:textId="77777777">
      <w:pPr>
        <w:pStyle w:val="Heading1"/>
        <w:ind w:firstLine="0"/>
      </w:pPr>
      <w:r>
        <w:rPr>
          <w:spacing w:val="-2"/>
        </w:rPr>
        <w:t>Introduction</w:t>
      </w:r>
    </w:p>
    <w:p w:rsidR="000D2DCD" w:rsidRDefault="000D2DCD" w14:paraId="1074E188" w14:textId="77777777">
      <w:pPr>
        <w:pStyle w:val="BodyText"/>
        <w:spacing w:before="27"/>
        <w:rPr>
          <w:b/>
        </w:rPr>
      </w:pPr>
    </w:p>
    <w:p w:rsidR="000D2DCD" w:rsidRDefault="00F81CE0" w14:paraId="1074E189" w14:textId="77777777">
      <w:pPr>
        <w:pStyle w:val="BodyText"/>
        <w:spacing w:line="360" w:lineRule="auto"/>
        <w:ind w:left="760" w:right="1456"/>
      </w:pPr>
      <w:r>
        <w:t>Details</w:t>
      </w:r>
      <w:r>
        <w:rPr>
          <w:spacing w:val="-3"/>
        </w:rPr>
        <w:t xml:space="preserve"> </w:t>
      </w:r>
      <w:r>
        <w:t>of Lennox-Gestaut</w:t>
      </w:r>
      <w:r>
        <w:rPr>
          <w:spacing w:val="-3"/>
        </w:rPr>
        <w:t xml:space="preserve"> </w:t>
      </w:r>
      <w:r>
        <w:t>syndrome</w:t>
      </w:r>
      <w:r>
        <w:rPr>
          <w:spacing w:val="-4"/>
        </w:rPr>
        <w:t xml:space="preserve"> </w:t>
      </w:r>
      <w:r>
        <w:t>and</w:t>
      </w:r>
      <w:r>
        <w:rPr>
          <w:spacing w:val="-6"/>
        </w:rPr>
        <w:t xml:space="preserve"> </w:t>
      </w:r>
      <w:r>
        <w:t>its</w:t>
      </w:r>
      <w:r>
        <w:rPr>
          <w:spacing w:val="-6"/>
        </w:rPr>
        <w:t xml:space="preserve"> </w:t>
      </w:r>
      <w:r>
        <w:t>treatment,</w:t>
      </w:r>
      <w:r>
        <w:rPr>
          <w:spacing w:val="-2"/>
        </w:rPr>
        <w:t xml:space="preserve"> </w:t>
      </w:r>
      <w:r>
        <w:t>including</w:t>
      </w:r>
      <w:r>
        <w:rPr>
          <w:spacing w:val="-4"/>
        </w:rPr>
        <w:t xml:space="preserve"> </w:t>
      </w:r>
      <w:r>
        <w:t>use</w:t>
      </w:r>
      <w:r>
        <w:rPr>
          <w:spacing w:val="-6"/>
        </w:rPr>
        <w:t xml:space="preserve"> </w:t>
      </w:r>
      <w:r>
        <w:t>of</w:t>
      </w:r>
      <w:r>
        <w:rPr>
          <w:spacing w:val="-5"/>
        </w:rPr>
        <w:t xml:space="preserve"> </w:t>
      </w:r>
      <w:r>
        <w:t>fenfluramine is provided in UCB’s original submission to NICE dated 23 August 2023.</w:t>
      </w:r>
      <w:r>
        <w:rPr>
          <w:spacing w:val="40"/>
        </w:rPr>
        <w:t xml:space="preserve"> </w:t>
      </w:r>
      <w:r>
        <w:t>A limited summary is provided below but does not replace the greater detail provided in the more lengthy submission.</w:t>
      </w:r>
    </w:p>
    <w:p w:rsidR="000D2DCD" w:rsidRDefault="00F81CE0" w14:paraId="1074E18A" w14:textId="77777777">
      <w:pPr>
        <w:pStyle w:val="BodyText"/>
        <w:spacing w:before="239"/>
        <w:ind w:left="760"/>
      </w:pPr>
      <w:r>
        <w:rPr>
          <w:u w:val="single"/>
        </w:rPr>
        <w:t>Lennox-Gastaut</w:t>
      </w:r>
      <w:r>
        <w:rPr>
          <w:spacing w:val="-13"/>
          <w:u w:val="single"/>
        </w:rPr>
        <w:t xml:space="preserve"> </w:t>
      </w:r>
      <w:r>
        <w:rPr>
          <w:spacing w:val="-2"/>
          <w:u w:val="single"/>
        </w:rPr>
        <w:t>syndrome</w:t>
      </w:r>
    </w:p>
    <w:p w:rsidR="000D2DCD" w:rsidRDefault="000D2DCD" w14:paraId="1074E18B" w14:textId="77777777">
      <w:pPr>
        <w:pStyle w:val="BodyText"/>
        <w:spacing w:before="24"/>
      </w:pPr>
    </w:p>
    <w:p w:rsidR="000D2DCD" w:rsidRDefault="00F81CE0" w14:paraId="1074E18C" w14:textId="77777777">
      <w:pPr>
        <w:pStyle w:val="BodyText"/>
        <w:spacing w:line="360" w:lineRule="auto"/>
        <w:ind w:left="760" w:right="1456"/>
      </w:pPr>
      <w:r>
        <w:t>Lennox-Gestaut syndrome</w:t>
      </w:r>
      <w:r>
        <w:rPr>
          <w:spacing w:val="-2"/>
        </w:rPr>
        <w:t xml:space="preserve"> </w:t>
      </w:r>
      <w:r>
        <w:t>(LGS) is</w:t>
      </w:r>
      <w:r>
        <w:rPr>
          <w:spacing w:val="-2"/>
        </w:rPr>
        <w:t xml:space="preserve"> </w:t>
      </w:r>
      <w:r>
        <w:t>a severe,</w:t>
      </w:r>
      <w:r>
        <w:rPr>
          <w:spacing w:val="-1"/>
        </w:rPr>
        <w:t xml:space="preserve"> </w:t>
      </w:r>
      <w:r>
        <w:t>rare epilepsy</w:t>
      </w:r>
      <w:r>
        <w:rPr>
          <w:spacing w:val="-2"/>
        </w:rPr>
        <w:t xml:space="preserve"> </w:t>
      </w:r>
      <w:r>
        <w:t>syndrome with childhood onset. It is characterised by a high frequency of multiple types of highly resistant seizures,</w:t>
      </w:r>
      <w:r>
        <w:rPr>
          <w:spacing w:val="-2"/>
        </w:rPr>
        <w:t xml:space="preserve"> </w:t>
      </w:r>
      <w:r>
        <w:t>and</w:t>
      </w:r>
      <w:r>
        <w:rPr>
          <w:spacing w:val="-4"/>
        </w:rPr>
        <w:t xml:space="preserve"> </w:t>
      </w:r>
      <w:r>
        <w:t>cognitive</w:t>
      </w:r>
      <w:r>
        <w:rPr>
          <w:spacing w:val="-4"/>
        </w:rPr>
        <w:t xml:space="preserve"> </w:t>
      </w:r>
      <w:r>
        <w:t>deterioration</w:t>
      </w:r>
      <w:r>
        <w:rPr>
          <w:spacing w:val="-4"/>
        </w:rPr>
        <w:t xml:space="preserve"> </w:t>
      </w:r>
      <w:r>
        <w:t>with</w:t>
      </w:r>
      <w:r>
        <w:rPr>
          <w:spacing w:val="-4"/>
        </w:rPr>
        <w:t xml:space="preserve"> </w:t>
      </w:r>
      <w:r>
        <w:t>behavioural</w:t>
      </w:r>
      <w:r>
        <w:rPr>
          <w:spacing w:val="-4"/>
        </w:rPr>
        <w:t xml:space="preserve"> </w:t>
      </w:r>
      <w:r>
        <w:t>disturbances.</w:t>
      </w:r>
      <w:r>
        <w:rPr>
          <w:spacing w:val="40"/>
        </w:rPr>
        <w:t xml:space="preserve"> </w:t>
      </w:r>
      <w:r>
        <w:t>Most</w:t>
      </w:r>
      <w:r>
        <w:rPr>
          <w:spacing w:val="-5"/>
        </w:rPr>
        <w:t xml:space="preserve"> </w:t>
      </w:r>
      <w:r>
        <w:t>commonly, patients with LGS experience frequent, dangerous, and debilitating drop seizures, which may result in falls, serious injury, pain, hospitalisation and death. Patients are highly heterogeneous in relation to the type and frequency of the seizures they experience and accordingly receive a wide range of different types o</w:t>
      </w:r>
      <w:r>
        <w:t>f treatment.</w:t>
      </w:r>
    </w:p>
    <w:p w:rsidR="000D2DCD" w:rsidRDefault="000D2DCD" w14:paraId="1074E18D" w14:textId="77777777">
      <w:pPr>
        <w:spacing w:line="360" w:lineRule="auto"/>
        <w:sectPr w:rsidR="000D2DCD">
          <w:pgSz w:w="11910" w:h="16840" w:orient="portrait"/>
          <w:pgMar w:top="860" w:right="360" w:bottom="1200" w:left="1040" w:header="182" w:footer="1007" w:gutter="0"/>
          <w:cols w:space="720"/>
        </w:sectPr>
      </w:pPr>
    </w:p>
    <w:p w:rsidR="000D2DCD" w:rsidRDefault="000D2DCD" w14:paraId="1074E18E" w14:textId="77777777">
      <w:pPr>
        <w:pStyle w:val="BodyText"/>
      </w:pPr>
    </w:p>
    <w:p w:rsidR="000D2DCD" w:rsidRDefault="000D2DCD" w14:paraId="1074E18F" w14:textId="77777777">
      <w:pPr>
        <w:pStyle w:val="BodyText"/>
        <w:spacing w:before="59"/>
      </w:pPr>
    </w:p>
    <w:p w:rsidR="000D2DCD" w:rsidRDefault="00F81CE0" w14:paraId="1074E190" w14:textId="77777777">
      <w:pPr>
        <w:pStyle w:val="BodyText"/>
        <w:spacing w:line="360" w:lineRule="auto"/>
        <w:ind w:left="760" w:right="1456"/>
      </w:pPr>
      <w:r>
        <w:t>LGS is highly burdensome to the health and social care system due to frequent seizures and difficult management. The significant impact of LGS results in profound detrimental</w:t>
      </w:r>
      <w:r>
        <w:rPr>
          <w:spacing w:val="-3"/>
        </w:rPr>
        <w:t xml:space="preserve"> </w:t>
      </w:r>
      <w:r>
        <w:t>impact</w:t>
      </w:r>
      <w:r>
        <w:rPr>
          <w:spacing w:val="-3"/>
        </w:rPr>
        <w:t xml:space="preserve"> </w:t>
      </w:r>
      <w:r>
        <w:t>on</w:t>
      </w:r>
      <w:r>
        <w:rPr>
          <w:spacing w:val="-4"/>
        </w:rPr>
        <w:t xml:space="preserve"> </w:t>
      </w:r>
      <w:r>
        <w:t>the</w:t>
      </w:r>
      <w:r>
        <w:rPr>
          <w:spacing w:val="-4"/>
        </w:rPr>
        <w:t xml:space="preserve"> </w:t>
      </w:r>
      <w:r>
        <w:t>quality</w:t>
      </w:r>
      <w:r>
        <w:rPr>
          <w:spacing w:val="-4"/>
        </w:rPr>
        <w:t xml:space="preserve"> </w:t>
      </w:r>
      <w:r>
        <w:t>of life</w:t>
      </w:r>
      <w:r>
        <w:rPr>
          <w:spacing w:val="-4"/>
        </w:rPr>
        <w:t xml:space="preserve"> </w:t>
      </w:r>
      <w:r>
        <w:t>(QoL)</w:t>
      </w:r>
      <w:r>
        <w:rPr>
          <w:spacing w:val="-3"/>
        </w:rPr>
        <w:t xml:space="preserve"> </w:t>
      </w:r>
      <w:r>
        <w:t>of</w:t>
      </w:r>
      <w:r>
        <w:rPr>
          <w:spacing w:val="-1"/>
        </w:rPr>
        <w:t xml:space="preserve"> </w:t>
      </w:r>
      <w:r>
        <w:t>caregivers</w:t>
      </w:r>
      <w:r>
        <w:rPr>
          <w:spacing w:val="-2"/>
        </w:rPr>
        <w:t xml:space="preserve"> </w:t>
      </w:r>
      <w:r>
        <w:t>and</w:t>
      </w:r>
      <w:r>
        <w:rPr>
          <w:spacing w:val="-3"/>
        </w:rPr>
        <w:t xml:space="preserve"> </w:t>
      </w:r>
      <w:r>
        <w:t>a</w:t>
      </w:r>
      <w:r>
        <w:rPr>
          <w:spacing w:val="-4"/>
        </w:rPr>
        <w:t xml:space="preserve"> </w:t>
      </w:r>
      <w:r>
        <w:t>patient's</w:t>
      </w:r>
      <w:r>
        <w:rPr>
          <w:spacing w:val="-1"/>
        </w:rPr>
        <w:t xml:space="preserve"> </w:t>
      </w:r>
      <w:r>
        <w:t>families</w:t>
      </w:r>
      <w:r>
        <w:rPr>
          <w:spacing w:val="-3"/>
        </w:rPr>
        <w:t xml:space="preserve"> </w:t>
      </w:r>
      <w:r>
        <w:t>as well as on the patient themselves.</w:t>
      </w:r>
    </w:p>
    <w:p w:rsidR="000D2DCD" w:rsidRDefault="000D2DCD" w14:paraId="1074E191" w14:textId="77777777">
      <w:pPr>
        <w:pStyle w:val="BodyText"/>
        <w:spacing w:before="128"/>
      </w:pPr>
    </w:p>
    <w:p w:rsidR="000D2DCD" w:rsidRDefault="00F81CE0" w14:paraId="1074E192" w14:textId="77777777">
      <w:pPr>
        <w:pStyle w:val="BodyText"/>
        <w:spacing w:line="360" w:lineRule="auto"/>
        <w:ind w:left="760" w:right="1475"/>
      </w:pPr>
      <w:r>
        <w:t>NICE</w:t>
      </w:r>
      <w:r>
        <w:rPr>
          <w:spacing w:val="-3"/>
        </w:rPr>
        <w:t xml:space="preserve"> </w:t>
      </w:r>
      <w:r>
        <w:t>Guideline</w:t>
      </w:r>
      <w:r>
        <w:rPr>
          <w:spacing w:val="-3"/>
        </w:rPr>
        <w:t xml:space="preserve"> </w:t>
      </w:r>
      <w:r>
        <w:t>NG217</w:t>
      </w:r>
      <w:r>
        <w:rPr>
          <w:spacing w:val="-5"/>
        </w:rPr>
        <w:t xml:space="preserve"> </w:t>
      </w:r>
      <w:r>
        <w:t>recommends</w:t>
      </w:r>
      <w:r>
        <w:rPr>
          <w:spacing w:val="-3"/>
        </w:rPr>
        <w:t xml:space="preserve"> </w:t>
      </w:r>
      <w:r>
        <w:t>initial</w:t>
      </w:r>
      <w:r>
        <w:rPr>
          <w:spacing w:val="-4"/>
        </w:rPr>
        <w:t xml:space="preserve"> </w:t>
      </w:r>
      <w:r>
        <w:t>therapy</w:t>
      </w:r>
      <w:r>
        <w:rPr>
          <w:spacing w:val="-5"/>
        </w:rPr>
        <w:t xml:space="preserve"> </w:t>
      </w:r>
      <w:r>
        <w:t>for</w:t>
      </w:r>
      <w:r>
        <w:rPr>
          <w:spacing w:val="-2"/>
        </w:rPr>
        <w:t xml:space="preserve"> </w:t>
      </w:r>
      <w:r>
        <w:t>patients</w:t>
      </w:r>
      <w:r>
        <w:rPr>
          <w:spacing w:val="-5"/>
        </w:rPr>
        <w:t xml:space="preserve"> </w:t>
      </w:r>
      <w:r>
        <w:t>with</w:t>
      </w:r>
      <w:r>
        <w:rPr>
          <w:spacing w:val="-3"/>
        </w:rPr>
        <w:t xml:space="preserve"> </w:t>
      </w:r>
      <w:r>
        <w:t>LGS</w:t>
      </w:r>
      <w:r>
        <w:rPr>
          <w:spacing w:val="-3"/>
        </w:rPr>
        <w:t xml:space="preserve"> </w:t>
      </w:r>
      <w:r>
        <w:t>with</w:t>
      </w:r>
      <w:r>
        <w:rPr>
          <w:spacing w:val="-3"/>
        </w:rPr>
        <w:t xml:space="preserve"> </w:t>
      </w:r>
      <w:r>
        <w:t>sodium valproate, followed by lamotrigine as add-on or monotherapy. Seizure reduction on such regimens is often inadequate and therefore third line therapy is often given to patients as standard of care (SoC). Cannabidiol was recommended in 2019 by NICE (TA615) as a new adjunctive therapy to be tried in combination with clobazam in</w:t>
      </w:r>
      <w:r>
        <w:rPr>
          <w:spacing w:val="40"/>
        </w:rPr>
        <w:t xml:space="preserve"> </w:t>
      </w:r>
      <w:r>
        <w:t xml:space="preserve">case of continued SoC treatment resistance, however, many patients still remain </w:t>
      </w:r>
      <w:r>
        <w:rPr>
          <w:spacing w:val="-2"/>
        </w:rPr>
        <w:t>uncontrolled.</w:t>
      </w:r>
    </w:p>
    <w:p w:rsidR="000D2DCD" w:rsidRDefault="000D2DCD" w14:paraId="1074E193" w14:textId="77777777">
      <w:pPr>
        <w:pStyle w:val="BodyText"/>
        <w:spacing w:before="125"/>
      </w:pPr>
    </w:p>
    <w:p w:rsidR="000D2DCD" w:rsidRDefault="00F81CE0" w14:paraId="1074E194" w14:textId="77777777">
      <w:pPr>
        <w:pStyle w:val="BodyText"/>
        <w:ind w:left="760"/>
      </w:pPr>
      <w:r>
        <w:rPr>
          <w:spacing w:val="-2"/>
          <w:u w:val="single"/>
        </w:rPr>
        <w:t>Fenfluramine</w:t>
      </w:r>
    </w:p>
    <w:p w:rsidR="000D2DCD" w:rsidRDefault="000D2DCD" w14:paraId="1074E195" w14:textId="77777777">
      <w:pPr>
        <w:pStyle w:val="BodyText"/>
      </w:pPr>
    </w:p>
    <w:p w:rsidR="000D2DCD" w:rsidRDefault="000D2DCD" w14:paraId="1074E196" w14:textId="77777777">
      <w:pPr>
        <w:pStyle w:val="BodyText"/>
        <w:spacing w:before="2"/>
      </w:pPr>
    </w:p>
    <w:p w:rsidR="000D2DCD" w:rsidRDefault="00F81CE0" w14:paraId="1074E197" w14:textId="77777777">
      <w:pPr>
        <w:pStyle w:val="BodyText"/>
        <w:spacing w:line="360" w:lineRule="auto"/>
        <w:ind w:left="760" w:right="1456"/>
      </w:pPr>
      <w:r>
        <w:t>Fenfluramine is a serotonin releasing agent, acting on multiple 5-HT receptor sub- types to trigger the release of serotonin.</w:t>
      </w:r>
      <w:r>
        <w:rPr>
          <w:spacing w:val="40"/>
        </w:rPr>
        <w:t xml:space="preserve"> </w:t>
      </w:r>
      <w:r>
        <w:t>It may reduce seizures by acting as an agonist</w:t>
      </w:r>
      <w:r>
        <w:rPr>
          <w:spacing w:val="-3"/>
        </w:rPr>
        <w:t xml:space="preserve"> </w:t>
      </w:r>
      <w:r>
        <w:t>at</w:t>
      </w:r>
      <w:r>
        <w:rPr>
          <w:spacing w:val="-3"/>
        </w:rPr>
        <w:t xml:space="preserve"> </w:t>
      </w:r>
      <w:r>
        <w:t>specific</w:t>
      </w:r>
      <w:r>
        <w:rPr>
          <w:spacing w:val="-4"/>
        </w:rPr>
        <w:t xml:space="preserve"> </w:t>
      </w:r>
      <w:r>
        <w:t>serotonin</w:t>
      </w:r>
      <w:r>
        <w:rPr>
          <w:spacing w:val="-2"/>
        </w:rPr>
        <w:t xml:space="preserve"> </w:t>
      </w:r>
      <w:r>
        <w:t>receptors</w:t>
      </w:r>
      <w:r>
        <w:rPr>
          <w:spacing w:val="-4"/>
        </w:rPr>
        <w:t xml:space="preserve"> </w:t>
      </w:r>
      <w:r>
        <w:t>in</w:t>
      </w:r>
      <w:r>
        <w:rPr>
          <w:spacing w:val="-2"/>
        </w:rPr>
        <w:t xml:space="preserve"> </w:t>
      </w:r>
      <w:r>
        <w:t>the</w:t>
      </w:r>
      <w:r>
        <w:rPr>
          <w:spacing w:val="-4"/>
        </w:rPr>
        <w:t xml:space="preserve"> </w:t>
      </w:r>
      <w:r>
        <w:t>brain</w:t>
      </w:r>
      <w:r>
        <w:rPr>
          <w:spacing w:val="-4"/>
        </w:rPr>
        <w:t xml:space="preserve"> </w:t>
      </w:r>
      <w:r>
        <w:t>and</w:t>
      </w:r>
      <w:r>
        <w:rPr>
          <w:spacing w:val="-2"/>
        </w:rPr>
        <w:t xml:space="preserve"> </w:t>
      </w:r>
      <w:r>
        <w:t>also</w:t>
      </w:r>
      <w:r>
        <w:rPr>
          <w:spacing w:val="-2"/>
        </w:rPr>
        <w:t xml:space="preserve"> </w:t>
      </w:r>
      <w:r>
        <w:t>by</w:t>
      </w:r>
      <w:r>
        <w:rPr>
          <w:spacing w:val="-4"/>
        </w:rPr>
        <w:t xml:space="preserve"> </w:t>
      </w:r>
      <w:r>
        <w:t>acting on</w:t>
      </w:r>
      <w:r>
        <w:rPr>
          <w:spacing w:val="-4"/>
        </w:rPr>
        <w:t xml:space="preserve"> </w:t>
      </w:r>
      <w:r>
        <w:t>the</w:t>
      </w:r>
      <w:r>
        <w:rPr>
          <w:spacing w:val="-2"/>
        </w:rPr>
        <w:t xml:space="preserve"> </w:t>
      </w:r>
      <w:r>
        <w:t xml:space="preserve">sigma-1 </w:t>
      </w:r>
      <w:r>
        <w:rPr>
          <w:spacing w:val="-2"/>
        </w:rPr>
        <w:t>receptor.</w:t>
      </w:r>
    </w:p>
    <w:p w:rsidR="000D2DCD" w:rsidRDefault="000D2DCD" w14:paraId="1074E198" w14:textId="77777777">
      <w:pPr>
        <w:pStyle w:val="BodyText"/>
        <w:spacing w:before="126"/>
      </w:pPr>
    </w:p>
    <w:p w:rsidR="000D2DCD" w:rsidRDefault="00F81CE0" w14:paraId="1074E199" w14:textId="77777777">
      <w:pPr>
        <w:pStyle w:val="BodyText"/>
        <w:spacing w:line="360" w:lineRule="auto"/>
        <w:ind w:left="760" w:right="1448"/>
      </w:pPr>
      <w:r>
        <w:t>The effectiveness of fenfluramine for the treatment of seizures associated with Lennox-Gastaut syndrome in patients 2 to 35 years of age was evaluated in a 14 week randomized, double-blind, placebo-controlled study (Study 4 Part 1) conducted in 176 patients. The results of Study 4 Part 1 showed that median percent change from baseline (reduction) in the frequency of drop seizures per 28 days was significantly greater for the fenfluramine 0.7 mg/kg/day group compared with the placebo</w:t>
      </w:r>
      <w:r>
        <w:rPr>
          <w:spacing w:val="-1"/>
        </w:rPr>
        <w:t xml:space="preserve"> </w:t>
      </w:r>
      <w:r>
        <w:t>group.</w:t>
      </w:r>
      <w:r>
        <w:rPr>
          <w:spacing w:val="-2"/>
        </w:rPr>
        <w:t xml:space="preserve"> </w:t>
      </w:r>
      <w:r>
        <w:t>A</w:t>
      </w:r>
      <w:r>
        <w:rPr>
          <w:spacing w:val="-3"/>
        </w:rPr>
        <w:t xml:space="preserve"> </w:t>
      </w:r>
      <w:r>
        <w:t>reduction</w:t>
      </w:r>
      <w:r>
        <w:rPr>
          <w:spacing w:val="-1"/>
        </w:rPr>
        <w:t xml:space="preserve"> </w:t>
      </w:r>
      <w:r>
        <w:t>in</w:t>
      </w:r>
      <w:r>
        <w:rPr>
          <w:spacing w:val="-1"/>
        </w:rPr>
        <w:t xml:space="preserve"> </w:t>
      </w:r>
      <w:r>
        <w:t>drop</w:t>
      </w:r>
      <w:r>
        <w:rPr>
          <w:spacing w:val="-3"/>
        </w:rPr>
        <w:t xml:space="preserve"> </w:t>
      </w:r>
      <w:r>
        <w:t>seizures was</w:t>
      </w:r>
      <w:r>
        <w:rPr>
          <w:spacing w:val="-1"/>
        </w:rPr>
        <w:t xml:space="preserve"> </w:t>
      </w:r>
      <w:r>
        <w:t>observed</w:t>
      </w:r>
      <w:r>
        <w:rPr>
          <w:spacing w:val="-1"/>
        </w:rPr>
        <w:t xml:space="preserve"> </w:t>
      </w:r>
      <w:r>
        <w:t>within</w:t>
      </w:r>
      <w:r>
        <w:rPr>
          <w:spacing w:val="-1"/>
        </w:rPr>
        <w:t xml:space="preserve"> </w:t>
      </w:r>
      <w:r>
        <w:t>2 weeks of initiating treatment with fenfluramine, and the effect remained consistent over the 14-week treatment period. Patients who completed Study 4 Part 1 could participate in Part 2, an</w:t>
      </w:r>
      <w:r>
        <w:rPr>
          <w:spacing w:val="-2"/>
        </w:rPr>
        <w:t xml:space="preserve"> </w:t>
      </w:r>
      <w:r>
        <w:t>open-label,</w:t>
      </w:r>
      <w:r>
        <w:rPr>
          <w:spacing w:val="-1"/>
        </w:rPr>
        <w:t xml:space="preserve"> </w:t>
      </w:r>
      <w:r>
        <w:t>52-week,</w:t>
      </w:r>
      <w:r>
        <w:rPr>
          <w:spacing w:val="-5"/>
        </w:rPr>
        <w:t xml:space="preserve"> </w:t>
      </w:r>
      <w:r>
        <w:t>flexible-dose</w:t>
      </w:r>
      <w:r>
        <w:rPr>
          <w:spacing w:val="-2"/>
        </w:rPr>
        <w:t xml:space="preserve"> </w:t>
      </w:r>
      <w:r>
        <w:t>extension</w:t>
      </w:r>
      <w:r>
        <w:rPr>
          <w:spacing w:val="-2"/>
        </w:rPr>
        <w:t xml:space="preserve"> </w:t>
      </w:r>
      <w:r>
        <w:t>study</w:t>
      </w:r>
      <w:r>
        <w:rPr>
          <w:spacing w:val="-4"/>
        </w:rPr>
        <w:t xml:space="preserve"> </w:t>
      </w:r>
      <w:r>
        <w:t>(the</w:t>
      </w:r>
      <w:r>
        <w:rPr>
          <w:spacing w:val="-7"/>
        </w:rPr>
        <w:t xml:space="preserve"> </w:t>
      </w:r>
      <w:r>
        <w:t>OLE).</w:t>
      </w:r>
      <w:r>
        <w:rPr>
          <w:spacing w:val="-3"/>
        </w:rPr>
        <w:t xml:space="preserve"> </w:t>
      </w:r>
      <w:r>
        <w:t>to</w:t>
      </w:r>
      <w:r>
        <w:rPr>
          <w:spacing w:val="-4"/>
        </w:rPr>
        <w:t xml:space="preserve"> </w:t>
      </w:r>
      <w:r>
        <w:t>assess</w:t>
      </w:r>
      <w:r>
        <w:rPr>
          <w:spacing w:val="-1"/>
        </w:rPr>
        <w:t xml:space="preserve"> </w:t>
      </w:r>
      <w:r>
        <w:t>long-term safety and tolerability</w:t>
      </w:r>
    </w:p>
    <w:p w:rsidR="000D2DCD" w:rsidRDefault="000D2DCD" w14:paraId="1074E19A" w14:textId="77777777">
      <w:pPr>
        <w:pStyle w:val="BodyText"/>
        <w:spacing w:before="128"/>
      </w:pPr>
    </w:p>
    <w:p w:rsidR="000D2DCD" w:rsidRDefault="00F81CE0" w14:paraId="1074E19B" w14:textId="77777777">
      <w:pPr>
        <w:pStyle w:val="BodyText"/>
        <w:spacing w:line="360" w:lineRule="auto"/>
        <w:ind w:left="760" w:right="1456"/>
      </w:pPr>
      <w:r>
        <w:t>Fenfluramine</w:t>
      </w:r>
      <w:r>
        <w:rPr>
          <w:spacing w:val="-4"/>
        </w:rPr>
        <w:t xml:space="preserve"> </w:t>
      </w:r>
      <w:r>
        <w:t>was</w:t>
      </w:r>
      <w:r>
        <w:rPr>
          <w:spacing w:val="-4"/>
        </w:rPr>
        <w:t xml:space="preserve"> </w:t>
      </w:r>
      <w:r>
        <w:t>first</w:t>
      </w:r>
      <w:r>
        <w:rPr>
          <w:spacing w:val="-3"/>
        </w:rPr>
        <w:t xml:space="preserve"> </w:t>
      </w:r>
      <w:r>
        <w:t>authorised</w:t>
      </w:r>
      <w:r>
        <w:rPr>
          <w:spacing w:val="-2"/>
        </w:rPr>
        <w:t xml:space="preserve"> </w:t>
      </w:r>
      <w:r>
        <w:t>in</w:t>
      </w:r>
      <w:r>
        <w:rPr>
          <w:spacing w:val="-4"/>
        </w:rPr>
        <w:t xml:space="preserve"> </w:t>
      </w:r>
      <w:r>
        <w:t>the</w:t>
      </w:r>
      <w:r>
        <w:rPr>
          <w:spacing w:val="-4"/>
        </w:rPr>
        <w:t xml:space="preserve"> </w:t>
      </w:r>
      <w:r>
        <w:t>UK</w:t>
      </w:r>
      <w:r>
        <w:rPr>
          <w:spacing w:val="-2"/>
        </w:rPr>
        <w:t xml:space="preserve"> </w:t>
      </w:r>
      <w:r>
        <w:t>on</w:t>
      </w:r>
      <w:r>
        <w:rPr>
          <w:spacing w:val="-2"/>
        </w:rPr>
        <w:t xml:space="preserve"> </w:t>
      </w:r>
      <w:r>
        <w:t>18</w:t>
      </w:r>
      <w:r>
        <w:rPr>
          <w:spacing w:val="-2"/>
        </w:rPr>
        <w:t xml:space="preserve"> </w:t>
      </w:r>
      <w:r>
        <w:t>December</w:t>
      </w:r>
      <w:r>
        <w:rPr>
          <w:spacing w:val="-1"/>
        </w:rPr>
        <w:t xml:space="preserve"> </w:t>
      </w:r>
      <w:r>
        <w:t>2020.</w:t>
      </w:r>
      <w:r>
        <w:rPr>
          <w:spacing w:val="40"/>
        </w:rPr>
        <w:t xml:space="preserve"> </w:t>
      </w:r>
      <w:r>
        <w:t>It is</w:t>
      </w:r>
      <w:r>
        <w:rPr>
          <w:spacing w:val="-4"/>
        </w:rPr>
        <w:t xml:space="preserve"> </w:t>
      </w:r>
      <w:r>
        <w:t>indicated</w:t>
      </w:r>
      <w:r>
        <w:rPr>
          <w:spacing w:val="-3"/>
        </w:rPr>
        <w:t xml:space="preserve"> </w:t>
      </w:r>
      <w:r>
        <w:t>for the treatment of seizures associated with Dravet syndrome and Lennox-Gastaut syndrome as</w:t>
      </w:r>
      <w:r>
        <w:rPr>
          <w:spacing w:val="-1"/>
        </w:rPr>
        <w:t xml:space="preserve"> </w:t>
      </w:r>
      <w:r>
        <w:t>an add-on</w:t>
      </w:r>
      <w:r>
        <w:rPr>
          <w:spacing w:val="-1"/>
        </w:rPr>
        <w:t xml:space="preserve"> </w:t>
      </w:r>
      <w:r>
        <w:t>therapy</w:t>
      </w:r>
      <w:r>
        <w:rPr>
          <w:spacing w:val="-1"/>
        </w:rPr>
        <w:t xml:space="preserve"> </w:t>
      </w:r>
      <w:r>
        <w:t>to other anti-epileptic</w:t>
      </w:r>
      <w:r>
        <w:rPr>
          <w:spacing w:val="-1"/>
        </w:rPr>
        <w:t xml:space="preserve"> </w:t>
      </w:r>
      <w:r>
        <w:t>medicines</w:t>
      </w:r>
      <w:r>
        <w:rPr>
          <w:spacing w:val="-1"/>
        </w:rPr>
        <w:t xml:space="preserve"> </w:t>
      </w:r>
      <w:r>
        <w:t>for patients 2 years of age and older.</w:t>
      </w:r>
    </w:p>
    <w:p w:rsidR="000D2DCD" w:rsidRDefault="000D2DCD" w14:paraId="1074E19C" w14:textId="77777777">
      <w:pPr>
        <w:spacing w:line="360" w:lineRule="auto"/>
        <w:sectPr w:rsidR="000D2DCD">
          <w:pgSz w:w="11910" w:h="16840" w:orient="portrait"/>
          <w:pgMar w:top="860" w:right="360" w:bottom="1200" w:left="1040" w:header="182" w:footer="1007" w:gutter="0"/>
          <w:cols w:space="720"/>
        </w:sectPr>
      </w:pPr>
    </w:p>
    <w:p w:rsidR="000D2DCD" w:rsidRDefault="000D2DCD" w14:paraId="1074E19D" w14:textId="77777777">
      <w:pPr>
        <w:pStyle w:val="BodyText"/>
      </w:pPr>
    </w:p>
    <w:p w:rsidR="000D2DCD" w:rsidRDefault="000D2DCD" w14:paraId="1074E19E" w14:textId="77777777">
      <w:pPr>
        <w:pStyle w:val="BodyText"/>
        <w:spacing w:before="59"/>
      </w:pPr>
    </w:p>
    <w:p w:rsidR="000D2DCD" w:rsidRDefault="00F81CE0" w14:paraId="1074E19F" w14:textId="77777777">
      <w:pPr>
        <w:pStyle w:val="BodyText"/>
        <w:ind w:left="760"/>
      </w:pPr>
      <w:r>
        <w:rPr>
          <w:u w:val="single"/>
        </w:rPr>
        <w:t>Procedural</w:t>
      </w:r>
      <w:r>
        <w:rPr>
          <w:spacing w:val="-6"/>
          <w:u w:val="single"/>
        </w:rPr>
        <w:t xml:space="preserve"> </w:t>
      </w:r>
      <w:r>
        <w:rPr>
          <w:u w:val="single"/>
        </w:rPr>
        <w:t>history</w:t>
      </w:r>
      <w:r>
        <w:rPr>
          <w:spacing w:val="-5"/>
          <w:u w:val="single"/>
        </w:rPr>
        <w:t xml:space="preserve"> </w:t>
      </w:r>
      <w:r>
        <w:rPr>
          <w:u w:val="single"/>
        </w:rPr>
        <w:t>of</w:t>
      </w:r>
      <w:r>
        <w:rPr>
          <w:spacing w:val="-3"/>
          <w:u w:val="single"/>
        </w:rPr>
        <w:t xml:space="preserve"> </w:t>
      </w:r>
      <w:r>
        <w:rPr>
          <w:u w:val="single"/>
        </w:rPr>
        <w:t>the</w:t>
      </w:r>
      <w:r>
        <w:rPr>
          <w:spacing w:val="-8"/>
          <w:u w:val="single"/>
        </w:rPr>
        <w:t xml:space="preserve"> </w:t>
      </w:r>
      <w:r>
        <w:rPr>
          <w:spacing w:val="-2"/>
          <w:u w:val="single"/>
        </w:rPr>
        <w:t>appraisal</w:t>
      </w:r>
    </w:p>
    <w:p w:rsidR="000D2DCD" w:rsidRDefault="000D2DCD" w14:paraId="1074E1A0" w14:textId="77777777">
      <w:pPr>
        <w:pStyle w:val="BodyText"/>
        <w:rPr>
          <w:sz w:val="20"/>
        </w:rPr>
      </w:pPr>
    </w:p>
    <w:p w:rsidR="000D2DCD" w:rsidRDefault="000D2DCD" w14:paraId="1074E1A1" w14:textId="77777777">
      <w:pPr>
        <w:pStyle w:val="BodyText"/>
        <w:rPr>
          <w:sz w:val="20"/>
        </w:rPr>
      </w:pPr>
    </w:p>
    <w:p w:rsidR="000D2DCD" w:rsidRDefault="000D2DCD" w14:paraId="1074E1A2" w14:textId="77777777">
      <w:pPr>
        <w:pStyle w:val="BodyText"/>
        <w:spacing w:before="73"/>
        <w:rPr>
          <w:sz w:val="20"/>
        </w:rPr>
      </w:pPr>
    </w:p>
    <w:tbl>
      <w:tblPr>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12"/>
        <w:gridCol w:w="6062"/>
      </w:tblGrid>
      <w:tr w:rsidR="000D2DCD" w14:paraId="1074E1A5" w14:textId="77777777">
        <w:trPr>
          <w:trHeight w:val="397"/>
        </w:trPr>
        <w:tc>
          <w:tcPr>
            <w:tcW w:w="2312" w:type="dxa"/>
          </w:tcPr>
          <w:p w:rsidR="000D2DCD" w:rsidRDefault="00F81CE0" w14:paraId="1074E1A3" w14:textId="77777777">
            <w:pPr>
              <w:pStyle w:val="TableParagraph"/>
              <w:spacing w:before="38"/>
            </w:pPr>
            <w:r>
              <w:t>16</w:t>
            </w:r>
            <w:r>
              <w:rPr>
                <w:vertAlign w:val="superscript"/>
              </w:rPr>
              <w:t>th</w:t>
            </w:r>
            <w:r>
              <w:rPr>
                <w:spacing w:val="-5"/>
              </w:rPr>
              <w:t xml:space="preserve"> </w:t>
            </w:r>
            <w:r>
              <w:t>May</w:t>
            </w:r>
            <w:r>
              <w:rPr>
                <w:spacing w:val="-6"/>
              </w:rPr>
              <w:t xml:space="preserve"> </w:t>
            </w:r>
            <w:r>
              <w:rPr>
                <w:spacing w:val="-4"/>
              </w:rPr>
              <w:t>2023</w:t>
            </w:r>
          </w:p>
        </w:tc>
        <w:tc>
          <w:tcPr>
            <w:tcW w:w="6062" w:type="dxa"/>
          </w:tcPr>
          <w:p w:rsidR="000D2DCD" w:rsidRDefault="00F81CE0" w14:paraId="1074E1A4" w14:textId="77777777">
            <w:pPr>
              <w:pStyle w:val="TableParagraph"/>
              <w:spacing w:before="38"/>
            </w:pPr>
            <w:r>
              <w:t>Decision</w:t>
            </w:r>
            <w:r>
              <w:rPr>
                <w:spacing w:val="-6"/>
              </w:rPr>
              <w:t xml:space="preserve"> </w:t>
            </w:r>
            <w:r>
              <w:t>problem</w:t>
            </w:r>
            <w:r>
              <w:rPr>
                <w:spacing w:val="-6"/>
              </w:rPr>
              <w:t xml:space="preserve"> </w:t>
            </w:r>
            <w:r>
              <w:t>form</w:t>
            </w:r>
            <w:r>
              <w:rPr>
                <w:spacing w:val="-6"/>
              </w:rPr>
              <w:t xml:space="preserve"> </w:t>
            </w:r>
            <w:r>
              <w:t>submitted</w:t>
            </w:r>
            <w:r>
              <w:rPr>
                <w:spacing w:val="-7"/>
              </w:rPr>
              <w:t xml:space="preserve"> </w:t>
            </w:r>
            <w:r>
              <w:t>to</w:t>
            </w:r>
            <w:r>
              <w:rPr>
                <w:spacing w:val="-7"/>
              </w:rPr>
              <w:t xml:space="preserve"> </w:t>
            </w:r>
            <w:r>
              <w:rPr>
                <w:spacing w:val="-4"/>
              </w:rPr>
              <w:t>NICE</w:t>
            </w:r>
          </w:p>
        </w:tc>
      </w:tr>
      <w:tr w:rsidR="000D2DCD" w14:paraId="1074E1A8" w14:textId="77777777">
        <w:trPr>
          <w:trHeight w:val="587"/>
        </w:trPr>
        <w:tc>
          <w:tcPr>
            <w:tcW w:w="2312" w:type="dxa"/>
          </w:tcPr>
          <w:p w:rsidR="000D2DCD" w:rsidRDefault="00F81CE0" w14:paraId="1074E1A6" w14:textId="77777777">
            <w:pPr>
              <w:pStyle w:val="TableParagraph"/>
              <w:spacing w:before="38"/>
            </w:pPr>
            <w:r>
              <w:t>24</w:t>
            </w:r>
            <w:r>
              <w:rPr>
                <w:vertAlign w:val="superscript"/>
              </w:rPr>
              <w:t>th</w:t>
            </w:r>
            <w:r>
              <w:rPr>
                <w:spacing w:val="-5"/>
              </w:rPr>
              <w:t xml:space="preserve"> </w:t>
            </w:r>
            <w:r>
              <w:t>May</w:t>
            </w:r>
            <w:r>
              <w:rPr>
                <w:spacing w:val="-6"/>
              </w:rPr>
              <w:t xml:space="preserve"> </w:t>
            </w:r>
            <w:r>
              <w:rPr>
                <w:spacing w:val="-4"/>
              </w:rPr>
              <w:t>2023</w:t>
            </w:r>
          </w:p>
        </w:tc>
        <w:tc>
          <w:tcPr>
            <w:tcW w:w="6062" w:type="dxa"/>
          </w:tcPr>
          <w:p w:rsidR="000D2DCD" w:rsidRDefault="00F81CE0" w14:paraId="1074E1A7" w14:textId="77777777">
            <w:pPr>
              <w:pStyle w:val="TableParagraph"/>
              <w:spacing w:before="38"/>
            </w:pPr>
            <w:r>
              <w:t>Decision</w:t>
            </w:r>
            <w:r>
              <w:rPr>
                <w:spacing w:val="-8"/>
              </w:rPr>
              <w:t xml:space="preserve"> </w:t>
            </w:r>
            <w:r>
              <w:t>problem</w:t>
            </w:r>
            <w:r>
              <w:rPr>
                <w:spacing w:val="-7"/>
              </w:rPr>
              <w:t xml:space="preserve"> </w:t>
            </w:r>
            <w:r>
              <w:t>meeting</w:t>
            </w:r>
            <w:r>
              <w:rPr>
                <w:spacing w:val="-7"/>
              </w:rPr>
              <w:t xml:space="preserve"> </w:t>
            </w:r>
            <w:r>
              <w:t>with</w:t>
            </w:r>
            <w:r>
              <w:rPr>
                <w:spacing w:val="-7"/>
              </w:rPr>
              <w:t xml:space="preserve"> </w:t>
            </w:r>
            <w:r>
              <w:rPr>
                <w:spacing w:val="-4"/>
              </w:rPr>
              <w:t>NICE</w:t>
            </w:r>
          </w:p>
        </w:tc>
      </w:tr>
      <w:tr w:rsidR="000D2DCD" w14:paraId="1074E1AB" w14:textId="77777777">
        <w:trPr>
          <w:trHeight w:val="397"/>
        </w:trPr>
        <w:tc>
          <w:tcPr>
            <w:tcW w:w="2312" w:type="dxa"/>
          </w:tcPr>
          <w:p w:rsidR="000D2DCD" w:rsidRDefault="00F81CE0" w14:paraId="1074E1A9" w14:textId="77777777">
            <w:pPr>
              <w:pStyle w:val="TableParagraph"/>
              <w:spacing w:before="38"/>
            </w:pPr>
            <w:r>
              <w:t>15</w:t>
            </w:r>
            <w:r>
              <w:rPr>
                <w:vertAlign w:val="superscript"/>
              </w:rPr>
              <w:t>th</w:t>
            </w:r>
            <w:r>
              <w:rPr>
                <w:spacing w:val="-5"/>
              </w:rPr>
              <w:t xml:space="preserve"> </w:t>
            </w:r>
            <w:r>
              <w:t>June</w:t>
            </w:r>
            <w:r>
              <w:rPr>
                <w:spacing w:val="-4"/>
              </w:rPr>
              <w:t xml:space="preserve"> 2023</w:t>
            </w:r>
          </w:p>
        </w:tc>
        <w:tc>
          <w:tcPr>
            <w:tcW w:w="6062" w:type="dxa"/>
          </w:tcPr>
          <w:p w:rsidR="000D2DCD" w:rsidRDefault="00F81CE0" w14:paraId="1074E1AA" w14:textId="77777777">
            <w:pPr>
              <w:pStyle w:val="TableParagraph"/>
              <w:spacing w:before="38"/>
            </w:pPr>
            <w:r>
              <w:t>Participation</w:t>
            </w:r>
            <w:r>
              <w:rPr>
                <w:spacing w:val="-7"/>
              </w:rPr>
              <w:t xml:space="preserve"> </w:t>
            </w:r>
            <w:r>
              <w:t>and</w:t>
            </w:r>
            <w:r>
              <w:rPr>
                <w:spacing w:val="-8"/>
              </w:rPr>
              <w:t xml:space="preserve"> </w:t>
            </w:r>
            <w:r>
              <w:t>confidentiality</w:t>
            </w:r>
            <w:r>
              <w:rPr>
                <w:spacing w:val="-8"/>
              </w:rPr>
              <w:t xml:space="preserve"> </w:t>
            </w:r>
            <w:r>
              <w:t>agreement</w:t>
            </w:r>
            <w:r>
              <w:rPr>
                <w:spacing w:val="-9"/>
              </w:rPr>
              <w:t xml:space="preserve"> </w:t>
            </w:r>
            <w:r>
              <w:t>form</w:t>
            </w:r>
            <w:r>
              <w:rPr>
                <w:spacing w:val="-6"/>
              </w:rPr>
              <w:t xml:space="preserve"> </w:t>
            </w:r>
            <w:r>
              <w:t>sent</w:t>
            </w:r>
            <w:r>
              <w:rPr>
                <w:spacing w:val="-7"/>
              </w:rPr>
              <w:t xml:space="preserve"> </w:t>
            </w:r>
            <w:r>
              <w:t>to</w:t>
            </w:r>
            <w:r>
              <w:rPr>
                <w:spacing w:val="-6"/>
              </w:rPr>
              <w:t xml:space="preserve"> </w:t>
            </w:r>
            <w:r>
              <w:rPr>
                <w:spacing w:val="-4"/>
              </w:rPr>
              <w:t>NICE</w:t>
            </w:r>
          </w:p>
        </w:tc>
      </w:tr>
      <w:tr w:rsidR="000D2DCD" w14:paraId="1074E1AE" w14:textId="77777777">
        <w:trPr>
          <w:trHeight w:val="839"/>
        </w:trPr>
        <w:tc>
          <w:tcPr>
            <w:tcW w:w="2312" w:type="dxa"/>
          </w:tcPr>
          <w:p w:rsidR="000D2DCD" w:rsidRDefault="00F81CE0" w14:paraId="1074E1AC" w14:textId="77777777">
            <w:pPr>
              <w:pStyle w:val="TableParagraph"/>
              <w:spacing w:before="38"/>
            </w:pPr>
            <w:r>
              <w:t>29</w:t>
            </w:r>
            <w:r>
              <w:rPr>
                <w:vertAlign w:val="superscript"/>
              </w:rPr>
              <w:t>th</w:t>
            </w:r>
            <w:r>
              <w:rPr>
                <w:spacing w:val="-5"/>
              </w:rPr>
              <w:t xml:space="preserve"> </w:t>
            </w:r>
            <w:r>
              <w:t>June</w:t>
            </w:r>
            <w:r>
              <w:rPr>
                <w:spacing w:val="-4"/>
              </w:rPr>
              <w:t xml:space="preserve"> 2023</w:t>
            </w:r>
          </w:p>
        </w:tc>
        <w:tc>
          <w:tcPr>
            <w:tcW w:w="6062" w:type="dxa"/>
          </w:tcPr>
          <w:p w:rsidR="000D2DCD" w:rsidRDefault="00F81CE0" w14:paraId="1074E1AD" w14:textId="77777777">
            <w:pPr>
              <w:pStyle w:val="TableParagraph"/>
              <w:spacing w:before="38"/>
            </w:pPr>
            <w:r>
              <w:t>Expert</w:t>
            </w:r>
            <w:r>
              <w:rPr>
                <w:spacing w:val="-2"/>
              </w:rPr>
              <w:t xml:space="preserve"> </w:t>
            </w:r>
            <w:r>
              <w:t>nomination</w:t>
            </w:r>
            <w:r>
              <w:rPr>
                <w:spacing w:val="-9"/>
              </w:rPr>
              <w:t xml:space="preserve"> </w:t>
            </w:r>
            <w:r>
              <w:t>form</w:t>
            </w:r>
            <w:r>
              <w:rPr>
                <w:spacing w:val="-5"/>
              </w:rPr>
              <w:t xml:space="preserve"> </w:t>
            </w:r>
            <w:r>
              <w:t>sent</w:t>
            </w:r>
            <w:r>
              <w:rPr>
                <w:spacing w:val="-5"/>
              </w:rPr>
              <w:t xml:space="preserve"> </w:t>
            </w:r>
            <w:r>
              <w:t>to</w:t>
            </w:r>
            <w:r>
              <w:rPr>
                <w:spacing w:val="-4"/>
              </w:rPr>
              <w:t xml:space="preserve"> </w:t>
            </w:r>
            <w:r>
              <w:t>NICE</w:t>
            </w:r>
            <w:r>
              <w:rPr>
                <w:spacing w:val="-7"/>
              </w:rPr>
              <w:t xml:space="preserve"> </w:t>
            </w:r>
            <w:r>
              <w:t>(Rhys</w:t>
            </w:r>
            <w:r>
              <w:rPr>
                <w:spacing w:val="-6"/>
              </w:rPr>
              <w:t xml:space="preserve"> </w:t>
            </w:r>
            <w:r>
              <w:t>Thomas,</w:t>
            </w:r>
            <w:r>
              <w:rPr>
                <w:spacing w:val="-3"/>
              </w:rPr>
              <w:t xml:space="preserve"> </w:t>
            </w:r>
            <w:r>
              <w:t>Helen Cross accepted as HCP representatives)</w:t>
            </w:r>
          </w:p>
        </w:tc>
      </w:tr>
      <w:tr w:rsidR="000D2DCD" w14:paraId="1074E1B1" w14:textId="77777777">
        <w:trPr>
          <w:trHeight w:val="397"/>
        </w:trPr>
        <w:tc>
          <w:tcPr>
            <w:tcW w:w="2312" w:type="dxa"/>
          </w:tcPr>
          <w:p w:rsidR="000D2DCD" w:rsidRDefault="00F81CE0" w14:paraId="1074E1AF" w14:textId="77777777">
            <w:pPr>
              <w:pStyle w:val="TableParagraph"/>
              <w:spacing w:before="40"/>
            </w:pPr>
            <w:r>
              <w:t>8</w:t>
            </w:r>
            <w:r>
              <w:rPr>
                <w:vertAlign w:val="superscript"/>
              </w:rPr>
              <w:t>th</w:t>
            </w:r>
            <w:r>
              <w:rPr>
                <w:spacing w:val="-3"/>
              </w:rPr>
              <w:t xml:space="preserve"> </w:t>
            </w:r>
            <w:r>
              <w:t>August</w:t>
            </w:r>
            <w:r>
              <w:rPr>
                <w:spacing w:val="-4"/>
              </w:rPr>
              <w:t xml:space="preserve"> 2023</w:t>
            </w:r>
          </w:p>
        </w:tc>
        <w:tc>
          <w:tcPr>
            <w:tcW w:w="6062" w:type="dxa"/>
          </w:tcPr>
          <w:p w:rsidR="000D2DCD" w:rsidRDefault="00F81CE0" w14:paraId="1074E1B0" w14:textId="77777777">
            <w:pPr>
              <w:pStyle w:val="TableParagraph"/>
              <w:spacing w:before="40"/>
            </w:pPr>
            <w:r>
              <w:t>Company</w:t>
            </w:r>
            <w:r>
              <w:rPr>
                <w:spacing w:val="-6"/>
              </w:rPr>
              <w:t xml:space="preserve"> </w:t>
            </w:r>
            <w:r>
              <w:t>submission</w:t>
            </w:r>
            <w:r>
              <w:rPr>
                <w:spacing w:val="-6"/>
              </w:rPr>
              <w:t xml:space="preserve"> </w:t>
            </w:r>
            <w:r>
              <w:t>to</w:t>
            </w:r>
            <w:r>
              <w:rPr>
                <w:spacing w:val="-6"/>
              </w:rPr>
              <w:t xml:space="preserve"> </w:t>
            </w:r>
            <w:r>
              <w:rPr>
                <w:spacing w:val="-4"/>
              </w:rPr>
              <w:t>NICE</w:t>
            </w:r>
          </w:p>
        </w:tc>
      </w:tr>
      <w:tr w:rsidR="000D2DCD" w14:paraId="1074E1B4" w14:textId="77777777">
        <w:trPr>
          <w:trHeight w:val="1349"/>
        </w:trPr>
        <w:tc>
          <w:tcPr>
            <w:tcW w:w="2312" w:type="dxa"/>
          </w:tcPr>
          <w:p w:rsidR="000D2DCD" w:rsidRDefault="00F81CE0" w14:paraId="1074E1B2" w14:textId="77777777">
            <w:pPr>
              <w:pStyle w:val="TableParagraph"/>
              <w:spacing w:before="40"/>
            </w:pPr>
            <w:r>
              <w:t>23</w:t>
            </w:r>
            <w:r>
              <w:rPr>
                <w:vertAlign w:val="superscript"/>
              </w:rPr>
              <w:t>rd</w:t>
            </w:r>
            <w:r>
              <w:rPr>
                <w:spacing w:val="-4"/>
              </w:rPr>
              <w:t xml:space="preserve"> </w:t>
            </w:r>
            <w:r>
              <w:t>August</w:t>
            </w:r>
            <w:r>
              <w:rPr>
                <w:spacing w:val="-4"/>
              </w:rPr>
              <w:t xml:space="preserve"> 2023</w:t>
            </w:r>
          </w:p>
        </w:tc>
        <w:tc>
          <w:tcPr>
            <w:tcW w:w="6062" w:type="dxa"/>
          </w:tcPr>
          <w:p w:rsidR="000D2DCD" w:rsidRDefault="00F81CE0" w14:paraId="1074E1B3" w14:textId="77777777">
            <w:pPr>
              <w:pStyle w:val="TableParagraph"/>
              <w:spacing w:before="40"/>
            </w:pPr>
            <w:r>
              <w:t>Revised</w:t>
            </w:r>
            <w:r>
              <w:rPr>
                <w:spacing w:val="-5"/>
              </w:rPr>
              <w:t xml:space="preserve"> </w:t>
            </w:r>
            <w:r>
              <w:t>submission</w:t>
            </w:r>
            <w:r>
              <w:rPr>
                <w:spacing w:val="-5"/>
              </w:rPr>
              <w:t xml:space="preserve"> </w:t>
            </w:r>
            <w:r>
              <w:t>docs</w:t>
            </w:r>
            <w:r>
              <w:rPr>
                <w:spacing w:val="-4"/>
              </w:rPr>
              <w:t xml:space="preserve"> </w:t>
            </w:r>
            <w:r>
              <w:t>sent</w:t>
            </w:r>
            <w:r>
              <w:rPr>
                <w:spacing w:val="-6"/>
              </w:rPr>
              <w:t xml:space="preserve"> </w:t>
            </w:r>
            <w:r>
              <w:t>to</w:t>
            </w:r>
            <w:r>
              <w:rPr>
                <w:spacing w:val="-7"/>
              </w:rPr>
              <w:t xml:space="preserve"> </w:t>
            </w:r>
            <w:r>
              <w:t>NICE</w:t>
            </w:r>
            <w:r>
              <w:rPr>
                <w:spacing w:val="-5"/>
              </w:rPr>
              <w:t xml:space="preserve"> </w:t>
            </w:r>
            <w:r>
              <w:t>at</w:t>
            </w:r>
            <w:r>
              <w:rPr>
                <w:spacing w:val="-6"/>
              </w:rPr>
              <w:t xml:space="preserve"> </w:t>
            </w:r>
            <w:r>
              <w:t>NICE’s</w:t>
            </w:r>
            <w:r>
              <w:rPr>
                <w:spacing w:val="-4"/>
              </w:rPr>
              <w:t xml:space="preserve"> </w:t>
            </w:r>
            <w:r>
              <w:t>request (updated some references End Note/RIS files, updated modifier applied to QALYs instead of threshold, updated confidentiality marking</w:t>
            </w:r>
          </w:p>
        </w:tc>
      </w:tr>
      <w:tr w:rsidR="000D2DCD" w14:paraId="1074E1B8" w14:textId="77777777">
        <w:trPr>
          <w:trHeight w:val="1134"/>
        </w:trPr>
        <w:tc>
          <w:tcPr>
            <w:tcW w:w="2312" w:type="dxa"/>
          </w:tcPr>
          <w:p w:rsidR="000D2DCD" w:rsidRDefault="00F81CE0" w14:paraId="1074E1B5" w14:textId="77777777">
            <w:pPr>
              <w:pStyle w:val="TableParagraph"/>
              <w:spacing w:before="38"/>
            </w:pPr>
            <w:r>
              <w:t>31</w:t>
            </w:r>
            <w:r>
              <w:rPr>
                <w:vertAlign w:val="superscript"/>
              </w:rPr>
              <w:t>st</w:t>
            </w:r>
            <w:r>
              <w:rPr>
                <w:spacing w:val="-5"/>
              </w:rPr>
              <w:t xml:space="preserve"> </w:t>
            </w:r>
            <w:r>
              <w:t>August</w:t>
            </w:r>
            <w:r>
              <w:rPr>
                <w:spacing w:val="-2"/>
              </w:rPr>
              <w:t xml:space="preserve"> </w:t>
            </w:r>
            <w:r>
              <w:rPr>
                <w:spacing w:val="-4"/>
              </w:rPr>
              <w:t>2023</w:t>
            </w:r>
          </w:p>
        </w:tc>
        <w:tc>
          <w:tcPr>
            <w:tcW w:w="6062" w:type="dxa"/>
          </w:tcPr>
          <w:p w:rsidR="000D2DCD" w:rsidRDefault="00F81CE0" w14:paraId="1074E1B6" w14:textId="77777777">
            <w:pPr>
              <w:pStyle w:val="TableParagraph"/>
              <w:spacing w:before="38"/>
            </w:pPr>
            <w:r>
              <w:t>UCB</w:t>
            </w:r>
            <w:r>
              <w:rPr>
                <w:spacing w:val="-9"/>
              </w:rPr>
              <w:t xml:space="preserve"> </w:t>
            </w:r>
            <w:r>
              <w:t>receives</w:t>
            </w:r>
            <w:r>
              <w:rPr>
                <w:spacing w:val="-9"/>
              </w:rPr>
              <w:t xml:space="preserve"> </w:t>
            </w:r>
            <w:r>
              <w:t>clarification</w:t>
            </w:r>
            <w:r>
              <w:rPr>
                <w:spacing w:val="-8"/>
              </w:rPr>
              <w:t xml:space="preserve"> </w:t>
            </w:r>
            <w:r>
              <w:rPr>
                <w:spacing w:val="-2"/>
              </w:rPr>
              <w:t>letter/questions</w:t>
            </w:r>
          </w:p>
          <w:p w:rsidR="000D2DCD" w:rsidRDefault="00F81CE0" w14:paraId="1074E1B7" w14:textId="77777777">
            <w:pPr>
              <w:pStyle w:val="TableParagraph"/>
              <w:spacing w:before="40"/>
            </w:pPr>
            <w:r>
              <w:t>UCB</w:t>
            </w:r>
            <w:r>
              <w:rPr>
                <w:spacing w:val="-3"/>
              </w:rPr>
              <w:t xml:space="preserve"> </w:t>
            </w:r>
            <w:r>
              <w:t>are</w:t>
            </w:r>
            <w:r>
              <w:rPr>
                <w:spacing w:val="-5"/>
              </w:rPr>
              <w:t xml:space="preserve"> </w:t>
            </w:r>
            <w:r>
              <w:t>given</w:t>
            </w:r>
            <w:r>
              <w:rPr>
                <w:spacing w:val="-3"/>
              </w:rPr>
              <w:t xml:space="preserve"> </w:t>
            </w:r>
            <w:r>
              <w:t>a</w:t>
            </w:r>
            <w:r>
              <w:rPr>
                <w:spacing w:val="-3"/>
              </w:rPr>
              <w:t xml:space="preserve"> </w:t>
            </w:r>
            <w:r>
              <w:t>deadline</w:t>
            </w:r>
            <w:r>
              <w:rPr>
                <w:spacing w:val="-3"/>
              </w:rPr>
              <w:t xml:space="preserve"> </w:t>
            </w:r>
            <w:r>
              <w:t>of</w:t>
            </w:r>
            <w:r>
              <w:rPr>
                <w:spacing w:val="-1"/>
              </w:rPr>
              <w:t xml:space="preserve"> </w:t>
            </w:r>
            <w:r>
              <w:t>14</w:t>
            </w:r>
            <w:r>
              <w:rPr>
                <w:vertAlign w:val="superscript"/>
              </w:rPr>
              <w:t>th</w:t>
            </w:r>
            <w:r>
              <w:rPr>
                <w:spacing w:val="-3"/>
              </w:rPr>
              <w:t xml:space="preserve"> </w:t>
            </w:r>
            <w:r>
              <w:t>September</w:t>
            </w:r>
            <w:r>
              <w:rPr>
                <w:spacing w:val="-4"/>
              </w:rPr>
              <w:t xml:space="preserve"> </w:t>
            </w:r>
            <w:r>
              <w:t>to</w:t>
            </w:r>
            <w:r>
              <w:rPr>
                <w:spacing w:val="-5"/>
              </w:rPr>
              <w:t xml:space="preserve"> </w:t>
            </w:r>
            <w:r>
              <w:t>respond</w:t>
            </w:r>
            <w:r>
              <w:rPr>
                <w:spacing w:val="-3"/>
              </w:rPr>
              <w:t xml:space="preserve"> </w:t>
            </w:r>
            <w:r>
              <w:t>to</w:t>
            </w:r>
            <w:r>
              <w:rPr>
                <w:spacing w:val="-5"/>
              </w:rPr>
              <w:t xml:space="preserve"> </w:t>
            </w:r>
            <w:r>
              <w:t>the clarification questions</w:t>
            </w:r>
          </w:p>
        </w:tc>
      </w:tr>
      <w:tr w:rsidR="000D2DCD" w14:paraId="1074E1BC" w14:textId="77777777">
        <w:trPr>
          <w:trHeight w:val="1641"/>
        </w:trPr>
        <w:tc>
          <w:tcPr>
            <w:tcW w:w="2312" w:type="dxa"/>
          </w:tcPr>
          <w:p w:rsidR="000D2DCD" w:rsidRDefault="00F81CE0" w14:paraId="1074E1B9" w14:textId="77777777">
            <w:pPr>
              <w:pStyle w:val="TableParagraph"/>
              <w:spacing w:before="38"/>
            </w:pPr>
            <w:r>
              <w:t>4</w:t>
            </w:r>
            <w:r>
              <w:rPr>
                <w:vertAlign w:val="superscript"/>
              </w:rPr>
              <w:t>th</w:t>
            </w:r>
            <w:r>
              <w:rPr>
                <w:spacing w:val="-4"/>
              </w:rPr>
              <w:t xml:space="preserve"> </w:t>
            </w:r>
            <w:r>
              <w:t>September</w:t>
            </w:r>
            <w:r>
              <w:rPr>
                <w:spacing w:val="-5"/>
              </w:rPr>
              <w:t xml:space="preserve"> </w:t>
            </w:r>
            <w:r>
              <w:rPr>
                <w:spacing w:val="-4"/>
              </w:rPr>
              <w:t>2023</w:t>
            </w:r>
          </w:p>
        </w:tc>
        <w:tc>
          <w:tcPr>
            <w:tcW w:w="6062" w:type="dxa"/>
          </w:tcPr>
          <w:p w:rsidR="000D2DCD" w:rsidRDefault="00F81CE0" w14:paraId="1074E1BA" w14:textId="77777777">
            <w:pPr>
              <w:pStyle w:val="TableParagraph"/>
              <w:spacing w:before="38"/>
            </w:pPr>
            <w:r>
              <w:t>Clarification</w:t>
            </w:r>
            <w:r>
              <w:rPr>
                <w:spacing w:val="-9"/>
              </w:rPr>
              <w:t xml:space="preserve"> </w:t>
            </w:r>
            <w:r>
              <w:t>letter</w:t>
            </w:r>
            <w:r>
              <w:rPr>
                <w:spacing w:val="-8"/>
              </w:rPr>
              <w:t xml:space="preserve"> </w:t>
            </w:r>
            <w:r>
              <w:t>meeting</w:t>
            </w:r>
            <w:r>
              <w:rPr>
                <w:spacing w:val="-8"/>
              </w:rPr>
              <w:t xml:space="preserve"> </w:t>
            </w:r>
            <w:r>
              <w:t>between</w:t>
            </w:r>
            <w:r>
              <w:rPr>
                <w:spacing w:val="-8"/>
              </w:rPr>
              <w:t xml:space="preserve"> </w:t>
            </w:r>
            <w:r>
              <w:t>NICE,</w:t>
            </w:r>
            <w:r>
              <w:rPr>
                <w:spacing w:val="-6"/>
              </w:rPr>
              <w:t xml:space="preserve"> </w:t>
            </w:r>
            <w:r>
              <w:t>External Assessment Group (EAG) and UCB</w:t>
            </w:r>
          </w:p>
          <w:p w:rsidR="000D2DCD" w:rsidRDefault="00F81CE0" w14:paraId="1074E1BB" w14:textId="77777777">
            <w:pPr>
              <w:pStyle w:val="TableParagraph"/>
              <w:spacing w:before="41"/>
            </w:pPr>
            <w:r>
              <w:t>Notification of this meeting came 2</w:t>
            </w:r>
            <w:r>
              <w:rPr>
                <w:vertAlign w:val="superscript"/>
              </w:rPr>
              <w:t>nd</w:t>
            </w:r>
            <w:r>
              <w:t xml:space="preserve"> August 2023 with a response</w:t>
            </w:r>
            <w:r>
              <w:rPr>
                <w:spacing w:val="-4"/>
              </w:rPr>
              <w:t xml:space="preserve"> </w:t>
            </w:r>
            <w:r>
              <w:t>deadline</w:t>
            </w:r>
            <w:r>
              <w:rPr>
                <w:spacing w:val="-6"/>
              </w:rPr>
              <w:t xml:space="preserve"> </w:t>
            </w:r>
            <w:r>
              <w:t>to</w:t>
            </w:r>
            <w:r>
              <w:rPr>
                <w:spacing w:val="-6"/>
              </w:rPr>
              <w:t xml:space="preserve"> </w:t>
            </w:r>
            <w:r>
              <w:t>confirm</w:t>
            </w:r>
            <w:r>
              <w:rPr>
                <w:spacing w:val="-5"/>
              </w:rPr>
              <w:t xml:space="preserve"> </w:t>
            </w:r>
            <w:r>
              <w:t>clarification</w:t>
            </w:r>
            <w:r>
              <w:rPr>
                <w:spacing w:val="-4"/>
              </w:rPr>
              <w:t xml:space="preserve"> </w:t>
            </w:r>
            <w:r>
              <w:t>meeting</w:t>
            </w:r>
            <w:r>
              <w:rPr>
                <w:spacing w:val="-4"/>
              </w:rPr>
              <w:t xml:space="preserve"> </w:t>
            </w:r>
            <w:r>
              <w:t>date</w:t>
            </w:r>
            <w:r>
              <w:rPr>
                <w:spacing w:val="-6"/>
              </w:rPr>
              <w:t xml:space="preserve"> </w:t>
            </w:r>
            <w:r>
              <w:t>by</w:t>
            </w:r>
            <w:r>
              <w:rPr>
                <w:spacing w:val="-6"/>
              </w:rPr>
              <w:t xml:space="preserve"> </w:t>
            </w:r>
            <w:r>
              <w:t>7</w:t>
            </w:r>
            <w:r>
              <w:rPr>
                <w:vertAlign w:val="superscript"/>
              </w:rPr>
              <w:t>th</w:t>
            </w:r>
            <w:r>
              <w:t xml:space="preserve"> August 2023</w:t>
            </w:r>
          </w:p>
        </w:tc>
      </w:tr>
      <w:tr w:rsidR="000D2DCD" w14:paraId="1074E1BF" w14:textId="77777777">
        <w:trPr>
          <w:trHeight w:val="587"/>
        </w:trPr>
        <w:tc>
          <w:tcPr>
            <w:tcW w:w="2312" w:type="dxa"/>
          </w:tcPr>
          <w:p w:rsidR="000D2DCD" w:rsidRDefault="00F81CE0" w14:paraId="1074E1BD" w14:textId="77777777">
            <w:pPr>
              <w:pStyle w:val="TableParagraph"/>
              <w:spacing w:before="38"/>
            </w:pPr>
            <w:r>
              <w:t>14</w:t>
            </w:r>
            <w:r>
              <w:rPr>
                <w:vertAlign w:val="superscript"/>
              </w:rPr>
              <w:t>th</w:t>
            </w:r>
            <w:r>
              <w:rPr>
                <w:spacing w:val="-5"/>
              </w:rPr>
              <w:t xml:space="preserve"> </w:t>
            </w:r>
            <w:r>
              <w:t>September</w:t>
            </w:r>
            <w:r>
              <w:rPr>
                <w:spacing w:val="-5"/>
              </w:rPr>
              <w:t xml:space="preserve"> </w:t>
            </w:r>
            <w:r>
              <w:rPr>
                <w:spacing w:val="-4"/>
              </w:rPr>
              <w:t>2023</w:t>
            </w:r>
          </w:p>
        </w:tc>
        <w:tc>
          <w:tcPr>
            <w:tcW w:w="6062" w:type="dxa"/>
          </w:tcPr>
          <w:p w:rsidR="000D2DCD" w:rsidRDefault="00F81CE0" w14:paraId="1074E1BE" w14:textId="77777777">
            <w:pPr>
              <w:pStyle w:val="TableParagraph"/>
              <w:spacing w:before="38"/>
            </w:pPr>
            <w:r>
              <w:t>UCB</w:t>
            </w:r>
            <w:r>
              <w:rPr>
                <w:spacing w:val="-8"/>
              </w:rPr>
              <w:t xml:space="preserve"> </w:t>
            </w:r>
            <w:r>
              <w:t>submit</w:t>
            </w:r>
            <w:r>
              <w:rPr>
                <w:spacing w:val="-6"/>
              </w:rPr>
              <w:t xml:space="preserve"> </w:t>
            </w:r>
            <w:r>
              <w:t>response</w:t>
            </w:r>
            <w:r>
              <w:rPr>
                <w:spacing w:val="-7"/>
              </w:rPr>
              <w:t xml:space="preserve"> </w:t>
            </w:r>
            <w:r>
              <w:t>to</w:t>
            </w:r>
            <w:r>
              <w:rPr>
                <w:spacing w:val="-9"/>
              </w:rPr>
              <w:t xml:space="preserve"> </w:t>
            </w:r>
            <w:r>
              <w:t>clarification</w:t>
            </w:r>
            <w:r>
              <w:rPr>
                <w:spacing w:val="-7"/>
              </w:rPr>
              <w:t xml:space="preserve"> </w:t>
            </w:r>
            <w:r>
              <w:t>questions</w:t>
            </w:r>
            <w:r>
              <w:rPr>
                <w:spacing w:val="-3"/>
              </w:rPr>
              <w:t xml:space="preserve"> </w:t>
            </w:r>
            <w:r>
              <w:t>from</w:t>
            </w:r>
            <w:r>
              <w:rPr>
                <w:spacing w:val="-3"/>
              </w:rPr>
              <w:t xml:space="preserve"> </w:t>
            </w:r>
            <w:r>
              <w:rPr>
                <w:spacing w:val="-5"/>
              </w:rPr>
              <w:t>EAG</w:t>
            </w:r>
          </w:p>
        </w:tc>
      </w:tr>
      <w:tr w:rsidR="000D2DCD" w14:paraId="1074E1C4" w14:textId="77777777">
        <w:trPr>
          <w:trHeight w:val="2188"/>
        </w:trPr>
        <w:tc>
          <w:tcPr>
            <w:tcW w:w="2312" w:type="dxa"/>
          </w:tcPr>
          <w:p w:rsidR="000D2DCD" w:rsidRDefault="00F81CE0" w14:paraId="1074E1C0" w14:textId="77777777">
            <w:pPr>
              <w:pStyle w:val="TableParagraph"/>
              <w:spacing w:before="38"/>
            </w:pPr>
            <w:r>
              <w:t>1</w:t>
            </w:r>
            <w:r>
              <w:rPr>
                <w:vertAlign w:val="superscript"/>
              </w:rPr>
              <w:t>st</w:t>
            </w:r>
            <w:r>
              <w:rPr>
                <w:spacing w:val="-5"/>
              </w:rPr>
              <w:t xml:space="preserve"> </w:t>
            </w:r>
            <w:r>
              <w:t>November</w:t>
            </w:r>
            <w:r>
              <w:rPr>
                <w:spacing w:val="-3"/>
              </w:rPr>
              <w:t xml:space="preserve"> </w:t>
            </w:r>
            <w:r>
              <w:rPr>
                <w:spacing w:val="-4"/>
              </w:rPr>
              <w:t>2023</w:t>
            </w:r>
          </w:p>
        </w:tc>
        <w:tc>
          <w:tcPr>
            <w:tcW w:w="6062" w:type="dxa"/>
          </w:tcPr>
          <w:p w:rsidR="000D2DCD" w:rsidRDefault="00F81CE0" w14:paraId="1074E1C1" w14:textId="77777777">
            <w:pPr>
              <w:pStyle w:val="TableParagraph"/>
              <w:spacing w:before="38"/>
            </w:pPr>
            <w:r>
              <w:t>UCB</w:t>
            </w:r>
            <w:r>
              <w:rPr>
                <w:spacing w:val="-5"/>
              </w:rPr>
              <w:t xml:space="preserve"> </w:t>
            </w:r>
            <w:r>
              <w:t>notified</w:t>
            </w:r>
            <w:r>
              <w:rPr>
                <w:spacing w:val="-4"/>
              </w:rPr>
              <w:t xml:space="preserve"> </w:t>
            </w:r>
            <w:r>
              <w:t>NICE</w:t>
            </w:r>
            <w:r>
              <w:rPr>
                <w:spacing w:val="-5"/>
              </w:rPr>
              <w:t xml:space="preserve"> </w:t>
            </w:r>
            <w:r>
              <w:t>of</w:t>
            </w:r>
            <w:r>
              <w:rPr>
                <w:spacing w:val="-5"/>
              </w:rPr>
              <w:t xml:space="preserve"> </w:t>
            </w:r>
            <w:r>
              <w:t>factual</w:t>
            </w:r>
            <w:r>
              <w:rPr>
                <w:spacing w:val="-5"/>
              </w:rPr>
              <w:t xml:space="preserve"> </w:t>
            </w:r>
            <w:r>
              <w:t>inaccuracies</w:t>
            </w:r>
            <w:r>
              <w:rPr>
                <w:spacing w:val="-7"/>
              </w:rPr>
              <w:t xml:space="preserve"> </w:t>
            </w:r>
            <w:r>
              <w:t>or</w:t>
            </w:r>
            <w:r>
              <w:rPr>
                <w:spacing w:val="-6"/>
              </w:rPr>
              <w:t xml:space="preserve"> </w:t>
            </w:r>
            <w:r>
              <w:t>errors</w:t>
            </w:r>
            <w:r>
              <w:rPr>
                <w:spacing w:val="-4"/>
              </w:rPr>
              <w:t xml:space="preserve"> </w:t>
            </w:r>
            <w:r>
              <w:t>and confidentiality marking in the EAG report</w:t>
            </w:r>
          </w:p>
          <w:p w:rsidR="000D2DCD" w:rsidRDefault="000D2DCD" w14:paraId="1074E1C2" w14:textId="77777777">
            <w:pPr>
              <w:pStyle w:val="TableParagraph"/>
              <w:spacing w:before="81"/>
              <w:ind w:left="0"/>
            </w:pPr>
          </w:p>
          <w:p w:rsidR="000D2DCD" w:rsidRDefault="00F81CE0" w14:paraId="1074E1C3" w14:textId="77777777">
            <w:pPr>
              <w:pStyle w:val="TableParagraph"/>
            </w:pPr>
            <w:r>
              <w:t>This request was sent to UCB on 24</w:t>
            </w:r>
            <w:r>
              <w:rPr>
                <w:vertAlign w:val="superscript"/>
              </w:rPr>
              <w:t>th</w:t>
            </w:r>
            <w:r>
              <w:t xml:space="preserve"> October 2023 with a deadline</w:t>
            </w:r>
            <w:r>
              <w:rPr>
                <w:spacing w:val="-3"/>
              </w:rPr>
              <w:t xml:space="preserve"> </w:t>
            </w:r>
            <w:r>
              <w:t>of</w:t>
            </w:r>
            <w:r>
              <w:rPr>
                <w:spacing w:val="-3"/>
              </w:rPr>
              <w:t xml:space="preserve"> </w:t>
            </w:r>
            <w:r>
              <w:t>1</w:t>
            </w:r>
            <w:r>
              <w:rPr>
                <w:vertAlign w:val="superscript"/>
              </w:rPr>
              <w:t>st</w:t>
            </w:r>
            <w:r>
              <w:rPr>
                <w:spacing w:val="-3"/>
              </w:rPr>
              <w:t xml:space="preserve"> </w:t>
            </w:r>
            <w:r>
              <w:t>November</w:t>
            </w:r>
            <w:r>
              <w:rPr>
                <w:spacing w:val="-4"/>
              </w:rPr>
              <w:t xml:space="preserve"> </w:t>
            </w:r>
            <w:r>
              <w:t>2023.</w:t>
            </w:r>
            <w:r>
              <w:rPr>
                <w:spacing w:val="-4"/>
              </w:rPr>
              <w:t xml:space="preserve"> </w:t>
            </w:r>
            <w:r>
              <w:t>In</w:t>
            </w:r>
            <w:r>
              <w:rPr>
                <w:spacing w:val="-5"/>
              </w:rPr>
              <w:t xml:space="preserve"> </w:t>
            </w:r>
            <w:r>
              <w:t>this</w:t>
            </w:r>
            <w:r>
              <w:rPr>
                <w:spacing w:val="-5"/>
              </w:rPr>
              <w:t xml:space="preserve"> </w:t>
            </w:r>
            <w:r>
              <w:t>email</w:t>
            </w:r>
            <w:r>
              <w:rPr>
                <w:spacing w:val="-3"/>
              </w:rPr>
              <w:t xml:space="preserve"> </w:t>
            </w:r>
            <w:r>
              <w:t>NICE</w:t>
            </w:r>
            <w:r>
              <w:rPr>
                <w:spacing w:val="-6"/>
              </w:rPr>
              <w:t xml:space="preserve"> </w:t>
            </w:r>
            <w:r>
              <w:t>confirmed the applicability of the severity modifier at the 1.7 level. It included the severity modifier applied to SoC</w:t>
            </w:r>
          </w:p>
        </w:tc>
      </w:tr>
      <w:tr w:rsidR="000D2DCD" w14:paraId="1074E1C9" w14:textId="77777777">
        <w:trPr>
          <w:trHeight w:val="1639"/>
        </w:trPr>
        <w:tc>
          <w:tcPr>
            <w:tcW w:w="2312" w:type="dxa"/>
          </w:tcPr>
          <w:p w:rsidR="000D2DCD" w:rsidRDefault="00F81CE0" w14:paraId="1074E1C5" w14:textId="77777777">
            <w:pPr>
              <w:pStyle w:val="TableParagraph"/>
              <w:spacing w:before="38"/>
            </w:pPr>
            <w:r>
              <w:t>1</w:t>
            </w:r>
            <w:r>
              <w:rPr>
                <w:vertAlign w:val="superscript"/>
              </w:rPr>
              <w:t>st</w:t>
            </w:r>
            <w:r>
              <w:rPr>
                <w:spacing w:val="-5"/>
              </w:rPr>
              <w:t xml:space="preserve"> </w:t>
            </w:r>
            <w:r>
              <w:t>November</w:t>
            </w:r>
            <w:r>
              <w:rPr>
                <w:spacing w:val="-3"/>
              </w:rPr>
              <w:t xml:space="preserve"> </w:t>
            </w:r>
            <w:r>
              <w:rPr>
                <w:spacing w:val="-4"/>
              </w:rPr>
              <w:t>2023</w:t>
            </w:r>
          </w:p>
        </w:tc>
        <w:tc>
          <w:tcPr>
            <w:tcW w:w="6062" w:type="dxa"/>
          </w:tcPr>
          <w:p w:rsidR="000D2DCD" w:rsidRDefault="00F81CE0" w14:paraId="1074E1C6" w14:textId="77777777">
            <w:pPr>
              <w:pStyle w:val="TableParagraph"/>
              <w:spacing w:before="38" w:line="259" w:lineRule="auto"/>
              <w:ind w:right="296"/>
            </w:pPr>
            <w:r>
              <w:t>UCB contacts NICE to request technical engagement. NICE responds stating that it does not believe technical engagement</w:t>
            </w:r>
            <w:r>
              <w:rPr>
                <w:spacing w:val="-6"/>
              </w:rPr>
              <w:t xml:space="preserve"> </w:t>
            </w:r>
            <w:r>
              <w:t>would</w:t>
            </w:r>
            <w:r>
              <w:rPr>
                <w:spacing w:val="-5"/>
              </w:rPr>
              <w:t xml:space="preserve"> </w:t>
            </w:r>
            <w:r>
              <w:t>make</w:t>
            </w:r>
            <w:r>
              <w:rPr>
                <w:spacing w:val="-5"/>
              </w:rPr>
              <w:t xml:space="preserve"> </w:t>
            </w:r>
            <w:r>
              <w:t>a</w:t>
            </w:r>
            <w:r>
              <w:rPr>
                <w:spacing w:val="-6"/>
              </w:rPr>
              <w:t xml:space="preserve"> </w:t>
            </w:r>
            <w:r>
              <w:t>material</w:t>
            </w:r>
            <w:r>
              <w:rPr>
                <w:spacing w:val="-6"/>
              </w:rPr>
              <w:t xml:space="preserve"> </w:t>
            </w:r>
            <w:r>
              <w:t>difference</w:t>
            </w:r>
            <w:r>
              <w:rPr>
                <w:spacing w:val="-7"/>
              </w:rPr>
              <w:t xml:space="preserve"> </w:t>
            </w:r>
            <w:r>
              <w:t>to</w:t>
            </w:r>
            <w:r>
              <w:rPr>
                <w:spacing w:val="-7"/>
              </w:rPr>
              <w:t xml:space="preserve"> </w:t>
            </w:r>
            <w:r>
              <w:t>decision-</w:t>
            </w:r>
          </w:p>
          <w:p w:rsidR="000D2DCD" w:rsidRDefault="00F81CE0" w14:paraId="1074E1C7" w14:textId="77777777">
            <w:pPr>
              <w:pStyle w:val="TableParagraph"/>
              <w:spacing w:line="233" w:lineRule="exact"/>
            </w:pPr>
            <w:r>
              <w:t>making</w:t>
            </w:r>
            <w:r>
              <w:rPr>
                <w:spacing w:val="-6"/>
              </w:rPr>
              <w:t xml:space="preserve"> </w:t>
            </w:r>
            <w:r>
              <w:t>at</w:t>
            </w:r>
            <w:r>
              <w:rPr>
                <w:spacing w:val="-6"/>
              </w:rPr>
              <w:t xml:space="preserve"> </w:t>
            </w:r>
            <w:r>
              <w:t>the</w:t>
            </w:r>
            <w:r>
              <w:rPr>
                <w:spacing w:val="-7"/>
              </w:rPr>
              <w:t xml:space="preserve"> </w:t>
            </w:r>
            <w:r>
              <w:t>first</w:t>
            </w:r>
            <w:r>
              <w:rPr>
                <w:spacing w:val="-4"/>
              </w:rPr>
              <w:t xml:space="preserve"> </w:t>
            </w:r>
            <w:r>
              <w:t>Appraisal</w:t>
            </w:r>
            <w:r>
              <w:rPr>
                <w:spacing w:val="-6"/>
              </w:rPr>
              <w:t xml:space="preserve"> </w:t>
            </w:r>
            <w:r>
              <w:t>Committee</w:t>
            </w:r>
            <w:r>
              <w:rPr>
                <w:spacing w:val="-7"/>
              </w:rPr>
              <w:t xml:space="preserve"> </w:t>
            </w:r>
            <w:r>
              <w:t>Meeting</w:t>
            </w:r>
            <w:r>
              <w:rPr>
                <w:spacing w:val="-6"/>
              </w:rPr>
              <w:t xml:space="preserve"> </w:t>
            </w:r>
            <w:r>
              <w:t>(ACM1)</w:t>
            </w:r>
            <w:r>
              <w:rPr>
                <w:spacing w:val="1"/>
              </w:rPr>
              <w:t xml:space="preserve"> </w:t>
            </w:r>
            <w:r>
              <w:rPr>
                <w:spacing w:val="-5"/>
              </w:rPr>
              <w:t>and</w:t>
            </w:r>
          </w:p>
          <w:p w:rsidR="000D2DCD" w:rsidRDefault="00F81CE0" w14:paraId="1074E1C8" w14:textId="77777777">
            <w:pPr>
              <w:pStyle w:val="TableParagraph"/>
              <w:spacing w:line="252" w:lineRule="exact"/>
            </w:pPr>
            <w:r>
              <w:t>would</w:t>
            </w:r>
            <w:r>
              <w:rPr>
                <w:spacing w:val="-4"/>
              </w:rPr>
              <w:t xml:space="preserve"> </w:t>
            </w:r>
            <w:r>
              <w:t>result</w:t>
            </w:r>
            <w:r>
              <w:rPr>
                <w:spacing w:val="-1"/>
              </w:rPr>
              <w:t xml:space="preserve"> </w:t>
            </w:r>
            <w:r>
              <w:t>in</w:t>
            </w:r>
            <w:r>
              <w:rPr>
                <w:spacing w:val="-6"/>
              </w:rPr>
              <w:t xml:space="preserve"> </w:t>
            </w:r>
            <w:r>
              <w:t>delay</w:t>
            </w:r>
            <w:r>
              <w:rPr>
                <w:spacing w:val="-5"/>
              </w:rPr>
              <w:t xml:space="preserve"> </w:t>
            </w:r>
            <w:r>
              <w:t>of</w:t>
            </w:r>
            <w:r>
              <w:rPr>
                <w:spacing w:val="-2"/>
              </w:rPr>
              <w:t xml:space="preserve"> </w:t>
            </w:r>
            <w:r>
              <w:t>at</w:t>
            </w:r>
            <w:r>
              <w:rPr>
                <w:spacing w:val="-2"/>
              </w:rPr>
              <w:t xml:space="preserve"> </w:t>
            </w:r>
            <w:r>
              <w:t>least</w:t>
            </w:r>
            <w:r>
              <w:rPr>
                <w:spacing w:val="-4"/>
              </w:rPr>
              <w:t xml:space="preserve"> </w:t>
            </w:r>
            <w:r>
              <w:t>two</w:t>
            </w:r>
            <w:r>
              <w:rPr>
                <w:spacing w:val="-3"/>
              </w:rPr>
              <w:t xml:space="preserve"> </w:t>
            </w:r>
            <w:r>
              <w:rPr>
                <w:spacing w:val="-2"/>
              </w:rPr>
              <w:t>months</w:t>
            </w:r>
          </w:p>
        </w:tc>
      </w:tr>
      <w:tr w:rsidR="000D2DCD" w14:paraId="1074E1CC" w14:textId="77777777">
        <w:trPr>
          <w:trHeight w:val="1134"/>
        </w:trPr>
        <w:tc>
          <w:tcPr>
            <w:tcW w:w="2312" w:type="dxa"/>
          </w:tcPr>
          <w:p w:rsidR="000D2DCD" w:rsidRDefault="00F81CE0" w14:paraId="1074E1CA" w14:textId="77777777">
            <w:pPr>
              <w:pStyle w:val="TableParagraph"/>
              <w:spacing w:before="40"/>
            </w:pPr>
            <w:r>
              <w:t>15</w:t>
            </w:r>
            <w:r>
              <w:rPr>
                <w:vertAlign w:val="superscript"/>
              </w:rPr>
              <w:t>th</w:t>
            </w:r>
            <w:r>
              <w:rPr>
                <w:spacing w:val="-7"/>
              </w:rPr>
              <w:t xml:space="preserve"> </w:t>
            </w:r>
            <w:r>
              <w:t>December</w:t>
            </w:r>
            <w:r>
              <w:rPr>
                <w:spacing w:val="-7"/>
              </w:rPr>
              <w:t xml:space="preserve"> </w:t>
            </w:r>
            <w:r>
              <w:rPr>
                <w:spacing w:val="-4"/>
              </w:rPr>
              <w:t>2023</w:t>
            </w:r>
          </w:p>
        </w:tc>
        <w:tc>
          <w:tcPr>
            <w:tcW w:w="6062" w:type="dxa"/>
          </w:tcPr>
          <w:p w:rsidR="000D2DCD" w:rsidRDefault="00F81CE0" w14:paraId="1074E1CB" w14:textId="77777777">
            <w:pPr>
              <w:pStyle w:val="TableParagraph"/>
              <w:spacing w:before="40"/>
            </w:pPr>
            <w:r>
              <w:t>Model</w:t>
            </w:r>
            <w:r>
              <w:rPr>
                <w:spacing w:val="-4"/>
              </w:rPr>
              <w:t xml:space="preserve"> </w:t>
            </w:r>
            <w:r>
              <w:t>markov</w:t>
            </w:r>
            <w:r>
              <w:rPr>
                <w:spacing w:val="-6"/>
              </w:rPr>
              <w:t xml:space="preserve"> </w:t>
            </w:r>
            <w:r>
              <w:t>traces</w:t>
            </w:r>
            <w:r>
              <w:rPr>
                <w:spacing w:val="-6"/>
              </w:rPr>
              <w:t xml:space="preserve"> </w:t>
            </w:r>
            <w:r>
              <w:t>sent</w:t>
            </w:r>
            <w:r>
              <w:rPr>
                <w:spacing w:val="-5"/>
              </w:rPr>
              <w:t xml:space="preserve"> </w:t>
            </w:r>
            <w:r>
              <w:t>to</w:t>
            </w:r>
            <w:r>
              <w:rPr>
                <w:spacing w:val="-4"/>
              </w:rPr>
              <w:t xml:space="preserve"> </w:t>
            </w:r>
            <w:r>
              <w:t>NICE</w:t>
            </w:r>
            <w:r>
              <w:rPr>
                <w:spacing w:val="-7"/>
              </w:rPr>
              <w:t xml:space="preserve"> </w:t>
            </w:r>
            <w:r>
              <w:t>following</w:t>
            </w:r>
            <w:r>
              <w:rPr>
                <w:spacing w:val="-2"/>
              </w:rPr>
              <w:t xml:space="preserve"> </w:t>
            </w:r>
            <w:r>
              <w:t>request</w:t>
            </w:r>
            <w:r>
              <w:rPr>
                <w:spacing w:val="-3"/>
              </w:rPr>
              <w:t xml:space="preserve"> </w:t>
            </w:r>
            <w:r>
              <w:t>on</w:t>
            </w:r>
            <w:r>
              <w:rPr>
                <w:spacing w:val="-6"/>
              </w:rPr>
              <w:t xml:space="preserve"> </w:t>
            </w:r>
            <w:r>
              <w:t>8</w:t>
            </w:r>
            <w:r>
              <w:rPr>
                <w:vertAlign w:val="superscript"/>
              </w:rPr>
              <w:t>th</w:t>
            </w:r>
            <w:r>
              <w:t xml:space="preserve"> December 2023</w:t>
            </w:r>
          </w:p>
        </w:tc>
      </w:tr>
      <w:tr w:rsidR="000D2DCD" w14:paraId="1074E1CF" w14:textId="77777777">
        <w:trPr>
          <w:trHeight w:val="400"/>
        </w:trPr>
        <w:tc>
          <w:tcPr>
            <w:tcW w:w="2312" w:type="dxa"/>
          </w:tcPr>
          <w:p w:rsidR="000D2DCD" w:rsidRDefault="00F81CE0" w14:paraId="1074E1CD" w14:textId="77777777">
            <w:pPr>
              <w:pStyle w:val="TableParagraph"/>
              <w:spacing w:before="40"/>
            </w:pPr>
            <w:r>
              <w:t>21</w:t>
            </w:r>
            <w:r>
              <w:rPr>
                <w:vertAlign w:val="superscript"/>
              </w:rPr>
              <w:t>st</w:t>
            </w:r>
            <w:r>
              <w:rPr>
                <w:spacing w:val="-6"/>
              </w:rPr>
              <w:t xml:space="preserve"> </w:t>
            </w:r>
            <w:r>
              <w:t>December</w:t>
            </w:r>
            <w:r>
              <w:rPr>
                <w:spacing w:val="-7"/>
              </w:rPr>
              <w:t xml:space="preserve"> </w:t>
            </w:r>
            <w:r>
              <w:rPr>
                <w:spacing w:val="-4"/>
              </w:rPr>
              <w:t>2023</w:t>
            </w:r>
          </w:p>
        </w:tc>
        <w:tc>
          <w:tcPr>
            <w:tcW w:w="6062" w:type="dxa"/>
          </w:tcPr>
          <w:p w:rsidR="000D2DCD" w:rsidRDefault="00F81CE0" w14:paraId="1074E1CE" w14:textId="77777777">
            <w:pPr>
              <w:pStyle w:val="TableParagraph"/>
              <w:spacing w:before="40"/>
            </w:pPr>
            <w:r>
              <w:t>Committee</w:t>
            </w:r>
            <w:r>
              <w:rPr>
                <w:spacing w:val="-7"/>
              </w:rPr>
              <w:t xml:space="preserve"> </w:t>
            </w:r>
            <w:r>
              <w:t>meeting</w:t>
            </w:r>
            <w:r>
              <w:rPr>
                <w:spacing w:val="-4"/>
              </w:rPr>
              <w:t xml:space="preserve"> </w:t>
            </w:r>
            <w:r>
              <w:t>papers</w:t>
            </w:r>
            <w:r>
              <w:rPr>
                <w:spacing w:val="-3"/>
              </w:rPr>
              <w:t xml:space="preserve"> </w:t>
            </w:r>
            <w:r>
              <w:t>ahead</w:t>
            </w:r>
            <w:r>
              <w:rPr>
                <w:spacing w:val="-6"/>
              </w:rPr>
              <w:t xml:space="preserve"> </w:t>
            </w:r>
            <w:r>
              <w:t>of</w:t>
            </w:r>
            <w:r>
              <w:rPr>
                <w:spacing w:val="-3"/>
              </w:rPr>
              <w:t xml:space="preserve"> </w:t>
            </w:r>
            <w:r>
              <w:t>ACM1</w:t>
            </w:r>
            <w:r>
              <w:rPr>
                <w:spacing w:val="-4"/>
              </w:rPr>
              <w:t xml:space="preserve"> </w:t>
            </w:r>
            <w:r>
              <w:t>shared</w:t>
            </w:r>
            <w:r>
              <w:rPr>
                <w:spacing w:val="-4"/>
              </w:rPr>
              <w:t xml:space="preserve"> </w:t>
            </w:r>
            <w:r>
              <w:t>by</w:t>
            </w:r>
            <w:r>
              <w:rPr>
                <w:spacing w:val="-6"/>
              </w:rPr>
              <w:t xml:space="preserve"> </w:t>
            </w:r>
            <w:r>
              <w:rPr>
                <w:spacing w:val="-4"/>
              </w:rPr>
              <w:t>NICE</w:t>
            </w:r>
          </w:p>
        </w:tc>
      </w:tr>
    </w:tbl>
    <w:p w:rsidR="000D2DCD" w:rsidRDefault="000D2DCD" w14:paraId="1074E1D0" w14:textId="77777777">
      <w:pPr>
        <w:sectPr w:rsidR="000D2DCD">
          <w:pgSz w:w="11910" w:h="16840" w:orient="portrait"/>
          <w:pgMar w:top="860" w:right="360" w:bottom="1200" w:left="1040" w:header="182" w:footer="1007" w:gutter="0"/>
          <w:cols w:space="720"/>
        </w:sectPr>
      </w:pPr>
    </w:p>
    <w:p w:rsidR="000D2DCD" w:rsidRDefault="000D2DCD" w14:paraId="1074E1D1" w14:textId="77777777">
      <w:pPr>
        <w:pStyle w:val="BodyText"/>
        <w:rPr>
          <w:sz w:val="20"/>
        </w:rPr>
      </w:pPr>
    </w:p>
    <w:p w:rsidR="000D2DCD" w:rsidRDefault="000D2DCD" w14:paraId="1074E1D2" w14:textId="77777777">
      <w:pPr>
        <w:pStyle w:val="BodyText"/>
        <w:spacing w:before="108"/>
        <w:rPr>
          <w:sz w:val="20"/>
        </w:rPr>
      </w:pPr>
    </w:p>
    <w:tbl>
      <w:tblPr>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12"/>
        <w:gridCol w:w="6062"/>
      </w:tblGrid>
      <w:tr w:rsidR="000D2DCD" w14:paraId="1074E1D5" w14:textId="77777777">
        <w:trPr>
          <w:trHeight w:val="398"/>
        </w:trPr>
        <w:tc>
          <w:tcPr>
            <w:tcW w:w="2312" w:type="dxa"/>
          </w:tcPr>
          <w:p w:rsidR="000D2DCD" w:rsidRDefault="000D2DCD" w14:paraId="1074E1D3" w14:textId="77777777">
            <w:pPr>
              <w:pStyle w:val="TableParagraph"/>
              <w:ind w:left="0"/>
              <w:rPr>
                <w:rFonts w:ascii="Times New Roman"/>
                <w:sz w:val="20"/>
              </w:rPr>
            </w:pPr>
          </w:p>
        </w:tc>
        <w:tc>
          <w:tcPr>
            <w:tcW w:w="6062" w:type="dxa"/>
          </w:tcPr>
          <w:p w:rsidR="000D2DCD" w:rsidRDefault="000D2DCD" w14:paraId="1074E1D4" w14:textId="77777777">
            <w:pPr>
              <w:pStyle w:val="TableParagraph"/>
              <w:ind w:left="0"/>
              <w:rPr>
                <w:rFonts w:ascii="Times New Roman"/>
                <w:sz w:val="20"/>
              </w:rPr>
            </w:pPr>
          </w:p>
        </w:tc>
      </w:tr>
      <w:tr w:rsidR="000D2DCD" w14:paraId="1074E1D9" w14:textId="77777777">
        <w:trPr>
          <w:trHeight w:val="798"/>
        </w:trPr>
        <w:tc>
          <w:tcPr>
            <w:tcW w:w="2312" w:type="dxa"/>
          </w:tcPr>
          <w:p w:rsidR="000D2DCD" w:rsidRDefault="00F81CE0" w14:paraId="1074E1D6" w14:textId="77777777">
            <w:pPr>
              <w:pStyle w:val="TableParagraph"/>
              <w:spacing w:before="38"/>
            </w:pPr>
            <w:r>
              <w:t>4</w:t>
            </w:r>
            <w:r>
              <w:rPr>
                <w:vertAlign w:val="superscript"/>
              </w:rPr>
              <w:t>th</w:t>
            </w:r>
            <w:r>
              <w:rPr>
                <w:spacing w:val="-5"/>
              </w:rPr>
              <w:t xml:space="preserve"> </w:t>
            </w:r>
            <w:r>
              <w:t>January</w:t>
            </w:r>
            <w:r>
              <w:rPr>
                <w:spacing w:val="-7"/>
              </w:rPr>
              <w:t xml:space="preserve"> </w:t>
            </w:r>
            <w:r>
              <w:rPr>
                <w:spacing w:val="-4"/>
              </w:rPr>
              <w:t>2024</w:t>
            </w:r>
          </w:p>
        </w:tc>
        <w:tc>
          <w:tcPr>
            <w:tcW w:w="6062" w:type="dxa"/>
          </w:tcPr>
          <w:p w:rsidR="000D2DCD" w:rsidRDefault="00F81CE0" w14:paraId="1074E1D7" w14:textId="77777777">
            <w:pPr>
              <w:pStyle w:val="TableParagraph"/>
              <w:spacing w:before="38"/>
            </w:pPr>
            <w:r>
              <w:t>Additional</w:t>
            </w:r>
            <w:r>
              <w:rPr>
                <w:spacing w:val="-7"/>
              </w:rPr>
              <w:t xml:space="preserve"> </w:t>
            </w:r>
            <w:r>
              <w:t>analyses</w:t>
            </w:r>
            <w:r>
              <w:rPr>
                <w:spacing w:val="-4"/>
              </w:rPr>
              <w:t xml:space="preserve"> </w:t>
            </w:r>
            <w:r>
              <w:t>prepared</w:t>
            </w:r>
            <w:r>
              <w:rPr>
                <w:spacing w:val="-6"/>
              </w:rPr>
              <w:t xml:space="preserve"> </w:t>
            </w:r>
            <w:r>
              <w:t>by</w:t>
            </w:r>
            <w:r>
              <w:rPr>
                <w:spacing w:val="-7"/>
              </w:rPr>
              <w:t xml:space="preserve"> </w:t>
            </w:r>
            <w:r>
              <w:t>the</w:t>
            </w:r>
            <w:r>
              <w:rPr>
                <w:spacing w:val="-7"/>
              </w:rPr>
              <w:t xml:space="preserve"> </w:t>
            </w:r>
            <w:r>
              <w:t>EAG</w:t>
            </w:r>
            <w:r>
              <w:rPr>
                <w:spacing w:val="-7"/>
              </w:rPr>
              <w:t xml:space="preserve"> </w:t>
            </w:r>
            <w:r>
              <w:t>are</w:t>
            </w:r>
            <w:r>
              <w:rPr>
                <w:spacing w:val="-7"/>
              </w:rPr>
              <w:t xml:space="preserve"> </w:t>
            </w:r>
            <w:r>
              <w:t>disclosed</w:t>
            </w:r>
            <w:r>
              <w:rPr>
                <w:spacing w:val="-5"/>
              </w:rPr>
              <w:t xml:space="preserve"> to</w:t>
            </w:r>
          </w:p>
          <w:p w:rsidR="000D2DCD" w:rsidRDefault="00F81CE0" w14:paraId="1074E1D8" w14:textId="77777777">
            <w:pPr>
              <w:pStyle w:val="TableParagraph"/>
              <w:spacing w:line="252" w:lineRule="exact"/>
            </w:pPr>
            <w:r>
              <w:t>UCB</w:t>
            </w:r>
            <w:r>
              <w:rPr>
                <w:spacing w:val="-5"/>
              </w:rPr>
              <w:t xml:space="preserve"> </w:t>
            </w:r>
            <w:r>
              <w:t>and</w:t>
            </w:r>
            <w:r>
              <w:rPr>
                <w:spacing w:val="-5"/>
              </w:rPr>
              <w:t xml:space="preserve"> </w:t>
            </w:r>
            <w:r>
              <w:t>shared</w:t>
            </w:r>
            <w:r>
              <w:rPr>
                <w:spacing w:val="-7"/>
              </w:rPr>
              <w:t xml:space="preserve"> </w:t>
            </w:r>
            <w:r>
              <w:t>with</w:t>
            </w:r>
            <w:r>
              <w:rPr>
                <w:spacing w:val="-5"/>
              </w:rPr>
              <w:t xml:space="preserve"> </w:t>
            </w:r>
            <w:r>
              <w:t>the</w:t>
            </w:r>
            <w:r>
              <w:rPr>
                <w:spacing w:val="-6"/>
              </w:rPr>
              <w:t xml:space="preserve"> </w:t>
            </w:r>
            <w:r>
              <w:t>Committee.</w:t>
            </w:r>
            <w:r>
              <w:rPr>
                <w:spacing w:val="-6"/>
              </w:rPr>
              <w:t xml:space="preserve"> </w:t>
            </w:r>
            <w:r>
              <w:t>These</w:t>
            </w:r>
            <w:r>
              <w:rPr>
                <w:spacing w:val="-5"/>
              </w:rPr>
              <w:t xml:space="preserve"> </w:t>
            </w:r>
            <w:r>
              <w:t>additional scenarios contained comparisons vs SoC alone.</w:t>
            </w:r>
          </w:p>
        </w:tc>
      </w:tr>
      <w:tr w:rsidR="000D2DCD" w14:paraId="1074E1DC" w14:textId="77777777">
        <w:trPr>
          <w:trHeight w:val="398"/>
        </w:trPr>
        <w:tc>
          <w:tcPr>
            <w:tcW w:w="2312" w:type="dxa"/>
          </w:tcPr>
          <w:p w:rsidR="000D2DCD" w:rsidRDefault="00F81CE0" w14:paraId="1074E1DA" w14:textId="77777777">
            <w:pPr>
              <w:pStyle w:val="TableParagraph"/>
              <w:spacing w:before="40"/>
            </w:pPr>
            <w:r>
              <w:t>11</w:t>
            </w:r>
            <w:r>
              <w:rPr>
                <w:vertAlign w:val="superscript"/>
              </w:rPr>
              <w:t>th</w:t>
            </w:r>
            <w:r>
              <w:rPr>
                <w:spacing w:val="-6"/>
              </w:rPr>
              <w:t xml:space="preserve"> </w:t>
            </w:r>
            <w:r>
              <w:t>January</w:t>
            </w:r>
            <w:r>
              <w:rPr>
                <w:spacing w:val="-7"/>
              </w:rPr>
              <w:t xml:space="preserve"> </w:t>
            </w:r>
            <w:r>
              <w:rPr>
                <w:spacing w:val="-4"/>
              </w:rPr>
              <w:t>2024</w:t>
            </w:r>
          </w:p>
        </w:tc>
        <w:tc>
          <w:tcPr>
            <w:tcW w:w="6062" w:type="dxa"/>
          </w:tcPr>
          <w:p w:rsidR="000D2DCD" w:rsidRDefault="00F81CE0" w14:paraId="1074E1DB" w14:textId="77777777">
            <w:pPr>
              <w:pStyle w:val="TableParagraph"/>
              <w:spacing w:before="40"/>
            </w:pPr>
            <w:r>
              <w:t>First</w:t>
            </w:r>
            <w:r>
              <w:rPr>
                <w:spacing w:val="-7"/>
              </w:rPr>
              <w:t xml:space="preserve"> </w:t>
            </w:r>
            <w:r>
              <w:t>meeting</w:t>
            </w:r>
            <w:r>
              <w:rPr>
                <w:spacing w:val="-6"/>
              </w:rPr>
              <w:t xml:space="preserve"> </w:t>
            </w:r>
            <w:r>
              <w:t>of</w:t>
            </w:r>
            <w:r>
              <w:rPr>
                <w:spacing w:val="-7"/>
              </w:rPr>
              <w:t xml:space="preserve"> </w:t>
            </w:r>
            <w:r>
              <w:t>the</w:t>
            </w:r>
            <w:r>
              <w:rPr>
                <w:spacing w:val="-10"/>
              </w:rPr>
              <w:t xml:space="preserve"> </w:t>
            </w:r>
            <w:r>
              <w:t>Appraisal</w:t>
            </w:r>
            <w:r>
              <w:rPr>
                <w:spacing w:val="-6"/>
              </w:rPr>
              <w:t xml:space="preserve"> </w:t>
            </w:r>
            <w:r>
              <w:t>Committee</w:t>
            </w:r>
            <w:r>
              <w:rPr>
                <w:spacing w:val="-4"/>
              </w:rPr>
              <w:t xml:space="preserve"> </w:t>
            </w:r>
            <w:r>
              <w:rPr>
                <w:spacing w:val="-2"/>
              </w:rPr>
              <w:t>('ACM1’)</w:t>
            </w:r>
          </w:p>
        </w:tc>
      </w:tr>
      <w:tr w:rsidR="000D2DCD" w14:paraId="1074E1DF" w14:textId="77777777">
        <w:trPr>
          <w:trHeight w:val="590"/>
        </w:trPr>
        <w:tc>
          <w:tcPr>
            <w:tcW w:w="2312" w:type="dxa"/>
          </w:tcPr>
          <w:p w:rsidR="000D2DCD" w:rsidRDefault="00F81CE0" w14:paraId="1074E1DD" w14:textId="77777777">
            <w:pPr>
              <w:pStyle w:val="TableParagraph"/>
              <w:spacing w:before="40"/>
            </w:pPr>
            <w:r>
              <w:t>18</w:t>
            </w:r>
            <w:r>
              <w:rPr>
                <w:vertAlign w:val="superscript"/>
              </w:rPr>
              <w:t>th</w:t>
            </w:r>
            <w:r>
              <w:rPr>
                <w:spacing w:val="-6"/>
              </w:rPr>
              <w:t xml:space="preserve"> </w:t>
            </w:r>
            <w:r>
              <w:t>January</w:t>
            </w:r>
            <w:r>
              <w:rPr>
                <w:spacing w:val="-7"/>
              </w:rPr>
              <w:t xml:space="preserve"> </w:t>
            </w:r>
            <w:r>
              <w:rPr>
                <w:spacing w:val="-4"/>
              </w:rPr>
              <w:t>2024</w:t>
            </w:r>
          </w:p>
        </w:tc>
        <w:tc>
          <w:tcPr>
            <w:tcW w:w="6062" w:type="dxa"/>
          </w:tcPr>
          <w:p w:rsidR="000D2DCD" w:rsidRDefault="00F81CE0" w14:paraId="1074E1DE" w14:textId="77777777">
            <w:pPr>
              <w:pStyle w:val="TableParagraph"/>
              <w:spacing w:before="40"/>
            </w:pPr>
            <w:r>
              <w:t>UCB</w:t>
            </w:r>
            <w:r>
              <w:rPr>
                <w:spacing w:val="-8"/>
              </w:rPr>
              <w:t xml:space="preserve"> </w:t>
            </w:r>
            <w:r>
              <w:t>informed</w:t>
            </w:r>
            <w:r>
              <w:rPr>
                <w:spacing w:val="-10"/>
              </w:rPr>
              <w:t xml:space="preserve"> </w:t>
            </w:r>
            <w:r>
              <w:t>of</w:t>
            </w:r>
            <w:r>
              <w:rPr>
                <w:spacing w:val="-6"/>
              </w:rPr>
              <w:t xml:space="preserve"> </w:t>
            </w:r>
            <w:r>
              <w:t>negative</w:t>
            </w:r>
            <w:r>
              <w:rPr>
                <w:spacing w:val="-5"/>
              </w:rPr>
              <w:t xml:space="preserve"> </w:t>
            </w:r>
            <w:r>
              <w:t>recommendation</w:t>
            </w:r>
            <w:r>
              <w:rPr>
                <w:spacing w:val="-9"/>
              </w:rPr>
              <w:t xml:space="preserve"> </w:t>
            </w:r>
            <w:r>
              <w:t>following</w:t>
            </w:r>
            <w:r>
              <w:rPr>
                <w:spacing w:val="-6"/>
              </w:rPr>
              <w:t xml:space="preserve"> </w:t>
            </w:r>
            <w:r>
              <w:rPr>
                <w:spacing w:val="-4"/>
              </w:rPr>
              <w:t>ACM1</w:t>
            </w:r>
          </w:p>
        </w:tc>
      </w:tr>
      <w:tr w:rsidR="000D2DCD" w14:paraId="1074E1E2" w14:textId="77777777">
        <w:trPr>
          <w:trHeight w:val="397"/>
        </w:trPr>
        <w:tc>
          <w:tcPr>
            <w:tcW w:w="2312" w:type="dxa"/>
          </w:tcPr>
          <w:p w:rsidR="000D2DCD" w:rsidRDefault="00F81CE0" w14:paraId="1074E1E0" w14:textId="77777777">
            <w:pPr>
              <w:pStyle w:val="TableParagraph"/>
              <w:spacing w:before="38"/>
            </w:pPr>
            <w:r>
              <w:t>24</w:t>
            </w:r>
            <w:r>
              <w:rPr>
                <w:vertAlign w:val="superscript"/>
              </w:rPr>
              <w:t>th</w:t>
            </w:r>
            <w:r>
              <w:rPr>
                <w:spacing w:val="-6"/>
              </w:rPr>
              <w:t xml:space="preserve"> </w:t>
            </w:r>
            <w:r>
              <w:t>January</w:t>
            </w:r>
            <w:r>
              <w:rPr>
                <w:spacing w:val="-7"/>
              </w:rPr>
              <w:t xml:space="preserve"> </w:t>
            </w:r>
            <w:r>
              <w:rPr>
                <w:spacing w:val="-4"/>
              </w:rPr>
              <w:t>2024</w:t>
            </w:r>
          </w:p>
        </w:tc>
        <w:tc>
          <w:tcPr>
            <w:tcW w:w="6062" w:type="dxa"/>
          </w:tcPr>
          <w:p w:rsidR="000D2DCD" w:rsidRDefault="00F81CE0" w14:paraId="1074E1E1" w14:textId="77777777">
            <w:pPr>
              <w:pStyle w:val="TableParagraph"/>
              <w:spacing w:before="38"/>
            </w:pPr>
            <w:r>
              <w:t>UCB</w:t>
            </w:r>
            <w:r>
              <w:rPr>
                <w:spacing w:val="-6"/>
              </w:rPr>
              <w:t xml:space="preserve"> </w:t>
            </w:r>
            <w:r>
              <w:t>were</w:t>
            </w:r>
            <w:r>
              <w:rPr>
                <w:spacing w:val="-3"/>
              </w:rPr>
              <w:t xml:space="preserve"> </w:t>
            </w:r>
            <w:r>
              <w:t>invited</w:t>
            </w:r>
            <w:r>
              <w:rPr>
                <w:spacing w:val="-4"/>
              </w:rPr>
              <w:t xml:space="preserve"> </w:t>
            </w:r>
            <w:r>
              <w:t>to</w:t>
            </w:r>
            <w:r>
              <w:rPr>
                <w:spacing w:val="-5"/>
              </w:rPr>
              <w:t xml:space="preserve"> </w:t>
            </w:r>
            <w:r>
              <w:t>comment</w:t>
            </w:r>
            <w:r>
              <w:rPr>
                <w:spacing w:val="-5"/>
              </w:rPr>
              <w:t xml:space="preserve"> </w:t>
            </w:r>
            <w:r>
              <w:t>on</w:t>
            </w:r>
            <w:r>
              <w:rPr>
                <w:spacing w:val="-5"/>
              </w:rPr>
              <w:t xml:space="preserve"> </w:t>
            </w:r>
            <w:r>
              <w:t>the</w:t>
            </w:r>
            <w:r>
              <w:rPr>
                <w:spacing w:val="-4"/>
              </w:rPr>
              <w:t xml:space="preserve"> </w:t>
            </w:r>
            <w:r>
              <w:t>draft</w:t>
            </w:r>
            <w:r>
              <w:rPr>
                <w:spacing w:val="-4"/>
              </w:rPr>
              <w:t xml:space="preserve"> </w:t>
            </w:r>
            <w:r>
              <w:rPr>
                <w:spacing w:val="-2"/>
              </w:rPr>
              <w:t>guidance</w:t>
            </w:r>
          </w:p>
        </w:tc>
      </w:tr>
      <w:tr w:rsidR="000D2DCD" w14:paraId="1074E1E7" w14:textId="77777777">
        <w:trPr>
          <w:trHeight w:val="2424"/>
        </w:trPr>
        <w:tc>
          <w:tcPr>
            <w:tcW w:w="2312" w:type="dxa"/>
          </w:tcPr>
          <w:p w:rsidR="000D2DCD" w:rsidRDefault="00F81CE0" w14:paraId="1074E1E3" w14:textId="77777777">
            <w:pPr>
              <w:pStyle w:val="TableParagraph"/>
              <w:spacing w:before="45"/>
            </w:pPr>
            <w:r>
              <w:t>31</w:t>
            </w:r>
            <w:r>
              <w:rPr>
                <w:vertAlign w:val="superscript"/>
              </w:rPr>
              <w:t>st</w:t>
            </w:r>
            <w:r>
              <w:rPr>
                <w:spacing w:val="-5"/>
              </w:rPr>
              <w:t xml:space="preserve"> </w:t>
            </w:r>
            <w:r>
              <w:t>January</w:t>
            </w:r>
            <w:r>
              <w:rPr>
                <w:spacing w:val="-7"/>
              </w:rPr>
              <w:t xml:space="preserve"> </w:t>
            </w:r>
            <w:r>
              <w:rPr>
                <w:spacing w:val="-4"/>
              </w:rPr>
              <w:t>2024</w:t>
            </w:r>
          </w:p>
        </w:tc>
        <w:tc>
          <w:tcPr>
            <w:tcW w:w="6062" w:type="dxa"/>
          </w:tcPr>
          <w:p w:rsidR="000D2DCD" w:rsidRDefault="00F81CE0" w14:paraId="1074E1E4" w14:textId="77777777">
            <w:pPr>
              <w:pStyle w:val="TableParagraph"/>
              <w:spacing w:before="45"/>
              <w:jc w:val="both"/>
            </w:pPr>
            <w:r>
              <w:rPr>
                <w:spacing w:val="-4"/>
              </w:rPr>
              <w:t>Draft</w:t>
            </w:r>
            <w:r>
              <w:rPr>
                <w:spacing w:val="-9"/>
              </w:rPr>
              <w:t xml:space="preserve"> </w:t>
            </w:r>
            <w:r>
              <w:rPr>
                <w:spacing w:val="-4"/>
              </w:rPr>
              <w:t>Guidance</w:t>
            </w:r>
            <w:r>
              <w:rPr>
                <w:spacing w:val="-7"/>
              </w:rPr>
              <w:t xml:space="preserve"> </w:t>
            </w:r>
            <w:r>
              <w:rPr>
                <w:spacing w:val="-4"/>
              </w:rPr>
              <w:t>published</w:t>
            </w:r>
            <w:r>
              <w:rPr>
                <w:spacing w:val="-2"/>
              </w:rPr>
              <w:t xml:space="preserve"> </w:t>
            </w:r>
            <w:r>
              <w:rPr>
                <w:spacing w:val="-4"/>
              </w:rPr>
              <w:t>on</w:t>
            </w:r>
            <w:r>
              <w:rPr>
                <w:spacing w:val="-2"/>
              </w:rPr>
              <w:t xml:space="preserve"> </w:t>
            </w:r>
            <w:r>
              <w:rPr>
                <w:spacing w:val="-4"/>
              </w:rPr>
              <w:t>NICE</w:t>
            </w:r>
            <w:r>
              <w:t xml:space="preserve"> </w:t>
            </w:r>
            <w:r>
              <w:rPr>
                <w:spacing w:val="-4"/>
              </w:rPr>
              <w:t>website</w:t>
            </w:r>
          </w:p>
          <w:p w:rsidR="000D2DCD" w:rsidRDefault="00F81CE0" w14:paraId="1074E1E5" w14:textId="77777777">
            <w:pPr>
              <w:pStyle w:val="TableParagraph"/>
              <w:spacing w:before="117"/>
              <w:ind w:left="112" w:right="85"/>
              <w:jc w:val="both"/>
            </w:pPr>
            <w:r>
              <w:t>“Fenfluramine is not recommended, within its marketing authorisation, for treating seizures associated with Lennox- Gastaut syndrome (LGS) as an add-on to other antiseizure medicines for people 2 years and over”</w:t>
            </w:r>
          </w:p>
          <w:p w:rsidR="000D2DCD" w:rsidRDefault="00F81CE0" w14:paraId="1074E1E6" w14:textId="77777777">
            <w:pPr>
              <w:pStyle w:val="TableParagraph"/>
              <w:spacing w:before="119"/>
              <w:ind w:left="112" w:right="84"/>
              <w:jc w:val="both"/>
            </w:pPr>
            <w:r>
              <w:t>SoC alone listed as one of the comparators in Draft Guidance, but no reasoning provided</w:t>
            </w:r>
          </w:p>
        </w:tc>
      </w:tr>
      <w:tr w:rsidR="000D2DCD" w14:paraId="1074E1EA" w14:textId="77777777">
        <w:trPr>
          <w:trHeight w:val="1612"/>
        </w:trPr>
        <w:tc>
          <w:tcPr>
            <w:tcW w:w="2312" w:type="dxa"/>
          </w:tcPr>
          <w:p w:rsidR="000D2DCD" w:rsidRDefault="00F81CE0" w14:paraId="1074E1E8" w14:textId="77777777">
            <w:pPr>
              <w:pStyle w:val="TableParagraph"/>
              <w:spacing w:before="45"/>
            </w:pPr>
            <w:r>
              <w:t>31</w:t>
            </w:r>
            <w:r>
              <w:rPr>
                <w:vertAlign w:val="superscript"/>
              </w:rPr>
              <w:t>st</w:t>
            </w:r>
            <w:r>
              <w:rPr>
                <w:spacing w:val="-5"/>
              </w:rPr>
              <w:t xml:space="preserve"> </w:t>
            </w:r>
            <w:r>
              <w:t>January</w:t>
            </w:r>
            <w:r>
              <w:rPr>
                <w:spacing w:val="-7"/>
              </w:rPr>
              <w:t xml:space="preserve"> </w:t>
            </w:r>
            <w:r>
              <w:rPr>
                <w:spacing w:val="-4"/>
              </w:rPr>
              <w:t>2024</w:t>
            </w:r>
          </w:p>
        </w:tc>
        <w:tc>
          <w:tcPr>
            <w:tcW w:w="6062" w:type="dxa"/>
          </w:tcPr>
          <w:p w:rsidR="000D2DCD" w:rsidRDefault="00F81CE0" w14:paraId="1074E1E9" w14:textId="77777777">
            <w:pPr>
              <w:pStyle w:val="TableParagraph"/>
              <w:spacing w:before="45"/>
              <w:ind w:right="-15"/>
              <w:jc w:val="both"/>
            </w:pPr>
            <w:r>
              <w:t>UCB request meeting with NICE to discuss issues including how</w:t>
            </w:r>
            <w:r>
              <w:rPr>
                <w:spacing w:val="-5"/>
              </w:rPr>
              <w:t xml:space="preserve"> </w:t>
            </w:r>
            <w:r>
              <w:t>an</w:t>
            </w:r>
            <w:r>
              <w:rPr>
                <w:spacing w:val="-2"/>
              </w:rPr>
              <w:t xml:space="preserve"> </w:t>
            </w:r>
            <w:r>
              <w:t>imputation</w:t>
            </w:r>
            <w:r>
              <w:rPr>
                <w:spacing w:val="-2"/>
              </w:rPr>
              <w:t xml:space="preserve"> </w:t>
            </w:r>
            <w:r>
              <w:t>analysis</w:t>
            </w:r>
            <w:r>
              <w:rPr>
                <w:spacing w:val="-4"/>
              </w:rPr>
              <w:t xml:space="preserve"> </w:t>
            </w:r>
            <w:r>
              <w:t>for</w:t>
            </w:r>
            <w:r>
              <w:rPr>
                <w:spacing w:val="-1"/>
              </w:rPr>
              <w:t xml:space="preserve"> </w:t>
            </w:r>
            <w:r>
              <w:t>cycles</w:t>
            </w:r>
            <w:r>
              <w:rPr>
                <w:spacing w:val="-2"/>
              </w:rPr>
              <w:t xml:space="preserve"> </w:t>
            </w:r>
            <w:r>
              <w:t>2-5</w:t>
            </w:r>
            <w:r>
              <w:rPr>
                <w:spacing w:val="-2"/>
              </w:rPr>
              <w:t xml:space="preserve"> </w:t>
            </w:r>
            <w:r>
              <w:t>could</w:t>
            </w:r>
            <w:r>
              <w:rPr>
                <w:spacing w:val="-2"/>
              </w:rPr>
              <w:t xml:space="preserve"> </w:t>
            </w:r>
            <w:r>
              <w:t>be</w:t>
            </w:r>
            <w:r>
              <w:rPr>
                <w:spacing w:val="-2"/>
              </w:rPr>
              <w:t xml:space="preserve"> </w:t>
            </w:r>
            <w:r>
              <w:t>conducted: “UCB</w:t>
            </w:r>
            <w:r>
              <w:rPr>
                <w:spacing w:val="-14"/>
              </w:rPr>
              <w:t xml:space="preserve"> </w:t>
            </w:r>
            <w:r>
              <w:t>wish</w:t>
            </w:r>
            <w:r>
              <w:rPr>
                <w:spacing w:val="-14"/>
              </w:rPr>
              <w:t xml:space="preserve"> </w:t>
            </w:r>
            <w:r>
              <w:t>to</w:t>
            </w:r>
            <w:r>
              <w:rPr>
                <w:spacing w:val="-14"/>
              </w:rPr>
              <w:t xml:space="preserve"> </w:t>
            </w:r>
            <w:r>
              <w:t>request</w:t>
            </w:r>
            <w:r>
              <w:rPr>
                <w:spacing w:val="-15"/>
              </w:rPr>
              <w:t xml:space="preserve"> </w:t>
            </w:r>
            <w:r>
              <w:t>to</w:t>
            </w:r>
            <w:r>
              <w:rPr>
                <w:spacing w:val="-14"/>
              </w:rPr>
              <w:t xml:space="preserve"> </w:t>
            </w:r>
            <w:r>
              <w:t>have</w:t>
            </w:r>
            <w:r>
              <w:rPr>
                <w:spacing w:val="-14"/>
              </w:rPr>
              <w:t xml:space="preserve"> </w:t>
            </w:r>
            <w:r>
              <w:t>a</w:t>
            </w:r>
            <w:r>
              <w:rPr>
                <w:spacing w:val="-14"/>
              </w:rPr>
              <w:t xml:space="preserve"> </w:t>
            </w:r>
            <w:r>
              <w:t>discussion</w:t>
            </w:r>
            <w:r>
              <w:rPr>
                <w:spacing w:val="-14"/>
              </w:rPr>
              <w:t xml:space="preserve"> </w:t>
            </w:r>
            <w:r>
              <w:t>with</w:t>
            </w:r>
            <w:r>
              <w:rPr>
                <w:spacing w:val="-14"/>
              </w:rPr>
              <w:t xml:space="preserve"> </w:t>
            </w:r>
            <w:r>
              <w:t>members</w:t>
            </w:r>
            <w:r>
              <w:rPr>
                <w:spacing w:val="-16"/>
              </w:rPr>
              <w:t xml:space="preserve"> </w:t>
            </w:r>
            <w:r>
              <w:t>of</w:t>
            </w:r>
            <w:r>
              <w:rPr>
                <w:spacing w:val="-12"/>
              </w:rPr>
              <w:t xml:space="preserve"> </w:t>
            </w:r>
            <w:r>
              <w:t xml:space="preserve">the NICE team to go over ways that this could be performed if </w:t>
            </w:r>
            <w:r>
              <w:rPr>
                <w:spacing w:val="-2"/>
              </w:rPr>
              <w:t>possible”</w:t>
            </w:r>
          </w:p>
        </w:tc>
      </w:tr>
      <w:tr w:rsidR="000D2DCD" w14:paraId="1074E1ED" w14:textId="77777777">
        <w:trPr>
          <w:trHeight w:val="1125"/>
        </w:trPr>
        <w:tc>
          <w:tcPr>
            <w:tcW w:w="2312" w:type="dxa"/>
          </w:tcPr>
          <w:p w:rsidR="000D2DCD" w:rsidRDefault="00F81CE0" w14:paraId="1074E1EB" w14:textId="77777777">
            <w:pPr>
              <w:pStyle w:val="TableParagraph"/>
              <w:spacing w:before="45"/>
            </w:pPr>
            <w:r>
              <w:t>13</w:t>
            </w:r>
            <w:r>
              <w:rPr>
                <w:vertAlign w:val="superscript"/>
              </w:rPr>
              <w:t>th</w:t>
            </w:r>
            <w:r>
              <w:rPr>
                <w:spacing w:val="-4"/>
              </w:rPr>
              <w:t xml:space="preserve"> </w:t>
            </w:r>
            <w:r>
              <w:t>February</w:t>
            </w:r>
            <w:r>
              <w:rPr>
                <w:spacing w:val="-5"/>
              </w:rPr>
              <w:t xml:space="preserve"> </w:t>
            </w:r>
            <w:r>
              <w:rPr>
                <w:spacing w:val="-4"/>
              </w:rPr>
              <w:t>2024</w:t>
            </w:r>
          </w:p>
        </w:tc>
        <w:tc>
          <w:tcPr>
            <w:tcW w:w="6062" w:type="dxa"/>
          </w:tcPr>
          <w:p w:rsidR="000D2DCD" w:rsidRDefault="00F81CE0" w14:paraId="1074E1EC" w14:textId="77777777">
            <w:pPr>
              <w:pStyle w:val="TableParagraph"/>
              <w:spacing w:before="45"/>
              <w:ind w:right="-15"/>
            </w:pPr>
            <w:r>
              <w:t>Meeting</w:t>
            </w:r>
            <w:r>
              <w:rPr>
                <w:spacing w:val="-6"/>
              </w:rPr>
              <w:t xml:space="preserve"> </w:t>
            </w:r>
            <w:r>
              <w:t>between</w:t>
            </w:r>
            <w:r>
              <w:rPr>
                <w:spacing w:val="-8"/>
              </w:rPr>
              <w:t xml:space="preserve"> </w:t>
            </w:r>
            <w:r>
              <w:t>UCB</w:t>
            </w:r>
            <w:r>
              <w:rPr>
                <w:spacing w:val="-7"/>
              </w:rPr>
              <w:t xml:space="preserve"> </w:t>
            </w:r>
            <w:r>
              <w:t>and</w:t>
            </w:r>
            <w:r>
              <w:rPr>
                <w:spacing w:val="-8"/>
              </w:rPr>
              <w:t xml:space="preserve"> </w:t>
            </w:r>
            <w:r>
              <w:t>members</w:t>
            </w:r>
            <w:r>
              <w:rPr>
                <w:spacing w:val="-9"/>
              </w:rPr>
              <w:t xml:space="preserve"> </w:t>
            </w:r>
            <w:r>
              <w:t>of</w:t>
            </w:r>
            <w:r>
              <w:rPr>
                <w:spacing w:val="-7"/>
              </w:rPr>
              <w:t xml:space="preserve"> </w:t>
            </w:r>
            <w:r>
              <w:t>the</w:t>
            </w:r>
            <w:r>
              <w:rPr>
                <w:spacing w:val="-8"/>
              </w:rPr>
              <w:t xml:space="preserve"> </w:t>
            </w:r>
            <w:r>
              <w:t>NICE</w:t>
            </w:r>
            <w:r>
              <w:rPr>
                <w:spacing w:val="-8"/>
              </w:rPr>
              <w:t xml:space="preserve"> </w:t>
            </w:r>
            <w:r>
              <w:t>project</w:t>
            </w:r>
            <w:r>
              <w:rPr>
                <w:spacing w:val="-8"/>
              </w:rPr>
              <w:t xml:space="preserve"> </w:t>
            </w:r>
            <w:r>
              <w:rPr>
                <w:spacing w:val="-4"/>
              </w:rPr>
              <w:t>team</w:t>
            </w:r>
          </w:p>
        </w:tc>
      </w:tr>
      <w:tr w:rsidR="000D2DCD" w14:paraId="1074E1F0" w14:textId="77777777">
        <w:trPr>
          <w:trHeight w:val="839"/>
        </w:trPr>
        <w:tc>
          <w:tcPr>
            <w:tcW w:w="2312" w:type="dxa"/>
          </w:tcPr>
          <w:p w:rsidR="000D2DCD" w:rsidRDefault="00F81CE0" w14:paraId="1074E1EE" w14:textId="77777777">
            <w:pPr>
              <w:pStyle w:val="TableParagraph"/>
              <w:spacing w:before="38"/>
            </w:pPr>
            <w:r>
              <w:t>21</w:t>
            </w:r>
            <w:r>
              <w:rPr>
                <w:vertAlign w:val="superscript"/>
              </w:rPr>
              <w:t>st</w:t>
            </w:r>
            <w:r>
              <w:rPr>
                <w:spacing w:val="-4"/>
              </w:rPr>
              <w:t xml:space="preserve"> </w:t>
            </w:r>
            <w:r>
              <w:t>February</w:t>
            </w:r>
            <w:r>
              <w:rPr>
                <w:spacing w:val="-4"/>
              </w:rPr>
              <w:t xml:space="preserve"> 2024</w:t>
            </w:r>
          </w:p>
        </w:tc>
        <w:tc>
          <w:tcPr>
            <w:tcW w:w="6062" w:type="dxa"/>
          </w:tcPr>
          <w:p w:rsidR="000D2DCD" w:rsidRDefault="00F81CE0" w14:paraId="1074E1EF" w14:textId="77777777">
            <w:pPr>
              <w:pStyle w:val="TableParagraph"/>
              <w:spacing w:before="38"/>
            </w:pPr>
            <w:r>
              <w:t>UCB</w:t>
            </w:r>
            <w:r>
              <w:rPr>
                <w:spacing w:val="-7"/>
              </w:rPr>
              <w:t xml:space="preserve"> </w:t>
            </w:r>
            <w:r>
              <w:t>and</w:t>
            </w:r>
            <w:r>
              <w:rPr>
                <w:spacing w:val="-7"/>
              </w:rPr>
              <w:t xml:space="preserve"> </w:t>
            </w:r>
            <w:r>
              <w:t>other</w:t>
            </w:r>
            <w:r>
              <w:rPr>
                <w:spacing w:val="-6"/>
              </w:rPr>
              <w:t xml:space="preserve"> </w:t>
            </w:r>
            <w:r>
              <w:t>consultees</w:t>
            </w:r>
            <w:r>
              <w:rPr>
                <w:spacing w:val="-7"/>
              </w:rPr>
              <w:t xml:space="preserve"> </w:t>
            </w:r>
            <w:r>
              <w:t>and</w:t>
            </w:r>
            <w:r>
              <w:rPr>
                <w:spacing w:val="-7"/>
              </w:rPr>
              <w:t xml:space="preserve"> </w:t>
            </w:r>
            <w:r>
              <w:t>commentators</w:t>
            </w:r>
            <w:r>
              <w:rPr>
                <w:spacing w:val="-8"/>
              </w:rPr>
              <w:t xml:space="preserve"> </w:t>
            </w:r>
            <w:r>
              <w:t>submit responses to consultation on Draft Guidance.</w:t>
            </w:r>
          </w:p>
        </w:tc>
      </w:tr>
      <w:tr w:rsidR="000D2DCD" w14:paraId="1074E1F3" w14:textId="77777777">
        <w:trPr>
          <w:trHeight w:val="841"/>
        </w:trPr>
        <w:tc>
          <w:tcPr>
            <w:tcW w:w="2312" w:type="dxa"/>
          </w:tcPr>
          <w:p w:rsidR="000D2DCD" w:rsidRDefault="00F81CE0" w14:paraId="1074E1F1" w14:textId="77777777">
            <w:pPr>
              <w:pStyle w:val="TableParagraph"/>
              <w:spacing w:before="40"/>
            </w:pPr>
            <w:r>
              <w:t>29</w:t>
            </w:r>
            <w:r>
              <w:rPr>
                <w:vertAlign w:val="superscript"/>
              </w:rPr>
              <w:t>th</w:t>
            </w:r>
            <w:r>
              <w:rPr>
                <w:spacing w:val="-4"/>
              </w:rPr>
              <w:t xml:space="preserve"> </w:t>
            </w:r>
            <w:r>
              <w:t>February</w:t>
            </w:r>
            <w:r>
              <w:rPr>
                <w:spacing w:val="-5"/>
              </w:rPr>
              <w:t xml:space="preserve"> </w:t>
            </w:r>
            <w:r>
              <w:rPr>
                <w:spacing w:val="-4"/>
              </w:rPr>
              <w:t>2024</w:t>
            </w:r>
          </w:p>
        </w:tc>
        <w:tc>
          <w:tcPr>
            <w:tcW w:w="6062" w:type="dxa"/>
          </w:tcPr>
          <w:p w:rsidR="000D2DCD" w:rsidRDefault="00F81CE0" w14:paraId="1074E1F2" w14:textId="77777777">
            <w:pPr>
              <w:pStyle w:val="TableParagraph"/>
              <w:spacing w:before="40"/>
            </w:pPr>
            <w:r>
              <w:t>Company</w:t>
            </w:r>
            <w:r>
              <w:rPr>
                <w:spacing w:val="-12"/>
              </w:rPr>
              <w:t xml:space="preserve"> </w:t>
            </w:r>
            <w:r>
              <w:t>submit</w:t>
            </w:r>
            <w:r>
              <w:rPr>
                <w:spacing w:val="-11"/>
              </w:rPr>
              <w:t xml:space="preserve"> </w:t>
            </w:r>
            <w:r>
              <w:t>requested</w:t>
            </w:r>
            <w:r>
              <w:rPr>
                <w:spacing w:val="-12"/>
              </w:rPr>
              <w:t xml:space="preserve"> </w:t>
            </w:r>
            <w:r>
              <w:t>addendum</w:t>
            </w:r>
            <w:r>
              <w:rPr>
                <w:spacing w:val="-12"/>
              </w:rPr>
              <w:t xml:space="preserve"> </w:t>
            </w:r>
            <w:r>
              <w:t>with</w:t>
            </w:r>
            <w:r>
              <w:rPr>
                <w:spacing w:val="-14"/>
              </w:rPr>
              <w:t xml:space="preserve"> </w:t>
            </w:r>
            <w:r>
              <w:t>model</w:t>
            </w:r>
            <w:r>
              <w:rPr>
                <w:spacing w:val="-13"/>
              </w:rPr>
              <w:t xml:space="preserve"> </w:t>
            </w:r>
            <w:r>
              <w:t xml:space="preserve">data </w:t>
            </w:r>
            <w:r>
              <w:rPr>
                <w:spacing w:val="-2"/>
              </w:rPr>
              <w:t>clarifications</w:t>
            </w:r>
          </w:p>
        </w:tc>
      </w:tr>
      <w:tr w:rsidR="000D2DCD" w14:paraId="1074E1F8" w14:textId="77777777">
        <w:trPr>
          <w:trHeight w:val="1915"/>
        </w:trPr>
        <w:tc>
          <w:tcPr>
            <w:tcW w:w="2312" w:type="dxa"/>
          </w:tcPr>
          <w:p w:rsidR="000D2DCD" w:rsidRDefault="00F81CE0" w14:paraId="1074E1F4" w14:textId="77777777">
            <w:pPr>
              <w:pStyle w:val="TableParagraph"/>
              <w:spacing w:before="45"/>
            </w:pPr>
            <w:r>
              <w:t>29</w:t>
            </w:r>
            <w:r>
              <w:rPr>
                <w:vertAlign w:val="superscript"/>
              </w:rPr>
              <w:t>th</w:t>
            </w:r>
            <w:r>
              <w:rPr>
                <w:spacing w:val="-4"/>
              </w:rPr>
              <w:t xml:space="preserve"> </w:t>
            </w:r>
            <w:r>
              <w:t>February</w:t>
            </w:r>
            <w:r>
              <w:rPr>
                <w:spacing w:val="-5"/>
              </w:rPr>
              <w:t xml:space="preserve"> </w:t>
            </w:r>
            <w:r>
              <w:rPr>
                <w:spacing w:val="-4"/>
              </w:rPr>
              <w:t>2024</w:t>
            </w:r>
          </w:p>
        </w:tc>
        <w:tc>
          <w:tcPr>
            <w:tcW w:w="6062" w:type="dxa"/>
          </w:tcPr>
          <w:p w:rsidR="000D2DCD" w:rsidRDefault="00F81CE0" w14:paraId="1074E1F5" w14:textId="77777777">
            <w:pPr>
              <w:pStyle w:val="TableParagraph"/>
              <w:spacing w:before="45"/>
            </w:pPr>
            <w:r>
              <w:t>Committee</w:t>
            </w:r>
            <w:r>
              <w:rPr>
                <w:spacing w:val="-9"/>
              </w:rPr>
              <w:t xml:space="preserve"> </w:t>
            </w:r>
            <w:r>
              <w:t>papers</w:t>
            </w:r>
            <w:r>
              <w:rPr>
                <w:spacing w:val="-7"/>
              </w:rPr>
              <w:t xml:space="preserve"> </w:t>
            </w:r>
            <w:r>
              <w:t>sent</w:t>
            </w:r>
            <w:r>
              <w:rPr>
                <w:spacing w:val="-8"/>
              </w:rPr>
              <w:t xml:space="preserve"> </w:t>
            </w:r>
            <w:r>
              <w:t>to</w:t>
            </w:r>
            <w:r>
              <w:rPr>
                <w:spacing w:val="-6"/>
              </w:rPr>
              <w:t xml:space="preserve"> </w:t>
            </w:r>
            <w:r>
              <w:t>UCB</w:t>
            </w:r>
            <w:r>
              <w:rPr>
                <w:spacing w:val="-7"/>
              </w:rPr>
              <w:t xml:space="preserve"> </w:t>
            </w:r>
            <w:r>
              <w:t>ahead</w:t>
            </w:r>
            <w:r>
              <w:rPr>
                <w:spacing w:val="-4"/>
              </w:rPr>
              <w:t xml:space="preserve"> </w:t>
            </w:r>
            <w:r>
              <w:t>of</w:t>
            </w:r>
            <w:r>
              <w:rPr>
                <w:spacing w:val="-6"/>
              </w:rPr>
              <w:t xml:space="preserve"> </w:t>
            </w:r>
            <w:r>
              <w:t xml:space="preserve">ACM2 </w:t>
            </w:r>
            <w:r>
              <w:rPr>
                <w:spacing w:val="-2"/>
              </w:rPr>
              <w:t>including:</w:t>
            </w:r>
          </w:p>
          <w:p w:rsidR="000D2DCD" w:rsidRDefault="00F81CE0" w14:paraId="1074E1F6" w14:textId="77777777">
            <w:pPr>
              <w:pStyle w:val="TableParagraph"/>
              <w:numPr>
                <w:ilvl w:val="0"/>
                <w:numId w:val="17"/>
              </w:numPr>
              <w:tabs>
                <w:tab w:val="left" w:pos="832"/>
              </w:tabs>
              <w:spacing w:before="122"/>
              <w:ind w:right="691"/>
            </w:pPr>
            <w:r>
              <w:t>EAG</w:t>
            </w:r>
            <w:r>
              <w:rPr>
                <w:spacing w:val="-8"/>
              </w:rPr>
              <w:t xml:space="preserve"> </w:t>
            </w:r>
            <w:r>
              <w:t>critique</w:t>
            </w:r>
            <w:r>
              <w:rPr>
                <w:spacing w:val="-11"/>
              </w:rPr>
              <w:t xml:space="preserve"> </w:t>
            </w:r>
            <w:r>
              <w:t>of</w:t>
            </w:r>
            <w:r>
              <w:rPr>
                <w:spacing w:val="-6"/>
              </w:rPr>
              <w:t xml:space="preserve"> </w:t>
            </w:r>
            <w:r>
              <w:t>company</w:t>
            </w:r>
            <w:r>
              <w:rPr>
                <w:spacing w:val="-7"/>
              </w:rPr>
              <w:t xml:space="preserve"> </w:t>
            </w:r>
            <w:r>
              <w:t>response</w:t>
            </w:r>
            <w:r>
              <w:rPr>
                <w:spacing w:val="-14"/>
              </w:rPr>
              <w:t xml:space="preserve"> </w:t>
            </w:r>
            <w:r>
              <w:t>to</w:t>
            </w:r>
            <w:r>
              <w:rPr>
                <w:spacing w:val="-11"/>
              </w:rPr>
              <w:t xml:space="preserve"> </w:t>
            </w:r>
            <w:r>
              <w:t>the</w:t>
            </w:r>
            <w:r>
              <w:rPr>
                <w:spacing w:val="-8"/>
              </w:rPr>
              <w:t xml:space="preserve"> </w:t>
            </w:r>
            <w:r>
              <w:t xml:space="preserve">Draft </w:t>
            </w:r>
            <w:r>
              <w:rPr>
                <w:spacing w:val="-2"/>
              </w:rPr>
              <w:t>Guidance</w:t>
            </w:r>
          </w:p>
          <w:p w:rsidR="000D2DCD" w:rsidRDefault="00F81CE0" w14:paraId="1074E1F7" w14:textId="77777777">
            <w:pPr>
              <w:pStyle w:val="TableParagraph"/>
              <w:numPr>
                <w:ilvl w:val="0"/>
                <w:numId w:val="17"/>
              </w:numPr>
              <w:tabs>
                <w:tab w:val="left" w:pos="832"/>
              </w:tabs>
              <w:spacing w:before="117" w:line="235" w:lineRule="auto"/>
              <w:ind w:right="639"/>
            </w:pPr>
            <w:r>
              <w:t>Comments</w:t>
            </w:r>
            <w:r>
              <w:rPr>
                <w:spacing w:val="-11"/>
              </w:rPr>
              <w:t xml:space="preserve"> </w:t>
            </w:r>
            <w:r>
              <w:t>from</w:t>
            </w:r>
            <w:r>
              <w:rPr>
                <w:spacing w:val="-10"/>
              </w:rPr>
              <w:t xml:space="preserve"> </w:t>
            </w:r>
            <w:r>
              <w:t>consultees,</w:t>
            </w:r>
            <w:r>
              <w:rPr>
                <w:spacing w:val="-6"/>
              </w:rPr>
              <w:t xml:space="preserve"> </w:t>
            </w:r>
            <w:r>
              <w:t>commentator,</w:t>
            </w:r>
            <w:r>
              <w:rPr>
                <w:spacing w:val="-7"/>
              </w:rPr>
              <w:t xml:space="preserve"> </w:t>
            </w:r>
            <w:r>
              <w:t>and experts on the Draft Guidance</w:t>
            </w:r>
          </w:p>
        </w:tc>
      </w:tr>
      <w:tr w:rsidR="000D2DCD" w14:paraId="1074E1FB" w14:textId="77777777">
        <w:trPr>
          <w:trHeight w:val="1197"/>
        </w:trPr>
        <w:tc>
          <w:tcPr>
            <w:tcW w:w="2312" w:type="dxa"/>
          </w:tcPr>
          <w:p w:rsidR="000D2DCD" w:rsidRDefault="00F81CE0" w14:paraId="1074E1F9" w14:textId="77777777">
            <w:pPr>
              <w:pStyle w:val="TableParagraph"/>
              <w:spacing w:before="45"/>
            </w:pPr>
            <w:r>
              <w:t>1</w:t>
            </w:r>
            <w:r>
              <w:rPr>
                <w:vertAlign w:val="superscript"/>
              </w:rPr>
              <w:t>st</w:t>
            </w:r>
            <w:r>
              <w:rPr>
                <w:spacing w:val="-21"/>
              </w:rPr>
              <w:t xml:space="preserve"> </w:t>
            </w:r>
            <w:r>
              <w:t>March</w:t>
            </w:r>
            <w:r>
              <w:rPr>
                <w:spacing w:val="-10"/>
              </w:rPr>
              <w:t xml:space="preserve"> </w:t>
            </w:r>
            <w:r>
              <w:rPr>
                <w:spacing w:val="-4"/>
              </w:rPr>
              <w:t>2024</w:t>
            </w:r>
          </w:p>
        </w:tc>
        <w:tc>
          <w:tcPr>
            <w:tcW w:w="6062" w:type="dxa"/>
          </w:tcPr>
          <w:p w:rsidR="000D2DCD" w:rsidRDefault="00F81CE0" w14:paraId="1074E1FA" w14:textId="77777777">
            <w:pPr>
              <w:pStyle w:val="TableParagraph"/>
              <w:spacing w:before="45"/>
            </w:pPr>
            <w:r>
              <w:t>At 5pm Chair of Appraisal Committee asks UCB to provide analysis</w:t>
            </w:r>
            <w:r>
              <w:rPr>
                <w:spacing w:val="-3"/>
              </w:rPr>
              <w:t xml:space="preserve"> </w:t>
            </w:r>
            <w:r>
              <w:t>comparing</w:t>
            </w:r>
            <w:r>
              <w:rPr>
                <w:spacing w:val="-6"/>
              </w:rPr>
              <w:t xml:space="preserve"> </w:t>
            </w:r>
            <w:r>
              <w:t>fenfluramine</w:t>
            </w:r>
            <w:r>
              <w:rPr>
                <w:spacing w:val="-4"/>
              </w:rPr>
              <w:t xml:space="preserve"> </w:t>
            </w:r>
            <w:r>
              <w:t>with</w:t>
            </w:r>
            <w:r>
              <w:rPr>
                <w:spacing w:val="-4"/>
              </w:rPr>
              <w:t xml:space="preserve"> </w:t>
            </w:r>
            <w:r>
              <w:t>SoC</w:t>
            </w:r>
            <w:r>
              <w:rPr>
                <w:spacing w:val="-5"/>
              </w:rPr>
              <w:t xml:space="preserve"> </w:t>
            </w:r>
            <w:r>
              <w:t>alone,</w:t>
            </w:r>
            <w:r>
              <w:rPr>
                <w:spacing w:val="-5"/>
              </w:rPr>
              <w:t xml:space="preserve"> </w:t>
            </w:r>
            <w:r>
              <w:t>by</w:t>
            </w:r>
            <w:r>
              <w:rPr>
                <w:spacing w:val="-6"/>
              </w:rPr>
              <w:t xml:space="preserve"> </w:t>
            </w:r>
            <w:r>
              <w:t>1pm</w:t>
            </w:r>
            <w:r>
              <w:rPr>
                <w:spacing w:val="-3"/>
              </w:rPr>
              <w:t xml:space="preserve"> </w:t>
            </w:r>
            <w:r>
              <w:t>on</w:t>
            </w:r>
            <w:r>
              <w:rPr>
                <w:spacing w:val="-6"/>
              </w:rPr>
              <w:t xml:space="preserve"> </w:t>
            </w:r>
            <w:r>
              <w:t>4 March 2024 (i.e. half a working day later)</w:t>
            </w:r>
          </w:p>
        </w:tc>
      </w:tr>
      <w:tr w:rsidR="000D2DCD" w14:paraId="1074E1FE" w14:textId="77777777">
        <w:trPr>
          <w:trHeight w:val="1105"/>
        </w:trPr>
        <w:tc>
          <w:tcPr>
            <w:tcW w:w="2312" w:type="dxa"/>
          </w:tcPr>
          <w:p w:rsidR="000D2DCD" w:rsidRDefault="00F81CE0" w14:paraId="1074E1FC" w14:textId="77777777">
            <w:pPr>
              <w:pStyle w:val="TableParagraph"/>
              <w:spacing w:before="45"/>
            </w:pPr>
            <w:r>
              <w:t>4</w:t>
            </w:r>
            <w:r>
              <w:rPr>
                <w:vertAlign w:val="superscript"/>
              </w:rPr>
              <w:t>th</w:t>
            </w:r>
            <w:r>
              <w:rPr>
                <w:spacing w:val="-6"/>
              </w:rPr>
              <w:t xml:space="preserve"> </w:t>
            </w:r>
            <w:r>
              <w:t>March</w:t>
            </w:r>
            <w:r>
              <w:rPr>
                <w:spacing w:val="-5"/>
              </w:rPr>
              <w:t xml:space="preserve"> </w:t>
            </w:r>
            <w:r>
              <w:rPr>
                <w:spacing w:val="-4"/>
              </w:rPr>
              <w:t>2024</w:t>
            </w:r>
          </w:p>
        </w:tc>
        <w:tc>
          <w:tcPr>
            <w:tcW w:w="6062" w:type="dxa"/>
          </w:tcPr>
          <w:p w:rsidR="000D2DCD" w:rsidRDefault="00F81CE0" w14:paraId="1074E1FD" w14:textId="77777777">
            <w:pPr>
              <w:pStyle w:val="TableParagraph"/>
              <w:spacing w:before="45"/>
              <w:ind w:left="112"/>
            </w:pPr>
            <w:r>
              <w:t>UCB</w:t>
            </w:r>
            <w:r>
              <w:rPr>
                <w:spacing w:val="-7"/>
              </w:rPr>
              <w:t xml:space="preserve"> </w:t>
            </w:r>
            <w:r>
              <w:t>provided</w:t>
            </w:r>
            <w:r>
              <w:rPr>
                <w:spacing w:val="-7"/>
              </w:rPr>
              <w:t xml:space="preserve"> </w:t>
            </w:r>
            <w:r>
              <w:t>analysis</w:t>
            </w:r>
            <w:r>
              <w:rPr>
                <w:spacing w:val="-6"/>
              </w:rPr>
              <w:t xml:space="preserve"> </w:t>
            </w:r>
            <w:r>
              <w:t>comparing</w:t>
            </w:r>
            <w:r>
              <w:rPr>
                <w:spacing w:val="-5"/>
              </w:rPr>
              <w:t xml:space="preserve"> </w:t>
            </w:r>
            <w:r>
              <w:t>fenfluramine</w:t>
            </w:r>
            <w:r>
              <w:rPr>
                <w:spacing w:val="-7"/>
              </w:rPr>
              <w:t xml:space="preserve"> </w:t>
            </w:r>
            <w:r>
              <w:t>with</w:t>
            </w:r>
            <w:r>
              <w:rPr>
                <w:spacing w:val="-5"/>
              </w:rPr>
              <w:t xml:space="preserve"> </w:t>
            </w:r>
            <w:r>
              <w:t xml:space="preserve">SoC alone, but stating that SoC alone is not an appropriate </w:t>
            </w:r>
            <w:r>
              <w:rPr>
                <w:spacing w:val="-2"/>
              </w:rPr>
              <w:t>comparison</w:t>
            </w:r>
          </w:p>
        </w:tc>
      </w:tr>
    </w:tbl>
    <w:p w:rsidR="000D2DCD" w:rsidRDefault="000D2DCD" w14:paraId="1074E1FF" w14:textId="77777777">
      <w:pPr>
        <w:sectPr w:rsidR="000D2DCD">
          <w:pgSz w:w="11910" w:h="16840" w:orient="portrait"/>
          <w:pgMar w:top="860" w:right="360" w:bottom="1200" w:left="1040" w:header="182" w:footer="1007" w:gutter="0"/>
          <w:cols w:space="720"/>
        </w:sectPr>
      </w:pPr>
    </w:p>
    <w:p w:rsidR="000D2DCD" w:rsidRDefault="000D2DCD" w14:paraId="1074E200" w14:textId="77777777">
      <w:pPr>
        <w:pStyle w:val="BodyText"/>
        <w:rPr>
          <w:sz w:val="20"/>
        </w:rPr>
      </w:pPr>
    </w:p>
    <w:p w:rsidR="000D2DCD" w:rsidRDefault="000D2DCD" w14:paraId="1074E201" w14:textId="77777777">
      <w:pPr>
        <w:pStyle w:val="BodyText"/>
        <w:spacing w:before="108"/>
        <w:rPr>
          <w:sz w:val="20"/>
        </w:rPr>
      </w:pPr>
    </w:p>
    <w:tbl>
      <w:tblPr>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12"/>
        <w:gridCol w:w="6062"/>
      </w:tblGrid>
      <w:tr w:rsidR="000D2DCD" w14:paraId="1074E204" w14:textId="77777777">
        <w:trPr>
          <w:trHeight w:val="1106"/>
        </w:trPr>
        <w:tc>
          <w:tcPr>
            <w:tcW w:w="2312" w:type="dxa"/>
          </w:tcPr>
          <w:p w:rsidR="000D2DCD" w:rsidRDefault="00F81CE0" w14:paraId="1074E202" w14:textId="77777777">
            <w:pPr>
              <w:pStyle w:val="TableParagraph"/>
              <w:spacing w:before="45"/>
            </w:pPr>
            <w:r>
              <w:t>4</w:t>
            </w:r>
            <w:r>
              <w:rPr>
                <w:vertAlign w:val="superscript"/>
              </w:rPr>
              <w:t>th</w:t>
            </w:r>
            <w:r>
              <w:rPr>
                <w:spacing w:val="-6"/>
              </w:rPr>
              <w:t xml:space="preserve"> </w:t>
            </w:r>
            <w:r>
              <w:t>March</w:t>
            </w:r>
            <w:r>
              <w:rPr>
                <w:spacing w:val="-5"/>
              </w:rPr>
              <w:t xml:space="preserve"> </w:t>
            </w:r>
            <w:r>
              <w:rPr>
                <w:spacing w:val="-4"/>
              </w:rPr>
              <w:t>2024</w:t>
            </w:r>
          </w:p>
        </w:tc>
        <w:tc>
          <w:tcPr>
            <w:tcW w:w="6062" w:type="dxa"/>
          </w:tcPr>
          <w:p w:rsidR="000D2DCD" w:rsidRDefault="00F81CE0" w14:paraId="1074E203" w14:textId="77777777">
            <w:pPr>
              <w:pStyle w:val="TableParagraph"/>
              <w:spacing w:before="45"/>
              <w:ind w:right="585"/>
            </w:pPr>
            <w:r>
              <w:t>Updated</w:t>
            </w:r>
            <w:r>
              <w:rPr>
                <w:spacing w:val="-6"/>
              </w:rPr>
              <w:t xml:space="preserve"> </w:t>
            </w:r>
            <w:r>
              <w:t>EAG</w:t>
            </w:r>
            <w:r>
              <w:rPr>
                <w:spacing w:val="-5"/>
              </w:rPr>
              <w:t xml:space="preserve"> </w:t>
            </w:r>
            <w:r>
              <w:t>base</w:t>
            </w:r>
            <w:r>
              <w:rPr>
                <w:spacing w:val="-6"/>
              </w:rPr>
              <w:t xml:space="preserve"> </w:t>
            </w:r>
            <w:r>
              <w:t>case</w:t>
            </w:r>
            <w:r>
              <w:rPr>
                <w:spacing w:val="-4"/>
              </w:rPr>
              <w:t xml:space="preserve"> </w:t>
            </w:r>
            <w:r>
              <w:t>also</w:t>
            </w:r>
            <w:r>
              <w:rPr>
                <w:spacing w:val="-6"/>
              </w:rPr>
              <w:t xml:space="preserve"> </w:t>
            </w:r>
            <w:r>
              <w:t>provided</w:t>
            </w:r>
            <w:r>
              <w:rPr>
                <w:spacing w:val="-6"/>
              </w:rPr>
              <w:t xml:space="preserve"> </w:t>
            </w:r>
            <w:r>
              <w:t>to</w:t>
            </w:r>
            <w:r>
              <w:rPr>
                <w:spacing w:val="-6"/>
              </w:rPr>
              <w:t xml:space="preserve"> </w:t>
            </w:r>
            <w:r>
              <w:t>UCB</w:t>
            </w:r>
            <w:r>
              <w:rPr>
                <w:spacing w:val="-4"/>
              </w:rPr>
              <w:t xml:space="preserve"> </w:t>
            </w:r>
            <w:r>
              <w:t xml:space="preserve">with </w:t>
            </w:r>
            <w:r>
              <w:rPr>
                <w:spacing w:val="-2"/>
              </w:rPr>
              <w:t>comparisons</w:t>
            </w:r>
            <w:r>
              <w:rPr>
                <w:spacing w:val="-14"/>
              </w:rPr>
              <w:t xml:space="preserve"> </w:t>
            </w:r>
            <w:r>
              <w:rPr>
                <w:spacing w:val="-2"/>
              </w:rPr>
              <w:t>vs</w:t>
            </w:r>
            <w:r>
              <w:rPr>
                <w:spacing w:val="-13"/>
              </w:rPr>
              <w:t xml:space="preserve"> </w:t>
            </w:r>
            <w:r>
              <w:rPr>
                <w:spacing w:val="-2"/>
              </w:rPr>
              <w:t>CBD</w:t>
            </w:r>
            <w:r>
              <w:rPr>
                <w:spacing w:val="-13"/>
              </w:rPr>
              <w:t xml:space="preserve"> </w:t>
            </w:r>
            <w:r>
              <w:rPr>
                <w:spacing w:val="-2"/>
              </w:rPr>
              <w:t>as</w:t>
            </w:r>
            <w:r>
              <w:rPr>
                <w:spacing w:val="-14"/>
              </w:rPr>
              <w:t xml:space="preserve"> </w:t>
            </w:r>
            <w:r>
              <w:rPr>
                <w:spacing w:val="-2"/>
              </w:rPr>
              <w:t>well</w:t>
            </w:r>
            <w:r>
              <w:rPr>
                <w:spacing w:val="-13"/>
              </w:rPr>
              <w:t xml:space="preserve"> </w:t>
            </w:r>
            <w:r>
              <w:rPr>
                <w:spacing w:val="-2"/>
              </w:rPr>
              <w:t>as</w:t>
            </w:r>
            <w:r>
              <w:rPr>
                <w:spacing w:val="-13"/>
              </w:rPr>
              <w:t xml:space="preserve"> </w:t>
            </w:r>
            <w:r>
              <w:rPr>
                <w:spacing w:val="-2"/>
              </w:rPr>
              <w:t>SoC</w:t>
            </w:r>
            <w:r>
              <w:rPr>
                <w:spacing w:val="-13"/>
              </w:rPr>
              <w:t xml:space="preserve"> </w:t>
            </w:r>
            <w:r>
              <w:rPr>
                <w:spacing w:val="-2"/>
              </w:rPr>
              <w:t>alone.</w:t>
            </w:r>
            <w:r>
              <w:rPr>
                <w:spacing w:val="-14"/>
              </w:rPr>
              <w:t xml:space="preserve"> </w:t>
            </w:r>
            <w:r>
              <w:rPr>
                <w:spacing w:val="-2"/>
              </w:rPr>
              <w:t>EAG</w:t>
            </w:r>
            <w:r>
              <w:rPr>
                <w:spacing w:val="-13"/>
              </w:rPr>
              <w:t xml:space="preserve"> </w:t>
            </w:r>
            <w:r>
              <w:rPr>
                <w:spacing w:val="-2"/>
              </w:rPr>
              <w:t>does</w:t>
            </w:r>
            <w:r>
              <w:rPr>
                <w:spacing w:val="-13"/>
              </w:rPr>
              <w:t xml:space="preserve"> </w:t>
            </w:r>
            <w:r>
              <w:rPr>
                <w:spacing w:val="-2"/>
              </w:rPr>
              <w:t xml:space="preserve">not </w:t>
            </w:r>
            <w:r>
              <w:t>identify preferred assumptions.</w:t>
            </w:r>
          </w:p>
        </w:tc>
      </w:tr>
      <w:tr w:rsidR="000D2DCD" w14:paraId="1074E207" w14:textId="77777777">
        <w:trPr>
          <w:trHeight w:val="402"/>
        </w:trPr>
        <w:tc>
          <w:tcPr>
            <w:tcW w:w="2312" w:type="dxa"/>
          </w:tcPr>
          <w:p w:rsidR="000D2DCD" w:rsidRDefault="00F81CE0" w14:paraId="1074E205" w14:textId="77777777">
            <w:pPr>
              <w:pStyle w:val="TableParagraph"/>
              <w:spacing w:before="45"/>
            </w:pPr>
            <w:r>
              <w:t>5</w:t>
            </w:r>
            <w:r>
              <w:rPr>
                <w:vertAlign w:val="superscript"/>
              </w:rPr>
              <w:t>th</w:t>
            </w:r>
            <w:r>
              <w:rPr>
                <w:spacing w:val="-6"/>
              </w:rPr>
              <w:t xml:space="preserve"> </w:t>
            </w:r>
            <w:r>
              <w:t>March</w:t>
            </w:r>
            <w:r>
              <w:rPr>
                <w:spacing w:val="-5"/>
              </w:rPr>
              <w:t xml:space="preserve"> </w:t>
            </w:r>
            <w:r>
              <w:rPr>
                <w:spacing w:val="-4"/>
              </w:rPr>
              <w:t>2024</w:t>
            </w:r>
          </w:p>
        </w:tc>
        <w:tc>
          <w:tcPr>
            <w:tcW w:w="6062" w:type="dxa"/>
          </w:tcPr>
          <w:p w:rsidR="000D2DCD" w:rsidRDefault="00F81CE0" w14:paraId="1074E206" w14:textId="77777777">
            <w:pPr>
              <w:pStyle w:val="TableParagraph"/>
              <w:spacing w:before="45"/>
            </w:pPr>
            <w:r>
              <w:t>Committee</w:t>
            </w:r>
            <w:r>
              <w:rPr>
                <w:spacing w:val="-10"/>
              </w:rPr>
              <w:t xml:space="preserve"> </w:t>
            </w:r>
            <w:r>
              <w:t>slides</w:t>
            </w:r>
            <w:r>
              <w:rPr>
                <w:spacing w:val="-3"/>
              </w:rPr>
              <w:t xml:space="preserve"> </w:t>
            </w:r>
            <w:r>
              <w:t>sent</w:t>
            </w:r>
            <w:r>
              <w:rPr>
                <w:spacing w:val="-5"/>
              </w:rPr>
              <w:t xml:space="preserve"> </w:t>
            </w:r>
            <w:r>
              <w:t>to</w:t>
            </w:r>
            <w:r>
              <w:rPr>
                <w:spacing w:val="-6"/>
              </w:rPr>
              <w:t xml:space="preserve"> </w:t>
            </w:r>
            <w:r>
              <w:t>UCB</w:t>
            </w:r>
            <w:r>
              <w:rPr>
                <w:spacing w:val="-4"/>
              </w:rPr>
              <w:t xml:space="preserve"> </w:t>
            </w:r>
            <w:r>
              <w:t>ahead</w:t>
            </w:r>
            <w:r>
              <w:rPr>
                <w:spacing w:val="-7"/>
              </w:rPr>
              <w:t xml:space="preserve"> </w:t>
            </w:r>
            <w:r>
              <w:t>of</w:t>
            </w:r>
            <w:r>
              <w:rPr>
                <w:spacing w:val="-2"/>
              </w:rPr>
              <w:t xml:space="preserve"> </w:t>
            </w:r>
            <w:r>
              <w:rPr>
                <w:spacing w:val="-4"/>
              </w:rPr>
              <w:t>ACM2</w:t>
            </w:r>
          </w:p>
        </w:tc>
      </w:tr>
      <w:tr w:rsidR="000D2DCD" w14:paraId="1074E20A" w14:textId="77777777">
        <w:trPr>
          <w:trHeight w:val="590"/>
        </w:trPr>
        <w:tc>
          <w:tcPr>
            <w:tcW w:w="2312" w:type="dxa"/>
          </w:tcPr>
          <w:p w:rsidR="000D2DCD" w:rsidRDefault="00F81CE0" w14:paraId="1074E208" w14:textId="77777777">
            <w:pPr>
              <w:pStyle w:val="TableParagraph"/>
              <w:spacing w:before="40"/>
            </w:pPr>
            <w:r>
              <w:t>6</w:t>
            </w:r>
            <w:r>
              <w:rPr>
                <w:vertAlign w:val="superscript"/>
              </w:rPr>
              <w:t>th</w:t>
            </w:r>
            <w:r>
              <w:rPr>
                <w:spacing w:val="-6"/>
              </w:rPr>
              <w:t xml:space="preserve"> </w:t>
            </w:r>
            <w:r>
              <w:t>March</w:t>
            </w:r>
            <w:r>
              <w:rPr>
                <w:spacing w:val="-5"/>
              </w:rPr>
              <w:t xml:space="preserve"> </w:t>
            </w:r>
            <w:r>
              <w:rPr>
                <w:spacing w:val="-4"/>
              </w:rPr>
              <w:t>2024</w:t>
            </w:r>
          </w:p>
        </w:tc>
        <w:tc>
          <w:tcPr>
            <w:tcW w:w="6062" w:type="dxa"/>
          </w:tcPr>
          <w:p w:rsidR="000D2DCD" w:rsidRDefault="00F81CE0" w14:paraId="1074E209" w14:textId="77777777">
            <w:pPr>
              <w:pStyle w:val="TableParagraph"/>
              <w:spacing w:before="40"/>
            </w:pPr>
            <w:r>
              <w:rPr>
                <w:spacing w:val="-4"/>
              </w:rPr>
              <w:t>ACM2</w:t>
            </w:r>
          </w:p>
        </w:tc>
      </w:tr>
      <w:tr w:rsidR="000D2DCD" w14:paraId="1074E20D" w14:textId="77777777">
        <w:trPr>
          <w:trHeight w:val="587"/>
        </w:trPr>
        <w:tc>
          <w:tcPr>
            <w:tcW w:w="2312" w:type="dxa"/>
          </w:tcPr>
          <w:p w:rsidR="000D2DCD" w:rsidRDefault="00F81CE0" w14:paraId="1074E20B" w14:textId="77777777">
            <w:pPr>
              <w:pStyle w:val="TableParagraph"/>
              <w:spacing w:before="38"/>
            </w:pPr>
            <w:r>
              <w:t>13</w:t>
            </w:r>
            <w:r>
              <w:rPr>
                <w:vertAlign w:val="superscript"/>
              </w:rPr>
              <w:t>th</w:t>
            </w:r>
            <w:r>
              <w:rPr>
                <w:spacing w:val="-7"/>
              </w:rPr>
              <w:t xml:space="preserve"> </w:t>
            </w:r>
            <w:r>
              <w:t>March</w:t>
            </w:r>
            <w:r>
              <w:rPr>
                <w:spacing w:val="-5"/>
              </w:rPr>
              <w:t xml:space="preserve"> </w:t>
            </w:r>
            <w:r>
              <w:rPr>
                <w:spacing w:val="-4"/>
              </w:rPr>
              <w:t>2024</w:t>
            </w:r>
          </w:p>
        </w:tc>
        <w:tc>
          <w:tcPr>
            <w:tcW w:w="6062" w:type="dxa"/>
          </w:tcPr>
          <w:p w:rsidR="000D2DCD" w:rsidRDefault="00F81CE0" w14:paraId="1074E20C" w14:textId="77777777">
            <w:pPr>
              <w:pStyle w:val="TableParagraph"/>
              <w:spacing w:before="38"/>
            </w:pPr>
            <w:r>
              <w:rPr>
                <w:spacing w:val="-4"/>
              </w:rPr>
              <w:t>UCB</w:t>
            </w:r>
            <w:r>
              <w:rPr>
                <w:spacing w:val="-11"/>
              </w:rPr>
              <w:t xml:space="preserve"> </w:t>
            </w:r>
            <w:r>
              <w:rPr>
                <w:spacing w:val="-4"/>
              </w:rPr>
              <w:t>notified</w:t>
            </w:r>
            <w:r>
              <w:rPr>
                <w:spacing w:val="-9"/>
              </w:rPr>
              <w:t xml:space="preserve"> </w:t>
            </w:r>
            <w:r>
              <w:rPr>
                <w:spacing w:val="-4"/>
              </w:rPr>
              <w:t>of</w:t>
            </w:r>
            <w:r>
              <w:rPr>
                <w:spacing w:val="-6"/>
              </w:rPr>
              <w:t xml:space="preserve"> </w:t>
            </w:r>
            <w:r>
              <w:rPr>
                <w:spacing w:val="-4"/>
              </w:rPr>
              <w:t>negative</w:t>
            </w:r>
            <w:r>
              <w:rPr>
                <w:spacing w:val="-9"/>
              </w:rPr>
              <w:t xml:space="preserve"> </w:t>
            </w:r>
            <w:r>
              <w:rPr>
                <w:spacing w:val="-4"/>
              </w:rPr>
              <w:t>ACM2</w:t>
            </w:r>
            <w:r>
              <w:rPr>
                <w:spacing w:val="-9"/>
              </w:rPr>
              <w:t xml:space="preserve"> </w:t>
            </w:r>
            <w:r>
              <w:rPr>
                <w:spacing w:val="-4"/>
              </w:rPr>
              <w:t>outcome</w:t>
            </w:r>
          </w:p>
        </w:tc>
      </w:tr>
    </w:tbl>
    <w:p w:rsidR="000D2DCD" w:rsidRDefault="000D2DCD" w14:paraId="1074E20E" w14:textId="77777777">
      <w:pPr>
        <w:pStyle w:val="BodyText"/>
      </w:pPr>
    </w:p>
    <w:p w:rsidR="000D2DCD" w:rsidRDefault="000D2DCD" w14:paraId="1074E20F" w14:textId="77777777">
      <w:pPr>
        <w:pStyle w:val="BodyText"/>
        <w:spacing w:before="121"/>
      </w:pPr>
    </w:p>
    <w:p w:rsidR="000D2DCD" w:rsidRDefault="00F81CE0" w14:paraId="1074E210" w14:textId="77777777">
      <w:pPr>
        <w:spacing w:before="1"/>
        <w:ind w:left="760"/>
        <w:rPr>
          <w:b/>
        </w:rPr>
      </w:pPr>
      <w:r>
        <w:rPr>
          <w:b/>
        </w:rPr>
        <w:t>GROUNDS</w:t>
      </w:r>
      <w:r>
        <w:rPr>
          <w:b/>
          <w:spacing w:val="-6"/>
        </w:rPr>
        <w:t xml:space="preserve"> </w:t>
      </w:r>
      <w:r>
        <w:rPr>
          <w:b/>
        </w:rPr>
        <w:t>OF</w:t>
      </w:r>
      <w:r>
        <w:rPr>
          <w:b/>
          <w:spacing w:val="-2"/>
        </w:rPr>
        <w:t xml:space="preserve"> APPEAL</w:t>
      </w:r>
    </w:p>
    <w:p w:rsidR="000D2DCD" w:rsidRDefault="000D2DCD" w14:paraId="1074E211" w14:textId="77777777">
      <w:pPr>
        <w:pStyle w:val="BodyText"/>
        <w:rPr>
          <w:b/>
        </w:rPr>
      </w:pPr>
    </w:p>
    <w:p w:rsidR="000D2DCD" w:rsidRDefault="000D2DCD" w14:paraId="1074E212" w14:textId="77777777">
      <w:pPr>
        <w:pStyle w:val="BodyText"/>
        <w:spacing w:before="2"/>
        <w:rPr>
          <w:b/>
        </w:rPr>
      </w:pPr>
    </w:p>
    <w:p w:rsidR="000D2DCD" w:rsidRDefault="00F81CE0" w14:paraId="1074E213" w14:textId="77777777">
      <w:pPr>
        <w:pStyle w:val="ListParagraph"/>
        <w:numPr>
          <w:ilvl w:val="0"/>
          <w:numId w:val="16"/>
        </w:numPr>
        <w:tabs>
          <w:tab w:val="left" w:pos="1118"/>
          <w:tab w:val="left" w:pos="1120"/>
        </w:tabs>
        <w:spacing w:before="0"/>
        <w:ind w:right="1441"/>
      </w:pPr>
      <w:r>
        <w:rPr>
          <w:b/>
        </w:rPr>
        <w:t>GROUND</w:t>
      </w:r>
      <w:r>
        <w:rPr>
          <w:b/>
          <w:spacing w:val="80"/>
        </w:rPr>
        <w:t xml:space="preserve"> </w:t>
      </w:r>
      <w:r>
        <w:rPr>
          <w:b/>
        </w:rPr>
        <w:t>1(a):</w:t>
      </w:r>
      <w:r>
        <w:rPr>
          <w:b/>
          <w:spacing w:val="80"/>
        </w:rPr>
        <w:t xml:space="preserve"> </w:t>
      </w:r>
      <w:r>
        <w:rPr>
          <w:b/>
        </w:rPr>
        <w:t>IN</w:t>
      </w:r>
      <w:r>
        <w:rPr>
          <w:b/>
          <w:spacing w:val="79"/>
        </w:rPr>
        <w:t xml:space="preserve"> </w:t>
      </w:r>
      <w:r>
        <w:rPr>
          <w:b/>
        </w:rPr>
        <w:t>MAKING</w:t>
      </w:r>
      <w:r>
        <w:rPr>
          <w:b/>
          <w:spacing w:val="80"/>
        </w:rPr>
        <w:t xml:space="preserve"> </w:t>
      </w:r>
      <w:r>
        <w:rPr>
          <w:b/>
        </w:rPr>
        <w:t>THE</w:t>
      </w:r>
      <w:r>
        <w:rPr>
          <w:b/>
          <w:spacing w:val="80"/>
        </w:rPr>
        <w:t xml:space="preserve"> </w:t>
      </w:r>
      <w:r>
        <w:rPr>
          <w:b/>
        </w:rPr>
        <w:t>ASSESSMENT</w:t>
      </w:r>
      <w:r>
        <w:rPr>
          <w:b/>
          <w:spacing w:val="80"/>
        </w:rPr>
        <w:t xml:space="preserve"> </w:t>
      </w:r>
      <w:r>
        <w:rPr>
          <w:b/>
        </w:rPr>
        <w:t>THAT</w:t>
      </w:r>
      <w:r>
        <w:rPr>
          <w:b/>
          <w:spacing w:val="80"/>
        </w:rPr>
        <w:t xml:space="preserve"> </w:t>
      </w:r>
      <w:r>
        <w:rPr>
          <w:b/>
        </w:rPr>
        <w:t>PRECEDED</w:t>
      </w:r>
      <w:r>
        <w:rPr>
          <w:b/>
          <w:spacing w:val="80"/>
        </w:rPr>
        <w:t xml:space="preserve"> </w:t>
      </w:r>
      <w:r>
        <w:rPr>
          <w:b/>
        </w:rPr>
        <w:t>THE RECOMMENDATION, NICE HAS FAILED TO ACT FAIRLY</w:t>
      </w:r>
    </w:p>
    <w:p w:rsidR="000D2DCD" w:rsidRDefault="00F81CE0" w14:paraId="1074E214" w14:textId="77777777">
      <w:pPr>
        <w:pStyle w:val="ListParagraph"/>
        <w:numPr>
          <w:ilvl w:val="1"/>
          <w:numId w:val="16"/>
        </w:numPr>
        <w:tabs>
          <w:tab w:val="left" w:pos="1480"/>
        </w:tabs>
        <w:spacing w:before="238" w:line="355" w:lineRule="auto"/>
        <w:ind w:right="1821"/>
        <w:jc w:val="left"/>
        <w:rPr>
          <w:b/>
        </w:rPr>
      </w:pPr>
      <w:r>
        <w:rPr>
          <w:b/>
        </w:rPr>
        <w:t>Ground 1(a).1: NICE’s refusal of UCB’s request for technical engagement</w:t>
      </w:r>
      <w:r>
        <w:rPr>
          <w:b/>
          <w:spacing w:val="-3"/>
        </w:rPr>
        <w:t xml:space="preserve"> </w:t>
      </w:r>
      <w:r>
        <w:rPr>
          <w:b/>
        </w:rPr>
        <w:t>before</w:t>
      </w:r>
      <w:r>
        <w:rPr>
          <w:b/>
          <w:spacing w:val="-4"/>
        </w:rPr>
        <w:t xml:space="preserve"> </w:t>
      </w:r>
      <w:r>
        <w:rPr>
          <w:b/>
        </w:rPr>
        <w:t>the</w:t>
      </w:r>
      <w:r>
        <w:rPr>
          <w:b/>
          <w:spacing w:val="-5"/>
        </w:rPr>
        <w:t xml:space="preserve"> </w:t>
      </w:r>
      <w:r>
        <w:rPr>
          <w:b/>
        </w:rPr>
        <w:t>first</w:t>
      </w:r>
      <w:r>
        <w:rPr>
          <w:b/>
          <w:spacing w:val="-3"/>
        </w:rPr>
        <w:t xml:space="preserve"> </w:t>
      </w:r>
      <w:r>
        <w:rPr>
          <w:b/>
        </w:rPr>
        <w:t>meeting</w:t>
      </w:r>
      <w:r>
        <w:rPr>
          <w:b/>
          <w:spacing w:val="-5"/>
        </w:rPr>
        <w:t xml:space="preserve"> </w:t>
      </w:r>
      <w:r>
        <w:rPr>
          <w:b/>
        </w:rPr>
        <w:t>of</w:t>
      </w:r>
      <w:r>
        <w:rPr>
          <w:b/>
          <w:spacing w:val="-3"/>
        </w:rPr>
        <w:t xml:space="preserve"> </w:t>
      </w:r>
      <w:r>
        <w:rPr>
          <w:b/>
        </w:rPr>
        <w:t>the</w:t>
      </w:r>
      <w:r>
        <w:rPr>
          <w:b/>
          <w:spacing w:val="-2"/>
        </w:rPr>
        <w:t xml:space="preserve"> </w:t>
      </w:r>
      <w:r>
        <w:rPr>
          <w:b/>
        </w:rPr>
        <w:t>Appraisal</w:t>
      </w:r>
      <w:r>
        <w:rPr>
          <w:b/>
          <w:spacing w:val="-3"/>
        </w:rPr>
        <w:t xml:space="preserve"> </w:t>
      </w:r>
      <w:r>
        <w:rPr>
          <w:b/>
        </w:rPr>
        <w:t>Committee</w:t>
      </w:r>
      <w:r>
        <w:rPr>
          <w:b/>
          <w:spacing w:val="-7"/>
        </w:rPr>
        <w:t xml:space="preserve"> </w:t>
      </w:r>
      <w:r>
        <w:rPr>
          <w:b/>
        </w:rPr>
        <w:t>was procedurally unfair and has prejudiced the conduct of the appraisal.</w:t>
      </w:r>
    </w:p>
    <w:p w:rsidR="000D2DCD" w:rsidRDefault="00F81CE0" w14:paraId="1074E215" w14:textId="77777777">
      <w:pPr>
        <w:pStyle w:val="ListParagraph"/>
        <w:numPr>
          <w:ilvl w:val="0"/>
          <w:numId w:val="15"/>
        </w:numPr>
        <w:tabs>
          <w:tab w:val="left" w:pos="1444"/>
          <w:tab w:val="left" w:pos="1446"/>
        </w:tabs>
        <w:spacing w:before="115" w:line="278" w:lineRule="auto"/>
        <w:ind w:right="1544"/>
        <w:jc w:val="both"/>
      </w:pPr>
      <w:r>
        <w:rPr>
          <w:color w:val="000000"/>
          <w:shd w:val="clear" w:color="auto" w:fill="F7F4F0"/>
        </w:rPr>
        <w:t>NICE’s</w:t>
      </w:r>
      <w:r>
        <w:rPr>
          <w:color w:val="000000"/>
          <w:spacing w:val="-12"/>
          <w:shd w:val="clear" w:color="auto" w:fill="F7F4F0"/>
        </w:rPr>
        <w:t xml:space="preserve"> </w:t>
      </w:r>
      <w:r>
        <w:rPr>
          <w:color w:val="000000"/>
          <w:shd w:val="clear" w:color="auto" w:fill="F7F4F0"/>
        </w:rPr>
        <w:t>Guide</w:t>
      </w:r>
      <w:r>
        <w:rPr>
          <w:color w:val="000000"/>
          <w:spacing w:val="-14"/>
          <w:shd w:val="clear" w:color="auto" w:fill="F7F4F0"/>
        </w:rPr>
        <w:t xml:space="preserve"> </w:t>
      </w:r>
      <w:r>
        <w:rPr>
          <w:color w:val="000000"/>
          <w:shd w:val="clear" w:color="auto" w:fill="F7F4F0"/>
        </w:rPr>
        <w:t>to</w:t>
      </w:r>
      <w:r>
        <w:rPr>
          <w:color w:val="000000"/>
          <w:spacing w:val="-14"/>
          <w:shd w:val="clear" w:color="auto" w:fill="F7F4F0"/>
        </w:rPr>
        <w:t xml:space="preserve"> </w:t>
      </w:r>
      <w:r>
        <w:rPr>
          <w:color w:val="000000"/>
          <w:shd w:val="clear" w:color="auto" w:fill="F7F4F0"/>
        </w:rPr>
        <w:t>the</w:t>
      </w:r>
      <w:r>
        <w:rPr>
          <w:color w:val="000000"/>
          <w:spacing w:val="-14"/>
          <w:shd w:val="clear" w:color="auto" w:fill="F7F4F0"/>
        </w:rPr>
        <w:t xml:space="preserve"> </w:t>
      </w:r>
      <w:r>
        <w:rPr>
          <w:color w:val="000000"/>
          <w:shd w:val="clear" w:color="auto" w:fill="F7F4F0"/>
        </w:rPr>
        <w:t>Processes</w:t>
      </w:r>
      <w:r>
        <w:rPr>
          <w:color w:val="000000"/>
          <w:spacing w:val="-12"/>
          <w:shd w:val="clear" w:color="auto" w:fill="F7F4F0"/>
        </w:rPr>
        <w:t xml:space="preserve"> </w:t>
      </w:r>
      <w:r>
        <w:rPr>
          <w:color w:val="000000"/>
          <w:shd w:val="clear" w:color="auto" w:fill="F7F4F0"/>
        </w:rPr>
        <w:t>of</w:t>
      </w:r>
      <w:r>
        <w:rPr>
          <w:color w:val="000000"/>
          <w:spacing w:val="-13"/>
          <w:shd w:val="clear" w:color="auto" w:fill="F7F4F0"/>
        </w:rPr>
        <w:t xml:space="preserve"> </w:t>
      </w:r>
      <w:r>
        <w:rPr>
          <w:color w:val="000000"/>
          <w:shd w:val="clear" w:color="auto" w:fill="F7F4F0"/>
        </w:rPr>
        <w:t>Technology</w:t>
      </w:r>
      <w:r>
        <w:rPr>
          <w:color w:val="000000"/>
          <w:spacing w:val="-13"/>
          <w:shd w:val="clear" w:color="auto" w:fill="F7F4F0"/>
        </w:rPr>
        <w:t xml:space="preserve"> </w:t>
      </w:r>
      <w:r>
        <w:rPr>
          <w:color w:val="000000"/>
          <w:shd w:val="clear" w:color="auto" w:fill="F7F4F0"/>
        </w:rPr>
        <w:t>Appraisal</w:t>
      </w:r>
      <w:r>
        <w:rPr>
          <w:color w:val="000000"/>
          <w:spacing w:val="-13"/>
          <w:shd w:val="clear" w:color="auto" w:fill="F7F4F0"/>
        </w:rPr>
        <w:t xml:space="preserve"> </w:t>
      </w:r>
      <w:r>
        <w:rPr>
          <w:color w:val="000000"/>
          <w:shd w:val="clear" w:color="auto" w:fill="F7F4F0"/>
        </w:rPr>
        <w:t>provided</w:t>
      </w:r>
      <w:r>
        <w:rPr>
          <w:color w:val="000000"/>
          <w:spacing w:val="-11"/>
          <w:shd w:val="clear" w:color="auto" w:fill="F7F4F0"/>
        </w:rPr>
        <w:t xml:space="preserve"> </w:t>
      </w:r>
      <w:r>
        <w:rPr>
          <w:color w:val="000000"/>
          <w:shd w:val="clear" w:color="auto" w:fill="F7F4F0"/>
        </w:rPr>
        <w:t>for</w:t>
      </w:r>
      <w:r>
        <w:rPr>
          <w:color w:val="000000"/>
          <w:spacing w:val="-13"/>
          <w:shd w:val="clear" w:color="auto" w:fill="F7F4F0"/>
        </w:rPr>
        <w:t xml:space="preserve"> </w:t>
      </w:r>
      <w:r>
        <w:rPr>
          <w:color w:val="000000"/>
          <w:shd w:val="clear" w:color="auto" w:fill="F7F4F0"/>
        </w:rPr>
        <w:t>technical</w:t>
      </w:r>
      <w:r>
        <w:rPr>
          <w:color w:val="000000"/>
        </w:rPr>
        <w:t xml:space="preserve"> </w:t>
      </w:r>
      <w:r>
        <w:rPr>
          <w:color w:val="000000"/>
          <w:shd w:val="clear" w:color="auto" w:fill="F7F4F0"/>
        </w:rPr>
        <w:t>engagement between the NICE technical team and the company, stating at</w:t>
      </w:r>
      <w:r>
        <w:rPr>
          <w:color w:val="000000"/>
        </w:rPr>
        <w:t xml:space="preserve"> </w:t>
      </w:r>
      <w:r>
        <w:rPr>
          <w:color w:val="000000"/>
          <w:shd w:val="clear" w:color="auto" w:fill="F7F4F0"/>
        </w:rPr>
        <w:t>paragraph 3.3.16:</w:t>
      </w:r>
    </w:p>
    <w:p w:rsidR="000D2DCD" w:rsidRDefault="00F81CE0" w14:paraId="1074E216" w14:textId="77777777">
      <w:pPr>
        <w:spacing w:before="118" w:line="278" w:lineRule="auto"/>
        <w:ind w:left="2201" w:right="1547"/>
        <w:jc w:val="both"/>
        <w:rPr>
          <w:i/>
        </w:rPr>
      </w:pPr>
      <w:r>
        <w:t>“</w:t>
      </w:r>
      <w:r>
        <w:rPr>
          <w:i/>
        </w:rPr>
        <w:t>The purpose of the technical engagement is to seek views on the judgements made by the technical team and to allow the company to consider how it could</w:t>
      </w:r>
      <w:r>
        <w:rPr>
          <w:i/>
          <w:spacing w:val="-3"/>
        </w:rPr>
        <w:t xml:space="preserve"> </w:t>
      </w:r>
      <w:r>
        <w:rPr>
          <w:i/>
        </w:rPr>
        <w:t>mitigate the</w:t>
      </w:r>
      <w:r>
        <w:rPr>
          <w:i/>
          <w:spacing w:val="-1"/>
        </w:rPr>
        <w:t xml:space="preserve"> </w:t>
      </w:r>
      <w:r>
        <w:rPr>
          <w:i/>
        </w:rPr>
        <w:t>remaining uncertainties in the</w:t>
      </w:r>
      <w:r>
        <w:rPr>
          <w:i/>
          <w:spacing w:val="-1"/>
        </w:rPr>
        <w:t xml:space="preserve"> </w:t>
      </w:r>
      <w:r>
        <w:rPr>
          <w:i/>
        </w:rPr>
        <w:t>case for clinical and cost effectiveness in the evidence base.</w:t>
      </w:r>
      <w:r>
        <w:rPr>
          <w:rFonts w:ascii="Times New Roman" w:hAnsi="Times New Roman"/>
          <w:color w:val="000000"/>
          <w:shd w:val="clear" w:color="auto" w:fill="F7F4F0"/>
        </w:rPr>
        <w:t xml:space="preserve"> </w:t>
      </w:r>
      <w:r>
        <w:rPr>
          <w:i/>
          <w:color w:val="000000"/>
          <w:shd w:val="clear" w:color="auto" w:fill="F7F4F0"/>
        </w:rPr>
        <w:t>”</w:t>
      </w:r>
    </w:p>
    <w:p w:rsidR="000D2DCD" w:rsidRDefault="00F81CE0" w14:paraId="1074E217" w14:textId="77777777">
      <w:pPr>
        <w:pStyle w:val="ListParagraph"/>
        <w:numPr>
          <w:ilvl w:val="0"/>
          <w:numId w:val="15"/>
        </w:numPr>
        <w:tabs>
          <w:tab w:val="left" w:pos="1444"/>
          <w:tab w:val="left" w:pos="1446"/>
        </w:tabs>
        <w:spacing w:before="118" w:line="280" w:lineRule="auto"/>
        <w:ind w:right="1554"/>
        <w:jc w:val="both"/>
      </w:pPr>
      <w:r>
        <w:t>NICE’s current Manual does not provide for the routine incorporation of technical engagement, but states:</w:t>
      </w:r>
    </w:p>
    <w:p w:rsidR="000D2DCD" w:rsidRDefault="00F81CE0" w14:paraId="1074E218" w14:textId="77777777">
      <w:pPr>
        <w:spacing w:before="116" w:line="278" w:lineRule="auto"/>
        <w:ind w:left="2201" w:right="1549"/>
        <w:jc w:val="both"/>
        <w:rPr>
          <w:i/>
        </w:rPr>
      </w:pPr>
      <w:r>
        <w:t>“</w:t>
      </w:r>
      <w:r>
        <w:rPr>
          <w:i/>
        </w:rPr>
        <w:t>5.7.1</w:t>
      </w:r>
      <w:r>
        <w:rPr>
          <w:i/>
          <w:spacing w:val="-16"/>
        </w:rPr>
        <w:t xml:space="preserve"> </w:t>
      </w:r>
      <w:r>
        <w:rPr>
          <w:i/>
        </w:rPr>
        <w:t>After</w:t>
      </w:r>
      <w:r>
        <w:rPr>
          <w:i/>
          <w:spacing w:val="-15"/>
        </w:rPr>
        <w:t xml:space="preserve"> </w:t>
      </w:r>
      <w:r>
        <w:rPr>
          <w:i/>
        </w:rPr>
        <w:t>receiving</w:t>
      </w:r>
      <w:r>
        <w:rPr>
          <w:i/>
          <w:spacing w:val="-15"/>
        </w:rPr>
        <w:t xml:space="preserve"> </w:t>
      </w:r>
      <w:r>
        <w:rPr>
          <w:i/>
        </w:rPr>
        <w:t>the</w:t>
      </w:r>
      <w:r>
        <w:rPr>
          <w:i/>
          <w:spacing w:val="-16"/>
        </w:rPr>
        <w:t xml:space="preserve"> </w:t>
      </w:r>
      <w:r>
        <w:rPr>
          <w:i/>
        </w:rPr>
        <w:t>external</w:t>
      </w:r>
      <w:r>
        <w:rPr>
          <w:i/>
          <w:spacing w:val="-15"/>
        </w:rPr>
        <w:t xml:space="preserve"> </w:t>
      </w:r>
      <w:r>
        <w:rPr>
          <w:i/>
        </w:rPr>
        <w:t>assessment</w:t>
      </w:r>
      <w:r>
        <w:rPr>
          <w:i/>
          <w:spacing w:val="-15"/>
        </w:rPr>
        <w:t xml:space="preserve"> </w:t>
      </w:r>
      <w:r>
        <w:rPr>
          <w:i/>
        </w:rPr>
        <w:t>report,</w:t>
      </w:r>
      <w:r>
        <w:rPr>
          <w:i/>
          <w:spacing w:val="-15"/>
        </w:rPr>
        <w:t xml:space="preserve"> </w:t>
      </w:r>
      <w:r>
        <w:rPr>
          <w:i/>
        </w:rPr>
        <w:t>NICE</w:t>
      </w:r>
      <w:r>
        <w:rPr>
          <w:i/>
          <w:spacing w:val="-16"/>
        </w:rPr>
        <w:t xml:space="preserve"> </w:t>
      </w:r>
      <w:r>
        <w:rPr>
          <w:i/>
        </w:rPr>
        <w:t>will</w:t>
      </w:r>
      <w:r>
        <w:rPr>
          <w:i/>
          <w:spacing w:val="-15"/>
        </w:rPr>
        <w:t xml:space="preserve"> </w:t>
      </w:r>
      <w:r>
        <w:rPr>
          <w:i/>
        </w:rPr>
        <w:t>assess the evidence submissions and external assessment report and make a decision on how the appraisal will progress. At this stage an appraisal can:</w:t>
      </w:r>
    </w:p>
    <w:p w:rsidR="000D2DCD" w:rsidRDefault="00F81CE0" w14:paraId="1074E219" w14:textId="77777777">
      <w:pPr>
        <w:spacing w:before="117"/>
        <w:ind w:left="2201"/>
        <w:rPr>
          <w:i/>
        </w:rPr>
      </w:pPr>
      <w:r>
        <w:rPr>
          <w:i/>
          <w:spacing w:val="-5"/>
        </w:rPr>
        <w:t>…….</w:t>
      </w:r>
    </w:p>
    <w:p w:rsidR="000D2DCD" w:rsidRDefault="00F81CE0" w14:paraId="1074E21A" w14:textId="77777777">
      <w:pPr>
        <w:pStyle w:val="ListParagraph"/>
        <w:numPr>
          <w:ilvl w:val="0"/>
          <w:numId w:val="14"/>
        </w:numPr>
        <w:tabs>
          <w:tab w:val="left" w:pos="2348"/>
        </w:tabs>
        <w:spacing w:before="160" w:line="278" w:lineRule="auto"/>
        <w:ind w:right="1549" w:firstLine="0"/>
        <w:jc w:val="left"/>
        <w:rPr>
          <w:i/>
        </w:rPr>
      </w:pPr>
      <w:r>
        <w:rPr>
          <w:i/>
        </w:rPr>
        <w:t>continue as a single technology appraisal and</w:t>
      </w:r>
      <w:r>
        <w:rPr>
          <w:i/>
          <w:spacing w:val="-1"/>
        </w:rPr>
        <w:t xml:space="preserve"> </w:t>
      </w:r>
      <w:r>
        <w:rPr>
          <w:i/>
        </w:rPr>
        <w:t>progress to technical engagement before committee preparation</w:t>
      </w:r>
    </w:p>
    <w:p w:rsidR="000D2DCD" w:rsidRDefault="00F81CE0" w14:paraId="1074E21B" w14:textId="77777777">
      <w:pPr>
        <w:spacing w:before="119"/>
        <w:ind w:left="2201"/>
        <w:rPr>
          <w:i/>
        </w:rPr>
      </w:pPr>
      <w:r>
        <w:rPr>
          <w:i/>
          <w:spacing w:val="-5"/>
        </w:rPr>
        <w:t>……</w:t>
      </w:r>
    </w:p>
    <w:p w:rsidR="000D2DCD" w:rsidRDefault="00F81CE0" w14:paraId="1074E21C" w14:textId="77777777">
      <w:pPr>
        <w:spacing w:before="160" w:line="278" w:lineRule="auto"/>
        <w:ind w:left="2201" w:right="1550"/>
        <w:jc w:val="both"/>
        <w:rPr>
          <w:i/>
        </w:rPr>
      </w:pPr>
      <w:r>
        <w:rPr>
          <w:i/>
        </w:rPr>
        <w:t>5.7.2 Technical engagement will only be included if NICE considers that it is appropriate, helpful and proportionate, taking into account whether the technical engagement process is likely to resolve key issues before the committee meeting.</w:t>
      </w:r>
    </w:p>
    <w:p w:rsidR="000D2DCD" w:rsidRDefault="00F81CE0" w14:paraId="1074E21D" w14:textId="77777777">
      <w:pPr>
        <w:spacing w:before="120" w:line="278" w:lineRule="auto"/>
        <w:ind w:left="2201" w:right="1550"/>
        <w:jc w:val="both"/>
        <w:rPr>
          <w:i/>
        </w:rPr>
      </w:pPr>
      <w:r>
        <w:rPr>
          <w:i/>
        </w:rPr>
        <w:t>5.7.3 If technical engagement is included, timelines will be amended to allow for engagement time with stakeholders”.</w:t>
      </w:r>
    </w:p>
    <w:p w:rsidR="000D2DCD" w:rsidRDefault="000D2DCD" w14:paraId="1074E21E"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1F" w14:textId="77777777">
      <w:pPr>
        <w:pStyle w:val="BodyText"/>
        <w:rPr>
          <w:i/>
        </w:rPr>
      </w:pPr>
    </w:p>
    <w:p w:rsidR="000D2DCD" w:rsidRDefault="000D2DCD" w14:paraId="1074E220" w14:textId="77777777">
      <w:pPr>
        <w:pStyle w:val="BodyText"/>
        <w:rPr>
          <w:i/>
        </w:rPr>
      </w:pPr>
    </w:p>
    <w:p w:rsidR="000D2DCD" w:rsidRDefault="000D2DCD" w14:paraId="1074E221" w14:textId="77777777">
      <w:pPr>
        <w:pStyle w:val="BodyText"/>
        <w:spacing w:before="219"/>
        <w:rPr>
          <w:i/>
        </w:rPr>
      </w:pPr>
    </w:p>
    <w:p w:rsidR="000D2DCD" w:rsidRDefault="00F81CE0" w14:paraId="1074E222" w14:textId="77777777">
      <w:pPr>
        <w:pStyle w:val="ListParagraph"/>
        <w:numPr>
          <w:ilvl w:val="0"/>
          <w:numId w:val="15"/>
        </w:numPr>
        <w:tabs>
          <w:tab w:val="left" w:pos="1444"/>
          <w:tab w:val="left" w:pos="1446"/>
        </w:tabs>
        <w:spacing w:before="1" w:line="278" w:lineRule="auto"/>
        <w:ind w:right="1544"/>
        <w:jc w:val="both"/>
      </w:pPr>
      <w:r>
        <w:t>The</w:t>
      </w:r>
      <w:r>
        <w:rPr>
          <w:spacing w:val="-16"/>
        </w:rPr>
        <w:t xml:space="preserve"> </w:t>
      </w:r>
      <w:r>
        <w:t>purpose</w:t>
      </w:r>
      <w:r>
        <w:rPr>
          <w:spacing w:val="-15"/>
        </w:rPr>
        <w:t xml:space="preserve"> </w:t>
      </w:r>
      <w:r>
        <w:t>of</w:t>
      </w:r>
      <w:r>
        <w:rPr>
          <w:spacing w:val="-15"/>
        </w:rPr>
        <w:t xml:space="preserve"> </w:t>
      </w:r>
      <w:r>
        <w:t>technical</w:t>
      </w:r>
      <w:r>
        <w:rPr>
          <w:spacing w:val="-16"/>
        </w:rPr>
        <w:t xml:space="preserve"> </w:t>
      </w:r>
      <w:r>
        <w:t>engagement</w:t>
      </w:r>
      <w:r>
        <w:rPr>
          <w:spacing w:val="-15"/>
        </w:rPr>
        <w:t xml:space="preserve"> </w:t>
      </w:r>
      <w:r>
        <w:t>remains</w:t>
      </w:r>
      <w:r>
        <w:rPr>
          <w:spacing w:val="-15"/>
        </w:rPr>
        <w:t xml:space="preserve"> </w:t>
      </w:r>
      <w:r>
        <w:t>unchanged</w:t>
      </w:r>
      <w:r>
        <w:rPr>
          <w:spacing w:val="-15"/>
        </w:rPr>
        <w:t xml:space="preserve"> </w:t>
      </w:r>
      <w:r>
        <w:t>from</w:t>
      </w:r>
      <w:r>
        <w:rPr>
          <w:spacing w:val="-16"/>
        </w:rPr>
        <w:t xml:space="preserve"> </w:t>
      </w:r>
      <w:r>
        <w:t>that</w:t>
      </w:r>
      <w:r>
        <w:rPr>
          <w:spacing w:val="-15"/>
        </w:rPr>
        <w:t xml:space="preserve"> </w:t>
      </w:r>
      <w:r>
        <w:t>described in the Guide to the Processes of Technology Appraisal and it continues to provide</w:t>
      </w:r>
      <w:r>
        <w:rPr>
          <w:spacing w:val="-14"/>
        </w:rPr>
        <w:t xml:space="preserve"> </w:t>
      </w:r>
      <w:r>
        <w:t>an</w:t>
      </w:r>
      <w:r>
        <w:rPr>
          <w:spacing w:val="-14"/>
        </w:rPr>
        <w:t xml:space="preserve"> </w:t>
      </w:r>
      <w:r>
        <w:t>important</w:t>
      </w:r>
      <w:r>
        <w:rPr>
          <w:spacing w:val="-12"/>
        </w:rPr>
        <w:t xml:space="preserve"> </w:t>
      </w:r>
      <w:r>
        <w:t>mechanism</w:t>
      </w:r>
      <w:r>
        <w:rPr>
          <w:spacing w:val="-13"/>
        </w:rPr>
        <w:t xml:space="preserve"> </w:t>
      </w:r>
      <w:r>
        <w:t>to</w:t>
      </w:r>
      <w:r>
        <w:rPr>
          <w:spacing w:val="-14"/>
        </w:rPr>
        <w:t xml:space="preserve"> </w:t>
      </w:r>
      <w:r>
        <w:t>address</w:t>
      </w:r>
      <w:r>
        <w:rPr>
          <w:spacing w:val="-16"/>
        </w:rPr>
        <w:t xml:space="preserve"> </w:t>
      </w:r>
      <w:r>
        <w:t>uncertainty</w:t>
      </w:r>
      <w:r>
        <w:rPr>
          <w:spacing w:val="-14"/>
        </w:rPr>
        <w:t xml:space="preserve"> </w:t>
      </w:r>
      <w:r>
        <w:t>in</w:t>
      </w:r>
      <w:r>
        <w:rPr>
          <w:spacing w:val="-14"/>
        </w:rPr>
        <w:t xml:space="preserve"> </w:t>
      </w:r>
      <w:r>
        <w:t>the</w:t>
      </w:r>
      <w:r>
        <w:rPr>
          <w:spacing w:val="-14"/>
        </w:rPr>
        <w:t xml:space="preserve"> </w:t>
      </w:r>
      <w:r>
        <w:t>clinical</w:t>
      </w:r>
      <w:r>
        <w:rPr>
          <w:spacing w:val="-15"/>
        </w:rPr>
        <w:t xml:space="preserve"> </w:t>
      </w:r>
      <w:r>
        <w:t>and</w:t>
      </w:r>
      <w:r>
        <w:rPr>
          <w:spacing w:val="-14"/>
        </w:rPr>
        <w:t xml:space="preserve"> </w:t>
      </w:r>
      <w:r>
        <w:t>cost effectiveness analyses.</w:t>
      </w:r>
    </w:p>
    <w:p w:rsidR="000D2DCD" w:rsidRDefault="00F81CE0" w14:paraId="1074E223" w14:textId="77777777">
      <w:pPr>
        <w:pStyle w:val="ListParagraph"/>
        <w:numPr>
          <w:ilvl w:val="0"/>
          <w:numId w:val="15"/>
        </w:numPr>
        <w:tabs>
          <w:tab w:val="left" w:pos="1444"/>
          <w:tab w:val="left" w:pos="1446"/>
        </w:tabs>
        <w:spacing w:before="117" w:line="278" w:lineRule="auto"/>
        <w:ind w:right="1549"/>
        <w:jc w:val="both"/>
      </w:pPr>
      <w:r>
        <w:t>The</w:t>
      </w:r>
      <w:r>
        <w:rPr>
          <w:spacing w:val="-16"/>
        </w:rPr>
        <w:t xml:space="preserve"> </w:t>
      </w:r>
      <w:r>
        <w:t>current</w:t>
      </w:r>
      <w:r>
        <w:rPr>
          <w:spacing w:val="-12"/>
        </w:rPr>
        <w:t xml:space="preserve"> </w:t>
      </w:r>
      <w:r>
        <w:t>appraisal</w:t>
      </w:r>
      <w:r>
        <w:rPr>
          <w:spacing w:val="-16"/>
        </w:rPr>
        <w:t xml:space="preserve"> </w:t>
      </w:r>
      <w:r>
        <w:t>of</w:t>
      </w:r>
      <w:r>
        <w:rPr>
          <w:spacing w:val="-13"/>
        </w:rPr>
        <w:t xml:space="preserve"> </w:t>
      </w:r>
      <w:r>
        <w:t>fenfluramine</w:t>
      </w:r>
      <w:r>
        <w:rPr>
          <w:spacing w:val="-15"/>
        </w:rPr>
        <w:t xml:space="preserve"> </w:t>
      </w:r>
      <w:r>
        <w:t>is</w:t>
      </w:r>
      <w:r>
        <w:rPr>
          <w:spacing w:val="-14"/>
        </w:rPr>
        <w:t xml:space="preserve"> </w:t>
      </w:r>
      <w:r>
        <w:t>associated</w:t>
      </w:r>
      <w:r>
        <w:rPr>
          <w:spacing w:val="-15"/>
        </w:rPr>
        <w:t xml:space="preserve"> </w:t>
      </w:r>
      <w:r>
        <w:t>with</w:t>
      </w:r>
      <w:r>
        <w:rPr>
          <w:spacing w:val="-15"/>
        </w:rPr>
        <w:t xml:space="preserve"> </w:t>
      </w:r>
      <w:r>
        <w:t>substantial</w:t>
      </w:r>
      <w:r>
        <w:rPr>
          <w:spacing w:val="-16"/>
        </w:rPr>
        <w:t xml:space="preserve"> </w:t>
      </w:r>
      <w:r>
        <w:t>challenges in</w:t>
      </w:r>
      <w:r>
        <w:rPr>
          <w:spacing w:val="-6"/>
        </w:rPr>
        <w:t xml:space="preserve"> </w:t>
      </w:r>
      <w:r>
        <w:t>view</w:t>
      </w:r>
      <w:r>
        <w:rPr>
          <w:spacing w:val="-9"/>
        </w:rPr>
        <w:t xml:space="preserve"> </w:t>
      </w:r>
      <w:r>
        <w:t>of</w:t>
      </w:r>
      <w:r>
        <w:rPr>
          <w:spacing w:val="-6"/>
        </w:rPr>
        <w:t xml:space="preserve"> </w:t>
      </w:r>
      <w:r>
        <w:t>the</w:t>
      </w:r>
      <w:r>
        <w:rPr>
          <w:spacing w:val="-9"/>
        </w:rPr>
        <w:t xml:space="preserve"> </w:t>
      </w:r>
      <w:r>
        <w:t>rarity</w:t>
      </w:r>
      <w:r>
        <w:rPr>
          <w:spacing w:val="-8"/>
        </w:rPr>
        <w:t xml:space="preserve"> </w:t>
      </w:r>
      <w:r>
        <w:t>of</w:t>
      </w:r>
      <w:r>
        <w:rPr>
          <w:spacing w:val="-5"/>
        </w:rPr>
        <w:t xml:space="preserve"> </w:t>
      </w:r>
      <w:r>
        <w:t>LGS,</w:t>
      </w:r>
      <w:r>
        <w:rPr>
          <w:spacing w:val="-5"/>
        </w:rPr>
        <w:t xml:space="preserve"> </w:t>
      </w:r>
      <w:r>
        <w:t>the</w:t>
      </w:r>
      <w:r>
        <w:rPr>
          <w:spacing w:val="-9"/>
        </w:rPr>
        <w:t xml:space="preserve"> </w:t>
      </w:r>
      <w:r>
        <w:t>heterogeneous</w:t>
      </w:r>
      <w:r>
        <w:rPr>
          <w:spacing w:val="-9"/>
        </w:rPr>
        <w:t xml:space="preserve"> </w:t>
      </w:r>
      <w:r>
        <w:t>nature</w:t>
      </w:r>
      <w:r>
        <w:rPr>
          <w:spacing w:val="-6"/>
        </w:rPr>
        <w:t xml:space="preserve"> </w:t>
      </w:r>
      <w:r>
        <w:t>of</w:t>
      </w:r>
      <w:r>
        <w:rPr>
          <w:spacing w:val="-7"/>
        </w:rPr>
        <w:t xml:space="preserve"> </w:t>
      </w:r>
      <w:r>
        <w:t>the</w:t>
      </w:r>
      <w:r>
        <w:rPr>
          <w:spacing w:val="-9"/>
        </w:rPr>
        <w:t xml:space="preserve"> </w:t>
      </w:r>
      <w:r>
        <w:t>condition</w:t>
      </w:r>
      <w:r>
        <w:rPr>
          <w:spacing w:val="-7"/>
        </w:rPr>
        <w:t xml:space="preserve"> </w:t>
      </w:r>
      <w:r>
        <w:t>and</w:t>
      </w:r>
      <w:r>
        <w:rPr>
          <w:spacing w:val="-9"/>
        </w:rPr>
        <w:t xml:space="preserve"> </w:t>
      </w:r>
      <w:r>
        <w:t>the range of therapies currently used to treat it. All of these factors increase the likelihood of uncertainty in relation to the appraisal outcomes.</w:t>
      </w:r>
    </w:p>
    <w:p w:rsidR="000D2DCD" w:rsidRDefault="00F81CE0" w14:paraId="1074E224" w14:textId="77777777">
      <w:pPr>
        <w:pStyle w:val="ListParagraph"/>
        <w:numPr>
          <w:ilvl w:val="0"/>
          <w:numId w:val="15"/>
        </w:numPr>
        <w:tabs>
          <w:tab w:val="left" w:pos="1444"/>
          <w:tab w:val="left" w:pos="1446"/>
        </w:tabs>
        <w:spacing w:before="120" w:line="278" w:lineRule="auto"/>
        <w:jc w:val="both"/>
      </w:pPr>
      <w:r>
        <w:t>Following</w:t>
      </w:r>
      <w:r>
        <w:rPr>
          <w:spacing w:val="-16"/>
        </w:rPr>
        <w:t xml:space="preserve"> </w:t>
      </w:r>
      <w:r>
        <w:t>receipt</w:t>
      </w:r>
      <w:r>
        <w:rPr>
          <w:spacing w:val="-15"/>
        </w:rPr>
        <w:t xml:space="preserve"> </w:t>
      </w:r>
      <w:r>
        <w:t>of</w:t>
      </w:r>
      <w:r>
        <w:rPr>
          <w:spacing w:val="-15"/>
        </w:rPr>
        <w:t xml:space="preserve"> </w:t>
      </w:r>
      <w:r>
        <w:t>the</w:t>
      </w:r>
      <w:r>
        <w:rPr>
          <w:spacing w:val="-16"/>
        </w:rPr>
        <w:t xml:space="preserve"> </w:t>
      </w:r>
      <w:r>
        <w:t>EAG</w:t>
      </w:r>
      <w:r>
        <w:rPr>
          <w:spacing w:val="-15"/>
        </w:rPr>
        <w:t xml:space="preserve"> </w:t>
      </w:r>
      <w:r>
        <w:t>report</w:t>
      </w:r>
      <w:r>
        <w:rPr>
          <w:spacing w:val="-15"/>
        </w:rPr>
        <w:t xml:space="preserve"> </w:t>
      </w:r>
      <w:r>
        <w:t>for</w:t>
      </w:r>
      <w:r>
        <w:rPr>
          <w:spacing w:val="-15"/>
        </w:rPr>
        <w:t xml:space="preserve"> </w:t>
      </w:r>
      <w:r>
        <w:t>fenfluramine,</w:t>
      </w:r>
      <w:r>
        <w:rPr>
          <w:spacing w:val="-16"/>
        </w:rPr>
        <w:t xml:space="preserve"> </w:t>
      </w:r>
      <w:r>
        <w:t>it</w:t>
      </w:r>
      <w:r>
        <w:rPr>
          <w:spacing w:val="-15"/>
        </w:rPr>
        <w:t xml:space="preserve"> </w:t>
      </w:r>
      <w:r>
        <w:t>became</w:t>
      </w:r>
      <w:r>
        <w:rPr>
          <w:spacing w:val="-15"/>
        </w:rPr>
        <w:t xml:space="preserve"> </w:t>
      </w:r>
      <w:r>
        <w:t>clear</w:t>
      </w:r>
      <w:r>
        <w:rPr>
          <w:spacing w:val="-16"/>
        </w:rPr>
        <w:t xml:space="preserve"> </w:t>
      </w:r>
      <w:r>
        <w:t>that,</w:t>
      </w:r>
      <w:r>
        <w:rPr>
          <w:spacing w:val="-15"/>
        </w:rPr>
        <w:t xml:space="preserve"> </w:t>
      </w:r>
      <w:r>
        <w:t>while UCB had attempted to address certain key issues through the clarification process, key issues remained outstanding and continued to be raised as concerns by the EAG.</w:t>
      </w:r>
      <w:r>
        <w:rPr>
          <w:spacing w:val="40"/>
        </w:rPr>
        <w:t xml:space="preserve"> </w:t>
      </w:r>
      <w:r>
        <w:t>In circumstances where it was plainly necessary for such matters to be resolved before the appraisal could reasonably progress, UCB</w:t>
      </w:r>
      <w:r>
        <w:rPr>
          <w:spacing w:val="-8"/>
        </w:rPr>
        <w:t xml:space="preserve"> </w:t>
      </w:r>
      <w:r>
        <w:t>contacted</w:t>
      </w:r>
      <w:r>
        <w:rPr>
          <w:spacing w:val="-7"/>
        </w:rPr>
        <w:t xml:space="preserve"> </w:t>
      </w:r>
      <w:r>
        <w:t>NICE</w:t>
      </w:r>
      <w:r>
        <w:rPr>
          <w:spacing w:val="-8"/>
        </w:rPr>
        <w:t xml:space="preserve"> </w:t>
      </w:r>
      <w:r>
        <w:t>on</w:t>
      </w:r>
      <w:r>
        <w:rPr>
          <w:spacing w:val="-10"/>
        </w:rPr>
        <w:t xml:space="preserve"> </w:t>
      </w:r>
      <w:r>
        <w:t>1</w:t>
      </w:r>
      <w:r>
        <w:rPr>
          <w:vertAlign w:val="superscript"/>
        </w:rPr>
        <w:t>st</w:t>
      </w:r>
      <w:r>
        <w:rPr>
          <w:spacing w:val="-7"/>
        </w:rPr>
        <w:t xml:space="preserve"> </w:t>
      </w:r>
      <w:r>
        <w:t>November</w:t>
      </w:r>
      <w:r>
        <w:rPr>
          <w:spacing w:val="-6"/>
        </w:rPr>
        <w:t xml:space="preserve"> </w:t>
      </w:r>
      <w:r>
        <w:t>2023</w:t>
      </w:r>
      <w:r>
        <w:rPr>
          <w:spacing w:val="-8"/>
        </w:rPr>
        <w:t xml:space="preserve"> </w:t>
      </w:r>
      <w:r>
        <w:t>to</w:t>
      </w:r>
      <w:r>
        <w:rPr>
          <w:spacing w:val="-7"/>
        </w:rPr>
        <w:t xml:space="preserve"> </w:t>
      </w:r>
      <w:r>
        <w:t>request</w:t>
      </w:r>
      <w:r>
        <w:rPr>
          <w:spacing w:val="-6"/>
        </w:rPr>
        <w:t xml:space="preserve"> </w:t>
      </w:r>
      <w:r>
        <w:t>technical</w:t>
      </w:r>
      <w:r>
        <w:rPr>
          <w:spacing w:val="-8"/>
        </w:rPr>
        <w:t xml:space="preserve"> </w:t>
      </w:r>
      <w:r>
        <w:t>engagement on the following central issues:</w:t>
      </w:r>
    </w:p>
    <w:p w:rsidR="000D2DCD" w:rsidRDefault="00F81CE0" w14:paraId="1074E225" w14:textId="77777777">
      <w:pPr>
        <w:pStyle w:val="ListParagraph"/>
        <w:numPr>
          <w:ilvl w:val="2"/>
          <w:numId w:val="13"/>
        </w:numPr>
        <w:tabs>
          <w:tab w:val="left" w:pos="2199"/>
        </w:tabs>
        <w:spacing w:before="118"/>
        <w:ind w:left="2199" w:right="0" w:hanging="719"/>
        <w:jc w:val="both"/>
      </w:pPr>
      <w:r>
        <w:t>The</w:t>
      </w:r>
      <w:r>
        <w:rPr>
          <w:spacing w:val="-6"/>
        </w:rPr>
        <w:t xml:space="preserve"> </w:t>
      </w:r>
      <w:r>
        <w:t>selected</w:t>
      </w:r>
      <w:r>
        <w:rPr>
          <w:spacing w:val="-6"/>
        </w:rPr>
        <w:t xml:space="preserve"> </w:t>
      </w:r>
      <w:r>
        <w:rPr>
          <w:spacing w:val="-2"/>
        </w:rPr>
        <w:t>comparator</w:t>
      </w:r>
    </w:p>
    <w:p w:rsidR="000D2DCD" w:rsidRDefault="00F81CE0" w14:paraId="1074E226" w14:textId="77777777">
      <w:pPr>
        <w:pStyle w:val="ListParagraph"/>
        <w:numPr>
          <w:ilvl w:val="2"/>
          <w:numId w:val="13"/>
        </w:numPr>
        <w:tabs>
          <w:tab w:val="left" w:pos="2199"/>
        </w:tabs>
        <w:spacing w:before="160"/>
        <w:ind w:left="2199" w:right="0" w:hanging="719"/>
        <w:jc w:val="both"/>
      </w:pPr>
      <w:r>
        <w:t>Agreed</w:t>
      </w:r>
      <w:r>
        <w:rPr>
          <w:spacing w:val="-7"/>
        </w:rPr>
        <w:t xml:space="preserve"> </w:t>
      </w:r>
      <w:r>
        <w:t>dosing</w:t>
      </w:r>
      <w:r>
        <w:rPr>
          <w:spacing w:val="-4"/>
        </w:rPr>
        <w:t xml:space="preserve"> </w:t>
      </w:r>
      <w:r>
        <w:t>for</w:t>
      </w:r>
      <w:r>
        <w:rPr>
          <w:spacing w:val="-9"/>
        </w:rPr>
        <w:t xml:space="preserve"> </w:t>
      </w:r>
      <w:r>
        <w:t>fenfluramine</w:t>
      </w:r>
      <w:r>
        <w:rPr>
          <w:spacing w:val="-4"/>
        </w:rPr>
        <w:t xml:space="preserve"> </w:t>
      </w:r>
      <w:r>
        <w:t>and</w:t>
      </w:r>
      <w:r>
        <w:rPr>
          <w:spacing w:val="-6"/>
        </w:rPr>
        <w:t xml:space="preserve"> </w:t>
      </w:r>
      <w:r>
        <w:rPr>
          <w:spacing w:val="-2"/>
        </w:rPr>
        <w:t>cannabidiol</w:t>
      </w:r>
    </w:p>
    <w:p w:rsidR="000D2DCD" w:rsidRDefault="00F81CE0" w14:paraId="1074E227" w14:textId="77777777">
      <w:pPr>
        <w:pStyle w:val="ListParagraph"/>
        <w:numPr>
          <w:ilvl w:val="2"/>
          <w:numId w:val="13"/>
        </w:numPr>
        <w:tabs>
          <w:tab w:val="left" w:pos="2199"/>
        </w:tabs>
        <w:spacing w:before="160"/>
        <w:ind w:left="2199" w:right="0" w:hanging="719"/>
        <w:jc w:val="both"/>
      </w:pPr>
      <w:r>
        <w:t>Agreeing</w:t>
      </w:r>
      <w:r>
        <w:rPr>
          <w:spacing w:val="-7"/>
        </w:rPr>
        <w:t xml:space="preserve"> </w:t>
      </w:r>
      <w:r>
        <w:t>efficacy</w:t>
      </w:r>
      <w:r>
        <w:rPr>
          <w:spacing w:val="-8"/>
        </w:rPr>
        <w:t xml:space="preserve"> </w:t>
      </w:r>
      <w:r>
        <w:rPr>
          <w:spacing w:val="-2"/>
        </w:rPr>
        <w:t>assumptions</w:t>
      </w:r>
    </w:p>
    <w:p w:rsidR="000D2DCD" w:rsidRDefault="00F81CE0" w14:paraId="1074E228" w14:textId="77777777">
      <w:pPr>
        <w:spacing w:before="160" w:line="278" w:lineRule="auto"/>
        <w:ind w:left="1480" w:right="1548"/>
        <w:jc w:val="both"/>
      </w:pPr>
      <w:r>
        <w:t xml:space="preserve">UCB received a response from NICE that same day which stated </w:t>
      </w:r>
      <w:r>
        <w:rPr>
          <w:i/>
        </w:rPr>
        <w:t>“We have considered the potential benefit of technical engagement and do not believe it would make a material difference to the decision-making at the first committee meeting. Furthermore, it would delay the first committee meeting by</w:t>
      </w:r>
      <w:r>
        <w:rPr>
          <w:i/>
          <w:spacing w:val="-16"/>
        </w:rPr>
        <w:t xml:space="preserve"> </w:t>
      </w:r>
      <w:r>
        <w:rPr>
          <w:i/>
        </w:rPr>
        <w:t>a</w:t>
      </w:r>
      <w:r>
        <w:rPr>
          <w:i/>
          <w:spacing w:val="-15"/>
        </w:rPr>
        <w:t xml:space="preserve"> </w:t>
      </w:r>
      <w:r>
        <w:rPr>
          <w:i/>
        </w:rPr>
        <w:t>minimum</w:t>
      </w:r>
      <w:r>
        <w:rPr>
          <w:i/>
          <w:spacing w:val="-15"/>
        </w:rPr>
        <w:t xml:space="preserve"> </w:t>
      </w:r>
      <w:r>
        <w:rPr>
          <w:i/>
        </w:rPr>
        <w:t>of</w:t>
      </w:r>
      <w:r>
        <w:rPr>
          <w:i/>
          <w:spacing w:val="-14"/>
        </w:rPr>
        <w:t xml:space="preserve"> </w:t>
      </w:r>
      <w:r>
        <w:rPr>
          <w:i/>
        </w:rPr>
        <w:t>2</w:t>
      </w:r>
      <w:r>
        <w:rPr>
          <w:i/>
          <w:spacing w:val="-15"/>
        </w:rPr>
        <w:t xml:space="preserve"> </w:t>
      </w:r>
      <w:r>
        <w:rPr>
          <w:i/>
        </w:rPr>
        <w:t>months</w:t>
      </w:r>
      <w:r>
        <w:t>”.</w:t>
      </w:r>
      <w:r>
        <w:rPr>
          <w:spacing w:val="-14"/>
        </w:rPr>
        <w:t xml:space="preserve"> </w:t>
      </w:r>
      <w:r>
        <w:t>Such</w:t>
      </w:r>
      <w:r>
        <w:rPr>
          <w:spacing w:val="-14"/>
        </w:rPr>
        <w:t xml:space="preserve"> </w:t>
      </w:r>
      <w:r>
        <w:t>a</w:t>
      </w:r>
      <w:r>
        <w:rPr>
          <w:spacing w:val="-16"/>
        </w:rPr>
        <w:t xml:space="preserve"> </w:t>
      </w:r>
      <w:r>
        <w:t>delay</w:t>
      </w:r>
      <w:r>
        <w:rPr>
          <w:spacing w:val="-15"/>
        </w:rPr>
        <w:t xml:space="preserve"> </w:t>
      </w:r>
      <w:r>
        <w:t>to</w:t>
      </w:r>
      <w:r>
        <w:rPr>
          <w:spacing w:val="-15"/>
        </w:rPr>
        <w:t xml:space="preserve"> </w:t>
      </w:r>
      <w:r>
        <w:t>ACM1</w:t>
      </w:r>
      <w:r>
        <w:rPr>
          <w:spacing w:val="-11"/>
        </w:rPr>
        <w:t xml:space="preserve"> </w:t>
      </w:r>
      <w:r>
        <w:t>would</w:t>
      </w:r>
      <w:r>
        <w:rPr>
          <w:spacing w:val="-14"/>
        </w:rPr>
        <w:t xml:space="preserve"> </w:t>
      </w:r>
      <w:r>
        <w:t>have</w:t>
      </w:r>
      <w:r>
        <w:rPr>
          <w:spacing w:val="-14"/>
        </w:rPr>
        <w:t xml:space="preserve"> </w:t>
      </w:r>
      <w:r>
        <w:t>been</w:t>
      </w:r>
      <w:r>
        <w:rPr>
          <w:spacing w:val="-14"/>
        </w:rPr>
        <w:t xml:space="preserve"> </w:t>
      </w:r>
      <w:r>
        <w:t>accepted by UCB, given the complexities of the appraisal and the importance of resolving key issues.</w:t>
      </w:r>
    </w:p>
    <w:p w:rsidR="000D2DCD" w:rsidRDefault="00F81CE0" w14:paraId="1074E229" w14:textId="77777777">
      <w:pPr>
        <w:pStyle w:val="ListParagraph"/>
        <w:numPr>
          <w:ilvl w:val="0"/>
          <w:numId w:val="15"/>
        </w:numPr>
        <w:tabs>
          <w:tab w:val="left" w:pos="1444"/>
          <w:tab w:val="left" w:pos="1446"/>
        </w:tabs>
        <w:spacing w:before="118" w:line="278" w:lineRule="auto"/>
        <w:jc w:val="both"/>
      </w:pPr>
      <w:r>
        <w:t xml:space="preserve">On 17th November 2023 NICE emailed UCB referring to paragraph 5.7.2 of NICE’s Manual and stating </w:t>
      </w:r>
      <w:r>
        <w:rPr>
          <w:i/>
        </w:rPr>
        <w:t>“we do not believe these criteria have been met. The</w:t>
      </w:r>
      <w:r>
        <w:rPr>
          <w:i/>
          <w:spacing w:val="-7"/>
        </w:rPr>
        <w:t xml:space="preserve"> </w:t>
      </w:r>
      <w:r>
        <w:rPr>
          <w:i/>
        </w:rPr>
        <w:t>table</w:t>
      </w:r>
      <w:r>
        <w:rPr>
          <w:i/>
          <w:spacing w:val="-5"/>
        </w:rPr>
        <w:t xml:space="preserve"> </w:t>
      </w:r>
      <w:r>
        <w:rPr>
          <w:i/>
        </w:rPr>
        <w:t>below</w:t>
      </w:r>
      <w:r>
        <w:rPr>
          <w:i/>
          <w:spacing w:val="-6"/>
        </w:rPr>
        <w:t xml:space="preserve"> </w:t>
      </w:r>
      <w:r>
        <w:rPr>
          <w:i/>
        </w:rPr>
        <w:t>provides</w:t>
      </w:r>
      <w:r>
        <w:rPr>
          <w:i/>
          <w:spacing w:val="-7"/>
        </w:rPr>
        <w:t xml:space="preserve"> </w:t>
      </w:r>
      <w:r>
        <w:rPr>
          <w:i/>
        </w:rPr>
        <w:t>a</w:t>
      </w:r>
      <w:r>
        <w:rPr>
          <w:i/>
          <w:spacing w:val="-7"/>
        </w:rPr>
        <w:t xml:space="preserve"> </w:t>
      </w:r>
      <w:r>
        <w:rPr>
          <w:i/>
        </w:rPr>
        <w:t>rationale</w:t>
      </w:r>
      <w:r>
        <w:rPr>
          <w:i/>
          <w:spacing w:val="-7"/>
        </w:rPr>
        <w:t xml:space="preserve"> </w:t>
      </w:r>
      <w:r>
        <w:rPr>
          <w:i/>
        </w:rPr>
        <w:t>for</w:t>
      </w:r>
      <w:r>
        <w:rPr>
          <w:i/>
          <w:spacing w:val="-9"/>
        </w:rPr>
        <w:t xml:space="preserve"> </w:t>
      </w:r>
      <w:r>
        <w:rPr>
          <w:i/>
        </w:rPr>
        <w:t>the</w:t>
      </w:r>
      <w:r>
        <w:rPr>
          <w:i/>
          <w:spacing w:val="-8"/>
        </w:rPr>
        <w:t xml:space="preserve"> </w:t>
      </w:r>
      <w:r>
        <w:rPr>
          <w:i/>
        </w:rPr>
        <w:t>specific</w:t>
      </w:r>
      <w:r>
        <w:rPr>
          <w:i/>
          <w:spacing w:val="-5"/>
        </w:rPr>
        <w:t xml:space="preserve"> </w:t>
      </w:r>
      <w:r>
        <w:rPr>
          <w:i/>
        </w:rPr>
        <w:t>points</w:t>
      </w:r>
      <w:r>
        <w:rPr>
          <w:i/>
          <w:spacing w:val="-7"/>
        </w:rPr>
        <w:t xml:space="preserve"> </w:t>
      </w:r>
      <w:r>
        <w:rPr>
          <w:i/>
        </w:rPr>
        <w:t>you’ve</w:t>
      </w:r>
      <w:r>
        <w:rPr>
          <w:i/>
          <w:spacing w:val="-5"/>
        </w:rPr>
        <w:t xml:space="preserve"> </w:t>
      </w:r>
      <w:r>
        <w:rPr>
          <w:i/>
        </w:rPr>
        <w:t>highlighted. Consequently, we will be proceeding directly to the committee meeting in January without a technical engagement step”.</w:t>
      </w:r>
    </w:p>
    <w:p w:rsidR="000D2DCD" w:rsidRDefault="000D2DCD" w14:paraId="1074E22A" w14:textId="77777777">
      <w:pPr>
        <w:pStyle w:val="BodyText"/>
        <w:rPr>
          <w:i/>
          <w:sz w:val="20"/>
        </w:rPr>
      </w:pPr>
    </w:p>
    <w:p w:rsidR="000D2DCD" w:rsidRDefault="000D2DCD" w14:paraId="1074E22B" w14:textId="77777777">
      <w:pPr>
        <w:pStyle w:val="BodyText"/>
        <w:rPr>
          <w:i/>
          <w:sz w:val="20"/>
        </w:rPr>
      </w:pPr>
    </w:p>
    <w:p w:rsidR="000D2DCD" w:rsidRDefault="000D2DCD" w14:paraId="1074E22C" w14:textId="77777777">
      <w:pPr>
        <w:pStyle w:val="BodyText"/>
        <w:spacing w:before="96"/>
        <w:rPr>
          <w:i/>
          <w:sz w:val="20"/>
        </w:rPr>
      </w:pPr>
    </w:p>
    <w:tbl>
      <w:tblPr>
        <w:tblW w:w="0" w:type="auto"/>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24"/>
        <w:gridCol w:w="2953"/>
        <w:gridCol w:w="2070"/>
        <w:gridCol w:w="1967"/>
      </w:tblGrid>
      <w:tr w:rsidR="000D2DCD" w14:paraId="1074E231" w14:textId="77777777">
        <w:trPr>
          <w:trHeight w:val="969"/>
        </w:trPr>
        <w:tc>
          <w:tcPr>
            <w:tcW w:w="2624" w:type="dxa"/>
          </w:tcPr>
          <w:p w:rsidR="000D2DCD" w:rsidRDefault="00F81CE0" w14:paraId="1074E22D" w14:textId="77777777">
            <w:pPr>
              <w:pStyle w:val="TableParagraph"/>
              <w:spacing w:line="248" w:lineRule="exact"/>
              <w:ind w:left="107"/>
              <w:rPr>
                <w:b/>
              </w:rPr>
            </w:pPr>
            <w:r>
              <w:rPr>
                <w:b/>
                <w:spacing w:val="-2"/>
              </w:rPr>
              <w:t>Issue</w:t>
            </w:r>
          </w:p>
        </w:tc>
        <w:tc>
          <w:tcPr>
            <w:tcW w:w="2953" w:type="dxa"/>
          </w:tcPr>
          <w:p w:rsidR="000D2DCD" w:rsidRDefault="00F81CE0" w14:paraId="1074E22E" w14:textId="77777777">
            <w:pPr>
              <w:pStyle w:val="TableParagraph"/>
              <w:ind w:left="107"/>
              <w:rPr>
                <w:b/>
              </w:rPr>
            </w:pPr>
            <w:r>
              <w:rPr>
                <w:b/>
              </w:rPr>
              <w:t>Steps</w:t>
            </w:r>
            <w:r>
              <w:rPr>
                <w:b/>
                <w:spacing w:val="-12"/>
              </w:rPr>
              <w:t xml:space="preserve"> </w:t>
            </w:r>
            <w:r>
              <w:rPr>
                <w:b/>
              </w:rPr>
              <w:t>taken</w:t>
            </w:r>
            <w:r>
              <w:rPr>
                <w:b/>
                <w:spacing w:val="-14"/>
              </w:rPr>
              <w:t xml:space="preserve"> </w:t>
            </w:r>
            <w:r>
              <w:rPr>
                <w:b/>
              </w:rPr>
              <w:t>to</w:t>
            </w:r>
            <w:r>
              <w:rPr>
                <w:b/>
                <w:spacing w:val="-13"/>
              </w:rPr>
              <w:t xml:space="preserve"> </w:t>
            </w:r>
            <w:r>
              <w:rPr>
                <w:b/>
              </w:rPr>
              <w:t xml:space="preserve">resolve </w:t>
            </w:r>
            <w:r>
              <w:rPr>
                <w:b/>
                <w:spacing w:val="-2"/>
              </w:rPr>
              <w:t>issue</w:t>
            </w:r>
          </w:p>
        </w:tc>
        <w:tc>
          <w:tcPr>
            <w:tcW w:w="2070" w:type="dxa"/>
          </w:tcPr>
          <w:p w:rsidR="000D2DCD" w:rsidRDefault="00F81CE0" w14:paraId="1074E22F" w14:textId="77777777">
            <w:pPr>
              <w:pStyle w:val="TableParagraph"/>
              <w:ind w:left="106" w:right="139"/>
              <w:rPr>
                <w:b/>
              </w:rPr>
            </w:pPr>
            <w:r>
              <w:rPr>
                <w:b/>
                <w:spacing w:val="-2"/>
              </w:rPr>
              <w:t xml:space="preserve">Committee </w:t>
            </w:r>
            <w:r>
              <w:rPr>
                <w:b/>
              </w:rPr>
              <w:t>decision</w:t>
            </w:r>
            <w:r>
              <w:rPr>
                <w:b/>
                <w:spacing w:val="-16"/>
              </w:rPr>
              <w:t xml:space="preserve"> </w:t>
            </w:r>
            <w:r>
              <w:rPr>
                <w:b/>
              </w:rPr>
              <w:t>needed</w:t>
            </w:r>
          </w:p>
        </w:tc>
        <w:tc>
          <w:tcPr>
            <w:tcW w:w="1967" w:type="dxa"/>
          </w:tcPr>
          <w:p w:rsidR="000D2DCD" w:rsidRDefault="00F81CE0" w14:paraId="1074E230" w14:textId="77777777">
            <w:pPr>
              <w:pStyle w:val="TableParagraph"/>
              <w:ind w:left="106"/>
              <w:rPr>
                <w:b/>
              </w:rPr>
            </w:pPr>
            <w:r>
              <w:rPr>
                <w:b/>
              </w:rPr>
              <w:t>Is</w:t>
            </w:r>
            <w:r>
              <w:rPr>
                <w:b/>
                <w:spacing w:val="-12"/>
              </w:rPr>
              <w:t xml:space="preserve"> </w:t>
            </w:r>
            <w:r>
              <w:rPr>
                <w:b/>
              </w:rPr>
              <w:t>TE</w:t>
            </w:r>
            <w:r>
              <w:rPr>
                <w:b/>
                <w:spacing w:val="-12"/>
              </w:rPr>
              <w:t xml:space="preserve"> </w:t>
            </w:r>
            <w:r>
              <w:rPr>
                <w:b/>
              </w:rPr>
              <w:t>required</w:t>
            </w:r>
            <w:r>
              <w:rPr>
                <w:b/>
                <w:spacing w:val="-13"/>
              </w:rPr>
              <w:t xml:space="preserve"> </w:t>
            </w:r>
            <w:r>
              <w:rPr>
                <w:b/>
              </w:rPr>
              <w:t>to resolve this?</w:t>
            </w:r>
          </w:p>
        </w:tc>
      </w:tr>
      <w:tr w:rsidR="000D2DCD" w14:paraId="1074E237" w14:textId="77777777">
        <w:trPr>
          <w:trHeight w:val="1731"/>
        </w:trPr>
        <w:tc>
          <w:tcPr>
            <w:tcW w:w="2624" w:type="dxa"/>
          </w:tcPr>
          <w:p w:rsidR="000D2DCD" w:rsidRDefault="00F81CE0" w14:paraId="1074E232" w14:textId="77777777">
            <w:pPr>
              <w:pStyle w:val="TableParagraph"/>
              <w:ind w:left="107"/>
            </w:pPr>
            <w:r>
              <w:t>Most</w:t>
            </w:r>
            <w:r>
              <w:rPr>
                <w:spacing w:val="-16"/>
              </w:rPr>
              <w:t xml:space="preserve"> </w:t>
            </w:r>
            <w:r>
              <w:t xml:space="preserve">appropriate </w:t>
            </w:r>
            <w:r>
              <w:rPr>
                <w:spacing w:val="-2"/>
              </w:rPr>
              <w:t>comparator</w:t>
            </w:r>
          </w:p>
        </w:tc>
        <w:tc>
          <w:tcPr>
            <w:tcW w:w="2953" w:type="dxa"/>
          </w:tcPr>
          <w:p w:rsidR="000D2DCD" w:rsidRDefault="00F81CE0" w14:paraId="1074E233" w14:textId="77777777">
            <w:pPr>
              <w:pStyle w:val="TableParagraph"/>
              <w:numPr>
                <w:ilvl w:val="0"/>
                <w:numId w:val="12"/>
              </w:numPr>
              <w:tabs>
                <w:tab w:val="left" w:pos="467"/>
              </w:tabs>
              <w:spacing w:before="1" w:line="237" w:lineRule="auto"/>
              <w:ind w:right="713"/>
            </w:pPr>
            <w:r>
              <w:t>EAG</w:t>
            </w:r>
            <w:r>
              <w:rPr>
                <w:spacing w:val="-16"/>
              </w:rPr>
              <w:t xml:space="preserve"> </w:t>
            </w:r>
            <w:r>
              <w:t>requested</w:t>
            </w:r>
            <w:r>
              <w:rPr>
                <w:spacing w:val="-15"/>
              </w:rPr>
              <w:t xml:space="preserve"> </w:t>
            </w:r>
            <w:r>
              <w:t>at clarification stage</w:t>
            </w:r>
          </w:p>
          <w:p w:rsidR="000D2DCD" w:rsidRDefault="00F81CE0" w14:paraId="1074E234" w14:textId="77777777">
            <w:pPr>
              <w:pStyle w:val="TableParagraph"/>
              <w:numPr>
                <w:ilvl w:val="0"/>
                <w:numId w:val="12"/>
              </w:numPr>
              <w:tabs>
                <w:tab w:val="left" w:pos="467"/>
              </w:tabs>
              <w:spacing w:before="1"/>
              <w:ind w:right="398"/>
            </w:pPr>
            <w:r>
              <w:t>Company provided justification</w:t>
            </w:r>
            <w:r>
              <w:rPr>
                <w:spacing w:val="-13"/>
              </w:rPr>
              <w:t xml:space="preserve"> </w:t>
            </w:r>
            <w:r>
              <w:t>why</w:t>
            </w:r>
            <w:r>
              <w:rPr>
                <w:spacing w:val="-15"/>
              </w:rPr>
              <w:t xml:space="preserve"> </w:t>
            </w:r>
            <w:r>
              <w:t>it</w:t>
            </w:r>
            <w:r>
              <w:rPr>
                <w:spacing w:val="-12"/>
              </w:rPr>
              <w:t xml:space="preserve"> </w:t>
            </w:r>
            <w:r>
              <w:t>did not wish to do so</w:t>
            </w:r>
          </w:p>
        </w:tc>
        <w:tc>
          <w:tcPr>
            <w:tcW w:w="2070" w:type="dxa"/>
          </w:tcPr>
          <w:p w:rsidR="000D2DCD" w:rsidRDefault="00F81CE0" w14:paraId="1074E235" w14:textId="77777777">
            <w:pPr>
              <w:pStyle w:val="TableParagraph"/>
              <w:ind w:left="106" w:right="139"/>
            </w:pPr>
            <w:r>
              <w:t>To</w:t>
            </w:r>
            <w:r>
              <w:rPr>
                <w:spacing w:val="-13"/>
              </w:rPr>
              <w:t xml:space="preserve"> </w:t>
            </w:r>
            <w:r>
              <w:t>judge</w:t>
            </w:r>
            <w:r>
              <w:rPr>
                <w:spacing w:val="-13"/>
              </w:rPr>
              <w:t xml:space="preserve"> </w:t>
            </w:r>
            <w:r>
              <w:t>what</w:t>
            </w:r>
            <w:r>
              <w:rPr>
                <w:spacing w:val="-10"/>
              </w:rPr>
              <w:t xml:space="preserve"> </w:t>
            </w:r>
            <w:r>
              <w:t>the most appropriate comparators are</w:t>
            </w:r>
          </w:p>
        </w:tc>
        <w:tc>
          <w:tcPr>
            <w:tcW w:w="1967" w:type="dxa"/>
          </w:tcPr>
          <w:p w:rsidR="000D2DCD" w:rsidRDefault="00F81CE0" w14:paraId="1074E236" w14:textId="77777777">
            <w:pPr>
              <w:pStyle w:val="TableParagraph"/>
              <w:spacing w:line="253" w:lineRule="exact"/>
              <w:ind w:left="106"/>
            </w:pPr>
            <w:r>
              <w:rPr>
                <w:spacing w:val="-5"/>
              </w:rPr>
              <w:t>No</w:t>
            </w:r>
          </w:p>
        </w:tc>
      </w:tr>
    </w:tbl>
    <w:p w:rsidR="000D2DCD" w:rsidRDefault="000D2DCD" w14:paraId="1074E238" w14:textId="77777777">
      <w:pPr>
        <w:spacing w:line="253" w:lineRule="exact"/>
        <w:sectPr w:rsidR="000D2DCD">
          <w:pgSz w:w="11910" w:h="16840" w:orient="portrait"/>
          <w:pgMar w:top="860" w:right="360" w:bottom="1200" w:left="1040" w:header="182" w:footer="1007" w:gutter="0"/>
          <w:cols w:space="720"/>
        </w:sectPr>
      </w:pPr>
    </w:p>
    <w:p w:rsidR="000D2DCD" w:rsidRDefault="000D2DCD" w14:paraId="1074E239" w14:textId="77777777">
      <w:pPr>
        <w:pStyle w:val="BodyText"/>
        <w:rPr>
          <w:i/>
          <w:sz w:val="20"/>
        </w:rPr>
      </w:pPr>
    </w:p>
    <w:p w:rsidR="000D2DCD" w:rsidRDefault="000D2DCD" w14:paraId="1074E23A" w14:textId="77777777">
      <w:pPr>
        <w:pStyle w:val="BodyText"/>
        <w:spacing w:before="98"/>
        <w:rPr>
          <w:i/>
          <w:sz w:val="20"/>
        </w:rPr>
      </w:pPr>
    </w:p>
    <w:tbl>
      <w:tblPr>
        <w:tblW w:w="0" w:type="auto"/>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24"/>
        <w:gridCol w:w="2953"/>
        <w:gridCol w:w="2070"/>
        <w:gridCol w:w="1967"/>
      </w:tblGrid>
      <w:tr w:rsidR="000D2DCD" w14:paraId="1074E241" w14:textId="77777777">
        <w:trPr>
          <w:trHeight w:val="1518"/>
        </w:trPr>
        <w:tc>
          <w:tcPr>
            <w:tcW w:w="2624" w:type="dxa"/>
            <w:tcBorders>
              <w:top w:val="nil"/>
              <w:bottom w:val="nil"/>
            </w:tcBorders>
          </w:tcPr>
          <w:p w:rsidR="000D2DCD" w:rsidRDefault="00F81CE0" w14:paraId="1074E23B" w14:textId="77777777">
            <w:pPr>
              <w:pStyle w:val="TableParagraph"/>
              <w:ind w:left="107"/>
            </w:pPr>
            <w:r>
              <w:t>Dosing</w:t>
            </w:r>
            <w:r>
              <w:rPr>
                <w:spacing w:val="-16"/>
              </w:rPr>
              <w:t xml:space="preserve"> </w:t>
            </w:r>
            <w:r>
              <w:t>for</w:t>
            </w:r>
            <w:r>
              <w:rPr>
                <w:spacing w:val="-15"/>
              </w:rPr>
              <w:t xml:space="preserve"> </w:t>
            </w:r>
            <w:r>
              <w:t>fenfluramine and cannabidiol</w:t>
            </w:r>
          </w:p>
        </w:tc>
        <w:tc>
          <w:tcPr>
            <w:tcW w:w="2953" w:type="dxa"/>
            <w:tcBorders>
              <w:top w:val="nil"/>
              <w:bottom w:val="nil"/>
            </w:tcBorders>
          </w:tcPr>
          <w:p w:rsidR="000D2DCD" w:rsidRDefault="00F81CE0" w14:paraId="1074E23C" w14:textId="77777777">
            <w:pPr>
              <w:pStyle w:val="TableParagraph"/>
              <w:spacing w:line="250" w:lineRule="exact"/>
              <w:ind w:left="107"/>
            </w:pPr>
            <w:r>
              <w:rPr>
                <w:spacing w:val="-2"/>
                <w:u w:val="single"/>
              </w:rPr>
              <w:t>Fenfluramine</w:t>
            </w:r>
          </w:p>
          <w:p w:rsidR="000D2DCD" w:rsidRDefault="00F81CE0" w14:paraId="1074E23D" w14:textId="77777777">
            <w:pPr>
              <w:pStyle w:val="TableParagraph"/>
              <w:ind w:left="107" w:right="143"/>
            </w:pPr>
            <w:r>
              <w:t>N/A- company lowered base case maintenance dose</w:t>
            </w:r>
            <w:r>
              <w:rPr>
                <w:spacing w:val="-13"/>
              </w:rPr>
              <w:t xml:space="preserve"> </w:t>
            </w:r>
            <w:r>
              <w:t>at</w:t>
            </w:r>
            <w:r>
              <w:rPr>
                <w:spacing w:val="-13"/>
              </w:rPr>
              <w:t xml:space="preserve"> </w:t>
            </w:r>
            <w:r>
              <w:t>clarification</w:t>
            </w:r>
            <w:r>
              <w:rPr>
                <w:spacing w:val="-13"/>
              </w:rPr>
              <w:t xml:space="preserve"> </w:t>
            </w:r>
            <w:r>
              <w:t>stage and provided rationale</w:t>
            </w:r>
          </w:p>
        </w:tc>
        <w:tc>
          <w:tcPr>
            <w:tcW w:w="2070" w:type="dxa"/>
            <w:tcBorders>
              <w:top w:val="nil"/>
              <w:bottom w:val="nil"/>
            </w:tcBorders>
          </w:tcPr>
          <w:p w:rsidR="000D2DCD" w:rsidRDefault="00F81CE0" w14:paraId="1074E23E" w14:textId="77777777">
            <w:pPr>
              <w:pStyle w:val="TableParagraph"/>
              <w:ind w:left="106" w:right="139"/>
            </w:pPr>
            <w:r>
              <w:t xml:space="preserve">To assess the </w:t>
            </w:r>
            <w:r>
              <w:rPr>
                <w:spacing w:val="-2"/>
              </w:rPr>
              <w:t xml:space="preserve">appropriate maintenance </w:t>
            </w:r>
            <w:r>
              <w:t>doses for</w:t>
            </w:r>
          </w:p>
          <w:p w:rsidR="000D2DCD" w:rsidRDefault="00F81CE0" w14:paraId="1074E23F" w14:textId="77777777">
            <w:pPr>
              <w:pStyle w:val="TableParagraph"/>
              <w:spacing w:line="252" w:lineRule="exact"/>
              <w:ind w:left="106" w:right="139"/>
            </w:pPr>
            <w:r>
              <w:t>fenfluramine</w:t>
            </w:r>
            <w:r>
              <w:rPr>
                <w:spacing w:val="-16"/>
              </w:rPr>
              <w:t xml:space="preserve"> </w:t>
            </w:r>
            <w:r>
              <w:t xml:space="preserve">and </w:t>
            </w:r>
            <w:r>
              <w:rPr>
                <w:spacing w:val="-2"/>
              </w:rPr>
              <w:t>cannabidiol</w:t>
            </w:r>
          </w:p>
        </w:tc>
        <w:tc>
          <w:tcPr>
            <w:tcW w:w="1967" w:type="dxa"/>
            <w:tcBorders>
              <w:top w:val="nil"/>
              <w:bottom w:val="nil"/>
            </w:tcBorders>
          </w:tcPr>
          <w:p w:rsidR="000D2DCD" w:rsidRDefault="00F81CE0" w14:paraId="1074E240" w14:textId="77777777">
            <w:pPr>
              <w:pStyle w:val="TableParagraph"/>
              <w:ind w:left="106" w:right="137"/>
            </w:pPr>
            <w:r>
              <w:t>No - clinical expert opinion can</w:t>
            </w:r>
            <w:r>
              <w:rPr>
                <w:spacing w:val="-12"/>
              </w:rPr>
              <w:t xml:space="preserve"> </w:t>
            </w:r>
            <w:r>
              <w:t>be</w:t>
            </w:r>
            <w:r>
              <w:rPr>
                <w:spacing w:val="-12"/>
              </w:rPr>
              <w:t xml:space="preserve"> </w:t>
            </w:r>
            <w:r>
              <w:t>sought</w:t>
            </w:r>
            <w:r>
              <w:rPr>
                <w:spacing w:val="-13"/>
              </w:rPr>
              <w:t xml:space="preserve"> </w:t>
            </w:r>
            <w:r>
              <w:t xml:space="preserve">at </w:t>
            </w:r>
            <w:r>
              <w:rPr>
                <w:spacing w:val="-2"/>
              </w:rPr>
              <w:t>committee meeting</w:t>
            </w:r>
          </w:p>
        </w:tc>
      </w:tr>
      <w:tr w:rsidR="000D2DCD" w14:paraId="1074E248" w14:textId="77777777">
        <w:trPr>
          <w:trHeight w:val="2395"/>
        </w:trPr>
        <w:tc>
          <w:tcPr>
            <w:tcW w:w="2624" w:type="dxa"/>
            <w:tcBorders>
              <w:top w:val="nil"/>
            </w:tcBorders>
          </w:tcPr>
          <w:p w:rsidR="000D2DCD" w:rsidRDefault="000D2DCD" w14:paraId="1074E242" w14:textId="77777777">
            <w:pPr>
              <w:pStyle w:val="TableParagraph"/>
              <w:ind w:left="0"/>
              <w:rPr>
                <w:rFonts w:ascii="Times New Roman"/>
                <w:sz w:val="20"/>
              </w:rPr>
            </w:pPr>
          </w:p>
        </w:tc>
        <w:tc>
          <w:tcPr>
            <w:tcW w:w="2953" w:type="dxa"/>
            <w:tcBorders>
              <w:top w:val="nil"/>
            </w:tcBorders>
          </w:tcPr>
          <w:p w:rsidR="000D2DCD" w:rsidRDefault="00F81CE0" w14:paraId="1074E243" w14:textId="77777777">
            <w:pPr>
              <w:pStyle w:val="TableParagraph"/>
              <w:spacing w:line="249" w:lineRule="exact"/>
              <w:ind w:left="107"/>
            </w:pPr>
            <w:r>
              <w:rPr>
                <w:spacing w:val="-2"/>
                <w:u w:val="single"/>
              </w:rPr>
              <w:t>Cannabidiol</w:t>
            </w:r>
          </w:p>
          <w:p w:rsidR="000D2DCD" w:rsidRDefault="00F81CE0" w14:paraId="1074E244" w14:textId="77777777">
            <w:pPr>
              <w:pStyle w:val="TableParagraph"/>
              <w:numPr>
                <w:ilvl w:val="0"/>
                <w:numId w:val="11"/>
              </w:numPr>
              <w:tabs>
                <w:tab w:val="left" w:pos="467"/>
              </w:tabs>
              <w:spacing w:before="1"/>
              <w:ind w:right="420"/>
            </w:pPr>
            <w:r>
              <w:t>EAG requested rationale for maintenance</w:t>
            </w:r>
            <w:r>
              <w:rPr>
                <w:spacing w:val="-16"/>
              </w:rPr>
              <w:t xml:space="preserve"> </w:t>
            </w:r>
            <w:r>
              <w:t>dose</w:t>
            </w:r>
            <w:r>
              <w:rPr>
                <w:spacing w:val="-15"/>
              </w:rPr>
              <w:t xml:space="preserve"> </w:t>
            </w:r>
            <w:r>
              <w:t>at clarification stage</w:t>
            </w:r>
          </w:p>
          <w:p w:rsidR="000D2DCD" w:rsidRDefault="00F81CE0" w14:paraId="1074E245" w14:textId="77777777">
            <w:pPr>
              <w:pStyle w:val="TableParagraph"/>
              <w:numPr>
                <w:ilvl w:val="0"/>
                <w:numId w:val="11"/>
              </w:numPr>
              <w:tabs>
                <w:tab w:val="left" w:pos="467"/>
              </w:tabs>
              <w:spacing w:before="1" w:line="237" w:lineRule="auto"/>
              <w:ind w:right="88"/>
            </w:pPr>
            <w:r>
              <w:t>Company provided rationale</w:t>
            </w:r>
            <w:r>
              <w:rPr>
                <w:spacing w:val="-14"/>
              </w:rPr>
              <w:t xml:space="preserve"> </w:t>
            </w:r>
            <w:r>
              <w:t>for</w:t>
            </w:r>
            <w:r>
              <w:rPr>
                <w:spacing w:val="-11"/>
              </w:rPr>
              <w:t xml:space="preserve"> </w:t>
            </w:r>
            <w:r>
              <w:t>higher</w:t>
            </w:r>
            <w:r>
              <w:rPr>
                <w:spacing w:val="-11"/>
              </w:rPr>
              <w:t xml:space="preserve"> </w:t>
            </w:r>
            <w:r>
              <w:t>dose</w:t>
            </w:r>
          </w:p>
        </w:tc>
        <w:tc>
          <w:tcPr>
            <w:tcW w:w="2070" w:type="dxa"/>
            <w:tcBorders>
              <w:top w:val="nil"/>
            </w:tcBorders>
          </w:tcPr>
          <w:p w:rsidR="000D2DCD" w:rsidRDefault="000D2DCD" w14:paraId="1074E246" w14:textId="77777777">
            <w:pPr>
              <w:pStyle w:val="TableParagraph"/>
              <w:ind w:left="0"/>
              <w:rPr>
                <w:rFonts w:ascii="Times New Roman"/>
                <w:sz w:val="20"/>
              </w:rPr>
            </w:pPr>
          </w:p>
        </w:tc>
        <w:tc>
          <w:tcPr>
            <w:tcW w:w="1967" w:type="dxa"/>
            <w:tcBorders>
              <w:top w:val="nil"/>
            </w:tcBorders>
          </w:tcPr>
          <w:p w:rsidR="000D2DCD" w:rsidRDefault="00F81CE0" w14:paraId="1074E247" w14:textId="77777777">
            <w:pPr>
              <w:pStyle w:val="TableParagraph"/>
              <w:ind w:left="106" w:right="137"/>
            </w:pPr>
            <w:r>
              <w:t>Additional</w:t>
            </w:r>
            <w:r>
              <w:rPr>
                <w:spacing w:val="-16"/>
              </w:rPr>
              <w:t xml:space="preserve"> </w:t>
            </w:r>
            <w:r>
              <w:t xml:space="preserve">clinical evidence can be provided for </w:t>
            </w:r>
            <w:r>
              <w:rPr>
                <w:spacing w:val="-2"/>
              </w:rPr>
              <w:t xml:space="preserve">committee </w:t>
            </w:r>
            <w:r>
              <w:t xml:space="preserve">consideration, if </w:t>
            </w:r>
            <w:r>
              <w:rPr>
                <w:spacing w:val="-2"/>
              </w:rPr>
              <w:t xml:space="preserve">required, </w:t>
            </w:r>
            <w:r>
              <w:t>following ACM1 (if</w:t>
            </w:r>
            <w:r>
              <w:rPr>
                <w:spacing w:val="-10"/>
              </w:rPr>
              <w:t xml:space="preserve"> </w:t>
            </w:r>
            <w:r>
              <w:t>DG</w:t>
            </w:r>
            <w:r>
              <w:rPr>
                <w:spacing w:val="-12"/>
              </w:rPr>
              <w:t xml:space="preserve"> </w:t>
            </w:r>
            <w:r>
              <w:t>is</w:t>
            </w:r>
            <w:r>
              <w:rPr>
                <w:spacing w:val="-15"/>
              </w:rPr>
              <w:t xml:space="preserve"> </w:t>
            </w:r>
            <w:r>
              <w:t>released following ACM1)</w:t>
            </w:r>
          </w:p>
        </w:tc>
      </w:tr>
      <w:tr w:rsidR="000D2DCD" w14:paraId="1074E251" w14:textId="77777777">
        <w:trPr>
          <w:trHeight w:val="2812"/>
        </w:trPr>
        <w:tc>
          <w:tcPr>
            <w:tcW w:w="2624" w:type="dxa"/>
          </w:tcPr>
          <w:p w:rsidR="000D2DCD" w:rsidRDefault="00F81CE0" w14:paraId="1074E249" w14:textId="77777777">
            <w:pPr>
              <w:pStyle w:val="TableParagraph"/>
              <w:ind w:left="107" w:right="291"/>
            </w:pPr>
            <w:r>
              <w:t>Efficacy assumptions- extrapolation of fenfluramine</w:t>
            </w:r>
            <w:r>
              <w:rPr>
                <w:spacing w:val="-16"/>
              </w:rPr>
              <w:t xml:space="preserve"> </w:t>
            </w:r>
            <w:r>
              <w:t xml:space="preserve">treatment </w:t>
            </w:r>
            <w:r>
              <w:rPr>
                <w:spacing w:val="-2"/>
              </w:rPr>
              <w:t>effect</w:t>
            </w:r>
          </w:p>
        </w:tc>
        <w:tc>
          <w:tcPr>
            <w:tcW w:w="2953" w:type="dxa"/>
          </w:tcPr>
          <w:p w:rsidR="000D2DCD" w:rsidRDefault="00F81CE0" w14:paraId="1074E24A" w14:textId="77777777">
            <w:pPr>
              <w:pStyle w:val="TableParagraph"/>
              <w:numPr>
                <w:ilvl w:val="0"/>
                <w:numId w:val="10"/>
              </w:numPr>
              <w:tabs>
                <w:tab w:val="left" w:pos="467"/>
              </w:tabs>
              <w:ind w:right="198"/>
            </w:pPr>
            <w:r>
              <w:t>EAG requested rationale for assumptions</w:t>
            </w:r>
            <w:r>
              <w:rPr>
                <w:spacing w:val="-16"/>
              </w:rPr>
              <w:t xml:space="preserve"> </w:t>
            </w:r>
            <w:r>
              <w:t>relating</w:t>
            </w:r>
            <w:r>
              <w:rPr>
                <w:spacing w:val="-15"/>
              </w:rPr>
              <w:t xml:space="preserve"> </w:t>
            </w:r>
            <w:r>
              <w:t xml:space="preserve">to extrapolation of treatment effect for fenfluramine for cycles </w:t>
            </w:r>
            <w:r>
              <w:rPr>
                <w:spacing w:val="-4"/>
              </w:rPr>
              <w:t>5-9.</w:t>
            </w:r>
          </w:p>
          <w:p w:rsidR="000D2DCD" w:rsidRDefault="00F81CE0" w14:paraId="1074E24B" w14:textId="77777777">
            <w:pPr>
              <w:pStyle w:val="TableParagraph"/>
              <w:numPr>
                <w:ilvl w:val="0"/>
                <w:numId w:val="10"/>
              </w:numPr>
              <w:tabs>
                <w:tab w:val="left" w:pos="467"/>
              </w:tabs>
              <w:spacing w:line="237" w:lineRule="auto"/>
              <w:ind w:right="617"/>
            </w:pPr>
            <w:r>
              <w:t>Company</w:t>
            </w:r>
            <w:r>
              <w:rPr>
                <w:spacing w:val="-16"/>
              </w:rPr>
              <w:t xml:space="preserve"> </w:t>
            </w:r>
            <w:r>
              <w:t>provided rationale why it considered the</w:t>
            </w:r>
          </w:p>
          <w:p w:rsidR="000D2DCD" w:rsidRDefault="00F81CE0" w14:paraId="1074E24C" w14:textId="77777777">
            <w:pPr>
              <w:pStyle w:val="TableParagraph"/>
              <w:spacing w:before="3" w:line="234" w:lineRule="exact"/>
              <w:ind w:left="467"/>
            </w:pPr>
            <w:r>
              <w:t>assumptions</w:t>
            </w:r>
            <w:r>
              <w:rPr>
                <w:spacing w:val="-10"/>
              </w:rPr>
              <w:t xml:space="preserve"> </w:t>
            </w:r>
            <w:r>
              <w:rPr>
                <w:spacing w:val="-2"/>
              </w:rPr>
              <w:t>plausible</w:t>
            </w:r>
          </w:p>
        </w:tc>
        <w:tc>
          <w:tcPr>
            <w:tcW w:w="2070" w:type="dxa"/>
          </w:tcPr>
          <w:p w:rsidR="000D2DCD" w:rsidRDefault="00F81CE0" w14:paraId="1074E24D" w14:textId="77777777">
            <w:pPr>
              <w:pStyle w:val="TableParagraph"/>
              <w:ind w:left="106" w:right="78"/>
            </w:pPr>
            <w:r>
              <w:t xml:space="preserve">To judge the most </w:t>
            </w:r>
            <w:r>
              <w:rPr>
                <w:spacing w:val="-2"/>
              </w:rPr>
              <w:t xml:space="preserve">suitable assumptions </w:t>
            </w:r>
            <w:r>
              <w:t>related to the extrapolation of treatment</w:t>
            </w:r>
            <w:r>
              <w:rPr>
                <w:spacing w:val="-16"/>
              </w:rPr>
              <w:t xml:space="preserve"> </w:t>
            </w:r>
            <w:r>
              <w:t>effect</w:t>
            </w:r>
            <w:r>
              <w:rPr>
                <w:spacing w:val="-15"/>
              </w:rPr>
              <w:t xml:space="preserve"> </w:t>
            </w:r>
            <w:r>
              <w:t>for fenfluramine for cycles 5-9</w:t>
            </w:r>
          </w:p>
        </w:tc>
        <w:tc>
          <w:tcPr>
            <w:tcW w:w="1967" w:type="dxa"/>
          </w:tcPr>
          <w:p w:rsidR="000D2DCD" w:rsidRDefault="00F81CE0" w14:paraId="1074E24E" w14:textId="77777777">
            <w:pPr>
              <w:pStyle w:val="TableParagraph"/>
              <w:spacing w:line="251" w:lineRule="exact"/>
              <w:ind w:left="106"/>
            </w:pPr>
            <w:r>
              <w:rPr>
                <w:spacing w:val="-5"/>
              </w:rPr>
              <w:t>No</w:t>
            </w:r>
          </w:p>
          <w:p w:rsidR="000D2DCD" w:rsidRDefault="000D2DCD" w14:paraId="1074E24F" w14:textId="77777777">
            <w:pPr>
              <w:pStyle w:val="TableParagraph"/>
              <w:ind w:left="0"/>
              <w:rPr>
                <w:i/>
              </w:rPr>
            </w:pPr>
          </w:p>
          <w:p w:rsidR="000D2DCD" w:rsidRDefault="00F81CE0" w14:paraId="1074E250" w14:textId="77777777">
            <w:pPr>
              <w:pStyle w:val="TableParagraph"/>
              <w:ind w:left="106" w:right="112"/>
            </w:pPr>
            <w:r>
              <w:t>Longer term data can</w:t>
            </w:r>
            <w:r>
              <w:rPr>
                <w:spacing w:val="-13"/>
              </w:rPr>
              <w:t xml:space="preserve"> </w:t>
            </w:r>
            <w:r>
              <w:t>be</w:t>
            </w:r>
            <w:r>
              <w:rPr>
                <w:spacing w:val="-13"/>
              </w:rPr>
              <w:t xml:space="preserve"> </w:t>
            </w:r>
            <w:r>
              <w:t>provided</w:t>
            </w:r>
            <w:r>
              <w:rPr>
                <w:spacing w:val="-13"/>
              </w:rPr>
              <w:t xml:space="preserve"> </w:t>
            </w:r>
            <w:r>
              <w:t>if available and required</w:t>
            </w:r>
            <w:r>
              <w:rPr>
                <w:spacing w:val="-16"/>
              </w:rPr>
              <w:t xml:space="preserve"> </w:t>
            </w:r>
            <w:r>
              <w:t xml:space="preserve">following ACM1 (if DG is </w:t>
            </w:r>
            <w:r>
              <w:rPr>
                <w:spacing w:val="-2"/>
              </w:rPr>
              <w:t>released</w:t>
            </w:r>
            <w:r>
              <w:rPr>
                <w:spacing w:val="40"/>
              </w:rPr>
              <w:t xml:space="preserve"> </w:t>
            </w:r>
            <w:r>
              <w:t>following ACM1)</w:t>
            </w:r>
          </w:p>
        </w:tc>
      </w:tr>
    </w:tbl>
    <w:p w:rsidR="000D2DCD" w:rsidRDefault="000D2DCD" w14:paraId="1074E252" w14:textId="77777777">
      <w:pPr>
        <w:pStyle w:val="BodyText"/>
        <w:spacing w:before="115"/>
        <w:rPr>
          <w:i/>
        </w:rPr>
      </w:pPr>
    </w:p>
    <w:p w:rsidR="000D2DCD" w:rsidRDefault="00F81CE0" w14:paraId="1074E253" w14:textId="77777777">
      <w:pPr>
        <w:pStyle w:val="ListParagraph"/>
        <w:numPr>
          <w:ilvl w:val="0"/>
          <w:numId w:val="15"/>
        </w:numPr>
        <w:tabs>
          <w:tab w:val="left" w:pos="1444"/>
          <w:tab w:val="left" w:pos="1446"/>
        </w:tabs>
        <w:spacing w:before="1" w:line="278" w:lineRule="auto"/>
        <w:ind w:right="1546"/>
        <w:jc w:val="both"/>
      </w:pPr>
      <w:r>
        <w:t>The impression created by the email correspondence was that the principal driver for NICE’s decision to refuse technical engagement was the potential impact on the timelines rather than whether technical engagement was desirable</w:t>
      </w:r>
      <w:r>
        <w:rPr>
          <w:spacing w:val="-9"/>
        </w:rPr>
        <w:t xml:space="preserve"> </w:t>
      </w:r>
      <w:r>
        <w:t>in</w:t>
      </w:r>
      <w:r>
        <w:rPr>
          <w:spacing w:val="-11"/>
        </w:rPr>
        <w:t xml:space="preserve"> </w:t>
      </w:r>
      <w:r>
        <w:t>the</w:t>
      </w:r>
      <w:r>
        <w:rPr>
          <w:spacing w:val="-12"/>
        </w:rPr>
        <w:t xml:space="preserve"> </w:t>
      </w:r>
      <w:r>
        <w:t>context</w:t>
      </w:r>
      <w:r>
        <w:rPr>
          <w:spacing w:val="-10"/>
        </w:rPr>
        <w:t xml:space="preserve"> </w:t>
      </w:r>
      <w:r>
        <w:t>of</w:t>
      </w:r>
      <w:r>
        <w:rPr>
          <w:spacing w:val="-10"/>
        </w:rPr>
        <w:t xml:space="preserve"> </w:t>
      </w:r>
      <w:r>
        <w:t>a</w:t>
      </w:r>
      <w:r>
        <w:rPr>
          <w:spacing w:val="-11"/>
        </w:rPr>
        <w:t xml:space="preserve"> </w:t>
      </w:r>
      <w:r>
        <w:t>challenging</w:t>
      </w:r>
      <w:r>
        <w:rPr>
          <w:spacing w:val="-9"/>
        </w:rPr>
        <w:t xml:space="preserve"> </w:t>
      </w:r>
      <w:r>
        <w:t>appraisal</w:t>
      </w:r>
      <w:r>
        <w:rPr>
          <w:spacing w:val="-15"/>
        </w:rPr>
        <w:t xml:space="preserve"> </w:t>
      </w:r>
      <w:r>
        <w:t>to</w:t>
      </w:r>
      <w:r>
        <w:rPr>
          <w:spacing w:val="-11"/>
        </w:rPr>
        <w:t xml:space="preserve"> </w:t>
      </w:r>
      <w:r>
        <w:t>resolve</w:t>
      </w:r>
      <w:r>
        <w:rPr>
          <w:spacing w:val="-11"/>
        </w:rPr>
        <w:t xml:space="preserve"> </w:t>
      </w:r>
      <w:r>
        <w:t>key</w:t>
      </w:r>
      <w:r>
        <w:rPr>
          <w:spacing w:val="-11"/>
        </w:rPr>
        <w:t xml:space="preserve"> </w:t>
      </w:r>
      <w:r>
        <w:t>issues</w:t>
      </w:r>
      <w:r>
        <w:rPr>
          <w:spacing w:val="-13"/>
        </w:rPr>
        <w:t xml:space="preserve"> </w:t>
      </w:r>
      <w:r>
        <w:t>before ACM1.</w:t>
      </w:r>
      <w:r>
        <w:rPr>
          <w:spacing w:val="40"/>
        </w:rPr>
        <w:t xml:space="preserve"> </w:t>
      </w:r>
      <w:r>
        <w:t>Nevertheless following the email of 17</w:t>
      </w:r>
      <w:r>
        <w:rPr>
          <w:vertAlign w:val="superscript"/>
        </w:rPr>
        <w:t>th</w:t>
      </w:r>
      <w:r>
        <w:t xml:space="preserve"> November, UCB had little alternative but to accept NICE’s decision and proceed to ACM1, without the requested technical engagement.</w:t>
      </w:r>
    </w:p>
    <w:p w:rsidR="000D2DCD" w:rsidRDefault="00F81CE0" w14:paraId="1074E254" w14:textId="77777777">
      <w:pPr>
        <w:pStyle w:val="ListParagraph"/>
        <w:numPr>
          <w:ilvl w:val="0"/>
          <w:numId w:val="15"/>
        </w:numPr>
        <w:tabs>
          <w:tab w:val="left" w:pos="1444"/>
          <w:tab w:val="left" w:pos="1446"/>
        </w:tabs>
        <w:spacing w:before="115" w:line="278" w:lineRule="auto"/>
        <w:ind w:right="1552"/>
        <w:jc w:val="both"/>
      </w:pPr>
      <w:r>
        <w:t>However</w:t>
      </w:r>
      <w:r>
        <w:rPr>
          <w:spacing w:val="-10"/>
        </w:rPr>
        <w:t xml:space="preserve"> </w:t>
      </w:r>
      <w:r>
        <w:t>the</w:t>
      </w:r>
      <w:r>
        <w:rPr>
          <w:spacing w:val="-12"/>
        </w:rPr>
        <w:t xml:space="preserve"> </w:t>
      </w:r>
      <w:r>
        <w:t>decision</w:t>
      </w:r>
      <w:r>
        <w:rPr>
          <w:spacing w:val="-12"/>
        </w:rPr>
        <w:t xml:space="preserve"> </w:t>
      </w:r>
      <w:r>
        <w:t>by</w:t>
      </w:r>
      <w:r>
        <w:rPr>
          <w:spacing w:val="-14"/>
        </w:rPr>
        <w:t xml:space="preserve"> </w:t>
      </w:r>
      <w:r>
        <w:t>NICE</w:t>
      </w:r>
      <w:r>
        <w:rPr>
          <w:spacing w:val="-12"/>
        </w:rPr>
        <w:t xml:space="preserve"> </w:t>
      </w:r>
      <w:r>
        <w:t>to</w:t>
      </w:r>
      <w:r>
        <w:rPr>
          <w:spacing w:val="-14"/>
        </w:rPr>
        <w:t xml:space="preserve"> </w:t>
      </w:r>
      <w:r>
        <w:t>refuse</w:t>
      </w:r>
      <w:r>
        <w:rPr>
          <w:spacing w:val="-14"/>
        </w:rPr>
        <w:t xml:space="preserve"> </w:t>
      </w:r>
      <w:r>
        <w:t>technical</w:t>
      </w:r>
      <w:r>
        <w:rPr>
          <w:spacing w:val="-15"/>
        </w:rPr>
        <w:t xml:space="preserve"> </w:t>
      </w:r>
      <w:r>
        <w:t>engagement</w:t>
      </w:r>
      <w:r>
        <w:rPr>
          <w:spacing w:val="-12"/>
        </w:rPr>
        <w:t xml:space="preserve"> </w:t>
      </w:r>
      <w:r>
        <w:t>was</w:t>
      </w:r>
      <w:r>
        <w:rPr>
          <w:spacing w:val="-11"/>
        </w:rPr>
        <w:t xml:space="preserve"> </w:t>
      </w:r>
      <w:r>
        <w:t>unfair</w:t>
      </w:r>
      <w:r>
        <w:rPr>
          <w:spacing w:val="-10"/>
        </w:rPr>
        <w:t xml:space="preserve"> </w:t>
      </w:r>
      <w:r>
        <w:t>and inconsistent with its published procedures:</w:t>
      </w:r>
    </w:p>
    <w:p w:rsidR="000D2DCD" w:rsidRDefault="00F81CE0" w14:paraId="1074E255" w14:textId="77777777">
      <w:pPr>
        <w:pStyle w:val="ListParagraph"/>
        <w:numPr>
          <w:ilvl w:val="1"/>
          <w:numId w:val="15"/>
        </w:numPr>
        <w:tabs>
          <w:tab w:val="left" w:pos="1552"/>
        </w:tabs>
        <w:spacing w:line="278" w:lineRule="auto"/>
        <w:ind w:right="1548" w:hanging="432"/>
        <w:jc w:val="both"/>
      </w:pPr>
      <w:r>
        <w:t>NICE applied an incorrect test when considering whether to progress to technical</w:t>
      </w:r>
      <w:r>
        <w:rPr>
          <w:spacing w:val="-10"/>
        </w:rPr>
        <w:t xml:space="preserve"> </w:t>
      </w:r>
      <w:r>
        <w:t>engagement</w:t>
      </w:r>
      <w:r>
        <w:rPr>
          <w:spacing w:val="-7"/>
        </w:rPr>
        <w:t xml:space="preserve"> </w:t>
      </w:r>
      <w:r>
        <w:t>in</w:t>
      </w:r>
      <w:r>
        <w:rPr>
          <w:spacing w:val="-11"/>
        </w:rPr>
        <w:t xml:space="preserve"> </w:t>
      </w:r>
      <w:r>
        <w:t>November</w:t>
      </w:r>
      <w:r>
        <w:rPr>
          <w:spacing w:val="-8"/>
        </w:rPr>
        <w:t xml:space="preserve"> </w:t>
      </w:r>
      <w:r>
        <w:t>2023.</w:t>
      </w:r>
      <w:r>
        <w:rPr>
          <w:spacing w:val="40"/>
        </w:rPr>
        <w:t xml:space="preserve"> </w:t>
      </w:r>
      <w:r>
        <w:t>In</w:t>
      </w:r>
      <w:r>
        <w:rPr>
          <w:spacing w:val="-11"/>
        </w:rPr>
        <w:t xml:space="preserve"> </w:t>
      </w:r>
      <w:r>
        <w:t>this</w:t>
      </w:r>
      <w:r>
        <w:rPr>
          <w:spacing w:val="-11"/>
        </w:rPr>
        <w:t xml:space="preserve"> </w:t>
      </w:r>
      <w:r>
        <w:t>context,</w:t>
      </w:r>
      <w:r>
        <w:rPr>
          <w:spacing w:val="-8"/>
        </w:rPr>
        <w:t xml:space="preserve"> </w:t>
      </w:r>
      <w:r>
        <w:t>paragraph</w:t>
      </w:r>
      <w:r>
        <w:rPr>
          <w:spacing w:val="-11"/>
        </w:rPr>
        <w:t xml:space="preserve"> </w:t>
      </w:r>
      <w:r>
        <w:t>5.7.2</w:t>
      </w:r>
      <w:r>
        <w:rPr>
          <w:spacing w:val="-11"/>
        </w:rPr>
        <w:t xml:space="preserve"> </w:t>
      </w:r>
      <w:r>
        <w:t>of the Manual requires NICE to take into account “</w:t>
      </w:r>
      <w:r>
        <w:rPr>
          <w:i/>
        </w:rPr>
        <w:t xml:space="preserve">whether the technical engagement process is likely to resolve key issues </w:t>
      </w:r>
      <w:r>
        <w:rPr>
          <w:i/>
          <w:u w:val="single"/>
        </w:rPr>
        <w:t>before</w:t>
      </w:r>
      <w:r>
        <w:rPr>
          <w:i/>
        </w:rPr>
        <w:t xml:space="preserve"> the committee meeting” </w:t>
      </w:r>
      <w:r>
        <w:t>[emphasis added], however there is no indication that NICE gave any</w:t>
      </w:r>
      <w:r>
        <w:rPr>
          <w:spacing w:val="-11"/>
        </w:rPr>
        <w:t xml:space="preserve"> </w:t>
      </w:r>
      <w:r>
        <w:t>consideration</w:t>
      </w:r>
      <w:r>
        <w:rPr>
          <w:spacing w:val="-9"/>
        </w:rPr>
        <w:t xml:space="preserve"> </w:t>
      </w:r>
      <w:r>
        <w:t>to</w:t>
      </w:r>
      <w:r>
        <w:rPr>
          <w:spacing w:val="-11"/>
        </w:rPr>
        <w:t xml:space="preserve"> </w:t>
      </w:r>
      <w:r>
        <w:t>that</w:t>
      </w:r>
      <w:r>
        <w:rPr>
          <w:spacing w:val="-10"/>
        </w:rPr>
        <w:t xml:space="preserve"> </w:t>
      </w:r>
      <w:r>
        <w:t>issue</w:t>
      </w:r>
      <w:r>
        <w:rPr>
          <w:spacing w:val="-9"/>
        </w:rPr>
        <w:t xml:space="preserve"> </w:t>
      </w:r>
      <w:r>
        <w:t>but</w:t>
      </w:r>
      <w:r>
        <w:rPr>
          <w:spacing w:val="-8"/>
        </w:rPr>
        <w:t xml:space="preserve"> </w:t>
      </w:r>
      <w:r>
        <w:t>instead</w:t>
      </w:r>
      <w:r>
        <w:rPr>
          <w:spacing w:val="-12"/>
        </w:rPr>
        <w:t xml:space="preserve"> </w:t>
      </w:r>
      <w:r>
        <w:t>focussed</w:t>
      </w:r>
      <w:r>
        <w:rPr>
          <w:spacing w:val="-9"/>
        </w:rPr>
        <w:t xml:space="preserve"> </w:t>
      </w:r>
      <w:r>
        <w:t>on</w:t>
      </w:r>
      <w:r>
        <w:rPr>
          <w:spacing w:val="-9"/>
        </w:rPr>
        <w:t xml:space="preserve"> </w:t>
      </w:r>
      <w:r>
        <w:t>whether</w:t>
      </w:r>
      <w:r>
        <w:rPr>
          <w:spacing w:val="-9"/>
        </w:rPr>
        <w:t xml:space="preserve"> </w:t>
      </w:r>
      <w:r>
        <w:t>issues</w:t>
      </w:r>
      <w:r>
        <w:rPr>
          <w:spacing w:val="-9"/>
        </w:rPr>
        <w:t xml:space="preserve"> </w:t>
      </w:r>
      <w:r>
        <w:t>could be resolved at and after the committee meeting.</w:t>
      </w:r>
    </w:p>
    <w:p w:rsidR="000D2DCD" w:rsidRDefault="00F81CE0" w14:paraId="1074E256" w14:textId="77777777">
      <w:pPr>
        <w:pStyle w:val="ListParagraph"/>
        <w:numPr>
          <w:ilvl w:val="1"/>
          <w:numId w:val="15"/>
        </w:numPr>
        <w:tabs>
          <w:tab w:val="left" w:pos="1552"/>
        </w:tabs>
        <w:spacing w:before="118" w:line="278" w:lineRule="auto"/>
        <w:ind w:right="1551" w:hanging="432"/>
        <w:jc w:val="both"/>
      </w:pPr>
      <w:r>
        <w:t>In addition, the tabulation provided by NICE refers to the clarification stage as a “</w:t>
      </w:r>
      <w:r>
        <w:rPr>
          <w:i/>
        </w:rPr>
        <w:t>steps taken to resolve issue</w:t>
      </w:r>
      <w:r>
        <w:t xml:space="preserve">”, without considering whether the explanations provided by UCB had been accepted by the EAG or, if not, whether technical engagement with NICE would be likely to achieve </w:t>
      </w:r>
      <w:r>
        <w:rPr>
          <w:spacing w:val="-2"/>
        </w:rPr>
        <w:t>resolution.</w:t>
      </w:r>
    </w:p>
    <w:p w:rsidR="000D2DCD" w:rsidRDefault="000D2DCD" w14:paraId="1074E257"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58" w14:textId="77777777">
      <w:pPr>
        <w:pStyle w:val="BodyText"/>
      </w:pPr>
    </w:p>
    <w:p w:rsidR="000D2DCD" w:rsidRDefault="000D2DCD" w14:paraId="1074E259" w14:textId="77777777">
      <w:pPr>
        <w:pStyle w:val="BodyText"/>
        <w:spacing w:before="59"/>
      </w:pPr>
    </w:p>
    <w:p w:rsidR="000D2DCD" w:rsidRDefault="00F81CE0" w14:paraId="1074E25A" w14:textId="77777777">
      <w:pPr>
        <w:pStyle w:val="ListParagraph"/>
        <w:numPr>
          <w:ilvl w:val="1"/>
          <w:numId w:val="15"/>
        </w:numPr>
        <w:tabs>
          <w:tab w:val="left" w:pos="1552"/>
        </w:tabs>
        <w:spacing w:before="0" w:line="278" w:lineRule="auto"/>
        <w:ind w:right="1550" w:hanging="432"/>
        <w:jc w:val="both"/>
      </w:pPr>
      <w:r>
        <w:t xml:space="preserve">The reason for technical engagement, namely </w:t>
      </w:r>
      <w:r>
        <w:rPr>
          <w:i/>
        </w:rPr>
        <w:t xml:space="preserve">“to allow the company to consider how it could mitigate the remaining uncertainties in the case for clinical and cost effectiveness in the evidence base” </w:t>
      </w:r>
      <w:r>
        <w:t>is particularly strong in the</w:t>
      </w:r>
      <w:r>
        <w:rPr>
          <w:spacing w:val="-13"/>
        </w:rPr>
        <w:t xml:space="preserve"> </w:t>
      </w:r>
      <w:r>
        <w:t>case</w:t>
      </w:r>
      <w:r>
        <w:rPr>
          <w:spacing w:val="-15"/>
        </w:rPr>
        <w:t xml:space="preserve"> </w:t>
      </w:r>
      <w:r>
        <w:t>of</w:t>
      </w:r>
      <w:r>
        <w:rPr>
          <w:spacing w:val="-9"/>
        </w:rPr>
        <w:t xml:space="preserve"> </w:t>
      </w:r>
      <w:r>
        <w:t>health</w:t>
      </w:r>
      <w:r>
        <w:rPr>
          <w:spacing w:val="-12"/>
        </w:rPr>
        <w:t xml:space="preserve"> </w:t>
      </w:r>
      <w:r>
        <w:t>technologies</w:t>
      </w:r>
      <w:r>
        <w:rPr>
          <w:spacing w:val="-12"/>
        </w:rPr>
        <w:t xml:space="preserve"> </w:t>
      </w:r>
      <w:r>
        <w:t>such</w:t>
      </w:r>
      <w:r>
        <w:rPr>
          <w:spacing w:val="-13"/>
        </w:rPr>
        <w:t xml:space="preserve"> </w:t>
      </w:r>
      <w:r>
        <w:t>as</w:t>
      </w:r>
      <w:r>
        <w:rPr>
          <w:spacing w:val="-14"/>
        </w:rPr>
        <w:t xml:space="preserve"> </w:t>
      </w:r>
      <w:r>
        <w:t>fenfluramine,</w:t>
      </w:r>
      <w:r>
        <w:rPr>
          <w:spacing w:val="-11"/>
        </w:rPr>
        <w:t xml:space="preserve"> </w:t>
      </w:r>
      <w:r>
        <w:t>indicated</w:t>
      </w:r>
      <w:r>
        <w:rPr>
          <w:spacing w:val="-14"/>
        </w:rPr>
        <w:t xml:space="preserve"> </w:t>
      </w:r>
      <w:r>
        <w:t>for</w:t>
      </w:r>
      <w:r>
        <w:rPr>
          <w:spacing w:val="-11"/>
        </w:rPr>
        <w:t xml:space="preserve"> </w:t>
      </w:r>
      <w:r>
        <w:t>a</w:t>
      </w:r>
      <w:r>
        <w:rPr>
          <w:spacing w:val="-15"/>
        </w:rPr>
        <w:t xml:space="preserve"> </w:t>
      </w:r>
      <w:r>
        <w:t>rare</w:t>
      </w:r>
      <w:r>
        <w:rPr>
          <w:spacing w:val="-12"/>
        </w:rPr>
        <w:t xml:space="preserve"> </w:t>
      </w:r>
      <w:r>
        <w:t xml:space="preserve">and heterogeneous disease, in circumstances where comparators are uncertain and data are limited. However there is no indication that NICE took these factors into account when considering whether UCB’s request should be </w:t>
      </w:r>
      <w:r>
        <w:rPr>
          <w:spacing w:val="-2"/>
        </w:rPr>
        <w:t>granted.</w:t>
      </w:r>
    </w:p>
    <w:p w:rsidR="000D2DCD" w:rsidRDefault="00F81CE0" w14:paraId="1074E25B" w14:textId="77777777">
      <w:pPr>
        <w:pStyle w:val="ListParagraph"/>
        <w:numPr>
          <w:ilvl w:val="0"/>
          <w:numId w:val="15"/>
        </w:numPr>
        <w:tabs>
          <w:tab w:val="left" w:pos="1118"/>
          <w:tab w:val="left" w:pos="1120"/>
        </w:tabs>
        <w:spacing w:before="118" w:line="278" w:lineRule="auto"/>
        <w:ind w:left="1120" w:right="1546" w:hanging="360"/>
        <w:jc w:val="both"/>
      </w:pPr>
      <w:r>
        <w:t>The lack of technical engagement and delay in resolution of key issues in this appraisal until ACM1 or ACM2 (some issues remain unresolved) meant that committee time was used to consider these matters, rather than to focus upon a successful outcome to the appraisal, with the result that two ACMs were insufficient</w:t>
      </w:r>
      <w:r>
        <w:rPr>
          <w:spacing w:val="-1"/>
        </w:rPr>
        <w:t xml:space="preserve"> </w:t>
      </w:r>
      <w:r>
        <w:t>to</w:t>
      </w:r>
      <w:r>
        <w:rPr>
          <w:spacing w:val="-2"/>
        </w:rPr>
        <w:t xml:space="preserve"> </w:t>
      </w:r>
      <w:r>
        <w:t>conclude</w:t>
      </w:r>
      <w:r>
        <w:rPr>
          <w:spacing w:val="-4"/>
        </w:rPr>
        <w:t xml:space="preserve"> </w:t>
      </w:r>
      <w:r>
        <w:t>the</w:t>
      </w:r>
      <w:r>
        <w:rPr>
          <w:spacing w:val="-2"/>
        </w:rPr>
        <w:t xml:space="preserve"> </w:t>
      </w:r>
      <w:r>
        <w:t>appraisal.</w:t>
      </w:r>
      <w:r>
        <w:rPr>
          <w:spacing w:val="40"/>
        </w:rPr>
        <w:t xml:space="preserve"> </w:t>
      </w:r>
      <w:r>
        <w:t>This</w:t>
      </w:r>
      <w:r>
        <w:rPr>
          <w:spacing w:val="-4"/>
        </w:rPr>
        <w:t xml:space="preserve"> </w:t>
      </w:r>
      <w:r>
        <w:t>situation</w:t>
      </w:r>
      <w:r>
        <w:rPr>
          <w:spacing w:val="-2"/>
        </w:rPr>
        <w:t xml:space="preserve"> </w:t>
      </w:r>
      <w:r>
        <w:t>is</w:t>
      </w:r>
      <w:r>
        <w:rPr>
          <w:spacing w:val="-1"/>
        </w:rPr>
        <w:t xml:space="preserve"> </w:t>
      </w:r>
      <w:r>
        <w:t>illustrated</w:t>
      </w:r>
      <w:r>
        <w:rPr>
          <w:spacing w:val="-2"/>
        </w:rPr>
        <w:t xml:space="preserve"> </w:t>
      </w:r>
      <w:r>
        <w:t>by</w:t>
      </w:r>
      <w:r>
        <w:rPr>
          <w:spacing w:val="-4"/>
        </w:rPr>
        <w:t xml:space="preserve"> </w:t>
      </w:r>
      <w:r>
        <w:t>the</w:t>
      </w:r>
      <w:r>
        <w:rPr>
          <w:spacing w:val="-7"/>
        </w:rPr>
        <w:t xml:space="preserve"> </w:t>
      </w:r>
      <w:r>
        <w:t xml:space="preserve">following </w:t>
      </w:r>
      <w:r>
        <w:rPr>
          <w:spacing w:val="-2"/>
        </w:rPr>
        <w:t>examples:</w:t>
      </w:r>
    </w:p>
    <w:p w:rsidR="000D2DCD" w:rsidRDefault="00F81CE0" w14:paraId="1074E25C" w14:textId="77777777">
      <w:pPr>
        <w:pStyle w:val="ListParagraph"/>
        <w:numPr>
          <w:ilvl w:val="1"/>
          <w:numId w:val="15"/>
        </w:numPr>
        <w:tabs>
          <w:tab w:val="left" w:pos="1552"/>
        </w:tabs>
        <w:spacing w:before="117" w:line="278" w:lineRule="auto"/>
        <w:ind w:hanging="432"/>
        <w:jc w:val="both"/>
      </w:pPr>
      <w:r>
        <w:t>The slides presented at ACM1 included at slides 8 and 9, 14 “key issues”, which</w:t>
      </w:r>
      <w:r>
        <w:rPr>
          <w:spacing w:val="-2"/>
        </w:rPr>
        <w:t xml:space="preserve"> </w:t>
      </w:r>
      <w:r>
        <w:t>comprised</w:t>
      </w:r>
      <w:r>
        <w:rPr>
          <w:spacing w:val="-3"/>
        </w:rPr>
        <w:t xml:space="preserve"> </w:t>
      </w:r>
      <w:r>
        <w:t>various</w:t>
      </w:r>
      <w:r>
        <w:rPr>
          <w:spacing w:val="-5"/>
        </w:rPr>
        <w:t xml:space="preserve"> </w:t>
      </w:r>
      <w:r>
        <w:t>aspects</w:t>
      </w:r>
      <w:r>
        <w:rPr>
          <w:spacing w:val="-5"/>
        </w:rPr>
        <w:t xml:space="preserve"> </w:t>
      </w:r>
      <w:r>
        <w:t>of</w:t>
      </w:r>
      <w:r>
        <w:rPr>
          <w:spacing w:val="-4"/>
        </w:rPr>
        <w:t xml:space="preserve"> </w:t>
      </w:r>
      <w:r>
        <w:t>the</w:t>
      </w:r>
      <w:r>
        <w:rPr>
          <w:spacing w:val="-5"/>
        </w:rPr>
        <w:t xml:space="preserve"> </w:t>
      </w:r>
      <w:r>
        <w:t>three</w:t>
      </w:r>
      <w:r>
        <w:rPr>
          <w:spacing w:val="-5"/>
        </w:rPr>
        <w:t xml:space="preserve"> </w:t>
      </w:r>
      <w:r>
        <w:t>specific</w:t>
      </w:r>
      <w:r>
        <w:rPr>
          <w:spacing w:val="-7"/>
        </w:rPr>
        <w:t xml:space="preserve"> </w:t>
      </w:r>
      <w:r>
        <w:t>topics</w:t>
      </w:r>
      <w:r>
        <w:rPr>
          <w:spacing w:val="-2"/>
        </w:rPr>
        <w:t xml:space="preserve"> </w:t>
      </w:r>
      <w:r>
        <w:t>which</w:t>
      </w:r>
      <w:r>
        <w:rPr>
          <w:spacing w:val="-3"/>
        </w:rPr>
        <w:t xml:space="preserve"> </w:t>
      </w:r>
      <w:r>
        <w:t>UCB</w:t>
      </w:r>
      <w:r>
        <w:rPr>
          <w:spacing w:val="-3"/>
        </w:rPr>
        <w:t xml:space="preserve"> </w:t>
      </w:r>
      <w:r>
        <w:t xml:space="preserve">had specifically identified for technical engagement in its email of 10 November </w:t>
      </w:r>
      <w:r>
        <w:rPr>
          <w:spacing w:val="-2"/>
        </w:rPr>
        <w:t>2023.</w:t>
      </w:r>
    </w:p>
    <w:p w:rsidR="000D2DCD" w:rsidRDefault="00F81CE0" w14:paraId="1074E25D" w14:textId="77777777">
      <w:pPr>
        <w:pStyle w:val="ListParagraph"/>
        <w:numPr>
          <w:ilvl w:val="1"/>
          <w:numId w:val="15"/>
        </w:numPr>
        <w:tabs>
          <w:tab w:val="left" w:pos="1552"/>
        </w:tabs>
        <w:spacing w:line="278" w:lineRule="auto"/>
        <w:ind w:right="1548" w:hanging="432"/>
        <w:jc w:val="both"/>
      </w:pPr>
      <w:r>
        <w:t>Even by the time of ACM2, the slides presented included at slide 6, 5 remaining “key issues” including three issues (efficacy assumptions for fenfluramine and CBD as well as dosing assumptions), which were topics identified by UCB for the requested technical engagement before ACM1.</w:t>
      </w:r>
    </w:p>
    <w:p w:rsidR="000D2DCD" w:rsidRDefault="00F81CE0" w14:paraId="1074E25E" w14:textId="77777777">
      <w:pPr>
        <w:pStyle w:val="ListParagraph"/>
        <w:numPr>
          <w:ilvl w:val="0"/>
          <w:numId w:val="15"/>
        </w:numPr>
        <w:tabs>
          <w:tab w:val="left" w:pos="1118"/>
          <w:tab w:val="left" w:pos="1120"/>
        </w:tabs>
        <w:spacing w:before="118" w:line="278" w:lineRule="auto"/>
        <w:ind w:left="1120" w:hanging="360"/>
        <w:jc w:val="both"/>
      </w:pPr>
      <w:r>
        <w:t>In summary therefore, this was a case where it was clear from the outset that uncertainty would be an issue and that technical engagement would be likely to result in earlier resolution of such matters and therefore to assist in the efficient progress of the appraisal, There is no indication that NICE considered this situation when reaching its decision on technical engagement and the reasons given for refusing UCB’s request do not reflect the requirements of NICE’s Manual. In these circumstances the refusa</w:t>
      </w:r>
      <w:r>
        <w:t>l by NICE to agree to technical engagement,</w:t>
      </w:r>
      <w:r>
        <w:rPr>
          <w:spacing w:val="-3"/>
        </w:rPr>
        <w:t xml:space="preserve"> </w:t>
      </w:r>
      <w:r>
        <w:t>resulting</w:t>
      </w:r>
      <w:r>
        <w:rPr>
          <w:spacing w:val="-2"/>
        </w:rPr>
        <w:t xml:space="preserve"> </w:t>
      </w:r>
      <w:r>
        <w:t>in</w:t>
      </w:r>
      <w:r>
        <w:rPr>
          <w:spacing w:val="-2"/>
        </w:rPr>
        <w:t xml:space="preserve"> </w:t>
      </w:r>
      <w:r>
        <w:t>there</w:t>
      </w:r>
      <w:r>
        <w:rPr>
          <w:spacing w:val="-4"/>
        </w:rPr>
        <w:t xml:space="preserve"> </w:t>
      </w:r>
      <w:r>
        <w:t>being</w:t>
      </w:r>
      <w:r>
        <w:rPr>
          <w:spacing w:val="-2"/>
        </w:rPr>
        <w:t xml:space="preserve"> </w:t>
      </w:r>
      <w:r>
        <w:t>inadequate</w:t>
      </w:r>
      <w:r>
        <w:rPr>
          <w:spacing w:val="-6"/>
        </w:rPr>
        <w:t xml:space="preserve"> </w:t>
      </w:r>
      <w:r>
        <w:t>time</w:t>
      </w:r>
      <w:r>
        <w:rPr>
          <w:spacing w:val="-4"/>
        </w:rPr>
        <w:t xml:space="preserve"> </w:t>
      </w:r>
      <w:r>
        <w:t>to</w:t>
      </w:r>
      <w:r>
        <w:rPr>
          <w:spacing w:val="-2"/>
        </w:rPr>
        <w:t xml:space="preserve"> </w:t>
      </w:r>
      <w:r>
        <w:t>address</w:t>
      </w:r>
      <w:r>
        <w:rPr>
          <w:spacing w:val="-4"/>
        </w:rPr>
        <w:t xml:space="preserve"> </w:t>
      </w:r>
      <w:r>
        <w:t>such</w:t>
      </w:r>
      <w:r>
        <w:rPr>
          <w:spacing w:val="-7"/>
        </w:rPr>
        <w:t xml:space="preserve"> </w:t>
      </w:r>
      <w:r>
        <w:t>matters</w:t>
      </w:r>
      <w:r>
        <w:rPr>
          <w:spacing w:val="-2"/>
        </w:rPr>
        <w:t xml:space="preserve"> </w:t>
      </w:r>
      <w:r>
        <w:t>in the context of two meetings of the Appraisal Committee was procedurally unfair.</w:t>
      </w:r>
    </w:p>
    <w:p w:rsidR="000D2DCD" w:rsidRDefault="00F81CE0" w14:paraId="1074E25F" w14:textId="77777777">
      <w:pPr>
        <w:pStyle w:val="Heading1"/>
        <w:numPr>
          <w:ilvl w:val="0"/>
          <w:numId w:val="9"/>
        </w:numPr>
        <w:tabs>
          <w:tab w:val="left" w:pos="2201"/>
        </w:tabs>
        <w:spacing w:before="114" w:line="352" w:lineRule="auto"/>
        <w:ind w:right="1469"/>
      </w:pPr>
      <w:r>
        <w:t>Ground 1(a).2: In the circumstances of this appraisal, including the</w:t>
      </w:r>
      <w:r>
        <w:rPr>
          <w:spacing w:val="-1"/>
        </w:rPr>
        <w:t xml:space="preserve"> </w:t>
      </w:r>
      <w:r>
        <w:t>lack of technical engagement, the</w:t>
      </w:r>
      <w:r>
        <w:rPr>
          <w:spacing w:val="-1"/>
        </w:rPr>
        <w:t xml:space="preserve"> </w:t>
      </w:r>
      <w:r>
        <w:t>multiple</w:t>
      </w:r>
      <w:r>
        <w:rPr>
          <w:spacing w:val="-1"/>
        </w:rPr>
        <w:t xml:space="preserve"> </w:t>
      </w:r>
      <w:r>
        <w:t>unresolved</w:t>
      </w:r>
      <w:r>
        <w:rPr>
          <w:spacing w:val="-1"/>
        </w:rPr>
        <w:t xml:space="preserve"> </w:t>
      </w:r>
      <w:r>
        <w:t>issues and the change in approach between ACM1 and ACM2, a third meeting</w:t>
      </w:r>
      <w:r>
        <w:rPr>
          <w:spacing w:val="-5"/>
        </w:rPr>
        <w:t xml:space="preserve"> </w:t>
      </w:r>
      <w:r>
        <w:t>of</w:t>
      </w:r>
      <w:r>
        <w:rPr>
          <w:spacing w:val="-6"/>
        </w:rPr>
        <w:t xml:space="preserve"> </w:t>
      </w:r>
      <w:r>
        <w:t>the</w:t>
      </w:r>
      <w:r>
        <w:rPr>
          <w:spacing w:val="-3"/>
        </w:rPr>
        <w:t xml:space="preserve"> </w:t>
      </w:r>
      <w:r>
        <w:t>Appraisal</w:t>
      </w:r>
      <w:r>
        <w:rPr>
          <w:spacing w:val="-3"/>
        </w:rPr>
        <w:t xml:space="preserve"> </w:t>
      </w:r>
      <w:r>
        <w:t>Committee</w:t>
      </w:r>
      <w:r>
        <w:rPr>
          <w:spacing w:val="-6"/>
        </w:rPr>
        <w:t xml:space="preserve"> </w:t>
      </w:r>
      <w:r>
        <w:t>should</w:t>
      </w:r>
      <w:r>
        <w:rPr>
          <w:spacing w:val="-6"/>
        </w:rPr>
        <w:t xml:space="preserve"> </w:t>
      </w:r>
      <w:r>
        <w:t>have</w:t>
      </w:r>
      <w:r>
        <w:rPr>
          <w:spacing w:val="-5"/>
        </w:rPr>
        <w:t xml:space="preserve"> </w:t>
      </w:r>
      <w:r>
        <w:t>been</w:t>
      </w:r>
      <w:r>
        <w:rPr>
          <w:spacing w:val="-5"/>
        </w:rPr>
        <w:t xml:space="preserve"> </w:t>
      </w:r>
      <w:r>
        <w:t>scheduled prior to issue of Final Draft Guidance.</w:t>
      </w:r>
    </w:p>
    <w:p w:rsidR="000D2DCD" w:rsidRDefault="00F81CE0" w14:paraId="1074E260" w14:textId="77777777">
      <w:pPr>
        <w:pStyle w:val="ListParagraph"/>
        <w:numPr>
          <w:ilvl w:val="0"/>
          <w:numId w:val="15"/>
        </w:numPr>
        <w:tabs>
          <w:tab w:val="left" w:pos="1443"/>
          <w:tab w:val="left" w:pos="1446"/>
        </w:tabs>
        <w:spacing w:before="128" w:line="278" w:lineRule="auto"/>
        <w:ind w:right="1545"/>
        <w:jc w:val="both"/>
      </w:pPr>
      <w:r>
        <w:t>NICE’s Manual does not limit the number of meetings of the Appraisal Committee</w:t>
      </w:r>
      <w:r>
        <w:rPr>
          <w:spacing w:val="-7"/>
        </w:rPr>
        <w:t xml:space="preserve"> </w:t>
      </w:r>
      <w:r>
        <w:t>that</w:t>
      </w:r>
      <w:r>
        <w:rPr>
          <w:spacing w:val="-5"/>
        </w:rPr>
        <w:t xml:space="preserve"> </w:t>
      </w:r>
      <w:r>
        <w:t>may</w:t>
      </w:r>
      <w:r>
        <w:rPr>
          <w:spacing w:val="-6"/>
        </w:rPr>
        <w:t xml:space="preserve"> </w:t>
      </w:r>
      <w:r>
        <w:t>be</w:t>
      </w:r>
      <w:r>
        <w:rPr>
          <w:spacing w:val="-4"/>
        </w:rPr>
        <w:t xml:space="preserve"> </w:t>
      </w:r>
      <w:r>
        <w:t>held</w:t>
      </w:r>
      <w:r>
        <w:rPr>
          <w:spacing w:val="-4"/>
        </w:rPr>
        <w:t xml:space="preserve"> </w:t>
      </w:r>
      <w:r>
        <w:t>before</w:t>
      </w:r>
      <w:r>
        <w:rPr>
          <w:spacing w:val="-6"/>
        </w:rPr>
        <w:t xml:space="preserve"> </w:t>
      </w:r>
      <w:r>
        <w:t>Final</w:t>
      </w:r>
      <w:r>
        <w:rPr>
          <w:spacing w:val="-5"/>
        </w:rPr>
        <w:t xml:space="preserve"> </w:t>
      </w:r>
      <w:r>
        <w:t>Draft</w:t>
      </w:r>
      <w:r>
        <w:rPr>
          <w:spacing w:val="-5"/>
        </w:rPr>
        <w:t xml:space="preserve"> </w:t>
      </w:r>
      <w:r>
        <w:t>Guidance</w:t>
      </w:r>
      <w:r>
        <w:rPr>
          <w:spacing w:val="-1"/>
        </w:rPr>
        <w:t xml:space="preserve"> </w:t>
      </w:r>
      <w:r>
        <w:t>(FDG)</w:t>
      </w:r>
      <w:r>
        <w:rPr>
          <w:spacing w:val="-2"/>
        </w:rPr>
        <w:t xml:space="preserve"> </w:t>
      </w:r>
      <w:r>
        <w:t>is</w:t>
      </w:r>
      <w:r>
        <w:rPr>
          <w:spacing w:val="-6"/>
        </w:rPr>
        <w:t xml:space="preserve"> </w:t>
      </w:r>
      <w:r>
        <w:t>issued</w:t>
      </w:r>
      <w:r>
        <w:rPr>
          <w:spacing w:val="-4"/>
        </w:rPr>
        <w:t xml:space="preserve"> </w:t>
      </w:r>
      <w:r>
        <w:t>and there</w:t>
      </w:r>
      <w:r>
        <w:rPr>
          <w:spacing w:val="-4"/>
        </w:rPr>
        <w:t xml:space="preserve"> </w:t>
      </w:r>
      <w:r>
        <w:t>is</w:t>
      </w:r>
      <w:r>
        <w:rPr>
          <w:spacing w:val="-4"/>
        </w:rPr>
        <w:t xml:space="preserve"> </w:t>
      </w:r>
      <w:r>
        <w:t>no</w:t>
      </w:r>
      <w:r>
        <w:rPr>
          <w:spacing w:val="-4"/>
        </w:rPr>
        <w:t xml:space="preserve"> </w:t>
      </w:r>
      <w:r>
        <w:t>procedural</w:t>
      </w:r>
      <w:r>
        <w:rPr>
          <w:spacing w:val="-5"/>
        </w:rPr>
        <w:t xml:space="preserve"> </w:t>
      </w:r>
      <w:r>
        <w:t>or</w:t>
      </w:r>
      <w:r>
        <w:rPr>
          <w:spacing w:val="-6"/>
        </w:rPr>
        <w:t xml:space="preserve"> </w:t>
      </w:r>
      <w:r>
        <w:t>other</w:t>
      </w:r>
      <w:r>
        <w:rPr>
          <w:spacing w:val="-3"/>
        </w:rPr>
        <w:t xml:space="preserve"> </w:t>
      </w:r>
      <w:r>
        <w:t>reason</w:t>
      </w:r>
      <w:r>
        <w:rPr>
          <w:spacing w:val="-4"/>
        </w:rPr>
        <w:t xml:space="preserve"> </w:t>
      </w:r>
      <w:r>
        <w:t>why</w:t>
      </w:r>
      <w:r>
        <w:rPr>
          <w:spacing w:val="-4"/>
        </w:rPr>
        <w:t xml:space="preserve"> </w:t>
      </w:r>
      <w:r>
        <w:t>the</w:t>
      </w:r>
      <w:r>
        <w:rPr>
          <w:spacing w:val="-2"/>
        </w:rPr>
        <w:t xml:space="preserve"> </w:t>
      </w:r>
      <w:r>
        <w:t>number</w:t>
      </w:r>
      <w:r>
        <w:rPr>
          <w:spacing w:val="-3"/>
        </w:rPr>
        <w:t xml:space="preserve"> </w:t>
      </w:r>
      <w:r>
        <w:t>of</w:t>
      </w:r>
      <w:r>
        <w:rPr>
          <w:spacing w:val="-3"/>
        </w:rPr>
        <w:t xml:space="preserve"> </w:t>
      </w:r>
      <w:r>
        <w:t>meetings</w:t>
      </w:r>
      <w:r>
        <w:rPr>
          <w:spacing w:val="-4"/>
        </w:rPr>
        <w:t xml:space="preserve"> </w:t>
      </w:r>
      <w:r>
        <w:t>should</w:t>
      </w:r>
      <w:r>
        <w:rPr>
          <w:spacing w:val="-4"/>
        </w:rPr>
        <w:t xml:space="preserve"> </w:t>
      </w:r>
      <w:r>
        <w:t>be limited to two.</w:t>
      </w:r>
      <w:r>
        <w:rPr>
          <w:spacing w:val="40"/>
        </w:rPr>
        <w:t xml:space="preserve"> </w:t>
      </w:r>
      <w:r>
        <w:t>In fact there are multiple examples of appraisals where three or more meetings of the committee have been required in order to consider new data or otherwise as a matter of fairness.</w:t>
      </w:r>
    </w:p>
    <w:p w:rsidR="000D2DCD" w:rsidRDefault="000D2DCD" w14:paraId="1074E261"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62" w14:textId="77777777">
      <w:pPr>
        <w:pStyle w:val="BodyText"/>
      </w:pPr>
    </w:p>
    <w:p w:rsidR="000D2DCD" w:rsidRDefault="000D2DCD" w14:paraId="1074E263" w14:textId="77777777">
      <w:pPr>
        <w:pStyle w:val="BodyText"/>
        <w:spacing w:before="59"/>
      </w:pPr>
    </w:p>
    <w:p w:rsidR="000D2DCD" w:rsidRDefault="00F81CE0" w14:paraId="1074E264" w14:textId="77777777">
      <w:pPr>
        <w:pStyle w:val="ListParagraph"/>
        <w:numPr>
          <w:ilvl w:val="0"/>
          <w:numId w:val="15"/>
        </w:numPr>
        <w:tabs>
          <w:tab w:val="left" w:pos="1443"/>
          <w:tab w:val="left" w:pos="1446"/>
        </w:tabs>
        <w:spacing w:before="0" w:line="278" w:lineRule="auto"/>
        <w:ind w:right="1551"/>
        <w:jc w:val="both"/>
      </w:pPr>
      <w:r>
        <w:t>In view of the history of this appraisal, UCB strongly believes that a third meeting of the Appraisal Committee should have been scheduled to ensure that</w:t>
      </w:r>
      <w:r>
        <w:rPr>
          <w:spacing w:val="-16"/>
        </w:rPr>
        <w:t xml:space="preserve"> </w:t>
      </w:r>
      <w:r>
        <w:t>fenfluramine</w:t>
      </w:r>
      <w:r>
        <w:rPr>
          <w:spacing w:val="-15"/>
        </w:rPr>
        <w:t xml:space="preserve"> </w:t>
      </w:r>
      <w:r>
        <w:t>was</w:t>
      </w:r>
      <w:r>
        <w:rPr>
          <w:spacing w:val="-15"/>
        </w:rPr>
        <w:t xml:space="preserve"> </w:t>
      </w:r>
      <w:r>
        <w:t>fairly</w:t>
      </w:r>
      <w:r>
        <w:rPr>
          <w:spacing w:val="-16"/>
        </w:rPr>
        <w:t xml:space="preserve"> </w:t>
      </w:r>
      <w:r>
        <w:t>considered.</w:t>
      </w:r>
      <w:r>
        <w:rPr>
          <w:spacing w:val="-15"/>
        </w:rPr>
        <w:t xml:space="preserve"> </w:t>
      </w:r>
      <w:r>
        <w:t>This</w:t>
      </w:r>
      <w:r>
        <w:rPr>
          <w:spacing w:val="-15"/>
        </w:rPr>
        <w:t xml:space="preserve"> </w:t>
      </w:r>
      <w:r>
        <w:t>is</w:t>
      </w:r>
      <w:r>
        <w:rPr>
          <w:spacing w:val="-15"/>
        </w:rPr>
        <w:t xml:space="preserve"> </w:t>
      </w:r>
      <w:r>
        <w:t>due</w:t>
      </w:r>
      <w:r>
        <w:rPr>
          <w:spacing w:val="-16"/>
        </w:rPr>
        <w:t xml:space="preserve"> </w:t>
      </w:r>
      <w:r>
        <w:t>to</w:t>
      </w:r>
      <w:r>
        <w:rPr>
          <w:spacing w:val="-15"/>
        </w:rPr>
        <w:t xml:space="preserve"> </w:t>
      </w:r>
      <w:r>
        <w:t>the</w:t>
      </w:r>
      <w:r>
        <w:rPr>
          <w:spacing w:val="-15"/>
        </w:rPr>
        <w:t xml:space="preserve"> </w:t>
      </w:r>
      <w:r>
        <w:t>effect</w:t>
      </w:r>
      <w:r>
        <w:rPr>
          <w:spacing w:val="-16"/>
        </w:rPr>
        <w:t xml:space="preserve"> </w:t>
      </w:r>
      <w:r>
        <w:t>of</w:t>
      </w:r>
      <w:r>
        <w:rPr>
          <w:spacing w:val="-15"/>
        </w:rPr>
        <w:t xml:space="preserve"> </w:t>
      </w:r>
      <w:r>
        <w:t>the</w:t>
      </w:r>
      <w:r>
        <w:rPr>
          <w:spacing w:val="-15"/>
        </w:rPr>
        <w:t xml:space="preserve"> </w:t>
      </w:r>
      <w:r>
        <w:t>following matters considered both individually and cumulatively:</w:t>
      </w:r>
    </w:p>
    <w:p w:rsidR="000D2DCD" w:rsidRDefault="00F81CE0" w14:paraId="1074E265" w14:textId="77777777">
      <w:pPr>
        <w:pStyle w:val="ListParagraph"/>
        <w:numPr>
          <w:ilvl w:val="1"/>
          <w:numId w:val="15"/>
        </w:numPr>
        <w:tabs>
          <w:tab w:val="left" w:pos="1552"/>
          <w:tab w:val="left" w:pos="2199"/>
        </w:tabs>
        <w:spacing w:before="118" w:line="278" w:lineRule="auto"/>
        <w:ind w:right="1548" w:hanging="432"/>
        <w:jc w:val="both"/>
      </w:pPr>
      <w:r>
        <w:t>The indication for use of fenfluramine considered in this appraisal is a rare disease with a heterogeneous patient population; this inevitably results in challenges in the clinical investigation and economic modelling which are likely to require more extensive consideration by the Committee</w:t>
      </w:r>
    </w:p>
    <w:p w:rsidR="000D2DCD" w:rsidRDefault="00F81CE0" w14:paraId="1074E266" w14:textId="77777777">
      <w:pPr>
        <w:pStyle w:val="ListParagraph"/>
        <w:numPr>
          <w:ilvl w:val="1"/>
          <w:numId w:val="15"/>
        </w:numPr>
        <w:tabs>
          <w:tab w:val="left" w:pos="1552"/>
          <w:tab w:val="left" w:pos="2199"/>
        </w:tabs>
        <w:spacing w:before="120" w:line="278" w:lineRule="auto"/>
        <w:ind w:right="1549" w:hanging="432"/>
        <w:jc w:val="both"/>
      </w:pPr>
      <w:r>
        <w:t>The absence of technical engagement increases the likelihood that a third meeting of the Appraisal Committee will be required in order to address issues arising from uncertainty in the assumptions relied upon for the Committee’s conclusions</w:t>
      </w:r>
    </w:p>
    <w:p w:rsidR="000D2DCD" w:rsidRDefault="00F81CE0" w14:paraId="1074E267" w14:textId="77777777">
      <w:pPr>
        <w:pStyle w:val="ListParagraph"/>
        <w:numPr>
          <w:ilvl w:val="1"/>
          <w:numId w:val="15"/>
        </w:numPr>
        <w:tabs>
          <w:tab w:val="left" w:pos="1552"/>
          <w:tab w:val="left" w:pos="2199"/>
        </w:tabs>
        <w:spacing w:before="118" w:line="278" w:lineRule="auto"/>
        <w:ind w:hanging="432"/>
        <w:jc w:val="both"/>
      </w:pPr>
      <w:r>
        <w:t>While</w:t>
      </w:r>
      <w:r>
        <w:rPr>
          <w:spacing w:val="-16"/>
        </w:rPr>
        <w:t xml:space="preserve"> </w:t>
      </w:r>
      <w:r>
        <w:t>UCB</w:t>
      </w:r>
      <w:r>
        <w:rPr>
          <w:spacing w:val="-15"/>
        </w:rPr>
        <w:t xml:space="preserve"> </w:t>
      </w:r>
      <w:r>
        <w:t>made</w:t>
      </w:r>
      <w:r>
        <w:rPr>
          <w:spacing w:val="-15"/>
        </w:rPr>
        <w:t xml:space="preserve"> </w:t>
      </w:r>
      <w:r>
        <w:t>every</w:t>
      </w:r>
      <w:r>
        <w:rPr>
          <w:spacing w:val="-16"/>
        </w:rPr>
        <w:t xml:space="preserve"> </w:t>
      </w:r>
      <w:r>
        <w:t>effort</w:t>
      </w:r>
      <w:r>
        <w:rPr>
          <w:spacing w:val="-15"/>
        </w:rPr>
        <w:t xml:space="preserve"> </w:t>
      </w:r>
      <w:r>
        <w:t>to</w:t>
      </w:r>
      <w:r>
        <w:rPr>
          <w:spacing w:val="-15"/>
        </w:rPr>
        <w:t xml:space="preserve"> </w:t>
      </w:r>
      <w:r>
        <w:t>engage</w:t>
      </w:r>
      <w:r>
        <w:rPr>
          <w:spacing w:val="-15"/>
        </w:rPr>
        <w:t xml:space="preserve"> </w:t>
      </w:r>
      <w:r>
        <w:t>with</w:t>
      </w:r>
      <w:r>
        <w:rPr>
          <w:spacing w:val="-16"/>
        </w:rPr>
        <w:t xml:space="preserve"> </w:t>
      </w:r>
      <w:r>
        <w:t>NICE,</w:t>
      </w:r>
      <w:r>
        <w:rPr>
          <w:spacing w:val="-15"/>
        </w:rPr>
        <w:t xml:space="preserve"> </w:t>
      </w:r>
      <w:r>
        <w:t>multiple</w:t>
      </w:r>
      <w:r>
        <w:rPr>
          <w:spacing w:val="-15"/>
        </w:rPr>
        <w:t xml:space="preserve"> </w:t>
      </w:r>
      <w:r>
        <w:t>key</w:t>
      </w:r>
      <w:r>
        <w:rPr>
          <w:spacing w:val="-16"/>
        </w:rPr>
        <w:t xml:space="preserve"> </w:t>
      </w:r>
      <w:r>
        <w:t>issues</w:t>
      </w:r>
      <w:r>
        <w:rPr>
          <w:spacing w:val="-15"/>
        </w:rPr>
        <w:t xml:space="preserve"> </w:t>
      </w:r>
      <w:r>
        <w:t>raised in Draft Guidance were unresolved following ACM2, including those</w:t>
      </w:r>
      <w:r>
        <w:rPr>
          <w:spacing w:val="-6"/>
        </w:rPr>
        <w:t xml:space="preserve"> </w:t>
      </w:r>
      <w:r>
        <w:t>set</w:t>
      </w:r>
      <w:r>
        <w:rPr>
          <w:spacing w:val="-6"/>
        </w:rPr>
        <w:t xml:space="preserve"> </w:t>
      </w:r>
      <w:r>
        <w:t>out in the table below:</w:t>
      </w:r>
    </w:p>
    <w:p w:rsidR="000D2DCD" w:rsidRDefault="00F81CE0" w14:paraId="1074E268" w14:textId="77777777">
      <w:pPr>
        <w:pStyle w:val="BodyText"/>
        <w:spacing w:before="118"/>
        <w:ind w:left="1446"/>
        <w:jc w:val="both"/>
      </w:pPr>
      <w:r>
        <w:rPr>
          <w:u w:val="single"/>
        </w:rPr>
        <w:t>Summary</w:t>
      </w:r>
      <w:r>
        <w:rPr>
          <w:spacing w:val="-9"/>
          <w:u w:val="single"/>
        </w:rPr>
        <w:t xml:space="preserve"> </w:t>
      </w:r>
      <w:r>
        <w:rPr>
          <w:u w:val="single"/>
        </w:rPr>
        <w:t>of</w:t>
      </w:r>
      <w:r>
        <w:rPr>
          <w:spacing w:val="-1"/>
          <w:u w:val="single"/>
        </w:rPr>
        <w:t xml:space="preserve"> </w:t>
      </w:r>
      <w:r>
        <w:rPr>
          <w:u w:val="single"/>
        </w:rPr>
        <w:t>actions</w:t>
      </w:r>
      <w:r>
        <w:rPr>
          <w:spacing w:val="-7"/>
          <w:u w:val="single"/>
        </w:rPr>
        <w:t xml:space="preserve"> </w:t>
      </w:r>
      <w:r>
        <w:rPr>
          <w:u w:val="single"/>
        </w:rPr>
        <w:t>to</w:t>
      </w:r>
      <w:r>
        <w:rPr>
          <w:spacing w:val="-5"/>
          <w:u w:val="single"/>
        </w:rPr>
        <w:t xml:space="preserve"> </w:t>
      </w:r>
      <w:r>
        <w:rPr>
          <w:u w:val="single"/>
        </w:rPr>
        <w:t>address</w:t>
      </w:r>
      <w:r>
        <w:rPr>
          <w:spacing w:val="-4"/>
          <w:u w:val="single"/>
        </w:rPr>
        <w:t xml:space="preserve"> </w:t>
      </w:r>
      <w:r>
        <w:rPr>
          <w:u w:val="single"/>
        </w:rPr>
        <w:t>uncertainties</w:t>
      </w:r>
      <w:r>
        <w:rPr>
          <w:spacing w:val="-7"/>
          <w:u w:val="single"/>
        </w:rPr>
        <w:t xml:space="preserve"> </w:t>
      </w:r>
      <w:r>
        <w:rPr>
          <w:u w:val="single"/>
        </w:rPr>
        <w:t>raised</w:t>
      </w:r>
      <w:r>
        <w:rPr>
          <w:spacing w:val="-5"/>
          <w:u w:val="single"/>
        </w:rPr>
        <w:t xml:space="preserve"> </w:t>
      </w:r>
      <w:r>
        <w:rPr>
          <w:u w:val="single"/>
        </w:rPr>
        <w:t>in</w:t>
      </w:r>
      <w:r>
        <w:rPr>
          <w:spacing w:val="-4"/>
          <w:u w:val="single"/>
        </w:rPr>
        <w:t xml:space="preserve"> </w:t>
      </w:r>
      <w:r>
        <w:rPr>
          <w:u w:val="single"/>
        </w:rPr>
        <w:t>Draft</w:t>
      </w:r>
      <w:r>
        <w:rPr>
          <w:spacing w:val="-5"/>
          <w:u w:val="single"/>
        </w:rPr>
        <w:t xml:space="preserve"> </w:t>
      </w:r>
      <w:r>
        <w:rPr>
          <w:spacing w:val="-2"/>
          <w:u w:val="single"/>
        </w:rPr>
        <w:t>Guidance</w:t>
      </w:r>
    </w:p>
    <w:p w:rsidR="000D2DCD" w:rsidRDefault="000D2DCD" w14:paraId="1074E269" w14:textId="77777777">
      <w:pPr>
        <w:pStyle w:val="BodyText"/>
        <w:spacing w:before="3" w:after="1"/>
        <w:rPr>
          <w:sz w:val="14"/>
        </w:rPr>
      </w:pPr>
    </w:p>
    <w:tbl>
      <w:tblPr>
        <w:tblW w:w="0" w:type="auto"/>
        <w:tblInd w:w="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3687"/>
        <w:gridCol w:w="2206"/>
      </w:tblGrid>
      <w:tr w:rsidR="000D2DCD" w14:paraId="1074E26D" w14:textId="77777777">
        <w:trPr>
          <w:trHeight w:val="505"/>
        </w:trPr>
        <w:tc>
          <w:tcPr>
            <w:tcW w:w="2405" w:type="dxa"/>
            <w:shd w:val="clear" w:color="auto" w:fill="F1F1F1"/>
          </w:tcPr>
          <w:p w:rsidR="000D2DCD" w:rsidRDefault="00F81CE0" w14:paraId="1074E26A" w14:textId="77777777">
            <w:pPr>
              <w:pStyle w:val="TableParagraph"/>
              <w:spacing w:line="252" w:lineRule="exact"/>
              <w:ind w:left="107"/>
              <w:rPr>
                <w:b/>
              </w:rPr>
            </w:pPr>
            <w:r>
              <w:rPr>
                <w:b/>
              </w:rPr>
              <w:t>Uncertainties</w:t>
            </w:r>
            <w:r>
              <w:rPr>
                <w:b/>
                <w:spacing w:val="-16"/>
              </w:rPr>
              <w:t xml:space="preserve"> </w:t>
            </w:r>
            <w:r>
              <w:rPr>
                <w:b/>
              </w:rPr>
              <w:t xml:space="preserve">during </w:t>
            </w:r>
            <w:r>
              <w:rPr>
                <w:b/>
                <w:spacing w:val="-4"/>
              </w:rPr>
              <w:t>ACM1</w:t>
            </w:r>
          </w:p>
        </w:tc>
        <w:tc>
          <w:tcPr>
            <w:tcW w:w="3687" w:type="dxa"/>
            <w:shd w:val="clear" w:color="auto" w:fill="F1F1F1"/>
          </w:tcPr>
          <w:p w:rsidR="000D2DCD" w:rsidRDefault="00F81CE0" w14:paraId="1074E26B" w14:textId="77777777">
            <w:pPr>
              <w:pStyle w:val="TableParagraph"/>
              <w:spacing w:before="120"/>
              <w:ind w:left="108"/>
              <w:rPr>
                <w:b/>
              </w:rPr>
            </w:pPr>
            <w:r>
              <w:rPr>
                <w:b/>
              </w:rPr>
              <w:t>Steps</w:t>
            </w:r>
            <w:r>
              <w:rPr>
                <w:b/>
                <w:spacing w:val="-3"/>
              </w:rPr>
              <w:t xml:space="preserve"> </w:t>
            </w:r>
            <w:r>
              <w:rPr>
                <w:b/>
              </w:rPr>
              <w:t>taken</w:t>
            </w:r>
            <w:r>
              <w:rPr>
                <w:b/>
                <w:spacing w:val="-6"/>
              </w:rPr>
              <w:t xml:space="preserve"> </w:t>
            </w:r>
            <w:r>
              <w:rPr>
                <w:b/>
              </w:rPr>
              <w:t>at</w:t>
            </w:r>
            <w:r>
              <w:rPr>
                <w:b/>
                <w:spacing w:val="-1"/>
              </w:rPr>
              <w:t xml:space="preserve"> </w:t>
            </w:r>
            <w:r>
              <w:rPr>
                <w:b/>
              </w:rPr>
              <w:t>ACM2</w:t>
            </w:r>
            <w:r>
              <w:rPr>
                <w:b/>
                <w:spacing w:val="-3"/>
              </w:rPr>
              <w:t xml:space="preserve"> </w:t>
            </w:r>
            <w:r>
              <w:rPr>
                <w:b/>
              </w:rPr>
              <w:t>to</w:t>
            </w:r>
            <w:r>
              <w:rPr>
                <w:b/>
                <w:spacing w:val="-2"/>
              </w:rPr>
              <w:t xml:space="preserve"> address</w:t>
            </w:r>
          </w:p>
        </w:tc>
        <w:tc>
          <w:tcPr>
            <w:tcW w:w="2206" w:type="dxa"/>
            <w:shd w:val="clear" w:color="auto" w:fill="F1F1F1"/>
          </w:tcPr>
          <w:p w:rsidR="000D2DCD" w:rsidRDefault="00F81CE0" w14:paraId="1074E26C" w14:textId="77777777">
            <w:pPr>
              <w:pStyle w:val="TableParagraph"/>
              <w:spacing w:line="252" w:lineRule="exact"/>
              <w:ind w:left="108" w:right="103"/>
              <w:rPr>
                <w:b/>
              </w:rPr>
            </w:pPr>
            <w:r>
              <w:rPr>
                <w:b/>
                <w:spacing w:val="-2"/>
              </w:rPr>
              <w:t>Uncertainty resolved?</w:t>
            </w:r>
          </w:p>
        </w:tc>
      </w:tr>
      <w:tr w:rsidR="000D2DCD" w14:paraId="1074E272" w14:textId="77777777">
        <w:trPr>
          <w:trHeight w:val="3540"/>
        </w:trPr>
        <w:tc>
          <w:tcPr>
            <w:tcW w:w="2405" w:type="dxa"/>
          </w:tcPr>
          <w:p w:rsidR="000D2DCD" w:rsidRDefault="00F81CE0" w14:paraId="1074E26E" w14:textId="77777777">
            <w:pPr>
              <w:pStyle w:val="TableParagraph"/>
              <w:ind w:left="107"/>
            </w:pPr>
            <w:r>
              <w:rPr>
                <w:spacing w:val="-2"/>
              </w:rPr>
              <w:t>Appropriate comparators</w:t>
            </w:r>
          </w:p>
        </w:tc>
        <w:tc>
          <w:tcPr>
            <w:tcW w:w="3687" w:type="dxa"/>
          </w:tcPr>
          <w:p w:rsidR="000D2DCD" w:rsidRDefault="00F81CE0" w14:paraId="1074E26F" w14:textId="77777777">
            <w:pPr>
              <w:pStyle w:val="TableParagraph"/>
              <w:ind w:left="108" w:right="166"/>
            </w:pPr>
            <w:r>
              <w:t>2 days before the meeting the committee requested UCB to perform analysis vs SoC alone. Here</w:t>
            </w:r>
            <w:r>
              <w:rPr>
                <w:spacing w:val="-9"/>
              </w:rPr>
              <w:t xml:space="preserve"> </w:t>
            </w:r>
            <w:r>
              <w:t>UCB</w:t>
            </w:r>
            <w:r>
              <w:rPr>
                <w:spacing w:val="-10"/>
              </w:rPr>
              <w:t xml:space="preserve"> </w:t>
            </w:r>
            <w:r>
              <w:t>again</w:t>
            </w:r>
            <w:r>
              <w:rPr>
                <w:spacing w:val="-10"/>
              </w:rPr>
              <w:t xml:space="preserve"> </w:t>
            </w:r>
            <w:r>
              <w:t>highlighted</w:t>
            </w:r>
            <w:r>
              <w:rPr>
                <w:spacing w:val="-10"/>
              </w:rPr>
              <w:t xml:space="preserve"> </w:t>
            </w:r>
            <w:r>
              <w:t>SoC alone is not appropriate</w:t>
            </w:r>
            <w:r>
              <w:rPr>
                <w:spacing w:val="40"/>
              </w:rPr>
              <w:t xml:space="preserve"> </w:t>
            </w:r>
            <w:r>
              <w:t>but provided the analysis for transparency. During ACM2 clinicians</w:t>
            </w:r>
            <w:r>
              <w:rPr>
                <w:spacing w:val="-4"/>
              </w:rPr>
              <w:t xml:space="preserve"> </w:t>
            </w:r>
            <w:r>
              <w:t>were</w:t>
            </w:r>
            <w:r>
              <w:rPr>
                <w:spacing w:val="-6"/>
              </w:rPr>
              <w:t xml:space="preserve"> </w:t>
            </w:r>
            <w:r>
              <w:t>not</w:t>
            </w:r>
            <w:r>
              <w:rPr>
                <w:spacing w:val="-7"/>
              </w:rPr>
              <w:t xml:space="preserve"> </w:t>
            </w:r>
            <w:r>
              <w:t>directly</w:t>
            </w:r>
            <w:r>
              <w:rPr>
                <w:spacing w:val="-8"/>
              </w:rPr>
              <w:t xml:space="preserve"> </w:t>
            </w:r>
            <w:r>
              <w:t>asked questions to comment on in any detail</w:t>
            </w:r>
            <w:r>
              <w:rPr>
                <w:spacing w:val="-1"/>
              </w:rPr>
              <w:t xml:space="preserve"> </w:t>
            </w:r>
            <w:r>
              <w:t>what is reflective</w:t>
            </w:r>
            <w:r>
              <w:rPr>
                <w:spacing w:val="-1"/>
              </w:rPr>
              <w:t xml:space="preserve"> </w:t>
            </w:r>
            <w:r>
              <w:t>of clinical practice, specifically where FFA should be positioned and compared against in light of the</w:t>
            </w:r>
          </w:p>
          <w:p w:rsidR="000D2DCD" w:rsidRDefault="00F81CE0" w14:paraId="1074E270" w14:textId="77777777">
            <w:pPr>
              <w:pStyle w:val="TableParagraph"/>
              <w:spacing w:line="234" w:lineRule="exact"/>
              <w:ind w:left="108"/>
            </w:pPr>
            <w:r>
              <w:t>new</w:t>
            </w:r>
            <w:r>
              <w:rPr>
                <w:spacing w:val="-5"/>
              </w:rPr>
              <w:t xml:space="preserve"> </w:t>
            </w:r>
            <w:r>
              <w:t>request</w:t>
            </w:r>
            <w:r>
              <w:rPr>
                <w:spacing w:val="-3"/>
              </w:rPr>
              <w:t xml:space="preserve"> </w:t>
            </w:r>
            <w:r>
              <w:t>to</w:t>
            </w:r>
            <w:r>
              <w:rPr>
                <w:spacing w:val="-4"/>
              </w:rPr>
              <w:t xml:space="preserve"> </w:t>
            </w:r>
            <w:r>
              <w:t>focus</w:t>
            </w:r>
            <w:r>
              <w:rPr>
                <w:spacing w:val="-4"/>
              </w:rPr>
              <w:t xml:space="preserve"> </w:t>
            </w:r>
            <w:r>
              <w:t>on</w:t>
            </w:r>
            <w:r>
              <w:rPr>
                <w:spacing w:val="-4"/>
              </w:rPr>
              <w:t xml:space="preserve"> </w:t>
            </w:r>
            <w:r>
              <w:t>SoC</w:t>
            </w:r>
            <w:r>
              <w:rPr>
                <w:spacing w:val="-3"/>
              </w:rPr>
              <w:t xml:space="preserve"> </w:t>
            </w:r>
            <w:r>
              <w:rPr>
                <w:spacing w:val="-4"/>
              </w:rPr>
              <w:t>alone</w:t>
            </w:r>
          </w:p>
        </w:tc>
        <w:tc>
          <w:tcPr>
            <w:tcW w:w="2206" w:type="dxa"/>
          </w:tcPr>
          <w:p w:rsidR="000D2DCD" w:rsidRDefault="00F81CE0" w14:paraId="1074E271" w14:textId="77777777">
            <w:pPr>
              <w:pStyle w:val="TableParagraph"/>
              <w:ind w:left="108" w:right="103"/>
            </w:pPr>
            <w:r>
              <w:rPr>
                <w:b/>
              </w:rPr>
              <w:t>No</w:t>
            </w:r>
            <w:r>
              <w:t>. The committee maintained that</w:t>
            </w:r>
            <w:r>
              <w:rPr>
                <w:spacing w:val="40"/>
              </w:rPr>
              <w:t xml:space="preserve"> </w:t>
            </w:r>
            <w:r>
              <w:t>SoC is a</w:t>
            </w:r>
            <w:r>
              <w:rPr>
                <w:spacing w:val="80"/>
              </w:rPr>
              <w:t xml:space="preserve"> </w:t>
            </w:r>
            <w:r>
              <w:rPr>
                <w:spacing w:val="-2"/>
              </w:rPr>
              <w:t xml:space="preserve">appropriate </w:t>
            </w:r>
            <w:r>
              <w:t>comparison</w:t>
            </w:r>
            <w:r>
              <w:rPr>
                <w:spacing w:val="-16"/>
              </w:rPr>
              <w:t xml:space="preserve"> </w:t>
            </w:r>
            <w:r>
              <w:t>to</w:t>
            </w:r>
            <w:r>
              <w:rPr>
                <w:spacing w:val="-15"/>
              </w:rPr>
              <w:t xml:space="preserve"> </w:t>
            </w:r>
            <w:r>
              <w:t xml:space="preserve">make and mentioned it as ‘resolved’ in ACM2 committee slides, however this remains unresolved from UCB and clinical expert </w:t>
            </w:r>
            <w:r>
              <w:rPr>
                <w:spacing w:val="-2"/>
              </w:rPr>
              <w:t>opinion</w:t>
            </w:r>
          </w:p>
        </w:tc>
      </w:tr>
      <w:tr w:rsidR="000D2DCD" w14:paraId="1074E277" w14:textId="77777777">
        <w:trPr>
          <w:trHeight w:val="1012"/>
        </w:trPr>
        <w:tc>
          <w:tcPr>
            <w:tcW w:w="2405" w:type="dxa"/>
          </w:tcPr>
          <w:p w:rsidR="000D2DCD" w:rsidRDefault="00F81CE0" w14:paraId="1074E273" w14:textId="77777777">
            <w:pPr>
              <w:pStyle w:val="TableParagraph"/>
              <w:ind w:left="107"/>
            </w:pPr>
            <w:r>
              <w:t>Appropriateness of model</w:t>
            </w:r>
            <w:r>
              <w:rPr>
                <w:spacing w:val="-16"/>
              </w:rPr>
              <w:t xml:space="preserve"> </w:t>
            </w:r>
            <w:r>
              <w:t>structure</w:t>
            </w:r>
            <w:r>
              <w:rPr>
                <w:spacing w:val="-15"/>
              </w:rPr>
              <w:t xml:space="preserve"> </w:t>
            </w:r>
            <w:r>
              <w:t>based on relative reduction</w:t>
            </w:r>
          </w:p>
          <w:p w:rsidR="000D2DCD" w:rsidRDefault="00F81CE0" w14:paraId="1074E274" w14:textId="77777777">
            <w:pPr>
              <w:pStyle w:val="TableParagraph"/>
              <w:spacing w:line="234" w:lineRule="exact"/>
              <w:ind w:left="107"/>
            </w:pPr>
            <w:r>
              <w:t>in</w:t>
            </w:r>
            <w:r>
              <w:rPr>
                <w:spacing w:val="-4"/>
              </w:rPr>
              <w:t xml:space="preserve"> </w:t>
            </w:r>
            <w:r>
              <w:t>drop</w:t>
            </w:r>
            <w:r>
              <w:rPr>
                <w:spacing w:val="-1"/>
              </w:rPr>
              <w:t xml:space="preserve"> </w:t>
            </w:r>
            <w:r>
              <w:rPr>
                <w:spacing w:val="-2"/>
              </w:rPr>
              <w:t>seizures</w:t>
            </w:r>
          </w:p>
        </w:tc>
        <w:tc>
          <w:tcPr>
            <w:tcW w:w="3687" w:type="dxa"/>
          </w:tcPr>
          <w:p w:rsidR="000D2DCD" w:rsidRDefault="00F81CE0" w14:paraId="1074E275" w14:textId="77777777">
            <w:pPr>
              <w:pStyle w:val="TableParagraph"/>
              <w:ind w:left="108" w:right="115"/>
            </w:pPr>
            <w:r>
              <w:t>N/A model structure was determined</w:t>
            </w:r>
            <w:r>
              <w:rPr>
                <w:spacing w:val="-12"/>
              </w:rPr>
              <w:t xml:space="preserve"> </w:t>
            </w:r>
            <w:r>
              <w:t>as</w:t>
            </w:r>
            <w:r>
              <w:rPr>
                <w:spacing w:val="-14"/>
              </w:rPr>
              <w:t xml:space="preserve"> </w:t>
            </w:r>
            <w:r>
              <w:t>acceptable</w:t>
            </w:r>
            <w:r>
              <w:rPr>
                <w:spacing w:val="-14"/>
              </w:rPr>
              <w:t xml:space="preserve"> </w:t>
            </w:r>
            <w:r>
              <w:t xml:space="preserve">following </w:t>
            </w:r>
            <w:r>
              <w:rPr>
                <w:spacing w:val="-4"/>
              </w:rPr>
              <w:t>ACM1</w:t>
            </w:r>
          </w:p>
        </w:tc>
        <w:tc>
          <w:tcPr>
            <w:tcW w:w="2206" w:type="dxa"/>
          </w:tcPr>
          <w:p w:rsidR="000D2DCD" w:rsidRDefault="00F81CE0" w14:paraId="1074E276" w14:textId="77777777">
            <w:pPr>
              <w:pStyle w:val="TableParagraph"/>
              <w:spacing w:line="250" w:lineRule="exact"/>
              <w:ind w:left="108"/>
              <w:rPr>
                <w:b/>
              </w:rPr>
            </w:pPr>
            <w:r>
              <w:rPr>
                <w:b/>
                <w:spacing w:val="-5"/>
              </w:rPr>
              <w:t>Yes</w:t>
            </w:r>
          </w:p>
        </w:tc>
      </w:tr>
      <w:tr w:rsidR="000D2DCD" w14:paraId="1074E27E" w14:textId="77777777">
        <w:trPr>
          <w:trHeight w:val="3542"/>
        </w:trPr>
        <w:tc>
          <w:tcPr>
            <w:tcW w:w="2405" w:type="dxa"/>
          </w:tcPr>
          <w:p w:rsidR="000D2DCD" w:rsidRDefault="00F81CE0" w14:paraId="1074E278" w14:textId="77777777">
            <w:pPr>
              <w:pStyle w:val="TableParagraph"/>
              <w:ind w:left="107" w:right="755"/>
            </w:pPr>
            <w:r>
              <w:t>Extrapolation</w:t>
            </w:r>
            <w:r>
              <w:rPr>
                <w:spacing w:val="-16"/>
              </w:rPr>
              <w:t xml:space="preserve"> </w:t>
            </w:r>
            <w:r>
              <w:t xml:space="preserve">of </w:t>
            </w:r>
            <w:r>
              <w:rPr>
                <w:spacing w:val="-2"/>
              </w:rPr>
              <w:t xml:space="preserve">fenfluramine </w:t>
            </w:r>
            <w:r>
              <w:t>treatment</w:t>
            </w:r>
            <w:r>
              <w:rPr>
                <w:spacing w:val="-16"/>
              </w:rPr>
              <w:t xml:space="preserve"> </w:t>
            </w:r>
            <w:r>
              <w:t>effect</w:t>
            </w:r>
          </w:p>
        </w:tc>
        <w:tc>
          <w:tcPr>
            <w:tcW w:w="3687" w:type="dxa"/>
          </w:tcPr>
          <w:p w:rsidR="000D2DCD" w:rsidRDefault="00F81CE0" w14:paraId="1074E279" w14:textId="77777777">
            <w:pPr>
              <w:pStyle w:val="TableParagraph"/>
              <w:ind w:left="108" w:right="133"/>
            </w:pPr>
            <w:r>
              <w:t>UCB proposed a maintained treatment effect for extrapolation (cycle 6 onwards), which was agreed</w:t>
            </w:r>
            <w:r>
              <w:rPr>
                <w:spacing w:val="-7"/>
              </w:rPr>
              <w:t xml:space="preserve"> </w:t>
            </w:r>
            <w:r>
              <w:t>by</w:t>
            </w:r>
            <w:r>
              <w:rPr>
                <w:spacing w:val="-9"/>
              </w:rPr>
              <w:t xml:space="preserve"> </w:t>
            </w:r>
            <w:r>
              <w:t>the</w:t>
            </w:r>
            <w:r>
              <w:rPr>
                <w:spacing w:val="-9"/>
              </w:rPr>
              <w:t xml:space="preserve"> </w:t>
            </w:r>
            <w:r>
              <w:t>committee</w:t>
            </w:r>
            <w:r>
              <w:rPr>
                <w:spacing w:val="-9"/>
              </w:rPr>
              <w:t xml:space="preserve"> </w:t>
            </w:r>
            <w:r>
              <w:t>and</w:t>
            </w:r>
            <w:r>
              <w:rPr>
                <w:spacing w:val="-7"/>
              </w:rPr>
              <w:t xml:space="preserve"> </w:t>
            </w:r>
            <w:r>
              <w:t>EAG. However, uncertainty in the approach for determining efficacy in cycles 2-5 was not discussed until ACM2. UCB proposed analysis based on the ITT population, which was thought to be preferable based on Draft Guidance stating “The committee considered that it would prefer the</w:t>
            </w:r>
          </w:p>
          <w:p w:rsidR="000D2DCD" w:rsidRDefault="00F81CE0" w14:paraId="1074E27A" w14:textId="77777777">
            <w:pPr>
              <w:pStyle w:val="TableParagraph"/>
              <w:spacing w:line="234" w:lineRule="exact"/>
              <w:ind w:left="108"/>
            </w:pPr>
            <w:r>
              <w:rPr>
                <w:spacing w:val="-5"/>
              </w:rPr>
              <w:t>ITT</w:t>
            </w:r>
          </w:p>
        </w:tc>
        <w:tc>
          <w:tcPr>
            <w:tcW w:w="2206" w:type="dxa"/>
          </w:tcPr>
          <w:p w:rsidR="000D2DCD" w:rsidRDefault="00F81CE0" w14:paraId="1074E27B" w14:textId="77777777">
            <w:pPr>
              <w:pStyle w:val="TableParagraph"/>
              <w:ind w:left="108" w:right="105"/>
            </w:pPr>
            <w:r>
              <w:rPr>
                <w:b/>
              </w:rPr>
              <w:t>Yes</w:t>
            </w:r>
            <w:r>
              <w:t>,</w:t>
            </w:r>
            <w:r>
              <w:rPr>
                <w:spacing w:val="-7"/>
              </w:rPr>
              <w:t xml:space="preserve"> </w:t>
            </w:r>
            <w:r>
              <w:t>for</w:t>
            </w:r>
            <w:r>
              <w:rPr>
                <w:spacing w:val="-7"/>
              </w:rPr>
              <w:t xml:space="preserve"> </w:t>
            </w:r>
            <w:r>
              <w:t>assumption extrapolation of treatment</w:t>
            </w:r>
            <w:r>
              <w:rPr>
                <w:spacing w:val="-7"/>
              </w:rPr>
              <w:t xml:space="preserve"> </w:t>
            </w:r>
            <w:r>
              <w:t>effect,</w:t>
            </w:r>
            <w:r>
              <w:rPr>
                <w:spacing w:val="-7"/>
              </w:rPr>
              <w:t xml:space="preserve"> </w:t>
            </w:r>
            <w:r>
              <w:t xml:space="preserve">but </w:t>
            </w:r>
            <w:r>
              <w:rPr>
                <w:b/>
              </w:rPr>
              <w:t xml:space="preserve">no </w:t>
            </w:r>
            <w:r>
              <w:t xml:space="preserve">for the </w:t>
            </w:r>
            <w:r>
              <w:rPr>
                <w:spacing w:val="-2"/>
              </w:rPr>
              <w:t>appropriate</w:t>
            </w:r>
            <w:r>
              <w:rPr>
                <w:spacing w:val="40"/>
              </w:rPr>
              <w:t xml:space="preserve"> </w:t>
            </w:r>
            <w:r>
              <w:t>methods to</w:t>
            </w:r>
            <w:r>
              <w:rPr>
                <w:spacing w:val="40"/>
              </w:rPr>
              <w:t xml:space="preserve"> </w:t>
            </w:r>
            <w:r>
              <w:t>compare</w:t>
            </w:r>
            <w:r>
              <w:rPr>
                <w:spacing w:val="-16"/>
              </w:rPr>
              <w:t xml:space="preserve"> </w:t>
            </w:r>
            <w:r>
              <w:t>efficacy</w:t>
            </w:r>
            <w:r>
              <w:rPr>
                <w:spacing w:val="-15"/>
              </w:rPr>
              <w:t xml:space="preserve"> </w:t>
            </w:r>
            <w:r>
              <w:t>for cycles 2-5 (OLE).</w:t>
            </w:r>
          </w:p>
          <w:p w:rsidR="000D2DCD" w:rsidRDefault="00F81CE0" w14:paraId="1074E27C" w14:textId="77777777">
            <w:pPr>
              <w:pStyle w:val="TableParagraph"/>
              <w:ind w:left="108" w:right="103"/>
            </w:pPr>
            <w:r>
              <w:t>UCB</w:t>
            </w:r>
            <w:r>
              <w:rPr>
                <w:spacing w:val="-13"/>
              </w:rPr>
              <w:t xml:space="preserve"> </w:t>
            </w:r>
            <w:r>
              <w:t>were</w:t>
            </w:r>
            <w:r>
              <w:rPr>
                <w:spacing w:val="-12"/>
              </w:rPr>
              <w:t xml:space="preserve"> </w:t>
            </w:r>
            <w:r>
              <w:t>not</w:t>
            </w:r>
            <w:r>
              <w:rPr>
                <w:spacing w:val="-14"/>
              </w:rPr>
              <w:t xml:space="preserve"> </w:t>
            </w:r>
            <w:r>
              <w:t>given an opportunity to rectify this following ACM2 and this is said to be and</w:t>
            </w:r>
          </w:p>
          <w:p w:rsidR="000D2DCD" w:rsidRDefault="00F81CE0" w14:paraId="1074E27D" w14:textId="77777777">
            <w:pPr>
              <w:pStyle w:val="TableParagraph"/>
              <w:spacing w:line="234" w:lineRule="exact"/>
              <w:ind w:left="108"/>
            </w:pPr>
            <w:r>
              <w:rPr>
                <w:spacing w:val="-2"/>
              </w:rPr>
              <w:t>unresolved</w:t>
            </w:r>
          </w:p>
        </w:tc>
      </w:tr>
    </w:tbl>
    <w:p w:rsidR="000D2DCD" w:rsidRDefault="000D2DCD" w14:paraId="1074E27F" w14:textId="77777777">
      <w:pPr>
        <w:spacing w:line="234" w:lineRule="exact"/>
        <w:sectPr w:rsidR="000D2DCD">
          <w:pgSz w:w="11910" w:h="16840" w:orient="portrait"/>
          <w:pgMar w:top="860" w:right="360" w:bottom="1200" w:left="1040" w:header="182" w:footer="1007" w:gutter="0"/>
          <w:cols w:space="720"/>
        </w:sectPr>
      </w:pPr>
    </w:p>
    <w:p w:rsidR="000D2DCD" w:rsidRDefault="000D2DCD" w14:paraId="1074E280" w14:textId="77777777">
      <w:pPr>
        <w:pStyle w:val="BodyText"/>
        <w:rPr>
          <w:sz w:val="20"/>
        </w:rPr>
      </w:pPr>
    </w:p>
    <w:p w:rsidR="000D2DCD" w:rsidRDefault="000D2DCD" w14:paraId="1074E281" w14:textId="77777777">
      <w:pPr>
        <w:pStyle w:val="BodyText"/>
        <w:spacing w:before="108"/>
        <w:rPr>
          <w:sz w:val="20"/>
        </w:rPr>
      </w:pPr>
    </w:p>
    <w:tbl>
      <w:tblPr>
        <w:tblW w:w="0" w:type="auto"/>
        <w:tblInd w:w="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3687"/>
        <w:gridCol w:w="2206"/>
      </w:tblGrid>
      <w:tr w:rsidR="000D2DCD" w14:paraId="1074E286" w14:textId="77777777">
        <w:trPr>
          <w:trHeight w:val="1264"/>
        </w:trPr>
        <w:tc>
          <w:tcPr>
            <w:tcW w:w="2405" w:type="dxa"/>
          </w:tcPr>
          <w:p w:rsidR="000D2DCD" w:rsidRDefault="000D2DCD" w14:paraId="1074E282" w14:textId="77777777">
            <w:pPr>
              <w:pStyle w:val="TableParagraph"/>
              <w:ind w:left="0"/>
              <w:rPr>
                <w:rFonts w:ascii="Times New Roman"/>
                <w:sz w:val="20"/>
              </w:rPr>
            </w:pPr>
          </w:p>
        </w:tc>
        <w:tc>
          <w:tcPr>
            <w:tcW w:w="3687" w:type="dxa"/>
          </w:tcPr>
          <w:p w:rsidR="000D2DCD" w:rsidRDefault="00F81CE0" w14:paraId="1074E283" w14:textId="77777777">
            <w:pPr>
              <w:pStyle w:val="TableParagraph"/>
              <w:ind w:left="108"/>
            </w:pPr>
            <w:r>
              <w:t>population to be used”, however state occupancies remained the preference despite ITT LOCF</w:t>
            </w:r>
          </w:p>
          <w:p w:rsidR="000D2DCD" w:rsidRDefault="00F81CE0" w14:paraId="1074E284" w14:textId="77777777">
            <w:pPr>
              <w:pStyle w:val="TableParagraph"/>
              <w:spacing w:line="254" w:lineRule="exact"/>
              <w:ind w:left="108"/>
            </w:pPr>
            <w:r>
              <w:t>population</w:t>
            </w:r>
            <w:r>
              <w:rPr>
                <w:spacing w:val="-9"/>
              </w:rPr>
              <w:t xml:space="preserve"> </w:t>
            </w:r>
            <w:r>
              <w:t>data</w:t>
            </w:r>
            <w:r>
              <w:rPr>
                <w:spacing w:val="-10"/>
              </w:rPr>
              <w:t xml:space="preserve"> </w:t>
            </w:r>
            <w:r>
              <w:t>being</w:t>
            </w:r>
            <w:r>
              <w:rPr>
                <w:spacing w:val="-9"/>
              </w:rPr>
              <w:t xml:space="preserve"> </w:t>
            </w:r>
            <w:r>
              <w:t>accepted</w:t>
            </w:r>
            <w:r>
              <w:rPr>
                <w:spacing w:val="-9"/>
              </w:rPr>
              <w:t xml:space="preserve"> </w:t>
            </w:r>
            <w:r>
              <w:t>in CBD’s appraisal in LGS (TA615).</w:t>
            </w:r>
          </w:p>
        </w:tc>
        <w:tc>
          <w:tcPr>
            <w:tcW w:w="2206" w:type="dxa"/>
          </w:tcPr>
          <w:p w:rsidR="000D2DCD" w:rsidRDefault="00F81CE0" w14:paraId="1074E285" w14:textId="77777777">
            <w:pPr>
              <w:pStyle w:val="TableParagraph"/>
              <w:spacing w:line="242" w:lineRule="auto"/>
              <w:ind w:left="108" w:right="384"/>
            </w:pPr>
            <w:r>
              <w:t>uncertainty</w:t>
            </w:r>
            <w:r>
              <w:rPr>
                <w:spacing w:val="-16"/>
              </w:rPr>
              <w:t xml:space="preserve"> </w:t>
            </w:r>
            <w:r>
              <w:t>within the FDG.</w:t>
            </w:r>
          </w:p>
        </w:tc>
      </w:tr>
      <w:tr w:rsidR="000D2DCD" w14:paraId="1074E28B" w14:textId="77777777">
        <w:trPr>
          <w:trHeight w:val="1010"/>
        </w:trPr>
        <w:tc>
          <w:tcPr>
            <w:tcW w:w="2405" w:type="dxa"/>
          </w:tcPr>
          <w:p w:rsidR="000D2DCD" w:rsidRDefault="00F81CE0" w14:paraId="1074E287" w14:textId="77777777">
            <w:pPr>
              <w:pStyle w:val="TableParagraph"/>
              <w:ind w:left="107" w:right="57"/>
            </w:pPr>
            <w:r>
              <w:t>Utility values: uncertainty in modelling</w:t>
            </w:r>
            <w:r>
              <w:rPr>
                <w:spacing w:val="-16"/>
              </w:rPr>
              <w:t xml:space="preserve"> </w:t>
            </w:r>
            <w:r>
              <w:t>of</w:t>
            </w:r>
            <w:r>
              <w:rPr>
                <w:spacing w:val="-15"/>
              </w:rPr>
              <w:t xml:space="preserve"> </w:t>
            </w:r>
            <w:r>
              <w:t>patient</w:t>
            </w:r>
          </w:p>
          <w:p w:rsidR="000D2DCD" w:rsidRDefault="00F81CE0" w14:paraId="1074E288" w14:textId="77777777">
            <w:pPr>
              <w:pStyle w:val="TableParagraph"/>
              <w:spacing w:line="234" w:lineRule="exact"/>
              <w:ind w:left="107"/>
            </w:pPr>
            <w:r>
              <w:t>and</w:t>
            </w:r>
            <w:r>
              <w:rPr>
                <w:spacing w:val="-5"/>
              </w:rPr>
              <w:t xml:space="preserve"> </w:t>
            </w:r>
            <w:r>
              <w:t>caregiver</w:t>
            </w:r>
            <w:r>
              <w:rPr>
                <w:spacing w:val="-3"/>
              </w:rPr>
              <w:t xml:space="preserve"> </w:t>
            </w:r>
            <w:r>
              <w:rPr>
                <w:spacing w:val="-2"/>
              </w:rPr>
              <w:t>HRQoL</w:t>
            </w:r>
          </w:p>
        </w:tc>
        <w:tc>
          <w:tcPr>
            <w:tcW w:w="3687" w:type="dxa"/>
          </w:tcPr>
          <w:p w:rsidR="000D2DCD" w:rsidRDefault="00F81CE0" w14:paraId="1074E289" w14:textId="77777777">
            <w:pPr>
              <w:pStyle w:val="TableParagraph"/>
              <w:spacing w:line="242" w:lineRule="auto"/>
              <w:ind w:left="108"/>
            </w:pPr>
            <w:r>
              <w:t>Agreed to be uncertain but acceptable</w:t>
            </w:r>
            <w:r>
              <w:rPr>
                <w:spacing w:val="-13"/>
              </w:rPr>
              <w:t xml:space="preserve"> </w:t>
            </w:r>
            <w:r>
              <w:t>for</w:t>
            </w:r>
            <w:r>
              <w:rPr>
                <w:spacing w:val="-12"/>
              </w:rPr>
              <w:t xml:space="preserve"> </w:t>
            </w:r>
            <w:r>
              <w:t>decision</w:t>
            </w:r>
            <w:r>
              <w:rPr>
                <w:spacing w:val="-13"/>
              </w:rPr>
              <w:t xml:space="preserve"> </w:t>
            </w:r>
            <w:r>
              <w:t>making</w:t>
            </w:r>
          </w:p>
        </w:tc>
        <w:tc>
          <w:tcPr>
            <w:tcW w:w="2206" w:type="dxa"/>
          </w:tcPr>
          <w:p w:rsidR="000D2DCD" w:rsidRDefault="00F81CE0" w14:paraId="1074E28A" w14:textId="77777777">
            <w:pPr>
              <w:pStyle w:val="TableParagraph"/>
              <w:spacing w:line="246" w:lineRule="exact"/>
              <w:ind w:left="108"/>
              <w:rPr>
                <w:b/>
              </w:rPr>
            </w:pPr>
            <w:r>
              <w:rPr>
                <w:b/>
                <w:spacing w:val="-5"/>
              </w:rPr>
              <w:t>Yes</w:t>
            </w:r>
          </w:p>
        </w:tc>
      </w:tr>
      <w:tr w:rsidR="000D2DCD" w14:paraId="1074E290" w14:textId="77777777">
        <w:trPr>
          <w:trHeight w:val="3542"/>
        </w:trPr>
        <w:tc>
          <w:tcPr>
            <w:tcW w:w="2405" w:type="dxa"/>
          </w:tcPr>
          <w:p w:rsidR="000D2DCD" w:rsidRDefault="00F81CE0" w14:paraId="1074E28C" w14:textId="77777777">
            <w:pPr>
              <w:pStyle w:val="TableParagraph"/>
              <w:ind w:left="107"/>
            </w:pPr>
            <w:r>
              <w:t>Application</w:t>
            </w:r>
            <w:r>
              <w:rPr>
                <w:spacing w:val="-16"/>
              </w:rPr>
              <w:t xml:space="preserve"> </w:t>
            </w:r>
            <w:r>
              <w:t>of</w:t>
            </w:r>
            <w:r>
              <w:rPr>
                <w:spacing w:val="-15"/>
              </w:rPr>
              <w:t xml:space="preserve"> </w:t>
            </w:r>
            <w:r>
              <w:t xml:space="preserve">severity modifier to caregiver </w:t>
            </w:r>
            <w:r>
              <w:rPr>
                <w:spacing w:val="-2"/>
              </w:rPr>
              <w:t>QALYs</w:t>
            </w:r>
          </w:p>
        </w:tc>
        <w:tc>
          <w:tcPr>
            <w:tcW w:w="3687" w:type="dxa"/>
          </w:tcPr>
          <w:p w:rsidR="000D2DCD" w:rsidRDefault="00F81CE0" w14:paraId="1074E28D" w14:textId="77777777">
            <w:pPr>
              <w:pStyle w:val="TableParagraph"/>
              <w:ind w:left="108" w:right="166"/>
            </w:pPr>
            <w:r>
              <w:t>Severity modifier applied to patients</w:t>
            </w:r>
            <w:r>
              <w:rPr>
                <w:spacing w:val="-9"/>
              </w:rPr>
              <w:t xml:space="preserve"> </w:t>
            </w:r>
            <w:r>
              <w:t>only</w:t>
            </w:r>
            <w:r>
              <w:rPr>
                <w:spacing w:val="-11"/>
              </w:rPr>
              <w:t xml:space="preserve"> </w:t>
            </w:r>
            <w:r>
              <w:t>(not</w:t>
            </w:r>
            <w:r>
              <w:rPr>
                <w:spacing w:val="-8"/>
              </w:rPr>
              <w:t xml:space="preserve"> </w:t>
            </w:r>
            <w:r>
              <w:t>patients</w:t>
            </w:r>
            <w:r>
              <w:rPr>
                <w:spacing w:val="-9"/>
              </w:rPr>
              <w:t xml:space="preserve"> </w:t>
            </w:r>
            <w:r>
              <w:t xml:space="preserve">and carers). UCB compromisingly agreed it should not apply to </w:t>
            </w:r>
            <w:r>
              <w:rPr>
                <w:spacing w:val="-2"/>
              </w:rPr>
              <w:t>carers.</w:t>
            </w:r>
          </w:p>
        </w:tc>
        <w:tc>
          <w:tcPr>
            <w:tcW w:w="2206" w:type="dxa"/>
          </w:tcPr>
          <w:p w:rsidR="000D2DCD" w:rsidRDefault="00F81CE0" w14:paraId="1074E28E" w14:textId="77777777">
            <w:pPr>
              <w:pStyle w:val="TableParagraph"/>
              <w:ind w:left="108" w:right="103"/>
            </w:pPr>
            <w:r>
              <w:rPr>
                <w:b/>
              </w:rPr>
              <w:t>No</w:t>
            </w:r>
            <w:r>
              <w:t>, although the application of the modifier to patients only was agreed. However, this modifier works against FFA if CBD is assumed to be superior, and therefore goes against</w:t>
            </w:r>
            <w:r>
              <w:rPr>
                <w:spacing w:val="-13"/>
              </w:rPr>
              <w:t xml:space="preserve"> </w:t>
            </w:r>
            <w:r>
              <w:t>the</w:t>
            </w:r>
            <w:r>
              <w:rPr>
                <w:spacing w:val="-14"/>
              </w:rPr>
              <w:t xml:space="preserve"> </w:t>
            </w:r>
            <w:r>
              <w:t>notion</w:t>
            </w:r>
            <w:r>
              <w:rPr>
                <w:spacing w:val="-12"/>
              </w:rPr>
              <w:t xml:space="preserve"> </w:t>
            </w:r>
            <w:r>
              <w:t>of having a modifier to</w:t>
            </w:r>
          </w:p>
          <w:p w:rsidR="000D2DCD" w:rsidRDefault="00F81CE0" w14:paraId="1074E28F" w14:textId="77777777">
            <w:pPr>
              <w:pStyle w:val="TableParagraph"/>
              <w:spacing w:line="252" w:lineRule="exact"/>
              <w:ind w:left="108" w:right="103"/>
            </w:pPr>
            <w:r>
              <w:t>support companies in</w:t>
            </w:r>
            <w:r>
              <w:rPr>
                <w:spacing w:val="-2"/>
              </w:rPr>
              <w:t xml:space="preserve"> </w:t>
            </w:r>
            <w:r>
              <w:t>the</w:t>
            </w:r>
            <w:r>
              <w:rPr>
                <w:spacing w:val="-4"/>
              </w:rPr>
              <w:t xml:space="preserve"> </w:t>
            </w:r>
            <w:r>
              <w:t xml:space="preserve">first </w:t>
            </w:r>
            <w:r>
              <w:rPr>
                <w:spacing w:val="-2"/>
              </w:rPr>
              <w:t>instance.</w:t>
            </w:r>
          </w:p>
        </w:tc>
      </w:tr>
      <w:tr w:rsidR="000D2DCD" w14:paraId="1074E295" w14:textId="77777777">
        <w:trPr>
          <w:trHeight w:val="1770"/>
        </w:trPr>
        <w:tc>
          <w:tcPr>
            <w:tcW w:w="2405" w:type="dxa"/>
          </w:tcPr>
          <w:p w:rsidR="000D2DCD" w:rsidRDefault="00F81CE0" w14:paraId="1074E291" w14:textId="77777777">
            <w:pPr>
              <w:pStyle w:val="TableParagraph"/>
              <w:ind w:left="107"/>
            </w:pPr>
            <w:r>
              <w:t>Maintenance</w:t>
            </w:r>
            <w:r>
              <w:rPr>
                <w:spacing w:val="-16"/>
              </w:rPr>
              <w:t xml:space="preserve"> </w:t>
            </w:r>
            <w:r>
              <w:t>doses</w:t>
            </w:r>
            <w:r>
              <w:rPr>
                <w:spacing w:val="-15"/>
              </w:rPr>
              <w:t xml:space="preserve"> </w:t>
            </w:r>
            <w:r>
              <w:t xml:space="preserve">of fenfluramine and </w:t>
            </w:r>
            <w:r>
              <w:rPr>
                <w:spacing w:val="-2"/>
              </w:rPr>
              <w:t>cannabidiol</w:t>
            </w:r>
          </w:p>
        </w:tc>
        <w:tc>
          <w:tcPr>
            <w:tcW w:w="3687" w:type="dxa"/>
          </w:tcPr>
          <w:p w:rsidR="000D2DCD" w:rsidRDefault="00F81CE0" w14:paraId="1074E292" w14:textId="77777777">
            <w:pPr>
              <w:pStyle w:val="TableParagraph"/>
              <w:ind w:left="108" w:right="115"/>
            </w:pPr>
            <w:r>
              <w:t>Additional evidence was provided for the average dose of fenfluramine and supporting commentary for the appropriate dose of cannabidiol. 0.416 mg/kg/day</w:t>
            </w:r>
            <w:r>
              <w:rPr>
                <w:spacing w:val="-9"/>
              </w:rPr>
              <w:t xml:space="preserve"> </w:t>
            </w:r>
            <w:r>
              <w:t>was</w:t>
            </w:r>
            <w:r>
              <w:rPr>
                <w:spacing w:val="-7"/>
              </w:rPr>
              <w:t xml:space="preserve"> </w:t>
            </w:r>
            <w:r>
              <w:t>agreed</w:t>
            </w:r>
            <w:r>
              <w:rPr>
                <w:spacing w:val="-9"/>
              </w:rPr>
              <w:t xml:space="preserve"> </w:t>
            </w:r>
            <w:r>
              <w:t>for</w:t>
            </w:r>
            <w:r>
              <w:rPr>
                <w:spacing w:val="-6"/>
              </w:rPr>
              <w:t xml:space="preserve"> </w:t>
            </w:r>
            <w:r>
              <w:t>FFA</w:t>
            </w:r>
            <w:r>
              <w:rPr>
                <w:spacing w:val="-7"/>
              </w:rPr>
              <w:t xml:space="preserve"> </w:t>
            </w:r>
            <w:r>
              <w:t>and</w:t>
            </w:r>
          </w:p>
          <w:p w:rsidR="000D2DCD" w:rsidRDefault="00F81CE0" w14:paraId="1074E293" w14:textId="77777777">
            <w:pPr>
              <w:pStyle w:val="TableParagraph"/>
              <w:spacing w:line="235" w:lineRule="exact"/>
              <w:ind w:left="108"/>
            </w:pPr>
            <w:r>
              <w:t>between</w:t>
            </w:r>
            <w:r>
              <w:rPr>
                <w:spacing w:val="-5"/>
              </w:rPr>
              <w:t xml:space="preserve"> </w:t>
            </w:r>
            <w:r>
              <w:t>12-16</w:t>
            </w:r>
            <w:r>
              <w:rPr>
                <w:spacing w:val="-6"/>
              </w:rPr>
              <w:t xml:space="preserve"> </w:t>
            </w:r>
            <w:r>
              <w:t>mg/kg/day</w:t>
            </w:r>
            <w:r>
              <w:rPr>
                <w:spacing w:val="-7"/>
              </w:rPr>
              <w:t xml:space="preserve"> </w:t>
            </w:r>
            <w:r>
              <w:t>for</w:t>
            </w:r>
            <w:r>
              <w:rPr>
                <w:spacing w:val="-3"/>
              </w:rPr>
              <w:t xml:space="preserve"> </w:t>
            </w:r>
            <w:r>
              <w:rPr>
                <w:spacing w:val="-5"/>
              </w:rPr>
              <w:t>CBD</w:t>
            </w:r>
          </w:p>
        </w:tc>
        <w:tc>
          <w:tcPr>
            <w:tcW w:w="2206" w:type="dxa"/>
          </w:tcPr>
          <w:p w:rsidR="000D2DCD" w:rsidRDefault="00F81CE0" w14:paraId="1074E294" w14:textId="77777777">
            <w:pPr>
              <w:pStyle w:val="TableParagraph"/>
              <w:spacing w:line="248" w:lineRule="exact"/>
              <w:ind w:left="108"/>
              <w:rPr>
                <w:b/>
              </w:rPr>
            </w:pPr>
            <w:r>
              <w:rPr>
                <w:b/>
                <w:spacing w:val="-5"/>
              </w:rPr>
              <w:t>Yes</w:t>
            </w:r>
          </w:p>
        </w:tc>
      </w:tr>
      <w:tr w:rsidR="000D2DCD" w14:paraId="1074E29A" w14:textId="77777777">
        <w:trPr>
          <w:trHeight w:val="2023"/>
        </w:trPr>
        <w:tc>
          <w:tcPr>
            <w:tcW w:w="2405" w:type="dxa"/>
          </w:tcPr>
          <w:p w:rsidR="000D2DCD" w:rsidRDefault="00F81CE0" w14:paraId="1074E296" w14:textId="77777777">
            <w:pPr>
              <w:pStyle w:val="TableParagraph"/>
              <w:ind w:left="107"/>
            </w:pPr>
            <w:r>
              <w:rPr>
                <w:spacing w:val="-2"/>
              </w:rPr>
              <w:t xml:space="preserve">Modelling institutionalisation </w:t>
            </w:r>
            <w:r>
              <w:t>(impact of institutionalisation on caregiver</w:t>
            </w:r>
            <w:r>
              <w:rPr>
                <w:spacing w:val="-16"/>
              </w:rPr>
              <w:t xml:space="preserve"> </w:t>
            </w:r>
            <w:r>
              <w:t>HRQoL</w:t>
            </w:r>
            <w:r>
              <w:rPr>
                <w:spacing w:val="-15"/>
              </w:rPr>
              <w:t xml:space="preserve"> </w:t>
            </w:r>
            <w:r>
              <w:t xml:space="preserve">and inclusion of </w:t>
            </w:r>
            <w:r>
              <w:rPr>
                <w:spacing w:val="-2"/>
              </w:rPr>
              <w:t>institutionalisation</w:t>
            </w:r>
          </w:p>
          <w:p w:rsidR="000D2DCD" w:rsidRDefault="00F81CE0" w14:paraId="1074E297" w14:textId="77777777">
            <w:pPr>
              <w:pStyle w:val="TableParagraph"/>
              <w:spacing w:line="234" w:lineRule="exact"/>
              <w:ind w:left="107"/>
            </w:pPr>
            <w:r>
              <w:rPr>
                <w:spacing w:val="-2"/>
              </w:rPr>
              <w:t>costs</w:t>
            </w:r>
          </w:p>
        </w:tc>
        <w:tc>
          <w:tcPr>
            <w:tcW w:w="3687" w:type="dxa"/>
          </w:tcPr>
          <w:p w:rsidR="000D2DCD" w:rsidRDefault="00F81CE0" w14:paraId="1074E298" w14:textId="77777777">
            <w:pPr>
              <w:pStyle w:val="TableParagraph"/>
              <w:ind w:left="108" w:right="914"/>
            </w:pPr>
            <w:r>
              <w:t>UCB</w:t>
            </w:r>
            <w:r>
              <w:rPr>
                <w:spacing w:val="-16"/>
              </w:rPr>
              <w:t xml:space="preserve"> </w:t>
            </w:r>
            <w:r>
              <w:t>accepted</w:t>
            </w:r>
            <w:r>
              <w:rPr>
                <w:spacing w:val="-15"/>
              </w:rPr>
              <w:t xml:space="preserve"> </w:t>
            </w:r>
            <w:r>
              <w:t xml:space="preserve">committees’ </w:t>
            </w:r>
            <w:r>
              <w:rPr>
                <w:spacing w:val="-2"/>
              </w:rPr>
              <w:t>assumptions</w:t>
            </w:r>
          </w:p>
        </w:tc>
        <w:tc>
          <w:tcPr>
            <w:tcW w:w="2206" w:type="dxa"/>
          </w:tcPr>
          <w:p w:rsidR="000D2DCD" w:rsidRDefault="00F81CE0" w14:paraId="1074E299" w14:textId="77777777">
            <w:pPr>
              <w:pStyle w:val="TableParagraph"/>
              <w:spacing w:line="248" w:lineRule="exact"/>
              <w:ind w:left="108"/>
              <w:rPr>
                <w:b/>
              </w:rPr>
            </w:pPr>
            <w:r>
              <w:rPr>
                <w:b/>
                <w:spacing w:val="-5"/>
              </w:rPr>
              <w:t>Yes</w:t>
            </w:r>
          </w:p>
        </w:tc>
      </w:tr>
      <w:tr w:rsidR="000D2DCD" w14:paraId="1074E29F" w14:textId="77777777">
        <w:trPr>
          <w:trHeight w:val="3036"/>
        </w:trPr>
        <w:tc>
          <w:tcPr>
            <w:tcW w:w="2405" w:type="dxa"/>
          </w:tcPr>
          <w:p w:rsidR="000D2DCD" w:rsidRDefault="00F81CE0" w14:paraId="1074E29B" w14:textId="77777777">
            <w:pPr>
              <w:pStyle w:val="TableParagraph"/>
              <w:spacing w:line="250" w:lineRule="exact"/>
              <w:ind w:left="107"/>
            </w:pPr>
            <w:r>
              <w:t>Treatment</w:t>
            </w:r>
            <w:r>
              <w:rPr>
                <w:spacing w:val="-7"/>
              </w:rPr>
              <w:t xml:space="preserve"> </w:t>
            </w:r>
            <w:r>
              <w:rPr>
                <w:spacing w:val="-2"/>
              </w:rPr>
              <w:t>waning</w:t>
            </w:r>
          </w:p>
        </w:tc>
        <w:tc>
          <w:tcPr>
            <w:tcW w:w="3687" w:type="dxa"/>
          </w:tcPr>
          <w:p w:rsidR="000D2DCD" w:rsidRDefault="00F81CE0" w14:paraId="1074E29C" w14:textId="77777777">
            <w:pPr>
              <w:pStyle w:val="TableParagraph"/>
              <w:ind w:left="108" w:right="166"/>
            </w:pPr>
            <w:r>
              <w:t>Was not discussed in detail during ACM1 (slide was in the appendix section). However, was discussed as a major issue in ACM2. UCB provided evidence on why the assumptions of the committee of applying waning to 100% of patients is incorrect and goes against clinical opinion during ACM2.</w:t>
            </w:r>
            <w:r>
              <w:rPr>
                <w:spacing w:val="-13"/>
              </w:rPr>
              <w:t xml:space="preserve"> </w:t>
            </w:r>
            <w:r>
              <w:t>However,</w:t>
            </w:r>
            <w:r>
              <w:rPr>
                <w:spacing w:val="-13"/>
              </w:rPr>
              <w:t xml:space="preserve"> </w:t>
            </w:r>
            <w:r>
              <w:t>waning</w:t>
            </w:r>
            <w:r>
              <w:rPr>
                <w:spacing w:val="-13"/>
              </w:rPr>
              <w:t xml:space="preserve"> </w:t>
            </w:r>
            <w:r>
              <w:t>remained</w:t>
            </w:r>
          </w:p>
          <w:p w:rsidR="000D2DCD" w:rsidRDefault="00F81CE0" w14:paraId="1074E29D" w14:textId="77777777">
            <w:pPr>
              <w:pStyle w:val="TableParagraph"/>
              <w:spacing w:line="252" w:lineRule="exact"/>
              <w:ind w:left="108" w:right="191"/>
            </w:pPr>
            <w:r>
              <w:t>to</w:t>
            </w:r>
            <w:r>
              <w:rPr>
                <w:spacing w:val="-6"/>
              </w:rPr>
              <w:t xml:space="preserve"> </w:t>
            </w:r>
            <w:r>
              <w:t>be</w:t>
            </w:r>
            <w:r>
              <w:rPr>
                <w:spacing w:val="-7"/>
              </w:rPr>
              <w:t xml:space="preserve"> </w:t>
            </w:r>
            <w:r>
              <w:t>applied</w:t>
            </w:r>
            <w:r>
              <w:rPr>
                <w:spacing w:val="-6"/>
              </w:rPr>
              <w:t xml:space="preserve"> </w:t>
            </w:r>
            <w:r>
              <w:t>to</w:t>
            </w:r>
            <w:r>
              <w:rPr>
                <w:spacing w:val="-7"/>
              </w:rPr>
              <w:t xml:space="preserve"> </w:t>
            </w:r>
            <w:r>
              <w:t>100%</w:t>
            </w:r>
            <w:r>
              <w:rPr>
                <w:spacing w:val="-7"/>
              </w:rPr>
              <w:t xml:space="preserve"> </w:t>
            </w:r>
            <w:r>
              <w:t>of</w:t>
            </w:r>
            <w:r>
              <w:rPr>
                <w:spacing w:val="-6"/>
              </w:rPr>
              <w:t xml:space="preserve"> </w:t>
            </w:r>
            <w:r>
              <w:t>patients as per the FDG</w:t>
            </w:r>
          </w:p>
        </w:tc>
        <w:tc>
          <w:tcPr>
            <w:tcW w:w="2206" w:type="dxa"/>
          </w:tcPr>
          <w:p w:rsidR="000D2DCD" w:rsidRDefault="00F81CE0" w14:paraId="1074E29E" w14:textId="77777777">
            <w:pPr>
              <w:pStyle w:val="TableParagraph"/>
              <w:ind w:left="108" w:right="165"/>
            </w:pPr>
            <w:r>
              <w:rPr>
                <w:b/>
              </w:rPr>
              <w:t>No</w:t>
            </w:r>
            <w:r>
              <w:t>, waning assumptions</w:t>
            </w:r>
            <w:r>
              <w:rPr>
                <w:spacing w:val="-16"/>
              </w:rPr>
              <w:t xml:space="preserve"> </w:t>
            </w:r>
            <w:r>
              <w:t>need to be revisited in- line with HCP feedback and clinical evidence</w:t>
            </w:r>
          </w:p>
        </w:tc>
      </w:tr>
      <w:tr w:rsidR="000D2DCD" w14:paraId="1074E2A5" w14:textId="77777777">
        <w:trPr>
          <w:trHeight w:val="1012"/>
        </w:trPr>
        <w:tc>
          <w:tcPr>
            <w:tcW w:w="2405" w:type="dxa"/>
          </w:tcPr>
          <w:p w:rsidR="000D2DCD" w:rsidRDefault="00F81CE0" w14:paraId="1074E2A0" w14:textId="77777777">
            <w:pPr>
              <w:pStyle w:val="TableParagraph"/>
              <w:ind w:left="107"/>
            </w:pPr>
            <w:r>
              <w:t>Treatment</w:t>
            </w:r>
            <w:r>
              <w:rPr>
                <w:spacing w:val="-7"/>
              </w:rPr>
              <w:t xml:space="preserve"> </w:t>
            </w:r>
            <w:r>
              <w:rPr>
                <w:spacing w:val="-2"/>
              </w:rPr>
              <w:t>wastage</w:t>
            </w:r>
          </w:p>
        </w:tc>
        <w:tc>
          <w:tcPr>
            <w:tcW w:w="3687" w:type="dxa"/>
          </w:tcPr>
          <w:p w:rsidR="000D2DCD" w:rsidRDefault="00F81CE0" w14:paraId="1074E2A1" w14:textId="77777777">
            <w:pPr>
              <w:pStyle w:val="TableParagraph"/>
              <w:ind w:left="108" w:right="191"/>
            </w:pPr>
            <w:r>
              <w:t>All 3 clinical experts raised wastage</w:t>
            </w:r>
            <w:r>
              <w:rPr>
                <w:spacing w:val="-8"/>
              </w:rPr>
              <w:t xml:space="preserve"> </w:t>
            </w:r>
            <w:r>
              <w:t>to</w:t>
            </w:r>
            <w:r>
              <w:rPr>
                <w:spacing w:val="-6"/>
              </w:rPr>
              <w:t xml:space="preserve"> </w:t>
            </w:r>
            <w:r>
              <w:t>be</w:t>
            </w:r>
            <w:r>
              <w:rPr>
                <w:spacing w:val="-8"/>
              </w:rPr>
              <w:t xml:space="preserve"> </w:t>
            </w:r>
            <w:r>
              <w:t>an</w:t>
            </w:r>
            <w:r>
              <w:rPr>
                <w:spacing w:val="-6"/>
              </w:rPr>
              <w:t xml:space="preserve"> </w:t>
            </w:r>
            <w:r>
              <w:t>issue</w:t>
            </w:r>
            <w:r>
              <w:rPr>
                <w:spacing w:val="-8"/>
              </w:rPr>
              <w:t xml:space="preserve"> </w:t>
            </w:r>
            <w:r>
              <w:t>in</w:t>
            </w:r>
            <w:r>
              <w:rPr>
                <w:spacing w:val="-6"/>
              </w:rPr>
              <w:t xml:space="preserve"> </w:t>
            </w:r>
            <w:r>
              <w:t>ACM1. UCB were asked to provide</w:t>
            </w:r>
          </w:p>
          <w:p w:rsidR="000D2DCD" w:rsidRDefault="00F81CE0" w14:paraId="1074E2A2" w14:textId="77777777">
            <w:pPr>
              <w:pStyle w:val="TableParagraph"/>
              <w:spacing w:line="234" w:lineRule="exact"/>
              <w:ind w:left="108"/>
            </w:pPr>
            <w:r>
              <w:t>scenarios</w:t>
            </w:r>
            <w:r>
              <w:rPr>
                <w:spacing w:val="-4"/>
              </w:rPr>
              <w:t xml:space="preserve"> </w:t>
            </w:r>
            <w:r>
              <w:t>on</w:t>
            </w:r>
            <w:r>
              <w:rPr>
                <w:spacing w:val="-6"/>
              </w:rPr>
              <w:t xml:space="preserve"> </w:t>
            </w:r>
            <w:r>
              <w:t>wastage</w:t>
            </w:r>
            <w:r>
              <w:rPr>
                <w:spacing w:val="-7"/>
              </w:rPr>
              <w:t xml:space="preserve"> </w:t>
            </w:r>
            <w:r>
              <w:t>and</w:t>
            </w:r>
            <w:r>
              <w:rPr>
                <w:spacing w:val="-4"/>
              </w:rPr>
              <w:t xml:space="preserve"> </w:t>
            </w:r>
            <w:r>
              <w:t>did</w:t>
            </w:r>
            <w:r>
              <w:rPr>
                <w:spacing w:val="-4"/>
              </w:rPr>
              <w:t xml:space="preserve"> </w:t>
            </w:r>
            <w:r>
              <w:rPr>
                <w:spacing w:val="-5"/>
              </w:rPr>
              <w:t>so</w:t>
            </w:r>
          </w:p>
        </w:tc>
        <w:tc>
          <w:tcPr>
            <w:tcW w:w="2206" w:type="dxa"/>
          </w:tcPr>
          <w:p w:rsidR="000D2DCD" w:rsidRDefault="00F81CE0" w14:paraId="1074E2A3" w14:textId="77777777">
            <w:pPr>
              <w:pStyle w:val="TableParagraph"/>
              <w:ind w:left="108" w:right="165"/>
            </w:pPr>
            <w:r>
              <w:rPr>
                <w:b/>
              </w:rPr>
              <w:t>No</w:t>
            </w:r>
            <w:r>
              <w:t>, assumptions need</w:t>
            </w:r>
            <w:r>
              <w:rPr>
                <w:spacing w:val="-12"/>
              </w:rPr>
              <w:t xml:space="preserve"> </w:t>
            </w:r>
            <w:r>
              <w:t>to</w:t>
            </w:r>
            <w:r>
              <w:rPr>
                <w:spacing w:val="-13"/>
              </w:rPr>
              <w:t xml:space="preserve"> </w:t>
            </w:r>
            <w:r>
              <w:t>be</w:t>
            </w:r>
            <w:r>
              <w:rPr>
                <w:spacing w:val="-13"/>
              </w:rPr>
              <w:t xml:space="preserve"> </w:t>
            </w:r>
            <w:r>
              <w:t>revisited in-line with HCP</w:t>
            </w:r>
          </w:p>
          <w:p w:rsidR="000D2DCD" w:rsidRDefault="00F81CE0" w14:paraId="1074E2A4" w14:textId="77777777">
            <w:pPr>
              <w:pStyle w:val="TableParagraph"/>
              <w:spacing w:line="234" w:lineRule="exact"/>
              <w:ind w:left="108"/>
            </w:pPr>
            <w:r>
              <w:rPr>
                <w:spacing w:val="-2"/>
              </w:rPr>
              <w:t>feedback</w:t>
            </w:r>
          </w:p>
        </w:tc>
      </w:tr>
    </w:tbl>
    <w:p w:rsidR="000D2DCD" w:rsidRDefault="000D2DCD" w14:paraId="1074E2A6" w14:textId="77777777">
      <w:pPr>
        <w:spacing w:line="234" w:lineRule="exact"/>
        <w:sectPr w:rsidR="000D2DCD">
          <w:pgSz w:w="11910" w:h="16840" w:orient="portrait"/>
          <w:pgMar w:top="860" w:right="360" w:bottom="1200" w:left="1040" w:header="182" w:footer="1007" w:gutter="0"/>
          <w:cols w:space="720"/>
        </w:sectPr>
      </w:pPr>
    </w:p>
    <w:p w:rsidR="000D2DCD" w:rsidRDefault="000D2DCD" w14:paraId="1074E2A7" w14:textId="77777777">
      <w:pPr>
        <w:pStyle w:val="BodyText"/>
        <w:rPr>
          <w:sz w:val="20"/>
        </w:rPr>
      </w:pPr>
    </w:p>
    <w:p w:rsidR="000D2DCD" w:rsidRDefault="000D2DCD" w14:paraId="1074E2A8" w14:textId="77777777">
      <w:pPr>
        <w:pStyle w:val="BodyText"/>
        <w:spacing w:before="108"/>
        <w:rPr>
          <w:sz w:val="20"/>
        </w:rPr>
      </w:pPr>
    </w:p>
    <w:tbl>
      <w:tblPr>
        <w:tblW w:w="0" w:type="auto"/>
        <w:tblInd w:w="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3687"/>
        <w:gridCol w:w="2206"/>
      </w:tblGrid>
      <w:tr w:rsidR="000D2DCD" w14:paraId="1074E2AD" w14:textId="77777777">
        <w:trPr>
          <w:trHeight w:val="3290"/>
        </w:trPr>
        <w:tc>
          <w:tcPr>
            <w:tcW w:w="2405" w:type="dxa"/>
          </w:tcPr>
          <w:p w:rsidR="000D2DCD" w:rsidRDefault="000D2DCD" w14:paraId="1074E2A9" w14:textId="77777777">
            <w:pPr>
              <w:pStyle w:val="TableParagraph"/>
              <w:ind w:left="0"/>
              <w:rPr>
                <w:rFonts w:ascii="Times New Roman"/>
                <w:sz w:val="20"/>
              </w:rPr>
            </w:pPr>
          </w:p>
        </w:tc>
        <w:tc>
          <w:tcPr>
            <w:tcW w:w="3687" w:type="dxa"/>
          </w:tcPr>
          <w:p w:rsidR="000D2DCD" w:rsidRDefault="00F81CE0" w14:paraId="1074E2AA" w14:textId="77777777">
            <w:pPr>
              <w:pStyle w:val="TableParagraph"/>
              <w:ind w:left="108" w:right="115"/>
            </w:pPr>
            <w:r>
              <w:t>as per the committees request (assuming equal wastage, and scenarios with more wastage for CBD). There is no statistical evidence or clinical papers that comment on wastage of FFA vs CBD. Therefore, UCB had to make assumptions following clinical experts</w:t>
            </w:r>
            <w:r>
              <w:rPr>
                <w:spacing w:val="-3"/>
              </w:rPr>
              <w:t xml:space="preserve"> </w:t>
            </w:r>
            <w:r>
              <w:t>mentioning</w:t>
            </w:r>
            <w:r>
              <w:rPr>
                <w:spacing w:val="-1"/>
              </w:rPr>
              <w:t xml:space="preserve"> </w:t>
            </w:r>
            <w:r>
              <w:t>at least 1</w:t>
            </w:r>
            <w:r>
              <w:rPr>
                <w:spacing w:val="-3"/>
              </w:rPr>
              <w:t xml:space="preserve"> </w:t>
            </w:r>
            <w:r>
              <w:t>bottle of</w:t>
            </w:r>
            <w:r>
              <w:rPr>
                <w:spacing w:val="-2"/>
              </w:rPr>
              <w:t xml:space="preserve"> </w:t>
            </w:r>
            <w:r>
              <w:t>CBD</w:t>
            </w:r>
            <w:r>
              <w:rPr>
                <w:spacing w:val="-6"/>
              </w:rPr>
              <w:t xml:space="preserve"> </w:t>
            </w:r>
            <w:r>
              <w:t>is</w:t>
            </w:r>
            <w:r>
              <w:rPr>
                <w:spacing w:val="-5"/>
              </w:rPr>
              <w:t xml:space="preserve"> </w:t>
            </w:r>
            <w:r>
              <w:t>dropped</w:t>
            </w:r>
            <w:r>
              <w:rPr>
                <w:spacing w:val="-6"/>
              </w:rPr>
              <w:t xml:space="preserve"> </w:t>
            </w:r>
            <w:r>
              <w:t>per</w:t>
            </w:r>
            <w:r>
              <w:rPr>
                <w:spacing w:val="-7"/>
              </w:rPr>
              <w:t xml:space="preserve"> </w:t>
            </w:r>
            <w:r>
              <w:t>year</w:t>
            </w:r>
            <w:r>
              <w:rPr>
                <w:spacing w:val="-5"/>
              </w:rPr>
              <w:t xml:space="preserve"> </w:t>
            </w:r>
            <w:r>
              <w:t>vs</w:t>
            </w:r>
            <w:r>
              <w:rPr>
                <w:spacing w:val="-5"/>
              </w:rPr>
              <w:t xml:space="preserve"> </w:t>
            </w:r>
            <w:r>
              <w:t>0</w:t>
            </w:r>
            <w:r>
              <w:rPr>
                <w:spacing w:val="-7"/>
              </w:rPr>
              <w:t xml:space="preserve"> </w:t>
            </w:r>
            <w:r>
              <w:t>for FFA. However, this was ignored in</w:t>
            </w:r>
          </w:p>
          <w:p w:rsidR="000D2DCD" w:rsidRDefault="00F81CE0" w14:paraId="1074E2AB" w14:textId="77777777">
            <w:pPr>
              <w:pStyle w:val="TableParagraph"/>
              <w:spacing w:line="252" w:lineRule="exact"/>
              <w:ind w:left="108"/>
            </w:pPr>
            <w:r>
              <w:t>the</w:t>
            </w:r>
            <w:r>
              <w:rPr>
                <w:spacing w:val="-6"/>
              </w:rPr>
              <w:t xml:space="preserve"> </w:t>
            </w:r>
            <w:r>
              <w:t>FDG</w:t>
            </w:r>
            <w:r>
              <w:rPr>
                <w:spacing w:val="-4"/>
              </w:rPr>
              <w:t xml:space="preserve"> </w:t>
            </w:r>
            <w:r>
              <w:t>due</w:t>
            </w:r>
            <w:r>
              <w:rPr>
                <w:spacing w:val="-8"/>
              </w:rPr>
              <w:t xml:space="preserve"> </w:t>
            </w:r>
            <w:r>
              <w:t>to</w:t>
            </w:r>
            <w:r>
              <w:rPr>
                <w:spacing w:val="-7"/>
              </w:rPr>
              <w:t xml:space="preserve"> </w:t>
            </w:r>
            <w:r>
              <w:t>uncertainty</w:t>
            </w:r>
            <w:r>
              <w:rPr>
                <w:spacing w:val="-7"/>
              </w:rPr>
              <w:t xml:space="preserve"> </w:t>
            </w:r>
            <w:r>
              <w:t>in</w:t>
            </w:r>
            <w:r>
              <w:rPr>
                <w:spacing w:val="-6"/>
              </w:rPr>
              <w:t xml:space="preserve"> </w:t>
            </w:r>
            <w:r>
              <w:t>the only evidence available.</w:t>
            </w:r>
          </w:p>
        </w:tc>
        <w:tc>
          <w:tcPr>
            <w:tcW w:w="2206" w:type="dxa"/>
          </w:tcPr>
          <w:p w:rsidR="000D2DCD" w:rsidRDefault="000D2DCD" w14:paraId="1074E2AC" w14:textId="77777777">
            <w:pPr>
              <w:pStyle w:val="TableParagraph"/>
              <w:ind w:left="0"/>
              <w:rPr>
                <w:rFonts w:ascii="Times New Roman"/>
                <w:sz w:val="20"/>
              </w:rPr>
            </w:pPr>
          </w:p>
        </w:tc>
      </w:tr>
    </w:tbl>
    <w:p w:rsidR="000D2DCD" w:rsidRDefault="000D2DCD" w14:paraId="1074E2AE" w14:textId="77777777">
      <w:pPr>
        <w:pStyle w:val="BodyText"/>
      </w:pPr>
    </w:p>
    <w:p w:rsidR="000D2DCD" w:rsidRDefault="000D2DCD" w14:paraId="1074E2AF" w14:textId="77777777">
      <w:pPr>
        <w:pStyle w:val="BodyText"/>
        <w:spacing w:before="7"/>
      </w:pPr>
    </w:p>
    <w:p w:rsidR="000D2DCD" w:rsidRDefault="00F81CE0" w14:paraId="1074E2B0" w14:textId="77777777">
      <w:pPr>
        <w:pStyle w:val="ListParagraph"/>
        <w:numPr>
          <w:ilvl w:val="1"/>
          <w:numId w:val="15"/>
        </w:numPr>
        <w:tabs>
          <w:tab w:val="left" w:pos="1552"/>
          <w:tab w:val="left" w:pos="2199"/>
        </w:tabs>
        <w:spacing w:before="0" w:line="278" w:lineRule="auto"/>
        <w:ind w:right="1549" w:hanging="432"/>
        <w:jc w:val="both"/>
      </w:pPr>
      <w:r>
        <w:t>At</w:t>
      </w:r>
      <w:r>
        <w:rPr>
          <w:spacing w:val="40"/>
        </w:rPr>
        <w:t xml:space="preserve"> </w:t>
      </w:r>
      <w:r>
        <w:t>least</w:t>
      </w:r>
      <w:r>
        <w:rPr>
          <w:spacing w:val="40"/>
        </w:rPr>
        <w:t xml:space="preserve"> </w:t>
      </w:r>
      <w:r>
        <w:t>one</w:t>
      </w:r>
      <w:r>
        <w:rPr>
          <w:spacing w:val="40"/>
        </w:rPr>
        <w:t xml:space="preserve"> </w:t>
      </w:r>
      <w:r>
        <w:t>of</w:t>
      </w:r>
      <w:r>
        <w:rPr>
          <w:spacing w:val="40"/>
        </w:rPr>
        <w:t xml:space="preserve"> </w:t>
      </w:r>
      <w:r>
        <w:t>the</w:t>
      </w:r>
      <w:r>
        <w:rPr>
          <w:spacing w:val="40"/>
        </w:rPr>
        <w:t xml:space="preserve"> </w:t>
      </w:r>
      <w:r>
        <w:t>unresolved</w:t>
      </w:r>
      <w:r>
        <w:rPr>
          <w:spacing w:val="40"/>
        </w:rPr>
        <w:t xml:space="preserve"> </w:t>
      </w:r>
      <w:r>
        <w:t>issues</w:t>
      </w:r>
      <w:r>
        <w:rPr>
          <w:spacing w:val="40"/>
        </w:rPr>
        <w:t xml:space="preserve"> </w:t>
      </w:r>
      <w:r>
        <w:t>identified</w:t>
      </w:r>
      <w:r>
        <w:rPr>
          <w:spacing w:val="40"/>
        </w:rPr>
        <w:t xml:space="preserve"> </w:t>
      </w:r>
      <w:r>
        <w:t>in</w:t>
      </w:r>
      <w:r>
        <w:rPr>
          <w:spacing w:val="40"/>
        </w:rPr>
        <w:t xml:space="preserve"> </w:t>
      </w:r>
      <w:r>
        <w:t>the</w:t>
      </w:r>
      <w:r>
        <w:rPr>
          <w:spacing w:val="40"/>
        </w:rPr>
        <w:t xml:space="preserve"> </w:t>
      </w:r>
      <w:r>
        <w:t>table</w:t>
      </w:r>
      <w:r>
        <w:rPr>
          <w:spacing w:val="40"/>
        </w:rPr>
        <w:t xml:space="preserve"> </w:t>
      </w:r>
      <w:r>
        <w:t>above relates to the extrapolation of the treatment effect for fenfluramine and the change in position of the Committee between ACM1 and ACM2.</w:t>
      </w:r>
      <w:r>
        <w:rPr>
          <w:spacing w:val="40"/>
        </w:rPr>
        <w:t xml:space="preserve"> </w:t>
      </w:r>
      <w:r>
        <w:t>Based on the wording of the Draft Guidance, UCB reasonably understood that an ITT analysis was preferred by the Committee and that, in those circumstances other</w:t>
      </w:r>
      <w:r>
        <w:rPr>
          <w:spacing w:val="-6"/>
        </w:rPr>
        <w:t xml:space="preserve"> </w:t>
      </w:r>
      <w:r>
        <w:t>analyses</w:t>
      </w:r>
      <w:r>
        <w:rPr>
          <w:spacing w:val="-6"/>
        </w:rPr>
        <w:t xml:space="preserve"> </w:t>
      </w:r>
      <w:r>
        <w:t>were</w:t>
      </w:r>
      <w:r>
        <w:rPr>
          <w:spacing w:val="-7"/>
        </w:rPr>
        <w:t xml:space="preserve"> </w:t>
      </w:r>
      <w:r>
        <w:t>not</w:t>
      </w:r>
      <w:r>
        <w:rPr>
          <w:spacing w:val="-8"/>
        </w:rPr>
        <w:t xml:space="preserve"> </w:t>
      </w:r>
      <w:r>
        <w:t>needed.</w:t>
      </w:r>
      <w:r>
        <w:rPr>
          <w:spacing w:val="40"/>
        </w:rPr>
        <w:t xml:space="preserve"> </w:t>
      </w:r>
      <w:r>
        <w:t>However</w:t>
      </w:r>
      <w:r>
        <w:rPr>
          <w:spacing w:val="-5"/>
        </w:rPr>
        <w:t xml:space="preserve"> </w:t>
      </w:r>
      <w:r>
        <w:t>at</w:t>
      </w:r>
      <w:r>
        <w:rPr>
          <w:spacing w:val="-6"/>
        </w:rPr>
        <w:t xml:space="preserve"> </w:t>
      </w:r>
      <w:r>
        <w:t>ACM2</w:t>
      </w:r>
      <w:r>
        <w:rPr>
          <w:spacing w:val="-6"/>
        </w:rPr>
        <w:t xml:space="preserve"> </w:t>
      </w:r>
      <w:r>
        <w:t>it</w:t>
      </w:r>
      <w:r>
        <w:rPr>
          <w:spacing w:val="-4"/>
        </w:rPr>
        <w:t xml:space="preserve"> </w:t>
      </w:r>
      <w:r>
        <w:t>became</w:t>
      </w:r>
      <w:r>
        <w:rPr>
          <w:spacing w:val="-7"/>
        </w:rPr>
        <w:t xml:space="preserve"> </w:t>
      </w:r>
      <w:r>
        <w:t>clear</w:t>
      </w:r>
      <w:r>
        <w:rPr>
          <w:spacing w:val="-8"/>
        </w:rPr>
        <w:t xml:space="preserve"> </w:t>
      </w:r>
      <w:r>
        <w:t>that</w:t>
      </w:r>
      <w:r>
        <w:rPr>
          <w:spacing w:val="-8"/>
        </w:rPr>
        <w:t xml:space="preserve"> </w:t>
      </w:r>
      <w:r>
        <w:t>the Committee wished to consider other options.</w:t>
      </w:r>
      <w:r>
        <w:rPr>
          <w:spacing w:val="40"/>
        </w:rPr>
        <w:t xml:space="preserve"> </w:t>
      </w:r>
      <w:r>
        <w:t>A third ACM would have permitted UCB opportunity to submit the additional analyses.</w:t>
      </w:r>
    </w:p>
    <w:p w:rsidR="000D2DCD" w:rsidRDefault="00F81CE0" w14:paraId="1074E2B1" w14:textId="77777777">
      <w:pPr>
        <w:pStyle w:val="ListParagraph"/>
        <w:numPr>
          <w:ilvl w:val="1"/>
          <w:numId w:val="15"/>
        </w:numPr>
        <w:tabs>
          <w:tab w:val="left" w:pos="1552"/>
          <w:tab w:val="left" w:pos="2199"/>
        </w:tabs>
        <w:spacing w:before="118" w:line="278" w:lineRule="auto"/>
        <w:ind w:hanging="432"/>
        <w:jc w:val="both"/>
      </w:pPr>
      <w:r>
        <w:t>Additional analyses were requested from UCB immediately before</w:t>
      </w:r>
      <w:r>
        <w:rPr>
          <w:spacing w:val="-4"/>
        </w:rPr>
        <w:t xml:space="preserve"> </w:t>
      </w:r>
      <w:r>
        <w:t>ACM2 with</w:t>
      </w:r>
      <w:r>
        <w:rPr>
          <w:spacing w:val="40"/>
        </w:rPr>
        <w:t xml:space="preserve"> </w:t>
      </w:r>
      <w:r>
        <w:t>inadequate</w:t>
      </w:r>
      <w:r>
        <w:rPr>
          <w:spacing w:val="40"/>
        </w:rPr>
        <w:t xml:space="preserve"> </w:t>
      </w:r>
      <w:r>
        <w:t>time</w:t>
      </w:r>
      <w:r>
        <w:rPr>
          <w:spacing w:val="40"/>
        </w:rPr>
        <w:t xml:space="preserve"> </w:t>
      </w:r>
      <w:r>
        <w:t>for</w:t>
      </w:r>
      <w:r>
        <w:rPr>
          <w:spacing w:val="40"/>
        </w:rPr>
        <w:t xml:space="preserve"> </w:t>
      </w:r>
      <w:r>
        <w:t>fair</w:t>
      </w:r>
      <w:r>
        <w:rPr>
          <w:spacing w:val="40"/>
        </w:rPr>
        <w:t xml:space="preserve"> </w:t>
      </w:r>
      <w:r>
        <w:t>preparation</w:t>
      </w:r>
      <w:r>
        <w:rPr>
          <w:spacing w:val="40"/>
        </w:rPr>
        <w:t xml:space="preserve"> </w:t>
      </w:r>
      <w:r>
        <w:t>(in</w:t>
      </w:r>
      <w:r>
        <w:rPr>
          <w:spacing w:val="40"/>
        </w:rPr>
        <w:t xml:space="preserve"> </w:t>
      </w:r>
      <w:r>
        <w:t>one</w:t>
      </w:r>
      <w:r>
        <w:rPr>
          <w:spacing w:val="40"/>
        </w:rPr>
        <w:t xml:space="preserve"> </w:t>
      </w:r>
      <w:r>
        <w:t>case</w:t>
      </w:r>
      <w:r>
        <w:rPr>
          <w:spacing w:val="40"/>
        </w:rPr>
        <w:t xml:space="preserve"> </w:t>
      </w:r>
      <w:r>
        <w:t>a</w:t>
      </w:r>
      <w:r>
        <w:rPr>
          <w:spacing w:val="40"/>
        </w:rPr>
        <w:t xml:space="preserve"> </w:t>
      </w:r>
      <w:r>
        <w:t>mere</w:t>
      </w:r>
      <w:r>
        <w:rPr>
          <w:spacing w:val="40"/>
        </w:rPr>
        <w:t xml:space="preserve"> </w:t>
      </w:r>
      <w:r>
        <w:t>half</w:t>
      </w:r>
      <w:r>
        <w:rPr>
          <w:spacing w:val="40"/>
        </w:rPr>
        <w:t xml:space="preserve"> </w:t>
      </w:r>
      <w:r>
        <w:t>a working day) and disclosure of key material was provided to UCB by NICE the</w:t>
      </w:r>
      <w:r>
        <w:rPr>
          <w:spacing w:val="-16"/>
        </w:rPr>
        <w:t xml:space="preserve"> </w:t>
      </w:r>
      <w:r>
        <w:t>day</w:t>
      </w:r>
      <w:r>
        <w:rPr>
          <w:spacing w:val="-15"/>
        </w:rPr>
        <w:t xml:space="preserve"> </w:t>
      </w:r>
      <w:r>
        <w:t>before</w:t>
      </w:r>
      <w:r>
        <w:rPr>
          <w:spacing w:val="-15"/>
        </w:rPr>
        <w:t xml:space="preserve"> </w:t>
      </w:r>
      <w:r>
        <w:t>ACM2.</w:t>
      </w:r>
      <w:r>
        <w:rPr>
          <w:spacing w:val="-16"/>
        </w:rPr>
        <w:t xml:space="preserve"> </w:t>
      </w:r>
      <w:r>
        <w:t>A</w:t>
      </w:r>
      <w:r>
        <w:rPr>
          <w:spacing w:val="-15"/>
        </w:rPr>
        <w:t xml:space="preserve"> </w:t>
      </w:r>
      <w:r>
        <w:t>third</w:t>
      </w:r>
      <w:r>
        <w:rPr>
          <w:spacing w:val="-15"/>
        </w:rPr>
        <w:t xml:space="preserve"> </w:t>
      </w:r>
      <w:r>
        <w:t>meeting</w:t>
      </w:r>
      <w:r>
        <w:rPr>
          <w:spacing w:val="-15"/>
        </w:rPr>
        <w:t xml:space="preserve"> </w:t>
      </w:r>
      <w:r>
        <w:t>of</w:t>
      </w:r>
      <w:r>
        <w:rPr>
          <w:spacing w:val="-16"/>
        </w:rPr>
        <w:t xml:space="preserve"> </w:t>
      </w:r>
      <w:r>
        <w:t>the</w:t>
      </w:r>
      <w:r>
        <w:rPr>
          <w:spacing w:val="-15"/>
        </w:rPr>
        <w:t xml:space="preserve"> </w:t>
      </w:r>
      <w:r>
        <w:t>Appraisal</w:t>
      </w:r>
      <w:r>
        <w:rPr>
          <w:spacing w:val="-15"/>
        </w:rPr>
        <w:t xml:space="preserve"> </w:t>
      </w:r>
      <w:r>
        <w:t>Committee</w:t>
      </w:r>
      <w:r>
        <w:rPr>
          <w:spacing w:val="-16"/>
        </w:rPr>
        <w:t xml:space="preserve"> </w:t>
      </w:r>
      <w:r>
        <w:t>would</w:t>
      </w:r>
      <w:r>
        <w:rPr>
          <w:spacing w:val="-15"/>
        </w:rPr>
        <w:t xml:space="preserve"> </w:t>
      </w:r>
      <w:r>
        <w:t>have allowed adequate time for consideration of this material by both the Committee and UCB before FDG was issued.</w:t>
      </w:r>
    </w:p>
    <w:p w:rsidR="000D2DCD" w:rsidRDefault="00F81CE0" w14:paraId="1074E2B2" w14:textId="77777777">
      <w:pPr>
        <w:pStyle w:val="ListParagraph"/>
        <w:numPr>
          <w:ilvl w:val="0"/>
          <w:numId w:val="15"/>
        </w:numPr>
        <w:tabs>
          <w:tab w:val="left" w:pos="1443"/>
          <w:tab w:val="left" w:pos="1446"/>
        </w:tabs>
        <w:spacing w:line="278" w:lineRule="auto"/>
        <w:ind w:right="1550"/>
        <w:jc w:val="both"/>
      </w:pPr>
      <w:r>
        <w:t>Following ACM2, UCB contacted NICE to ask that a third meeting of the Appraisal</w:t>
      </w:r>
      <w:r>
        <w:rPr>
          <w:spacing w:val="-8"/>
        </w:rPr>
        <w:t xml:space="preserve"> </w:t>
      </w:r>
      <w:r>
        <w:t>Committee</w:t>
      </w:r>
      <w:r>
        <w:rPr>
          <w:spacing w:val="-10"/>
        </w:rPr>
        <w:t xml:space="preserve"> </w:t>
      </w:r>
      <w:r>
        <w:t>should</w:t>
      </w:r>
      <w:r>
        <w:rPr>
          <w:spacing w:val="-7"/>
        </w:rPr>
        <w:t xml:space="preserve"> </w:t>
      </w:r>
      <w:r>
        <w:t>be</w:t>
      </w:r>
      <w:r>
        <w:rPr>
          <w:spacing w:val="-8"/>
        </w:rPr>
        <w:t xml:space="preserve"> </w:t>
      </w:r>
      <w:r>
        <w:t>scheduled</w:t>
      </w:r>
      <w:r>
        <w:rPr>
          <w:spacing w:val="-9"/>
        </w:rPr>
        <w:t xml:space="preserve"> </w:t>
      </w:r>
      <w:r>
        <w:t>to</w:t>
      </w:r>
      <w:r>
        <w:rPr>
          <w:spacing w:val="-10"/>
        </w:rPr>
        <w:t xml:space="preserve"> </w:t>
      </w:r>
      <w:r>
        <w:t>allow</w:t>
      </w:r>
      <w:r>
        <w:rPr>
          <w:spacing w:val="-11"/>
        </w:rPr>
        <w:t xml:space="preserve"> </w:t>
      </w:r>
      <w:r>
        <w:t>for</w:t>
      </w:r>
      <w:r>
        <w:rPr>
          <w:spacing w:val="-9"/>
        </w:rPr>
        <w:t xml:space="preserve"> </w:t>
      </w:r>
      <w:r>
        <w:t>further</w:t>
      </w:r>
      <w:r>
        <w:rPr>
          <w:spacing w:val="-9"/>
        </w:rPr>
        <w:t xml:space="preserve"> </w:t>
      </w:r>
      <w:r>
        <w:t>consideration</w:t>
      </w:r>
      <w:r>
        <w:rPr>
          <w:spacing w:val="-10"/>
        </w:rPr>
        <w:t xml:space="preserve"> </w:t>
      </w:r>
      <w:r>
        <w:t>of draft guidance and resolution of key issues.</w:t>
      </w:r>
      <w:r>
        <w:rPr>
          <w:spacing w:val="40"/>
        </w:rPr>
        <w:t xml:space="preserve"> </w:t>
      </w:r>
      <w:r>
        <w:t>This request was refused.</w:t>
      </w:r>
    </w:p>
    <w:p w:rsidR="000D2DCD" w:rsidRDefault="00F81CE0" w14:paraId="1074E2B3" w14:textId="77777777">
      <w:pPr>
        <w:pStyle w:val="ListParagraph"/>
        <w:numPr>
          <w:ilvl w:val="1"/>
          <w:numId w:val="15"/>
        </w:numPr>
        <w:tabs>
          <w:tab w:val="left" w:pos="1552"/>
          <w:tab w:val="left" w:pos="2199"/>
        </w:tabs>
        <w:spacing w:before="118" w:line="278" w:lineRule="auto"/>
        <w:ind w:right="1549" w:hanging="432"/>
        <w:jc w:val="both"/>
      </w:pPr>
      <w:r>
        <w:t>UCB</w:t>
      </w:r>
      <w:r>
        <w:rPr>
          <w:spacing w:val="40"/>
        </w:rPr>
        <w:t xml:space="preserve"> </w:t>
      </w:r>
      <w:r>
        <w:t>was</w:t>
      </w:r>
      <w:r>
        <w:rPr>
          <w:spacing w:val="40"/>
        </w:rPr>
        <w:t xml:space="preserve"> </w:t>
      </w:r>
      <w:r>
        <w:t>told</w:t>
      </w:r>
      <w:r>
        <w:rPr>
          <w:spacing w:val="40"/>
        </w:rPr>
        <w:t xml:space="preserve"> </w:t>
      </w:r>
      <w:r>
        <w:t>by</w:t>
      </w:r>
      <w:r>
        <w:rPr>
          <w:spacing w:val="40"/>
        </w:rPr>
        <w:t xml:space="preserve"> </w:t>
      </w:r>
      <w:r>
        <w:t>email</w:t>
      </w:r>
      <w:r>
        <w:rPr>
          <w:spacing w:val="40"/>
        </w:rPr>
        <w:t xml:space="preserve"> </w:t>
      </w:r>
      <w:r>
        <w:t>on</w:t>
      </w:r>
      <w:r>
        <w:rPr>
          <w:spacing w:val="40"/>
        </w:rPr>
        <w:t xml:space="preserve"> </w:t>
      </w:r>
      <w:r>
        <w:t>25</w:t>
      </w:r>
      <w:r>
        <w:rPr>
          <w:spacing w:val="40"/>
        </w:rPr>
        <w:t xml:space="preserve"> </w:t>
      </w:r>
      <w:r>
        <w:t>March</w:t>
      </w:r>
      <w:r>
        <w:rPr>
          <w:spacing w:val="40"/>
        </w:rPr>
        <w:t xml:space="preserve"> </w:t>
      </w:r>
      <w:r>
        <w:t>2024,</w:t>
      </w:r>
      <w:r>
        <w:rPr>
          <w:spacing w:val="40"/>
        </w:rPr>
        <w:t xml:space="preserve"> </w:t>
      </w:r>
      <w:r>
        <w:t>that</w:t>
      </w:r>
      <w:r>
        <w:rPr>
          <w:spacing w:val="40"/>
        </w:rPr>
        <w:t xml:space="preserve"> </w:t>
      </w:r>
      <w:r>
        <w:t>a</w:t>
      </w:r>
      <w:r>
        <w:rPr>
          <w:spacing w:val="40"/>
        </w:rPr>
        <w:t xml:space="preserve"> </w:t>
      </w:r>
      <w:r>
        <w:t>third</w:t>
      </w:r>
      <w:r>
        <w:rPr>
          <w:spacing w:val="40"/>
        </w:rPr>
        <w:t xml:space="preserve"> </w:t>
      </w:r>
      <w:r>
        <w:t>Appraisal Committee meeting would deviate from ‘published processes’; this is incorrect as explained above</w:t>
      </w:r>
    </w:p>
    <w:p w:rsidR="000D2DCD" w:rsidRDefault="00F81CE0" w14:paraId="1074E2B4" w14:textId="77777777">
      <w:pPr>
        <w:pStyle w:val="ListParagraph"/>
        <w:numPr>
          <w:ilvl w:val="1"/>
          <w:numId w:val="15"/>
        </w:numPr>
        <w:tabs>
          <w:tab w:val="left" w:pos="2199"/>
        </w:tabs>
        <w:spacing w:before="118"/>
        <w:ind w:left="2199" w:right="0" w:hanging="1079"/>
        <w:jc w:val="both"/>
      </w:pPr>
      <w:r>
        <w:t>No</w:t>
      </w:r>
      <w:r>
        <w:rPr>
          <w:spacing w:val="-4"/>
        </w:rPr>
        <w:t xml:space="preserve"> </w:t>
      </w:r>
      <w:r>
        <w:t>other</w:t>
      </w:r>
      <w:r>
        <w:rPr>
          <w:spacing w:val="-5"/>
        </w:rPr>
        <w:t xml:space="preserve"> </w:t>
      </w:r>
      <w:r>
        <w:t>reason</w:t>
      </w:r>
      <w:r>
        <w:rPr>
          <w:spacing w:val="-5"/>
        </w:rPr>
        <w:t xml:space="preserve"> </w:t>
      </w:r>
      <w:r>
        <w:t>for</w:t>
      </w:r>
      <w:r>
        <w:rPr>
          <w:spacing w:val="-5"/>
        </w:rPr>
        <w:t xml:space="preserve"> </w:t>
      </w:r>
      <w:r>
        <w:t>refusing</w:t>
      </w:r>
      <w:r>
        <w:rPr>
          <w:spacing w:val="-2"/>
        </w:rPr>
        <w:t xml:space="preserve"> </w:t>
      </w:r>
      <w:r>
        <w:t>a</w:t>
      </w:r>
      <w:r>
        <w:rPr>
          <w:spacing w:val="-5"/>
        </w:rPr>
        <w:t xml:space="preserve"> </w:t>
      </w:r>
      <w:r>
        <w:t>third</w:t>
      </w:r>
      <w:r>
        <w:rPr>
          <w:spacing w:val="-8"/>
        </w:rPr>
        <w:t xml:space="preserve"> </w:t>
      </w:r>
      <w:r>
        <w:t>meeting</w:t>
      </w:r>
      <w:r>
        <w:rPr>
          <w:spacing w:val="-2"/>
        </w:rPr>
        <w:t xml:space="preserve"> </w:t>
      </w:r>
      <w:r>
        <w:t>was</w:t>
      </w:r>
      <w:r>
        <w:rPr>
          <w:spacing w:val="-3"/>
        </w:rPr>
        <w:t xml:space="preserve"> </w:t>
      </w:r>
      <w:r>
        <w:rPr>
          <w:spacing w:val="-2"/>
        </w:rPr>
        <w:t>provided.</w:t>
      </w:r>
    </w:p>
    <w:p w:rsidR="000D2DCD" w:rsidRDefault="00F81CE0" w14:paraId="1074E2B5" w14:textId="77777777">
      <w:pPr>
        <w:pStyle w:val="ListParagraph"/>
        <w:numPr>
          <w:ilvl w:val="0"/>
          <w:numId w:val="15"/>
        </w:numPr>
        <w:tabs>
          <w:tab w:val="left" w:pos="1118"/>
          <w:tab w:val="left" w:pos="1120"/>
        </w:tabs>
        <w:spacing w:before="162" w:line="278" w:lineRule="auto"/>
        <w:ind w:left="1120" w:right="1546" w:hanging="360"/>
        <w:jc w:val="both"/>
      </w:pPr>
      <w:r>
        <w:t>In summary, the appraisal of fenfluramine in LGS is a complex assessment in a rare</w:t>
      </w:r>
      <w:r>
        <w:rPr>
          <w:spacing w:val="-4"/>
        </w:rPr>
        <w:t xml:space="preserve"> </w:t>
      </w:r>
      <w:r>
        <w:t>and</w:t>
      </w:r>
      <w:r>
        <w:rPr>
          <w:spacing w:val="-4"/>
        </w:rPr>
        <w:t xml:space="preserve"> </w:t>
      </w:r>
      <w:r>
        <w:t>complex</w:t>
      </w:r>
      <w:r>
        <w:rPr>
          <w:spacing w:val="-4"/>
        </w:rPr>
        <w:t xml:space="preserve"> </w:t>
      </w:r>
      <w:r>
        <w:t>disease</w:t>
      </w:r>
      <w:r>
        <w:rPr>
          <w:spacing w:val="-2"/>
        </w:rPr>
        <w:t xml:space="preserve"> </w:t>
      </w:r>
      <w:r>
        <w:t>associated</w:t>
      </w:r>
      <w:r>
        <w:rPr>
          <w:spacing w:val="-4"/>
        </w:rPr>
        <w:t xml:space="preserve"> </w:t>
      </w:r>
      <w:r>
        <w:t>with</w:t>
      </w:r>
      <w:r>
        <w:rPr>
          <w:spacing w:val="-4"/>
        </w:rPr>
        <w:t xml:space="preserve"> </w:t>
      </w:r>
      <w:r>
        <w:t>multiple</w:t>
      </w:r>
      <w:r>
        <w:rPr>
          <w:spacing w:val="-2"/>
        </w:rPr>
        <w:t xml:space="preserve"> </w:t>
      </w:r>
      <w:r>
        <w:t>uncertainties.</w:t>
      </w:r>
      <w:r>
        <w:rPr>
          <w:spacing w:val="40"/>
        </w:rPr>
        <w:t xml:space="preserve"> </w:t>
      </w:r>
      <w:r>
        <w:t>In</w:t>
      </w:r>
      <w:r>
        <w:rPr>
          <w:spacing w:val="-4"/>
        </w:rPr>
        <w:t xml:space="preserve"> </w:t>
      </w:r>
      <w:r>
        <w:t>the</w:t>
      </w:r>
      <w:r>
        <w:rPr>
          <w:spacing w:val="-4"/>
        </w:rPr>
        <w:t xml:space="preserve"> </w:t>
      </w:r>
      <w:r>
        <w:t>absence of</w:t>
      </w:r>
      <w:r>
        <w:rPr>
          <w:spacing w:val="-16"/>
        </w:rPr>
        <w:t xml:space="preserve"> </w:t>
      </w:r>
      <w:r>
        <w:t>technical</w:t>
      </w:r>
      <w:r>
        <w:rPr>
          <w:spacing w:val="-15"/>
        </w:rPr>
        <w:t xml:space="preserve"> </w:t>
      </w:r>
      <w:r>
        <w:t>engagement</w:t>
      </w:r>
      <w:r>
        <w:rPr>
          <w:spacing w:val="-15"/>
        </w:rPr>
        <w:t xml:space="preserve"> </w:t>
      </w:r>
      <w:r>
        <w:t>to</w:t>
      </w:r>
      <w:r>
        <w:rPr>
          <w:spacing w:val="-16"/>
        </w:rPr>
        <w:t xml:space="preserve"> </w:t>
      </w:r>
      <w:r>
        <w:t>attempt</w:t>
      </w:r>
      <w:r>
        <w:rPr>
          <w:spacing w:val="-15"/>
        </w:rPr>
        <w:t xml:space="preserve"> </w:t>
      </w:r>
      <w:r>
        <w:t>to</w:t>
      </w:r>
      <w:r>
        <w:rPr>
          <w:spacing w:val="-15"/>
        </w:rPr>
        <w:t xml:space="preserve"> </w:t>
      </w:r>
      <w:r>
        <w:t>resolve</w:t>
      </w:r>
      <w:r>
        <w:rPr>
          <w:spacing w:val="-15"/>
        </w:rPr>
        <w:t xml:space="preserve"> </w:t>
      </w:r>
      <w:r>
        <w:t>at</w:t>
      </w:r>
      <w:r>
        <w:rPr>
          <w:spacing w:val="-16"/>
        </w:rPr>
        <w:t xml:space="preserve"> </w:t>
      </w:r>
      <w:r>
        <w:t>least</w:t>
      </w:r>
      <w:r>
        <w:rPr>
          <w:spacing w:val="-15"/>
        </w:rPr>
        <w:t xml:space="preserve"> </w:t>
      </w:r>
      <w:r>
        <w:t>some</w:t>
      </w:r>
      <w:r>
        <w:rPr>
          <w:spacing w:val="-15"/>
        </w:rPr>
        <w:t xml:space="preserve"> </w:t>
      </w:r>
      <w:r>
        <w:t>of</w:t>
      </w:r>
      <w:r>
        <w:rPr>
          <w:spacing w:val="-16"/>
        </w:rPr>
        <w:t xml:space="preserve"> </w:t>
      </w:r>
      <w:r>
        <w:t>these</w:t>
      </w:r>
      <w:r>
        <w:rPr>
          <w:spacing w:val="-15"/>
        </w:rPr>
        <w:t xml:space="preserve"> </w:t>
      </w:r>
      <w:r>
        <w:t>before</w:t>
      </w:r>
      <w:r>
        <w:rPr>
          <w:spacing w:val="-15"/>
        </w:rPr>
        <w:t xml:space="preserve"> </w:t>
      </w:r>
      <w:r>
        <w:t>ACM1 and in the context of the key issues unresolved after ACM2, together with late submission of analyses and disclosure at ACM2, fairness required that a third meeting be scheduled.</w:t>
      </w:r>
      <w:r>
        <w:rPr>
          <w:spacing w:val="40"/>
        </w:rPr>
        <w:t xml:space="preserve"> </w:t>
      </w:r>
      <w:r>
        <w:t>NICE has provided no explanation for declining to schedule a third meeting save an incorrect assertion that this is not consistent with NICE’s published processes.</w:t>
      </w:r>
    </w:p>
    <w:p w:rsidR="000D2DCD" w:rsidRDefault="000D2DCD" w14:paraId="1074E2B6"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B7" w14:textId="77777777">
      <w:pPr>
        <w:pStyle w:val="BodyText"/>
      </w:pPr>
    </w:p>
    <w:p w:rsidR="000D2DCD" w:rsidRDefault="000D2DCD" w14:paraId="1074E2B8" w14:textId="77777777">
      <w:pPr>
        <w:pStyle w:val="BodyText"/>
        <w:spacing w:before="57"/>
      </w:pPr>
    </w:p>
    <w:p w:rsidR="000D2DCD" w:rsidRDefault="00F81CE0" w14:paraId="1074E2B9" w14:textId="77777777">
      <w:pPr>
        <w:pStyle w:val="Heading1"/>
        <w:numPr>
          <w:ilvl w:val="0"/>
          <w:numId w:val="8"/>
        </w:numPr>
        <w:tabs>
          <w:tab w:val="left" w:pos="2201"/>
        </w:tabs>
        <w:spacing w:line="348" w:lineRule="auto"/>
        <w:ind w:right="1457"/>
      </w:pPr>
      <w:r>
        <w:t>Ground</w:t>
      </w:r>
      <w:r>
        <w:rPr>
          <w:spacing w:val="-5"/>
        </w:rPr>
        <w:t xml:space="preserve"> </w:t>
      </w:r>
      <w:r>
        <w:t>1(a).3:</w:t>
      </w:r>
      <w:r>
        <w:rPr>
          <w:spacing w:val="-2"/>
        </w:rPr>
        <w:t xml:space="preserve"> </w:t>
      </w:r>
      <w:r>
        <w:t>Standard</w:t>
      </w:r>
      <w:r>
        <w:rPr>
          <w:spacing w:val="-3"/>
        </w:rPr>
        <w:t xml:space="preserve"> </w:t>
      </w:r>
      <w:r>
        <w:t>of</w:t>
      </w:r>
      <w:r>
        <w:rPr>
          <w:spacing w:val="-4"/>
        </w:rPr>
        <w:t xml:space="preserve"> </w:t>
      </w:r>
      <w:r>
        <w:t>Care</w:t>
      </w:r>
      <w:r>
        <w:rPr>
          <w:spacing w:val="-5"/>
        </w:rPr>
        <w:t xml:space="preserve"> </w:t>
      </w:r>
      <w:r>
        <w:t>(SoC)</w:t>
      </w:r>
      <w:r>
        <w:rPr>
          <w:spacing w:val="-3"/>
        </w:rPr>
        <w:t xml:space="preserve"> </w:t>
      </w:r>
      <w:r>
        <w:t>alone</w:t>
      </w:r>
      <w:r>
        <w:rPr>
          <w:spacing w:val="-3"/>
        </w:rPr>
        <w:t xml:space="preserve"> </w:t>
      </w:r>
      <w:r>
        <w:t>does</w:t>
      </w:r>
      <w:r>
        <w:rPr>
          <w:spacing w:val="-3"/>
        </w:rPr>
        <w:t xml:space="preserve"> </w:t>
      </w:r>
      <w:r>
        <w:t>not</w:t>
      </w:r>
      <w:r>
        <w:rPr>
          <w:spacing w:val="-4"/>
        </w:rPr>
        <w:t xml:space="preserve"> </w:t>
      </w:r>
      <w:r>
        <w:t>reflect</w:t>
      </w:r>
      <w:r>
        <w:rPr>
          <w:spacing w:val="-4"/>
        </w:rPr>
        <w:t xml:space="preserve"> </w:t>
      </w:r>
      <w:r>
        <w:t xml:space="preserve">NHS clinical practice and is not an appropriate comparator for </w:t>
      </w:r>
      <w:r>
        <w:rPr>
          <w:spacing w:val="-2"/>
        </w:rPr>
        <w:t>fenfluramine.</w:t>
      </w:r>
    </w:p>
    <w:p w:rsidR="000D2DCD" w:rsidRDefault="00F81CE0" w14:paraId="1074E2BA" w14:textId="77777777">
      <w:pPr>
        <w:pStyle w:val="ListParagraph"/>
        <w:numPr>
          <w:ilvl w:val="0"/>
          <w:numId w:val="15"/>
        </w:numPr>
        <w:tabs>
          <w:tab w:val="left" w:pos="1443"/>
          <w:tab w:val="left" w:pos="1446"/>
        </w:tabs>
        <w:spacing w:before="126" w:line="278" w:lineRule="auto"/>
        <w:ind w:right="1546"/>
        <w:jc w:val="both"/>
      </w:pPr>
      <w:r>
        <w:t>Comparison of fenfluramine with SoC alone is inappropriate; treatment with SoC alone does not reflect NHS practice and is therefore inappropriate as a comparator.</w:t>
      </w:r>
      <w:r>
        <w:rPr>
          <w:spacing w:val="36"/>
        </w:rPr>
        <w:t xml:space="preserve"> </w:t>
      </w:r>
      <w:r>
        <w:t>While</w:t>
      </w:r>
      <w:r>
        <w:rPr>
          <w:spacing w:val="-10"/>
        </w:rPr>
        <w:t xml:space="preserve"> </w:t>
      </w:r>
      <w:r>
        <w:t>the</w:t>
      </w:r>
      <w:r>
        <w:rPr>
          <w:spacing w:val="-13"/>
        </w:rPr>
        <w:t xml:space="preserve"> </w:t>
      </w:r>
      <w:r>
        <w:t>Scope</w:t>
      </w:r>
      <w:r>
        <w:rPr>
          <w:spacing w:val="-13"/>
        </w:rPr>
        <w:t xml:space="preserve"> </w:t>
      </w:r>
      <w:r>
        <w:t>for</w:t>
      </w:r>
      <w:r>
        <w:rPr>
          <w:spacing w:val="-12"/>
        </w:rPr>
        <w:t xml:space="preserve"> </w:t>
      </w:r>
      <w:r>
        <w:t>this</w:t>
      </w:r>
      <w:r>
        <w:rPr>
          <w:spacing w:val="-10"/>
        </w:rPr>
        <w:t xml:space="preserve"> </w:t>
      </w:r>
      <w:r>
        <w:t>appraisal</w:t>
      </w:r>
      <w:r>
        <w:rPr>
          <w:spacing w:val="-11"/>
        </w:rPr>
        <w:t xml:space="preserve"> </w:t>
      </w:r>
      <w:r>
        <w:t>lists</w:t>
      </w:r>
      <w:r>
        <w:rPr>
          <w:spacing w:val="-10"/>
        </w:rPr>
        <w:t xml:space="preserve"> </w:t>
      </w:r>
      <w:r>
        <w:t>SoC</w:t>
      </w:r>
      <w:r>
        <w:rPr>
          <w:spacing w:val="-11"/>
        </w:rPr>
        <w:t xml:space="preserve"> </w:t>
      </w:r>
      <w:r>
        <w:t>as</w:t>
      </w:r>
      <w:r>
        <w:rPr>
          <w:spacing w:val="-10"/>
        </w:rPr>
        <w:t xml:space="preserve"> </w:t>
      </w:r>
      <w:r>
        <w:t>a</w:t>
      </w:r>
      <w:r>
        <w:rPr>
          <w:spacing w:val="-10"/>
        </w:rPr>
        <w:t xml:space="preserve"> </w:t>
      </w:r>
      <w:r>
        <w:t>comparator,</w:t>
      </w:r>
      <w:r>
        <w:rPr>
          <w:spacing w:val="-11"/>
        </w:rPr>
        <w:t xml:space="preserve"> </w:t>
      </w:r>
      <w:r>
        <w:t>this was despite UCB’s response to the draft scope:</w:t>
      </w:r>
    </w:p>
    <w:p w:rsidR="000D2DCD" w:rsidRDefault="00F81CE0" w14:paraId="1074E2BB" w14:textId="77777777">
      <w:pPr>
        <w:spacing w:before="117" w:line="278" w:lineRule="auto"/>
        <w:ind w:left="2201" w:right="1545" w:firstLine="62"/>
        <w:jc w:val="both"/>
        <w:rPr>
          <w:i/>
        </w:rPr>
      </w:pPr>
      <w:r>
        <w:rPr>
          <w:i/>
        </w:rPr>
        <w:t>“fenfluramine</w:t>
      </w:r>
      <w:r>
        <w:rPr>
          <w:i/>
          <w:spacing w:val="-15"/>
        </w:rPr>
        <w:t xml:space="preserve"> </w:t>
      </w:r>
      <w:r>
        <w:rPr>
          <w:i/>
        </w:rPr>
        <w:t>is</w:t>
      </w:r>
      <w:r>
        <w:rPr>
          <w:i/>
          <w:spacing w:val="-12"/>
        </w:rPr>
        <w:t xml:space="preserve"> </w:t>
      </w:r>
      <w:r>
        <w:rPr>
          <w:i/>
        </w:rPr>
        <w:t>expected</w:t>
      </w:r>
      <w:r>
        <w:rPr>
          <w:i/>
          <w:spacing w:val="-15"/>
        </w:rPr>
        <w:t xml:space="preserve"> </w:t>
      </w:r>
      <w:r>
        <w:rPr>
          <w:i/>
        </w:rPr>
        <w:t>to</w:t>
      </w:r>
      <w:r>
        <w:rPr>
          <w:i/>
          <w:spacing w:val="-15"/>
        </w:rPr>
        <w:t xml:space="preserve"> </w:t>
      </w:r>
      <w:r>
        <w:rPr>
          <w:i/>
        </w:rPr>
        <w:t>be</w:t>
      </w:r>
      <w:r>
        <w:rPr>
          <w:i/>
          <w:spacing w:val="-15"/>
        </w:rPr>
        <w:t xml:space="preserve"> </w:t>
      </w:r>
      <w:r>
        <w:rPr>
          <w:i/>
        </w:rPr>
        <w:t>used</w:t>
      </w:r>
      <w:r>
        <w:rPr>
          <w:i/>
          <w:spacing w:val="-15"/>
        </w:rPr>
        <w:t xml:space="preserve"> </w:t>
      </w:r>
      <w:r>
        <w:rPr>
          <w:i/>
        </w:rPr>
        <w:t>as</w:t>
      </w:r>
      <w:r>
        <w:rPr>
          <w:i/>
          <w:spacing w:val="-15"/>
        </w:rPr>
        <w:t xml:space="preserve"> </w:t>
      </w:r>
      <w:r>
        <w:rPr>
          <w:i/>
        </w:rPr>
        <w:t>an</w:t>
      </w:r>
      <w:r>
        <w:rPr>
          <w:i/>
          <w:spacing w:val="-15"/>
        </w:rPr>
        <w:t xml:space="preserve"> </w:t>
      </w:r>
      <w:r>
        <w:rPr>
          <w:i/>
        </w:rPr>
        <w:t>add-on</w:t>
      </w:r>
      <w:r>
        <w:rPr>
          <w:i/>
          <w:spacing w:val="-15"/>
        </w:rPr>
        <w:t xml:space="preserve"> </w:t>
      </w:r>
      <w:r>
        <w:rPr>
          <w:i/>
        </w:rPr>
        <w:t>treatment</w:t>
      </w:r>
      <w:r>
        <w:rPr>
          <w:i/>
          <w:spacing w:val="-13"/>
        </w:rPr>
        <w:t xml:space="preserve"> </w:t>
      </w:r>
      <w:r>
        <w:rPr>
          <w:i/>
        </w:rPr>
        <w:t>following failure</w:t>
      </w:r>
      <w:r>
        <w:rPr>
          <w:i/>
          <w:spacing w:val="-6"/>
        </w:rPr>
        <w:t xml:space="preserve"> </w:t>
      </w:r>
      <w:r>
        <w:rPr>
          <w:i/>
        </w:rPr>
        <w:t>of</w:t>
      </w:r>
      <w:r>
        <w:rPr>
          <w:i/>
          <w:spacing w:val="-8"/>
        </w:rPr>
        <w:t xml:space="preserve"> </w:t>
      </w:r>
      <w:r>
        <w:rPr>
          <w:i/>
        </w:rPr>
        <w:t>combinations</w:t>
      </w:r>
      <w:r>
        <w:rPr>
          <w:i/>
          <w:spacing w:val="-8"/>
        </w:rPr>
        <w:t xml:space="preserve"> </w:t>
      </w:r>
      <w:r>
        <w:rPr>
          <w:i/>
        </w:rPr>
        <w:t>of</w:t>
      </w:r>
      <w:r>
        <w:rPr>
          <w:i/>
          <w:spacing w:val="-8"/>
        </w:rPr>
        <w:t xml:space="preserve"> </w:t>
      </w:r>
      <w:r>
        <w:rPr>
          <w:i/>
        </w:rPr>
        <w:t>any</w:t>
      </w:r>
      <w:r>
        <w:rPr>
          <w:i/>
          <w:spacing w:val="-6"/>
        </w:rPr>
        <w:t xml:space="preserve"> </w:t>
      </w:r>
      <w:r>
        <w:rPr>
          <w:i/>
        </w:rPr>
        <w:t>of</w:t>
      </w:r>
      <w:r>
        <w:rPr>
          <w:i/>
          <w:spacing w:val="-8"/>
        </w:rPr>
        <w:t xml:space="preserve"> </w:t>
      </w:r>
      <w:r>
        <w:rPr>
          <w:i/>
        </w:rPr>
        <w:t>the</w:t>
      </w:r>
      <w:r>
        <w:rPr>
          <w:i/>
          <w:spacing w:val="-9"/>
        </w:rPr>
        <w:t xml:space="preserve"> </w:t>
      </w:r>
      <w:r>
        <w:rPr>
          <w:i/>
        </w:rPr>
        <w:t>standard</w:t>
      </w:r>
      <w:r>
        <w:rPr>
          <w:i/>
          <w:spacing w:val="-6"/>
        </w:rPr>
        <w:t xml:space="preserve"> </w:t>
      </w:r>
      <w:r>
        <w:rPr>
          <w:i/>
        </w:rPr>
        <w:t>of</w:t>
      </w:r>
      <w:r>
        <w:rPr>
          <w:i/>
          <w:spacing w:val="-8"/>
        </w:rPr>
        <w:t xml:space="preserve"> </w:t>
      </w:r>
      <w:r>
        <w:rPr>
          <w:i/>
        </w:rPr>
        <w:t>care</w:t>
      </w:r>
      <w:r>
        <w:rPr>
          <w:i/>
          <w:spacing w:val="-6"/>
        </w:rPr>
        <w:t xml:space="preserve"> </w:t>
      </w:r>
      <w:r>
        <w:rPr>
          <w:i/>
        </w:rPr>
        <w:t>treatments</w:t>
      </w:r>
      <w:r>
        <w:rPr>
          <w:i/>
          <w:spacing w:val="-6"/>
        </w:rPr>
        <w:t xml:space="preserve"> </w:t>
      </w:r>
      <w:r>
        <w:rPr>
          <w:i/>
        </w:rPr>
        <w:t>listed apart</w:t>
      </w:r>
      <w:r>
        <w:rPr>
          <w:i/>
          <w:spacing w:val="-6"/>
        </w:rPr>
        <w:t xml:space="preserve"> </w:t>
      </w:r>
      <w:r>
        <w:rPr>
          <w:i/>
        </w:rPr>
        <w:t>from</w:t>
      </w:r>
      <w:r>
        <w:rPr>
          <w:i/>
          <w:spacing w:val="-8"/>
        </w:rPr>
        <w:t xml:space="preserve"> </w:t>
      </w:r>
      <w:r>
        <w:rPr>
          <w:i/>
        </w:rPr>
        <w:t>cannabidiol</w:t>
      </w:r>
      <w:r>
        <w:rPr>
          <w:i/>
          <w:spacing w:val="-7"/>
        </w:rPr>
        <w:t xml:space="preserve"> </w:t>
      </w:r>
      <w:r>
        <w:rPr>
          <w:i/>
        </w:rPr>
        <w:t>plus</w:t>
      </w:r>
      <w:r>
        <w:rPr>
          <w:i/>
          <w:spacing w:val="-6"/>
        </w:rPr>
        <w:t xml:space="preserve"> </w:t>
      </w:r>
      <w:r>
        <w:rPr>
          <w:i/>
        </w:rPr>
        <w:t>clobazam.</w:t>
      </w:r>
      <w:r>
        <w:rPr>
          <w:i/>
          <w:spacing w:val="-4"/>
        </w:rPr>
        <w:t xml:space="preserve"> </w:t>
      </w:r>
      <w:r>
        <w:rPr>
          <w:i/>
        </w:rPr>
        <w:t>Fenfluramine</w:t>
      </w:r>
      <w:r>
        <w:rPr>
          <w:i/>
          <w:spacing w:val="-6"/>
        </w:rPr>
        <w:t xml:space="preserve"> </w:t>
      </w:r>
      <w:r>
        <w:rPr>
          <w:i/>
        </w:rPr>
        <w:t>is</w:t>
      </w:r>
      <w:r>
        <w:rPr>
          <w:i/>
          <w:spacing w:val="-6"/>
        </w:rPr>
        <w:t xml:space="preserve"> </w:t>
      </w:r>
      <w:r>
        <w:rPr>
          <w:i/>
        </w:rPr>
        <w:t>expected</w:t>
      </w:r>
      <w:r>
        <w:rPr>
          <w:i/>
          <w:spacing w:val="-9"/>
        </w:rPr>
        <w:t xml:space="preserve"> </w:t>
      </w:r>
      <w:r>
        <w:rPr>
          <w:i/>
        </w:rPr>
        <w:t>to</w:t>
      </w:r>
      <w:r>
        <w:rPr>
          <w:i/>
          <w:spacing w:val="-6"/>
        </w:rPr>
        <w:t xml:space="preserve"> </w:t>
      </w:r>
      <w:r>
        <w:rPr>
          <w:i/>
        </w:rPr>
        <w:t>be provided as an alternative treatment option to cannabidiol plus clobazam (as per fenfluramine’s EMA Orphan Maintenance Assessment Report Jan 2023).”</w:t>
      </w:r>
    </w:p>
    <w:p w:rsidR="000D2DCD" w:rsidRDefault="00F81CE0" w14:paraId="1074E2BC" w14:textId="77777777">
      <w:pPr>
        <w:pStyle w:val="ListParagraph"/>
        <w:numPr>
          <w:ilvl w:val="0"/>
          <w:numId w:val="15"/>
        </w:numPr>
        <w:tabs>
          <w:tab w:val="left" w:pos="1443"/>
          <w:tab w:val="left" w:pos="1446"/>
        </w:tabs>
        <w:spacing w:before="120" w:line="278" w:lineRule="auto"/>
        <w:ind w:right="1550"/>
        <w:jc w:val="both"/>
      </w:pPr>
      <w:r>
        <w:t>The following evidence was available to the Committee in the context of its consideration of SoC alone as a comparator:</w:t>
      </w:r>
    </w:p>
    <w:p w:rsidR="000D2DCD" w:rsidRDefault="00F81CE0" w14:paraId="1074E2BD" w14:textId="77777777">
      <w:pPr>
        <w:pStyle w:val="ListParagraph"/>
        <w:numPr>
          <w:ilvl w:val="1"/>
          <w:numId w:val="15"/>
        </w:numPr>
        <w:tabs>
          <w:tab w:val="left" w:pos="1552"/>
          <w:tab w:val="left" w:pos="2199"/>
        </w:tabs>
        <w:spacing w:before="118" w:line="278" w:lineRule="auto"/>
        <w:ind w:right="1555" w:hanging="432"/>
        <w:jc w:val="both"/>
      </w:pPr>
      <w:r>
        <w:t>The question of comparators was considered at ACM1 and in the subsequent Draft Guidance as follows:</w:t>
      </w:r>
    </w:p>
    <w:p w:rsidR="000D2DCD" w:rsidRDefault="00F81CE0" w14:paraId="1074E2BE" w14:textId="77777777">
      <w:pPr>
        <w:pStyle w:val="ListParagraph"/>
        <w:numPr>
          <w:ilvl w:val="2"/>
          <w:numId w:val="15"/>
        </w:numPr>
        <w:tabs>
          <w:tab w:val="left" w:pos="1984"/>
          <w:tab w:val="left" w:pos="2198"/>
        </w:tabs>
        <w:spacing w:line="278" w:lineRule="auto"/>
        <w:ind w:right="1546" w:hanging="504"/>
        <w:jc w:val="both"/>
      </w:pPr>
      <w:r>
        <w:t>During ACM1 (as per public committee slide 16) the clinical experts were asked to identify the appropriate comparator for FFA. All experts identified the appropriate comparator as CBD+CLB, however this was not reflected in the Draft Guidance.</w:t>
      </w:r>
    </w:p>
    <w:p w:rsidR="000D2DCD" w:rsidRDefault="00F81CE0" w14:paraId="1074E2BF" w14:textId="77777777">
      <w:pPr>
        <w:pStyle w:val="ListParagraph"/>
        <w:numPr>
          <w:ilvl w:val="2"/>
          <w:numId w:val="15"/>
        </w:numPr>
        <w:tabs>
          <w:tab w:val="left" w:pos="2198"/>
        </w:tabs>
        <w:spacing w:before="120"/>
        <w:ind w:left="2198" w:right="0" w:hanging="718"/>
        <w:jc w:val="both"/>
      </w:pPr>
      <w:r>
        <w:t>Paragraph</w:t>
      </w:r>
      <w:r>
        <w:rPr>
          <w:spacing w:val="-5"/>
        </w:rPr>
        <w:t xml:space="preserve"> </w:t>
      </w:r>
      <w:r>
        <w:t>1.2</w:t>
      </w:r>
      <w:r>
        <w:rPr>
          <w:spacing w:val="-6"/>
        </w:rPr>
        <w:t xml:space="preserve"> </w:t>
      </w:r>
      <w:r>
        <w:t>of</w:t>
      </w:r>
      <w:r>
        <w:rPr>
          <w:spacing w:val="-3"/>
        </w:rPr>
        <w:t xml:space="preserve"> </w:t>
      </w:r>
      <w:r>
        <w:t>the</w:t>
      </w:r>
      <w:r>
        <w:rPr>
          <w:spacing w:val="-7"/>
        </w:rPr>
        <w:t xml:space="preserve"> </w:t>
      </w:r>
      <w:r>
        <w:t>Draft</w:t>
      </w:r>
      <w:r>
        <w:rPr>
          <w:spacing w:val="-5"/>
        </w:rPr>
        <w:t xml:space="preserve"> </w:t>
      </w:r>
      <w:r>
        <w:t>Guidance</w:t>
      </w:r>
      <w:r>
        <w:rPr>
          <w:spacing w:val="-6"/>
        </w:rPr>
        <w:t xml:space="preserve"> </w:t>
      </w:r>
      <w:r>
        <w:rPr>
          <w:spacing w:val="-2"/>
        </w:rPr>
        <w:t>stated</w:t>
      </w:r>
    </w:p>
    <w:p w:rsidR="000D2DCD" w:rsidRDefault="00F81CE0" w14:paraId="1074E2C0" w14:textId="77777777">
      <w:pPr>
        <w:spacing w:before="160" w:line="278" w:lineRule="auto"/>
        <w:ind w:left="2921" w:right="1547"/>
        <w:jc w:val="both"/>
        <w:rPr>
          <w:i/>
        </w:rPr>
      </w:pPr>
      <w:r>
        <w:rPr>
          <w:i/>
        </w:rPr>
        <w:t>“People</w:t>
      </w:r>
      <w:r>
        <w:rPr>
          <w:i/>
          <w:spacing w:val="-7"/>
        </w:rPr>
        <w:t xml:space="preserve"> </w:t>
      </w:r>
      <w:r>
        <w:rPr>
          <w:i/>
        </w:rPr>
        <w:t>with</w:t>
      </w:r>
      <w:r>
        <w:rPr>
          <w:i/>
          <w:spacing w:val="-7"/>
        </w:rPr>
        <w:t xml:space="preserve"> </w:t>
      </w:r>
      <w:r>
        <w:rPr>
          <w:i/>
        </w:rPr>
        <w:t>LGS</w:t>
      </w:r>
      <w:r>
        <w:rPr>
          <w:i/>
          <w:spacing w:val="-8"/>
        </w:rPr>
        <w:t xml:space="preserve"> </w:t>
      </w:r>
      <w:r>
        <w:rPr>
          <w:i/>
        </w:rPr>
        <w:t>are</w:t>
      </w:r>
      <w:r>
        <w:rPr>
          <w:i/>
          <w:spacing w:val="-7"/>
        </w:rPr>
        <w:t xml:space="preserve"> </w:t>
      </w:r>
      <w:r>
        <w:rPr>
          <w:i/>
        </w:rPr>
        <w:t>offered</w:t>
      </w:r>
      <w:r>
        <w:rPr>
          <w:i/>
          <w:spacing w:val="-7"/>
        </w:rPr>
        <w:t xml:space="preserve"> </w:t>
      </w:r>
      <w:r>
        <w:rPr>
          <w:i/>
        </w:rPr>
        <w:t>a</w:t>
      </w:r>
      <w:r>
        <w:rPr>
          <w:i/>
          <w:spacing w:val="-7"/>
        </w:rPr>
        <w:t xml:space="preserve"> </w:t>
      </w:r>
      <w:r>
        <w:rPr>
          <w:i/>
        </w:rPr>
        <w:t>range</w:t>
      </w:r>
      <w:r>
        <w:rPr>
          <w:i/>
          <w:spacing w:val="-8"/>
        </w:rPr>
        <w:t xml:space="preserve"> </w:t>
      </w:r>
      <w:r>
        <w:rPr>
          <w:i/>
        </w:rPr>
        <w:t>of</w:t>
      </w:r>
      <w:r>
        <w:rPr>
          <w:i/>
          <w:spacing w:val="-7"/>
        </w:rPr>
        <w:t xml:space="preserve"> </w:t>
      </w:r>
      <w:r>
        <w:rPr>
          <w:i/>
        </w:rPr>
        <w:t>antiseizure</w:t>
      </w:r>
      <w:r>
        <w:rPr>
          <w:i/>
          <w:spacing w:val="-7"/>
        </w:rPr>
        <w:t xml:space="preserve"> </w:t>
      </w:r>
      <w:r>
        <w:rPr>
          <w:i/>
        </w:rPr>
        <w:t>medicines that</w:t>
      </w:r>
      <w:r>
        <w:rPr>
          <w:i/>
          <w:spacing w:val="-8"/>
        </w:rPr>
        <w:t xml:space="preserve"> </w:t>
      </w:r>
      <w:r>
        <w:rPr>
          <w:i/>
        </w:rPr>
        <w:t>collectively</w:t>
      </w:r>
      <w:r>
        <w:rPr>
          <w:i/>
          <w:spacing w:val="-7"/>
        </w:rPr>
        <w:t xml:space="preserve"> </w:t>
      </w:r>
      <w:r>
        <w:rPr>
          <w:i/>
        </w:rPr>
        <w:t>make</w:t>
      </w:r>
      <w:r>
        <w:rPr>
          <w:i/>
          <w:spacing w:val="-10"/>
        </w:rPr>
        <w:t xml:space="preserve"> </w:t>
      </w:r>
      <w:r>
        <w:rPr>
          <w:i/>
        </w:rPr>
        <w:t>up</w:t>
      </w:r>
      <w:r>
        <w:rPr>
          <w:i/>
          <w:spacing w:val="-10"/>
        </w:rPr>
        <w:t xml:space="preserve"> </w:t>
      </w:r>
      <w:r>
        <w:rPr>
          <w:i/>
        </w:rPr>
        <w:t>standard</w:t>
      </w:r>
      <w:r>
        <w:rPr>
          <w:i/>
          <w:spacing w:val="-10"/>
        </w:rPr>
        <w:t xml:space="preserve"> </w:t>
      </w:r>
      <w:r>
        <w:rPr>
          <w:i/>
        </w:rPr>
        <w:t>care.</w:t>
      </w:r>
      <w:r>
        <w:rPr>
          <w:i/>
          <w:spacing w:val="-9"/>
        </w:rPr>
        <w:t xml:space="preserve"> </w:t>
      </w:r>
      <w:r>
        <w:rPr>
          <w:i/>
        </w:rPr>
        <w:t>If</w:t>
      </w:r>
      <w:r>
        <w:rPr>
          <w:i/>
          <w:spacing w:val="-8"/>
        </w:rPr>
        <w:t xml:space="preserve"> </w:t>
      </w:r>
      <w:r>
        <w:rPr>
          <w:i/>
        </w:rPr>
        <w:t>this</w:t>
      </w:r>
      <w:r>
        <w:rPr>
          <w:i/>
          <w:spacing w:val="-7"/>
        </w:rPr>
        <w:t xml:space="preserve"> </w:t>
      </w:r>
      <w:r>
        <w:rPr>
          <w:i/>
        </w:rPr>
        <w:t>does</w:t>
      </w:r>
      <w:r>
        <w:rPr>
          <w:i/>
          <w:spacing w:val="-7"/>
        </w:rPr>
        <w:t xml:space="preserve"> </w:t>
      </w:r>
      <w:r>
        <w:rPr>
          <w:i/>
        </w:rPr>
        <w:t>not</w:t>
      </w:r>
      <w:r>
        <w:rPr>
          <w:i/>
          <w:spacing w:val="-8"/>
        </w:rPr>
        <w:t xml:space="preserve"> </w:t>
      </w:r>
      <w:r>
        <w:rPr>
          <w:i/>
        </w:rPr>
        <w:t>control their seizures, other treatments can be introduced, including cannabidiol plus clobazam.”</w:t>
      </w:r>
    </w:p>
    <w:p w:rsidR="000D2DCD" w:rsidRDefault="00F81CE0" w14:paraId="1074E2C1" w14:textId="77777777">
      <w:pPr>
        <w:pStyle w:val="BodyText"/>
        <w:spacing w:before="115" w:line="278" w:lineRule="auto"/>
        <w:ind w:left="2201" w:right="1544"/>
        <w:jc w:val="both"/>
      </w:pPr>
      <w:r>
        <w:t>It is clear</w:t>
      </w:r>
      <w:r>
        <w:rPr>
          <w:spacing w:val="-1"/>
        </w:rPr>
        <w:t xml:space="preserve"> </w:t>
      </w:r>
      <w:r>
        <w:t>from</w:t>
      </w:r>
      <w:r>
        <w:rPr>
          <w:spacing w:val="-1"/>
        </w:rPr>
        <w:t xml:space="preserve"> </w:t>
      </w:r>
      <w:r>
        <w:t xml:space="preserve">this wording that CBD plus CLB is considered </w:t>
      </w:r>
      <w:r>
        <w:rPr>
          <w:b/>
        </w:rPr>
        <w:t xml:space="preserve">after </w:t>
      </w:r>
      <w:r>
        <w:t>all medicines</w:t>
      </w:r>
      <w:r>
        <w:rPr>
          <w:spacing w:val="-16"/>
        </w:rPr>
        <w:t xml:space="preserve"> </w:t>
      </w:r>
      <w:r>
        <w:t>that</w:t>
      </w:r>
      <w:r>
        <w:rPr>
          <w:spacing w:val="-15"/>
        </w:rPr>
        <w:t xml:space="preserve"> </w:t>
      </w:r>
      <w:r>
        <w:t>make</w:t>
      </w:r>
      <w:r>
        <w:rPr>
          <w:spacing w:val="-15"/>
        </w:rPr>
        <w:t xml:space="preserve"> </w:t>
      </w:r>
      <w:r>
        <w:t>up</w:t>
      </w:r>
      <w:r>
        <w:rPr>
          <w:spacing w:val="-16"/>
        </w:rPr>
        <w:t xml:space="preserve"> </w:t>
      </w:r>
      <w:r>
        <w:t>standard</w:t>
      </w:r>
      <w:r>
        <w:rPr>
          <w:spacing w:val="-15"/>
        </w:rPr>
        <w:t xml:space="preserve"> </w:t>
      </w:r>
      <w:r>
        <w:t>of</w:t>
      </w:r>
      <w:r>
        <w:rPr>
          <w:spacing w:val="-15"/>
        </w:rPr>
        <w:t xml:space="preserve"> </w:t>
      </w:r>
      <w:r>
        <w:t>care</w:t>
      </w:r>
      <w:r>
        <w:rPr>
          <w:spacing w:val="-15"/>
        </w:rPr>
        <w:t xml:space="preserve"> </w:t>
      </w:r>
      <w:r>
        <w:t>have</w:t>
      </w:r>
      <w:r>
        <w:rPr>
          <w:spacing w:val="-16"/>
        </w:rPr>
        <w:t xml:space="preserve"> </w:t>
      </w:r>
      <w:r>
        <w:t>already</w:t>
      </w:r>
      <w:r>
        <w:rPr>
          <w:spacing w:val="-15"/>
        </w:rPr>
        <w:t xml:space="preserve"> </w:t>
      </w:r>
      <w:r>
        <w:t>been</w:t>
      </w:r>
      <w:r>
        <w:rPr>
          <w:spacing w:val="-15"/>
        </w:rPr>
        <w:t xml:space="preserve"> </w:t>
      </w:r>
      <w:r>
        <w:t>tried.</w:t>
      </w:r>
      <w:r>
        <w:rPr>
          <w:spacing w:val="5"/>
        </w:rPr>
        <w:t xml:space="preserve"> </w:t>
      </w:r>
      <w:r>
        <w:t>This is the same line of proposed positioning as FFA, which should therefore</w:t>
      </w:r>
      <w:r>
        <w:rPr>
          <w:spacing w:val="-14"/>
        </w:rPr>
        <w:t xml:space="preserve"> </w:t>
      </w:r>
      <w:r>
        <w:t>be</w:t>
      </w:r>
      <w:r>
        <w:rPr>
          <w:spacing w:val="-14"/>
        </w:rPr>
        <w:t xml:space="preserve"> </w:t>
      </w:r>
      <w:r>
        <w:t>compared</w:t>
      </w:r>
      <w:r>
        <w:rPr>
          <w:spacing w:val="-14"/>
        </w:rPr>
        <w:t xml:space="preserve"> </w:t>
      </w:r>
      <w:r>
        <w:t>with</w:t>
      </w:r>
      <w:r>
        <w:rPr>
          <w:spacing w:val="-14"/>
        </w:rPr>
        <w:t xml:space="preserve"> </w:t>
      </w:r>
      <w:r>
        <w:t>CBD</w:t>
      </w:r>
      <w:r>
        <w:rPr>
          <w:spacing w:val="-14"/>
        </w:rPr>
        <w:t xml:space="preserve"> </w:t>
      </w:r>
      <w:r>
        <w:t>and</w:t>
      </w:r>
      <w:r>
        <w:rPr>
          <w:spacing w:val="-14"/>
        </w:rPr>
        <w:t xml:space="preserve"> </w:t>
      </w:r>
      <w:r>
        <w:t>not</w:t>
      </w:r>
      <w:r>
        <w:rPr>
          <w:spacing w:val="-12"/>
        </w:rPr>
        <w:t xml:space="preserve"> </w:t>
      </w:r>
      <w:r>
        <w:t>with</w:t>
      </w:r>
      <w:r>
        <w:rPr>
          <w:spacing w:val="-14"/>
        </w:rPr>
        <w:t xml:space="preserve"> </w:t>
      </w:r>
      <w:r>
        <w:t>SoC</w:t>
      </w:r>
      <w:r>
        <w:rPr>
          <w:spacing w:val="-12"/>
        </w:rPr>
        <w:t xml:space="preserve"> </w:t>
      </w:r>
      <w:r>
        <w:t>therapies</w:t>
      </w:r>
      <w:r>
        <w:rPr>
          <w:spacing w:val="-16"/>
        </w:rPr>
        <w:t xml:space="preserve"> </w:t>
      </w:r>
      <w:r>
        <w:t>that</w:t>
      </w:r>
      <w:r>
        <w:rPr>
          <w:spacing w:val="-12"/>
        </w:rPr>
        <w:t xml:space="preserve"> </w:t>
      </w:r>
      <w:r>
        <w:t>have already been unsuccessful.</w:t>
      </w:r>
    </w:p>
    <w:p w:rsidR="000D2DCD" w:rsidRDefault="00F81CE0" w14:paraId="1074E2C2" w14:textId="77777777">
      <w:pPr>
        <w:pStyle w:val="ListParagraph"/>
        <w:numPr>
          <w:ilvl w:val="2"/>
          <w:numId w:val="15"/>
        </w:numPr>
        <w:tabs>
          <w:tab w:val="left" w:pos="2037"/>
          <w:tab w:val="left" w:pos="2917"/>
        </w:tabs>
        <w:spacing w:before="121" w:line="278" w:lineRule="auto"/>
        <w:ind w:left="2037" w:right="1549" w:hanging="144"/>
        <w:jc w:val="both"/>
      </w:pPr>
      <w:r>
        <w:t xml:space="preserve">UCB’s submission is referenced at paragraph 3.3 of the Draft </w:t>
      </w:r>
      <w:r>
        <w:rPr>
          <w:spacing w:val="-2"/>
        </w:rPr>
        <w:t>Guidance:</w:t>
      </w:r>
    </w:p>
    <w:p w:rsidR="000D2DCD" w:rsidRDefault="00F81CE0" w14:paraId="1074E2C3" w14:textId="77777777">
      <w:pPr>
        <w:spacing w:before="119" w:line="278" w:lineRule="auto"/>
        <w:ind w:left="2921" w:right="1550"/>
        <w:jc w:val="both"/>
        <w:rPr>
          <w:i/>
        </w:rPr>
      </w:pPr>
      <w:r>
        <w:rPr>
          <w:i/>
        </w:rPr>
        <w:t>“The</w:t>
      </w:r>
      <w:r>
        <w:rPr>
          <w:i/>
          <w:spacing w:val="-12"/>
        </w:rPr>
        <w:t xml:space="preserve"> </w:t>
      </w:r>
      <w:r>
        <w:rPr>
          <w:i/>
        </w:rPr>
        <w:t>company</w:t>
      </w:r>
      <w:r>
        <w:rPr>
          <w:i/>
          <w:spacing w:val="-12"/>
        </w:rPr>
        <w:t xml:space="preserve"> </w:t>
      </w:r>
      <w:r>
        <w:rPr>
          <w:i/>
        </w:rPr>
        <w:t>highlighted</w:t>
      </w:r>
      <w:r>
        <w:rPr>
          <w:i/>
          <w:spacing w:val="-12"/>
        </w:rPr>
        <w:t xml:space="preserve"> </w:t>
      </w:r>
      <w:r>
        <w:rPr>
          <w:i/>
        </w:rPr>
        <w:t>the</w:t>
      </w:r>
      <w:r>
        <w:rPr>
          <w:i/>
          <w:spacing w:val="-15"/>
        </w:rPr>
        <w:t xml:space="preserve"> </w:t>
      </w:r>
      <w:r>
        <w:rPr>
          <w:i/>
        </w:rPr>
        <w:t>refractory</w:t>
      </w:r>
      <w:r>
        <w:rPr>
          <w:i/>
          <w:spacing w:val="-12"/>
        </w:rPr>
        <w:t xml:space="preserve"> </w:t>
      </w:r>
      <w:r>
        <w:rPr>
          <w:i/>
        </w:rPr>
        <w:t>nature</w:t>
      </w:r>
      <w:r>
        <w:rPr>
          <w:i/>
          <w:spacing w:val="-14"/>
        </w:rPr>
        <w:t xml:space="preserve"> </w:t>
      </w:r>
      <w:r>
        <w:rPr>
          <w:i/>
        </w:rPr>
        <w:t>of</w:t>
      </w:r>
      <w:r>
        <w:rPr>
          <w:i/>
          <w:spacing w:val="-16"/>
        </w:rPr>
        <w:t xml:space="preserve"> </w:t>
      </w:r>
      <w:r>
        <w:rPr>
          <w:i/>
        </w:rPr>
        <w:t>LGS</w:t>
      </w:r>
      <w:r>
        <w:rPr>
          <w:i/>
          <w:spacing w:val="-11"/>
        </w:rPr>
        <w:t xml:space="preserve"> </w:t>
      </w:r>
      <w:r>
        <w:rPr>
          <w:i/>
        </w:rPr>
        <w:t>and</w:t>
      </w:r>
      <w:r>
        <w:rPr>
          <w:i/>
          <w:spacing w:val="-15"/>
        </w:rPr>
        <w:t xml:space="preserve"> </w:t>
      </w:r>
      <w:r>
        <w:rPr>
          <w:i/>
        </w:rPr>
        <w:t>the heterogeneity of the treatment population. It noted that it is therefore not clinically or statistically meaningful to compare fenfluramine plus SC with individual or specific combinations of antiseizure medications (ASMs), except cannabidiol plus clobazam plus SC. It added that cannabidiol plus clobazam plus SC is</w:t>
      </w:r>
      <w:r>
        <w:rPr>
          <w:i/>
          <w:spacing w:val="-2"/>
        </w:rPr>
        <w:t xml:space="preserve"> </w:t>
      </w:r>
      <w:r>
        <w:rPr>
          <w:i/>
        </w:rPr>
        <w:t>the</w:t>
      </w:r>
      <w:r>
        <w:rPr>
          <w:i/>
          <w:spacing w:val="-2"/>
        </w:rPr>
        <w:t xml:space="preserve"> </w:t>
      </w:r>
      <w:r>
        <w:rPr>
          <w:i/>
        </w:rPr>
        <w:t>only</w:t>
      </w:r>
      <w:r>
        <w:rPr>
          <w:i/>
          <w:spacing w:val="-4"/>
        </w:rPr>
        <w:t xml:space="preserve"> </w:t>
      </w:r>
      <w:r>
        <w:rPr>
          <w:i/>
        </w:rPr>
        <w:t>treatment</w:t>
      </w:r>
      <w:r>
        <w:rPr>
          <w:i/>
          <w:spacing w:val="-3"/>
        </w:rPr>
        <w:t xml:space="preserve"> </w:t>
      </w:r>
      <w:r>
        <w:rPr>
          <w:i/>
        </w:rPr>
        <w:t>with</w:t>
      </w:r>
      <w:r>
        <w:rPr>
          <w:i/>
          <w:spacing w:val="-2"/>
        </w:rPr>
        <w:t xml:space="preserve"> </w:t>
      </w:r>
      <w:r>
        <w:rPr>
          <w:i/>
        </w:rPr>
        <w:t>sufficient</w:t>
      </w:r>
      <w:r>
        <w:rPr>
          <w:i/>
          <w:spacing w:val="-3"/>
        </w:rPr>
        <w:t xml:space="preserve"> </w:t>
      </w:r>
      <w:r>
        <w:rPr>
          <w:i/>
        </w:rPr>
        <w:t>trial</w:t>
      </w:r>
      <w:r>
        <w:rPr>
          <w:i/>
          <w:spacing w:val="-3"/>
        </w:rPr>
        <w:t xml:space="preserve"> </w:t>
      </w:r>
      <w:r>
        <w:rPr>
          <w:i/>
        </w:rPr>
        <w:t>data</w:t>
      </w:r>
      <w:r>
        <w:rPr>
          <w:i/>
          <w:spacing w:val="-2"/>
        </w:rPr>
        <w:t xml:space="preserve"> </w:t>
      </w:r>
      <w:r>
        <w:rPr>
          <w:i/>
        </w:rPr>
        <w:t>to</w:t>
      </w:r>
      <w:r>
        <w:rPr>
          <w:i/>
          <w:spacing w:val="-2"/>
        </w:rPr>
        <w:t xml:space="preserve"> </w:t>
      </w:r>
      <w:r>
        <w:rPr>
          <w:i/>
        </w:rPr>
        <w:t>permit a robust comparison”</w:t>
      </w:r>
    </w:p>
    <w:p w:rsidR="000D2DCD" w:rsidRDefault="000D2DCD" w14:paraId="1074E2C4"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C5" w14:textId="77777777">
      <w:pPr>
        <w:pStyle w:val="BodyText"/>
        <w:rPr>
          <w:i/>
        </w:rPr>
      </w:pPr>
    </w:p>
    <w:p w:rsidR="000D2DCD" w:rsidRDefault="000D2DCD" w14:paraId="1074E2C6" w14:textId="77777777">
      <w:pPr>
        <w:pStyle w:val="BodyText"/>
        <w:spacing w:before="59"/>
        <w:rPr>
          <w:i/>
        </w:rPr>
      </w:pPr>
    </w:p>
    <w:p w:rsidR="000D2DCD" w:rsidRDefault="00F81CE0" w14:paraId="1074E2C7" w14:textId="77777777">
      <w:pPr>
        <w:pStyle w:val="ListParagraph"/>
        <w:numPr>
          <w:ilvl w:val="2"/>
          <w:numId w:val="15"/>
        </w:numPr>
        <w:tabs>
          <w:tab w:val="left" w:pos="2037"/>
          <w:tab w:val="left" w:pos="2917"/>
        </w:tabs>
        <w:spacing w:before="0" w:line="278" w:lineRule="auto"/>
        <w:ind w:left="2037" w:right="1545" w:hanging="144"/>
        <w:jc w:val="both"/>
      </w:pPr>
      <w:r>
        <w:t>However, despite the evidence at paragraph 16.1.1 -16.1.3 above,</w:t>
      </w:r>
      <w:r>
        <w:rPr>
          <w:spacing w:val="-16"/>
        </w:rPr>
        <w:t xml:space="preserve"> </w:t>
      </w:r>
      <w:r>
        <w:t>the</w:t>
      </w:r>
      <w:r>
        <w:rPr>
          <w:spacing w:val="-15"/>
        </w:rPr>
        <w:t xml:space="preserve"> </w:t>
      </w:r>
      <w:r>
        <w:t>Committee</w:t>
      </w:r>
      <w:r>
        <w:rPr>
          <w:spacing w:val="-15"/>
        </w:rPr>
        <w:t xml:space="preserve"> </w:t>
      </w:r>
      <w:r>
        <w:t>concluded</w:t>
      </w:r>
      <w:r>
        <w:rPr>
          <w:spacing w:val="-16"/>
        </w:rPr>
        <w:t xml:space="preserve"> </w:t>
      </w:r>
      <w:r>
        <w:t>at</w:t>
      </w:r>
      <w:r>
        <w:rPr>
          <w:spacing w:val="-15"/>
        </w:rPr>
        <w:t xml:space="preserve"> </w:t>
      </w:r>
      <w:r>
        <w:t>paragraph</w:t>
      </w:r>
      <w:r>
        <w:rPr>
          <w:spacing w:val="-15"/>
        </w:rPr>
        <w:t xml:space="preserve"> </w:t>
      </w:r>
      <w:r>
        <w:t>3.3</w:t>
      </w:r>
      <w:r>
        <w:rPr>
          <w:spacing w:val="-15"/>
        </w:rPr>
        <w:t xml:space="preserve"> </w:t>
      </w:r>
      <w:r>
        <w:t>of</w:t>
      </w:r>
      <w:r>
        <w:rPr>
          <w:spacing w:val="-16"/>
        </w:rPr>
        <w:t xml:space="preserve"> </w:t>
      </w:r>
      <w:r>
        <w:t>the</w:t>
      </w:r>
      <w:r>
        <w:rPr>
          <w:spacing w:val="-15"/>
        </w:rPr>
        <w:t xml:space="preserve"> </w:t>
      </w:r>
      <w:r>
        <w:t>Draft</w:t>
      </w:r>
      <w:r>
        <w:rPr>
          <w:spacing w:val="-15"/>
        </w:rPr>
        <w:t xml:space="preserve"> </w:t>
      </w:r>
      <w:r>
        <w:t>Guidance that SoC was an appropriate comparator:</w:t>
      </w:r>
    </w:p>
    <w:p w:rsidR="000D2DCD" w:rsidRDefault="00F81CE0" w14:paraId="1074E2C8" w14:textId="77777777">
      <w:pPr>
        <w:spacing w:before="119" w:line="278" w:lineRule="auto"/>
        <w:ind w:left="2921" w:right="1547"/>
        <w:jc w:val="both"/>
      </w:pPr>
      <w:r>
        <w:t>“</w:t>
      </w:r>
      <w:r>
        <w:rPr>
          <w:i/>
        </w:rPr>
        <w:t>It</w:t>
      </w:r>
      <w:r>
        <w:rPr>
          <w:i/>
          <w:spacing w:val="-5"/>
        </w:rPr>
        <w:t xml:space="preserve"> </w:t>
      </w:r>
      <w:r>
        <w:rPr>
          <w:i/>
        </w:rPr>
        <w:t>also</w:t>
      </w:r>
      <w:r>
        <w:rPr>
          <w:i/>
          <w:spacing w:val="-6"/>
        </w:rPr>
        <w:t xml:space="preserve"> </w:t>
      </w:r>
      <w:r>
        <w:rPr>
          <w:i/>
        </w:rPr>
        <w:t>concluded</w:t>
      </w:r>
      <w:r>
        <w:rPr>
          <w:i/>
          <w:spacing w:val="-6"/>
        </w:rPr>
        <w:t xml:space="preserve"> </w:t>
      </w:r>
      <w:r>
        <w:rPr>
          <w:i/>
        </w:rPr>
        <w:t>that</w:t>
      </w:r>
      <w:r>
        <w:rPr>
          <w:i/>
          <w:spacing w:val="-7"/>
        </w:rPr>
        <w:t xml:space="preserve"> </w:t>
      </w:r>
      <w:r>
        <w:rPr>
          <w:i/>
        </w:rPr>
        <w:t>cannabidiol</w:t>
      </w:r>
      <w:r>
        <w:rPr>
          <w:i/>
          <w:spacing w:val="-7"/>
        </w:rPr>
        <w:t xml:space="preserve"> </w:t>
      </w:r>
      <w:r>
        <w:rPr>
          <w:i/>
        </w:rPr>
        <w:t>plus</w:t>
      </w:r>
      <w:r>
        <w:rPr>
          <w:i/>
          <w:spacing w:val="-6"/>
        </w:rPr>
        <w:t xml:space="preserve"> </w:t>
      </w:r>
      <w:r>
        <w:rPr>
          <w:i/>
        </w:rPr>
        <w:t>clobazam</w:t>
      </w:r>
      <w:r>
        <w:rPr>
          <w:i/>
          <w:spacing w:val="-5"/>
        </w:rPr>
        <w:t xml:space="preserve"> </w:t>
      </w:r>
      <w:r>
        <w:rPr>
          <w:i/>
        </w:rPr>
        <w:t>plus</w:t>
      </w:r>
      <w:r>
        <w:rPr>
          <w:i/>
          <w:spacing w:val="-6"/>
        </w:rPr>
        <w:t xml:space="preserve"> </w:t>
      </w:r>
      <w:r>
        <w:rPr>
          <w:i/>
        </w:rPr>
        <w:t>SC</w:t>
      </w:r>
      <w:r>
        <w:rPr>
          <w:i/>
          <w:spacing w:val="-7"/>
        </w:rPr>
        <w:t xml:space="preserve"> </w:t>
      </w:r>
      <w:r>
        <w:rPr>
          <w:i/>
        </w:rPr>
        <w:t>and</w:t>
      </w:r>
      <w:r>
        <w:rPr>
          <w:i/>
        </w:rPr>
        <w:t xml:space="preserve"> SC alone are appropriate comparators</w:t>
      </w:r>
      <w:r>
        <w:t>”. No evidence was identified</w:t>
      </w:r>
      <w:r>
        <w:rPr>
          <w:spacing w:val="-1"/>
        </w:rPr>
        <w:t xml:space="preserve"> </w:t>
      </w:r>
      <w:r>
        <w:t>by</w:t>
      </w:r>
      <w:r>
        <w:rPr>
          <w:spacing w:val="-3"/>
        </w:rPr>
        <w:t xml:space="preserve"> </w:t>
      </w:r>
      <w:r>
        <w:t>the</w:t>
      </w:r>
      <w:r>
        <w:rPr>
          <w:spacing w:val="-1"/>
        </w:rPr>
        <w:t xml:space="preserve"> </w:t>
      </w:r>
      <w:r>
        <w:t>Committee to support its conclusion</w:t>
      </w:r>
      <w:r>
        <w:rPr>
          <w:spacing w:val="-1"/>
        </w:rPr>
        <w:t xml:space="preserve"> </w:t>
      </w:r>
      <w:r>
        <w:t>that</w:t>
      </w:r>
      <w:r>
        <w:rPr>
          <w:spacing w:val="-1"/>
        </w:rPr>
        <w:t xml:space="preserve"> </w:t>
      </w:r>
      <w:r>
        <w:t>SoC alone is an appropriate comparator.</w:t>
      </w:r>
    </w:p>
    <w:p w:rsidR="000D2DCD" w:rsidRDefault="00F81CE0" w14:paraId="1074E2C9" w14:textId="77777777">
      <w:pPr>
        <w:pStyle w:val="ListParagraph"/>
        <w:numPr>
          <w:ilvl w:val="1"/>
          <w:numId w:val="15"/>
        </w:numPr>
        <w:tabs>
          <w:tab w:val="left" w:pos="1552"/>
          <w:tab w:val="left" w:pos="2199"/>
        </w:tabs>
        <w:spacing w:before="120" w:line="278" w:lineRule="auto"/>
        <w:ind w:right="1549" w:hanging="432"/>
        <w:jc w:val="both"/>
      </w:pPr>
      <w:r>
        <w:t>UCB were asked to submit revised analyse comparing fenfluramine with SoC alone two days before ACM2, on 4 March 2024.</w:t>
      </w:r>
      <w:r>
        <w:rPr>
          <w:spacing w:val="40"/>
        </w:rPr>
        <w:t xml:space="preserve"> </w:t>
      </w:r>
      <w:r>
        <w:t>UCB submitted the requested</w:t>
      </w:r>
      <w:r>
        <w:rPr>
          <w:spacing w:val="-9"/>
        </w:rPr>
        <w:t xml:space="preserve"> </w:t>
      </w:r>
      <w:r>
        <w:t>analyses</w:t>
      </w:r>
      <w:r>
        <w:rPr>
          <w:spacing w:val="-8"/>
        </w:rPr>
        <w:t xml:space="preserve"> </w:t>
      </w:r>
      <w:r>
        <w:t>but</w:t>
      </w:r>
      <w:r>
        <w:rPr>
          <w:spacing w:val="-6"/>
        </w:rPr>
        <w:t xml:space="preserve"> </w:t>
      </w:r>
      <w:r>
        <w:t>emphasised</w:t>
      </w:r>
      <w:r>
        <w:rPr>
          <w:spacing w:val="-9"/>
        </w:rPr>
        <w:t xml:space="preserve"> </w:t>
      </w:r>
      <w:r>
        <w:t>that</w:t>
      </w:r>
      <w:r>
        <w:rPr>
          <w:spacing w:val="-4"/>
        </w:rPr>
        <w:t xml:space="preserve"> </w:t>
      </w:r>
      <w:r>
        <w:t>CBD</w:t>
      </w:r>
      <w:r>
        <w:rPr>
          <w:spacing w:val="-11"/>
        </w:rPr>
        <w:t xml:space="preserve"> </w:t>
      </w:r>
      <w:r>
        <w:t>+</w:t>
      </w:r>
      <w:r>
        <w:rPr>
          <w:spacing w:val="-6"/>
        </w:rPr>
        <w:t xml:space="preserve"> </w:t>
      </w:r>
      <w:r>
        <w:t>CLB</w:t>
      </w:r>
      <w:r>
        <w:rPr>
          <w:spacing w:val="-9"/>
        </w:rPr>
        <w:t xml:space="preserve"> </w:t>
      </w:r>
      <w:r>
        <w:t>+</w:t>
      </w:r>
      <w:r>
        <w:rPr>
          <w:spacing w:val="-6"/>
        </w:rPr>
        <w:t xml:space="preserve"> </w:t>
      </w:r>
      <w:r>
        <w:t>SoC</w:t>
      </w:r>
      <w:r>
        <w:rPr>
          <w:spacing w:val="-9"/>
        </w:rPr>
        <w:t xml:space="preserve"> </w:t>
      </w:r>
      <w:r>
        <w:t>alone</w:t>
      </w:r>
      <w:r>
        <w:rPr>
          <w:spacing w:val="-11"/>
        </w:rPr>
        <w:t xml:space="preserve"> </w:t>
      </w:r>
      <w:r>
        <w:t>should be the only comparator</w:t>
      </w:r>
    </w:p>
    <w:p w:rsidR="000D2DCD" w:rsidRDefault="00F81CE0" w14:paraId="1074E2CA" w14:textId="77777777">
      <w:pPr>
        <w:spacing w:before="117" w:line="278" w:lineRule="auto"/>
        <w:ind w:left="2037" w:right="1545" w:firstLine="62"/>
        <w:jc w:val="both"/>
      </w:pPr>
      <w:r>
        <w:rPr>
          <w:i/>
        </w:rPr>
        <w:t>“Using</w:t>
      </w:r>
      <w:r>
        <w:rPr>
          <w:i/>
          <w:spacing w:val="-10"/>
        </w:rPr>
        <w:t xml:space="preserve"> </w:t>
      </w:r>
      <w:r>
        <w:rPr>
          <w:i/>
        </w:rPr>
        <w:t>SoC</w:t>
      </w:r>
      <w:r>
        <w:rPr>
          <w:i/>
          <w:spacing w:val="-10"/>
        </w:rPr>
        <w:t xml:space="preserve"> </w:t>
      </w:r>
      <w:r>
        <w:rPr>
          <w:i/>
        </w:rPr>
        <w:t>as</w:t>
      </w:r>
      <w:r>
        <w:rPr>
          <w:i/>
          <w:spacing w:val="-11"/>
        </w:rPr>
        <w:t xml:space="preserve"> </w:t>
      </w:r>
      <w:r>
        <w:rPr>
          <w:i/>
        </w:rPr>
        <w:t>a</w:t>
      </w:r>
      <w:r>
        <w:rPr>
          <w:i/>
          <w:spacing w:val="-11"/>
        </w:rPr>
        <w:t xml:space="preserve"> </w:t>
      </w:r>
      <w:r>
        <w:rPr>
          <w:i/>
        </w:rPr>
        <w:t>comparator</w:t>
      </w:r>
      <w:r>
        <w:rPr>
          <w:i/>
          <w:spacing w:val="-10"/>
        </w:rPr>
        <w:t xml:space="preserve"> </w:t>
      </w:r>
      <w:r>
        <w:rPr>
          <w:i/>
        </w:rPr>
        <w:t>is</w:t>
      </w:r>
      <w:r>
        <w:rPr>
          <w:i/>
          <w:spacing w:val="-9"/>
        </w:rPr>
        <w:t xml:space="preserve"> </w:t>
      </w:r>
      <w:r>
        <w:rPr>
          <w:i/>
        </w:rPr>
        <w:t>also</w:t>
      </w:r>
      <w:r>
        <w:rPr>
          <w:i/>
          <w:spacing w:val="-10"/>
        </w:rPr>
        <w:t xml:space="preserve"> </w:t>
      </w:r>
      <w:r>
        <w:rPr>
          <w:i/>
        </w:rPr>
        <w:t>against</w:t>
      </w:r>
      <w:r>
        <w:rPr>
          <w:i/>
          <w:spacing w:val="-13"/>
        </w:rPr>
        <w:t xml:space="preserve"> </w:t>
      </w:r>
      <w:r>
        <w:rPr>
          <w:i/>
        </w:rPr>
        <w:t>the</w:t>
      </w:r>
      <w:r>
        <w:rPr>
          <w:i/>
          <w:spacing w:val="-10"/>
        </w:rPr>
        <w:t xml:space="preserve"> </w:t>
      </w:r>
      <w:r>
        <w:rPr>
          <w:i/>
        </w:rPr>
        <w:t>proposed</w:t>
      </w:r>
      <w:r>
        <w:rPr>
          <w:i/>
          <w:spacing w:val="-10"/>
        </w:rPr>
        <w:t xml:space="preserve"> </w:t>
      </w:r>
      <w:r>
        <w:rPr>
          <w:i/>
        </w:rPr>
        <w:t>positioning</w:t>
      </w:r>
      <w:r>
        <w:rPr>
          <w:i/>
          <w:spacing w:val="-10"/>
        </w:rPr>
        <w:t xml:space="preserve"> </w:t>
      </w:r>
      <w:r>
        <w:rPr>
          <w:i/>
        </w:rPr>
        <w:t>of</w:t>
      </w:r>
      <w:r>
        <w:rPr>
          <w:i/>
        </w:rPr>
        <w:t xml:space="preserve"> Fenfluaramine in Lennox-Gastuat syndrome as a third-line add-on therapy, in line with the positioning of cannabidiol plus clobazam </w:t>
      </w:r>
      <w:r>
        <w:rPr>
          <w:i/>
          <w:spacing w:val="-2"/>
        </w:rPr>
        <w:t>(TA615)”</w:t>
      </w:r>
      <w:r>
        <w:rPr>
          <w:spacing w:val="-2"/>
        </w:rPr>
        <w:t>,</w:t>
      </w:r>
    </w:p>
    <w:p w:rsidR="000D2DCD" w:rsidRDefault="00F81CE0" w14:paraId="1074E2CB" w14:textId="77777777">
      <w:pPr>
        <w:pStyle w:val="ListParagraph"/>
        <w:numPr>
          <w:ilvl w:val="1"/>
          <w:numId w:val="15"/>
        </w:numPr>
        <w:tabs>
          <w:tab w:val="left" w:pos="1552"/>
          <w:tab w:val="left" w:pos="2199"/>
        </w:tabs>
        <w:spacing w:before="118" w:line="278" w:lineRule="auto"/>
        <w:ind w:right="1548" w:hanging="432"/>
        <w:jc w:val="both"/>
      </w:pPr>
      <w:r>
        <w:t>During ACM2 the Committee raised the question whether CBD and SoC alone were both appropriate comparators.</w:t>
      </w:r>
      <w:r>
        <w:rPr>
          <w:spacing w:val="80"/>
        </w:rPr>
        <w:t xml:space="preserve"> </w:t>
      </w:r>
      <w:r>
        <w:t>There was no reference to UCB’s</w:t>
      </w:r>
      <w:r>
        <w:rPr>
          <w:spacing w:val="-16"/>
        </w:rPr>
        <w:t xml:space="preserve"> </w:t>
      </w:r>
      <w:r>
        <w:t>statement</w:t>
      </w:r>
      <w:r>
        <w:rPr>
          <w:spacing w:val="-15"/>
        </w:rPr>
        <w:t xml:space="preserve"> </w:t>
      </w:r>
      <w:r>
        <w:t>that</w:t>
      </w:r>
      <w:r>
        <w:rPr>
          <w:spacing w:val="-15"/>
        </w:rPr>
        <w:t xml:space="preserve"> </w:t>
      </w:r>
      <w:r>
        <w:t>only</w:t>
      </w:r>
      <w:r>
        <w:rPr>
          <w:spacing w:val="-16"/>
        </w:rPr>
        <w:t xml:space="preserve"> </w:t>
      </w:r>
      <w:r>
        <w:t>CBD</w:t>
      </w:r>
      <w:r>
        <w:rPr>
          <w:spacing w:val="-15"/>
        </w:rPr>
        <w:t xml:space="preserve"> </w:t>
      </w:r>
      <w:r>
        <w:t>+</w:t>
      </w:r>
      <w:r>
        <w:rPr>
          <w:spacing w:val="-15"/>
        </w:rPr>
        <w:t xml:space="preserve"> </w:t>
      </w:r>
      <w:r>
        <w:t>CBZ</w:t>
      </w:r>
      <w:r>
        <w:rPr>
          <w:spacing w:val="-15"/>
        </w:rPr>
        <w:t xml:space="preserve"> </w:t>
      </w:r>
      <w:r>
        <w:t>should</w:t>
      </w:r>
      <w:r>
        <w:rPr>
          <w:spacing w:val="-16"/>
        </w:rPr>
        <w:t xml:space="preserve"> </w:t>
      </w:r>
      <w:r>
        <w:t>be</w:t>
      </w:r>
      <w:r>
        <w:rPr>
          <w:spacing w:val="-15"/>
        </w:rPr>
        <w:t xml:space="preserve"> </w:t>
      </w:r>
      <w:r>
        <w:t>considered</w:t>
      </w:r>
      <w:r>
        <w:rPr>
          <w:spacing w:val="-15"/>
        </w:rPr>
        <w:t xml:space="preserve"> </w:t>
      </w:r>
      <w:r>
        <w:t>as</w:t>
      </w:r>
      <w:r>
        <w:rPr>
          <w:spacing w:val="-16"/>
        </w:rPr>
        <w:t xml:space="preserve"> </w:t>
      </w:r>
      <w:r>
        <w:t>a</w:t>
      </w:r>
      <w:r>
        <w:rPr>
          <w:spacing w:val="-15"/>
        </w:rPr>
        <w:t xml:space="preserve"> </w:t>
      </w:r>
      <w:r>
        <w:t>comparator and UCB were not invited to comment on this issue.</w:t>
      </w:r>
    </w:p>
    <w:p w:rsidR="000D2DCD" w:rsidRDefault="00F81CE0" w14:paraId="1074E2CC" w14:textId="77777777">
      <w:pPr>
        <w:pStyle w:val="ListParagraph"/>
        <w:numPr>
          <w:ilvl w:val="1"/>
          <w:numId w:val="15"/>
        </w:numPr>
        <w:tabs>
          <w:tab w:val="left" w:pos="1552"/>
          <w:tab w:val="left" w:pos="2199"/>
        </w:tabs>
        <w:spacing w:before="120" w:line="278" w:lineRule="auto"/>
        <w:ind w:hanging="432"/>
        <w:jc w:val="both"/>
      </w:pPr>
      <w:r>
        <w:t>Following ACM2, paragraph 3.3 of the FDG continues to refer to SoC alone as an appropriate comparator, even though this conflicts with the views of clinical experts and UCB.</w:t>
      </w:r>
      <w:r>
        <w:rPr>
          <w:spacing w:val="40"/>
        </w:rPr>
        <w:t xml:space="preserve"> </w:t>
      </w:r>
      <w:r>
        <w:t>It is unclear whether the Committee intends that SoC should be viewed as a comparator only for those patients who are unable to receive CBD +CBZ; if so, this should be made clear in the document. If the Committee intends that SoC alone should be viewed as a comparator for all third line LGS patients, the Committee must identify the evidence</w:t>
      </w:r>
      <w:r>
        <w:rPr>
          <w:spacing w:val="-2"/>
        </w:rPr>
        <w:t xml:space="preserve"> </w:t>
      </w:r>
      <w:r>
        <w:t>relied</w:t>
      </w:r>
      <w:r>
        <w:rPr>
          <w:spacing w:val="-2"/>
        </w:rPr>
        <w:t xml:space="preserve"> </w:t>
      </w:r>
      <w:r>
        <w:t>upon</w:t>
      </w:r>
      <w:r>
        <w:rPr>
          <w:spacing w:val="-4"/>
        </w:rPr>
        <w:t xml:space="preserve"> </w:t>
      </w:r>
      <w:r>
        <w:t>for</w:t>
      </w:r>
      <w:r>
        <w:rPr>
          <w:spacing w:val="-6"/>
        </w:rPr>
        <w:t xml:space="preserve"> </w:t>
      </w:r>
      <w:r>
        <w:t>this</w:t>
      </w:r>
      <w:r>
        <w:rPr>
          <w:spacing w:val="-1"/>
        </w:rPr>
        <w:t xml:space="preserve"> </w:t>
      </w:r>
      <w:r>
        <w:t>conclusion,</w:t>
      </w:r>
      <w:r>
        <w:rPr>
          <w:spacing w:val="-5"/>
        </w:rPr>
        <w:t xml:space="preserve"> </w:t>
      </w:r>
      <w:r>
        <w:t>given</w:t>
      </w:r>
      <w:r>
        <w:rPr>
          <w:spacing w:val="-2"/>
        </w:rPr>
        <w:t xml:space="preserve"> </w:t>
      </w:r>
      <w:r>
        <w:t>that</w:t>
      </w:r>
      <w:r>
        <w:rPr>
          <w:spacing w:val="-1"/>
        </w:rPr>
        <w:t xml:space="preserve"> </w:t>
      </w:r>
      <w:r>
        <w:t>it</w:t>
      </w:r>
      <w:r>
        <w:rPr>
          <w:spacing w:val="-3"/>
        </w:rPr>
        <w:t xml:space="preserve"> </w:t>
      </w:r>
      <w:r>
        <w:t>has</w:t>
      </w:r>
      <w:r>
        <w:rPr>
          <w:spacing w:val="-1"/>
        </w:rPr>
        <w:t xml:space="preserve"> </w:t>
      </w:r>
      <w:r>
        <w:t>not</w:t>
      </w:r>
      <w:r>
        <w:rPr>
          <w:spacing w:val="-3"/>
        </w:rPr>
        <w:t xml:space="preserve"> </w:t>
      </w:r>
      <w:r>
        <w:t>relied</w:t>
      </w:r>
      <w:r>
        <w:rPr>
          <w:spacing w:val="-2"/>
        </w:rPr>
        <w:t xml:space="preserve"> </w:t>
      </w:r>
      <w:r>
        <w:t>upon</w:t>
      </w:r>
      <w:r>
        <w:rPr>
          <w:spacing w:val="-4"/>
        </w:rPr>
        <w:t xml:space="preserve"> </w:t>
      </w:r>
      <w:r>
        <w:t>the evidence from the clinical experts.</w:t>
      </w:r>
    </w:p>
    <w:p w:rsidR="000D2DCD" w:rsidRDefault="00F81CE0" w14:paraId="1074E2CD" w14:textId="77777777">
      <w:pPr>
        <w:pStyle w:val="ListParagraph"/>
        <w:numPr>
          <w:ilvl w:val="0"/>
          <w:numId w:val="15"/>
        </w:numPr>
        <w:tabs>
          <w:tab w:val="left" w:pos="1443"/>
          <w:tab w:val="left" w:pos="1446"/>
        </w:tabs>
        <w:spacing w:before="117" w:line="278" w:lineRule="auto"/>
        <w:ind w:right="1549"/>
        <w:jc w:val="both"/>
      </w:pPr>
      <w:r>
        <w:t>To the extent that the Committee intends to say that SoC alone should be a comparator</w:t>
      </w:r>
      <w:r>
        <w:rPr>
          <w:spacing w:val="-8"/>
        </w:rPr>
        <w:t xml:space="preserve"> </w:t>
      </w:r>
      <w:r>
        <w:t>only</w:t>
      </w:r>
      <w:r>
        <w:rPr>
          <w:spacing w:val="-8"/>
        </w:rPr>
        <w:t xml:space="preserve"> </w:t>
      </w:r>
      <w:r>
        <w:t>in</w:t>
      </w:r>
      <w:r>
        <w:rPr>
          <w:spacing w:val="-6"/>
        </w:rPr>
        <w:t xml:space="preserve"> </w:t>
      </w:r>
      <w:r>
        <w:t>relation</w:t>
      </w:r>
      <w:r>
        <w:rPr>
          <w:spacing w:val="-6"/>
        </w:rPr>
        <w:t xml:space="preserve"> </w:t>
      </w:r>
      <w:r>
        <w:t>to</w:t>
      </w:r>
      <w:r>
        <w:rPr>
          <w:spacing w:val="-9"/>
        </w:rPr>
        <w:t xml:space="preserve"> </w:t>
      </w:r>
      <w:r>
        <w:t>those</w:t>
      </w:r>
      <w:r>
        <w:rPr>
          <w:spacing w:val="-6"/>
        </w:rPr>
        <w:t xml:space="preserve"> </w:t>
      </w:r>
      <w:r>
        <w:t>patients</w:t>
      </w:r>
      <w:r>
        <w:rPr>
          <w:spacing w:val="-8"/>
        </w:rPr>
        <w:t xml:space="preserve"> </w:t>
      </w:r>
      <w:r>
        <w:t>who</w:t>
      </w:r>
      <w:r>
        <w:rPr>
          <w:spacing w:val="-7"/>
        </w:rPr>
        <w:t xml:space="preserve"> </w:t>
      </w:r>
      <w:r>
        <w:t>are</w:t>
      </w:r>
      <w:r>
        <w:rPr>
          <w:spacing w:val="-6"/>
        </w:rPr>
        <w:t xml:space="preserve"> </w:t>
      </w:r>
      <w:r>
        <w:t>unable</w:t>
      </w:r>
      <w:r>
        <w:rPr>
          <w:spacing w:val="-6"/>
        </w:rPr>
        <w:t xml:space="preserve"> </w:t>
      </w:r>
      <w:r>
        <w:t>to</w:t>
      </w:r>
      <w:r>
        <w:rPr>
          <w:spacing w:val="-9"/>
        </w:rPr>
        <w:t xml:space="preserve"> </w:t>
      </w:r>
      <w:r>
        <w:t>receive</w:t>
      </w:r>
      <w:r>
        <w:rPr>
          <w:spacing w:val="-6"/>
        </w:rPr>
        <w:t xml:space="preserve"> </w:t>
      </w:r>
      <w:r>
        <w:t>CBD</w:t>
      </w:r>
      <w:r>
        <w:rPr>
          <w:spacing w:val="-7"/>
        </w:rPr>
        <w:t xml:space="preserve"> </w:t>
      </w:r>
      <w:r>
        <w:t>+ CBZ, there is limited if any data available in relation to the characteristics of such patients.</w:t>
      </w:r>
      <w:r>
        <w:rPr>
          <w:spacing w:val="40"/>
        </w:rPr>
        <w:t xml:space="preserve"> </w:t>
      </w:r>
      <w:r>
        <w:t>Furthermore the data for use of SoC therapies was, as recognised by the Committee, generated many years ago and is therefore likely to be unreliable.</w:t>
      </w:r>
      <w:r>
        <w:rPr>
          <w:spacing w:val="40"/>
        </w:rPr>
        <w:t xml:space="preserve"> </w:t>
      </w:r>
      <w:r>
        <w:t>Paragraph 3.3 of the FDG states:</w:t>
      </w:r>
    </w:p>
    <w:p w:rsidR="000D2DCD" w:rsidRDefault="00F81CE0" w14:paraId="1074E2CE" w14:textId="77777777">
      <w:pPr>
        <w:spacing w:before="116" w:line="278" w:lineRule="auto"/>
        <w:ind w:left="2201" w:right="1546"/>
        <w:jc w:val="both"/>
        <w:rPr>
          <w:i/>
        </w:rPr>
      </w:pPr>
      <w:r>
        <w:rPr>
          <w:i/>
        </w:rPr>
        <w:t>“The committee acknowledged that most of the studies for these treatments</w:t>
      </w:r>
      <w:r>
        <w:rPr>
          <w:i/>
          <w:spacing w:val="-7"/>
        </w:rPr>
        <w:t xml:space="preserve"> </w:t>
      </w:r>
      <w:r>
        <w:rPr>
          <w:i/>
        </w:rPr>
        <w:t>[SoC</w:t>
      </w:r>
      <w:r>
        <w:rPr>
          <w:i/>
          <w:spacing w:val="-8"/>
        </w:rPr>
        <w:t xml:space="preserve"> </w:t>
      </w:r>
      <w:r>
        <w:rPr>
          <w:i/>
        </w:rPr>
        <w:t>therapies]</w:t>
      </w:r>
      <w:r>
        <w:rPr>
          <w:i/>
          <w:spacing w:val="-6"/>
        </w:rPr>
        <w:t xml:space="preserve"> </w:t>
      </w:r>
      <w:r>
        <w:rPr>
          <w:i/>
        </w:rPr>
        <w:t>were</w:t>
      </w:r>
      <w:r>
        <w:rPr>
          <w:i/>
          <w:spacing w:val="-6"/>
        </w:rPr>
        <w:t xml:space="preserve"> </w:t>
      </w:r>
      <w:r>
        <w:rPr>
          <w:i/>
        </w:rPr>
        <w:t>conducted</w:t>
      </w:r>
      <w:r>
        <w:rPr>
          <w:i/>
          <w:spacing w:val="-5"/>
        </w:rPr>
        <w:t xml:space="preserve"> </w:t>
      </w:r>
      <w:r>
        <w:rPr>
          <w:i/>
        </w:rPr>
        <w:t>over</w:t>
      </w:r>
      <w:r>
        <w:rPr>
          <w:i/>
          <w:spacing w:val="-4"/>
        </w:rPr>
        <w:t xml:space="preserve"> </w:t>
      </w:r>
      <w:r>
        <w:rPr>
          <w:i/>
        </w:rPr>
        <w:t>20</w:t>
      </w:r>
      <w:r>
        <w:rPr>
          <w:i/>
          <w:spacing w:val="-5"/>
        </w:rPr>
        <w:t xml:space="preserve"> </w:t>
      </w:r>
      <w:r>
        <w:rPr>
          <w:i/>
        </w:rPr>
        <w:t>years</w:t>
      </w:r>
      <w:r>
        <w:rPr>
          <w:i/>
          <w:spacing w:val="-7"/>
        </w:rPr>
        <w:t xml:space="preserve"> </w:t>
      </w:r>
      <w:r>
        <w:rPr>
          <w:i/>
        </w:rPr>
        <w:t>ago</w:t>
      </w:r>
      <w:r>
        <w:rPr>
          <w:i/>
          <w:spacing w:val="-5"/>
        </w:rPr>
        <w:t xml:space="preserve"> </w:t>
      </w:r>
      <w:r>
        <w:rPr>
          <w:i/>
        </w:rPr>
        <w:t>and</w:t>
      </w:r>
      <w:r>
        <w:rPr>
          <w:i/>
          <w:spacing w:val="-7"/>
        </w:rPr>
        <w:t xml:space="preserve"> </w:t>
      </w:r>
      <w:r>
        <w:rPr>
          <w:i/>
        </w:rPr>
        <w:t xml:space="preserve">so do not reflect current clinical practice. Because of this and the heterogeneity in the treatment population, it accepted that any comparisons with these treatments may not be robust and clinically </w:t>
      </w:r>
      <w:r>
        <w:rPr>
          <w:i/>
          <w:spacing w:val="-2"/>
        </w:rPr>
        <w:t>meaningful.”</w:t>
      </w:r>
    </w:p>
    <w:p w:rsidR="000D2DCD" w:rsidRDefault="00F81CE0" w14:paraId="1074E2CF" w14:textId="77777777">
      <w:pPr>
        <w:pStyle w:val="BodyText"/>
        <w:spacing w:before="119" w:line="278" w:lineRule="auto"/>
        <w:ind w:left="1480" w:right="1552"/>
        <w:jc w:val="both"/>
      </w:pPr>
      <w:r>
        <w:t>In these circumstances, any comparison with SoC alone will be unreliable given the heterogeneity in the treatment population they themselves have highlighted and the potential unreliability of the available data.</w:t>
      </w:r>
    </w:p>
    <w:p w:rsidR="000D2DCD" w:rsidRDefault="000D2DCD" w14:paraId="1074E2D0"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D1" w14:textId="77777777">
      <w:pPr>
        <w:pStyle w:val="BodyText"/>
      </w:pPr>
    </w:p>
    <w:p w:rsidR="000D2DCD" w:rsidRDefault="000D2DCD" w14:paraId="1074E2D2" w14:textId="77777777">
      <w:pPr>
        <w:pStyle w:val="BodyText"/>
        <w:spacing w:before="59"/>
      </w:pPr>
    </w:p>
    <w:p w:rsidR="000D2DCD" w:rsidRDefault="00F81CE0" w14:paraId="1074E2D3" w14:textId="77777777">
      <w:pPr>
        <w:pStyle w:val="ListParagraph"/>
        <w:numPr>
          <w:ilvl w:val="0"/>
          <w:numId w:val="15"/>
        </w:numPr>
        <w:tabs>
          <w:tab w:val="left" w:pos="1443"/>
          <w:tab w:val="left" w:pos="1446"/>
        </w:tabs>
        <w:spacing w:before="0" w:line="278" w:lineRule="auto"/>
        <w:ind w:right="1549"/>
        <w:jc w:val="both"/>
      </w:pPr>
      <w:r>
        <w:t>The FDG additionally misrepresents statements and positioning by UCB in relation to the comparator issue, including:</w:t>
      </w:r>
    </w:p>
    <w:p w:rsidR="000D2DCD" w:rsidRDefault="00F81CE0" w14:paraId="1074E2D4" w14:textId="77777777">
      <w:pPr>
        <w:pStyle w:val="ListParagraph"/>
        <w:numPr>
          <w:ilvl w:val="1"/>
          <w:numId w:val="15"/>
        </w:numPr>
        <w:tabs>
          <w:tab w:val="left" w:pos="1552"/>
          <w:tab w:val="left" w:pos="2199"/>
        </w:tabs>
        <w:spacing w:line="278" w:lineRule="auto"/>
        <w:ind w:right="1548" w:hanging="432"/>
        <w:jc w:val="both"/>
      </w:pPr>
      <w:r>
        <w:t xml:space="preserve">Paragraph 3.3: </w:t>
      </w:r>
      <w:r>
        <w:rPr>
          <w:i/>
        </w:rPr>
        <w:t>“The committee recalled that the company included SoC alone</w:t>
      </w:r>
      <w:r>
        <w:rPr>
          <w:i/>
          <w:spacing w:val="40"/>
        </w:rPr>
        <w:t xml:space="preserve"> </w:t>
      </w:r>
      <w:r>
        <w:rPr>
          <w:i/>
        </w:rPr>
        <w:t>as</w:t>
      </w:r>
      <w:r>
        <w:rPr>
          <w:i/>
          <w:spacing w:val="40"/>
        </w:rPr>
        <w:t xml:space="preserve"> </w:t>
      </w:r>
      <w:r>
        <w:rPr>
          <w:i/>
        </w:rPr>
        <w:t>a</w:t>
      </w:r>
      <w:r>
        <w:rPr>
          <w:i/>
          <w:spacing w:val="40"/>
        </w:rPr>
        <w:t xml:space="preserve"> </w:t>
      </w:r>
      <w:r>
        <w:rPr>
          <w:i/>
        </w:rPr>
        <w:t>comparator</w:t>
      </w:r>
      <w:r>
        <w:rPr>
          <w:i/>
          <w:spacing w:val="40"/>
        </w:rPr>
        <w:t xml:space="preserve"> </w:t>
      </w:r>
      <w:r>
        <w:rPr>
          <w:i/>
        </w:rPr>
        <w:t>in</w:t>
      </w:r>
      <w:r>
        <w:rPr>
          <w:i/>
          <w:spacing w:val="40"/>
        </w:rPr>
        <w:t xml:space="preserve"> </w:t>
      </w:r>
      <w:r>
        <w:rPr>
          <w:i/>
        </w:rPr>
        <w:t>its</w:t>
      </w:r>
      <w:r>
        <w:rPr>
          <w:i/>
          <w:spacing w:val="40"/>
        </w:rPr>
        <w:t xml:space="preserve"> </w:t>
      </w:r>
      <w:r>
        <w:rPr>
          <w:i/>
        </w:rPr>
        <w:t>submission</w:t>
      </w:r>
      <w:r>
        <w:rPr>
          <w:i/>
          <w:spacing w:val="40"/>
        </w:rPr>
        <w:t xml:space="preserve"> </w:t>
      </w:r>
      <w:r>
        <w:rPr>
          <w:i/>
        </w:rPr>
        <w:t>based</w:t>
      </w:r>
      <w:r>
        <w:rPr>
          <w:i/>
          <w:spacing w:val="40"/>
        </w:rPr>
        <w:t xml:space="preserve"> </w:t>
      </w:r>
      <w:r>
        <w:rPr>
          <w:i/>
        </w:rPr>
        <w:t>on</w:t>
      </w:r>
      <w:r>
        <w:rPr>
          <w:i/>
          <w:spacing w:val="40"/>
        </w:rPr>
        <w:t xml:space="preserve"> </w:t>
      </w:r>
      <w:r>
        <w:rPr>
          <w:i/>
        </w:rPr>
        <w:t>its</w:t>
      </w:r>
      <w:r>
        <w:rPr>
          <w:i/>
          <w:spacing w:val="40"/>
        </w:rPr>
        <w:t xml:space="preserve"> </w:t>
      </w:r>
      <w:r>
        <w:rPr>
          <w:i/>
        </w:rPr>
        <w:t>proposed positioning. It</w:t>
      </w:r>
      <w:r>
        <w:rPr>
          <w:i/>
          <w:spacing w:val="-1"/>
        </w:rPr>
        <w:t xml:space="preserve"> </w:t>
      </w:r>
      <w:r>
        <w:rPr>
          <w:i/>
        </w:rPr>
        <w:t>considered</w:t>
      </w:r>
      <w:r>
        <w:rPr>
          <w:i/>
          <w:spacing w:val="-3"/>
        </w:rPr>
        <w:t xml:space="preserve"> </w:t>
      </w:r>
      <w:r>
        <w:rPr>
          <w:i/>
        </w:rPr>
        <w:t>that it did</w:t>
      </w:r>
      <w:r>
        <w:rPr>
          <w:i/>
          <w:spacing w:val="-3"/>
        </w:rPr>
        <w:t xml:space="preserve"> </w:t>
      </w:r>
      <w:r>
        <w:rPr>
          <w:i/>
        </w:rPr>
        <w:t>not</w:t>
      </w:r>
      <w:r>
        <w:rPr>
          <w:i/>
          <w:spacing w:val="-1"/>
        </w:rPr>
        <w:t xml:space="preserve"> </w:t>
      </w:r>
      <w:r>
        <w:rPr>
          <w:i/>
        </w:rPr>
        <w:t>see</w:t>
      </w:r>
      <w:r>
        <w:rPr>
          <w:i/>
          <w:spacing w:val="-3"/>
        </w:rPr>
        <w:t xml:space="preserve"> </w:t>
      </w:r>
      <w:r>
        <w:rPr>
          <w:i/>
        </w:rPr>
        <w:t>anything</w:t>
      </w:r>
      <w:r>
        <w:rPr>
          <w:i/>
          <w:spacing w:val="-1"/>
        </w:rPr>
        <w:t xml:space="preserve"> </w:t>
      </w:r>
      <w:r>
        <w:rPr>
          <w:i/>
        </w:rPr>
        <w:t>in response</w:t>
      </w:r>
      <w:r>
        <w:rPr>
          <w:i/>
          <w:spacing w:val="-3"/>
        </w:rPr>
        <w:t xml:space="preserve"> </w:t>
      </w:r>
      <w:r>
        <w:rPr>
          <w:i/>
        </w:rPr>
        <w:t>to</w:t>
      </w:r>
      <w:r>
        <w:rPr>
          <w:i/>
          <w:spacing w:val="-3"/>
        </w:rPr>
        <w:t xml:space="preserve"> </w:t>
      </w:r>
      <w:r>
        <w:rPr>
          <w:i/>
        </w:rPr>
        <w:t>the</w:t>
      </w:r>
      <w:r>
        <w:rPr>
          <w:i/>
          <w:spacing w:val="-3"/>
        </w:rPr>
        <w:t xml:space="preserve"> </w:t>
      </w:r>
      <w:r>
        <w:rPr>
          <w:i/>
        </w:rPr>
        <w:t>draft guidance consultation that altered its conclusions about the appropriate comparators from the first committee meeting”</w:t>
      </w:r>
      <w:r>
        <w:t xml:space="preserve">. It is incorrect that UCB included SoC alone as a comparator within the submission. In fact, in the submission, it was stated that </w:t>
      </w:r>
      <w:r>
        <w:rPr>
          <w:i/>
        </w:rPr>
        <w:t>“Fenfluramine is therefore anticipated to be used as a later-line adjunctive therapy following treatment failure with other s</w:t>
      </w:r>
      <w:r>
        <w:rPr>
          <w:i/>
        </w:rPr>
        <w:t xml:space="preserve">tandard ASMs, like the positioning of cannabidiol” </w:t>
      </w:r>
      <w:r>
        <w:t xml:space="preserve">(Page 5, Doc A). The comparison with SoC alone was only provided within scenario analysis for </w:t>
      </w:r>
      <w:r>
        <w:rPr>
          <w:spacing w:val="-2"/>
        </w:rPr>
        <w:t>transparency.</w:t>
      </w:r>
    </w:p>
    <w:p w:rsidR="000D2DCD" w:rsidRDefault="00F81CE0" w14:paraId="1074E2D5" w14:textId="77777777">
      <w:pPr>
        <w:pStyle w:val="ListParagraph"/>
        <w:numPr>
          <w:ilvl w:val="0"/>
          <w:numId w:val="15"/>
        </w:numPr>
        <w:tabs>
          <w:tab w:val="left" w:pos="1443"/>
          <w:tab w:val="left" w:pos="1446"/>
        </w:tabs>
        <w:spacing w:before="116" w:line="278" w:lineRule="auto"/>
        <w:ind w:right="1545"/>
        <w:jc w:val="both"/>
      </w:pPr>
      <w:r>
        <w:t>In summary, NICE appears to be requiring UCB to demonstrate the cost effectiveness of fenfluramine relative to SoC alone, despite the clear and consistent evidence from clinical experts that this is not a valid approach, in circumstances where the available data for SoC alone are outdated and unreliable and no new clinical trial data may ethically be obtained. The effect of such an approach is to exclude fenfluramine as an alternative treatment option</w:t>
      </w:r>
      <w:r>
        <w:rPr>
          <w:spacing w:val="-12"/>
        </w:rPr>
        <w:t xml:space="preserve"> </w:t>
      </w:r>
      <w:r>
        <w:t>to</w:t>
      </w:r>
      <w:r>
        <w:rPr>
          <w:spacing w:val="-10"/>
        </w:rPr>
        <w:t xml:space="preserve"> </w:t>
      </w:r>
      <w:r>
        <w:t>CBD</w:t>
      </w:r>
      <w:r>
        <w:rPr>
          <w:spacing w:val="-12"/>
        </w:rPr>
        <w:t xml:space="preserve"> </w:t>
      </w:r>
      <w:r>
        <w:t>and</w:t>
      </w:r>
      <w:r>
        <w:rPr>
          <w:spacing w:val="-12"/>
        </w:rPr>
        <w:t xml:space="preserve"> </w:t>
      </w:r>
      <w:r>
        <w:t>to</w:t>
      </w:r>
      <w:r>
        <w:rPr>
          <w:spacing w:val="-12"/>
        </w:rPr>
        <w:t xml:space="preserve"> </w:t>
      </w:r>
      <w:r>
        <w:t>protect</w:t>
      </w:r>
      <w:r>
        <w:rPr>
          <w:spacing w:val="-11"/>
        </w:rPr>
        <w:t xml:space="preserve"> </w:t>
      </w:r>
      <w:r>
        <w:t>use</w:t>
      </w:r>
      <w:r>
        <w:rPr>
          <w:spacing w:val="-12"/>
        </w:rPr>
        <w:t xml:space="preserve"> </w:t>
      </w:r>
      <w:r>
        <w:t>of</w:t>
      </w:r>
      <w:r>
        <w:rPr>
          <w:spacing w:val="-8"/>
        </w:rPr>
        <w:t xml:space="preserve"> </w:t>
      </w:r>
      <w:r>
        <w:t>SoC</w:t>
      </w:r>
      <w:r>
        <w:rPr>
          <w:spacing w:val="-12"/>
        </w:rPr>
        <w:t xml:space="preserve"> </w:t>
      </w:r>
      <w:r>
        <w:t>despite</w:t>
      </w:r>
      <w:r>
        <w:rPr>
          <w:spacing w:val="-12"/>
        </w:rPr>
        <w:t xml:space="preserve"> </w:t>
      </w:r>
      <w:r>
        <w:t>the</w:t>
      </w:r>
      <w:r>
        <w:rPr>
          <w:spacing w:val="-10"/>
        </w:rPr>
        <w:t xml:space="preserve"> </w:t>
      </w:r>
      <w:r>
        <w:t>lack</w:t>
      </w:r>
      <w:r>
        <w:rPr>
          <w:spacing w:val="-9"/>
        </w:rPr>
        <w:t xml:space="preserve"> </w:t>
      </w:r>
      <w:r>
        <w:t>of</w:t>
      </w:r>
      <w:r>
        <w:rPr>
          <w:spacing w:val="-7"/>
        </w:rPr>
        <w:t xml:space="preserve"> </w:t>
      </w:r>
      <w:r>
        <w:t>reliable</w:t>
      </w:r>
      <w:r>
        <w:rPr>
          <w:spacing w:val="-10"/>
        </w:rPr>
        <w:t xml:space="preserve"> </w:t>
      </w:r>
      <w:r>
        <w:t>supporting data.</w:t>
      </w:r>
      <w:r>
        <w:rPr>
          <w:spacing w:val="40"/>
        </w:rPr>
        <w:t xml:space="preserve"> </w:t>
      </w:r>
      <w:r>
        <w:t>This</w:t>
      </w:r>
      <w:r>
        <w:rPr>
          <w:spacing w:val="-6"/>
        </w:rPr>
        <w:t xml:space="preserve"> </w:t>
      </w:r>
      <w:r>
        <w:t>is</w:t>
      </w:r>
      <w:r>
        <w:rPr>
          <w:spacing w:val="-6"/>
        </w:rPr>
        <w:t xml:space="preserve"> </w:t>
      </w:r>
      <w:r>
        <w:t>patently</w:t>
      </w:r>
      <w:r>
        <w:rPr>
          <w:spacing w:val="-8"/>
        </w:rPr>
        <w:t xml:space="preserve"> </w:t>
      </w:r>
      <w:r>
        <w:t>unfair</w:t>
      </w:r>
      <w:r>
        <w:rPr>
          <w:spacing w:val="-5"/>
        </w:rPr>
        <w:t xml:space="preserve"> </w:t>
      </w:r>
      <w:r>
        <w:t>to</w:t>
      </w:r>
      <w:r>
        <w:rPr>
          <w:spacing w:val="-6"/>
        </w:rPr>
        <w:t xml:space="preserve"> </w:t>
      </w:r>
      <w:r>
        <w:t>patients</w:t>
      </w:r>
      <w:r>
        <w:rPr>
          <w:spacing w:val="-6"/>
        </w:rPr>
        <w:t xml:space="preserve"> </w:t>
      </w:r>
      <w:r>
        <w:t>and</w:t>
      </w:r>
      <w:r>
        <w:rPr>
          <w:spacing w:val="-6"/>
        </w:rPr>
        <w:t xml:space="preserve"> </w:t>
      </w:r>
      <w:r>
        <w:t>to</w:t>
      </w:r>
      <w:r>
        <w:rPr>
          <w:spacing w:val="-6"/>
        </w:rPr>
        <w:t xml:space="preserve"> </w:t>
      </w:r>
      <w:r>
        <w:t>UCB</w:t>
      </w:r>
      <w:r>
        <w:rPr>
          <w:spacing w:val="-7"/>
        </w:rPr>
        <w:t xml:space="preserve"> </w:t>
      </w:r>
      <w:r>
        <w:t>and</w:t>
      </w:r>
      <w:r>
        <w:rPr>
          <w:spacing w:val="-6"/>
        </w:rPr>
        <w:t xml:space="preserve"> </w:t>
      </w:r>
      <w:r>
        <w:t>the</w:t>
      </w:r>
      <w:r>
        <w:rPr>
          <w:spacing w:val="-7"/>
        </w:rPr>
        <w:t xml:space="preserve"> </w:t>
      </w:r>
      <w:r>
        <w:t>potential</w:t>
      </w:r>
      <w:r>
        <w:rPr>
          <w:spacing w:val="-7"/>
        </w:rPr>
        <w:t xml:space="preserve"> </w:t>
      </w:r>
      <w:r>
        <w:t>outcome is frankly perverse.</w:t>
      </w:r>
    </w:p>
    <w:p w:rsidR="000D2DCD" w:rsidRDefault="00F81CE0" w14:paraId="1074E2D6" w14:textId="77777777">
      <w:pPr>
        <w:pStyle w:val="Heading1"/>
        <w:numPr>
          <w:ilvl w:val="0"/>
          <w:numId w:val="7"/>
        </w:numPr>
        <w:tabs>
          <w:tab w:val="left" w:pos="2561"/>
        </w:tabs>
        <w:spacing w:before="114" w:line="357" w:lineRule="auto"/>
        <w:ind w:right="1534"/>
      </w:pPr>
      <w:r>
        <w:t>Ground 1(a).4: NICE’s approach to the use of ITT LOCF data versus</w:t>
      </w:r>
      <w:r>
        <w:rPr>
          <w:spacing w:val="-4"/>
        </w:rPr>
        <w:t xml:space="preserve"> </w:t>
      </w:r>
      <w:r>
        <w:t>clinical</w:t>
      </w:r>
      <w:r>
        <w:rPr>
          <w:spacing w:val="-5"/>
        </w:rPr>
        <w:t xml:space="preserve"> </w:t>
      </w:r>
      <w:r>
        <w:t>trial</w:t>
      </w:r>
      <w:r>
        <w:rPr>
          <w:spacing w:val="-5"/>
        </w:rPr>
        <w:t xml:space="preserve"> </w:t>
      </w:r>
      <w:r>
        <w:t>state</w:t>
      </w:r>
      <w:r>
        <w:rPr>
          <w:spacing w:val="-4"/>
        </w:rPr>
        <w:t xml:space="preserve"> </w:t>
      </w:r>
      <w:r>
        <w:t>occupancy</w:t>
      </w:r>
      <w:r>
        <w:rPr>
          <w:spacing w:val="-7"/>
        </w:rPr>
        <w:t xml:space="preserve"> </w:t>
      </w:r>
      <w:r>
        <w:t>data</w:t>
      </w:r>
      <w:r>
        <w:rPr>
          <w:spacing w:val="-4"/>
        </w:rPr>
        <w:t xml:space="preserve"> </w:t>
      </w:r>
      <w:r>
        <w:t>in</w:t>
      </w:r>
      <w:r>
        <w:rPr>
          <w:spacing w:val="-4"/>
        </w:rPr>
        <w:t xml:space="preserve"> </w:t>
      </w:r>
      <w:r>
        <w:t>order</w:t>
      </w:r>
      <w:r>
        <w:rPr>
          <w:spacing w:val="-3"/>
        </w:rPr>
        <w:t xml:space="preserve"> </w:t>
      </w:r>
      <w:r>
        <w:t>to</w:t>
      </w:r>
      <w:r>
        <w:rPr>
          <w:spacing w:val="-3"/>
        </w:rPr>
        <w:t xml:space="preserve"> </w:t>
      </w:r>
      <w:r>
        <w:t>compare fenfluramine + SoC with CBD + CLB + SoC, is procedurally unfair and inconsistent with the approach followed in the appraisal of CBD for the same indication (TA615).</w:t>
      </w:r>
    </w:p>
    <w:p w:rsidR="000D2DCD" w:rsidRDefault="00F81CE0" w14:paraId="1074E2D7" w14:textId="77777777">
      <w:pPr>
        <w:pStyle w:val="ListParagraph"/>
        <w:numPr>
          <w:ilvl w:val="0"/>
          <w:numId w:val="15"/>
        </w:numPr>
        <w:tabs>
          <w:tab w:val="left" w:pos="1443"/>
          <w:tab w:val="left" w:pos="1446"/>
        </w:tabs>
        <w:spacing w:before="112" w:line="278" w:lineRule="auto"/>
        <w:jc w:val="both"/>
      </w:pPr>
      <w:r>
        <w:t>At paragraph</w:t>
      </w:r>
      <w:r>
        <w:rPr>
          <w:spacing w:val="-4"/>
        </w:rPr>
        <w:t xml:space="preserve"> </w:t>
      </w:r>
      <w:r>
        <w:t>3.12</w:t>
      </w:r>
      <w:r>
        <w:rPr>
          <w:spacing w:val="-4"/>
        </w:rPr>
        <w:t xml:space="preserve"> </w:t>
      </w:r>
      <w:r>
        <w:t>of the</w:t>
      </w:r>
      <w:r>
        <w:rPr>
          <w:spacing w:val="-7"/>
        </w:rPr>
        <w:t xml:space="preserve"> </w:t>
      </w:r>
      <w:r>
        <w:t>FDG,</w:t>
      </w:r>
      <w:r>
        <w:rPr>
          <w:spacing w:val="-3"/>
        </w:rPr>
        <w:t xml:space="preserve"> </w:t>
      </w:r>
      <w:r>
        <w:t>the</w:t>
      </w:r>
      <w:r>
        <w:rPr>
          <w:spacing w:val="-4"/>
        </w:rPr>
        <w:t xml:space="preserve"> </w:t>
      </w:r>
      <w:r>
        <w:t>Committee</w:t>
      </w:r>
      <w:r>
        <w:rPr>
          <w:spacing w:val="-4"/>
        </w:rPr>
        <w:t xml:space="preserve"> </w:t>
      </w:r>
      <w:r>
        <w:t>rejects</w:t>
      </w:r>
      <w:r>
        <w:rPr>
          <w:spacing w:val="-4"/>
        </w:rPr>
        <w:t xml:space="preserve"> </w:t>
      </w:r>
      <w:r>
        <w:t>the</w:t>
      </w:r>
      <w:r>
        <w:rPr>
          <w:spacing w:val="-4"/>
        </w:rPr>
        <w:t xml:space="preserve"> </w:t>
      </w:r>
      <w:r>
        <w:t>modelling</w:t>
      </w:r>
      <w:r>
        <w:rPr>
          <w:spacing w:val="-2"/>
        </w:rPr>
        <w:t xml:space="preserve"> </w:t>
      </w:r>
      <w:r>
        <w:t>approach used by UCB to compare the effects of fenfluramine with cannabidiol during cycles 2 to 5, which used the ITT populations from the OLE studies for fenfluramine and for cannabidiol, using a last observation carried forward (LOCF) methodology to impute data for the patients who dropped out/ were lost</w:t>
      </w:r>
      <w:r>
        <w:rPr>
          <w:spacing w:val="-3"/>
        </w:rPr>
        <w:t xml:space="preserve"> </w:t>
      </w:r>
      <w:r>
        <w:t>to</w:t>
      </w:r>
      <w:r>
        <w:rPr>
          <w:spacing w:val="-6"/>
        </w:rPr>
        <w:t xml:space="preserve"> </w:t>
      </w:r>
      <w:r>
        <w:t>follow</w:t>
      </w:r>
      <w:r>
        <w:rPr>
          <w:spacing w:val="-7"/>
        </w:rPr>
        <w:t xml:space="preserve"> </w:t>
      </w:r>
      <w:r>
        <w:t>up.</w:t>
      </w:r>
      <w:r>
        <w:rPr>
          <w:spacing w:val="-3"/>
        </w:rPr>
        <w:t xml:space="preserve"> </w:t>
      </w:r>
      <w:r>
        <w:t>Instead</w:t>
      </w:r>
      <w:r>
        <w:rPr>
          <w:spacing w:val="-6"/>
        </w:rPr>
        <w:t xml:space="preserve"> </w:t>
      </w:r>
      <w:r>
        <w:t>the</w:t>
      </w:r>
      <w:r>
        <w:rPr>
          <w:spacing w:val="-4"/>
        </w:rPr>
        <w:t xml:space="preserve"> </w:t>
      </w:r>
      <w:r>
        <w:t>Committee</w:t>
      </w:r>
      <w:r>
        <w:rPr>
          <w:spacing w:val="-4"/>
        </w:rPr>
        <w:t xml:space="preserve"> </w:t>
      </w:r>
      <w:r>
        <w:t>preferred</w:t>
      </w:r>
      <w:r>
        <w:rPr>
          <w:spacing w:val="-6"/>
        </w:rPr>
        <w:t xml:space="preserve"> </w:t>
      </w:r>
      <w:r>
        <w:t>the</w:t>
      </w:r>
      <w:r>
        <w:rPr>
          <w:spacing w:val="-4"/>
        </w:rPr>
        <w:t xml:space="preserve"> </w:t>
      </w:r>
      <w:r>
        <w:t>EAG’s</w:t>
      </w:r>
      <w:r>
        <w:rPr>
          <w:spacing w:val="-4"/>
        </w:rPr>
        <w:t xml:space="preserve"> </w:t>
      </w:r>
      <w:r>
        <w:t>approach,</w:t>
      </w:r>
      <w:r>
        <w:rPr>
          <w:spacing w:val="-3"/>
        </w:rPr>
        <w:t xml:space="preserve"> </w:t>
      </w:r>
      <w:r>
        <w:t>which used Study 1601 state occupancy data for both products, as the basis for decision making:</w:t>
      </w:r>
    </w:p>
    <w:p w:rsidR="000D2DCD" w:rsidRDefault="00F81CE0" w14:paraId="1074E2D8" w14:textId="77777777">
      <w:pPr>
        <w:spacing w:before="116" w:line="278" w:lineRule="auto"/>
        <w:ind w:left="2201" w:right="1546"/>
        <w:jc w:val="both"/>
        <w:rPr>
          <w:i/>
        </w:rPr>
      </w:pPr>
      <w:r>
        <w:t>“</w:t>
      </w:r>
      <w:r>
        <w:rPr>
          <w:i/>
        </w:rPr>
        <w:t>[The Committee] concluded that it would use the OLE treated- population data for modelling treatment effect for cycles 2 to 5 as a basis for decision making, despite its limitations”.</w:t>
      </w:r>
    </w:p>
    <w:p w:rsidR="000D2DCD" w:rsidRDefault="00F81CE0" w14:paraId="1074E2D9" w14:textId="77777777">
      <w:pPr>
        <w:pStyle w:val="ListParagraph"/>
        <w:numPr>
          <w:ilvl w:val="0"/>
          <w:numId w:val="15"/>
        </w:numPr>
        <w:tabs>
          <w:tab w:val="left" w:pos="1443"/>
          <w:tab w:val="left" w:pos="1446"/>
        </w:tabs>
        <w:spacing w:before="120" w:line="278" w:lineRule="auto"/>
        <w:jc w:val="both"/>
      </w:pPr>
      <w:r>
        <w:t>This conclusion represents a change in the Committee’s conclusions from those expressed in the Draft Guidance, in which the Committee stated its preference for use of the ITT population rather than state occupancies to assess the relative treatment effects of fenfluramine and cannabidiol (paragraph 3.10)</w:t>
      </w:r>
    </w:p>
    <w:p w:rsidR="000D2DCD" w:rsidRDefault="000D2DCD" w14:paraId="1074E2DA"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DB" w14:textId="77777777">
      <w:pPr>
        <w:pStyle w:val="BodyText"/>
      </w:pPr>
    </w:p>
    <w:p w:rsidR="000D2DCD" w:rsidRDefault="000D2DCD" w14:paraId="1074E2DC" w14:textId="77777777">
      <w:pPr>
        <w:pStyle w:val="BodyText"/>
        <w:spacing w:before="59"/>
      </w:pPr>
    </w:p>
    <w:p w:rsidR="000D2DCD" w:rsidRDefault="00F81CE0" w14:paraId="1074E2DD" w14:textId="77777777">
      <w:pPr>
        <w:spacing w:line="278" w:lineRule="auto"/>
        <w:ind w:left="2201" w:right="1550"/>
        <w:jc w:val="both"/>
      </w:pPr>
      <w:r>
        <w:rPr>
          <w:i/>
        </w:rPr>
        <w:t>“The committee considered that it would prefer the ITT population to be used, and that if only the treated population was used then this could result in bias”</w:t>
      </w:r>
      <w:r>
        <w:t>.</w:t>
      </w:r>
    </w:p>
    <w:p w:rsidR="000D2DCD" w:rsidRDefault="00F81CE0" w14:paraId="1074E2DE" w14:textId="77777777">
      <w:pPr>
        <w:pStyle w:val="ListParagraph"/>
        <w:numPr>
          <w:ilvl w:val="0"/>
          <w:numId w:val="15"/>
        </w:numPr>
        <w:tabs>
          <w:tab w:val="left" w:pos="1444"/>
        </w:tabs>
        <w:ind w:left="1444" w:right="0" w:hanging="571"/>
        <w:jc w:val="both"/>
      </w:pPr>
      <w:r>
        <w:t>The</w:t>
      </w:r>
      <w:r>
        <w:rPr>
          <w:spacing w:val="-12"/>
        </w:rPr>
        <w:t xml:space="preserve"> </w:t>
      </w:r>
      <w:r>
        <w:t>change</w:t>
      </w:r>
      <w:r>
        <w:rPr>
          <w:spacing w:val="-9"/>
        </w:rPr>
        <w:t xml:space="preserve"> </w:t>
      </w:r>
      <w:r>
        <w:t>in</w:t>
      </w:r>
      <w:r>
        <w:rPr>
          <w:spacing w:val="-12"/>
        </w:rPr>
        <w:t xml:space="preserve"> </w:t>
      </w:r>
      <w:r>
        <w:t>the</w:t>
      </w:r>
      <w:r>
        <w:rPr>
          <w:spacing w:val="-9"/>
        </w:rPr>
        <w:t xml:space="preserve"> </w:t>
      </w:r>
      <w:r>
        <w:t>approach</w:t>
      </w:r>
      <w:r>
        <w:rPr>
          <w:spacing w:val="-10"/>
        </w:rPr>
        <w:t xml:space="preserve"> </w:t>
      </w:r>
      <w:r>
        <w:t>preferred</w:t>
      </w:r>
      <w:r>
        <w:rPr>
          <w:spacing w:val="-10"/>
        </w:rPr>
        <w:t xml:space="preserve"> </w:t>
      </w:r>
      <w:r>
        <w:t>by</w:t>
      </w:r>
      <w:r>
        <w:rPr>
          <w:spacing w:val="-12"/>
        </w:rPr>
        <w:t xml:space="preserve"> </w:t>
      </w:r>
      <w:r>
        <w:t>the</w:t>
      </w:r>
      <w:r>
        <w:rPr>
          <w:spacing w:val="-11"/>
        </w:rPr>
        <w:t xml:space="preserve"> </w:t>
      </w:r>
      <w:r>
        <w:t>Committee</w:t>
      </w:r>
      <w:r>
        <w:rPr>
          <w:spacing w:val="-10"/>
        </w:rPr>
        <w:t xml:space="preserve"> </w:t>
      </w:r>
      <w:r>
        <w:t>has</w:t>
      </w:r>
      <w:r>
        <w:rPr>
          <w:spacing w:val="-9"/>
        </w:rPr>
        <w:t xml:space="preserve"> </w:t>
      </w:r>
      <w:r>
        <w:t>prejudiced</w:t>
      </w:r>
      <w:r>
        <w:rPr>
          <w:spacing w:val="-14"/>
        </w:rPr>
        <w:t xml:space="preserve"> </w:t>
      </w:r>
      <w:r>
        <w:rPr>
          <w:spacing w:val="-4"/>
        </w:rPr>
        <w:t>UCB.</w:t>
      </w:r>
    </w:p>
    <w:p w:rsidR="000D2DCD" w:rsidRDefault="00F81CE0" w14:paraId="1074E2DF" w14:textId="77777777">
      <w:pPr>
        <w:pStyle w:val="ListParagraph"/>
        <w:numPr>
          <w:ilvl w:val="1"/>
          <w:numId w:val="15"/>
        </w:numPr>
        <w:tabs>
          <w:tab w:val="left" w:pos="1552"/>
          <w:tab w:val="left" w:pos="2199"/>
        </w:tabs>
        <w:spacing w:before="160" w:line="278" w:lineRule="auto"/>
        <w:ind w:right="1545" w:hanging="432"/>
        <w:jc w:val="both"/>
      </w:pPr>
      <w:r>
        <w:t>In</w:t>
      </w:r>
      <w:r>
        <w:rPr>
          <w:spacing w:val="40"/>
        </w:rPr>
        <w:t xml:space="preserve"> </w:t>
      </w:r>
      <w:r>
        <w:t>response</w:t>
      </w:r>
      <w:r>
        <w:rPr>
          <w:spacing w:val="40"/>
        </w:rPr>
        <w:t xml:space="preserve"> </w:t>
      </w:r>
      <w:r>
        <w:t>to</w:t>
      </w:r>
      <w:r>
        <w:rPr>
          <w:spacing w:val="40"/>
        </w:rPr>
        <w:t xml:space="preserve"> </w:t>
      </w:r>
      <w:r>
        <w:t>the</w:t>
      </w:r>
      <w:r>
        <w:rPr>
          <w:spacing w:val="40"/>
        </w:rPr>
        <w:t xml:space="preserve"> </w:t>
      </w:r>
      <w:r>
        <w:t>Draft</w:t>
      </w:r>
      <w:r>
        <w:rPr>
          <w:spacing w:val="40"/>
        </w:rPr>
        <w:t xml:space="preserve"> </w:t>
      </w:r>
      <w:r>
        <w:t>Guidance,</w:t>
      </w:r>
      <w:r>
        <w:rPr>
          <w:spacing w:val="40"/>
        </w:rPr>
        <w:t xml:space="preserve"> </w:t>
      </w:r>
      <w:r>
        <w:t>UCB</w:t>
      </w:r>
      <w:r>
        <w:rPr>
          <w:spacing w:val="40"/>
        </w:rPr>
        <w:t xml:space="preserve"> </w:t>
      </w:r>
      <w:r>
        <w:t>identified</w:t>
      </w:r>
      <w:r>
        <w:rPr>
          <w:spacing w:val="40"/>
        </w:rPr>
        <w:t xml:space="preserve"> </w:t>
      </w:r>
      <w:r>
        <w:t>the</w:t>
      </w:r>
      <w:r>
        <w:rPr>
          <w:spacing w:val="40"/>
        </w:rPr>
        <w:t xml:space="preserve"> </w:t>
      </w:r>
      <w:r>
        <w:t>ITT</w:t>
      </w:r>
      <w:r>
        <w:rPr>
          <w:spacing w:val="40"/>
        </w:rPr>
        <w:t xml:space="preserve"> </w:t>
      </w:r>
      <w:r>
        <w:t>LOCF population for the CBD + CLB + SoC OLE study and conducted the same analysis for FFA + SoC to match these data.</w:t>
      </w:r>
      <w:r>
        <w:rPr>
          <w:spacing w:val="40"/>
        </w:rPr>
        <w:t xml:space="preserve"> </w:t>
      </w:r>
      <w:r>
        <w:t>However, this approach was rejected in the FDG.</w:t>
      </w:r>
      <w:r>
        <w:rPr>
          <w:spacing w:val="40"/>
        </w:rPr>
        <w:t xml:space="preserve"> </w:t>
      </w:r>
      <w:r>
        <w:t>The Committee stated at paragraph 3.6:</w:t>
      </w:r>
    </w:p>
    <w:p w:rsidR="000D2DCD" w:rsidRDefault="00F81CE0" w14:paraId="1074E2E0" w14:textId="77777777">
      <w:pPr>
        <w:spacing w:before="119" w:line="278" w:lineRule="auto"/>
        <w:ind w:left="2201" w:right="1547"/>
        <w:jc w:val="both"/>
        <w:rPr>
          <w:i/>
        </w:rPr>
      </w:pPr>
      <w:r>
        <w:rPr>
          <w:i/>
        </w:rPr>
        <w:t>“The Committee stated that the analysis could be subject to bias but that</w:t>
      </w:r>
      <w:r>
        <w:rPr>
          <w:i/>
          <w:spacing w:val="-16"/>
        </w:rPr>
        <w:t xml:space="preserve"> </w:t>
      </w:r>
      <w:r>
        <w:rPr>
          <w:i/>
        </w:rPr>
        <w:t>the</w:t>
      </w:r>
      <w:r>
        <w:rPr>
          <w:i/>
          <w:spacing w:val="-15"/>
        </w:rPr>
        <w:t xml:space="preserve"> </w:t>
      </w:r>
      <w:r>
        <w:rPr>
          <w:i/>
        </w:rPr>
        <w:t>direction</w:t>
      </w:r>
      <w:r>
        <w:rPr>
          <w:i/>
          <w:spacing w:val="-15"/>
        </w:rPr>
        <w:t xml:space="preserve"> </w:t>
      </w:r>
      <w:r>
        <w:rPr>
          <w:i/>
        </w:rPr>
        <w:t>of</w:t>
      </w:r>
      <w:r>
        <w:rPr>
          <w:i/>
          <w:spacing w:val="-16"/>
        </w:rPr>
        <w:t xml:space="preserve"> </w:t>
      </w:r>
      <w:r>
        <w:rPr>
          <w:i/>
        </w:rPr>
        <w:t>bias</w:t>
      </w:r>
      <w:r>
        <w:rPr>
          <w:i/>
          <w:spacing w:val="-15"/>
        </w:rPr>
        <w:t xml:space="preserve"> </w:t>
      </w:r>
      <w:r>
        <w:rPr>
          <w:i/>
        </w:rPr>
        <w:t>was</w:t>
      </w:r>
      <w:r>
        <w:rPr>
          <w:i/>
          <w:spacing w:val="-15"/>
        </w:rPr>
        <w:t xml:space="preserve"> </w:t>
      </w:r>
      <w:r>
        <w:rPr>
          <w:i/>
        </w:rPr>
        <w:t>unclear.</w:t>
      </w:r>
      <w:r>
        <w:rPr>
          <w:i/>
          <w:spacing w:val="25"/>
        </w:rPr>
        <w:t xml:space="preserve"> </w:t>
      </w:r>
      <w:r>
        <w:rPr>
          <w:i/>
        </w:rPr>
        <w:t>This</w:t>
      </w:r>
      <w:r>
        <w:rPr>
          <w:i/>
          <w:spacing w:val="-13"/>
        </w:rPr>
        <w:t xml:space="preserve"> </w:t>
      </w:r>
      <w:r>
        <w:rPr>
          <w:i/>
        </w:rPr>
        <w:t>is</w:t>
      </w:r>
      <w:r>
        <w:rPr>
          <w:i/>
          <w:spacing w:val="-16"/>
        </w:rPr>
        <w:t xml:space="preserve"> </w:t>
      </w:r>
      <w:r>
        <w:rPr>
          <w:i/>
        </w:rPr>
        <w:t>because</w:t>
      </w:r>
      <w:r>
        <w:rPr>
          <w:i/>
          <w:spacing w:val="-14"/>
        </w:rPr>
        <w:t xml:space="preserve"> </w:t>
      </w:r>
      <w:r>
        <w:rPr>
          <w:i/>
        </w:rPr>
        <w:t>of</w:t>
      </w:r>
      <w:r>
        <w:rPr>
          <w:i/>
          <w:spacing w:val="-15"/>
        </w:rPr>
        <w:t xml:space="preserve"> </w:t>
      </w:r>
      <w:r>
        <w:rPr>
          <w:i/>
        </w:rPr>
        <w:t>the</w:t>
      </w:r>
      <w:r>
        <w:rPr>
          <w:i/>
          <w:spacing w:val="-16"/>
        </w:rPr>
        <w:t xml:space="preserve"> </w:t>
      </w:r>
      <w:r>
        <w:rPr>
          <w:i/>
        </w:rPr>
        <w:t xml:space="preserve">difference in drop-out rates between the cannabidiol and fenfluramine OLE studies and because the LOCF assumes that data is missing at </w:t>
      </w:r>
      <w:r>
        <w:rPr>
          <w:i/>
          <w:spacing w:val="-2"/>
        </w:rPr>
        <w:t>random”.</w:t>
      </w:r>
    </w:p>
    <w:p w:rsidR="000D2DCD" w:rsidRDefault="00F81CE0" w14:paraId="1074E2E1" w14:textId="77777777">
      <w:pPr>
        <w:pStyle w:val="ListParagraph"/>
        <w:numPr>
          <w:ilvl w:val="1"/>
          <w:numId w:val="15"/>
        </w:numPr>
        <w:tabs>
          <w:tab w:val="left" w:pos="1552"/>
          <w:tab w:val="left" w:pos="2199"/>
        </w:tabs>
        <w:spacing w:before="118" w:line="278" w:lineRule="auto"/>
        <w:ind w:right="1549" w:hanging="432"/>
        <w:jc w:val="both"/>
      </w:pPr>
      <w:r>
        <w:t xml:space="preserve">The Committee also criticised UCB for focussing on the ITT population </w:t>
      </w:r>
      <w:r>
        <w:rPr>
          <w:spacing w:val="-2"/>
        </w:rPr>
        <w:t>stating</w:t>
      </w:r>
    </w:p>
    <w:p w:rsidR="000D2DCD" w:rsidRDefault="00F81CE0" w14:paraId="1074E2E2" w14:textId="77777777">
      <w:pPr>
        <w:spacing w:before="118" w:line="278" w:lineRule="auto"/>
        <w:ind w:left="2201" w:right="1548" w:firstLine="62"/>
        <w:jc w:val="both"/>
      </w:pPr>
      <w:r>
        <w:t>“</w:t>
      </w:r>
      <w:r>
        <w:rPr>
          <w:spacing w:val="-10"/>
        </w:rPr>
        <w:t xml:space="preserve"> </w:t>
      </w:r>
      <w:r>
        <w:rPr>
          <w:i/>
        </w:rPr>
        <w:t>The</w:t>
      </w:r>
      <w:r>
        <w:rPr>
          <w:i/>
          <w:spacing w:val="-11"/>
        </w:rPr>
        <w:t xml:space="preserve"> </w:t>
      </w:r>
      <w:r>
        <w:rPr>
          <w:i/>
        </w:rPr>
        <w:t>Committee</w:t>
      </w:r>
      <w:r>
        <w:rPr>
          <w:i/>
          <w:spacing w:val="-12"/>
        </w:rPr>
        <w:t xml:space="preserve"> </w:t>
      </w:r>
      <w:r>
        <w:rPr>
          <w:i/>
        </w:rPr>
        <w:t>noted</w:t>
      </w:r>
      <w:r>
        <w:rPr>
          <w:i/>
          <w:spacing w:val="-14"/>
        </w:rPr>
        <w:t xml:space="preserve"> </w:t>
      </w:r>
      <w:r>
        <w:rPr>
          <w:i/>
        </w:rPr>
        <w:t>that</w:t>
      </w:r>
      <w:r>
        <w:rPr>
          <w:i/>
          <w:spacing w:val="-10"/>
        </w:rPr>
        <w:t xml:space="preserve"> </w:t>
      </w:r>
      <w:r>
        <w:rPr>
          <w:i/>
        </w:rPr>
        <w:t>the</w:t>
      </w:r>
      <w:r>
        <w:rPr>
          <w:i/>
          <w:spacing w:val="-14"/>
        </w:rPr>
        <w:t xml:space="preserve"> </w:t>
      </w:r>
      <w:r>
        <w:rPr>
          <w:i/>
        </w:rPr>
        <w:t>company</w:t>
      </w:r>
      <w:r>
        <w:rPr>
          <w:i/>
          <w:spacing w:val="-14"/>
        </w:rPr>
        <w:t xml:space="preserve"> </w:t>
      </w:r>
      <w:r>
        <w:rPr>
          <w:i/>
        </w:rPr>
        <w:t>had</w:t>
      </w:r>
      <w:r>
        <w:rPr>
          <w:i/>
          <w:spacing w:val="-11"/>
        </w:rPr>
        <w:t xml:space="preserve"> </w:t>
      </w:r>
      <w:r>
        <w:rPr>
          <w:i/>
        </w:rPr>
        <w:t>not</w:t>
      </w:r>
      <w:r>
        <w:rPr>
          <w:i/>
          <w:spacing w:val="-15"/>
        </w:rPr>
        <w:t xml:space="preserve"> </w:t>
      </w:r>
      <w:r>
        <w:rPr>
          <w:i/>
        </w:rPr>
        <w:t>done</w:t>
      </w:r>
      <w:r>
        <w:rPr>
          <w:i/>
          <w:spacing w:val="-12"/>
        </w:rPr>
        <w:t xml:space="preserve"> </w:t>
      </w:r>
      <w:r>
        <w:rPr>
          <w:i/>
        </w:rPr>
        <w:t>the</w:t>
      </w:r>
      <w:r>
        <w:rPr>
          <w:i/>
          <w:spacing w:val="-12"/>
        </w:rPr>
        <w:t xml:space="preserve"> </w:t>
      </w:r>
      <w:r>
        <w:rPr>
          <w:i/>
        </w:rPr>
        <w:t>imputation analyses</w:t>
      </w:r>
      <w:r>
        <w:rPr>
          <w:i/>
          <w:spacing w:val="-16"/>
        </w:rPr>
        <w:t xml:space="preserve"> </w:t>
      </w:r>
      <w:r>
        <w:rPr>
          <w:i/>
        </w:rPr>
        <w:t>that</w:t>
      </w:r>
      <w:r>
        <w:rPr>
          <w:i/>
          <w:spacing w:val="-15"/>
        </w:rPr>
        <w:t xml:space="preserve"> </w:t>
      </w:r>
      <w:r>
        <w:rPr>
          <w:i/>
        </w:rPr>
        <w:t>it</w:t>
      </w:r>
      <w:r>
        <w:rPr>
          <w:i/>
          <w:spacing w:val="-15"/>
        </w:rPr>
        <w:t xml:space="preserve"> </w:t>
      </w:r>
      <w:r>
        <w:rPr>
          <w:i/>
        </w:rPr>
        <w:t>had</w:t>
      </w:r>
      <w:r>
        <w:rPr>
          <w:i/>
          <w:spacing w:val="-16"/>
        </w:rPr>
        <w:t xml:space="preserve"> </w:t>
      </w:r>
      <w:r>
        <w:rPr>
          <w:i/>
        </w:rPr>
        <w:t>requested</w:t>
      </w:r>
      <w:r>
        <w:rPr>
          <w:i/>
          <w:spacing w:val="-15"/>
        </w:rPr>
        <w:t xml:space="preserve"> </w:t>
      </w:r>
      <w:r>
        <w:rPr>
          <w:i/>
        </w:rPr>
        <w:t>at</w:t>
      </w:r>
      <w:r>
        <w:rPr>
          <w:i/>
          <w:spacing w:val="-15"/>
        </w:rPr>
        <w:t xml:space="preserve"> </w:t>
      </w:r>
      <w:r>
        <w:rPr>
          <w:i/>
        </w:rPr>
        <w:t>the</w:t>
      </w:r>
      <w:r>
        <w:rPr>
          <w:i/>
          <w:spacing w:val="-15"/>
        </w:rPr>
        <w:t xml:space="preserve"> </w:t>
      </w:r>
      <w:r>
        <w:rPr>
          <w:i/>
        </w:rPr>
        <w:t>first</w:t>
      </w:r>
      <w:r>
        <w:rPr>
          <w:i/>
          <w:spacing w:val="-16"/>
        </w:rPr>
        <w:t xml:space="preserve"> </w:t>
      </w:r>
      <w:r>
        <w:rPr>
          <w:i/>
        </w:rPr>
        <w:t>committee</w:t>
      </w:r>
      <w:r>
        <w:rPr>
          <w:i/>
          <w:spacing w:val="-15"/>
        </w:rPr>
        <w:t xml:space="preserve"> </w:t>
      </w:r>
      <w:r>
        <w:rPr>
          <w:i/>
        </w:rPr>
        <w:t>meeting…..”</w:t>
      </w:r>
      <w:r>
        <w:t>,</w:t>
      </w:r>
      <w:r>
        <w:rPr>
          <w:spacing w:val="-15"/>
        </w:rPr>
        <w:t xml:space="preserve"> </w:t>
      </w:r>
      <w:r>
        <w:t>even though the Draft Guidance had stated explicitly that an ITT methodology was preferred and UCB understood that the other analyses discussed at ACM1 were required only if ITT data</w:t>
      </w:r>
      <w:r>
        <w:rPr>
          <w:spacing w:val="-1"/>
        </w:rPr>
        <w:t xml:space="preserve"> </w:t>
      </w:r>
      <w:r>
        <w:t>could not be obtained.</w:t>
      </w:r>
    </w:p>
    <w:p w:rsidR="000D2DCD" w:rsidRDefault="00F81CE0" w14:paraId="1074E2E3" w14:textId="77777777">
      <w:pPr>
        <w:pStyle w:val="ListParagraph"/>
        <w:numPr>
          <w:ilvl w:val="1"/>
          <w:numId w:val="15"/>
        </w:numPr>
        <w:tabs>
          <w:tab w:val="left" w:pos="1552"/>
          <w:tab w:val="left" w:pos="2199"/>
        </w:tabs>
        <w:spacing w:line="278" w:lineRule="auto"/>
        <w:ind w:right="1548" w:hanging="432"/>
        <w:jc w:val="both"/>
      </w:pPr>
      <w:r>
        <w:t>UCB does not seek to argue that the Committee is precluded from</w:t>
      </w:r>
      <w:r>
        <w:rPr>
          <w:spacing w:val="80"/>
        </w:rPr>
        <w:t xml:space="preserve"> </w:t>
      </w:r>
      <w:r>
        <w:t>changing its</w:t>
      </w:r>
      <w:r>
        <w:rPr>
          <w:spacing w:val="-2"/>
        </w:rPr>
        <w:t xml:space="preserve"> </w:t>
      </w:r>
      <w:r>
        <w:t>mind.</w:t>
      </w:r>
      <w:r>
        <w:rPr>
          <w:spacing w:val="40"/>
        </w:rPr>
        <w:t xml:space="preserve"> </w:t>
      </w:r>
      <w:r>
        <w:t>However the</w:t>
      </w:r>
      <w:r>
        <w:rPr>
          <w:spacing w:val="-1"/>
        </w:rPr>
        <w:t xml:space="preserve"> </w:t>
      </w:r>
      <w:r>
        <w:t>lack of clarity</w:t>
      </w:r>
      <w:r>
        <w:rPr>
          <w:spacing w:val="-1"/>
        </w:rPr>
        <w:t xml:space="preserve"> </w:t>
      </w:r>
      <w:r>
        <w:t>regarding</w:t>
      </w:r>
      <w:r>
        <w:rPr>
          <w:spacing w:val="-1"/>
        </w:rPr>
        <w:t xml:space="preserve"> </w:t>
      </w:r>
      <w:r>
        <w:t>the</w:t>
      </w:r>
      <w:r>
        <w:rPr>
          <w:spacing w:val="-1"/>
        </w:rPr>
        <w:t xml:space="preserve"> </w:t>
      </w:r>
      <w:r>
        <w:t>expectations of UCB</w:t>
      </w:r>
      <w:r>
        <w:rPr>
          <w:spacing w:val="-13"/>
        </w:rPr>
        <w:t xml:space="preserve"> </w:t>
      </w:r>
      <w:r>
        <w:t>following</w:t>
      </w:r>
      <w:r>
        <w:rPr>
          <w:spacing w:val="-9"/>
        </w:rPr>
        <w:t xml:space="preserve"> </w:t>
      </w:r>
      <w:r>
        <w:t>Draft</w:t>
      </w:r>
      <w:r>
        <w:rPr>
          <w:spacing w:val="-13"/>
        </w:rPr>
        <w:t xml:space="preserve"> </w:t>
      </w:r>
      <w:r>
        <w:t>Guidance</w:t>
      </w:r>
      <w:r>
        <w:rPr>
          <w:spacing w:val="-9"/>
        </w:rPr>
        <w:t xml:space="preserve"> </w:t>
      </w:r>
      <w:r>
        <w:t>is</w:t>
      </w:r>
      <w:r>
        <w:rPr>
          <w:spacing w:val="-9"/>
        </w:rPr>
        <w:t xml:space="preserve"> </w:t>
      </w:r>
      <w:r>
        <w:t>unfair</w:t>
      </w:r>
      <w:r>
        <w:rPr>
          <w:spacing w:val="-11"/>
        </w:rPr>
        <w:t xml:space="preserve"> </w:t>
      </w:r>
      <w:r>
        <w:t>and</w:t>
      </w:r>
      <w:r>
        <w:rPr>
          <w:spacing w:val="-10"/>
        </w:rPr>
        <w:t xml:space="preserve"> </w:t>
      </w:r>
      <w:r>
        <w:t>has</w:t>
      </w:r>
      <w:r>
        <w:rPr>
          <w:spacing w:val="-9"/>
        </w:rPr>
        <w:t xml:space="preserve"> </w:t>
      </w:r>
      <w:r>
        <w:t>clearly</w:t>
      </w:r>
      <w:r>
        <w:rPr>
          <w:spacing w:val="-12"/>
        </w:rPr>
        <w:t xml:space="preserve"> </w:t>
      </w:r>
      <w:r>
        <w:t>resulted</w:t>
      </w:r>
      <w:r>
        <w:rPr>
          <w:spacing w:val="-10"/>
        </w:rPr>
        <w:t xml:space="preserve"> </w:t>
      </w:r>
      <w:r>
        <w:t>in</w:t>
      </w:r>
      <w:r>
        <w:rPr>
          <w:spacing w:val="-12"/>
        </w:rPr>
        <w:t xml:space="preserve"> </w:t>
      </w:r>
      <w:r>
        <w:t>substantial prejudice to the company in the context of this appraisal.</w:t>
      </w:r>
    </w:p>
    <w:p w:rsidR="000D2DCD" w:rsidRDefault="00F81CE0" w14:paraId="1074E2E4" w14:textId="77777777">
      <w:pPr>
        <w:pStyle w:val="ListParagraph"/>
        <w:numPr>
          <w:ilvl w:val="0"/>
          <w:numId w:val="15"/>
        </w:numPr>
        <w:tabs>
          <w:tab w:val="left" w:pos="1118"/>
          <w:tab w:val="left" w:pos="1120"/>
        </w:tabs>
        <w:spacing w:before="118" w:line="278" w:lineRule="auto"/>
        <w:ind w:left="1120" w:hanging="360"/>
        <w:jc w:val="both"/>
      </w:pPr>
      <w:r>
        <w:t>The methodology submitted by UCB in response to the Draft Guidance (ITT population using the LOCF method) was accepted as the basis for guidance for cannabidiol for LGS in TA615. The TA615 committee papers state</w:t>
      </w:r>
    </w:p>
    <w:p w:rsidR="000D2DCD" w:rsidRDefault="00F81CE0" w14:paraId="1074E2E5" w14:textId="77777777">
      <w:pPr>
        <w:spacing w:before="120" w:line="278" w:lineRule="auto"/>
        <w:ind w:left="2201" w:right="1550"/>
        <w:jc w:val="both"/>
      </w:pPr>
      <w:r>
        <w:rPr>
          <w:i/>
        </w:rPr>
        <w:t>“Analyses were repeated</w:t>
      </w:r>
      <w:r>
        <w:rPr>
          <w:i/>
          <w:spacing w:val="-1"/>
        </w:rPr>
        <w:t xml:space="preserve"> </w:t>
      </w:r>
      <w:r>
        <w:rPr>
          <w:i/>
        </w:rPr>
        <w:t>using inclusion of a last observation carried forward (LOCF) step. Analyses were descriptive, and no formal hypothesis testing was conducted”</w:t>
      </w:r>
      <w:r>
        <w:t>.</w:t>
      </w:r>
    </w:p>
    <w:p w:rsidR="000D2DCD" w:rsidRDefault="00F81CE0" w14:paraId="1074E2E6" w14:textId="77777777">
      <w:pPr>
        <w:pStyle w:val="BodyText"/>
        <w:spacing w:before="118" w:line="278" w:lineRule="auto"/>
        <w:ind w:left="873" w:right="1546"/>
        <w:jc w:val="both"/>
      </w:pPr>
      <w:r>
        <w:t>No reasons were provided in the current appraisal to justify a different approach to the data than that used in TA615, even though the patient population is the same and the appraisal faces the same challenges in terms of a rare disease with a heterogeneous patient population.</w:t>
      </w:r>
      <w:r>
        <w:rPr>
          <w:spacing w:val="40"/>
        </w:rPr>
        <w:t xml:space="preserve"> </w:t>
      </w:r>
      <w:r>
        <w:t xml:space="preserve">In the absence of adequate justification for a different approach fairness requires consistency in terms of methodology and </w:t>
      </w:r>
      <w:r>
        <w:rPr>
          <w:spacing w:val="-2"/>
        </w:rPr>
        <w:t>decision-making</w:t>
      </w:r>
    </w:p>
    <w:p w:rsidR="000D2DCD" w:rsidRDefault="00F81CE0" w14:paraId="1074E2E7" w14:textId="77777777">
      <w:pPr>
        <w:pStyle w:val="Heading1"/>
        <w:numPr>
          <w:ilvl w:val="0"/>
          <w:numId w:val="6"/>
        </w:numPr>
        <w:tabs>
          <w:tab w:val="left" w:pos="2561"/>
        </w:tabs>
        <w:spacing w:before="116" w:line="276" w:lineRule="auto"/>
        <w:ind w:right="1544"/>
        <w:jc w:val="both"/>
      </w:pPr>
      <w:r>
        <w:rPr>
          <w:u w:val="single"/>
        </w:rPr>
        <w:t>Ground</w:t>
      </w:r>
      <w:r>
        <w:rPr>
          <w:spacing w:val="-8"/>
          <w:u w:val="single"/>
        </w:rPr>
        <w:t xml:space="preserve"> </w:t>
      </w:r>
      <w:r>
        <w:rPr>
          <w:u w:val="single"/>
        </w:rPr>
        <w:t>1(a).5:</w:t>
      </w:r>
      <w:r>
        <w:rPr>
          <w:spacing w:val="-10"/>
        </w:rPr>
        <w:t xml:space="preserve"> </w:t>
      </w:r>
      <w:r>
        <w:t>The</w:t>
      </w:r>
      <w:r>
        <w:rPr>
          <w:spacing w:val="-9"/>
        </w:rPr>
        <w:t xml:space="preserve"> </w:t>
      </w:r>
      <w:r>
        <w:t>absence</w:t>
      </w:r>
      <w:r>
        <w:rPr>
          <w:spacing w:val="-8"/>
        </w:rPr>
        <w:t xml:space="preserve"> </w:t>
      </w:r>
      <w:r>
        <w:t>of</w:t>
      </w:r>
      <w:r>
        <w:rPr>
          <w:spacing w:val="-10"/>
        </w:rPr>
        <w:t xml:space="preserve"> </w:t>
      </w:r>
      <w:r>
        <w:t>indications</w:t>
      </w:r>
      <w:r>
        <w:rPr>
          <w:spacing w:val="-8"/>
        </w:rPr>
        <w:t xml:space="preserve"> </w:t>
      </w:r>
      <w:r>
        <w:t>of</w:t>
      </w:r>
      <w:r>
        <w:rPr>
          <w:spacing w:val="-10"/>
        </w:rPr>
        <w:t xml:space="preserve"> </w:t>
      </w:r>
      <w:r>
        <w:t>the</w:t>
      </w:r>
      <w:r>
        <w:rPr>
          <w:spacing w:val="-9"/>
        </w:rPr>
        <w:t xml:space="preserve"> </w:t>
      </w:r>
      <w:r>
        <w:t>Committee’s preferred assumptions at the Draft Guidance stage and the lack</w:t>
      </w:r>
      <w:r>
        <w:rPr>
          <w:spacing w:val="-10"/>
        </w:rPr>
        <w:t xml:space="preserve"> </w:t>
      </w:r>
      <w:r>
        <w:t>of</w:t>
      </w:r>
      <w:r>
        <w:rPr>
          <w:spacing w:val="-9"/>
        </w:rPr>
        <w:t xml:space="preserve"> </w:t>
      </w:r>
      <w:r>
        <w:t>clear</w:t>
      </w:r>
      <w:r>
        <w:rPr>
          <w:spacing w:val="-11"/>
        </w:rPr>
        <w:t xml:space="preserve"> </w:t>
      </w:r>
      <w:r>
        <w:t>explanation</w:t>
      </w:r>
      <w:r>
        <w:rPr>
          <w:spacing w:val="-10"/>
        </w:rPr>
        <w:t xml:space="preserve"> </w:t>
      </w:r>
      <w:r>
        <w:t>of</w:t>
      </w:r>
      <w:r>
        <w:rPr>
          <w:spacing w:val="-11"/>
        </w:rPr>
        <w:t xml:space="preserve"> </w:t>
      </w:r>
      <w:r>
        <w:t>how</w:t>
      </w:r>
      <w:r>
        <w:rPr>
          <w:spacing w:val="-9"/>
        </w:rPr>
        <w:t xml:space="preserve"> </w:t>
      </w:r>
      <w:r>
        <w:t>the</w:t>
      </w:r>
      <w:r>
        <w:rPr>
          <w:spacing w:val="-13"/>
        </w:rPr>
        <w:t xml:space="preserve"> </w:t>
      </w:r>
      <w:r>
        <w:t>Committee</w:t>
      </w:r>
      <w:r>
        <w:rPr>
          <w:spacing w:val="-10"/>
        </w:rPr>
        <w:t xml:space="preserve"> </w:t>
      </w:r>
      <w:r>
        <w:t>had</w:t>
      </w:r>
      <w:r>
        <w:rPr>
          <w:spacing w:val="-12"/>
        </w:rPr>
        <w:t xml:space="preserve"> </w:t>
      </w:r>
      <w:r>
        <w:t>taken</w:t>
      </w:r>
      <w:r>
        <w:rPr>
          <w:spacing w:val="-13"/>
        </w:rPr>
        <w:t xml:space="preserve"> </w:t>
      </w:r>
      <w:r>
        <w:t>into account the status of LGS as a rare disease, substantially prejudiced UCB’s ability to offer a discount that would meet the Committee’s expectations of cost-effectiveness.</w:t>
      </w:r>
    </w:p>
    <w:p w:rsidR="000D2DCD" w:rsidRDefault="000D2DCD" w14:paraId="1074E2E8" w14:textId="77777777">
      <w:pPr>
        <w:spacing w:line="276" w:lineRule="auto"/>
        <w:jc w:val="both"/>
        <w:sectPr w:rsidR="000D2DCD">
          <w:pgSz w:w="11910" w:h="16840" w:orient="portrait"/>
          <w:pgMar w:top="860" w:right="360" w:bottom="1200" w:left="1040" w:header="182" w:footer="1007" w:gutter="0"/>
          <w:cols w:space="720"/>
        </w:sectPr>
      </w:pPr>
    </w:p>
    <w:p w:rsidR="000D2DCD" w:rsidRDefault="000D2DCD" w14:paraId="1074E2E9" w14:textId="77777777">
      <w:pPr>
        <w:pStyle w:val="BodyText"/>
        <w:rPr>
          <w:b/>
        </w:rPr>
      </w:pPr>
    </w:p>
    <w:p w:rsidR="000D2DCD" w:rsidRDefault="000D2DCD" w14:paraId="1074E2EA" w14:textId="77777777">
      <w:pPr>
        <w:pStyle w:val="BodyText"/>
        <w:spacing w:before="59"/>
        <w:rPr>
          <w:b/>
        </w:rPr>
      </w:pPr>
    </w:p>
    <w:p w:rsidR="000D2DCD" w:rsidRDefault="00F81CE0" w14:paraId="1074E2EB" w14:textId="77777777">
      <w:pPr>
        <w:pStyle w:val="ListParagraph"/>
        <w:numPr>
          <w:ilvl w:val="0"/>
          <w:numId w:val="15"/>
        </w:numPr>
        <w:tabs>
          <w:tab w:val="left" w:pos="1443"/>
          <w:tab w:val="left" w:pos="1446"/>
        </w:tabs>
        <w:spacing w:before="0" w:line="278" w:lineRule="auto"/>
        <w:ind w:right="1546"/>
        <w:jc w:val="both"/>
      </w:pPr>
      <w:r>
        <w:t>NICE’s Manual provides that patient access schemes (PAS), involving discounts on price, may be offered at various times during the appraisal process with the intention of achieving cost effectiveness and therefore a positive recommendation for NHS use.</w:t>
      </w:r>
      <w:r>
        <w:rPr>
          <w:spacing w:val="40"/>
        </w:rPr>
        <w:t xml:space="preserve"> </w:t>
      </w:r>
      <w:r>
        <w:t>Paragraph 5.9.18 of the Manual envisages that PAS may</w:t>
      </w:r>
      <w:r>
        <w:rPr>
          <w:spacing w:val="-4"/>
        </w:rPr>
        <w:t xml:space="preserve"> </w:t>
      </w:r>
      <w:r>
        <w:t>be offered</w:t>
      </w:r>
      <w:r>
        <w:rPr>
          <w:spacing w:val="-2"/>
        </w:rPr>
        <w:t xml:space="preserve"> </w:t>
      </w:r>
      <w:r>
        <w:t>by</w:t>
      </w:r>
      <w:r>
        <w:rPr>
          <w:spacing w:val="-2"/>
        </w:rPr>
        <w:t xml:space="preserve"> </w:t>
      </w:r>
      <w:r>
        <w:t>a company</w:t>
      </w:r>
      <w:r>
        <w:rPr>
          <w:spacing w:val="-2"/>
        </w:rPr>
        <w:t xml:space="preserve"> </w:t>
      </w:r>
      <w:r>
        <w:t>in the original submission, at</w:t>
      </w:r>
      <w:r>
        <w:rPr>
          <w:spacing w:val="-16"/>
        </w:rPr>
        <w:t xml:space="preserve"> </w:t>
      </w:r>
      <w:r>
        <w:t>technical</w:t>
      </w:r>
      <w:r>
        <w:rPr>
          <w:spacing w:val="-15"/>
        </w:rPr>
        <w:t xml:space="preserve"> </w:t>
      </w:r>
      <w:r>
        <w:t>engagement,</w:t>
      </w:r>
      <w:r>
        <w:rPr>
          <w:spacing w:val="-15"/>
        </w:rPr>
        <w:t xml:space="preserve"> </w:t>
      </w:r>
      <w:r>
        <w:t>following</w:t>
      </w:r>
      <w:r>
        <w:rPr>
          <w:spacing w:val="-16"/>
        </w:rPr>
        <w:t xml:space="preserve"> </w:t>
      </w:r>
      <w:r>
        <w:t>Draft</w:t>
      </w:r>
      <w:r>
        <w:rPr>
          <w:spacing w:val="-15"/>
        </w:rPr>
        <w:t xml:space="preserve"> </w:t>
      </w:r>
      <w:r>
        <w:t>Guidance</w:t>
      </w:r>
      <w:r>
        <w:rPr>
          <w:spacing w:val="-15"/>
        </w:rPr>
        <w:t xml:space="preserve"> </w:t>
      </w:r>
      <w:r>
        <w:t>or</w:t>
      </w:r>
      <w:r>
        <w:rPr>
          <w:spacing w:val="-15"/>
        </w:rPr>
        <w:t xml:space="preserve"> </w:t>
      </w:r>
      <w:r>
        <w:t>once</w:t>
      </w:r>
      <w:r>
        <w:rPr>
          <w:spacing w:val="-16"/>
        </w:rPr>
        <w:t xml:space="preserve"> </w:t>
      </w:r>
      <w:r>
        <w:t>guidance</w:t>
      </w:r>
      <w:r>
        <w:rPr>
          <w:spacing w:val="-15"/>
        </w:rPr>
        <w:t xml:space="preserve"> </w:t>
      </w:r>
      <w:r>
        <w:t>has</w:t>
      </w:r>
      <w:r>
        <w:rPr>
          <w:spacing w:val="-15"/>
        </w:rPr>
        <w:t xml:space="preserve"> </w:t>
      </w:r>
      <w:r>
        <w:t xml:space="preserve">been </w:t>
      </w:r>
      <w:r>
        <w:rPr>
          <w:spacing w:val="-2"/>
        </w:rPr>
        <w:t>finalised.</w:t>
      </w:r>
    </w:p>
    <w:p w:rsidR="000D2DCD" w:rsidRDefault="00F81CE0" w14:paraId="1074E2EC" w14:textId="77777777">
      <w:pPr>
        <w:pStyle w:val="ListParagraph"/>
        <w:numPr>
          <w:ilvl w:val="0"/>
          <w:numId w:val="15"/>
        </w:numPr>
        <w:tabs>
          <w:tab w:val="left" w:pos="1443"/>
          <w:tab w:val="left" w:pos="1446"/>
        </w:tabs>
        <w:spacing w:line="278" w:lineRule="auto"/>
        <w:ind w:right="1550"/>
        <w:jc w:val="both"/>
        <w:rPr>
          <w:i/>
        </w:rPr>
      </w:pPr>
      <w:r>
        <w:t>In the context of the current appraisal however, UCB was not in a position to propose any discount either at technical engagement (which did not take place) or following Draft Guidance, due to lack of clarity in relation to the Committee’s conclusions following ACM1.</w:t>
      </w:r>
    </w:p>
    <w:p w:rsidR="000D2DCD" w:rsidRDefault="00F81CE0" w14:paraId="1074E2ED" w14:textId="77777777">
      <w:pPr>
        <w:pStyle w:val="ListParagraph"/>
        <w:numPr>
          <w:ilvl w:val="1"/>
          <w:numId w:val="15"/>
        </w:numPr>
        <w:tabs>
          <w:tab w:val="left" w:pos="1552"/>
          <w:tab w:val="left" w:pos="2199"/>
        </w:tabs>
        <w:spacing w:before="117" w:line="278" w:lineRule="auto"/>
        <w:ind w:right="1549" w:hanging="432"/>
        <w:jc w:val="both"/>
        <w:rPr>
          <w:i/>
        </w:rPr>
      </w:pPr>
      <w:r>
        <w:t>While</w:t>
      </w:r>
      <w:r>
        <w:rPr>
          <w:spacing w:val="-7"/>
        </w:rPr>
        <w:t xml:space="preserve"> </w:t>
      </w:r>
      <w:r>
        <w:t>the</w:t>
      </w:r>
      <w:r>
        <w:rPr>
          <w:spacing w:val="-5"/>
        </w:rPr>
        <w:t xml:space="preserve"> </w:t>
      </w:r>
      <w:r>
        <w:t>Committee</w:t>
      </w:r>
      <w:r>
        <w:rPr>
          <w:spacing w:val="-5"/>
        </w:rPr>
        <w:t xml:space="preserve"> </w:t>
      </w:r>
      <w:r>
        <w:t>recognised</w:t>
      </w:r>
      <w:r>
        <w:rPr>
          <w:spacing w:val="-7"/>
        </w:rPr>
        <w:t xml:space="preserve"> </w:t>
      </w:r>
      <w:r>
        <w:t>that</w:t>
      </w:r>
      <w:r>
        <w:rPr>
          <w:spacing w:val="-5"/>
        </w:rPr>
        <w:t xml:space="preserve"> </w:t>
      </w:r>
      <w:r>
        <w:t>LGS</w:t>
      </w:r>
      <w:r>
        <w:rPr>
          <w:spacing w:val="-4"/>
        </w:rPr>
        <w:t xml:space="preserve"> </w:t>
      </w:r>
      <w:r>
        <w:t>is</w:t>
      </w:r>
      <w:r>
        <w:rPr>
          <w:spacing w:val="-4"/>
        </w:rPr>
        <w:t xml:space="preserve"> </w:t>
      </w:r>
      <w:r>
        <w:t>a</w:t>
      </w:r>
      <w:r>
        <w:rPr>
          <w:spacing w:val="-7"/>
        </w:rPr>
        <w:t xml:space="preserve"> </w:t>
      </w:r>
      <w:r>
        <w:t>rare</w:t>
      </w:r>
      <w:r>
        <w:rPr>
          <w:spacing w:val="-4"/>
        </w:rPr>
        <w:t xml:space="preserve"> </w:t>
      </w:r>
      <w:r>
        <w:t>disease,</w:t>
      </w:r>
      <w:r>
        <w:rPr>
          <w:spacing w:val="-6"/>
        </w:rPr>
        <w:t xml:space="preserve"> </w:t>
      </w:r>
      <w:r>
        <w:t>the</w:t>
      </w:r>
      <w:r>
        <w:rPr>
          <w:spacing w:val="-7"/>
        </w:rPr>
        <w:t xml:space="preserve"> </w:t>
      </w:r>
      <w:r>
        <w:t>focus of the Committee on the uncertainty of data suggested that the implications of disease rarity and the heterogeneous nature of the condition, had not been adequately taken into account by the Committee when reaching its conclusions, impacting the overall fairness of the Draft Guidance.</w:t>
      </w:r>
    </w:p>
    <w:p w:rsidR="000D2DCD" w:rsidRDefault="00F81CE0" w14:paraId="1074E2EE" w14:textId="77777777">
      <w:pPr>
        <w:pStyle w:val="ListParagraph"/>
        <w:numPr>
          <w:ilvl w:val="1"/>
          <w:numId w:val="15"/>
        </w:numPr>
        <w:tabs>
          <w:tab w:val="left" w:pos="2199"/>
        </w:tabs>
        <w:spacing w:before="120"/>
        <w:ind w:left="2199" w:right="0" w:hanging="1079"/>
        <w:jc w:val="both"/>
        <w:rPr>
          <w:i/>
        </w:rPr>
      </w:pPr>
      <w:r>
        <w:t>In</w:t>
      </w:r>
      <w:r>
        <w:rPr>
          <w:spacing w:val="-8"/>
        </w:rPr>
        <w:t xml:space="preserve"> </w:t>
      </w:r>
      <w:r>
        <w:t>relation</w:t>
      </w:r>
      <w:r>
        <w:rPr>
          <w:spacing w:val="-4"/>
        </w:rPr>
        <w:t xml:space="preserve"> </w:t>
      </w:r>
      <w:r>
        <w:t>to</w:t>
      </w:r>
      <w:r>
        <w:rPr>
          <w:spacing w:val="-6"/>
        </w:rPr>
        <w:t xml:space="preserve"> </w:t>
      </w:r>
      <w:r>
        <w:t>cost</w:t>
      </w:r>
      <w:r>
        <w:rPr>
          <w:spacing w:val="-2"/>
        </w:rPr>
        <w:t xml:space="preserve"> </w:t>
      </w:r>
      <w:r>
        <w:t>effectiveness</w:t>
      </w:r>
      <w:r>
        <w:rPr>
          <w:spacing w:val="-4"/>
        </w:rPr>
        <w:t xml:space="preserve"> </w:t>
      </w:r>
      <w:r>
        <w:t>the</w:t>
      </w:r>
      <w:r>
        <w:rPr>
          <w:spacing w:val="-6"/>
        </w:rPr>
        <w:t xml:space="preserve"> </w:t>
      </w:r>
      <w:r>
        <w:t>Draft</w:t>
      </w:r>
      <w:r>
        <w:rPr>
          <w:spacing w:val="-7"/>
        </w:rPr>
        <w:t xml:space="preserve"> </w:t>
      </w:r>
      <w:r>
        <w:t>Guidance</w:t>
      </w:r>
      <w:r>
        <w:rPr>
          <w:spacing w:val="-2"/>
        </w:rPr>
        <w:t xml:space="preserve"> stated:</w:t>
      </w:r>
    </w:p>
    <w:p w:rsidR="000D2DCD" w:rsidRDefault="00F81CE0" w14:paraId="1074E2EF" w14:textId="77777777">
      <w:pPr>
        <w:spacing w:before="160" w:line="278" w:lineRule="auto"/>
        <w:ind w:left="1552" w:right="1551"/>
        <w:jc w:val="both"/>
        <w:rPr>
          <w:i/>
        </w:rPr>
      </w:pPr>
      <w:r>
        <w:rPr>
          <w:i/>
        </w:rPr>
        <w:t>“the</w:t>
      </w:r>
      <w:r>
        <w:rPr>
          <w:i/>
          <w:spacing w:val="-1"/>
        </w:rPr>
        <w:t xml:space="preserve"> </w:t>
      </w:r>
      <w:r>
        <w:rPr>
          <w:i/>
        </w:rPr>
        <w:t>committee</w:t>
      </w:r>
      <w:r>
        <w:rPr>
          <w:i/>
          <w:spacing w:val="-3"/>
        </w:rPr>
        <w:t xml:space="preserve"> </w:t>
      </w:r>
      <w:r>
        <w:rPr>
          <w:i/>
        </w:rPr>
        <w:t>noted</w:t>
      </w:r>
      <w:r>
        <w:rPr>
          <w:i/>
          <w:spacing w:val="-3"/>
        </w:rPr>
        <w:t xml:space="preserve"> </w:t>
      </w:r>
      <w:r>
        <w:rPr>
          <w:i/>
        </w:rPr>
        <w:t>that the</w:t>
      </w:r>
      <w:r>
        <w:rPr>
          <w:i/>
          <w:spacing w:val="-3"/>
        </w:rPr>
        <w:t xml:space="preserve"> </w:t>
      </w:r>
      <w:r>
        <w:rPr>
          <w:i/>
        </w:rPr>
        <w:t>cost-effectiveness estimates</w:t>
      </w:r>
      <w:r>
        <w:rPr>
          <w:i/>
          <w:spacing w:val="-3"/>
        </w:rPr>
        <w:t xml:space="preserve"> </w:t>
      </w:r>
      <w:r>
        <w:rPr>
          <w:i/>
        </w:rPr>
        <w:t>with its</w:t>
      </w:r>
      <w:r>
        <w:rPr>
          <w:i/>
          <w:spacing w:val="-3"/>
        </w:rPr>
        <w:t xml:space="preserve"> </w:t>
      </w:r>
      <w:r>
        <w:rPr>
          <w:i/>
        </w:rPr>
        <w:t>preferred assumptions</w:t>
      </w:r>
      <w:r>
        <w:rPr>
          <w:i/>
          <w:spacing w:val="-5"/>
        </w:rPr>
        <w:t xml:space="preserve"> </w:t>
      </w:r>
      <w:r>
        <w:rPr>
          <w:i/>
        </w:rPr>
        <w:t>would</w:t>
      </w:r>
      <w:r>
        <w:rPr>
          <w:i/>
          <w:spacing w:val="-5"/>
        </w:rPr>
        <w:t xml:space="preserve"> </w:t>
      </w:r>
      <w:r>
        <w:rPr>
          <w:i/>
        </w:rPr>
        <w:t>likely</w:t>
      </w:r>
      <w:r>
        <w:rPr>
          <w:i/>
          <w:spacing w:val="-2"/>
        </w:rPr>
        <w:t xml:space="preserve"> </w:t>
      </w:r>
      <w:r>
        <w:rPr>
          <w:i/>
        </w:rPr>
        <w:t>be</w:t>
      </w:r>
      <w:r>
        <w:rPr>
          <w:i/>
          <w:spacing w:val="-5"/>
        </w:rPr>
        <w:t xml:space="preserve"> </w:t>
      </w:r>
      <w:r>
        <w:rPr>
          <w:i/>
        </w:rPr>
        <w:t>above</w:t>
      </w:r>
      <w:r>
        <w:rPr>
          <w:i/>
          <w:spacing w:val="-5"/>
        </w:rPr>
        <w:t xml:space="preserve"> </w:t>
      </w:r>
      <w:r>
        <w:rPr>
          <w:i/>
        </w:rPr>
        <w:t>the</w:t>
      </w:r>
      <w:r>
        <w:rPr>
          <w:i/>
          <w:spacing w:val="-8"/>
        </w:rPr>
        <w:t xml:space="preserve"> </w:t>
      </w:r>
      <w:r>
        <w:rPr>
          <w:i/>
        </w:rPr>
        <w:t>range</w:t>
      </w:r>
      <w:r>
        <w:rPr>
          <w:i/>
          <w:spacing w:val="-5"/>
        </w:rPr>
        <w:t xml:space="preserve"> </w:t>
      </w:r>
      <w:r>
        <w:rPr>
          <w:i/>
        </w:rPr>
        <w:t>NICE</w:t>
      </w:r>
      <w:r>
        <w:rPr>
          <w:i/>
          <w:spacing w:val="-3"/>
        </w:rPr>
        <w:t xml:space="preserve"> </w:t>
      </w:r>
      <w:r>
        <w:rPr>
          <w:i/>
        </w:rPr>
        <w:t>normally</w:t>
      </w:r>
      <w:r>
        <w:rPr>
          <w:i/>
          <w:spacing w:val="-2"/>
        </w:rPr>
        <w:t xml:space="preserve"> </w:t>
      </w:r>
      <w:r>
        <w:rPr>
          <w:i/>
        </w:rPr>
        <w:t>considers</w:t>
      </w:r>
      <w:r>
        <w:rPr>
          <w:i/>
          <w:spacing w:val="-5"/>
        </w:rPr>
        <w:t xml:space="preserve"> </w:t>
      </w:r>
      <w:r>
        <w:rPr>
          <w:i/>
        </w:rPr>
        <w:t>to</w:t>
      </w:r>
      <w:r>
        <w:rPr>
          <w:i/>
          <w:spacing w:val="-7"/>
        </w:rPr>
        <w:t xml:space="preserve"> </w:t>
      </w:r>
      <w:r>
        <w:rPr>
          <w:i/>
        </w:rPr>
        <w:t>be an acceptable use of NHS resources”</w:t>
      </w:r>
    </w:p>
    <w:p w:rsidR="000D2DCD" w:rsidRDefault="00F81CE0" w14:paraId="1074E2F0" w14:textId="77777777">
      <w:pPr>
        <w:pStyle w:val="ListParagraph"/>
        <w:numPr>
          <w:ilvl w:val="1"/>
          <w:numId w:val="15"/>
        </w:numPr>
        <w:tabs>
          <w:tab w:val="left" w:pos="1552"/>
          <w:tab w:val="left" w:pos="2199"/>
        </w:tabs>
        <w:spacing w:before="118" w:line="278" w:lineRule="auto"/>
        <w:ind w:right="1551" w:hanging="432"/>
        <w:jc w:val="both"/>
        <w:rPr>
          <w:i/>
        </w:rPr>
      </w:pPr>
      <w:r>
        <w:t>However</w:t>
      </w:r>
      <w:r>
        <w:rPr>
          <w:spacing w:val="40"/>
        </w:rPr>
        <w:t xml:space="preserve"> </w:t>
      </w:r>
      <w:r>
        <w:t>despite</w:t>
      </w:r>
      <w:r>
        <w:rPr>
          <w:spacing w:val="40"/>
        </w:rPr>
        <w:t xml:space="preserve"> </w:t>
      </w:r>
      <w:r>
        <w:t>indicating</w:t>
      </w:r>
      <w:r>
        <w:rPr>
          <w:spacing w:val="40"/>
        </w:rPr>
        <w:t xml:space="preserve"> </w:t>
      </w:r>
      <w:r>
        <w:t>that</w:t>
      </w:r>
      <w:r>
        <w:rPr>
          <w:spacing w:val="40"/>
        </w:rPr>
        <w:t xml:space="preserve"> </w:t>
      </w:r>
      <w:r>
        <w:t>the</w:t>
      </w:r>
      <w:r>
        <w:rPr>
          <w:spacing w:val="40"/>
        </w:rPr>
        <w:t xml:space="preserve"> </w:t>
      </w:r>
      <w:r>
        <w:t>Committee</w:t>
      </w:r>
      <w:r>
        <w:rPr>
          <w:spacing w:val="40"/>
        </w:rPr>
        <w:t xml:space="preserve"> </w:t>
      </w:r>
      <w:r>
        <w:t>had</w:t>
      </w:r>
      <w:r>
        <w:rPr>
          <w:spacing w:val="40"/>
        </w:rPr>
        <w:t xml:space="preserve"> </w:t>
      </w:r>
      <w:r>
        <w:t>identified</w:t>
      </w:r>
      <w:r>
        <w:rPr>
          <w:spacing w:val="40"/>
        </w:rPr>
        <w:t xml:space="preserve"> </w:t>
      </w:r>
      <w:r>
        <w:t>its preferred assumptions, these were not stated in the Draft Guidance.</w:t>
      </w:r>
      <w:r>
        <w:rPr>
          <w:spacing w:val="40"/>
        </w:rPr>
        <w:t xml:space="preserve"> </w:t>
      </w:r>
      <w:r>
        <w:t>In particular, the Draft Guidance did not define the Committee’s preferred methodology for modelling treatment waning, maintenance doses of fenfluramine and cannabidiol, medicine wastage or modelling care giver quality of life.</w:t>
      </w:r>
    </w:p>
    <w:p w:rsidR="000D2DCD" w:rsidRDefault="00F81CE0" w14:paraId="1074E2F1" w14:textId="77777777">
      <w:pPr>
        <w:pStyle w:val="ListParagraph"/>
        <w:numPr>
          <w:ilvl w:val="1"/>
          <w:numId w:val="15"/>
        </w:numPr>
        <w:tabs>
          <w:tab w:val="left" w:pos="1552"/>
          <w:tab w:val="left" w:pos="2199"/>
        </w:tabs>
        <w:spacing w:before="118" w:line="278" w:lineRule="auto"/>
        <w:ind w:right="1544" w:hanging="432"/>
        <w:jc w:val="both"/>
        <w:rPr>
          <w:i/>
        </w:rPr>
      </w:pPr>
      <w:r>
        <w:t>The</w:t>
      </w:r>
      <w:r>
        <w:rPr>
          <w:spacing w:val="28"/>
        </w:rPr>
        <w:t xml:space="preserve"> </w:t>
      </w:r>
      <w:r>
        <w:t>assumptions</w:t>
      </w:r>
      <w:r>
        <w:rPr>
          <w:spacing w:val="28"/>
        </w:rPr>
        <w:t xml:space="preserve"> </w:t>
      </w:r>
      <w:r>
        <w:t>accepted</w:t>
      </w:r>
      <w:r>
        <w:rPr>
          <w:spacing w:val="30"/>
        </w:rPr>
        <w:t xml:space="preserve"> </w:t>
      </w:r>
      <w:r>
        <w:t>by</w:t>
      </w:r>
      <w:r>
        <w:rPr>
          <w:spacing w:val="25"/>
        </w:rPr>
        <w:t xml:space="preserve"> </w:t>
      </w:r>
      <w:r>
        <w:t>the</w:t>
      </w:r>
      <w:r>
        <w:rPr>
          <w:spacing w:val="30"/>
        </w:rPr>
        <w:t xml:space="preserve"> </w:t>
      </w:r>
      <w:r>
        <w:t>Committee</w:t>
      </w:r>
      <w:r>
        <w:rPr>
          <w:spacing w:val="25"/>
        </w:rPr>
        <w:t xml:space="preserve"> </w:t>
      </w:r>
      <w:r>
        <w:t>for</w:t>
      </w:r>
      <w:r>
        <w:rPr>
          <w:spacing w:val="29"/>
        </w:rPr>
        <w:t xml:space="preserve"> </w:t>
      </w:r>
      <w:r>
        <w:t>these</w:t>
      </w:r>
      <w:r>
        <w:rPr>
          <w:spacing w:val="28"/>
        </w:rPr>
        <w:t xml:space="preserve"> </w:t>
      </w:r>
      <w:r>
        <w:t>elements</w:t>
      </w:r>
      <w:r>
        <w:rPr>
          <w:spacing w:val="36"/>
        </w:rPr>
        <w:t xml:space="preserve"> </w:t>
      </w:r>
      <w:r>
        <w:t>all have a material effect on the cost effectiveness of fenfluramine and, in the absence of transparency from the Committee, UCB could not sensibly propose a patient access scheme.</w:t>
      </w:r>
      <w:r>
        <w:rPr>
          <w:spacing w:val="40"/>
        </w:rPr>
        <w:t xml:space="preserve"> </w:t>
      </w:r>
      <w:r>
        <w:rPr>
          <w:i/>
        </w:rPr>
        <w:t>”.</w:t>
      </w:r>
    </w:p>
    <w:p w:rsidR="000D2DCD" w:rsidRDefault="00F81CE0" w14:paraId="1074E2F2" w14:textId="77777777">
      <w:pPr>
        <w:pStyle w:val="ListParagraph"/>
        <w:numPr>
          <w:ilvl w:val="0"/>
          <w:numId w:val="15"/>
        </w:numPr>
        <w:tabs>
          <w:tab w:val="left" w:pos="1443"/>
          <w:tab w:val="left" w:pos="1446"/>
        </w:tabs>
        <w:spacing w:before="118" w:line="278" w:lineRule="auto"/>
        <w:ind w:right="1548"/>
        <w:jc w:val="both"/>
      </w:pPr>
      <w:r>
        <w:t>Even</w:t>
      </w:r>
      <w:r>
        <w:rPr>
          <w:spacing w:val="-8"/>
        </w:rPr>
        <w:t xml:space="preserve"> </w:t>
      </w:r>
      <w:r>
        <w:t>after</w:t>
      </w:r>
      <w:r>
        <w:rPr>
          <w:spacing w:val="-9"/>
        </w:rPr>
        <w:t xml:space="preserve"> </w:t>
      </w:r>
      <w:r>
        <w:t>issue</w:t>
      </w:r>
      <w:r>
        <w:rPr>
          <w:spacing w:val="-10"/>
        </w:rPr>
        <w:t xml:space="preserve"> </w:t>
      </w:r>
      <w:r>
        <w:t>of</w:t>
      </w:r>
      <w:r>
        <w:rPr>
          <w:spacing w:val="-8"/>
        </w:rPr>
        <w:t xml:space="preserve"> </w:t>
      </w:r>
      <w:r>
        <w:t>the</w:t>
      </w:r>
      <w:r>
        <w:rPr>
          <w:spacing w:val="-10"/>
        </w:rPr>
        <w:t xml:space="preserve"> </w:t>
      </w:r>
      <w:r>
        <w:t>FDG</w:t>
      </w:r>
      <w:r>
        <w:rPr>
          <w:spacing w:val="-9"/>
        </w:rPr>
        <w:t xml:space="preserve"> </w:t>
      </w:r>
      <w:r>
        <w:t>certain</w:t>
      </w:r>
      <w:r>
        <w:rPr>
          <w:spacing w:val="-10"/>
        </w:rPr>
        <w:t xml:space="preserve"> </w:t>
      </w:r>
      <w:r>
        <w:t>key</w:t>
      </w:r>
      <w:r>
        <w:rPr>
          <w:spacing w:val="-8"/>
        </w:rPr>
        <w:t xml:space="preserve"> </w:t>
      </w:r>
      <w:r>
        <w:t>assumptions</w:t>
      </w:r>
      <w:r>
        <w:rPr>
          <w:spacing w:val="-6"/>
        </w:rPr>
        <w:t xml:space="preserve"> </w:t>
      </w:r>
      <w:r>
        <w:t>which</w:t>
      </w:r>
      <w:r>
        <w:rPr>
          <w:spacing w:val="-7"/>
        </w:rPr>
        <w:t xml:space="preserve"> </w:t>
      </w:r>
      <w:r>
        <w:t>have</w:t>
      </w:r>
      <w:r>
        <w:rPr>
          <w:spacing w:val="-7"/>
        </w:rPr>
        <w:t xml:space="preserve"> </w:t>
      </w:r>
      <w:r>
        <w:t>substantially determined the cost-effectiveness estimates remain unclear.</w:t>
      </w:r>
    </w:p>
    <w:p w:rsidR="000D2DCD" w:rsidRDefault="00F81CE0" w14:paraId="1074E2F3" w14:textId="77777777">
      <w:pPr>
        <w:pStyle w:val="Heading1"/>
        <w:numPr>
          <w:ilvl w:val="0"/>
          <w:numId w:val="5"/>
        </w:numPr>
        <w:tabs>
          <w:tab w:val="left" w:pos="2201"/>
        </w:tabs>
        <w:spacing w:before="116" w:line="350" w:lineRule="auto"/>
        <w:ind w:right="1448"/>
      </w:pPr>
      <w:r>
        <w:t>Ground</w:t>
      </w:r>
      <w:r>
        <w:rPr>
          <w:spacing w:val="-6"/>
        </w:rPr>
        <w:t xml:space="preserve"> </w:t>
      </w:r>
      <w:r>
        <w:t>1(a).6:</w:t>
      </w:r>
      <w:r>
        <w:rPr>
          <w:spacing w:val="-2"/>
        </w:rPr>
        <w:t xml:space="preserve"> </w:t>
      </w:r>
      <w:r>
        <w:t>The</w:t>
      </w:r>
      <w:r>
        <w:rPr>
          <w:spacing w:val="-4"/>
        </w:rPr>
        <w:t xml:space="preserve"> </w:t>
      </w:r>
      <w:r>
        <w:t>requirement</w:t>
      </w:r>
      <w:r>
        <w:rPr>
          <w:spacing w:val="-5"/>
        </w:rPr>
        <w:t xml:space="preserve"> </w:t>
      </w:r>
      <w:r>
        <w:t>for</w:t>
      </w:r>
      <w:r>
        <w:rPr>
          <w:spacing w:val="-6"/>
        </w:rPr>
        <w:t xml:space="preserve"> </w:t>
      </w:r>
      <w:r>
        <w:t>UCB</w:t>
      </w:r>
      <w:r>
        <w:rPr>
          <w:spacing w:val="-4"/>
        </w:rPr>
        <w:t xml:space="preserve"> </w:t>
      </w:r>
      <w:r>
        <w:t>to</w:t>
      </w:r>
      <w:r>
        <w:rPr>
          <w:spacing w:val="-6"/>
        </w:rPr>
        <w:t xml:space="preserve"> </w:t>
      </w:r>
      <w:r>
        <w:t>produce</w:t>
      </w:r>
      <w:r>
        <w:rPr>
          <w:spacing w:val="-4"/>
        </w:rPr>
        <w:t xml:space="preserve"> </w:t>
      </w:r>
      <w:r>
        <w:t>new</w:t>
      </w:r>
      <w:r>
        <w:rPr>
          <w:spacing w:val="-2"/>
        </w:rPr>
        <w:t xml:space="preserve"> </w:t>
      </w:r>
      <w:r>
        <w:t>analyses and for substantive disclosure of important material from the EAG immediately before ACM2 did not allow adequate time for consideration and was inconsistent with a fair procedure</w:t>
      </w:r>
    </w:p>
    <w:p w:rsidR="000D2DCD" w:rsidRDefault="00F81CE0" w14:paraId="1074E2F4" w14:textId="77777777">
      <w:pPr>
        <w:pStyle w:val="ListParagraph"/>
        <w:numPr>
          <w:ilvl w:val="0"/>
          <w:numId w:val="15"/>
        </w:numPr>
        <w:tabs>
          <w:tab w:val="left" w:pos="1443"/>
          <w:tab w:val="left" w:pos="1446"/>
        </w:tabs>
        <w:spacing w:before="131" w:line="278" w:lineRule="auto"/>
        <w:jc w:val="both"/>
      </w:pPr>
      <w:r>
        <w:t>On the 29</w:t>
      </w:r>
      <w:r>
        <w:rPr>
          <w:vertAlign w:val="superscript"/>
        </w:rPr>
        <w:t>th</w:t>
      </w:r>
      <w:r>
        <w:t xml:space="preserve"> of February 2024 (4 working days before ACM2) UCB were provided with the EAG’s detailed critique of UCB’s response to the Draft Guidance. This did not include the EAG’s preferred assumptions and/or resulting ICERs</w:t>
      </w:r>
      <w:r>
        <w:rPr>
          <w:spacing w:val="40"/>
        </w:rPr>
        <w:t xml:space="preserve"> </w:t>
      </w:r>
      <w:r>
        <w:t>and was therefore difficult to interpret.</w:t>
      </w:r>
    </w:p>
    <w:p w:rsidR="000D2DCD" w:rsidRDefault="00F81CE0" w14:paraId="1074E2F5" w14:textId="77777777">
      <w:pPr>
        <w:pStyle w:val="ListParagraph"/>
        <w:numPr>
          <w:ilvl w:val="0"/>
          <w:numId w:val="15"/>
        </w:numPr>
        <w:tabs>
          <w:tab w:val="left" w:pos="1443"/>
          <w:tab w:val="left" w:pos="1446"/>
        </w:tabs>
        <w:spacing w:before="117" w:line="278" w:lineRule="auto"/>
        <w:ind w:right="1546"/>
        <w:jc w:val="both"/>
      </w:pPr>
      <w:r>
        <w:t>On 4</w:t>
      </w:r>
      <w:r>
        <w:rPr>
          <w:vertAlign w:val="superscript"/>
        </w:rPr>
        <w:t>th</w:t>
      </w:r>
      <w:r>
        <w:t xml:space="preserve"> March 2024 (only 2 days before ACM2), UCB were provided with the EAG’s updated base case.</w:t>
      </w:r>
      <w:r>
        <w:rPr>
          <w:spacing w:val="40"/>
        </w:rPr>
        <w:t xml:space="preserve"> </w:t>
      </w:r>
      <w:r>
        <w:t>However the EAG’s preferred assumptions were</w:t>
      </w:r>
    </w:p>
    <w:p w:rsidR="000D2DCD" w:rsidRDefault="000D2DCD" w14:paraId="1074E2F6"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2F7" w14:textId="77777777">
      <w:pPr>
        <w:pStyle w:val="BodyText"/>
      </w:pPr>
    </w:p>
    <w:p w:rsidR="000D2DCD" w:rsidRDefault="000D2DCD" w14:paraId="1074E2F8" w14:textId="77777777">
      <w:pPr>
        <w:pStyle w:val="BodyText"/>
        <w:spacing w:before="59"/>
      </w:pPr>
    </w:p>
    <w:p w:rsidR="000D2DCD" w:rsidRDefault="00F81CE0" w14:paraId="1074E2F9" w14:textId="77777777">
      <w:pPr>
        <w:pStyle w:val="BodyText"/>
        <w:spacing w:line="278" w:lineRule="auto"/>
        <w:ind w:left="1446" w:right="1550"/>
        <w:jc w:val="both"/>
      </w:pPr>
      <w:r>
        <w:t>still</w:t>
      </w:r>
      <w:r>
        <w:rPr>
          <w:spacing w:val="-13"/>
        </w:rPr>
        <w:t xml:space="preserve"> </w:t>
      </w:r>
      <w:r>
        <w:t>not</w:t>
      </w:r>
      <w:r>
        <w:rPr>
          <w:spacing w:val="-10"/>
        </w:rPr>
        <w:t xml:space="preserve"> </w:t>
      </w:r>
      <w:r>
        <w:t>provided,</w:t>
      </w:r>
      <w:r>
        <w:rPr>
          <w:spacing w:val="-9"/>
        </w:rPr>
        <w:t xml:space="preserve"> </w:t>
      </w:r>
      <w:r>
        <w:t>precluding</w:t>
      </w:r>
      <w:r>
        <w:rPr>
          <w:spacing w:val="-10"/>
        </w:rPr>
        <w:t xml:space="preserve"> </w:t>
      </w:r>
      <w:r>
        <w:t>adequate</w:t>
      </w:r>
      <w:r>
        <w:rPr>
          <w:spacing w:val="-11"/>
        </w:rPr>
        <w:t xml:space="preserve"> </w:t>
      </w:r>
      <w:r>
        <w:t>understanding</w:t>
      </w:r>
      <w:r>
        <w:rPr>
          <w:spacing w:val="-10"/>
        </w:rPr>
        <w:t xml:space="preserve"> </w:t>
      </w:r>
      <w:r>
        <w:t>by</w:t>
      </w:r>
      <w:r>
        <w:rPr>
          <w:spacing w:val="-14"/>
        </w:rPr>
        <w:t xml:space="preserve"> </w:t>
      </w:r>
      <w:r>
        <w:t>UCB.</w:t>
      </w:r>
      <w:r>
        <w:rPr>
          <w:spacing w:val="-10"/>
        </w:rPr>
        <w:t xml:space="preserve"> </w:t>
      </w:r>
      <w:r>
        <w:t>No</w:t>
      </w:r>
      <w:r>
        <w:rPr>
          <w:spacing w:val="-14"/>
        </w:rPr>
        <w:t xml:space="preserve"> </w:t>
      </w:r>
      <w:r>
        <w:t>explanation was provided for this late disclosure or for the failure to disclose the EAG’s preferred assumptions which would have assisted interpretation of this information by UCB.</w:t>
      </w:r>
      <w:r>
        <w:rPr>
          <w:spacing w:val="80"/>
        </w:rPr>
        <w:t xml:space="preserve"> </w:t>
      </w:r>
      <w:r>
        <w:t>There was plainly inadequate time for consideration of this new material before ACM2 on 6 March 2024, prejudicing UCB’s participation in the process.</w:t>
      </w:r>
    </w:p>
    <w:p w:rsidR="000D2DCD" w:rsidRDefault="00F81CE0" w14:paraId="1074E2FA" w14:textId="77777777">
      <w:pPr>
        <w:pStyle w:val="ListParagraph"/>
        <w:numPr>
          <w:ilvl w:val="0"/>
          <w:numId w:val="15"/>
        </w:numPr>
        <w:tabs>
          <w:tab w:val="left" w:pos="1443"/>
          <w:tab w:val="left" w:pos="1446"/>
        </w:tabs>
        <w:spacing w:line="278" w:lineRule="auto"/>
        <w:jc w:val="both"/>
      </w:pPr>
      <w:r>
        <w:t>Secondly, UCB was asked to perform additional analyses comparing fenfluramine against SoC alone with only half a working day to prepare such analyses,</w:t>
      </w:r>
      <w:r>
        <w:rPr>
          <w:spacing w:val="-16"/>
        </w:rPr>
        <w:t xml:space="preserve"> </w:t>
      </w:r>
      <w:r>
        <w:t>prior</w:t>
      </w:r>
      <w:r>
        <w:rPr>
          <w:spacing w:val="-15"/>
        </w:rPr>
        <w:t xml:space="preserve"> </w:t>
      </w:r>
      <w:r>
        <w:t>to</w:t>
      </w:r>
      <w:r>
        <w:rPr>
          <w:spacing w:val="-15"/>
        </w:rPr>
        <w:t xml:space="preserve"> </w:t>
      </w:r>
      <w:r>
        <w:t>submission</w:t>
      </w:r>
      <w:r>
        <w:rPr>
          <w:spacing w:val="-16"/>
        </w:rPr>
        <w:t xml:space="preserve"> </w:t>
      </w:r>
      <w:r>
        <w:t>on</w:t>
      </w:r>
      <w:r>
        <w:rPr>
          <w:spacing w:val="-15"/>
        </w:rPr>
        <w:t xml:space="preserve"> </w:t>
      </w:r>
      <w:r>
        <w:t>4</w:t>
      </w:r>
      <w:r>
        <w:rPr>
          <w:spacing w:val="-15"/>
        </w:rPr>
        <w:t xml:space="preserve"> </w:t>
      </w:r>
      <w:r>
        <w:t>March</w:t>
      </w:r>
      <w:r>
        <w:rPr>
          <w:spacing w:val="-15"/>
        </w:rPr>
        <w:t xml:space="preserve"> </w:t>
      </w:r>
      <w:r>
        <w:t>2024,</w:t>
      </w:r>
      <w:r>
        <w:rPr>
          <w:spacing w:val="-16"/>
        </w:rPr>
        <w:t xml:space="preserve"> </w:t>
      </w:r>
      <w:r>
        <w:t>less</w:t>
      </w:r>
      <w:r>
        <w:rPr>
          <w:spacing w:val="-15"/>
        </w:rPr>
        <w:t xml:space="preserve"> </w:t>
      </w:r>
      <w:r>
        <w:t>than</w:t>
      </w:r>
      <w:r>
        <w:rPr>
          <w:spacing w:val="-15"/>
        </w:rPr>
        <w:t xml:space="preserve"> </w:t>
      </w:r>
      <w:r>
        <w:t>2</w:t>
      </w:r>
      <w:r>
        <w:rPr>
          <w:spacing w:val="-16"/>
        </w:rPr>
        <w:t xml:space="preserve"> </w:t>
      </w:r>
      <w:r>
        <w:t>days</w:t>
      </w:r>
      <w:r>
        <w:rPr>
          <w:spacing w:val="-15"/>
        </w:rPr>
        <w:t xml:space="preserve"> </w:t>
      </w:r>
      <w:r>
        <w:t>before</w:t>
      </w:r>
      <w:r>
        <w:rPr>
          <w:spacing w:val="-15"/>
        </w:rPr>
        <w:t xml:space="preserve"> </w:t>
      </w:r>
      <w:r>
        <w:t>ACM2. UCB had to guess what preferred assumptions should be and therefore submitted analyses prepared rapidly and with little knowledge of the impact this would have on the submission outcome. This requirement was clearly unfair.</w:t>
      </w:r>
      <w:r>
        <w:rPr>
          <w:spacing w:val="40"/>
        </w:rPr>
        <w:t xml:space="preserve"> </w:t>
      </w:r>
      <w:r>
        <w:t>Furthermore, the fact that the analyses were submitted less than 2 days before ACM2 meant that there was limited time for adequate consideration of these data by the Committee and this again results in unfairness to UCB.</w:t>
      </w:r>
    </w:p>
    <w:p w:rsidR="000D2DCD" w:rsidRDefault="00F81CE0" w14:paraId="1074E2FB" w14:textId="77777777">
      <w:pPr>
        <w:pStyle w:val="ListParagraph"/>
        <w:numPr>
          <w:ilvl w:val="0"/>
          <w:numId w:val="15"/>
        </w:numPr>
        <w:tabs>
          <w:tab w:val="left" w:pos="1443"/>
          <w:tab w:val="left" w:pos="1446"/>
        </w:tabs>
        <w:spacing w:before="117" w:line="278" w:lineRule="auto"/>
        <w:jc w:val="both"/>
      </w:pPr>
      <w:r>
        <w:t>It is a fundamental aspect of a fair procedure, that stakeholders should be given adequate time to prepare submissions and adequate time to consider materials prior to consideration.</w:t>
      </w:r>
      <w:r>
        <w:rPr>
          <w:spacing w:val="40"/>
        </w:rPr>
        <w:t xml:space="preserve"> </w:t>
      </w:r>
      <w:r>
        <w:t>The timelines for generation and disclosure of documents prior to ACM2 wholly failed to meet this basic requirement of fairness with the result that UCB had inadequate time to prepare the submission provided on 4</w:t>
      </w:r>
      <w:r>
        <w:rPr>
          <w:vertAlign w:val="superscript"/>
        </w:rPr>
        <w:t>th</w:t>
      </w:r>
      <w:r>
        <w:t xml:space="preserve"> March and inadequate time to consider the disclosure on</w:t>
      </w:r>
      <w:r>
        <w:rPr>
          <w:spacing w:val="-1"/>
        </w:rPr>
        <w:t xml:space="preserve"> </w:t>
      </w:r>
      <w:r>
        <w:t>29</w:t>
      </w:r>
      <w:r>
        <w:rPr>
          <w:vertAlign w:val="superscript"/>
        </w:rPr>
        <w:t>th</w:t>
      </w:r>
      <w:r>
        <w:t xml:space="preserve"> February</w:t>
      </w:r>
      <w:r>
        <w:rPr>
          <w:spacing w:val="-2"/>
        </w:rPr>
        <w:t xml:space="preserve"> </w:t>
      </w:r>
      <w:r>
        <w:t>and 5</w:t>
      </w:r>
      <w:r>
        <w:rPr>
          <w:vertAlign w:val="superscript"/>
        </w:rPr>
        <w:t>th</w:t>
      </w:r>
      <w:r>
        <w:t xml:space="preserve"> March, prejudicing its ability</w:t>
      </w:r>
      <w:r>
        <w:rPr>
          <w:spacing w:val="-3"/>
        </w:rPr>
        <w:t xml:space="preserve"> </w:t>
      </w:r>
      <w:r>
        <w:t>to participate in ACM2.</w:t>
      </w:r>
    </w:p>
    <w:p w:rsidR="000D2DCD" w:rsidRDefault="000D2DCD" w14:paraId="1074E2FC" w14:textId="77777777">
      <w:pPr>
        <w:pStyle w:val="BodyText"/>
      </w:pPr>
    </w:p>
    <w:p w:rsidR="000D2DCD" w:rsidRDefault="000D2DCD" w14:paraId="1074E2FD" w14:textId="77777777">
      <w:pPr>
        <w:pStyle w:val="BodyText"/>
        <w:spacing w:before="19"/>
      </w:pPr>
    </w:p>
    <w:p w:rsidR="000D2DCD" w:rsidRDefault="00F81CE0" w14:paraId="1074E2FE" w14:textId="77777777">
      <w:pPr>
        <w:pStyle w:val="Heading1"/>
        <w:numPr>
          <w:ilvl w:val="0"/>
          <w:numId w:val="16"/>
        </w:numPr>
        <w:tabs>
          <w:tab w:val="left" w:pos="1118"/>
          <w:tab w:val="left" w:pos="1120"/>
        </w:tabs>
        <w:ind w:right="1439"/>
      </w:pPr>
      <w:r>
        <w:t>GROUND</w:t>
      </w:r>
      <w:r>
        <w:rPr>
          <w:spacing w:val="40"/>
        </w:rPr>
        <w:t xml:space="preserve"> </w:t>
      </w:r>
      <w:r>
        <w:t>2:</w:t>
      </w:r>
      <w:r>
        <w:rPr>
          <w:spacing w:val="40"/>
        </w:rPr>
        <w:t xml:space="preserve"> </w:t>
      </w:r>
      <w:r>
        <w:t>THE</w:t>
      </w:r>
      <w:r>
        <w:rPr>
          <w:spacing w:val="40"/>
        </w:rPr>
        <w:t xml:space="preserve"> </w:t>
      </w:r>
      <w:r>
        <w:t>COMMITTEE’S</w:t>
      </w:r>
      <w:r>
        <w:rPr>
          <w:spacing w:val="40"/>
        </w:rPr>
        <w:t xml:space="preserve"> </w:t>
      </w:r>
      <w:r>
        <w:t>APPROACH</w:t>
      </w:r>
      <w:r>
        <w:rPr>
          <w:spacing w:val="40"/>
        </w:rPr>
        <w:t xml:space="preserve"> </w:t>
      </w:r>
      <w:r>
        <w:t>TO</w:t>
      </w:r>
      <w:r>
        <w:rPr>
          <w:spacing w:val="40"/>
        </w:rPr>
        <w:t xml:space="preserve"> </w:t>
      </w:r>
      <w:r>
        <w:t>THE</w:t>
      </w:r>
      <w:r>
        <w:rPr>
          <w:spacing w:val="40"/>
        </w:rPr>
        <w:t xml:space="preserve"> </w:t>
      </w:r>
      <w:r>
        <w:t>ASSESSMENT</w:t>
      </w:r>
      <w:r>
        <w:rPr>
          <w:spacing w:val="40"/>
        </w:rPr>
        <w:t xml:space="preserve"> </w:t>
      </w:r>
      <w:r>
        <w:t>OF CLINICAL AND PATIENT EXPERT EVIDENCE WAS UNREASONABLE</w:t>
      </w:r>
    </w:p>
    <w:p w:rsidR="000D2DCD" w:rsidRDefault="00F81CE0" w14:paraId="1074E2FF" w14:textId="77777777">
      <w:pPr>
        <w:pStyle w:val="ListParagraph"/>
        <w:numPr>
          <w:ilvl w:val="0"/>
          <w:numId w:val="4"/>
        </w:numPr>
        <w:tabs>
          <w:tab w:val="left" w:pos="2201"/>
        </w:tabs>
        <w:spacing w:before="241" w:line="348" w:lineRule="auto"/>
        <w:ind w:right="1524"/>
        <w:rPr>
          <w:b/>
        </w:rPr>
      </w:pPr>
      <w:r>
        <w:rPr>
          <w:b/>
        </w:rPr>
        <w:t>Ground 2.1: The Committee’s preference for a naïve comparison between</w:t>
      </w:r>
      <w:r>
        <w:rPr>
          <w:b/>
          <w:spacing w:val="-5"/>
        </w:rPr>
        <w:t xml:space="preserve"> </w:t>
      </w:r>
      <w:r>
        <w:rPr>
          <w:b/>
        </w:rPr>
        <w:t>the</w:t>
      </w:r>
      <w:r>
        <w:rPr>
          <w:b/>
          <w:spacing w:val="-6"/>
        </w:rPr>
        <w:t xml:space="preserve"> </w:t>
      </w:r>
      <w:r>
        <w:rPr>
          <w:b/>
        </w:rPr>
        <w:t>trials</w:t>
      </w:r>
      <w:r>
        <w:rPr>
          <w:b/>
          <w:spacing w:val="-4"/>
        </w:rPr>
        <w:t xml:space="preserve"> </w:t>
      </w:r>
      <w:r>
        <w:rPr>
          <w:b/>
        </w:rPr>
        <w:t>instead</w:t>
      </w:r>
      <w:r>
        <w:rPr>
          <w:b/>
          <w:spacing w:val="-2"/>
        </w:rPr>
        <w:t xml:space="preserve"> </w:t>
      </w:r>
      <w:r>
        <w:rPr>
          <w:b/>
        </w:rPr>
        <w:t>of</w:t>
      </w:r>
      <w:r>
        <w:rPr>
          <w:b/>
          <w:spacing w:val="-4"/>
        </w:rPr>
        <w:t xml:space="preserve"> </w:t>
      </w:r>
      <w:r>
        <w:rPr>
          <w:b/>
        </w:rPr>
        <w:t>an</w:t>
      </w:r>
      <w:r>
        <w:rPr>
          <w:b/>
          <w:spacing w:val="-5"/>
        </w:rPr>
        <w:t xml:space="preserve"> </w:t>
      </w:r>
      <w:r>
        <w:rPr>
          <w:b/>
        </w:rPr>
        <w:t>indirect</w:t>
      </w:r>
      <w:r>
        <w:rPr>
          <w:b/>
          <w:spacing w:val="-4"/>
        </w:rPr>
        <w:t xml:space="preserve"> </w:t>
      </w:r>
      <w:r>
        <w:rPr>
          <w:b/>
        </w:rPr>
        <w:t>treatment</w:t>
      </w:r>
      <w:r>
        <w:rPr>
          <w:b/>
          <w:spacing w:val="-2"/>
        </w:rPr>
        <w:t xml:space="preserve"> </w:t>
      </w:r>
      <w:r>
        <w:rPr>
          <w:b/>
        </w:rPr>
        <w:t>comparison</w:t>
      </w:r>
      <w:r>
        <w:rPr>
          <w:b/>
          <w:spacing w:val="-3"/>
        </w:rPr>
        <w:t xml:space="preserve"> </w:t>
      </w:r>
      <w:r>
        <w:rPr>
          <w:b/>
        </w:rPr>
        <w:t>of ITT data was unreasonable</w:t>
      </w:r>
    </w:p>
    <w:p w:rsidR="000D2DCD" w:rsidRDefault="00F81CE0" w14:paraId="1074E300" w14:textId="77777777">
      <w:pPr>
        <w:pStyle w:val="ListParagraph"/>
        <w:numPr>
          <w:ilvl w:val="0"/>
          <w:numId w:val="15"/>
        </w:numPr>
        <w:tabs>
          <w:tab w:val="left" w:pos="1443"/>
          <w:tab w:val="left" w:pos="1446"/>
        </w:tabs>
        <w:spacing w:before="128" w:line="278" w:lineRule="auto"/>
        <w:ind w:right="1545"/>
        <w:jc w:val="both"/>
      </w:pPr>
      <w:r>
        <w:t>Following ACM1 and the Draft Guidance, in which the Committee expressed a preference for a comparison of ITT data in the clinical trials of fenfluramine and cannabidiol, UCB conducted an indirect treatment comparison (ITC) to compare the long-term efficacy of FFA + SoC to CBD + CLB + SoC and submitted this to NICE in response to consultation with a full report of the analysis on 21</w:t>
      </w:r>
      <w:r>
        <w:rPr>
          <w:vertAlign w:val="superscript"/>
        </w:rPr>
        <w:t>st</w:t>
      </w:r>
      <w:r>
        <w:t xml:space="preserve"> February 2024.</w:t>
      </w:r>
      <w:r>
        <w:rPr>
          <w:spacing w:val="80"/>
        </w:rPr>
        <w:t xml:space="preserve"> </w:t>
      </w:r>
      <w:r>
        <w:t>This approach was also discussed with the NICE team on a separate call after ACM1 and ahead of ACM2.</w:t>
      </w:r>
    </w:p>
    <w:p w:rsidR="000D2DCD" w:rsidRDefault="00F81CE0" w14:paraId="1074E301" w14:textId="77777777">
      <w:pPr>
        <w:pStyle w:val="ListParagraph"/>
        <w:numPr>
          <w:ilvl w:val="0"/>
          <w:numId w:val="15"/>
        </w:numPr>
        <w:tabs>
          <w:tab w:val="left" w:pos="1443"/>
          <w:tab w:val="left" w:pos="1446"/>
        </w:tabs>
        <w:spacing w:before="116" w:line="278" w:lineRule="auto"/>
        <w:ind w:right="1546"/>
        <w:jc w:val="both"/>
      </w:pPr>
      <w:r>
        <w:t>However following ACM2, the Committee rejected the ITC analysis and “</w:t>
      </w:r>
      <w:r>
        <w:rPr>
          <w:i/>
        </w:rPr>
        <w:t>concluded that it would use the OLE treated-population data for modelling treatment effect for cycles 2 to 5 as a basis for decision making, despite its limitations</w:t>
      </w:r>
      <w:r>
        <w:t>” (paragraph 3.12 FDG).</w:t>
      </w:r>
      <w:r>
        <w:rPr>
          <w:spacing w:val="40"/>
        </w:rPr>
        <w:t xml:space="preserve"> </w:t>
      </w:r>
      <w:r>
        <w:t>The Committee’s reasons included the following (together with UCB’s response):</w:t>
      </w:r>
    </w:p>
    <w:p w:rsidR="000D2DCD" w:rsidRDefault="000D2DCD" w14:paraId="1074E302"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303" w14:textId="77777777">
      <w:pPr>
        <w:pStyle w:val="BodyText"/>
      </w:pPr>
    </w:p>
    <w:p w:rsidR="000D2DCD" w:rsidRDefault="000D2DCD" w14:paraId="1074E304" w14:textId="77777777">
      <w:pPr>
        <w:pStyle w:val="BodyText"/>
        <w:spacing w:before="59"/>
      </w:pPr>
    </w:p>
    <w:p w:rsidR="000D2DCD" w:rsidRDefault="00F81CE0" w14:paraId="1074E305" w14:textId="77777777">
      <w:pPr>
        <w:pStyle w:val="ListParagraph"/>
        <w:numPr>
          <w:ilvl w:val="1"/>
          <w:numId w:val="15"/>
        </w:numPr>
        <w:tabs>
          <w:tab w:val="left" w:pos="1552"/>
          <w:tab w:val="left" w:pos="2199"/>
        </w:tabs>
        <w:spacing w:before="0" w:line="278" w:lineRule="auto"/>
        <w:ind w:right="1549" w:hanging="432"/>
        <w:jc w:val="both"/>
        <w:rPr>
          <w:i/>
        </w:rPr>
      </w:pPr>
      <w:r>
        <w:rPr>
          <w:i/>
        </w:rPr>
        <w:t>“Cannabidiol</w:t>
      </w:r>
      <w:r>
        <w:rPr>
          <w:i/>
          <w:spacing w:val="80"/>
        </w:rPr>
        <w:t xml:space="preserve"> </w:t>
      </w:r>
      <w:r>
        <w:rPr>
          <w:i/>
        </w:rPr>
        <w:t>alone</w:t>
      </w:r>
      <w:r>
        <w:rPr>
          <w:i/>
          <w:spacing w:val="80"/>
        </w:rPr>
        <w:t xml:space="preserve"> </w:t>
      </w:r>
      <w:r>
        <w:rPr>
          <w:i/>
        </w:rPr>
        <w:t>rather</w:t>
      </w:r>
      <w:r>
        <w:rPr>
          <w:i/>
          <w:spacing w:val="80"/>
        </w:rPr>
        <w:t xml:space="preserve"> </w:t>
      </w:r>
      <w:r>
        <w:rPr>
          <w:i/>
        </w:rPr>
        <w:t>than</w:t>
      </w:r>
      <w:r>
        <w:rPr>
          <w:i/>
          <w:spacing w:val="80"/>
        </w:rPr>
        <w:t xml:space="preserve"> </w:t>
      </w:r>
      <w:r>
        <w:rPr>
          <w:i/>
        </w:rPr>
        <w:t>cannabidiol</w:t>
      </w:r>
      <w:r>
        <w:rPr>
          <w:i/>
          <w:spacing w:val="80"/>
        </w:rPr>
        <w:t xml:space="preserve"> </w:t>
      </w:r>
      <w:r>
        <w:rPr>
          <w:i/>
        </w:rPr>
        <w:t>plus</w:t>
      </w:r>
      <w:r>
        <w:rPr>
          <w:i/>
          <w:spacing w:val="80"/>
        </w:rPr>
        <w:t xml:space="preserve"> </w:t>
      </w:r>
      <w:r>
        <w:rPr>
          <w:i/>
        </w:rPr>
        <w:t>clobazam</w:t>
      </w:r>
      <w:r>
        <w:rPr>
          <w:i/>
          <w:spacing w:val="80"/>
        </w:rPr>
        <w:t xml:space="preserve"> </w:t>
      </w:r>
      <w:r>
        <w:rPr>
          <w:i/>
        </w:rPr>
        <w:t xml:space="preserve">was included as a comparator in the OLE NMA” </w:t>
      </w:r>
      <w:r>
        <w:t>(paragraph 3.7)</w:t>
      </w:r>
    </w:p>
    <w:p w:rsidR="000D2DCD" w:rsidRDefault="00F81CE0" w14:paraId="1074E306" w14:textId="77777777">
      <w:pPr>
        <w:pStyle w:val="ListParagraph"/>
        <w:numPr>
          <w:ilvl w:val="2"/>
          <w:numId w:val="15"/>
        </w:numPr>
        <w:tabs>
          <w:tab w:val="left" w:pos="1984"/>
          <w:tab w:val="left" w:pos="2198"/>
        </w:tabs>
        <w:spacing w:line="278" w:lineRule="auto"/>
        <w:ind w:hanging="504"/>
        <w:jc w:val="both"/>
      </w:pPr>
      <w:r>
        <w:t>However cannabidiol plus clobazam was not used in the</w:t>
      </w:r>
      <w:r>
        <w:rPr>
          <w:spacing w:val="-3"/>
        </w:rPr>
        <w:t xml:space="preserve"> </w:t>
      </w:r>
      <w:r>
        <w:t>OLE</w:t>
      </w:r>
      <w:r>
        <w:rPr>
          <w:spacing w:val="-1"/>
        </w:rPr>
        <w:t xml:space="preserve"> </w:t>
      </w:r>
      <w:r>
        <w:t>treated population either, as data for the combination are not available.</w:t>
      </w:r>
    </w:p>
    <w:p w:rsidR="000D2DCD" w:rsidRDefault="00F81CE0" w14:paraId="1074E307" w14:textId="77777777">
      <w:pPr>
        <w:pStyle w:val="ListParagraph"/>
        <w:numPr>
          <w:ilvl w:val="1"/>
          <w:numId w:val="15"/>
        </w:numPr>
        <w:tabs>
          <w:tab w:val="left" w:pos="1552"/>
          <w:tab w:val="left" w:pos="2199"/>
        </w:tabs>
        <w:spacing w:line="278" w:lineRule="auto"/>
        <w:ind w:right="1549" w:hanging="432"/>
        <w:jc w:val="both"/>
        <w:rPr>
          <w:i/>
        </w:rPr>
      </w:pPr>
      <w:r>
        <w:rPr>
          <w:i/>
        </w:rPr>
        <w:t>“The purpose of a placebo arm is to determine the true effect of an intervention. Potential changes in the</w:t>
      </w:r>
      <w:r>
        <w:rPr>
          <w:i/>
          <w:spacing w:val="-1"/>
        </w:rPr>
        <w:t xml:space="preserve"> </w:t>
      </w:r>
      <w:r>
        <w:rPr>
          <w:i/>
        </w:rPr>
        <w:t>placebo response during</w:t>
      </w:r>
      <w:r>
        <w:rPr>
          <w:i/>
          <w:spacing w:val="-1"/>
        </w:rPr>
        <w:t xml:space="preserve"> </w:t>
      </w:r>
      <w:r>
        <w:rPr>
          <w:i/>
        </w:rPr>
        <w:t>the</w:t>
      </w:r>
      <w:r>
        <w:rPr>
          <w:i/>
          <w:spacing w:val="-1"/>
        </w:rPr>
        <w:t xml:space="preserve"> </w:t>
      </w:r>
      <w:r>
        <w:rPr>
          <w:i/>
        </w:rPr>
        <w:t>trials, for example</w:t>
      </w:r>
      <w:r>
        <w:rPr>
          <w:i/>
          <w:spacing w:val="-7"/>
        </w:rPr>
        <w:t xml:space="preserve"> </w:t>
      </w:r>
      <w:r>
        <w:rPr>
          <w:i/>
        </w:rPr>
        <w:t>because</w:t>
      </w:r>
      <w:r>
        <w:rPr>
          <w:i/>
          <w:spacing w:val="-7"/>
        </w:rPr>
        <w:t xml:space="preserve"> </w:t>
      </w:r>
      <w:r>
        <w:rPr>
          <w:i/>
        </w:rPr>
        <w:t>of</w:t>
      </w:r>
      <w:r>
        <w:rPr>
          <w:i/>
          <w:spacing w:val="-8"/>
        </w:rPr>
        <w:t xml:space="preserve"> </w:t>
      </w:r>
      <w:r>
        <w:rPr>
          <w:i/>
        </w:rPr>
        <w:t>changes</w:t>
      </w:r>
      <w:r>
        <w:rPr>
          <w:i/>
          <w:spacing w:val="-7"/>
        </w:rPr>
        <w:t xml:space="preserve"> </w:t>
      </w:r>
      <w:r>
        <w:rPr>
          <w:i/>
        </w:rPr>
        <w:t>in</w:t>
      </w:r>
      <w:r>
        <w:rPr>
          <w:i/>
          <w:spacing w:val="-10"/>
        </w:rPr>
        <w:t xml:space="preserve"> </w:t>
      </w:r>
      <w:r>
        <w:rPr>
          <w:i/>
        </w:rPr>
        <w:t>the</w:t>
      </w:r>
      <w:r>
        <w:rPr>
          <w:i/>
          <w:spacing w:val="-10"/>
        </w:rPr>
        <w:t xml:space="preserve"> </w:t>
      </w:r>
      <w:r>
        <w:rPr>
          <w:i/>
        </w:rPr>
        <w:t>participants’</w:t>
      </w:r>
      <w:r>
        <w:rPr>
          <w:i/>
          <w:spacing w:val="-10"/>
        </w:rPr>
        <w:t xml:space="preserve"> </w:t>
      </w:r>
      <w:r>
        <w:rPr>
          <w:i/>
        </w:rPr>
        <w:t>beliefs</w:t>
      </w:r>
      <w:r>
        <w:rPr>
          <w:i/>
          <w:spacing w:val="-6"/>
        </w:rPr>
        <w:t xml:space="preserve"> </w:t>
      </w:r>
      <w:r>
        <w:rPr>
          <w:i/>
        </w:rPr>
        <w:t>or</w:t>
      </w:r>
      <w:r>
        <w:rPr>
          <w:i/>
          <w:spacing w:val="-11"/>
        </w:rPr>
        <w:t xml:space="preserve"> </w:t>
      </w:r>
      <w:r>
        <w:rPr>
          <w:i/>
        </w:rPr>
        <w:t>the</w:t>
      </w:r>
      <w:r>
        <w:rPr>
          <w:i/>
          <w:spacing w:val="-8"/>
        </w:rPr>
        <w:t xml:space="preserve"> </w:t>
      </w:r>
      <w:r>
        <w:rPr>
          <w:i/>
        </w:rPr>
        <w:t>natural</w:t>
      </w:r>
      <w:r>
        <w:rPr>
          <w:i/>
          <w:spacing w:val="-10"/>
        </w:rPr>
        <w:t xml:space="preserve"> </w:t>
      </w:r>
      <w:r>
        <w:rPr>
          <w:i/>
        </w:rPr>
        <w:t xml:space="preserve">history of a disease, were not accounted for. This is a potential source of bias” </w:t>
      </w:r>
      <w:r>
        <w:t>(paragraph 3.7)</w:t>
      </w:r>
    </w:p>
    <w:p w:rsidR="000D2DCD" w:rsidRDefault="00F81CE0" w14:paraId="1074E308" w14:textId="77777777">
      <w:pPr>
        <w:pStyle w:val="ListParagraph"/>
        <w:numPr>
          <w:ilvl w:val="2"/>
          <w:numId w:val="15"/>
        </w:numPr>
        <w:tabs>
          <w:tab w:val="left" w:pos="1984"/>
          <w:tab w:val="left" w:pos="2198"/>
        </w:tabs>
        <w:spacing w:line="278" w:lineRule="auto"/>
        <w:ind w:right="1549" w:hanging="504"/>
        <w:jc w:val="both"/>
      </w:pPr>
      <w:r>
        <w:t>The criticism raised by the Committee at paragraph 3.7 of the FDG was taken from the EAG’s critique of the ITC submitted by UCB in response to consultation on Draft Guidance. The EAG’s critique was disclosed to UCB only 4 working days before ACM2, giving UCB no opportunity to address the issue. Had time permitted, UCB would have investigated and attempted to address any potential bias arising from potential changes in the placebo response.</w:t>
      </w:r>
    </w:p>
    <w:p w:rsidR="000D2DCD" w:rsidRDefault="00F81CE0" w14:paraId="1074E309" w14:textId="77777777">
      <w:pPr>
        <w:pStyle w:val="ListParagraph"/>
        <w:numPr>
          <w:ilvl w:val="1"/>
          <w:numId w:val="15"/>
        </w:numPr>
        <w:tabs>
          <w:tab w:val="left" w:pos="1552"/>
          <w:tab w:val="left" w:pos="2199"/>
        </w:tabs>
        <w:spacing w:line="278" w:lineRule="auto"/>
        <w:ind w:right="1550" w:hanging="432"/>
        <w:jc w:val="both"/>
        <w:rPr>
          <w:i/>
        </w:rPr>
      </w:pPr>
      <w:r>
        <w:rPr>
          <w:i/>
        </w:rPr>
        <w:t xml:space="preserve">“Clinical heterogeneity between the populations does not appear to have been properly investigated and meta-regressions (a statistical method to adjust for differences between trials in key characteristics) was not used.” </w:t>
      </w:r>
      <w:r>
        <w:t>(paragraph 3.7)</w:t>
      </w:r>
    </w:p>
    <w:p w:rsidR="000D2DCD" w:rsidRDefault="00F81CE0" w14:paraId="1074E30A" w14:textId="77777777">
      <w:pPr>
        <w:pStyle w:val="ListParagraph"/>
        <w:numPr>
          <w:ilvl w:val="2"/>
          <w:numId w:val="15"/>
        </w:numPr>
        <w:tabs>
          <w:tab w:val="left" w:pos="1984"/>
          <w:tab w:val="left" w:pos="2198"/>
        </w:tabs>
        <w:spacing w:before="117" w:line="278" w:lineRule="auto"/>
        <w:ind w:right="1548" w:hanging="504"/>
        <w:jc w:val="both"/>
      </w:pPr>
      <w:r>
        <w:t>This is not a valid reason to prefer a naïve comparison which, in contrast to an ITC, makes no attempt to adjust for differences between the trial populations or methodologies.</w:t>
      </w:r>
    </w:p>
    <w:p w:rsidR="000D2DCD" w:rsidRDefault="00F81CE0" w14:paraId="1074E30B" w14:textId="77777777">
      <w:pPr>
        <w:pStyle w:val="ListParagraph"/>
        <w:numPr>
          <w:ilvl w:val="0"/>
          <w:numId w:val="15"/>
        </w:numPr>
        <w:tabs>
          <w:tab w:val="left" w:pos="1443"/>
          <w:tab w:val="left" w:pos="1446"/>
        </w:tabs>
        <w:spacing w:before="118" w:line="278" w:lineRule="auto"/>
        <w:ind w:right="1546"/>
        <w:jc w:val="both"/>
      </w:pPr>
      <w:r>
        <w:t>The NICE manual does</w:t>
      </w:r>
      <w:r>
        <w:rPr>
          <w:spacing w:val="-2"/>
        </w:rPr>
        <w:t xml:space="preserve"> </w:t>
      </w:r>
      <w:r>
        <w:t>not state that naïve comparisons should be</w:t>
      </w:r>
      <w:r>
        <w:rPr>
          <w:spacing w:val="-2"/>
        </w:rPr>
        <w:t xml:space="preserve"> </w:t>
      </w:r>
      <w:r>
        <w:t xml:space="preserve">favoured over ITCs if there are uncertainties within the ITC, or remaining assumptions that can be mitigated.. Section 6.2.9 of the Manual states: </w:t>
      </w:r>
      <w:r>
        <w:rPr>
          <w:i/>
        </w:rPr>
        <w:t>“Alternative methods, such as meta-analysis and indirect comparisons (including, for example, observational studies with a comparator drawn from the population through a matching-adjusted indirect comparison) may be considered when an RCT was not possible. The methods used to do the analysis must be rigorous and transparent.”</w:t>
      </w:r>
      <w:r>
        <w:t>.</w:t>
      </w:r>
    </w:p>
    <w:p w:rsidR="000D2DCD" w:rsidRDefault="00F81CE0" w14:paraId="1074E30C" w14:textId="77777777">
      <w:pPr>
        <w:pStyle w:val="ListParagraph"/>
        <w:numPr>
          <w:ilvl w:val="0"/>
          <w:numId w:val="15"/>
        </w:numPr>
        <w:tabs>
          <w:tab w:val="left" w:pos="1443"/>
          <w:tab w:val="left" w:pos="1446"/>
        </w:tabs>
        <w:spacing w:before="118" w:line="278" w:lineRule="auto"/>
        <w:jc w:val="both"/>
      </w:pPr>
      <w:r>
        <w:t>While the Committee noted that a naïve comparison using the treated populations from the OLR studies may be subject to bias, it focussed on the criticisms of the</w:t>
      </w:r>
      <w:r>
        <w:rPr>
          <w:spacing w:val="-2"/>
        </w:rPr>
        <w:t xml:space="preserve"> </w:t>
      </w:r>
      <w:r>
        <w:t>ITC identified by the EAG (which lack merit as stated above) without considering the to the larger uncertainty of the naïve comparison.</w:t>
      </w:r>
    </w:p>
    <w:p w:rsidR="000D2DCD" w:rsidRDefault="00F81CE0" w14:paraId="1074E30D" w14:textId="77777777">
      <w:pPr>
        <w:pStyle w:val="ListParagraph"/>
        <w:numPr>
          <w:ilvl w:val="0"/>
          <w:numId w:val="15"/>
        </w:numPr>
        <w:tabs>
          <w:tab w:val="left" w:pos="1443"/>
          <w:tab w:val="left" w:pos="1446"/>
        </w:tabs>
        <w:spacing w:before="118" w:line="278" w:lineRule="auto"/>
        <w:jc w:val="both"/>
      </w:pPr>
      <w:r>
        <w:t>Ultimately the committee has agreed that FFA is worse vs CBD based on an analysis</w:t>
      </w:r>
      <w:r>
        <w:rPr>
          <w:spacing w:val="-8"/>
        </w:rPr>
        <w:t xml:space="preserve"> </w:t>
      </w:r>
      <w:r>
        <w:t>showing</w:t>
      </w:r>
      <w:r>
        <w:rPr>
          <w:spacing w:val="-7"/>
        </w:rPr>
        <w:t xml:space="preserve"> </w:t>
      </w:r>
      <w:r>
        <w:t>only</w:t>
      </w:r>
      <w:r>
        <w:rPr>
          <w:spacing w:val="-11"/>
        </w:rPr>
        <w:t xml:space="preserve"> </w:t>
      </w:r>
      <w:r>
        <w:t>a</w:t>
      </w:r>
      <w:r>
        <w:rPr>
          <w:spacing w:val="-8"/>
        </w:rPr>
        <w:t xml:space="preserve"> </w:t>
      </w:r>
      <w:r>
        <w:t>-0.09</w:t>
      </w:r>
      <w:r>
        <w:rPr>
          <w:spacing w:val="-8"/>
        </w:rPr>
        <w:t xml:space="preserve"> </w:t>
      </w:r>
      <w:r>
        <w:t>loss</w:t>
      </w:r>
      <w:r>
        <w:rPr>
          <w:spacing w:val="-9"/>
        </w:rPr>
        <w:t xml:space="preserve"> </w:t>
      </w:r>
      <w:r>
        <w:t>in</w:t>
      </w:r>
      <w:r>
        <w:rPr>
          <w:spacing w:val="-11"/>
        </w:rPr>
        <w:t xml:space="preserve"> </w:t>
      </w:r>
      <w:r>
        <w:t>QALYs</w:t>
      </w:r>
      <w:r>
        <w:rPr>
          <w:spacing w:val="-8"/>
        </w:rPr>
        <w:t xml:space="preserve"> </w:t>
      </w:r>
      <w:r>
        <w:t>as</w:t>
      </w:r>
      <w:r>
        <w:rPr>
          <w:spacing w:val="-11"/>
        </w:rPr>
        <w:t xml:space="preserve"> </w:t>
      </w:r>
      <w:r>
        <w:t>shown</w:t>
      </w:r>
      <w:r>
        <w:rPr>
          <w:spacing w:val="-9"/>
        </w:rPr>
        <w:t xml:space="preserve"> </w:t>
      </w:r>
      <w:r>
        <w:t>in</w:t>
      </w:r>
      <w:r>
        <w:rPr>
          <w:spacing w:val="-9"/>
        </w:rPr>
        <w:t xml:space="preserve"> </w:t>
      </w:r>
      <w:r>
        <w:t>committee</w:t>
      </w:r>
      <w:r>
        <w:rPr>
          <w:spacing w:val="-12"/>
        </w:rPr>
        <w:t xml:space="preserve"> </w:t>
      </w:r>
      <w:r>
        <w:t>2</w:t>
      </w:r>
      <w:r>
        <w:rPr>
          <w:spacing w:val="-9"/>
        </w:rPr>
        <w:t xml:space="preserve"> </w:t>
      </w:r>
      <w:r>
        <w:t>papers. NICE</w:t>
      </w:r>
      <w:r>
        <w:rPr>
          <w:spacing w:val="-9"/>
        </w:rPr>
        <w:t xml:space="preserve"> </w:t>
      </w:r>
      <w:r>
        <w:t>have</w:t>
      </w:r>
      <w:r>
        <w:rPr>
          <w:spacing w:val="-8"/>
        </w:rPr>
        <w:t xml:space="preserve"> </w:t>
      </w:r>
      <w:r>
        <w:t>not</w:t>
      </w:r>
      <w:r>
        <w:rPr>
          <w:spacing w:val="-7"/>
        </w:rPr>
        <w:t xml:space="preserve"> </w:t>
      </w:r>
      <w:r>
        <w:t>considered</w:t>
      </w:r>
      <w:r>
        <w:rPr>
          <w:spacing w:val="-9"/>
        </w:rPr>
        <w:t xml:space="preserve"> </w:t>
      </w:r>
      <w:r>
        <w:t>or</w:t>
      </w:r>
      <w:r>
        <w:rPr>
          <w:spacing w:val="-8"/>
        </w:rPr>
        <w:t xml:space="preserve"> </w:t>
      </w:r>
      <w:r>
        <w:t>allowed</w:t>
      </w:r>
      <w:r>
        <w:rPr>
          <w:spacing w:val="-9"/>
        </w:rPr>
        <w:t xml:space="preserve"> </w:t>
      </w:r>
      <w:r>
        <w:t>UCB</w:t>
      </w:r>
      <w:r>
        <w:rPr>
          <w:spacing w:val="-9"/>
        </w:rPr>
        <w:t xml:space="preserve"> </w:t>
      </w:r>
      <w:r>
        <w:t>to</w:t>
      </w:r>
      <w:r>
        <w:rPr>
          <w:spacing w:val="-9"/>
        </w:rPr>
        <w:t xml:space="preserve"> </w:t>
      </w:r>
      <w:r>
        <w:t>argue</w:t>
      </w:r>
      <w:r>
        <w:rPr>
          <w:spacing w:val="-9"/>
        </w:rPr>
        <w:t xml:space="preserve"> </w:t>
      </w:r>
      <w:r>
        <w:t>equal</w:t>
      </w:r>
      <w:r>
        <w:rPr>
          <w:spacing w:val="-10"/>
        </w:rPr>
        <w:t xml:space="preserve"> </w:t>
      </w:r>
      <w:r>
        <w:t>efficacy</w:t>
      </w:r>
      <w:r>
        <w:rPr>
          <w:spacing w:val="-11"/>
        </w:rPr>
        <w:t xml:space="preserve"> </w:t>
      </w:r>
      <w:r>
        <w:t>(the</w:t>
      </w:r>
      <w:r>
        <w:rPr>
          <w:spacing w:val="-12"/>
        </w:rPr>
        <w:t xml:space="preserve"> </w:t>
      </w:r>
      <w:r>
        <w:t>middle point between UCBs proposition and the EAGs analysis)</w:t>
      </w:r>
    </w:p>
    <w:p w:rsidR="000D2DCD" w:rsidRDefault="00F81CE0" w14:paraId="1074E30E" w14:textId="77777777">
      <w:pPr>
        <w:pStyle w:val="ListParagraph"/>
        <w:numPr>
          <w:ilvl w:val="0"/>
          <w:numId w:val="15"/>
        </w:numPr>
        <w:tabs>
          <w:tab w:val="left" w:pos="1443"/>
          <w:tab w:val="left" w:pos="1446"/>
        </w:tabs>
        <w:spacing w:line="278" w:lineRule="auto"/>
        <w:ind w:right="1552"/>
        <w:jc w:val="both"/>
      </w:pPr>
      <w:r>
        <w:t>Equal</w:t>
      </w:r>
      <w:r>
        <w:rPr>
          <w:spacing w:val="-11"/>
        </w:rPr>
        <w:t xml:space="preserve"> </w:t>
      </w:r>
      <w:r>
        <w:t>efficacy</w:t>
      </w:r>
      <w:r>
        <w:rPr>
          <w:spacing w:val="-11"/>
        </w:rPr>
        <w:t xml:space="preserve"> </w:t>
      </w:r>
      <w:r>
        <w:t>was</w:t>
      </w:r>
      <w:r>
        <w:rPr>
          <w:spacing w:val="-10"/>
        </w:rPr>
        <w:t xml:space="preserve"> </w:t>
      </w:r>
      <w:r>
        <w:t>raised</w:t>
      </w:r>
      <w:r>
        <w:rPr>
          <w:spacing w:val="-10"/>
        </w:rPr>
        <w:t xml:space="preserve"> </w:t>
      </w:r>
      <w:r>
        <w:t>as</w:t>
      </w:r>
      <w:r>
        <w:rPr>
          <w:spacing w:val="-10"/>
        </w:rPr>
        <w:t xml:space="preserve"> </w:t>
      </w:r>
      <w:r>
        <w:t>a</w:t>
      </w:r>
      <w:r>
        <w:rPr>
          <w:spacing w:val="-10"/>
        </w:rPr>
        <w:t xml:space="preserve"> </w:t>
      </w:r>
      <w:r>
        <w:t>point</w:t>
      </w:r>
      <w:r>
        <w:rPr>
          <w:spacing w:val="-9"/>
        </w:rPr>
        <w:t xml:space="preserve"> </w:t>
      </w:r>
      <w:r>
        <w:t>during</w:t>
      </w:r>
      <w:r>
        <w:rPr>
          <w:spacing w:val="-8"/>
        </w:rPr>
        <w:t xml:space="preserve"> </w:t>
      </w:r>
      <w:r>
        <w:t>ACM1</w:t>
      </w:r>
      <w:r>
        <w:rPr>
          <w:spacing w:val="-8"/>
        </w:rPr>
        <w:t xml:space="preserve"> </w:t>
      </w:r>
      <w:r>
        <w:t>but</w:t>
      </w:r>
      <w:r>
        <w:rPr>
          <w:spacing w:val="-8"/>
        </w:rPr>
        <w:t xml:space="preserve"> </w:t>
      </w:r>
      <w:r>
        <w:t>it</w:t>
      </w:r>
      <w:r>
        <w:rPr>
          <w:spacing w:val="-8"/>
        </w:rPr>
        <w:t xml:space="preserve"> </w:t>
      </w:r>
      <w:r>
        <w:t>was</w:t>
      </w:r>
      <w:r>
        <w:rPr>
          <w:spacing w:val="-10"/>
        </w:rPr>
        <w:t xml:space="preserve"> </w:t>
      </w:r>
      <w:r>
        <w:t>not</w:t>
      </w:r>
      <w:r>
        <w:rPr>
          <w:spacing w:val="-8"/>
        </w:rPr>
        <w:t xml:space="preserve"> </w:t>
      </w:r>
      <w:r>
        <w:t>considered</w:t>
      </w:r>
      <w:r>
        <w:rPr>
          <w:spacing w:val="-10"/>
        </w:rPr>
        <w:t xml:space="preserve"> </w:t>
      </w:r>
      <w:r>
        <w:t>or mentioned in committee papers</w:t>
      </w:r>
    </w:p>
    <w:p w:rsidR="000D2DCD" w:rsidRDefault="00F81CE0" w14:paraId="1074E30F" w14:textId="77777777">
      <w:pPr>
        <w:pStyle w:val="ListParagraph"/>
        <w:numPr>
          <w:ilvl w:val="0"/>
          <w:numId w:val="15"/>
        </w:numPr>
        <w:tabs>
          <w:tab w:val="left" w:pos="1443"/>
          <w:tab w:val="left" w:pos="1446"/>
        </w:tabs>
        <w:spacing w:line="278" w:lineRule="auto"/>
        <w:ind w:right="1553"/>
        <w:jc w:val="both"/>
      </w:pPr>
      <w:r>
        <w:t>In</w:t>
      </w:r>
      <w:r>
        <w:rPr>
          <w:spacing w:val="-2"/>
        </w:rPr>
        <w:t xml:space="preserve"> </w:t>
      </w:r>
      <w:r>
        <w:t>summary, an</w:t>
      </w:r>
      <w:r>
        <w:rPr>
          <w:spacing w:val="-4"/>
        </w:rPr>
        <w:t xml:space="preserve"> </w:t>
      </w:r>
      <w:r>
        <w:t>ITC</w:t>
      </w:r>
      <w:r>
        <w:rPr>
          <w:spacing w:val="-5"/>
        </w:rPr>
        <w:t xml:space="preserve"> </w:t>
      </w:r>
      <w:r>
        <w:t>is</w:t>
      </w:r>
      <w:r>
        <w:rPr>
          <w:spacing w:val="-1"/>
        </w:rPr>
        <w:t xml:space="preserve"> </w:t>
      </w:r>
      <w:r>
        <w:t>a</w:t>
      </w:r>
      <w:r>
        <w:rPr>
          <w:spacing w:val="-6"/>
        </w:rPr>
        <w:t xml:space="preserve"> </w:t>
      </w:r>
      <w:r>
        <w:t>more</w:t>
      </w:r>
      <w:r>
        <w:rPr>
          <w:spacing w:val="-4"/>
        </w:rPr>
        <w:t xml:space="preserve"> </w:t>
      </w:r>
      <w:r>
        <w:t>robust and</w:t>
      </w:r>
      <w:r>
        <w:rPr>
          <w:spacing w:val="-6"/>
        </w:rPr>
        <w:t xml:space="preserve"> </w:t>
      </w:r>
      <w:r>
        <w:t>therefore</w:t>
      </w:r>
      <w:r>
        <w:rPr>
          <w:spacing w:val="-2"/>
        </w:rPr>
        <w:t xml:space="preserve"> </w:t>
      </w:r>
      <w:r>
        <w:t>preferred</w:t>
      </w:r>
      <w:r>
        <w:rPr>
          <w:spacing w:val="-2"/>
        </w:rPr>
        <w:t xml:space="preserve"> </w:t>
      </w:r>
      <w:r>
        <w:t>way</w:t>
      </w:r>
      <w:r>
        <w:rPr>
          <w:spacing w:val="-4"/>
        </w:rPr>
        <w:t xml:space="preserve"> </w:t>
      </w:r>
      <w:r>
        <w:t>to</w:t>
      </w:r>
      <w:r>
        <w:rPr>
          <w:spacing w:val="-2"/>
        </w:rPr>
        <w:t xml:space="preserve"> </w:t>
      </w:r>
      <w:r>
        <w:t>compare data</w:t>
      </w:r>
      <w:r>
        <w:rPr>
          <w:spacing w:val="19"/>
        </w:rPr>
        <w:t xml:space="preserve"> </w:t>
      </w:r>
      <w:r>
        <w:t>from</w:t>
      </w:r>
      <w:r>
        <w:rPr>
          <w:spacing w:val="20"/>
        </w:rPr>
        <w:t xml:space="preserve"> </w:t>
      </w:r>
      <w:r>
        <w:t>different</w:t>
      </w:r>
      <w:r>
        <w:rPr>
          <w:spacing w:val="20"/>
        </w:rPr>
        <w:t xml:space="preserve"> </w:t>
      </w:r>
      <w:r>
        <w:t>trials.</w:t>
      </w:r>
      <w:r>
        <w:rPr>
          <w:spacing w:val="80"/>
        </w:rPr>
        <w:t xml:space="preserve"> </w:t>
      </w:r>
      <w:r>
        <w:t>In</w:t>
      </w:r>
      <w:r>
        <w:rPr>
          <w:spacing w:val="19"/>
        </w:rPr>
        <w:t xml:space="preserve"> </w:t>
      </w:r>
      <w:r>
        <w:t>this</w:t>
      </w:r>
      <w:r>
        <w:rPr>
          <w:spacing w:val="19"/>
        </w:rPr>
        <w:t xml:space="preserve"> </w:t>
      </w:r>
      <w:r>
        <w:t>case</w:t>
      </w:r>
      <w:r>
        <w:rPr>
          <w:spacing w:val="18"/>
        </w:rPr>
        <w:t xml:space="preserve"> </w:t>
      </w:r>
      <w:r>
        <w:t>however</w:t>
      </w:r>
      <w:r>
        <w:rPr>
          <w:spacing w:val="22"/>
        </w:rPr>
        <w:t xml:space="preserve"> </w:t>
      </w:r>
      <w:r>
        <w:t>the</w:t>
      </w:r>
      <w:r>
        <w:rPr>
          <w:spacing w:val="21"/>
        </w:rPr>
        <w:t xml:space="preserve"> </w:t>
      </w:r>
      <w:r>
        <w:t>Committee</w:t>
      </w:r>
      <w:r>
        <w:rPr>
          <w:spacing w:val="21"/>
        </w:rPr>
        <w:t xml:space="preserve"> </w:t>
      </w:r>
      <w:r>
        <w:t>has</w:t>
      </w:r>
      <w:r>
        <w:rPr>
          <w:spacing w:val="19"/>
        </w:rPr>
        <w:t xml:space="preserve"> </w:t>
      </w:r>
      <w:r>
        <w:t>made</w:t>
      </w:r>
      <w:r>
        <w:rPr>
          <w:spacing w:val="21"/>
        </w:rPr>
        <w:t xml:space="preserve"> </w:t>
      </w:r>
      <w:r>
        <w:t>a</w:t>
      </w:r>
    </w:p>
    <w:p w:rsidR="000D2DCD" w:rsidRDefault="000D2DCD" w14:paraId="1074E310"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311" w14:textId="77777777">
      <w:pPr>
        <w:pStyle w:val="BodyText"/>
      </w:pPr>
    </w:p>
    <w:p w:rsidR="000D2DCD" w:rsidRDefault="000D2DCD" w14:paraId="1074E312" w14:textId="77777777">
      <w:pPr>
        <w:pStyle w:val="BodyText"/>
        <w:spacing w:before="59"/>
      </w:pPr>
    </w:p>
    <w:p w:rsidR="000D2DCD" w:rsidRDefault="00F81CE0" w14:paraId="1074E313" w14:textId="77777777">
      <w:pPr>
        <w:pStyle w:val="BodyText"/>
        <w:spacing w:line="278" w:lineRule="auto"/>
        <w:ind w:left="1446" w:right="1549"/>
        <w:jc w:val="both"/>
      </w:pPr>
      <w:r>
        <w:t xml:space="preserve">number of criticisms of the ITC (most of which are invalid) and, while recognising that a naïve comparison may be associated with bias has failed to consider the potential impact of such biases or to assess which methodology is likely to be associated with greater certainty. This is </w:t>
      </w:r>
      <w:r>
        <w:rPr>
          <w:spacing w:val="-2"/>
        </w:rPr>
        <w:t>unreasonable.</w:t>
      </w:r>
    </w:p>
    <w:p w:rsidR="000D2DCD" w:rsidRDefault="00F81CE0" w14:paraId="1074E314" w14:textId="77777777">
      <w:pPr>
        <w:pStyle w:val="Heading1"/>
        <w:numPr>
          <w:ilvl w:val="0"/>
          <w:numId w:val="3"/>
        </w:numPr>
        <w:tabs>
          <w:tab w:val="left" w:pos="2201"/>
        </w:tabs>
        <w:spacing w:before="115" w:line="352" w:lineRule="auto"/>
        <w:ind w:right="1491"/>
      </w:pPr>
      <w:r>
        <w:t>Ground 2.2: The Committee’s conclusions in relation to the waning</w:t>
      </w:r>
      <w:r>
        <w:rPr>
          <w:spacing w:val="-2"/>
        </w:rPr>
        <w:t xml:space="preserve"> </w:t>
      </w:r>
      <w:r>
        <w:t>of</w:t>
      </w:r>
      <w:r>
        <w:rPr>
          <w:spacing w:val="-1"/>
        </w:rPr>
        <w:t xml:space="preserve"> </w:t>
      </w:r>
      <w:r>
        <w:t>the</w:t>
      </w:r>
      <w:r>
        <w:rPr>
          <w:spacing w:val="-3"/>
        </w:rPr>
        <w:t xml:space="preserve"> </w:t>
      </w:r>
      <w:r>
        <w:t>treatment effects</w:t>
      </w:r>
      <w:r>
        <w:rPr>
          <w:spacing w:val="-2"/>
        </w:rPr>
        <w:t xml:space="preserve"> </w:t>
      </w:r>
      <w:r>
        <w:t>associated</w:t>
      </w:r>
      <w:r>
        <w:rPr>
          <w:spacing w:val="-4"/>
        </w:rPr>
        <w:t xml:space="preserve"> </w:t>
      </w:r>
      <w:r>
        <w:t>with fenfluramine</w:t>
      </w:r>
      <w:r>
        <w:rPr>
          <w:spacing w:val="-3"/>
        </w:rPr>
        <w:t xml:space="preserve"> </w:t>
      </w:r>
      <w:r>
        <w:t>and cannabidiol</w:t>
      </w:r>
      <w:r>
        <w:rPr>
          <w:spacing w:val="-1"/>
        </w:rPr>
        <w:t xml:space="preserve"> </w:t>
      </w:r>
      <w:r>
        <w:t>are</w:t>
      </w:r>
      <w:r>
        <w:rPr>
          <w:spacing w:val="-4"/>
        </w:rPr>
        <w:t xml:space="preserve"> </w:t>
      </w:r>
      <w:r>
        <w:t>inconsistent</w:t>
      </w:r>
      <w:r>
        <w:rPr>
          <w:spacing w:val="-6"/>
        </w:rPr>
        <w:t xml:space="preserve"> </w:t>
      </w:r>
      <w:r>
        <w:t>with</w:t>
      </w:r>
      <w:r>
        <w:rPr>
          <w:spacing w:val="-4"/>
        </w:rPr>
        <w:t xml:space="preserve"> </w:t>
      </w:r>
      <w:r>
        <w:t>the</w:t>
      </w:r>
      <w:r>
        <w:rPr>
          <w:spacing w:val="-5"/>
        </w:rPr>
        <w:t xml:space="preserve"> </w:t>
      </w:r>
      <w:r>
        <w:t>available</w:t>
      </w:r>
      <w:r>
        <w:rPr>
          <w:spacing w:val="-4"/>
        </w:rPr>
        <w:t xml:space="preserve"> </w:t>
      </w:r>
      <w:r>
        <w:t>evidence</w:t>
      </w:r>
      <w:r>
        <w:rPr>
          <w:spacing w:val="-3"/>
        </w:rPr>
        <w:t xml:space="preserve"> </w:t>
      </w:r>
      <w:r>
        <w:t>and</w:t>
      </w:r>
      <w:r>
        <w:rPr>
          <w:spacing w:val="-7"/>
        </w:rPr>
        <w:t xml:space="preserve"> </w:t>
      </w:r>
      <w:r>
        <w:t>with the approach followed in previous appraisals.</w:t>
      </w:r>
    </w:p>
    <w:p w:rsidR="000D2DCD" w:rsidRDefault="00F81CE0" w14:paraId="1074E315" w14:textId="77777777">
      <w:pPr>
        <w:pStyle w:val="ListParagraph"/>
        <w:numPr>
          <w:ilvl w:val="0"/>
          <w:numId w:val="15"/>
        </w:numPr>
        <w:tabs>
          <w:tab w:val="left" w:pos="1446"/>
        </w:tabs>
        <w:spacing w:before="120"/>
        <w:ind w:right="0" w:hanging="573"/>
        <w:jc w:val="left"/>
      </w:pPr>
      <w:r>
        <w:t>At</w:t>
      </w:r>
      <w:r>
        <w:rPr>
          <w:spacing w:val="-3"/>
        </w:rPr>
        <w:t xml:space="preserve"> </w:t>
      </w:r>
      <w:r>
        <w:t>paragraph</w:t>
      </w:r>
      <w:r>
        <w:rPr>
          <w:spacing w:val="-5"/>
        </w:rPr>
        <w:t xml:space="preserve"> </w:t>
      </w:r>
      <w:r>
        <w:t>3.14</w:t>
      </w:r>
      <w:r>
        <w:rPr>
          <w:spacing w:val="-4"/>
        </w:rPr>
        <w:t xml:space="preserve"> </w:t>
      </w:r>
      <w:r>
        <w:t>of</w:t>
      </w:r>
      <w:r>
        <w:rPr>
          <w:spacing w:val="-1"/>
        </w:rPr>
        <w:t xml:space="preserve"> </w:t>
      </w:r>
      <w:r>
        <w:t>the</w:t>
      </w:r>
      <w:r>
        <w:rPr>
          <w:spacing w:val="-8"/>
        </w:rPr>
        <w:t xml:space="preserve"> </w:t>
      </w:r>
      <w:r>
        <w:t>FDG,</w:t>
      </w:r>
      <w:r>
        <w:rPr>
          <w:spacing w:val="-3"/>
        </w:rPr>
        <w:t xml:space="preserve"> </w:t>
      </w:r>
      <w:r>
        <w:t>the</w:t>
      </w:r>
      <w:r>
        <w:rPr>
          <w:spacing w:val="-5"/>
        </w:rPr>
        <w:t xml:space="preserve"> </w:t>
      </w:r>
      <w:r>
        <w:t>Committee</w:t>
      </w:r>
      <w:r>
        <w:rPr>
          <w:spacing w:val="-4"/>
        </w:rPr>
        <w:t xml:space="preserve"> </w:t>
      </w:r>
      <w:r>
        <w:rPr>
          <w:spacing w:val="-2"/>
        </w:rPr>
        <w:t>concludes:</w:t>
      </w:r>
    </w:p>
    <w:p w:rsidR="000D2DCD" w:rsidRDefault="00F81CE0" w14:paraId="1074E316" w14:textId="77777777">
      <w:pPr>
        <w:spacing w:before="160" w:line="278" w:lineRule="auto"/>
        <w:ind w:left="2201" w:right="1549"/>
        <w:jc w:val="both"/>
        <w:rPr>
          <w:i/>
        </w:rPr>
      </w:pPr>
      <w:r>
        <w:t>“….</w:t>
      </w:r>
      <w:r>
        <w:rPr>
          <w:i/>
        </w:rPr>
        <w:t>it</w:t>
      </w:r>
      <w:r>
        <w:rPr>
          <w:i/>
          <w:spacing w:val="-13"/>
        </w:rPr>
        <w:t xml:space="preserve"> </w:t>
      </w:r>
      <w:r>
        <w:rPr>
          <w:i/>
        </w:rPr>
        <w:t>preferred</w:t>
      </w:r>
      <w:r>
        <w:rPr>
          <w:i/>
          <w:spacing w:val="-13"/>
        </w:rPr>
        <w:t xml:space="preserve"> </w:t>
      </w:r>
      <w:r>
        <w:rPr>
          <w:i/>
        </w:rPr>
        <w:t>to</w:t>
      </w:r>
      <w:r>
        <w:rPr>
          <w:i/>
          <w:spacing w:val="-15"/>
        </w:rPr>
        <w:t xml:space="preserve"> </w:t>
      </w:r>
      <w:r>
        <w:rPr>
          <w:i/>
        </w:rPr>
        <w:t>calculate</w:t>
      </w:r>
      <w:r>
        <w:rPr>
          <w:i/>
          <w:spacing w:val="-12"/>
        </w:rPr>
        <w:t xml:space="preserve"> </w:t>
      </w:r>
      <w:r>
        <w:rPr>
          <w:i/>
        </w:rPr>
        <w:t>treatment</w:t>
      </w:r>
      <w:r>
        <w:rPr>
          <w:i/>
          <w:spacing w:val="-13"/>
        </w:rPr>
        <w:t xml:space="preserve"> </w:t>
      </w:r>
      <w:r>
        <w:rPr>
          <w:i/>
        </w:rPr>
        <w:t>waning</w:t>
      </w:r>
      <w:r>
        <w:rPr>
          <w:i/>
          <w:spacing w:val="-13"/>
        </w:rPr>
        <w:t xml:space="preserve"> </w:t>
      </w:r>
      <w:r>
        <w:rPr>
          <w:i/>
        </w:rPr>
        <w:t>transition</w:t>
      </w:r>
      <w:r>
        <w:rPr>
          <w:i/>
          <w:spacing w:val="-13"/>
        </w:rPr>
        <w:t xml:space="preserve"> </w:t>
      </w:r>
      <w:r>
        <w:rPr>
          <w:i/>
        </w:rPr>
        <w:t>probabilities</w:t>
      </w:r>
      <w:r>
        <w:rPr>
          <w:i/>
          <w:spacing w:val="-12"/>
        </w:rPr>
        <w:t xml:space="preserve"> </w:t>
      </w:r>
      <w:r>
        <w:rPr>
          <w:i/>
        </w:rPr>
        <w:t>by</w:t>
      </w:r>
      <w:r>
        <w:rPr>
          <w:i/>
        </w:rPr>
        <w:t xml:space="preserve"> assuming that 100% of people (rather than 5.2%) who experienced treatment waning in the last three months of the Study 1601 OLE, would experience treatment waning from cycle 10 onwards.</w:t>
      </w:r>
      <w:r>
        <w:rPr>
          <w:i/>
          <w:spacing w:val="40"/>
        </w:rPr>
        <w:t xml:space="preserve"> </w:t>
      </w:r>
      <w:r>
        <w:rPr>
          <w:i/>
        </w:rPr>
        <w:t>This translated to observed percentages of 11.14% and 9.22% of people experiencing</w:t>
      </w:r>
      <w:r>
        <w:rPr>
          <w:i/>
          <w:spacing w:val="-10"/>
        </w:rPr>
        <w:t xml:space="preserve"> </w:t>
      </w:r>
      <w:r>
        <w:rPr>
          <w:i/>
        </w:rPr>
        <w:t>treatment</w:t>
      </w:r>
      <w:r>
        <w:rPr>
          <w:i/>
          <w:spacing w:val="-11"/>
        </w:rPr>
        <w:t xml:space="preserve"> </w:t>
      </w:r>
      <w:r>
        <w:rPr>
          <w:i/>
        </w:rPr>
        <w:t>waning</w:t>
      </w:r>
      <w:r>
        <w:rPr>
          <w:i/>
          <w:spacing w:val="-10"/>
        </w:rPr>
        <w:t xml:space="preserve"> </w:t>
      </w:r>
      <w:r>
        <w:rPr>
          <w:i/>
        </w:rPr>
        <w:t>in</w:t>
      </w:r>
      <w:r>
        <w:rPr>
          <w:i/>
          <w:spacing w:val="-10"/>
        </w:rPr>
        <w:t xml:space="preserve"> </w:t>
      </w:r>
      <w:r>
        <w:rPr>
          <w:i/>
        </w:rPr>
        <w:t>model</w:t>
      </w:r>
      <w:r>
        <w:rPr>
          <w:i/>
          <w:spacing w:val="-11"/>
        </w:rPr>
        <w:t xml:space="preserve"> </w:t>
      </w:r>
      <w:r>
        <w:rPr>
          <w:i/>
        </w:rPr>
        <w:t>cycle</w:t>
      </w:r>
      <w:r>
        <w:rPr>
          <w:i/>
          <w:spacing w:val="-10"/>
        </w:rPr>
        <w:t xml:space="preserve"> </w:t>
      </w:r>
      <w:r>
        <w:rPr>
          <w:i/>
        </w:rPr>
        <w:t>10</w:t>
      </w:r>
      <w:r>
        <w:rPr>
          <w:i/>
          <w:spacing w:val="-13"/>
        </w:rPr>
        <w:t xml:space="preserve"> </w:t>
      </w:r>
      <w:r>
        <w:rPr>
          <w:i/>
        </w:rPr>
        <w:t>for</w:t>
      </w:r>
      <w:r>
        <w:rPr>
          <w:i/>
          <w:spacing w:val="-9"/>
        </w:rPr>
        <w:t xml:space="preserve"> </w:t>
      </w:r>
      <w:r>
        <w:rPr>
          <w:i/>
        </w:rPr>
        <w:t>fenfluramine</w:t>
      </w:r>
      <w:r>
        <w:rPr>
          <w:i/>
          <w:spacing w:val="-10"/>
        </w:rPr>
        <w:t xml:space="preserve"> </w:t>
      </w:r>
      <w:r>
        <w:rPr>
          <w:i/>
        </w:rPr>
        <w:t>plus SC and cannabidiol plus clobazepam plus SC, respectively”.</w:t>
      </w:r>
    </w:p>
    <w:p w:rsidR="000D2DCD" w:rsidRDefault="00F81CE0" w14:paraId="1074E317" w14:textId="77777777">
      <w:pPr>
        <w:pStyle w:val="ListParagraph"/>
        <w:numPr>
          <w:ilvl w:val="0"/>
          <w:numId w:val="15"/>
        </w:numPr>
        <w:tabs>
          <w:tab w:val="left" w:pos="1443"/>
          <w:tab w:val="left" w:pos="1446"/>
        </w:tabs>
        <w:spacing w:before="116" w:line="278" w:lineRule="auto"/>
        <w:ind w:right="1546"/>
        <w:jc w:val="both"/>
      </w:pPr>
      <w:r>
        <w:t>This conclusion is arbitrary and unreasonable: it is unexplained, it is not consistent with the available evidence for waning of treatment effect with fenfluramine and adopts a different approach to that followed in TA615.</w:t>
      </w:r>
    </w:p>
    <w:p w:rsidR="000D2DCD" w:rsidRDefault="00F81CE0" w14:paraId="1074E318" w14:textId="77777777">
      <w:pPr>
        <w:pStyle w:val="ListParagraph"/>
        <w:numPr>
          <w:ilvl w:val="0"/>
          <w:numId w:val="15"/>
        </w:numPr>
        <w:tabs>
          <w:tab w:val="left" w:pos="1443"/>
          <w:tab w:val="left" w:pos="1446"/>
        </w:tabs>
        <w:spacing w:before="121" w:line="278" w:lineRule="auto"/>
        <w:ind w:right="1546"/>
        <w:jc w:val="both"/>
      </w:pPr>
      <w:r>
        <w:t>The issue of waning of treatment effect was not a discussion topic during ACM1, However the draft Guidance requested (paragraph 3.12) “</w:t>
      </w:r>
      <w:r>
        <w:rPr>
          <w:i/>
        </w:rPr>
        <w:t>additional scenarios exploring different proportions of people experiencing waning</w:t>
      </w:r>
      <w:r>
        <w:t>” and a “</w:t>
      </w:r>
      <w:r>
        <w:rPr>
          <w:i/>
        </w:rPr>
        <w:t>scenario with 10% of people per year discontinuing treatment as explored in TA615</w:t>
      </w:r>
      <w:r>
        <w:t>”. UCB provided both of these analyses.</w:t>
      </w:r>
    </w:p>
    <w:p w:rsidR="000D2DCD" w:rsidRDefault="00F81CE0" w14:paraId="1074E319" w14:textId="77777777">
      <w:pPr>
        <w:pStyle w:val="ListParagraph"/>
        <w:numPr>
          <w:ilvl w:val="0"/>
          <w:numId w:val="15"/>
        </w:numPr>
        <w:tabs>
          <w:tab w:val="left" w:pos="1443"/>
          <w:tab w:val="left" w:pos="1446"/>
        </w:tabs>
        <w:spacing w:before="117" w:line="278" w:lineRule="auto"/>
        <w:ind w:right="1548"/>
        <w:jc w:val="both"/>
      </w:pPr>
      <w:r>
        <w:t>UCB’s</w:t>
      </w:r>
      <w:r>
        <w:rPr>
          <w:spacing w:val="-16"/>
        </w:rPr>
        <w:t xml:space="preserve"> </w:t>
      </w:r>
      <w:r>
        <w:t>assessment</w:t>
      </w:r>
      <w:r>
        <w:rPr>
          <w:spacing w:val="-15"/>
        </w:rPr>
        <w:t xml:space="preserve"> </w:t>
      </w:r>
      <w:r>
        <w:t>of</w:t>
      </w:r>
      <w:r>
        <w:rPr>
          <w:spacing w:val="-15"/>
        </w:rPr>
        <w:t xml:space="preserve"> </w:t>
      </w:r>
      <w:r>
        <w:t>treatment</w:t>
      </w:r>
      <w:r>
        <w:rPr>
          <w:spacing w:val="-16"/>
        </w:rPr>
        <w:t xml:space="preserve"> </w:t>
      </w:r>
      <w:r>
        <w:t>waning</w:t>
      </w:r>
      <w:r>
        <w:rPr>
          <w:spacing w:val="-15"/>
        </w:rPr>
        <w:t xml:space="preserve"> </w:t>
      </w:r>
      <w:r>
        <w:t>was</w:t>
      </w:r>
      <w:r>
        <w:rPr>
          <w:spacing w:val="-15"/>
        </w:rPr>
        <w:t xml:space="preserve"> </w:t>
      </w:r>
      <w:r>
        <w:t>based</w:t>
      </w:r>
      <w:r>
        <w:rPr>
          <w:spacing w:val="-15"/>
        </w:rPr>
        <w:t xml:space="preserve"> </w:t>
      </w:r>
      <w:r>
        <w:t>on</w:t>
      </w:r>
      <w:r>
        <w:rPr>
          <w:spacing w:val="-16"/>
        </w:rPr>
        <w:t xml:space="preserve"> </w:t>
      </w:r>
      <w:r>
        <w:t>the</w:t>
      </w:r>
      <w:r>
        <w:rPr>
          <w:spacing w:val="-15"/>
        </w:rPr>
        <w:t xml:space="preserve"> </w:t>
      </w:r>
      <w:r>
        <w:t>proportion</w:t>
      </w:r>
      <w:r>
        <w:rPr>
          <w:spacing w:val="-15"/>
        </w:rPr>
        <w:t xml:space="preserve"> </w:t>
      </w:r>
      <w:r>
        <w:t>of</w:t>
      </w:r>
      <w:r>
        <w:rPr>
          <w:spacing w:val="-16"/>
        </w:rPr>
        <w:t xml:space="preserve"> </w:t>
      </w:r>
      <w:r>
        <w:t>people stopping treatment in the last three months of the Study 1601 OLE, namely 5.2%.</w:t>
      </w:r>
      <w:r>
        <w:rPr>
          <w:spacing w:val="40"/>
        </w:rPr>
        <w:t xml:space="preserve"> </w:t>
      </w:r>
      <w:r>
        <w:t>As a conservative approach and in the absence of specific data, the same waning in treatment effect was applied to CBD.</w:t>
      </w:r>
      <w:r>
        <w:rPr>
          <w:spacing w:val="40"/>
        </w:rPr>
        <w:t xml:space="preserve"> </w:t>
      </w:r>
      <w:r>
        <w:t>This assessment of treatment</w:t>
      </w:r>
      <w:r>
        <w:rPr>
          <w:spacing w:val="-1"/>
        </w:rPr>
        <w:t xml:space="preserve"> </w:t>
      </w:r>
      <w:r>
        <w:t>waning</w:t>
      </w:r>
      <w:r>
        <w:rPr>
          <w:spacing w:val="-1"/>
        </w:rPr>
        <w:t xml:space="preserve"> </w:t>
      </w:r>
      <w:r>
        <w:t>was</w:t>
      </w:r>
      <w:r>
        <w:rPr>
          <w:spacing w:val="-3"/>
        </w:rPr>
        <w:t xml:space="preserve"> </w:t>
      </w:r>
      <w:r>
        <w:t>further</w:t>
      </w:r>
      <w:r>
        <w:rPr>
          <w:spacing w:val="-2"/>
        </w:rPr>
        <w:t xml:space="preserve"> </w:t>
      </w:r>
      <w:r>
        <w:t>supported</w:t>
      </w:r>
      <w:r>
        <w:rPr>
          <w:spacing w:val="-3"/>
        </w:rPr>
        <w:t xml:space="preserve"> </w:t>
      </w:r>
      <w:r>
        <w:t>by</w:t>
      </w:r>
      <w:r>
        <w:rPr>
          <w:spacing w:val="-5"/>
        </w:rPr>
        <w:t xml:space="preserve"> </w:t>
      </w:r>
      <w:r>
        <w:t>an</w:t>
      </w:r>
      <w:r>
        <w:rPr>
          <w:spacing w:val="-3"/>
        </w:rPr>
        <w:t xml:space="preserve"> </w:t>
      </w:r>
      <w:r>
        <w:t>observational</w:t>
      </w:r>
      <w:r>
        <w:rPr>
          <w:spacing w:val="-3"/>
        </w:rPr>
        <w:t xml:space="preserve"> </w:t>
      </w:r>
      <w:r>
        <w:t>study</w:t>
      </w:r>
      <w:r>
        <w:rPr>
          <w:spacing w:val="-5"/>
        </w:rPr>
        <w:t xml:space="preserve"> </w:t>
      </w:r>
      <w:r>
        <w:t>(Polega</w:t>
      </w:r>
      <w:r>
        <w:rPr>
          <w:spacing w:val="-3"/>
        </w:rPr>
        <w:t xml:space="preserve"> </w:t>
      </w:r>
      <w:r>
        <w:t>et al 2022).</w:t>
      </w:r>
    </w:p>
    <w:p w:rsidR="000D2DCD" w:rsidRDefault="00F81CE0" w14:paraId="1074E31A" w14:textId="77777777">
      <w:pPr>
        <w:pStyle w:val="ListParagraph"/>
        <w:numPr>
          <w:ilvl w:val="0"/>
          <w:numId w:val="15"/>
        </w:numPr>
        <w:tabs>
          <w:tab w:val="left" w:pos="1443"/>
          <w:tab w:val="left" w:pos="1446"/>
        </w:tabs>
        <w:spacing w:before="118" w:line="278" w:lineRule="auto"/>
        <w:ind w:right="1548"/>
        <w:jc w:val="both"/>
      </w:pPr>
      <w:r>
        <w:t>A critique of the analyses submitted by UCB was prepared by the EAG and disclosed to consultees on 29th of February 2024.</w:t>
      </w:r>
    </w:p>
    <w:p w:rsidR="000D2DCD" w:rsidRDefault="00F81CE0" w14:paraId="1074E31B" w14:textId="77777777">
      <w:pPr>
        <w:pStyle w:val="ListParagraph"/>
        <w:numPr>
          <w:ilvl w:val="1"/>
          <w:numId w:val="15"/>
        </w:numPr>
        <w:tabs>
          <w:tab w:val="left" w:pos="1552"/>
          <w:tab w:val="left" w:pos="2199"/>
        </w:tabs>
        <w:spacing w:line="278" w:lineRule="auto"/>
        <w:ind w:right="1548" w:hanging="432"/>
        <w:jc w:val="both"/>
      </w:pPr>
      <w:r>
        <w:t>The critique stated: “</w:t>
      </w:r>
      <w:r>
        <w:rPr>
          <w:i/>
        </w:rPr>
        <w:t>UK clinical experts could not define the proportion of patients</w:t>
      </w:r>
      <w:r>
        <w:rPr>
          <w:i/>
          <w:spacing w:val="40"/>
        </w:rPr>
        <w:t xml:space="preserve"> </w:t>
      </w:r>
      <w:r>
        <w:rPr>
          <w:i/>
        </w:rPr>
        <w:t>experiencing</w:t>
      </w:r>
      <w:r>
        <w:rPr>
          <w:i/>
          <w:spacing w:val="40"/>
        </w:rPr>
        <w:t xml:space="preserve"> </w:t>
      </w:r>
      <w:r>
        <w:rPr>
          <w:i/>
        </w:rPr>
        <w:t>waning</w:t>
      </w:r>
      <w:r>
        <w:rPr>
          <w:i/>
          <w:spacing w:val="40"/>
        </w:rPr>
        <w:t xml:space="preserve"> </w:t>
      </w:r>
      <w:r>
        <w:rPr>
          <w:i/>
        </w:rPr>
        <w:t>in</w:t>
      </w:r>
      <w:r>
        <w:rPr>
          <w:i/>
          <w:spacing w:val="40"/>
        </w:rPr>
        <w:t xml:space="preserve"> </w:t>
      </w:r>
      <w:r>
        <w:rPr>
          <w:i/>
        </w:rPr>
        <w:t>either</w:t>
      </w:r>
      <w:r>
        <w:rPr>
          <w:i/>
          <w:spacing w:val="40"/>
        </w:rPr>
        <w:t xml:space="preserve"> </w:t>
      </w:r>
      <w:r>
        <w:rPr>
          <w:i/>
        </w:rPr>
        <w:t>treatment</w:t>
      </w:r>
      <w:r>
        <w:rPr>
          <w:i/>
          <w:spacing w:val="40"/>
        </w:rPr>
        <w:t xml:space="preserve"> </w:t>
      </w:r>
      <w:r>
        <w:rPr>
          <w:i/>
        </w:rPr>
        <w:t>arm</w:t>
      </w:r>
      <w:r>
        <w:rPr>
          <w:i/>
          <w:spacing w:val="40"/>
        </w:rPr>
        <w:t xml:space="preserve"> </w:t>
      </w:r>
      <w:r>
        <w:rPr>
          <w:i/>
        </w:rPr>
        <w:t>and</w:t>
      </w:r>
      <w:r>
        <w:rPr>
          <w:i/>
          <w:spacing w:val="40"/>
        </w:rPr>
        <w:t xml:space="preserve"> </w:t>
      </w:r>
      <w:r>
        <w:rPr>
          <w:i/>
        </w:rPr>
        <w:t>that</w:t>
      </w:r>
      <w:r>
        <w:rPr>
          <w:i/>
          <w:spacing w:val="40"/>
        </w:rPr>
        <w:t xml:space="preserve"> </w:t>
      </w:r>
      <w:r>
        <w:rPr>
          <w:i/>
        </w:rPr>
        <w:t>they consider it conservative to assuming equal waning in both arms</w:t>
      </w:r>
      <w:r>
        <w:t>”.</w:t>
      </w:r>
    </w:p>
    <w:p w:rsidR="000D2DCD" w:rsidRDefault="00F81CE0" w14:paraId="1074E31C" w14:textId="77777777">
      <w:pPr>
        <w:pStyle w:val="ListParagraph"/>
        <w:numPr>
          <w:ilvl w:val="1"/>
          <w:numId w:val="15"/>
        </w:numPr>
        <w:tabs>
          <w:tab w:val="left" w:pos="1552"/>
          <w:tab w:val="left" w:pos="2199"/>
        </w:tabs>
        <w:spacing w:line="278" w:lineRule="auto"/>
        <w:ind w:hanging="432"/>
        <w:jc w:val="both"/>
      </w:pPr>
      <w:r>
        <w:t>The EAG</w:t>
      </w:r>
      <w:r>
        <w:rPr>
          <w:spacing w:val="40"/>
        </w:rPr>
        <w:t xml:space="preserve"> </w:t>
      </w:r>
      <w:r>
        <w:t>indicated “</w:t>
      </w:r>
      <w:r>
        <w:rPr>
          <w:i/>
        </w:rPr>
        <w:t>It is unclear to the EAG what the true percentage of treatment waning should be and whether assuming equal waning in both arms is a conservative approach</w:t>
      </w:r>
      <w:r>
        <w:t>”.</w:t>
      </w:r>
    </w:p>
    <w:p w:rsidR="000D2DCD" w:rsidRDefault="00F81CE0" w14:paraId="1074E31D" w14:textId="77777777">
      <w:pPr>
        <w:pStyle w:val="ListParagraph"/>
        <w:numPr>
          <w:ilvl w:val="1"/>
          <w:numId w:val="15"/>
        </w:numPr>
        <w:tabs>
          <w:tab w:val="left" w:pos="1552"/>
          <w:tab w:val="left" w:pos="2199"/>
        </w:tabs>
        <w:spacing w:before="120" w:line="278" w:lineRule="auto"/>
        <w:ind w:right="1551" w:hanging="432"/>
        <w:jc w:val="both"/>
      </w:pPr>
      <w:r>
        <w:t>However</w:t>
      </w:r>
      <w:r>
        <w:rPr>
          <w:spacing w:val="40"/>
        </w:rPr>
        <w:t xml:space="preserve"> </w:t>
      </w:r>
      <w:r>
        <w:t>the</w:t>
      </w:r>
      <w:r>
        <w:rPr>
          <w:spacing w:val="40"/>
        </w:rPr>
        <w:t xml:space="preserve"> </w:t>
      </w:r>
      <w:r>
        <w:t>EAG</w:t>
      </w:r>
      <w:r>
        <w:rPr>
          <w:spacing w:val="40"/>
        </w:rPr>
        <w:t xml:space="preserve"> </w:t>
      </w:r>
      <w:r>
        <w:t>proceeded</w:t>
      </w:r>
      <w:r>
        <w:rPr>
          <w:spacing w:val="40"/>
        </w:rPr>
        <w:t xml:space="preserve"> </w:t>
      </w:r>
      <w:r>
        <w:t>to</w:t>
      </w:r>
      <w:r>
        <w:rPr>
          <w:spacing w:val="40"/>
        </w:rPr>
        <w:t xml:space="preserve"> </w:t>
      </w:r>
      <w:r>
        <w:t>assume</w:t>
      </w:r>
      <w:r>
        <w:rPr>
          <w:spacing w:val="40"/>
        </w:rPr>
        <w:t xml:space="preserve"> </w:t>
      </w:r>
      <w:r>
        <w:t>80%</w:t>
      </w:r>
      <w:r>
        <w:rPr>
          <w:spacing w:val="40"/>
        </w:rPr>
        <w:t xml:space="preserve"> </w:t>
      </w:r>
      <w:r>
        <w:t>waning</w:t>
      </w:r>
      <w:r>
        <w:rPr>
          <w:spacing w:val="40"/>
        </w:rPr>
        <w:t xml:space="preserve"> </w:t>
      </w:r>
      <w:r>
        <w:t>within</w:t>
      </w:r>
      <w:r>
        <w:rPr>
          <w:spacing w:val="40"/>
        </w:rPr>
        <w:t xml:space="preserve"> </w:t>
      </w:r>
      <w:r>
        <w:t>its</w:t>
      </w:r>
      <w:r>
        <w:rPr>
          <w:spacing w:val="40"/>
        </w:rPr>
        <w:t xml:space="preserve"> </w:t>
      </w:r>
      <w:r>
        <w:t>preferred</w:t>
      </w:r>
      <w:r>
        <w:rPr>
          <w:spacing w:val="-6"/>
        </w:rPr>
        <w:t xml:space="preserve"> </w:t>
      </w:r>
      <w:r>
        <w:t>assumption</w:t>
      </w:r>
      <w:r>
        <w:rPr>
          <w:spacing w:val="-6"/>
        </w:rPr>
        <w:t xml:space="preserve"> </w:t>
      </w:r>
      <w:r>
        <w:t>which</w:t>
      </w:r>
      <w:r>
        <w:rPr>
          <w:spacing w:val="-4"/>
        </w:rPr>
        <w:t xml:space="preserve"> </w:t>
      </w:r>
      <w:r>
        <w:t>correlated</w:t>
      </w:r>
      <w:r>
        <w:rPr>
          <w:spacing w:val="-8"/>
        </w:rPr>
        <w:t xml:space="preserve"> </w:t>
      </w:r>
      <w:r>
        <w:t>to</w:t>
      </w:r>
      <w:r>
        <w:rPr>
          <w:spacing w:val="-6"/>
        </w:rPr>
        <w:t xml:space="preserve"> </w:t>
      </w:r>
      <w:r>
        <w:t>its</w:t>
      </w:r>
      <w:r>
        <w:rPr>
          <w:spacing w:val="-5"/>
        </w:rPr>
        <w:t xml:space="preserve"> </w:t>
      </w:r>
      <w:r>
        <w:t>calculation</w:t>
      </w:r>
      <w:r>
        <w:rPr>
          <w:spacing w:val="-4"/>
        </w:rPr>
        <w:t xml:space="preserve"> </w:t>
      </w:r>
      <w:r>
        <w:t>of</w:t>
      </w:r>
      <w:r>
        <w:rPr>
          <w:spacing w:val="-2"/>
        </w:rPr>
        <w:t xml:space="preserve"> </w:t>
      </w:r>
      <w:r>
        <w:t>8.92%</w:t>
      </w:r>
      <w:r>
        <w:rPr>
          <w:spacing w:val="-5"/>
        </w:rPr>
        <w:t xml:space="preserve"> </w:t>
      </w:r>
      <w:r>
        <w:t>and</w:t>
      </w:r>
      <w:r>
        <w:rPr>
          <w:spacing w:val="-6"/>
        </w:rPr>
        <w:t xml:space="preserve"> </w:t>
      </w:r>
      <w:r>
        <w:t>7.38%</w:t>
      </w:r>
    </w:p>
    <w:p w:rsidR="000D2DCD" w:rsidRDefault="000D2DCD" w14:paraId="1074E31E"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31F" w14:textId="77777777">
      <w:pPr>
        <w:pStyle w:val="BodyText"/>
      </w:pPr>
    </w:p>
    <w:p w:rsidR="000D2DCD" w:rsidRDefault="000D2DCD" w14:paraId="1074E320" w14:textId="77777777">
      <w:pPr>
        <w:pStyle w:val="BodyText"/>
        <w:spacing w:before="59"/>
      </w:pPr>
    </w:p>
    <w:p w:rsidR="000D2DCD" w:rsidRDefault="00F81CE0" w14:paraId="1074E321" w14:textId="77777777">
      <w:pPr>
        <w:pStyle w:val="BodyText"/>
        <w:spacing w:line="278" w:lineRule="auto"/>
        <w:ind w:left="1552" w:right="1552"/>
        <w:jc w:val="both"/>
      </w:pPr>
      <w:r>
        <w:t>of</w:t>
      </w:r>
      <w:r>
        <w:rPr>
          <w:spacing w:val="-1"/>
        </w:rPr>
        <w:t xml:space="preserve"> </w:t>
      </w:r>
      <w:r>
        <w:t>patients</w:t>
      </w:r>
      <w:r>
        <w:rPr>
          <w:spacing w:val="-5"/>
        </w:rPr>
        <w:t xml:space="preserve"> </w:t>
      </w:r>
      <w:r>
        <w:t>experiencing</w:t>
      </w:r>
      <w:r>
        <w:rPr>
          <w:spacing w:val="-8"/>
        </w:rPr>
        <w:t xml:space="preserve"> </w:t>
      </w:r>
      <w:r>
        <w:t>waning</w:t>
      </w:r>
      <w:r>
        <w:rPr>
          <w:spacing w:val="-5"/>
        </w:rPr>
        <w:t xml:space="preserve"> </w:t>
      </w:r>
      <w:r>
        <w:t>for</w:t>
      </w:r>
      <w:r>
        <w:rPr>
          <w:spacing w:val="-4"/>
        </w:rPr>
        <w:t xml:space="preserve"> </w:t>
      </w:r>
      <w:r>
        <w:t>FFA</w:t>
      </w:r>
      <w:r>
        <w:rPr>
          <w:spacing w:val="-5"/>
        </w:rPr>
        <w:t xml:space="preserve"> </w:t>
      </w:r>
      <w:r>
        <w:t>and</w:t>
      </w:r>
      <w:r>
        <w:rPr>
          <w:spacing w:val="-7"/>
        </w:rPr>
        <w:t xml:space="preserve"> </w:t>
      </w:r>
      <w:r>
        <w:t>CBD</w:t>
      </w:r>
      <w:r>
        <w:rPr>
          <w:spacing w:val="-6"/>
        </w:rPr>
        <w:t xml:space="preserve"> </w:t>
      </w:r>
      <w:r>
        <w:t>respectively</w:t>
      </w:r>
      <w:r>
        <w:rPr>
          <w:spacing w:val="-7"/>
        </w:rPr>
        <w:t xml:space="preserve"> </w:t>
      </w:r>
      <w:r>
        <w:t>from</w:t>
      </w:r>
      <w:r>
        <w:rPr>
          <w:spacing w:val="-7"/>
        </w:rPr>
        <w:t xml:space="preserve"> </w:t>
      </w:r>
      <w:r>
        <w:t>cycle</w:t>
      </w:r>
      <w:r>
        <w:rPr>
          <w:spacing w:val="-5"/>
        </w:rPr>
        <w:t xml:space="preserve"> </w:t>
      </w:r>
      <w:r>
        <w:t xml:space="preserve">10 </w:t>
      </w:r>
      <w:r>
        <w:rPr>
          <w:spacing w:val="-2"/>
        </w:rPr>
        <w:t>onwards.</w:t>
      </w:r>
    </w:p>
    <w:p w:rsidR="000D2DCD" w:rsidRDefault="00F81CE0" w14:paraId="1074E322" w14:textId="77777777">
      <w:pPr>
        <w:pStyle w:val="ListParagraph"/>
        <w:numPr>
          <w:ilvl w:val="1"/>
          <w:numId w:val="15"/>
        </w:numPr>
        <w:tabs>
          <w:tab w:val="left" w:pos="1552"/>
          <w:tab w:val="left" w:pos="2199"/>
        </w:tabs>
        <w:spacing w:line="278" w:lineRule="auto"/>
        <w:ind w:right="1545" w:hanging="432"/>
        <w:jc w:val="both"/>
      </w:pPr>
      <w:r>
        <w:t>The</w:t>
      </w:r>
      <w:r>
        <w:rPr>
          <w:spacing w:val="40"/>
        </w:rPr>
        <w:t xml:space="preserve"> </w:t>
      </w:r>
      <w:r>
        <w:t>EAG</w:t>
      </w:r>
      <w:r>
        <w:rPr>
          <w:spacing w:val="40"/>
        </w:rPr>
        <w:t xml:space="preserve"> </w:t>
      </w:r>
      <w:r>
        <w:t>provided</w:t>
      </w:r>
      <w:r>
        <w:rPr>
          <w:spacing w:val="40"/>
        </w:rPr>
        <w:t xml:space="preserve"> </w:t>
      </w:r>
      <w:r>
        <w:t>no</w:t>
      </w:r>
      <w:r>
        <w:rPr>
          <w:spacing w:val="40"/>
        </w:rPr>
        <w:t xml:space="preserve"> </w:t>
      </w:r>
      <w:r>
        <w:t>evidence</w:t>
      </w:r>
      <w:r>
        <w:rPr>
          <w:spacing w:val="40"/>
        </w:rPr>
        <w:t xml:space="preserve"> </w:t>
      </w:r>
      <w:r>
        <w:t>to</w:t>
      </w:r>
      <w:r>
        <w:rPr>
          <w:spacing w:val="40"/>
        </w:rPr>
        <w:t xml:space="preserve"> </w:t>
      </w:r>
      <w:r>
        <w:t>support</w:t>
      </w:r>
      <w:r>
        <w:rPr>
          <w:spacing w:val="40"/>
        </w:rPr>
        <w:t xml:space="preserve"> </w:t>
      </w:r>
      <w:r>
        <w:t>its</w:t>
      </w:r>
      <w:r>
        <w:rPr>
          <w:spacing w:val="40"/>
        </w:rPr>
        <w:t xml:space="preserve"> </w:t>
      </w:r>
      <w:r>
        <w:t>assumption</w:t>
      </w:r>
      <w:r>
        <w:rPr>
          <w:spacing w:val="40"/>
        </w:rPr>
        <w:t xml:space="preserve"> </w:t>
      </w:r>
      <w:r>
        <w:t>of</w:t>
      </w:r>
      <w:r>
        <w:rPr>
          <w:spacing w:val="40"/>
        </w:rPr>
        <w:t xml:space="preserve"> </w:t>
      </w:r>
      <w:r>
        <w:t>80% waning and did not explain why it had not assumed equal waning for both treatment arms contrary to the expert opinion provided to it.</w:t>
      </w:r>
    </w:p>
    <w:p w:rsidR="000D2DCD" w:rsidRDefault="00F81CE0" w14:paraId="1074E323" w14:textId="77777777">
      <w:pPr>
        <w:pStyle w:val="ListParagraph"/>
        <w:numPr>
          <w:ilvl w:val="0"/>
          <w:numId w:val="15"/>
        </w:numPr>
        <w:tabs>
          <w:tab w:val="left" w:pos="1443"/>
          <w:tab w:val="left" w:pos="1446"/>
        </w:tabs>
        <w:spacing w:line="280" w:lineRule="auto"/>
        <w:ind w:right="1548"/>
        <w:jc w:val="both"/>
      </w:pPr>
      <w:r>
        <w:t>In</w:t>
      </w:r>
      <w:r>
        <w:rPr>
          <w:spacing w:val="-11"/>
        </w:rPr>
        <w:t xml:space="preserve"> </w:t>
      </w:r>
      <w:r>
        <w:t>response</w:t>
      </w:r>
      <w:r>
        <w:rPr>
          <w:spacing w:val="-11"/>
        </w:rPr>
        <w:t xml:space="preserve"> </w:t>
      </w:r>
      <w:r>
        <w:t>to</w:t>
      </w:r>
      <w:r>
        <w:rPr>
          <w:spacing w:val="-14"/>
        </w:rPr>
        <w:t xml:space="preserve"> </w:t>
      </w:r>
      <w:r>
        <w:t>the</w:t>
      </w:r>
      <w:r>
        <w:rPr>
          <w:spacing w:val="-12"/>
        </w:rPr>
        <w:t xml:space="preserve"> </w:t>
      </w:r>
      <w:r>
        <w:t>Draft</w:t>
      </w:r>
      <w:r>
        <w:rPr>
          <w:spacing w:val="-12"/>
        </w:rPr>
        <w:t xml:space="preserve"> </w:t>
      </w:r>
      <w:r>
        <w:t>Guidance</w:t>
      </w:r>
      <w:r>
        <w:rPr>
          <w:spacing w:val="-12"/>
        </w:rPr>
        <w:t xml:space="preserve"> </w:t>
      </w:r>
      <w:r>
        <w:t>Dr</w:t>
      </w:r>
      <w:r>
        <w:rPr>
          <w:spacing w:val="-10"/>
        </w:rPr>
        <w:t xml:space="preserve"> </w:t>
      </w:r>
      <w:r>
        <w:t>Rhys</w:t>
      </w:r>
      <w:r>
        <w:rPr>
          <w:spacing w:val="-11"/>
        </w:rPr>
        <w:t xml:space="preserve"> </w:t>
      </w:r>
      <w:r>
        <w:t>Thomas,</w:t>
      </w:r>
      <w:r>
        <w:rPr>
          <w:spacing w:val="-10"/>
        </w:rPr>
        <w:t xml:space="preserve"> </w:t>
      </w:r>
      <w:r>
        <w:t>one</w:t>
      </w:r>
      <w:r>
        <w:rPr>
          <w:spacing w:val="-11"/>
        </w:rPr>
        <w:t xml:space="preserve"> </w:t>
      </w:r>
      <w:r>
        <w:t>of</w:t>
      </w:r>
      <w:r>
        <w:rPr>
          <w:spacing w:val="-10"/>
        </w:rPr>
        <w:t xml:space="preserve"> </w:t>
      </w:r>
      <w:r>
        <w:t>the</w:t>
      </w:r>
      <w:r>
        <w:rPr>
          <w:spacing w:val="-12"/>
        </w:rPr>
        <w:t xml:space="preserve"> </w:t>
      </w:r>
      <w:r>
        <w:t>clinical</w:t>
      </w:r>
      <w:r>
        <w:rPr>
          <w:spacing w:val="-12"/>
        </w:rPr>
        <w:t xml:space="preserve"> </w:t>
      </w:r>
      <w:r>
        <w:t xml:space="preserve">experts </w:t>
      </w:r>
      <w:r>
        <w:rPr>
          <w:spacing w:val="-2"/>
        </w:rPr>
        <w:t>stated:</w:t>
      </w:r>
    </w:p>
    <w:p w:rsidR="000D2DCD" w:rsidRDefault="00F81CE0" w14:paraId="1074E324" w14:textId="77777777">
      <w:pPr>
        <w:spacing w:before="116"/>
        <w:ind w:left="2201" w:right="1456"/>
        <w:rPr>
          <w:i/>
        </w:rPr>
      </w:pPr>
      <w:r>
        <w:t>“</w:t>
      </w:r>
      <w:r>
        <w:rPr>
          <w:i/>
        </w:rPr>
        <w:t>Indeed we have evidence to suggest that there is good long term efficacy, perhaps even that the late efficacy is better than the early efficacy. This is best evidenced in the open label extension study (Knupp</w:t>
      </w:r>
      <w:r>
        <w:rPr>
          <w:i/>
          <w:spacing w:val="-2"/>
        </w:rPr>
        <w:t xml:space="preserve"> </w:t>
      </w:r>
      <w:r>
        <w:rPr>
          <w:i/>
        </w:rPr>
        <w:t>et</w:t>
      </w:r>
      <w:r>
        <w:rPr>
          <w:i/>
          <w:spacing w:val="-3"/>
        </w:rPr>
        <w:t xml:space="preserve"> </w:t>
      </w:r>
      <w:r>
        <w:rPr>
          <w:i/>
        </w:rPr>
        <w:t>al.</w:t>
      </w:r>
      <w:r>
        <w:rPr>
          <w:i/>
          <w:spacing w:val="-3"/>
        </w:rPr>
        <w:t xml:space="preserve"> </w:t>
      </w:r>
      <w:r>
        <w:rPr>
          <w:i/>
        </w:rPr>
        <w:t>Epilepsia</w:t>
      </w:r>
      <w:r>
        <w:rPr>
          <w:i/>
          <w:spacing w:val="-2"/>
        </w:rPr>
        <w:t xml:space="preserve"> </w:t>
      </w:r>
      <w:r>
        <w:rPr>
          <w:i/>
        </w:rPr>
        <w:t>2023).</w:t>
      </w:r>
      <w:r>
        <w:rPr>
          <w:i/>
          <w:spacing w:val="-3"/>
        </w:rPr>
        <w:t xml:space="preserve"> </w:t>
      </w:r>
      <w:r>
        <w:rPr>
          <w:i/>
        </w:rPr>
        <w:t>In</w:t>
      </w:r>
      <w:r>
        <w:rPr>
          <w:i/>
          <w:spacing w:val="-4"/>
        </w:rPr>
        <w:t xml:space="preserve"> </w:t>
      </w:r>
      <w:r>
        <w:rPr>
          <w:i/>
        </w:rPr>
        <w:t>addition</w:t>
      </w:r>
      <w:r>
        <w:rPr>
          <w:i/>
          <w:spacing w:val="-2"/>
        </w:rPr>
        <w:t xml:space="preserve"> </w:t>
      </w:r>
      <w:r>
        <w:rPr>
          <w:i/>
        </w:rPr>
        <w:t>clinical</w:t>
      </w:r>
      <w:r>
        <w:rPr>
          <w:i/>
          <w:spacing w:val="-3"/>
        </w:rPr>
        <w:t xml:space="preserve"> </w:t>
      </w:r>
      <w:r>
        <w:rPr>
          <w:i/>
        </w:rPr>
        <w:t>experience</w:t>
      </w:r>
      <w:r>
        <w:rPr>
          <w:i/>
          <w:spacing w:val="-2"/>
        </w:rPr>
        <w:t xml:space="preserve"> </w:t>
      </w:r>
      <w:r>
        <w:rPr>
          <w:i/>
        </w:rPr>
        <w:t>in</w:t>
      </w:r>
      <w:r>
        <w:rPr>
          <w:i/>
          <w:spacing w:val="-4"/>
        </w:rPr>
        <w:t xml:space="preserve"> </w:t>
      </w:r>
      <w:r>
        <w:rPr>
          <w:i/>
        </w:rPr>
        <w:t>the</w:t>
      </w:r>
      <w:r>
        <w:rPr>
          <w:i/>
          <w:spacing w:val="-2"/>
        </w:rPr>
        <w:t xml:space="preserve"> </w:t>
      </w:r>
      <w:r>
        <w:rPr>
          <w:i/>
        </w:rPr>
        <w:t>UK prescribing fenfluramine for Dravet syndrome supports these data.”</w:t>
      </w:r>
    </w:p>
    <w:p w:rsidR="000D2DCD" w:rsidRDefault="000D2DCD" w14:paraId="1074E325" w14:textId="77777777">
      <w:pPr>
        <w:pStyle w:val="BodyText"/>
        <w:spacing w:before="95"/>
        <w:rPr>
          <w:i/>
        </w:rPr>
      </w:pPr>
    </w:p>
    <w:p w:rsidR="000D2DCD" w:rsidRDefault="00F81CE0" w14:paraId="1074E326" w14:textId="77777777">
      <w:pPr>
        <w:ind w:left="2201" w:right="1519"/>
        <w:rPr>
          <w:i/>
        </w:rPr>
      </w:pPr>
      <w:r>
        <w:rPr>
          <w:i/>
        </w:rPr>
        <w:t>“…..the</w:t>
      </w:r>
      <w:r>
        <w:rPr>
          <w:i/>
          <w:spacing w:val="-5"/>
        </w:rPr>
        <w:t xml:space="preserve"> </w:t>
      </w:r>
      <w:r>
        <w:rPr>
          <w:i/>
        </w:rPr>
        <w:t>possibility</w:t>
      </w:r>
      <w:r>
        <w:rPr>
          <w:i/>
          <w:spacing w:val="-5"/>
        </w:rPr>
        <w:t xml:space="preserve"> </w:t>
      </w:r>
      <w:r>
        <w:rPr>
          <w:i/>
        </w:rPr>
        <w:t>that</w:t>
      </w:r>
      <w:r>
        <w:rPr>
          <w:i/>
          <w:spacing w:val="-4"/>
        </w:rPr>
        <w:t xml:space="preserve"> </w:t>
      </w:r>
      <w:r>
        <w:rPr>
          <w:i/>
        </w:rPr>
        <w:t>fenfluramine</w:t>
      </w:r>
      <w:r>
        <w:rPr>
          <w:i/>
          <w:spacing w:val="-5"/>
        </w:rPr>
        <w:t xml:space="preserve"> </w:t>
      </w:r>
      <w:r>
        <w:rPr>
          <w:i/>
        </w:rPr>
        <w:t>may</w:t>
      </w:r>
      <w:r>
        <w:rPr>
          <w:i/>
          <w:spacing w:val="-5"/>
        </w:rPr>
        <w:t xml:space="preserve"> </w:t>
      </w:r>
      <w:r>
        <w:rPr>
          <w:i/>
        </w:rPr>
        <w:t>have</w:t>
      </w:r>
      <w:r>
        <w:rPr>
          <w:i/>
          <w:spacing w:val="-5"/>
        </w:rPr>
        <w:t xml:space="preserve"> </w:t>
      </w:r>
      <w:r>
        <w:rPr>
          <w:i/>
        </w:rPr>
        <w:t>better</w:t>
      </w:r>
      <w:r>
        <w:rPr>
          <w:i/>
          <w:spacing w:val="-4"/>
        </w:rPr>
        <w:t xml:space="preserve"> </w:t>
      </w:r>
      <w:r>
        <w:rPr>
          <w:i/>
        </w:rPr>
        <w:t>efficacy</w:t>
      </w:r>
      <w:r>
        <w:rPr>
          <w:i/>
          <w:spacing w:val="-5"/>
        </w:rPr>
        <w:t xml:space="preserve"> </w:t>
      </w:r>
      <w:r>
        <w:rPr>
          <w:i/>
        </w:rPr>
        <w:t>months to years after reaching the maintenance dose, as appears to be the case for some people with Dravet.”</w:t>
      </w:r>
    </w:p>
    <w:p w:rsidR="000D2DCD" w:rsidRDefault="00F81CE0" w14:paraId="1074E327" w14:textId="77777777">
      <w:pPr>
        <w:pStyle w:val="ListParagraph"/>
        <w:numPr>
          <w:ilvl w:val="0"/>
          <w:numId w:val="15"/>
        </w:numPr>
        <w:tabs>
          <w:tab w:val="left" w:pos="1446"/>
        </w:tabs>
        <w:spacing w:before="105" w:line="276" w:lineRule="auto"/>
        <w:ind w:right="1549"/>
        <w:jc w:val="left"/>
      </w:pPr>
      <w:r>
        <w:t>During</w:t>
      </w:r>
      <w:r>
        <w:rPr>
          <w:spacing w:val="-10"/>
        </w:rPr>
        <w:t xml:space="preserve"> </w:t>
      </w:r>
      <w:r>
        <w:t>ACM2,</w:t>
      </w:r>
      <w:r>
        <w:rPr>
          <w:spacing w:val="-8"/>
        </w:rPr>
        <w:t xml:space="preserve"> </w:t>
      </w:r>
      <w:r>
        <w:t>the</w:t>
      </w:r>
      <w:r>
        <w:rPr>
          <w:spacing w:val="-12"/>
        </w:rPr>
        <w:t xml:space="preserve"> </w:t>
      </w:r>
      <w:r>
        <w:t>clinical</w:t>
      </w:r>
      <w:r>
        <w:rPr>
          <w:spacing w:val="-11"/>
        </w:rPr>
        <w:t xml:space="preserve"> </w:t>
      </w:r>
      <w:r>
        <w:t>experts</w:t>
      </w:r>
      <w:r>
        <w:rPr>
          <w:spacing w:val="-11"/>
        </w:rPr>
        <w:t xml:space="preserve"> </w:t>
      </w:r>
      <w:r>
        <w:t>reiterated</w:t>
      </w:r>
      <w:r>
        <w:rPr>
          <w:spacing w:val="-13"/>
        </w:rPr>
        <w:t xml:space="preserve"> </w:t>
      </w:r>
      <w:r>
        <w:t>their</w:t>
      </w:r>
      <w:r>
        <w:rPr>
          <w:spacing w:val="-10"/>
        </w:rPr>
        <w:t xml:space="preserve"> </w:t>
      </w:r>
      <w:r>
        <w:t>advice</w:t>
      </w:r>
      <w:r>
        <w:rPr>
          <w:spacing w:val="-10"/>
        </w:rPr>
        <w:t xml:space="preserve"> </w:t>
      </w:r>
      <w:r>
        <w:t>to</w:t>
      </w:r>
      <w:r>
        <w:rPr>
          <w:spacing w:val="-12"/>
        </w:rPr>
        <w:t xml:space="preserve"> </w:t>
      </w:r>
      <w:r>
        <w:t>the</w:t>
      </w:r>
      <w:r>
        <w:rPr>
          <w:spacing w:val="-13"/>
        </w:rPr>
        <w:t xml:space="preserve"> </w:t>
      </w:r>
      <w:r>
        <w:t>Committee</w:t>
      </w:r>
      <w:r>
        <w:rPr>
          <w:spacing w:val="-14"/>
        </w:rPr>
        <w:t xml:space="preserve"> </w:t>
      </w:r>
      <w:r>
        <w:t>that they do not expect to see any treatment waning for either FFA or CBD.</w:t>
      </w:r>
    </w:p>
    <w:p w:rsidR="000D2DCD" w:rsidRDefault="00F81CE0" w14:paraId="1074E328" w14:textId="77777777">
      <w:pPr>
        <w:pStyle w:val="ListParagraph"/>
        <w:numPr>
          <w:ilvl w:val="0"/>
          <w:numId w:val="15"/>
        </w:numPr>
        <w:tabs>
          <w:tab w:val="left" w:pos="1446"/>
        </w:tabs>
        <w:spacing w:before="121"/>
        <w:ind w:right="0" w:hanging="573"/>
        <w:jc w:val="left"/>
      </w:pPr>
      <w:r>
        <w:t>However</w:t>
      </w:r>
      <w:r>
        <w:rPr>
          <w:spacing w:val="-4"/>
        </w:rPr>
        <w:t xml:space="preserve"> </w:t>
      </w:r>
      <w:r>
        <w:t>the</w:t>
      </w:r>
      <w:r>
        <w:rPr>
          <w:spacing w:val="-6"/>
        </w:rPr>
        <w:t xml:space="preserve"> </w:t>
      </w:r>
      <w:r>
        <w:t>Committee</w:t>
      </w:r>
      <w:r>
        <w:rPr>
          <w:spacing w:val="-7"/>
        </w:rPr>
        <w:t xml:space="preserve"> </w:t>
      </w:r>
      <w:r>
        <w:t>rejected</w:t>
      </w:r>
      <w:r>
        <w:rPr>
          <w:spacing w:val="-7"/>
        </w:rPr>
        <w:t xml:space="preserve"> </w:t>
      </w:r>
      <w:r>
        <w:t>the</w:t>
      </w:r>
      <w:r>
        <w:rPr>
          <w:spacing w:val="-6"/>
        </w:rPr>
        <w:t xml:space="preserve"> </w:t>
      </w:r>
      <w:r>
        <w:t>above</w:t>
      </w:r>
      <w:r>
        <w:rPr>
          <w:spacing w:val="-5"/>
        </w:rPr>
        <w:t xml:space="preserve"> </w:t>
      </w:r>
      <w:r>
        <w:rPr>
          <w:spacing w:val="-2"/>
        </w:rPr>
        <w:t>evidence:</w:t>
      </w:r>
    </w:p>
    <w:p w:rsidR="000D2DCD" w:rsidRDefault="00F81CE0" w14:paraId="1074E329" w14:textId="77777777">
      <w:pPr>
        <w:pStyle w:val="ListParagraph"/>
        <w:numPr>
          <w:ilvl w:val="1"/>
          <w:numId w:val="15"/>
        </w:numPr>
        <w:tabs>
          <w:tab w:val="left" w:pos="1552"/>
          <w:tab w:val="left" w:pos="2199"/>
        </w:tabs>
        <w:spacing w:before="163" w:line="278" w:lineRule="auto"/>
        <w:ind w:right="1545" w:hanging="432"/>
        <w:jc w:val="both"/>
      </w:pPr>
      <w:r>
        <w:t>It</w:t>
      </w:r>
      <w:r>
        <w:rPr>
          <w:spacing w:val="40"/>
        </w:rPr>
        <w:t xml:space="preserve"> </w:t>
      </w:r>
      <w:r>
        <w:t>stated</w:t>
      </w:r>
      <w:r>
        <w:rPr>
          <w:spacing w:val="40"/>
        </w:rPr>
        <w:t xml:space="preserve"> </w:t>
      </w:r>
      <w:r>
        <w:t>that</w:t>
      </w:r>
      <w:r>
        <w:rPr>
          <w:spacing w:val="40"/>
        </w:rPr>
        <w:t xml:space="preserve"> </w:t>
      </w:r>
      <w:r>
        <w:t>“</w:t>
      </w:r>
      <w:r>
        <w:rPr>
          <w:i/>
        </w:rPr>
        <w:t>it</w:t>
      </w:r>
      <w:r>
        <w:rPr>
          <w:i/>
          <w:spacing w:val="40"/>
        </w:rPr>
        <w:t xml:space="preserve"> </w:t>
      </w:r>
      <w:r>
        <w:rPr>
          <w:i/>
        </w:rPr>
        <w:t>preferred”</w:t>
      </w:r>
      <w:r>
        <w:rPr>
          <w:i/>
          <w:spacing w:val="40"/>
        </w:rPr>
        <w:t xml:space="preserve"> </w:t>
      </w:r>
      <w:r>
        <w:t>to</w:t>
      </w:r>
      <w:r>
        <w:rPr>
          <w:spacing w:val="40"/>
        </w:rPr>
        <w:t xml:space="preserve"> </w:t>
      </w:r>
      <w:r>
        <w:t>assume</w:t>
      </w:r>
      <w:r>
        <w:rPr>
          <w:spacing w:val="40"/>
        </w:rPr>
        <w:t xml:space="preserve"> </w:t>
      </w:r>
      <w:r>
        <w:t>that</w:t>
      </w:r>
      <w:r>
        <w:rPr>
          <w:spacing w:val="40"/>
        </w:rPr>
        <w:t xml:space="preserve"> </w:t>
      </w:r>
      <w:r>
        <w:t>100%</w:t>
      </w:r>
      <w:r>
        <w:rPr>
          <w:spacing w:val="40"/>
        </w:rPr>
        <w:t xml:space="preserve"> </w:t>
      </w:r>
      <w:r>
        <w:t>of</w:t>
      </w:r>
      <w:r>
        <w:rPr>
          <w:spacing w:val="40"/>
        </w:rPr>
        <w:t xml:space="preserve"> </w:t>
      </w:r>
      <w:r>
        <w:t>people</w:t>
      </w:r>
      <w:r>
        <w:rPr>
          <w:spacing w:val="40"/>
        </w:rPr>
        <w:t xml:space="preserve"> </w:t>
      </w:r>
      <w:r>
        <w:t>who experienced treatment waning in the last three months of Study 1601 OLE would</w:t>
      </w:r>
      <w:r>
        <w:rPr>
          <w:spacing w:val="-8"/>
        </w:rPr>
        <w:t xml:space="preserve"> </w:t>
      </w:r>
      <w:r>
        <w:t>experience</w:t>
      </w:r>
      <w:r>
        <w:rPr>
          <w:spacing w:val="-8"/>
        </w:rPr>
        <w:t xml:space="preserve"> </w:t>
      </w:r>
      <w:r>
        <w:t>treatment</w:t>
      </w:r>
      <w:r>
        <w:rPr>
          <w:spacing w:val="-7"/>
        </w:rPr>
        <w:t xml:space="preserve"> </w:t>
      </w:r>
      <w:r>
        <w:t>waning</w:t>
      </w:r>
      <w:r>
        <w:rPr>
          <w:spacing w:val="-9"/>
        </w:rPr>
        <w:t xml:space="preserve"> </w:t>
      </w:r>
      <w:r>
        <w:t>from</w:t>
      </w:r>
      <w:r>
        <w:rPr>
          <w:spacing w:val="-10"/>
        </w:rPr>
        <w:t xml:space="preserve"> </w:t>
      </w:r>
      <w:r>
        <w:t>cycle</w:t>
      </w:r>
      <w:r>
        <w:rPr>
          <w:spacing w:val="-8"/>
        </w:rPr>
        <w:t xml:space="preserve"> </w:t>
      </w:r>
      <w:r>
        <w:t>10</w:t>
      </w:r>
      <w:r>
        <w:rPr>
          <w:spacing w:val="-9"/>
        </w:rPr>
        <w:t xml:space="preserve"> </w:t>
      </w:r>
      <w:r>
        <w:t>onwards.</w:t>
      </w:r>
      <w:r>
        <w:rPr>
          <w:spacing w:val="-10"/>
        </w:rPr>
        <w:t xml:space="preserve"> </w:t>
      </w:r>
      <w:r>
        <w:t>This</w:t>
      </w:r>
      <w:r>
        <w:rPr>
          <w:spacing w:val="-10"/>
        </w:rPr>
        <w:t xml:space="preserve"> </w:t>
      </w:r>
      <w:r>
        <w:t>assumption is</w:t>
      </w:r>
      <w:r>
        <w:rPr>
          <w:spacing w:val="-4"/>
        </w:rPr>
        <w:t xml:space="preserve"> </w:t>
      </w:r>
      <w:r>
        <w:t>not</w:t>
      </w:r>
      <w:r>
        <w:rPr>
          <w:spacing w:val="-5"/>
        </w:rPr>
        <w:t xml:space="preserve"> </w:t>
      </w:r>
      <w:r>
        <w:t>based</w:t>
      </w:r>
      <w:r>
        <w:rPr>
          <w:spacing w:val="-7"/>
        </w:rPr>
        <w:t xml:space="preserve"> </w:t>
      </w:r>
      <w:r>
        <w:t>on</w:t>
      </w:r>
      <w:r>
        <w:rPr>
          <w:spacing w:val="-4"/>
        </w:rPr>
        <w:t xml:space="preserve"> </w:t>
      </w:r>
      <w:r>
        <w:t>any</w:t>
      </w:r>
      <w:r>
        <w:rPr>
          <w:spacing w:val="-6"/>
        </w:rPr>
        <w:t xml:space="preserve"> </w:t>
      </w:r>
      <w:r>
        <w:t>clinical</w:t>
      </w:r>
      <w:r>
        <w:rPr>
          <w:spacing w:val="-5"/>
        </w:rPr>
        <w:t xml:space="preserve"> </w:t>
      </w:r>
      <w:r>
        <w:t>expert</w:t>
      </w:r>
      <w:r>
        <w:rPr>
          <w:spacing w:val="-4"/>
        </w:rPr>
        <w:t xml:space="preserve"> </w:t>
      </w:r>
      <w:r>
        <w:t>opinion</w:t>
      </w:r>
      <w:r>
        <w:rPr>
          <w:spacing w:val="-4"/>
        </w:rPr>
        <w:t xml:space="preserve"> </w:t>
      </w:r>
      <w:r>
        <w:t>or</w:t>
      </w:r>
      <w:r>
        <w:rPr>
          <w:spacing w:val="-5"/>
        </w:rPr>
        <w:t xml:space="preserve"> </w:t>
      </w:r>
      <w:r>
        <w:t>real</w:t>
      </w:r>
      <w:r>
        <w:rPr>
          <w:spacing w:val="-7"/>
        </w:rPr>
        <w:t xml:space="preserve"> </w:t>
      </w:r>
      <w:r>
        <w:t>world</w:t>
      </w:r>
      <w:r>
        <w:rPr>
          <w:spacing w:val="-4"/>
        </w:rPr>
        <w:t xml:space="preserve"> </w:t>
      </w:r>
      <w:r>
        <w:t>evidence</w:t>
      </w:r>
      <w:r>
        <w:rPr>
          <w:spacing w:val="-5"/>
        </w:rPr>
        <w:t xml:space="preserve"> </w:t>
      </w:r>
      <w:r>
        <w:t>source</w:t>
      </w:r>
      <w:r>
        <w:rPr>
          <w:spacing w:val="-6"/>
        </w:rPr>
        <w:t xml:space="preserve"> </w:t>
      </w:r>
      <w:r>
        <w:t>and the Committee provides no explanation for this conclusion.</w:t>
      </w:r>
    </w:p>
    <w:p w:rsidR="000D2DCD" w:rsidRDefault="00F81CE0" w14:paraId="1074E32A" w14:textId="77777777">
      <w:pPr>
        <w:pStyle w:val="ListParagraph"/>
        <w:numPr>
          <w:ilvl w:val="1"/>
          <w:numId w:val="15"/>
        </w:numPr>
        <w:tabs>
          <w:tab w:val="left" w:pos="1552"/>
          <w:tab w:val="left" w:pos="2199"/>
        </w:tabs>
        <w:spacing w:before="117" w:line="278" w:lineRule="auto"/>
        <w:ind w:right="1550" w:hanging="432"/>
        <w:jc w:val="both"/>
      </w:pPr>
      <w:r>
        <w:t>The Committee provides no explanation for rejecting the views of the</w:t>
      </w:r>
      <w:r>
        <w:rPr>
          <w:spacing w:val="40"/>
        </w:rPr>
        <w:t xml:space="preserve"> </w:t>
      </w:r>
      <w:r>
        <w:t>clinical experts who stated that they expect 0% waning, but seems to rely simply on a general observation from patient carer experts that “drugs that initially work can lose efficacy” (paragraph 3.2 of the FDG).</w:t>
      </w:r>
    </w:p>
    <w:p w:rsidR="000D2DCD" w:rsidRDefault="00F81CE0" w14:paraId="1074E32B" w14:textId="77777777">
      <w:pPr>
        <w:pStyle w:val="ListParagraph"/>
        <w:numPr>
          <w:ilvl w:val="1"/>
          <w:numId w:val="15"/>
        </w:numPr>
        <w:tabs>
          <w:tab w:val="left" w:pos="1552"/>
          <w:tab w:val="left" w:pos="2199"/>
        </w:tabs>
        <w:spacing w:before="117" w:line="278" w:lineRule="auto"/>
        <w:ind w:hanging="432"/>
        <w:jc w:val="both"/>
      </w:pPr>
      <w:r>
        <w:t>The Committee rejected the evidence from Polega et al (2022) as it was “based entirely on a US population”, without considering or consulting</w:t>
      </w:r>
      <w:r>
        <w:rPr>
          <w:spacing w:val="-3"/>
        </w:rPr>
        <w:t xml:space="preserve"> </w:t>
      </w:r>
      <w:r>
        <w:t>with clinical experts to assess if there would be any observed differences between UK and US patient populations with regards to this assumption.</w:t>
      </w:r>
    </w:p>
    <w:p w:rsidR="000D2DCD" w:rsidRDefault="00F81CE0" w14:paraId="1074E32C" w14:textId="77777777">
      <w:pPr>
        <w:pStyle w:val="ListParagraph"/>
        <w:numPr>
          <w:ilvl w:val="1"/>
          <w:numId w:val="15"/>
        </w:numPr>
        <w:tabs>
          <w:tab w:val="left" w:pos="1552"/>
          <w:tab w:val="left" w:pos="2199"/>
        </w:tabs>
        <w:spacing w:before="120" w:line="278" w:lineRule="auto"/>
        <w:ind w:right="1549" w:hanging="432"/>
        <w:jc w:val="both"/>
      </w:pPr>
      <w:r>
        <w:t>The</w:t>
      </w:r>
      <w:r>
        <w:rPr>
          <w:spacing w:val="40"/>
        </w:rPr>
        <w:t xml:space="preserve"> </w:t>
      </w:r>
      <w:r>
        <w:t>assumption</w:t>
      </w:r>
      <w:r>
        <w:rPr>
          <w:spacing w:val="40"/>
        </w:rPr>
        <w:t xml:space="preserve"> </w:t>
      </w:r>
      <w:r>
        <w:t>that</w:t>
      </w:r>
      <w:r>
        <w:rPr>
          <w:spacing w:val="40"/>
        </w:rPr>
        <w:t xml:space="preserve"> </w:t>
      </w:r>
      <w:r>
        <w:t>a</w:t>
      </w:r>
      <w:r>
        <w:rPr>
          <w:spacing w:val="40"/>
        </w:rPr>
        <w:t xml:space="preserve"> </w:t>
      </w:r>
      <w:r>
        <w:t>greater</w:t>
      </w:r>
      <w:r>
        <w:rPr>
          <w:spacing w:val="40"/>
        </w:rPr>
        <w:t xml:space="preserve"> </w:t>
      </w:r>
      <w:r>
        <w:t>percentage</w:t>
      </w:r>
      <w:r>
        <w:rPr>
          <w:spacing w:val="40"/>
        </w:rPr>
        <w:t xml:space="preserve"> </w:t>
      </w:r>
      <w:r>
        <w:t>of</w:t>
      </w:r>
      <w:r>
        <w:rPr>
          <w:spacing w:val="40"/>
        </w:rPr>
        <w:t xml:space="preserve"> </w:t>
      </w:r>
      <w:r>
        <w:t>patients</w:t>
      </w:r>
      <w:r>
        <w:rPr>
          <w:spacing w:val="40"/>
        </w:rPr>
        <w:t xml:space="preserve"> </w:t>
      </w:r>
      <w:r>
        <w:t>experience</w:t>
      </w:r>
      <w:r>
        <w:rPr>
          <w:spacing w:val="80"/>
        </w:rPr>
        <w:t xml:space="preserve"> </w:t>
      </w:r>
      <w:r>
        <w:t>waning on FFA than CBD is unexplained and conflicts with the advice of clinical experts quoted by the EAG.</w:t>
      </w:r>
    </w:p>
    <w:p w:rsidR="000D2DCD" w:rsidRDefault="00F81CE0" w14:paraId="1074E32D" w14:textId="77777777">
      <w:pPr>
        <w:pStyle w:val="ListParagraph"/>
        <w:numPr>
          <w:ilvl w:val="1"/>
          <w:numId w:val="15"/>
        </w:numPr>
        <w:tabs>
          <w:tab w:val="left" w:pos="1552"/>
          <w:tab w:val="left" w:pos="2199"/>
        </w:tabs>
        <w:spacing w:line="278" w:lineRule="auto"/>
        <w:ind w:hanging="432"/>
        <w:jc w:val="both"/>
      </w:pPr>
      <w:r>
        <w:t>The</w:t>
      </w:r>
      <w:r>
        <w:rPr>
          <w:spacing w:val="40"/>
        </w:rPr>
        <w:t xml:space="preserve"> </w:t>
      </w:r>
      <w:r>
        <w:t>committee</w:t>
      </w:r>
      <w:r>
        <w:rPr>
          <w:spacing w:val="40"/>
        </w:rPr>
        <w:t xml:space="preserve"> </w:t>
      </w:r>
      <w:r>
        <w:t>quote</w:t>
      </w:r>
      <w:r>
        <w:rPr>
          <w:spacing w:val="40"/>
        </w:rPr>
        <w:t xml:space="preserve"> </w:t>
      </w:r>
      <w:r>
        <w:t>precedence</w:t>
      </w:r>
      <w:r>
        <w:rPr>
          <w:spacing w:val="40"/>
        </w:rPr>
        <w:t xml:space="preserve"> </w:t>
      </w:r>
      <w:r>
        <w:t>from</w:t>
      </w:r>
      <w:r>
        <w:rPr>
          <w:spacing w:val="40"/>
        </w:rPr>
        <w:t xml:space="preserve"> </w:t>
      </w:r>
      <w:r>
        <w:t>TA615</w:t>
      </w:r>
      <w:r>
        <w:rPr>
          <w:spacing w:val="40"/>
        </w:rPr>
        <w:t xml:space="preserve"> </w:t>
      </w:r>
      <w:r>
        <w:t>where</w:t>
      </w:r>
      <w:r>
        <w:rPr>
          <w:spacing w:val="40"/>
        </w:rPr>
        <w:t xml:space="preserve"> </w:t>
      </w:r>
      <w:r>
        <w:t>10% discontinuation</w:t>
      </w:r>
      <w:r>
        <w:rPr>
          <w:spacing w:val="-16"/>
        </w:rPr>
        <w:t xml:space="preserve"> </w:t>
      </w:r>
      <w:r>
        <w:t>per</w:t>
      </w:r>
      <w:r>
        <w:rPr>
          <w:spacing w:val="-15"/>
        </w:rPr>
        <w:t xml:space="preserve"> </w:t>
      </w:r>
      <w:r>
        <w:t>year</w:t>
      </w:r>
      <w:r>
        <w:rPr>
          <w:spacing w:val="-15"/>
        </w:rPr>
        <w:t xml:space="preserve"> </w:t>
      </w:r>
      <w:r>
        <w:t>was</w:t>
      </w:r>
      <w:r>
        <w:rPr>
          <w:spacing w:val="-16"/>
        </w:rPr>
        <w:t xml:space="preserve"> </w:t>
      </w:r>
      <w:r>
        <w:t>applied</w:t>
      </w:r>
      <w:r>
        <w:rPr>
          <w:spacing w:val="-15"/>
        </w:rPr>
        <w:t xml:space="preserve"> </w:t>
      </w:r>
      <w:r>
        <w:t>as</w:t>
      </w:r>
      <w:r>
        <w:rPr>
          <w:spacing w:val="-15"/>
        </w:rPr>
        <w:t xml:space="preserve"> </w:t>
      </w:r>
      <w:r>
        <w:t>a</w:t>
      </w:r>
      <w:r>
        <w:rPr>
          <w:spacing w:val="-15"/>
        </w:rPr>
        <w:t xml:space="preserve"> </w:t>
      </w:r>
      <w:r>
        <w:t>scenario,</w:t>
      </w:r>
      <w:r>
        <w:rPr>
          <w:spacing w:val="-16"/>
        </w:rPr>
        <w:t xml:space="preserve"> </w:t>
      </w:r>
      <w:r>
        <w:t>however</w:t>
      </w:r>
      <w:r>
        <w:rPr>
          <w:spacing w:val="-15"/>
        </w:rPr>
        <w:t xml:space="preserve"> </w:t>
      </w:r>
      <w:r>
        <w:t>it</w:t>
      </w:r>
      <w:r>
        <w:rPr>
          <w:spacing w:val="-15"/>
        </w:rPr>
        <w:t xml:space="preserve"> </w:t>
      </w:r>
      <w:r>
        <w:t>is</w:t>
      </w:r>
      <w:r>
        <w:rPr>
          <w:spacing w:val="-16"/>
        </w:rPr>
        <w:t xml:space="preserve"> </w:t>
      </w:r>
      <w:r>
        <w:t>unclear</w:t>
      </w:r>
      <w:r>
        <w:rPr>
          <w:spacing w:val="-15"/>
        </w:rPr>
        <w:t xml:space="preserve"> </w:t>
      </w:r>
      <w:r>
        <w:t>from the guidance that this formed the basis for decision making and, if so, why.</w:t>
      </w:r>
    </w:p>
    <w:p w:rsidR="000D2DCD" w:rsidRDefault="00F81CE0" w14:paraId="1074E32E" w14:textId="77777777">
      <w:pPr>
        <w:pStyle w:val="ListParagraph"/>
        <w:numPr>
          <w:ilvl w:val="0"/>
          <w:numId w:val="15"/>
        </w:numPr>
        <w:tabs>
          <w:tab w:val="left" w:pos="1443"/>
          <w:tab w:val="left" w:pos="1446"/>
        </w:tabs>
        <w:spacing w:before="118" w:line="278" w:lineRule="auto"/>
        <w:jc w:val="both"/>
      </w:pPr>
      <w:r>
        <w:t>In summary, the Committee’s conclusions in relation to the waning of treatment effect with fenfluramine disregard the</w:t>
      </w:r>
      <w:r>
        <w:rPr>
          <w:spacing w:val="-1"/>
        </w:rPr>
        <w:t xml:space="preserve"> </w:t>
      </w:r>
      <w:r>
        <w:t>evidence provided by clinical experts,</w:t>
      </w:r>
      <w:r>
        <w:rPr>
          <w:spacing w:val="-8"/>
        </w:rPr>
        <w:t xml:space="preserve"> </w:t>
      </w:r>
      <w:r>
        <w:t>the</w:t>
      </w:r>
      <w:r>
        <w:rPr>
          <w:spacing w:val="-7"/>
        </w:rPr>
        <w:t xml:space="preserve"> </w:t>
      </w:r>
      <w:r>
        <w:t>data</w:t>
      </w:r>
      <w:r>
        <w:rPr>
          <w:spacing w:val="-9"/>
        </w:rPr>
        <w:t xml:space="preserve"> </w:t>
      </w:r>
      <w:r>
        <w:t>from</w:t>
      </w:r>
      <w:r>
        <w:rPr>
          <w:spacing w:val="-5"/>
        </w:rPr>
        <w:t xml:space="preserve"> </w:t>
      </w:r>
      <w:r>
        <w:t>the</w:t>
      </w:r>
      <w:r>
        <w:rPr>
          <w:spacing w:val="-6"/>
        </w:rPr>
        <w:t xml:space="preserve"> </w:t>
      </w:r>
      <w:r>
        <w:t>Study</w:t>
      </w:r>
      <w:r>
        <w:rPr>
          <w:spacing w:val="-8"/>
        </w:rPr>
        <w:t xml:space="preserve"> </w:t>
      </w:r>
      <w:r>
        <w:t>1601</w:t>
      </w:r>
      <w:r>
        <w:rPr>
          <w:spacing w:val="-7"/>
        </w:rPr>
        <w:t xml:space="preserve"> </w:t>
      </w:r>
      <w:r>
        <w:t>OLE</w:t>
      </w:r>
      <w:r>
        <w:rPr>
          <w:spacing w:val="-7"/>
        </w:rPr>
        <w:t xml:space="preserve"> </w:t>
      </w:r>
      <w:r>
        <w:t>and</w:t>
      </w:r>
      <w:r>
        <w:rPr>
          <w:spacing w:val="-9"/>
        </w:rPr>
        <w:t xml:space="preserve"> </w:t>
      </w:r>
      <w:r>
        <w:t>available</w:t>
      </w:r>
      <w:r>
        <w:rPr>
          <w:spacing w:val="-6"/>
        </w:rPr>
        <w:t xml:space="preserve"> </w:t>
      </w:r>
      <w:r>
        <w:t>real</w:t>
      </w:r>
      <w:r>
        <w:rPr>
          <w:spacing w:val="-7"/>
        </w:rPr>
        <w:t xml:space="preserve"> </w:t>
      </w:r>
      <w:r>
        <w:t>world</w:t>
      </w:r>
      <w:r>
        <w:rPr>
          <w:spacing w:val="-7"/>
        </w:rPr>
        <w:t xml:space="preserve"> </w:t>
      </w:r>
      <w:r>
        <w:t>evidence, in</w:t>
      </w:r>
      <w:r>
        <w:rPr>
          <w:spacing w:val="-3"/>
        </w:rPr>
        <w:t xml:space="preserve"> </w:t>
      </w:r>
      <w:r>
        <w:t>favour of</w:t>
      </w:r>
      <w:r>
        <w:rPr>
          <w:spacing w:val="-1"/>
        </w:rPr>
        <w:t xml:space="preserve"> </w:t>
      </w:r>
      <w:r>
        <w:t>an</w:t>
      </w:r>
      <w:r>
        <w:rPr>
          <w:spacing w:val="-1"/>
        </w:rPr>
        <w:t xml:space="preserve"> </w:t>
      </w:r>
      <w:r>
        <w:t>assumption</w:t>
      </w:r>
      <w:r>
        <w:rPr>
          <w:spacing w:val="-1"/>
        </w:rPr>
        <w:t xml:space="preserve"> </w:t>
      </w:r>
      <w:r>
        <w:t>that</w:t>
      </w:r>
      <w:r>
        <w:rPr>
          <w:spacing w:val="-1"/>
        </w:rPr>
        <w:t xml:space="preserve"> </w:t>
      </w:r>
      <w:r>
        <w:t>is unexplained and unsupported</w:t>
      </w:r>
      <w:r>
        <w:rPr>
          <w:spacing w:val="-3"/>
        </w:rPr>
        <w:t xml:space="preserve"> </w:t>
      </w:r>
      <w:r>
        <w:t>by</w:t>
      </w:r>
      <w:r>
        <w:rPr>
          <w:spacing w:val="-3"/>
        </w:rPr>
        <w:t xml:space="preserve"> </w:t>
      </w:r>
      <w:r>
        <w:t>evidence. This is unreasonable.</w:t>
      </w:r>
    </w:p>
    <w:p w:rsidR="000D2DCD" w:rsidRDefault="000D2DCD" w14:paraId="1074E32F"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330" w14:textId="77777777">
      <w:pPr>
        <w:pStyle w:val="BodyText"/>
      </w:pPr>
    </w:p>
    <w:p w:rsidR="000D2DCD" w:rsidRDefault="000D2DCD" w14:paraId="1074E331" w14:textId="77777777">
      <w:pPr>
        <w:pStyle w:val="BodyText"/>
      </w:pPr>
    </w:p>
    <w:p w:rsidR="000D2DCD" w:rsidRDefault="000D2DCD" w14:paraId="1074E332" w14:textId="77777777">
      <w:pPr>
        <w:pStyle w:val="BodyText"/>
        <w:spacing w:before="217"/>
      </w:pPr>
    </w:p>
    <w:p w:rsidR="000D2DCD" w:rsidRDefault="00F81CE0" w14:paraId="1074E333" w14:textId="77777777">
      <w:pPr>
        <w:pStyle w:val="Heading1"/>
        <w:numPr>
          <w:ilvl w:val="0"/>
          <w:numId w:val="2"/>
        </w:numPr>
        <w:tabs>
          <w:tab w:val="left" w:pos="2201"/>
        </w:tabs>
        <w:spacing w:line="350" w:lineRule="auto"/>
        <w:ind w:right="2067"/>
      </w:pPr>
      <w:r>
        <w:t>Ground 2.3: NICE’s conclusion that it should assume no treatment</w:t>
      </w:r>
      <w:r>
        <w:rPr>
          <w:spacing w:val="-8"/>
        </w:rPr>
        <w:t xml:space="preserve"> </w:t>
      </w:r>
      <w:r>
        <w:t>wastage</w:t>
      </w:r>
      <w:r>
        <w:rPr>
          <w:spacing w:val="-6"/>
        </w:rPr>
        <w:t xml:space="preserve"> </w:t>
      </w:r>
      <w:r>
        <w:t>between</w:t>
      </w:r>
      <w:r>
        <w:rPr>
          <w:spacing w:val="-6"/>
        </w:rPr>
        <w:t xml:space="preserve"> </w:t>
      </w:r>
      <w:r>
        <w:t>fenfluramine</w:t>
      </w:r>
      <w:r>
        <w:rPr>
          <w:spacing w:val="-7"/>
        </w:rPr>
        <w:t xml:space="preserve"> </w:t>
      </w:r>
      <w:r>
        <w:t>and</w:t>
      </w:r>
      <w:r>
        <w:rPr>
          <w:spacing w:val="-6"/>
        </w:rPr>
        <w:t xml:space="preserve"> </w:t>
      </w:r>
      <w:r>
        <w:t>cannabidiol</w:t>
      </w:r>
      <w:r>
        <w:rPr>
          <w:spacing w:val="-5"/>
        </w:rPr>
        <w:t xml:space="preserve"> </w:t>
      </w:r>
      <w:r>
        <w:t xml:space="preserve">is inconsistent with the available evidence and therefore </w:t>
      </w:r>
      <w:r>
        <w:rPr>
          <w:spacing w:val="-2"/>
        </w:rPr>
        <w:t>unreasonable</w:t>
      </w:r>
    </w:p>
    <w:p w:rsidR="000D2DCD" w:rsidRDefault="00F81CE0" w14:paraId="1074E334" w14:textId="77777777">
      <w:pPr>
        <w:pStyle w:val="ListParagraph"/>
        <w:numPr>
          <w:ilvl w:val="0"/>
          <w:numId w:val="15"/>
        </w:numPr>
        <w:tabs>
          <w:tab w:val="left" w:pos="1443"/>
          <w:tab w:val="left" w:pos="1446"/>
        </w:tabs>
        <w:spacing w:before="131" w:line="276" w:lineRule="auto"/>
        <w:ind w:right="1551"/>
        <w:jc w:val="both"/>
      </w:pPr>
      <w:r>
        <w:t>During ACM1, all 3 clinical experts indicated that wastage for CBD is higher than that for fenfluramine based on their prescribing experience in DS and LGS.</w:t>
      </w:r>
      <w:r>
        <w:rPr>
          <w:spacing w:val="40"/>
        </w:rPr>
        <w:t xml:space="preserve"> </w:t>
      </w:r>
      <w:r>
        <w:t>The Draft Guidance therefore stated:</w:t>
      </w:r>
    </w:p>
    <w:p w:rsidR="000D2DCD" w:rsidRDefault="00F81CE0" w14:paraId="1074E335" w14:textId="77777777">
      <w:pPr>
        <w:pStyle w:val="ListParagraph"/>
        <w:numPr>
          <w:ilvl w:val="1"/>
          <w:numId w:val="15"/>
        </w:numPr>
        <w:tabs>
          <w:tab w:val="left" w:pos="1552"/>
          <w:tab w:val="left" w:pos="2199"/>
        </w:tabs>
        <w:spacing w:before="125" w:line="278" w:lineRule="auto"/>
        <w:ind w:right="1548" w:hanging="432"/>
        <w:jc w:val="both"/>
      </w:pPr>
      <w:r>
        <w:t>“</w:t>
      </w:r>
      <w:r>
        <w:rPr>
          <w:i/>
        </w:rPr>
        <w:t>The clinical experts stated that in their experience the average</w:t>
      </w:r>
      <w:r>
        <w:rPr>
          <w:i/>
          <w:spacing w:val="40"/>
        </w:rPr>
        <w:t xml:space="preserve"> </w:t>
      </w:r>
      <w:r>
        <w:rPr>
          <w:i/>
        </w:rPr>
        <w:t>maintenance dosage of cannabidiol was around 12 to 15 mg/kg/day. They added</w:t>
      </w:r>
      <w:r>
        <w:rPr>
          <w:i/>
          <w:spacing w:val="-2"/>
        </w:rPr>
        <w:t xml:space="preserve"> </w:t>
      </w:r>
      <w:r>
        <w:rPr>
          <w:i/>
        </w:rPr>
        <w:t>that</w:t>
      </w:r>
      <w:r>
        <w:rPr>
          <w:i/>
          <w:spacing w:val="-1"/>
        </w:rPr>
        <w:t xml:space="preserve"> </w:t>
      </w:r>
      <w:r>
        <w:rPr>
          <w:i/>
        </w:rPr>
        <w:t>cannabidiol</w:t>
      </w:r>
      <w:r>
        <w:rPr>
          <w:i/>
          <w:spacing w:val="-3"/>
        </w:rPr>
        <w:t xml:space="preserve"> </w:t>
      </w:r>
      <w:r>
        <w:rPr>
          <w:i/>
        </w:rPr>
        <w:t>is</w:t>
      </w:r>
      <w:r>
        <w:rPr>
          <w:i/>
          <w:spacing w:val="-4"/>
        </w:rPr>
        <w:t xml:space="preserve"> </w:t>
      </w:r>
      <w:r>
        <w:rPr>
          <w:i/>
        </w:rPr>
        <w:t>an</w:t>
      </w:r>
      <w:r>
        <w:rPr>
          <w:i/>
          <w:spacing w:val="-2"/>
        </w:rPr>
        <w:t xml:space="preserve"> </w:t>
      </w:r>
      <w:r>
        <w:rPr>
          <w:i/>
        </w:rPr>
        <w:t>oily</w:t>
      </w:r>
      <w:r>
        <w:rPr>
          <w:i/>
          <w:spacing w:val="-1"/>
        </w:rPr>
        <w:t xml:space="preserve"> </w:t>
      </w:r>
      <w:r>
        <w:rPr>
          <w:i/>
        </w:rPr>
        <w:t>substance</w:t>
      </w:r>
      <w:r>
        <w:rPr>
          <w:i/>
          <w:spacing w:val="-2"/>
        </w:rPr>
        <w:t xml:space="preserve"> </w:t>
      </w:r>
      <w:r>
        <w:rPr>
          <w:i/>
        </w:rPr>
        <w:t>and</w:t>
      </w:r>
      <w:r>
        <w:rPr>
          <w:i/>
          <w:spacing w:val="-2"/>
        </w:rPr>
        <w:t xml:space="preserve"> </w:t>
      </w:r>
      <w:r>
        <w:rPr>
          <w:i/>
        </w:rPr>
        <w:t>is</w:t>
      </w:r>
      <w:r>
        <w:rPr>
          <w:i/>
          <w:spacing w:val="-4"/>
        </w:rPr>
        <w:t xml:space="preserve"> </w:t>
      </w:r>
      <w:r>
        <w:rPr>
          <w:i/>
        </w:rPr>
        <w:t>provided</w:t>
      </w:r>
      <w:r>
        <w:rPr>
          <w:i/>
          <w:spacing w:val="-2"/>
        </w:rPr>
        <w:t xml:space="preserve"> </w:t>
      </w:r>
      <w:r>
        <w:rPr>
          <w:i/>
        </w:rPr>
        <w:t>in</w:t>
      </w:r>
      <w:r>
        <w:rPr>
          <w:i/>
          <w:spacing w:val="-2"/>
        </w:rPr>
        <w:t xml:space="preserve"> </w:t>
      </w:r>
      <w:r>
        <w:rPr>
          <w:i/>
        </w:rPr>
        <w:t>a</w:t>
      </w:r>
      <w:r>
        <w:rPr>
          <w:i/>
          <w:spacing w:val="-4"/>
        </w:rPr>
        <w:t xml:space="preserve"> </w:t>
      </w:r>
      <w:r>
        <w:rPr>
          <w:i/>
        </w:rPr>
        <w:t>glass</w:t>
      </w:r>
      <w:r>
        <w:rPr>
          <w:i/>
          <w:spacing w:val="-2"/>
        </w:rPr>
        <w:t xml:space="preserve"> </w:t>
      </w:r>
      <w:r>
        <w:rPr>
          <w:i/>
        </w:rPr>
        <w:t>bottle. So</w:t>
      </w:r>
      <w:r>
        <w:rPr>
          <w:i/>
          <w:spacing w:val="-16"/>
        </w:rPr>
        <w:t xml:space="preserve"> </w:t>
      </w:r>
      <w:r>
        <w:rPr>
          <w:i/>
        </w:rPr>
        <w:t>there</w:t>
      </w:r>
      <w:r>
        <w:rPr>
          <w:i/>
          <w:spacing w:val="-15"/>
        </w:rPr>
        <w:t xml:space="preserve"> </w:t>
      </w:r>
      <w:r>
        <w:rPr>
          <w:i/>
        </w:rPr>
        <w:t>can</w:t>
      </w:r>
      <w:r>
        <w:rPr>
          <w:i/>
          <w:spacing w:val="-15"/>
        </w:rPr>
        <w:t xml:space="preserve"> </w:t>
      </w:r>
      <w:r>
        <w:rPr>
          <w:i/>
        </w:rPr>
        <w:t>be</w:t>
      </w:r>
      <w:r>
        <w:rPr>
          <w:i/>
          <w:spacing w:val="-16"/>
        </w:rPr>
        <w:t xml:space="preserve"> </w:t>
      </w:r>
      <w:r>
        <w:rPr>
          <w:i/>
        </w:rPr>
        <w:t>wastage</w:t>
      </w:r>
      <w:r>
        <w:rPr>
          <w:i/>
          <w:spacing w:val="-15"/>
        </w:rPr>
        <w:t xml:space="preserve"> </w:t>
      </w:r>
      <w:r>
        <w:rPr>
          <w:i/>
        </w:rPr>
        <w:t>due</w:t>
      </w:r>
      <w:r>
        <w:rPr>
          <w:i/>
          <w:spacing w:val="-15"/>
        </w:rPr>
        <w:t xml:space="preserve"> </w:t>
      </w:r>
      <w:r>
        <w:rPr>
          <w:i/>
        </w:rPr>
        <w:t>to</w:t>
      </w:r>
      <w:r>
        <w:rPr>
          <w:i/>
          <w:spacing w:val="-15"/>
        </w:rPr>
        <w:t xml:space="preserve"> </w:t>
      </w:r>
      <w:r>
        <w:rPr>
          <w:i/>
        </w:rPr>
        <w:t>the</w:t>
      </w:r>
      <w:r>
        <w:rPr>
          <w:i/>
          <w:spacing w:val="-16"/>
        </w:rPr>
        <w:t xml:space="preserve"> </w:t>
      </w:r>
      <w:r>
        <w:rPr>
          <w:i/>
        </w:rPr>
        <w:t>glass</w:t>
      </w:r>
      <w:r>
        <w:rPr>
          <w:i/>
          <w:spacing w:val="-15"/>
        </w:rPr>
        <w:t xml:space="preserve"> </w:t>
      </w:r>
      <w:r>
        <w:rPr>
          <w:i/>
        </w:rPr>
        <w:t>bottle</w:t>
      </w:r>
      <w:r>
        <w:rPr>
          <w:i/>
          <w:spacing w:val="-15"/>
        </w:rPr>
        <w:t xml:space="preserve"> </w:t>
      </w:r>
      <w:r>
        <w:rPr>
          <w:i/>
        </w:rPr>
        <w:t>breaking</w:t>
      </w:r>
      <w:r>
        <w:rPr>
          <w:i/>
          <w:spacing w:val="-16"/>
        </w:rPr>
        <w:t xml:space="preserve"> </w:t>
      </w:r>
      <w:r>
        <w:rPr>
          <w:i/>
        </w:rPr>
        <w:t>or</w:t>
      </w:r>
      <w:r>
        <w:rPr>
          <w:i/>
          <w:spacing w:val="-15"/>
        </w:rPr>
        <w:t xml:space="preserve"> </w:t>
      </w:r>
      <w:r>
        <w:rPr>
          <w:i/>
        </w:rPr>
        <w:t>some</w:t>
      </w:r>
      <w:r>
        <w:rPr>
          <w:i/>
          <w:spacing w:val="-15"/>
        </w:rPr>
        <w:t xml:space="preserve"> </w:t>
      </w:r>
      <w:r>
        <w:rPr>
          <w:i/>
        </w:rPr>
        <w:t>cannabidiol being leftover in the bottle</w:t>
      </w:r>
      <w:r>
        <w:t>” (paragraph 3.16).</w:t>
      </w:r>
    </w:p>
    <w:p w:rsidR="000D2DCD" w:rsidRDefault="00F81CE0" w14:paraId="1074E336" w14:textId="77777777">
      <w:pPr>
        <w:pStyle w:val="ListParagraph"/>
        <w:numPr>
          <w:ilvl w:val="1"/>
          <w:numId w:val="15"/>
        </w:numPr>
        <w:tabs>
          <w:tab w:val="left" w:pos="1552"/>
          <w:tab w:val="left" w:pos="2199"/>
        </w:tabs>
        <w:spacing w:before="118" w:line="278" w:lineRule="auto"/>
        <w:ind w:right="1548" w:hanging="432"/>
        <w:jc w:val="both"/>
      </w:pPr>
      <w:r>
        <w:t>The</w:t>
      </w:r>
      <w:r>
        <w:rPr>
          <w:spacing w:val="40"/>
        </w:rPr>
        <w:t xml:space="preserve"> </w:t>
      </w:r>
      <w:r>
        <w:t>Draft</w:t>
      </w:r>
      <w:r>
        <w:rPr>
          <w:spacing w:val="40"/>
        </w:rPr>
        <w:t xml:space="preserve"> </w:t>
      </w:r>
      <w:r>
        <w:t>Guidance</w:t>
      </w:r>
      <w:r>
        <w:rPr>
          <w:spacing w:val="40"/>
        </w:rPr>
        <w:t xml:space="preserve"> </w:t>
      </w:r>
      <w:r>
        <w:t>went</w:t>
      </w:r>
      <w:r>
        <w:rPr>
          <w:spacing w:val="40"/>
        </w:rPr>
        <w:t xml:space="preserve"> </w:t>
      </w:r>
      <w:r>
        <w:t>on</w:t>
      </w:r>
      <w:r>
        <w:rPr>
          <w:spacing w:val="40"/>
        </w:rPr>
        <w:t xml:space="preserve"> </w:t>
      </w:r>
      <w:r>
        <w:t>to</w:t>
      </w:r>
      <w:r>
        <w:rPr>
          <w:spacing w:val="40"/>
        </w:rPr>
        <w:t xml:space="preserve"> </w:t>
      </w:r>
      <w:r>
        <w:t>note</w:t>
      </w:r>
      <w:r>
        <w:rPr>
          <w:spacing w:val="40"/>
        </w:rPr>
        <w:t xml:space="preserve"> </w:t>
      </w:r>
      <w:r>
        <w:t>that</w:t>
      </w:r>
      <w:r>
        <w:rPr>
          <w:spacing w:val="40"/>
        </w:rPr>
        <w:t xml:space="preserve"> </w:t>
      </w:r>
      <w:r>
        <w:t>there</w:t>
      </w:r>
      <w:r>
        <w:rPr>
          <w:spacing w:val="40"/>
        </w:rPr>
        <w:t xml:space="preserve"> </w:t>
      </w:r>
      <w:r>
        <w:t>was</w:t>
      </w:r>
      <w:r>
        <w:rPr>
          <w:spacing w:val="40"/>
        </w:rPr>
        <w:t xml:space="preserve"> </w:t>
      </w:r>
      <w:r>
        <w:t>uncertainty</w:t>
      </w:r>
      <w:r>
        <w:rPr>
          <w:spacing w:val="40"/>
        </w:rPr>
        <w:t xml:space="preserve"> </w:t>
      </w:r>
      <w:r>
        <w:t>in relation</w:t>
      </w:r>
      <w:r>
        <w:rPr>
          <w:spacing w:val="-7"/>
        </w:rPr>
        <w:t xml:space="preserve"> </w:t>
      </w:r>
      <w:r>
        <w:t>to</w:t>
      </w:r>
      <w:r>
        <w:rPr>
          <w:spacing w:val="-10"/>
        </w:rPr>
        <w:t xml:space="preserve"> </w:t>
      </w:r>
      <w:r>
        <w:t>wastage</w:t>
      </w:r>
      <w:r>
        <w:rPr>
          <w:spacing w:val="-10"/>
        </w:rPr>
        <w:t xml:space="preserve"> </w:t>
      </w:r>
      <w:r>
        <w:t>with</w:t>
      </w:r>
      <w:r>
        <w:rPr>
          <w:spacing w:val="-10"/>
        </w:rPr>
        <w:t xml:space="preserve"> </w:t>
      </w:r>
      <w:r>
        <w:t>fenfluramine</w:t>
      </w:r>
      <w:r>
        <w:rPr>
          <w:spacing w:val="-8"/>
        </w:rPr>
        <w:t xml:space="preserve"> </w:t>
      </w:r>
      <w:r>
        <w:t>and</w:t>
      </w:r>
      <w:r>
        <w:rPr>
          <w:spacing w:val="-10"/>
        </w:rPr>
        <w:t xml:space="preserve"> </w:t>
      </w:r>
      <w:r>
        <w:t>CBD</w:t>
      </w:r>
      <w:r>
        <w:rPr>
          <w:spacing w:val="-8"/>
        </w:rPr>
        <w:t xml:space="preserve"> </w:t>
      </w:r>
      <w:r>
        <w:t>in</w:t>
      </w:r>
      <w:r>
        <w:rPr>
          <w:spacing w:val="-10"/>
        </w:rPr>
        <w:t xml:space="preserve"> </w:t>
      </w:r>
      <w:r>
        <w:t>clinical</w:t>
      </w:r>
      <w:r>
        <w:rPr>
          <w:spacing w:val="-8"/>
        </w:rPr>
        <w:t xml:space="preserve"> </w:t>
      </w:r>
      <w:r>
        <w:t>practice</w:t>
      </w:r>
      <w:r>
        <w:rPr>
          <w:spacing w:val="-4"/>
        </w:rPr>
        <w:t xml:space="preserve"> </w:t>
      </w:r>
      <w:r>
        <w:t>(paragraph 3.21) and to request specific analyses incorporating wastage costs associated with both products (paragraph 3,24).</w:t>
      </w:r>
    </w:p>
    <w:p w:rsidR="000D2DCD" w:rsidRDefault="00F81CE0" w14:paraId="1074E337" w14:textId="77777777">
      <w:pPr>
        <w:pStyle w:val="ListParagraph"/>
        <w:numPr>
          <w:ilvl w:val="0"/>
          <w:numId w:val="15"/>
        </w:numPr>
        <w:tabs>
          <w:tab w:val="left" w:pos="1443"/>
          <w:tab w:val="left" w:pos="1446"/>
        </w:tabs>
        <w:spacing w:before="117" w:line="278" w:lineRule="auto"/>
        <w:ind w:right="1546"/>
        <w:jc w:val="both"/>
      </w:pPr>
      <w:r>
        <w:t>Clinical</w:t>
      </w:r>
      <w:r>
        <w:rPr>
          <w:spacing w:val="-7"/>
        </w:rPr>
        <w:t xml:space="preserve"> </w:t>
      </w:r>
      <w:r>
        <w:t>experts</w:t>
      </w:r>
      <w:r>
        <w:rPr>
          <w:spacing w:val="40"/>
        </w:rPr>
        <w:t xml:space="preserve"> </w:t>
      </w:r>
      <w:r>
        <w:t>stated</w:t>
      </w:r>
      <w:r>
        <w:rPr>
          <w:spacing w:val="-8"/>
        </w:rPr>
        <w:t xml:space="preserve"> </w:t>
      </w:r>
      <w:r>
        <w:t>that,</w:t>
      </w:r>
      <w:r>
        <w:rPr>
          <w:spacing w:val="-5"/>
        </w:rPr>
        <w:t xml:space="preserve"> </w:t>
      </w:r>
      <w:r>
        <w:t>due</w:t>
      </w:r>
      <w:r>
        <w:rPr>
          <w:spacing w:val="-9"/>
        </w:rPr>
        <w:t xml:space="preserve"> </w:t>
      </w:r>
      <w:r>
        <w:t>to</w:t>
      </w:r>
      <w:r>
        <w:rPr>
          <w:spacing w:val="-6"/>
        </w:rPr>
        <w:t xml:space="preserve"> </w:t>
      </w:r>
      <w:r>
        <w:t>CBD</w:t>
      </w:r>
      <w:r>
        <w:rPr>
          <w:spacing w:val="-7"/>
        </w:rPr>
        <w:t xml:space="preserve"> </w:t>
      </w:r>
      <w:r>
        <w:t>being</w:t>
      </w:r>
      <w:r>
        <w:rPr>
          <w:spacing w:val="-4"/>
        </w:rPr>
        <w:t xml:space="preserve"> </w:t>
      </w:r>
      <w:r>
        <w:t>an</w:t>
      </w:r>
      <w:r>
        <w:rPr>
          <w:spacing w:val="-9"/>
        </w:rPr>
        <w:t xml:space="preserve"> </w:t>
      </w:r>
      <w:r>
        <w:t>oily</w:t>
      </w:r>
      <w:r>
        <w:rPr>
          <w:spacing w:val="-8"/>
        </w:rPr>
        <w:t xml:space="preserve"> </w:t>
      </w:r>
      <w:r>
        <w:t>substance</w:t>
      </w:r>
      <w:r>
        <w:rPr>
          <w:spacing w:val="-5"/>
        </w:rPr>
        <w:t xml:space="preserve"> </w:t>
      </w:r>
      <w:r>
        <w:t>supplied</w:t>
      </w:r>
      <w:r>
        <w:rPr>
          <w:spacing w:val="-6"/>
        </w:rPr>
        <w:t xml:space="preserve"> </w:t>
      </w:r>
      <w:r>
        <w:t>in</w:t>
      </w:r>
      <w:r>
        <w:rPr>
          <w:spacing w:val="-6"/>
        </w:rPr>
        <w:t xml:space="preserve"> </w:t>
      </w:r>
      <w:r>
        <w:t>a glass</w:t>
      </w:r>
      <w:r>
        <w:rPr>
          <w:spacing w:val="-14"/>
        </w:rPr>
        <w:t xml:space="preserve"> </w:t>
      </w:r>
      <w:r>
        <w:t>bottle</w:t>
      </w:r>
      <w:r>
        <w:rPr>
          <w:spacing w:val="-16"/>
        </w:rPr>
        <w:t xml:space="preserve"> </w:t>
      </w:r>
      <w:r>
        <w:t>(as</w:t>
      </w:r>
      <w:r>
        <w:rPr>
          <w:spacing w:val="-13"/>
        </w:rPr>
        <w:t xml:space="preserve"> </w:t>
      </w:r>
      <w:r>
        <w:t>compared</w:t>
      </w:r>
      <w:r>
        <w:rPr>
          <w:spacing w:val="-14"/>
        </w:rPr>
        <w:t xml:space="preserve"> </w:t>
      </w:r>
      <w:r>
        <w:t>with</w:t>
      </w:r>
      <w:r>
        <w:rPr>
          <w:spacing w:val="-13"/>
        </w:rPr>
        <w:t xml:space="preserve"> </w:t>
      </w:r>
      <w:r>
        <w:t>FFA</w:t>
      </w:r>
      <w:r>
        <w:rPr>
          <w:spacing w:val="-14"/>
        </w:rPr>
        <w:t xml:space="preserve"> </w:t>
      </w:r>
      <w:r>
        <w:t>which</w:t>
      </w:r>
      <w:r>
        <w:rPr>
          <w:spacing w:val="-14"/>
        </w:rPr>
        <w:t xml:space="preserve"> </w:t>
      </w:r>
      <w:r>
        <w:t>is</w:t>
      </w:r>
      <w:r>
        <w:rPr>
          <w:spacing w:val="-13"/>
        </w:rPr>
        <w:t xml:space="preserve"> </w:t>
      </w:r>
      <w:r>
        <w:t>not</w:t>
      </w:r>
      <w:r>
        <w:rPr>
          <w:spacing w:val="-12"/>
        </w:rPr>
        <w:t xml:space="preserve"> </w:t>
      </w:r>
      <w:r>
        <w:t>oily</w:t>
      </w:r>
      <w:r>
        <w:rPr>
          <w:spacing w:val="-16"/>
        </w:rPr>
        <w:t xml:space="preserve"> </w:t>
      </w:r>
      <w:r>
        <w:t>and</w:t>
      </w:r>
      <w:r>
        <w:rPr>
          <w:spacing w:val="-12"/>
        </w:rPr>
        <w:t xml:space="preserve"> </w:t>
      </w:r>
      <w:r>
        <w:t>is</w:t>
      </w:r>
      <w:r>
        <w:rPr>
          <w:spacing w:val="-13"/>
        </w:rPr>
        <w:t xml:space="preserve"> </w:t>
      </w:r>
      <w:r>
        <w:t>supplied</w:t>
      </w:r>
      <w:r>
        <w:rPr>
          <w:spacing w:val="-14"/>
        </w:rPr>
        <w:t xml:space="preserve"> </w:t>
      </w:r>
      <w:r>
        <w:t>in</w:t>
      </w:r>
      <w:r>
        <w:rPr>
          <w:spacing w:val="-14"/>
        </w:rPr>
        <w:t xml:space="preserve"> </w:t>
      </w:r>
      <w:r>
        <w:t>a</w:t>
      </w:r>
      <w:r>
        <w:rPr>
          <w:spacing w:val="-14"/>
        </w:rPr>
        <w:t xml:space="preserve"> </w:t>
      </w:r>
      <w:r>
        <w:t>plastic bottle),</w:t>
      </w:r>
      <w:r>
        <w:rPr>
          <w:spacing w:val="-8"/>
        </w:rPr>
        <w:t xml:space="preserve"> </w:t>
      </w:r>
      <w:r>
        <w:t>at</w:t>
      </w:r>
      <w:r>
        <w:rPr>
          <w:spacing w:val="-9"/>
        </w:rPr>
        <w:t xml:space="preserve"> </w:t>
      </w:r>
      <w:r>
        <w:t>least</w:t>
      </w:r>
      <w:r>
        <w:rPr>
          <w:spacing w:val="-6"/>
        </w:rPr>
        <w:t xml:space="preserve"> </w:t>
      </w:r>
      <w:r>
        <w:t>1</w:t>
      </w:r>
      <w:r>
        <w:rPr>
          <w:spacing w:val="-10"/>
        </w:rPr>
        <w:t xml:space="preserve"> </w:t>
      </w:r>
      <w:r>
        <w:t>bottle</w:t>
      </w:r>
      <w:r>
        <w:rPr>
          <w:spacing w:val="-7"/>
        </w:rPr>
        <w:t xml:space="preserve"> </w:t>
      </w:r>
      <w:r>
        <w:t>is</w:t>
      </w:r>
      <w:r>
        <w:rPr>
          <w:spacing w:val="-9"/>
        </w:rPr>
        <w:t xml:space="preserve"> </w:t>
      </w:r>
      <w:r>
        <w:t>either</w:t>
      </w:r>
      <w:r>
        <w:rPr>
          <w:spacing w:val="-9"/>
        </w:rPr>
        <w:t xml:space="preserve"> </w:t>
      </w:r>
      <w:r>
        <w:t>dropped</w:t>
      </w:r>
      <w:r>
        <w:rPr>
          <w:spacing w:val="-10"/>
        </w:rPr>
        <w:t xml:space="preserve"> </w:t>
      </w:r>
      <w:r>
        <w:t>or</w:t>
      </w:r>
      <w:r>
        <w:rPr>
          <w:spacing w:val="-9"/>
        </w:rPr>
        <w:t xml:space="preserve"> </w:t>
      </w:r>
      <w:r>
        <w:t>broken</w:t>
      </w:r>
      <w:r>
        <w:rPr>
          <w:spacing w:val="-10"/>
        </w:rPr>
        <w:t xml:space="preserve"> </w:t>
      </w:r>
      <w:r>
        <w:t>per</w:t>
      </w:r>
      <w:r>
        <w:rPr>
          <w:spacing w:val="-9"/>
        </w:rPr>
        <w:t xml:space="preserve"> </w:t>
      </w:r>
      <w:r>
        <w:t>year.</w:t>
      </w:r>
      <w:r>
        <w:rPr>
          <w:spacing w:val="-11"/>
        </w:rPr>
        <w:t xml:space="preserve"> </w:t>
      </w:r>
      <w:r>
        <w:t>Therefore,</w:t>
      </w:r>
      <w:r>
        <w:rPr>
          <w:spacing w:val="-8"/>
        </w:rPr>
        <w:t xml:space="preserve"> </w:t>
      </w:r>
      <w:r>
        <w:t>based on the Committee’s request and consistent with clinical expert opinion, scenarios were provided which assumed (i) 5% wastage for both treatment arms,</w:t>
      </w:r>
      <w:r>
        <w:rPr>
          <w:spacing w:val="-15"/>
        </w:rPr>
        <w:t xml:space="preserve"> </w:t>
      </w:r>
      <w:r>
        <w:t>(ii)</w:t>
      </w:r>
      <w:r>
        <w:rPr>
          <w:spacing w:val="-13"/>
        </w:rPr>
        <w:t xml:space="preserve"> </w:t>
      </w:r>
      <w:r>
        <w:t>5%</w:t>
      </w:r>
      <w:r>
        <w:rPr>
          <w:spacing w:val="-13"/>
        </w:rPr>
        <w:t xml:space="preserve"> </w:t>
      </w:r>
      <w:r>
        <w:t>wastage</w:t>
      </w:r>
      <w:r>
        <w:rPr>
          <w:spacing w:val="-16"/>
        </w:rPr>
        <w:t xml:space="preserve"> </w:t>
      </w:r>
      <w:r>
        <w:t>for</w:t>
      </w:r>
      <w:r>
        <w:rPr>
          <w:spacing w:val="-14"/>
        </w:rPr>
        <w:t xml:space="preserve"> </w:t>
      </w:r>
      <w:r>
        <w:t>FFA</w:t>
      </w:r>
      <w:r>
        <w:rPr>
          <w:spacing w:val="-14"/>
        </w:rPr>
        <w:t xml:space="preserve"> </w:t>
      </w:r>
      <w:r>
        <w:t>and</w:t>
      </w:r>
      <w:r>
        <w:rPr>
          <w:spacing w:val="-14"/>
        </w:rPr>
        <w:t xml:space="preserve"> </w:t>
      </w:r>
      <w:r>
        <w:t>10%</w:t>
      </w:r>
      <w:r>
        <w:rPr>
          <w:spacing w:val="-13"/>
        </w:rPr>
        <w:t xml:space="preserve"> </w:t>
      </w:r>
      <w:r>
        <w:t>wastage</w:t>
      </w:r>
      <w:r>
        <w:rPr>
          <w:spacing w:val="-16"/>
        </w:rPr>
        <w:t xml:space="preserve"> </w:t>
      </w:r>
      <w:r>
        <w:t>for</w:t>
      </w:r>
      <w:r>
        <w:rPr>
          <w:spacing w:val="-12"/>
        </w:rPr>
        <w:t xml:space="preserve"> </w:t>
      </w:r>
      <w:r>
        <w:t>CBD,</w:t>
      </w:r>
      <w:r>
        <w:rPr>
          <w:spacing w:val="-12"/>
        </w:rPr>
        <w:t xml:space="preserve"> </w:t>
      </w:r>
      <w:r>
        <w:t>and</w:t>
      </w:r>
      <w:r>
        <w:rPr>
          <w:spacing w:val="-16"/>
        </w:rPr>
        <w:t xml:space="preserve"> </w:t>
      </w:r>
      <w:r>
        <w:t>(iii)</w:t>
      </w:r>
      <w:r>
        <w:rPr>
          <w:spacing w:val="-12"/>
        </w:rPr>
        <w:t xml:space="preserve"> </w:t>
      </w:r>
      <w:r>
        <w:t>0%</w:t>
      </w:r>
      <w:r>
        <w:rPr>
          <w:spacing w:val="-13"/>
        </w:rPr>
        <w:t xml:space="preserve"> </w:t>
      </w:r>
      <w:r>
        <w:t>wastage for FFA and 10% for CBD.</w:t>
      </w:r>
    </w:p>
    <w:p w:rsidR="000D2DCD" w:rsidRDefault="00F81CE0" w14:paraId="1074E338" w14:textId="77777777">
      <w:pPr>
        <w:pStyle w:val="ListParagraph"/>
        <w:numPr>
          <w:ilvl w:val="0"/>
          <w:numId w:val="15"/>
        </w:numPr>
        <w:tabs>
          <w:tab w:val="left" w:pos="1443"/>
          <w:tab w:val="left" w:pos="1446"/>
        </w:tabs>
        <w:spacing w:before="118" w:line="278" w:lineRule="auto"/>
        <w:jc w:val="both"/>
      </w:pPr>
      <w:r>
        <w:t>The slides presented to the Appraisal Committee at ACM2, relied heavily on responses to consultation provided by the manufacturer of CBD including statements on slide 9 and slide 22 re wastage.</w:t>
      </w:r>
      <w:r>
        <w:rPr>
          <w:spacing w:val="40"/>
        </w:rPr>
        <w:t xml:space="preserve"> </w:t>
      </w:r>
      <w:r>
        <w:t>Slide 26 referred to evidence from the manufacturer of CBD which asserted: “</w:t>
      </w:r>
      <w:r>
        <w:rPr>
          <w:i/>
        </w:rPr>
        <w:t>Similar containers for fenfluramine and cannabidiol and considers bottle breakage an isolated incident</w:t>
      </w:r>
      <w:r>
        <w:rPr>
          <w:i/>
          <w:spacing w:val="-2"/>
        </w:rPr>
        <w:t xml:space="preserve"> </w:t>
      </w:r>
      <w:r>
        <w:rPr>
          <w:i/>
        </w:rPr>
        <w:t>→</w:t>
      </w:r>
      <w:r>
        <w:rPr>
          <w:i/>
          <w:spacing w:val="-2"/>
        </w:rPr>
        <w:t xml:space="preserve"> </w:t>
      </w:r>
      <w:r>
        <w:rPr>
          <w:i/>
        </w:rPr>
        <w:t>unlikely</w:t>
      </w:r>
      <w:r>
        <w:rPr>
          <w:i/>
          <w:spacing w:val="-2"/>
        </w:rPr>
        <w:t xml:space="preserve"> </w:t>
      </w:r>
      <w:r>
        <w:rPr>
          <w:i/>
        </w:rPr>
        <w:t>any</w:t>
      </w:r>
      <w:r>
        <w:rPr>
          <w:i/>
          <w:spacing w:val="-5"/>
        </w:rPr>
        <w:t xml:space="preserve"> </w:t>
      </w:r>
      <w:r>
        <w:rPr>
          <w:i/>
        </w:rPr>
        <w:t>difference</w:t>
      </w:r>
      <w:r>
        <w:rPr>
          <w:i/>
          <w:spacing w:val="-5"/>
        </w:rPr>
        <w:t xml:space="preserve"> </w:t>
      </w:r>
      <w:r>
        <w:rPr>
          <w:i/>
        </w:rPr>
        <w:t>in</w:t>
      </w:r>
      <w:r>
        <w:rPr>
          <w:i/>
          <w:spacing w:val="-5"/>
        </w:rPr>
        <w:t xml:space="preserve"> </w:t>
      </w:r>
      <w:r>
        <w:rPr>
          <w:i/>
        </w:rPr>
        <w:t>wastage</w:t>
      </w:r>
      <w:r>
        <w:t>”.</w:t>
      </w:r>
      <w:r>
        <w:rPr>
          <w:spacing w:val="40"/>
        </w:rPr>
        <w:t xml:space="preserve"> </w:t>
      </w:r>
      <w:r>
        <w:t>This</w:t>
      </w:r>
      <w:r>
        <w:rPr>
          <w:spacing w:val="-2"/>
        </w:rPr>
        <w:t xml:space="preserve"> </w:t>
      </w:r>
      <w:r>
        <w:t>statement was</w:t>
      </w:r>
      <w:r>
        <w:rPr>
          <w:spacing w:val="-3"/>
        </w:rPr>
        <w:t xml:space="preserve"> </w:t>
      </w:r>
      <w:r>
        <w:t>incorrect; CBD is an oily liquid supplied in glass bottles whereas fenfluramine is not an oily liquid and is supplied in plastic bottles.</w:t>
      </w:r>
    </w:p>
    <w:p w:rsidR="000D2DCD" w:rsidRDefault="00F81CE0" w14:paraId="1074E339" w14:textId="77777777">
      <w:pPr>
        <w:pStyle w:val="ListParagraph"/>
        <w:numPr>
          <w:ilvl w:val="0"/>
          <w:numId w:val="15"/>
        </w:numPr>
        <w:tabs>
          <w:tab w:val="left" w:pos="1443"/>
          <w:tab w:val="left" w:pos="1446"/>
        </w:tabs>
        <w:spacing w:before="117" w:line="278" w:lineRule="auto"/>
        <w:ind w:right="1546"/>
        <w:jc w:val="both"/>
      </w:pPr>
      <w:r>
        <w:t>During</w:t>
      </w:r>
      <w:r>
        <w:rPr>
          <w:spacing w:val="-12"/>
        </w:rPr>
        <w:t xml:space="preserve"> </w:t>
      </w:r>
      <w:r>
        <w:t>ACM2,</w:t>
      </w:r>
      <w:r>
        <w:rPr>
          <w:spacing w:val="-11"/>
        </w:rPr>
        <w:t xml:space="preserve"> </w:t>
      </w:r>
      <w:r>
        <w:t>the</w:t>
      </w:r>
      <w:r>
        <w:rPr>
          <w:spacing w:val="-15"/>
        </w:rPr>
        <w:t xml:space="preserve"> </w:t>
      </w:r>
      <w:r>
        <w:t>clinical</w:t>
      </w:r>
      <w:r>
        <w:rPr>
          <w:spacing w:val="-13"/>
        </w:rPr>
        <w:t xml:space="preserve"> </w:t>
      </w:r>
      <w:r>
        <w:t>experts</w:t>
      </w:r>
      <w:r>
        <w:rPr>
          <w:spacing w:val="-14"/>
        </w:rPr>
        <w:t xml:space="preserve"> </w:t>
      </w:r>
      <w:r>
        <w:t>stated</w:t>
      </w:r>
      <w:r>
        <w:rPr>
          <w:spacing w:val="-14"/>
        </w:rPr>
        <w:t xml:space="preserve"> </w:t>
      </w:r>
      <w:r>
        <w:t>(i)</w:t>
      </w:r>
      <w:r>
        <w:rPr>
          <w:spacing w:val="-13"/>
        </w:rPr>
        <w:t xml:space="preserve"> </w:t>
      </w:r>
      <w:r>
        <w:t>that</w:t>
      </w:r>
      <w:r>
        <w:rPr>
          <w:spacing w:val="-13"/>
        </w:rPr>
        <w:t xml:space="preserve"> </w:t>
      </w:r>
      <w:r>
        <w:t>they</w:t>
      </w:r>
      <w:r>
        <w:rPr>
          <w:spacing w:val="-14"/>
        </w:rPr>
        <w:t xml:space="preserve"> </w:t>
      </w:r>
      <w:r>
        <w:t>expect</w:t>
      </w:r>
      <w:r>
        <w:rPr>
          <w:spacing w:val="-11"/>
        </w:rPr>
        <w:t xml:space="preserve"> </w:t>
      </w:r>
      <w:r>
        <w:t>at</w:t>
      </w:r>
      <w:r>
        <w:rPr>
          <w:spacing w:val="-14"/>
        </w:rPr>
        <w:t xml:space="preserve"> </w:t>
      </w:r>
      <w:r>
        <w:t>least</w:t>
      </w:r>
      <w:r>
        <w:rPr>
          <w:spacing w:val="-11"/>
        </w:rPr>
        <w:t xml:space="preserve"> </w:t>
      </w:r>
      <w:r>
        <w:t>one</w:t>
      </w:r>
      <w:r>
        <w:rPr>
          <w:spacing w:val="-13"/>
        </w:rPr>
        <w:t xml:space="preserve"> </w:t>
      </w:r>
      <w:r>
        <w:t>100ml bottle of CBD to be dropped per patient per year and (ii) there is generally CBD</w:t>
      </w:r>
      <w:r>
        <w:rPr>
          <w:spacing w:val="-7"/>
        </w:rPr>
        <w:t xml:space="preserve"> </w:t>
      </w:r>
      <w:r>
        <w:t>liquid</w:t>
      </w:r>
      <w:r>
        <w:rPr>
          <w:spacing w:val="-7"/>
        </w:rPr>
        <w:t xml:space="preserve"> </w:t>
      </w:r>
      <w:r>
        <w:t>left</w:t>
      </w:r>
      <w:r>
        <w:rPr>
          <w:spacing w:val="-7"/>
        </w:rPr>
        <w:t xml:space="preserve"> </w:t>
      </w:r>
      <w:r>
        <w:t>in</w:t>
      </w:r>
      <w:r>
        <w:rPr>
          <w:spacing w:val="-7"/>
        </w:rPr>
        <w:t xml:space="preserve"> </w:t>
      </w:r>
      <w:r>
        <w:t>bottles;</w:t>
      </w:r>
      <w:r>
        <w:rPr>
          <w:spacing w:val="-10"/>
        </w:rPr>
        <w:t xml:space="preserve"> </w:t>
      </w:r>
      <w:r>
        <w:t>the</w:t>
      </w:r>
      <w:r>
        <w:rPr>
          <w:spacing w:val="-9"/>
        </w:rPr>
        <w:t xml:space="preserve"> </w:t>
      </w:r>
      <w:r>
        <w:t>total</w:t>
      </w:r>
      <w:r>
        <w:rPr>
          <w:spacing w:val="-7"/>
        </w:rPr>
        <w:t xml:space="preserve"> </w:t>
      </w:r>
      <w:r>
        <w:t>wastage</w:t>
      </w:r>
      <w:r>
        <w:rPr>
          <w:spacing w:val="-7"/>
        </w:rPr>
        <w:t xml:space="preserve"> </w:t>
      </w:r>
      <w:r>
        <w:t>evidenced</w:t>
      </w:r>
      <w:r>
        <w:rPr>
          <w:spacing w:val="-7"/>
        </w:rPr>
        <w:t xml:space="preserve"> </w:t>
      </w:r>
      <w:r>
        <w:t>by</w:t>
      </w:r>
      <w:r>
        <w:rPr>
          <w:spacing w:val="-9"/>
        </w:rPr>
        <w:t xml:space="preserve"> </w:t>
      </w:r>
      <w:r>
        <w:t>the</w:t>
      </w:r>
      <w:r>
        <w:rPr>
          <w:spacing w:val="-9"/>
        </w:rPr>
        <w:t xml:space="preserve"> </w:t>
      </w:r>
      <w:r>
        <w:t>clinical</w:t>
      </w:r>
      <w:r>
        <w:rPr>
          <w:spacing w:val="-7"/>
        </w:rPr>
        <w:t xml:space="preserve"> </w:t>
      </w:r>
      <w:r>
        <w:t>experts</w:t>
      </w:r>
      <w:r>
        <w:rPr>
          <w:spacing w:val="-4"/>
        </w:rPr>
        <w:t xml:space="preserve"> </w:t>
      </w:r>
      <w:r>
        <w:t>is approximately 10% CBD wastage as per one of the scenarios provided in response to the</w:t>
      </w:r>
      <w:r>
        <w:rPr>
          <w:spacing w:val="40"/>
        </w:rPr>
        <w:t xml:space="preserve"> </w:t>
      </w:r>
      <w:r>
        <w:t>Draft Guidance.</w:t>
      </w:r>
    </w:p>
    <w:p w:rsidR="000D2DCD" w:rsidRDefault="00F81CE0" w14:paraId="1074E33A" w14:textId="77777777">
      <w:pPr>
        <w:pStyle w:val="ListParagraph"/>
        <w:numPr>
          <w:ilvl w:val="0"/>
          <w:numId w:val="15"/>
        </w:numPr>
        <w:tabs>
          <w:tab w:val="left" w:pos="1443"/>
          <w:tab w:val="left" w:pos="1446"/>
        </w:tabs>
        <w:spacing w:before="118" w:line="278" w:lineRule="auto"/>
        <w:jc w:val="both"/>
      </w:pPr>
      <w:r>
        <w:t>However, the FDG stated at paragraph 3.19 that it “</w:t>
      </w:r>
      <w:r>
        <w:rPr>
          <w:i/>
        </w:rPr>
        <w:t>had not seen sufficient evidence to support differences in treatment wastage between fenfluramine and</w:t>
      </w:r>
      <w:r>
        <w:rPr>
          <w:i/>
          <w:spacing w:val="-7"/>
        </w:rPr>
        <w:t xml:space="preserve"> </w:t>
      </w:r>
      <w:r>
        <w:rPr>
          <w:i/>
        </w:rPr>
        <w:t>cannabidiol”</w:t>
      </w:r>
      <w:r>
        <w:t>,</w:t>
      </w:r>
      <w:r>
        <w:rPr>
          <w:spacing w:val="-6"/>
        </w:rPr>
        <w:t xml:space="preserve"> </w:t>
      </w:r>
      <w:r>
        <w:t>as</w:t>
      </w:r>
      <w:r>
        <w:rPr>
          <w:spacing w:val="-7"/>
        </w:rPr>
        <w:t xml:space="preserve"> </w:t>
      </w:r>
      <w:r>
        <w:t>a</w:t>
      </w:r>
      <w:r>
        <w:rPr>
          <w:spacing w:val="-7"/>
        </w:rPr>
        <w:t xml:space="preserve"> </w:t>
      </w:r>
      <w:r>
        <w:t>result</w:t>
      </w:r>
      <w:r>
        <w:rPr>
          <w:spacing w:val="-6"/>
        </w:rPr>
        <w:t xml:space="preserve"> </w:t>
      </w:r>
      <w:r>
        <w:t>of</w:t>
      </w:r>
      <w:r>
        <w:rPr>
          <w:spacing w:val="-4"/>
        </w:rPr>
        <w:t xml:space="preserve"> </w:t>
      </w:r>
      <w:r>
        <w:t>which</w:t>
      </w:r>
      <w:r>
        <w:rPr>
          <w:spacing w:val="-7"/>
        </w:rPr>
        <w:t xml:space="preserve"> </w:t>
      </w:r>
      <w:r>
        <w:t>“</w:t>
      </w:r>
      <w:r>
        <w:rPr>
          <w:i/>
        </w:rPr>
        <w:t>it</w:t>
      </w:r>
      <w:r>
        <w:rPr>
          <w:i/>
          <w:spacing w:val="-6"/>
        </w:rPr>
        <w:t xml:space="preserve"> </w:t>
      </w:r>
      <w:r>
        <w:rPr>
          <w:i/>
        </w:rPr>
        <w:t>concluded</w:t>
      </w:r>
      <w:r>
        <w:rPr>
          <w:i/>
          <w:spacing w:val="-7"/>
        </w:rPr>
        <w:t xml:space="preserve"> </w:t>
      </w:r>
      <w:r>
        <w:rPr>
          <w:i/>
        </w:rPr>
        <w:t>that</w:t>
      </w:r>
      <w:r>
        <w:rPr>
          <w:i/>
          <w:spacing w:val="-6"/>
        </w:rPr>
        <w:t xml:space="preserve"> </w:t>
      </w:r>
      <w:r>
        <w:rPr>
          <w:i/>
        </w:rPr>
        <w:t>it</w:t>
      </w:r>
      <w:r>
        <w:rPr>
          <w:i/>
          <w:spacing w:val="-6"/>
        </w:rPr>
        <w:t xml:space="preserve"> </w:t>
      </w:r>
      <w:r>
        <w:rPr>
          <w:i/>
        </w:rPr>
        <w:t>preferred</w:t>
      </w:r>
      <w:r>
        <w:rPr>
          <w:i/>
          <w:spacing w:val="-8"/>
        </w:rPr>
        <w:t xml:space="preserve"> </w:t>
      </w:r>
      <w:r>
        <w:rPr>
          <w:i/>
        </w:rPr>
        <w:t>to</w:t>
      </w:r>
      <w:r>
        <w:rPr>
          <w:i/>
          <w:spacing w:val="-10"/>
        </w:rPr>
        <w:t xml:space="preserve"> </w:t>
      </w:r>
      <w:r>
        <w:rPr>
          <w:i/>
        </w:rPr>
        <w:t>assume no</w:t>
      </w:r>
      <w:r>
        <w:rPr>
          <w:i/>
          <w:spacing w:val="-8"/>
        </w:rPr>
        <w:t xml:space="preserve"> </w:t>
      </w:r>
      <w:r>
        <w:rPr>
          <w:i/>
        </w:rPr>
        <w:t>wastage</w:t>
      </w:r>
      <w:r>
        <w:rPr>
          <w:i/>
          <w:spacing w:val="-10"/>
        </w:rPr>
        <w:t xml:space="preserve"> </w:t>
      </w:r>
      <w:r>
        <w:rPr>
          <w:i/>
        </w:rPr>
        <w:t>for</w:t>
      </w:r>
      <w:r>
        <w:rPr>
          <w:i/>
          <w:spacing w:val="-9"/>
        </w:rPr>
        <w:t xml:space="preserve"> </w:t>
      </w:r>
      <w:r>
        <w:rPr>
          <w:i/>
        </w:rPr>
        <w:t>fenfluramine</w:t>
      </w:r>
      <w:r>
        <w:rPr>
          <w:i/>
          <w:spacing w:val="-8"/>
        </w:rPr>
        <w:t xml:space="preserve"> </w:t>
      </w:r>
      <w:r>
        <w:rPr>
          <w:i/>
        </w:rPr>
        <w:t>or</w:t>
      </w:r>
      <w:r>
        <w:rPr>
          <w:i/>
          <w:spacing w:val="-7"/>
        </w:rPr>
        <w:t xml:space="preserve"> </w:t>
      </w:r>
      <w:r>
        <w:rPr>
          <w:i/>
        </w:rPr>
        <w:t>cannabidiol”</w:t>
      </w:r>
      <w:r>
        <w:t>.</w:t>
      </w:r>
      <w:r>
        <w:rPr>
          <w:spacing w:val="40"/>
        </w:rPr>
        <w:t xml:space="preserve"> </w:t>
      </w:r>
      <w:r>
        <w:t>These</w:t>
      </w:r>
      <w:r>
        <w:rPr>
          <w:spacing w:val="-7"/>
        </w:rPr>
        <w:t xml:space="preserve"> </w:t>
      </w:r>
      <w:r>
        <w:t>conclusions</w:t>
      </w:r>
      <w:r>
        <w:rPr>
          <w:spacing w:val="-7"/>
        </w:rPr>
        <w:t xml:space="preserve"> </w:t>
      </w:r>
      <w:r>
        <w:t>do</w:t>
      </w:r>
      <w:r>
        <w:rPr>
          <w:spacing w:val="-8"/>
        </w:rPr>
        <w:t xml:space="preserve"> </w:t>
      </w:r>
      <w:r>
        <w:t>not</w:t>
      </w:r>
      <w:r>
        <w:rPr>
          <w:spacing w:val="-8"/>
        </w:rPr>
        <w:t xml:space="preserve"> </w:t>
      </w:r>
      <w:r>
        <w:t>reflect the available evidence and are unreasonable for the following reasons:</w:t>
      </w:r>
    </w:p>
    <w:p w:rsidR="000D2DCD" w:rsidRDefault="000D2DCD" w14:paraId="1074E33B" w14:textId="77777777">
      <w:pPr>
        <w:spacing w:line="278" w:lineRule="auto"/>
        <w:jc w:val="both"/>
        <w:sectPr w:rsidR="000D2DCD">
          <w:pgSz w:w="11910" w:h="16840" w:orient="portrait"/>
          <w:pgMar w:top="860" w:right="360" w:bottom="1200" w:left="1040" w:header="182" w:footer="1007" w:gutter="0"/>
          <w:cols w:space="720"/>
        </w:sectPr>
      </w:pPr>
    </w:p>
    <w:p w:rsidR="000D2DCD" w:rsidRDefault="000D2DCD" w14:paraId="1074E33C" w14:textId="77777777">
      <w:pPr>
        <w:pStyle w:val="BodyText"/>
      </w:pPr>
    </w:p>
    <w:p w:rsidR="000D2DCD" w:rsidRDefault="000D2DCD" w14:paraId="1074E33D" w14:textId="77777777">
      <w:pPr>
        <w:pStyle w:val="BodyText"/>
        <w:spacing w:before="59"/>
      </w:pPr>
    </w:p>
    <w:p w:rsidR="000D2DCD" w:rsidRDefault="00F81CE0" w14:paraId="1074E33E" w14:textId="77777777">
      <w:pPr>
        <w:pStyle w:val="ListParagraph"/>
        <w:numPr>
          <w:ilvl w:val="1"/>
          <w:numId w:val="15"/>
        </w:numPr>
        <w:tabs>
          <w:tab w:val="left" w:pos="1552"/>
          <w:tab w:val="left" w:pos="2199"/>
        </w:tabs>
        <w:spacing w:before="0" w:line="278" w:lineRule="auto"/>
        <w:ind w:right="1551" w:hanging="432"/>
        <w:jc w:val="both"/>
      </w:pPr>
      <w:r>
        <w:t>The Committee has disregarded the evidence of the clinical experts</w:t>
      </w:r>
      <w:r>
        <w:rPr>
          <w:spacing w:val="-4"/>
        </w:rPr>
        <w:t xml:space="preserve"> </w:t>
      </w:r>
      <w:r>
        <w:t>that</w:t>
      </w:r>
      <w:r>
        <w:rPr>
          <w:spacing w:val="-4"/>
        </w:rPr>
        <w:t xml:space="preserve"> </w:t>
      </w:r>
      <w:r>
        <w:t>at least one 100ml</w:t>
      </w:r>
      <w:r>
        <w:rPr>
          <w:spacing w:val="40"/>
        </w:rPr>
        <w:t xml:space="preserve"> </w:t>
      </w:r>
      <w:r>
        <w:t>bottle of CBD is dropped per year.</w:t>
      </w:r>
    </w:p>
    <w:p w:rsidR="000D2DCD" w:rsidRDefault="00F81CE0" w14:paraId="1074E33F" w14:textId="77777777">
      <w:pPr>
        <w:pStyle w:val="ListParagraph"/>
        <w:numPr>
          <w:ilvl w:val="1"/>
          <w:numId w:val="15"/>
        </w:numPr>
        <w:tabs>
          <w:tab w:val="left" w:pos="1552"/>
          <w:tab w:val="left" w:pos="2199"/>
        </w:tabs>
        <w:spacing w:line="278" w:lineRule="auto"/>
        <w:ind w:right="1548" w:hanging="432"/>
        <w:jc w:val="both"/>
      </w:pPr>
      <w:r>
        <w:t>The Committee has not taken into account the evidence of the clinical experts</w:t>
      </w:r>
      <w:r>
        <w:rPr>
          <w:spacing w:val="-11"/>
        </w:rPr>
        <w:t xml:space="preserve"> </w:t>
      </w:r>
      <w:r>
        <w:t>that</w:t>
      </w:r>
      <w:r>
        <w:rPr>
          <w:spacing w:val="-12"/>
        </w:rPr>
        <w:t xml:space="preserve"> </w:t>
      </w:r>
      <w:r>
        <w:t>there</w:t>
      </w:r>
      <w:r>
        <w:rPr>
          <w:spacing w:val="-11"/>
        </w:rPr>
        <w:t xml:space="preserve"> </w:t>
      </w:r>
      <w:r>
        <w:t>is</w:t>
      </w:r>
      <w:r>
        <w:rPr>
          <w:spacing w:val="-11"/>
        </w:rPr>
        <w:t xml:space="preserve"> </w:t>
      </w:r>
      <w:r>
        <w:t>wastage</w:t>
      </w:r>
      <w:r>
        <w:rPr>
          <w:spacing w:val="-11"/>
        </w:rPr>
        <w:t xml:space="preserve"> </w:t>
      </w:r>
      <w:r>
        <w:t>of</w:t>
      </w:r>
      <w:r>
        <w:rPr>
          <w:spacing w:val="-7"/>
        </w:rPr>
        <w:t xml:space="preserve"> </w:t>
      </w:r>
      <w:r>
        <w:t>CBD</w:t>
      </w:r>
      <w:r>
        <w:rPr>
          <w:spacing w:val="-12"/>
        </w:rPr>
        <w:t xml:space="preserve"> </w:t>
      </w:r>
      <w:r>
        <w:t>due</w:t>
      </w:r>
      <w:r>
        <w:rPr>
          <w:spacing w:val="-11"/>
        </w:rPr>
        <w:t xml:space="preserve"> </w:t>
      </w:r>
      <w:r>
        <w:t>to</w:t>
      </w:r>
      <w:r>
        <w:rPr>
          <w:spacing w:val="-11"/>
        </w:rPr>
        <w:t xml:space="preserve"> </w:t>
      </w:r>
      <w:r>
        <w:t>liquid</w:t>
      </w:r>
      <w:r>
        <w:rPr>
          <w:spacing w:val="-14"/>
        </w:rPr>
        <w:t xml:space="preserve"> </w:t>
      </w:r>
      <w:r>
        <w:t>being</w:t>
      </w:r>
      <w:r>
        <w:rPr>
          <w:spacing w:val="-9"/>
        </w:rPr>
        <w:t xml:space="preserve"> </w:t>
      </w:r>
      <w:r>
        <w:t>left</w:t>
      </w:r>
      <w:r>
        <w:rPr>
          <w:spacing w:val="-10"/>
        </w:rPr>
        <w:t xml:space="preserve"> </w:t>
      </w:r>
      <w:r>
        <w:t>in</w:t>
      </w:r>
      <w:r>
        <w:rPr>
          <w:spacing w:val="-11"/>
        </w:rPr>
        <w:t xml:space="preserve"> </w:t>
      </w:r>
      <w:r>
        <w:t>the</w:t>
      </w:r>
      <w:r>
        <w:rPr>
          <w:spacing w:val="-12"/>
        </w:rPr>
        <w:t xml:space="preserve"> </w:t>
      </w:r>
      <w:r>
        <w:t>bottles</w:t>
      </w:r>
      <w:r>
        <w:rPr>
          <w:spacing w:val="-6"/>
        </w:rPr>
        <w:t xml:space="preserve"> </w:t>
      </w:r>
      <w:r>
        <w:t>and that 0% wastage is experienced for fenfluramine within clinical practice.</w:t>
      </w:r>
    </w:p>
    <w:p w:rsidR="000D2DCD" w:rsidRDefault="00F81CE0" w14:paraId="1074E340" w14:textId="77777777">
      <w:pPr>
        <w:pStyle w:val="ListParagraph"/>
        <w:numPr>
          <w:ilvl w:val="1"/>
          <w:numId w:val="15"/>
        </w:numPr>
        <w:tabs>
          <w:tab w:val="left" w:pos="1552"/>
          <w:tab w:val="left" w:pos="2199"/>
        </w:tabs>
        <w:spacing w:line="278" w:lineRule="auto"/>
        <w:ind w:right="1546" w:hanging="432"/>
        <w:jc w:val="both"/>
      </w:pPr>
      <w:r>
        <w:t>The FDG notes that “</w:t>
      </w:r>
      <w:r>
        <w:rPr>
          <w:i/>
        </w:rPr>
        <w:t>a patient carer expert stated that wastage of liquid treatments for LGS is often caused by the person having the treatment knocking it out of a carer’s hand, which is not specific to the drug used</w:t>
      </w:r>
      <w:r>
        <w:t>”. However the basis for the assertion that such wastage is not specific to the drug used</w:t>
      </w:r>
      <w:r>
        <w:rPr>
          <w:spacing w:val="-3"/>
        </w:rPr>
        <w:t xml:space="preserve"> </w:t>
      </w:r>
      <w:r>
        <w:t>is</w:t>
      </w:r>
      <w:r>
        <w:rPr>
          <w:spacing w:val="-3"/>
        </w:rPr>
        <w:t xml:space="preserve"> </w:t>
      </w:r>
      <w:r>
        <w:t>not</w:t>
      </w:r>
      <w:r>
        <w:rPr>
          <w:spacing w:val="-1"/>
        </w:rPr>
        <w:t xml:space="preserve"> </w:t>
      </w:r>
      <w:r>
        <w:t>stated</w:t>
      </w:r>
      <w:r>
        <w:rPr>
          <w:spacing w:val="-3"/>
        </w:rPr>
        <w:t xml:space="preserve"> </w:t>
      </w:r>
      <w:r>
        <w:t>and</w:t>
      </w:r>
      <w:r>
        <w:rPr>
          <w:spacing w:val="-1"/>
        </w:rPr>
        <w:t xml:space="preserve"> </w:t>
      </w:r>
      <w:r>
        <w:t>the</w:t>
      </w:r>
      <w:r>
        <w:rPr>
          <w:spacing w:val="-3"/>
        </w:rPr>
        <w:t xml:space="preserve"> </w:t>
      </w:r>
      <w:r>
        <w:t>amount</w:t>
      </w:r>
      <w:r>
        <w:rPr>
          <w:spacing w:val="-2"/>
        </w:rPr>
        <w:t xml:space="preserve"> </w:t>
      </w:r>
      <w:r>
        <w:t>of wastage</w:t>
      </w:r>
      <w:r>
        <w:rPr>
          <w:spacing w:val="-1"/>
        </w:rPr>
        <w:t xml:space="preserve"> </w:t>
      </w:r>
      <w:r>
        <w:t>will</w:t>
      </w:r>
      <w:r>
        <w:rPr>
          <w:spacing w:val="-1"/>
        </w:rPr>
        <w:t xml:space="preserve"> </w:t>
      </w:r>
      <w:r>
        <w:t>in practice clearly</w:t>
      </w:r>
      <w:r>
        <w:rPr>
          <w:spacing w:val="-1"/>
        </w:rPr>
        <w:t xml:space="preserve"> </w:t>
      </w:r>
      <w:r>
        <w:t>be linked</w:t>
      </w:r>
      <w:r>
        <w:rPr>
          <w:spacing w:val="-2"/>
        </w:rPr>
        <w:t xml:space="preserve"> </w:t>
      </w:r>
      <w:r>
        <w:t>to</w:t>
      </w:r>
      <w:r>
        <w:rPr>
          <w:spacing w:val="-2"/>
        </w:rPr>
        <w:t xml:space="preserve"> </w:t>
      </w:r>
      <w:r>
        <w:t>whether</w:t>
      </w:r>
      <w:r>
        <w:rPr>
          <w:spacing w:val="-3"/>
        </w:rPr>
        <w:t xml:space="preserve"> </w:t>
      </w:r>
      <w:r>
        <w:t>the</w:t>
      </w:r>
      <w:r>
        <w:rPr>
          <w:spacing w:val="-2"/>
        </w:rPr>
        <w:t xml:space="preserve"> </w:t>
      </w:r>
      <w:r>
        <w:t>treatment</w:t>
      </w:r>
      <w:r>
        <w:rPr>
          <w:spacing w:val="-3"/>
        </w:rPr>
        <w:t xml:space="preserve"> </w:t>
      </w:r>
      <w:r>
        <w:t>knocked</w:t>
      </w:r>
      <w:r>
        <w:rPr>
          <w:spacing w:val="-2"/>
        </w:rPr>
        <w:t xml:space="preserve"> </w:t>
      </w:r>
      <w:r>
        <w:t>out of the</w:t>
      </w:r>
      <w:r>
        <w:rPr>
          <w:spacing w:val="-2"/>
        </w:rPr>
        <w:t xml:space="preserve"> </w:t>
      </w:r>
      <w:r>
        <w:t>carer’s</w:t>
      </w:r>
      <w:r>
        <w:rPr>
          <w:spacing w:val="-2"/>
        </w:rPr>
        <w:t xml:space="preserve"> </w:t>
      </w:r>
      <w:r>
        <w:t>hand</w:t>
      </w:r>
      <w:r>
        <w:rPr>
          <w:spacing w:val="-2"/>
        </w:rPr>
        <w:t xml:space="preserve"> </w:t>
      </w:r>
      <w:r>
        <w:t>is</w:t>
      </w:r>
      <w:r>
        <w:rPr>
          <w:spacing w:val="-1"/>
        </w:rPr>
        <w:t xml:space="preserve"> </w:t>
      </w:r>
      <w:r>
        <w:t>contained in a fragile glass bottle or a more robust plastic container.</w:t>
      </w:r>
    </w:p>
    <w:p w:rsidR="000D2DCD" w:rsidRDefault="00F81CE0" w14:paraId="1074E341" w14:textId="77777777">
      <w:pPr>
        <w:pStyle w:val="ListParagraph"/>
        <w:numPr>
          <w:ilvl w:val="1"/>
          <w:numId w:val="15"/>
        </w:numPr>
        <w:tabs>
          <w:tab w:val="left" w:pos="1552"/>
          <w:tab w:val="left" w:pos="2199"/>
        </w:tabs>
        <w:spacing w:before="118" w:line="278" w:lineRule="auto"/>
        <w:ind w:hanging="432"/>
        <w:jc w:val="both"/>
      </w:pPr>
      <w:r>
        <w:t>Instead of evidence from the clinical experts, the Appraisal Committee appears to have relied upon incorrect evidence from the manufacturer of CBD,</w:t>
      </w:r>
      <w:r>
        <w:rPr>
          <w:spacing w:val="-1"/>
        </w:rPr>
        <w:t xml:space="preserve"> </w:t>
      </w:r>
      <w:r>
        <w:t>that</w:t>
      </w:r>
      <w:r>
        <w:rPr>
          <w:spacing w:val="-4"/>
        </w:rPr>
        <w:t xml:space="preserve"> </w:t>
      </w:r>
      <w:r>
        <w:t>CBD</w:t>
      </w:r>
      <w:r>
        <w:rPr>
          <w:spacing w:val="-3"/>
        </w:rPr>
        <w:t xml:space="preserve"> </w:t>
      </w:r>
      <w:r>
        <w:t>and</w:t>
      </w:r>
      <w:r>
        <w:rPr>
          <w:spacing w:val="-5"/>
        </w:rPr>
        <w:t xml:space="preserve"> </w:t>
      </w:r>
      <w:r>
        <w:t>fenfluramine</w:t>
      </w:r>
      <w:r>
        <w:rPr>
          <w:spacing w:val="-3"/>
        </w:rPr>
        <w:t xml:space="preserve"> </w:t>
      </w:r>
      <w:r>
        <w:t>are</w:t>
      </w:r>
      <w:r>
        <w:rPr>
          <w:spacing w:val="-3"/>
        </w:rPr>
        <w:t xml:space="preserve"> </w:t>
      </w:r>
      <w:r>
        <w:t>supplied</w:t>
      </w:r>
      <w:r>
        <w:rPr>
          <w:spacing w:val="-3"/>
        </w:rPr>
        <w:t xml:space="preserve"> </w:t>
      </w:r>
      <w:r>
        <w:t>in</w:t>
      </w:r>
      <w:r>
        <w:rPr>
          <w:spacing w:val="-5"/>
        </w:rPr>
        <w:t xml:space="preserve"> </w:t>
      </w:r>
      <w:r>
        <w:t>similar</w:t>
      </w:r>
      <w:r>
        <w:rPr>
          <w:spacing w:val="-2"/>
        </w:rPr>
        <w:t xml:space="preserve"> </w:t>
      </w:r>
      <w:r>
        <w:t>containers,</w:t>
      </w:r>
      <w:r>
        <w:rPr>
          <w:spacing w:val="-4"/>
        </w:rPr>
        <w:t xml:space="preserve"> </w:t>
      </w:r>
      <w:r>
        <w:t>whereas the</w:t>
      </w:r>
      <w:r>
        <w:rPr>
          <w:spacing w:val="-7"/>
        </w:rPr>
        <w:t xml:space="preserve"> </w:t>
      </w:r>
      <w:r>
        <w:t>SmPCs</w:t>
      </w:r>
      <w:r>
        <w:rPr>
          <w:spacing w:val="-11"/>
        </w:rPr>
        <w:t xml:space="preserve"> </w:t>
      </w:r>
      <w:r>
        <w:t>for</w:t>
      </w:r>
      <w:r>
        <w:rPr>
          <w:spacing w:val="-8"/>
        </w:rPr>
        <w:t xml:space="preserve"> </w:t>
      </w:r>
      <w:r>
        <w:t>the</w:t>
      </w:r>
      <w:r>
        <w:rPr>
          <w:spacing w:val="-9"/>
        </w:rPr>
        <w:t xml:space="preserve"> </w:t>
      </w:r>
      <w:r>
        <w:t>two</w:t>
      </w:r>
      <w:r>
        <w:rPr>
          <w:spacing w:val="-6"/>
        </w:rPr>
        <w:t xml:space="preserve"> </w:t>
      </w:r>
      <w:r>
        <w:t>products</w:t>
      </w:r>
      <w:r>
        <w:rPr>
          <w:spacing w:val="-4"/>
        </w:rPr>
        <w:t xml:space="preserve"> </w:t>
      </w:r>
      <w:r>
        <w:t>confirm</w:t>
      </w:r>
      <w:r>
        <w:rPr>
          <w:spacing w:val="-7"/>
        </w:rPr>
        <w:t xml:space="preserve"> </w:t>
      </w:r>
      <w:r>
        <w:t>that</w:t>
      </w:r>
      <w:r>
        <w:rPr>
          <w:spacing w:val="-7"/>
        </w:rPr>
        <w:t xml:space="preserve"> </w:t>
      </w:r>
      <w:r>
        <w:t>CBD</w:t>
      </w:r>
      <w:r>
        <w:rPr>
          <w:spacing w:val="-7"/>
        </w:rPr>
        <w:t xml:space="preserve"> </w:t>
      </w:r>
      <w:r>
        <w:t>is</w:t>
      </w:r>
      <w:r>
        <w:rPr>
          <w:spacing w:val="-6"/>
        </w:rPr>
        <w:t xml:space="preserve"> </w:t>
      </w:r>
      <w:r>
        <w:t>supplied</w:t>
      </w:r>
      <w:r>
        <w:rPr>
          <w:spacing w:val="-7"/>
        </w:rPr>
        <w:t xml:space="preserve"> </w:t>
      </w:r>
      <w:r>
        <w:t>in</w:t>
      </w:r>
      <w:r>
        <w:rPr>
          <w:spacing w:val="-6"/>
        </w:rPr>
        <w:t xml:space="preserve"> </w:t>
      </w:r>
      <w:r>
        <w:t>glass</w:t>
      </w:r>
      <w:r>
        <w:rPr>
          <w:spacing w:val="-6"/>
        </w:rPr>
        <w:t xml:space="preserve"> </w:t>
      </w:r>
      <w:r>
        <w:t>bottles and fenfluramine is supplied in plastic bottles, where the risk of breakage is obviously different.</w:t>
      </w:r>
    </w:p>
    <w:p w:rsidR="000D2DCD" w:rsidRDefault="00F81CE0" w14:paraId="1074E342" w14:textId="77777777">
      <w:pPr>
        <w:pStyle w:val="ListParagraph"/>
        <w:numPr>
          <w:ilvl w:val="0"/>
          <w:numId w:val="15"/>
        </w:numPr>
        <w:tabs>
          <w:tab w:val="left" w:pos="1443"/>
          <w:tab w:val="left" w:pos="1446"/>
        </w:tabs>
        <w:spacing w:before="118" w:line="278" w:lineRule="auto"/>
        <w:ind w:right="1548"/>
        <w:jc w:val="both"/>
      </w:pPr>
      <w:r>
        <w:t>In summary, the conclusion of the Appraisal Committee at paragraph 3.19 of the FDG that it had not seen sufficient evidence to support differences in treatment wastage between fenfluramine and CBD is unbalanced and unreasonable.</w:t>
      </w:r>
      <w:r>
        <w:rPr>
          <w:spacing w:val="40"/>
        </w:rPr>
        <w:t xml:space="preserve"> </w:t>
      </w:r>
      <w:r>
        <w:t>The evidence from the independent clinical experts provides clear</w:t>
      </w:r>
      <w:r>
        <w:rPr>
          <w:spacing w:val="-16"/>
        </w:rPr>
        <w:t xml:space="preserve"> </w:t>
      </w:r>
      <w:r>
        <w:t>support</w:t>
      </w:r>
      <w:r>
        <w:rPr>
          <w:spacing w:val="-15"/>
        </w:rPr>
        <w:t xml:space="preserve"> </w:t>
      </w:r>
      <w:r>
        <w:t>for</w:t>
      </w:r>
      <w:r>
        <w:rPr>
          <w:spacing w:val="-15"/>
        </w:rPr>
        <w:t xml:space="preserve"> </w:t>
      </w:r>
      <w:r>
        <w:t>differences</w:t>
      </w:r>
      <w:r>
        <w:rPr>
          <w:spacing w:val="-16"/>
        </w:rPr>
        <w:t xml:space="preserve"> </w:t>
      </w:r>
      <w:r>
        <w:t>in</w:t>
      </w:r>
      <w:r>
        <w:rPr>
          <w:spacing w:val="-15"/>
        </w:rPr>
        <w:t xml:space="preserve"> </w:t>
      </w:r>
      <w:r>
        <w:t>wastage</w:t>
      </w:r>
      <w:r>
        <w:rPr>
          <w:spacing w:val="-15"/>
        </w:rPr>
        <w:t xml:space="preserve"> </w:t>
      </w:r>
      <w:r>
        <w:t>between</w:t>
      </w:r>
      <w:r>
        <w:rPr>
          <w:spacing w:val="-15"/>
        </w:rPr>
        <w:t xml:space="preserve"> </w:t>
      </w:r>
      <w:r>
        <w:t>the</w:t>
      </w:r>
      <w:r>
        <w:rPr>
          <w:spacing w:val="-16"/>
        </w:rPr>
        <w:t xml:space="preserve"> </w:t>
      </w:r>
      <w:r>
        <w:t>two</w:t>
      </w:r>
      <w:r>
        <w:rPr>
          <w:spacing w:val="-15"/>
        </w:rPr>
        <w:t xml:space="preserve"> </w:t>
      </w:r>
      <w:r>
        <w:t>products</w:t>
      </w:r>
      <w:r>
        <w:rPr>
          <w:spacing w:val="-15"/>
        </w:rPr>
        <w:t xml:space="preserve"> </w:t>
      </w:r>
      <w:r>
        <w:t>for</w:t>
      </w:r>
      <w:r>
        <w:rPr>
          <w:spacing w:val="-16"/>
        </w:rPr>
        <w:t xml:space="preserve"> </w:t>
      </w:r>
      <w:r>
        <w:t>plausible reasons, whereas the only evidence to the contrary comes from the manufacturer of CBD and is factually incorrect.</w:t>
      </w:r>
    </w:p>
    <w:p w:rsidR="000D2DCD" w:rsidRDefault="000D2DCD" w14:paraId="1074E343" w14:textId="77777777">
      <w:pPr>
        <w:pStyle w:val="BodyText"/>
        <w:spacing w:before="242"/>
      </w:pPr>
    </w:p>
    <w:p w:rsidR="000D2DCD" w:rsidRDefault="00F81CE0" w14:paraId="1074E344" w14:textId="77777777">
      <w:pPr>
        <w:pStyle w:val="Heading1"/>
        <w:ind w:firstLine="0"/>
      </w:pPr>
      <w:r>
        <w:t>The</w:t>
      </w:r>
      <w:r>
        <w:rPr>
          <w:spacing w:val="-4"/>
        </w:rPr>
        <w:t xml:space="preserve"> </w:t>
      </w:r>
      <w:r>
        <w:t>determination</w:t>
      </w:r>
      <w:r>
        <w:rPr>
          <w:spacing w:val="-6"/>
        </w:rPr>
        <w:t xml:space="preserve"> </w:t>
      </w:r>
      <w:r>
        <w:t>of</w:t>
      </w:r>
      <w:r>
        <w:rPr>
          <w:spacing w:val="-4"/>
        </w:rPr>
        <w:t xml:space="preserve"> </w:t>
      </w:r>
      <w:r>
        <w:t>this</w:t>
      </w:r>
      <w:r>
        <w:rPr>
          <w:spacing w:val="-3"/>
        </w:rPr>
        <w:t xml:space="preserve"> </w:t>
      </w:r>
      <w:r>
        <w:rPr>
          <w:spacing w:val="-2"/>
        </w:rPr>
        <w:t>appeal</w:t>
      </w:r>
    </w:p>
    <w:p w:rsidR="000D2DCD" w:rsidRDefault="00F81CE0" w14:paraId="1074E345" w14:textId="77777777">
      <w:pPr>
        <w:pStyle w:val="BodyText"/>
        <w:spacing w:before="129"/>
        <w:ind w:left="760"/>
      </w:pPr>
      <w:r>
        <w:t>UCB</w:t>
      </w:r>
      <w:r>
        <w:rPr>
          <w:spacing w:val="-6"/>
        </w:rPr>
        <w:t xml:space="preserve"> </w:t>
      </w:r>
      <w:r>
        <w:t>requests</w:t>
      </w:r>
      <w:r>
        <w:rPr>
          <w:spacing w:val="-5"/>
        </w:rPr>
        <w:t xml:space="preserve"> </w:t>
      </w:r>
      <w:r>
        <w:t>that</w:t>
      </w:r>
      <w:r>
        <w:rPr>
          <w:spacing w:val="-4"/>
        </w:rPr>
        <w:t xml:space="preserve"> </w:t>
      </w:r>
      <w:r>
        <w:t>this</w:t>
      </w:r>
      <w:r>
        <w:rPr>
          <w:spacing w:val="-3"/>
        </w:rPr>
        <w:t xml:space="preserve"> </w:t>
      </w:r>
      <w:r>
        <w:t>appeal</w:t>
      </w:r>
      <w:r>
        <w:rPr>
          <w:spacing w:val="-4"/>
        </w:rPr>
        <w:t xml:space="preserve"> </w:t>
      </w:r>
      <w:r>
        <w:t>be</w:t>
      </w:r>
      <w:r>
        <w:rPr>
          <w:spacing w:val="-3"/>
        </w:rPr>
        <w:t xml:space="preserve"> </w:t>
      </w:r>
      <w:r>
        <w:t>determined</w:t>
      </w:r>
      <w:r>
        <w:rPr>
          <w:spacing w:val="-6"/>
        </w:rPr>
        <w:t xml:space="preserve"> </w:t>
      </w:r>
      <w:r>
        <w:t>at</w:t>
      </w:r>
      <w:r>
        <w:rPr>
          <w:spacing w:val="-4"/>
        </w:rPr>
        <w:t xml:space="preserve"> </w:t>
      </w:r>
      <w:r>
        <w:t>an</w:t>
      </w:r>
      <w:r>
        <w:rPr>
          <w:spacing w:val="-4"/>
        </w:rPr>
        <w:t xml:space="preserve"> </w:t>
      </w:r>
      <w:r>
        <w:t>oral</w:t>
      </w:r>
      <w:r>
        <w:rPr>
          <w:spacing w:val="-4"/>
        </w:rPr>
        <w:t xml:space="preserve"> </w:t>
      </w:r>
      <w:r>
        <w:rPr>
          <w:spacing w:val="-2"/>
        </w:rPr>
        <w:t>hearing.</w:t>
      </w:r>
    </w:p>
    <w:p w:rsidR="000D2DCD" w:rsidRDefault="000D2DCD" w14:paraId="1074E346" w14:textId="77777777">
      <w:pPr>
        <w:pStyle w:val="BodyText"/>
        <w:spacing w:before="250"/>
      </w:pPr>
    </w:p>
    <w:p w:rsidR="000D2DCD" w:rsidRDefault="00F81CE0" w14:paraId="1074E347" w14:textId="77777777">
      <w:pPr>
        <w:pStyle w:val="Heading1"/>
        <w:ind w:firstLine="0"/>
      </w:pPr>
      <w:r>
        <w:t>Requested</w:t>
      </w:r>
      <w:r>
        <w:rPr>
          <w:spacing w:val="-5"/>
        </w:rPr>
        <w:t xml:space="preserve"> </w:t>
      </w:r>
      <w:r>
        <w:rPr>
          <w:spacing w:val="-2"/>
        </w:rPr>
        <w:t>outcome</w:t>
      </w:r>
    </w:p>
    <w:p w:rsidR="000D2DCD" w:rsidRDefault="000D2DCD" w14:paraId="1074E348" w14:textId="77777777">
      <w:pPr>
        <w:pStyle w:val="BodyText"/>
        <w:rPr>
          <w:b/>
        </w:rPr>
      </w:pPr>
    </w:p>
    <w:p w:rsidR="000D2DCD" w:rsidRDefault="000D2DCD" w14:paraId="1074E349" w14:textId="77777777">
      <w:pPr>
        <w:pStyle w:val="BodyText"/>
        <w:spacing w:before="2"/>
        <w:rPr>
          <w:b/>
        </w:rPr>
      </w:pPr>
    </w:p>
    <w:p w:rsidR="000D2DCD" w:rsidRDefault="00F81CE0" w14:paraId="1074E34A" w14:textId="77777777">
      <w:pPr>
        <w:pStyle w:val="BodyText"/>
        <w:spacing w:line="360" w:lineRule="auto"/>
        <w:ind w:left="760" w:right="1436"/>
        <w:jc w:val="both"/>
      </w:pPr>
      <w:r>
        <w:t>UCB thanks the Appeal Panel for considering this appeal and requests that the appraisal of fenfluramine for LGS is returned to the Appraisal Committee for consideration at a further meeting with the following directions:</w:t>
      </w:r>
    </w:p>
    <w:p w:rsidR="000D2DCD" w:rsidRDefault="00F81CE0" w14:paraId="1074E34B" w14:textId="77777777">
      <w:pPr>
        <w:pStyle w:val="ListParagraph"/>
        <w:numPr>
          <w:ilvl w:val="0"/>
          <w:numId w:val="1"/>
        </w:numPr>
        <w:tabs>
          <w:tab w:val="left" w:pos="1480"/>
        </w:tabs>
        <w:spacing w:before="0" w:line="352" w:lineRule="auto"/>
        <w:ind w:right="1436"/>
      </w:pPr>
      <w:r>
        <w:t>That a technical engagement meeting should take place before such meeting with a view to addressing outstanding issues</w:t>
      </w:r>
    </w:p>
    <w:p w:rsidR="000D2DCD" w:rsidRDefault="00F81CE0" w14:paraId="1074E34C" w14:textId="77777777">
      <w:pPr>
        <w:pStyle w:val="ListParagraph"/>
        <w:numPr>
          <w:ilvl w:val="0"/>
          <w:numId w:val="1"/>
        </w:numPr>
        <w:tabs>
          <w:tab w:val="left" w:pos="1480"/>
        </w:tabs>
        <w:spacing w:before="6" w:line="355" w:lineRule="auto"/>
        <w:ind w:right="1438"/>
      </w:pPr>
      <w:r>
        <w:t>That UCB should have adequate opportunity to consider and respond to all data and analyses submitted following ACM1 and to address the issues identified by the Committee at ACM2</w:t>
      </w:r>
    </w:p>
    <w:p w:rsidR="000D2DCD" w:rsidRDefault="00F81CE0" w14:paraId="1074E34D" w14:textId="77777777">
      <w:pPr>
        <w:pStyle w:val="ListParagraph"/>
        <w:numPr>
          <w:ilvl w:val="0"/>
          <w:numId w:val="1"/>
        </w:numPr>
        <w:tabs>
          <w:tab w:val="left" w:pos="1480"/>
        </w:tabs>
        <w:spacing w:before="5" w:line="352" w:lineRule="auto"/>
        <w:ind w:right="1439"/>
      </w:pPr>
      <w:r>
        <w:t>That</w:t>
      </w:r>
      <w:r>
        <w:rPr>
          <w:spacing w:val="-1"/>
        </w:rPr>
        <w:t xml:space="preserve"> </w:t>
      </w:r>
      <w:r>
        <w:t>SoC</w:t>
      </w:r>
      <w:r>
        <w:rPr>
          <w:spacing w:val="-4"/>
        </w:rPr>
        <w:t xml:space="preserve"> </w:t>
      </w:r>
      <w:r>
        <w:t>alone</w:t>
      </w:r>
      <w:r>
        <w:rPr>
          <w:spacing w:val="-3"/>
        </w:rPr>
        <w:t xml:space="preserve"> </w:t>
      </w:r>
      <w:r>
        <w:t>is</w:t>
      </w:r>
      <w:r>
        <w:rPr>
          <w:spacing w:val="-3"/>
        </w:rPr>
        <w:t xml:space="preserve"> </w:t>
      </w:r>
      <w:r>
        <w:t>not</w:t>
      </w:r>
      <w:r>
        <w:rPr>
          <w:spacing w:val="-1"/>
        </w:rPr>
        <w:t xml:space="preserve"> </w:t>
      </w:r>
      <w:r>
        <w:t>an</w:t>
      </w:r>
      <w:r>
        <w:rPr>
          <w:spacing w:val="-5"/>
        </w:rPr>
        <w:t xml:space="preserve"> </w:t>
      </w:r>
      <w:r>
        <w:t>appropriate</w:t>
      </w:r>
      <w:r>
        <w:rPr>
          <w:spacing w:val="-3"/>
        </w:rPr>
        <w:t xml:space="preserve"> </w:t>
      </w:r>
      <w:r>
        <w:t>comparator</w:t>
      </w:r>
      <w:r>
        <w:rPr>
          <w:spacing w:val="-7"/>
        </w:rPr>
        <w:t xml:space="preserve"> </w:t>
      </w:r>
      <w:r>
        <w:t>for</w:t>
      </w:r>
      <w:r>
        <w:rPr>
          <w:spacing w:val="-4"/>
        </w:rPr>
        <w:t xml:space="preserve"> </w:t>
      </w:r>
      <w:r>
        <w:t>this</w:t>
      </w:r>
      <w:r>
        <w:rPr>
          <w:spacing w:val="-2"/>
        </w:rPr>
        <w:t xml:space="preserve"> </w:t>
      </w:r>
      <w:r>
        <w:t>appraisal</w:t>
      </w:r>
      <w:r>
        <w:rPr>
          <w:spacing w:val="-4"/>
        </w:rPr>
        <w:t xml:space="preserve"> </w:t>
      </w:r>
      <w:r>
        <w:t>and</w:t>
      </w:r>
      <w:r>
        <w:rPr>
          <w:spacing w:val="-3"/>
        </w:rPr>
        <w:t xml:space="preserve"> </w:t>
      </w:r>
      <w:r>
        <w:t>should be rejected from consideration</w:t>
      </w:r>
    </w:p>
    <w:p w:rsidR="000D2DCD" w:rsidRDefault="000D2DCD" w14:paraId="1074E34E" w14:textId="77777777">
      <w:pPr>
        <w:spacing w:line="352" w:lineRule="auto"/>
        <w:jc w:val="both"/>
        <w:sectPr w:rsidR="000D2DCD">
          <w:pgSz w:w="11910" w:h="16840" w:orient="portrait"/>
          <w:pgMar w:top="860" w:right="360" w:bottom="1200" w:left="1040" w:header="182" w:footer="1007" w:gutter="0"/>
          <w:cols w:space="720"/>
        </w:sectPr>
      </w:pPr>
    </w:p>
    <w:p w:rsidR="000D2DCD" w:rsidRDefault="000D2DCD" w14:paraId="1074E34F" w14:textId="77777777">
      <w:pPr>
        <w:pStyle w:val="BodyText"/>
      </w:pPr>
    </w:p>
    <w:p w:rsidR="000D2DCD" w:rsidRDefault="000D2DCD" w14:paraId="1074E350" w14:textId="77777777">
      <w:pPr>
        <w:pStyle w:val="BodyText"/>
        <w:spacing w:before="59"/>
      </w:pPr>
    </w:p>
    <w:p w:rsidR="000D2DCD" w:rsidRDefault="00F81CE0" w14:paraId="1074E351" w14:textId="77777777">
      <w:pPr>
        <w:pStyle w:val="ListParagraph"/>
        <w:numPr>
          <w:ilvl w:val="0"/>
          <w:numId w:val="1"/>
        </w:numPr>
        <w:tabs>
          <w:tab w:val="left" w:pos="1480"/>
        </w:tabs>
        <w:spacing w:before="0" w:line="350" w:lineRule="auto"/>
        <w:ind w:right="1441"/>
        <w:jc w:val="left"/>
      </w:pPr>
      <w:r>
        <w:t>That</w:t>
      </w:r>
      <w:r>
        <w:rPr>
          <w:spacing w:val="-16"/>
        </w:rPr>
        <w:t xml:space="preserve"> </w:t>
      </w:r>
      <w:r>
        <w:t>the</w:t>
      </w:r>
      <w:r>
        <w:rPr>
          <w:spacing w:val="-15"/>
        </w:rPr>
        <w:t xml:space="preserve"> </w:t>
      </w:r>
      <w:r>
        <w:t>Committee</w:t>
      </w:r>
      <w:r>
        <w:rPr>
          <w:spacing w:val="-15"/>
        </w:rPr>
        <w:t xml:space="preserve"> </w:t>
      </w:r>
      <w:r>
        <w:t>should</w:t>
      </w:r>
      <w:r>
        <w:rPr>
          <w:spacing w:val="-16"/>
        </w:rPr>
        <w:t xml:space="preserve"> </w:t>
      </w:r>
      <w:r>
        <w:t>adopt</w:t>
      </w:r>
      <w:r>
        <w:rPr>
          <w:spacing w:val="-15"/>
        </w:rPr>
        <w:t xml:space="preserve"> </w:t>
      </w:r>
      <w:r>
        <w:t>a</w:t>
      </w:r>
      <w:r>
        <w:rPr>
          <w:spacing w:val="-15"/>
        </w:rPr>
        <w:t xml:space="preserve"> </w:t>
      </w:r>
      <w:r>
        <w:t>method</w:t>
      </w:r>
      <w:r>
        <w:rPr>
          <w:spacing w:val="-15"/>
        </w:rPr>
        <w:t xml:space="preserve"> </w:t>
      </w:r>
      <w:r>
        <w:t>for</w:t>
      </w:r>
      <w:r>
        <w:rPr>
          <w:spacing w:val="-16"/>
        </w:rPr>
        <w:t xml:space="preserve"> </w:t>
      </w:r>
      <w:r>
        <w:t>calculating</w:t>
      </w:r>
      <w:r>
        <w:rPr>
          <w:spacing w:val="-15"/>
        </w:rPr>
        <w:t xml:space="preserve"> </w:t>
      </w:r>
      <w:r>
        <w:t>the</w:t>
      </w:r>
      <w:r>
        <w:rPr>
          <w:spacing w:val="-15"/>
        </w:rPr>
        <w:t xml:space="preserve"> </w:t>
      </w:r>
      <w:r>
        <w:t>treatment</w:t>
      </w:r>
      <w:r>
        <w:rPr>
          <w:spacing w:val="-15"/>
        </w:rPr>
        <w:t xml:space="preserve"> </w:t>
      </w:r>
      <w:r>
        <w:t>effects of fenfluramine comparable to that accepted for cannabidiol</w:t>
      </w:r>
    </w:p>
    <w:p w:rsidR="000D2DCD" w:rsidRDefault="00F81CE0" w14:paraId="1074E352" w14:textId="77777777">
      <w:pPr>
        <w:pStyle w:val="ListParagraph"/>
        <w:numPr>
          <w:ilvl w:val="0"/>
          <w:numId w:val="1"/>
        </w:numPr>
        <w:tabs>
          <w:tab w:val="left" w:pos="1480"/>
        </w:tabs>
        <w:spacing w:before="10" w:line="352" w:lineRule="auto"/>
        <w:ind w:right="1443"/>
        <w:jc w:val="left"/>
      </w:pPr>
      <w:r>
        <w:t>That the</w:t>
      </w:r>
      <w:r>
        <w:rPr>
          <w:spacing w:val="-2"/>
        </w:rPr>
        <w:t xml:space="preserve"> </w:t>
      </w:r>
      <w:r>
        <w:t>Committee’s</w:t>
      </w:r>
      <w:r>
        <w:rPr>
          <w:spacing w:val="-1"/>
        </w:rPr>
        <w:t xml:space="preserve"> </w:t>
      </w:r>
      <w:r>
        <w:t>position on</w:t>
      </w:r>
      <w:r>
        <w:rPr>
          <w:spacing w:val="-2"/>
        </w:rPr>
        <w:t xml:space="preserve"> </w:t>
      </w:r>
      <w:r>
        <w:t>waning of treatment effect should</w:t>
      </w:r>
      <w:r>
        <w:rPr>
          <w:spacing w:val="-2"/>
        </w:rPr>
        <w:t xml:space="preserve"> </w:t>
      </w:r>
      <w:r>
        <w:t>reflect the views of clinical experts, clinical trial data and/or real world evidence</w:t>
      </w:r>
    </w:p>
    <w:p w:rsidR="000D2DCD" w:rsidRDefault="00F81CE0" w14:paraId="1074E353" w14:textId="77777777">
      <w:pPr>
        <w:pStyle w:val="ListParagraph"/>
        <w:numPr>
          <w:ilvl w:val="0"/>
          <w:numId w:val="1"/>
        </w:numPr>
        <w:tabs>
          <w:tab w:val="left" w:pos="1480"/>
        </w:tabs>
        <w:spacing w:before="7" w:line="350" w:lineRule="auto"/>
        <w:ind w:right="1441"/>
        <w:jc w:val="left"/>
      </w:pPr>
      <w:r>
        <w:t>That</w:t>
      </w:r>
      <w:r>
        <w:rPr>
          <w:spacing w:val="-4"/>
        </w:rPr>
        <w:t xml:space="preserve"> </w:t>
      </w:r>
      <w:r>
        <w:t>the</w:t>
      </w:r>
      <w:r>
        <w:rPr>
          <w:spacing w:val="-5"/>
        </w:rPr>
        <w:t xml:space="preserve"> </w:t>
      </w:r>
      <w:r>
        <w:t>Committee</w:t>
      </w:r>
      <w:r>
        <w:rPr>
          <w:spacing w:val="-8"/>
        </w:rPr>
        <w:t xml:space="preserve"> </w:t>
      </w:r>
      <w:r>
        <w:t>should</w:t>
      </w:r>
      <w:r>
        <w:rPr>
          <w:spacing w:val="-5"/>
        </w:rPr>
        <w:t xml:space="preserve"> </w:t>
      </w:r>
      <w:r>
        <w:t>reflect</w:t>
      </w:r>
      <w:r>
        <w:rPr>
          <w:spacing w:val="-6"/>
        </w:rPr>
        <w:t xml:space="preserve"> </w:t>
      </w:r>
      <w:r>
        <w:t>the</w:t>
      </w:r>
      <w:r>
        <w:rPr>
          <w:spacing w:val="-5"/>
        </w:rPr>
        <w:t xml:space="preserve"> </w:t>
      </w:r>
      <w:r>
        <w:t>advice</w:t>
      </w:r>
      <w:r>
        <w:rPr>
          <w:spacing w:val="-5"/>
        </w:rPr>
        <w:t xml:space="preserve"> </w:t>
      </w:r>
      <w:r>
        <w:t>of</w:t>
      </w:r>
      <w:r>
        <w:rPr>
          <w:spacing w:val="-1"/>
        </w:rPr>
        <w:t xml:space="preserve"> </w:t>
      </w:r>
      <w:r>
        <w:t>clinical</w:t>
      </w:r>
      <w:r>
        <w:rPr>
          <w:spacing w:val="-6"/>
        </w:rPr>
        <w:t xml:space="preserve"> </w:t>
      </w:r>
      <w:r>
        <w:t>experts</w:t>
      </w:r>
      <w:r>
        <w:rPr>
          <w:spacing w:val="-5"/>
        </w:rPr>
        <w:t xml:space="preserve"> </w:t>
      </w:r>
      <w:r>
        <w:t>on</w:t>
      </w:r>
      <w:r>
        <w:rPr>
          <w:spacing w:val="-5"/>
        </w:rPr>
        <w:t xml:space="preserve"> </w:t>
      </w:r>
      <w:r>
        <w:t>the</w:t>
      </w:r>
      <w:r>
        <w:rPr>
          <w:spacing w:val="-5"/>
        </w:rPr>
        <w:t xml:space="preserve"> </w:t>
      </w:r>
      <w:r>
        <w:t>issue</w:t>
      </w:r>
      <w:r>
        <w:rPr>
          <w:spacing w:val="-5"/>
        </w:rPr>
        <w:t xml:space="preserve"> </w:t>
      </w:r>
      <w:r>
        <w:t xml:space="preserve">of </w:t>
      </w:r>
      <w:r>
        <w:rPr>
          <w:spacing w:val="-2"/>
        </w:rPr>
        <w:t>wastage</w:t>
      </w:r>
    </w:p>
    <w:p w:rsidR="000D2DCD" w:rsidRDefault="000D2DCD" w14:paraId="1074E354" w14:textId="77777777">
      <w:pPr>
        <w:pStyle w:val="BodyText"/>
        <w:spacing w:before="137"/>
      </w:pPr>
    </w:p>
    <w:p w:rsidR="000D2DCD" w:rsidRDefault="00F81CE0" w14:paraId="1074E355" w14:textId="77777777">
      <w:pPr>
        <w:pStyle w:val="BodyText"/>
        <w:ind w:left="760"/>
      </w:pPr>
      <w:r w:rsidR="00F81CE0">
        <w:rPr/>
        <w:t>Yours</w:t>
      </w:r>
      <w:r w:rsidR="00F81CE0">
        <w:rPr>
          <w:spacing w:val="-2"/>
        </w:rPr>
        <w:t xml:space="preserve"> sincerely</w:t>
      </w:r>
    </w:p>
    <w:p w:rsidR="000D2DCD" w:rsidP="5005B31F" w:rsidRDefault="00F81CE0" w14:paraId="1074E356" w14:textId="336A55D0">
      <w:pPr>
        <w:pStyle w:val="BodyText"/>
        <w:spacing w:before="117"/>
        <w:rPr>
          <w:noProof w:val="0"/>
          <w:lang w:val="en-US"/>
        </w:rPr>
      </w:pPr>
      <w:r w:rsidRPr="5005B31F" w:rsidR="552A47D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0D2DCD" w:rsidRDefault="00F81CE0" w14:paraId="2E941C46" w14:textId="5F96C139">
      <w:pPr>
        <w:pStyle w:val="BodyText"/>
        <w:spacing w:before="126" w:line="360" w:lineRule="auto"/>
        <w:ind w:left="760" w:right="5577"/>
      </w:pPr>
      <w:r w:rsidRPr="5005B31F" w:rsidR="552A47D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r w:rsidRPr="5005B31F" w:rsidR="552A47D1">
        <w:rPr>
          <w:noProof w:val="0"/>
          <w:lang w:val="en-US"/>
        </w:rPr>
        <w:t xml:space="preserve"> </w:t>
      </w:r>
    </w:p>
    <w:p w:rsidR="000D2DCD" w:rsidRDefault="00F81CE0" w14:paraId="1074E358" w14:textId="77777777">
      <w:pPr>
        <w:pStyle w:val="BodyText"/>
        <w:spacing w:before="126" w:line="360" w:lineRule="auto"/>
        <w:ind w:left="760" w:right="5577"/>
      </w:pPr>
      <w:r w:rsidR="00F81CE0">
        <w:rPr/>
        <w:t>Interim</w:t>
      </w:r>
      <w:r w:rsidR="00F81CE0">
        <w:rPr>
          <w:spacing w:val="-5"/>
        </w:rPr>
        <w:t xml:space="preserve"> </w:t>
      </w:r>
      <w:r w:rsidR="00F81CE0">
        <w:rPr/>
        <w:t>Head</w:t>
      </w:r>
      <w:r w:rsidR="00F81CE0">
        <w:rPr>
          <w:spacing w:val="-8"/>
        </w:rPr>
        <w:t xml:space="preserve"> </w:t>
      </w:r>
      <w:r w:rsidR="00F81CE0">
        <w:rPr/>
        <w:t>of</w:t>
      </w:r>
      <w:r w:rsidR="00F81CE0">
        <w:rPr>
          <w:spacing w:val="-4"/>
        </w:rPr>
        <w:t xml:space="preserve"> </w:t>
      </w:r>
      <w:r w:rsidR="00F81CE0">
        <w:rPr/>
        <w:t>Access</w:t>
      </w:r>
      <w:r w:rsidR="00F81CE0">
        <w:rPr>
          <w:spacing w:val="-9"/>
        </w:rPr>
        <w:t xml:space="preserve"> </w:t>
      </w:r>
      <w:r w:rsidR="00F81CE0">
        <w:rPr/>
        <w:t>and</w:t>
      </w:r>
      <w:r w:rsidR="00F81CE0">
        <w:rPr>
          <w:spacing w:val="-6"/>
        </w:rPr>
        <w:t xml:space="preserve"> </w:t>
      </w:r>
      <w:r w:rsidR="00F81CE0">
        <w:rPr/>
        <w:t>Pricing</w:t>
      </w:r>
      <w:r w:rsidR="00F81CE0">
        <w:rPr>
          <w:spacing w:val="-6"/>
        </w:rPr>
        <w:t xml:space="preserve"> </w:t>
      </w:r>
      <w:r w:rsidR="00F81CE0">
        <w:rPr/>
        <w:t>BII UCB Pharma Limited</w:t>
      </w:r>
    </w:p>
    <w:p w:rsidR="000D2DCD" w:rsidRDefault="00F81CE0" w14:paraId="1074E359" w14:textId="77777777">
      <w:pPr>
        <w:pStyle w:val="BodyText"/>
        <w:spacing w:line="252" w:lineRule="exact"/>
        <w:ind w:left="760"/>
      </w:pPr>
      <w:r>
        <w:t>208,</w:t>
      </w:r>
      <w:r>
        <w:rPr>
          <w:spacing w:val="-3"/>
        </w:rPr>
        <w:t xml:space="preserve"> </w:t>
      </w:r>
      <w:r>
        <w:t>Bath</w:t>
      </w:r>
      <w:r>
        <w:rPr>
          <w:spacing w:val="-4"/>
        </w:rPr>
        <w:t xml:space="preserve"> </w:t>
      </w:r>
      <w:r>
        <w:t>Road,</w:t>
      </w:r>
      <w:r>
        <w:rPr>
          <w:spacing w:val="-5"/>
        </w:rPr>
        <w:t xml:space="preserve"> </w:t>
      </w:r>
      <w:r>
        <w:t>Slough,</w:t>
      </w:r>
      <w:r>
        <w:rPr>
          <w:spacing w:val="-4"/>
        </w:rPr>
        <w:t xml:space="preserve"> </w:t>
      </w:r>
      <w:r>
        <w:t>Berkshire</w:t>
      </w:r>
      <w:r>
        <w:rPr>
          <w:spacing w:val="-6"/>
        </w:rPr>
        <w:t xml:space="preserve"> </w:t>
      </w:r>
      <w:r>
        <w:t>SL1</w:t>
      </w:r>
      <w:r>
        <w:rPr>
          <w:spacing w:val="-3"/>
        </w:rPr>
        <w:t xml:space="preserve"> </w:t>
      </w:r>
      <w:r>
        <w:rPr>
          <w:spacing w:val="-5"/>
        </w:rPr>
        <w:t>3WE</w:t>
      </w:r>
    </w:p>
    <w:sectPr w:rsidR="000D2DCD">
      <w:pgSz w:w="11910" w:h="16840" w:orient="portrait"/>
      <w:pgMar w:top="860" w:right="360" w:bottom="1200" w:left="1040" w:header="182"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1CE0" w:rsidRDefault="00F81CE0" w14:paraId="1074E364" w14:textId="77777777">
      <w:r>
        <w:separator/>
      </w:r>
    </w:p>
  </w:endnote>
  <w:endnote w:type="continuationSeparator" w:id="0">
    <w:p w:rsidR="00F81CE0" w:rsidRDefault="00F81CE0" w14:paraId="1074E3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0D2DCD" w:rsidRDefault="00F81CE0" w14:paraId="1074E35F" w14:textId="77777777">
    <w:pPr>
      <w:pStyle w:val="BodyText"/>
      <w:spacing w:line="14" w:lineRule="auto"/>
      <w:rPr>
        <w:sz w:val="20"/>
      </w:rPr>
    </w:pPr>
    <w:r>
      <w:rPr>
        <w:noProof/>
      </w:rPr>
      <mc:AlternateContent>
        <mc:Choice Requires="wps">
          <w:drawing>
            <wp:anchor distT="0" distB="0" distL="0" distR="0" simplePos="0" relativeHeight="487180288" behindDoc="1" locked="0" layoutInCell="1" allowOverlap="1" wp14:anchorId="1074E362" wp14:editId="1074E363">
              <wp:simplePos x="0" y="0"/>
              <wp:positionH relativeFrom="page">
                <wp:posOffset>3658489</wp:posOffset>
              </wp:positionH>
              <wp:positionV relativeFrom="page">
                <wp:posOffset>9913527</wp:posOffset>
              </wp:positionV>
              <wp:extent cx="2597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0D2DCD" w:rsidRDefault="00F81CE0" w14:paraId="1074E365" w14:textId="77777777">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1074E362">
              <v:stroke joinstyle="miter"/>
              <v:path gradientshapeok="t" o:connecttype="rect"/>
            </v:shapetype>
            <v:shape id="Textbox 2" style="position:absolute;margin-left:288.05pt;margin-top:780.6pt;width:20.45pt;height:15.45pt;z-index:-1613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27Ff&#10;S+EAAAANAQAADwAAAGRycy9kb3ducmV2LnhtbEyPwU7DMBBE70j8g7VI3KiTSHVpiFNVCE5IqGk4&#10;cHRiN7Ear0PstuHv2Z7KcWeeZmeKzewGdjZTsB4lpIsEmMHWa4udhK/6/ekZWIgKtRo8Ggm/JsCm&#10;vL8rVK79BStz3seOUQiGXEnoYxxzzkPbG6fCwo8GyTv4yalI59RxPakLhbuBZ0kiuFMW6UOvRvPa&#10;m/a4PzkJ22+s3uzPZ7OrDpWt63WCH+Io5ePDvH0BFs0cbzBc61N1KKlT40+oAxskLFciJZSMpUgz&#10;YISIdEXzmqu0zlLgZcH/ryj/AAAA//8DAFBLAQItABQABgAIAAAAIQC2gziS/gAAAOEBAAATAAAA&#10;AAAAAAAAAAAAAAAAAABbQ29udGVudF9UeXBlc10ueG1sUEsBAi0AFAAGAAgAAAAhADj9If/WAAAA&#10;lAEAAAsAAAAAAAAAAAAAAAAALwEAAF9yZWxzLy5yZWxzUEsBAi0AFAAGAAgAAAAhAEzQfKqXAQAA&#10;IQMAAA4AAAAAAAAAAAAAAAAALgIAAGRycy9lMm9Eb2MueG1sUEsBAi0AFAAGAAgAAAAhANuxX0vh&#10;AAAADQEAAA8AAAAAAAAAAAAAAAAA8QMAAGRycy9kb3ducmV2LnhtbFBLBQYAAAAABAAEAPMAAAD/&#10;BAAAAAA=&#10;">
              <v:textbox inset="0,0,0,0">
                <w:txbxContent>
                  <w:p w:rsidR="000D2DCD" w:rsidRDefault="00F81CE0" w14:paraId="1074E365" w14:textId="77777777">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1CE0" w:rsidRDefault="00F81CE0" w14:paraId="1074E360" w14:textId="77777777">
      <w:r>
        <w:separator/>
      </w:r>
    </w:p>
  </w:footnote>
  <w:footnote w:type="continuationSeparator" w:id="0">
    <w:p w:rsidR="00F81CE0" w:rsidRDefault="00F81CE0" w14:paraId="1074E3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0D2DCD" w:rsidRDefault="00F81CE0" w14:paraId="1074E35E" w14:textId="7777777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1074E360" wp14:editId="1074E361">
              <wp:simplePos x="0" y="0"/>
              <wp:positionH relativeFrom="page">
                <wp:posOffset>203200</wp:posOffset>
              </wp:positionH>
              <wp:positionV relativeFrom="page">
                <wp:posOffset>116405</wp:posOffset>
              </wp:positionV>
              <wp:extent cx="317881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139065"/>
                      </a:xfrm>
                      <a:prstGeom prst="rect">
                        <a:avLst/>
                      </a:prstGeom>
                    </wps:spPr>
                    <wps:txbx>
                      <w:txbxContent>
                        <w:p w:rsidR="000D2DCD" w:rsidRDefault="00F81CE0" w14:paraId="1074E364"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DF26A575-DAB0-4F1A-B78F-EB345678132F</w:t>
                          </w:r>
                        </w:p>
                      </w:txbxContent>
                    </wps:txbx>
                    <wps:bodyPr wrap="square" lIns="0" tIns="0" rIns="0" bIns="0" rtlCol="0">
                      <a:noAutofit/>
                    </wps:bodyPr>
                  </wps:wsp>
                </a:graphicData>
              </a:graphic>
            </wp:anchor>
          </w:drawing>
        </mc:Choice>
        <mc:Fallback>
          <w:pict>
            <v:shapetype id="_x0000_t202" coordsize="21600,21600" o:spt="202" path="m,l,21600r21600,l21600,xe" w14:anchorId="1074E360">
              <v:stroke joinstyle="miter"/>
              <v:path gradientshapeok="t" o:connecttype="rect"/>
            </v:shapetype>
            <v:shape id="Textbox 1" style="position:absolute;margin-left:16pt;margin-top:9.15pt;width:250.3pt;height:10.95pt;z-index:-1613670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JAlQEAABsDAAAOAAAAZHJzL2Uyb0RvYy54bWysUsFu2zAMvQ/YPwi6L7ZbrEuNOMXWYsOA&#10;YivQ7gMUWYqNWaJKKrHz96MUJxm227CLRInU43uPWt1NbhB7g9SDb2S1KKUwXkPb+20jf7x8freU&#10;gqLyrRrAm0YeDMm79ds3qzHU5go6GFqDgkE81WNoZBdjqIuCdGecogUE4zlpAZ2KfMRt0aIaGd0N&#10;xVVZ3hQjYBsQtCHi24djUq4zvrVGx+/WkoliaCRzi3nFvG7SWqxXqt6iCl2vZxrqH1g41XtueoZ6&#10;UFGJHfZ/QbleIxDYuNDgCrC21yZrYDVV+Yea504Fk7WwORTONtH/g9Xf9s/hCUWcPsHEA8wiKDyC&#10;/knsTTEGquea5CnVxNVJ6GTRpZ0lCH7I3h7OfpopCs2X19WH5bLilOZcdX1b3rxPhheX1wEpfjHg&#10;RAoaiTyvzEDtHykeS08lM5lj/8QkTpuJS1K4gfbAIkaeYyPpdafQSDF89WxUGvopwFOwOQUYh3vI&#10;XyNp8fBxF8H2ufMFd+7ME8jc59+SRvz7OVdd/vT6FwAAAP//AwBQSwMEFAAGAAgAAAAhAOeTzyXe&#10;AAAACAEAAA8AAABkcnMvZG93bnJldi54bWxMj8FOwzAQRO9I/IO1SNyoTQJRCXGqCsEJCZGGA0cn&#10;3iZR43WI3Tb8PcsJjrOzmnlTbBY3ihPOYfCk4XalQCC13g7UafioX27WIEI0ZM3oCTV8Y4BNeXlR&#10;mNz6M1V42sVOcAiF3GjoY5xyKUPbozNh5Sck9vZ+diaynDtpZ3PmcDfKRKlMOjMQN/Rmwqce28Pu&#10;6DRsP6l6Hr7emvdqXw11/aDoNTtofX21bB9BRFzi3zP84jM6lMzU+CPZIEYNacJTIt/XKQj279Mk&#10;A9FouFMJyLKQ/weUPwAAAP//AwBQSwECLQAUAAYACAAAACEAtoM4kv4AAADhAQAAEwAAAAAAAAAA&#10;AAAAAAAAAAAAW0NvbnRlbnRfVHlwZXNdLnhtbFBLAQItABQABgAIAAAAIQA4/SH/1gAAAJQBAAAL&#10;AAAAAAAAAAAAAAAAAC8BAABfcmVscy8ucmVsc1BLAQItABQABgAIAAAAIQCw8CJAlQEAABsDAAAO&#10;AAAAAAAAAAAAAAAAAC4CAABkcnMvZTJvRG9jLnhtbFBLAQItABQABgAIAAAAIQDnk88l3gAAAAgB&#10;AAAPAAAAAAAAAAAAAAAAAO8DAABkcnMvZG93bnJldi54bWxQSwUGAAAAAAQABADzAAAA+gQAAAAA&#10;">
              <v:textbox inset="0,0,0,0">
                <w:txbxContent>
                  <w:p w:rsidR="000D2DCD" w:rsidRDefault="00F81CE0" w14:paraId="1074E364"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DF26A575-DAB0-4F1A-B78F-EB345678132F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18C5"/>
    <w:multiLevelType w:val="hybridMultilevel"/>
    <w:tmpl w:val="D32492B4"/>
    <w:lvl w:ilvl="0" w:tplc="A192DC14">
      <w:start w:val="1"/>
      <w:numFmt w:val="decimal"/>
      <w:lvlText w:val="%1."/>
      <w:lvlJc w:val="left"/>
      <w:pPr>
        <w:ind w:left="1120" w:hanging="360"/>
        <w:jc w:val="left"/>
      </w:pPr>
      <w:rPr>
        <w:rFonts w:hint="default"/>
        <w:spacing w:val="-1"/>
        <w:w w:val="100"/>
        <w:lang w:val="en-US" w:eastAsia="en-US" w:bidi="ar-SA"/>
      </w:rPr>
    </w:lvl>
    <w:lvl w:ilvl="1" w:tplc="8D86F428">
      <w:numFmt w:val="bullet"/>
      <w:lvlText w:val=""/>
      <w:lvlJc w:val="left"/>
      <w:pPr>
        <w:ind w:left="1480" w:hanging="360"/>
      </w:pPr>
      <w:rPr>
        <w:rFonts w:hint="default" w:ascii="Symbol" w:hAnsi="Symbol" w:eastAsia="Symbol" w:cs="Symbol"/>
        <w:b w:val="0"/>
        <w:bCs w:val="0"/>
        <w:i w:val="0"/>
        <w:iCs w:val="0"/>
        <w:spacing w:val="0"/>
        <w:w w:val="100"/>
        <w:sz w:val="22"/>
        <w:szCs w:val="22"/>
        <w:lang w:val="en-US" w:eastAsia="en-US" w:bidi="ar-SA"/>
      </w:rPr>
    </w:lvl>
    <w:lvl w:ilvl="2" w:tplc="3AE25AD4">
      <w:numFmt w:val="bullet"/>
      <w:lvlText w:val="•"/>
      <w:lvlJc w:val="left"/>
      <w:pPr>
        <w:ind w:left="2482" w:hanging="360"/>
      </w:pPr>
      <w:rPr>
        <w:rFonts w:hint="default"/>
        <w:lang w:val="en-US" w:eastAsia="en-US" w:bidi="ar-SA"/>
      </w:rPr>
    </w:lvl>
    <w:lvl w:ilvl="3" w:tplc="F508C558">
      <w:numFmt w:val="bullet"/>
      <w:lvlText w:val="•"/>
      <w:lvlJc w:val="left"/>
      <w:pPr>
        <w:ind w:left="3485" w:hanging="360"/>
      </w:pPr>
      <w:rPr>
        <w:rFonts w:hint="default"/>
        <w:lang w:val="en-US" w:eastAsia="en-US" w:bidi="ar-SA"/>
      </w:rPr>
    </w:lvl>
    <w:lvl w:ilvl="4" w:tplc="3BD4A036">
      <w:numFmt w:val="bullet"/>
      <w:lvlText w:val="•"/>
      <w:lvlJc w:val="left"/>
      <w:pPr>
        <w:ind w:left="4488" w:hanging="360"/>
      </w:pPr>
      <w:rPr>
        <w:rFonts w:hint="default"/>
        <w:lang w:val="en-US" w:eastAsia="en-US" w:bidi="ar-SA"/>
      </w:rPr>
    </w:lvl>
    <w:lvl w:ilvl="5" w:tplc="A0706FBE">
      <w:numFmt w:val="bullet"/>
      <w:lvlText w:val="•"/>
      <w:lvlJc w:val="left"/>
      <w:pPr>
        <w:ind w:left="5491" w:hanging="360"/>
      </w:pPr>
      <w:rPr>
        <w:rFonts w:hint="default"/>
        <w:lang w:val="en-US" w:eastAsia="en-US" w:bidi="ar-SA"/>
      </w:rPr>
    </w:lvl>
    <w:lvl w:ilvl="6" w:tplc="58D2F4F2">
      <w:numFmt w:val="bullet"/>
      <w:lvlText w:val="•"/>
      <w:lvlJc w:val="left"/>
      <w:pPr>
        <w:ind w:left="6494" w:hanging="360"/>
      </w:pPr>
      <w:rPr>
        <w:rFonts w:hint="default"/>
        <w:lang w:val="en-US" w:eastAsia="en-US" w:bidi="ar-SA"/>
      </w:rPr>
    </w:lvl>
    <w:lvl w:ilvl="7" w:tplc="A2648940">
      <w:numFmt w:val="bullet"/>
      <w:lvlText w:val="•"/>
      <w:lvlJc w:val="left"/>
      <w:pPr>
        <w:ind w:left="7497" w:hanging="360"/>
      </w:pPr>
      <w:rPr>
        <w:rFonts w:hint="default"/>
        <w:lang w:val="en-US" w:eastAsia="en-US" w:bidi="ar-SA"/>
      </w:rPr>
    </w:lvl>
    <w:lvl w:ilvl="8" w:tplc="BBD2E67A">
      <w:numFmt w:val="bullet"/>
      <w:lvlText w:val="•"/>
      <w:lvlJc w:val="left"/>
      <w:pPr>
        <w:ind w:left="8500" w:hanging="360"/>
      </w:pPr>
      <w:rPr>
        <w:rFonts w:hint="default"/>
        <w:lang w:val="en-US" w:eastAsia="en-US" w:bidi="ar-SA"/>
      </w:rPr>
    </w:lvl>
  </w:abstractNum>
  <w:abstractNum w:abstractNumId="1" w15:restartNumberingAfterBreak="0">
    <w:nsid w:val="18411AAB"/>
    <w:multiLevelType w:val="hybridMultilevel"/>
    <w:tmpl w:val="780C0772"/>
    <w:lvl w:ilvl="0" w:tplc="EDAEABBA">
      <w:numFmt w:val="bullet"/>
      <w:lvlText w:val=""/>
      <w:lvlJc w:val="left"/>
      <w:pPr>
        <w:ind w:left="832" w:hanging="360"/>
      </w:pPr>
      <w:rPr>
        <w:rFonts w:hint="default" w:ascii="Symbol" w:hAnsi="Symbol" w:eastAsia="Symbol" w:cs="Symbol"/>
        <w:b w:val="0"/>
        <w:bCs w:val="0"/>
        <w:i w:val="0"/>
        <w:iCs w:val="0"/>
        <w:spacing w:val="0"/>
        <w:w w:val="100"/>
        <w:sz w:val="21"/>
        <w:szCs w:val="21"/>
        <w:lang w:val="en-US" w:eastAsia="en-US" w:bidi="ar-SA"/>
      </w:rPr>
    </w:lvl>
    <w:lvl w:ilvl="1" w:tplc="A886A58E">
      <w:numFmt w:val="bullet"/>
      <w:lvlText w:val="•"/>
      <w:lvlJc w:val="left"/>
      <w:pPr>
        <w:ind w:left="1361" w:hanging="360"/>
      </w:pPr>
      <w:rPr>
        <w:rFonts w:hint="default"/>
        <w:lang w:val="en-US" w:eastAsia="en-US" w:bidi="ar-SA"/>
      </w:rPr>
    </w:lvl>
    <w:lvl w:ilvl="2" w:tplc="A5A2ADBC">
      <w:numFmt w:val="bullet"/>
      <w:lvlText w:val="•"/>
      <w:lvlJc w:val="left"/>
      <w:pPr>
        <w:ind w:left="1882" w:hanging="360"/>
      </w:pPr>
      <w:rPr>
        <w:rFonts w:hint="default"/>
        <w:lang w:val="en-US" w:eastAsia="en-US" w:bidi="ar-SA"/>
      </w:rPr>
    </w:lvl>
    <w:lvl w:ilvl="3" w:tplc="75282204">
      <w:numFmt w:val="bullet"/>
      <w:lvlText w:val="•"/>
      <w:lvlJc w:val="left"/>
      <w:pPr>
        <w:ind w:left="2403" w:hanging="360"/>
      </w:pPr>
      <w:rPr>
        <w:rFonts w:hint="default"/>
        <w:lang w:val="en-US" w:eastAsia="en-US" w:bidi="ar-SA"/>
      </w:rPr>
    </w:lvl>
    <w:lvl w:ilvl="4" w:tplc="34668A58">
      <w:numFmt w:val="bullet"/>
      <w:lvlText w:val="•"/>
      <w:lvlJc w:val="left"/>
      <w:pPr>
        <w:ind w:left="2924" w:hanging="360"/>
      </w:pPr>
      <w:rPr>
        <w:rFonts w:hint="default"/>
        <w:lang w:val="en-US" w:eastAsia="en-US" w:bidi="ar-SA"/>
      </w:rPr>
    </w:lvl>
    <w:lvl w:ilvl="5" w:tplc="D8980202">
      <w:numFmt w:val="bullet"/>
      <w:lvlText w:val="•"/>
      <w:lvlJc w:val="left"/>
      <w:pPr>
        <w:ind w:left="3446" w:hanging="360"/>
      </w:pPr>
      <w:rPr>
        <w:rFonts w:hint="default"/>
        <w:lang w:val="en-US" w:eastAsia="en-US" w:bidi="ar-SA"/>
      </w:rPr>
    </w:lvl>
    <w:lvl w:ilvl="6" w:tplc="58C60ACA">
      <w:numFmt w:val="bullet"/>
      <w:lvlText w:val="•"/>
      <w:lvlJc w:val="left"/>
      <w:pPr>
        <w:ind w:left="3967" w:hanging="360"/>
      </w:pPr>
      <w:rPr>
        <w:rFonts w:hint="default"/>
        <w:lang w:val="en-US" w:eastAsia="en-US" w:bidi="ar-SA"/>
      </w:rPr>
    </w:lvl>
    <w:lvl w:ilvl="7" w:tplc="278458A4">
      <w:numFmt w:val="bullet"/>
      <w:lvlText w:val="•"/>
      <w:lvlJc w:val="left"/>
      <w:pPr>
        <w:ind w:left="4488" w:hanging="360"/>
      </w:pPr>
      <w:rPr>
        <w:rFonts w:hint="default"/>
        <w:lang w:val="en-US" w:eastAsia="en-US" w:bidi="ar-SA"/>
      </w:rPr>
    </w:lvl>
    <w:lvl w:ilvl="8" w:tplc="08C85CD4">
      <w:numFmt w:val="bullet"/>
      <w:lvlText w:val="•"/>
      <w:lvlJc w:val="left"/>
      <w:pPr>
        <w:ind w:left="5009" w:hanging="360"/>
      </w:pPr>
      <w:rPr>
        <w:rFonts w:hint="default"/>
        <w:lang w:val="en-US" w:eastAsia="en-US" w:bidi="ar-SA"/>
      </w:rPr>
    </w:lvl>
  </w:abstractNum>
  <w:abstractNum w:abstractNumId="2" w15:restartNumberingAfterBreak="0">
    <w:nsid w:val="194B10AE"/>
    <w:multiLevelType w:val="multilevel"/>
    <w:tmpl w:val="3868466A"/>
    <w:lvl w:ilvl="0">
      <w:start w:val="5"/>
      <w:numFmt w:val="decimal"/>
      <w:lvlText w:val="%1"/>
      <w:lvlJc w:val="left"/>
      <w:pPr>
        <w:ind w:left="2201" w:hanging="721"/>
        <w:jc w:val="left"/>
      </w:pPr>
      <w:rPr>
        <w:rFonts w:hint="default"/>
        <w:lang w:val="en-US" w:eastAsia="en-US" w:bidi="ar-SA"/>
      </w:rPr>
    </w:lvl>
    <w:lvl w:ilvl="1">
      <w:start w:val="1"/>
      <w:numFmt w:val="decimal"/>
      <w:lvlText w:val="%1.%2"/>
      <w:lvlJc w:val="left"/>
      <w:pPr>
        <w:ind w:left="2201" w:hanging="721"/>
        <w:jc w:val="left"/>
      </w:pPr>
      <w:rPr>
        <w:rFonts w:hint="default"/>
        <w:lang w:val="en-US" w:eastAsia="en-US" w:bidi="ar-SA"/>
      </w:rPr>
    </w:lvl>
    <w:lvl w:ilvl="2">
      <w:start w:val="1"/>
      <w:numFmt w:val="decimal"/>
      <w:lvlText w:val="%1.%2.%3."/>
      <w:lvlJc w:val="left"/>
      <w:pPr>
        <w:ind w:left="2201" w:hanging="721"/>
        <w:jc w:val="left"/>
      </w:pPr>
      <w:rPr>
        <w:rFonts w:hint="default" w:ascii="Arial" w:hAnsi="Arial" w:eastAsia="Arial" w:cs="Arial"/>
        <w:b w:val="0"/>
        <w:bCs w:val="0"/>
        <w:i w:val="0"/>
        <w:iCs w:val="0"/>
        <w:spacing w:val="-3"/>
        <w:w w:val="100"/>
        <w:sz w:val="22"/>
        <w:szCs w:val="22"/>
        <w:lang w:val="en-US" w:eastAsia="en-US" w:bidi="ar-SA"/>
      </w:rPr>
    </w:lvl>
    <w:lvl w:ilvl="3">
      <w:numFmt w:val="bullet"/>
      <w:lvlText w:val="•"/>
      <w:lvlJc w:val="left"/>
      <w:pPr>
        <w:ind w:left="4691" w:hanging="721"/>
      </w:pPr>
      <w:rPr>
        <w:rFonts w:hint="default"/>
        <w:lang w:val="en-US" w:eastAsia="en-US" w:bidi="ar-SA"/>
      </w:rPr>
    </w:lvl>
    <w:lvl w:ilvl="4">
      <w:numFmt w:val="bullet"/>
      <w:lvlText w:val="•"/>
      <w:lvlJc w:val="left"/>
      <w:pPr>
        <w:ind w:left="5522" w:hanging="721"/>
      </w:pPr>
      <w:rPr>
        <w:rFonts w:hint="default"/>
        <w:lang w:val="en-US" w:eastAsia="en-US" w:bidi="ar-SA"/>
      </w:rPr>
    </w:lvl>
    <w:lvl w:ilvl="5">
      <w:numFmt w:val="bullet"/>
      <w:lvlText w:val="•"/>
      <w:lvlJc w:val="left"/>
      <w:pPr>
        <w:ind w:left="6353" w:hanging="721"/>
      </w:pPr>
      <w:rPr>
        <w:rFonts w:hint="default"/>
        <w:lang w:val="en-US" w:eastAsia="en-US" w:bidi="ar-SA"/>
      </w:rPr>
    </w:lvl>
    <w:lvl w:ilvl="6">
      <w:numFmt w:val="bullet"/>
      <w:lvlText w:val="•"/>
      <w:lvlJc w:val="left"/>
      <w:pPr>
        <w:ind w:left="7183" w:hanging="721"/>
      </w:pPr>
      <w:rPr>
        <w:rFonts w:hint="default"/>
        <w:lang w:val="en-US" w:eastAsia="en-US" w:bidi="ar-SA"/>
      </w:rPr>
    </w:lvl>
    <w:lvl w:ilvl="7">
      <w:numFmt w:val="bullet"/>
      <w:lvlText w:val="•"/>
      <w:lvlJc w:val="left"/>
      <w:pPr>
        <w:ind w:left="8014" w:hanging="721"/>
      </w:pPr>
      <w:rPr>
        <w:rFonts w:hint="default"/>
        <w:lang w:val="en-US" w:eastAsia="en-US" w:bidi="ar-SA"/>
      </w:rPr>
    </w:lvl>
    <w:lvl w:ilvl="8">
      <w:numFmt w:val="bullet"/>
      <w:lvlText w:val="•"/>
      <w:lvlJc w:val="left"/>
      <w:pPr>
        <w:ind w:left="8845" w:hanging="721"/>
      </w:pPr>
      <w:rPr>
        <w:rFonts w:hint="default"/>
        <w:lang w:val="en-US" w:eastAsia="en-US" w:bidi="ar-SA"/>
      </w:rPr>
    </w:lvl>
  </w:abstractNum>
  <w:abstractNum w:abstractNumId="3" w15:restartNumberingAfterBreak="0">
    <w:nsid w:val="27C4424A"/>
    <w:multiLevelType w:val="hybridMultilevel"/>
    <w:tmpl w:val="8E6AF688"/>
    <w:lvl w:ilvl="0" w:tplc="498E42B0">
      <w:numFmt w:val="bullet"/>
      <w:lvlText w:val="•"/>
      <w:lvlJc w:val="left"/>
      <w:pPr>
        <w:ind w:left="2201" w:hanging="149"/>
      </w:pPr>
      <w:rPr>
        <w:rFonts w:hint="default" w:ascii="Arial" w:hAnsi="Arial" w:eastAsia="Arial" w:cs="Arial"/>
        <w:b w:val="0"/>
        <w:bCs w:val="0"/>
        <w:i/>
        <w:iCs/>
        <w:spacing w:val="0"/>
        <w:w w:val="100"/>
        <w:sz w:val="22"/>
        <w:szCs w:val="22"/>
        <w:lang w:val="en-US" w:eastAsia="en-US" w:bidi="ar-SA"/>
      </w:rPr>
    </w:lvl>
    <w:lvl w:ilvl="1" w:tplc="C31CA7A0">
      <w:numFmt w:val="bullet"/>
      <w:lvlText w:val="•"/>
      <w:lvlJc w:val="left"/>
      <w:pPr>
        <w:ind w:left="3030" w:hanging="149"/>
      </w:pPr>
      <w:rPr>
        <w:rFonts w:hint="default"/>
        <w:lang w:val="en-US" w:eastAsia="en-US" w:bidi="ar-SA"/>
      </w:rPr>
    </w:lvl>
    <w:lvl w:ilvl="2" w:tplc="3FA40B62">
      <w:numFmt w:val="bullet"/>
      <w:lvlText w:val="•"/>
      <w:lvlJc w:val="left"/>
      <w:pPr>
        <w:ind w:left="3861" w:hanging="149"/>
      </w:pPr>
      <w:rPr>
        <w:rFonts w:hint="default"/>
        <w:lang w:val="en-US" w:eastAsia="en-US" w:bidi="ar-SA"/>
      </w:rPr>
    </w:lvl>
    <w:lvl w:ilvl="3" w:tplc="28F466B2">
      <w:numFmt w:val="bullet"/>
      <w:lvlText w:val="•"/>
      <w:lvlJc w:val="left"/>
      <w:pPr>
        <w:ind w:left="4691" w:hanging="149"/>
      </w:pPr>
      <w:rPr>
        <w:rFonts w:hint="default"/>
        <w:lang w:val="en-US" w:eastAsia="en-US" w:bidi="ar-SA"/>
      </w:rPr>
    </w:lvl>
    <w:lvl w:ilvl="4" w:tplc="4948E2D8">
      <w:numFmt w:val="bullet"/>
      <w:lvlText w:val="•"/>
      <w:lvlJc w:val="left"/>
      <w:pPr>
        <w:ind w:left="5522" w:hanging="149"/>
      </w:pPr>
      <w:rPr>
        <w:rFonts w:hint="default"/>
        <w:lang w:val="en-US" w:eastAsia="en-US" w:bidi="ar-SA"/>
      </w:rPr>
    </w:lvl>
    <w:lvl w:ilvl="5" w:tplc="03645D22">
      <w:numFmt w:val="bullet"/>
      <w:lvlText w:val="•"/>
      <w:lvlJc w:val="left"/>
      <w:pPr>
        <w:ind w:left="6353" w:hanging="149"/>
      </w:pPr>
      <w:rPr>
        <w:rFonts w:hint="default"/>
        <w:lang w:val="en-US" w:eastAsia="en-US" w:bidi="ar-SA"/>
      </w:rPr>
    </w:lvl>
    <w:lvl w:ilvl="6" w:tplc="5D86665A">
      <w:numFmt w:val="bullet"/>
      <w:lvlText w:val="•"/>
      <w:lvlJc w:val="left"/>
      <w:pPr>
        <w:ind w:left="7183" w:hanging="149"/>
      </w:pPr>
      <w:rPr>
        <w:rFonts w:hint="default"/>
        <w:lang w:val="en-US" w:eastAsia="en-US" w:bidi="ar-SA"/>
      </w:rPr>
    </w:lvl>
    <w:lvl w:ilvl="7" w:tplc="0EEA6B62">
      <w:numFmt w:val="bullet"/>
      <w:lvlText w:val="•"/>
      <w:lvlJc w:val="left"/>
      <w:pPr>
        <w:ind w:left="8014" w:hanging="149"/>
      </w:pPr>
      <w:rPr>
        <w:rFonts w:hint="default"/>
        <w:lang w:val="en-US" w:eastAsia="en-US" w:bidi="ar-SA"/>
      </w:rPr>
    </w:lvl>
    <w:lvl w:ilvl="8" w:tplc="F0021BF2">
      <w:numFmt w:val="bullet"/>
      <w:lvlText w:val="•"/>
      <w:lvlJc w:val="left"/>
      <w:pPr>
        <w:ind w:left="8845" w:hanging="149"/>
      </w:pPr>
      <w:rPr>
        <w:rFonts w:hint="default"/>
        <w:lang w:val="en-US" w:eastAsia="en-US" w:bidi="ar-SA"/>
      </w:rPr>
    </w:lvl>
  </w:abstractNum>
  <w:abstractNum w:abstractNumId="4" w15:restartNumberingAfterBreak="0">
    <w:nsid w:val="293C19D3"/>
    <w:multiLevelType w:val="hybridMultilevel"/>
    <w:tmpl w:val="F578B372"/>
    <w:lvl w:ilvl="0" w:tplc="A2DC43AE">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D1065188">
      <w:numFmt w:val="bullet"/>
      <w:lvlText w:val="•"/>
      <w:lvlJc w:val="left"/>
      <w:pPr>
        <w:ind w:left="3030" w:hanging="361"/>
      </w:pPr>
      <w:rPr>
        <w:rFonts w:hint="default"/>
        <w:lang w:val="en-US" w:eastAsia="en-US" w:bidi="ar-SA"/>
      </w:rPr>
    </w:lvl>
    <w:lvl w:ilvl="2" w:tplc="36E419C2">
      <w:numFmt w:val="bullet"/>
      <w:lvlText w:val="•"/>
      <w:lvlJc w:val="left"/>
      <w:pPr>
        <w:ind w:left="3861" w:hanging="361"/>
      </w:pPr>
      <w:rPr>
        <w:rFonts w:hint="default"/>
        <w:lang w:val="en-US" w:eastAsia="en-US" w:bidi="ar-SA"/>
      </w:rPr>
    </w:lvl>
    <w:lvl w:ilvl="3" w:tplc="AF502C4A">
      <w:numFmt w:val="bullet"/>
      <w:lvlText w:val="•"/>
      <w:lvlJc w:val="left"/>
      <w:pPr>
        <w:ind w:left="4691" w:hanging="361"/>
      </w:pPr>
      <w:rPr>
        <w:rFonts w:hint="default"/>
        <w:lang w:val="en-US" w:eastAsia="en-US" w:bidi="ar-SA"/>
      </w:rPr>
    </w:lvl>
    <w:lvl w:ilvl="4" w:tplc="7EE0B8CC">
      <w:numFmt w:val="bullet"/>
      <w:lvlText w:val="•"/>
      <w:lvlJc w:val="left"/>
      <w:pPr>
        <w:ind w:left="5522" w:hanging="361"/>
      </w:pPr>
      <w:rPr>
        <w:rFonts w:hint="default"/>
        <w:lang w:val="en-US" w:eastAsia="en-US" w:bidi="ar-SA"/>
      </w:rPr>
    </w:lvl>
    <w:lvl w:ilvl="5" w:tplc="FDFEC794">
      <w:numFmt w:val="bullet"/>
      <w:lvlText w:val="•"/>
      <w:lvlJc w:val="left"/>
      <w:pPr>
        <w:ind w:left="6353" w:hanging="361"/>
      </w:pPr>
      <w:rPr>
        <w:rFonts w:hint="default"/>
        <w:lang w:val="en-US" w:eastAsia="en-US" w:bidi="ar-SA"/>
      </w:rPr>
    </w:lvl>
    <w:lvl w:ilvl="6" w:tplc="28EEADB2">
      <w:numFmt w:val="bullet"/>
      <w:lvlText w:val="•"/>
      <w:lvlJc w:val="left"/>
      <w:pPr>
        <w:ind w:left="7183" w:hanging="361"/>
      </w:pPr>
      <w:rPr>
        <w:rFonts w:hint="default"/>
        <w:lang w:val="en-US" w:eastAsia="en-US" w:bidi="ar-SA"/>
      </w:rPr>
    </w:lvl>
    <w:lvl w:ilvl="7" w:tplc="10AC18F0">
      <w:numFmt w:val="bullet"/>
      <w:lvlText w:val="•"/>
      <w:lvlJc w:val="left"/>
      <w:pPr>
        <w:ind w:left="8014" w:hanging="361"/>
      </w:pPr>
      <w:rPr>
        <w:rFonts w:hint="default"/>
        <w:lang w:val="en-US" w:eastAsia="en-US" w:bidi="ar-SA"/>
      </w:rPr>
    </w:lvl>
    <w:lvl w:ilvl="8" w:tplc="0DCE14D6">
      <w:numFmt w:val="bullet"/>
      <w:lvlText w:val="•"/>
      <w:lvlJc w:val="left"/>
      <w:pPr>
        <w:ind w:left="8845" w:hanging="361"/>
      </w:pPr>
      <w:rPr>
        <w:rFonts w:hint="default"/>
        <w:lang w:val="en-US" w:eastAsia="en-US" w:bidi="ar-SA"/>
      </w:rPr>
    </w:lvl>
  </w:abstractNum>
  <w:abstractNum w:abstractNumId="5" w15:restartNumberingAfterBreak="0">
    <w:nsid w:val="2E9A7C82"/>
    <w:multiLevelType w:val="multilevel"/>
    <w:tmpl w:val="D5940E7C"/>
    <w:lvl w:ilvl="0">
      <w:start w:val="1"/>
      <w:numFmt w:val="decimal"/>
      <w:lvlText w:val="%1."/>
      <w:lvlJc w:val="left"/>
      <w:pPr>
        <w:ind w:left="1446" w:hanging="574"/>
        <w:jc w:val="right"/>
      </w:pPr>
      <w:rPr>
        <w:rFonts w:hint="default"/>
        <w:spacing w:val="-1"/>
        <w:w w:val="100"/>
        <w:lang w:val="en-US" w:eastAsia="en-US" w:bidi="ar-SA"/>
      </w:rPr>
    </w:lvl>
    <w:lvl w:ilvl="1">
      <w:start w:val="1"/>
      <w:numFmt w:val="decimal"/>
      <w:lvlText w:val="%1.%2."/>
      <w:lvlJc w:val="left"/>
      <w:pPr>
        <w:ind w:left="1552" w:hanging="1081"/>
        <w:jc w:val="left"/>
      </w:pPr>
      <w:rPr>
        <w:rFonts w:hint="default"/>
        <w:spacing w:val="-1"/>
        <w:w w:val="100"/>
        <w:lang w:val="en-US" w:eastAsia="en-US" w:bidi="ar-SA"/>
      </w:rPr>
    </w:lvl>
    <w:lvl w:ilvl="2">
      <w:start w:val="1"/>
      <w:numFmt w:val="decimal"/>
      <w:lvlText w:val="%1.%2.%3."/>
      <w:lvlJc w:val="left"/>
      <w:pPr>
        <w:ind w:left="1984" w:hanging="1081"/>
        <w:jc w:val="right"/>
      </w:pPr>
      <w:rPr>
        <w:rFonts w:hint="default" w:ascii="Arial" w:hAnsi="Arial" w:eastAsia="Arial" w:cs="Arial"/>
        <w:b w:val="0"/>
        <w:bCs w:val="0"/>
        <w:i w:val="0"/>
        <w:iCs w:val="0"/>
        <w:spacing w:val="-3"/>
        <w:w w:val="100"/>
        <w:sz w:val="22"/>
        <w:szCs w:val="22"/>
        <w:lang w:val="en-US" w:eastAsia="en-US" w:bidi="ar-SA"/>
      </w:rPr>
    </w:lvl>
    <w:lvl w:ilvl="3">
      <w:numFmt w:val="bullet"/>
      <w:lvlText w:val="•"/>
      <w:lvlJc w:val="left"/>
      <w:pPr>
        <w:ind w:left="3045" w:hanging="1081"/>
      </w:pPr>
      <w:rPr>
        <w:rFonts w:hint="default"/>
        <w:lang w:val="en-US" w:eastAsia="en-US" w:bidi="ar-SA"/>
      </w:rPr>
    </w:lvl>
    <w:lvl w:ilvl="4">
      <w:numFmt w:val="bullet"/>
      <w:lvlText w:val="•"/>
      <w:lvlJc w:val="left"/>
      <w:pPr>
        <w:ind w:left="4111" w:hanging="1081"/>
      </w:pPr>
      <w:rPr>
        <w:rFonts w:hint="default"/>
        <w:lang w:val="en-US" w:eastAsia="en-US" w:bidi="ar-SA"/>
      </w:rPr>
    </w:lvl>
    <w:lvl w:ilvl="5">
      <w:numFmt w:val="bullet"/>
      <w:lvlText w:val="•"/>
      <w:lvlJc w:val="left"/>
      <w:pPr>
        <w:ind w:left="5177" w:hanging="1081"/>
      </w:pPr>
      <w:rPr>
        <w:rFonts w:hint="default"/>
        <w:lang w:val="en-US" w:eastAsia="en-US" w:bidi="ar-SA"/>
      </w:rPr>
    </w:lvl>
    <w:lvl w:ilvl="6">
      <w:numFmt w:val="bullet"/>
      <w:lvlText w:val="•"/>
      <w:lvlJc w:val="left"/>
      <w:pPr>
        <w:ind w:left="6243" w:hanging="1081"/>
      </w:pPr>
      <w:rPr>
        <w:rFonts w:hint="default"/>
        <w:lang w:val="en-US" w:eastAsia="en-US" w:bidi="ar-SA"/>
      </w:rPr>
    </w:lvl>
    <w:lvl w:ilvl="7">
      <w:numFmt w:val="bullet"/>
      <w:lvlText w:val="•"/>
      <w:lvlJc w:val="left"/>
      <w:pPr>
        <w:ind w:left="7309" w:hanging="1081"/>
      </w:pPr>
      <w:rPr>
        <w:rFonts w:hint="default"/>
        <w:lang w:val="en-US" w:eastAsia="en-US" w:bidi="ar-SA"/>
      </w:rPr>
    </w:lvl>
    <w:lvl w:ilvl="8">
      <w:numFmt w:val="bullet"/>
      <w:lvlText w:val="•"/>
      <w:lvlJc w:val="left"/>
      <w:pPr>
        <w:ind w:left="8374" w:hanging="1081"/>
      </w:pPr>
      <w:rPr>
        <w:rFonts w:hint="default"/>
        <w:lang w:val="en-US" w:eastAsia="en-US" w:bidi="ar-SA"/>
      </w:rPr>
    </w:lvl>
  </w:abstractNum>
  <w:abstractNum w:abstractNumId="6" w15:restartNumberingAfterBreak="0">
    <w:nsid w:val="33FA40C7"/>
    <w:multiLevelType w:val="hybridMultilevel"/>
    <w:tmpl w:val="B16610BE"/>
    <w:lvl w:ilvl="0" w:tplc="C216632A">
      <w:numFmt w:val="bullet"/>
      <w:lvlText w:val=""/>
      <w:lvlJc w:val="left"/>
      <w:pPr>
        <w:ind w:left="1473" w:hanging="356"/>
      </w:pPr>
      <w:rPr>
        <w:rFonts w:hint="default" w:ascii="Symbol" w:hAnsi="Symbol" w:eastAsia="Symbol" w:cs="Symbol"/>
        <w:b w:val="0"/>
        <w:bCs w:val="0"/>
        <w:i w:val="0"/>
        <w:iCs w:val="0"/>
        <w:spacing w:val="0"/>
        <w:w w:val="100"/>
        <w:sz w:val="22"/>
        <w:szCs w:val="22"/>
        <w:lang w:val="en-US" w:eastAsia="en-US" w:bidi="ar-SA"/>
      </w:rPr>
    </w:lvl>
    <w:lvl w:ilvl="1" w:tplc="D19A8786">
      <w:numFmt w:val="bullet"/>
      <w:lvlText w:val="•"/>
      <w:lvlJc w:val="left"/>
      <w:pPr>
        <w:ind w:left="2382" w:hanging="356"/>
      </w:pPr>
      <w:rPr>
        <w:rFonts w:hint="default"/>
        <w:lang w:val="en-US" w:eastAsia="en-US" w:bidi="ar-SA"/>
      </w:rPr>
    </w:lvl>
    <w:lvl w:ilvl="2" w:tplc="9984D520">
      <w:numFmt w:val="bullet"/>
      <w:lvlText w:val="•"/>
      <w:lvlJc w:val="left"/>
      <w:pPr>
        <w:ind w:left="3285" w:hanging="356"/>
      </w:pPr>
      <w:rPr>
        <w:rFonts w:hint="default"/>
        <w:lang w:val="en-US" w:eastAsia="en-US" w:bidi="ar-SA"/>
      </w:rPr>
    </w:lvl>
    <w:lvl w:ilvl="3" w:tplc="DF2AD686">
      <w:numFmt w:val="bullet"/>
      <w:lvlText w:val="•"/>
      <w:lvlJc w:val="left"/>
      <w:pPr>
        <w:ind w:left="4187" w:hanging="356"/>
      </w:pPr>
      <w:rPr>
        <w:rFonts w:hint="default"/>
        <w:lang w:val="en-US" w:eastAsia="en-US" w:bidi="ar-SA"/>
      </w:rPr>
    </w:lvl>
    <w:lvl w:ilvl="4" w:tplc="8DF69EE4">
      <w:numFmt w:val="bullet"/>
      <w:lvlText w:val="•"/>
      <w:lvlJc w:val="left"/>
      <w:pPr>
        <w:ind w:left="5090" w:hanging="356"/>
      </w:pPr>
      <w:rPr>
        <w:rFonts w:hint="default"/>
        <w:lang w:val="en-US" w:eastAsia="en-US" w:bidi="ar-SA"/>
      </w:rPr>
    </w:lvl>
    <w:lvl w:ilvl="5" w:tplc="111A6A96">
      <w:numFmt w:val="bullet"/>
      <w:lvlText w:val="•"/>
      <w:lvlJc w:val="left"/>
      <w:pPr>
        <w:ind w:left="5993" w:hanging="356"/>
      </w:pPr>
      <w:rPr>
        <w:rFonts w:hint="default"/>
        <w:lang w:val="en-US" w:eastAsia="en-US" w:bidi="ar-SA"/>
      </w:rPr>
    </w:lvl>
    <w:lvl w:ilvl="6" w:tplc="625A9010">
      <w:numFmt w:val="bullet"/>
      <w:lvlText w:val="•"/>
      <w:lvlJc w:val="left"/>
      <w:pPr>
        <w:ind w:left="6895" w:hanging="356"/>
      </w:pPr>
      <w:rPr>
        <w:rFonts w:hint="default"/>
        <w:lang w:val="en-US" w:eastAsia="en-US" w:bidi="ar-SA"/>
      </w:rPr>
    </w:lvl>
    <w:lvl w:ilvl="7" w:tplc="492468C0">
      <w:numFmt w:val="bullet"/>
      <w:lvlText w:val="•"/>
      <w:lvlJc w:val="left"/>
      <w:pPr>
        <w:ind w:left="7798" w:hanging="356"/>
      </w:pPr>
      <w:rPr>
        <w:rFonts w:hint="default"/>
        <w:lang w:val="en-US" w:eastAsia="en-US" w:bidi="ar-SA"/>
      </w:rPr>
    </w:lvl>
    <w:lvl w:ilvl="8" w:tplc="EE480716">
      <w:numFmt w:val="bullet"/>
      <w:lvlText w:val="•"/>
      <w:lvlJc w:val="left"/>
      <w:pPr>
        <w:ind w:left="8701" w:hanging="356"/>
      </w:pPr>
      <w:rPr>
        <w:rFonts w:hint="default"/>
        <w:lang w:val="en-US" w:eastAsia="en-US" w:bidi="ar-SA"/>
      </w:rPr>
    </w:lvl>
  </w:abstractNum>
  <w:abstractNum w:abstractNumId="7" w15:restartNumberingAfterBreak="0">
    <w:nsid w:val="48E242EB"/>
    <w:multiLevelType w:val="hybridMultilevel"/>
    <w:tmpl w:val="CD3CF44C"/>
    <w:lvl w:ilvl="0" w:tplc="92A40042">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4F0253F8">
      <w:numFmt w:val="bullet"/>
      <w:lvlText w:val="•"/>
      <w:lvlJc w:val="left"/>
      <w:pPr>
        <w:ind w:left="3030" w:hanging="361"/>
      </w:pPr>
      <w:rPr>
        <w:rFonts w:hint="default"/>
        <w:lang w:val="en-US" w:eastAsia="en-US" w:bidi="ar-SA"/>
      </w:rPr>
    </w:lvl>
    <w:lvl w:ilvl="2" w:tplc="A9106220">
      <w:numFmt w:val="bullet"/>
      <w:lvlText w:val="•"/>
      <w:lvlJc w:val="left"/>
      <w:pPr>
        <w:ind w:left="3861" w:hanging="361"/>
      </w:pPr>
      <w:rPr>
        <w:rFonts w:hint="default"/>
        <w:lang w:val="en-US" w:eastAsia="en-US" w:bidi="ar-SA"/>
      </w:rPr>
    </w:lvl>
    <w:lvl w:ilvl="3" w:tplc="F0FA3406">
      <w:numFmt w:val="bullet"/>
      <w:lvlText w:val="•"/>
      <w:lvlJc w:val="left"/>
      <w:pPr>
        <w:ind w:left="4691" w:hanging="361"/>
      </w:pPr>
      <w:rPr>
        <w:rFonts w:hint="default"/>
        <w:lang w:val="en-US" w:eastAsia="en-US" w:bidi="ar-SA"/>
      </w:rPr>
    </w:lvl>
    <w:lvl w:ilvl="4" w:tplc="10F872A0">
      <w:numFmt w:val="bullet"/>
      <w:lvlText w:val="•"/>
      <w:lvlJc w:val="left"/>
      <w:pPr>
        <w:ind w:left="5522" w:hanging="361"/>
      </w:pPr>
      <w:rPr>
        <w:rFonts w:hint="default"/>
        <w:lang w:val="en-US" w:eastAsia="en-US" w:bidi="ar-SA"/>
      </w:rPr>
    </w:lvl>
    <w:lvl w:ilvl="5" w:tplc="CB82CF88">
      <w:numFmt w:val="bullet"/>
      <w:lvlText w:val="•"/>
      <w:lvlJc w:val="left"/>
      <w:pPr>
        <w:ind w:left="6353" w:hanging="361"/>
      </w:pPr>
      <w:rPr>
        <w:rFonts w:hint="default"/>
        <w:lang w:val="en-US" w:eastAsia="en-US" w:bidi="ar-SA"/>
      </w:rPr>
    </w:lvl>
    <w:lvl w:ilvl="6" w:tplc="0EFE937A">
      <w:numFmt w:val="bullet"/>
      <w:lvlText w:val="•"/>
      <w:lvlJc w:val="left"/>
      <w:pPr>
        <w:ind w:left="7183" w:hanging="361"/>
      </w:pPr>
      <w:rPr>
        <w:rFonts w:hint="default"/>
        <w:lang w:val="en-US" w:eastAsia="en-US" w:bidi="ar-SA"/>
      </w:rPr>
    </w:lvl>
    <w:lvl w:ilvl="7" w:tplc="35D80DDC">
      <w:numFmt w:val="bullet"/>
      <w:lvlText w:val="•"/>
      <w:lvlJc w:val="left"/>
      <w:pPr>
        <w:ind w:left="8014" w:hanging="361"/>
      </w:pPr>
      <w:rPr>
        <w:rFonts w:hint="default"/>
        <w:lang w:val="en-US" w:eastAsia="en-US" w:bidi="ar-SA"/>
      </w:rPr>
    </w:lvl>
    <w:lvl w:ilvl="8" w:tplc="099CE850">
      <w:numFmt w:val="bullet"/>
      <w:lvlText w:val="•"/>
      <w:lvlJc w:val="left"/>
      <w:pPr>
        <w:ind w:left="8845" w:hanging="361"/>
      </w:pPr>
      <w:rPr>
        <w:rFonts w:hint="default"/>
        <w:lang w:val="en-US" w:eastAsia="en-US" w:bidi="ar-SA"/>
      </w:rPr>
    </w:lvl>
  </w:abstractNum>
  <w:abstractNum w:abstractNumId="8" w15:restartNumberingAfterBreak="0">
    <w:nsid w:val="4A2E0D8F"/>
    <w:multiLevelType w:val="hybridMultilevel"/>
    <w:tmpl w:val="9654A7E6"/>
    <w:lvl w:ilvl="0" w:tplc="BEA2FA9A">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7C461BF6">
      <w:numFmt w:val="bullet"/>
      <w:lvlText w:val="•"/>
      <w:lvlJc w:val="left"/>
      <w:pPr>
        <w:ind w:left="3030" w:hanging="361"/>
      </w:pPr>
      <w:rPr>
        <w:rFonts w:hint="default"/>
        <w:lang w:val="en-US" w:eastAsia="en-US" w:bidi="ar-SA"/>
      </w:rPr>
    </w:lvl>
    <w:lvl w:ilvl="2" w:tplc="2B5009AC">
      <w:numFmt w:val="bullet"/>
      <w:lvlText w:val="•"/>
      <w:lvlJc w:val="left"/>
      <w:pPr>
        <w:ind w:left="3861" w:hanging="361"/>
      </w:pPr>
      <w:rPr>
        <w:rFonts w:hint="default"/>
        <w:lang w:val="en-US" w:eastAsia="en-US" w:bidi="ar-SA"/>
      </w:rPr>
    </w:lvl>
    <w:lvl w:ilvl="3" w:tplc="7FA2DB0A">
      <w:numFmt w:val="bullet"/>
      <w:lvlText w:val="•"/>
      <w:lvlJc w:val="left"/>
      <w:pPr>
        <w:ind w:left="4691" w:hanging="361"/>
      </w:pPr>
      <w:rPr>
        <w:rFonts w:hint="default"/>
        <w:lang w:val="en-US" w:eastAsia="en-US" w:bidi="ar-SA"/>
      </w:rPr>
    </w:lvl>
    <w:lvl w:ilvl="4" w:tplc="CF1CFECC">
      <w:numFmt w:val="bullet"/>
      <w:lvlText w:val="•"/>
      <w:lvlJc w:val="left"/>
      <w:pPr>
        <w:ind w:left="5522" w:hanging="361"/>
      </w:pPr>
      <w:rPr>
        <w:rFonts w:hint="default"/>
        <w:lang w:val="en-US" w:eastAsia="en-US" w:bidi="ar-SA"/>
      </w:rPr>
    </w:lvl>
    <w:lvl w:ilvl="5" w:tplc="8E5CF762">
      <w:numFmt w:val="bullet"/>
      <w:lvlText w:val="•"/>
      <w:lvlJc w:val="left"/>
      <w:pPr>
        <w:ind w:left="6353" w:hanging="361"/>
      </w:pPr>
      <w:rPr>
        <w:rFonts w:hint="default"/>
        <w:lang w:val="en-US" w:eastAsia="en-US" w:bidi="ar-SA"/>
      </w:rPr>
    </w:lvl>
    <w:lvl w:ilvl="6" w:tplc="16867A44">
      <w:numFmt w:val="bullet"/>
      <w:lvlText w:val="•"/>
      <w:lvlJc w:val="left"/>
      <w:pPr>
        <w:ind w:left="7183" w:hanging="361"/>
      </w:pPr>
      <w:rPr>
        <w:rFonts w:hint="default"/>
        <w:lang w:val="en-US" w:eastAsia="en-US" w:bidi="ar-SA"/>
      </w:rPr>
    </w:lvl>
    <w:lvl w:ilvl="7" w:tplc="FD10016C">
      <w:numFmt w:val="bullet"/>
      <w:lvlText w:val="•"/>
      <w:lvlJc w:val="left"/>
      <w:pPr>
        <w:ind w:left="8014" w:hanging="361"/>
      </w:pPr>
      <w:rPr>
        <w:rFonts w:hint="default"/>
        <w:lang w:val="en-US" w:eastAsia="en-US" w:bidi="ar-SA"/>
      </w:rPr>
    </w:lvl>
    <w:lvl w:ilvl="8" w:tplc="E23CBDC2">
      <w:numFmt w:val="bullet"/>
      <w:lvlText w:val="•"/>
      <w:lvlJc w:val="left"/>
      <w:pPr>
        <w:ind w:left="8845" w:hanging="361"/>
      </w:pPr>
      <w:rPr>
        <w:rFonts w:hint="default"/>
        <w:lang w:val="en-US" w:eastAsia="en-US" w:bidi="ar-SA"/>
      </w:rPr>
    </w:lvl>
  </w:abstractNum>
  <w:abstractNum w:abstractNumId="9" w15:restartNumberingAfterBreak="0">
    <w:nsid w:val="4CC97964"/>
    <w:multiLevelType w:val="hybridMultilevel"/>
    <w:tmpl w:val="89C276C4"/>
    <w:lvl w:ilvl="0" w:tplc="B29ED196">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tplc="23167748">
      <w:numFmt w:val="bullet"/>
      <w:lvlText w:val="•"/>
      <w:lvlJc w:val="left"/>
      <w:pPr>
        <w:ind w:left="707" w:hanging="360"/>
      </w:pPr>
      <w:rPr>
        <w:rFonts w:hint="default"/>
        <w:lang w:val="en-US" w:eastAsia="en-US" w:bidi="ar-SA"/>
      </w:rPr>
    </w:lvl>
    <w:lvl w:ilvl="2" w:tplc="888015AC">
      <w:numFmt w:val="bullet"/>
      <w:lvlText w:val="•"/>
      <w:lvlJc w:val="left"/>
      <w:pPr>
        <w:ind w:left="954" w:hanging="360"/>
      </w:pPr>
      <w:rPr>
        <w:rFonts w:hint="default"/>
        <w:lang w:val="en-US" w:eastAsia="en-US" w:bidi="ar-SA"/>
      </w:rPr>
    </w:lvl>
    <w:lvl w:ilvl="3" w:tplc="D1A066B8">
      <w:numFmt w:val="bullet"/>
      <w:lvlText w:val="•"/>
      <w:lvlJc w:val="left"/>
      <w:pPr>
        <w:ind w:left="1201" w:hanging="360"/>
      </w:pPr>
      <w:rPr>
        <w:rFonts w:hint="default"/>
        <w:lang w:val="en-US" w:eastAsia="en-US" w:bidi="ar-SA"/>
      </w:rPr>
    </w:lvl>
    <w:lvl w:ilvl="4" w:tplc="FBBE6BD2">
      <w:numFmt w:val="bullet"/>
      <w:lvlText w:val="•"/>
      <w:lvlJc w:val="left"/>
      <w:pPr>
        <w:ind w:left="1449" w:hanging="360"/>
      </w:pPr>
      <w:rPr>
        <w:rFonts w:hint="default"/>
        <w:lang w:val="en-US" w:eastAsia="en-US" w:bidi="ar-SA"/>
      </w:rPr>
    </w:lvl>
    <w:lvl w:ilvl="5" w:tplc="E2B85B1E">
      <w:numFmt w:val="bullet"/>
      <w:lvlText w:val="•"/>
      <w:lvlJc w:val="left"/>
      <w:pPr>
        <w:ind w:left="1696" w:hanging="360"/>
      </w:pPr>
      <w:rPr>
        <w:rFonts w:hint="default"/>
        <w:lang w:val="en-US" w:eastAsia="en-US" w:bidi="ar-SA"/>
      </w:rPr>
    </w:lvl>
    <w:lvl w:ilvl="6" w:tplc="2AB244CE">
      <w:numFmt w:val="bullet"/>
      <w:lvlText w:val="•"/>
      <w:lvlJc w:val="left"/>
      <w:pPr>
        <w:ind w:left="1943" w:hanging="360"/>
      </w:pPr>
      <w:rPr>
        <w:rFonts w:hint="default"/>
        <w:lang w:val="en-US" w:eastAsia="en-US" w:bidi="ar-SA"/>
      </w:rPr>
    </w:lvl>
    <w:lvl w:ilvl="7" w:tplc="23BE83EA">
      <w:numFmt w:val="bullet"/>
      <w:lvlText w:val="•"/>
      <w:lvlJc w:val="left"/>
      <w:pPr>
        <w:ind w:left="2191" w:hanging="360"/>
      </w:pPr>
      <w:rPr>
        <w:rFonts w:hint="default"/>
        <w:lang w:val="en-US" w:eastAsia="en-US" w:bidi="ar-SA"/>
      </w:rPr>
    </w:lvl>
    <w:lvl w:ilvl="8" w:tplc="26EC9224">
      <w:numFmt w:val="bullet"/>
      <w:lvlText w:val="•"/>
      <w:lvlJc w:val="left"/>
      <w:pPr>
        <w:ind w:left="2438" w:hanging="360"/>
      </w:pPr>
      <w:rPr>
        <w:rFonts w:hint="default"/>
        <w:lang w:val="en-US" w:eastAsia="en-US" w:bidi="ar-SA"/>
      </w:rPr>
    </w:lvl>
  </w:abstractNum>
  <w:abstractNum w:abstractNumId="10" w15:restartNumberingAfterBreak="0">
    <w:nsid w:val="4F8E448F"/>
    <w:multiLevelType w:val="hybridMultilevel"/>
    <w:tmpl w:val="A5E60F64"/>
    <w:lvl w:ilvl="0" w:tplc="E56AAE2E">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B65C9794">
      <w:numFmt w:val="bullet"/>
      <w:lvlText w:val="•"/>
      <w:lvlJc w:val="left"/>
      <w:pPr>
        <w:ind w:left="3030" w:hanging="361"/>
      </w:pPr>
      <w:rPr>
        <w:rFonts w:hint="default"/>
        <w:lang w:val="en-US" w:eastAsia="en-US" w:bidi="ar-SA"/>
      </w:rPr>
    </w:lvl>
    <w:lvl w:ilvl="2" w:tplc="82601F42">
      <w:numFmt w:val="bullet"/>
      <w:lvlText w:val="•"/>
      <w:lvlJc w:val="left"/>
      <w:pPr>
        <w:ind w:left="3861" w:hanging="361"/>
      </w:pPr>
      <w:rPr>
        <w:rFonts w:hint="default"/>
        <w:lang w:val="en-US" w:eastAsia="en-US" w:bidi="ar-SA"/>
      </w:rPr>
    </w:lvl>
    <w:lvl w:ilvl="3" w:tplc="9C1450C8">
      <w:numFmt w:val="bullet"/>
      <w:lvlText w:val="•"/>
      <w:lvlJc w:val="left"/>
      <w:pPr>
        <w:ind w:left="4691" w:hanging="361"/>
      </w:pPr>
      <w:rPr>
        <w:rFonts w:hint="default"/>
        <w:lang w:val="en-US" w:eastAsia="en-US" w:bidi="ar-SA"/>
      </w:rPr>
    </w:lvl>
    <w:lvl w:ilvl="4" w:tplc="72F21578">
      <w:numFmt w:val="bullet"/>
      <w:lvlText w:val="•"/>
      <w:lvlJc w:val="left"/>
      <w:pPr>
        <w:ind w:left="5522" w:hanging="361"/>
      </w:pPr>
      <w:rPr>
        <w:rFonts w:hint="default"/>
        <w:lang w:val="en-US" w:eastAsia="en-US" w:bidi="ar-SA"/>
      </w:rPr>
    </w:lvl>
    <w:lvl w:ilvl="5" w:tplc="00DAFFEA">
      <w:numFmt w:val="bullet"/>
      <w:lvlText w:val="•"/>
      <w:lvlJc w:val="left"/>
      <w:pPr>
        <w:ind w:left="6353" w:hanging="361"/>
      </w:pPr>
      <w:rPr>
        <w:rFonts w:hint="default"/>
        <w:lang w:val="en-US" w:eastAsia="en-US" w:bidi="ar-SA"/>
      </w:rPr>
    </w:lvl>
    <w:lvl w:ilvl="6" w:tplc="4986EFAC">
      <w:numFmt w:val="bullet"/>
      <w:lvlText w:val="•"/>
      <w:lvlJc w:val="left"/>
      <w:pPr>
        <w:ind w:left="7183" w:hanging="361"/>
      </w:pPr>
      <w:rPr>
        <w:rFonts w:hint="default"/>
        <w:lang w:val="en-US" w:eastAsia="en-US" w:bidi="ar-SA"/>
      </w:rPr>
    </w:lvl>
    <w:lvl w:ilvl="7" w:tplc="4B184CD8">
      <w:numFmt w:val="bullet"/>
      <w:lvlText w:val="•"/>
      <w:lvlJc w:val="left"/>
      <w:pPr>
        <w:ind w:left="8014" w:hanging="361"/>
      </w:pPr>
      <w:rPr>
        <w:rFonts w:hint="default"/>
        <w:lang w:val="en-US" w:eastAsia="en-US" w:bidi="ar-SA"/>
      </w:rPr>
    </w:lvl>
    <w:lvl w:ilvl="8" w:tplc="81F064AC">
      <w:numFmt w:val="bullet"/>
      <w:lvlText w:val="•"/>
      <w:lvlJc w:val="left"/>
      <w:pPr>
        <w:ind w:left="8845" w:hanging="361"/>
      </w:pPr>
      <w:rPr>
        <w:rFonts w:hint="default"/>
        <w:lang w:val="en-US" w:eastAsia="en-US" w:bidi="ar-SA"/>
      </w:rPr>
    </w:lvl>
  </w:abstractNum>
  <w:abstractNum w:abstractNumId="11" w15:restartNumberingAfterBreak="0">
    <w:nsid w:val="52C34E8E"/>
    <w:multiLevelType w:val="hybridMultilevel"/>
    <w:tmpl w:val="B206FC7A"/>
    <w:lvl w:ilvl="0" w:tplc="A18266AE">
      <w:numFmt w:val="bullet"/>
      <w:lvlText w:val=""/>
      <w:lvlJc w:val="left"/>
      <w:pPr>
        <w:ind w:left="2561" w:hanging="360"/>
      </w:pPr>
      <w:rPr>
        <w:rFonts w:hint="default" w:ascii="Symbol" w:hAnsi="Symbol" w:eastAsia="Symbol" w:cs="Symbol"/>
        <w:b w:val="0"/>
        <w:bCs w:val="0"/>
        <w:i w:val="0"/>
        <w:iCs w:val="0"/>
        <w:spacing w:val="0"/>
        <w:w w:val="100"/>
        <w:sz w:val="22"/>
        <w:szCs w:val="22"/>
        <w:lang w:val="en-US" w:eastAsia="en-US" w:bidi="ar-SA"/>
      </w:rPr>
    </w:lvl>
    <w:lvl w:ilvl="1" w:tplc="8CC288CA">
      <w:numFmt w:val="bullet"/>
      <w:lvlText w:val="•"/>
      <w:lvlJc w:val="left"/>
      <w:pPr>
        <w:ind w:left="3354" w:hanging="360"/>
      </w:pPr>
      <w:rPr>
        <w:rFonts w:hint="default"/>
        <w:lang w:val="en-US" w:eastAsia="en-US" w:bidi="ar-SA"/>
      </w:rPr>
    </w:lvl>
    <w:lvl w:ilvl="2" w:tplc="2C540C4C">
      <w:numFmt w:val="bullet"/>
      <w:lvlText w:val="•"/>
      <w:lvlJc w:val="left"/>
      <w:pPr>
        <w:ind w:left="4149" w:hanging="360"/>
      </w:pPr>
      <w:rPr>
        <w:rFonts w:hint="default"/>
        <w:lang w:val="en-US" w:eastAsia="en-US" w:bidi="ar-SA"/>
      </w:rPr>
    </w:lvl>
    <w:lvl w:ilvl="3" w:tplc="31EEF742">
      <w:numFmt w:val="bullet"/>
      <w:lvlText w:val="•"/>
      <w:lvlJc w:val="left"/>
      <w:pPr>
        <w:ind w:left="4943" w:hanging="360"/>
      </w:pPr>
      <w:rPr>
        <w:rFonts w:hint="default"/>
        <w:lang w:val="en-US" w:eastAsia="en-US" w:bidi="ar-SA"/>
      </w:rPr>
    </w:lvl>
    <w:lvl w:ilvl="4" w:tplc="50707084">
      <w:numFmt w:val="bullet"/>
      <w:lvlText w:val="•"/>
      <w:lvlJc w:val="left"/>
      <w:pPr>
        <w:ind w:left="5738" w:hanging="360"/>
      </w:pPr>
      <w:rPr>
        <w:rFonts w:hint="default"/>
        <w:lang w:val="en-US" w:eastAsia="en-US" w:bidi="ar-SA"/>
      </w:rPr>
    </w:lvl>
    <w:lvl w:ilvl="5" w:tplc="139465FE">
      <w:numFmt w:val="bullet"/>
      <w:lvlText w:val="•"/>
      <w:lvlJc w:val="left"/>
      <w:pPr>
        <w:ind w:left="6533" w:hanging="360"/>
      </w:pPr>
      <w:rPr>
        <w:rFonts w:hint="default"/>
        <w:lang w:val="en-US" w:eastAsia="en-US" w:bidi="ar-SA"/>
      </w:rPr>
    </w:lvl>
    <w:lvl w:ilvl="6" w:tplc="362A5C50">
      <w:numFmt w:val="bullet"/>
      <w:lvlText w:val="•"/>
      <w:lvlJc w:val="left"/>
      <w:pPr>
        <w:ind w:left="7327" w:hanging="360"/>
      </w:pPr>
      <w:rPr>
        <w:rFonts w:hint="default"/>
        <w:lang w:val="en-US" w:eastAsia="en-US" w:bidi="ar-SA"/>
      </w:rPr>
    </w:lvl>
    <w:lvl w:ilvl="7" w:tplc="024EAD42">
      <w:numFmt w:val="bullet"/>
      <w:lvlText w:val="•"/>
      <w:lvlJc w:val="left"/>
      <w:pPr>
        <w:ind w:left="8122" w:hanging="360"/>
      </w:pPr>
      <w:rPr>
        <w:rFonts w:hint="default"/>
        <w:lang w:val="en-US" w:eastAsia="en-US" w:bidi="ar-SA"/>
      </w:rPr>
    </w:lvl>
    <w:lvl w:ilvl="8" w:tplc="451252A2">
      <w:numFmt w:val="bullet"/>
      <w:lvlText w:val="•"/>
      <w:lvlJc w:val="left"/>
      <w:pPr>
        <w:ind w:left="8917" w:hanging="360"/>
      </w:pPr>
      <w:rPr>
        <w:rFonts w:hint="default"/>
        <w:lang w:val="en-US" w:eastAsia="en-US" w:bidi="ar-SA"/>
      </w:rPr>
    </w:lvl>
  </w:abstractNum>
  <w:abstractNum w:abstractNumId="12" w15:restartNumberingAfterBreak="0">
    <w:nsid w:val="56D56A1F"/>
    <w:multiLevelType w:val="hybridMultilevel"/>
    <w:tmpl w:val="F5DCBA02"/>
    <w:lvl w:ilvl="0" w:tplc="5AA62550">
      <w:numFmt w:val="bullet"/>
      <w:lvlText w:val=""/>
      <w:lvlJc w:val="left"/>
      <w:pPr>
        <w:ind w:left="2561" w:hanging="360"/>
      </w:pPr>
      <w:rPr>
        <w:rFonts w:hint="default" w:ascii="Symbol" w:hAnsi="Symbol" w:eastAsia="Symbol" w:cs="Symbol"/>
        <w:b w:val="0"/>
        <w:bCs w:val="0"/>
        <w:i w:val="0"/>
        <w:iCs w:val="0"/>
        <w:spacing w:val="0"/>
        <w:w w:val="100"/>
        <w:sz w:val="22"/>
        <w:szCs w:val="22"/>
        <w:lang w:val="en-US" w:eastAsia="en-US" w:bidi="ar-SA"/>
      </w:rPr>
    </w:lvl>
    <w:lvl w:ilvl="1" w:tplc="E1BCAABE">
      <w:numFmt w:val="bullet"/>
      <w:lvlText w:val="•"/>
      <w:lvlJc w:val="left"/>
      <w:pPr>
        <w:ind w:left="3354" w:hanging="360"/>
      </w:pPr>
      <w:rPr>
        <w:rFonts w:hint="default"/>
        <w:lang w:val="en-US" w:eastAsia="en-US" w:bidi="ar-SA"/>
      </w:rPr>
    </w:lvl>
    <w:lvl w:ilvl="2" w:tplc="CA0A952C">
      <w:numFmt w:val="bullet"/>
      <w:lvlText w:val="•"/>
      <w:lvlJc w:val="left"/>
      <w:pPr>
        <w:ind w:left="4149" w:hanging="360"/>
      </w:pPr>
      <w:rPr>
        <w:rFonts w:hint="default"/>
        <w:lang w:val="en-US" w:eastAsia="en-US" w:bidi="ar-SA"/>
      </w:rPr>
    </w:lvl>
    <w:lvl w:ilvl="3" w:tplc="4E16FFFA">
      <w:numFmt w:val="bullet"/>
      <w:lvlText w:val="•"/>
      <w:lvlJc w:val="left"/>
      <w:pPr>
        <w:ind w:left="4943" w:hanging="360"/>
      </w:pPr>
      <w:rPr>
        <w:rFonts w:hint="default"/>
        <w:lang w:val="en-US" w:eastAsia="en-US" w:bidi="ar-SA"/>
      </w:rPr>
    </w:lvl>
    <w:lvl w:ilvl="4" w:tplc="B872913E">
      <w:numFmt w:val="bullet"/>
      <w:lvlText w:val="•"/>
      <w:lvlJc w:val="left"/>
      <w:pPr>
        <w:ind w:left="5738" w:hanging="360"/>
      </w:pPr>
      <w:rPr>
        <w:rFonts w:hint="default"/>
        <w:lang w:val="en-US" w:eastAsia="en-US" w:bidi="ar-SA"/>
      </w:rPr>
    </w:lvl>
    <w:lvl w:ilvl="5" w:tplc="A4CA755A">
      <w:numFmt w:val="bullet"/>
      <w:lvlText w:val="•"/>
      <w:lvlJc w:val="left"/>
      <w:pPr>
        <w:ind w:left="6533" w:hanging="360"/>
      </w:pPr>
      <w:rPr>
        <w:rFonts w:hint="default"/>
        <w:lang w:val="en-US" w:eastAsia="en-US" w:bidi="ar-SA"/>
      </w:rPr>
    </w:lvl>
    <w:lvl w:ilvl="6" w:tplc="9A92465A">
      <w:numFmt w:val="bullet"/>
      <w:lvlText w:val="•"/>
      <w:lvlJc w:val="left"/>
      <w:pPr>
        <w:ind w:left="7327" w:hanging="360"/>
      </w:pPr>
      <w:rPr>
        <w:rFonts w:hint="default"/>
        <w:lang w:val="en-US" w:eastAsia="en-US" w:bidi="ar-SA"/>
      </w:rPr>
    </w:lvl>
    <w:lvl w:ilvl="7" w:tplc="7870E10A">
      <w:numFmt w:val="bullet"/>
      <w:lvlText w:val="•"/>
      <w:lvlJc w:val="left"/>
      <w:pPr>
        <w:ind w:left="8122" w:hanging="360"/>
      </w:pPr>
      <w:rPr>
        <w:rFonts w:hint="default"/>
        <w:lang w:val="en-US" w:eastAsia="en-US" w:bidi="ar-SA"/>
      </w:rPr>
    </w:lvl>
    <w:lvl w:ilvl="8" w:tplc="00D09F96">
      <w:numFmt w:val="bullet"/>
      <w:lvlText w:val="•"/>
      <w:lvlJc w:val="left"/>
      <w:pPr>
        <w:ind w:left="8917" w:hanging="360"/>
      </w:pPr>
      <w:rPr>
        <w:rFonts w:hint="default"/>
        <w:lang w:val="en-US" w:eastAsia="en-US" w:bidi="ar-SA"/>
      </w:rPr>
    </w:lvl>
  </w:abstractNum>
  <w:abstractNum w:abstractNumId="13" w15:restartNumberingAfterBreak="0">
    <w:nsid w:val="5E39775C"/>
    <w:multiLevelType w:val="hybridMultilevel"/>
    <w:tmpl w:val="9A66A0C8"/>
    <w:lvl w:ilvl="0" w:tplc="8B688AA2">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F754FAEA">
      <w:numFmt w:val="bullet"/>
      <w:lvlText w:val="•"/>
      <w:lvlJc w:val="left"/>
      <w:pPr>
        <w:ind w:left="3030" w:hanging="361"/>
      </w:pPr>
      <w:rPr>
        <w:rFonts w:hint="default"/>
        <w:lang w:val="en-US" w:eastAsia="en-US" w:bidi="ar-SA"/>
      </w:rPr>
    </w:lvl>
    <w:lvl w:ilvl="2" w:tplc="74069310">
      <w:numFmt w:val="bullet"/>
      <w:lvlText w:val="•"/>
      <w:lvlJc w:val="left"/>
      <w:pPr>
        <w:ind w:left="3861" w:hanging="361"/>
      </w:pPr>
      <w:rPr>
        <w:rFonts w:hint="default"/>
        <w:lang w:val="en-US" w:eastAsia="en-US" w:bidi="ar-SA"/>
      </w:rPr>
    </w:lvl>
    <w:lvl w:ilvl="3" w:tplc="3070A3E6">
      <w:numFmt w:val="bullet"/>
      <w:lvlText w:val="•"/>
      <w:lvlJc w:val="left"/>
      <w:pPr>
        <w:ind w:left="4691" w:hanging="361"/>
      </w:pPr>
      <w:rPr>
        <w:rFonts w:hint="default"/>
        <w:lang w:val="en-US" w:eastAsia="en-US" w:bidi="ar-SA"/>
      </w:rPr>
    </w:lvl>
    <w:lvl w:ilvl="4" w:tplc="5178B974">
      <w:numFmt w:val="bullet"/>
      <w:lvlText w:val="•"/>
      <w:lvlJc w:val="left"/>
      <w:pPr>
        <w:ind w:left="5522" w:hanging="361"/>
      </w:pPr>
      <w:rPr>
        <w:rFonts w:hint="default"/>
        <w:lang w:val="en-US" w:eastAsia="en-US" w:bidi="ar-SA"/>
      </w:rPr>
    </w:lvl>
    <w:lvl w:ilvl="5" w:tplc="3E408FB4">
      <w:numFmt w:val="bullet"/>
      <w:lvlText w:val="•"/>
      <w:lvlJc w:val="left"/>
      <w:pPr>
        <w:ind w:left="6353" w:hanging="361"/>
      </w:pPr>
      <w:rPr>
        <w:rFonts w:hint="default"/>
        <w:lang w:val="en-US" w:eastAsia="en-US" w:bidi="ar-SA"/>
      </w:rPr>
    </w:lvl>
    <w:lvl w:ilvl="6" w:tplc="5120CE9C">
      <w:numFmt w:val="bullet"/>
      <w:lvlText w:val="•"/>
      <w:lvlJc w:val="left"/>
      <w:pPr>
        <w:ind w:left="7183" w:hanging="361"/>
      </w:pPr>
      <w:rPr>
        <w:rFonts w:hint="default"/>
        <w:lang w:val="en-US" w:eastAsia="en-US" w:bidi="ar-SA"/>
      </w:rPr>
    </w:lvl>
    <w:lvl w:ilvl="7" w:tplc="E8A6CC8A">
      <w:numFmt w:val="bullet"/>
      <w:lvlText w:val="•"/>
      <w:lvlJc w:val="left"/>
      <w:pPr>
        <w:ind w:left="8014" w:hanging="361"/>
      </w:pPr>
      <w:rPr>
        <w:rFonts w:hint="default"/>
        <w:lang w:val="en-US" w:eastAsia="en-US" w:bidi="ar-SA"/>
      </w:rPr>
    </w:lvl>
    <w:lvl w:ilvl="8" w:tplc="56D0DDC2">
      <w:numFmt w:val="bullet"/>
      <w:lvlText w:val="•"/>
      <w:lvlJc w:val="left"/>
      <w:pPr>
        <w:ind w:left="8845" w:hanging="361"/>
      </w:pPr>
      <w:rPr>
        <w:rFonts w:hint="default"/>
        <w:lang w:val="en-US" w:eastAsia="en-US" w:bidi="ar-SA"/>
      </w:rPr>
    </w:lvl>
  </w:abstractNum>
  <w:abstractNum w:abstractNumId="14" w15:restartNumberingAfterBreak="0">
    <w:nsid w:val="6EF73FDA"/>
    <w:multiLevelType w:val="hybridMultilevel"/>
    <w:tmpl w:val="89B0B4FA"/>
    <w:lvl w:ilvl="0" w:tplc="587A9A7C">
      <w:numFmt w:val="bullet"/>
      <w:lvlText w:val=""/>
      <w:lvlJc w:val="left"/>
      <w:pPr>
        <w:ind w:left="1480" w:hanging="360"/>
      </w:pPr>
      <w:rPr>
        <w:rFonts w:hint="default" w:ascii="Symbol" w:hAnsi="Symbol" w:eastAsia="Symbol" w:cs="Symbol"/>
        <w:b w:val="0"/>
        <w:bCs w:val="0"/>
        <w:i w:val="0"/>
        <w:iCs w:val="0"/>
        <w:spacing w:val="0"/>
        <w:w w:val="100"/>
        <w:sz w:val="22"/>
        <w:szCs w:val="22"/>
        <w:lang w:val="en-US" w:eastAsia="en-US" w:bidi="ar-SA"/>
      </w:rPr>
    </w:lvl>
    <w:lvl w:ilvl="1" w:tplc="EFD08D2A">
      <w:numFmt w:val="bullet"/>
      <w:lvlText w:val="•"/>
      <w:lvlJc w:val="left"/>
      <w:pPr>
        <w:ind w:left="2382" w:hanging="360"/>
      </w:pPr>
      <w:rPr>
        <w:rFonts w:hint="default"/>
        <w:lang w:val="en-US" w:eastAsia="en-US" w:bidi="ar-SA"/>
      </w:rPr>
    </w:lvl>
    <w:lvl w:ilvl="2" w:tplc="30AEDFCE">
      <w:numFmt w:val="bullet"/>
      <w:lvlText w:val="•"/>
      <w:lvlJc w:val="left"/>
      <w:pPr>
        <w:ind w:left="3285" w:hanging="360"/>
      </w:pPr>
      <w:rPr>
        <w:rFonts w:hint="default"/>
        <w:lang w:val="en-US" w:eastAsia="en-US" w:bidi="ar-SA"/>
      </w:rPr>
    </w:lvl>
    <w:lvl w:ilvl="3" w:tplc="685290D0">
      <w:numFmt w:val="bullet"/>
      <w:lvlText w:val="•"/>
      <w:lvlJc w:val="left"/>
      <w:pPr>
        <w:ind w:left="4187" w:hanging="360"/>
      </w:pPr>
      <w:rPr>
        <w:rFonts w:hint="default"/>
        <w:lang w:val="en-US" w:eastAsia="en-US" w:bidi="ar-SA"/>
      </w:rPr>
    </w:lvl>
    <w:lvl w:ilvl="4" w:tplc="216ECE62">
      <w:numFmt w:val="bullet"/>
      <w:lvlText w:val="•"/>
      <w:lvlJc w:val="left"/>
      <w:pPr>
        <w:ind w:left="5090" w:hanging="360"/>
      </w:pPr>
      <w:rPr>
        <w:rFonts w:hint="default"/>
        <w:lang w:val="en-US" w:eastAsia="en-US" w:bidi="ar-SA"/>
      </w:rPr>
    </w:lvl>
    <w:lvl w:ilvl="5" w:tplc="17520410">
      <w:numFmt w:val="bullet"/>
      <w:lvlText w:val="•"/>
      <w:lvlJc w:val="left"/>
      <w:pPr>
        <w:ind w:left="5993" w:hanging="360"/>
      </w:pPr>
      <w:rPr>
        <w:rFonts w:hint="default"/>
        <w:lang w:val="en-US" w:eastAsia="en-US" w:bidi="ar-SA"/>
      </w:rPr>
    </w:lvl>
    <w:lvl w:ilvl="6" w:tplc="14DEF8BE">
      <w:numFmt w:val="bullet"/>
      <w:lvlText w:val="•"/>
      <w:lvlJc w:val="left"/>
      <w:pPr>
        <w:ind w:left="6895" w:hanging="360"/>
      </w:pPr>
      <w:rPr>
        <w:rFonts w:hint="default"/>
        <w:lang w:val="en-US" w:eastAsia="en-US" w:bidi="ar-SA"/>
      </w:rPr>
    </w:lvl>
    <w:lvl w:ilvl="7" w:tplc="590EBF8C">
      <w:numFmt w:val="bullet"/>
      <w:lvlText w:val="•"/>
      <w:lvlJc w:val="left"/>
      <w:pPr>
        <w:ind w:left="7798" w:hanging="360"/>
      </w:pPr>
      <w:rPr>
        <w:rFonts w:hint="default"/>
        <w:lang w:val="en-US" w:eastAsia="en-US" w:bidi="ar-SA"/>
      </w:rPr>
    </w:lvl>
    <w:lvl w:ilvl="8" w:tplc="E254664A">
      <w:numFmt w:val="bullet"/>
      <w:lvlText w:val="•"/>
      <w:lvlJc w:val="left"/>
      <w:pPr>
        <w:ind w:left="8701" w:hanging="360"/>
      </w:pPr>
      <w:rPr>
        <w:rFonts w:hint="default"/>
        <w:lang w:val="en-US" w:eastAsia="en-US" w:bidi="ar-SA"/>
      </w:rPr>
    </w:lvl>
  </w:abstractNum>
  <w:abstractNum w:abstractNumId="15" w15:restartNumberingAfterBreak="0">
    <w:nsid w:val="78290798"/>
    <w:multiLevelType w:val="hybridMultilevel"/>
    <w:tmpl w:val="EABCC8BA"/>
    <w:lvl w:ilvl="0" w:tplc="39C46DEE">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tplc="CE14954A">
      <w:numFmt w:val="bullet"/>
      <w:lvlText w:val="•"/>
      <w:lvlJc w:val="left"/>
      <w:pPr>
        <w:ind w:left="707" w:hanging="360"/>
      </w:pPr>
      <w:rPr>
        <w:rFonts w:hint="default"/>
        <w:lang w:val="en-US" w:eastAsia="en-US" w:bidi="ar-SA"/>
      </w:rPr>
    </w:lvl>
    <w:lvl w:ilvl="2" w:tplc="DCAA2428">
      <w:numFmt w:val="bullet"/>
      <w:lvlText w:val="•"/>
      <w:lvlJc w:val="left"/>
      <w:pPr>
        <w:ind w:left="954" w:hanging="360"/>
      </w:pPr>
      <w:rPr>
        <w:rFonts w:hint="default"/>
        <w:lang w:val="en-US" w:eastAsia="en-US" w:bidi="ar-SA"/>
      </w:rPr>
    </w:lvl>
    <w:lvl w:ilvl="3" w:tplc="8B748BEC">
      <w:numFmt w:val="bullet"/>
      <w:lvlText w:val="•"/>
      <w:lvlJc w:val="left"/>
      <w:pPr>
        <w:ind w:left="1201" w:hanging="360"/>
      </w:pPr>
      <w:rPr>
        <w:rFonts w:hint="default"/>
        <w:lang w:val="en-US" w:eastAsia="en-US" w:bidi="ar-SA"/>
      </w:rPr>
    </w:lvl>
    <w:lvl w:ilvl="4" w:tplc="3D0A08CE">
      <w:numFmt w:val="bullet"/>
      <w:lvlText w:val="•"/>
      <w:lvlJc w:val="left"/>
      <w:pPr>
        <w:ind w:left="1449" w:hanging="360"/>
      </w:pPr>
      <w:rPr>
        <w:rFonts w:hint="default"/>
        <w:lang w:val="en-US" w:eastAsia="en-US" w:bidi="ar-SA"/>
      </w:rPr>
    </w:lvl>
    <w:lvl w:ilvl="5" w:tplc="2A2E820A">
      <w:numFmt w:val="bullet"/>
      <w:lvlText w:val="•"/>
      <w:lvlJc w:val="left"/>
      <w:pPr>
        <w:ind w:left="1696" w:hanging="360"/>
      </w:pPr>
      <w:rPr>
        <w:rFonts w:hint="default"/>
        <w:lang w:val="en-US" w:eastAsia="en-US" w:bidi="ar-SA"/>
      </w:rPr>
    </w:lvl>
    <w:lvl w:ilvl="6" w:tplc="3F40DCF2">
      <w:numFmt w:val="bullet"/>
      <w:lvlText w:val="•"/>
      <w:lvlJc w:val="left"/>
      <w:pPr>
        <w:ind w:left="1943" w:hanging="360"/>
      </w:pPr>
      <w:rPr>
        <w:rFonts w:hint="default"/>
        <w:lang w:val="en-US" w:eastAsia="en-US" w:bidi="ar-SA"/>
      </w:rPr>
    </w:lvl>
    <w:lvl w:ilvl="7" w:tplc="E6D65140">
      <w:numFmt w:val="bullet"/>
      <w:lvlText w:val="•"/>
      <w:lvlJc w:val="left"/>
      <w:pPr>
        <w:ind w:left="2191" w:hanging="360"/>
      </w:pPr>
      <w:rPr>
        <w:rFonts w:hint="default"/>
        <w:lang w:val="en-US" w:eastAsia="en-US" w:bidi="ar-SA"/>
      </w:rPr>
    </w:lvl>
    <w:lvl w:ilvl="8" w:tplc="7F6A7430">
      <w:numFmt w:val="bullet"/>
      <w:lvlText w:val="•"/>
      <w:lvlJc w:val="left"/>
      <w:pPr>
        <w:ind w:left="2438" w:hanging="360"/>
      </w:pPr>
      <w:rPr>
        <w:rFonts w:hint="default"/>
        <w:lang w:val="en-US" w:eastAsia="en-US" w:bidi="ar-SA"/>
      </w:rPr>
    </w:lvl>
  </w:abstractNum>
  <w:abstractNum w:abstractNumId="16" w15:restartNumberingAfterBreak="0">
    <w:nsid w:val="7BE1386B"/>
    <w:multiLevelType w:val="hybridMultilevel"/>
    <w:tmpl w:val="34AC0320"/>
    <w:lvl w:ilvl="0" w:tplc="6464B916">
      <w:numFmt w:val="bullet"/>
      <w:lvlText w:val="o"/>
      <w:lvlJc w:val="left"/>
      <w:pPr>
        <w:ind w:left="2201" w:hanging="361"/>
      </w:pPr>
      <w:rPr>
        <w:rFonts w:hint="default" w:ascii="Courier New" w:hAnsi="Courier New" w:eastAsia="Courier New" w:cs="Courier New"/>
        <w:b w:val="0"/>
        <w:bCs w:val="0"/>
        <w:i w:val="0"/>
        <w:iCs w:val="0"/>
        <w:spacing w:val="0"/>
        <w:w w:val="100"/>
        <w:sz w:val="22"/>
        <w:szCs w:val="22"/>
        <w:lang w:val="en-US" w:eastAsia="en-US" w:bidi="ar-SA"/>
      </w:rPr>
    </w:lvl>
    <w:lvl w:ilvl="1" w:tplc="3A2C04F2">
      <w:numFmt w:val="bullet"/>
      <w:lvlText w:val="•"/>
      <w:lvlJc w:val="left"/>
      <w:pPr>
        <w:ind w:left="3030" w:hanging="361"/>
      </w:pPr>
      <w:rPr>
        <w:rFonts w:hint="default"/>
        <w:lang w:val="en-US" w:eastAsia="en-US" w:bidi="ar-SA"/>
      </w:rPr>
    </w:lvl>
    <w:lvl w:ilvl="2" w:tplc="1BCE1A8C">
      <w:numFmt w:val="bullet"/>
      <w:lvlText w:val="•"/>
      <w:lvlJc w:val="left"/>
      <w:pPr>
        <w:ind w:left="3861" w:hanging="361"/>
      </w:pPr>
      <w:rPr>
        <w:rFonts w:hint="default"/>
        <w:lang w:val="en-US" w:eastAsia="en-US" w:bidi="ar-SA"/>
      </w:rPr>
    </w:lvl>
    <w:lvl w:ilvl="3" w:tplc="E24E8280">
      <w:numFmt w:val="bullet"/>
      <w:lvlText w:val="•"/>
      <w:lvlJc w:val="left"/>
      <w:pPr>
        <w:ind w:left="4691" w:hanging="361"/>
      </w:pPr>
      <w:rPr>
        <w:rFonts w:hint="default"/>
        <w:lang w:val="en-US" w:eastAsia="en-US" w:bidi="ar-SA"/>
      </w:rPr>
    </w:lvl>
    <w:lvl w:ilvl="4" w:tplc="FA0AE2BA">
      <w:numFmt w:val="bullet"/>
      <w:lvlText w:val="•"/>
      <w:lvlJc w:val="left"/>
      <w:pPr>
        <w:ind w:left="5522" w:hanging="361"/>
      </w:pPr>
      <w:rPr>
        <w:rFonts w:hint="default"/>
        <w:lang w:val="en-US" w:eastAsia="en-US" w:bidi="ar-SA"/>
      </w:rPr>
    </w:lvl>
    <w:lvl w:ilvl="5" w:tplc="7DAA7DDA">
      <w:numFmt w:val="bullet"/>
      <w:lvlText w:val="•"/>
      <w:lvlJc w:val="left"/>
      <w:pPr>
        <w:ind w:left="6353" w:hanging="361"/>
      </w:pPr>
      <w:rPr>
        <w:rFonts w:hint="default"/>
        <w:lang w:val="en-US" w:eastAsia="en-US" w:bidi="ar-SA"/>
      </w:rPr>
    </w:lvl>
    <w:lvl w:ilvl="6" w:tplc="824C19A6">
      <w:numFmt w:val="bullet"/>
      <w:lvlText w:val="•"/>
      <w:lvlJc w:val="left"/>
      <w:pPr>
        <w:ind w:left="7183" w:hanging="361"/>
      </w:pPr>
      <w:rPr>
        <w:rFonts w:hint="default"/>
        <w:lang w:val="en-US" w:eastAsia="en-US" w:bidi="ar-SA"/>
      </w:rPr>
    </w:lvl>
    <w:lvl w:ilvl="7" w:tplc="3D10E030">
      <w:numFmt w:val="bullet"/>
      <w:lvlText w:val="•"/>
      <w:lvlJc w:val="left"/>
      <w:pPr>
        <w:ind w:left="8014" w:hanging="361"/>
      </w:pPr>
      <w:rPr>
        <w:rFonts w:hint="default"/>
        <w:lang w:val="en-US" w:eastAsia="en-US" w:bidi="ar-SA"/>
      </w:rPr>
    </w:lvl>
    <w:lvl w:ilvl="8" w:tplc="1DD6E1DC">
      <w:numFmt w:val="bullet"/>
      <w:lvlText w:val="•"/>
      <w:lvlJc w:val="left"/>
      <w:pPr>
        <w:ind w:left="8845" w:hanging="361"/>
      </w:pPr>
      <w:rPr>
        <w:rFonts w:hint="default"/>
        <w:lang w:val="en-US" w:eastAsia="en-US" w:bidi="ar-SA"/>
      </w:rPr>
    </w:lvl>
  </w:abstractNum>
  <w:abstractNum w:abstractNumId="17" w15:restartNumberingAfterBreak="0">
    <w:nsid w:val="7E4D1648"/>
    <w:multiLevelType w:val="hybridMultilevel"/>
    <w:tmpl w:val="DBA285D8"/>
    <w:lvl w:ilvl="0" w:tplc="37784CB2">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tplc="BAE80F6C">
      <w:numFmt w:val="bullet"/>
      <w:lvlText w:val="•"/>
      <w:lvlJc w:val="left"/>
      <w:pPr>
        <w:ind w:left="707" w:hanging="360"/>
      </w:pPr>
      <w:rPr>
        <w:rFonts w:hint="default"/>
        <w:lang w:val="en-US" w:eastAsia="en-US" w:bidi="ar-SA"/>
      </w:rPr>
    </w:lvl>
    <w:lvl w:ilvl="2" w:tplc="E7EA8032">
      <w:numFmt w:val="bullet"/>
      <w:lvlText w:val="•"/>
      <w:lvlJc w:val="left"/>
      <w:pPr>
        <w:ind w:left="954" w:hanging="360"/>
      </w:pPr>
      <w:rPr>
        <w:rFonts w:hint="default"/>
        <w:lang w:val="en-US" w:eastAsia="en-US" w:bidi="ar-SA"/>
      </w:rPr>
    </w:lvl>
    <w:lvl w:ilvl="3" w:tplc="91FA97D6">
      <w:numFmt w:val="bullet"/>
      <w:lvlText w:val="•"/>
      <w:lvlJc w:val="left"/>
      <w:pPr>
        <w:ind w:left="1201" w:hanging="360"/>
      </w:pPr>
      <w:rPr>
        <w:rFonts w:hint="default"/>
        <w:lang w:val="en-US" w:eastAsia="en-US" w:bidi="ar-SA"/>
      </w:rPr>
    </w:lvl>
    <w:lvl w:ilvl="4" w:tplc="8EB89C2E">
      <w:numFmt w:val="bullet"/>
      <w:lvlText w:val="•"/>
      <w:lvlJc w:val="left"/>
      <w:pPr>
        <w:ind w:left="1449" w:hanging="360"/>
      </w:pPr>
      <w:rPr>
        <w:rFonts w:hint="default"/>
        <w:lang w:val="en-US" w:eastAsia="en-US" w:bidi="ar-SA"/>
      </w:rPr>
    </w:lvl>
    <w:lvl w:ilvl="5" w:tplc="0F14CF8E">
      <w:numFmt w:val="bullet"/>
      <w:lvlText w:val="•"/>
      <w:lvlJc w:val="left"/>
      <w:pPr>
        <w:ind w:left="1696" w:hanging="360"/>
      </w:pPr>
      <w:rPr>
        <w:rFonts w:hint="default"/>
        <w:lang w:val="en-US" w:eastAsia="en-US" w:bidi="ar-SA"/>
      </w:rPr>
    </w:lvl>
    <w:lvl w:ilvl="6" w:tplc="1278DDE2">
      <w:numFmt w:val="bullet"/>
      <w:lvlText w:val="•"/>
      <w:lvlJc w:val="left"/>
      <w:pPr>
        <w:ind w:left="1943" w:hanging="360"/>
      </w:pPr>
      <w:rPr>
        <w:rFonts w:hint="default"/>
        <w:lang w:val="en-US" w:eastAsia="en-US" w:bidi="ar-SA"/>
      </w:rPr>
    </w:lvl>
    <w:lvl w:ilvl="7" w:tplc="ACB40AEC">
      <w:numFmt w:val="bullet"/>
      <w:lvlText w:val="•"/>
      <w:lvlJc w:val="left"/>
      <w:pPr>
        <w:ind w:left="2191" w:hanging="360"/>
      </w:pPr>
      <w:rPr>
        <w:rFonts w:hint="default"/>
        <w:lang w:val="en-US" w:eastAsia="en-US" w:bidi="ar-SA"/>
      </w:rPr>
    </w:lvl>
    <w:lvl w:ilvl="8" w:tplc="48185086">
      <w:numFmt w:val="bullet"/>
      <w:lvlText w:val="•"/>
      <w:lvlJc w:val="left"/>
      <w:pPr>
        <w:ind w:left="2438" w:hanging="360"/>
      </w:pPr>
      <w:rPr>
        <w:rFonts w:hint="default"/>
        <w:lang w:val="en-US" w:eastAsia="en-US" w:bidi="ar-SA"/>
      </w:rPr>
    </w:lvl>
  </w:abstractNum>
  <w:num w:numId="1" w16cid:durableId="2051875017">
    <w:abstractNumId w:val="14"/>
  </w:num>
  <w:num w:numId="2" w16cid:durableId="1297025539">
    <w:abstractNumId w:val="8"/>
  </w:num>
  <w:num w:numId="3" w16cid:durableId="582301000">
    <w:abstractNumId w:val="7"/>
  </w:num>
  <w:num w:numId="4" w16cid:durableId="1480807821">
    <w:abstractNumId w:val="4"/>
  </w:num>
  <w:num w:numId="5" w16cid:durableId="1254163982">
    <w:abstractNumId w:val="13"/>
  </w:num>
  <w:num w:numId="6" w16cid:durableId="250547404">
    <w:abstractNumId w:val="11"/>
  </w:num>
  <w:num w:numId="7" w16cid:durableId="1886670829">
    <w:abstractNumId w:val="12"/>
  </w:num>
  <w:num w:numId="8" w16cid:durableId="838429577">
    <w:abstractNumId w:val="10"/>
  </w:num>
  <w:num w:numId="9" w16cid:durableId="553351333">
    <w:abstractNumId w:val="16"/>
  </w:num>
  <w:num w:numId="10" w16cid:durableId="1473517661">
    <w:abstractNumId w:val="9"/>
  </w:num>
  <w:num w:numId="11" w16cid:durableId="1257253081">
    <w:abstractNumId w:val="15"/>
  </w:num>
  <w:num w:numId="12" w16cid:durableId="1067611543">
    <w:abstractNumId w:val="17"/>
  </w:num>
  <w:num w:numId="13" w16cid:durableId="905260491">
    <w:abstractNumId w:val="2"/>
  </w:num>
  <w:num w:numId="14" w16cid:durableId="149827741">
    <w:abstractNumId w:val="3"/>
  </w:num>
  <w:num w:numId="15" w16cid:durableId="2038962472">
    <w:abstractNumId w:val="5"/>
  </w:num>
  <w:num w:numId="16" w16cid:durableId="1048534992">
    <w:abstractNumId w:val="0"/>
  </w:num>
  <w:num w:numId="17" w16cid:durableId="191189229">
    <w:abstractNumId w:val="1"/>
  </w:num>
  <w:num w:numId="18" w16cid:durableId="285430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CD"/>
    <w:rsid w:val="000D2DCD"/>
    <w:rsid w:val="00275190"/>
    <w:rsid w:val="00F81CE0"/>
    <w:rsid w:val="5005B31F"/>
    <w:rsid w:val="52A2830F"/>
    <w:rsid w:val="552A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74E168"/>
  <w15:docId w15:val="{7FF1BACE-4BA4-414E-895A-A847B7A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760" w:hanging="361"/>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spacing w:before="119"/>
      <w:ind w:left="1446" w:right="1547" w:hanging="574"/>
      <w:jc w:val="both"/>
    </w:pPr>
  </w:style>
  <w:style w:type="paragraph" w:styleId="TableParagraph" w:customStyle="1">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5FFE1-02FE-4906-B781-65D48B8B3542}"/>
</file>

<file path=customXml/itemProps2.xml><?xml version="1.0" encoding="utf-8"?>
<ds:datastoreItem xmlns:ds="http://schemas.openxmlformats.org/officeDocument/2006/customXml" ds:itemID="{885AC11F-607D-4429-AF76-678A17CF02F2}"/>
</file>

<file path=customXml/itemProps3.xml><?xml version="1.0" encoding="utf-8"?>
<ds:datastoreItem xmlns:ds="http://schemas.openxmlformats.org/officeDocument/2006/customXml" ds:itemID="{F9A3C62E-1E3B-4EF7-8249-873173EA94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Lynn Woodward</dc:creator>
  <lastModifiedBy>Lyn Davies</lastModifiedBy>
  <revision>3</revision>
  <dcterms:created xsi:type="dcterms:W3CDTF">2024-08-21T17:16:00.0000000Z</dcterms:created>
  <dcterms:modified xsi:type="dcterms:W3CDTF">2024-08-27T10:20:19.8626376Z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2024-05-02T00:00:00Z</vt:filetime>
  </property>
  <property fmtid="{D5CDD505-2E9C-101B-9397-08002B2CF9AE}" pid="4" name="DocuSignConversionCorrelationToken">
    <vt:lpwstr>356b256e-e49f-4385-9e6a-a279174a27f1</vt:lpwstr>
  </property>
  <property fmtid="{D5CDD505-2E9C-101B-9397-08002B2CF9AE}" pid="5" name="DocuSignConversionTraceToken">
    <vt:lpwstr>21092faf-1e2f-4b81-9f84-dfd117035f72</vt:lpwstr>
  </property>
  <property fmtid="{D5CDD505-2E9C-101B-9397-08002B2CF9AE}" pid="6" name="LastSaved">
    <vt:filetime>2024-08-21T00:00:00Z</vt:filetime>
  </property>
  <property fmtid="{D5CDD505-2E9C-101B-9397-08002B2CF9AE}" pid="7" name="Producer">
    <vt:lpwstr>PDFKit.NET 11.9.669.0 DMV10</vt:lpwstr>
  </property>
  <property fmtid="{D5CDD505-2E9C-101B-9397-08002B2CF9AE}" pid="8" name="MSIP_Label_c69d85d5-6d9e-4305-a294-1f636ec0f2d6_Enabled">
    <vt:lpwstr>true</vt:lpwstr>
  </property>
  <property fmtid="{D5CDD505-2E9C-101B-9397-08002B2CF9AE}" pid="9" name="MSIP_Label_c69d85d5-6d9e-4305-a294-1f636ec0f2d6_SetDate">
    <vt:lpwstr>2024-08-21T17:16:28Z</vt:lpwstr>
  </property>
  <property fmtid="{D5CDD505-2E9C-101B-9397-08002B2CF9AE}" pid="10" name="MSIP_Label_c69d85d5-6d9e-4305-a294-1f636ec0f2d6_Method">
    <vt:lpwstr>Standard</vt:lpwstr>
  </property>
  <property fmtid="{D5CDD505-2E9C-101B-9397-08002B2CF9AE}" pid="11" name="MSIP_Label_c69d85d5-6d9e-4305-a294-1f636ec0f2d6_Name">
    <vt:lpwstr>OFFICIAL</vt:lpwstr>
  </property>
  <property fmtid="{D5CDD505-2E9C-101B-9397-08002B2CF9AE}" pid="12" name="MSIP_Label_c69d85d5-6d9e-4305-a294-1f636ec0f2d6_SiteId">
    <vt:lpwstr>6030f479-b342-472d-a5dd-740ff7538de9</vt:lpwstr>
  </property>
  <property fmtid="{D5CDD505-2E9C-101B-9397-08002B2CF9AE}" pid="13" name="MSIP_Label_c69d85d5-6d9e-4305-a294-1f636ec0f2d6_ActionId">
    <vt:lpwstr>a43382b0-dafa-4e2f-86c1-bab9575a7641</vt:lpwstr>
  </property>
  <property fmtid="{D5CDD505-2E9C-101B-9397-08002B2CF9AE}" pid="14" name="MSIP_Label_c69d85d5-6d9e-4305-a294-1f636ec0f2d6_ContentBits">
    <vt:lpwstr>0</vt:lpwstr>
  </property>
  <property fmtid="{D5CDD505-2E9C-101B-9397-08002B2CF9AE}" pid="15" name="ContentTypeId">
    <vt:lpwstr>0x0101003300E5E64B980D458C754FFE05DEE26D</vt:lpwstr>
  </property>
</Properties>
</file>