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485EB5" w:rsidR="00485EB5" w:rsidP="417EAD99" w:rsidRDefault="00485EB5" w14:paraId="3776B183" w14:textId="4C432491">
      <w:pPr>
        <w:pStyle w:val="Normal"/>
        <w:rPr>
          <w:rStyle w:val="Hyperlink"/>
          <w:rFonts w:ascii="Arial" w:hAnsi="Arial" w:cs="Arial"/>
          <w:sz w:val="20"/>
          <w:szCs w:val="20"/>
        </w:rPr>
      </w:pPr>
      <w:r w:rsidRPr="38D47BB4" w:rsidR="00485EB5">
        <w:rPr>
          <w:rFonts w:ascii="Arial" w:hAnsi="Arial" w:cs="Arial"/>
          <w:sz w:val="20"/>
          <w:szCs w:val="20"/>
        </w:rPr>
        <w:t xml:space="preserve">Sent by e-mail only: </w:t>
      </w:r>
      <w:r w:rsidRPr="38D47BB4" w:rsidR="2657E7D5">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black"/>
          <w:u w:val="none"/>
          <w:lang w:val="en-US"/>
        </w:rPr>
        <w:t>XXXXXXXXXX</w:t>
      </w:r>
      <w:r w:rsidRPr="38D47BB4" w:rsidR="6A2D1DFB">
        <w:rPr>
          <w:rFonts w:ascii="Arial" w:hAnsi="Arial" w:eastAsia="Arial" w:cs="Arial"/>
          <w:noProof w:val="0"/>
          <w:sz w:val="20"/>
          <w:szCs w:val="20"/>
          <w:lang w:val="en-GB"/>
        </w:rPr>
        <w:t xml:space="preserve"> </w:t>
      </w:r>
      <w:r w:rsidRPr="38D47BB4" w:rsidR="00485EB5">
        <w:rPr>
          <w:rFonts w:ascii="Arial" w:hAnsi="Arial" w:cs="Arial"/>
          <w:sz w:val="20"/>
          <w:szCs w:val="20"/>
        </w:rPr>
        <w:t xml:space="preserve">  </w:t>
      </w:r>
    </w:p>
    <w:p w:rsidRPr="00485EB5" w:rsidR="00485EB5" w:rsidP="38D47BB4" w:rsidRDefault="00485EB5" w14:paraId="5F84C9A0" w14:textId="094297DD">
      <w:pPr>
        <w:pStyle w:val="Normal"/>
        <w:spacing w:after="0" w:line="240" w:lineRule="auto"/>
        <w:jc w:val="both"/>
        <w:rPr>
          <w:rFonts w:ascii="Arial" w:hAnsi="Arial" w:eastAsia="Arial" w:cs="Arial"/>
          <w:noProof w:val="0"/>
          <w:sz w:val="20"/>
          <w:szCs w:val="20"/>
          <w:lang w:val="en-GB"/>
        </w:rPr>
      </w:pPr>
      <w:r w:rsidRPr="38D47BB4" w:rsidR="00485EB5">
        <w:rPr>
          <w:rFonts w:ascii="Arial" w:hAnsi="Arial" w:cs="Arial"/>
          <w:sz w:val="20"/>
          <w:szCs w:val="20"/>
        </w:rPr>
        <w:t xml:space="preserve">FAO </w:t>
      </w:r>
      <w:r w:rsidRPr="38D47BB4" w:rsidR="349D0B96">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black"/>
          <w:u w:val="none"/>
          <w:lang w:val="en-US"/>
        </w:rPr>
        <w:t>XXXXXXXXXX</w:t>
      </w:r>
    </w:p>
    <w:p w:rsidRPr="00485EB5" w:rsidR="00485EB5" w:rsidP="00485EB5" w:rsidRDefault="00485EB5" w14:paraId="0437F391" w14:textId="77777777">
      <w:pPr>
        <w:spacing w:after="0" w:line="240" w:lineRule="auto"/>
        <w:jc w:val="both"/>
        <w:rPr>
          <w:rFonts w:ascii="Arial" w:hAnsi="Arial" w:cs="Arial"/>
          <w:sz w:val="20"/>
          <w:szCs w:val="20"/>
        </w:rPr>
      </w:pPr>
      <w:r w:rsidRPr="00485EB5">
        <w:rPr>
          <w:rFonts w:ascii="Arial" w:hAnsi="Arial" w:cs="Arial"/>
          <w:sz w:val="20"/>
          <w:szCs w:val="20"/>
        </w:rPr>
        <w:t>Interim Head of Access and Pricing Bll</w:t>
      </w:r>
    </w:p>
    <w:p w:rsidRPr="00485EB5" w:rsidR="00485EB5" w:rsidP="00485EB5" w:rsidRDefault="00485EB5" w14:paraId="7187BF7D" w14:textId="77777777">
      <w:pPr>
        <w:spacing w:after="0" w:line="240" w:lineRule="auto"/>
        <w:jc w:val="both"/>
        <w:rPr>
          <w:rFonts w:ascii="Arial" w:hAnsi="Arial" w:cs="Arial"/>
          <w:sz w:val="20"/>
          <w:szCs w:val="20"/>
        </w:rPr>
      </w:pPr>
      <w:r w:rsidRPr="00485EB5">
        <w:rPr>
          <w:rFonts w:ascii="Arial" w:hAnsi="Arial" w:cs="Arial"/>
          <w:sz w:val="20"/>
          <w:szCs w:val="20"/>
        </w:rPr>
        <w:t>UCB Pharma Limited</w:t>
      </w:r>
    </w:p>
    <w:p w:rsidRPr="00485EB5" w:rsidR="00485EB5" w:rsidP="00485EB5" w:rsidRDefault="00485EB5" w14:paraId="7FCA18FD" w14:textId="77777777">
      <w:pPr>
        <w:spacing w:after="0" w:line="240" w:lineRule="auto"/>
        <w:jc w:val="both"/>
        <w:rPr>
          <w:rFonts w:ascii="Arial" w:hAnsi="Arial" w:cs="Arial"/>
          <w:sz w:val="20"/>
          <w:szCs w:val="20"/>
        </w:rPr>
      </w:pPr>
      <w:r w:rsidRPr="00485EB5">
        <w:rPr>
          <w:rFonts w:ascii="Arial" w:hAnsi="Arial" w:cs="Arial"/>
          <w:sz w:val="20"/>
          <w:szCs w:val="20"/>
        </w:rPr>
        <w:t>208 Bath Road</w:t>
      </w:r>
    </w:p>
    <w:p w:rsidRPr="00485EB5" w:rsidR="00485EB5" w:rsidP="00485EB5" w:rsidRDefault="00485EB5" w14:paraId="072DA869" w14:textId="77777777">
      <w:pPr>
        <w:spacing w:after="0" w:line="240" w:lineRule="auto"/>
        <w:jc w:val="both"/>
        <w:rPr>
          <w:rFonts w:ascii="Arial" w:hAnsi="Arial" w:cs="Arial"/>
          <w:sz w:val="20"/>
          <w:szCs w:val="20"/>
        </w:rPr>
      </w:pPr>
      <w:r w:rsidRPr="00485EB5">
        <w:rPr>
          <w:rFonts w:ascii="Arial" w:hAnsi="Arial" w:cs="Arial"/>
          <w:sz w:val="20"/>
          <w:szCs w:val="20"/>
        </w:rPr>
        <w:t>Slough</w:t>
      </w:r>
    </w:p>
    <w:p w:rsidRPr="00485EB5" w:rsidR="00485EB5" w:rsidP="00485EB5" w:rsidRDefault="00485EB5" w14:paraId="7DA2796A" w14:textId="77777777">
      <w:pPr>
        <w:spacing w:after="0" w:line="240" w:lineRule="auto"/>
        <w:jc w:val="both"/>
        <w:rPr>
          <w:rFonts w:ascii="Arial" w:hAnsi="Arial" w:cs="Arial"/>
          <w:sz w:val="20"/>
          <w:szCs w:val="20"/>
        </w:rPr>
      </w:pPr>
      <w:r w:rsidRPr="00485EB5">
        <w:rPr>
          <w:rFonts w:ascii="Arial" w:hAnsi="Arial" w:cs="Arial"/>
          <w:sz w:val="20"/>
          <w:szCs w:val="20"/>
        </w:rPr>
        <w:t>Berkshire</w:t>
      </w:r>
    </w:p>
    <w:p w:rsidRPr="00485EB5" w:rsidR="00485EB5" w:rsidP="00485EB5" w:rsidRDefault="00485EB5" w14:paraId="5D18DD54" w14:textId="77777777">
      <w:pPr>
        <w:spacing w:after="0" w:line="240" w:lineRule="auto"/>
        <w:jc w:val="both"/>
        <w:rPr>
          <w:rFonts w:ascii="Arial" w:hAnsi="Arial" w:cs="Arial"/>
          <w:sz w:val="20"/>
          <w:szCs w:val="20"/>
        </w:rPr>
      </w:pPr>
      <w:r w:rsidRPr="00485EB5">
        <w:rPr>
          <w:rFonts w:ascii="Arial" w:hAnsi="Arial" w:cs="Arial"/>
          <w:sz w:val="20"/>
          <w:szCs w:val="20"/>
        </w:rPr>
        <w:t>SL1 3WE</w:t>
      </w:r>
    </w:p>
    <w:p w:rsidRPr="00485EB5" w:rsidR="00485EB5" w:rsidP="00485EB5" w:rsidRDefault="00485EB5" w14:paraId="1DEFC93E" w14:textId="77777777">
      <w:pPr>
        <w:spacing w:after="0" w:line="240" w:lineRule="auto"/>
        <w:jc w:val="both"/>
        <w:rPr>
          <w:rFonts w:ascii="Arial" w:hAnsi="Arial" w:cs="Arial"/>
          <w:sz w:val="20"/>
          <w:szCs w:val="20"/>
        </w:rPr>
      </w:pPr>
    </w:p>
    <w:p w:rsidRPr="00485EB5" w:rsidR="00485EB5" w:rsidP="00485EB5" w:rsidRDefault="00485EB5" w14:paraId="3719F525" w14:textId="336C15AE">
      <w:pPr>
        <w:rPr>
          <w:rFonts w:ascii="Arial" w:hAnsi="Arial" w:cs="Arial"/>
          <w:sz w:val="20"/>
          <w:szCs w:val="20"/>
        </w:rPr>
      </w:pPr>
      <w:r w:rsidRPr="417EAD99" w:rsidR="766271F5">
        <w:rPr>
          <w:rFonts w:ascii="Arial" w:hAnsi="Arial" w:cs="Arial"/>
          <w:sz w:val="20"/>
          <w:szCs w:val="20"/>
        </w:rPr>
        <w:t>3 June 2024</w:t>
      </w:r>
    </w:p>
    <w:p w:rsidRPr="00485EB5" w:rsidR="00485EB5" w:rsidP="00485EB5" w:rsidRDefault="00485EB5" w14:paraId="79DE5D5C" w14:textId="77777777">
      <w:pPr>
        <w:rPr>
          <w:rStyle w:val="Hyperlink"/>
          <w:rFonts w:ascii="Arial" w:hAnsi="Arial" w:cs="Arial"/>
          <w:sz w:val="20"/>
          <w:szCs w:val="20"/>
        </w:rPr>
      </w:pPr>
    </w:p>
    <w:p w:rsidRPr="00485EB5" w:rsidR="00485EB5" w:rsidP="38D47BB4" w:rsidRDefault="00485EB5" w14:paraId="62B09937" w14:textId="2AB71157">
      <w:pPr>
        <w:pStyle w:val="Normal"/>
        <w:ind w:left="426" w:right="468" w:hanging="426"/>
        <w:jc w:val="both"/>
        <w:rPr>
          <w:rFonts w:ascii="Arial" w:hAnsi="Arial" w:eastAsia="Arial" w:cs="Arial"/>
          <w:noProof w:val="0"/>
          <w:spacing w:val="-3"/>
          <w:sz w:val="20"/>
          <w:szCs w:val="20"/>
          <w:lang w:val="en-GB"/>
        </w:rPr>
      </w:pPr>
      <w:bookmarkStart w:name="deartext" w:id="0"/>
      <w:r w:rsidRPr="38D47BB4" w:rsidR="00485EB5">
        <w:rPr>
          <w:rFonts w:ascii="Arial" w:hAnsi="Arial" w:cs="Arial"/>
          <w:sz w:val="20"/>
          <w:szCs w:val="20"/>
        </w:rPr>
        <w:t>Dear</w:t>
      </w:r>
      <w:bookmarkEnd w:id="0"/>
      <w:r w:rsidRPr="38D47BB4" w:rsidR="00485EB5">
        <w:rPr>
          <w:rFonts w:ascii="Arial" w:hAnsi="Arial" w:cs="Arial"/>
          <w:sz w:val="20"/>
          <w:szCs w:val="20"/>
        </w:rPr>
        <w:t xml:space="preserve"> </w:t>
      </w:r>
      <w:bookmarkStart w:name="Sal" w:id="1"/>
      <w:bookmarkEnd w:id="1"/>
      <w:r w:rsidRPr="38D47BB4" w:rsidR="3BC85E4C">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black"/>
          <w:u w:val="none"/>
          <w:lang w:val="en-US"/>
        </w:rPr>
        <w:t>XXXXXXXXXX</w:t>
      </w:r>
    </w:p>
    <w:p w:rsidRPr="00485EB5" w:rsidR="00485EB5" w:rsidP="00485EB5" w:rsidRDefault="00485EB5" w14:paraId="2BF2CA7E" w14:textId="77777777">
      <w:pPr>
        <w:ind w:left="426" w:right="468" w:hanging="426"/>
        <w:jc w:val="both"/>
        <w:rPr>
          <w:rFonts w:ascii="Arial" w:hAnsi="Arial" w:cs="Arial"/>
          <w:b/>
          <w:sz w:val="20"/>
          <w:szCs w:val="20"/>
        </w:rPr>
      </w:pPr>
      <w:r w:rsidRPr="00485EB5">
        <w:rPr>
          <w:rFonts w:ascii="Arial" w:hAnsi="Arial" w:cs="Arial"/>
          <w:noProof/>
          <w:sz w:val="20"/>
          <w:szCs w:val="20"/>
          <w:lang w:eastAsia="en-GB"/>
        </w:rPr>
        <mc:AlternateContent>
          <mc:Choice Requires="wps">
            <w:drawing>
              <wp:anchor distT="4294967294" distB="4294967294" distL="114300" distR="114300" simplePos="0" relativeHeight="251659264" behindDoc="0" locked="0" layoutInCell="1" allowOverlap="1" wp14:anchorId="1C4F12C0" wp14:editId="208F1476">
                <wp:simplePos x="0" y="0"/>
                <wp:positionH relativeFrom="column">
                  <wp:posOffset>-805815</wp:posOffset>
                </wp:positionH>
                <wp:positionV relativeFrom="paragraph">
                  <wp:posOffset>255270</wp:posOffset>
                </wp:positionV>
                <wp:extent cx="81915" cy="0"/>
                <wp:effectExtent l="0" t="0" r="3238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1915" cy="0"/>
                        </a:xfrm>
                        <a:prstGeom prst="line">
                          <a:avLst/>
                        </a:prstGeom>
                        <a:noFill/>
                        <a:ln w="3175" cap="flat" cmpd="sng" algn="ctr">
                          <a:solidFill>
                            <a:srgbClr val="50505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du="http://schemas.microsoft.com/office/word/2023/wordml/word16du">
            <w:pict w14:anchorId="5E3B5562">
              <v:line id="Straight Connector 2"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spid="_x0000_s1026" strokecolor="#505050" strokeweight=".25pt" from="-63.45pt,20.1pt" to="-57pt,20.1pt" w14:anchorId="20897A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">
                <o:lock v:ext="edit" shapetype="f"/>
              </v:line>
            </w:pict>
          </mc:Fallback>
        </mc:AlternateContent>
      </w:r>
      <w:r w:rsidRPr="00485EB5">
        <w:rPr>
          <w:rFonts w:ascii="Arial" w:hAnsi="Arial" w:cs="Arial"/>
          <w:b/>
          <w:spacing w:val="-3"/>
          <w:sz w:val="20"/>
          <w:szCs w:val="20"/>
        </w:rPr>
        <w:t xml:space="preserve">Re: </w:t>
      </w:r>
      <w:r w:rsidRPr="00485EB5">
        <w:rPr>
          <w:rFonts w:ascii="Arial" w:hAnsi="Arial" w:cs="Arial"/>
          <w:b/>
          <w:sz w:val="20"/>
          <w:szCs w:val="20"/>
        </w:rPr>
        <w:t>Final Draft Guidance – Fenfluramine for treating seizures associated with Lennox-Gastaut Syndrome in people 2 years and over (ID1651)</w:t>
      </w:r>
    </w:p>
    <w:p w:rsidRPr="00DB178D" w:rsidR="00DB178D" w:rsidP="00DB178D" w:rsidRDefault="00DB178D" w14:paraId="645F333C" w14:textId="75316530">
      <w:pPr>
        <w:spacing w:before="240" w:after="240"/>
        <w:jc w:val="both"/>
        <w:rPr>
          <w:rFonts w:ascii="Arial" w:hAnsi="Arial" w:eastAsia="Times New Roman" w:cs="Arial"/>
          <w:sz w:val="20"/>
          <w:szCs w:val="20"/>
        </w:rPr>
      </w:pPr>
      <w:bookmarkStart w:name="_Hlk167976451" w:id="2"/>
      <w:r w:rsidRPr="00DB178D">
        <w:rPr>
          <w:rFonts w:ascii="Arial" w:hAnsi="Arial" w:eastAsia="Times New Roman" w:cs="Arial"/>
          <w:sz w:val="20"/>
          <w:szCs w:val="20"/>
        </w:rPr>
        <w:t xml:space="preserve">Thank you for your letter of </w:t>
      </w:r>
      <w:r w:rsidR="00F11C0E">
        <w:rPr>
          <w:rFonts w:ascii="Arial" w:hAnsi="Arial" w:eastAsia="Times New Roman" w:cs="Arial"/>
          <w:sz w:val="20"/>
          <w:szCs w:val="20"/>
        </w:rPr>
        <w:t>24 May</w:t>
      </w:r>
      <w:r w:rsidR="00BB16DB">
        <w:rPr>
          <w:rFonts w:ascii="Arial" w:hAnsi="Arial" w:eastAsia="Times New Roman" w:cs="Arial"/>
          <w:sz w:val="20"/>
          <w:szCs w:val="20"/>
        </w:rPr>
        <w:t xml:space="preserve"> 2024</w:t>
      </w:r>
      <w:r w:rsidRPr="00DB178D">
        <w:rPr>
          <w:rFonts w:ascii="Arial" w:hAnsi="Arial" w:eastAsia="Times New Roman" w:cs="Arial"/>
          <w:sz w:val="20"/>
          <w:szCs w:val="20"/>
        </w:rPr>
        <w:t xml:space="preserve"> responding to my initial scrutiny views.  This is my final decision on initial scrutiny.</w:t>
      </w:r>
    </w:p>
    <w:p w:rsidRPr="00DB178D" w:rsidR="00DB178D" w:rsidP="00DB178D" w:rsidRDefault="00DB178D" w14:paraId="55B1D5E2" w14:textId="28FD5E0E">
      <w:pPr>
        <w:spacing w:before="240" w:after="240"/>
        <w:jc w:val="both"/>
        <w:rPr>
          <w:rFonts w:ascii="Arial" w:hAnsi="Arial" w:eastAsia="Times New Roman" w:cs="Arial"/>
          <w:sz w:val="20"/>
          <w:szCs w:val="20"/>
        </w:rPr>
      </w:pPr>
      <w:r w:rsidRPr="00DB178D">
        <w:rPr>
          <w:rFonts w:ascii="Arial" w:hAnsi="Arial" w:eastAsia="Times New Roman" w:cs="Arial"/>
          <w:sz w:val="20"/>
          <w:szCs w:val="20"/>
        </w:rPr>
        <w:t xml:space="preserve">I </w:t>
      </w:r>
      <w:r w:rsidR="00BB16DB">
        <w:rPr>
          <w:rFonts w:ascii="Arial" w:hAnsi="Arial" w:eastAsia="Times New Roman" w:cs="Arial"/>
          <w:sz w:val="20"/>
          <w:szCs w:val="20"/>
        </w:rPr>
        <w:t>assess each of your points in turn.</w:t>
      </w:r>
    </w:p>
    <w:p w:rsidRPr="00F11C0E" w:rsidR="00F11C0E" w:rsidP="00F11C0E" w:rsidRDefault="00F11C0E" w14:paraId="6EC37CE0" w14:textId="77777777">
      <w:pPr>
        <w:spacing w:before="120" w:after="0" w:line="240" w:lineRule="auto"/>
        <w:rPr>
          <w:rFonts w:ascii="Arial" w:hAnsi="Arial" w:cs="Arial"/>
          <w:b/>
          <w:i/>
          <w:sz w:val="20"/>
          <w:szCs w:val="20"/>
          <w:lang w:eastAsia="en-GB"/>
        </w:rPr>
      </w:pPr>
      <w:r w:rsidRPr="00F11C0E">
        <w:rPr>
          <w:rFonts w:ascii="Arial" w:hAnsi="Arial" w:cs="Arial"/>
          <w:b/>
          <w:i/>
          <w:sz w:val="20"/>
          <w:szCs w:val="20"/>
          <w:lang w:eastAsia="en-GB"/>
        </w:rPr>
        <w:t>Ground 1(a): In making the assessment that preceded the recommendation, NICE has failed to act fairly</w:t>
      </w:r>
    </w:p>
    <w:p w:rsidRPr="00F11C0E" w:rsidR="00F11C0E" w:rsidP="00F11C0E" w:rsidRDefault="00F11C0E" w14:paraId="5C9A9AA7" w14:textId="77777777">
      <w:pPr>
        <w:spacing w:before="240" w:after="240"/>
        <w:jc w:val="both"/>
        <w:rPr>
          <w:rFonts w:ascii="Arial" w:hAnsi="Arial" w:cs="Arial"/>
          <w:b/>
          <w:sz w:val="20"/>
          <w:szCs w:val="20"/>
          <w:u w:val="single"/>
        </w:rPr>
      </w:pPr>
      <w:r w:rsidRPr="00F11C0E">
        <w:rPr>
          <w:rFonts w:ascii="Arial" w:hAnsi="Arial" w:cs="Arial"/>
          <w:b/>
          <w:sz w:val="20"/>
          <w:szCs w:val="20"/>
          <w:u w:val="single"/>
        </w:rPr>
        <w:t>Appeal point 1(a).1: NICE’s refusal of UCB’s request for technical engagement before the first meeting of the Appraisal Committee was procedurally unfair and has prejudiced the conduct of the appraisal.</w:t>
      </w:r>
    </w:p>
    <w:p w:rsidRPr="00F11C0E" w:rsidR="00F11C0E" w:rsidP="00F11C0E" w:rsidRDefault="00F11C0E" w14:paraId="4AC22F8E" w14:textId="77777777">
      <w:pPr>
        <w:pStyle w:val="Paragraph"/>
        <w:numPr>
          <w:ilvl w:val="0"/>
          <w:numId w:val="0"/>
        </w:numPr>
        <w:spacing w:before="120"/>
        <w:jc w:val="both"/>
        <w:rPr>
          <w:rFonts w:cs="Arial"/>
          <w:b/>
          <w:iCs/>
          <w:sz w:val="20"/>
          <w:szCs w:val="20"/>
        </w:rPr>
      </w:pPr>
      <w:r>
        <w:rPr>
          <w:rFonts w:cs="Arial"/>
          <w:color w:val="0D0D0D" w:themeColor="text1" w:themeTint="F2"/>
          <w:sz w:val="20"/>
          <w:szCs w:val="20"/>
        </w:rPr>
        <w:t xml:space="preserve">I confirm that this point will be referred to the Appeal Panel. </w:t>
      </w:r>
    </w:p>
    <w:bookmarkEnd w:id="2"/>
    <w:p w:rsidR="00F11C0E" w:rsidP="00DB178D" w:rsidRDefault="00F11C0E" w14:paraId="70BF42C4" w14:textId="15DEC4A9">
      <w:pPr>
        <w:pStyle w:val="Paragraph"/>
        <w:numPr>
          <w:ilvl w:val="0"/>
          <w:numId w:val="0"/>
        </w:numPr>
        <w:spacing w:before="120"/>
        <w:jc w:val="both"/>
        <w:rPr>
          <w:rFonts w:cs="Arial"/>
          <w:color w:val="0D0D0D" w:themeColor="text1" w:themeTint="F2"/>
          <w:sz w:val="20"/>
          <w:szCs w:val="20"/>
        </w:rPr>
      </w:pPr>
      <w:r>
        <w:rPr>
          <w:rFonts w:cs="Arial"/>
          <w:color w:val="0D0D0D" w:themeColor="text1" w:themeTint="F2"/>
          <w:sz w:val="20"/>
          <w:szCs w:val="20"/>
        </w:rPr>
        <w:t xml:space="preserve">Thank you for the further detail you have provided regarding </w:t>
      </w:r>
      <w:r w:rsidRPr="00F11C0E">
        <w:rPr>
          <w:rFonts w:cs="Arial"/>
          <w:color w:val="0D0D0D" w:themeColor="text1" w:themeTint="F2"/>
          <w:sz w:val="20"/>
          <w:szCs w:val="20"/>
        </w:rPr>
        <w:t>how UCB considers that the conduct of the appraisal and/or the recommendation reached was negatively impacted</w:t>
      </w:r>
      <w:r>
        <w:rPr>
          <w:rFonts w:cs="Arial"/>
          <w:color w:val="0D0D0D" w:themeColor="text1" w:themeTint="F2"/>
          <w:sz w:val="20"/>
          <w:szCs w:val="20"/>
        </w:rPr>
        <w:t>, including that the absence of technical engagement meant:</w:t>
      </w:r>
    </w:p>
    <w:p w:rsidR="00F11C0E" w:rsidP="00F11C0E" w:rsidRDefault="00F11C0E" w14:paraId="5DAEB8D2" w14:textId="77777777">
      <w:pPr>
        <w:pStyle w:val="Paragraph"/>
        <w:numPr>
          <w:ilvl w:val="0"/>
          <w:numId w:val="10"/>
        </w:numPr>
        <w:spacing w:before="120"/>
        <w:jc w:val="both"/>
        <w:rPr>
          <w:rFonts w:cs="Arial"/>
          <w:color w:val="0D0D0D" w:themeColor="text1" w:themeTint="F2"/>
          <w:sz w:val="20"/>
          <w:szCs w:val="20"/>
        </w:rPr>
      </w:pPr>
      <w:r>
        <w:rPr>
          <w:rFonts w:cs="Arial"/>
          <w:color w:val="0D0D0D" w:themeColor="text1" w:themeTint="F2"/>
          <w:sz w:val="20"/>
          <w:szCs w:val="20"/>
        </w:rPr>
        <w:t>There was insufficient time for UCB for adequate consideration of relevant comparators</w:t>
      </w:r>
    </w:p>
    <w:p w:rsidR="00F11C0E" w:rsidP="00F11C0E" w:rsidRDefault="00F11C0E" w14:paraId="30DD3076" w14:textId="08B5CD6B">
      <w:pPr>
        <w:pStyle w:val="Paragraph"/>
        <w:numPr>
          <w:ilvl w:val="0"/>
          <w:numId w:val="10"/>
        </w:numPr>
        <w:spacing w:before="120"/>
        <w:jc w:val="both"/>
        <w:rPr>
          <w:rFonts w:cs="Arial"/>
          <w:color w:val="0D0D0D" w:themeColor="text1" w:themeTint="F2"/>
          <w:sz w:val="20"/>
          <w:szCs w:val="20"/>
        </w:rPr>
      </w:pPr>
      <w:r>
        <w:rPr>
          <w:rFonts w:cs="Arial"/>
          <w:color w:val="0D0D0D" w:themeColor="text1" w:themeTint="F2"/>
          <w:sz w:val="20"/>
          <w:szCs w:val="20"/>
        </w:rPr>
        <w:t>UCB was asked to provide a comparison between fenfluramine and standard of care alone only two days before ACM2, which was insufficient;</w:t>
      </w:r>
    </w:p>
    <w:p w:rsidR="00F11C0E" w:rsidP="00F11C0E" w:rsidRDefault="00F11C0E" w14:paraId="2DF27212" w14:textId="46D66A0C">
      <w:pPr>
        <w:pStyle w:val="Paragraph"/>
        <w:numPr>
          <w:ilvl w:val="0"/>
          <w:numId w:val="10"/>
        </w:numPr>
        <w:spacing w:before="120"/>
        <w:jc w:val="both"/>
        <w:rPr>
          <w:rFonts w:cs="Arial"/>
          <w:color w:val="0D0D0D" w:themeColor="text1" w:themeTint="F2"/>
          <w:sz w:val="20"/>
          <w:szCs w:val="20"/>
        </w:rPr>
      </w:pPr>
      <w:r>
        <w:rPr>
          <w:rFonts w:cs="Arial"/>
          <w:color w:val="0D0D0D" w:themeColor="text1" w:themeTint="F2"/>
          <w:sz w:val="20"/>
          <w:szCs w:val="20"/>
        </w:rPr>
        <w:t xml:space="preserve">There was insufficient consideration of the appropriate method to compare efficacy; </w:t>
      </w:r>
    </w:p>
    <w:p w:rsidR="00F11C0E" w:rsidP="00F11C0E" w:rsidRDefault="00F11C0E" w14:paraId="1A335A65" w14:textId="46A2FB65">
      <w:pPr>
        <w:pStyle w:val="Paragraph"/>
        <w:numPr>
          <w:ilvl w:val="0"/>
          <w:numId w:val="10"/>
        </w:numPr>
        <w:spacing w:before="120"/>
        <w:jc w:val="both"/>
        <w:rPr>
          <w:rFonts w:cs="Arial"/>
          <w:color w:val="0D0D0D" w:themeColor="text1" w:themeTint="F2"/>
          <w:sz w:val="20"/>
          <w:szCs w:val="20"/>
        </w:rPr>
      </w:pPr>
      <w:r>
        <w:rPr>
          <w:rFonts w:cs="Arial"/>
          <w:color w:val="0D0D0D" w:themeColor="text1" w:themeTint="F2"/>
          <w:sz w:val="20"/>
          <w:szCs w:val="20"/>
        </w:rPr>
        <w:t>UCB was asked to explore a range of options following the draft guidance in circumstances where there was inadequate time for consideration at ACM2.</w:t>
      </w:r>
    </w:p>
    <w:p w:rsidR="00F11C0E" w:rsidP="00F11C0E" w:rsidRDefault="00F11C0E" w14:paraId="2711B117" w14:textId="77777777">
      <w:pPr>
        <w:pStyle w:val="BodyText"/>
        <w:jc w:val="both"/>
        <w:rPr>
          <w:rFonts w:cs="Arial"/>
          <w:b/>
          <w:color w:val="auto"/>
          <w:u w:val="single"/>
        </w:rPr>
      </w:pPr>
      <w:r w:rsidRPr="00DD7697">
        <w:rPr>
          <w:rFonts w:cs="Arial"/>
          <w:b/>
          <w:color w:val="auto"/>
          <w:u w:val="single"/>
        </w:rPr>
        <w:t xml:space="preserve">Appeal point </w:t>
      </w:r>
      <w:r>
        <w:rPr>
          <w:rFonts w:cs="Arial"/>
          <w:b/>
          <w:color w:val="auto"/>
          <w:u w:val="single"/>
        </w:rPr>
        <w:t>1(a)</w:t>
      </w:r>
      <w:r w:rsidRPr="006F5822">
        <w:rPr>
          <w:rFonts w:cs="Arial"/>
          <w:b/>
          <w:color w:val="auto"/>
          <w:u w:val="single"/>
        </w:rPr>
        <w:t>.</w:t>
      </w:r>
      <w:r>
        <w:rPr>
          <w:rFonts w:cs="Arial"/>
          <w:b/>
          <w:color w:val="auto"/>
          <w:u w:val="single"/>
        </w:rPr>
        <w:t xml:space="preserve">2: </w:t>
      </w:r>
      <w:r w:rsidRPr="0033299A">
        <w:rPr>
          <w:rFonts w:cs="Arial"/>
          <w:b/>
          <w:color w:val="auto"/>
          <w:u w:val="single"/>
        </w:rPr>
        <w:t>In the circumstances of this appraisal, including the lack of technical engagement, the multiple unresolved issues and the change in approach between ACM1 and ACM2, a third meeting of the Appraisal Committee should have been scheduled prior to issue of Final Draft Guidance.</w:t>
      </w:r>
    </w:p>
    <w:p w:rsidRPr="00F11C0E" w:rsidR="00F11C0E" w:rsidP="00DB178D" w:rsidRDefault="00F11C0E" w14:paraId="0EB0AC85" w14:textId="58577FAD">
      <w:pPr>
        <w:pStyle w:val="Paragraph"/>
        <w:numPr>
          <w:ilvl w:val="0"/>
          <w:numId w:val="0"/>
        </w:numPr>
        <w:spacing w:before="120"/>
        <w:jc w:val="both"/>
        <w:rPr>
          <w:rFonts w:cs="Arial"/>
          <w:bCs/>
          <w:iCs/>
          <w:sz w:val="20"/>
          <w:szCs w:val="20"/>
        </w:rPr>
      </w:pPr>
      <w:r w:rsidRPr="00F11C0E">
        <w:rPr>
          <w:rFonts w:cs="Arial"/>
          <w:bCs/>
          <w:iCs/>
          <w:sz w:val="20"/>
          <w:szCs w:val="20"/>
        </w:rPr>
        <w:t xml:space="preserve">Having considered the additional arguments made in your letter of </w:t>
      </w:r>
      <w:r>
        <w:rPr>
          <w:rFonts w:cs="Arial"/>
          <w:bCs/>
          <w:iCs/>
          <w:sz w:val="20"/>
          <w:szCs w:val="20"/>
        </w:rPr>
        <w:t>24 May 2024</w:t>
      </w:r>
      <w:r w:rsidRPr="00F11C0E">
        <w:rPr>
          <w:rFonts w:cs="Arial"/>
          <w:bCs/>
          <w:iCs/>
          <w:sz w:val="20"/>
          <w:szCs w:val="20"/>
        </w:rPr>
        <w:t>, I agree that this is a valid appeal point</w:t>
      </w:r>
      <w:r>
        <w:rPr>
          <w:rFonts w:cs="Arial"/>
          <w:bCs/>
          <w:iCs/>
          <w:sz w:val="20"/>
          <w:szCs w:val="20"/>
        </w:rPr>
        <w:t xml:space="preserve">. </w:t>
      </w:r>
    </w:p>
    <w:p w:rsidRPr="00C71B92" w:rsidR="00252933" w:rsidP="00DB178D" w:rsidRDefault="00252933" w14:paraId="5DD6A7A6" w14:textId="536EA897">
      <w:pPr>
        <w:pStyle w:val="Paragraph"/>
        <w:numPr>
          <w:ilvl w:val="0"/>
          <w:numId w:val="0"/>
        </w:numPr>
        <w:spacing w:before="120"/>
        <w:jc w:val="both"/>
        <w:rPr>
          <w:rFonts w:cs="Arial"/>
          <w:b/>
          <w:iCs/>
          <w:sz w:val="20"/>
          <w:szCs w:val="20"/>
          <w:u w:val="single"/>
        </w:rPr>
      </w:pPr>
      <w:r w:rsidRPr="00C71B92">
        <w:rPr>
          <w:rFonts w:cs="Arial"/>
          <w:b/>
          <w:iCs/>
          <w:sz w:val="20"/>
          <w:szCs w:val="20"/>
          <w:u w:val="single"/>
        </w:rPr>
        <w:t>Appeal point 1(a).3: Standard of Care (SoC) alone does not reflect NHS clinical practice and is not an appropriate comparator for fenfluramine.</w:t>
      </w:r>
    </w:p>
    <w:p w:rsidR="00252933" w:rsidP="00DB178D" w:rsidRDefault="00252933" w14:paraId="77DDED98" w14:textId="57EEC31A">
      <w:pPr>
        <w:pStyle w:val="Paragraph"/>
        <w:numPr>
          <w:ilvl w:val="0"/>
          <w:numId w:val="0"/>
        </w:numPr>
        <w:spacing w:before="120"/>
        <w:jc w:val="both"/>
        <w:rPr>
          <w:rFonts w:cs="Arial"/>
          <w:bCs/>
          <w:iCs/>
          <w:sz w:val="20"/>
          <w:szCs w:val="20"/>
        </w:rPr>
      </w:pPr>
      <w:r>
        <w:rPr>
          <w:rFonts w:cs="Arial"/>
          <w:color w:val="0D0D0D" w:themeColor="text1" w:themeTint="F2"/>
          <w:sz w:val="20"/>
          <w:szCs w:val="20"/>
        </w:rPr>
        <w:t xml:space="preserve">I explained in my letter of 1 February 2024 I am minded to refer this point under ground 2.  Having considered </w:t>
      </w:r>
      <w:r w:rsidRPr="00F11C0E">
        <w:rPr>
          <w:rFonts w:cs="Arial"/>
          <w:bCs/>
          <w:iCs/>
          <w:sz w:val="20"/>
          <w:szCs w:val="20"/>
        </w:rPr>
        <w:t xml:space="preserve">the additional arguments made in your letter of </w:t>
      </w:r>
      <w:r>
        <w:rPr>
          <w:rFonts w:cs="Arial"/>
          <w:bCs/>
          <w:iCs/>
          <w:sz w:val="20"/>
          <w:szCs w:val="20"/>
        </w:rPr>
        <w:t>24 May 2024 advocating that this also be referred under ground 1(a)</w:t>
      </w:r>
      <w:r w:rsidRPr="00F11C0E">
        <w:rPr>
          <w:rFonts w:cs="Arial"/>
          <w:bCs/>
          <w:iCs/>
          <w:sz w:val="20"/>
          <w:szCs w:val="20"/>
        </w:rPr>
        <w:t>,</w:t>
      </w:r>
      <w:r>
        <w:rPr>
          <w:rFonts w:cs="Arial"/>
          <w:bCs/>
          <w:iCs/>
          <w:sz w:val="20"/>
          <w:szCs w:val="20"/>
        </w:rPr>
        <w:t xml:space="preserve"> I confirm:</w:t>
      </w:r>
    </w:p>
    <w:p w:rsidRPr="00252933" w:rsidR="00252933" w:rsidP="00252933" w:rsidRDefault="00252933" w14:paraId="51902A1A" w14:textId="6676309C">
      <w:pPr>
        <w:pStyle w:val="Paragraph"/>
        <w:numPr>
          <w:ilvl w:val="0"/>
          <w:numId w:val="11"/>
        </w:numPr>
        <w:spacing w:before="120"/>
        <w:jc w:val="both"/>
        <w:rPr>
          <w:rFonts w:cs="Arial"/>
          <w:b/>
          <w:i/>
          <w:sz w:val="20"/>
          <w:szCs w:val="20"/>
        </w:rPr>
      </w:pPr>
      <w:r>
        <w:rPr>
          <w:rFonts w:cs="Arial"/>
          <w:bCs/>
          <w:iCs/>
          <w:sz w:val="20"/>
          <w:szCs w:val="20"/>
        </w:rPr>
        <w:t>I will refer this point under ground 2 as a new point 2.</w:t>
      </w:r>
      <w:r w:rsidR="00CF62B0">
        <w:rPr>
          <w:rFonts w:cs="Arial"/>
          <w:bCs/>
          <w:iCs/>
          <w:sz w:val="20"/>
          <w:szCs w:val="20"/>
        </w:rPr>
        <w:t>4</w:t>
      </w:r>
      <w:r>
        <w:rPr>
          <w:rFonts w:cs="Arial"/>
          <w:bCs/>
          <w:iCs/>
          <w:sz w:val="20"/>
          <w:szCs w:val="20"/>
        </w:rPr>
        <w:t xml:space="preserve">; </w:t>
      </w:r>
    </w:p>
    <w:p w:rsidRPr="00C71B92" w:rsidR="00252933" w:rsidP="00C71B92" w:rsidRDefault="00252933" w14:paraId="372ADE5C" w14:textId="592F8D76">
      <w:pPr>
        <w:pStyle w:val="Paragraph"/>
        <w:numPr>
          <w:ilvl w:val="0"/>
          <w:numId w:val="11"/>
        </w:numPr>
        <w:spacing w:before="120"/>
        <w:jc w:val="both"/>
        <w:rPr>
          <w:rFonts w:cs="Arial"/>
          <w:b/>
          <w:i/>
          <w:sz w:val="20"/>
          <w:szCs w:val="20"/>
        </w:rPr>
      </w:pPr>
      <w:r w:rsidRPr="00252933">
        <w:rPr>
          <w:rFonts w:cs="Arial"/>
          <w:bCs/>
          <w:iCs/>
          <w:sz w:val="20"/>
          <w:szCs w:val="20"/>
        </w:rPr>
        <w:t xml:space="preserve">I will not refer this point under ground 1(a). I note your argument that the Manual at 2.2.12 </w:t>
      </w:r>
      <w:r>
        <w:rPr>
          <w:rFonts w:cs="Arial"/>
          <w:bCs/>
          <w:iCs/>
          <w:sz w:val="20"/>
          <w:szCs w:val="20"/>
        </w:rPr>
        <w:t>states "</w:t>
      </w:r>
      <w:r w:rsidRPr="00252933">
        <w:rPr>
          <w:rFonts w:cs="Arial"/>
          <w:bCs/>
          <w:iCs/>
          <w:sz w:val="20"/>
          <w:szCs w:val="20"/>
        </w:rPr>
        <w:t>The scope identifies all potentially relevant comparators that are established</w:t>
      </w:r>
      <w:r>
        <w:rPr>
          <w:rFonts w:cs="Arial"/>
          <w:bCs/>
          <w:iCs/>
          <w:sz w:val="20"/>
          <w:szCs w:val="20"/>
        </w:rPr>
        <w:t xml:space="preserve"> </w:t>
      </w:r>
      <w:r w:rsidRPr="00252933">
        <w:rPr>
          <w:rFonts w:cs="Arial"/>
          <w:bCs/>
          <w:iCs/>
          <w:sz w:val="20"/>
          <w:szCs w:val="20"/>
        </w:rPr>
        <w:t>practice in the NHS</w:t>
      </w:r>
      <w:r>
        <w:rPr>
          <w:rFonts w:cs="Arial"/>
          <w:bCs/>
          <w:iCs/>
          <w:sz w:val="20"/>
          <w:szCs w:val="20"/>
        </w:rPr>
        <w:t xml:space="preserve">" and that in your view use of standard of care alone as a comparator "conflicts with the procedural test" at 2.2.12. </w:t>
      </w:r>
      <w:r w:rsidR="00CF62B0">
        <w:rPr>
          <w:rFonts w:cs="Arial"/>
          <w:bCs/>
          <w:iCs/>
          <w:sz w:val="20"/>
          <w:szCs w:val="20"/>
        </w:rPr>
        <w:t>Even if I were to accept</w:t>
      </w:r>
      <w:r>
        <w:rPr>
          <w:rFonts w:cs="Arial"/>
          <w:bCs/>
          <w:iCs/>
          <w:sz w:val="20"/>
          <w:szCs w:val="20"/>
        </w:rPr>
        <w:t xml:space="preserve"> 2.2.12</w:t>
      </w:r>
      <w:r w:rsidR="00CF62B0">
        <w:rPr>
          <w:rFonts w:cs="Arial"/>
          <w:bCs/>
          <w:iCs/>
          <w:sz w:val="20"/>
          <w:szCs w:val="20"/>
        </w:rPr>
        <w:t xml:space="preserve"> </w:t>
      </w:r>
      <w:r>
        <w:rPr>
          <w:rFonts w:cs="Arial"/>
          <w:bCs/>
          <w:iCs/>
          <w:sz w:val="20"/>
          <w:szCs w:val="20"/>
        </w:rPr>
        <w:t>sets out a procedural test</w:t>
      </w:r>
      <w:r w:rsidR="00CF62B0">
        <w:rPr>
          <w:rFonts w:cs="Arial"/>
          <w:bCs/>
          <w:iCs/>
          <w:sz w:val="20"/>
          <w:szCs w:val="20"/>
        </w:rPr>
        <w:t>, I am not persuaded that</w:t>
      </w:r>
      <w:r>
        <w:rPr>
          <w:rFonts w:cs="Arial"/>
          <w:bCs/>
          <w:iCs/>
          <w:sz w:val="20"/>
          <w:szCs w:val="20"/>
        </w:rPr>
        <w:t xml:space="preserve"> the committee applied the wrong test. Rather, it seems to me that your argument is that the committee's decision to use standard of care alone</w:t>
      </w:r>
      <w:r w:rsidR="00C71B92">
        <w:rPr>
          <w:rFonts w:cs="Arial"/>
          <w:bCs/>
          <w:iCs/>
          <w:sz w:val="20"/>
          <w:szCs w:val="20"/>
        </w:rPr>
        <w:t xml:space="preserve"> as a comparator was</w:t>
      </w:r>
      <w:r w:rsidR="00CF62B0">
        <w:rPr>
          <w:rFonts w:cs="Arial"/>
          <w:bCs/>
          <w:iCs/>
          <w:sz w:val="20"/>
          <w:szCs w:val="20"/>
        </w:rPr>
        <w:t>, in essence, the wrong answer to that test,</w:t>
      </w:r>
      <w:r w:rsidR="00C71B92">
        <w:rPr>
          <w:rFonts w:cs="Arial"/>
          <w:bCs/>
          <w:iCs/>
          <w:sz w:val="20"/>
          <w:szCs w:val="20"/>
        </w:rPr>
        <w:t xml:space="preserve"> in light of the evidence regarding established practice in the NHS. I remain of the view, therefore, that this point should be considered under ground 2 only.</w:t>
      </w:r>
    </w:p>
    <w:p w:rsidRPr="00C71B92" w:rsidR="00C71B92" w:rsidP="00C71B92" w:rsidRDefault="00C71B92" w14:paraId="7AAC27EB" w14:textId="77777777">
      <w:pPr>
        <w:spacing w:before="240" w:after="240"/>
        <w:jc w:val="both"/>
        <w:rPr>
          <w:rFonts w:ascii="Arial" w:hAnsi="Arial" w:cs="Arial"/>
          <w:b/>
          <w:sz w:val="20"/>
          <w:szCs w:val="20"/>
          <w:u w:val="single"/>
        </w:rPr>
      </w:pPr>
      <w:r w:rsidRPr="00C71B92">
        <w:rPr>
          <w:rFonts w:ascii="Arial" w:hAnsi="Arial" w:cs="Arial"/>
          <w:b/>
          <w:sz w:val="20"/>
          <w:szCs w:val="20"/>
          <w:u w:val="single"/>
        </w:rPr>
        <w:t>Appeal point 1(a).4: NICE’s approach to the use of ITT LOCF data versus clinical trial state occupancy data in order to compare fenfluramine + SoC with CBD + CLB + SoC, is procedurally unfair and inconsistent with the approach followed in the appraisal of CBD for the same indication (TA615).</w:t>
      </w:r>
    </w:p>
    <w:p w:rsidRPr="00F11C0E" w:rsidR="00C71B92" w:rsidP="00C71B92" w:rsidRDefault="00C71B92" w14:paraId="7FAC2D59" w14:textId="77777777">
      <w:pPr>
        <w:pStyle w:val="Paragraph"/>
        <w:numPr>
          <w:ilvl w:val="0"/>
          <w:numId w:val="0"/>
        </w:numPr>
        <w:spacing w:before="120"/>
        <w:jc w:val="both"/>
        <w:rPr>
          <w:rFonts w:cs="Arial"/>
          <w:b/>
          <w:iCs/>
          <w:sz w:val="20"/>
          <w:szCs w:val="20"/>
        </w:rPr>
      </w:pPr>
      <w:r>
        <w:rPr>
          <w:rFonts w:cs="Arial"/>
          <w:color w:val="0D0D0D" w:themeColor="text1" w:themeTint="F2"/>
          <w:sz w:val="20"/>
          <w:szCs w:val="20"/>
        </w:rPr>
        <w:t xml:space="preserve">I confirm that this point will be referred to the Appeal Panel. </w:t>
      </w:r>
    </w:p>
    <w:p w:rsidRPr="00C71B92" w:rsidR="00C71B92" w:rsidP="00DB178D" w:rsidRDefault="00C71B92" w14:paraId="3286ADD1" w14:textId="4E6575D7">
      <w:pPr>
        <w:pStyle w:val="Paragraph"/>
        <w:numPr>
          <w:ilvl w:val="0"/>
          <w:numId w:val="0"/>
        </w:numPr>
        <w:spacing w:before="120"/>
        <w:jc w:val="both"/>
        <w:rPr>
          <w:rFonts w:cs="Arial"/>
          <w:b/>
          <w:iCs/>
          <w:sz w:val="20"/>
          <w:szCs w:val="20"/>
          <w:u w:val="single"/>
        </w:rPr>
      </w:pPr>
      <w:r w:rsidRPr="00C71B92">
        <w:rPr>
          <w:rFonts w:cs="Arial"/>
          <w:b/>
          <w:iCs/>
          <w:sz w:val="20"/>
          <w:szCs w:val="20"/>
          <w:u w:val="single"/>
        </w:rPr>
        <w:t>Appeal point 1(a).5: The absence of any indication of the Committee’s preferred assumptions at the Draft Guidance stage and the lack of clear explanation of how the Committee had taken into account the status of LGS as a rare disease, substantially prejudiced UCB’s ability to offer a discount that would meet the Committee’s expectations of cost-effectiveness.</w:t>
      </w:r>
    </w:p>
    <w:p w:rsidR="00E86A2D" w:rsidP="00B24F6C" w:rsidRDefault="00E86A2D" w14:paraId="6A77F4D5" w14:textId="7D15F87A">
      <w:pPr>
        <w:spacing w:before="120" w:after="240"/>
        <w:jc w:val="both"/>
        <w:rPr>
          <w:rFonts w:ascii="Arial" w:hAnsi="Arial" w:cs="Arial"/>
          <w:color w:val="0D0D0D" w:themeColor="text1" w:themeTint="F2"/>
          <w:sz w:val="20"/>
          <w:szCs w:val="20"/>
          <w:lang w:eastAsia="en-GB"/>
        </w:rPr>
      </w:pPr>
      <w:r w:rsidRPr="00545445">
        <w:rPr>
          <w:rFonts w:ascii="Arial" w:hAnsi="Arial" w:eastAsia="Times New Roman" w:cs="Arial"/>
          <w:color w:val="0D0D0D" w:themeColor="text1" w:themeTint="F2"/>
          <w:sz w:val="20"/>
          <w:szCs w:val="20"/>
          <w:lang w:eastAsia="en-GB"/>
        </w:rPr>
        <w:t xml:space="preserve">Having considered the additional arguments made in your letter of </w:t>
      </w:r>
      <w:r>
        <w:rPr>
          <w:rFonts w:ascii="Arial" w:hAnsi="Arial" w:cs="Arial"/>
          <w:color w:val="0D0D0D" w:themeColor="text1" w:themeTint="F2"/>
          <w:sz w:val="20"/>
          <w:szCs w:val="20"/>
          <w:lang w:eastAsia="en-GB"/>
        </w:rPr>
        <w:t>24</w:t>
      </w:r>
      <w:r w:rsidRPr="00545445">
        <w:rPr>
          <w:rFonts w:ascii="Arial" w:hAnsi="Arial" w:cs="Arial"/>
          <w:color w:val="0D0D0D" w:themeColor="text1" w:themeTint="F2"/>
          <w:sz w:val="20"/>
          <w:szCs w:val="20"/>
          <w:lang w:eastAsia="en-GB"/>
        </w:rPr>
        <w:t xml:space="preserve"> </w:t>
      </w:r>
      <w:r>
        <w:rPr>
          <w:rFonts w:ascii="Arial" w:hAnsi="Arial" w:cs="Arial"/>
          <w:color w:val="0D0D0D" w:themeColor="text1" w:themeTint="F2"/>
          <w:sz w:val="20"/>
          <w:szCs w:val="20"/>
          <w:lang w:eastAsia="en-GB"/>
        </w:rPr>
        <w:t>May</w:t>
      </w:r>
      <w:r w:rsidRPr="00545445">
        <w:rPr>
          <w:rFonts w:ascii="Arial" w:hAnsi="Arial" w:cs="Arial"/>
          <w:color w:val="0D0D0D" w:themeColor="text1" w:themeTint="F2"/>
          <w:sz w:val="20"/>
          <w:szCs w:val="20"/>
          <w:lang w:eastAsia="en-GB"/>
        </w:rPr>
        <w:t xml:space="preserve"> 2024, I remain of the view that this appeal point should not proceed to an oral hearing. </w:t>
      </w:r>
    </w:p>
    <w:p w:rsidR="00B24F6C" w:rsidP="00B24F6C" w:rsidRDefault="0031750D" w14:paraId="4F2E9968" w14:textId="33DA07B6">
      <w:pPr>
        <w:spacing w:before="120" w:after="240"/>
        <w:jc w:val="both"/>
        <w:rPr>
          <w:rFonts w:ascii="Arial" w:hAnsi="Arial" w:cs="Arial"/>
          <w:color w:val="0D0D0D" w:themeColor="text1" w:themeTint="F2"/>
          <w:sz w:val="20"/>
          <w:szCs w:val="20"/>
          <w:lang w:eastAsia="en-GB"/>
        </w:rPr>
      </w:pPr>
      <w:r>
        <w:rPr>
          <w:rFonts w:ascii="Arial" w:hAnsi="Arial" w:cs="Arial"/>
          <w:color w:val="0D0D0D" w:themeColor="text1" w:themeTint="F2"/>
          <w:sz w:val="20"/>
          <w:szCs w:val="20"/>
          <w:lang w:eastAsia="en-GB"/>
        </w:rPr>
        <w:t>I note your argument that the committee has a procedural obligation to provide reasons for its conclusions at both the draft guidance stage and in the FDG</w:t>
      </w:r>
      <w:r w:rsidR="00CF62B0">
        <w:rPr>
          <w:rFonts w:ascii="Arial" w:hAnsi="Arial" w:cs="Arial"/>
          <w:color w:val="0D0D0D" w:themeColor="text1" w:themeTint="F2"/>
          <w:sz w:val="20"/>
          <w:szCs w:val="20"/>
          <w:lang w:eastAsia="en-GB"/>
        </w:rPr>
        <w:t xml:space="preserve"> </w:t>
      </w:r>
      <w:r>
        <w:rPr>
          <w:rFonts w:ascii="Arial" w:hAnsi="Arial" w:cs="Arial"/>
          <w:color w:val="0D0D0D" w:themeColor="text1" w:themeTint="F2"/>
          <w:sz w:val="20"/>
          <w:szCs w:val="20"/>
          <w:lang w:eastAsia="en-GB"/>
        </w:rPr>
        <w:t>as a matter of good administration, effective consultation and high standards of</w:t>
      </w:r>
      <w:r w:rsidR="004E1C1C">
        <w:rPr>
          <w:rFonts w:ascii="Arial" w:hAnsi="Arial" w:cs="Arial"/>
          <w:color w:val="0D0D0D" w:themeColor="text1" w:themeTint="F2"/>
          <w:sz w:val="20"/>
          <w:szCs w:val="20"/>
          <w:lang w:eastAsia="en-GB"/>
        </w:rPr>
        <w:t xml:space="preserve"> rigorous</w:t>
      </w:r>
      <w:r>
        <w:rPr>
          <w:rFonts w:ascii="Arial" w:hAnsi="Arial" w:cs="Arial"/>
          <w:color w:val="0D0D0D" w:themeColor="text1" w:themeTint="F2"/>
          <w:sz w:val="20"/>
          <w:szCs w:val="20"/>
          <w:lang w:eastAsia="en-GB"/>
        </w:rPr>
        <w:t xml:space="preserve"> decision making.  </w:t>
      </w:r>
    </w:p>
    <w:p w:rsidR="004E1C1C" w:rsidP="00B24F6C" w:rsidRDefault="004E1C1C" w14:paraId="60AA007E" w14:textId="7ED880D4">
      <w:pPr>
        <w:spacing w:before="120" w:after="240"/>
        <w:jc w:val="both"/>
        <w:rPr>
          <w:rFonts w:ascii="Arial" w:hAnsi="Arial" w:cs="Arial"/>
          <w:color w:val="0D0D0D" w:themeColor="text1" w:themeTint="F2"/>
          <w:sz w:val="20"/>
          <w:szCs w:val="20"/>
          <w:lang w:eastAsia="en-GB"/>
        </w:rPr>
      </w:pPr>
      <w:r>
        <w:rPr>
          <w:rFonts w:ascii="Arial" w:hAnsi="Arial" w:cs="Arial"/>
          <w:color w:val="0D0D0D" w:themeColor="text1" w:themeTint="F2"/>
          <w:sz w:val="20"/>
          <w:szCs w:val="20"/>
          <w:lang w:eastAsia="en-GB"/>
        </w:rPr>
        <w:t xml:space="preserve">I </w:t>
      </w:r>
      <w:r w:rsidR="00B24F6C">
        <w:rPr>
          <w:rFonts w:ascii="Arial" w:hAnsi="Arial" w:cs="Arial"/>
          <w:color w:val="0D0D0D" w:themeColor="text1" w:themeTint="F2"/>
          <w:sz w:val="20"/>
          <w:szCs w:val="20"/>
          <w:lang w:eastAsia="en-GB"/>
        </w:rPr>
        <w:t>do not accept</w:t>
      </w:r>
      <w:r>
        <w:rPr>
          <w:rFonts w:ascii="Arial" w:hAnsi="Arial" w:cs="Arial"/>
          <w:color w:val="0D0D0D" w:themeColor="text1" w:themeTint="F2"/>
          <w:sz w:val="20"/>
          <w:szCs w:val="20"/>
          <w:lang w:eastAsia="en-GB"/>
        </w:rPr>
        <w:t xml:space="preserve"> that procedural fairness requires the committee to state its preferred assumptions </w:t>
      </w:r>
      <w:r w:rsidR="00B24F6C">
        <w:rPr>
          <w:rFonts w:ascii="Arial" w:hAnsi="Arial" w:cs="Arial"/>
          <w:color w:val="0D0D0D" w:themeColor="text1" w:themeTint="F2"/>
          <w:sz w:val="20"/>
          <w:szCs w:val="20"/>
          <w:lang w:eastAsia="en-GB"/>
        </w:rPr>
        <w:t>in</w:t>
      </w:r>
      <w:r>
        <w:rPr>
          <w:rFonts w:ascii="Arial" w:hAnsi="Arial" w:cs="Arial"/>
          <w:color w:val="0D0D0D" w:themeColor="text1" w:themeTint="F2"/>
          <w:sz w:val="20"/>
          <w:szCs w:val="20"/>
          <w:lang w:eastAsia="en-GB"/>
        </w:rPr>
        <w:t xml:space="preserve"> </w:t>
      </w:r>
      <w:r w:rsidR="00B24F6C">
        <w:rPr>
          <w:rFonts w:ascii="Arial" w:hAnsi="Arial" w:cs="Arial"/>
          <w:color w:val="0D0D0D" w:themeColor="text1" w:themeTint="F2"/>
          <w:sz w:val="20"/>
          <w:szCs w:val="20"/>
          <w:lang w:eastAsia="en-GB"/>
        </w:rPr>
        <w:t xml:space="preserve">the </w:t>
      </w:r>
      <w:r>
        <w:rPr>
          <w:rFonts w:ascii="Arial" w:hAnsi="Arial" w:cs="Arial"/>
          <w:color w:val="0D0D0D" w:themeColor="text1" w:themeTint="F2"/>
          <w:sz w:val="20"/>
          <w:szCs w:val="20"/>
          <w:lang w:eastAsia="en-GB"/>
        </w:rPr>
        <w:t>draft guidance in circumstances where – as here –</w:t>
      </w:r>
      <w:r w:rsidR="00B24F6C">
        <w:rPr>
          <w:rFonts w:ascii="Arial" w:hAnsi="Arial" w:cs="Arial"/>
          <w:color w:val="0D0D0D" w:themeColor="text1" w:themeTint="F2"/>
          <w:sz w:val="20"/>
          <w:szCs w:val="20"/>
          <w:lang w:eastAsia="en-GB"/>
        </w:rPr>
        <w:t xml:space="preserve"> </w:t>
      </w:r>
      <w:r>
        <w:rPr>
          <w:rFonts w:ascii="Arial" w:hAnsi="Arial" w:cs="Arial"/>
          <w:color w:val="0D0D0D" w:themeColor="text1" w:themeTint="F2"/>
          <w:sz w:val="20"/>
          <w:szCs w:val="20"/>
          <w:lang w:eastAsia="en-GB"/>
        </w:rPr>
        <w:t xml:space="preserve">the draft guidance </w:t>
      </w:r>
      <w:r w:rsidR="00B24F6C">
        <w:rPr>
          <w:rFonts w:ascii="Arial" w:hAnsi="Arial" w:cs="Arial"/>
          <w:color w:val="0D0D0D" w:themeColor="text1" w:themeTint="F2"/>
          <w:sz w:val="20"/>
          <w:szCs w:val="20"/>
          <w:lang w:eastAsia="en-GB"/>
        </w:rPr>
        <w:t>explains the committee's</w:t>
      </w:r>
      <w:r>
        <w:rPr>
          <w:rFonts w:ascii="Arial" w:hAnsi="Arial" w:cs="Arial"/>
          <w:color w:val="0D0D0D" w:themeColor="text1" w:themeTint="F2"/>
          <w:sz w:val="20"/>
          <w:szCs w:val="20"/>
          <w:lang w:eastAsia="en-GB"/>
        </w:rPr>
        <w:t xml:space="preserve"> position at that point in time and what further information it requires to reach a settled view</w:t>
      </w:r>
      <w:r w:rsidR="00B24F6C">
        <w:rPr>
          <w:rFonts w:ascii="Arial" w:hAnsi="Arial" w:cs="Arial"/>
          <w:color w:val="0D0D0D" w:themeColor="text1" w:themeTint="F2"/>
          <w:sz w:val="20"/>
          <w:szCs w:val="20"/>
          <w:lang w:eastAsia="en-GB"/>
        </w:rPr>
        <w:t xml:space="preserve"> (that will then be included in the FDG)</w:t>
      </w:r>
      <w:r>
        <w:rPr>
          <w:rFonts w:ascii="Arial" w:hAnsi="Arial" w:cs="Arial"/>
          <w:color w:val="0D0D0D" w:themeColor="text1" w:themeTint="F2"/>
          <w:sz w:val="20"/>
          <w:szCs w:val="20"/>
          <w:lang w:eastAsia="en-GB"/>
        </w:rPr>
        <w:t>.</w:t>
      </w:r>
    </w:p>
    <w:p w:rsidRPr="00B24F6C" w:rsidR="00C71B92" w:rsidP="00B24F6C" w:rsidRDefault="004E1C1C" w14:paraId="35EEDACA" w14:textId="658B8E8C">
      <w:pPr>
        <w:spacing w:before="120" w:after="240"/>
        <w:jc w:val="both"/>
        <w:rPr>
          <w:rFonts w:ascii="Arial" w:hAnsi="Arial" w:cs="Arial"/>
          <w:color w:val="0D0D0D" w:themeColor="text1" w:themeTint="F2"/>
          <w:sz w:val="20"/>
          <w:szCs w:val="20"/>
          <w:lang w:eastAsia="en-GB"/>
        </w:rPr>
      </w:pPr>
      <w:r>
        <w:rPr>
          <w:rFonts w:ascii="Arial" w:hAnsi="Arial" w:cs="Arial"/>
          <w:color w:val="0D0D0D" w:themeColor="text1" w:themeTint="F2"/>
          <w:sz w:val="20"/>
          <w:szCs w:val="20"/>
          <w:lang w:eastAsia="en-GB"/>
        </w:rPr>
        <w:t>I note in particular paragraph 3.24 of the FDG, which references the rarity of the condition and explains the factors leading to th</w:t>
      </w:r>
      <w:r w:rsidRPr="004E1C1C">
        <w:rPr>
          <w:rFonts w:ascii="Arial" w:hAnsi="Arial" w:cs="Arial"/>
          <w:color w:val="0D0D0D" w:themeColor="text1" w:themeTint="F2"/>
          <w:sz w:val="20"/>
          <w:szCs w:val="20"/>
          <w:lang w:eastAsia="en-GB"/>
        </w:rPr>
        <w:t>e committee</w:t>
      </w:r>
      <w:r>
        <w:rPr>
          <w:rFonts w:ascii="Arial" w:hAnsi="Arial" w:cs="Arial"/>
          <w:color w:val="0D0D0D" w:themeColor="text1" w:themeTint="F2"/>
          <w:sz w:val="20"/>
          <w:szCs w:val="20"/>
          <w:lang w:eastAsia="en-GB"/>
        </w:rPr>
        <w:t xml:space="preserve">'s conclusion </w:t>
      </w:r>
      <w:r w:rsidRPr="004E1C1C">
        <w:rPr>
          <w:rFonts w:ascii="Arial" w:hAnsi="Arial" w:cs="Arial"/>
          <w:color w:val="0D0D0D" w:themeColor="text1" w:themeTint="F2"/>
          <w:sz w:val="20"/>
          <w:szCs w:val="20"/>
          <w:lang w:eastAsia="en-GB"/>
        </w:rPr>
        <w:t>that an acceptable ICER would be towards the lower end of the range</w:t>
      </w:r>
      <w:r>
        <w:rPr>
          <w:rFonts w:ascii="Arial" w:hAnsi="Arial" w:cs="Arial"/>
          <w:color w:val="0D0D0D" w:themeColor="text1" w:themeTint="F2"/>
          <w:sz w:val="20"/>
          <w:szCs w:val="20"/>
          <w:lang w:eastAsia="en-GB"/>
        </w:rPr>
        <w:t xml:space="preserve"> </w:t>
      </w:r>
      <w:r w:rsidRPr="004E1C1C">
        <w:rPr>
          <w:rFonts w:ascii="Arial" w:hAnsi="Arial" w:cs="Arial"/>
          <w:color w:val="0D0D0D" w:themeColor="text1" w:themeTint="F2"/>
          <w:sz w:val="20"/>
          <w:szCs w:val="20"/>
          <w:lang w:eastAsia="en-GB"/>
        </w:rPr>
        <w:t>NICE considers a cost-effective use of NHS resources</w:t>
      </w:r>
      <w:r>
        <w:rPr>
          <w:rFonts w:ascii="Arial" w:hAnsi="Arial" w:cs="Arial"/>
          <w:color w:val="0D0D0D" w:themeColor="text1" w:themeTint="F2"/>
          <w:sz w:val="20"/>
          <w:szCs w:val="20"/>
          <w:lang w:eastAsia="en-GB"/>
        </w:rPr>
        <w:t xml:space="preserve">. The version of paragraph 3.24 in the draft guidance </w:t>
      </w:r>
      <w:r w:rsidR="00B24F6C">
        <w:rPr>
          <w:rFonts w:ascii="Arial" w:hAnsi="Arial" w:cs="Arial"/>
          <w:color w:val="0D0D0D" w:themeColor="text1" w:themeTint="F2"/>
          <w:sz w:val="20"/>
          <w:szCs w:val="20"/>
          <w:lang w:eastAsia="en-GB"/>
        </w:rPr>
        <w:t>clearly</w:t>
      </w:r>
      <w:r>
        <w:rPr>
          <w:rFonts w:ascii="Arial" w:hAnsi="Arial" w:cs="Arial"/>
          <w:color w:val="0D0D0D" w:themeColor="text1" w:themeTint="F2"/>
          <w:sz w:val="20"/>
          <w:szCs w:val="20"/>
          <w:lang w:eastAsia="en-GB"/>
        </w:rPr>
        <w:t xml:space="preserve"> could not contain that explanation or the committee's conclusion as </w:t>
      </w:r>
      <w:r w:rsidR="00B24F6C">
        <w:rPr>
          <w:rFonts w:ascii="Arial" w:hAnsi="Arial" w:cs="Arial"/>
          <w:color w:val="0D0D0D" w:themeColor="text1" w:themeTint="F2"/>
          <w:sz w:val="20"/>
          <w:szCs w:val="20"/>
          <w:lang w:eastAsia="en-GB"/>
        </w:rPr>
        <w:t>a conclusion had</w:t>
      </w:r>
      <w:r>
        <w:rPr>
          <w:rFonts w:ascii="Arial" w:hAnsi="Arial" w:cs="Arial"/>
          <w:color w:val="0D0D0D" w:themeColor="text1" w:themeTint="F2"/>
          <w:sz w:val="20"/>
          <w:szCs w:val="20"/>
          <w:lang w:eastAsia="en-GB"/>
        </w:rPr>
        <w:t xml:space="preserve"> not yet been reached by the committee. Rather, the draft guidance</w:t>
      </w:r>
      <w:r w:rsidR="00B24F6C">
        <w:rPr>
          <w:rFonts w:ascii="Arial" w:hAnsi="Arial" w:cs="Arial"/>
          <w:color w:val="0D0D0D" w:themeColor="text1" w:themeTint="F2"/>
          <w:sz w:val="20"/>
          <w:szCs w:val="20"/>
          <w:lang w:eastAsia="en-GB"/>
        </w:rPr>
        <w:t xml:space="preserve"> </w:t>
      </w:r>
      <w:r>
        <w:rPr>
          <w:rFonts w:ascii="Arial" w:hAnsi="Arial" w:cs="Arial"/>
          <w:color w:val="0D0D0D" w:themeColor="text1" w:themeTint="F2"/>
          <w:sz w:val="20"/>
          <w:szCs w:val="20"/>
          <w:lang w:eastAsia="en-GB"/>
        </w:rPr>
        <w:t xml:space="preserve">explained the </w:t>
      </w:r>
      <w:r w:rsidRPr="004E1C1C">
        <w:rPr>
          <w:rFonts w:ascii="Arial" w:hAnsi="Arial" w:cs="Arial"/>
          <w:color w:val="0D0D0D" w:themeColor="text1" w:themeTint="F2"/>
          <w:sz w:val="20"/>
          <w:szCs w:val="20"/>
          <w:lang w:eastAsia="en-GB"/>
        </w:rPr>
        <w:t>committee could not arrive at a preferred ICER because the high level of uncertainty in the modelling assumptions</w:t>
      </w:r>
      <w:r>
        <w:rPr>
          <w:rFonts w:ascii="Arial" w:hAnsi="Arial" w:cs="Arial"/>
          <w:color w:val="0D0D0D" w:themeColor="text1" w:themeTint="F2"/>
          <w:sz w:val="20"/>
          <w:szCs w:val="20"/>
          <w:lang w:eastAsia="en-GB"/>
        </w:rPr>
        <w:t xml:space="preserve"> and set out the additional work the committee would like to see</w:t>
      </w:r>
      <w:r w:rsidR="00B24F6C">
        <w:rPr>
          <w:rFonts w:ascii="Arial" w:hAnsi="Arial" w:cs="Arial"/>
          <w:color w:val="0D0D0D" w:themeColor="text1" w:themeTint="F2"/>
          <w:sz w:val="20"/>
          <w:szCs w:val="20"/>
          <w:lang w:eastAsia="en-GB"/>
        </w:rPr>
        <w:t xml:space="preserve"> before reaching a view</w:t>
      </w:r>
      <w:r>
        <w:rPr>
          <w:rFonts w:ascii="Arial" w:hAnsi="Arial" w:cs="Arial"/>
          <w:color w:val="0D0D0D" w:themeColor="text1" w:themeTint="F2"/>
          <w:sz w:val="20"/>
          <w:szCs w:val="20"/>
          <w:lang w:eastAsia="en-GB"/>
        </w:rPr>
        <w:t xml:space="preserve">. In my view this </w:t>
      </w:r>
      <w:r w:rsidR="00B24F6C">
        <w:rPr>
          <w:rFonts w:ascii="Arial" w:hAnsi="Arial" w:cs="Arial"/>
          <w:color w:val="0D0D0D" w:themeColor="text1" w:themeTint="F2"/>
          <w:sz w:val="20"/>
          <w:szCs w:val="20"/>
          <w:lang w:eastAsia="en-GB"/>
        </w:rPr>
        <w:t>reflects</w:t>
      </w:r>
      <w:r>
        <w:rPr>
          <w:rFonts w:ascii="Arial" w:hAnsi="Arial" w:cs="Arial"/>
          <w:color w:val="0D0D0D" w:themeColor="text1" w:themeTint="F2"/>
          <w:sz w:val="20"/>
          <w:szCs w:val="20"/>
          <w:lang w:eastAsia="en-GB"/>
        </w:rPr>
        <w:t xml:space="preserve"> the process set out in the Manua</w:t>
      </w:r>
      <w:r w:rsidR="00B24F6C">
        <w:rPr>
          <w:rFonts w:ascii="Arial" w:hAnsi="Arial" w:cs="Arial"/>
          <w:color w:val="0D0D0D" w:themeColor="text1" w:themeTint="F2"/>
          <w:sz w:val="20"/>
          <w:szCs w:val="20"/>
          <w:lang w:eastAsia="en-GB"/>
        </w:rPr>
        <w:t>l</w:t>
      </w:r>
      <w:r>
        <w:rPr>
          <w:rFonts w:ascii="Arial" w:hAnsi="Arial" w:cs="Arial"/>
          <w:color w:val="0D0D0D" w:themeColor="text1" w:themeTint="F2"/>
          <w:sz w:val="20"/>
          <w:szCs w:val="20"/>
          <w:lang w:eastAsia="en-GB"/>
        </w:rPr>
        <w:t>.</w:t>
      </w:r>
    </w:p>
    <w:p w:rsidRPr="00C71B92" w:rsidR="00C71B92" w:rsidP="00DB178D" w:rsidRDefault="00C71B92" w14:paraId="3395E33F" w14:textId="68ED68FE">
      <w:pPr>
        <w:pStyle w:val="Paragraph"/>
        <w:numPr>
          <w:ilvl w:val="0"/>
          <w:numId w:val="0"/>
        </w:numPr>
        <w:spacing w:before="120"/>
        <w:jc w:val="both"/>
        <w:rPr>
          <w:rFonts w:cs="Arial"/>
          <w:b/>
          <w:iCs/>
          <w:sz w:val="20"/>
          <w:szCs w:val="20"/>
          <w:u w:val="single"/>
        </w:rPr>
      </w:pPr>
      <w:r w:rsidRPr="00C71B92">
        <w:rPr>
          <w:rFonts w:cs="Arial"/>
          <w:b/>
          <w:iCs/>
          <w:sz w:val="20"/>
          <w:szCs w:val="20"/>
          <w:u w:val="single"/>
        </w:rPr>
        <w:t>Appeal point 1(a).6: The requirement for UCB to produce new analyses and for substantive disclosure of important material from the EAG immediately before ACM2 did not allow adequate time for consideration and was inconsistent with a fair procedure.</w:t>
      </w:r>
    </w:p>
    <w:p w:rsidRPr="00C71B92" w:rsidR="00C71B92" w:rsidP="00DB178D" w:rsidRDefault="00C71B92" w14:paraId="447BB129" w14:textId="2F9E7B4E">
      <w:pPr>
        <w:pStyle w:val="Paragraph"/>
        <w:numPr>
          <w:ilvl w:val="0"/>
          <w:numId w:val="0"/>
        </w:numPr>
        <w:spacing w:before="120"/>
        <w:jc w:val="both"/>
        <w:rPr>
          <w:rFonts w:cs="Arial"/>
          <w:b/>
          <w:iCs/>
          <w:sz w:val="20"/>
          <w:szCs w:val="20"/>
        </w:rPr>
      </w:pPr>
      <w:r>
        <w:rPr>
          <w:rFonts w:cs="Arial"/>
          <w:color w:val="0D0D0D" w:themeColor="text1" w:themeTint="F2"/>
          <w:sz w:val="20"/>
          <w:szCs w:val="20"/>
        </w:rPr>
        <w:t xml:space="preserve">I confirm that this point will be referred to the Appeal Panel. </w:t>
      </w:r>
    </w:p>
    <w:p w:rsidRPr="00C71B92" w:rsidR="00C71B92" w:rsidP="00C71B92" w:rsidRDefault="00C71B92" w14:paraId="023AB693" w14:textId="77777777">
      <w:pPr>
        <w:spacing w:before="240" w:after="240"/>
        <w:jc w:val="both"/>
        <w:rPr>
          <w:rFonts w:ascii="Arial" w:hAnsi="Arial" w:cs="Arial"/>
          <w:b/>
          <w:i/>
          <w:sz w:val="20"/>
          <w:szCs w:val="20"/>
        </w:rPr>
      </w:pPr>
      <w:bookmarkStart w:name="_Hlk167976458" w:id="3"/>
      <w:r w:rsidRPr="00C71B92">
        <w:rPr>
          <w:rFonts w:ascii="Arial" w:hAnsi="Arial" w:cs="Arial"/>
          <w:b/>
          <w:i/>
          <w:sz w:val="20"/>
          <w:szCs w:val="20"/>
        </w:rPr>
        <w:t>Ground 2: the recommendation is unreasonable in the light of the evidence submitted to NICE</w:t>
      </w:r>
    </w:p>
    <w:p w:rsidRPr="00EE7C41" w:rsidR="00C71B92" w:rsidP="00C71B92" w:rsidRDefault="00C71B92" w14:paraId="217ADB47" w14:textId="77777777">
      <w:pPr>
        <w:pStyle w:val="Paragraph"/>
        <w:numPr>
          <w:ilvl w:val="0"/>
          <w:numId w:val="0"/>
        </w:numPr>
        <w:jc w:val="both"/>
        <w:rPr>
          <w:rFonts w:cs="Arial"/>
          <w:b/>
          <w:u w:val="single"/>
        </w:rPr>
      </w:pPr>
      <w:r w:rsidRPr="00EE7C41">
        <w:rPr>
          <w:rFonts w:cs="Arial"/>
          <w:b/>
          <w:sz w:val="20"/>
          <w:szCs w:val="20"/>
          <w:u w:val="single"/>
        </w:rPr>
        <w:t xml:space="preserve">Appeal point 2.1: </w:t>
      </w:r>
      <w:bookmarkEnd w:id="3"/>
      <w:r w:rsidRPr="00721451">
        <w:rPr>
          <w:rFonts w:cs="Arial"/>
          <w:b/>
          <w:sz w:val="20"/>
          <w:szCs w:val="20"/>
          <w:u w:val="single"/>
        </w:rPr>
        <w:t>The Committee’s preference for a naïve comparison between the trials instead of an indirect treatment comparison of ITT data was unreasonable.</w:t>
      </w:r>
    </w:p>
    <w:p w:rsidR="00C71B92" w:rsidP="00C71B92" w:rsidRDefault="00C71B92" w14:paraId="3F613469" w14:textId="77777777">
      <w:pPr>
        <w:pStyle w:val="Paragraph"/>
        <w:numPr>
          <w:ilvl w:val="0"/>
          <w:numId w:val="0"/>
        </w:numPr>
        <w:jc w:val="both"/>
        <w:rPr>
          <w:rFonts w:cs="Arial"/>
          <w:color w:val="0D0D0D" w:themeColor="text1" w:themeTint="F2"/>
          <w:sz w:val="20"/>
          <w:szCs w:val="20"/>
        </w:rPr>
      </w:pPr>
      <w:r>
        <w:rPr>
          <w:rFonts w:cs="Arial"/>
          <w:color w:val="0D0D0D" w:themeColor="text1" w:themeTint="F2"/>
          <w:sz w:val="20"/>
          <w:szCs w:val="20"/>
        </w:rPr>
        <w:t>I confirm that this point will be referred to the Appeal Panel.</w:t>
      </w:r>
    </w:p>
    <w:p w:rsidRPr="00EE7C41" w:rsidR="00C71B92" w:rsidP="00C71B92" w:rsidRDefault="00C71B92" w14:paraId="4F13460A" w14:textId="0F24714C">
      <w:pPr>
        <w:pStyle w:val="Paragraph"/>
        <w:numPr>
          <w:ilvl w:val="0"/>
          <w:numId w:val="0"/>
        </w:numPr>
        <w:jc w:val="both"/>
        <w:rPr>
          <w:rFonts w:cs="Arial"/>
          <w:b/>
          <w:u w:val="single"/>
        </w:rPr>
      </w:pPr>
      <w:r w:rsidRPr="00EE7C41">
        <w:rPr>
          <w:rFonts w:cs="Arial"/>
          <w:b/>
          <w:sz w:val="20"/>
          <w:szCs w:val="20"/>
          <w:u w:val="single"/>
        </w:rPr>
        <w:t>Appeal point 2.</w:t>
      </w:r>
      <w:r>
        <w:rPr>
          <w:rFonts w:cs="Arial"/>
          <w:b/>
          <w:sz w:val="20"/>
          <w:szCs w:val="20"/>
          <w:u w:val="single"/>
        </w:rPr>
        <w:t>2</w:t>
      </w:r>
      <w:r w:rsidRPr="00EE7C41">
        <w:rPr>
          <w:rFonts w:cs="Arial"/>
          <w:b/>
          <w:sz w:val="20"/>
          <w:szCs w:val="20"/>
          <w:u w:val="single"/>
        </w:rPr>
        <w:t xml:space="preserve">: </w:t>
      </w:r>
      <w:r w:rsidRPr="00721451">
        <w:rPr>
          <w:rFonts w:cs="Arial"/>
          <w:b/>
          <w:sz w:val="20"/>
          <w:szCs w:val="20"/>
          <w:u w:val="single"/>
        </w:rPr>
        <w:t>The Committee’s conclusions in relation to the waning of the treatment effects associated with fenfluramine and cannabidiol are inconsistent with the available evidence and with the approach followed in previous appraisals.</w:t>
      </w:r>
    </w:p>
    <w:p w:rsidR="00C71B92" w:rsidP="00C71B92" w:rsidRDefault="00C71B92" w14:paraId="7D5025FF" w14:textId="77777777">
      <w:pPr>
        <w:pStyle w:val="Paragraph"/>
        <w:numPr>
          <w:ilvl w:val="0"/>
          <w:numId w:val="0"/>
        </w:numPr>
        <w:jc w:val="both"/>
        <w:rPr>
          <w:rFonts w:cs="Arial"/>
          <w:color w:val="0D0D0D" w:themeColor="text1" w:themeTint="F2"/>
          <w:sz w:val="20"/>
          <w:szCs w:val="20"/>
        </w:rPr>
      </w:pPr>
      <w:r>
        <w:rPr>
          <w:rFonts w:cs="Arial"/>
          <w:color w:val="0D0D0D" w:themeColor="text1" w:themeTint="F2"/>
          <w:sz w:val="20"/>
          <w:szCs w:val="20"/>
        </w:rPr>
        <w:t xml:space="preserve">I confirm that this point will be referred to the Appeal Panel. </w:t>
      </w:r>
    </w:p>
    <w:p w:rsidRPr="00E86A2D" w:rsidR="00C71B92" w:rsidP="00E86A2D" w:rsidRDefault="00C71B92" w14:paraId="2258B02A" w14:textId="02812532">
      <w:pPr>
        <w:pStyle w:val="Paragraph"/>
        <w:numPr>
          <w:ilvl w:val="0"/>
          <w:numId w:val="0"/>
        </w:numPr>
        <w:jc w:val="both"/>
        <w:rPr>
          <w:rFonts w:cs="Arial"/>
          <w:b/>
          <w:u w:val="single"/>
        </w:rPr>
      </w:pPr>
      <w:r w:rsidRPr="00EE7C41">
        <w:rPr>
          <w:rFonts w:cs="Arial"/>
          <w:b/>
          <w:sz w:val="20"/>
          <w:szCs w:val="20"/>
          <w:u w:val="single"/>
        </w:rPr>
        <w:t>Appeal point 2.</w:t>
      </w:r>
      <w:r>
        <w:rPr>
          <w:rFonts w:cs="Arial"/>
          <w:b/>
          <w:sz w:val="20"/>
          <w:szCs w:val="20"/>
          <w:u w:val="single"/>
        </w:rPr>
        <w:t>3</w:t>
      </w:r>
      <w:r w:rsidRPr="00EE7C41">
        <w:rPr>
          <w:rFonts w:cs="Arial"/>
          <w:b/>
          <w:sz w:val="20"/>
          <w:szCs w:val="20"/>
          <w:u w:val="single"/>
        </w:rPr>
        <w:t xml:space="preserve">: </w:t>
      </w:r>
      <w:r w:rsidRPr="00692BE3">
        <w:rPr>
          <w:rFonts w:cs="Arial"/>
          <w:b/>
          <w:sz w:val="20"/>
          <w:szCs w:val="20"/>
          <w:u w:val="single"/>
        </w:rPr>
        <w:t>NICE’s conclusion that it should assume no treatment wastage between fenfluramine and cannabidiol is inconsistent with the available evidence and therefore unreasonable</w:t>
      </w:r>
    </w:p>
    <w:p w:rsidRPr="00E86A2D" w:rsidR="00E86A2D" w:rsidP="00E86A2D" w:rsidRDefault="00E86A2D" w14:paraId="6A6A37E6" w14:textId="06ECED43">
      <w:pPr>
        <w:pStyle w:val="Paragraph"/>
        <w:numPr>
          <w:ilvl w:val="0"/>
          <w:numId w:val="0"/>
        </w:numPr>
        <w:spacing w:before="120"/>
        <w:jc w:val="both"/>
        <w:rPr>
          <w:rFonts w:cs="Arial"/>
          <w:bCs/>
          <w:iCs/>
          <w:sz w:val="20"/>
          <w:szCs w:val="20"/>
        </w:rPr>
      </w:pPr>
      <w:r w:rsidRPr="00F11C0E">
        <w:rPr>
          <w:rFonts w:cs="Arial"/>
          <w:bCs/>
          <w:iCs/>
          <w:sz w:val="20"/>
          <w:szCs w:val="20"/>
        </w:rPr>
        <w:t xml:space="preserve">Having considered the additional arguments made in your letter of </w:t>
      </w:r>
      <w:r>
        <w:rPr>
          <w:rFonts w:cs="Arial"/>
          <w:bCs/>
          <w:iCs/>
          <w:sz w:val="20"/>
          <w:szCs w:val="20"/>
        </w:rPr>
        <w:t>24 May 2024</w:t>
      </w:r>
      <w:r w:rsidRPr="00F11C0E">
        <w:rPr>
          <w:rFonts w:cs="Arial"/>
          <w:bCs/>
          <w:iCs/>
          <w:sz w:val="20"/>
          <w:szCs w:val="20"/>
        </w:rPr>
        <w:t>, I agree that this is a valid appeal point</w:t>
      </w:r>
      <w:r>
        <w:rPr>
          <w:rFonts w:cs="Arial"/>
          <w:bCs/>
          <w:iCs/>
          <w:sz w:val="20"/>
          <w:szCs w:val="20"/>
        </w:rPr>
        <w:t xml:space="preserve">. </w:t>
      </w:r>
    </w:p>
    <w:p w:rsidRPr="00771051" w:rsidR="005A7A7D" w:rsidP="005A7A7D" w:rsidRDefault="005A7A7D" w14:paraId="2AADAF28" w14:textId="77777777">
      <w:pPr>
        <w:spacing w:before="120" w:after="240"/>
        <w:jc w:val="both"/>
        <w:rPr>
          <w:rFonts w:ascii="Arial" w:hAnsi="Arial" w:eastAsia="Times New Roman" w:cs="Arial"/>
          <w:sz w:val="20"/>
          <w:szCs w:val="20"/>
          <w:u w:val="single"/>
        </w:rPr>
      </w:pPr>
      <w:bookmarkStart w:name="_Hlk167976384" w:id="4"/>
      <w:r w:rsidRPr="00771051">
        <w:rPr>
          <w:rFonts w:ascii="Arial" w:hAnsi="Arial" w:eastAsia="Times New Roman" w:cs="Arial"/>
          <w:sz w:val="20"/>
          <w:szCs w:val="20"/>
          <w:u w:val="single"/>
        </w:rPr>
        <w:t>Conclusion</w:t>
      </w:r>
    </w:p>
    <w:p w:rsidRPr="00771051" w:rsidR="005A7A7D" w:rsidP="005A7A7D" w:rsidRDefault="005A7A7D" w14:paraId="64256DC4" w14:textId="77777777">
      <w:pPr>
        <w:spacing w:before="120" w:after="240"/>
        <w:jc w:val="both"/>
        <w:rPr>
          <w:rFonts w:ascii="Arial" w:hAnsi="Arial" w:eastAsia="Times New Roman" w:cs="Arial"/>
          <w:sz w:val="20"/>
          <w:szCs w:val="20"/>
        </w:rPr>
      </w:pPr>
      <w:r w:rsidRPr="00771051">
        <w:rPr>
          <w:rFonts w:ascii="Arial" w:hAnsi="Arial" w:eastAsia="Times New Roman" w:cs="Arial"/>
          <w:sz w:val="20"/>
          <w:szCs w:val="20"/>
        </w:rPr>
        <w:t>Therefore the valid appeal points are:</w:t>
      </w:r>
    </w:p>
    <w:p w:rsidRPr="00B24F6C" w:rsidR="005A7A7D" w:rsidP="00E86A2D" w:rsidRDefault="005A7A7D" w14:paraId="0AF0E90C" w14:textId="6B0E2C6D">
      <w:pPr>
        <w:pStyle w:val="ListParagraph"/>
        <w:numPr>
          <w:ilvl w:val="0"/>
          <w:numId w:val="14"/>
        </w:numPr>
        <w:spacing w:before="120" w:after="240"/>
        <w:jc w:val="both"/>
        <w:rPr>
          <w:rFonts w:cs="Arial"/>
        </w:rPr>
      </w:pPr>
      <w:r w:rsidRPr="00B24F6C">
        <w:rPr>
          <w:rFonts w:cs="Arial"/>
        </w:rPr>
        <w:t xml:space="preserve">1(a).1 </w:t>
      </w:r>
    </w:p>
    <w:p w:rsidRPr="00B24F6C" w:rsidR="005A7A7D" w:rsidP="00E86A2D" w:rsidRDefault="005A7A7D" w14:paraId="572939F7" w14:textId="4527A652">
      <w:pPr>
        <w:pStyle w:val="ListParagraph"/>
        <w:numPr>
          <w:ilvl w:val="0"/>
          <w:numId w:val="14"/>
        </w:numPr>
        <w:spacing w:before="120" w:after="240"/>
        <w:jc w:val="both"/>
        <w:rPr>
          <w:rFonts w:cs="Arial"/>
        </w:rPr>
      </w:pPr>
      <w:r w:rsidRPr="00B24F6C">
        <w:rPr>
          <w:rFonts w:cs="Arial"/>
        </w:rPr>
        <w:t>1(</w:t>
      </w:r>
      <w:r w:rsidRPr="00B24F6C" w:rsidR="00E86A2D">
        <w:rPr>
          <w:rFonts w:cs="Arial"/>
        </w:rPr>
        <w:t>a)</w:t>
      </w:r>
      <w:r w:rsidRPr="00B24F6C" w:rsidR="00B24F6C">
        <w:rPr>
          <w:rFonts w:cs="Arial"/>
        </w:rPr>
        <w:t>.</w:t>
      </w:r>
      <w:r w:rsidRPr="00B24F6C" w:rsidR="00E86A2D">
        <w:rPr>
          <w:rFonts w:cs="Arial"/>
        </w:rPr>
        <w:t>2</w:t>
      </w:r>
    </w:p>
    <w:p w:rsidRPr="00B24F6C" w:rsidR="00E86A2D" w:rsidP="00E86A2D" w:rsidRDefault="00E86A2D" w14:paraId="18D4C5A2" w14:textId="097483A5">
      <w:pPr>
        <w:pStyle w:val="ListParagraph"/>
        <w:numPr>
          <w:ilvl w:val="0"/>
          <w:numId w:val="14"/>
        </w:numPr>
        <w:spacing w:before="120" w:after="240"/>
        <w:jc w:val="both"/>
        <w:rPr>
          <w:rFonts w:cs="Arial"/>
        </w:rPr>
      </w:pPr>
      <w:r w:rsidRPr="00B24F6C">
        <w:rPr>
          <w:rFonts w:cs="Arial"/>
        </w:rPr>
        <w:t>1(a)</w:t>
      </w:r>
      <w:r w:rsidRPr="00B24F6C" w:rsidR="00B24F6C">
        <w:rPr>
          <w:rFonts w:cs="Arial"/>
        </w:rPr>
        <w:t>.4</w:t>
      </w:r>
    </w:p>
    <w:p w:rsidRPr="00B24F6C" w:rsidR="00E86A2D" w:rsidP="00E86A2D" w:rsidRDefault="00E86A2D" w14:paraId="607726AC" w14:textId="322F8466">
      <w:pPr>
        <w:pStyle w:val="ListParagraph"/>
        <w:numPr>
          <w:ilvl w:val="0"/>
          <w:numId w:val="14"/>
        </w:numPr>
        <w:spacing w:before="120" w:after="240"/>
        <w:jc w:val="both"/>
        <w:rPr>
          <w:rFonts w:cs="Arial"/>
        </w:rPr>
      </w:pPr>
      <w:r w:rsidRPr="00B24F6C">
        <w:rPr>
          <w:rFonts w:cs="Arial"/>
        </w:rPr>
        <w:t>1(a)</w:t>
      </w:r>
      <w:r w:rsidRPr="00B24F6C" w:rsidR="00B24F6C">
        <w:rPr>
          <w:rFonts w:cs="Arial"/>
        </w:rPr>
        <w:t>.6</w:t>
      </w:r>
    </w:p>
    <w:p w:rsidRPr="00B24F6C" w:rsidR="00E86A2D" w:rsidP="00E86A2D" w:rsidRDefault="005A7A7D" w14:paraId="49C61D25" w14:textId="27C57DAB">
      <w:pPr>
        <w:pStyle w:val="ListParagraph"/>
        <w:numPr>
          <w:ilvl w:val="0"/>
          <w:numId w:val="14"/>
        </w:numPr>
        <w:spacing w:before="120" w:after="240"/>
        <w:jc w:val="both"/>
        <w:rPr>
          <w:rFonts w:cs="Arial"/>
        </w:rPr>
      </w:pPr>
      <w:r w:rsidRPr="00B24F6C">
        <w:rPr>
          <w:rFonts w:cs="Arial"/>
        </w:rPr>
        <w:t>2.</w:t>
      </w:r>
      <w:r w:rsidRPr="00B24F6C" w:rsidR="00B24F6C">
        <w:rPr>
          <w:rFonts w:cs="Arial"/>
        </w:rPr>
        <w:t>1</w:t>
      </w:r>
      <w:r w:rsidRPr="00B24F6C">
        <w:rPr>
          <w:rFonts w:cs="Arial"/>
        </w:rPr>
        <w:t xml:space="preserve"> </w:t>
      </w:r>
    </w:p>
    <w:p w:rsidRPr="00B24F6C" w:rsidR="00E86A2D" w:rsidP="00E86A2D" w:rsidRDefault="00E86A2D" w14:paraId="69F6DCEA" w14:textId="7BDFCF69">
      <w:pPr>
        <w:pStyle w:val="ListParagraph"/>
        <w:numPr>
          <w:ilvl w:val="0"/>
          <w:numId w:val="14"/>
        </w:numPr>
        <w:spacing w:before="120" w:after="240"/>
        <w:jc w:val="both"/>
        <w:rPr>
          <w:rFonts w:cs="Arial"/>
        </w:rPr>
      </w:pPr>
      <w:r w:rsidRPr="00B24F6C">
        <w:rPr>
          <w:rFonts w:cs="Arial"/>
        </w:rPr>
        <w:t>2.</w:t>
      </w:r>
      <w:r w:rsidRPr="00B24F6C" w:rsidR="00B24F6C">
        <w:rPr>
          <w:rFonts w:cs="Arial"/>
        </w:rPr>
        <w:t>2</w:t>
      </w:r>
      <w:r w:rsidRPr="00B24F6C">
        <w:rPr>
          <w:rFonts w:cs="Arial"/>
        </w:rPr>
        <w:t xml:space="preserve"> </w:t>
      </w:r>
    </w:p>
    <w:p w:rsidRPr="00B24F6C" w:rsidR="00B24F6C" w:rsidP="00B24F6C" w:rsidRDefault="00B24F6C" w14:paraId="6E27ADFF" w14:textId="01CA9FCA">
      <w:pPr>
        <w:pStyle w:val="ListParagraph"/>
        <w:numPr>
          <w:ilvl w:val="0"/>
          <w:numId w:val="14"/>
        </w:numPr>
        <w:spacing w:before="120" w:after="240"/>
        <w:jc w:val="both"/>
        <w:rPr>
          <w:rFonts w:cs="Arial"/>
        </w:rPr>
      </w:pPr>
      <w:r w:rsidRPr="00B24F6C">
        <w:rPr>
          <w:rFonts w:cs="Arial"/>
        </w:rPr>
        <w:t xml:space="preserve">2.3 </w:t>
      </w:r>
    </w:p>
    <w:p w:rsidRPr="00B24F6C" w:rsidR="00B24F6C" w:rsidP="00B24F6C" w:rsidRDefault="00B24F6C" w14:paraId="7D18CD7D" w14:textId="6471F064">
      <w:pPr>
        <w:pStyle w:val="ListParagraph"/>
        <w:numPr>
          <w:ilvl w:val="0"/>
          <w:numId w:val="14"/>
        </w:numPr>
        <w:spacing w:before="120" w:after="240"/>
        <w:jc w:val="both"/>
        <w:rPr>
          <w:rFonts w:cs="Arial"/>
        </w:rPr>
      </w:pPr>
      <w:r w:rsidRPr="55A7FE18" w:rsidR="00B24F6C">
        <w:rPr>
          <w:rFonts w:cs="Arial"/>
        </w:rPr>
        <w:t>2.</w:t>
      </w:r>
      <w:r w:rsidRPr="55A7FE18" w:rsidR="2D71C054">
        <w:rPr>
          <w:rFonts w:cs="Arial"/>
        </w:rPr>
        <w:t>4</w:t>
      </w:r>
      <w:r w:rsidRPr="55A7FE18" w:rsidR="00B24F6C">
        <w:rPr>
          <w:rFonts w:cs="Arial"/>
        </w:rPr>
        <w:t xml:space="preserve"> (original appeal point 1(a).3);</w:t>
      </w:r>
    </w:p>
    <w:p w:rsidRPr="00B24F6C" w:rsidR="00B24F6C" w:rsidP="00B24F6C" w:rsidRDefault="00B24F6C" w14:paraId="7176FEC5" w14:textId="77777777">
      <w:pPr>
        <w:pStyle w:val="ListParagraph"/>
        <w:spacing w:before="120" w:after="240"/>
        <w:ind w:left="1080"/>
        <w:jc w:val="both"/>
        <w:rPr>
          <w:rFonts w:cs="Arial"/>
          <w:highlight w:val="yellow"/>
        </w:rPr>
      </w:pPr>
    </w:p>
    <w:p w:rsidRPr="00771051" w:rsidR="005A7A7D" w:rsidP="005A7A7D" w:rsidRDefault="005A7A7D" w14:paraId="6599EABC" w14:textId="4669508A">
      <w:pPr>
        <w:spacing w:before="120" w:after="240"/>
        <w:jc w:val="both"/>
        <w:rPr>
          <w:rFonts w:ascii="Arial" w:hAnsi="Arial" w:eastAsia="Times New Roman" w:cs="Arial"/>
          <w:sz w:val="20"/>
          <w:szCs w:val="20"/>
        </w:rPr>
      </w:pPr>
      <w:r w:rsidRPr="00771051">
        <w:rPr>
          <w:rFonts w:ascii="Arial" w:hAnsi="Arial" w:eastAsia="Times New Roman" w:cs="Arial"/>
          <w:sz w:val="20"/>
          <w:szCs w:val="20"/>
        </w:rPr>
        <w:t xml:space="preserve">NICE shares the valid appeal </w:t>
      </w:r>
      <w:r w:rsidR="009B57BA">
        <w:rPr>
          <w:rFonts w:ascii="Arial" w:hAnsi="Arial" w:eastAsia="Times New Roman" w:cs="Arial"/>
          <w:sz w:val="20"/>
          <w:szCs w:val="20"/>
        </w:rPr>
        <w:t>points</w:t>
      </w:r>
      <w:r w:rsidRPr="00771051">
        <w:rPr>
          <w:rFonts w:ascii="Arial" w:hAnsi="Arial" w:eastAsia="Times New Roman" w:cs="Arial"/>
          <w:sz w:val="20"/>
          <w:szCs w:val="20"/>
        </w:rPr>
        <w:t xml:space="preserve"> of each appellant with the other appellants to assist with preparation for the hearing.  </w:t>
      </w:r>
    </w:p>
    <w:p w:rsidRPr="00771051" w:rsidR="005A7A7D" w:rsidP="005A7A7D" w:rsidRDefault="005A7A7D" w14:paraId="5CCF2CB3" w14:textId="77777777">
      <w:pPr>
        <w:spacing w:before="120" w:after="240"/>
        <w:jc w:val="both"/>
        <w:rPr>
          <w:rFonts w:ascii="Arial" w:hAnsi="Arial" w:eastAsia="Times New Roman" w:cs="Arial"/>
          <w:sz w:val="20"/>
          <w:szCs w:val="20"/>
        </w:rPr>
      </w:pPr>
      <w:r w:rsidRPr="417EAD99" w:rsidR="005A7A7D">
        <w:rPr>
          <w:rFonts w:ascii="Arial" w:hAnsi="Arial" w:eastAsia="Times New Roman" w:cs="Arial"/>
          <w:sz w:val="20"/>
          <w:szCs w:val="20"/>
        </w:rPr>
        <w:t xml:space="preserve">NICE will be in contact with you regarding the administration of the appeal, which will be held orally. </w:t>
      </w:r>
    </w:p>
    <w:p w:rsidRPr="00771051" w:rsidR="005A7A7D" w:rsidP="005A7A7D" w:rsidRDefault="005A7A7D" w14:paraId="04BAA200" w14:textId="77777777">
      <w:pPr>
        <w:spacing w:before="120" w:after="240"/>
        <w:jc w:val="both"/>
        <w:rPr>
          <w:rFonts w:ascii="Arial" w:hAnsi="Arial" w:eastAsia="Times New Roman" w:cs="Arial"/>
          <w:sz w:val="20"/>
          <w:szCs w:val="20"/>
        </w:rPr>
      </w:pPr>
      <w:r w:rsidRPr="38D47BB4" w:rsidR="005A7A7D">
        <w:rPr>
          <w:rFonts w:ascii="Arial" w:hAnsi="Arial" w:eastAsia="Times New Roman" w:cs="Arial"/>
          <w:sz w:val="20"/>
          <w:szCs w:val="20"/>
        </w:rPr>
        <w:t>Yours sincerely</w:t>
      </w:r>
    </w:p>
    <w:p w:rsidR="381EF3F5" w:rsidP="417EAD99" w:rsidRDefault="381EF3F5" w14:paraId="6166344A" w14:textId="3B640BCA">
      <w:pPr>
        <w:pStyle w:val="Normal"/>
        <w:spacing w:before="120" w:after="240"/>
        <w:jc w:val="both"/>
      </w:pPr>
      <w:r w:rsidRPr="38D47BB4" w:rsidR="7E3DC038">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black"/>
          <w:u w:val="none"/>
          <w:lang w:val="en-US"/>
        </w:rPr>
        <w:t>XXXXXXXXXX</w:t>
      </w:r>
      <w:r>
        <w:br/>
      </w:r>
    </w:p>
    <w:p w:rsidRPr="00771051" w:rsidR="005A7A7D" w:rsidP="005A7A7D" w:rsidRDefault="005A7A7D" w14:paraId="06E59F3D" w14:textId="77777777">
      <w:pPr>
        <w:spacing w:before="120" w:after="240"/>
        <w:jc w:val="both"/>
        <w:rPr>
          <w:rFonts w:ascii="Arial" w:hAnsi="Arial" w:eastAsia="Times New Roman" w:cs="Arial"/>
          <w:sz w:val="20"/>
          <w:szCs w:val="20"/>
        </w:rPr>
      </w:pPr>
      <w:r w:rsidRPr="00771051">
        <w:rPr>
          <w:rFonts w:ascii="Arial" w:hAnsi="Arial" w:eastAsia="Times New Roman" w:cs="Arial"/>
          <w:sz w:val="20"/>
          <w:szCs w:val="20"/>
        </w:rPr>
        <w:t>Dr Mark Chakravarty</w:t>
      </w:r>
    </w:p>
    <w:p w:rsidRPr="00771051" w:rsidR="005A7A7D" w:rsidP="005A7A7D" w:rsidRDefault="005A7A7D" w14:paraId="321A9458" w14:textId="77777777">
      <w:pPr>
        <w:spacing w:before="120" w:after="240"/>
        <w:jc w:val="both"/>
        <w:rPr>
          <w:rFonts w:ascii="Arial" w:hAnsi="Arial" w:eastAsia="Times New Roman" w:cs="Arial"/>
          <w:sz w:val="20"/>
          <w:szCs w:val="20"/>
        </w:rPr>
      </w:pPr>
      <w:r w:rsidRPr="00771051">
        <w:rPr>
          <w:rFonts w:ascii="Arial" w:hAnsi="Arial" w:eastAsia="Times New Roman" w:cs="Arial"/>
          <w:sz w:val="20"/>
          <w:szCs w:val="20"/>
        </w:rPr>
        <w:t>Lead Non-Executive Director for Appeals &amp; Vice Chairman</w:t>
      </w:r>
    </w:p>
    <w:p w:rsidRPr="00771051" w:rsidR="005A7A7D" w:rsidP="005A7A7D" w:rsidRDefault="005A7A7D" w14:paraId="40B9BBC0" w14:textId="77777777">
      <w:pPr>
        <w:spacing w:before="120" w:after="240"/>
        <w:jc w:val="both"/>
        <w:rPr>
          <w:rFonts w:ascii="Arial" w:hAnsi="Arial" w:eastAsia="Times New Roman" w:cs="Arial"/>
          <w:sz w:val="20"/>
          <w:szCs w:val="20"/>
        </w:rPr>
      </w:pPr>
      <w:r w:rsidRPr="00771051">
        <w:rPr>
          <w:rFonts w:ascii="Arial" w:hAnsi="Arial" w:eastAsia="Times New Roman" w:cs="Arial"/>
          <w:sz w:val="20"/>
          <w:szCs w:val="20"/>
        </w:rPr>
        <w:t>National Institute for Health and Care Excellence</w:t>
      </w:r>
    </w:p>
    <w:bookmarkEnd w:id="4"/>
    <w:p w:rsidRPr="0043022B" w:rsidR="000B36E1" w:rsidP="002B6A0D" w:rsidRDefault="000B36E1" w14:paraId="03E7BAFA" w14:textId="4811D299">
      <w:pPr>
        <w:spacing w:line="360" w:lineRule="auto"/>
        <w:rPr>
          <w:rFonts w:ascii="Arial" w:hAnsi="Arial" w:cs="Arial"/>
          <w:sz w:val="20"/>
          <w:szCs w:val="20"/>
        </w:rPr>
      </w:pPr>
    </w:p>
    <w:sectPr w:rsidRPr="0043022B" w:rsidR="000B36E1" w:rsidSect="000B36E1">
      <w:headerReference w:type="even" r:id="rId12"/>
      <w:headerReference w:type="default" r:id="rId13"/>
      <w:footerReference w:type="even" r:id="rId14"/>
      <w:footerReference w:type="default" r:id="rId15"/>
      <w:headerReference w:type="first" r:id="rId16"/>
      <w:footerReference w:type="first" r:id="rId17"/>
      <w:pgSz w:w="11906" w:h="16838" w:orient="portrait"/>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43C5C" w:rsidP="000B352B" w:rsidRDefault="00D43C5C" w14:paraId="3471B2D4" w14:textId="77777777">
      <w:pPr>
        <w:spacing w:after="0" w:line="240" w:lineRule="auto"/>
      </w:pPr>
      <w:r>
        <w:separator/>
      </w:r>
    </w:p>
  </w:endnote>
  <w:endnote w:type="continuationSeparator" w:id="0">
    <w:p w:rsidR="00D43C5C" w:rsidP="000B352B" w:rsidRDefault="00D43C5C" w14:paraId="05F8C6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B57BA" w:rsidRDefault="009B57BA" w14:paraId="52CCEF3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36E1" w:rsidP="000B36E1" w:rsidRDefault="000B36E1" w14:paraId="5D4D323D" w14:textId="1CEBF2EA">
    <w:pPr>
      <w:pStyle w:val="Footer"/>
      <w:tabs>
        <w:tab w:val="clear" w:pos="4513"/>
        <w:tab w:val="clear" w:pos="9026"/>
        <w:tab w:val="left" w:pos="1758"/>
      </w:tabs>
      <w:rPr>
        <w:noProof/>
      </w:rPr>
    </w:pPr>
    <w:r>
      <w:tab/>
    </w:r>
    <w:r>
      <w:t xml:space="preserve">                                                                                                                                 Page | </w:t>
    </w:r>
    <w:r>
      <w:fldChar w:fldCharType="begin"/>
    </w:r>
    <w:r>
      <w:instrText xml:space="preserve"> PAGE   \* MERGEFORMAT </w:instrText>
    </w:r>
    <w:r>
      <w:fldChar w:fldCharType="separate"/>
    </w:r>
    <w:r w:rsidR="002B6A0D">
      <w:rPr>
        <w:noProof/>
      </w:rPr>
      <w:t>2</w:t>
    </w:r>
    <w:r>
      <w:rPr>
        <w:noProof/>
      </w:rPr>
      <w:fldChar w:fldCharType="end"/>
    </w:r>
  </w:p>
  <w:p w:rsidR="000B36E1" w:rsidP="000B36E1" w:rsidRDefault="000B36E1" w14:paraId="4B5AA96B" w14:textId="77777777">
    <w:pPr>
      <w:pStyle w:val="Footer"/>
      <w:tabs>
        <w:tab w:val="clear" w:pos="4513"/>
        <w:tab w:val="clear" w:pos="9026"/>
        <w:tab w:val="left" w:pos="175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0B36E1" w:rsidRDefault="000B36E1" w14:paraId="7283D9E9" w14:textId="65FFA284">
    <w:pPr>
      <w:pStyle w:val="Footer"/>
    </w:pPr>
    <w:r>
      <w:rPr>
        <w:noProof/>
        <w:lang w:eastAsia="en-GB"/>
      </w:rPr>
      <w:drawing>
        <wp:anchor distT="0" distB="0" distL="114300" distR="114300" simplePos="0" relativeHeight="251664384" behindDoc="0" locked="0" layoutInCell="1" allowOverlap="1" wp14:anchorId="1B0A9499" wp14:editId="3FC21F28">
          <wp:simplePos x="0" y="0"/>
          <wp:positionH relativeFrom="margin">
            <wp:align>center</wp:align>
          </wp:positionH>
          <wp:positionV relativeFrom="margin">
            <wp:posOffset>8340560</wp:posOffset>
          </wp:positionV>
          <wp:extent cx="7000002" cy="509268"/>
          <wp:effectExtent l="0" t="0" r="0" b="5715"/>
          <wp:wrapNone/>
          <wp:docPr id="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00002" cy="509268"/>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43C5C" w:rsidP="000B352B" w:rsidRDefault="00D43C5C" w14:paraId="50A3907F" w14:textId="77777777">
      <w:pPr>
        <w:spacing w:after="0" w:line="240" w:lineRule="auto"/>
      </w:pPr>
      <w:r>
        <w:separator/>
      </w:r>
    </w:p>
  </w:footnote>
  <w:footnote w:type="continuationSeparator" w:id="0">
    <w:p w:rsidR="00D43C5C" w:rsidP="000B352B" w:rsidRDefault="00D43C5C" w14:paraId="31E0A16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B57BA" w:rsidRDefault="009B57BA" w14:paraId="2AE44F5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E0434" w:rsidR="009E2F15" w:rsidP="003A79BD" w:rsidRDefault="009E2F15" w14:paraId="18A30C4B" w14:textId="45456900">
    <w:pPr>
      <w:pStyle w:val="Header"/>
      <w:ind w:right="-1"/>
      <w:rPr>
        <w:rFonts w:ascii="Arial" w:hAnsi="Arial" w:cs="Arial"/>
        <w:color w:val="0E0E0E"/>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0B36E1" w:rsidP="000B36E1" w:rsidRDefault="000B36E1" w14:paraId="7E317012" w14:textId="503FBB81">
    <w:pPr>
      <w:pStyle w:val="Header"/>
      <w:tabs>
        <w:tab w:val="clear" w:pos="9026"/>
        <w:tab w:val="right" w:pos="10065"/>
      </w:tabs>
      <w:ind w:right="-1039"/>
      <w:jc w:val="right"/>
      <w:rPr>
        <w:rFonts w:ascii="Arial" w:hAnsi="Arial" w:cs="Arial"/>
        <w:color w:val="0E0E0E"/>
        <w:sz w:val="20"/>
        <w:szCs w:val="20"/>
      </w:rPr>
    </w:pPr>
    <w:r w:rsidRPr="005E0434">
      <w:rPr>
        <w:noProof/>
        <w:color w:val="0E0E0E"/>
        <w:lang w:eastAsia="en-GB"/>
      </w:rPr>
      <w:drawing>
        <wp:anchor distT="0" distB="0" distL="114300" distR="114300" simplePos="0" relativeHeight="251662336" behindDoc="0" locked="0" layoutInCell="1" allowOverlap="1" wp14:anchorId="607EDBB9" wp14:editId="5981AFF7">
          <wp:simplePos x="0" y="0"/>
          <wp:positionH relativeFrom="margin">
            <wp:posOffset>-699770</wp:posOffset>
          </wp:positionH>
          <wp:positionV relativeFrom="margin">
            <wp:posOffset>-1206817</wp:posOffset>
          </wp:positionV>
          <wp:extent cx="2800350" cy="49657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00350" cy="496570"/>
                  </a:xfrm>
                  <a:prstGeom prst="rect">
                    <a:avLst/>
                  </a:prstGeom>
                  <a:noFill/>
                </pic:spPr>
              </pic:pic>
            </a:graphicData>
          </a:graphic>
          <wp14:sizeRelH relativeFrom="page">
            <wp14:pctWidth>0</wp14:pctWidth>
          </wp14:sizeRelH>
          <wp14:sizeRelV relativeFrom="page">
            <wp14:pctHeight>0</wp14:pctHeight>
          </wp14:sizeRelV>
        </wp:anchor>
      </w:drawing>
    </w:r>
    <w:r>
      <w:tab/>
    </w:r>
    <w:r w:rsidRPr="005E0434">
      <w:rPr>
        <w:noProof/>
        <w:color w:val="0E0E0E"/>
        <w:lang w:eastAsia="en-GB"/>
      </w:rPr>
      <w:softHyphen/>
    </w:r>
    <w:r w:rsidR="0003729F">
      <w:rPr>
        <w:rFonts w:ascii="Arial" w:hAnsi="Arial" w:cs="Arial"/>
        <w:color w:val="0E0E0E"/>
        <w:sz w:val="20"/>
        <w:szCs w:val="20"/>
      </w:rPr>
      <w:t>2</w:t>
    </w:r>
    <w:r w:rsidRPr="0003729F" w:rsidR="0003729F">
      <w:rPr>
        <w:rFonts w:ascii="Arial" w:hAnsi="Arial" w:cs="Arial"/>
        <w:color w:val="0E0E0E"/>
        <w:sz w:val="20"/>
        <w:szCs w:val="20"/>
        <w:vertAlign w:val="superscript"/>
      </w:rPr>
      <w:t>nd</w:t>
    </w:r>
    <w:r w:rsidR="0003729F">
      <w:rPr>
        <w:rFonts w:ascii="Arial" w:hAnsi="Arial" w:cs="Arial"/>
        <w:color w:val="0E0E0E"/>
        <w:sz w:val="20"/>
        <w:szCs w:val="20"/>
      </w:rPr>
      <w:t xml:space="preserve"> Floor</w:t>
    </w:r>
  </w:p>
  <w:p w:rsidRPr="005E0434" w:rsidR="0003729F" w:rsidP="000B36E1" w:rsidRDefault="0003729F" w14:paraId="3809122A" w14:textId="119E090B">
    <w:pPr>
      <w:pStyle w:val="Header"/>
      <w:tabs>
        <w:tab w:val="clear" w:pos="9026"/>
        <w:tab w:val="right" w:pos="10065"/>
      </w:tabs>
      <w:ind w:right="-1039"/>
      <w:jc w:val="right"/>
      <w:rPr>
        <w:rFonts w:ascii="Arial" w:hAnsi="Arial" w:cs="Arial"/>
        <w:color w:val="0E0E0E"/>
        <w:sz w:val="20"/>
        <w:szCs w:val="20"/>
      </w:rPr>
    </w:pPr>
    <w:r>
      <w:rPr>
        <w:rFonts w:ascii="Arial" w:hAnsi="Arial" w:cs="Arial"/>
        <w:color w:val="0E0E0E"/>
        <w:sz w:val="20"/>
        <w:szCs w:val="20"/>
      </w:rPr>
      <w:t>2 Redm</w:t>
    </w:r>
    <w:r w:rsidR="00E67BD1">
      <w:rPr>
        <w:rFonts w:ascii="Arial" w:hAnsi="Arial" w:cs="Arial"/>
        <w:color w:val="0E0E0E"/>
        <w:sz w:val="20"/>
        <w:szCs w:val="20"/>
      </w:rPr>
      <w:t>an</w:t>
    </w:r>
    <w:r>
      <w:rPr>
        <w:rFonts w:ascii="Arial" w:hAnsi="Arial" w:cs="Arial"/>
        <w:color w:val="0E0E0E"/>
        <w:sz w:val="20"/>
        <w:szCs w:val="20"/>
      </w:rPr>
      <w:t xml:space="preserve"> Place</w:t>
    </w:r>
  </w:p>
  <w:p w:rsidRPr="005E0434" w:rsidR="000B36E1" w:rsidP="000B36E1" w:rsidRDefault="000B36E1" w14:paraId="49A56729" w14:textId="77777777">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softHyphen/>
      <w:t>London</w:t>
    </w:r>
  </w:p>
  <w:p w:rsidRPr="005E0434" w:rsidR="000B36E1" w:rsidP="000B36E1" w:rsidRDefault="0003729F" w14:paraId="69737D36" w14:textId="720B211D">
    <w:pPr>
      <w:pStyle w:val="Header"/>
      <w:tabs>
        <w:tab w:val="clear" w:pos="9026"/>
        <w:tab w:val="right" w:pos="10065"/>
      </w:tabs>
      <w:ind w:right="-1039"/>
      <w:jc w:val="right"/>
      <w:rPr>
        <w:rFonts w:ascii="Arial" w:hAnsi="Arial" w:cs="Arial"/>
        <w:color w:val="0E0E0E"/>
        <w:sz w:val="20"/>
        <w:szCs w:val="20"/>
      </w:rPr>
    </w:pPr>
    <w:r>
      <w:rPr>
        <w:rFonts w:ascii="Arial" w:hAnsi="Arial" w:cs="Arial"/>
        <w:color w:val="0E0E0E"/>
        <w:sz w:val="20"/>
        <w:szCs w:val="20"/>
      </w:rPr>
      <w:t>E20 1JQ</w:t>
    </w:r>
  </w:p>
  <w:p w:rsidRPr="005E0434" w:rsidR="000B36E1" w:rsidP="000B36E1" w:rsidRDefault="000B36E1" w14:paraId="0E978159" w14:textId="77777777">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t>United Kingdom</w:t>
    </w:r>
  </w:p>
  <w:p w:rsidRPr="005E0434" w:rsidR="000B36E1" w:rsidP="000B36E1" w:rsidRDefault="000B36E1" w14:paraId="6549E90E" w14:textId="77777777">
    <w:pPr>
      <w:pStyle w:val="Header"/>
      <w:tabs>
        <w:tab w:val="clear" w:pos="9026"/>
        <w:tab w:val="right" w:pos="10065"/>
      </w:tabs>
      <w:ind w:right="-1039"/>
      <w:jc w:val="right"/>
      <w:rPr>
        <w:rFonts w:ascii="Arial" w:hAnsi="Arial" w:cs="Arial"/>
        <w:color w:val="0E0E0E"/>
        <w:sz w:val="20"/>
        <w:szCs w:val="20"/>
      </w:rPr>
    </w:pPr>
  </w:p>
  <w:p w:rsidRPr="003A3E2E" w:rsidR="000B36E1" w:rsidP="003A3E2E" w:rsidRDefault="003A3E2E" w14:paraId="17F30120" w14:textId="7A0D7C0A">
    <w:pPr>
      <w:pStyle w:val="Header"/>
      <w:tabs>
        <w:tab w:val="clear" w:pos="9026"/>
        <w:tab w:val="right" w:pos="10065"/>
      </w:tabs>
      <w:ind w:right="-1039"/>
      <w:jc w:val="right"/>
      <w:rPr>
        <w:rFonts w:ascii="Lato" w:hAnsi="Lato" w:cs="Arial"/>
        <w:color w:val="0E0E0E"/>
        <w:sz w:val="20"/>
        <w:szCs w:val="20"/>
      </w:rPr>
    </w:pPr>
    <w:r w:rsidRPr="003A3E2E">
      <w:rPr>
        <w:rFonts w:ascii="Lato" w:hAnsi="Lato" w:cs="Segoe UI"/>
        <w:color w:val="000000"/>
        <w:sz w:val="20"/>
        <w:szCs w:val="20"/>
      </w:rPr>
      <w:t>+44 (0)300 323 0140</w:t>
    </w:r>
  </w:p>
  <w:p w:rsidR="000B36E1" w:rsidP="000B36E1" w:rsidRDefault="000B36E1" w14:paraId="5D75BB6C" w14:textId="09F7B041">
    <w:pPr>
      <w:pStyle w:val="Header"/>
      <w:tabs>
        <w:tab w:val="clear" w:pos="4513"/>
        <w:tab w:val="clear" w:pos="9026"/>
        <w:tab w:val="left" w:pos="155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352E09"/>
    <w:multiLevelType w:val="hybridMultilevel"/>
    <w:tmpl w:val="D08DC7B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5A36EE"/>
    <w:multiLevelType w:val="hybridMultilevel"/>
    <w:tmpl w:val="040810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F52E51"/>
    <w:multiLevelType w:val="hybridMultilevel"/>
    <w:tmpl w:val="103047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DC41087"/>
    <w:multiLevelType w:val="hybridMultilevel"/>
    <w:tmpl w:val="D2ACA6B8"/>
    <w:lvl w:ilvl="0" w:tplc="FFFFFFFF">
      <w:start w:val="1"/>
      <w:numFmt w:val="bullet"/>
      <w:lvlText w:val=""/>
      <w:lvlJc w:val="left"/>
      <w:pPr>
        <w:tabs>
          <w:tab w:val="num" w:pos="720"/>
        </w:tabs>
        <w:ind w:left="720" w:hanging="360"/>
      </w:pPr>
      <w:rPr>
        <w:rFonts w:hint="default" w:ascii="Symbol" w:hAnsi="Symbol"/>
      </w:rPr>
    </w:lvl>
    <w:lvl w:ilvl="1" w:tplc="FFFFFFFF" w:tentative="1">
      <w:start w:val="1"/>
      <w:numFmt w:val="bullet"/>
      <w:lvlText w:val="o"/>
      <w:lvlJc w:val="left"/>
      <w:pPr>
        <w:tabs>
          <w:tab w:val="num" w:pos="1440"/>
        </w:tabs>
        <w:ind w:left="1440" w:hanging="360"/>
      </w:pPr>
      <w:rPr>
        <w:rFonts w:hint="default" w:ascii="Courier New" w:hAnsi="Courier New" w:cs="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228339CB"/>
    <w:multiLevelType w:val="hybridMultilevel"/>
    <w:tmpl w:val="A5EAA86A"/>
    <w:lvl w:ilvl="0" w:tplc="0809000F">
      <w:start w:val="1"/>
      <w:numFmt w:val="decimal"/>
      <w:lvlText w:val="%1."/>
      <w:lvlJc w:val="left"/>
      <w:pPr>
        <w:ind w:left="750" w:hanging="360"/>
      </w:p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5" w15:restartNumberingAfterBreak="0">
    <w:nsid w:val="27B45910"/>
    <w:multiLevelType w:val="hybridMultilevel"/>
    <w:tmpl w:val="117AC0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42F1D0C"/>
    <w:multiLevelType w:val="hybridMultilevel"/>
    <w:tmpl w:val="79C26A16"/>
    <w:lvl w:ilvl="0" w:tplc="B0DA3534">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23D626D"/>
    <w:multiLevelType w:val="hybridMultilevel"/>
    <w:tmpl w:val="5BE256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52E42DB3"/>
    <w:multiLevelType w:val="hybridMultilevel"/>
    <w:tmpl w:val="4538CF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9C93D14"/>
    <w:multiLevelType w:val="multilevel"/>
    <w:tmpl w:val="EDC2B0A0"/>
    <w:lvl w:ilvl="0">
      <w:start w:val="1"/>
      <w:numFmt w:val="decimal"/>
      <w:pStyle w:val="Paragraph"/>
      <w:lvlText w:val="%1."/>
      <w:lvlJc w:val="left"/>
      <w:pPr>
        <w:ind w:left="851" w:hanging="851"/>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61A545E2"/>
    <w:multiLevelType w:val="hybridMultilevel"/>
    <w:tmpl w:val="9028B44C"/>
    <w:lvl w:ilvl="0" w:tplc="A6907310">
      <w:start w:val="1"/>
      <w:numFmt w:val="lowerRoman"/>
      <w:lvlText w:val="(%1)"/>
      <w:lvlJc w:val="left"/>
      <w:pPr>
        <w:ind w:left="330" w:hanging="720"/>
      </w:pPr>
      <w:rPr>
        <w:rFonts w:hint="default"/>
      </w:rPr>
    </w:lvl>
    <w:lvl w:ilvl="1" w:tplc="08090019" w:tentative="1">
      <w:start w:val="1"/>
      <w:numFmt w:val="lowerLetter"/>
      <w:lvlText w:val="%2."/>
      <w:lvlJc w:val="left"/>
      <w:pPr>
        <w:ind w:left="690" w:hanging="360"/>
      </w:pPr>
    </w:lvl>
    <w:lvl w:ilvl="2" w:tplc="0809001B" w:tentative="1">
      <w:start w:val="1"/>
      <w:numFmt w:val="lowerRoman"/>
      <w:lvlText w:val="%3."/>
      <w:lvlJc w:val="right"/>
      <w:pPr>
        <w:ind w:left="1410" w:hanging="180"/>
      </w:pPr>
    </w:lvl>
    <w:lvl w:ilvl="3" w:tplc="0809000F" w:tentative="1">
      <w:start w:val="1"/>
      <w:numFmt w:val="decimal"/>
      <w:lvlText w:val="%4."/>
      <w:lvlJc w:val="left"/>
      <w:pPr>
        <w:ind w:left="2130" w:hanging="360"/>
      </w:pPr>
    </w:lvl>
    <w:lvl w:ilvl="4" w:tplc="08090019" w:tentative="1">
      <w:start w:val="1"/>
      <w:numFmt w:val="lowerLetter"/>
      <w:lvlText w:val="%5."/>
      <w:lvlJc w:val="left"/>
      <w:pPr>
        <w:ind w:left="2850" w:hanging="360"/>
      </w:pPr>
    </w:lvl>
    <w:lvl w:ilvl="5" w:tplc="0809001B" w:tentative="1">
      <w:start w:val="1"/>
      <w:numFmt w:val="lowerRoman"/>
      <w:lvlText w:val="%6."/>
      <w:lvlJc w:val="right"/>
      <w:pPr>
        <w:ind w:left="3570" w:hanging="180"/>
      </w:pPr>
    </w:lvl>
    <w:lvl w:ilvl="6" w:tplc="0809000F" w:tentative="1">
      <w:start w:val="1"/>
      <w:numFmt w:val="decimal"/>
      <w:lvlText w:val="%7."/>
      <w:lvlJc w:val="left"/>
      <w:pPr>
        <w:ind w:left="4290" w:hanging="360"/>
      </w:pPr>
    </w:lvl>
    <w:lvl w:ilvl="7" w:tplc="08090019" w:tentative="1">
      <w:start w:val="1"/>
      <w:numFmt w:val="lowerLetter"/>
      <w:lvlText w:val="%8."/>
      <w:lvlJc w:val="left"/>
      <w:pPr>
        <w:ind w:left="5010" w:hanging="360"/>
      </w:pPr>
    </w:lvl>
    <w:lvl w:ilvl="8" w:tplc="0809001B" w:tentative="1">
      <w:start w:val="1"/>
      <w:numFmt w:val="lowerRoman"/>
      <w:lvlText w:val="%9."/>
      <w:lvlJc w:val="right"/>
      <w:pPr>
        <w:ind w:left="5730" w:hanging="180"/>
      </w:pPr>
    </w:lvl>
  </w:abstractNum>
  <w:abstractNum w:abstractNumId="11" w15:restartNumberingAfterBreak="0">
    <w:nsid w:val="720447EF"/>
    <w:multiLevelType w:val="hybridMultilevel"/>
    <w:tmpl w:val="9A4033DC"/>
    <w:lvl w:ilvl="0" w:tplc="4CCEF02E">
      <w:start w:val="2"/>
      <w:numFmt w:val="bullet"/>
      <w:lvlText w:val="•"/>
      <w:lvlJc w:val="left"/>
      <w:pPr>
        <w:ind w:left="1080" w:hanging="72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742D3DD1"/>
    <w:multiLevelType w:val="hybridMultilevel"/>
    <w:tmpl w:val="896A2E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14081330">
    <w:abstractNumId w:val="3"/>
  </w:num>
  <w:num w:numId="2" w16cid:durableId="1239897750">
    <w:abstractNumId w:val="9"/>
  </w:num>
  <w:num w:numId="3" w16cid:durableId="724110161">
    <w:abstractNumId w:val="4"/>
  </w:num>
  <w:num w:numId="4" w16cid:durableId="99180155">
    <w:abstractNumId w:val="10"/>
  </w:num>
  <w:num w:numId="5" w16cid:durableId="1481845086">
    <w:abstractNumId w:val="0"/>
  </w:num>
  <w:num w:numId="6" w16cid:durableId="423919277">
    <w:abstractNumId w:val="6"/>
  </w:num>
  <w:num w:numId="7" w16cid:durableId="20083576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73738768">
    <w:abstractNumId w:val="8"/>
  </w:num>
  <w:num w:numId="9" w16cid:durableId="1504122631">
    <w:abstractNumId w:val="12"/>
  </w:num>
  <w:num w:numId="10" w16cid:durableId="142815855">
    <w:abstractNumId w:val="1"/>
  </w:num>
  <w:num w:numId="11" w16cid:durableId="1220823372">
    <w:abstractNumId w:val="5"/>
  </w:num>
  <w:num w:numId="12" w16cid:durableId="831869233">
    <w:abstractNumId w:val="2"/>
  </w:num>
  <w:num w:numId="13" w16cid:durableId="266886962">
    <w:abstractNumId w:val="7"/>
  </w:num>
  <w:num w:numId="14" w16cid:durableId="1502427830">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attachedTemplate r:id="rId1"/>
  <w:trackRevisions w:val="false"/>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AA4"/>
    <w:rsid w:val="0003729F"/>
    <w:rsid w:val="000468DC"/>
    <w:rsid w:val="000641E7"/>
    <w:rsid w:val="00085181"/>
    <w:rsid w:val="000B104A"/>
    <w:rsid w:val="000B352B"/>
    <w:rsid w:val="000B36E1"/>
    <w:rsid w:val="00107BE6"/>
    <w:rsid w:val="00144F73"/>
    <w:rsid w:val="0014732A"/>
    <w:rsid w:val="00176AA4"/>
    <w:rsid w:val="001D5BD2"/>
    <w:rsid w:val="001E0317"/>
    <w:rsid w:val="001F3962"/>
    <w:rsid w:val="0022689E"/>
    <w:rsid w:val="00252933"/>
    <w:rsid w:val="002B6A0D"/>
    <w:rsid w:val="0031750D"/>
    <w:rsid w:val="00320722"/>
    <w:rsid w:val="00321B75"/>
    <w:rsid w:val="003372D1"/>
    <w:rsid w:val="00371B99"/>
    <w:rsid w:val="003936B7"/>
    <w:rsid w:val="003A3E2E"/>
    <w:rsid w:val="003A79BD"/>
    <w:rsid w:val="003B2535"/>
    <w:rsid w:val="003D614E"/>
    <w:rsid w:val="0040409D"/>
    <w:rsid w:val="004215D9"/>
    <w:rsid w:val="0043022B"/>
    <w:rsid w:val="00453738"/>
    <w:rsid w:val="00453774"/>
    <w:rsid w:val="00480405"/>
    <w:rsid w:val="00485EB5"/>
    <w:rsid w:val="00490CDB"/>
    <w:rsid w:val="00493D2F"/>
    <w:rsid w:val="004B1A47"/>
    <w:rsid w:val="004C2D22"/>
    <w:rsid w:val="004E1C1C"/>
    <w:rsid w:val="004E4493"/>
    <w:rsid w:val="004F29D7"/>
    <w:rsid w:val="004F39B0"/>
    <w:rsid w:val="00545445"/>
    <w:rsid w:val="00593F3D"/>
    <w:rsid w:val="005A42E5"/>
    <w:rsid w:val="005A7A7D"/>
    <w:rsid w:val="005B078B"/>
    <w:rsid w:val="005C388B"/>
    <w:rsid w:val="005C7480"/>
    <w:rsid w:val="005E0434"/>
    <w:rsid w:val="005E2A58"/>
    <w:rsid w:val="00641CEB"/>
    <w:rsid w:val="006628FF"/>
    <w:rsid w:val="00671EF3"/>
    <w:rsid w:val="0069376C"/>
    <w:rsid w:val="006D0C62"/>
    <w:rsid w:val="006F031D"/>
    <w:rsid w:val="0072577F"/>
    <w:rsid w:val="00732227"/>
    <w:rsid w:val="0079326E"/>
    <w:rsid w:val="007B36FA"/>
    <w:rsid w:val="007C64C6"/>
    <w:rsid w:val="007C7E5E"/>
    <w:rsid w:val="007D4914"/>
    <w:rsid w:val="00866617"/>
    <w:rsid w:val="008C081A"/>
    <w:rsid w:val="008E4AE4"/>
    <w:rsid w:val="00961369"/>
    <w:rsid w:val="009A01FD"/>
    <w:rsid w:val="009B57BA"/>
    <w:rsid w:val="009E2F15"/>
    <w:rsid w:val="009E5151"/>
    <w:rsid w:val="009F0476"/>
    <w:rsid w:val="00A0226C"/>
    <w:rsid w:val="00A84AF4"/>
    <w:rsid w:val="00AD3112"/>
    <w:rsid w:val="00AD7658"/>
    <w:rsid w:val="00AE303D"/>
    <w:rsid w:val="00AE670F"/>
    <w:rsid w:val="00B24360"/>
    <w:rsid w:val="00B24F6C"/>
    <w:rsid w:val="00B32B71"/>
    <w:rsid w:val="00B737D4"/>
    <w:rsid w:val="00BB16DB"/>
    <w:rsid w:val="00BC7BE7"/>
    <w:rsid w:val="00C71B92"/>
    <w:rsid w:val="00C85906"/>
    <w:rsid w:val="00C96687"/>
    <w:rsid w:val="00CB1726"/>
    <w:rsid w:val="00CB4563"/>
    <w:rsid w:val="00CE085C"/>
    <w:rsid w:val="00CF62B0"/>
    <w:rsid w:val="00D22D3F"/>
    <w:rsid w:val="00D37DEC"/>
    <w:rsid w:val="00D43C5C"/>
    <w:rsid w:val="00D755E3"/>
    <w:rsid w:val="00D770E0"/>
    <w:rsid w:val="00DB178D"/>
    <w:rsid w:val="00DD43C2"/>
    <w:rsid w:val="00DE4C9B"/>
    <w:rsid w:val="00E03263"/>
    <w:rsid w:val="00E467E2"/>
    <w:rsid w:val="00E60FCF"/>
    <w:rsid w:val="00E622D7"/>
    <w:rsid w:val="00E67BD1"/>
    <w:rsid w:val="00E70F23"/>
    <w:rsid w:val="00E7772A"/>
    <w:rsid w:val="00E86A2D"/>
    <w:rsid w:val="00EA3919"/>
    <w:rsid w:val="00EE6553"/>
    <w:rsid w:val="00F04994"/>
    <w:rsid w:val="00F11C0E"/>
    <w:rsid w:val="00F1265E"/>
    <w:rsid w:val="00F233EA"/>
    <w:rsid w:val="00F24B1D"/>
    <w:rsid w:val="00F47A04"/>
    <w:rsid w:val="00F70A40"/>
    <w:rsid w:val="00FB225B"/>
    <w:rsid w:val="00FC0EF1"/>
    <w:rsid w:val="00FE3296"/>
    <w:rsid w:val="2657E7D5"/>
    <w:rsid w:val="2D71C054"/>
    <w:rsid w:val="30D054C9"/>
    <w:rsid w:val="349D0B96"/>
    <w:rsid w:val="381EF3F5"/>
    <w:rsid w:val="38D47BB4"/>
    <w:rsid w:val="3BC85E4C"/>
    <w:rsid w:val="417EAD99"/>
    <w:rsid w:val="4A855B69"/>
    <w:rsid w:val="55A7FE18"/>
    <w:rsid w:val="6A2D1DFB"/>
    <w:rsid w:val="7554B09F"/>
    <w:rsid w:val="766271F5"/>
    <w:rsid w:val="7E3DC03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8A30C3A"/>
  <w15:docId w15:val="{5E5192C4-7C1C-460D-BFA5-1A9E65B2B17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468DC"/>
    <w:pPr>
      <w:spacing w:after="200" w:line="276" w:lineRule="auto"/>
    </w:pPr>
    <w:rPr>
      <w:sz w:val="22"/>
      <w:szCs w:val="2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B352B"/>
    <w:pPr>
      <w:tabs>
        <w:tab w:val="center" w:pos="4513"/>
        <w:tab w:val="right" w:pos="9026"/>
      </w:tabs>
      <w:spacing w:after="0" w:line="240" w:lineRule="auto"/>
    </w:pPr>
  </w:style>
  <w:style w:type="character" w:styleId="HeaderChar" w:customStyle="1">
    <w:name w:val="Header Char"/>
    <w:basedOn w:val="DefaultParagraphFont"/>
    <w:link w:val="Header"/>
    <w:uiPriority w:val="99"/>
    <w:rsid w:val="000B352B"/>
  </w:style>
  <w:style w:type="paragraph" w:styleId="Footer">
    <w:name w:val="footer"/>
    <w:basedOn w:val="Normal"/>
    <w:link w:val="FooterChar"/>
    <w:uiPriority w:val="99"/>
    <w:unhideWhenUsed/>
    <w:rsid w:val="000B352B"/>
    <w:pPr>
      <w:tabs>
        <w:tab w:val="center" w:pos="4513"/>
        <w:tab w:val="right" w:pos="9026"/>
      </w:tabs>
      <w:spacing w:after="0" w:line="240" w:lineRule="auto"/>
    </w:pPr>
  </w:style>
  <w:style w:type="character" w:styleId="FooterChar" w:customStyle="1">
    <w:name w:val="Footer Char"/>
    <w:basedOn w:val="DefaultParagraphFont"/>
    <w:link w:val="Footer"/>
    <w:uiPriority w:val="99"/>
    <w:rsid w:val="000B352B"/>
  </w:style>
  <w:style w:type="paragraph" w:styleId="BalloonText">
    <w:name w:val="Balloon Text"/>
    <w:basedOn w:val="Normal"/>
    <w:link w:val="BalloonTextChar"/>
    <w:uiPriority w:val="99"/>
    <w:semiHidden/>
    <w:unhideWhenUsed/>
    <w:rsid w:val="000B352B"/>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0B352B"/>
    <w:rPr>
      <w:rFonts w:ascii="Tahoma" w:hAnsi="Tahoma" w:cs="Tahoma"/>
      <w:sz w:val="16"/>
      <w:szCs w:val="16"/>
    </w:rPr>
  </w:style>
  <w:style w:type="paragraph" w:styleId="Paragraph" w:customStyle="1">
    <w:name w:val="Paragraph"/>
    <w:basedOn w:val="Normal"/>
    <w:uiPriority w:val="4"/>
    <w:qFormat/>
    <w:rsid w:val="009A01FD"/>
    <w:pPr>
      <w:numPr>
        <w:numId w:val="2"/>
      </w:numPr>
      <w:spacing w:before="240" w:after="240"/>
    </w:pPr>
    <w:rPr>
      <w:rFonts w:ascii="Arial" w:hAnsi="Arial" w:eastAsia="Times New Roman"/>
      <w:sz w:val="24"/>
      <w:szCs w:val="24"/>
      <w:lang w:eastAsia="en-GB"/>
    </w:rPr>
  </w:style>
  <w:style w:type="character" w:styleId="Hyperlink">
    <w:name w:val="Hyperlink"/>
    <w:basedOn w:val="DefaultParagraphFont"/>
    <w:uiPriority w:val="99"/>
    <w:unhideWhenUsed/>
    <w:rsid w:val="009A01FD"/>
    <w:rPr>
      <w:color w:val="0000FF" w:themeColor="hyperlink"/>
      <w:u w:val="single"/>
    </w:rPr>
  </w:style>
  <w:style w:type="character" w:styleId="UnresolvedMention1" w:customStyle="1">
    <w:name w:val="Unresolved Mention1"/>
    <w:basedOn w:val="DefaultParagraphFont"/>
    <w:uiPriority w:val="99"/>
    <w:semiHidden/>
    <w:unhideWhenUsed/>
    <w:rsid w:val="009A01FD"/>
    <w:rPr>
      <w:color w:val="605E5C"/>
      <w:shd w:val="clear" w:color="auto" w:fill="E1DFDD"/>
    </w:rPr>
  </w:style>
  <w:style w:type="paragraph" w:styleId="ListParagraph">
    <w:name w:val="List Paragraph"/>
    <w:basedOn w:val="Normal"/>
    <w:uiPriority w:val="34"/>
    <w:qFormat/>
    <w:rsid w:val="00B737D4"/>
    <w:pPr>
      <w:spacing w:after="0" w:line="288" w:lineRule="auto"/>
      <w:ind w:left="720"/>
      <w:contextualSpacing/>
    </w:pPr>
    <w:rPr>
      <w:rFonts w:ascii="Arial" w:hAnsi="Arial" w:eastAsia="Times New Roman"/>
      <w:sz w:val="20"/>
      <w:szCs w:val="20"/>
    </w:rPr>
  </w:style>
  <w:style w:type="character" w:styleId="CommentReference">
    <w:name w:val="annotation reference"/>
    <w:basedOn w:val="DefaultParagraphFont"/>
    <w:uiPriority w:val="99"/>
    <w:semiHidden/>
    <w:unhideWhenUsed/>
    <w:rsid w:val="00E467E2"/>
    <w:rPr>
      <w:sz w:val="16"/>
      <w:szCs w:val="16"/>
    </w:rPr>
  </w:style>
  <w:style w:type="paragraph" w:styleId="CommentText">
    <w:name w:val="annotation text"/>
    <w:basedOn w:val="Normal"/>
    <w:link w:val="CommentTextChar"/>
    <w:uiPriority w:val="99"/>
    <w:semiHidden/>
    <w:unhideWhenUsed/>
    <w:rsid w:val="00E467E2"/>
    <w:pPr>
      <w:spacing w:line="240" w:lineRule="auto"/>
    </w:pPr>
    <w:rPr>
      <w:sz w:val="20"/>
      <w:szCs w:val="20"/>
    </w:rPr>
  </w:style>
  <w:style w:type="character" w:styleId="CommentTextChar" w:customStyle="1">
    <w:name w:val="Comment Text Char"/>
    <w:basedOn w:val="DefaultParagraphFont"/>
    <w:link w:val="CommentText"/>
    <w:uiPriority w:val="99"/>
    <w:semiHidden/>
    <w:rsid w:val="00E467E2"/>
    <w:rPr>
      <w:lang w:eastAsia="en-US"/>
    </w:rPr>
  </w:style>
  <w:style w:type="paragraph" w:styleId="CommentSubject">
    <w:name w:val="annotation subject"/>
    <w:basedOn w:val="CommentText"/>
    <w:next w:val="CommentText"/>
    <w:link w:val="CommentSubjectChar"/>
    <w:uiPriority w:val="99"/>
    <w:semiHidden/>
    <w:unhideWhenUsed/>
    <w:rsid w:val="00E467E2"/>
    <w:rPr>
      <w:b/>
      <w:bCs/>
    </w:rPr>
  </w:style>
  <w:style w:type="character" w:styleId="CommentSubjectChar" w:customStyle="1">
    <w:name w:val="Comment Subject Char"/>
    <w:basedOn w:val="CommentTextChar"/>
    <w:link w:val="CommentSubject"/>
    <w:uiPriority w:val="99"/>
    <w:semiHidden/>
    <w:rsid w:val="00E467E2"/>
    <w:rPr>
      <w:b/>
      <w:bCs/>
      <w:lang w:eastAsia="en-US"/>
    </w:rPr>
  </w:style>
  <w:style w:type="paragraph" w:styleId="Revision">
    <w:name w:val="Revision"/>
    <w:hidden/>
    <w:uiPriority w:val="99"/>
    <w:semiHidden/>
    <w:rsid w:val="00F70A40"/>
    <w:rPr>
      <w:sz w:val="22"/>
      <w:szCs w:val="22"/>
      <w:lang w:eastAsia="en-US"/>
    </w:rPr>
  </w:style>
  <w:style w:type="paragraph" w:styleId="BodyText">
    <w:name w:val="Body Text"/>
    <w:basedOn w:val="Normal"/>
    <w:link w:val="BodyTextChar"/>
    <w:rsid w:val="00671EF3"/>
    <w:pPr>
      <w:spacing w:line="288" w:lineRule="auto"/>
    </w:pPr>
    <w:rPr>
      <w:rFonts w:ascii="Arial" w:hAnsi="Arial" w:eastAsia="Times New Roman"/>
      <w:color w:val="333333"/>
      <w:sz w:val="20"/>
      <w:szCs w:val="20"/>
    </w:rPr>
  </w:style>
  <w:style w:type="character" w:styleId="BodyTextChar" w:customStyle="1">
    <w:name w:val="Body Text Char"/>
    <w:basedOn w:val="DefaultParagraphFont"/>
    <w:link w:val="BodyText"/>
    <w:rsid w:val="00671EF3"/>
    <w:rPr>
      <w:rFonts w:ascii="Arial" w:hAnsi="Arial" w:eastAsia="Times New Roman"/>
      <w:color w:val="33333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07571">
      <w:bodyDiv w:val="1"/>
      <w:marLeft w:val="0"/>
      <w:marRight w:val="0"/>
      <w:marTop w:val="0"/>
      <w:marBottom w:val="0"/>
      <w:divBdr>
        <w:top w:val="none" w:sz="0" w:space="0" w:color="auto"/>
        <w:left w:val="none" w:sz="0" w:space="0" w:color="auto"/>
        <w:bottom w:val="none" w:sz="0" w:space="0" w:color="auto"/>
        <w:right w:val="none" w:sz="0" w:space="0" w:color="auto"/>
      </w:divBdr>
    </w:div>
    <w:div w:id="429393891">
      <w:bodyDiv w:val="1"/>
      <w:marLeft w:val="0"/>
      <w:marRight w:val="0"/>
      <w:marTop w:val="0"/>
      <w:marBottom w:val="0"/>
      <w:divBdr>
        <w:top w:val="none" w:sz="0" w:space="0" w:color="auto"/>
        <w:left w:val="none" w:sz="0" w:space="0" w:color="auto"/>
        <w:bottom w:val="none" w:sz="0" w:space="0" w:color="auto"/>
        <w:right w:val="none" w:sz="0" w:space="0" w:color="auto"/>
      </w:divBdr>
    </w:div>
    <w:div w:id="862284590">
      <w:bodyDiv w:val="1"/>
      <w:marLeft w:val="0"/>
      <w:marRight w:val="0"/>
      <w:marTop w:val="0"/>
      <w:marBottom w:val="0"/>
      <w:divBdr>
        <w:top w:val="none" w:sz="0" w:space="0" w:color="auto"/>
        <w:left w:val="none" w:sz="0" w:space="0" w:color="auto"/>
        <w:bottom w:val="none" w:sz="0" w:space="0" w:color="auto"/>
        <w:right w:val="none" w:sz="0" w:space="0" w:color="auto"/>
      </w:divBdr>
    </w:div>
    <w:div w:id="1069428360">
      <w:bodyDiv w:val="1"/>
      <w:marLeft w:val="0"/>
      <w:marRight w:val="0"/>
      <w:marTop w:val="0"/>
      <w:marBottom w:val="0"/>
      <w:divBdr>
        <w:top w:val="none" w:sz="0" w:space="0" w:color="auto"/>
        <w:left w:val="none" w:sz="0" w:space="0" w:color="auto"/>
        <w:bottom w:val="none" w:sz="0" w:space="0" w:color="auto"/>
        <w:right w:val="none" w:sz="0" w:space="0" w:color="auto"/>
      </w:divBdr>
    </w:div>
    <w:div w:id="1076708101">
      <w:bodyDiv w:val="1"/>
      <w:marLeft w:val="0"/>
      <w:marRight w:val="0"/>
      <w:marTop w:val="0"/>
      <w:marBottom w:val="0"/>
      <w:divBdr>
        <w:top w:val="none" w:sz="0" w:space="0" w:color="auto"/>
        <w:left w:val="none" w:sz="0" w:space="0" w:color="auto"/>
        <w:bottom w:val="none" w:sz="0" w:space="0" w:color="auto"/>
        <w:right w:val="none" w:sz="0" w:space="0" w:color="auto"/>
      </w:divBdr>
    </w:div>
    <w:div w:id="1169326003">
      <w:bodyDiv w:val="1"/>
      <w:marLeft w:val="0"/>
      <w:marRight w:val="0"/>
      <w:marTop w:val="0"/>
      <w:marBottom w:val="0"/>
      <w:divBdr>
        <w:top w:val="none" w:sz="0" w:space="0" w:color="auto"/>
        <w:left w:val="none" w:sz="0" w:space="0" w:color="auto"/>
        <w:bottom w:val="none" w:sz="0" w:space="0" w:color="auto"/>
        <w:right w:val="none" w:sz="0" w:space="0" w:color="auto"/>
      </w:divBdr>
    </w:div>
    <w:div w:id="1740320705">
      <w:bodyDiv w:val="1"/>
      <w:marLeft w:val="0"/>
      <w:marRight w:val="0"/>
      <w:marTop w:val="0"/>
      <w:marBottom w:val="0"/>
      <w:divBdr>
        <w:top w:val="none" w:sz="0" w:space="0" w:color="auto"/>
        <w:left w:val="none" w:sz="0" w:space="0" w:color="auto"/>
        <w:bottom w:val="none" w:sz="0" w:space="0" w:color="auto"/>
        <w:right w:val="none" w:sz="0" w:space="0" w:color="auto"/>
      </w:divBdr>
    </w:div>
    <w:div w:id="213051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ipley\AppData\Local\Temp\Rar$DIa0.751\NICE-Word-Master-Lond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00E5E64B980D458C754FFE05DEE26D" ma:contentTypeVersion="10" ma:contentTypeDescription="Create a new document." ma:contentTypeScope="" ma:versionID="889b3d9d1cf5d0d6c2c12b21bc0836da">
  <xsd:schema xmlns:xsd="http://www.w3.org/2001/XMLSchema" xmlns:xs="http://www.w3.org/2001/XMLSchema" xmlns:p="http://schemas.microsoft.com/office/2006/metadata/properties" xmlns:ns2="465a54fe-435b-4423-8fe2-c9a3626b31f7" xmlns:ns3="68f19371-ebe6-4483-8e72-73d36cd7064e" targetNamespace="http://schemas.microsoft.com/office/2006/metadata/properties" ma:root="true" ma:fieldsID="50adbc2a1eb477ef22c267c29b62d3cc" ns2:_="" ns3:_="">
    <xsd:import namespace="465a54fe-435b-4423-8fe2-c9a3626b31f7"/>
    <xsd:import namespace="68f19371-ebe6-4483-8e72-73d36cd706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a54fe-435b-4423-8fe2-c9a3626b3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f19371-ebe6-4483-8e72-73d36cd706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1 6 " ? > < p r o p e r t i e s   x m l n s = " h t t p : / / w w w . i m a n a g e . c o m / w o r k / x m l s c h e m a " >  
     < d o c u m e n t i d > A c t i v e 1 ! 1 5 5 5 0 3 4 5 0 . 1 < / d o c u m e n t i d >  
     < s e n d e r i d > A X Y S < / s e n d e r i d >  
     < s e n d e r e m a i l > A X S M I T H @ D A C B E A C H C R O F T . C O M < / s e n d e r e m a i l >  
     < l a s t m o d i f i e d > 2 0 2 4 - 0 5 - 3 1 T 1 1 : 4 6 : 0 0 . 0 0 0 0 0 0 0 + 0 1 : 0 0 < / l a s t m o d i f i e d >  
     < d a t a b a s e > A c t i v e 1 < / d a t a b a s e >  
 < / 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98212A-1A3B-43D7-9A7C-081A2D0B8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a54fe-435b-4423-8fe2-c9a3626b31f7"/>
    <ds:schemaRef ds:uri="68f19371-ebe6-4483-8e72-73d36cd706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2261F5-7443-4011-BEFD-A56A57456AFE}">
  <ds:schemaRefs>
    <ds:schemaRef ds:uri="http://schemas.openxmlformats.org/officeDocument/2006/bibliography"/>
  </ds:schemaRefs>
</ds:datastoreItem>
</file>

<file path=customXml/itemProps3.xml><?xml version="1.0" encoding="utf-8"?>
<ds:datastoreItem xmlns:ds="http://schemas.openxmlformats.org/officeDocument/2006/customXml" ds:itemID="{7E777923-F8E0-4FB6-A377-998B2DA5B64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2304B74-907B-4A80-B1B0-929C4C0B72F1}">
  <ds:schemaRefs>
    <ds:schemaRef ds:uri="http://www.imanage.com/work/xmlschema"/>
  </ds:schemaRefs>
</ds:datastoreItem>
</file>

<file path=customXml/itemProps5.xml><?xml version="1.0" encoding="utf-8"?>
<ds:datastoreItem xmlns:ds="http://schemas.openxmlformats.org/officeDocument/2006/customXml" ds:itemID="{30A85F76-9B9A-43F5-9462-86467CF56EF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NICE-Word-Master-London.dotx</ap:Template>
  <ap:Application>Microsoft Word for the web</ap:Application>
  <ap:DocSecurity>0</ap:DocSecurity>
  <ap:ScaleCrop>false</ap:ScaleCrop>
  <ap:Company>NICE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Paul Ripley</dc:creator>
  <lastModifiedBy>Lyn Davies</lastModifiedBy>
  <revision>15</revision>
  <lastPrinted>2017-02-13T09:51:00.0000000Z</lastPrinted>
  <dcterms:created xsi:type="dcterms:W3CDTF">2024-06-03T16:38:00.0000000Z</dcterms:created>
  <dcterms:modified xsi:type="dcterms:W3CDTF">2024-08-27T10:20:49.2097313Z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0x0101003300E5E64B980D458C754FFE05DEE26D</vt:lpwstr>
  </property>
  <property fmtid="{D5CDD505-2E9C-101B-9397-08002B2CF9AE}" pid="3" name="MSIP_Label_c69d85d5-6d9e-4305-a294-1f636ec0f2d6_Enabled">
    <vt:lpwstr>true</vt:lpwstr>
  </property>
  <property fmtid="{D5CDD505-2E9C-101B-9397-08002B2CF9AE}" pid="4" name="MSIP_Label_c69d85d5-6d9e-4305-a294-1f636ec0f2d6_SetDate">
    <vt:lpwstr>2024-06-03T16:38:28Z</vt:lpwstr>
  </property>
  <property fmtid="{D5CDD505-2E9C-101B-9397-08002B2CF9AE}" pid="5" name="MSIP_Label_c69d85d5-6d9e-4305-a294-1f636ec0f2d6_Method">
    <vt:lpwstr>Standard</vt:lpwstr>
  </property>
  <property fmtid="{D5CDD505-2E9C-101B-9397-08002B2CF9AE}" pid="6" name="MSIP_Label_c69d85d5-6d9e-4305-a294-1f636ec0f2d6_Name">
    <vt:lpwstr>OFFICIAL</vt:lpwstr>
  </property>
  <property fmtid="{D5CDD505-2E9C-101B-9397-08002B2CF9AE}" pid="7" name="MSIP_Label_c69d85d5-6d9e-4305-a294-1f636ec0f2d6_SiteId">
    <vt:lpwstr>6030f479-b342-472d-a5dd-740ff7538de9</vt:lpwstr>
  </property>
  <property fmtid="{D5CDD505-2E9C-101B-9397-08002B2CF9AE}" pid="8" name="MSIP_Label_c69d85d5-6d9e-4305-a294-1f636ec0f2d6_ActionId">
    <vt:lpwstr>45ba97cd-3efd-4bee-b7a7-7f21f8c5e19b</vt:lpwstr>
  </property>
  <property fmtid="{D5CDD505-2E9C-101B-9397-08002B2CF9AE}" pid="9" name="MSIP_Label_c69d85d5-6d9e-4305-a294-1f636ec0f2d6_ContentBits">
    <vt:lpwstr>0</vt:lpwstr>
  </property>
</Properties>
</file>