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68061A" w:rsidRDefault="0049456E" w14:paraId="5A74297D" w14:textId="77777777">
      <w:pPr>
        <w:pStyle w:val="BodyText"/>
        <w:ind w:left="114"/>
        <w:rPr>
          <w:rFonts w:ascii="Times New Roman"/>
          <w:sz w:val="20"/>
        </w:rPr>
      </w:pPr>
      <w:r>
        <w:rPr>
          <w:rFonts w:ascii="Times New Roman"/>
          <w:noProof/>
          <w:sz w:val="20"/>
        </w:rPr>
        <w:drawing>
          <wp:inline distT="0" distB="0" distL="0" distR="0" wp14:anchorId="5A7429A2" wp14:editId="5A7429A3">
            <wp:extent cx="3084827" cy="117043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3084827" cy="1170431"/>
                    </a:xfrm>
                    <a:prstGeom prst="rect">
                      <a:avLst/>
                    </a:prstGeom>
                  </pic:spPr>
                </pic:pic>
              </a:graphicData>
            </a:graphic>
          </wp:inline>
        </w:drawing>
      </w:r>
    </w:p>
    <w:p w:rsidR="0068061A" w:rsidRDefault="0068061A" w14:paraId="5A74297E" w14:textId="77777777">
      <w:pPr>
        <w:pStyle w:val="BodyText"/>
        <w:spacing w:before="187"/>
        <w:ind w:left="0"/>
        <w:rPr>
          <w:rFonts w:ascii="Times New Roman"/>
        </w:rPr>
      </w:pPr>
    </w:p>
    <w:p w:rsidR="0068061A" w:rsidRDefault="0049456E" w14:paraId="5A74297F" w14:textId="77777777">
      <w:pPr>
        <w:pStyle w:val="BodyText"/>
        <w:spacing w:before="1"/>
      </w:pPr>
      <w:r>
        <w:t>24</w:t>
      </w:r>
      <w:r>
        <w:rPr>
          <w:spacing w:val="-3"/>
        </w:rPr>
        <w:t xml:space="preserve"> </w:t>
      </w:r>
      <w:r>
        <w:t>May</w:t>
      </w:r>
      <w:r>
        <w:rPr>
          <w:spacing w:val="-2"/>
        </w:rPr>
        <w:t xml:space="preserve"> </w:t>
      </w:r>
      <w:r>
        <w:rPr>
          <w:spacing w:val="-4"/>
        </w:rPr>
        <w:t>2024</w:t>
      </w:r>
    </w:p>
    <w:p w:rsidR="0068061A" w:rsidRDefault="0068061A" w14:paraId="5A742980" w14:textId="77777777">
      <w:pPr>
        <w:pStyle w:val="BodyText"/>
        <w:spacing w:before="264"/>
        <w:ind w:left="0"/>
      </w:pPr>
    </w:p>
    <w:p w:rsidR="0068061A" w:rsidRDefault="0049456E" w14:paraId="5A742981" w14:textId="77777777">
      <w:pPr>
        <w:pStyle w:val="BodyText"/>
      </w:pPr>
      <w:r>
        <w:t>Dr</w:t>
      </w:r>
      <w:r>
        <w:rPr>
          <w:spacing w:val="-3"/>
        </w:rPr>
        <w:t xml:space="preserve"> </w:t>
      </w:r>
      <w:r>
        <w:t>Mark</w:t>
      </w:r>
      <w:r>
        <w:rPr>
          <w:spacing w:val="-3"/>
        </w:rPr>
        <w:t xml:space="preserve"> </w:t>
      </w:r>
      <w:r>
        <w:rPr>
          <w:spacing w:val="-2"/>
        </w:rPr>
        <w:t>Chakravarty</w:t>
      </w:r>
    </w:p>
    <w:p w:rsidR="0068061A" w:rsidRDefault="0049456E" w14:paraId="5A742982" w14:textId="77777777">
      <w:pPr>
        <w:pStyle w:val="BodyText"/>
      </w:pPr>
      <w:r>
        <w:t>Lead</w:t>
      </w:r>
      <w:r>
        <w:rPr>
          <w:spacing w:val="-3"/>
        </w:rPr>
        <w:t xml:space="preserve"> </w:t>
      </w:r>
      <w:r>
        <w:t>Non-executive</w:t>
      </w:r>
      <w:r>
        <w:rPr>
          <w:spacing w:val="-3"/>
        </w:rPr>
        <w:t xml:space="preserve"> </w:t>
      </w:r>
      <w:r>
        <w:t>Director</w:t>
      </w:r>
      <w:r>
        <w:rPr>
          <w:spacing w:val="-3"/>
        </w:rPr>
        <w:t xml:space="preserve"> </w:t>
      </w:r>
      <w:r>
        <w:t>NICE</w:t>
      </w:r>
      <w:r>
        <w:rPr>
          <w:spacing w:val="-3"/>
        </w:rPr>
        <w:t xml:space="preserve"> </w:t>
      </w:r>
      <w:r>
        <w:t>Appeals</w:t>
      </w:r>
      <w:r>
        <w:rPr>
          <w:spacing w:val="-4"/>
        </w:rPr>
        <w:t xml:space="preserve"> </w:t>
      </w:r>
      <w:r>
        <w:t>–</w:t>
      </w:r>
      <w:r>
        <w:rPr>
          <w:spacing w:val="-3"/>
        </w:rPr>
        <w:t xml:space="preserve"> </w:t>
      </w:r>
      <w:r>
        <w:t>Technology</w:t>
      </w:r>
      <w:r>
        <w:rPr>
          <w:spacing w:val="-3"/>
        </w:rPr>
        <w:t xml:space="preserve"> </w:t>
      </w:r>
      <w:r>
        <w:t>Appraisals</w:t>
      </w:r>
      <w:r>
        <w:rPr>
          <w:spacing w:val="-3"/>
        </w:rPr>
        <w:t xml:space="preserve"> </w:t>
      </w:r>
      <w:r>
        <w:t>and</w:t>
      </w:r>
      <w:r>
        <w:rPr>
          <w:spacing w:val="-3"/>
        </w:rPr>
        <w:t xml:space="preserve"> </w:t>
      </w:r>
      <w:r>
        <w:t>Highly</w:t>
      </w:r>
      <w:r>
        <w:rPr>
          <w:spacing w:val="-3"/>
        </w:rPr>
        <w:t xml:space="preserve"> </w:t>
      </w:r>
      <w:r>
        <w:t>Specialised</w:t>
      </w:r>
      <w:r>
        <w:rPr>
          <w:spacing w:val="-3"/>
        </w:rPr>
        <w:t xml:space="preserve"> </w:t>
      </w:r>
      <w:r>
        <w:t>Technologies National Institute for Health and Care Excellence</w:t>
      </w:r>
    </w:p>
    <w:p w:rsidR="0068061A" w:rsidRDefault="0049456E" w14:paraId="5A742983" w14:textId="77777777">
      <w:pPr>
        <w:pStyle w:val="BodyText"/>
        <w:spacing w:before="1"/>
      </w:pPr>
      <w:r>
        <w:t>2</w:t>
      </w:r>
      <w:r>
        <w:rPr>
          <w:vertAlign w:val="superscript"/>
        </w:rPr>
        <w:t>nd</w:t>
      </w:r>
      <w:r>
        <w:rPr>
          <w:spacing w:val="-4"/>
        </w:rPr>
        <w:t xml:space="preserve"> </w:t>
      </w:r>
      <w:r>
        <w:rPr>
          <w:spacing w:val="-2"/>
        </w:rPr>
        <w:t>Floor</w:t>
      </w:r>
    </w:p>
    <w:p w:rsidR="0068061A" w:rsidRDefault="0049456E" w14:paraId="5A742984" w14:textId="77777777">
      <w:pPr>
        <w:pStyle w:val="BodyText"/>
        <w:ind w:right="7706"/>
      </w:pPr>
      <w:r>
        <w:t>2</w:t>
      </w:r>
      <w:r>
        <w:rPr>
          <w:spacing w:val="-12"/>
        </w:rPr>
        <w:t xml:space="preserve"> </w:t>
      </w:r>
      <w:r>
        <w:t>Redman</w:t>
      </w:r>
      <w:r>
        <w:rPr>
          <w:spacing w:val="-12"/>
        </w:rPr>
        <w:t xml:space="preserve"> </w:t>
      </w:r>
      <w:r>
        <w:t>Place London</w:t>
      </w:r>
      <w:r>
        <w:rPr>
          <w:spacing w:val="-5"/>
        </w:rPr>
        <w:t xml:space="preserve"> </w:t>
      </w:r>
      <w:r>
        <w:t>E20</w:t>
      </w:r>
      <w:r>
        <w:rPr>
          <w:spacing w:val="-4"/>
        </w:rPr>
        <w:t xml:space="preserve"> </w:t>
      </w:r>
      <w:r>
        <w:rPr>
          <w:spacing w:val="-5"/>
        </w:rPr>
        <w:t>1JQ</w:t>
      </w:r>
    </w:p>
    <w:p w:rsidR="0068061A" w:rsidRDefault="0068061A" w14:paraId="5A742985" w14:textId="77777777">
      <w:pPr>
        <w:pStyle w:val="BodyText"/>
        <w:ind w:left="0"/>
      </w:pPr>
    </w:p>
    <w:p w:rsidR="0068061A" w:rsidRDefault="0068061A" w14:paraId="5A742986" w14:textId="77777777">
      <w:pPr>
        <w:pStyle w:val="BodyText"/>
        <w:spacing w:before="1"/>
        <w:ind w:left="0"/>
      </w:pPr>
    </w:p>
    <w:p w:rsidR="0068061A" w:rsidRDefault="0049456E" w14:paraId="5A742987" w14:textId="77777777">
      <w:pPr>
        <w:pStyle w:val="BodyText"/>
      </w:pPr>
      <w:r>
        <w:t>Dear</w:t>
      </w:r>
      <w:r>
        <w:rPr>
          <w:spacing w:val="-5"/>
        </w:rPr>
        <w:t xml:space="preserve"> </w:t>
      </w:r>
      <w:r>
        <w:t>Dr</w:t>
      </w:r>
      <w:r>
        <w:rPr>
          <w:spacing w:val="-3"/>
        </w:rPr>
        <w:t xml:space="preserve"> </w:t>
      </w:r>
      <w:r>
        <w:rPr>
          <w:spacing w:val="-2"/>
        </w:rPr>
        <w:t>Chakravarty,</w:t>
      </w:r>
    </w:p>
    <w:p w:rsidR="0068061A" w:rsidRDefault="0068061A" w14:paraId="5A742988" w14:textId="77777777">
      <w:pPr>
        <w:pStyle w:val="BodyText"/>
        <w:ind w:left="0"/>
      </w:pPr>
    </w:p>
    <w:p w:rsidR="0068061A" w:rsidRDefault="0049456E" w14:paraId="5A742989" w14:textId="77777777">
      <w:pPr>
        <w:pStyle w:val="Heading1"/>
        <w:spacing w:before="1"/>
      </w:pPr>
      <w:r>
        <w:t>Re:</w:t>
      </w:r>
      <w:r>
        <w:rPr>
          <w:spacing w:val="-3"/>
        </w:rPr>
        <w:t xml:space="preserve"> </w:t>
      </w:r>
      <w:r>
        <w:t>Final</w:t>
      </w:r>
      <w:r>
        <w:rPr>
          <w:spacing w:val="-3"/>
        </w:rPr>
        <w:t xml:space="preserve"> </w:t>
      </w:r>
      <w:r>
        <w:t>Appraisal</w:t>
      </w:r>
      <w:r>
        <w:rPr>
          <w:spacing w:val="-3"/>
        </w:rPr>
        <w:t xml:space="preserve"> </w:t>
      </w:r>
      <w:r>
        <w:t>Determination</w:t>
      </w:r>
      <w:r>
        <w:rPr>
          <w:spacing w:val="-3"/>
        </w:rPr>
        <w:t xml:space="preserve"> </w:t>
      </w:r>
      <w:r>
        <w:t>–</w:t>
      </w:r>
      <w:r>
        <w:rPr>
          <w:spacing w:val="-3"/>
        </w:rPr>
        <w:t xml:space="preserve"> </w:t>
      </w:r>
      <w:r>
        <w:t>Fenfluramine</w:t>
      </w:r>
      <w:r>
        <w:rPr>
          <w:spacing w:val="-3"/>
        </w:rPr>
        <w:t xml:space="preserve"> </w:t>
      </w:r>
      <w:r>
        <w:t>for</w:t>
      </w:r>
      <w:r>
        <w:rPr>
          <w:spacing w:val="-3"/>
        </w:rPr>
        <w:t xml:space="preserve"> </w:t>
      </w:r>
      <w:r>
        <w:t>treating</w:t>
      </w:r>
      <w:r>
        <w:rPr>
          <w:spacing w:val="-3"/>
        </w:rPr>
        <w:t xml:space="preserve"> </w:t>
      </w:r>
      <w:r>
        <w:t>seizures</w:t>
      </w:r>
      <w:r>
        <w:rPr>
          <w:spacing w:val="-3"/>
        </w:rPr>
        <w:t xml:space="preserve"> </w:t>
      </w:r>
      <w:r>
        <w:t>associated</w:t>
      </w:r>
      <w:r>
        <w:rPr>
          <w:spacing w:val="-3"/>
        </w:rPr>
        <w:t xml:space="preserve"> </w:t>
      </w:r>
      <w:r>
        <w:t>with</w:t>
      </w:r>
      <w:r>
        <w:rPr>
          <w:spacing w:val="-3"/>
        </w:rPr>
        <w:t xml:space="preserve"> </w:t>
      </w:r>
      <w:r>
        <w:t>Lennox-Gastuat Syndrome in people 2 years and over (ID1651)</w:t>
      </w:r>
    </w:p>
    <w:p w:rsidR="0068061A" w:rsidRDefault="0068061A" w14:paraId="5A74298A" w14:textId="77777777">
      <w:pPr>
        <w:pStyle w:val="BodyText"/>
        <w:ind w:left="0"/>
        <w:rPr>
          <w:b/>
        </w:rPr>
      </w:pPr>
    </w:p>
    <w:p w:rsidR="0068061A" w:rsidRDefault="0049456E" w14:paraId="5A74298B" w14:textId="77777777">
      <w:pPr>
        <w:pStyle w:val="BodyText"/>
        <w:ind w:right="149"/>
      </w:pPr>
      <w:r>
        <w:t>Thank</w:t>
      </w:r>
      <w:r>
        <w:rPr>
          <w:spacing w:val="-3"/>
        </w:rPr>
        <w:t xml:space="preserve"> </w:t>
      </w:r>
      <w:r>
        <w:t>you</w:t>
      </w:r>
      <w:r>
        <w:rPr>
          <w:spacing w:val="-3"/>
        </w:rPr>
        <w:t xml:space="preserve"> </w:t>
      </w:r>
      <w:r>
        <w:t>for</w:t>
      </w:r>
      <w:r>
        <w:rPr>
          <w:spacing w:val="-3"/>
        </w:rPr>
        <w:t xml:space="preserve"> </w:t>
      </w:r>
      <w:r>
        <w:t>your</w:t>
      </w:r>
      <w:r>
        <w:rPr>
          <w:spacing w:val="-3"/>
        </w:rPr>
        <w:t xml:space="preserve"> </w:t>
      </w:r>
      <w:r>
        <w:t>letter</w:t>
      </w:r>
      <w:r>
        <w:rPr>
          <w:spacing w:val="-3"/>
        </w:rPr>
        <w:t xml:space="preserve"> </w:t>
      </w:r>
      <w:r>
        <w:t>dated</w:t>
      </w:r>
      <w:r>
        <w:rPr>
          <w:spacing w:val="-3"/>
        </w:rPr>
        <w:t xml:space="preserve"> </w:t>
      </w:r>
      <w:r>
        <w:t>10</w:t>
      </w:r>
      <w:r>
        <w:rPr>
          <w:vertAlign w:val="superscript"/>
        </w:rPr>
        <w:t>th</w:t>
      </w:r>
      <w:r>
        <w:rPr>
          <w:spacing w:val="-2"/>
        </w:rPr>
        <w:t xml:space="preserve"> </w:t>
      </w:r>
      <w:r>
        <w:t>May</w:t>
      </w:r>
      <w:r>
        <w:rPr>
          <w:spacing w:val="-3"/>
        </w:rPr>
        <w:t xml:space="preserve"> </w:t>
      </w:r>
      <w:r>
        <w:t>2024</w:t>
      </w:r>
      <w:r>
        <w:rPr>
          <w:spacing w:val="-3"/>
        </w:rPr>
        <w:t xml:space="preserve"> </w:t>
      </w:r>
      <w:r>
        <w:t>with</w:t>
      </w:r>
      <w:r>
        <w:rPr>
          <w:spacing w:val="-3"/>
        </w:rPr>
        <w:t xml:space="preserve"> </w:t>
      </w:r>
      <w:r>
        <w:t>comments</w:t>
      </w:r>
      <w:r>
        <w:rPr>
          <w:spacing w:val="-3"/>
        </w:rPr>
        <w:t xml:space="preserve"> </w:t>
      </w:r>
      <w:r>
        <w:t>on</w:t>
      </w:r>
      <w:r>
        <w:rPr>
          <w:spacing w:val="-3"/>
        </w:rPr>
        <w:t xml:space="preserve"> </w:t>
      </w:r>
      <w:r>
        <w:t>British</w:t>
      </w:r>
      <w:r>
        <w:rPr>
          <w:spacing w:val="-3"/>
        </w:rPr>
        <w:t xml:space="preserve"> </w:t>
      </w:r>
      <w:r>
        <w:t>Paediatric</w:t>
      </w:r>
      <w:r>
        <w:rPr>
          <w:spacing w:val="-2"/>
        </w:rPr>
        <w:t xml:space="preserve"> </w:t>
      </w:r>
      <w:r>
        <w:t>Neurology</w:t>
      </w:r>
      <w:r>
        <w:rPr>
          <w:spacing w:val="-3"/>
        </w:rPr>
        <w:t xml:space="preserve"> </w:t>
      </w:r>
      <w:r>
        <w:t>Association (BPNA) appeal against the Final Appraisal Determination for the above mentioned technology appraisal. Pleas find below our response to your comments:</w:t>
      </w:r>
    </w:p>
    <w:p w:rsidR="0068061A" w:rsidRDefault="0068061A" w14:paraId="5A74298C" w14:textId="77777777">
      <w:pPr>
        <w:pStyle w:val="BodyText"/>
        <w:spacing w:before="1"/>
        <w:ind w:left="0"/>
      </w:pPr>
    </w:p>
    <w:p w:rsidR="0068061A" w:rsidRDefault="0049456E" w14:paraId="5A74298D" w14:textId="77777777">
      <w:pPr>
        <w:pStyle w:val="Heading1"/>
      </w:pPr>
      <w:r>
        <w:t>Ground</w:t>
      </w:r>
      <w:r>
        <w:rPr>
          <w:spacing w:val="-3"/>
        </w:rPr>
        <w:t xml:space="preserve"> </w:t>
      </w:r>
      <w:r>
        <w:t>1(a):</w:t>
      </w:r>
      <w:r>
        <w:rPr>
          <w:spacing w:val="-3"/>
        </w:rPr>
        <w:t xml:space="preserve"> </w:t>
      </w:r>
      <w:r>
        <w:t>In</w:t>
      </w:r>
      <w:r>
        <w:rPr>
          <w:spacing w:val="-3"/>
        </w:rPr>
        <w:t xml:space="preserve"> </w:t>
      </w:r>
      <w:r>
        <w:t>making</w:t>
      </w:r>
      <w:r>
        <w:rPr>
          <w:spacing w:val="-3"/>
        </w:rPr>
        <w:t xml:space="preserve"> </w:t>
      </w:r>
      <w:r>
        <w:t>the</w:t>
      </w:r>
      <w:r>
        <w:rPr>
          <w:spacing w:val="-3"/>
        </w:rPr>
        <w:t xml:space="preserve"> </w:t>
      </w:r>
      <w:r>
        <w:t>assessment</w:t>
      </w:r>
      <w:r>
        <w:rPr>
          <w:spacing w:val="-3"/>
        </w:rPr>
        <w:t xml:space="preserve"> </w:t>
      </w:r>
      <w:r>
        <w:t>that</w:t>
      </w:r>
      <w:r>
        <w:rPr>
          <w:spacing w:val="-3"/>
        </w:rPr>
        <w:t xml:space="preserve"> </w:t>
      </w:r>
      <w:r>
        <w:t>preceded</w:t>
      </w:r>
      <w:r>
        <w:rPr>
          <w:spacing w:val="-3"/>
        </w:rPr>
        <w:t xml:space="preserve"> </w:t>
      </w:r>
      <w:r>
        <w:t>the</w:t>
      </w:r>
      <w:r>
        <w:rPr>
          <w:spacing w:val="-3"/>
        </w:rPr>
        <w:t xml:space="preserve"> </w:t>
      </w:r>
      <w:r>
        <w:t>recommendation,</w:t>
      </w:r>
      <w:r>
        <w:rPr>
          <w:spacing w:val="-3"/>
        </w:rPr>
        <w:t xml:space="preserve"> </w:t>
      </w:r>
      <w:r>
        <w:t>NICE</w:t>
      </w:r>
      <w:r>
        <w:rPr>
          <w:spacing w:val="-3"/>
        </w:rPr>
        <w:t xml:space="preserve"> </w:t>
      </w:r>
      <w:r>
        <w:t>has</w:t>
      </w:r>
      <w:r>
        <w:rPr>
          <w:spacing w:val="-3"/>
        </w:rPr>
        <w:t xml:space="preserve"> </w:t>
      </w:r>
      <w:r>
        <w:t>failed</w:t>
      </w:r>
      <w:r>
        <w:rPr>
          <w:spacing w:val="-3"/>
        </w:rPr>
        <w:t xml:space="preserve"> </w:t>
      </w:r>
      <w:r>
        <w:t>to</w:t>
      </w:r>
      <w:r>
        <w:rPr>
          <w:spacing w:val="-3"/>
        </w:rPr>
        <w:t xml:space="preserve"> </w:t>
      </w:r>
      <w:r>
        <w:t>act</w:t>
      </w:r>
      <w:r>
        <w:rPr>
          <w:spacing w:val="-3"/>
        </w:rPr>
        <w:t xml:space="preserve"> </w:t>
      </w:r>
      <w:r>
        <w:t xml:space="preserve">fairly </w:t>
      </w:r>
      <w:r>
        <w:rPr>
          <w:u w:val="single"/>
        </w:rPr>
        <w:t>Appeal point 1(a).1: Large unmet need in patients with Lennox-Gastaut syndrome</w:t>
      </w:r>
    </w:p>
    <w:p w:rsidR="0068061A" w:rsidRDefault="0049456E" w14:paraId="5A74298E" w14:textId="77777777">
      <w:pPr>
        <w:pStyle w:val="BodyText"/>
        <w:spacing w:before="265"/>
      </w:pPr>
      <w:r>
        <w:t>I</w:t>
      </w:r>
      <w:r>
        <w:rPr>
          <w:spacing w:val="-6"/>
        </w:rPr>
        <w:t xml:space="preserve"> </w:t>
      </w:r>
      <w:r>
        <w:t>am</w:t>
      </w:r>
      <w:r>
        <w:rPr>
          <w:spacing w:val="-4"/>
        </w:rPr>
        <w:t xml:space="preserve"> </w:t>
      </w:r>
      <w:r>
        <w:t>not</w:t>
      </w:r>
      <w:r>
        <w:rPr>
          <w:spacing w:val="-4"/>
        </w:rPr>
        <w:t xml:space="preserve"> </w:t>
      </w:r>
      <w:r>
        <w:t>minded</w:t>
      </w:r>
      <w:r>
        <w:rPr>
          <w:spacing w:val="-3"/>
        </w:rPr>
        <w:t xml:space="preserve"> </w:t>
      </w:r>
      <w:r>
        <w:t>to</w:t>
      </w:r>
      <w:r>
        <w:rPr>
          <w:spacing w:val="-4"/>
        </w:rPr>
        <w:t xml:space="preserve"> </w:t>
      </w:r>
      <w:r>
        <w:t>refer</w:t>
      </w:r>
      <w:r>
        <w:rPr>
          <w:spacing w:val="-4"/>
        </w:rPr>
        <w:t xml:space="preserve"> </w:t>
      </w:r>
      <w:r>
        <w:t>this</w:t>
      </w:r>
      <w:r>
        <w:rPr>
          <w:spacing w:val="-4"/>
        </w:rPr>
        <w:t xml:space="preserve"> </w:t>
      </w:r>
      <w:r>
        <w:t>appeal</w:t>
      </w:r>
      <w:r>
        <w:rPr>
          <w:spacing w:val="-3"/>
        </w:rPr>
        <w:t xml:space="preserve"> </w:t>
      </w:r>
      <w:r>
        <w:t>point</w:t>
      </w:r>
      <w:r>
        <w:rPr>
          <w:spacing w:val="-4"/>
        </w:rPr>
        <w:t xml:space="preserve"> </w:t>
      </w:r>
      <w:r>
        <w:t>to</w:t>
      </w:r>
      <w:r>
        <w:rPr>
          <w:spacing w:val="-4"/>
        </w:rPr>
        <w:t xml:space="preserve"> </w:t>
      </w:r>
      <w:r>
        <w:t>the</w:t>
      </w:r>
      <w:r>
        <w:rPr>
          <w:spacing w:val="-4"/>
        </w:rPr>
        <w:t xml:space="preserve"> </w:t>
      </w:r>
      <w:r>
        <w:t>Appeal</w:t>
      </w:r>
      <w:r>
        <w:rPr>
          <w:spacing w:val="-3"/>
        </w:rPr>
        <w:t xml:space="preserve"> </w:t>
      </w:r>
      <w:r>
        <w:rPr>
          <w:spacing w:val="-2"/>
        </w:rPr>
        <w:t>Panel.</w:t>
      </w:r>
    </w:p>
    <w:p w:rsidR="0068061A" w:rsidRDefault="0049456E" w14:paraId="5A74298F" w14:textId="77777777">
      <w:pPr>
        <w:pStyle w:val="BodyText"/>
        <w:ind w:right="149"/>
      </w:pPr>
      <w:r>
        <w:t>I</w:t>
      </w:r>
      <w:r>
        <w:rPr>
          <w:spacing w:val="-2"/>
        </w:rPr>
        <w:t xml:space="preserve"> </w:t>
      </w:r>
      <w:r>
        <w:t>note</w:t>
      </w:r>
      <w:r>
        <w:rPr>
          <w:spacing w:val="-2"/>
        </w:rPr>
        <w:t xml:space="preserve"> </w:t>
      </w:r>
      <w:r>
        <w:t>all</w:t>
      </w:r>
      <w:r>
        <w:rPr>
          <w:spacing w:val="-2"/>
        </w:rPr>
        <w:t xml:space="preserve"> </w:t>
      </w:r>
      <w:r>
        <w:t>that</w:t>
      </w:r>
      <w:r>
        <w:rPr>
          <w:spacing w:val="-2"/>
        </w:rPr>
        <w:t xml:space="preserve"> </w:t>
      </w:r>
      <w:r>
        <w:t>you</w:t>
      </w:r>
      <w:r>
        <w:rPr>
          <w:spacing w:val="-2"/>
        </w:rPr>
        <w:t xml:space="preserve"> </w:t>
      </w:r>
      <w:r>
        <w:t>say</w:t>
      </w:r>
      <w:r>
        <w:rPr>
          <w:spacing w:val="-2"/>
        </w:rPr>
        <w:t xml:space="preserve"> </w:t>
      </w:r>
      <w:r>
        <w:t>regarding</w:t>
      </w:r>
      <w:r>
        <w:rPr>
          <w:spacing w:val="-2"/>
        </w:rPr>
        <w:t xml:space="preserve"> </w:t>
      </w:r>
      <w:r>
        <w:t>the</w:t>
      </w:r>
      <w:r>
        <w:rPr>
          <w:spacing w:val="-2"/>
        </w:rPr>
        <w:t xml:space="preserve"> </w:t>
      </w:r>
      <w:r>
        <w:t>large</w:t>
      </w:r>
      <w:r>
        <w:rPr>
          <w:spacing w:val="-2"/>
        </w:rPr>
        <w:t xml:space="preserve"> </w:t>
      </w:r>
      <w:r>
        <w:t>unmet</w:t>
      </w:r>
      <w:r>
        <w:rPr>
          <w:spacing w:val="-2"/>
        </w:rPr>
        <w:t xml:space="preserve"> </w:t>
      </w:r>
      <w:r>
        <w:t>need</w:t>
      </w:r>
      <w:r>
        <w:rPr>
          <w:spacing w:val="-2"/>
        </w:rPr>
        <w:t xml:space="preserve"> </w:t>
      </w:r>
      <w:r>
        <w:t>in</w:t>
      </w:r>
      <w:r>
        <w:rPr>
          <w:spacing w:val="-2"/>
        </w:rPr>
        <w:t xml:space="preserve"> </w:t>
      </w:r>
      <w:r>
        <w:t>patients</w:t>
      </w:r>
      <w:r>
        <w:rPr>
          <w:spacing w:val="-2"/>
        </w:rPr>
        <w:t xml:space="preserve"> </w:t>
      </w:r>
      <w:r>
        <w:t>with</w:t>
      </w:r>
      <w:r>
        <w:rPr>
          <w:spacing w:val="-2"/>
        </w:rPr>
        <w:t xml:space="preserve"> </w:t>
      </w:r>
      <w:r>
        <w:t>Lennox-Gastaut</w:t>
      </w:r>
      <w:r>
        <w:rPr>
          <w:spacing w:val="-2"/>
        </w:rPr>
        <w:t xml:space="preserve"> </w:t>
      </w:r>
      <w:r>
        <w:t>syndrome.</w:t>
      </w:r>
      <w:r>
        <w:rPr>
          <w:spacing w:val="-2"/>
        </w:rPr>
        <w:t xml:space="preserve"> </w:t>
      </w:r>
      <w:r>
        <w:t>In</w:t>
      </w:r>
      <w:r>
        <w:rPr>
          <w:spacing w:val="-2"/>
        </w:rPr>
        <w:t xml:space="preserve"> </w:t>
      </w:r>
      <w:r>
        <w:t>order to refer an appeal point to the Appeal Panel for determination, however, I need to be satisfied that the Committee has arguably failed to act fairly. The fact of there being an unmet need does not, per se, meet that test. I invite the BPNA to explain in its response, how in your view, the Committee acted unfairly in reaching its negative recommendation. You may find it helpful to refer to NICE's Guide to the technology appraisal and HST appeal process, which explains in sec</w:t>
      </w:r>
      <w:r>
        <w:t xml:space="preserve">tion 4.3 what is required under Ground 1(a), as </w:t>
      </w:r>
      <w:r>
        <w:rPr>
          <w:spacing w:val="-2"/>
        </w:rPr>
        <w:t>follows:</w:t>
      </w:r>
    </w:p>
    <w:p w:rsidR="0068061A" w:rsidRDefault="0049456E" w14:paraId="5A742990" w14:textId="77777777">
      <w:pPr>
        <w:pStyle w:val="BodyText"/>
        <w:spacing w:before="2"/>
        <w:ind w:right="127"/>
      </w:pPr>
      <w:r>
        <w:t>NICE is committed to following a fair process throughout the technology appraisal and highly specialised technologies process. An appellant who believes that an evaluation was not fair may appeal on this ground. This ground relates only to the fairness of the process followed and not to the content of the final draft guidance. It should be noted that if an appellant does not agree with final draft guidance this does not</w:t>
      </w:r>
      <w:r>
        <w:rPr>
          <w:spacing w:val="40"/>
        </w:rPr>
        <w:t xml:space="preserve"> </w:t>
      </w:r>
      <w:r>
        <w:t>make</w:t>
      </w:r>
      <w:r>
        <w:rPr>
          <w:spacing w:val="-2"/>
        </w:rPr>
        <w:t xml:space="preserve"> </w:t>
      </w:r>
      <w:r>
        <w:t>it</w:t>
      </w:r>
      <w:r>
        <w:rPr>
          <w:spacing w:val="-2"/>
        </w:rPr>
        <w:t xml:space="preserve"> </w:t>
      </w:r>
      <w:r>
        <w:t>unfair.</w:t>
      </w:r>
      <w:r>
        <w:rPr>
          <w:spacing w:val="-2"/>
        </w:rPr>
        <w:t xml:space="preserve"> </w:t>
      </w:r>
      <w:r>
        <w:t>For</w:t>
      </w:r>
      <w:r>
        <w:rPr>
          <w:spacing w:val="-2"/>
        </w:rPr>
        <w:t xml:space="preserve"> </w:t>
      </w:r>
      <w:r>
        <w:t>example,</w:t>
      </w:r>
      <w:r>
        <w:rPr>
          <w:spacing w:val="-2"/>
        </w:rPr>
        <w:t xml:space="preserve"> </w:t>
      </w:r>
      <w:r>
        <w:t>although</w:t>
      </w:r>
      <w:r>
        <w:rPr>
          <w:spacing w:val="-2"/>
        </w:rPr>
        <w:t xml:space="preserve"> </w:t>
      </w:r>
      <w:r>
        <w:t>it</w:t>
      </w:r>
      <w:r>
        <w:rPr>
          <w:spacing w:val="-2"/>
        </w:rPr>
        <w:t xml:space="preserve"> </w:t>
      </w:r>
      <w:r>
        <w:t>is</w:t>
      </w:r>
      <w:r>
        <w:rPr>
          <w:spacing w:val="-2"/>
        </w:rPr>
        <w:t xml:space="preserve"> </w:t>
      </w:r>
      <w:r>
        <w:t>unfair</w:t>
      </w:r>
      <w:r>
        <w:rPr>
          <w:spacing w:val="-2"/>
        </w:rPr>
        <w:t xml:space="preserve"> </w:t>
      </w:r>
      <w:r>
        <w:t>to</w:t>
      </w:r>
      <w:r>
        <w:rPr>
          <w:spacing w:val="-2"/>
        </w:rPr>
        <w:t xml:space="preserve"> </w:t>
      </w:r>
      <w:r>
        <w:t>exclude</w:t>
      </w:r>
      <w:r>
        <w:rPr>
          <w:spacing w:val="-2"/>
        </w:rPr>
        <w:t xml:space="preserve"> </w:t>
      </w:r>
      <w:r>
        <w:t>relevant</w:t>
      </w:r>
      <w:r>
        <w:rPr>
          <w:spacing w:val="-2"/>
        </w:rPr>
        <w:t xml:space="preserve"> </w:t>
      </w:r>
      <w:r>
        <w:t>data</w:t>
      </w:r>
      <w:r>
        <w:rPr>
          <w:spacing w:val="-2"/>
        </w:rPr>
        <w:t xml:space="preserve"> </w:t>
      </w:r>
      <w:r>
        <w:t>from</w:t>
      </w:r>
      <w:r>
        <w:rPr>
          <w:spacing w:val="-2"/>
        </w:rPr>
        <w:t xml:space="preserve"> </w:t>
      </w:r>
      <w:r>
        <w:t>the</w:t>
      </w:r>
      <w:r>
        <w:rPr>
          <w:spacing w:val="-2"/>
        </w:rPr>
        <w:t xml:space="preserve"> </w:t>
      </w:r>
      <w:r>
        <w:t>technology</w:t>
      </w:r>
      <w:r>
        <w:rPr>
          <w:spacing w:val="-2"/>
        </w:rPr>
        <w:t xml:space="preserve"> </w:t>
      </w:r>
      <w:r>
        <w:t>appraisal</w:t>
      </w:r>
      <w:r>
        <w:rPr>
          <w:spacing w:val="-2"/>
        </w:rPr>
        <w:t xml:space="preserve"> </w:t>
      </w:r>
      <w:r>
        <w:t>and</w:t>
      </w:r>
    </w:p>
    <w:p w:rsidR="0068061A" w:rsidRDefault="0068061A" w14:paraId="5A742991" w14:textId="77777777">
      <w:pPr>
        <w:sectPr w:rsidR="0068061A">
          <w:footerReference w:type="default" r:id="rId7"/>
          <w:type w:val="continuous"/>
          <w:pgSz w:w="11910" w:h="16840" w:orient="portrait"/>
          <w:pgMar w:top="900" w:right="1020" w:bottom="1960" w:left="460" w:header="0" w:footer="1777" w:gutter="0"/>
          <w:pgNumType w:start="1"/>
          <w:cols w:space="720"/>
        </w:sectPr>
      </w:pPr>
    </w:p>
    <w:p w:rsidR="0068061A" w:rsidRDefault="0049456E" w14:paraId="5A742992" w14:textId="77777777">
      <w:pPr>
        <w:pStyle w:val="BodyText"/>
        <w:spacing w:before="73"/>
        <w:ind w:right="149"/>
      </w:pPr>
      <w:r>
        <w:t>highly</w:t>
      </w:r>
      <w:r>
        <w:rPr>
          <w:spacing w:val="-2"/>
        </w:rPr>
        <w:t xml:space="preserve"> </w:t>
      </w:r>
      <w:r>
        <w:t>specialised</w:t>
      </w:r>
      <w:r>
        <w:rPr>
          <w:spacing w:val="-2"/>
        </w:rPr>
        <w:t xml:space="preserve"> </w:t>
      </w:r>
      <w:r>
        <w:t>technologies</w:t>
      </w:r>
      <w:r>
        <w:rPr>
          <w:spacing w:val="-2"/>
        </w:rPr>
        <w:t xml:space="preserve"> </w:t>
      </w:r>
      <w:r>
        <w:t>evaluation</w:t>
      </w:r>
      <w:r>
        <w:rPr>
          <w:spacing w:val="-2"/>
        </w:rPr>
        <w:t xml:space="preserve"> </w:t>
      </w:r>
      <w:r>
        <w:t>process,</w:t>
      </w:r>
      <w:r>
        <w:rPr>
          <w:spacing w:val="-2"/>
        </w:rPr>
        <w:t xml:space="preserve"> </w:t>
      </w:r>
      <w:r>
        <w:t>it</w:t>
      </w:r>
      <w:r>
        <w:rPr>
          <w:spacing w:val="-2"/>
        </w:rPr>
        <w:t xml:space="preserve"> </w:t>
      </w:r>
      <w:r>
        <w:t>is</w:t>
      </w:r>
      <w:r>
        <w:rPr>
          <w:spacing w:val="-2"/>
        </w:rPr>
        <w:t xml:space="preserve"> </w:t>
      </w:r>
      <w:r>
        <w:t>not</w:t>
      </w:r>
      <w:r>
        <w:rPr>
          <w:spacing w:val="-2"/>
        </w:rPr>
        <w:t xml:space="preserve"> </w:t>
      </w:r>
      <w:r>
        <w:t>unfair</w:t>
      </w:r>
      <w:r>
        <w:rPr>
          <w:spacing w:val="-2"/>
        </w:rPr>
        <w:t xml:space="preserve"> </w:t>
      </w:r>
      <w:r>
        <w:t>to</w:t>
      </w:r>
      <w:r>
        <w:rPr>
          <w:spacing w:val="-2"/>
        </w:rPr>
        <w:t xml:space="preserve"> </w:t>
      </w:r>
      <w:r>
        <w:t>consider</w:t>
      </w:r>
      <w:r>
        <w:rPr>
          <w:spacing w:val="-2"/>
        </w:rPr>
        <w:t xml:space="preserve"> </w:t>
      </w:r>
      <w:r>
        <w:t>the</w:t>
      </w:r>
      <w:r>
        <w:rPr>
          <w:spacing w:val="-2"/>
        </w:rPr>
        <w:t xml:space="preserve"> </w:t>
      </w:r>
      <w:r>
        <w:t>relevant</w:t>
      </w:r>
      <w:r>
        <w:rPr>
          <w:spacing w:val="-2"/>
        </w:rPr>
        <w:t xml:space="preserve"> </w:t>
      </w:r>
      <w:r>
        <w:t>data</w:t>
      </w:r>
      <w:r>
        <w:rPr>
          <w:spacing w:val="-2"/>
        </w:rPr>
        <w:t xml:space="preserve"> </w:t>
      </w:r>
      <w:r>
        <w:t>but</w:t>
      </w:r>
      <w:r>
        <w:rPr>
          <w:spacing w:val="-2"/>
        </w:rPr>
        <w:t xml:space="preserve"> </w:t>
      </w:r>
      <w:r>
        <w:t>then reach a view with which the appellant did not agree.</w:t>
      </w:r>
    </w:p>
    <w:p w:rsidR="0068061A" w:rsidRDefault="0049456E" w14:paraId="5A742993" w14:textId="77777777">
      <w:pPr>
        <w:pStyle w:val="BodyText"/>
      </w:pPr>
      <w:r>
        <w:t>This</w:t>
      </w:r>
      <w:r>
        <w:rPr>
          <w:spacing w:val="-2"/>
        </w:rPr>
        <w:t xml:space="preserve"> </w:t>
      </w:r>
      <w:r>
        <w:t>ground</w:t>
      </w:r>
      <w:r>
        <w:rPr>
          <w:spacing w:val="-2"/>
        </w:rPr>
        <w:t xml:space="preserve"> </w:t>
      </w:r>
      <w:r>
        <w:t>of</w:t>
      </w:r>
      <w:r>
        <w:rPr>
          <w:spacing w:val="-2"/>
        </w:rPr>
        <w:t xml:space="preserve"> </w:t>
      </w:r>
      <w:r>
        <w:t>appeal</w:t>
      </w:r>
      <w:r>
        <w:rPr>
          <w:spacing w:val="-2"/>
        </w:rPr>
        <w:t xml:space="preserve"> </w:t>
      </w:r>
      <w:r>
        <w:t>does</w:t>
      </w:r>
      <w:r>
        <w:rPr>
          <w:spacing w:val="-2"/>
        </w:rPr>
        <w:t xml:space="preserve"> </w:t>
      </w:r>
      <w:r>
        <w:t>not</w:t>
      </w:r>
      <w:r>
        <w:rPr>
          <w:spacing w:val="-3"/>
        </w:rPr>
        <w:t xml:space="preserve"> </w:t>
      </w:r>
      <w:r>
        <w:t>cover</w:t>
      </w:r>
      <w:r>
        <w:rPr>
          <w:spacing w:val="-2"/>
        </w:rPr>
        <w:t xml:space="preserve"> </w:t>
      </w:r>
      <w:r>
        <w:t>an</w:t>
      </w:r>
      <w:r>
        <w:rPr>
          <w:spacing w:val="-2"/>
        </w:rPr>
        <w:t xml:space="preserve"> </w:t>
      </w:r>
      <w:r>
        <w:t>argument</w:t>
      </w:r>
      <w:r>
        <w:rPr>
          <w:spacing w:val="-2"/>
        </w:rPr>
        <w:t xml:space="preserve"> </w:t>
      </w:r>
      <w:r>
        <w:t>that</w:t>
      </w:r>
      <w:r>
        <w:rPr>
          <w:spacing w:val="-2"/>
        </w:rPr>
        <w:t xml:space="preserve"> </w:t>
      </w:r>
      <w:r>
        <w:t>it</w:t>
      </w:r>
      <w:r>
        <w:rPr>
          <w:spacing w:val="-2"/>
        </w:rPr>
        <w:t xml:space="preserve"> </w:t>
      </w:r>
      <w:r>
        <w:t>is</w:t>
      </w:r>
      <w:r>
        <w:rPr>
          <w:spacing w:val="-2"/>
        </w:rPr>
        <w:t xml:space="preserve"> </w:t>
      </w:r>
      <w:r>
        <w:t>'unfair'</w:t>
      </w:r>
      <w:r>
        <w:rPr>
          <w:spacing w:val="-2"/>
        </w:rPr>
        <w:t xml:space="preserve"> </w:t>
      </w:r>
      <w:r>
        <w:t>in</w:t>
      </w:r>
      <w:r>
        <w:rPr>
          <w:spacing w:val="-2"/>
        </w:rPr>
        <w:t xml:space="preserve"> </w:t>
      </w:r>
      <w:r>
        <w:t>a</w:t>
      </w:r>
      <w:r>
        <w:rPr>
          <w:spacing w:val="-2"/>
        </w:rPr>
        <w:t xml:space="preserve"> </w:t>
      </w:r>
      <w:r>
        <w:t>general</w:t>
      </w:r>
      <w:r>
        <w:rPr>
          <w:spacing w:val="-2"/>
        </w:rPr>
        <w:t xml:space="preserve"> </w:t>
      </w:r>
      <w:r>
        <w:t>sense,</w:t>
      </w:r>
      <w:r>
        <w:rPr>
          <w:spacing w:val="-2"/>
        </w:rPr>
        <w:t xml:space="preserve"> </w:t>
      </w:r>
      <w:r>
        <w:t>for</w:t>
      </w:r>
      <w:r>
        <w:rPr>
          <w:spacing w:val="-2"/>
        </w:rPr>
        <w:t xml:space="preserve"> </w:t>
      </w:r>
      <w:r>
        <w:t>example,</w:t>
      </w:r>
      <w:r>
        <w:rPr>
          <w:spacing w:val="-2"/>
        </w:rPr>
        <w:t xml:space="preserve"> </w:t>
      </w:r>
      <w:r>
        <w:t>that</w:t>
      </w:r>
      <w:r>
        <w:rPr>
          <w:spacing w:val="-2"/>
        </w:rPr>
        <w:t xml:space="preserve"> </w:t>
      </w:r>
      <w:r>
        <w:t>it</w:t>
      </w:r>
      <w:r>
        <w:rPr>
          <w:spacing w:val="-2"/>
        </w:rPr>
        <w:t xml:space="preserve"> </w:t>
      </w:r>
      <w:r>
        <w:t>is 'unfair' to patients not to recommend a treatment.</w:t>
      </w:r>
    </w:p>
    <w:p w:rsidR="0068061A" w:rsidRDefault="0049456E" w14:paraId="5A742994" w14:textId="77777777">
      <w:pPr>
        <w:pStyle w:val="BodyText"/>
        <w:spacing w:before="1"/>
      </w:pPr>
      <w:r>
        <w:t>Unspecific</w:t>
      </w:r>
      <w:r>
        <w:rPr>
          <w:spacing w:val="-3"/>
        </w:rPr>
        <w:t xml:space="preserve"> </w:t>
      </w:r>
      <w:r>
        <w:t>allegations</w:t>
      </w:r>
      <w:r>
        <w:rPr>
          <w:spacing w:val="-3"/>
        </w:rPr>
        <w:t xml:space="preserve"> </w:t>
      </w:r>
      <w:r>
        <w:t>of</w:t>
      </w:r>
      <w:r>
        <w:rPr>
          <w:spacing w:val="-3"/>
        </w:rPr>
        <w:t xml:space="preserve"> </w:t>
      </w:r>
      <w:r>
        <w:t>unfairness,</w:t>
      </w:r>
      <w:r>
        <w:rPr>
          <w:spacing w:val="-3"/>
        </w:rPr>
        <w:t xml:space="preserve"> </w:t>
      </w:r>
      <w:r>
        <w:t>for</w:t>
      </w:r>
      <w:r>
        <w:rPr>
          <w:spacing w:val="-3"/>
        </w:rPr>
        <w:t xml:space="preserve"> </w:t>
      </w:r>
      <w:r>
        <w:t>example,</w:t>
      </w:r>
      <w:r>
        <w:rPr>
          <w:spacing w:val="-3"/>
        </w:rPr>
        <w:t xml:space="preserve"> </w:t>
      </w:r>
      <w:r>
        <w:t>an</w:t>
      </w:r>
      <w:r>
        <w:rPr>
          <w:spacing w:val="-3"/>
        </w:rPr>
        <w:t xml:space="preserve"> </w:t>
      </w:r>
      <w:r>
        <w:t>alleged</w:t>
      </w:r>
      <w:r>
        <w:rPr>
          <w:spacing w:val="-3"/>
        </w:rPr>
        <w:t xml:space="preserve"> </w:t>
      </w:r>
      <w:r>
        <w:t>inability</w:t>
      </w:r>
      <w:r>
        <w:rPr>
          <w:spacing w:val="-3"/>
        </w:rPr>
        <w:t xml:space="preserve"> </w:t>
      </w:r>
      <w:r>
        <w:t>to</w:t>
      </w:r>
      <w:r>
        <w:rPr>
          <w:spacing w:val="-3"/>
        </w:rPr>
        <w:t xml:space="preserve"> </w:t>
      </w:r>
      <w:r>
        <w:t>understand</w:t>
      </w:r>
      <w:r>
        <w:rPr>
          <w:spacing w:val="-3"/>
        </w:rPr>
        <w:t xml:space="preserve"> </w:t>
      </w:r>
      <w:r>
        <w:t>a</w:t>
      </w:r>
      <w:r>
        <w:rPr>
          <w:spacing w:val="-3"/>
        </w:rPr>
        <w:t xml:space="preserve"> </w:t>
      </w:r>
      <w:r>
        <w:t>conclusion,</w:t>
      </w:r>
      <w:r>
        <w:rPr>
          <w:spacing w:val="-3"/>
        </w:rPr>
        <w:t xml:space="preserve"> </w:t>
      </w:r>
      <w:r>
        <w:t>will</w:t>
      </w:r>
      <w:r>
        <w:rPr>
          <w:spacing w:val="-3"/>
        </w:rPr>
        <w:t xml:space="preserve"> </w:t>
      </w:r>
      <w:r>
        <w:t>not</w:t>
      </w:r>
      <w:r>
        <w:rPr>
          <w:spacing w:val="-3"/>
        </w:rPr>
        <w:t xml:space="preserve"> </w:t>
      </w:r>
      <w:r>
        <w:t>be accepted as a valid appeal point. Details and evidence must be provided in every case.</w:t>
      </w:r>
    </w:p>
    <w:p w:rsidR="0068061A" w:rsidRDefault="0049456E" w14:paraId="5A742995" w14:textId="77777777">
      <w:pPr>
        <w:pStyle w:val="BodyText"/>
        <w:ind w:right="149"/>
      </w:pPr>
      <w:r>
        <w:t>NICE</w:t>
      </w:r>
      <w:r>
        <w:rPr>
          <w:spacing w:val="-3"/>
        </w:rPr>
        <w:t xml:space="preserve"> </w:t>
      </w:r>
      <w:r>
        <w:t>requires</w:t>
      </w:r>
      <w:r>
        <w:rPr>
          <w:spacing w:val="-3"/>
        </w:rPr>
        <w:t xml:space="preserve"> </w:t>
      </w:r>
      <w:r>
        <w:t>appellants</w:t>
      </w:r>
      <w:r>
        <w:rPr>
          <w:spacing w:val="-3"/>
        </w:rPr>
        <w:t xml:space="preserve"> </w:t>
      </w:r>
      <w:r>
        <w:t>to</w:t>
      </w:r>
      <w:r>
        <w:rPr>
          <w:spacing w:val="-3"/>
        </w:rPr>
        <w:t xml:space="preserve"> </w:t>
      </w:r>
      <w:r>
        <w:t>explain</w:t>
      </w:r>
      <w:r>
        <w:rPr>
          <w:spacing w:val="-3"/>
        </w:rPr>
        <w:t xml:space="preserve"> </w:t>
      </w:r>
      <w:r>
        <w:t>what</w:t>
      </w:r>
      <w:r>
        <w:rPr>
          <w:spacing w:val="-3"/>
        </w:rPr>
        <w:t xml:space="preserve"> </w:t>
      </w:r>
      <w:r>
        <w:t>steps</w:t>
      </w:r>
      <w:r>
        <w:rPr>
          <w:spacing w:val="-3"/>
        </w:rPr>
        <w:t xml:space="preserve"> </w:t>
      </w:r>
      <w:r>
        <w:t>they</w:t>
      </w:r>
      <w:r>
        <w:rPr>
          <w:spacing w:val="-3"/>
        </w:rPr>
        <w:t xml:space="preserve"> </w:t>
      </w:r>
      <w:r>
        <w:t>took</w:t>
      </w:r>
      <w:r>
        <w:rPr>
          <w:spacing w:val="-3"/>
        </w:rPr>
        <w:t xml:space="preserve"> </w:t>
      </w:r>
      <w:r>
        <w:t>to</w:t>
      </w:r>
      <w:r>
        <w:rPr>
          <w:spacing w:val="-3"/>
        </w:rPr>
        <w:t xml:space="preserve"> </w:t>
      </w:r>
      <w:r>
        <w:t>promptly</w:t>
      </w:r>
      <w:r>
        <w:rPr>
          <w:spacing w:val="-3"/>
        </w:rPr>
        <w:t xml:space="preserve"> </w:t>
      </w:r>
      <w:r>
        <w:t>resolve</w:t>
      </w:r>
      <w:r>
        <w:rPr>
          <w:spacing w:val="-3"/>
        </w:rPr>
        <w:t xml:space="preserve"> </w:t>
      </w:r>
      <w:r>
        <w:t>any</w:t>
      </w:r>
      <w:r>
        <w:rPr>
          <w:spacing w:val="-3"/>
        </w:rPr>
        <w:t xml:space="preserve"> </w:t>
      </w:r>
      <w:r>
        <w:t>unfairness</w:t>
      </w:r>
      <w:r>
        <w:rPr>
          <w:spacing w:val="-3"/>
        </w:rPr>
        <w:t xml:space="preserve"> </w:t>
      </w:r>
      <w:r>
        <w:t>when</w:t>
      </w:r>
      <w:r>
        <w:rPr>
          <w:spacing w:val="-3"/>
        </w:rPr>
        <w:t xml:space="preserve"> </w:t>
      </w:r>
      <w:r>
        <w:t>they</w:t>
      </w:r>
      <w:r>
        <w:rPr>
          <w:spacing w:val="-3"/>
        </w:rPr>
        <w:t xml:space="preserve"> </w:t>
      </w:r>
      <w:r>
        <w:t>first became aware of it. The appeal panel may interpret the absence of any such steps, without sufficient reason, as evidence that there was in fact no such unfairness, or potentially as a reason not to refer guidance back to the committee or to request changes to guidance.</w:t>
      </w:r>
    </w:p>
    <w:p w:rsidR="0068061A" w:rsidRDefault="0049456E" w14:paraId="5A742996" w14:textId="77777777">
      <w:pPr>
        <w:pStyle w:val="BodyText"/>
        <w:spacing w:before="1"/>
      </w:pPr>
      <w:r>
        <w:t>I</w:t>
      </w:r>
      <w:r>
        <w:rPr>
          <w:spacing w:val="-2"/>
        </w:rPr>
        <w:t xml:space="preserve"> </w:t>
      </w:r>
      <w:r>
        <w:t>also</w:t>
      </w:r>
      <w:r>
        <w:rPr>
          <w:spacing w:val="-2"/>
        </w:rPr>
        <w:t xml:space="preserve"> </w:t>
      </w:r>
      <w:r>
        <w:t>note</w:t>
      </w:r>
      <w:r>
        <w:rPr>
          <w:spacing w:val="-2"/>
        </w:rPr>
        <w:t xml:space="preserve"> </w:t>
      </w:r>
      <w:r>
        <w:t>with</w:t>
      </w:r>
      <w:r>
        <w:rPr>
          <w:spacing w:val="-2"/>
        </w:rPr>
        <w:t xml:space="preserve"> </w:t>
      </w:r>
      <w:r>
        <w:t>concern</w:t>
      </w:r>
      <w:r>
        <w:rPr>
          <w:spacing w:val="-2"/>
        </w:rPr>
        <w:t xml:space="preserve"> </w:t>
      </w:r>
      <w:r>
        <w:t>your</w:t>
      </w:r>
      <w:r>
        <w:rPr>
          <w:spacing w:val="-2"/>
        </w:rPr>
        <w:t xml:space="preserve"> </w:t>
      </w:r>
      <w:r>
        <w:t>statement</w:t>
      </w:r>
      <w:r>
        <w:rPr>
          <w:spacing w:val="-2"/>
        </w:rPr>
        <w:t xml:space="preserve"> </w:t>
      </w:r>
      <w:r>
        <w:t>that</w:t>
      </w:r>
      <w:r>
        <w:rPr>
          <w:spacing w:val="-2"/>
        </w:rPr>
        <w:t xml:space="preserve"> </w:t>
      </w:r>
      <w:r>
        <w:t>the</w:t>
      </w:r>
      <w:r>
        <w:rPr>
          <w:spacing w:val="-2"/>
        </w:rPr>
        <w:t xml:space="preserve"> </w:t>
      </w:r>
      <w:r>
        <w:t>BPNA</w:t>
      </w:r>
      <w:r>
        <w:rPr>
          <w:spacing w:val="-2"/>
        </w:rPr>
        <w:t xml:space="preserve"> </w:t>
      </w:r>
      <w:r>
        <w:t>"was</w:t>
      </w:r>
      <w:r>
        <w:rPr>
          <w:spacing w:val="-2"/>
        </w:rPr>
        <w:t xml:space="preserve"> </w:t>
      </w:r>
      <w:r>
        <w:t>not</w:t>
      </w:r>
      <w:r>
        <w:rPr>
          <w:spacing w:val="-2"/>
        </w:rPr>
        <w:t xml:space="preserve"> </w:t>
      </w:r>
      <w:r>
        <w:t>given</w:t>
      </w:r>
      <w:r>
        <w:rPr>
          <w:spacing w:val="-2"/>
        </w:rPr>
        <w:t xml:space="preserve"> </w:t>
      </w:r>
      <w:r>
        <w:t>an</w:t>
      </w:r>
      <w:r>
        <w:rPr>
          <w:spacing w:val="-2"/>
        </w:rPr>
        <w:t xml:space="preserve"> </w:t>
      </w:r>
      <w:r>
        <w:t>opportunity</w:t>
      </w:r>
      <w:r>
        <w:rPr>
          <w:spacing w:val="-2"/>
        </w:rPr>
        <w:t xml:space="preserve"> </w:t>
      </w:r>
      <w:r>
        <w:t>to</w:t>
      </w:r>
      <w:r>
        <w:rPr>
          <w:spacing w:val="-2"/>
        </w:rPr>
        <w:t xml:space="preserve"> </w:t>
      </w:r>
      <w:r>
        <w:t>contribute</w:t>
      </w:r>
      <w:r>
        <w:rPr>
          <w:spacing w:val="-2"/>
        </w:rPr>
        <w:t xml:space="preserve"> </w:t>
      </w:r>
      <w:r>
        <w:t>to</w:t>
      </w:r>
      <w:r>
        <w:rPr>
          <w:spacing w:val="-2"/>
        </w:rPr>
        <w:t xml:space="preserve"> </w:t>
      </w:r>
      <w:r>
        <w:t>the discussions, despite repeated requests".</w:t>
      </w:r>
    </w:p>
    <w:p w:rsidR="0068061A" w:rsidRDefault="0049456E" w14:paraId="5A742997" w14:textId="77777777">
      <w:pPr>
        <w:pStyle w:val="BodyText"/>
        <w:spacing w:before="1"/>
        <w:ind w:right="164"/>
      </w:pPr>
      <w:r>
        <w:t>NICE's Manual for health technology evaluations explains that NICE invites stakeholders including organisations</w:t>
      </w:r>
      <w:r>
        <w:rPr>
          <w:spacing w:val="-4"/>
        </w:rPr>
        <w:t xml:space="preserve"> </w:t>
      </w:r>
      <w:r>
        <w:t>representing</w:t>
      </w:r>
      <w:r>
        <w:rPr>
          <w:spacing w:val="-4"/>
        </w:rPr>
        <w:t xml:space="preserve"> </w:t>
      </w:r>
      <w:r>
        <w:t>healthcare</w:t>
      </w:r>
      <w:r>
        <w:rPr>
          <w:spacing w:val="-4"/>
        </w:rPr>
        <w:t xml:space="preserve"> </w:t>
      </w:r>
      <w:r>
        <w:t>professions</w:t>
      </w:r>
      <w:r>
        <w:rPr>
          <w:spacing w:val="-4"/>
        </w:rPr>
        <w:t xml:space="preserve"> </w:t>
      </w:r>
      <w:r>
        <w:t>to</w:t>
      </w:r>
      <w:r>
        <w:rPr>
          <w:spacing w:val="-4"/>
        </w:rPr>
        <w:t xml:space="preserve"> </w:t>
      </w:r>
      <w:r>
        <w:t>participate</w:t>
      </w:r>
      <w:r>
        <w:rPr>
          <w:spacing w:val="-4"/>
        </w:rPr>
        <w:t xml:space="preserve"> </w:t>
      </w:r>
      <w:r>
        <w:t>in</w:t>
      </w:r>
      <w:r>
        <w:rPr>
          <w:spacing w:val="-4"/>
        </w:rPr>
        <w:t xml:space="preserve"> </w:t>
      </w:r>
      <w:r>
        <w:t>technology</w:t>
      </w:r>
      <w:r>
        <w:rPr>
          <w:spacing w:val="-4"/>
        </w:rPr>
        <w:t xml:space="preserve"> </w:t>
      </w:r>
      <w:r>
        <w:t>evaluations.</w:t>
      </w:r>
      <w:r>
        <w:rPr>
          <w:spacing w:val="-4"/>
        </w:rPr>
        <w:t xml:space="preserve"> </w:t>
      </w:r>
      <w:r>
        <w:t>The</w:t>
      </w:r>
      <w:r>
        <w:rPr>
          <w:spacing w:val="-4"/>
        </w:rPr>
        <w:t xml:space="preserve"> </w:t>
      </w:r>
      <w:r>
        <w:t>BPNA</w:t>
      </w:r>
      <w:r>
        <w:rPr>
          <w:spacing w:val="-4"/>
        </w:rPr>
        <w:t xml:space="preserve"> </w:t>
      </w:r>
      <w:r>
        <w:t>was so invited and participated in this evaluation as a consultee. The Manual further explains (at 1.2.18 and 1.3.13) that professional organisations who are consultees should be invited to submit evidence and nominate clinical, patient and commissioning experts for the evaluation.</w:t>
      </w:r>
    </w:p>
    <w:p w:rsidR="0068061A" w:rsidRDefault="0049456E" w14:paraId="5A742998" w14:textId="77777777">
      <w:pPr>
        <w:spacing w:before="265"/>
        <w:ind w:left="672"/>
        <w:rPr>
          <w:b/>
        </w:rPr>
      </w:pPr>
      <w:r>
        <w:rPr>
          <w:b/>
          <w:color w:val="1F4E79"/>
        </w:rPr>
        <w:t>BPNA</w:t>
      </w:r>
      <w:r>
        <w:rPr>
          <w:b/>
          <w:color w:val="1F4E79"/>
          <w:spacing w:val="-4"/>
        </w:rPr>
        <w:t xml:space="preserve"> </w:t>
      </w:r>
      <w:r>
        <w:rPr>
          <w:b/>
          <w:color w:val="1F4E79"/>
          <w:spacing w:val="-2"/>
        </w:rPr>
        <w:t>response:</w:t>
      </w:r>
    </w:p>
    <w:p w:rsidR="0068061A" w:rsidRDefault="0049456E" w14:paraId="5A742999" w14:textId="77777777">
      <w:pPr>
        <w:pStyle w:val="BodyText"/>
        <w:ind w:right="164"/>
      </w:pPr>
      <w:r>
        <w:rPr>
          <w:color w:val="1F4E79"/>
        </w:rPr>
        <w:t>It would be helpful for BPNA, a key stakeholder for matters relating to the management of children with neurological problems, to have clarity from NICE on how BPNA can participate in technology evaluations. Indeed, BPNA received an email from NICE to sign up to participate in technology evaluation for ID1651. One of BPNA members, an experienced Consultant Paediatric Neurologist with expertise in complex epilepsies, was nominated and completed the necessary paperwork, but was not given the opportunity to co</w:t>
      </w:r>
      <w:r>
        <w:rPr>
          <w:color w:val="1F4E79"/>
        </w:rPr>
        <w:t>ntribute.</w:t>
      </w:r>
      <w:r>
        <w:rPr>
          <w:color w:val="1F4E79"/>
          <w:spacing w:val="-2"/>
        </w:rPr>
        <w:t xml:space="preserve"> </w:t>
      </w:r>
      <w:r>
        <w:rPr>
          <w:color w:val="1F4E79"/>
        </w:rPr>
        <w:t>They</w:t>
      </w:r>
      <w:r>
        <w:rPr>
          <w:color w:val="1F4E79"/>
          <w:spacing w:val="-2"/>
        </w:rPr>
        <w:t xml:space="preserve"> </w:t>
      </w:r>
      <w:r>
        <w:rPr>
          <w:color w:val="1F4E79"/>
        </w:rPr>
        <w:t>received</w:t>
      </w:r>
      <w:r>
        <w:rPr>
          <w:color w:val="1F4E79"/>
          <w:spacing w:val="-2"/>
        </w:rPr>
        <w:t xml:space="preserve"> </w:t>
      </w:r>
      <w:r>
        <w:rPr>
          <w:color w:val="1F4E79"/>
        </w:rPr>
        <w:t>an</w:t>
      </w:r>
      <w:r>
        <w:rPr>
          <w:color w:val="1F4E79"/>
          <w:spacing w:val="-2"/>
        </w:rPr>
        <w:t xml:space="preserve"> </w:t>
      </w:r>
      <w:r>
        <w:rPr>
          <w:color w:val="1F4E79"/>
        </w:rPr>
        <w:t>email</w:t>
      </w:r>
      <w:r>
        <w:rPr>
          <w:color w:val="1F4E79"/>
          <w:spacing w:val="-2"/>
        </w:rPr>
        <w:t xml:space="preserve"> </w:t>
      </w:r>
      <w:r>
        <w:rPr>
          <w:color w:val="1F4E79"/>
        </w:rPr>
        <w:t>from</w:t>
      </w:r>
      <w:r>
        <w:rPr>
          <w:color w:val="1F4E79"/>
          <w:spacing w:val="-2"/>
        </w:rPr>
        <w:t xml:space="preserve"> </w:t>
      </w:r>
      <w:r>
        <w:rPr>
          <w:color w:val="1F4E79"/>
        </w:rPr>
        <w:t>NICE</w:t>
      </w:r>
      <w:r>
        <w:rPr>
          <w:color w:val="1F4E79"/>
          <w:spacing w:val="-2"/>
        </w:rPr>
        <w:t xml:space="preserve"> </w:t>
      </w:r>
      <w:r>
        <w:rPr>
          <w:color w:val="1F4E79"/>
        </w:rPr>
        <w:t>saying,</w:t>
      </w:r>
      <w:r>
        <w:rPr>
          <w:color w:val="1F4E79"/>
          <w:spacing w:val="-2"/>
        </w:rPr>
        <w:t xml:space="preserve"> </w:t>
      </w:r>
      <w:r>
        <w:rPr>
          <w:color w:val="1F4E79"/>
        </w:rPr>
        <w:t>“Whilst</w:t>
      </w:r>
      <w:r>
        <w:rPr>
          <w:color w:val="1F4E79"/>
          <w:spacing w:val="-2"/>
        </w:rPr>
        <w:t xml:space="preserve"> </w:t>
      </w:r>
      <w:r>
        <w:rPr>
          <w:color w:val="1F4E79"/>
        </w:rPr>
        <w:t>we</w:t>
      </w:r>
      <w:r>
        <w:rPr>
          <w:color w:val="1F4E79"/>
          <w:spacing w:val="-2"/>
        </w:rPr>
        <w:t xml:space="preserve"> </w:t>
      </w:r>
      <w:r>
        <w:rPr>
          <w:color w:val="1F4E79"/>
        </w:rPr>
        <w:t>acknowledge</w:t>
      </w:r>
      <w:r>
        <w:rPr>
          <w:color w:val="1F4E79"/>
          <w:spacing w:val="-2"/>
        </w:rPr>
        <w:t xml:space="preserve"> </w:t>
      </w:r>
      <w:r>
        <w:rPr>
          <w:color w:val="1F4E79"/>
        </w:rPr>
        <w:t>that</w:t>
      </w:r>
      <w:r>
        <w:rPr>
          <w:color w:val="1F4E79"/>
          <w:spacing w:val="-2"/>
        </w:rPr>
        <w:t xml:space="preserve"> </w:t>
      </w:r>
      <w:r>
        <w:rPr>
          <w:color w:val="1F4E79"/>
        </w:rPr>
        <w:t>you</w:t>
      </w:r>
      <w:r>
        <w:rPr>
          <w:color w:val="1F4E79"/>
          <w:spacing w:val="-2"/>
        </w:rPr>
        <w:t xml:space="preserve"> </w:t>
      </w:r>
      <w:r>
        <w:rPr>
          <w:color w:val="1F4E79"/>
        </w:rPr>
        <w:t>meet</w:t>
      </w:r>
      <w:r>
        <w:rPr>
          <w:color w:val="1F4E79"/>
          <w:spacing w:val="-2"/>
        </w:rPr>
        <w:t xml:space="preserve"> </w:t>
      </w:r>
      <w:r>
        <w:rPr>
          <w:color w:val="1F4E79"/>
        </w:rPr>
        <w:t>the</w:t>
      </w:r>
      <w:r>
        <w:rPr>
          <w:color w:val="1F4E79"/>
          <w:spacing w:val="-2"/>
        </w:rPr>
        <w:t xml:space="preserve"> </w:t>
      </w:r>
      <w:r>
        <w:rPr>
          <w:color w:val="1F4E79"/>
        </w:rPr>
        <w:t>criteria</w:t>
      </w:r>
      <w:r>
        <w:rPr>
          <w:color w:val="1F4E79"/>
          <w:spacing w:val="-2"/>
        </w:rPr>
        <w:t xml:space="preserve"> </w:t>
      </w:r>
      <w:r>
        <w:rPr>
          <w:color w:val="1F4E79"/>
        </w:rPr>
        <w:t>to be a clinical expert, we received multiple clinical expert nominations who were also qualified and nominated by other bodies. As we received more clinical expert nominations that would normally be invited to a committee meeting, we were unable to everyone who was nominated.” We can also confirm that the nominated expert was not asked to give written advice/evidence before the first meeting. The BPNA there</w:t>
      </w:r>
      <w:r>
        <w:rPr>
          <w:color w:val="1F4E79"/>
        </w:rPr>
        <w:t>fore has not had the opportunity to participate in this evaluation.</w:t>
      </w:r>
    </w:p>
    <w:p w:rsidR="0068061A" w:rsidRDefault="0049456E" w14:paraId="5A74299A" w14:textId="77777777">
      <w:pPr>
        <w:pStyle w:val="BodyText"/>
        <w:spacing w:before="3"/>
      </w:pPr>
      <w:r>
        <w:rPr>
          <w:color w:val="1F4E79"/>
        </w:rPr>
        <w:t>While BPNA appreciates NICE has to consider cost-effectiveness, comparable efficacy and tolerability of fenfluramine to that of cannabidiol plus clobazam, in a condition refractory to other medication, warrants further consideration. In particular, nearly 50% reduction in the frequency of generalised tonic-clonic seizures,</w:t>
      </w:r>
      <w:r>
        <w:rPr>
          <w:color w:val="1F4E79"/>
          <w:spacing w:val="-2"/>
        </w:rPr>
        <w:t xml:space="preserve"> </w:t>
      </w:r>
      <w:r>
        <w:rPr>
          <w:color w:val="1F4E79"/>
        </w:rPr>
        <w:t>a</w:t>
      </w:r>
      <w:r>
        <w:rPr>
          <w:color w:val="1F4E79"/>
          <w:spacing w:val="-2"/>
        </w:rPr>
        <w:t xml:space="preserve"> </w:t>
      </w:r>
      <w:r>
        <w:rPr>
          <w:color w:val="1F4E79"/>
        </w:rPr>
        <w:t>key</w:t>
      </w:r>
      <w:r>
        <w:rPr>
          <w:color w:val="1F4E79"/>
          <w:spacing w:val="-2"/>
        </w:rPr>
        <w:t xml:space="preserve"> </w:t>
      </w:r>
      <w:r>
        <w:rPr>
          <w:color w:val="1F4E79"/>
        </w:rPr>
        <w:t>risk</w:t>
      </w:r>
      <w:r>
        <w:rPr>
          <w:color w:val="1F4E79"/>
          <w:spacing w:val="-2"/>
        </w:rPr>
        <w:t xml:space="preserve"> </w:t>
      </w:r>
      <w:r>
        <w:rPr>
          <w:color w:val="1F4E79"/>
        </w:rPr>
        <w:t>factor</w:t>
      </w:r>
      <w:r>
        <w:rPr>
          <w:color w:val="1F4E79"/>
          <w:spacing w:val="-2"/>
        </w:rPr>
        <w:t xml:space="preserve"> </w:t>
      </w:r>
      <w:r>
        <w:rPr>
          <w:color w:val="1F4E79"/>
        </w:rPr>
        <w:t>for</w:t>
      </w:r>
      <w:r>
        <w:rPr>
          <w:color w:val="1F4E79"/>
          <w:spacing w:val="-2"/>
        </w:rPr>
        <w:t xml:space="preserve"> </w:t>
      </w:r>
      <w:r>
        <w:rPr>
          <w:color w:val="1F4E79"/>
        </w:rPr>
        <w:t>SUDEP</w:t>
      </w:r>
      <w:r>
        <w:rPr>
          <w:color w:val="1F4E79"/>
          <w:spacing w:val="-2"/>
        </w:rPr>
        <w:t xml:space="preserve"> </w:t>
      </w:r>
      <w:r>
        <w:rPr>
          <w:color w:val="1F4E79"/>
        </w:rPr>
        <w:t>and</w:t>
      </w:r>
      <w:r>
        <w:rPr>
          <w:color w:val="1F4E79"/>
          <w:spacing w:val="-2"/>
        </w:rPr>
        <w:t xml:space="preserve"> </w:t>
      </w:r>
      <w:r>
        <w:rPr>
          <w:color w:val="1F4E79"/>
        </w:rPr>
        <w:t>compromising</w:t>
      </w:r>
      <w:r>
        <w:rPr>
          <w:color w:val="1F4E79"/>
          <w:spacing w:val="-2"/>
        </w:rPr>
        <w:t xml:space="preserve"> </w:t>
      </w:r>
      <w:r>
        <w:rPr>
          <w:color w:val="1F4E79"/>
        </w:rPr>
        <w:t>quality</w:t>
      </w:r>
      <w:r>
        <w:rPr>
          <w:color w:val="1F4E79"/>
          <w:spacing w:val="-2"/>
        </w:rPr>
        <w:t xml:space="preserve"> </w:t>
      </w:r>
      <w:r>
        <w:rPr>
          <w:color w:val="1F4E79"/>
        </w:rPr>
        <w:t>of</w:t>
      </w:r>
      <w:r>
        <w:rPr>
          <w:color w:val="1F4E79"/>
          <w:spacing w:val="-2"/>
        </w:rPr>
        <w:t xml:space="preserve"> </w:t>
      </w:r>
      <w:r>
        <w:rPr>
          <w:color w:val="1F4E79"/>
        </w:rPr>
        <w:t>life,</w:t>
      </w:r>
      <w:r>
        <w:rPr>
          <w:color w:val="1F4E79"/>
          <w:spacing w:val="-2"/>
        </w:rPr>
        <w:t xml:space="preserve"> </w:t>
      </w:r>
      <w:r>
        <w:rPr>
          <w:color w:val="1F4E79"/>
        </w:rPr>
        <w:t>with</w:t>
      </w:r>
      <w:r>
        <w:rPr>
          <w:color w:val="1F4E79"/>
          <w:spacing w:val="-2"/>
        </w:rPr>
        <w:t xml:space="preserve"> </w:t>
      </w:r>
      <w:r>
        <w:rPr>
          <w:color w:val="1F4E79"/>
        </w:rPr>
        <w:t>fenfluramine</w:t>
      </w:r>
      <w:r>
        <w:rPr>
          <w:color w:val="1F4E79"/>
          <w:spacing w:val="-2"/>
        </w:rPr>
        <w:t xml:space="preserve"> </w:t>
      </w:r>
      <w:r>
        <w:rPr>
          <w:color w:val="1F4E79"/>
        </w:rPr>
        <w:t>during</w:t>
      </w:r>
      <w:r>
        <w:rPr>
          <w:color w:val="1F4E79"/>
          <w:spacing w:val="-2"/>
        </w:rPr>
        <w:t xml:space="preserve"> </w:t>
      </w:r>
      <w:r>
        <w:rPr>
          <w:color w:val="1F4E79"/>
        </w:rPr>
        <w:t>OLE,</w:t>
      </w:r>
      <w:r>
        <w:rPr>
          <w:color w:val="1F4E79"/>
          <w:spacing w:val="-2"/>
        </w:rPr>
        <w:t xml:space="preserve"> </w:t>
      </w:r>
      <w:r>
        <w:rPr>
          <w:color w:val="1F4E79"/>
        </w:rPr>
        <w:t>would justify fenfluramine as a treatment option for LGS patients refractory to other therapies.</w:t>
      </w:r>
    </w:p>
    <w:p w:rsidR="0068061A" w:rsidRDefault="0049456E" w14:paraId="5A74299B" w14:textId="77777777">
      <w:pPr>
        <w:ind w:left="672" w:right="149"/>
      </w:pPr>
      <w:r>
        <w:rPr>
          <w:color w:val="1F4E79"/>
        </w:rPr>
        <w:t>In summary, the British Paediatric Neurology Association (BPNA) strongly</w:t>
      </w:r>
      <w:r>
        <w:rPr>
          <w:color w:val="1F4E79"/>
          <w:spacing w:val="-1"/>
        </w:rPr>
        <w:t xml:space="preserve"> </w:t>
      </w:r>
      <w:r>
        <w:rPr>
          <w:color w:val="1F4E79"/>
        </w:rPr>
        <w:t xml:space="preserve">recommends that </w:t>
      </w:r>
      <w:r>
        <w:rPr>
          <w:b/>
          <w:color w:val="1F4E79"/>
        </w:rPr>
        <w:t>Fenfluramine for</w:t>
      </w:r>
      <w:r>
        <w:rPr>
          <w:b/>
          <w:color w:val="1F4E79"/>
          <w:spacing w:val="-3"/>
        </w:rPr>
        <w:t xml:space="preserve"> </w:t>
      </w:r>
      <w:r>
        <w:rPr>
          <w:b/>
          <w:color w:val="1F4E79"/>
        </w:rPr>
        <w:t>treating</w:t>
      </w:r>
      <w:r>
        <w:rPr>
          <w:b/>
          <w:color w:val="1F4E79"/>
          <w:spacing w:val="-3"/>
        </w:rPr>
        <w:t xml:space="preserve"> </w:t>
      </w:r>
      <w:r>
        <w:rPr>
          <w:b/>
          <w:color w:val="1F4E79"/>
        </w:rPr>
        <w:t>seizures</w:t>
      </w:r>
      <w:r>
        <w:rPr>
          <w:b/>
          <w:color w:val="1F4E79"/>
          <w:spacing w:val="-3"/>
        </w:rPr>
        <w:t xml:space="preserve"> </w:t>
      </w:r>
      <w:r>
        <w:rPr>
          <w:b/>
          <w:color w:val="1F4E79"/>
        </w:rPr>
        <w:t>associated</w:t>
      </w:r>
      <w:r>
        <w:rPr>
          <w:b/>
          <w:color w:val="1F4E79"/>
          <w:spacing w:val="-3"/>
        </w:rPr>
        <w:t xml:space="preserve"> </w:t>
      </w:r>
      <w:r>
        <w:rPr>
          <w:b/>
          <w:color w:val="1F4E79"/>
        </w:rPr>
        <w:t>with</w:t>
      </w:r>
      <w:r>
        <w:rPr>
          <w:b/>
          <w:color w:val="1F4E79"/>
          <w:spacing w:val="-3"/>
        </w:rPr>
        <w:t xml:space="preserve"> </w:t>
      </w:r>
      <w:r>
        <w:rPr>
          <w:b/>
          <w:color w:val="1F4E79"/>
        </w:rPr>
        <w:t>Lennox-Gastuat</w:t>
      </w:r>
      <w:r>
        <w:rPr>
          <w:b/>
          <w:color w:val="1F4E79"/>
          <w:spacing w:val="-3"/>
        </w:rPr>
        <w:t xml:space="preserve"> </w:t>
      </w:r>
      <w:r>
        <w:rPr>
          <w:b/>
          <w:color w:val="1F4E79"/>
        </w:rPr>
        <w:t>Syndrome</w:t>
      </w:r>
      <w:r>
        <w:rPr>
          <w:b/>
          <w:color w:val="1F4E79"/>
          <w:spacing w:val="-3"/>
        </w:rPr>
        <w:t xml:space="preserve"> </w:t>
      </w:r>
      <w:r>
        <w:rPr>
          <w:b/>
          <w:color w:val="1F4E79"/>
        </w:rPr>
        <w:t>in</w:t>
      </w:r>
      <w:r>
        <w:rPr>
          <w:b/>
          <w:color w:val="1F4E79"/>
          <w:spacing w:val="-3"/>
        </w:rPr>
        <w:t xml:space="preserve"> </w:t>
      </w:r>
      <w:r>
        <w:rPr>
          <w:b/>
          <w:color w:val="1F4E79"/>
        </w:rPr>
        <w:t>people</w:t>
      </w:r>
      <w:r>
        <w:rPr>
          <w:b/>
          <w:color w:val="1F4E79"/>
          <w:spacing w:val="-3"/>
        </w:rPr>
        <w:t xml:space="preserve"> </w:t>
      </w:r>
      <w:r>
        <w:rPr>
          <w:b/>
          <w:color w:val="1F4E79"/>
        </w:rPr>
        <w:t>2</w:t>
      </w:r>
      <w:r>
        <w:rPr>
          <w:b/>
          <w:color w:val="1F4E79"/>
          <w:spacing w:val="-3"/>
        </w:rPr>
        <w:t xml:space="preserve"> </w:t>
      </w:r>
      <w:r>
        <w:rPr>
          <w:b/>
          <w:color w:val="1F4E79"/>
        </w:rPr>
        <w:t>years</w:t>
      </w:r>
      <w:r>
        <w:rPr>
          <w:b/>
          <w:color w:val="1F4E79"/>
          <w:spacing w:val="-3"/>
        </w:rPr>
        <w:t xml:space="preserve"> </w:t>
      </w:r>
      <w:r>
        <w:rPr>
          <w:b/>
          <w:color w:val="1F4E79"/>
        </w:rPr>
        <w:t>and</w:t>
      </w:r>
      <w:r>
        <w:rPr>
          <w:b/>
          <w:color w:val="1F4E79"/>
          <w:spacing w:val="-3"/>
        </w:rPr>
        <w:t xml:space="preserve"> </w:t>
      </w:r>
      <w:r>
        <w:rPr>
          <w:b/>
          <w:color w:val="1F4E79"/>
        </w:rPr>
        <w:t>over</w:t>
      </w:r>
      <w:r>
        <w:rPr>
          <w:b/>
          <w:color w:val="1F4E79"/>
          <w:spacing w:val="-3"/>
        </w:rPr>
        <w:t xml:space="preserve"> </w:t>
      </w:r>
      <w:r>
        <w:rPr>
          <w:b/>
          <w:color w:val="1F4E79"/>
        </w:rPr>
        <w:t>(ID1651)</w:t>
      </w:r>
      <w:r>
        <w:rPr>
          <w:b/>
          <w:color w:val="1F4E79"/>
          <w:spacing w:val="-5"/>
        </w:rPr>
        <w:t xml:space="preserve"> </w:t>
      </w:r>
      <w:r>
        <w:rPr>
          <w:color w:val="1F4E79"/>
        </w:rPr>
        <w:t>goes before a third NICE committee meeting with the</w:t>
      </w:r>
      <w:r>
        <w:rPr>
          <w:color w:val="1F4E79"/>
          <w:spacing w:val="40"/>
        </w:rPr>
        <w:t xml:space="preserve"> </w:t>
      </w:r>
      <w:r>
        <w:rPr>
          <w:color w:val="1F4E79"/>
        </w:rPr>
        <w:t>specific aim of identifying a route for patients to access this treatment.</w:t>
      </w:r>
    </w:p>
    <w:p w:rsidR="0068061A" w:rsidRDefault="0049456E" w14:paraId="5A74299C" w14:textId="77777777">
      <w:pPr>
        <w:spacing w:before="265"/>
        <w:ind w:left="672"/>
        <w:rPr>
          <w:rFonts w:ascii="Arial"/>
          <w:sz w:val="24"/>
        </w:rPr>
      </w:pPr>
      <w:r>
        <w:rPr>
          <w:rFonts w:ascii="Arial"/>
          <w:spacing w:val="-2"/>
          <w:sz w:val="24"/>
        </w:rPr>
        <w:t>Sincerely,</w:t>
      </w:r>
    </w:p>
    <w:p w:rsidR="0068061A" w:rsidP="0BA43B55" w:rsidRDefault="0049456E" w14:paraId="5A74299D" w14:textId="77777777" w14:noSpellErr="1">
      <w:pPr>
        <w:pStyle w:val="BodyText"/>
        <w:spacing w:before="47"/>
        <w:ind w:left="0"/>
        <w:rPr>
          <w:rFonts w:ascii="Arial"/>
          <w:sz w:val="20"/>
          <w:szCs w:val="20"/>
        </w:rPr>
      </w:pPr>
    </w:p>
    <w:p w:rsidR="0068061A" w:rsidP="0BA43B55" w:rsidRDefault="0068061A" w14:paraId="5A74299E" w14:textId="71C797D3">
      <w:pPr>
        <w:pStyle w:val="BodyText"/>
        <w:spacing w:before="20"/>
        <w:ind w:left="0"/>
        <w:rPr>
          <w:rFonts w:ascii="Arial"/>
          <w:sz w:val="24"/>
          <w:szCs w:val="24"/>
        </w:rPr>
      </w:pPr>
      <w:r w:rsidRPr="0BA43B55" w:rsidR="6103B712">
        <w:rPr>
          <w:rFonts w:ascii="Arial"/>
          <w:sz w:val="24"/>
          <w:szCs w:val="24"/>
          <w:highlight w:val="black"/>
        </w:rPr>
        <w:t>XXXXXXXXXX</w:t>
      </w:r>
      <w:r>
        <w:tab/>
      </w:r>
      <w:r>
        <w:tab/>
      </w:r>
      <w:r>
        <w:tab/>
      </w:r>
      <w:r>
        <w:tab/>
      </w:r>
      <w:r w:rsidRPr="0BA43B55" w:rsidR="6103B712">
        <w:rPr>
          <w:rFonts w:ascii="Arial"/>
          <w:sz w:val="24"/>
          <w:szCs w:val="24"/>
          <w:highlight w:val="black"/>
        </w:rPr>
        <w:t>XXXXXXXXXX</w:t>
      </w:r>
    </w:p>
    <w:p w:rsidR="0BA43B55" w:rsidP="0BA43B55" w:rsidRDefault="0BA43B55" w14:paraId="383C8562" w14:textId="6C2EC72B">
      <w:pPr>
        <w:pStyle w:val="BodyText"/>
        <w:spacing w:before="20"/>
        <w:ind w:left="0"/>
        <w:rPr>
          <w:rFonts w:ascii="Arial"/>
          <w:sz w:val="24"/>
          <w:szCs w:val="24"/>
        </w:rPr>
      </w:pPr>
    </w:p>
    <w:p w:rsidR="0068061A" w:rsidP="0BA43B55" w:rsidRDefault="0049456E" w14:paraId="5A74299F" w14:textId="2C7A9401">
      <w:pPr>
        <w:tabs>
          <w:tab w:val="left" w:pos="4992"/>
        </w:tabs>
        <w:spacing w:line="275" w:lineRule="exact"/>
        <w:ind w:left="672"/>
        <w:rPr>
          <w:rFonts w:ascii="Arial"/>
          <w:sz w:val="24"/>
          <w:szCs w:val="24"/>
        </w:rPr>
      </w:pPr>
      <w:r w:rsidRPr="0BA43B55" w:rsidR="43174726">
        <w:rPr>
          <w:rFonts w:ascii="Arial"/>
          <w:color w:val="auto"/>
          <w:sz w:val="24"/>
          <w:szCs w:val="24"/>
          <w:highlight w:val="black"/>
        </w:rPr>
        <w:t>XX XXXXXXXXXXXX</w:t>
      </w:r>
      <w:r>
        <w:rPr>
          <w:rFonts w:ascii="Arial"/>
          <w:sz w:val="24"/>
        </w:rPr>
        <w:tab/>
      </w:r>
      <w:r w:rsidRPr="0BA43B55" w:rsidR="4AE65F37">
        <w:rPr>
          <w:rFonts w:ascii="Arial"/>
          <w:color w:val="auto"/>
          <w:sz w:val="24"/>
          <w:szCs w:val="24"/>
          <w:highlight w:val="black"/>
        </w:rPr>
        <w:t>XXXXXXXXXXXXXX</w:t>
      </w:r>
    </w:p>
    <w:p w:rsidR="0068061A" w:rsidRDefault="0049456E" w14:paraId="5A7429A0" w14:textId="77777777">
      <w:pPr>
        <w:tabs>
          <w:tab w:val="left" w:pos="4992"/>
        </w:tabs>
        <w:spacing w:line="275" w:lineRule="exact"/>
        <w:ind w:left="672"/>
        <w:rPr>
          <w:rFonts w:ascii="Arial"/>
          <w:sz w:val="24"/>
        </w:rPr>
      </w:pPr>
      <w:r>
        <w:rPr>
          <w:rFonts w:ascii="Arial"/>
          <w:spacing w:val="-2"/>
          <w:sz w:val="24"/>
        </w:rPr>
        <w:t>Chair</w:t>
      </w:r>
      <w:r>
        <w:rPr>
          <w:rFonts w:ascii="Arial"/>
          <w:sz w:val="24"/>
        </w:rPr>
        <w:tab/>
      </w:r>
      <w:r>
        <w:rPr>
          <w:rFonts w:ascii="Arial"/>
          <w:spacing w:val="-2"/>
          <w:sz w:val="24"/>
        </w:rPr>
        <w:t>President</w:t>
      </w:r>
    </w:p>
    <w:p w:rsidR="0068061A" w:rsidRDefault="0049456E" w14:paraId="5A7429A1" w14:textId="77777777">
      <w:pPr>
        <w:tabs>
          <w:tab w:val="left" w:pos="4992"/>
        </w:tabs>
        <w:spacing w:before="3"/>
        <w:ind w:left="672"/>
        <w:rPr>
          <w:rFonts w:ascii="Arial"/>
          <w:sz w:val="24"/>
        </w:rPr>
      </w:pPr>
      <w:r>
        <w:rPr>
          <w:rFonts w:ascii="Arial"/>
          <w:sz w:val="24"/>
        </w:rPr>
        <w:t>British</w:t>
      </w:r>
      <w:r>
        <w:rPr>
          <w:rFonts w:ascii="Arial"/>
          <w:spacing w:val="-4"/>
          <w:sz w:val="24"/>
        </w:rPr>
        <w:t xml:space="preserve"> </w:t>
      </w:r>
      <w:r>
        <w:rPr>
          <w:rFonts w:ascii="Arial"/>
          <w:sz w:val="24"/>
        </w:rPr>
        <w:t>Paediatric</w:t>
      </w:r>
      <w:r>
        <w:rPr>
          <w:rFonts w:ascii="Arial"/>
          <w:spacing w:val="-2"/>
          <w:sz w:val="24"/>
        </w:rPr>
        <w:t xml:space="preserve"> </w:t>
      </w:r>
      <w:r>
        <w:rPr>
          <w:rFonts w:ascii="Arial"/>
          <w:sz w:val="24"/>
        </w:rPr>
        <w:t>Epilepsy</w:t>
      </w:r>
      <w:r>
        <w:rPr>
          <w:rFonts w:ascii="Arial"/>
          <w:spacing w:val="-2"/>
          <w:sz w:val="24"/>
        </w:rPr>
        <w:t xml:space="preserve"> Group</w:t>
      </w:r>
      <w:r>
        <w:rPr>
          <w:rFonts w:ascii="Arial"/>
          <w:sz w:val="24"/>
        </w:rPr>
        <w:tab/>
      </w:r>
      <w:r>
        <w:rPr>
          <w:rFonts w:ascii="Arial"/>
          <w:sz w:val="24"/>
        </w:rPr>
        <w:t>British</w:t>
      </w:r>
      <w:r>
        <w:rPr>
          <w:rFonts w:ascii="Arial"/>
          <w:spacing w:val="-4"/>
          <w:sz w:val="24"/>
        </w:rPr>
        <w:t xml:space="preserve"> </w:t>
      </w:r>
      <w:r>
        <w:rPr>
          <w:rFonts w:ascii="Arial"/>
          <w:sz w:val="24"/>
        </w:rPr>
        <w:t>Paediatric</w:t>
      </w:r>
      <w:r>
        <w:rPr>
          <w:rFonts w:ascii="Arial"/>
          <w:spacing w:val="-2"/>
          <w:sz w:val="24"/>
        </w:rPr>
        <w:t xml:space="preserve"> </w:t>
      </w:r>
      <w:r>
        <w:rPr>
          <w:rFonts w:ascii="Arial"/>
          <w:sz w:val="24"/>
        </w:rPr>
        <w:t>Neurology</w:t>
      </w:r>
      <w:r>
        <w:rPr>
          <w:rFonts w:ascii="Arial"/>
          <w:spacing w:val="-2"/>
          <w:sz w:val="24"/>
        </w:rPr>
        <w:t xml:space="preserve"> Association</w:t>
      </w:r>
    </w:p>
    <w:sectPr w:rsidR="0068061A">
      <w:pgSz w:w="11910" w:h="16840" w:orient="portrait"/>
      <w:pgMar w:top="760" w:right="1020" w:bottom="1960" w:left="460" w:header="0" w:footer="1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9456E" w:rsidRDefault="0049456E" w14:paraId="5A7429AD" w14:textId="77777777">
      <w:r>
        <w:separator/>
      </w:r>
    </w:p>
  </w:endnote>
  <w:endnote w:type="continuationSeparator" w:id="0">
    <w:p w:rsidR="0049456E" w:rsidRDefault="0049456E" w14:paraId="5A7429A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68061A" w:rsidRDefault="0049456E" w14:paraId="5A7429A8" w14:textId="77777777">
    <w:pPr>
      <w:pStyle w:val="BodyText"/>
      <w:spacing w:line="14" w:lineRule="auto"/>
      <w:ind w:left="0"/>
      <w:rPr>
        <w:sz w:val="20"/>
      </w:rPr>
    </w:pPr>
    <w:r>
      <w:rPr>
        <w:noProof/>
      </w:rPr>
      <mc:AlternateContent>
        <mc:Choice Requires="wps">
          <w:drawing>
            <wp:anchor distT="0" distB="0" distL="0" distR="0" simplePos="0" relativeHeight="487544320" behindDoc="1" locked="0" layoutInCell="1" allowOverlap="1" wp14:anchorId="5A7429A9" wp14:editId="5A7429AA">
              <wp:simplePos x="0" y="0"/>
              <wp:positionH relativeFrom="page">
                <wp:posOffset>776730</wp:posOffset>
              </wp:positionH>
              <wp:positionV relativeFrom="page">
                <wp:posOffset>9424520</wp:posOffset>
              </wp:positionV>
              <wp:extent cx="3110230" cy="6597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0230" cy="659765"/>
                      </a:xfrm>
                      <a:prstGeom prst="rect">
                        <a:avLst/>
                      </a:prstGeom>
                    </wps:spPr>
                    <wps:txbx>
                      <w:txbxContent>
                        <w:p w:rsidR="0068061A" w:rsidRDefault="0049456E" w14:paraId="5A7429AD" w14:textId="77777777">
                          <w:pPr>
                            <w:pStyle w:val="BodyText"/>
                            <w:spacing w:before="20"/>
                            <w:ind w:left="20"/>
                          </w:pPr>
                          <w:r>
                            <w:rPr>
                              <w:color w:val="1F497D"/>
                            </w:rPr>
                            <w:t>British</w:t>
                          </w:r>
                          <w:r>
                            <w:rPr>
                              <w:color w:val="1F497D"/>
                              <w:spacing w:val="-9"/>
                            </w:rPr>
                            <w:t xml:space="preserve"> </w:t>
                          </w:r>
                          <w:r>
                            <w:rPr>
                              <w:color w:val="1F497D"/>
                            </w:rPr>
                            <w:t>Paediatric</w:t>
                          </w:r>
                          <w:r>
                            <w:rPr>
                              <w:color w:val="1F497D"/>
                              <w:spacing w:val="-9"/>
                            </w:rPr>
                            <w:t xml:space="preserve"> </w:t>
                          </w:r>
                          <w:r>
                            <w:rPr>
                              <w:color w:val="1F497D"/>
                            </w:rPr>
                            <w:t>Neurology</w:t>
                          </w:r>
                          <w:r>
                            <w:rPr>
                              <w:color w:val="1F497D"/>
                              <w:spacing w:val="-8"/>
                            </w:rPr>
                            <w:t xml:space="preserve"> </w:t>
                          </w:r>
                          <w:r>
                            <w:rPr>
                              <w:color w:val="1F497D"/>
                              <w:spacing w:val="-2"/>
                            </w:rPr>
                            <w:t>Association</w:t>
                          </w:r>
                        </w:p>
                        <w:p w:rsidR="0068061A" w:rsidRDefault="0049456E" w14:paraId="5A7429AE" w14:textId="77777777">
                          <w:pPr>
                            <w:spacing w:before="1" w:line="242" w:lineRule="exact"/>
                            <w:ind w:left="20"/>
                            <w:rPr>
                              <w:sz w:val="20"/>
                            </w:rPr>
                          </w:pPr>
                          <w:r>
                            <w:rPr>
                              <w:color w:val="1F497D"/>
                              <w:sz w:val="20"/>
                            </w:rPr>
                            <w:t>2</w:t>
                          </w:r>
                          <w:r>
                            <w:rPr>
                              <w:color w:val="1F497D"/>
                              <w:spacing w:val="-6"/>
                              <w:sz w:val="20"/>
                            </w:rPr>
                            <w:t xml:space="preserve"> </w:t>
                          </w:r>
                          <w:r>
                            <w:rPr>
                              <w:color w:val="1F497D"/>
                              <w:sz w:val="20"/>
                            </w:rPr>
                            <w:t>St</w:t>
                          </w:r>
                          <w:r>
                            <w:rPr>
                              <w:color w:val="1F497D"/>
                              <w:spacing w:val="-5"/>
                              <w:sz w:val="20"/>
                            </w:rPr>
                            <w:t xml:space="preserve"> </w:t>
                          </w:r>
                          <w:r>
                            <w:rPr>
                              <w:color w:val="1F497D"/>
                              <w:sz w:val="20"/>
                            </w:rPr>
                            <w:t>Andrews,</w:t>
                          </w:r>
                          <w:r>
                            <w:rPr>
                              <w:color w:val="1F497D"/>
                              <w:spacing w:val="-5"/>
                              <w:sz w:val="20"/>
                            </w:rPr>
                            <w:t xml:space="preserve"> </w:t>
                          </w:r>
                          <w:r>
                            <w:rPr>
                              <w:color w:val="1F497D"/>
                              <w:sz w:val="20"/>
                            </w:rPr>
                            <w:t>Regent’s</w:t>
                          </w:r>
                          <w:r>
                            <w:rPr>
                              <w:color w:val="1F497D"/>
                              <w:spacing w:val="-6"/>
                              <w:sz w:val="20"/>
                            </w:rPr>
                            <w:t xml:space="preserve"> </w:t>
                          </w:r>
                          <w:r>
                            <w:rPr>
                              <w:color w:val="1F497D"/>
                              <w:sz w:val="20"/>
                            </w:rPr>
                            <w:t>Park,</w:t>
                          </w:r>
                          <w:r>
                            <w:rPr>
                              <w:color w:val="1F497D"/>
                              <w:spacing w:val="-5"/>
                              <w:sz w:val="20"/>
                            </w:rPr>
                            <w:t xml:space="preserve"> </w:t>
                          </w:r>
                          <w:r>
                            <w:rPr>
                              <w:color w:val="1F497D"/>
                              <w:sz w:val="20"/>
                            </w:rPr>
                            <w:t>London,</w:t>
                          </w:r>
                          <w:r>
                            <w:rPr>
                              <w:color w:val="1F497D"/>
                              <w:spacing w:val="-5"/>
                              <w:sz w:val="20"/>
                            </w:rPr>
                            <w:t xml:space="preserve"> </w:t>
                          </w:r>
                          <w:r>
                            <w:rPr>
                              <w:color w:val="1F497D"/>
                              <w:sz w:val="20"/>
                            </w:rPr>
                            <w:t>NW1</w:t>
                          </w:r>
                          <w:r>
                            <w:rPr>
                              <w:color w:val="1F497D"/>
                              <w:spacing w:val="-5"/>
                              <w:sz w:val="20"/>
                            </w:rPr>
                            <w:t xml:space="preserve"> 4LB</w:t>
                          </w:r>
                        </w:p>
                        <w:p w:rsidR="0068061A" w:rsidRDefault="0049456E" w14:paraId="5A7429AF" w14:textId="77777777">
                          <w:pPr>
                            <w:ind w:left="20"/>
                            <w:rPr>
                              <w:sz w:val="20"/>
                            </w:rPr>
                          </w:pPr>
                          <w:r>
                            <w:rPr>
                              <w:color w:val="1F497D"/>
                              <w:sz w:val="20"/>
                            </w:rPr>
                            <w:t>Telephone: +44 (0)208 037 4747</w:t>
                          </w:r>
                          <w:r>
                            <w:rPr>
                              <w:color w:val="1F497D"/>
                              <w:spacing w:val="80"/>
                              <w:sz w:val="20"/>
                            </w:rPr>
                            <w:t xml:space="preserve"> </w:t>
                          </w:r>
                          <w:r>
                            <w:rPr>
                              <w:color w:val="1F497D"/>
                              <w:sz w:val="20"/>
                            </w:rPr>
                            <w:t xml:space="preserve">Email: </w:t>
                          </w:r>
                          <w:hyperlink r:id="rId1">
                            <w:r>
                              <w:rPr>
                                <w:color w:val="1F497D"/>
                                <w:sz w:val="20"/>
                              </w:rPr>
                              <w:t>info@bpna.org.uk</w:t>
                            </w:r>
                          </w:hyperlink>
                          <w:r>
                            <w:rPr>
                              <w:color w:val="1F497D"/>
                              <w:sz w:val="20"/>
                            </w:rPr>
                            <w:t xml:space="preserve"> Charity</w:t>
                          </w:r>
                          <w:r>
                            <w:rPr>
                              <w:color w:val="1F497D"/>
                              <w:spacing w:val="-6"/>
                              <w:sz w:val="20"/>
                            </w:rPr>
                            <w:t xml:space="preserve"> </w:t>
                          </w:r>
                          <w:r>
                            <w:rPr>
                              <w:color w:val="1F497D"/>
                              <w:sz w:val="20"/>
                            </w:rPr>
                            <w:t>registered</w:t>
                          </w:r>
                          <w:r>
                            <w:rPr>
                              <w:color w:val="1F497D"/>
                              <w:spacing w:val="-6"/>
                              <w:sz w:val="20"/>
                            </w:rPr>
                            <w:t xml:space="preserve"> </w:t>
                          </w:r>
                          <w:r>
                            <w:rPr>
                              <w:color w:val="1F497D"/>
                              <w:sz w:val="20"/>
                            </w:rPr>
                            <w:t>in</w:t>
                          </w:r>
                          <w:r>
                            <w:rPr>
                              <w:color w:val="1F497D"/>
                              <w:spacing w:val="-6"/>
                              <w:sz w:val="20"/>
                            </w:rPr>
                            <w:t xml:space="preserve"> </w:t>
                          </w:r>
                          <w:r>
                            <w:rPr>
                              <w:color w:val="1F497D"/>
                              <w:sz w:val="20"/>
                            </w:rPr>
                            <w:t>England</w:t>
                          </w:r>
                          <w:r>
                            <w:rPr>
                              <w:color w:val="1F497D"/>
                              <w:spacing w:val="-6"/>
                              <w:sz w:val="20"/>
                            </w:rPr>
                            <w:t xml:space="preserve"> </w:t>
                          </w:r>
                          <w:r>
                            <w:rPr>
                              <w:color w:val="1F497D"/>
                              <w:sz w:val="20"/>
                            </w:rPr>
                            <w:t>and</w:t>
                          </w:r>
                          <w:r>
                            <w:rPr>
                              <w:color w:val="1F497D"/>
                              <w:spacing w:val="-6"/>
                              <w:sz w:val="20"/>
                            </w:rPr>
                            <w:t xml:space="preserve"> </w:t>
                          </w:r>
                          <w:r>
                            <w:rPr>
                              <w:color w:val="1F497D"/>
                              <w:sz w:val="20"/>
                            </w:rPr>
                            <w:t>Wales</w:t>
                          </w:r>
                          <w:r>
                            <w:rPr>
                              <w:color w:val="1F497D"/>
                              <w:spacing w:val="-6"/>
                              <w:sz w:val="20"/>
                            </w:rPr>
                            <w:t xml:space="preserve"> </w:t>
                          </w:r>
                          <w:r>
                            <w:rPr>
                              <w:color w:val="1F497D"/>
                              <w:sz w:val="20"/>
                            </w:rPr>
                            <w:t>(number:</w:t>
                          </w:r>
                          <w:r>
                            <w:rPr>
                              <w:color w:val="1F497D"/>
                              <w:spacing w:val="-6"/>
                              <w:sz w:val="20"/>
                            </w:rPr>
                            <w:t xml:space="preserve"> </w:t>
                          </w:r>
                          <w:r>
                            <w:rPr>
                              <w:color w:val="1F497D"/>
                              <w:sz w:val="20"/>
                            </w:rPr>
                            <w:t>1159115)</w:t>
                          </w:r>
                        </w:p>
                      </w:txbxContent>
                    </wps:txbx>
                    <wps:bodyPr wrap="square" lIns="0" tIns="0" rIns="0" bIns="0" rtlCol="0">
                      <a:noAutofit/>
                    </wps:bodyPr>
                  </wps:wsp>
                </a:graphicData>
              </a:graphic>
            </wp:anchor>
          </w:drawing>
        </mc:Choice>
        <mc:Fallback>
          <w:pict w14:anchorId="0A60A3DF">
            <v:shapetype id="_x0000_t202" coordsize="21600,21600" o:spt="202" path="m,l,21600r21600,l21600,xe" w14:anchorId="5A7429A9">
              <v:stroke joinstyle="miter"/>
              <v:path gradientshapeok="t" o:connecttype="rect"/>
            </v:shapetype>
            <v:shape id="Textbox 1" style="position:absolute;margin-left:61.15pt;margin-top:742.1pt;width:244.9pt;height:51.95pt;z-index:-1577216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">
              <v:textbox inset="0,0,0,0">
                <w:txbxContent>
                  <w:p w:rsidR="0068061A" w:rsidRDefault="0049456E" w14:paraId="0C694708" w14:textId="77777777">
                    <w:pPr>
                      <w:pStyle w:val="BodyText"/>
                      <w:spacing w:before="20"/>
                      <w:ind w:left="20"/>
                    </w:pPr>
                    <w:r>
                      <w:rPr>
                        <w:color w:val="1F497D"/>
                      </w:rPr>
                      <w:t>British</w:t>
                    </w:r>
                    <w:r>
                      <w:rPr>
                        <w:color w:val="1F497D"/>
                        <w:spacing w:val="-9"/>
                      </w:rPr>
                      <w:t xml:space="preserve"> </w:t>
                    </w:r>
                    <w:r>
                      <w:rPr>
                        <w:color w:val="1F497D"/>
                      </w:rPr>
                      <w:t>Paediatric</w:t>
                    </w:r>
                    <w:r>
                      <w:rPr>
                        <w:color w:val="1F497D"/>
                        <w:spacing w:val="-9"/>
                      </w:rPr>
                      <w:t xml:space="preserve"> </w:t>
                    </w:r>
                    <w:r>
                      <w:rPr>
                        <w:color w:val="1F497D"/>
                      </w:rPr>
                      <w:t>Neurology</w:t>
                    </w:r>
                    <w:r>
                      <w:rPr>
                        <w:color w:val="1F497D"/>
                        <w:spacing w:val="-8"/>
                      </w:rPr>
                      <w:t xml:space="preserve"> </w:t>
                    </w:r>
                    <w:r>
                      <w:rPr>
                        <w:color w:val="1F497D"/>
                        <w:spacing w:val="-2"/>
                      </w:rPr>
                      <w:t>Association</w:t>
                    </w:r>
                  </w:p>
                  <w:p w:rsidR="0068061A" w:rsidRDefault="0049456E" w14:paraId="773D4454" w14:textId="77777777">
                    <w:pPr>
                      <w:spacing w:before="1" w:line="242" w:lineRule="exact"/>
                      <w:ind w:left="20"/>
                      <w:rPr>
                        <w:sz w:val="20"/>
                      </w:rPr>
                    </w:pPr>
                    <w:r>
                      <w:rPr>
                        <w:color w:val="1F497D"/>
                        <w:sz w:val="20"/>
                      </w:rPr>
                      <w:t>2</w:t>
                    </w:r>
                    <w:r>
                      <w:rPr>
                        <w:color w:val="1F497D"/>
                        <w:spacing w:val="-6"/>
                        <w:sz w:val="20"/>
                      </w:rPr>
                      <w:t xml:space="preserve"> </w:t>
                    </w:r>
                    <w:r>
                      <w:rPr>
                        <w:color w:val="1F497D"/>
                        <w:sz w:val="20"/>
                      </w:rPr>
                      <w:t>St</w:t>
                    </w:r>
                    <w:r>
                      <w:rPr>
                        <w:color w:val="1F497D"/>
                        <w:spacing w:val="-5"/>
                        <w:sz w:val="20"/>
                      </w:rPr>
                      <w:t xml:space="preserve"> </w:t>
                    </w:r>
                    <w:r>
                      <w:rPr>
                        <w:color w:val="1F497D"/>
                        <w:sz w:val="20"/>
                      </w:rPr>
                      <w:t>Andrews,</w:t>
                    </w:r>
                    <w:r>
                      <w:rPr>
                        <w:color w:val="1F497D"/>
                        <w:spacing w:val="-5"/>
                        <w:sz w:val="20"/>
                      </w:rPr>
                      <w:t xml:space="preserve"> </w:t>
                    </w:r>
                    <w:r>
                      <w:rPr>
                        <w:color w:val="1F497D"/>
                        <w:sz w:val="20"/>
                      </w:rPr>
                      <w:t>Regent’s</w:t>
                    </w:r>
                    <w:r>
                      <w:rPr>
                        <w:color w:val="1F497D"/>
                        <w:spacing w:val="-6"/>
                        <w:sz w:val="20"/>
                      </w:rPr>
                      <w:t xml:space="preserve"> </w:t>
                    </w:r>
                    <w:r>
                      <w:rPr>
                        <w:color w:val="1F497D"/>
                        <w:sz w:val="20"/>
                      </w:rPr>
                      <w:t>Park,</w:t>
                    </w:r>
                    <w:r>
                      <w:rPr>
                        <w:color w:val="1F497D"/>
                        <w:spacing w:val="-5"/>
                        <w:sz w:val="20"/>
                      </w:rPr>
                      <w:t xml:space="preserve"> </w:t>
                    </w:r>
                    <w:r>
                      <w:rPr>
                        <w:color w:val="1F497D"/>
                        <w:sz w:val="20"/>
                      </w:rPr>
                      <w:t>London,</w:t>
                    </w:r>
                    <w:r>
                      <w:rPr>
                        <w:color w:val="1F497D"/>
                        <w:spacing w:val="-5"/>
                        <w:sz w:val="20"/>
                      </w:rPr>
                      <w:t xml:space="preserve"> </w:t>
                    </w:r>
                    <w:r>
                      <w:rPr>
                        <w:color w:val="1F497D"/>
                        <w:sz w:val="20"/>
                      </w:rPr>
                      <w:t>NW1</w:t>
                    </w:r>
                    <w:r>
                      <w:rPr>
                        <w:color w:val="1F497D"/>
                        <w:spacing w:val="-5"/>
                        <w:sz w:val="20"/>
                      </w:rPr>
                      <w:t xml:space="preserve"> 4LB</w:t>
                    </w:r>
                  </w:p>
                  <w:p w:rsidR="0068061A" w:rsidRDefault="0049456E" w14:paraId="579C1C16" w14:textId="77777777">
                    <w:pPr>
                      <w:ind w:left="20"/>
                      <w:rPr>
                        <w:sz w:val="20"/>
                      </w:rPr>
                    </w:pPr>
                    <w:r>
                      <w:rPr>
                        <w:color w:val="1F497D"/>
                        <w:sz w:val="20"/>
                      </w:rPr>
                      <w:t>Telephone: +44 (0)208 037 4747</w:t>
                    </w:r>
                    <w:r>
                      <w:rPr>
                        <w:color w:val="1F497D"/>
                        <w:spacing w:val="80"/>
                        <w:sz w:val="20"/>
                      </w:rPr>
                      <w:t xml:space="preserve"> </w:t>
                    </w:r>
                    <w:r>
                      <w:rPr>
                        <w:color w:val="1F497D"/>
                        <w:sz w:val="20"/>
                      </w:rPr>
                      <w:t xml:space="preserve">Email: </w:t>
                    </w:r>
                    <w:hyperlink r:id="rId2">
                      <w:r>
                        <w:rPr>
                          <w:color w:val="1F497D"/>
                          <w:sz w:val="20"/>
                        </w:rPr>
                        <w:t>info@bpna.org.uk</w:t>
                      </w:r>
                    </w:hyperlink>
                    <w:r>
                      <w:rPr>
                        <w:color w:val="1F497D"/>
                        <w:sz w:val="20"/>
                      </w:rPr>
                      <w:t xml:space="preserve"> Charity</w:t>
                    </w:r>
                    <w:r>
                      <w:rPr>
                        <w:color w:val="1F497D"/>
                        <w:spacing w:val="-6"/>
                        <w:sz w:val="20"/>
                      </w:rPr>
                      <w:t xml:space="preserve"> </w:t>
                    </w:r>
                    <w:r>
                      <w:rPr>
                        <w:color w:val="1F497D"/>
                        <w:sz w:val="20"/>
                      </w:rPr>
                      <w:t>registered</w:t>
                    </w:r>
                    <w:r>
                      <w:rPr>
                        <w:color w:val="1F497D"/>
                        <w:spacing w:val="-6"/>
                        <w:sz w:val="20"/>
                      </w:rPr>
                      <w:t xml:space="preserve"> </w:t>
                    </w:r>
                    <w:r>
                      <w:rPr>
                        <w:color w:val="1F497D"/>
                        <w:sz w:val="20"/>
                      </w:rPr>
                      <w:t>in</w:t>
                    </w:r>
                    <w:r>
                      <w:rPr>
                        <w:color w:val="1F497D"/>
                        <w:spacing w:val="-6"/>
                        <w:sz w:val="20"/>
                      </w:rPr>
                      <w:t xml:space="preserve"> </w:t>
                    </w:r>
                    <w:r>
                      <w:rPr>
                        <w:color w:val="1F497D"/>
                        <w:sz w:val="20"/>
                      </w:rPr>
                      <w:t>England</w:t>
                    </w:r>
                    <w:r>
                      <w:rPr>
                        <w:color w:val="1F497D"/>
                        <w:spacing w:val="-6"/>
                        <w:sz w:val="20"/>
                      </w:rPr>
                      <w:t xml:space="preserve"> </w:t>
                    </w:r>
                    <w:r>
                      <w:rPr>
                        <w:color w:val="1F497D"/>
                        <w:sz w:val="20"/>
                      </w:rPr>
                      <w:t>and</w:t>
                    </w:r>
                    <w:r>
                      <w:rPr>
                        <w:color w:val="1F497D"/>
                        <w:spacing w:val="-6"/>
                        <w:sz w:val="20"/>
                      </w:rPr>
                      <w:t xml:space="preserve"> </w:t>
                    </w:r>
                    <w:r>
                      <w:rPr>
                        <w:color w:val="1F497D"/>
                        <w:sz w:val="20"/>
                      </w:rPr>
                      <w:t>Wales</w:t>
                    </w:r>
                    <w:r>
                      <w:rPr>
                        <w:color w:val="1F497D"/>
                        <w:spacing w:val="-6"/>
                        <w:sz w:val="20"/>
                      </w:rPr>
                      <w:t xml:space="preserve"> </w:t>
                    </w:r>
                    <w:r>
                      <w:rPr>
                        <w:color w:val="1F497D"/>
                        <w:sz w:val="20"/>
                      </w:rPr>
                      <w:t>(number:</w:t>
                    </w:r>
                    <w:r>
                      <w:rPr>
                        <w:color w:val="1F497D"/>
                        <w:spacing w:val="-6"/>
                        <w:sz w:val="20"/>
                      </w:rPr>
                      <w:t xml:space="preserve"> </w:t>
                    </w:r>
                    <w:r>
                      <w:rPr>
                        <w:color w:val="1F497D"/>
                        <w:sz w:val="20"/>
                      </w:rPr>
                      <w:t>1159115)</w:t>
                    </w:r>
                  </w:p>
                </w:txbxContent>
              </v:textbox>
              <w10:wrap anchorx="page" anchory="page"/>
            </v:shape>
          </w:pict>
        </mc:Fallback>
      </mc:AlternateContent>
    </w:r>
    <w:r>
      <w:rPr>
        <w:noProof/>
      </w:rPr>
      <mc:AlternateContent>
        <mc:Choice Requires="wps">
          <w:drawing>
            <wp:anchor distT="0" distB="0" distL="0" distR="0" simplePos="0" relativeHeight="487544832" behindDoc="1" locked="0" layoutInCell="1" allowOverlap="1" wp14:anchorId="5A7429AB" wp14:editId="5A7429AC">
              <wp:simplePos x="0" y="0"/>
              <wp:positionH relativeFrom="page">
                <wp:posOffset>5046678</wp:posOffset>
              </wp:positionH>
              <wp:positionV relativeFrom="page">
                <wp:posOffset>9749957</wp:posOffset>
              </wp:positionV>
              <wp:extent cx="1876425" cy="3346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334645"/>
                      </a:xfrm>
                      <a:prstGeom prst="rect">
                        <a:avLst/>
                      </a:prstGeom>
                    </wps:spPr>
                    <wps:txbx>
                      <w:txbxContent>
                        <w:p w:rsidR="0068061A" w:rsidRDefault="0049456E" w14:paraId="5A7429B0" w14:textId="77777777">
                          <w:pPr>
                            <w:spacing w:before="18"/>
                            <w:ind w:left="20"/>
                            <w:rPr>
                              <w:sz w:val="40"/>
                            </w:rPr>
                          </w:pPr>
                          <w:hyperlink r:id="rId3">
                            <w:r>
                              <w:rPr>
                                <w:color w:val="E36C0A"/>
                                <w:spacing w:val="-2"/>
                                <w:sz w:val="40"/>
                              </w:rPr>
                              <w:t>www.bpna.org.uk</w:t>
                            </w:r>
                          </w:hyperlink>
                        </w:p>
                      </w:txbxContent>
                    </wps:txbx>
                    <wps:bodyPr wrap="square" lIns="0" tIns="0" rIns="0" bIns="0" rtlCol="0">
                      <a:noAutofit/>
                    </wps:bodyPr>
                  </wps:wsp>
                </a:graphicData>
              </a:graphic>
            </wp:anchor>
          </w:drawing>
        </mc:Choice>
        <mc:Fallback>
          <w:pict w14:anchorId="33E1096D">
            <v:shape id="Textbox 2" style="position:absolute;margin-left:397.4pt;margin-top:767.7pt;width:147.75pt;height:26.35pt;z-index:-15771648;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" w14:anchorId="5A7429AB">
              <v:textbox inset="0,0,0,0">
                <w:txbxContent>
                  <w:p w:rsidR="0068061A" w:rsidRDefault="0049456E" w14:paraId="71F4E69B" w14:textId="77777777">
                    <w:pPr>
                      <w:spacing w:before="18"/>
                      <w:ind w:left="20"/>
                      <w:rPr>
                        <w:sz w:val="40"/>
                      </w:rPr>
                    </w:pPr>
                    <w:hyperlink r:id="rId4">
                      <w:r>
                        <w:rPr>
                          <w:color w:val="E36C0A"/>
                          <w:spacing w:val="-2"/>
                          <w:sz w:val="40"/>
                        </w:rPr>
                        <w:t>www.bpna.org.uk</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9456E" w:rsidRDefault="0049456E" w14:paraId="5A7429A9" w14:textId="77777777">
      <w:r>
        <w:separator/>
      </w:r>
    </w:p>
  </w:footnote>
  <w:footnote w:type="continuationSeparator" w:id="0">
    <w:p w:rsidR="0049456E" w:rsidRDefault="0049456E" w14:paraId="5A7429AB"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1A"/>
    <w:rsid w:val="00275190"/>
    <w:rsid w:val="0049456E"/>
    <w:rsid w:val="0068061A"/>
    <w:rsid w:val="0BA43B55"/>
    <w:rsid w:val="3AB7EA67"/>
    <w:rsid w:val="43174726"/>
    <w:rsid w:val="4AE65F37"/>
    <w:rsid w:val="6103B712"/>
    <w:rsid w:val="6EC3A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74297D"/>
  <w15:docId w15:val="{7FF1BACE-4BA4-414E-895A-A847B7AB77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672"/>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672"/>
    </w:pPr>
  </w:style>
  <w:style w:type="paragraph" w:styleId="Title">
    <w:name w:val="Title"/>
    <w:basedOn w:val="Normal"/>
    <w:uiPriority w:val="10"/>
    <w:qFormat/>
    <w:pPr>
      <w:spacing w:before="18"/>
      <w:ind w:left="20"/>
    </w:pPr>
    <w:rPr>
      <w:sz w:val="40"/>
      <w:szCs w:val="40"/>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customXml" Target="../customXml/item3.xml" Id="rId14" /></Relationships>
</file>

<file path=word/_rels/footer1.xml.rels><?xml version="1.0" encoding="UTF-8" standalone="yes"?>
<Relationships xmlns="http://schemas.openxmlformats.org/package/2006/relationships"><Relationship Id="rId3" Type="http://schemas.openxmlformats.org/officeDocument/2006/relationships/hyperlink" Target="http://www.bpna.org.uk/" TargetMode="External"/><Relationship Id="rId2" Type="http://schemas.openxmlformats.org/officeDocument/2006/relationships/hyperlink" Target="mailto:info@bpna.org.uk" TargetMode="External"/><Relationship Id="rId1" Type="http://schemas.openxmlformats.org/officeDocument/2006/relationships/hyperlink" Target="mailto:info@bpna.org.uk" TargetMode="External"/><Relationship Id="rId4" Type="http://schemas.openxmlformats.org/officeDocument/2006/relationships/hyperlink" Target="http://www.bpn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381618-0E0C-4B2F-AB5D-6540B8DA666C}"/>
</file>

<file path=customXml/itemProps2.xml><?xml version="1.0" encoding="utf-8"?>
<ds:datastoreItem xmlns:ds="http://schemas.openxmlformats.org/officeDocument/2006/customXml" ds:itemID="{B57A3638-DB23-4F27-A57D-15FA64B837CA}"/>
</file>

<file path=customXml/itemProps3.xml><?xml version="1.0" encoding="utf-8"?>
<ds:datastoreItem xmlns:ds="http://schemas.openxmlformats.org/officeDocument/2006/customXml" ds:itemID="{F77359BF-AAF7-4292-80E5-CA356E90A45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Lynn Woodward</dc:creator>
  <lastModifiedBy>Lyn Davies</lastModifiedBy>
  <revision>3</revision>
  <dcterms:created xsi:type="dcterms:W3CDTF">2024-08-21T17:04:00.0000000Z</dcterms:created>
  <dcterms:modified xsi:type="dcterms:W3CDTF">2024-08-27T09:55:06.8635543Z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LastSaved">
    <vt:filetime>2024-08-21T00:00:00Z</vt:filetime>
  </property>
  <property fmtid="{D5CDD505-2E9C-101B-9397-08002B2CF9AE}" pid="4" name="Producer">
    <vt:lpwstr>macOS Version 14.5 (Build 23F79) Quartz PDFContext</vt:lpwstr>
  </property>
  <property fmtid="{D5CDD505-2E9C-101B-9397-08002B2CF9AE}" pid="5" name="MSIP_Label_c69d85d5-6d9e-4305-a294-1f636ec0f2d6_Enabled">
    <vt:lpwstr>true</vt:lpwstr>
  </property>
  <property fmtid="{D5CDD505-2E9C-101B-9397-08002B2CF9AE}" pid="6" name="MSIP_Label_c69d85d5-6d9e-4305-a294-1f636ec0f2d6_SetDate">
    <vt:lpwstr>2024-08-21T17:04:26Z</vt:lpwstr>
  </property>
  <property fmtid="{D5CDD505-2E9C-101B-9397-08002B2CF9AE}" pid="7" name="MSIP_Label_c69d85d5-6d9e-4305-a294-1f636ec0f2d6_Method">
    <vt:lpwstr>Standard</vt:lpwstr>
  </property>
  <property fmtid="{D5CDD505-2E9C-101B-9397-08002B2CF9AE}" pid="8" name="MSIP_Label_c69d85d5-6d9e-4305-a294-1f636ec0f2d6_Name">
    <vt:lpwstr>OFFICIAL</vt:lpwstr>
  </property>
  <property fmtid="{D5CDD505-2E9C-101B-9397-08002B2CF9AE}" pid="9" name="MSIP_Label_c69d85d5-6d9e-4305-a294-1f636ec0f2d6_SiteId">
    <vt:lpwstr>6030f479-b342-472d-a5dd-740ff7538de9</vt:lpwstr>
  </property>
  <property fmtid="{D5CDD505-2E9C-101B-9397-08002B2CF9AE}" pid="10" name="MSIP_Label_c69d85d5-6d9e-4305-a294-1f636ec0f2d6_ActionId">
    <vt:lpwstr>7be134fc-5c1e-4d8f-9f5c-4c16d2c64c21</vt:lpwstr>
  </property>
  <property fmtid="{D5CDD505-2E9C-101B-9397-08002B2CF9AE}" pid="11" name="MSIP_Label_c69d85d5-6d9e-4305-a294-1f636ec0f2d6_ContentBits">
    <vt:lpwstr>0</vt:lpwstr>
  </property>
  <property fmtid="{D5CDD505-2E9C-101B-9397-08002B2CF9AE}" pid="12" name="ContentTypeId">
    <vt:lpwstr>0x0101003300E5E64B980D458C754FFE05DEE26D</vt:lpwstr>
  </property>
</Properties>
</file>