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69F" w:rsidRDefault="00285C84" w14:paraId="0A8D39BE" w14:textId="77777777">
      <w:pPr>
        <w:pStyle w:val="BodyText"/>
        <w:spacing w:before="41" w:line="259" w:lineRule="auto"/>
        <w:ind w:left="2594" w:right="57" w:hanging="2137"/>
      </w:pP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Fenfluramine</w:t>
      </w:r>
      <w:r>
        <w:rPr>
          <w:spacing w:val="-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treating</w:t>
      </w:r>
      <w:r>
        <w:rPr>
          <w:spacing w:val="-11"/>
        </w:rPr>
        <w:t xml:space="preserve"> </w:t>
      </w:r>
      <w:r>
        <w:t>seizures</w:t>
      </w:r>
      <w:r>
        <w:rPr>
          <w:spacing w:val="-10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Lennox-Gastaut</w:t>
      </w:r>
      <w:r>
        <w:rPr>
          <w:spacing w:val="-12"/>
        </w:rPr>
        <w:t xml:space="preserve"> </w:t>
      </w:r>
      <w:r>
        <w:t>Syndrome</w:t>
      </w:r>
      <w:r>
        <w:rPr>
          <w:spacing w:val="-10"/>
        </w:rPr>
        <w:t xml:space="preserve"> </w:t>
      </w:r>
      <w:r>
        <w:t>– Appeal following draft guidance [ID 1651]</w:t>
      </w:r>
    </w:p>
    <w:p w:rsidR="00A6769F" w:rsidRDefault="00285C84" w14:paraId="17841F60" w14:textId="77777777">
      <w:pPr>
        <w:spacing w:before="279"/>
        <w:ind w:left="100"/>
      </w:pPr>
      <w:r>
        <w:rPr>
          <w:spacing w:val="-2"/>
        </w:rPr>
        <w:t>24/05/2024</w:t>
      </w:r>
    </w:p>
    <w:p w:rsidR="00A6769F" w:rsidRDefault="00A6769F" w14:paraId="672A6659" w14:textId="77777777">
      <w:pPr>
        <w:pStyle w:val="BodyText"/>
        <w:spacing w:before="13"/>
        <w:ind w:left="0"/>
        <w:rPr>
          <w:sz w:val="22"/>
        </w:rPr>
      </w:pPr>
    </w:p>
    <w:p w:rsidR="00A6769F" w:rsidRDefault="00285C84" w14:paraId="422D2F5E" w14:textId="77777777">
      <w:pPr>
        <w:pStyle w:val="BodyText"/>
      </w:pPr>
      <w:r>
        <w:t>Dr Mark</w:t>
      </w:r>
      <w:r>
        <w:rPr>
          <w:spacing w:val="-1"/>
        </w:rPr>
        <w:t xml:space="preserve"> </w:t>
      </w:r>
      <w:r>
        <w:rPr>
          <w:spacing w:val="-2"/>
        </w:rPr>
        <w:t>Chakravarty</w:t>
      </w:r>
    </w:p>
    <w:p w:rsidR="00A6769F" w:rsidRDefault="00285C84" w14:paraId="43C8E809" w14:textId="77777777">
      <w:pPr>
        <w:pStyle w:val="BodyText"/>
        <w:spacing w:before="278" w:line="470" w:lineRule="auto"/>
        <w:ind w:right="4327"/>
      </w:pPr>
      <w:r>
        <w:t>Lead non-executive director for appeals</w:t>
      </w:r>
      <w:r>
        <w:rPr>
          <w:spacing w:val="40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Excellence 2nd Floor</w:t>
      </w:r>
    </w:p>
    <w:p w:rsidR="00A6769F" w:rsidRDefault="00285C84" w14:paraId="2409B795" w14:textId="77777777">
      <w:pPr>
        <w:pStyle w:val="BodyText"/>
        <w:spacing w:line="468" w:lineRule="auto"/>
        <w:ind w:right="6810"/>
      </w:pPr>
      <w:r>
        <w:t>2</w:t>
      </w:r>
      <w:r>
        <w:rPr>
          <w:spacing w:val="-13"/>
        </w:rPr>
        <w:t xml:space="preserve"> </w:t>
      </w:r>
      <w:r>
        <w:t>Redman</w:t>
      </w:r>
      <w:r>
        <w:rPr>
          <w:spacing w:val="-13"/>
        </w:rPr>
        <w:t xml:space="preserve"> </w:t>
      </w:r>
      <w:r>
        <w:t>Place London</w:t>
      </w:r>
      <w:r>
        <w:rPr>
          <w:spacing w:val="-2"/>
        </w:rPr>
        <w:t xml:space="preserve"> </w:t>
      </w:r>
      <w:r>
        <w:t>E20</w:t>
      </w:r>
      <w:r>
        <w:rPr>
          <w:spacing w:val="-3"/>
        </w:rPr>
        <w:t xml:space="preserve"> </w:t>
      </w:r>
      <w:r>
        <w:rPr>
          <w:spacing w:val="-5"/>
        </w:rPr>
        <w:t>1JQ</w:t>
      </w:r>
    </w:p>
    <w:p w:rsidR="00A6769F" w:rsidRDefault="00A6769F" w14:paraId="0A37501D" w14:textId="77777777">
      <w:pPr>
        <w:pStyle w:val="BodyText"/>
        <w:spacing w:before="282"/>
        <w:ind w:left="0"/>
      </w:pPr>
    </w:p>
    <w:p w:rsidR="00A6769F" w:rsidRDefault="00285C84" w14:paraId="3B17349A" w14:textId="77777777">
      <w:pPr>
        <w:pStyle w:val="BodyText"/>
      </w:pPr>
      <w:r>
        <w:t>Dear</w:t>
      </w:r>
      <w:r>
        <w:rPr>
          <w:spacing w:val="-2"/>
        </w:rPr>
        <w:t xml:space="preserve"> </w:t>
      </w:r>
      <w:r>
        <w:t>Dr</w:t>
      </w:r>
      <w:r>
        <w:rPr>
          <w:spacing w:val="1"/>
        </w:rPr>
        <w:t xml:space="preserve"> </w:t>
      </w:r>
      <w:r>
        <w:rPr>
          <w:spacing w:val="-2"/>
        </w:rPr>
        <w:t>Chakravarty,</w:t>
      </w:r>
    </w:p>
    <w:p w:rsidR="00A6769F" w:rsidRDefault="00285C84" w14:paraId="2209251B" w14:textId="77777777">
      <w:pPr>
        <w:pStyle w:val="Heading1"/>
        <w:spacing w:before="280"/>
      </w:pPr>
      <w:r>
        <w:t>Final</w:t>
      </w:r>
      <w:r>
        <w:rPr>
          <w:spacing w:val="-3"/>
        </w:rPr>
        <w:t xml:space="preserve"> </w:t>
      </w:r>
      <w:r>
        <w:t>Evaluation:</w:t>
      </w:r>
      <w:r>
        <w:rPr>
          <w:spacing w:val="-2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[ID</w:t>
      </w:r>
      <w:r>
        <w:rPr>
          <w:spacing w:val="-3"/>
        </w:rPr>
        <w:t xml:space="preserve"> </w:t>
      </w:r>
      <w:r>
        <w:rPr>
          <w:spacing w:val="-4"/>
        </w:rPr>
        <w:t>1651]</w:t>
      </w:r>
    </w:p>
    <w:p w:rsidR="00A6769F" w:rsidRDefault="00285C84" w14:paraId="3E7A9F1C" w14:textId="77777777">
      <w:pPr>
        <w:pStyle w:val="BodyText"/>
        <w:spacing w:before="279"/>
      </w:pPr>
      <w:r>
        <w:rPr>
          <w:spacing w:val="-2"/>
        </w:rPr>
        <w:t>Introduction</w:t>
      </w:r>
    </w:p>
    <w:p w:rsidR="00A6769F" w:rsidRDefault="00285C84" w14:paraId="40603BF8" w14:textId="77777777">
      <w:pPr>
        <w:pStyle w:val="BodyText"/>
        <w:spacing w:before="281" w:line="259" w:lineRule="auto"/>
      </w:pPr>
      <w:r>
        <w:t>Following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recent</w:t>
      </w:r>
      <w:r>
        <w:rPr>
          <w:spacing w:val="-10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Fenfluramine</w:t>
      </w:r>
      <w:r>
        <w:rPr>
          <w:spacing w:val="-9"/>
        </w:rPr>
        <w:t xml:space="preserve"> </w:t>
      </w:r>
      <w:r>
        <w:t>for seizures associated with Lennox-Gastaut Syndrome (LGS) [ID 1651], we the undersigned</w:t>
      </w:r>
    </w:p>
    <w:p w:rsidR="00A6769F" w:rsidRDefault="00285C84" w14:paraId="03934A53" w14:textId="77777777">
      <w:pPr>
        <w:pStyle w:val="BodyText"/>
      </w:pPr>
      <w:r>
        <w:t>group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paediatric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adult</w:t>
      </w:r>
      <w:r>
        <w:rPr>
          <w:spacing w:val="-8"/>
        </w:rPr>
        <w:t xml:space="preserve"> </w:t>
      </w:r>
      <w:r>
        <w:t>epilepsy</w:t>
      </w:r>
      <w:r>
        <w:rPr>
          <w:spacing w:val="-7"/>
        </w:rPr>
        <w:t xml:space="preserve"> </w:t>
      </w:r>
      <w:r>
        <w:t>specialists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reconsideration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4"/>
        </w:rPr>
        <w:t>NICE</w:t>
      </w:r>
    </w:p>
    <w:p w:rsidR="00A6769F" w:rsidRDefault="00285C84" w14:paraId="443EE68C" w14:textId="77777777">
      <w:pPr>
        <w:pStyle w:val="BodyText"/>
        <w:spacing w:before="22" w:line="259" w:lineRule="auto"/>
      </w:pPr>
      <w:r>
        <w:t>committee decision to not recommend fenfluramine. Our appeal is based on our positive clinical</w:t>
      </w:r>
      <w:r>
        <w:rPr>
          <w:spacing w:val="-6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Fenfluramine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treatments</w:t>
      </w:r>
      <w:r>
        <w:rPr>
          <w:spacing w:val="-7"/>
        </w:rPr>
        <w:t xml:space="preserve"> </w:t>
      </w:r>
      <w:r>
        <w:t>including Cannabidiol (with Clobazam) in those with refractory LGS.</w:t>
      </w:r>
    </w:p>
    <w:p w:rsidR="00A6769F" w:rsidRDefault="00285C84" w14:paraId="552527F9" w14:textId="77777777">
      <w:pPr>
        <w:pStyle w:val="Heading1"/>
        <w:spacing w:before="279"/>
      </w:pPr>
      <w:r>
        <w:t>Ground</w:t>
      </w:r>
      <w:r>
        <w:rPr>
          <w:spacing w:val="-3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unreasonable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evidence</w:t>
      </w:r>
      <w:r>
        <w:rPr>
          <w:spacing w:val="4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NICE.</w:t>
      </w:r>
    </w:p>
    <w:p w:rsidR="00A6769F" w:rsidRDefault="00285C84" w14:paraId="04B87A9D" w14:textId="77777777">
      <w:pPr>
        <w:spacing w:before="282"/>
        <w:ind w:left="100"/>
        <w:rPr>
          <w:b/>
          <w:sz w:val="24"/>
        </w:rPr>
      </w:pPr>
      <w:r>
        <w:rPr>
          <w:b/>
          <w:sz w:val="24"/>
        </w:rPr>
        <w:t>3.2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options</w:t>
      </w:r>
    </w:p>
    <w:p w:rsidR="00A6769F" w:rsidRDefault="00285C84" w14:paraId="4B32E0EC" w14:textId="77777777">
      <w:pPr>
        <w:spacing w:before="182" w:line="259" w:lineRule="auto"/>
        <w:ind w:left="100" w:right="11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clinical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experts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LGS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difficult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diagnose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people are adults they have often already had most third-line treatment options.</w:t>
      </w:r>
    </w:p>
    <w:p w:rsidR="00A6769F" w:rsidRDefault="00285C84" w14:paraId="48F3686F" w14:textId="77777777">
      <w:pPr>
        <w:pStyle w:val="BodyText"/>
        <w:spacing w:before="159" w:line="259" w:lineRule="auto"/>
        <w:ind w:right="57"/>
      </w:pPr>
      <w:r>
        <w:t>Clobazam,</w:t>
      </w:r>
      <w:r>
        <w:rPr>
          <w:spacing w:val="-8"/>
        </w:rPr>
        <w:t xml:space="preserve"> </w:t>
      </w:r>
      <w:r>
        <w:t>rufinamide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topiramate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third-line</w:t>
      </w:r>
      <w:r>
        <w:rPr>
          <w:spacing w:val="-8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options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patients with LGS. It is therefore incongruous to propose that they are appropriate comparators for Fenfluramine (see point 3.3)</w:t>
      </w:r>
    </w:p>
    <w:p w:rsidR="00A6769F" w:rsidRDefault="00285C84" w14:paraId="325ABDA5" w14:textId="77777777">
      <w:pPr>
        <w:pStyle w:val="Heading1"/>
        <w:spacing w:before="160"/>
      </w:pPr>
      <w:r>
        <w:t>3.3</w:t>
      </w:r>
      <w:r>
        <w:rPr>
          <w:spacing w:val="-5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positioning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comparators</w:t>
      </w:r>
    </w:p>
    <w:p w:rsidR="00A6769F" w:rsidRDefault="00285C84" w14:paraId="0301DEBB" w14:textId="77777777">
      <w:pPr>
        <w:pStyle w:val="ListParagraph"/>
        <w:numPr>
          <w:ilvl w:val="0"/>
          <w:numId w:val="1"/>
        </w:numPr>
        <w:tabs>
          <w:tab w:val="left" w:pos="336"/>
        </w:tabs>
        <w:spacing w:before="184" w:line="256" w:lineRule="auto"/>
        <w:ind w:right="786" w:firstLine="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considered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helpful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scenarios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considered clobazam, rufinamide and topiramate as separate comparators.</w:t>
      </w:r>
    </w:p>
    <w:p w:rsidR="00A6769F" w:rsidRDefault="00A6769F" w14:paraId="5DAB6C7B" w14:textId="77777777">
      <w:pPr>
        <w:spacing w:line="256" w:lineRule="auto"/>
        <w:rPr>
          <w:sz w:val="24"/>
        </w:rPr>
        <w:sectPr w:rsidR="00A6769F">
          <w:type w:val="continuous"/>
          <w:pgSz w:w="11910" w:h="16840" w:orient="portrait"/>
          <w:pgMar w:top="1380" w:right="1420" w:bottom="280" w:left="1340" w:header="720" w:footer="720" w:gutter="0"/>
          <w:cols w:space="720"/>
        </w:sectPr>
      </w:pPr>
    </w:p>
    <w:p w:rsidR="00A6769F" w:rsidRDefault="00285C84" w14:paraId="6B98583B" w14:textId="77777777">
      <w:pPr>
        <w:pStyle w:val="BodyText"/>
        <w:spacing w:before="41" w:line="259" w:lineRule="auto"/>
      </w:pPr>
      <w:r>
        <w:t>Clobazam,</w:t>
      </w:r>
      <w:r>
        <w:rPr>
          <w:spacing w:val="-9"/>
        </w:rPr>
        <w:t xml:space="preserve"> </w:t>
      </w:r>
      <w:r>
        <w:t>rufinamide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topiramate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comparators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Fenfluramine</w:t>
      </w:r>
      <w:r>
        <w:rPr>
          <w:spacing w:val="-8"/>
        </w:rPr>
        <w:t xml:space="preserve"> </w:t>
      </w:r>
      <w:r>
        <w:t>– Patients with refractory LGS have tried these treatments as part of the standard regime.</w:t>
      </w:r>
    </w:p>
    <w:p w:rsidR="00A6769F" w:rsidRDefault="00A6769F" w14:paraId="02EB378F" w14:textId="77777777">
      <w:pPr>
        <w:pStyle w:val="BodyText"/>
        <w:ind w:left="0"/>
      </w:pPr>
    </w:p>
    <w:p w:rsidR="00A6769F" w:rsidRDefault="00A6769F" w14:paraId="6A05A809" w14:textId="77777777">
      <w:pPr>
        <w:pStyle w:val="BodyText"/>
        <w:spacing w:before="51"/>
        <w:ind w:left="0"/>
      </w:pPr>
    </w:p>
    <w:p w:rsidR="00A6769F" w:rsidRDefault="00285C84" w14:paraId="7E43FA68" w14:textId="77777777">
      <w:pPr>
        <w:pStyle w:val="ListParagraph"/>
        <w:numPr>
          <w:ilvl w:val="0"/>
          <w:numId w:val="1"/>
        </w:numPr>
        <w:tabs>
          <w:tab w:val="left" w:pos="336"/>
        </w:tabs>
        <w:spacing w:line="256" w:lineRule="auto"/>
        <w:ind w:firstLine="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concluded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positioning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fenfluramine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plus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standard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comparators (SC) in the treatment pathway in line with cannabidiol plus clobazam plus SC was</w:t>
      </w:r>
    </w:p>
    <w:p w:rsidR="00A6769F" w:rsidRDefault="00285C84" w14:paraId="709F7684" w14:textId="77777777">
      <w:pPr>
        <w:spacing w:before="4" w:line="259" w:lineRule="auto"/>
        <w:ind w:left="100"/>
        <w:rPr>
          <w:i/>
          <w:sz w:val="24"/>
        </w:rPr>
      </w:pPr>
      <w:r>
        <w:rPr>
          <w:i/>
          <w:sz w:val="24"/>
        </w:rPr>
        <w:t>appropriate.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concluded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cannabidiol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clobazam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z w:val="24"/>
        </w:rPr>
        <w:t xml:space="preserve"> appropriate comparators.</w:t>
      </w:r>
    </w:p>
    <w:p w:rsidR="00A6769F" w:rsidRDefault="00285C84" w14:paraId="6F0F6E0F" w14:textId="77777777">
      <w:pPr>
        <w:pStyle w:val="BodyText"/>
        <w:spacing w:before="159" w:line="259" w:lineRule="auto"/>
      </w:pPr>
      <w:r>
        <w:t>Cannabidiol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Clobazam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comparator.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LGS</w:t>
      </w:r>
      <w:r>
        <w:rPr>
          <w:spacing w:val="-6"/>
        </w:rPr>
        <w:t xml:space="preserve"> </w:t>
      </w:r>
      <w:r>
        <w:t>non- responsive to standard therapies including Cannabidiol plus Clobazam, Fenfluramine (prescribed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months)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significant</w:t>
      </w:r>
      <w:r>
        <w:rPr>
          <w:spacing w:val="-7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convulsive seizures.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&gt;75%</w:t>
      </w:r>
      <w:r>
        <w:rPr>
          <w:spacing w:val="-6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rescue</w:t>
      </w:r>
      <w:r>
        <w:rPr>
          <w:spacing w:val="-4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:rsidR="00A6769F" w:rsidRDefault="00285C84" w14:paraId="2C122287" w14:textId="77777777">
      <w:pPr>
        <w:pStyle w:val="BodyText"/>
        <w:spacing w:line="259" w:lineRule="auto"/>
        <w:ind w:right="57"/>
      </w:pPr>
      <w:r>
        <w:t>&gt;75%</w:t>
      </w:r>
      <w:r>
        <w:rPr>
          <w:spacing w:val="-12"/>
        </w:rPr>
        <w:t xml:space="preserve"> </w:t>
      </w:r>
      <w:r>
        <w:t>reduction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seizure-related</w:t>
      </w:r>
      <w:r>
        <w:rPr>
          <w:spacing w:val="-12"/>
        </w:rPr>
        <w:t xml:space="preserve"> </w:t>
      </w:r>
      <w:r>
        <w:t>hospitalisations</w:t>
      </w:r>
      <w:r>
        <w:rPr>
          <w:spacing w:val="-13"/>
        </w:rPr>
        <w:t xml:space="preserve"> </w:t>
      </w:r>
      <w:r>
        <w:t>(averaging</w:t>
      </w:r>
      <w:r>
        <w:rPr>
          <w:spacing w:val="-11"/>
        </w:rPr>
        <w:t xml:space="preserve"> </w:t>
      </w:r>
      <w:r>
        <w:t>one/month</w:t>
      </w:r>
      <w:r>
        <w:rPr>
          <w:spacing w:val="-12"/>
        </w:rPr>
        <w:t xml:space="preserve"> </w:t>
      </w:r>
      <w:r>
        <w:t>pre</w:t>
      </w:r>
      <w:r>
        <w:rPr>
          <w:spacing w:val="-11"/>
        </w:rPr>
        <w:t xml:space="preserve"> </w:t>
      </w:r>
      <w:r>
        <w:t>Fenfluramine) in two patients. Cannabidiol was successfully reduced as Fenfluramine was initiated.</w:t>
      </w:r>
    </w:p>
    <w:p w:rsidR="00A6769F" w:rsidRDefault="00A6769F" w14:paraId="5A39BBE3" w14:textId="77777777">
      <w:pPr>
        <w:pStyle w:val="BodyText"/>
        <w:ind w:left="0"/>
      </w:pPr>
    </w:p>
    <w:p w:rsidR="00A6769F" w:rsidRDefault="00A6769F" w14:paraId="41C8F396" w14:textId="77777777">
      <w:pPr>
        <w:pStyle w:val="BodyText"/>
        <w:spacing w:before="51"/>
        <w:ind w:left="0"/>
      </w:pPr>
    </w:p>
    <w:p w:rsidR="00A6769F" w:rsidRDefault="00285C84" w14:paraId="2B2A7A39" w14:textId="77777777">
      <w:pPr>
        <w:pStyle w:val="Heading1"/>
      </w:pPr>
      <w:r>
        <w:rPr>
          <w:spacing w:val="-2"/>
        </w:rPr>
        <w:t>Conclusion</w:t>
      </w:r>
    </w:p>
    <w:p w:rsidR="00A6769F" w:rsidRDefault="00285C84" w14:paraId="4A503AC6" w14:textId="77777777">
      <w:pPr>
        <w:pStyle w:val="BodyText"/>
        <w:spacing w:before="182" w:line="259" w:lineRule="auto"/>
        <w:ind w:right="110"/>
      </w:pPr>
      <w:r>
        <w:t>LGS</w:t>
      </w:r>
      <w:r>
        <w:rPr>
          <w:spacing w:val="-7"/>
        </w:rPr>
        <w:t xml:space="preserve"> </w:t>
      </w:r>
      <w:r>
        <w:t>encompasses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heterogenous</w:t>
      </w:r>
      <w:r>
        <w:rPr>
          <w:spacing w:val="-7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disabling</w:t>
      </w:r>
      <w:r>
        <w:rPr>
          <w:spacing w:val="-7"/>
        </w:rPr>
        <w:t xml:space="preserve"> </w:t>
      </w:r>
      <w:r>
        <w:t>conditions.</w:t>
      </w:r>
      <w:r>
        <w:rPr>
          <w:spacing w:val="-7"/>
        </w:rPr>
        <w:t xml:space="preserve"> </w:t>
      </w:r>
      <w:r>
        <w:t>Seizures</w:t>
      </w:r>
      <w:r>
        <w:rPr>
          <w:spacing w:val="-7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 LGS can be severe and life-limiting. Fenfluramine in those who are highly refractory to treatment has a significant impact on seizure frequency and severity with associated reduction in hospitalisations. This has clear health-economic benefits.</w:t>
      </w:r>
    </w:p>
    <w:p w:rsidR="00A6769F" w:rsidRDefault="00285C84" w14:paraId="2F273CD9" w14:textId="77777777">
      <w:pPr>
        <w:pStyle w:val="BodyText"/>
        <w:spacing w:before="161"/>
      </w:pPr>
      <w:r>
        <w:t>The</w:t>
      </w:r>
      <w:r>
        <w:rPr>
          <w:spacing w:val="-5"/>
        </w:rPr>
        <w:t xml:space="preserve"> </w:t>
      </w:r>
      <w:r>
        <w:t>RCP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2"/>
        </w:rPr>
        <w:t>appeal.</w:t>
      </w:r>
    </w:p>
    <w:p w:rsidR="00A6769F" w:rsidRDefault="00A6769F" w14:paraId="72A3D3EC" w14:textId="77777777">
      <w:pPr>
        <w:pStyle w:val="BodyText"/>
        <w:ind w:left="0"/>
      </w:pPr>
    </w:p>
    <w:p w:rsidR="00A6769F" w:rsidRDefault="00A6769F" w14:paraId="0D0B940D" w14:textId="77777777">
      <w:pPr>
        <w:pStyle w:val="BodyText"/>
        <w:spacing w:before="71"/>
        <w:ind w:left="0"/>
      </w:pPr>
    </w:p>
    <w:p w:rsidR="00A6769F" w:rsidRDefault="00285C84" w14:paraId="57F8FFFD" w14:textId="1FF9A771">
      <w:pPr>
        <w:ind w:left="100"/>
      </w:pPr>
      <w:r w:rsidR="00285C84">
        <w:rPr/>
        <w:t>Dr</w:t>
      </w:r>
      <w:r w:rsidR="00285C84">
        <w:rPr>
          <w:spacing w:val="-11"/>
        </w:rPr>
        <w:t xml:space="preserve"> </w:t>
      </w:r>
      <w:r w:rsidRPr="587795F4" w:rsidR="428DD3BC">
        <w:rPr>
          <w:color w:val="auto"/>
          <w:spacing w:val="-11"/>
          <w:highlight w:val="black"/>
        </w:rPr>
        <w:t xml:space="preserve">XXXXXXXXXX</w:t>
      </w:r>
      <w:r w:rsidR="00285C84">
        <w:rPr/>
        <w:t xml:space="preserve"> </w:t>
      </w:r>
      <w:r w:rsidR="00285C84">
        <w:rPr/>
        <w:t>(University</w:t>
      </w:r>
      <w:r w:rsidR="00285C84">
        <w:rPr>
          <w:spacing w:val="-12"/>
        </w:rPr>
        <w:t xml:space="preserve"> </w:t>
      </w:r>
      <w:r w:rsidR="00285C84">
        <w:rPr/>
        <w:t>Hospitals</w:t>
      </w:r>
      <w:r w:rsidR="00285C84">
        <w:rPr>
          <w:spacing w:val="-10"/>
        </w:rPr>
        <w:t xml:space="preserve"> </w:t>
      </w:r>
      <w:r w:rsidR="00285C84">
        <w:rPr>
          <w:spacing w:val="-2"/>
        </w:rPr>
        <w:t>Birmingham)</w:t>
      </w:r>
    </w:p>
    <w:p w:rsidR="00A6769F" w:rsidRDefault="00A6769F" w14:paraId="0E27B00A" w14:textId="77777777">
      <w:pPr>
        <w:pStyle w:val="BodyText"/>
        <w:ind w:left="0"/>
        <w:rPr>
          <w:sz w:val="22"/>
        </w:rPr>
      </w:pPr>
    </w:p>
    <w:p w:rsidR="00A6769F" w:rsidRDefault="00A6769F" w14:paraId="60061E4C" w14:textId="77777777">
      <w:pPr>
        <w:pStyle w:val="BodyText"/>
        <w:spacing w:before="94"/>
        <w:ind w:left="0"/>
        <w:rPr>
          <w:sz w:val="22"/>
        </w:rPr>
      </w:pPr>
    </w:p>
    <w:p w:rsidR="00A6769F" w:rsidP="587795F4" w:rsidRDefault="00285C84" w14:paraId="0584BB78" w14:textId="509A5DC6">
      <w:pPr>
        <w:pStyle w:val="Normal"/>
        <w:ind w:left="100"/>
      </w:pPr>
      <w:r w:rsidR="00285C84">
        <w:rPr/>
        <w:t>Dr</w:t>
      </w:r>
      <w:r w:rsidR="00285C84">
        <w:rPr>
          <w:spacing w:val="-7"/>
        </w:rPr>
        <w:t xml:space="preserve"> </w:t>
      </w:r>
      <w:r w:rsidRPr="587795F4" w:rsidR="6E67B79A">
        <w:rPr>
          <w:color w:val="auto"/>
          <w:highlight w:val="black"/>
        </w:rPr>
        <w:t>XXXXXXXXXX</w:t>
      </w:r>
      <w:r w:rsidR="6E67B79A">
        <w:rPr/>
        <w:t xml:space="preserve"> </w:t>
      </w:r>
      <w:r w:rsidR="00285C84">
        <w:rPr/>
        <w:t>(Newcastle</w:t>
      </w:r>
      <w:r w:rsidR="00285C84">
        <w:rPr>
          <w:spacing w:val="-7"/>
        </w:rPr>
        <w:t xml:space="preserve"> </w:t>
      </w:r>
      <w:r w:rsidR="00285C84">
        <w:rPr/>
        <w:t>Hospitals</w:t>
      </w:r>
      <w:r w:rsidR="00285C84">
        <w:rPr>
          <w:spacing w:val="-7"/>
        </w:rPr>
        <w:t xml:space="preserve"> </w:t>
      </w:r>
      <w:r w:rsidR="00285C84">
        <w:rPr/>
        <w:t>NHS</w:t>
      </w:r>
      <w:r w:rsidR="00285C84">
        <w:rPr>
          <w:spacing w:val="-6"/>
        </w:rPr>
        <w:t xml:space="preserve"> </w:t>
      </w:r>
      <w:r w:rsidR="00285C84">
        <w:rPr>
          <w:spacing w:val="-2"/>
        </w:rPr>
        <w:t>Trust)</w:t>
      </w:r>
    </w:p>
    <w:p w:rsidR="00A6769F" w:rsidP="587795F4" w:rsidRDefault="00285C84" w14:paraId="188436F8" w14:textId="007AB533">
      <w:pPr>
        <w:pStyle w:val="Normal"/>
        <w:spacing w:before="183" w:line="400" w:lineRule="auto"/>
        <w:ind w:left="100" w:right="1845"/>
      </w:pPr>
      <w:r w:rsidR="00285C84">
        <w:rPr/>
        <w:t>Professor</w:t>
      </w:r>
      <w:r w:rsidR="00285C84">
        <w:rPr>
          <w:spacing w:val="-9"/>
        </w:rPr>
        <w:t xml:space="preserve"> </w:t>
      </w:r>
      <w:r w:rsidRPr="587795F4" w:rsidR="4BBBB346">
        <w:rPr>
          <w:color w:val="auto"/>
          <w:highlight w:val="black"/>
        </w:rPr>
        <w:t>XXXXXXXXXX</w:t>
      </w:r>
      <w:r w:rsidR="00285C84">
        <w:rPr/>
        <w:t xml:space="preserve"> </w:t>
      </w:r>
      <w:r w:rsidR="00285C84">
        <w:rPr/>
        <w:t>(Muir</w:t>
      </w:r>
      <w:r w:rsidR="00285C84">
        <w:rPr>
          <w:spacing w:val="-7"/>
        </w:rPr>
        <w:t xml:space="preserve"> </w:t>
      </w:r>
      <w:r w:rsidR="00285C84">
        <w:rPr/>
        <w:t>Maxwell</w:t>
      </w:r>
      <w:r w:rsidR="00285C84">
        <w:rPr>
          <w:spacing w:val="-7"/>
        </w:rPr>
        <w:t xml:space="preserve"> </w:t>
      </w:r>
      <w:r w:rsidR="00285C84">
        <w:rPr/>
        <w:t>Epilepsy</w:t>
      </w:r>
      <w:r w:rsidR="00285C84">
        <w:rPr>
          <w:spacing w:val="-7"/>
        </w:rPr>
        <w:t xml:space="preserve"> </w:t>
      </w:r>
      <w:r w:rsidR="00285C84">
        <w:rPr/>
        <w:t>Centre,</w:t>
      </w:r>
      <w:r w:rsidR="00285C84">
        <w:rPr>
          <w:spacing w:val="-9"/>
        </w:rPr>
        <w:t xml:space="preserve"> </w:t>
      </w:r>
      <w:r w:rsidR="00285C84">
        <w:rPr/>
        <w:t>University</w:t>
      </w:r>
      <w:r w:rsidR="00285C84">
        <w:rPr>
          <w:spacing w:val="-9"/>
        </w:rPr>
        <w:t xml:space="preserve"> </w:t>
      </w:r>
      <w:r w:rsidR="00285C84">
        <w:rPr/>
        <w:t>of</w:t>
      </w:r>
      <w:r w:rsidR="00285C84">
        <w:rPr>
          <w:spacing w:val="-6"/>
        </w:rPr>
        <w:t xml:space="preserve"> </w:t>
      </w:r>
      <w:r w:rsidR="00285C84">
        <w:rPr/>
        <w:t xml:space="preserve">Edinburgh) Dr </w:t>
      </w:r>
      <w:r w:rsidRPr="587795F4" w:rsidR="42BDA6F0">
        <w:rPr>
          <w:color w:val="auto"/>
          <w:highlight w:val="black"/>
        </w:rPr>
        <w:t>XXXXXXXXXX</w:t>
      </w:r>
      <w:r w:rsidR="00285C84">
        <w:rPr/>
        <w:t xml:space="preserve"> (University College London)</w:t>
      </w:r>
    </w:p>
    <w:p w:rsidR="00A6769F" w:rsidP="587795F4" w:rsidRDefault="00285C84" w14:paraId="1D305153" w14:textId="65AEAA2B">
      <w:pPr>
        <w:pStyle w:val="Normal"/>
        <w:spacing w:before="4" w:line="400" w:lineRule="auto"/>
        <w:ind w:left="100" w:right="4122"/>
      </w:pPr>
      <w:r w:rsidR="00285C84">
        <w:rPr/>
        <w:t>Professo</w:t>
      </w:r>
      <w:r w:rsidR="5585A685">
        <w:rPr/>
        <w:t xml:space="preserve">R </w:t>
      </w:r>
      <w:r w:rsidRPr="587795F4" w:rsidR="5585A685">
        <w:rPr>
          <w:color w:val="auto"/>
          <w:highlight w:val="black"/>
        </w:rPr>
        <w:t>XXXXXXXXXX</w:t>
      </w:r>
      <w:r w:rsidR="5585A685">
        <w:rPr/>
        <w:t xml:space="preserve"> </w:t>
      </w:r>
      <w:r w:rsidR="00285C84">
        <w:rPr/>
        <w:t xml:space="preserve">(Great Ormond Street Hospital) Dr </w:t>
      </w:r>
      <w:r w:rsidRPr="587795F4" w:rsidR="217F92A5">
        <w:rPr>
          <w:color w:val="auto"/>
          <w:highlight w:val="black"/>
        </w:rPr>
        <w:t>XXXXXXXXXX</w:t>
      </w:r>
      <w:r w:rsidR="00285C84">
        <w:rPr/>
        <w:t xml:space="preserve"> </w:t>
      </w:r>
      <w:r w:rsidR="00285C84">
        <w:rPr/>
        <w:t>(Sheffield Children's NHS Trust) Professor</w:t>
      </w:r>
      <w:r w:rsidR="00285C84">
        <w:rPr>
          <w:spacing w:val="-13"/>
        </w:rPr>
        <w:t xml:space="preserve"> </w:t>
      </w:r>
      <w:r w:rsidRPr="587795F4" w:rsidR="3048D2DE">
        <w:rPr>
          <w:color w:val="auto"/>
          <w:highlight w:val="black"/>
        </w:rPr>
        <w:t>XXXXXXXXXX</w:t>
      </w:r>
      <w:r w:rsidR="00285C84">
        <w:rPr/>
        <w:t xml:space="preserve"> </w:t>
      </w:r>
      <w:r w:rsidR="00285C84">
        <w:rPr/>
        <w:t>(Birmingham</w:t>
      </w:r>
      <w:r w:rsidR="00285C84">
        <w:rPr>
          <w:spacing w:val="-12"/>
        </w:rPr>
        <w:t xml:space="preserve"> </w:t>
      </w:r>
      <w:r w:rsidR="00285C84">
        <w:rPr/>
        <w:t>Children’s</w:t>
      </w:r>
      <w:r w:rsidR="00285C84">
        <w:rPr>
          <w:spacing w:val="-13"/>
        </w:rPr>
        <w:t xml:space="preserve"> </w:t>
      </w:r>
      <w:r w:rsidR="00285C84">
        <w:rPr/>
        <w:t>Hospital)</w:t>
      </w:r>
    </w:p>
    <w:p w:rsidR="00A6769F" w:rsidP="587795F4" w:rsidRDefault="00285C84" w14:paraId="7B4F3568" w14:textId="37780E1A">
      <w:pPr>
        <w:pStyle w:val="Normal"/>
        <w:spacing w:before="3" w:line="400" w:lineRule="auto"/>
        <w:ind w:left="100" w:right="2840"/>
      </w:pPr>
      <w:r w:rsidR="00285C84">
        <w:rPr/>
        <w:t>Professor</w:t>
      </w:r>
      <w:r w:rsidR="00285C84">
        <w:rPr>
          <w:spacing w:val="-11"/>
        </w:rPr>
        <w:t xml:space="preserve"> </w:t>
      </w:r>
      <w:r w:rsidRPr="587795F4" w:rsidR="1EFC504C">
        <w:rPr>
          <w:color w:val="auto"/>
          <w:highlight w:val="black"/>
        </w:rPr>
        <w:t>XXXXXXXXXX</w:t>
      </w:r>
      <w:r w:rsidR="00285C84">
        <w:rPr/>
        <w:t xml:space="preserve"> </w:t>
      </w:r>
      <w:r w:rsidR="00285C84">
        <w:rPr/>
        <w:t>(Cardiff</w:t>
      </w:r>
      <w:r w:rsidR="00285C84">
        <w:rPr>
          <w:spacing w:val="-8"/>
        </w:rPr>
        <w:t xml:space="preserve"> </w:t>
      </w:r>
      <w:r w:rsidR="00285C84">
        <w:rPr/>
        <w:t>and</w:t>
      </w:r>
      <w:r w:rsidR="00285C84">
        <w:rPr>
          <w:spacing w:val="-9"/>
        </w:rPr>
        <w:t xml:space="preserve"> </w:t>
      </w:r>
      <w:r w:rsidR="00285C84">
        <w:rPr/>
        <w:t>Vale</w:t>
      </w:r>
      <w:r w:rsidR="00285C84">
        <w:rPr>
          <w:spacing w:val="-8"/>
        </w:rPr>
        <w:t xml:space="preserve"> </w:t>
      </w:r>
      <w:r w:rsidR="00285C84">
        <w:rPr/>
        <w:t>University</w:t>
      </w:r>
      <w:r w:rsidR="00285C84">
        <w:rPr>
          <w:spacing w:val="-12"/>
        </w:rPr>
        <w:t xml:space="preserve"> </w:t>
      </w:r>
      <w:r w:rsidR="00285C84">
        <w:rPr/>
        <w:t>Health</w:t>
      </w:r>
      <w:r w:rsidR="00285C84">
        <w:rPr>
          <w:spacing w:val="-8"/>
        </w:rPr>
        <w:t xml:space="preserve"> </w:t>
      </w:r>
      <w:r w:rsidR="00285C84">
        <w:rPr/>
        <w:t xml:space="preserve">Board) </w:t>
      </w:r>
    </w:p>
    <w:p w:rsidR="00A6769F" w:rsidP="587795F4" w:rsidRDefault="00285C84" w14:paraId="19B09B16" w14:textId="0E24D5A6">
      <w:pPr>
        <w:pStyle w:val="Normal"/>
        <w:spacing w:before="3" w:line="400" w:lineRule="auto"/>
        <w:ind w:left="100" w:right="2840"/>
      </w:pPr>
      <w:r w:rsidR="00285C84">
        <w:rPr/>
        <w:t>Dr</w:t>
      </w:r>
      <w:r w:rsidRPr="587795F4" w:rsidR="26BC47FB">
        <w:rPr>
          <w:color w:val="auto"/>
          <w:highlight w:val="black"/>
        </w:rPr>
        <w:t xml:space="preserve"> XXXXXXXXXX</w:t>
      </w:r>
      <w:r w:rsidR="00285C84">
        <w:rPr/>
        <w:t xml:space="preserve"> (Birmingham Children’s Hospital)</w:t>
      </w:r>
    </w:p>
    <w:p w:rsidR="00A6769F" w:rsidP="587795F4" w:rsidRDefault="00285C84" w14:paraId="4F65A4D9" w14:textId="316E833A">
      <w:pPr>
        <w:pStyle w:val="Normal"/>
        <w:spacing w:before="3" w:line="400" w:lineRule="auto"/>
        <w:ind w:left="100" w:right="4122"/>
      </w:pPr>
      <w:r w:rsidR="00285C84">
        <w:rPr/>
        <w:t>Dr</w:t>
      </w:r>
      <w:r w:rsidR="00285C84">
        <w:rPr>
          <w:spacing w:val="-8"/>
        </w:rPr>
        <w:t xml:space="preserve"> </w:t>
      </w:r>
      <w:r w:rsidRPr="587795F4" w:rsidR="7A933D93">
        <w:rPr>
          <w:color w:val="auto"/>
          <w:highlight w:val="black"/>
        </w:rPr>
        <w:t>XXXXXXXXXX</w:t>
      </w:r>
      <w:r w:rsidR="00285C84">
        <w:rPr/>
        <w:t xml:space="preserve"> </w:t>
      </w:r>
      <w:r w:rsidR="00285C84">
        <w:rPr/>
        <w:t>(Bristol</w:t>
      </w:r>
      <w:r w:rsidR="00285C84">
        <w:rPr>
          <w:spacing w:val="-9"/>
        </w:rPr>
        <w:t xml:space="preserve"> </w:t>
      </w:r>
      <w:r w:rsidR="00285C84">
        <w:rPr/>
        <w:t>Royal</w:t>
      </w:r>
      <w:r w:rsidR="00285C84">
        <w:rPr>
          <w:spacing w:val="-8"/>
        </w:rPr>
        <w:t xml:space="preserve"> </w:t>
      </w:r>
      <w:r w:rsidR="00285C84">
        <w:rPr/>
        <w:t>hospital</w:t>
      </w:r>
      <w:r w:rsidR="00285C84">
        <w:rPr>
          <w:spacing w:val="-10"/>
        </w:rPr>
        <w:t xml:space="preserve"> </w:t>
      </w:r>
      <w:r w:rsidR="00285C84">
        <w:rPr/>
        <w:t>for</w:t>
      </w:r>
      <w:r w:rsidR="00285C84">
        <w:rPr>
          <w:spacing w:val="-10"/>
        </w:rPr>
        <w:t xml:space="preserve"> </w:t>
      </w:r>
      <w:r w:rsidR="00285C84">
        <w:rPr/>
        <w:t>children)</w:t>
      </w:r>
    </w:p>
    <w:p w:rsidR="00A6769F" w:rsidP="587795F4" w:rsidRDefault="00285C84" w14:paraId="5206E499" w14:textId="0D7C74E6">
      <w:pPr>
        <w:pStyle w:val="Normal"/>
        <w:spacing w:before="3" w:line="400" w:lineRule="auto"/>
        <w:ind w:left="100" w:right="4122"/>
      </w:pPr>
      <w:r w:rsidR="00285C84">
        <w:rPr/>
        <w:t xml:space="preserve"> D</w:t>
      </w:r>
      <w:r w:rsidR="4791F5F2">
        <w:rPr/>
        <w:t>r</w:t>
      </w:r>
      <w:r w:rsidR="47FF9A23">
        <w:rPr/>
        <w:t xml:space="preserve"> </w:t>
      </w:r>
      <w:r w:rsidRPr="587795F4" w:rsidR="47FF9A23">
        <w:rPr>
          <w:color w:val="auto"/>
          <w:highlight w:val="black"/>
        </w:rPr>
        <w:t>XXXXXXXXXX</w:t>
      </w:r>
      <w:r w:rsidR="00285C84">
        <w:rPr/>
        <w:t xml:space="preserve"> (Cambridge University Hospitals)</w:t>
      </w:r>
    </w:p>
    <w:p w:rsidR="00A6769F" w:rsidP="587795F4" w:rsidRDefault="00285C84" w14:paraId="3C6D665E" w14:textId="37CBEEFB">
      <w:pPr>
        <w:pStyle w:val="Normal"/>
        <w:spacing w:before="1"/>
        <w:ind w:left="100"/>
      </w:pPr>
      <w:r w:rsidR="00285C84">
        <w:rPr/>
        <w:t>Dr</w:t>
      </w:r>
      <w:r w:rsidR="00285C84">
        <w:rPr>
          <w:spacing w:val="-7"/>
        </w:rPr>
        <w:t xml:space="preserve"> </w:t>
      </w:r>
      <w:r w:rsidRPr="587795F4" w:rsidR="1DCB7BB1">
        <w:rPr>
          <w:color w:val="auto"/>
          <w:highlight w:val="black"/>
        </w:rPr>
        <w:t>XXXXXXXXXX</w:t>
      </w:r>
      <w:r w:rsidR="1DCB7BB1">
        <w:rPr/>
        <w:t xml:space="preserve">  (N</w:t>
      </w:r>
      <w:r w:rsidR="00285C84">
        <w:rPr/>
        <w:t>ottingham</w:t>
      </w:r>
      <w:r w:rsidR="00285C84">
        <w:rPr>
          <w:spacing w:val="-8"/>
        </w:rPr>
        <w:t xml:space="preserve"> </w:t>
      </w:r>
      <w:r w:rsidR="00285C84">
        <w:rPr/>
        <w:t>University</w:t>
      </w:r>
      <w:r w:rsidR="00285C84">
        <w:rPr>
          <w:spacing w:val="-6"/>
        </w:rPr>
        <w:t xml:space="preserve"> </w:t>
      </w:r>
      <w:r w:rsidR="00285C84">
        <w:rPr/>
        <w:t>Hospitals</w:t>
      </w:r>
      <w:r w:rsidR="00285C84">
        <w:rPr>
          <w:spacing w:val="-9"/>
        </w:rPr>
        <w:t xml:space="preserve"> </w:t>
      </w:r>
      <w:r w:rsidR="00285C84">
        <w:rPr/>
        <w:t>NHS</w:t>
      </w:r>
      <w:r w:rsidR="00285C84">
        <w:rPr>
          <w:spacing w:val="-6"/>
        </w:rPr>
        <w:t xml:space="preserve"> </w:t>
      </w:r>
      <w:r w:rsidR="00285C84">
        <w:rPr>
          <w:spacing w:val="-2"/>
        </w:rPr>
        <w:t>Trust)</w:t>
      </w:r>
    </w:p>
    <w:p w:rsidR="00A6769F" w:rsidRDefault="00A6769F" w14:paraId="44EAFD9C" w14:textId="77777777">
      <w:pPr>
        <w:sectPr w:rsidR="00A6769F">
          <w:pgSz w:w="11910" w:h="16840" w:orient="portrait"/>
          <w:pgMar w:top="1380" w:right="1420" w:bottom="280" w:left="1340" w:header="720" w:footer="720" w:gutter="0"/>
          <w:cols w:space="720"/>
        </w:sectPr>
      </w:pPr>
    </w:p>
    <w:p w:rsidR="00A6769F" w:rsidP="587795F4" w:rsidRDefault="00285C84" w14:paraId="53735EBD" w14:textId="20D2916B">
      <w:pPr>
        <w:pStyle w:val="Normal"/>
        <w:spacing w:before="41" w:line="403" w:lineRule="auto"/>
        <w:ind w:left="100" w:right="4617"/>
      </w:pPr>
      <w:r w:rsidR="00285C84">
        <w:rPr/>
        <w:t>Dr</w:t>
      </w:r>
      <w:r w:rsidR="00285C84">
        <w:rPr>
          <w:spacing w:val="-8"/>
        </w:rPr>
        <w:t xml:space="preserve"> </w:t>
      </w:r>
      <w:r w:rsidRPr="587795F4" w:rsidR="7BFD7B68">
        <w:rPr>
          <w:color w:val="auto"/>
          <w:highlight w:val="black"/>
        </w:rPr>
        <w:t>XXXXXXXXXX</w:t>
      </w:r>
      <w:r w:rsidR="7BFD7B68">
        <w:rPr/>
        <w:t xml:space="preserve"> </w:t>
      </w:r>
      <w:r w:rsidR="00285C84">
        <w:rPr/>
        <w:t>(Kings</w:t>
      </w:r>
      <w:r w:rsidR="00285C84">
        <w:rPr>
          <w:spacing w:val="-10"/>
        </w:rPr>
        <w:t xml:space="preserve"> </w:t>
      </w:r>
      <w:r w:rsidR="00285C84">
        <w:rPr/>
        <w:t>College</w:t>
      </w:r>
      <w:r w:rsidR="00285C84">
        <w:rPr>
          <w:spacing w:val="-8"/>
        </w:rPr>
        <w:t xml:space="preserve"> </w:t>
      </w:r>
      <w:r w:rsidR="00285C84">
        <w:rPr/>
        <w:t>Hospital</w:t>
      </w:r>
      <w:r w:rsidR="00285C84">
        <w:rPr>
          <w:spacing w:val="-8"/>
        </w:rPr>
        <w:t xml:space="preserve"> </w:t>
      </w:r>
      <w:r w:rsidR="00285C84">
        <w:rPr/>
        <w:t>NHS</w:t>
      </w:r>
      <w:r w:rsidR="00285C84">
        <w:rPr>
          <w:spacing w:val="-8"/>
        </w:rPr>
        <w:t xml:space="preserve"> </w:t>
      </w:r>
      <w:r w:rsidR="00285C84">
        <w:rPr/>
        <w:t>Trust)</w:t>
      </w:r>
    </w:p>
    <w:p w:rsidR="00A6769F" w:rsidP="587795F4" w:rsidRDefault="00285C84" w14:paraId="438277E4" w14:textId="30AF4053">
      <w:pPr>
        <w:pStyle w:val="Normal"/>
        <w:spacing w:before="41" w:line="403" w:lineRule="auto"/>
        <w:ind w:left="100" w:right="4617"/>
      </w:pPr>
      <w:r w:rsidR="00285C84">
        <w:rPr/>
        <w:t xml:space="preserve"> Dr </w:t>
      </w:r>
      <w:r w:rsidRPr="587795F4" w:rsidR="70C92519">
        <w:rPr>
          <w:color w:val="auto"/>
          <w:highlight w:val="black"/>
        </w:rPr>
        <w:t>XXXXXXXXXX</w:t>
      </w:r>
      <w:r w:rsidR="00285C84">
        <w:rPr/>
        <w:t xml:space="preserve"> (Great Ormond Street Hospital) Dr</w:t>
      </w:r>
      <w:r w:rsidR="00285C84">
        <w:rPr>
          <w:spacing w:val="-7"/>
        </w:rPr>
        <w:t xml:space="preserve"> </w:t>
      </w:r>
      <w:r w:rsidRPr="587795F4" w:rsidR="23C4E0AF">
        <w:rPr>
          <w:color w:val="auto"/>
          <w:highlight w:val="black"/>
        </w:rPr>
        <w:t>XXXXXXXXXX</w:t>
      </w:r>
      <w:r w:rsidR="00285C84">
        <w:rPr>
          <w:spacing w:val="-8"/>
        </w:rPr>
        <w:t xml:space="preserve"> </w:t>
      </w:r>
      <w:r w:rsidR="00285C84">
        <w:rPr/>
        <w:t>(Manchester</w:t>
      </w:r>
      <w:r w:rsidR="00285C84">
        <w:rPr>
          <w:spacing w:val="-9"/>
        </w:rPr>
        <w:t xml:space="preserve"> </w:t>
      </w:r>
      <w:r w:rsidR="00285C84">
        <w:rPr/>
        <w:t>University</w:t>
      </w:r>
      <w:r w:rsidR="00285C84">
        <w:rPr>
          <w:spacing w:val="-7"/>
        </w:rPr>
        <w:t xml:space="preserve"> </w:t>
      </w:r>
      <w:r w:rsidR="00285C84">
        <w:rPr/>
        <w:t>NHS</w:t>
      </w:r>
      <w:r w:rsidR="00285C84">
        <w:rPr>
          <w:spacing w:val="-5"/>
        </w:rPr>
        <w:t xml:space="preserve"> </w:t>
      </w:r>
      <w:r w:rsidR="00285C84">
        <w:rPr/>
        <w:t>Trust)</w:t>
      </w:r>
    </w:p>
    <w:p w:rsidR="00A6769F" w:rsidP="587795F4" w:rsidRDefault="00285C84" w14:paraId="490E9037" w14:textId="0CD39364">
      <w:pPr>
        <w:pStyle w:val="Normal"/>
        <w:spacing w:line="264" w:lineRule="exact"/>
        <w:ind w:left="100"/>
      </w:pPr>
      <w:r w:rsidR="00285C84">
        <w:rPr/>
        <w:t>Dr</w:t>
      </w:r>
      <w:r w:rsidR="00285C84">
        <w:rPr>
          <w:spacing w:val="-6"/>
        </w:rPr>
        <w:t xml:space="preserve"> </w:t>
      </w:r>
      <w:r w:rsidRPr="587795F4" w:rsidR="07A73CDA">
        <w:rPr>
          <w:color w:val="auto"/>
          <w:highlight w:val="black"/>
        </w:rPr>
        <w:t>XXXXXXXXXX</w:t>
      </w:r>
      <w:r w:rsidR="07A73CDA">
        <w:rPr/>
        <w:t xml:space="preserve"> </w:t>
      </w:r>
      <w:r w:rsidR="00285C84">
        <w:rPr/>
        <w:t>(Great</w:t>
      </w:r>
      <w:r w:rsidR="00285C84">
        <w:rPr>
          <w:spacing w:val="-7"/>
        </w:rPr>
        <w:t xml:space="preserve"> </w:t>
      </w:r>
      <w:r w:rsidR="00285C84">
        <w:rPr/>
        <w:t>Ormond</w:t>
      </w:r>
      <w:r w:rsidR="00285C84">
        <w:rPr>
          <w:spacing w:val="-7"/>
        </w:rPr>
        <w:t xml:space="preserve"> </w:t>
      </w:r>
      <w:r w:rsidR="00285C84">
        <w:rPr/>
        <w:t>Street</w:t>
      </w:r>
      <w:r w:rsidR="00285C84">
        <w:rPr>
          <w:spacing w:val="-5"/>
        </w:rPr>
        <w:t xml:space="preserve"> </w:t>
      </w:r>
      <w:r w:rsidR="00285C84">
        <w:rPr>
          <w:spacing w:val="-2"/>
        </w:rPr>
        <w:t>Hospital)</w:t>
      </w:r>
    </w:p>
    <w:p w:rsidR="00A6769F" w:rsidP="587795F4" w:rsidRDefault="00285C84" w14:paraId="567956F8" w14:textId="40CF5E5F">
      <w:pPr>
        <w:pStyle w:val="Normal"/>
        <w:spacing w:before="183" w:line="400" w:lineRule="auto"/>
        <w:ind w:left="100" w:right="1103"/>
      </w:pPr>
      <w:r w:rsidR="00285C84">
        <w:rPr/>
        <w:t>Professor</w:t>
      </w:r>
      <w:r w:rsidR="00285C84">
        <w:rPr>
          <w:spacing w:val="-10"/>
        </w:rPr>
        <w:t xml:space="preserve"> </w:t>
      </w:r>
      <w:r w:rsidRPr="587795F4" w:rsidR="788EBE58">
        <w:rPr>
          <w:color w:val="auto"/>
          <w:highlight w:val="black"/>
        </w:rPr>
        <w:t>XXXXXXXXXX</w:t>
      </w:r>
      <w:r w:rsidR="00285C84">
        <w:rPr>
          <w:spacing w:val="-7"/>
        </w:rPr>
        <w:t xml:space="preserve"> </w:t>
      </w:r>
      <w:r w:rsidR="00285C84">
        <w:rPr/>
        <w:t>(Cornwall</w:t>
      </w:r>
      <w:r w:rsidR="00285C84">
        <w:rPr>
          <w:spacing w:val="-10"/>
        </w:rPr>
        <w:t xml:space="preserve"> </w:t>
      </w:r>
      <w:r w:rsidR="00285C84">
        <w:rPr/>
        <w:t>Partnership</w:t>
      </w:r>
      <w:r w:rsidR="00285C84">
        <w:rPr>
          <w:spacing w:val="-9"/>
        </w:rPr>
        <w:t xml:space="preserve"> </w:t>
      </w:r>
      <w:r w:rsidR="00285C84">
        <w:rPr/>
        <w:t>NHS</w:t>
      </w:r>
      <w:r w:rsidR="00285C84">
        <w:rPr>
          <w:spacing w:val="-8"/>
        </w:rPr>
        <w:t xml:space="preserve"> </w:t>
      </w:r>
      <w:r w:rsidR="00285C84">
        <w:rPr/>
        <w:t>Trust</w:t>
      </w:r>
      <w:r w:rsidR="00285C84">
        <w:rPr>
          <w:spacing w:val="-8"/>
        </w:rPr>
        <w:t xml:space="preserve"> </w:t>
      </w:r>
      <w:r w:rsidR="00285C84">
        <w:rPr/>
        <w:t>and</w:t>
      </w:r>
      <w:r w:rsidR="00285C84">
        <w:rPr>
          <w:spacing w:val="-9"/>
        </w:rPr>
        <w:t xml:space="preserve"> </w:t>
      </w:r>
      <w:r w:rsidR="00285C84">
        <w:rPr/>
        <w:t>Peninsula</w:t>
      </w:r>
      <w:r w:rsidR="00285C84">
        <w:rPr>
          <w:spacing w:val="-9"/>
        </w:rPr>
        <w:t xml:space="preserve"> </w:t>
      </w:r>
      <w:r w:rsidR="00285C84">
        <w:rPr/>
        <w:t>Medical</w:t>
      </w:r>
      <w:r w:rsidR="00285C84">
        <w:rPr>
          <w:spacing w:val="-12"/>
        </w:rPr>
        <w:t xml:space="preserve"> </w:t>
      </w:r>
      <w:r w:rsidR="00285C84">
        <w:rPr/>
        <w:t xml:space="preserve">School) Dr </w:t>
      </w:r>
      <w:r w:rsidRPr="587795F4" w:rsidR="1642AAC4">
        <w:rPr>
          <w:color w:val="auto"/>
          <w:highlight w:val="black"/>
        </w:rPr>
        <w:t>XXXXXXXXXX</w:t>
      </w:r>
      <w:r w:rsidR="00285C84">
        <w:rPr/>
        <w:t xml:space="preserve"> (The National Hospital for Neurology and Neurosurgery)</w:t>
      </w:r>
    </w:p>
    <w:p w:rsidR="00A6769F" w:rsidP="587795F4" w:rsidRDefault="00285C84" w14:paraId="78CDFC9F" w14:textId="724C1379">
      <w:pPr>
        <w:pStyle w:val="Normal"/>
        <w:spacing w:before="3" w:line="400" w:lineRule="auto"/>
        <w:ind w:left="100" w:right="833"/>
      </w:pPr>
      <w:r w:rsidR="00285C84">
        <w:rPr/>
        <w:t>Professor</w:t>
      </w:r>
      <w:r w:rsidR="00285C84">
        <w:rPr>
          <w:spacing w:val="-9"/>
        </w:rPr>
        <w:t xml:space="preserve"> </w:t>
      </w:r>
      <w:r w:rsidRPr="587795F4" w:rsidR="651B1802">
        <w:rPr>
          <w:color w:val="auto"/>
          <w:highlight w:val="black"/>
        </w:rPr>
        <w:t>XXXXXXXXXX</w:t>
      </w:r>
      <w:r w:rsidR="651B1802">
        <w:rPr/>
        <w:t xml:space="preserve"> </w:t>
      </w:r>
      <w:r w:rsidR="00285C84">
        <w:rPr/>
        <w:t>(UCL</w:t>
      </w:r>
      <w:r w:rsidR="00285C84">
        <w:rPr>
          <w:spacing w:val="-6"/>
        </w:rPr>
        <w:t xml:space="preserve"> </w:t>
      </w:r>
      <w:r w:rsidR="00285C84">
        <w:rPr/>
        <w:t>and</w:t>
      </w:r>
      <w:r w:rsidR="00285C84">
        <w:rPr>
          <w:spacing w:val="-7"/>
        </w:rPr>
        <w:t xml:space="preserve"> </w:t>
      </w:r>
      <w:r w:rsidR="00285C84">
        <w:rPr/>
        <w:t>The</w:t>
      </w:r>
      <w:r w:rsidR="00285C84">
        <w:rPr>
          <w:spacing w:val="-6"/>
        </w:rPr>
        <w:t xml:space="preserve"> </w:t>
      </w:r>
      <w:r w:rsidR="00285C84">
        <w:rPr/>
        <w:t>National</w:t>
      </w:r>
      <w:r w:rsidR="00285C84">
        <w:rPr>
          <w:spacing w:val="-6"/>
        </w:rPr>
        <w:t xml:space="preserve"> </w:t>
      </w:r>
      <w:r w:rsidR="00285C84">
        <w:rPr/>
        <w:t>Hospital</w:t>
      </w:r>
      <w:r w:rsidR="00285C84">
        <w:rPr>
          <w:spacing w:val="-6"/>
        </w:rPr>
        <w:t xml:space="preserve"> </w:t>
      </w:r>
      <w:r w:rsidR="00285C84">
        <w:rPr/>
        <w:t>for</w:t>
      </w:r>
      <w:r w:rsidR="00285C84">
        <w:rPr>
          <w:spacing w:val="-9"/>
        </w:rPr>
        <w:t xml:space="preserve"> </w:t>
      </w:r>
      <w:r w:rsidR="00285C84">
        <w:rPr/>
        <w:t>Neurology</w:t>
      </w:r>
      <w:r w:rsidR="00285C84">
        <w:rPr>
          <w:spacing w:val="-6"/>
        </w:rPr>
        <w:t xml:space="preserve"> </w:t>
      </w:r>
      <w:r w:rsidR="00285C84">
        <w:rPr/>
        <w:t>and</w:t>
      </w:r>
      <w:r w:rsidR="00285C84">
        <w:rPr>
          <w:spacing w:val="-8"/>
        </w:rPr>
        <w:t xml:space="preserve"> </w:t>
      </w:r>
      <w:r w:rsidR="00285C84">
        <w:rPr/>
        <w:t xml:space="preserve">Neurosurgery) </w:t>
      </w:r>
    </w:p>
    <w:p w:rsidR="00A6769F" w:rsidP="587795F4" w:rsidRDefault="00285C84" w14:paraId="7FD10B00" w14:textId="421D4A66">
      <w:pPr>
        <w:pStyle w:val="Normal"/>
        <w:spacing w:before="3" w:line="400" w:lineRule="auto"/>
        <w:ind w:left="100" w:right="833"/>
      </w:pPr>
      <w:r w:rsidR="00285C84">
        <w:rPr/>
        <w:t xml:space="preserve">Dr </w:t>
      </w:r>
      <w:r w:rsidRPr="587795F4" w:rsidR="28BF36CF">
        <w:rPr>
          <w:color w:val="auto"/>
          <w:highlight w:val="black"/>
        </w:rPr>
        <w:t>XXXXXXXXXX</w:t>
      </w:r>
      <w:r w:rsidR="00285C84">
        <w:rPr/>
        <w:t xml:space="preserve"> (Cardiff and Vale University Health Board)</w:t>
      </w:r>
    </w:p>
    <w:p w:rsidR="00A6769F" w:rsidP="587795F4" w:rsidRDefault="00285C84" w14:paraId="3A6FBF4F" w14:textId="7598B009">
      <w:pPr>
        <w:pStyle w:val="Normal"/>
        <w:spacing w:before="1"/>
        <w:ind w:left="100"/>
      </w:pPr>
      <w:r w:rsidR="00285C84">
        <w:rPr/>
        <w:t>Dr</w:t>
      </w:r>
      <w:r w:rsidR="00285C84">
        <w:rPr>
          <w:spacing w:val="-7"/>
        </w:rPr>
        <w:t xml:space="preserve"> </w:t>
      </w:r>
      <w:r w:rsidRPr="587795F4" w:rsidR="36089A8F">
        <w:rPr>
          <w:color w:val="auto"/>
          <w:highlight w:val="black"/>
        </w:rPr>
        <w:t>XXXXXXXXXX</w:t>
      </w:r>
      <w:r w:rsidR="00285C84">
        <w:rPr/>
        <w:t xml:space="preserve"> </w:t>
      </w:r>
      <w:r w:rsidR="00285C84">
        <w:rPr/>
        <w:t>(Newcastle</w:t>
      </w:r>
      <w:r w:rsidR="00285C84">
        <w:rPr>
          <w:spacing w:val="-7"/>
        </w:rPr>
        <w:t xml:space="preserve"> </w:t>
      </w:r>
      <w:r w:rsidR="00285C84">
        <w:rPr/>
        <w:t>Hospitals</w:t>
      </w:r>
      <w:r w:rsidR="00285C84">
        <w:rPr>
          <w:spacing w:val="-6"/>
        </w:rPr>
        <w:t xml:space="preserve"> </w:t>
      </w:r>
      <w:r w:rsidR="00285C84">
        <w:rPr/>
        <w:t>NHS</w:t>
      </w:r>
      <w:r w:rsidR="00285C84">
        <w:rPr>
          <w:spacing w:val="-6"/>
        </w:rPr>
        <w:t xml:space="preserve"> </w:t>
      </w:r>
      <w:r w:rsidR="00285C84">
        <w:rPr>
          <w:spacing w:val="-2"/>
        </w:rPr>
        <w:t>Trust)</w:t>
      </w:r>
    </w:p>
    <w:p w:rsidR="00A6769F" w:rsidP="587795F4" w:rsidRDefault="00285C84" w14:paraId="36798AD9" w14:textId="3AF31A2E">
      <w:pPr>
        <w:pStyle w:val="Normal"/>
        <w:spacing w:before="183"/>
        <w:ind w:left="100"/>
      </w:pPr>
      <w:r w:rsidR="00285C84">
        <w:rPr/>
        <w:t>Professor</w:t>
      </w:r>
      <w:r w:rsidR="00285C84">
        <w:rPr>
          <w:spacing w:val="-10"/>
        </w:rPr>
        <w:t xml:space="preserve"> </w:t>
      </w:r>
      <w:r w:rsidRPr="587795F4" w:rsidR="34D47F50">
        <w:rPr>
          <w:color w:val="auto"/>
          <w:highlight w:val="black"/>
        </w:rPr>
        <w:t>XXXXXXXXXX</w:t>
      </w:r>
      <w:r w:rsidR="34D47F50">
        <w:rPr/>
        <w:t xml:space="preserve"> </w:t>
      </w:r>
      <w:r w:rsidR="00285C84">
        <w:rPr/>
        <w:t>(Royal</w:t>
      </w:r>
      <w:r w:rsidR="00285C84">
        <w:rPr>
          <w:spacing w:val="-7"/>
        </w:rPr>
        <w:t xml:space="preserve"> </w:t>
      </w:r>
      <w:r w:rsidR="00285C84">
        <w:rPr/>
        <w:t>Hospital</w:t>
      </w:r>
      <w:r w:rsidR="00285C84">
        <w:rPr>
          <w:spacing w:val="-9"/>
        </w:rPr>
        <w:t xml:space="preserve"> </w:t>
      </w:r>
      <w:r w:rsidR="00285C84">
        <w:rPr/>
        <w:t>for</w:t>
      </w:r>
      <w:r w:rsidR="00285C84">
        <w:rPr>
          <w:spacing w:val="-10"/>
        </w:rPr>
        <w:t xml:space="preserve"> </w:t>
      </w:r>
      <w:r w:rsidR="00285C84">
        <w:rPr/>
        <w:t>children,</w:t>
      </w:r>
      <w:r w:rsidR="00285C84">
        <w:rPr>
          <w:spacing w:val="-8"/>
        </w:rPr>
        <w:t xml:space="preserve"> </w:t>
      </w:r>
      <w:r w:rsidR="00285C84">
        <w:rPr>
          <w:spacing w:val="-2"/>
        </w:rPr>
        <w:t>Glasgow)</w:t>
      </w:r>
    </w:p>
    <w:sectPr w:rsidR="00A6769F">
      <w:pgSz w:w="11910" w:h="16840" w:orient="portrait"/>
      <w:pgMar w:top="13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A6BE"/>
    <w:multiLevelType w:val="hybridMultilevel"/>
    <w:tmpl w:val="FFFFFFFF"/>
    <w:lvl w:ilvl="0" w:tplc="2B303E04">
      <w:start w:val="1"/>
      <w:numFmt w:val="decimal"/>
      <w:lvlText w:val="%1."/>
      <w:lvlJc w:val="left"/>
      <w:pPr>
        <w:ind w:left="100" w:hanging="238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1" w:tplc="A662808E">
      <w:numFmt w:val="bullet"/>
      <w:lvlText w:val="•"/>
      <w:lvlJc w:val="left"/>
      <w:pPr>
        <w:ind w:left="1004" w:hanging="238"/>
      </w:pPr>
      <w:rPr>
        <w:rFonts w:hint="default"/>
        <w:lang w:val="en-US" w:eastAsia="en-US" w:bidi="ar-SA"/>
      </w:rPr>
    </w:lvl>
    <w:lvl w:ilvl="2" w:tplc="3FC6FF58">
      <w:numFmt w:val="bullet"/>
      <w:lvlText w:val="•"/>
      <w:lvlJc w:val="left"/>
      <w:pPr>
        <w:ind w:left="1909" w:hanging="238"/>
      </w:pPr>
      <w:rPr>
        <w:rFonts w:hint="default"/>
        <w:lang w:val="en-US" w:eastAsia="en-US" w:bidi="ar-SA"/>
      </w:rPr>
    </w:lvl>
    <w:lvl w:ilvl="3" w:tplc="A11667BE">
      <w:numFmt w:val="bullet"/>
      <w:lvlText w:val="•"/>
      <w:lvlJc w:val="left"/>
      <w:pPr>
        <w:ind w:left="2813" w:hanging="238"/>
      </w:pPr>
      <w:rPr>
        <w:rFonts w:hint="default"/>
        <w:lang w:val="en-US" w:eastAsia="en-US" w:bidi="ar-SA"/>
      </w:rPr>
    </w:lvl>
    <w:lvl w:ilvl="4" w:tplc="3DFC5098">
      <w:numFmt w:val="bullet"/>
      <w:lvlText w:val="•"/>
      <w:lvlJc w:val="left"/>
      <w:pPr>
        <w:ind w:left="3718" w:hanging="238"/>
      </w:pPr>
      <w:rPr>
        <w:rFonts w:hint="default"/>
        <w:lang w:val="en-US" w:eastAsia="en-US" w:bidi="ar-SA"/>
      </w:rPr>
    </w:lvl>
    <w:lvl w:ilvl="5" w:tplc="2AEAB890">
      <w:numFmt w:val="bullet"/>
      <w:lvlText w:val="•"/>
      <w:lvlJc w:val="left"/>
      <w:pPr>
        <w:ind w:left="4623" w:hanging="238"/>
      </w:pPr>
      <w:rPr>
        <w:rFonts w:hint="default"/>
        <w:lang w:val="en-US" w:eastAsia="en-US" w:bidi="ar-SA"/>
      </w:rPr>
    </w:lvl>
    <w:lvl w:ilvl="6" w:tplc="09FC6BB6">
      <w:numFmt w:val="bullet"/>
      <w:lvlText w:val="•"/>
      <w:lvlJc w:val="left"/>
      <w:pPr>
        <w:ind w:left="5527" w:hanging="238"/>
      </w:pPr>
      <w:rPr>
        <w:rFonts w:hint="default"/>
        <w:lang w:val="en-US" w:eastAsia="en-US" w:bidi="ar-SA"/>
      </w:rPr>
    </w:lvl>
    <w:lvl w:ilvl="7" w:tplc="913E5C28">
      <w:numFmt w:val="bullet"/>
      <w:lvlText w:val="•"/>
      <w:lvlJc w:val="left"/>
      <w:pPr>
        <w:ind w:left="6432" w:hanging="238"/>
      </w:pPr>
      <w:rPr>
        <w:rFonts w:hint="default"/>
        <w:lang w:val="en-US" w:eastAsia="en-US" w:bidi="ar-SA"/>
      </w:rPr>
    </w:lvl>
    <w:lvl w:ilvl="8" w:tplc="D510425C">
      <w:numFmt w:val="bullet"/>
      <w:lvlText w:val="•"/>
      <w:lvlJc w:val="left"/>
      <w:pPr>
        <w:ind w:left="7337" w:hanging="238"/>
      </w:pPr>
      <w:rPr>
        <w:rFonts w:hint="default"/>
        <w:lang w:val="en-US" w:eastAsia="en-US" w:bidi="ar-SA"/>
      </w:rPr>
    </w:lvl>
  </w:abstractNum>
  <w:num w:numId="1" w16cid:durableId="11430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166937"/>
    <w:rsid w:val="00285C84"/>
    <w:rsid w:val="00441F15"/>
    <w:rsid w:val="00A6769F"/>
    <w:rsid w:val="07A73CDA"/>
    <w:rsid w:val="1642AAC4"/>
    <w:rsid w:val="1CA1C050"/>
    <w:rsid w:val="1DCB7BB1"/>
    <w:rsid w:val="1EFC504C"/>
    <w:rsid w:val="217F92A5"/>
    <w:rsid w:val="21BBC311"/>
    <w:rsid w:val="23C4E0AF"/>
    <w:rsid w:val="26BC47FB"/>
    <w:rsid w:val="28BF36CF"/>
    <w:rsid w:val="3048D2DE"/>
    <w:rsid w:val="34D47F50"/>
    <w:rsid w:val="36089A8F"/>
    <w:rsid w:val="37BB4850"/>
    <w:rsid w:val="3B166937"/>
    <w:rsid w:val="428DD3BC"/>
    <w:rsid w:val="42BDA6F0"/>
    <w:rsid w:val="4791F5F2"/>
    <w:rsid w:val="47FF9A23"/>
    <w:rsid w:val="4BBBB346"/>
    <w:rsid w:val="5507C60B"/>
    <w:rsid w:val="5585A685"/>
    <w:rsid w:val="587795F4"/>
    <w:rsid w:val="651B1802"/>
    <w:rsid w:val="6E67B79A"/>
    <w:rsid w:val="70C92519"/>
    <w:rsid w:val="788EBE58"/>
    <w:rsid w:val="7A933D93"/>
    <w:rsid w:val="7BFD7B68"/>
    <w:rsid w:val="7F2EB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77299F"/>
  <w15:docId w15:val="{7DB0C209-D968-4B81-AF0D-34521FBE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44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153CA-347A-4DE2-BF4F-179A7F891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C1D58-8AD2-4A91-8AF0-10E7B7D90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333A2-9264-4473-B664-880C4BE2EA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Shanika Samarasekera</dc:creator>
  <lastModifiedBy>Lyn Davies</lastModifiedBy>
  <revision>2</revision>
  <dcterms:created xsi:type="dcterms:W3CDTF">2024-08-27T10:05:00.0000000Z</dcterms:created>
  <dcterms:modified xsi:type="dcterms:W3CDTF">2024-08-27T10:08:29.7849762Z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0x0101003300E5E64B980D458C754FFE05DEE26D</vt:lpwstr>
  </property>
  <property fmtid="{D5CDD505-2E9C-101B-9397-08002B2CF9AE}" pid="7" name="MSIP_Label_c69d85d5-6d9e-4305-a294-1f636ec0f2d6_Enabled">
    <vt:lpwstr>true</vt:lpwstr>
  </property>
  <property fmtid="{D5CDD505-2E9C-101B-9397-08002B2CF9AE}" pid="8" name="MSIP_Label_c69d85d5-6d9e-4305-a294-1f636ec0f2d6_SetDate">
    <vt:lpwstr>2024-08-27T10:05:09Z</vt:lpwstr>
  </property>
  <property fmtid="{D5CDD505-2E9C-101B-9397-08002B2CF9AE}" pid="9" name="MSIP_Label_c69d85d5-6d9e-4305-a294-1f636ec0f2d6_Method">
    <vt:lpwstr>Standard</vt:lpwstr>
  </property>
  <property fmtid="{D5CDD505-2E9C-101B-9397-08002B2CF9AE}" pid="10" name="MSIP_Label_c69d85d5-6d9e-4305-a294-1f636ec0f2d6_Name">
    <vt:lpwstr>OFFICIAL</vt:lpwstr>
  </property>
  <property fmtid="{D5CDD505-2E9C-101B-9397-08002B2CF9AE}" pid="11" name="MSIP_Label_c69d85d5-6d9e-4305-a294-1f636ec0f2d6_SiteId">
    <vt:lpwstr>6030f479-b342-472d-a5dd-740ff7538de9</vt:lpwstr>
  </property>
  <property fmtid="{D5CDD505-2E9C-101B-9397-08002B2CF9AE}" pid="12" name="MSIP_Label_c69d85d5-6d9e-4305-a294-1f636ec0f2d6_ActionId">
    <vt:lpwstr>ef196375-e2ff-4b18-b7c9-e79c4bed940a</vt:lpwstr>
  </property>
  <property fmtid="{D5CDD505-2E9C-101B-9397-08002B2CF9AE}" pid="13" name="MSIP_Label_c69d85d5-6d9e-4305-a294-1f636ec0f2d6_ContentBits">
    <vt:lpwstr>0</vt:lpwstr>
  </property>
</Properties>
</file>