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3022B" w:rsidR="0004302C" w:rsidP="55C81048" w:rsidRDefault="0004302C" w14:paraId="5F36C1A4" w14:textId="2A30E94C">
      <w:pPr>
        <w:rPr>
          <w:rFonts w:cs="Arial"/>
          <w:color w:val="auto"/>
        </w:rPr>
      </w:pPr>
      <w:r w:rsidRPr="55C81048" w:rsidR="0004302C">
        <w:rPr>
          <w:rFonts w:cs="Arial"/>
        </w:rPr>
        <w:t>Sent by e-mail only:</w:t>
      </w:r>
      <w:r w:rsidRPr="55C81048" w:rsidR="136D1929">
        <w:rPr>
          <w:rFonts w:cs="Arial"/>
        </w:rPr>
        <w:t xml:space="preserve"> </w:t>
      </w:r>
      <w:r w:rsidRPr="55C81048" w:rsidR="136D1929">
        <w:rPr>
          <w:rFonts w:cs="Arial"/>
          <w:color w:val="auto"/>
          <w:highlight w:val="black"/>
        </w:rPr>
        <w:t>XXXXXXXXXXXXXX</w:t>
      </w:r>
      <w:r w:rsidRPr="55C81048" w:rsidR="136D1929">
        <w:rPr>
          <w:rFonts w:cs="Arial"/>
        </w:rPr>
        <w:t xml:space="preserve">, </w:t>
      </w:r>
      <w:r w:rsidRPr="55C81048" w:rsidR="136D1929">
        <w:rPr>
          <w:rFonts w:cs="Arial"/>
          <w:color w:val="auto"/>
          <w:highlight w:val="black"/>
        </w:rPr>
        <w:t>XXXXXXXXXXXXXXX</w:t>
      </w:r>
    </w:p>
    <w:p w:rsidRPr="0043022B" w:rsidR="0004302C" w:rsidP="0004302C" w:rsidRDefault="0004302C" w14:paraId="52AF9A60" w14:textId="2377DDAD">
      <w:pPr>
        <w:spacing w:after="0" w:line="240" w:lineRule="auto"/>
        <w:jc w:val="both"/>
        <w:rPr>
          <w:rFonts w:cs="Arial"/>
        </w:rPr>
      </w:pPr>
      <w:r w:rsidRPr="55C81048" w:rsidR="0004302C">
        <w:rPr>
          <w:rFonts w:cs="Arial"/>
        </w:rPr>
        <w:t xml:space="preserve">FAO </w:t>
      </w:r>
      <w:r w:rsidRPr="55C81048" w:rsidR="70F7AFA9">
        <w:rPr>
          <w:rFonts w:cs="Arial"/>
          <w:color w:val="auto"/>
          <w:highlight w:val="black"/>
        </w:rPr>
        <w:t>XX X XXXXX</w:t>
      </w:r>
      <w:r w:rsidRPr="55C81048" w:rsidR="70F7AFA9">
        <w:rPr>
          <w:rFonts w:cs="Arial"/>
          <w:color w:val="auto"/>
        </w:rPr>
        <w:t xml:space="preserve"> </w:t>
      </w:r>
      <w:r w:rsidRPr="55C81048" w:rsidR="00D83321">
        <w:rPr>
          <w:rFonts w:cs="Arial"/>
        </w:rPr>
        <w:t xml:space="preserve">&amp; </w:t>
      </w:r>
      <w:r w:rsidRPr="55C81048" w:rsidR="5E1BD246">
        <w:rPr>
          <w:rFonts w:cs="Arial"/>
          <w:color w:val="auto"/>
          <w:highlight w:val="black"/>
        </w:rPr>
        <w:t>XX X XXXXXXXXX</w:t>
      </w:r>
    </w:p>
    <w:p w:rsidR="0004302C" w:rsidP="0004302C" w:rsidRDefault="007D53E2" w14:paraId="35C240FF" w14:textId="28F02174">
      <w:pPr>
        <w:spacing w:after="0" w:line="240" w:lineRule="auto"/>
        <w:jc w:val="both"/>
        <w:rPr>
          <w:rFonts w:cs="Arial"/>
        </w:rPr>
      </w:pPr>
      <w:r>
        <w:rPr>
          <w:rFonts w:cs="Arial"/>
        </w:rPr>
        <w:t>British Paediatric Neurology Association</w:t>
      </w:r>
    </w:p>
    <w:p w:rsidR="007D53E2" w:rsidP="0004302C" w:rsidRDefault="007D53E2" w14:paraId="7A44AFFA" w14:textId="14AD258B">
      <w:pPr>
        <w:spacing w:after="0" w:line="240" w:lineRule="auto"/>
        <w:jc w:val="both"/>
        <w:rPr>
          <w:rFonts w:cs="Arial"/>
        </w:rPr>
      </w:pPr>
      <w:r>
        <w:rPr>
          <w:rFonts w:cs="Arial"/>
        </w:rPr>
        <w:t>2 St Andrews</w:t>
      </w:r>
    </w:p>
    <w:p w:rsidR="00D83321" w:rsidP="0004302C" w:rsidRDefault="00D83321" w14:paraId="265C2FFF" w14:textId="5DBAA29C">
      <w:pPr>
        <w:spacing w:after="0" w:line="240" w:lineRule="auto"/>
        <w:jc w:val="both"/>
        <w:rPr>
          <w:rFonts w:cs="Arial"/>
        </w:rPr>
      </w:pPr>
      <w:r>
        <w:rPr>
          <w:rFonts w:cs="Arial"/>
        </w:rPr>
        <w:t>Regent's Park</w:t>
      </w:r>
    </w:p>
    <w:p w:rsidR="00D83321" w:rsidP="0004302C" w:rsidRDefault="00D83321" w14:paraId="1902A081" w14:textId="564E2B9E">
      <w:pPr>
        <w:spacing w:after="0" w:line="240" w:lineRule="auto"/>
        <w:jc w:val="both"/>
        <w:rPr>
          <w:rFonts w:cs="Arial"/>
        </w:rPr>
      </w:pPr>
      <w:r>
        <w:rPr>
          <w:rFonts w:cs="Arial"/>
        </w:rPr>
        <w:t>London</w:t>
      </w:r>
    </w:p>
    <w:p w:rsidRPr="0043022B" w:rsidR="00D83321" w:rsidP="0004302C" w:rsidRDefault="00D83321" w14:paraId="72DCB44F" w14:textId="07244685">
      <w:pPr>
        <w:spacing w:after="0" w:line="240" w:lineRule="auto"/>
        <w:jc w:val="both"/>
        <w:rPr>
          <w:rFonts w:cs="Arial"/>
        </w:rPr>
      </w:pPr>
      <w:r>
        <w:rPr>
          <w:rFonts w:cs="Arial"/>
        </w:rPr>
        <w:t>NW1 4LB</w:t>
      </w:r>
    </w:p>
    <w:p w:rsidRPr="0043022B" w:rsidR="0004302C" w:rsidP="0004302C" w:rsidRDefault="0004302C" w14:paraId="78445498" w14:textId="77777777">
      <w:pPr>
        <w:rPr>
          <w:rFonts w:cs="Arial"/>
        </w:rPr>
      </w:pPr>
    </w:p>
    <w:p w:rsidRPr="0043022B" w:rsidR="0004302C" w:rsidP="0004302C" w:rsidRDefault="0004302C" w14:paraId="706E42E0" w14:textId="4D7C4C60">
      <w:pPr>
        <w:rPr>
          <w:rFonts w:cs="Arial"/>
        </w:rPr>
      </w:pPr>
    </w:p>
    <w:p w:rsidR="3F5FD5DC" w:rsidP="64C21F56" w:rsidRDefault="3F5FD5DC" w14:paraId="0C4CFB8A" w14:textId="2ED58D06">
      <w:r w:rsidRPr="2EAF0679" w:rsidR="3F5FD5DC">
        <w:rPr>
          <w:rFonts w:cs="Arial"/>
        </w:rPr>
        <w:t>10 May 20</w:t>
      </w:r>
      <w:r w:rsidRPr="2EAF0679" w:rsidR="3F5FD5DC">
        <w:rPr>
          <w:rFonts w:cs="Arial"/>
        </w:rPr>
        <w:t>24</w:t>
      </w:r>
    </w:p>
    <w:p w:rsidRPr="0043022B" w:rsidR="0004302C" w:rsidP="0004302C" w:rsidRDefault="0004302C" w14:paraId="50583914" w14:textId="77777777">
      <w:pPr>
        <w:rPr>
          <w:rStyle w:val="Hyperlink"/>
          <w:rFonts w:cs="Arial"/>
        </w:rPr>
      </w:pPr>
    </w:p>
    <w:p w:rsidRPr="0043022B" w:rsidR="0004302C" w:rsidP="55C81048" w:rsidRDefault="0004302C" w14:paraId="6392A75B" w14:textId="081C6DA2">
      <w:pPr>
        <w:ind w:left="426" w:right="468" w:hanging="426"/>
        <w:jc w:val="both"/>
        <w:rPr>
          <w:rFonts w:cs="Arial"/>
          <w:noProof/>
          <w:spacing w:val="-3"/>
          <w:lang w:eastAsia="en-GB"/>
        </w:rPr>
      </w:pPr>
      <w:bookmarkStart w:name="deartext" w:id="0"/>
      <w:r w:rsidRPr="55C81048" w:rsidR="0004302C">
        <w:rPr>
          <w:rFonts w:cs="Arial"/>
        </w:rPr>
        <w:t>Dear</w:t>
      </w:r>
      <w:bookmarkEnd w:id="0"/>
      <w:r w:rsidRPr="55C81048" w:rsidR="0004302C">
        <w:rPr>
          <w:rFonts w:cs="Arial"/>
        </w:rPr>
        <w:t xml:space="preserve"> </w:t>
      </w:r>
      <w:r w:rsidRPr="55C81048" w:rsidR="141E6F97">
        <w:rPr>
          <w:rFonts w:cs="Arial"/>
          <w:color w:val="auto"/>
          <w:highlight w:val="black"/>
        </w:rPr>
        <w:t>XX XXXXX</w:t>
      </w:r>
      <w:r w:rsidRPr="55C81048" w:rsidR="00D83321">
        <w:rPr>
          <w:rFonts w:cs="Arial"/>
          <w:color w:val="auto"/>
        </w:rPr>
        <w:t xml:space="preserve"> </w:t>
      </w:r>
      <w:r w:rsidRPr="55C81048" w:rsidR="00D83321">
        <w:rPr>
          <w:rFonts w:cs="Arial"/>
        </w:rPr>
        <w:t xml:space="preserve">and </w:t>
      </w:r>
      <w:r w:rsidRPr="55C81048" w:rsidR="05A47D9D">
        <w:rPr>
          <w:rFonts w:cs="Arial"/>
          <w:color w:val="auto"/>
          <w:highlight w:val="black"/>
        </w:rPr>
        <w:t>XX XXXXXXXX</w:t>
      </w:r>
      <w:bookmarkStart w:name="Sal" w:id="1"/>
      <w:bookmarkEnd w:id="1"/>
    </w:p>
    <w:p w:rsidRPr="0043022B" w:rsidR="0004302C" w:rsidP="008669F8" w:rsidRDefault="0004302C" w14:paraId="0C2B27E7" w14:textId="7AB38CF9">
      <w:pPr>
        <w:ind w:left="426" w:right="468" w:hanging="426"/>
        <w:jc w:val="both"/>
        <w:rPr>
          <w:rFonts w:cs="Arial"/>
          <w:b/>
        </w:rPr>
      </w:pPr>
      <w:r w:rsidRPr="0043022B">
        <w:rPr>
          <w:rFonts w:cs="Arial"/>
          <w:noProof/>
          <w:lang w:eastAsia="en-GB"/>
        </w:rPr>
        <mc:AlternateContent>
          <mc:Choice Requires="wps">
            <w:drawing>
              <wp:anchor distT="4294967294" distB="4294967294" distL="114300" distR="114300" simplePos="0" relativeHeight="251659264" behindDoc="0" locked="0" layoutInCell="1" allowOverlap="1" wp14:anchorId="6EA67439" wp14:editId="02C5AE77">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du="http://schemas.microsoft.com/office/word/2023/wordml/word16du">
            <w:pict>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w14:anchorId="31E450BA">
                <o:lock v:ext="edit" shapetype="f"/>
              </v:line>
            </w:pict>
          </mc:Fallback>
        </mc:AlternateContent>
      </w:r>
      <w:r w:rsidRPr="0043022B">
        <w:rPr>
          <w:rFonts w:cs="Arial"/>
          <w:b/>
          <w:spacing w:val="-3"/>
        </w:rPr>
        <w:t xml:space="preserve">Re: </w:t>
      </w:r>
      <w:r w:rsidRPr="0043022B">
        <w:rPr>
          <w:rFonts w:cs="Arial"/>
          <w:b/>
        </w:rPr>
        <w:t xml:space="preserve">Final </w:t>
      </w:r>
      <w:r w:rsidR="00910D48">
        <w:rPr>
          <w:rFonts w:cs="Arial"/>
          <w:b/>
        </w:rPr>
        <w:t>Draft Guidance</w:t>
      </w:r>
      <w:r w:rsidRPr="0043022B">
        <w:rPr>
          <w:rFonts w:cs="Arial"/>
          <w:b/>
        </w:rPr>
        <w:t xml:space="preserve"> </w:t>
      </w:r>
      <w:r w:rsidRPr="008669F8" w:rsidR="008669F8">
        <w:rPr>
          <w:rFonts w:cs="Arial"/>
          <w:b/>
        </w:rPr>
        <w:t>– Fenfluramine for treating seizures associated</w:t>
      </w:r>
      <w:r w:rsidR="008669F8">
        <w:rPr>
          <w:rFonts w:cs="Arial"/>
          <w:b/>
        </w:rPr>
        <w:t xml:space="preserve"> </w:t>
      </w:r>
      <w:r w:rsidRPr="008669F8" w:rsidR="008669F8">
        <w:rPr>
          <w:rFonts w:cs="Arial"/>
          <w:b/>
        </w:rPr>
        <w:t>with Lennox-Gasta</w:t>
      </w:r>
      <w:r w:rsidR="00D7465E">
        <w:rPr>
          <w:rFonts w:cs="Arial"/>
          <w:b/>
        </w:rPr>
        <w:t>u</w:t>
      </w:r>
      <w:r w:rsidRPr="008669F8" w:rsidR="008669F8">
        <w:rPr>
          <w:rFonts w:cs="Arial"/>
          <w:b/>
        </w:rPr>
        <w:t>t Syndrome in people 2 years and over (ID1651)</w:t>
      </w:r>
    </w:p>
    <w:p w:rsidRPr="00DD7697" w:rsidR="00003026" w:rsidP="00413F89" w:rsidRDefault="000223BD" w14:paraId="7414DC3E" w14:textId="44C48549">
      <w:pPr>
        <w:jc w:val="both"/>
        <w:rPr>
          <w:rFonts w:cs="Arial"/>
          <w:color w:val="auto"/>
        </w:rPr>
      </w:pPr>
      <w:r w:rsidRPr="00DD7697">
        <w:rPr>
          <w:rFonts w:cs="Arial"/>
          <w:color w:val="auto"/>
        </w:rPr>
        <w:t xml:space="preserve">Thank you for your letter of </w:t>
      </w:r>
      <w:r w:rsidR="008669F8">
        <w:rPr>
          <w:rFonts w:cs="Arial"/>
          <w:color w:val="auto"/>
        </w:rPr>
        <w:t>2</w:t>
      </w:r>
      <w:r w:rsidR="007A7F07">
        <w:rPr>
          <w:rFonts w:cs="Arial"/>
          <w:color w:val="auto"/>
        </w:rPr>
        <w:t xml:space="preserve"> May 202</w:t>
      </w:r>
      <w:r w:rsidR="008669F8">
        <w:rPr>
          <w:rFonts w:cs="Arial"/>
          <w:color w:val="auto"/>
        </w:rPr>
        <w:t>4</w:t>
      </w:r>
      <w:r w:rsidRPr="00DD7697">
        <w:rPr>
          <w:rFonts w:cs="Arial"/>
          <w:color w:val="auto"/>
        </w:rPr>
        <w:t xml:space="preserve">, lodging </w:t>
      </w:r>
      <w:r w:rsidRPr="00DD7697" w:rsidR="00F4296D">
        <w:rPr>
          <w:rFonts w:cs="Arial"/>
          <w:color w:val="auto"/>
        </w:rPr>
        <w:t>an</w:t>
      </w:r>
      <w:r w:rsidRPr="00DD7697">
        <w:rPr>
          <w:rFonts w:cs="Arial"/>
          <w:color w:val="auto"/>
        </w:rPr>
        <w:t xml:space="preserve"> appeal against the above Final </w:t>
      </w:r>
      <w:r w:rsidR="00E41FEC">
        <w:rPr>
          <w:rFonts w:cs="Arial"/>
          <w:color w:val="auto"/>
        </w:rPr>
        <w:t>Draft Guidance</w:t>
      </w:r>
      <w:r w:rsidR="00910D48">
        <w:rPr>
          <w:rFonts w:cs="Arial"/>
          <w:color w:val="auto"/>
        </w:rPr>
        <w:t xml:space="preserve"> (FDG).</w:t>
      </w:r>
    </w:p>
    <w:p w:rsidRPr="00DD7697" w:rsidR="00C70019" w:rsidP="00413F89" w:rsidRDefault="00C70019" w14:paraId="5F523C58" w14:textId="77777777">
      <w:pPr>
        <w:jc w:val="both"/>
        <w:rPr>
          <w:rFonts w:cs="Arial"/>
          <w:color w:val="auto"/>
        </w:rPr>
      </w:pPr>
      <w:r w:rsidRPr="00DD7697">
        <w:rPr>
          <w:rFonts w:cs="Arial"/>
          <w:color w:val="auto"/>
          <w:u w:val="single"/>
        </w:rPr>
        <w:t>Introduction</w:t>
      </w:r>
      <w:r w:rsidRPr="00DD7697">
        <w:rPr>
          <w:rFonts w:cs="Arial"/>
          <w:color w:val="auto"/>
        </w:rPr>
        <w:t xml:space="preserve"> </w:t>
      </w:r>
    </w:p>
    <w:p w:rsidRPr="00DD7697" w:rsidR="00C70019" w:rsidP="00413F89" w:rsidRDefault="00C70019" w14:paraId="70E1E5B1" w14:textId="2DBAE3FD">
      <w:pPr>
        <w:jc w:val="both"/>
        <w:rPr>
          <w:rFonts w:cs="Arial"/>
          <w:color w:val="auto"/>
        </w:rPr>
      </w:pPr>
      <w:r w:rsidRPr="00DD7697">
        <w:rPr>
          <w:rFonts w:cs="Arial"/>
          <w:color w:val="auto"/>
        </w:rPr>
        <w:t xml:space="preserve">The Institute's appeal procedures provide for an initial scrutiny of points that an appellant wishes to raise, to </w:t>
      </w:r>
      <w:r w:rsidRPr="00DD7697" w:rsidR="006B6C22">
        <w:rPr>
          <w:rFonts w:cs="Arial"/>
          <w:color w:val="auto"/>
        </w:rPr>
        <w:t>provide an initial view on whether</w:t>
      </w:r>
      <w:r w:rsidRPr="00DD7697">
        <w:rPr>
          <w:rFonts w:cs="Arial"/>
          <w:color w:val="auto"/>
        </w:rPr>
        <w:t xml:space="preserve"> they are within the permitted grounds of appeal ("valid")</w:t>
      </w:r>
      <w:r w:rsidRPr="00DD7697" w:rsidR="006B6C22">
        <w:rPr>
          <w:rFonts w:cs="Arial"/>
          <w:color w:val="auto"/>
        </w:rPr>
        <w:t xml:space="preserve"> and are at least arguable</w:t>
      </w:r>
      <w:r w:rsidRPr="00DD7697">
        <w:rPr>
          <w:rFonts w:cs="Arial"/>
          <w:color w:val="auto"/>
        </w:rPr>
        <w:t xml:space="preserve">. The permitted grounds of appeal are: </w:t>
      </w:r>
    </w:p>
    <w:p w:rsidRPr="00DD7697" w:rsidR="00C70019" w:rsidP="00413F89" w:rsidRDefault="00C70019" w14:paraId="25359C75" w14:textId="77777777">
      <w:pPr>
        <w:numPr>
          <w:ilvl w:val="0"/>
          <w:numId w:val="2"/>
        </w:numPr>
        <w:shd w:val="clear" w:color="auto" w:fill="FFFFFF"/>
        <w:spacing w:before="240" w:after="240" w:line="240" w:lineRule="auto"/>
        <w:jc w:val="both"/>
        <w:rPr>
          <w:rFonts w:cs="Arial"/>
          <w:color w:val="auto"/>
        </w:rPr>
      </w:pPr>
      <w:r w:rsidRPr="00DD7697">
        <w:rPr>
          <w:rFonts w:cs="Arial"/>
          <w:color w:val="auto"/>
        </w:rPr>
        <w:t xml:space="preserve">1(a) NICE has failed to act fairly, or </w:t>
      </w:r>
    </w:p>
    <w:p w:rsidRPr="00DD7697" w:rsidR="00C70019" w:rsidP="00413F89" w:rsidRDefault="00C70019" w14:paraId="14BFF060" w14:textId="77777777">
      <w:pPr>
        <w:numPr>
          <w:ilvl w:val="0"/>
          <w:numId w:val="2"/>
        </w:numPr>
        <w:shd w:val="clear" w:color="auto" w:fill="FFFFFF"/>
        <w:spacing w:before="240" w:after="240" w:line="240" w:lineRule="auto"/>
        <w:jc w:val="both"/>
        <w:rPr>
          <w:rFonts w:cs="Arial"/>
          <w:color w:val="auto"/>
        </w:rPr>
      </w:pPr>
      <w:r w:rsidRPr="00DD7697">
        <w:rPr>
          <w:rFonts w:cs="Arial"/>
          <w:color w:val="auto"/>
        </w:rPr>
        <w:t>1(b) NICE has exceeded powers;</w:t>
      </w:r>
    </w:p>
    <w:p w:rsidRPr="00DD7697" w:rsidR="00C70019" w:rsidP="00413F89" w:rsidRDefault="00C70019" w14:paraId="22754B60" w14:textId="77777777">
      <w:pPr>
        <w:numPr>
          <w:ilvl w:val="0"/>
          <w:numId w:val="2"/>
        </w:numPr>
        <w:shd w:val="clear" w:color="auto" w:fill="FFFFFF"/>
        <w:spacing w:before="240" w:after="240" w:line="240" w:lineRule="auto"/>
        <w:jc w:val="both"/>
        <w:rPr>
          <w:rFonts w:cs="Arial"/>
          <w:color w:val="auto"/>
        </w:rPr>
      </w:pPr>
      <w:r w:rsidRPr="00DD7697">
        <w:rPr>
          <w:rFonts w:cs="Arial"/>
          <w:color w:val="auto"/>
        </w:rPr>
        <w:t>(2) the recommendation is unreasonable in the light of the evidence submitted to NICE</w:t>
      </w:r>
      <w:r w:rsidRPr="00DD7697" w:rsidR="006347AD">
        <w:rPr>
          <w:rFonts w:cs="Arial"/>
          <w:color w:val="auto"/>
        </w:rPr>
        <w:t>.</w:t>
      </w:r>
    </w:p>
    <w:p w:rsidRPr="00DD7697" w:rsidR="00C70019" w:rsidP="00413F89" w:rsidRDefault="00C70019" w14:paraId="08D953B5" w14:textId="25297E74">
      <w:pPr>
        <w:jc w:val="both"/>
        <w:rPr>
          <w:rFonts w:cs="Arial"/>
          <w:color w:val="auto"/>
        </w:rPr>
      </w:pPr>
      <w:r w:rsidRPr="00DD7697">
        <w:rPr>
          <w:rFonts w:cs="Arial"/>
          <w:color w:val="auto"/>
        </w:rPr>
        <w:t>This letter sets out my initial view of the points of appeal you have raised: principally whether they fall within any of the grounds of appeal, or whether further clarification is required of any point. Only if I am satisfied that your points contain the necessary information</w:t>
      </w:r>
      <w:r w:rsidRPr="00DD7697" w:rsidR="00F41597">
        <w:rPr>
          <w:rFonts w:cs="Arial"/>
          <w:color w:val="auto"/>
        </w:rPr>
        <w:t>, are arguable, and</w:t>
      </w:r>
      <w:r w:rsidRPr="00DD7697">
        <w:rPr>
          <w:rFonts w:cs="Arial"/>
          <w:color w:val="auto"/>
        </w:rPr>
        <w:t xml:space="preserve"> fall within any one of the grounds will your appeal be referred to the Appeal Panel. </w:t>
      </w:r>
    </w:p>
    <w:p w:rsidRPr="00DD7697" w:rsidR="00C70019" w:rsidP="00413F89" w:rsidRDefault="00C70019" w14:paraId="146CF237" w14:textId="77777777">
      <w:pPr>
        <w:jc w:val="both"/>
        <w:rPr>
          <w:rFonts w:cs="Arial"/>
          <w:color w:val="auto"/>
        </w:rPr>
      </w:pPr>
      <w:r w:rsidRPr="00DD7697">
        <w:rPr>
          <w:rFonts w:cs="Arial"/>
          <w:color w:val="auto"/>
        </w:rPr>
        <w:t xml:space="preserve">You have the opportunity to comment on this letter in order to elaborate on or clarify any of the points raised before I will make my final decision as to whether each appeal point should be referred on to the Appeal Panel. </w:t>
      </w:r>
    </w:p>
    <w:p w:rsidRPr="00DD7697" w:rsidR="00C70019" w:rsidP="00413F89" w:rsidRDefault="00C70019" w14:paraId="3294E8F2" w14:textId="77777777">
      <w:pPr>
        <w:jc w:val="both"/>
        <w:rPr>
          <w:rFonts w:cs="Arial"/>
          <w:color w:val="auto"/>
          <w:u w:val="single"/>
        </w:rPr>
      </w:pPr>
      <w:r w:rsidRPr="00DD7697">
        <w:rPr>
          <w:rFonts w:cs="Arial"/>
          <w:color w:val="auto"/>
          <w:u w:val="single"/>
        </w:rPr>
        <w:t>Initial View</w:t>
      </w:r>
    </w:p>
    <w:p w:rsidR="00262058" w:rsidP="00413F89" w:rsidRDefault="00BB43EC" w14:paraId="15B951E6" w14:textId="4A8D7BE4">
      <w:pPr>
        <w:jc w:val="both"/>
        <w:rPr>
          <w:rFonts w:cs="Arial"/>
          <w:color w:val="auto"/>
        </w:rPr>
      </w:pPr>
      <w:r w:rsidRPr="00DD7697">
        <w:rPr>
          <w:rFonts w:cs="Arial"/>
          <w:color w:val="auto"/>
        </w:rPr>
        <w:t>I</w:t>
      </w:r>
      <w:r w:rsidRPr="00DD7697" w:rsidR="00C70019">
        <w:rPr>
          <w:rFonts w:cs="Arial"/>
          <w:color w:val="auto"/>
        </w:rPr>
        <w:t xml:space="preserve"> assess each of your </w:t>
      </w:r>
      <w:r w:rsidRPr="00DD7697" w:rsidR="00B36320">
        <w:rPr>
          <w:rFonts w:cs="Arial"/>
          <w:color w:val="auto"/>
        </w:rPr>
        <w:t xml:space="preserve">points </w:t>
      </w:r>
      <w:r w:rsidRPr="00DD7697" w:rsidR="00C70019">
        <w:rPr>
          <w:rFonts w:cs="Arial"/>
          <w:color w:val="auto"/>
        </w:rPr>
        <w:t xml:space="preserve">in turn.  </w:t>
      </w:r>
    </w:p>
    <w:p w:rsidRPr="00961369" w:rsidR="00E87F1E" w:rsidP="00E87F1E" w:rsidRDefault="00E87F1E" w14:paraId="7ADCDE98" w14:textId="77777777">
      <w:pPr>
        <w:spacing w:before="120" w:after="0" w:line="240" w:lineRule="auto"/>
        <w:rPr>
          <w:rFonts w:cs="Arial"/>
          <w:b/>
          <w:i/>
          <w:lang w:eastAsia="en-GB"/>
        </w:rPr>
      </w:pPr>
      <w:r w:rsidRPr="00961369">
        <w:rPr>
          <w:rFonts w:cs="Arial"/>
          <w:b/>
          <w:i/>
          <w:lang w:eastAsia="en-GB"/>
        </w:rPr>
        <w:t>Ground 1(a): In making the assessment that preceded the recommendation, NICE has failed to act fairly</w:t>
      </w:r>
    </w:p>
    <w:p w:rsidR="00B11119" w:rsidP="007A7F07" w:rsidRDefault="00B62869" w14:paraId="4DA05162" w14:textId="7D7C206F">
      <w:pPr>
        <w:spacing w:before="240" w:after="240" w:line="276" w:lineRule="auto"/>
        <w:jc w:val="both"/>
        <w:rPr>
          <w:rFonts w:cs="Arial"/>
          <w:b/>
          <w:color w:val="auto"/>
          <w:u w:val="single"/>
        </w:rPr>
      </w:pPr>
      <w:r w:rsidRPr="00DD7697">
        <w:rPr>
          <w:rFonts w:cs="Arial"/>
          <w:b/>
          <w:color w:val="auto"/>
          <w:u w:val="single"/>
        </w:rPr>
        <w:t xml:space="preserve">Appeal point </w:t>
      </w:r>
      <w:r>
        <w:rPr>
          <w:rFonts w:cs="Arial"/>
          <w:b/>
          <w:color w:val="auto"/>
          <w:u w:val="single"/>
        </w:rPr>
        <w:t>1(a)</w:t>
      </w:r>
      <w:r w:rsidRPr="006F5822">
        <w:rPr>
          <w:rFonts w:cs="Arial"/>
          <w:b/>
          <w:color w:val="auto"/>
          <w:u w:val="single"/>
        </w:rPr>
        <w:t>.1</w:t>
      </w:r>
      <w:r w:rsidR="007A7F07">
        <w:rPr>
          <w:rFonts w:cs="Arial"/>
          <w:b/>
          <w:color w:val="auto"/>
          <w:u w:val="single"/>
        </w:rPr>
        <w:t xml:space="preserve">: </w:t>
      </w:r>
      <w:r w:rsidRPr="000D271C" w:rsidR="000D271C">
        <w:rPr>
          <w:rFonts w:cs="Arial"/>
          <w:b/>
          <w:color w:val="auto"/>
          <w:u w:val="single"/>
        </w:rPr>
        <w:t>Large unmet need in patients with Lennox-Gastaut syndrome</w:t>
      </w:r>
    </w:p>
    <w:p w:rsidR="00155C6A" w:rsidP="00E87F1E" w:rsidRDefault="00E87F1E" w14:paraId="046D4FC9" w14:textId="77777777">
      <w:pPr>
        <w:pStyle w:val="BodyText"/>
        <w:jc w:val="both"/>
        <w:rPr>
          <w:rFonts w:cs="Arial"/>
          <w:color w:val="auto"/>
        </w:rPr>
      </w:pPr>
      <w:r w:rsidRPr="001B0C02">
        <w:rPr>
          <w:rFonts w:cs="Arial"/>
          <w:color w:val="auto"/>
        </w:rPr>
        <w:t>I am not minded to refer this appeal point to the Appeal Panel.</w:t>
      </w:r>
      <w:r w:rsidRPr="00DD7697">
        <w:rPr>
          <w:rFonts w:cs="Arial"/>
          <w:color w:val="auto"/>
        </w:rPr>
        <w:t xml:space="preserve">  </w:t>
      </w:r>
      <w:r>
        <w:rPr>
          <w:rFonts w:cs="Arial"/>
          <w:color w:val="auto"/>
        </w:rPr>
        <w:t xml:space="preserve"> </w:t>
      </w:r>
    </w:p>
    <w:p w:rsidR="00D7465E" w:rsidP="001B0C02" w:rsidRDefault="00D7465E" w14:paraId="1B673060" w14:textId="3015A3F6">
      <w:pPr>
        <w:pStyle w:val="BodyText"/>
        <w:jc w:val="both"/>
        <w:rPr>
          <w:rFonts w:cs="Arial"/>
        </w:rPr>
      </w:pPr>
      <w:r>
        <w:rPr>
          <w:rFonts w:cs="Arial"/>
        </w:rPr>
        <w:t xml:space="preserve">I note all that you say regarding the large unmet need in patients with Lennox-Gastaut syndrome.  In order to refer an appeal point to the Appeal Panel for determination, however, I need to be satisfied that the Committee has arguably failed to act fairly.  The fact of there being an unmet need does not, per se, </w:t>
      </w:r>
      <w:r w:rsidR="008B2A88">
        <w:rPr>
          <w:rFonts w:cs="Arial"/>
        </w:rPr>
        <w:t>meet that test</w:t>
      </w:r>
      <w:r>
        <w:rPr>
          <w:rFonts w:cs="Arial"/>
        </w:rPr>
        <w:t xml:space="preserve">.  I invite the BPNA to explain in its response, how in your view, the Committee acted unfairly in reaching its negative recommendation.  You may find it helpful to refer to NICE's </w:t>
      </w:r>
      <w:r w:rsidRPr="00ED4AF2">
        <w:rPr>
          <w:rFonts w:cs="Arial"/>
        </w:rPr>
        <w:t>Guide to the technology appraisal and HST appeal process</w:t>
      </w:r>
      <w:r>
        <w:rPr>
          <w:rFonts w:cs="Arial"/>
        </w:rPr>
        <w:t>, which explains in section 4.3 what is required under Ground 1(a), as follows:</w:t>
      </w:r>
    </w:p>
    <w:p w:rsidRPr="00D7465E" w:rsidR="00D7465E" w:rsidP="00D7465E" w:rsidRDefault="00D7465E" w14:paraId="404B17B1" w14:textId="77777777">
      <w:pPr>
        <w:pStyle w:val="BodyText"/>
        <w:ind w:left="720"/>
        <w:jc w:val="both"/>
        <w:rPr>
          <w:rFonts w:cs="Arial"/>
          <w:i/>
          <w:iCs/>
        </w:rPr>
      </w:pPr>
      <w:r w:rsidRPr="00D7465E">
        <w:rPr>
          <w:rFonts w:cs="Arial"/>
          <w:i/>
          <w:iCs/>
        </w:rPr>
        <w:t>NICE is committed to following a fair process throughout the technology appraisal and highly specialised technologies process. An appellant who believes that an evaluation was not fair may appeal on this ground. This ground relates only to the fairness of the process followed and not to the content of the final draft guidance. It should be noted that if an appellant does not agree with final draft guidance this does not make it unfair. For example, although it is unfair to exclude relevant data from the technology appraisal and highly specialised technologies evaluation process, it is not unfair to consider the relevant data but then reach a view with which the appellant did not agree.</w:t>
      </w:r>
    </w:p>
    <w:p w:rsidRPr="00D7465E" w:rsidR="00D7465E" w:rsidP="00D7465E" w:rsidRDefault="00D7465E" w14:paraId="1BD8C602" w14:textId="77777777">
      <w:pPr>
        <w:pStyle w:val="BodyText"/>
        <w:ind w:left="720"/>
        <w:jc w:val="both"/>
        <w:rPr>
          <w:rFonts w:cs="Arial"/>
          <w:i/>
          <w:iCs/>
        </w:rPr>
      </w:pPr>
      <w:r w:rsidRPr="00D7465E">
        <w:rPr>
          <w:rFonts w:cs="Arial"/>
          <w:i/>
          <w:iCs/>
        </w:rPr>
        <w:t>This ground of appeal does not cover an argument that it is 'unfair' in a general sense, for example, that it is 'unfair' to patients not to recommend a treatment.</w:t>
      </w:r>
    </w:p>
    <w:p w:rsidRPr="00D7465E" w:rsidR="00D7465E" w:rsidP="00D7465E" w:rsidRDefault="00D7465E" w14:paraId="6630F2FF" w14:textId="77777777">
      <w:pPr>
        <w:pStyle w:val="BodyText"/>
        <w:ind w:left="720"/>
        <w:jc w:val="both"/>
        <w:rPr>
          <w:rFonts w:cs="Arial"/>
          <w:i/>
          <w:iCs/>
        </w:rPr>
      </w:pPr>
      <w:r w:rsidRPr="00D7465E">
        <w:rPr>
          <w:rFonts w:cs="Arial"/>
          <w:i/>
          <w:iCs/>
        </w:rPr>
        <w:t>Unspecific allegations of unfairness, for example, an alleged inability to understand a conclusion, will not be accepted as a valid appeal point. Details and evidence must be provided in every case.</w:t>
      </w:r>
    </w:p>
    <w:p w:rsidR="00D7465E" w:rsidP="00D7465E" w:rsidRDefault="00D7465E" w14:paraId="7EE70A48" w14:textId="77777777">
      <w:pPr>
        <w:pStyle w:val="BodyText"/>
        <w:ind w:left="720"/>
        <w:jc w:val="both"/>
        <w:rPr>
          <w:rFonts w:cs="Arial"/>
        </w:rPr>
      </w:pPr>
      <w:r w:rsidRPr="00D7465E">
        <w:rPr>
          <w:rFonts w:cs="Arial"/>
          <w:i/>
          <w:iCs/>
        </w:rPr>
        <w:t>NICE requires appellants to explain what steps they took to promptly resolve any unfairness when they first became aware of it. The appeal panel may interpret the absence of any such steps, without sufficient reason, as evidence that there was in fact no such unfairness, or potentially as a reason not to refer guidance back to the committee or to request changes to guidance.</w:t>
      </w:r>
    </w:p>
    <w:p w:rsidR="00D7465E" w:rsidP="00D7465E" w:rsidRDefault="00D7465E" w14:paraId="1E879051" w14:textId="7CA55D86">
      <w:pPr>
        <w:pStyle w:val="BodyText"/>
        <w:jc w:val="both"/>
        <w:rPr>
          <w:rFonts w:cs="Arial"/>
        </w:rPr>
      </w:pPr>
      <w:r>
        <w:rPr>
          <w:rFonts w:cs="Arial"/>
        </w:rPr>
        <w:t>I also note with concern your statement that the BPNA "</w:t>
      </w:r>
      <w:r w:rsidRPr="00612C2C">
        <w:rPr>
          <w:rFonts w:cs="Arial"/>
          <w:i/>
          <w:iCs/>
        </w:rPr>
        <w:t>was not given an opportunity to contribute to the discussions, despite repeated requests</w:t>
      </w:r>
      <w:r>
        <w:rPr>
          <w:rFonts w:cs="Arial"/>
        </w:rPr>
        <w:t xml:space="preserve">".  </w:t>
      </w:r>
    </w:p>
    <w:p w:rsidR="00D7465E" w:rsidP="00612C2C" w:rsidRDefault="00612C2C" w14:paraId="3A71784E" w14:textId="3422F56D">
      <w:pPr>
        <w:pStyle w:val="Body1"/>
        <w:ind w:left="0"/>
      </w:pPr>
      <w:r w:rsidRPr="00612C2C">
        <w:t>NICE's Manual for health technology evaluations</w:t>
      </w:r>
      <w:r>
        <w:t xml:space="preserve"> explains that NICE invites stakeholders including organisations representing healthcare professions to participate in technology evaluations.  The BPNA was so invited and participated in this evaluation as a consultee.  The Manual further explains (at 1.2.18 and 1.3.13) that professional organisations who are consultees should be invited to submit evidence and nominate clinical, patient and commissioning experts for the evaluation.  </w:t>
      </w:r>
    </w:p>
    <w:p w:rsidRPr="00D7465E" w:rsidR="00612C2C" w:rsidP="00612C2C" w:rsidRDefault="00612C2C" w14:paraId="3309571D" w14:textId="712C2B53">
      <w:pPr>
        <w:pStyle w:val="Body1"/>
        <w:ind w:left="0"/>
      </w:pPr>
      <w:r>
        <w:t xml:space="preserve">I invite you to provide further detail in your response to this letter </w:t>
      </w:r>
      <w:r w:rsidR="008B2A88">
        <w:t>as to</w:t>
      </w:r>
      <w:r>
        <w:t xml:space="preserve"> whether and how in your view, NICE departed from the requirements of the Manual in the current evaluation.</w:t>
      </w:r>
    </w:p>
    <w:p w:rsidR="00D7465E" w:rsidP="001B0C02" w:rsidRDefault="00D7465E" w14:paraId="123AE0CA" w14:textId="4ABA7933">
      <w:pPr>
        <w:pStyle w:val="BodyText"/>
        <w:jc w:val="both"/>
        <w:rPr>
          <w:rFonts w:cs="Arial"/>
          <w:color w:val="FF0000"/>
        </w:rPr>
      </w:pPr>
    </w:p>
    <w:p w:rsidR="00D7465E" w:rsidP="001B0C02" w:rsidRDefault="00D7465E" w14:paraId="7EE5E29F" w14:textId="77777777">
      <w:pPr>
        <w:pStyle w:val="BodyText"/>
        <w:jc w:val="both"/>
        <w:rPr>
          <w:rFonts w:cs="Arial"/>
          <w:color w:val="FF0000"/>
        </w:rPr>
      </w:pPr>
    </w:p>
    <w:p w:rsidR="00D7465E" w:rsidP="001B0C02" w:rsidRDefault="00D7465E" w14:paraId="63F87409" w14:textId="77777777">
      <w:pPr>
        <w:pStyle w:val="BodyText"/>
        <w:jc w:val="both"/>
        <w:rPr>
          <w:rFonts w:cs="Arial"/>
          <w:color w:val="FF0000"/>
        </w:rPr>
      </w:pPr>
    </w:p>
    <w:p w:rsidRPr="007A7F07" w:rsidR="00B62869" w:rsidP="00B62869" w:rsidRDefault="007A7F07" w14:paraId="25FB955A" w14:textId="4DC048D1">
      <w:pPr>
        <w:spacing w:before="240" w:after="240" w:line="276" w:lineRule="auto"/>
        <w:jc w:val="both"/>
        <w:rPr>
          <w:rFonts w:cs="Arial"/>
          <w:b/>
          <w:i/>
          <w:color w:val="auto"/>
        </w:rPr>
      </w:pPr>
      <w:r>
        <w:rPr>
          <w:rFonts w:cs="Arial"/>
          <w:b/>
          <w:i/>
          <w:color w:val="auto"/>
        </w:rPr>
        <w:t>G</w:t>
      </w:r>
      <w:r w:rsidRPr="00E87F1E" w:rsidR="00491045">
        <w:rPr>
          <w:rFonts w:cs="Arial"/>
          <w:b/>
          <w:i/>
          <w:color w:val="auto"/>
        </w:rPr>
        <w:t xml:space="preserve">round 2: </w:t>
      </w:r>
      <w:r w:rsidRPr="00E87F1E" w:rsidR="00B62869">
        <w:rPr>
          <w:rFonts w:cs="Arial"/>
          <w:b/>
          <w:i/>
          <w:color w:val="auto"/>
        </w:rPr>
        <w:t>the recommendation is unreasonable in the light of the evidence submitted to NIC</w:t>
      </w:r>
    </w:p>
    <w:p w:rsidRPr="00EE7C41" w:rsidR="00491045" w:rsidP="000F07F9" w:rsidRDefault="00B62869" w14:paraId="41564A14" w14:textId="4BAA4A57">
      <w:pPr>
        <w:pStyle w:val="Paragraph"/>
        <w:numPr>
          <w:ilvl w:val="0"/>
          <w:numId w:val="0"/>
        </w:numPr>
        <w:jc w:val="both"/>
        <w:rPr>
          <w:rFonts w:cs="Arial"/>
          <w:b/>
          <w:u w:val="single"/>
        </w:rPr>
      </w:pPr>
      <w:r w:rsidRPr="00EE7C41">
        <w:rPr>
          <w:rFonts w:cs="Arial"/>
          <w:b/>
          <w:sz w:val="20"/>
          <w:szCs w:val="20"/>
          <w:u w:val="single"/>
        </w:rPr>
        <w:t xml:space="preserve">Appeal point 2.1: </w:t>
      </w:r>
      <w:r w:rsidRPr="00EE7C41" w:rsidR="00EE7C41">
        <w:rPr>
          <w:rFonts w:cs="Arial"/>
          <w:b/>
          <w:sz w:val="20"/>
          <w:szCs w:val="20"/>
          <w:u w:val="single"/>
        </w:rPr>
        <w:t>The Appraisal Committee’s refusal to recommend the use of fenfluramine for treatment of seizures in patients with Lennox-Gastaut syndrome cannot reasonably</w:t>
      </w:r>
      <w:r w:rsidR="00EE7C41">
        <w:rPr>
          <w:rFonts w:cs="Arial"/>
          <w:b/>
          <w:sz w:val="20"/>
          <w:szCs w:val="20"/>
          <w:u w:val="single"/>
        </w:rPr>
        <w:t xml:space="preserve"> </w:t>
      </w:r>
      <w:r w:rsidRPr="00EE7C41" w:rsidR="00EE7C41">
        <w:rPr>
          <w:rFonts w:cs="Arial"/>
          <w:b/>
          <w:sz w:val="20"/>
          <w:szCs w:val="20"/>
          <w:u w:val="single"/>
        </w:rPr>
        <w:t>be justified in the light of the evidence submitted</w:t>
      </w:r>
    </w:p>
    <w:p w:rsidR="001B0C02" w:rsidP="001B0C02" w:rsidRDefault="001B0C02" w14:paraId="23BCFDD2" w14:textId="77777777">
      <w:pPr>
        <w:pStyle w:val="BodyText"/>
        <w:jc w:val="both"/>
        <w:rPr>
          <w:rFonts w:cs="Arial"/>
          <w:color w:val="auto"/>
        </w:rPr>
      </w:pPr>
      <w:r w:rsidRPr="001B0C02">
        <w:rPr>
          <w:rFonts w:cs="Arial"/>
          <w:color w:val="auto"/>
        </w:rPr>
        <w:t>I am not minded to refer this appeal point to the Appeal Panel.</w:t>
      </w:r>
      <w:r w:rsidRPr="00DD7697">
        <w:rPr>
          <w:rFonts w:cs="Arial"/>
          <w:color w:val="auto"/>
        </w:rPr>
        <w:t xml:space="preserve">  </w:t>
      </w:r>
      <w:r>
        <w:rPr>
          <w:rFonts w:cs="Arial"/>
          <w:color w:val="auto"/>
        </w:rPr>
        <w:t xml:space="preserve"> </w:t>
      </w:r>
    </w:p>
    <w:p w:rsidR="00E7097B" w:rsidP="00491045" w:rsidRDefault="00E7097B" w14:paraId="18FA10B3" w14:textId="77777777">
      <w:pPr>
        <w:pStyle w:val="BodyText"/>
        <w:jc w:val="both"/>
        <w:rPr>
          <w:rFonts w:cs="Arial"/>
        </w:rPr>
      </w:pPr>
      <w:r>
        <w:rPr>
          <w:rFonts w:cs="Arial"/>
        </w:rPr>
        <w:t xml:space="preserve">NICE's </w:t>
      </w:r>
      <w:r w:rsidRPr="00ED4AF2">
        <w:rPr>
          <w:rFonts w:cs="Arial"/>
        </w:rPr>
        <w:t>Guide to the technology appraisal and HST appeal process</w:t>
      </w:r>
      <w:r>
        <w:rPr>
          <w:rFonts w:cs="Arial"/>
        </w:rPr>
        <w:t xml:space="preserve"> explains that "</w:t>
      </w:r>
      <w:r w:rsidRPr="008B2A88">
        <w:rPr>
          <w:rFonts w:cs="Arial"/>
          <w:i/>
          <w:iCs/>
        </w:rPr>
        <w:t>NICE will not accept an appeal simply because a consultee disagrees with the views or conclusions in the FDG</w:t>
      </w:r>
      <w:r>
        <w:rPr>
          <w:rFonts w:cs="Arial"/>
        </w:rPr>
        <w:t>".  Rather, "</w:t>
      </w:r>
      <w:r w:rsidRPr="008B2A88">
        <w:rPr>
          <w:rFonts w:cs="Arial"/>
          <w:i/>
          <w:iCs/>
        </w:rPr>
        <w:t>this ground means that the guidance is obviously and unarguably wrong, illogical, or 'does not add up'</w:t>
      </w:r>
      <w:r>
        <w:rPr>
          <w:rFonts w:cs="Arial"/>
        </w:rPr>
        <w:t xml:space="preserve">.  </w:t>
      </w:r>
      <w:r w:rsidRPr="008B2A88">
        <w:rPr>
          <w:rFonts w:cs="Arial"/>
          <w:i/>
          <w:iCs/>
        </w:rPr>
        <w:t>The appeal panel will not make its own judgements about the technology, but it will review the committee's decisions to see if they can reasonably be justified, based on the evidence that was available to the committee.</w:t>
      </w:r>
      <w:r>
        <w:rPr>
          <w:rFonts w:cs="Arial"/>
        </w:rPr>
        <w:t>"</w:t>
      </w:r>
    </w:p>
    <w:p w:rsidR="00E7097B" w:rsidP="00491045" w:rsidRDefault="00E7097B" w14:paraId="7F83B02C" w14:textId="0A9512DD">
      <w:pPr>
        <w:pStyle w:val="BodyText"/>
        <w:jc w:val="both"/>
        <w:rPr>
          <w:rFonts w:cs="Arial"/>
        </w:rPr>
      </w:pPr>
      <w:r>
        <w:rPr>
          <w:rFonts w:cs="Arial"/>
        </w:rPr>
        <w:t>My reading of appeal point 2.1 in your appeal letter is that you disagree with the Committee's conclusion, but that it does not support a view that the Committee's conclusion was arguably unreasonable.  You say that "</w:t>
      </w:r>
      <w:r w:rsidRPr="008B2A88">
        <w:rPr>
          <w:rFonts w:cs="Arial"/>
          <w:i/>
          <w:iCs/>
        </w:rPr>
        <w:t>overall, the evidence suggests that the efficacy and tolerability of fenfluramine is comparable to that of cannabidiol plus clobazam in treatment of seizures in patients with LGS, and … unlike cannabidiol, fenfluramine does not need co-administration of clobazam, which can have its own tolerability issues.</w:t>
      </w:r>
      <w:r>
        <w:rPr>
          <w:rFonts w:cs="Arial"/>
        </w:rPr>
        <w:t xml:space="preserve">"  These conclusions would not on their own be sufficient to drive a positive recommendation, in the absence of cost-effectiveness. </w:t>
      </w:r>
    </w:p>
    <w:p w:rsidR="00E7097B" w:rsidP="00491045" w:rsidRDefault="00E7097B" w14:paraId="14100F2B" w14:textId="09C747A4">
      <w:pPr>
        <w:pStyle w:val="BodyText"/>
        <w:jc w:val="both"/>
        <w:rPr>
          <w:rFonts w:cs="Arial"/>
        </w:rPr>
      </w:pPr>
      <w:r>
        <w:rPr>
          <w:rFonts w:cs="Arial"/>
        </w:rPr>
        <w:t>I note that you are concerned that the committee "</w:t>
      </w:r>
      <w:r w:rsidRPr="008B2A88">
        <w:rPr>
          <w:rFonts w:cs="Arial"/>
          <w:i/>
          <w:iCs/>
        </w:rPr>
        <w:t>may have overlooked nearly 60% reduction during the clinical trial and nearly 50% during OLE in the frequency of tonic-clonic seizures.</w:t>
      </w:r>
      <w:r>
        <w:rPr>
          <w:rFonts w:cs="Arial"/>
        </w:rPr>
        <w:t xml:space="preserve">"  I believe this is considered in the </w:t>
      </w:r>
      <w:r w:rsidRPr="005D1FAC" w:rsidR="005D1FAC">
        <w:rPr>
          <w:rFonts w:cs="Arial"/>
        </w:rPr>
        <w:t xml:space="preserve">Committee's </w:t>
      </w:r>
      <w:r w:rsidRPr="005D1FAC">
        <w:rPr>
          <w:rFonts w:cs="Arial"/>
        </w:rPr>
        <w:t xml:space="preserve">papers </w:t>
      </w:r>
      <w:r w:rsidRPr="005D1FAC" w:rsidR="005D1FAC">
        <w:rPr>
          <w:rFonts w:cs="Arial"/>
        </w:rPr>
        <w:t>for its meeting on 31 January 2024</w:t>
      </w:r>
      <w:r w:rsidR="005D1FAC">
        <w:rPr>
          <w:rFonts w:cs="Arial"/>
        </w:rPr>
        <w:t xml:space="preserve"> – see point B3.3.3 on page 119.  I would invite you to expand upon this point in your reply to this letter if, having considered this, you remain of the view that the committee's conclusion was unreasonable on the basis that this issue was overlooked or not properly considered.</w:t>
      </w:r>
    </w:p>
    <w:p w:rsidRPr="00DD7697" w:rsidR="007E4EDC" w:rsidP="00623213" w:rsidRDefault="007E4EDC" w14:paraId="4AE6A487" w14:textId="6BDD7B15">
      <w:pPr>
        <w:pStyle w:val="Paragraph"/>
        <w:numPr>
          <w:ilvl w:val="0"/>
          <w:numId w:val="0"/>
        </w:numPr>
        <w:jc w:val="both"/>
        <w:rPr>
          <w:rFonts w:cs="Arial"/>
          <w:sz w:val="20"/>
          <w:szCs w:val="20"/>
          <w:u w:val="single"/>
          <w:lang w:eastAsia="en-US"/>
        </w:rPr>
      </w:pPr>
      <w:r w:rsidRPr="00DD7697">
        <w:rPr>
          <w:rFonts w:cs="Arial"/>
          <w:sz w:val="20"/>
          <w:szCs w:val="20"/>
          <w:u w:val="single"/>
          <w:lang w:eastAsia="en-US"/>
        </w:rPr>
        <w:t xml:space="preserve">Conclusion </w:t>
      </w:r>
    </w:p>
    <w:p w:rsidRPr="00DD7697" w:rsidR="00C2049A" w:rsidP="00413F89" w:rsidRDefault="00AA2694" w14:paraId="0D42AE48" w14:textId="77777777">
      <w:pPr>
        <w:pStyle w:val="Paragraph"/>
        <w:numPr>
          <w:ilvl w:val="0"/>
          <w:numId w:val="0"/>
        </w:numPr>
        <w:spacing w:before="120"/>
        <w:jc w:val="both"/>
        <w:rPr>
          <w:rFonts w:cs="Arial"/>
          <w:sz w:val="20"/>
          <w:szCs w:val="20"/>
          <w:lang w:eastAsia="en-US"/>
        </w:rPr>
      </w:pPr>
      <w:r w:rsidRPr="00DD7697">
        <w:rPr>
          <w:rFonts w:cs="Arial"/>
          <w:sz w:val="20"/>
          <w:szCs w:val="20"/>
          <w:lang w:eastAsia="en-US"/>
        </w:rPr>
        <w:t>The above sets</w:t>
      </w:r>
      <w:r w:rsidRPr="00DD7697" w:rsidR="00C2049A">
        <w:rPr>
          <w:rFonts w:cs="Arial"/>
          <w:sz w:val="20"/>
          <w:szCs w:val="20"/>
          <w:lang w:eastAsia="en-US"/>
        </w:rPr>
        <w:t xml:space="preserve"> out above my initial views on all of your appeal points.</w:t>
      </w:r>
    </w:p>
    <w:p w:rsidRPr="00DD7697" w:rsidR="003B056B" w:rsidP="00413F89" w:rsidRDefault="009437A9" w14:paraId="5224AE76" w14:textId="4CC68EB3">
      <w:pPr>
        <w:pStyle w:val="Paragraph"/>
        <w:numPr>
          <w:ilvl w:val="0"/>
          <w:numId w:val="0"/>
        </w:numPr>
        <w:spacing w:before="120"/>
        <w:jc w:val="both"/>
        <w:rPr>
          <w:rFonts w:cs="Arial"/>
          <w:sz w:val="20"/>
          <w:szCs w:val="20"/>
          <w:lang w:eastAsia="en-US"/>
        </w:rPr>
      </w:pPr>
      <w:r>
        <w:rPr>
          <w:rFonts w:cs="Arial"/>
          <w:sz w:val="20"/>
          <w:szCs w:val="20"/>
          <w:lang w:eastAsia="en-US"/>
        </w:rPr>
        <w:t>Y</w:t>
      </w:r>
      <w:r w:rsidRPr="00DD7697" w:rsidR="003B056B">
        <w:rPr>
          <w:rFonts w:cs="Arial"/>
          <w:sz w:val="20"/>
          <w:szCs w:val="20"/>
          <w:lang w:eastAsia="en-US"/>
        </w:rPr>
        <w:t>ou are entitled to submit further clarification and/or evidence to me within the next 10 working days, and I will then give a final decision on the points t</w:t>
      </w:r>
      <w:r w:rsidRPr="00DD7697" w:rsidR="00726F5A">
        <w:rPr>
          <w:rFonts w:cs="Arial"/>
          <w:sz w:val="20"/>
          <w:szCs w:val="20"/>
          <w:lang w:eastAsia="en-US"/>
        </w:rPr>
        <w:t xml:space="preserve">o put before an appeal panel.  </w:t>
      </w:r>
    </w:p>
    <w:p w:rsidRPr="00DD7697" w:rsidR="003B056B" w:rsidP="00413F89" w:rsidRDefault="003B056B" w14:paraId="6445C872" w14:textId="20F6BF0E">
      <w:pPr>
        <w:pStyle w:val="Paragraph"/>
        <w:numPr>
          <w:numId w:val="0"/>
        </w:numPr>
        <w:spacing w:before="120"/>
        <w:jc w:val="both"/>
        <w:rPr>
          <w:rFonts w:cs="Arial"/>
          <w:sz w:val="20"/>
          <w:szCs w:val="20"/>
        </w:rPr>
      </w:pPr>
      <w:r w:rsidRPr="2EAF0679" w:rsidR="003B056B">
        <w:rPr>
          <w:rFonts w:cs="Arial"/>
          <w:sz w:val="20"/>
          <w:szCs w:val="20"/>
          <w:lang w:eastAsia="en-US"/>
        </w:rPr>
        <w:t xml:space="preserve">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w:t>
      </w:r>
      <w:r w:rsidRPr="2EAF0679" w:rsidR="003B056B">
        <w:rPr>
          <w:rFonts w:cs="Arial"/>
          <w:sz w:val="20"/>
          <w:szCs w:val="20"/>
          <w:lang w:eastAsia="en-US"/>
        </w:rPr>
        <w:t>contain</w:t>
      </w:r>
      <w:r w:rsidRPr="2EAF0679" w:rsidR="003B056B">
        <w:rPr>
          <w:rFonts w:cs="Arial"/>
          <w:sz w:val="20"/>
          <w:szCs w:val="20"/>
          <w:lang w:eastAsia="en-US"/>
        </w:rPr>
        <w:t xml:space="preserve"> confidential </w:t>
      </w:r>
      <w:r w:rsidRPr="2EAF0679" w:rsidR="003B056B">
        <w:rPr>
          <w:rFonts w:cs="Arial"/>
          <w:sz w:val="20"/>
          <w:szCs w:val="20"/>
          <w:lang w:eastAsia="en-US"/>
        </w:rPr>
        <w:t>information</w:t>
      </w:r>
      <w:r w:rsidRPr="2EAF0679" w:rsidR="003B056B">
        <w:rPr>
          <w:rFonts w:cs="Arial"/>
          <w:sz w:val="20"/>
          <w:szCs w:val="20"/>
        </w:rPr>
        <w:t xml:space="preserve"> please ensure you have provided a version with this information redacted by </w:t>
      </w:r>
      <w:r w:rsidRPr="2EAF0679" w:rsidR="687EC82E">
        <w:rPr>
          <w:rFonts w:cs="Arial"/>
          <w:sz w:val="20"/>
          <w:szCs w:val="20"/>
        </w:rPr>
        <w:t>3 June 2024.</w:t>
      </w:r>
    </w:p>
    <w:p w:rsidRPr="00DD7697" w:rsidR="00010318" w:rsidP="00413F89" w:rsidRDefault="00010318" w14:paraId="0ED764D7" w14:textId="61E0F43F">
      <w:pPr>
        <w:pStyle w:val="Paragraph"/>
        <w:numPr>
          <w:numId w:val="0"/>
        </w:numPr>
        <w:spacing w:before="120"/>
        <w:jc w:val="both"/>
        <w:rPr>
          <w:rFonts w:cs="Arial"/>
          <w:sz w:val="20"/>
          <w:szCs w:val="20"/>
        </w:rPr>
      </w:pPr>
      <w:r w:rsidRPr="2EAF0679" w:rsidR="00010318">
        <w:rPr>
          <w:rFonts w:cs="Arial"/>
          <w:sz w:val="20"/>
          <w:szCs w:val="20"/>
        </w:rPr>
        <w:t xml:space="preserve">Ordinarily appeals are conducted </w:t>
      </w:r>
      <w:r w:rsidRPr="2EAF0679" w:rsidR="00010318">
        <w:rPr>
          <w:rFonts w:cs="Arial"/>
          <w:sz w:val="20"/>
          <w:szCs w:val="20"/>
        </w:rPr>
        <w:t>on the basis of</w:t>
      </w:r>
      <w:r w:rsidRPr="2EAF0679" w:rsidR="00010318">
        <w:rPr>
          <w:rFonts w:cs="Arial"/>
          <w:sz w:val="20"/>
          <w:szCs w:val="20"/>
        </w:rPr>
        <w:t xml:space="preserve"> the appellants’ written appeal letters, and the material generated during the appraisal process</w:t>
      </w:r>
      <w:r w:rsidRPr="2EAF0679" w:rsidR="00010318">
        <w:rPr>
          <w:rFonts w:cs="Arial"/>
          <w:sz w:val="20"/>
          <w:szCs w:val="20"/>
        </w:rPr>
        <w:t xml:space="preserve">.  </w:t>
      </w:r>
      <w:r w:rsidRPr="2EAF0679" w:rsidR="00010318">
        <w:rPr>
          <w:rFonts w:cs="Arial"/>
          <w:sz w:val="20"/>
          <w:szCs w:val="20"/>
        </w:rPr>
        <w:t xml:space="preserve">Use of </w:t>
      </w:r>
      <w:r w:rsidRPr="2EAF0679" w:rsidR="00010318">
        <w:rPr>
          <w:rFonts w:cs="Arial"/>
          <w:sz w:val="20"/>
          <w:szCs w:val="20"/>
        </w:rPr>
        <w:t>additional</w:t>
      </w:r>
      <w:r w:rsidRPr="2EAF0679" w:rsidR="00010318">
        <w:rPr>
          <w:rFonts w:cs="Arial"/>
          <w:sz w:val="20"/>
          <w:szCs w:val="20"/>
        </w:rPr>
        <w:t xml:space="preserve"> written material is discouraged, and the panel cannot receive any new evidence</w:t>
      </w:r>
      <w:r w:rsidRPr="2EAF0679" w:rsidR="00010318">
        <w:rPr>
          <w:rFonts w:cs="Arial"/>
          <w:sz w:val="20"/>
          <w:szCs w:val="20"/>
        </w:rPr>
        <w:t xml:space="preserve">.  </w:t>
      </w:r>
      <w:r w:rsidRPr="2EAF0679" w:rsidR="00010318">
        <w:rPr>
          <w:rFonts w:cs="Arial"/>
          <w:sz w:val="20"/>
          <w:szCs w:val="20"/>
        </w:rPr>
        <w:t>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than</w:t>
      </w:r>
      <w:r w:rsidRPr="2EAF0679" w:rsidR="20D08DAF">
        <w:rPr>
          <w:rFonts w:cs="Arial"/>
          <w:sz w:val="20"/>
          <w:szCs w:val="20"/>
        </w:rPr>
        <w:t xml:space="preserve"> 28 May 2024.</w:t>
      </w:r>
      <w:r w:rsidRPr="2EAF0679" w:rsidR="00010318">
        <w:rPr>
          <w:rFonts w:cs="Arial"/>
          <w:sz w:val="20"/>
          <w:szCs w:val="20"/>
        </w:rPr>
        <w:t xml:space="preserve">  Please note that the appeal panel cannot accept papers that are tabled late or ad hoc, as this affects the preparation of the panel and other parties for the appeal.</w:t>
      </w:r>
    </w:p>
    <w:p w:rsidR="00C70019" w:rsidP="00413F89" w:rsidRDefault="00C70019" w14:paraId="6427A69D" w14:textId="21C02660">
      <w:pPr>
        <w:jc w:val="both"/>
        <w:rPr>
          <w:rFonts w:cs="Arial"/>
          <w:color w:val="auto"/>
        </w:rPr>
      </w:pPr>
      <w:r w:rsidRPr="2EAF0679" w:rsidR="00C70019">
        <w:rPr>
          <w:rFonts w:cs="Arial"/>
          <w:color w:val="auto"/>
        </w:rPr>
        <w:t>Yours sincerely</w:t>
      </w:r>
    </w:p>
    <w:p w:rsidRPr="00DD7697" w:rsidR="002B21D4" w:rsidP="2EAF0679" w:rsidRDefault="002B21D4" w14:paraId="638CFD9A" w14:textId="093F7DD3">
      <w:pPr>
        <w:pStyle w:val="Normal"/>
        <w:jc w:val="both"/>
      </w:pPr>
      <w:r w:rsidRPr="55C81048" w:rsidR="4498B363">
        <w:rPr>
          <w:color w:val="auto"/>
          <w:highlight w:val="black"/>
        </w:rPr>
        <w:t>XXXXXXXXXXXXXXXX</w:t>
      </w:r>
      <w:r>
        <w:br/>
      </w:r>
    </w:p>
    <w:p w:rsidR="2826B0A3" w:rsidP="2EAF0679" w:rsidRDefault="2826B0A3" w14:paraId="6D845EB2" w14:textId="62F3B402">
      <w:pPr>
        <w:spacing w:before="120" w:after="24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EAF0679" w:rsidR="2826B0A3">
        <w:rPr>
          <w:rFonts w:ascii="Arial" w:hAnsi="Arial" w:eastAsia="Arial" w:cs="Arial"/>
          <w:b w:val="0"/>
          <w:bCs w:val="0"/>
          <w:i w:val="0"/>
          <w:iCs w:val="0"/>
          <w:caps w:val="0"/>
          <w:smallCaps w:val="0"/>
          <w:noProof w:val="0"/>
          <w:color w:val="000000" w:themeColor="text1" w:themeTint="FF" w:themeShade="FF"/>
          <w:sz w:val="20"/>
          <w:szCs w:val="20"/>
          <w:lang w:val="en-GB"/>
        </w:rPr>
        <w:t>Dr Mark Chakravarty</w:t>
      </w:r>
    </w:p>
    <w:p w:rsidR="2826B0A3" w:rsidP="2EAF0679" w:rsidRDefault="2826B0A3" w14:paraId="10FF59C8" w14:textId="1FD03E74">
      <w:pPr>
        <w:spacing w:before="120" w:after="24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EAF0679" w:rsidR="2826B0A3">
        <w:rPr>
          <w:rFonts w:ascii="Arial" w:hAnsi="Arial" w:eastAsia="Arial" w:cs="Arial"/>
          <w:b w:val="0"/>
          <w:bCs w:val="0"/>
          <w:i w:val="0"/>
          <w:iCs w:val="0"/>
          <w:caps w:val="0"/>
          <w:smallCaps w:val="0"/>
          <w:noProof w:val="0"/>
          <w:color w:val="000000" w:themeColor="text1" w:themeTint="FF" w:themeShade="FF"/>
          <w:sz w:val="20"/>
          <w:szCs w:val="20"/>
          <w:lang w:val="en-GB"/>
        </w:rPr>
        <w:t>Lead Non-Executive Director for Appeals &amp; Vice Chairman</w:t>
      </w:r>
    </w:p>
    <w:p w:rsidR="2826B0A3" w:rsidP="2EAF0679" w:rsidRDefault="2826B0A3" w14:paraId="7EEF2551" w14:textId="76D4DC87">
      <w:pPr>
        <w:spacing w:before="120" w:after="24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EAF0679" w:rsidR="2826B0A3">
        <w:rPr>
          <w:rFonts w:ascii="Arial" w:hAnsi="Arial" w:eastAsia="Arial" w:cs="Arial"/>
          <w:b w:val="0"/>
          <w:bCs w:val="0"/>
          <w:i w:val="0"/>
          <w:iCs w:val="0"/>
          <w:caps w:val="0"/>
          <w:smallCaps w:val="0"/>
          <w:noProof w:val="0"/>
          <w:color w:val="000000" w:themeColor="text1" w:themeTint="FF" w:themeShade="FF"/>
          <w:sz w:val="20"/>
          <w:szCs w:val="20"/>
          <w:lang w:val="en-GB"/>
        </w:rPr>
        <w:t>National Institute for Health and Care Excellence</w:t>
      </w:r>
    </w:p>
    <w:p w:rsidR="004A76D5" w:rsidP="00413F89" w:rsidRDefault="004A76D5" w14:paraId="72284BFF" w14:textId="22D2CF28">
      <w:pPr>
        <w:jc w:val="both"/>
        <w:rPr>
          <w:rFonts w:cs="Arial"/>
          <w:color w:val="auto"/>
        </w:rPr>
      </w:pPr>
    </w:p>
    <w:p w:rsidRPr="00DD7697" w:rsidR="002B21D4" w:rsidP="00413F89" w:rsidRDefault="002B21D4" w14:paraId="0C61E456" w14:textId="77777777">
      <w:pPr>
        <w:jc w:val="both"/>
        <w:rPr>
          <w:rFonts w:cs="Arial"/>
          <w:color w:val="auto"/>
        </w:rPr>
      </w:pPr>
    </w:p>
    <w:sectPr w:rsidRPr="00DD7697" w:rsidR="002B21D4" w:rsidSect="00DC03BB">
      <w:headerReference w:type="even" r:id="rId10"/>
      <w:headerReference w:type="default" r:id="rId11"/>
      <w:footerReference w:type="even" r:id="rId12"/>
      <w:footerReference w:type="default" r:id="rId13"/>
      <w:headerReference w:type="first" r:id="rId14"/>
      <w:footerReference w:type="first" r:id="rId15"/>
      <w:pgSz w:w="11907" w:h="16840" w:orient="portrait" w:code="9"/>
      <w:pgMar w:top="1848" w:right="1418" w:bottom="1418" w:left="1418"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3968" w:rsidRDefault="00AF3968" w14:paraId="273619DC" w14:textId="77777777">
      <w:r>
        <w:separator/>
      </w:r>
    </w:p>
  </w:endnote>
  <w:endnote w:type="continuationSeparator" w:id="0">
    <w:p w:rsidR="00AF3968" w:rsidRDefault="00AF3968" w14:paraId="252BC1E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7697" w:rsidRDefault="00C97697" w14:paraId="1EC1852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10C0E" w:rsidR="00E308B8" w:rsidP="00832D34" w:rsidRDefault="00E308B8" w14:paraId="783FA69C" w14:textId="3A8305C2">
    <w:pPr>
      <w:pStyle w:val="Footer"/>
      <w:tabs>
        <w:tab w:val="clear" w:pos="4153"/>
        <w:tab w:val="clear" w:pos="8306"/>
        <w:tab w:val="center" w:pos="4536"/>
        <w:tab w:val="right" w:pos="9072"/>
      </w:tabs>
      <w:spacing w:line="240" w:lineRule="auto"/>
      <w:rPr>
        <w:color w:val="808080"/>
        <w:sz w:val="18"/>
        <w:szCs w:val="18"/>
      </w:rPr>
    </w:pPr>
    <w:r>
      <w:rPr>
        <w:rStyle w:val="PageNumber"/>
        <w:color w:val="808080"/>
        <w:szCs w:val="18"/>
      </w:rPr>
      <w:tab/>
    </w:r>
    <w:r>
      <w:rPr>
        <w:rStyle w:val="PageNumber"/>
        <w:color w:val="808080"/>
        <w:szCs w:val="18"/>
      </w:rPr>
      <w:tab/>
    </w:r>
    <w:r w:rsidRPr="00E10C0E">
      <w:rPr>
        <w:rStyle w:val="PageNumber"/>
        <w:color w:val="808080"/>
        <w:szCs w:val="18"/>
      </w:rPr>
      <w:t xml:space="preserve">Page </w:t>
    </w:r>
    <w:r w:rsidRPr="00E10C0E">
      <w:rPr>
        <w:rStyle w:val="PageNumber"/>
        <w:bCs/>
        <w:color w:val="808080"/>
        <w:szCs w:val="18"/>
      </w:rPr>
      <w:fldChar w:fldCharType="begin"/>
    </w:r>
    <w:r w:rsidRPr="00E10C0E">
      <w:rPr>
        <w:rStyle w:val="PageNumber"/>
        <w:bCs/>
        <w:color w:val="808080"/>
        <w:szCs w:val="18"/>
      </w:rPr>
      <w:instrText xml:space="preserve"> PAGE </w:instrText>
    </w:r>
    <w:r w:rsidRPr="00E10C0E">
      <w:rPr>
        <w:rStyle w:val="PageNumber"/>
        <w:bCs/>
        <w:color w:val="808080"/>
        <w:szCs w:val="18"/>
      </w:rPr>
      <w:fldChar w:fldCharType="separate"/>
    </w:r>
    <w:r w:rsidR="00811421">
      <w:rPr>
        <w:rStyle w:val="PageNumber"/>
        <w:bCs/>
        <w:noProof/>
        <w:color w:val="808080"/>
        <w:szCs w:val="18"/>
      </w:rPr>
      <w:t>2</w:t>
    </w:r>
    <w:r w:rsidRPr="00E10C0E">
      <w:rPr>
        <w:rStyle w:val="PageNumber"/>
        <w:bCs/>
        <w:color w:val="808080"/>
        <w:szCs w:val="18"/>
      </w:rPr>
      <w:fldChar w:fldCharType="end"/>
    </w:r>
    <w:r w:rsidRPr="00E10C0E">
      <w:rPr>
        <w:rStyle w:val="PageNumber"/>
        <w:color w:val="808080"/>
        <w:szCs w:val="18"/>
      </w:rPr>
      <w:t xml:space="preserve"> of </w:t>
    </w:r>
    <w:r w:rsidRPr="00E10C0E">
      <w:rPr>
        <w:rStyle w:val="PageNumber"/>
        <w:b/>
        <w:color w:val="808080"/>
        <w:szCs w:val="18"/>
      </w:rPr>
      <w:fldChar w:fldCharType="begin"/>
    </w:r>
    <w:r w:rsidRPr="00E10C0E">
      <w:rPr>
        <w:rStyle w:val="PageNumber"/>
        <w:b/>
        <w:color w:val="808080"/>
        <w:szCs w:val="18"/>
      </w:rPr>
      <w:instrText xml:space="preserve"> NUMPAGES  \* MERGEFORMAT </w:instrText>
    </w:r>
    <w:r w:rsidRPr="00E10C0E">
      <w:rPr>
        <w:rStyle w:val="PageNumber"/>
        <w:b/>
        <w:color w:val="808080"/>
        <w:szCs w:val="18"/>
      </w:rPr>
      <w:fldChar w:fldCharType="separate"/>
    </w:r>
    <w:r w:rsidRPr="00811421" w:rsidR="00811421">
      <w:rPr>
        <w:rStyle w:val="PageNumber"/>
        <w:noProof/>
        <w:color w:val="808080"/>
        <w:szCs w:val="18"/>
      </w:rPr>
      <w:t>2</w:t>
    </w:r>
    <w:r w:rsidRPr="00E10C0E">
      <w:rPr>
        <w:rStyle w:val="PageNumber"/>
        <w:b/>
        <w:color w:val="80808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832D34" w:rsidR="00E308B8" w:rsidP="00EF043B" w:rsidRDefault="00811421" w14:paraId="21A9013B" w14:textId="0A4FBAFA">
    <w:pPr>
      <w:pStyle w:val="Footer"/>
      <w:tabs>
        <w:tab w:val="clear" w:pos="4153"/>
        <w:tab w:val="clear" w:pos="8306"/>
        <w:tab w:val="left" w:pos="0"/>
        <w:tab w:val="center" w:pos="4536"/>
        <w:tab w:val="right" w:pos="9072"/>
      </w:tabs>
      <w:spacing w:line="240" w:lineRule="auto"/>
      <w:jc w:val="right"/>
      <w:rPr>
        <w:color w:val="808080"/>
        <w:sz w:val="18"/>
        <w:szCs w:val="18"/>
      </w:rPr>
    </w:pPr>
    <w:r>
      <w:rPr>
        <w:noProof/>
        <w:lang w:eastAsia="en-GB"/>
      </w:rPr>
      <w:drawing>
        <wp:anchor distT="0" distB="0" distL="114300" distR="114300" simplePos="0" relativeHeight="251661312" behindDoc="0" locked="0" layoutInCell="1" allowOverlap="1" wp14:anchorId="762011F8" wp14:editId="211A3AF0">
          <wp:simplePos x="0" y="0"/>
          <wp:positionH relativeFrom="margin">
            <wp:align>center</wp:align>
          </wp:positionH>
          <wp:positionV relativeFrom="margin">
            <wp:posOffset>7708265</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r w:rsidRPr="00832D34" w:rsidR="00E308B8">
      <w:rPr>
        <w:color w:val="808080"/>
        <w:sz w:val="18"/>
        <w:szCs w:val="18"/>
      </w:rPr>
      <w:fldChar w:fldCharType="begin"/>
    </w:r>
    <w:r w:rsidRPr="00832D34" w:rsidR="00E308B8">
      <w:rPr>
        <w:color w:val="808080"/>
        <w:sz w:val="18"/>
        <w:szCs w:val="18"/>
      </w:rPr>
      <w:instrText xml:space="preserve"> FILENAME \* Upper </w:instrText>
    </w:r>
    <w:r w:rsidRPr="00832D34" w:rsidR="00E308B8">
      <w:rPr>
        <w:color w:val="808080"/>
        <w:sz w:val="18"/>
        <w:szCs w:val="18"/>
      </w:rPr>
      <w:fldChar w:fldCharType="separate"/>
    </w:r>
    <w:r w:rsidR="00E308B8">
      <w:rPr>
        <w:noProof/>
        <w:color w:val="808080"/>
        <w:sz w:val="18"/>
        <w:szCs w:val="18"/>
      </w:rPr>
      <w:t>DOCUMENT3</w:t>
    </w:r>
    <w:r w:rsidRPr="00832D34" w:rsidR="00E308B8">
      <w:rPr>
        <w:color w:val="808080"/>
        <w:sz w:val="18"/>
        <w:szCs w:val="18"/>
      </w:rPr>
      <w:fldChar w:fldCharType="end"/>
    </w:r>
    <w:r w:rsidR="00E308B8">
      <w:rPr>
        <w:snapToGrid w:val="0"/>
        <w:color w:val="808080"/>
        <w:sz w:val="18"/>
        <w:szCs w:val="18"/>
      </w:rPr>
      <w:tab/>
    </w:r>
    <w:r w:rsidR="00E308B8">
      <w:rPr>
        <w:snapToGrid w:val="0"/>
        <w:color w:val="808080"/>
        <w:sz w:val="18"/>
        <w:szCs w:val="18"/>
      </w:rPr>
      <w:tab/>
    </w:r>
    <w:r w:rsidRPr="00EF043B" w:rsidR="00E308B8">
      <w:rPr>
        <w:snapToGrid w:val="0"/>
        <w:color w:val="808080"/>
        <w:sz w:val="18"/>
        <w:szCs w:val="18"/>
      </w:rPr>
      <w:t xml:space="preserve">Page </w:t>
    </w:r>
    <w:r w:rsidRPr="00EF043B" w:rsidR="00E308B8">
      <w:rPr>
        <w:snapToGrid w:val="0"/>
        <w:color w:val="808080"/>
        <w:sz w:val="18"/>
        <w:szCs w:val="18"/>
      </w:rPr>
      <w:fldChar w:fldCharType="begin"/>
    </w:r>
    <w:r w:rsidRPr="00EF043B" w:rsidR="00E308B8">
      <w:rPr>
        <w:snapToGrid w:val="0"/>
        <w:color w:val="808080"/>
        <w:sz w:val="18"/>
        <w:szCs w:val="18"/>
      </w:rPr>
      <w:instrText xml:space="preserve"> PAGE </w:instrText>
    </w:r>
    <w:r w:rsidRPr="00EF043B" w:rsidR="00E308B8">
      <w:rPr>
        <w:snapToGrid w:val="0"/>
        <w:color w:val="808080"/>
        <w:sz w:val="18"/>
        <w:szCs w:val="18"/>
      </w:rPr>
      <w:fldChar w:fldCharType="separate"/>
    </w:r>
    <w:r>
      <w:rPr>
        <w:noProof/>
        <w:snapToGrid w:val="0"/>
        <w:color w:val="808080"/>
        <w:sz w:val="18"/>
        <w:szCs w:val="18"/>
      </w:rPr>
      <w:t>1</w:t>
    </w:r>
    <w:r w:rsidRPr="00EF043B" w:rsidR="00E308B8">
      <w:rPr>
        <w:snapToGrid w:val="0"/>
        <w:color w:val="808080"/>
        <w:sz w:val="18"/>
        <w:szCs w:val="18"/>
      </w:rPr>
      <w:fldChar w:fldCharType="end"/>
    </w:r>
    <w:r w:rsidRPr="00EF043B" w:rsidR="00E308B8">
      <w:rPr>
        <w:snapToGrid w:val="0"/>
        <w:color w:val="808080"/>
        <w:sz w:val="18"/>
        <w:szCs w:val="18"/>
      </w:rPr>
      <w:t xml:space="preserve"> of </w:t>
    </w:r>
    <w:r w:rsidRPr="00EF043B" w:rsidR="00E308B8">
      <w:rPr>
        <w:snapToGrid w:val="0"/>
        <w:color w:val="808080"/>
        <w:sz w:val="18"/>
        <w:szCs w:val="18"/>
      </w:rPr>
      <w:fldChar w:fldCharType="begin"/>
    </w:r>
    <w:r w:rsidRPr="00EF043B" w:rsidR="00E308B8">
      <w:rPr>
        <w:snapToGrid w:val="0"/>
        <w:color w:val="808080"/>
        <w:sz w:val="18"/>
        <w:szCs w:val="18"/>
      </w:rPr>
      <w:instrText xml:space="preserve"> NUMPAGES </w:instrText>
    </w:r>
    <w:r w:rsidRPr="00EF043B" w:rsidR="00E308B8">
      <w:rPr>
        <w:snapToGrid w:val="0"/>
        <w:color w:val="808080"/>
        <w:sz w:val="18"/>
        <w:szCs w:val="18"/>
      </w:rPr>
      <w:fldChar w:fldCharType="separate"/>
    </w:r>
    <w:r>
      <w:rPr>
        <w:noProof/>
        <w:snapToGrid w:val="0"/>
        <w:color w:val="808080"/>
        <w:sz w:val="18"/>
        <w:szCs w:val="18"/>
      </w:rPr>
      <w:t>2</w:t>
    </w:r>
    <w:r w:rsidRPr="00EF043B" w:rsidR="00E308B8">
      <w:rPr>
        <w:snapToGrid w:val="0"/>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3968" w:rsidRDefault="00AF3968" w14:paraId="15367BF1" w14:textId="77777777">
      <w:r>
        <w:separator/>
      </w:r>
    </w:p>
  </w:footnote>
  <w:footnote w:type="continuationSeparator" w:id="0">
    <w:p w:rsidR="00AF3968" w:rsidRDefault="00AF3968" w14:paraId="6281C5E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7697" w:rsidRDefault="00C97697" w14:paraId="16EA224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7697" w:rsidRDefault="00C97697" w14:paraId="05918AF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91045" w:rsidP="00491045" w:rsidRDefault="00491045" w14:paraId="1B913CC1" w14:textId="77777777">
    <w:pPr>
      <w:pStyle w:val="Header"/>
      <w:tabs>
        <w:tab w:val="right" w:pos="10065"/>
      </w:tabs>
      <w:spacing w:after="0"/>
      <w:ind w:right="-1039"/>
      <w:jc w:val="right"/>
      <w:rPr>
        <w:rFonts w:cs="Arial"/>
        <w:color w:val="0E0E0E"/>
      </w:rPr>
    </w:pPr>
    <w:r w:rsidRPr="005E0434">
      <w:rPr>
        <w:noProof/>
        <w:color w:val="0E0E0E"/>
        <w:lang w:eastAsia="en-GB"/>
      </w:rPr>
      <w:drawing>
        <wp:anchor distT="0" distB="0" distL="114300" distR="114300" simplePos="0" relativeHeight="251659264" behindDoc="0" locked="0" layoutInCell="1" allowOverlap="1" wp14:anchorId="334CDC48" wp14:editId="26AB789F">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Pr>
        <w:rFonts w:cs="Arial"/>
        <w:color w:val="0E0E0E"/>
      </w:rPr>
      <w:t>2</w:t>
    </w:r>
    <w:r w:rsidRPr="0003729F">
      <w:rPr>
        <w:rFonts w:cs="Arial"/>
        <w:color w:val="0E0E0E"/>
        <w:vertAlign w:val="superscript"/>
      </w:rPr>
      <w:t>nd</w:t>
    </w:r>
    <w:r>
      <w:rPr>
        <w:rFonts w:cs="Arial"/>
        <w:color w:val="0E0E0E"/>
      </w:rPr>
      <w:t xml:space="preserve"> Floor</w:t>
    </w:r>
  </w:p>
  <w:p w:rsidRPr="005E0434" w:rsidR="00491045" w:rsidP="00491045" w:rsidRDefault="00491045" w14:paraId="2DD48BCF" w14:textId="77777777">
    <w:pPr>
      <w:pStyle w:val="Header"/>
      <w:tabs>
        <w:tab w:val="right" w:pos="10065"/>
      </w:tabs>
      <w:spacing w:after="0"/>
      <w:ind w:right="-1039"/>
      <w:jc w:val="right"/>
      <w:rPr>
        <w:rFonts w:cs="Arial"/>
        <w:color w:val="0E0E0E"/>
      </w:rPr>
    </w:pPr>
    <w:r>
      <w:rPr>
        <w:rFonts w:cs="Arial"/>
        <w:color w:val="0E0E0E"/>
      </w:rPr>
      <w:t>2 Redman Place</w:t>
    </w:r>
  </w:p>
  <w:p w:rsidRPr="005E0434" w:rsidR="00491045" w:rsidP="00491045" w:rsidRDefault="00491045" w14:paraId="4E0459EB" w14:textId="77777777">
    <w:pPr>
      <w:pStyle w:val="Header"/>
      <w:tabs>
        <w:tab w:val="right" w:pos="10065"/>
      </w:tabs>
      <w:spacing w:after="0"/>
      <w:ind w:right="-1039"/>
      <w:jc w:val="right"/>
      <w:rPr>
        <w:rFonts w:cs="Arial"/>
        <w:color w:val="0E0E0E"/>
      </w:rPr>
    </w:pPr>
    <w:r w:rsidRPr="005E0434">
      <w:rPr>
        <w:rFonts w:cs="Arial"/>
        <w:color w:val="0E0E0E"/>
      </w:rPr>
      <w:softHyphen/>
      <w:t>London</w:t>
    </w:r>
  </w:p>
  <w:p w:rsidRPr="005E0434" w:rsidR="00491045" w:rsidP="00491045" w:rsidRDefault="00491045" w14:paraId="17FA5E6C" w14:textId="77777777">
    <w:pPr>
      <w:pStyle w:val="Header"/>
      <w:tabs>
        <w:tab w:val="right" w:pos="10065"/>
      </w:tabs>
      <w:spacing w:after="0"/>
      <w:ind w:right="-1039"/>
      <w:jc w:val="right"/>
      <w:rPr>
        <w:rFonts w:cs="Arial"/>
        <w:color w:val="0E0E0E"/>
      </w:rPr>
    </w:pPr>
    <w:r>
      <w:rPr>
        <w:rFonts w:cs="Arial"/>
        <w:color w:val="0E0E0E"/>
      </w:rPr>
      <w:t>E20 1JQ</w:t>
    </w:r>
  </w:p>
  <w:p w:rsidRPr="005E0434" w:rsidR="00491045" w:rsidP="00491045" w:rsidRDefault="00491045" w14:paraId="7B0504BC" w14:textId="77777777">
    <w:pPr>
      <w:pStyle w:val="Header"/>
      <w:tabs>
        <w:tab w:val="right" w:pos="10065"/>
      </w:tabs>
      <w:spacing w:after="0"/>
      <w:ind w:right="-1039"/>
      <w:jc w:val="right"/>
      <w:rPr>
        <w:rFonts w:cs="Arial"/>
        <w:color w:val="0E0E0E"/>
      </w:rPr>
    </w:pPr>
    <w:r w:rsidRPr="005E0434">
      <w:rPr>
        <w:rFonts w:cs="Arial"/>
        <w:color w:val="0E0E0E"/>
      </w:rPr>
      <w:t>United Kingdom</w:t>
    </w:r>
  </w:p>
  <w:p w:rsidRPr="005E0434" w:rsidR="00491045" w:rsidP="00491045" w:rsidRDefault="00491045" w14:paraId="0A93A6A6" w14:textId="77777777">
    <w:pPr>
      <w:pStyle w:val="Header"/>
      <w:tabs>
        <w:tab w:val="right" w:pos="10065"/>
      </w:tabs>
      <w:spacing w:after="0"/>
      <w:ind w:right="-1039"/>
      <w:jc w:val="right"/>
      <w:rPr>
        <w:rFonts w:cs="Arial"/>
        <w:color w:val="0E0E0E"/>
      </w:rPr>
    </w:pPr>
  </w:p>
  <w:p w:rsidRPr="003A3E2E" w:rsidR="00491045" w:rsidP="00491045" w:rsidRDefault="00491045" w14:paraId="5D6CD5A4" w14:textId="77777777">
    <w:pPr>
      <w:pStyle w:val="Header"/>
      <w:tabs>
        <w:tab w:val="right" w:pos="10065"/>
      </w:tabs>
      <w:spacing w:after="0"/>
      <w:ind w:right="-1039"/>
      <w:jc w:val="right"/>
      <w:rPr>
        <w:rFonts w:ascii="Lato" w:hAnsi="Lato" w:cs="Arial"/>
        <w:color w:val="0E0E0E"/>
      </w:rPr>
    </w:pPr>
    <w:r w:rsidRPr="003A3E2E">
      <w:rPr>
        <w:rFonts w:ascii="Lato" w:hAnsi="Lato" w:cs="Segoe UI"/>
        <w:color w:val="000000"/>
      </w:rPr>
      <w:t>+44 (0)300 323 0140</w:t>
    </w:r>
  </w:p>
  <w:p w:rsidRPr="00491045" w:rsidR="00E308B8" w:rsidP="00491045" w:rsidRDefault="00E308B8" w14:paraId="1C9776DF" w14:textId="21D4B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7899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FAD21376"/>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lvl>
    <w:lvl w:ilvl="2">
      <w:start w:val="1"/>
      <w:numFmt w:val="decimal"/>
      <w:pStyle w:val="Heading3"/>
      <w:lvlText w:val="%1.%2.%3."/>
      <w:legacy w:legacy="1" w:legacySpace="0" w:legacyIndent="708"/>
      <w:lvlJc w:val="left"/>
      <w:pPr>
        <w:ind w:left="2404"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3612"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hint="default" w:ascii="Symbol" w:hAnsi="Symbol"/>
      </w:rPr>
    </w:lvl>
    <w:lvl w:ilvl="7">
      <w:start w:val="1"/>
      <w:numFmt w:val="none"/>
      <w:pStyle w:val="Heading8"/>
      <w:lvlText w:val=""/>
      <w:legacy w:legacy="1" w:legacySpace="0" w:legacyIndent="708"/>
      <w:lvlJc w:val="left"/>
      <w:pPr>
        <w:ind w:left="6447" w:hanging="708"/>
      </w:pPr>
      <w:rPr>
        <w:rFonts w:hint="default" w:ascii="Symbol" w:hAnsi="Symbol"/>
      </w:rPr>
    </w:lvl>
    <w:lvl w:ilvl="8">
      <w:start w:val="1"/>
      <w:numFmt w:val="none"/>
      <w:pStyle w:val="Heading9"/>
      <w:lvlText w:val=""/>
      <w:legacy w:legacy="1" w:legacySpace="0" w:legacyIndent="708"/>
      <w:lvlJc w:val="left"/>
      <w:pPr>
        <w:ind w:left="7155" w:hanging="708"/>
      </w:pPr>
      <w:rPr>
        <w:rFonts w:hint="default" w:ascii="Symbol" w:hAnsi="Symbol"/>
      </w:rPr>
    </w:lvl>
  </w:abstractNum>
  <w:abstractNum w:abstractNumId="3" w15:restartNumberingAfterBreak="0">
    <w:nsid w:val="19DF3CAE"/>
    <w:multiLevelType w:val="hybridMultilevel"/>
    <w:tmpl w:val="32A2F77E"/>
    <w:lvl w:ilvl="0" w:tplc="A5FC299A">
      <w:start w:val="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D159CD"/>
    <w:multiLevelType w:val="hybridMultilevel"/>
    <w:tmpl w:val="343EBF1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C41087"/>
    <w:multiLevelType w:val="hybridMultilevel"/>
    <w:tmpl w:val="D2ACA6B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F4E225A"/>
    <w:multiLevelType w:val="hybridMultilevel"/>
    <w:tmpl w:val="441A1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A90BB6"/>
    <w:multiLevelType w:val="hybridMultilevel"/>
    <w:tmpl w:val="0F766B3A"/>
    <w:lvl w:ilvl="0" w:tplc="678AA1F2">
      <w:start w:val="3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246CA6"/>
    <w:multiLevelType w:val="hybridMultilevel"/>
    <w:tmpl w:val="E894F61E"/>
    <w:lvl w:ilvl="0" w:tplc="08090001">
      <w:start w:val="1"/>
      <w:numFmt w:val="bullet"/>
      <w:lvlText w:val=""/>
      <w:lvlJc w:val="left"/>
      <w:pPr>
        <w:ind w:left="1512" w:hanging="360"/>
      </w:pPr>
      <w:rPr>
        <w:rFonts w:hint="default" w:ascii="Symbol" w:hAnsi="Symbol"/>
      </w:rPr>
    </w:lvl>
    <w:lvl w:ilvl="1" w:tplc="08090003" w:tentative="1">
      <w:start w:val="1"/>
      <w:numFmt w:val="bullet"/>
      <w:lvlText w:val="o"/>
      <w:lvlJc w:val="left"/>
      <w:pPr>
        <w:ind w:left="2232" w:hanging="360"/>
      </w:pPr>
      <w:rPr>
        <w:rFonts w:hint="default" w:ascii="Courier New" w:hAnsi="Courier New" w:cs="Courier New"/>
      </w:rPr>
    </w:lvl>
    <w:lvl w:ilvl="2" w:tplc="08090005" w:tentative="1">
      <w:start w:val="1"/>
      <w:numFmt w:val="bullet"/>
      <w:lvlText w:val=""/>
      <w:lvlJc w:val="left"/>
      <w:pPr>
        <w:ind w:left="2952" w:hanging="360"/>
      </w:pPr>
      <w:rPr>
        <w:rFonts w:hint="default" w:ascii="Wingdings" w:hAnsi="Wingdings"/>
      </w:rPr>
    </w:lvl>
    <w:lvl w:ilvl="3" w:tplc="08090001" w:tentative="1">
      <w:start w:val="1"/>
      <w:numFmt w:val="bullet"/>
      <w:lvlText w:val=""/>
      <w:lvlJc w:val="left"/>
      <w:pPr>
        <w:ind w:left="3672" w:hanging="360"/>
      </w:pPr>
      <w:rPr>
        <w:rFonts w:hint="default" w:ascii="Symbol" w:hAnsi="Symbol"/>
      </w:rPr>
    </w:lvl>
    <w:lvl w:ilvl="4" w:tplc="08090003" w:tentative="1">
      <w:start w:val="1"/>
      <w:numFmt w:val="bullet"/>
      <w:lvlText w:val="o"/>
      <w:lvlJc w:val="left"/>
      <w:pPr>
        <w:ind w:left="4392" w:hanging="360"/>
      </w:pPr>
      <w:rPr>
        <w:rFonts w:hint="default" w:ascii="Courier New" w:hAnsi="Courier New" w:cs="Courier New"/>
      </w:rPr>
    </w:lvl>
    <w:lvl w:ilvl="5" w:tplc="08090005" w:tentative="1">
      <w:start w:val="1"/>
      <w:numFmt w:val="bullet"/>
      <w:lvlText w:val=""/>
      <w:lvlJc w:val="left"/>
      <w:pPr>
        <w:ind w:left="5112" w:hanging="360"/>
      </w:pPr>
      <w:rPr>
        <w:rFonts w:hint="default" w:ascii="Wingdings" w:hAnsi="Wingdings"/>
      </w:rPr>
    </w:lvl>
    <w:lvl w:ilvl="6" w:tplc="08090001" w:tentative="1">
      <w:start w:val="1"/>
      <w:numFmt w:val="bullet"/>
      <w:lvlText w:val=""/>
      <w:lvlJc w:val="left"/>
      <w:pPr>
        <w:ind w:left="5832" w:hanging="360"/>
      </w:pPr>
      <w:rPr>
        <w:rFonts w:hint="default" w:ascii="Symbol" w:hAnsi="Symbol"/>
      </w:rPr>
    </w:lvl>
    <w:lvl w:ilvl="7" w:tplc="08090003" w:tentative="1">
      <w:start w:val="1"/>
      <w:numFmt w:val="bullet"/>
      <w:lvlText w:val="o"/>
      <w:lvlJc w:val="left"/>
      <w:pPr>
        <w:ind w:left="6552" w:hanging="360"/>
      </w:pPr>
      <w:rPr>
        <w:rFonts w:hint="default" w:ascii="Courier New" w:hAnsi="Courier New" w:cs="Courier New"/>
      </w:rPr>
    </w:lvl>
    <w:lvl w:ilvl="8" w:tplc="08090005" w:tentative="1">
      <w:start w:val="1"/>
      <w:numFmt w:val="bullet"/>
      <w:lvlText w:val=""/>
      <w:lvlJc w:val="left"/>
      <w:pPr>
        <w:ind w:left="7272" w:hanging="360"/>
      </w:pPr>
      <w:rPr>
        <w:rFonts w:hint="default" w:ascii="Wingdings" w:hAnsi="Wingdings"/>
      </w:rPr>
    </w:lvl>
  </w:abstractNum>
  <w:abstractNum w:abstractNumId="12" w15:restartNumberingAfterBreak="0">
    <w:nsid w:val="3BAE5383"/>
    <w:multiLevelType w:val="hybridMultilevel"/>
    <w:tmpl w:val="20C23D0E"/>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C8632C"/>
    <w:multiLevelType w:val="hybridMultilevel"/>
    <w:tmpl w:val="26E460D6"/>
    <w:lvl w:ilvl="0" w:tplc="A5FC299A">
      <w:start w:val="2"/>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3D037D2"/>
    <w:multiLevelType w:val="hybridMultilevel"/>
    <w:tmpl w:val="5C8A9156"/>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90189A"/>
    <w:multiLevelType w:val="hybridMultilevel"/>
    <w:tmpl w:val="E2E64854"/>
    <w:lvl w:ilvl="0" w:tplc="510A83D8">
      <w:numFmt w:val="bullet"/>
      <w:lvlText w:val=""/>
      <w:lvlJc w:val="left"/>
      <w:pPr>
        <w:ind w:left="502" w:hanging="285"/>
      </w:pPr>
      <w:rPr>
        <w:rFonts w:hint="default" w:ascii="Symbol" w:hAnsi="Symbol" w:eastAsia="Symbol" w:cs="Symbol"/>
        <w:w w:val="100"/>
        <w:sz w:val="24"/>
        <w:szCs w:val="24"/>
      </w:rPr>
    </w:lvl>
    <w:lvl w:ilvl="1" w:tplc="70E68858">
      <w:numFmt w:val="bullet"/>
      <w:lvlText w:val="•"/>
      <w:lvlJc w:val="left"/>
      <w:pPr>
        <w:ind w:left="1326" w:hanging="285"/>
      </w:pPr>
      <w:rPr>
        <w:rFonts w:hint="default"/>
      </w:rPr>
    </w:lvl>
    <w:lvl w:ilvl="2" w:tplc="14A8D234">
      <w:numFmt w:val="bullet"/>
      <w:lvlText w:val="•"/>
      <w:lvlJc w:val="left"/>
      <w:pPr>
        <w:ind w:left="2152" w:hanging="285"/>
      </w:pPr>
      <w:rPr>
        <w:rFonts w:hint="default"/>
      </w:rPr>
    </w:lvl>
    <w:lvl w:ilvl="3" w:tplc="D340D50A">
      <w:numFmt w:val="bullet"/>
      <w:lvlText w:val="•"/>
      <w:lvlJc w:val="left"/>
      <w:pPr>
        <w:ind w:left="2978" w:hanging="285"/>
      </w:pPr>
      <w:rPr>
        <w:rFonts w:hint="default"/>
      </w:rPr>
    </w:lvl>
    <w:lvl w:ilvl="4" w:tplc="91BE99B2">
      <w:numFmt w:val="bullet"/>
      <w:lvlText w:val="•"/>
      <w:lvlJc w:val="left"/>
      <w:pPr>
        <w:ind w:left="3804" w:hanging="285"/>
      </w:pPr>
      <w:rPr>
        <w:rFonts w:hint="default"/>
      </w:rPr>
    </w:lvl>
    <w:lvl w:ilvl="5" w:tplc="E594F0CC">
      <w:numFmt w:val="bullet"/>
      <w:lvlText w:val="•"/>
      <w:lvlJc w:val="left"/>
      <w:pPr>
        <w:ind w:left="4630" w:hanging="285"/>
      </w:pPr>
      <w:rPr>
        <w:rFonts w:hint="default"/>
      </w:rPr>
    </w:lvl>
    <w:lvl w:ilvl="6" w:tplc="7AFA5F86">
      <w:numFmt w:val="bullet"/>
      <w:lvlText w:val="•"/>
      <w:lvlJc w:val="left"/>
      <w:pPr>
        <w:ind w:left="5456" w:hanging="285"/>
      </w:pPr>
      <w:rPr>
        <w:rFonts w:hint="default"/>
      </w:rPr>
    </w:lvl>
    <w:lvl w:ilvl="7" w:tplc="2C2CF4D6">
      <w:numFmt w:val="bullet"/>
      <w:lvlText w:val="•"/>
      <w:lvlJc w:val="left"/>
      <w:pPr>
        <w:ind w:left="6282" w:hanging="285"/>
      </w:pPr>
      <w:rPr>
        <w:rFonts w:hint="default"/>
      </w:rPr>
    </w:lvl>
    <w:lvl w:ilvl="8" w:tplc="75FCA95C">
      <w:numFmt w:val="bullet"/>
      <w:lvlText w:val="•"/>
      <w:lvlJc w:val="left"/>
      <w:pPr>
        <w:ind w:left="7108" w:hanging="285"/>
      </w:pPr>
      <w:rPr>
        <w:rFonts w:hint="default"/>
      </w:rPr>
    </w:lvl>
  </w:abstractNum>
  <w:abstractNum w:abstractNumId="16" w15:restartNumberingAfterBreak="0">
    <w:nsid w:val="4633557D"/>
    <w:multiLevelType w:val="hybridMultilevel"/>
    <w:tmpl w:val="DCDC7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1A545E2"/>
    <w:multiLevelType w:val="hybridMultilevel"/>
    <w:tmpl w:val="9028B44C"/>
    <w:lvl w:ilvl="0" w:tplc="A6907310">
      <w:start w:val="1"/>
      <w:numFmt w:val="lowerRoman"/>
      <w:lvlText w:val="(%1)"/>
      <w:lvlJc w:val="left"/>
      <w:pPr>
        <w:ind w:left="1110" w:hanging="72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0" w15:restartNumberingAfterBreak="0">
    <w:nsid w:val="6614533C"/>
    <w:multiLevelType w:val="hybridMultilevel"/>
    <w:tmpl w:val="C8E8253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5055A4"/>
    <w:multiLevelType w:val="hybridMultilevel"/>
    <w:tmpl w:val="96104B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3"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440061">
    <w:abstractNumId w:val="2"/>
  </w:num>
  <w:num w:numId="2" w16cid:durableId="1940479412">
    <w:abstractNumId w:val="5"/>
  </w:num>
  <w:num w:numId="3" w16cid:durableId="735858711">
    <w:abstractNumId w:val="18"/>
  </w:num>
  <w:num w:numId="4" w16cid:durableId="791437817">
    <w:abstractNumId w:val="18"/>
  </w:num>
  <w:num w:numId="5" w16cid:durableId="589656231">
    <w:abstractNumId w:val="19"/>
  </w:num>
  <w:num w:numId="6" w16cid:durableId="1033071542">
    <w:abstractNumId w:val="0"/>
  </w:num>
  <w:num w:numId="7" w16cid:durableId="692002320">
    <w:abstractNumId w:val="18"/>
  </w:num>
  <w:num w:numId="8" w16cid:durableId="893390988">
    <w:abstractNumId w:val="18"/>
  </w:num>
  <w:num w:numId="9" w16cid:durableId="1036344506">
    <w:abstractNumId w:val="18"/>
  </w:num>
  <w:num w:numId="10" w16cid:durableId="1081758715">
    <w:abstractNumId w:val="13"/>
  </w:num>
  <w:num w:numId="11" w16cid:durableId="1324700156">
    <w:abstractNumId w:val="3"/>
  </w:num>
  <w:num w:numId="12" w16cid:durableId="297996532">
    <w:abstractNumId w:val="12"/>
  </w:num>
  <w:num w:numId="13" w16cid:durableId="1315715874">
    <w:abstractNumId w:val="14"/>
  </w:num>
  <w:num w:numId="14" w16cid:durableId="1234002226">
    <w:abstractNumId w:val="17"/>
  </w:num>
  <w:num w:numId="15" w16cid:durableId="682052213">
    <w:abstractNumId w:val="10"/>
  </w:num>
  <w:num w:numId="16" w16cid:durableId="1741825062">
    <w:abstractNumId w:val="16"/>
  </w:num>
  <w:num w:numId="17" w16cid:durableId="1644236023">
    <w:abstractNumId w:val="22"/>
  </w:num>
  <w:num w:numId="18" w16cid:durableId="530655038">
    <w:abstractNumId w:val="4"/>
  </w:num>
  <w:num w:numId="19" w16cid:durableId="2126733805">
    <w:abstractNumId w:val="20"/>
  </w:num>
  <w:num w:numId="20" w16cid:durableId="621762274">
    <w:abstractNumId w:val="11"/>
  </w:num>
  <w:num w:numId="21" w16cid:durableId="170607788">
    <w:abstractNumId w:val="6"/>
  </w:num>
  <w:num w:numId="22" w16cid:durableId="460727966">
    <w:abstractNumId w:val="23"/>
  </w:num>
  <w:num w:numId="23" w16cid:durableId="2105420001">
    <w:abstractNumId w:val="1"/>
  </w:num>
  <w:num w:numId="24" w16cid:durableId="2048407580">
    <w:abstractNumId w:val="15"/>
  </w:num>
  <w:num w:numId="25" w16cid:durableId="1798986414">
    <w:abstractNumId w:val="8"/>
  </w:num>
  <w:num w:numId="26" w16cid:durableId="1415205502">
    <w:abstractNumId w:val="21"/>
  </w:num>
  <w:num w:numId="27" w16cid:durableId="368603691">
    <w:abstractNumId w:val="7"/>
  </w:num>
  <w:num w:numId="28" w16cid:durableId="217009139">
    <w:abstractNumId w:val="18"/>
  </w:num>
  <w:num w:numId="29" w16cid:durableId="1991011021">
    <w:abstractNumId w:val="18"/>
  </w:num>
  <w:num w:numId="30" w16cid:durableId="840006877">
    <w:abstractNumId w:val="9"/>
  </w:num>
  <w:num w:numId="31" w16cid:durableId="324751170">
    <w:abstractNumId w:val="18"/>
  </w:num>
  <w:num w:numId="32" w16cid:durableId="1909340188">
    <w:abstractNumId w:val="18"/>
  </w:num>
  <w:num w:numId="33" w16cid:durableId="334496126">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00"/>
    <w:rsid w:val="00001138"/>
    <w:rsid w:val="00003026"/>
    <w:rsid w:val="00010318"/>
    <w:rsid w:val="000111DB"/>
    <w:rsid w:val="0001311E"/>
    <w:rsid w:val="0002043D"/>
    <w:rsid w:val="000218C9"/>
    <w:rsid w:val="000223BD"/>
    <w:rsid w:val="00024DA5"/>
    <w:rsid w:val="00025D77"/>
    <w:rsid w:val="000329FE"/>
    <w:rsid w:val="0004302C"/>
    <w:rsid w:val="00047383"/>
    <w:rsid w:val="00052894"/>
    <w:rsid w:val="000532DA"/>
    <w:rsid w:val="00056CD2"/>
    <w:rsid w:val="0006785D"/>
    <w:rsid w:val="0007095A"/>
    <w:rsid w:val="000709E5"/>
    <w:rsid w:val="0007561D"/>
    <w:rsid w:val="00075EC5"/>
    <w:rsid w:val="00080FCA"/>
    <w:rsid w:val="00082FAB"/>
    <w:rsid w:val="00083604"/>
    <w:rsid w:val="00084270"/>
    <w:rsid w:val="00084FD0"/>
    <w:rsid w:val="000853F6"/>
    <w:rsid w:val="00085837"/>
    <w:rsid w:val="00087222"/>
    <w:rsid w:val="000878D5"/>
    <w:rsid w:val="000928C5"/>
    <w:rsid w:val="00096EBF"/>
    <w:rsid w:val="000977EB"/>
    <w:rsid w:val="000A490C"/>
    <w:rsid w:val="000A4DFC"/>
    <w:rsid w:val="000B1D36"/>
    <w:rsid w:val="000B3C21"/>
    <w:rsid w:val="000B5760"/>
    <w:rsid w:val="000B73F9"/>
    <w:rsid w:val="000D1E58"/>
    <w:rsid w:val="000D271C"/>
    <w:rsid w:val="000E020F"/>
    <w:rsid w:val="000E16D3"/>
    <w:rsid w:val="000E40C4"/>
    <w:rsid w:val="000F014D"/>
    <w:rsid w:val="000F3523"/>
    <w:rsid w:val="000F6BB5"/>
    <w:rsid w:val="00102F59"/>
    <w:rsid w:val="00106505"/>
    <w:rsid w:val="00107520"/>
    <w:rsid w:val="00111749"/>
    <w:rsid w:val="00116523"/>
    <w:rsid w:val="00120071"/>
    <w:rsid w:val="00120FFA"/>
    <w:rsid w:val="001232BE"/>
    <w:rsid w:val="00123922"/>
    <w:rsid w:val="00123B83"/>
    <w:rsid w:val="00131602"/>
    <w:rsid w:val="001319CF"/>
    <w:rsid w:val="00132DDC"/>
    <w:rsid w:val="00136C94"/>
    <w:rsid w:val="00145246"/>
    <w:rsid w:val="001465BD"/>
    <w:rsid w:val="0014692A"/>
    <w:rsid w:val="001470EF"/>
    <w:rsid w:val="00150421"/>
    <w:rsid w:val="00151269"/>
    <w:rsid w:val="00155C6A"/>
    <w:rsid w:val="00156C49"/>
    <w:rsid w:val="00160A2A"/>
    <w:rsid w:val="00163C9B"/>
    <w:rsid w:val="00170F86"/>
    <w:rsid w:val="001760DF"/>
    <w:rsid w:val="0017732F"/>
    <w:rsid w:val="00182BDA"/>
    <w:rsid w:val="00184EE2"/>
    <w:rsid w:val="00190698"/>
    <w:rsid w:val="00190763"/>
    <w:rsid w:val="001908C4"/>
    <w:rsid w:val="001945C8"/>
    <w:rsid w:val="00194EE4"/>
    <w:rsid w:val="001969C2"/>
    <w:rsid w:val="001A0143"/>
    <w:rsid w:val="001A18CA"/>
    <w:rsid w:val="001B0102"/>
    <w:rsid w:val="001B0C02"/>
    <w:rsid w:val="001B23C6"/>
    <w:rsid w:val="001B71EA"/>
    <w:rsid w:val="001C655B"/>
    <w:rsid w:val="001D26C0"/>
    <w:rsid w:val="001D736F"/>
    <w:rsid w:val="001E0293"/>
    <w:rsid w:val="001E615E"/>
    <w:rsid w:val="001F15B2"/>
    <w:rsid w:val="001F15C2"/>
    <w:rsid w:val="001F1CF7"/>
    <w:rsid w:val="001F2364"/>
    <w:rsid w:val="001F4B8B"/>
    <w:rsid w:val="001F649E"/>
    <w:rsid w:val="001F6DCA"/>
    <w:rsid w:val="001F7A9F"/>
    <w:rsid w:val="00200442"/>
    <w:rsid w:val="0020398C"/>
    <w:rsid w:val="00203EE8"/>
    <w:rsid w:val="00205000"/>
    <w:rsid w:val="002064F0"/>
    <w:rsid w:val="00206A41"/>
    <w:rsid w:val="00211AE9"/>
    <w:rsid w:val="00211FE0"/>
    <w:rsid w:val="002129C1"/>
    <w:rsid w:val="00217D5F"/>
    <w:rsid w:val="00220DE8"/>
    <w:rsid w:val="002216BB"/>
    <w:rsid w:val="00223EBE"/>
    <w:rsid w:val="00232FF4"/>
    <w:rsid w:val="0023747F"/>
    <w:rsid w:val="00237C6C"/>
    <w:rsid w:val="0024377B"/>
    <w:rsid w:val="0025046D"/>
    <w:rsid w:val="00254235"/>
    <w:rsid w:val="00254708"/>
    <w:rsid w:val="00255C8A"/>
    <w:rsid w:val="00256BF4"/>
    <w:rsid w:val="00262058"/>
    <w:rsid w:val="00271E0A"/>
    <w:rsid w:val="00274609"/>
    <w:rsid w:val="00275528"/>
    <w:rsid w:val="00283C5A"/>
    <w:rsid w:val="00283D6E"/>
    <w:rsid w:val="00284917"/>
    <w:rsid w:val="00284CBA"/>
    <w:rsid w:val="0028620E"/>
    <w:rsid w:val="00294EB1"/>
    <w:rsid w:val="002A254E"/>
    <w:rsid w:val="002A4E90"/>
    <w:rsid w:val="002B21D4"/>
    <w:rsid w:val="002C14B2"/>
    <w:rsid w:val="002C3E42"/>
    <w:rsid w:val="002C4202"/>
    <w:rsid w:val="002C5356"/>
    <w:rsid w:val="002D2F52"/>
    <w:rsid w:val="002D412A"/>
    <w:rsid w:val="002D4715"/>
    <w:rsid w:val="002E4D13"/>
    <w:rsid w:val="002E6A1E"/>
    <w:rsid w:val="002E7FE1"/>
    <w:rsid w:val="002F25FC"/>
    <w:rsid w:val="002F374D"/>
    <w:rsid w:val="002F6526"/>
    <w:rsid w:val="003027BC"/>
    <w:rsid w:val="00310279"/>
    <w:rsid w:val="00314589"/>
    <w:rsid w:val="00316D28"/>
    <w:rsid w:val="00317646"/>
    <w:rsid w:val="00321A60"/>
    <w:rsid w:val="00323185"/>
    <w:rsid w:val="00326AFE"/>
    <w:rsid w:val="00326E72"/>
    <w:rsid w:val="003308CE"/>
    <w:rsid w:val="00332149"/>
    <w:rsid w:val="00332C05"/>
    <w:rsid w:val="0033740C"/>
    <w:rsid w:val="00343CE3"/>
    <w:rsid w:val="00345918"/>
    <w:rsid w:val="003478F6"/>
    <w:rsid w:val="00351496"/>
    <w:rsid w:val="003627D7"/>
    <w:rsid w:val="0036323C"/>
    <w:rsid w:val="00371C6B"/>
    <w:rsid w:val="00381E46"/>
    <w:rsid w:val="00382D01"/>
    <w:rsid w:val="00383DDC"/>
    <w:rsid w:val="0038454F"/>
    <w:rsid w:val="00393619"/>
    <w:rsid w:val="00395196"/>
    <w:rsid w:val="0039570A"/>
    <w:rsid w:val="00396B85"/>
    <w:rsid w:val="003A74FD"/>
    <w:rsid w:val="003A78CC"/>
    <w:rsid w:val="003A7A38"/>
    <w:rsid w:val="003B056B"/>
    <w:rsid w:val="003B0952"/>
    <w:rsid w:val="003B29ED"/>
    <w:rsid w:val="003B5308"/>
    <w:rsid w:val="003C4D96"/>
    <w:rsid w:val="003C5792"/>
    <w:rsid w:val="003C7489"/>
    <w:rsid w:val="003D1A18"/>
    <w:rsid w:val="003D2B50"/>
    <w:rsid w:val="003D3448"/>
    <w:rsid w:val="003E09ED"/>
    <w:rsid w:val="003E2CBA"/>
    <w:rsid w:val="003E5293"/>
    <w:rsid w:val="003E64E4"/>
    <w:rsid w:val="003E67E7"/>
    <w:rsid w:val="003F0380"/>
    <w:rsid w:val="0040061D"/>
    <w:rsid w:val="00406D54"/>
    <w:rsid w:val="00413F89"/>
    <w:rsid w:val="00414D6F"/>
    <w:rsid w:val="00417F57"/>
    <w:rsid w:val="00424E76"/>
    <w:rsid w:val="004309B6"/>
    <w:rsid w:val="00431B23"/>
    <w:rsid w:val="00434670"/>
    <w:rsid w:val="00436264"/>
    <w:rsid w:val="00444494"/>
    <w:rsid w:val="004445BE"/>
    <w:rsid w:val="00453E92"/>
    <w:rsid w:val="0045574A"/>
    <w:rsid w:val="00456D3B"/>
    <w:rsid w:val="00465F46"/>
    <w:rsid w:val="004768DE"/>
    <w:rsid w:val="00476A37"/>
    <w:rsid w:val="00481D88"/>
    <w:rsid w:val="00491045"/>
    <w:rsid w:val="00491E3A"/>
    <w:rsid w:val="0049446F"/>
    <w:rsid w:val="0049578D"/>
    <w:rsid w:val="004A65E4"/>
    <w:rsid w:val="004A76D5"/>
    <w:rsid w:val="004B3E6C"/>
    <w:rsid w:val="004C4AED"/>
    <w:rsid w:val="004D0511"/>
    <w:rsid w:val="004D1394"/>
    <w:rsid w:val="004D24D5"/>
    <w:rsid w:val="004D284F"/>
    <w:rsid w:val="004D2CE5"/>
    <w:rsid w:val="004D3D80"/>
    <w:rsid w:val="004D44D5"/>
    <w:rsid w:val="004D4E54"/>
    <w:rsid w:val="004D5E08"/>
    <w:rsid w:val="004D6F91"/>
    <w:rsid w:val="004D7840"/>
    <w:rsid w:val="004E5E43"/>
    <w:rsid w:val="004E7937"/>
    <w:rsid w:val="004F1061"/>
    <w:rsid w:val="004F44BE"/>
    <w:rsid w:val="004F531C"/>
    <w:rsid w:val="00500AEB"/>
    <w:rsid w:val="0051022D"/>
    <w:rsid w:val="00510BE0"/>
    <w:rsid w:val="00512A63"/>
    <w:rsid w:val="00513648"/>
    <w:rsid w:val="00515176"/>
    <w:rsid w:val="005203AB"/>
    <w:rsid w:val="00526F8A"/>
    <w:rsid w:val="005302B1"/>
    <w:rsid w:val="005308AC"/>
    <w:rsid w:val="005310C8"/>
    <w:rsid w:val="00532E15"/>
    <w:rsid w:val="00533F44"/>
    <w:rsid w:val="00534486"/>
    <w:rsid w:val="00535B05"/>
    <w:rsid w:val="00535B14"/>
    <w:rsid w:val="0054085B"/>
    <w:rsid w:val="005467C7"/>
    <w:rsid w:val="0055476A"/>
    <w:rsid w:val="00554B22"/>
    <w:rsid w:val="00556358"/>
    <w:rsid w:val="00562D4E"/>
    <w:rsid w:val="00562E65"/>
    <w:rsid w:val="005631ED"/>
    <w:rsid w:val="005632AA"/>
    <w:rsid w:val="0056409C"/>
    <w:rsid w:val="005641A8"/>
    <w:rsid w:val="00564E8F"/>
    <w:rsid w:val="00570E77"/>
    <w:rsid w:val="00573C72"/>
    <w:rsid w:val="00574C95"/>
    <w:rsid w:val="00574FB3"/>
    <w:rsid w:val="00581C7E"/>
    <w:rsid w:val="00582449"/>
    <w:rsid w:val="00582FC4"/>
    <w:rsid w:val="00583F62"/>
    <w:rsid w:val="00584E26"/>
    <w:rsid w:val="00587762"/>
    <w:rsid w:val="00597A7F"/>
    <w:rsid w:val="005A0B8C"/>
    <w:rsid w:val="005B066D"/>
    <w:rsid w:val="005B0EA5"/>
    <w:rsid w:val="005B2FEC"/>
    <w:rsid w:val="005B7585"/>
    <w:rsid w:val="005B775D"/>
    <w:rsid w:val="005C4A8E"/>
    <w:rsid w:val="005D1FAC"/>
    <w:rsid w:val="005D2833"/>
    <w:rsid w:val="005E0186"/>
    <w:rsid w:val="005E20D0"/>
    <w:rsid w:val="005E339C"/>
    <w:rsid w:val="005E70E7"/>
    <w:rsid w:val="005E7923"/>
    <w:rsid w:val="005E7DAF"/>
    <w:rsid w:val="005F6045"/>
    <w:rsid w:val="005F75A8"/>
    <w:rsid w:val="005F7C6F"/>
    <w:rsid w:val="0060170A"/>
    <w:rsid w:val="0060349F"/>
    <w:rsid w:val="006053B6"/>
    <w:rsid w:val="00605766"/>
    <w:rsid w:val="00612C2C"/>
    <w:rsid w:val="00620070"/>
    <w:rsid w:val="00621C42"/>
    <w:rsid w:val="00623213"/>
    <w:rsid w:val="006273E6"/>
    <w:rsid w:val="00627B61"/>
    <w:rsid w:val="00627E80"/>
    <w:rsid w:val="0063072C"/>
    <w:rsid w:val="00631165"/>
    <w:rsid w:val="006339CA"/>
    <w:rsid w:val="006347AD"/>
    <w:rsid w:val="006347EE"/>
    <w:rsid w:val="0063542C"/>
    <w:rsid w:val="006404AD"/>
    <w:rsid w:val="00641577"/>
    <w:rsid w:val="00642D59"/>
    <w:rsid w:val="00643777"/>
    <w:rsid w:val="00654046"/>
    <w:rsid w:val="006574D6"/>
    <w:rsid w:val="00664690"/>
    <w:rsid w:val="00664C74"/>
    <w:rsid w:val="00666041"/>
    <w:rsid w:val="00671AC5"/>
    <w:rsid w:val="00671DEA"/>
    <w:rsid w:val="0067289D"/>
    <w:rsid w:val="00683436"/>
    <w:rsid w:val="00683585"/>
    <w:rsid w:val="006845FA"/>
    <w:rsid w:val="006863D5"/>
    <w:rsid w:val="006869AE"/>
    <w:rsid w:val="006941C5"/>
    <w:rsid w:val="00694D09"/>
    <w:rsid w:val="00697B78"/>
    <w:rsid w:val="006A7179"/>
    <w:rsid w:val="006B04FF"/>
    <w:rsid w:val="006B1F0D"/>
    <w:rsid w:val="006B5A98"/>
    <w:rsid w:val="006B66E3"/>
    <w:rsid w:val="006B6C22"/>
    <w:rsid w:val="006C2992"/>
    <w:rsid w:val="006C3215"/>
    <w:rsid w:val="006C4724"/>
    <w:rsid w:val="006C5225"/>
    <w:rsid w:val="006C7DD0"/>
    <w:rsid w:val="006D0BE6"/>
    <w:rsid w:val="006D2130"/>
    <w:rsid w:val="006D2A19"/>
    <w:rsid w:val="006D3EE0"/>
    <w:rsid w:val="006D5A72"/>
    <w:rsid w:val="006D629B"/>
    <w:rsid w:val="006E1BA8"/>
    <w:rsid w:val="006E5424"/>
    <w:rsid w:val="006E5BFE"/>
    <w:rsid w:val="006E73D2"/>
    <w:rsid w:val="006F031B"/>
    <w:rsid w:val="006F0B11"/>
    <w:rsid w:val="006F417A"/>
    <w:rsid w:val="006F4507"/>
    <w:rsid w:val="006F57FC"/>
    <w:rsid w:val="006F64A0"/>
    <w:rsid w:val="007016D8"/>
    <w:rsid w:val="00704DBF"/>
    <w:rsid w:val="007050BA"/>
    <w:rsid w:val="00717A94"/>
    <w:rsid w:val="007232A5"/>
    <w:rsid w:val="0072474B"/>
    <w:rsid w:val="00726B3B"/>
    <w:rsid w:val="00726F5A"/>
    <w:rsid w:val="00730789"/>
    <w:rsid w:val="00732580"/>
    <w:rsid w:val="00732B6F"/>
    <w:rsid w:val="00732C0C"/>
    <w:rsid w:val="007353F9"/>
    <w:rsid w:val="007405AA"/>
    <w:rsid w:val="00743499"/>
    <w:rsid w:val="00750A27"/>
    <w:rsid w:val="00750BB6"/>
    <w:rsid w:val="0075253A"/>
    <w:rsid w:val="00754E19"/>
    <w:rsid w:val="00755AA9"/>
    <w:rsid w:val="00763715"/>
    <w:rsid w:val="007778CF"/>
    <w:rsid w:val="00777DAC"/>
    <w:rsid w:val="00780FBA"/>
    <w:rsid w:val="0078157F"/>
    <w:rsid w:val="007822FB"/>
    <w:rsid w:val="007833CB"/>
    <w:rsid w:val="00784CF9"/>
    <w:rsid w:val="007A0E5C"/>
    <w:rsid w:val="007A1D39"/>
    <w:rsid w:val="007A7F07"/>
    <w:rsid w:val="007B275D"/>
    <w:rsid w:val="007B303B"/>
    <w:rsid w:val="007B3B1C"/>
    <w:rsid w:val="007B5AA3"/>
    <w:rsid w:val="007C0D4C"/>
    <w:rsid w:val="007C57A8"/>
    <w:rsid w:val="007D2528"/>
    <w:rsid w:val="007D53E2"/>
    <w:rsid w:val="007D7791"/>
    <w:rsid w:val="007D7C74"/>
    <w:rsid w:val="007E32CB"/>
    <w:rsid w:val="007E48AD"/>
    <w:rsid w:val="007E4EDC"/>
    <w:rsid w:val="007E7499"/>
    <w:rsid w:val="007F1C02"/>
    <w:rsid w:val="007F2E45"/>
    <w:rsid w:val="007F31DE"/>
    <w:rsid w:val="007F4051"/>
    <w:rsid w:val="007F426B"/>
    <w:rsid w:val="007F4A9D"/>
    <w:rsid w:val="008033ED"/>
    <w:rsid w:val="008077F7"/>
    <w:rsid w:val="00810794"/>
    <w:rsid w:val="00811421"/>
    <w:rsid w:val="008116A7"/>
    <w:rsid w:val="00812477"/>
    <w:rsid w:val="00813221"/>
    <w:rsid w:val="00814189"/>
    <w:rsid w:val="00814DEB"/>
    <w:rsid w:val="00815A94"/>
    <w:rsid w:val="008161FC"/>
    <w:rsid w:val="008208A7"/>
    <w:rsid w:val="00824CB2"/>
    <w:rsid w:val="008268F9"/>
    <w:rsid w:val="008273FA"/>
    <w:rsid w:val="00832D34"/>
    <w:rsid w:val="008330F5"/>
    <w:rsid w:val="008333D8"/>
    <w:rsid w:val="008349BD"/>
    <w:rsid w:val="00836768"/>
    <w:rsid w:val="00836849"/>
    <w:rsid w:val="00841DE5"/>
    <w:rsid w:val="00842D0D"/>
    <w:rsid w:val="00844BE5"/>
    <w:rsid w:val="0084519D"/>
    <w:rsid w:val="00855278"/>
    <w:rsid w:val="008576D4"/>
    <w:rsid w:val="00861527"/>
    <w:rsid w:val="00862B47"/>
    <w:rsid w:val="00862C1A"/>
    <w:rsid w:val="008630DF"/>
    <w:rsid w:val="008651F9"/>
    <w:rsid w:val="008669F8"/>
    <w:rsid w:val="00870284"/>
    <w:rsid w:val="0087462B"/>
    <w:rsid w:val="008763B3"/>
    <w:rsid w:val="008765DE"/>
    <w:rsid w:val="008847CD"/>
    <w:rsid w:val="00891B24"/>
    <w:rsid w:val="008A302A"/>
    <w:rsid w:val="008A3EEE"/>
    <w:rsid w:val="008A51D9"/>
    <w:rsid w:val="008A708E"/>
    <w:rsid w:val="008A77E3"/>
    <w:rsid w:val="008B17F4"/>
    <w:rsid w:val="008B29A5"/>
    <w:rsid w:val="008B2A88"/>
    <w:rsid w:val="008B3C53"/>
    <w:rsid w:val="008B3D16"/>
    <w:rsid w:val="008C114C"/>
    <w:rsid w:val="008C27DA"/>
    <w:rsid w:val="008C522A"/>
    <w:rsid w:val="008D3115"/>
    <w:rsid w:val="008D6691"/>
    <w:rsid w:val="008D799D"/>
    <w:rsid w:val="008E0DF1"/>
    <w:rsid w:val="008E3142"/>
    <w:rsid w:val="008E5DA7"/>
    <w:rsid w:val="008E6AF9"/>
    <w:rsid w:val="008E722E"/>
    <w:rsid w:val="008F2130"/>
    <w:rsid w:val="008F4CCF"/>
    <w:rsid w:val="00900450"/>
    <w:rsid w:val="00903256"/>
    <w:rsid w:val="0090619B"/>
    <w:rsid w:val="00906CBF"/>
    <w:rsid w:val="00910D48"/>
    <w:rsid w:val="009110D1"/>
    <w:rsid w:val="00913200"/>
    <w:rsid w:val="00915F8D"/>
    <w:rsid w:val="00917ADE"/>
    <w:rsid w:val="00917DBD"/>
    <w:rsid w:val="009230E2"/>
    <w:rsid w:val="00930029"/>
    <w:rsid w:val="00930425"/>
    <w:rsid w:val="0093112A"/>
    <w:rsid w:val="009324E9"/>
    <w:rsid w:val="00933199"/>
    <w:rsid w:val="00936354"/>
    <w:rsid w:val="009376A0"/>
    <w:rsid w:val="00940811"/>
    <w:rsid w:val="00942F13"/>
    <w:rsid w:val="009437A9"/>
    <w:rsid w:val="0094600E"/>
    <w:rsid w:val="00951D67"/>
    <w:rsid w:val="00965082"/>
    <w:rsid w:val="00973C62"/>
    <w:rsid w:val="009742BF"/>
    <w:rsid w:val="00976F99"/>
    <w:rsid w:val="0098532A"/>
    <w:rsid w:val="00986A5A"/>
    <w:rsid w:val="00990C9A"/>
    <w:rsid w:val="00993784"/>
    <w:rsid w:val="00993EDE"/>
    <w:rsid w:val="009949CD"/>
    <w:rsid w:val="009955EE"/>
    <w:rsid w:val="00995ABD"/>
    <w:rsid w:val="00996EAC"/>
    <w:rsid w:val="009971A0"/>
    <w:rsid w:val="009A1A7D"/>
    <w:rsid w:val="009A23B7"/>
    <w:rsid w:val="009A7C87"/>
    <w:rsid w:val="009B2917"/>
    <w:rsid w:val="009B299F"/>
    <w:rsid w:val="009C2A6F"/>
    <w:rsid w:val="009C40F0"/>
    <w:rsid w:val="009D1532"/>
    <w:rsid w:val="009D4D95"/>
    <w:rsid w:val="009E1606"/>
    <w:rsid w:val="009E1E8C"/>
    <w:rsid w:val="009E22E6"/>
    <w:rsid w:val="009E28B2"/>
    <w:rsid w:val="009E314A"/>
    <w:rsid w:val="009E63ED"/>
    <w:rsid w:val="009E67A1"/>
    <w:rsid w:val="009E7DFB"/>
    <w:rsid w:val="009F0F43"/>
    <w:rsid w:val="00A03ABC"/>
    <w:rsid w:val="00A0770B"/>
    <w:rsid w:val="00A078BF"/>
    <w:rsid w:val="00A201EF"/>
    <w:rsid w:val="00A215F6"/>
    <w:rsid w:val="00A23060"/>
    <w:rsid w:val="00A236B3"/>
    <w:rsid w:val="00A25FCD"/>
    <w:rsid w:val="00A34D95"/>
    <w:rsid w:val="00A35519"/>
    <w:rsid w:val="00A361B2"/>
    <w:rsid w:val="00A40E7A"/>
    <w:rsid w:val="00A42AAB"/>
    <w:rsid w:val="00A43E73"/>
    <w:rsid w:val="00A44626"/>
    <w:rsid w:val="00A460E2"/>
    <w:rsid w:val="00A46840"/>
    <w:rsid w:val="00A47EFE"/>
    <w:rsid w:val="00A50D8E"/>
    <w:rsid w:val="00A52E7E"/>
    <w:rsid w:val="00A5794D"/>
    <w:rsid w:val="00A618B0"/>
    <w:rsid w:val="00A71685"/>
    <w:rsid w:val="00A74DFC"/>
    <w:rsid w:val="00A750E9"/>
    <w:rsid w:val="00A760B9"/>
    <w:rsid w:val="00A80603"/>
    <w:rsid w:val="00A87143"/>
    <w:rsid w:val="00A879C0"/>
    <w:rsid w:val="00A87CC1"/>
    <w:rsid w:val="00A95771"/>
    <w:rsid w:val="00A96044"/>
    <w:rsid w:val="00A9793D"/>
    <w:rsid w:val="00AA07E3"/>
    <w:rsid w:val="00AA0FC2"/>
    <w:rsid w:val="00AA12CA"/>
    <w:rsid w:val="00AA2694"/>
    <w:rsid w:val="00AB16DA"/>
    <w:rsid w:val="00AB36CF"/>
    <w:rsid w:val="00AC320B"/>
    <w:rsid w:val="00AC3CAE"/>
    <w:rsid w:val="00AC61E2"/>
    <w:rsid w:val="00AC67D3"/>
    <w:rsid w:val="00AC6A97"/>
    <w:rsid w:val="00AD1760"/>
    <w:rsid w:val="00AD210E"/>
    <w:rsid w:val="00AD7649"/>
    <w:rsid w:val="00AD7ADD"/>
    <w:rsid w:val="00AE090B"/>
    <w:rsid w:val="00AE0C2D"/>
    <w:rsid w:val="00AE3388"/>
    <w:rsid w:val="00AE51B1"/>
    <w:rsid w:val="00AF1A26"/>
    <w:rsid w:val="00AF26DD"/>
    <w:rsid w:val="00AF2C0F"/>
    <w:rsid w:val="00AF35E5"/>
    <w:rsid w:val="00AF3968"/>
    <w:rsid w:val="00AF4D25"/>
    <w:rsid w:val="00B01601"/>
    <w:rsid w:val="00B0180D"/>
    <w:rsid w:val="00B11119"/>
    <w:rsid w:val="00B15DE3"/>
    <w:rsid w:val="00B2538A"/>
    <w:rsid w:val="00B32249"/>
    <w:rsid w:val="00B36320"/>
    <w:rsid w:val="00B37654"/>
    <w:rsid w:val="00B40DA1"/>
    <w:rsid w:val="00B46004"/>
    <w:rsid w:val="00B4629A"/>
    <w:rsid w:val="00B60AF4"/>
    <w:rsid w:val="00B62757"/>
    <w:rsid w:val="00B62869"/>
    <w:rsid w:val="00B65B79"/>
    <w:rsid w:val="00B67A28"/>
    <w:rsid w:val="00B7076F"/>
    <w:rsid w:val="00B71887"/>
    <w:rsid w:val="00B7333D"/>
    <w:rsid w:val="00B817B1"/>
    <w:rsid w:val="00B81EA3"/>
    <w:rsid w:val="00B86BDD"/>
    <w:rsid w:val="00B86C44"/>
    <w:rsid w:val="00B86D18"/>
    <w:rsid w:val="00B90347"/>
    <w:rsid w:val="00B91B1E"/>
    <w:rsid w:val="00B925D2"/>
    <w:rsid w:val="00B94A47"/>
    <w:rsid w:val="00B97C79"/>
    <w:rsid w:val="00BA0CC8"/>
    <w:rsid w:val="00BA170C"/>
    <w:rsid w:val="00BA1E44"/>
    <w:rsid w:val="00BA3214"/>
    <w:rsid w:val="00BA41B5"/>
    <w:rsid w:val="00BA498D"/>
    <w:rsid w:val="00BA74CA"/>
    <w:rsid w:val="00BB43EC"/>
    <w:rsid w:val="00BB67B2"/>
    <w:rsid w:val="00BC1B80"/>
    <w:rsid w:val="00BC2CBC"/>
    <w:rsid w:val="00BC3B5C"/>
    <w:rsid w:val="00BC53D9"/>
    <w:rsid w:val="00BC6861"/>
    <w:rsid w:val="00BD05D1"/>
    <w:rsid w:val="00BD0B0E"/>
    <w:rsid w:val="00BD2637"/>
    <w:rsid w:val="00BD2C9A"/>
    <w:rsid w:val="00BD4BF4"/>
    <w:rsid w:val="00BD54FF"/>
    <w:rsid w:val="00BD5A2B"/>
    <w:rsid w:val="00BE2210"/>
    <w:rsid w:val="00BE323B"/>
    <w:rsid w:val="00BE3A86"/>
    <w:rsid w:val="00BE3D27"/>
    <w:rsid w:val="00BE3F08"/>
    <w:rsid w:val="00BF15F6"/>
    <w:rsid w:val="00BF4FF8"/>
    <w:rsid w:val="00BF5EBB"/>
    <w:rsid w:val="00BF6B5B"/>
    <w:rsid w:val="00BF6BA1"/>
    <w:rsid w:val="00C00668"/>
    <w:rsid w:val="00C020FA"/>
    <w:rsid w:val="00C03935"/>
    <w:rsid w:val="00C11255"/>
    <w:rsid w:val="00C2049A"/>
    <w:rsid w:val="00C204DE"/>
    <w:rsid w:val="00C214C1"/>
    <w:rsid w:val="00C26381"/>
    <w:rsid w:val="00C32256"/>
    <w:rsid w:val="00C34C6E"/>
    <w:rsid w:val="00C37918"/>
    <w:rsid w:val="00C406E6"/>
    <w:rsid w:val="00C46B59"/>
    <w:rsid w:val="00C47D95"/>
    <w:rsid w:val="00C5006F"/>
    <w:rsid w:val="00C511EF"/>
    <w:rsid w:val="00C53573"/>
    <w:rsid w:val="00C54ED3"/>
    <w:rsid w:val="00C60B7F"/>
    <w:rsid w:val="00C610C3"/>
    <w:rsid w:val="00C638BF"/>
    <w:rsid w:val="00C70019"/>
    <w:rsid w:val="00C74328"/>
    <w:rsid w:val="00C743C2"/>
    <w:rsid w:val="00C74693"/>
    <w:rsid w:val="00C74C78"/>
    <w:rsid w:val="00C821E5"/>
    <w:rsid w:val="00C9104F"/>
    <w:rsid w:val="00C92F2A"/>
    <w:rsid w:val="00C9408E"/>
    <w:rsid w:val="00C97697"/>
    <w:rsid w:val="00CA270F"/>
    <w:rsid w:val="00CA554E"/>
    <w:rsid w:val="00CB4BB7"/>
    <w:rsid w:val="00CB4C80"/>
    <w:rsid w:val="00CB7FD7"/>
    <w:rsid w:val="00CC2B62"/>
    <w:rsid w:val="00CC4BC2"/>
    <w:rsid w:val="00CC5A2C"/>
    <w:rsid w:val="00CD0242"/>
    <w:rsid w:val="00CD1D19"/>
    <w:rsid w:val="00CD2F35"/>
    <w:rsid w:val="00CD6C88"/>
    <w:rsid w:val="00CE450F"/>
    <w:rsid w:val="00CF1FD6"/>
    <w:rsid w:val="00CF2EA0"/>
    <w:rsid w:val="00CF2FAD"/>
    <w:rsid w:val="00CF4345"/>
    <w:rsid w:val="00CF6F1B"/>
    <w:rsid w:val="00D131CC"/>
    <w:rsid w:val="00D13C31"/>
    <w:rsid w:val="00D1448F"/>
    <w:rsid w:val="00D159BE"/>
    <w:rsid w:val="00D22D12"/>
    <w:rsid w:val="00D235CC"/>
    <w:rsid w:val="00D2633B"/>
    <w:rsid w:val="00D325D1"/>
    <w:rsid w:val="00D32D4E"/>
    <w:rsid w:val="00D336E0"/>
    <w:rsid w:val="00D50626"/>
    <w:rsid w:val="00D60DCA"/>
    <w:rsid w:val="00D622DA"/>
    <w:rsid w:val="00D70D75"/>
    <w:rsid w:val="00D7181B"/>
    <w:rsid w:val="00D72C12"/>
    <w:rsid w:val="00D7465E"/>
    <w:rsid w:val="00D751F7"/>
    <w:rsid w:val="00D759C6"/>
    <w:rsid w:val="00D800C5"/>
    <w:rsid w:val="00D81B09"/>
    <w:rsid w:val="00D83321"/>
    <w:rsid w:val="00D83A27"/>
    <w:rsid w:val="00D84024"/>
    <w:rsid w:val="00D95A0F"/>
    <w:rsid w:val="00DA35E1"/>
    <w:rsid w:val="00DA623F"/>
    <w:rsid w:val="00DC0168"/>
    <w:rsid w:val="00DC03BB"/>
    <w:rsid w:val="00DC3C9A"/>
    <w:rsid w:val="00DC669A"/>
    <w:rsid w:val="00DD5E1F"/>
    <w:rsid w:val="00DD73C1"/>
    <w:rsid w:val="00DD7697"/>
    <w:rsid w:val="00DE1FEB"/>
    <w:rsid w:val="00DE4223"/>
    <w:rsid w:val="00DE52A4"/>
    <w:rsid w:val="00DF654A"/>
    <w:rsid w:val="00DF782D"/>
    <w:rsid w:val="00DF79CC"/>
    <w:rsid w:val="00E10345"/>
    <w:rsid w:val="00E10819"/>
    <w:rsid w:val="00E10C0E"/>
    <w:rsid w:val="00E11762"/>
    <w:rsid w:val="00E140BF"/>
    <w:rsid w:val="00E15CAE"/>
    <w:rsid w:val="00E16BC6"/>
    <w:rsid w:val="00E1774B"/>
    <w:rsid w:val="00E20DF8"/>
    <w:rsid w:val="00E27656"/>
    <w:rsid w:val="00E308B8"/>
    <w:rsid w:val="00E4124D"/>
    <w:rsid w:val="00E41FEC"/>
    <w:rsid w:val="00E44353"/>
    <w:rsid w:val="00E45413"/>
    <w:rsid w:val="00E52A48"/>
    <w:rsid w:val="00E613A5"/>
    <w:rsid w:val="00E63295"/>
    <w:rsid w:val="00E64324"/>
    <w:rsid w:val="00E66927"/>
    <w:rsid w:val="00E671C3"/>
    <w:rsid w:val="00E7097B"/>
    <w:rsid w:val="00E71E47"/>
    <w:rsid w:val="00E7553E"/>
    <w:rsid w:val="00E76DAD"/>
    <w:rsid w:val="00E76ECF"/>
    <w:rsid w:val="00E80CA5"/>
    <w:rsid w:val="00E83B14"/>
    <w:rsid w:val="00E855E3"/>
    <w:rsid w:val="00E8776B"/>
    <w:rsid w:val="00E877ED"/>
    <w:rsid w:val="00E87F1E"/>
    <w:rsid w:val="00E91831"/>
    <w:rsid w:val="00E93CB4"/>
    <w:rsid w:val="00EA155E"/>
    <w:rsid w:val="00EA1D7B"/>
    <w:rsid w:val="00EA440D"/>
    <w:rsid w:val="00EA725B"/>
    <w:rsid w:val="00EB4615"/>
    <w:rsid w:val="00EB7F04"/>
    <w:rsid w:val="00EC1824"/>
    <w:rsid w:val="00EC2D3C"/>
    <w:rsid w:val="00EC73B3"/>
    <w:rsid w:val="00ED0C09"/>
    <w:rsid w:val="00ED66BC"/>
    <w:rsid w:val="00EE03EE"/>
    <w:rsid w:val="00EE42AF"/>
    <w:rsid w:val="00EE5403"/>
    <w:rsid w:val="00EE5D52"/>
    <w:rsid w:val="00EE7C41"/>
    <w:rsid w:val="00EF043B"/>
    <w:rsid w:val="00EF237E"/>
    <w:rsid w:val="00EF23DF"/>
    <w:rsid w:val="00EF2575"/>
    <w:rsid w:val="00F0780D"/>
    <w:rsid w:val="00F15759"/>
    <w:rsid w:val="00F16D65"/>
    <w:rsid w:val="00F17B83"/>
    <w:rsid w:val="00F20790"/>
    <w:rsid w:val="00F2351B"/>
    <w:rsid w:val="00F32B29"/>
    <w:rsid w:val="00F41597"/>
    <w:rsid w:val="00F4296D"/>
    <w:rsid w:val="00F46396"/>
    <w:rsid w:val="00F53B8A"/>
    <w:rsid w:val="00F53FDC"/>
    <w:rsid w:val="00F55118"/>
    <w:rsid w:val="00F551AD"/>
    <w:rsid w:val="00F56E8C"/>
    <w:rsid w:val="00F61308"/>
    <w:rsid w:val="00F61547"/>
    <w:rsid w:val="00F619F6"/>
    <w:rsid w:val="00F625A9"/>
    <w:rsid w:val="00F673F0"/>
    <w:rsid w:val="00F7163B"/>
    <w:rsid w:val="00F721F0"/>
    <w:rsid w:val="00F7476C"/>
    <w:rsid w:val="00F76D5B"/>
    <w:rsid w:val="00F83300"/>
    <w:rsid w:val="00F868B9"/>
    <w:rsid w:val="00F8796D"/>
    <w:rsid w:val="00F912B1"/>
    <w:rsid w:val="00F91942"/>
    <w:rsid w:val="00F93B0E"/>
    <w:rsid w:val="00F93BEE"/>
    <w:rsid w:val="00F948D4"/>
    <w:rsid w:val="00F94A49"/>
    <w:rsid w:val="00F97147"/>
    <w:rsid w:val="00FA0AF2"/>
    <w:rsid w:val="00FA6626"/>
    <w:rsid w:val="00FB033D"/>
    <w:rsid w:val="00FB0DAB"/>
    <w:rsid w:val="00FB3AE9"/>
    <w:rsid w:val="00FB79C9"/>
    <w:rsid w:val="00FC0076"/>
    <w:rsid w:val="00FC1156"/>
    <w:rsid w:val="00FC342C"/>
    <w:rsid w:val="00FD13E3"/>
    <w:rsid w:val="00FD5516"/>
    <w:rsid w:val="00FD6D44"/>
    <w:rsid w:val="00FD72D9"/>
    <w:rsid w:val="00FD7366"/>
    <w:rsid w:val="00FE7C65"/>
    <w:rsid w:val="00FF2267"/>
    <w:rsid w:val="00FF4009"/>
    <w:rsid w:val="00FF49EB"/>
    <w:rsid w:val="05A47D9D"/>
    <w:rsid w:val="136D1929"/>
    <w:rsid w:val="141E6F97"/>
    <w:rsid w:val="151D95F0"/>
    <w:rsid w:val="1C193CFC"/>
    <w:rsid w:val="1CCD48B9"/>
    <w:rsid w:val="20661CC0"/>
    <w:rsid w:val="20D08DAF"/>
    <w:rsid w:val="2826B0A3"/>
    <w:rsid w:val="2EAF0679"/>
    <w:rsid w:val="367091F8"/>
    <w:rsid w:val="3F5FD5DC"/>
    <w:rsid w:val="4498B363"/>
    <w:rsid w:val="4580B8A8"/>
    <w:rsid w:val="55C81048"/>
    <w:rsid w:val="5E1BD246"/>
    <w:rsid w:val="6177108F"/>
    <w:rsid w:val="64C21F56"/>
    <w:rsid w:val="687EC82E"/>
    <w:rsid w:val="70F7AFA9"/>
    <w:rsid w:val="7113FC1C"/>
    <w:rsid w:val="7A11ED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8AB"/>
  <w15:docId w15:val="{E7F9BA90-7B93-4FE7-B30A-79F1684E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F1C02"/>
    <w:pPr>
      <w:spacing w:after="200" w:line="288" w:lineRule="auto"/>
    </w:pPr>
    <w:rPr>
      <w:rFonts w:ascii="Arial" w:hAnsi="Arial"/>
      <w:color w:val="333333"/>
      <w:lang w:eastAsia="en-US"/>
    </w:rPr>
  </w:style>
  <w:style w:type="paragraph" w:styleId="Heading1">
    <w:name w:val="heading 1"/>
    <w:basedOn w:val="Normal"/>
    <w:next w:val="Body1"/>
    <w:qFormat/>
    <w:rsid w:val="00C11255"/>
    <w:pPr>
      <w:numPr>
        <w:numId w:val="1"/>
      </w:numPr>
      <w:outlineLvl w:val="0"/>
    </w:pPr>
  </w:style>
  <w:style w:type="paragraph" w:styleId="Heading2">
    <w:name w:val="heading 2"/>
    <w:basedOn w:val="Normal"/>
    <w:next w:val="Body2"/>
    <w:qFormat/>
    <w:rsid w:val="00C11255"/>
    <w:pPr>
      <w:numPr>
        <w:ilvl w:val="1"/>
        <w:numId w:val="1"/>
      </w:numPr>
      <w:outlineLvl w:val="1"/>
    </w:pPr>
  </w:style>
  <w:style w:type="paragraph" w:styleId="Heading3">
    <w:name w:val="heading 3"/>
    <w:basedOn w:val="Normal"/>
    <w:next w:val="Body3"/>
    <w:qFormat/>
    <w:rsid w:val="005C4A8E"/>
    <w:pPr>
      <w:numPr>
        <w:ilvl w:val="2"/>
        <w:numId w:val="1"/>
      </w:numPr>
      <w:ind w:hanging="964"/>
      <w:outlineLvl w:val="2"/>
    </w:pPr>
  </w:style>
  <w:style w:type="paragraph" w:styleId="Heading4">
    <w:name w:val="heading 4"/>
    <w:basedOn w:val="Normal"/>
    <w:next w:val="Body4"/>
    <w:qFormat/>
    <w:rsid w:val="005C4A8E"/>
    <w:pPr>
      <w:numPr>
        <w:ilvl w:val="3"/>
        <w:numId w:val="1"/>
      </w:numPr>
      <w:ind w:left="3623" w:hanging="1219"/>
      <w:outlineLvl w:val="3"/>
    </w:pPr>
  </w:style>
  <w:style w:type="paragraph" w:styleId="Heading5">
    <w:name w:val="heading 5"/>
    <w:basedOn w:val="Normal"/>
    <w:next w:val="Body5"/>
    <w:qFormat/>
    <w:rsid w:val="00C11255"/>
    <w:pPr>
      <w:numPr>
        <w:ilvl w:val="4"/>
        <w:numId w:val="1"/>
      </w:numPr>
      <w:outlineLvl w:val="4"/>
    </w:pPr>
  </w:style>
  <w:style w:type="paragraph" w:styleId="Heading6">
    <w:name w:val="heading 6"/>
    <w:basedOn w:val="Normal"/>
    <w:next w:val="Body6"/>
    <w:qFormat/>
    <w:rsid w:val="00C11255"/>
    <w:pPr>
      <w:numPr>
        <w:ilvl w:val="5"/>
        <w:numId w:val="1"/>
      </w:numPr>
      <w:outlineLvl w:val="5"/>
    </w:pPr>
  </w:style>
  <w:style w:type="paragraph" w:styleId="Heading7">
    <w:name w:val="heading 7"/>
    <w:basedOn w:val="Normal"/>
    <w:next w:val="Body7"/>
    <w:qFormat/>
    <w:rsid w:val="00C11255"/>
    <w:pPr>
      <w:numPr>
        <w:ilvl w:val="6"/>
        <w:numId w:val="1"/>
      </w:numPr>
      <w:outlineLvl w:val="6"/>
    </w:pPr>
  </w:style>
  <w:style w:type="paragraph" w:styleId="Heading8">
    <w:name w:val="heading 8"/>
    <w:basedOn w:val="Normal"/>
    <w:next w:val="Body8"/>
    <w:qFormat/>
    <w:rsid w:val="00C11255"/>
    <w:pPr>
      <w:numPr>
        <w:ilvl w:val="7"/>
        <w:numId w:val="1"/>
      </w:numPr>
      <w:outlineLvl w:val="7"/>
    </w:pPr>
  </w:style>
  <w:style w:type="paragraph" w:styleId="Heading9">
    <w:name w:val="heading 9"/>
    <w:basedOn w:val="Normal"/>
    <w:next w:val="Body9"/>
    <w:qFormat/>
    <w:rsid w:val="00C11255"/>
    <w:pPr>
      <w:numPr>
        <w:ilvl w:val="8"/>
        <w:numId w:val="1"/>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C11255"/>
    <w:pPr>
      <w:tabs>
        <w:tab w:val="center" w:pos="4153"/>
        <w:tab w:val="right" w:pos="8306"/>
      </w:tabs>
    </w:pPr>
  </w:style>
  <w:style w:type="paragraph" w:styleId="Footer">
    <w:name w:val="footer"/>
    <w:basedOn w:val="Normal"/>
    <w:rsid w:val="00C11255"/>
    <w:pPr>
      <w:tabs>
        <w:tab w:val="center" w:pos="4153"/>
        <w:tab w:val="right" w:pos="8306"/>
      </w:tabs>
    </w:pPr>
  </w:style>
  <w:style w:type="character" w:styleId="PageNumber">
    <w:name w:val="page number"/>
    <w:basedOn w:val="DefaultParagraphFont"/>
    <w:rsid w:val="00C11255"/>
    <w:rPr>
      <w:rFonts w:ascii="Arial" w:hAnsi="Arial"/>
      <w:sz w:val="18"/>
    </w:rPr>
  </w:style>
  <w:style w:type="paragraph" w:styleId="Body1" w:customStyle="1">
    <w:name w:val="Body1"/>
    <w:basedOn w:val="Normal"/>
    <w:rsid w:val="00C11255"/>
    <w:pPr>
      <w:ind w:left="720"/>
    </w:pPr>
  </w:style>
  <w:style w:type="paragraph" w:styleId="Body2" w:customStyle="1">
    <w:name w:val="Body2"/>
    <w:basedOn w:val="Normal"/>
    <w:rsid w:val="00C11255"/>
    <w:pPr>
      <w:ind w:left="1440"/>
    </w:pPr>
  </w:style>
  <w:style w:type="paragraph" w:styleId="Body3" w:customStyle="1">
    <w:name w:val="Body3"/>
    <w:basedOn w:val="Normal"/>
    <w:rsid w:val="00C11255"/>
    <w:pPr>
      <w:ind w:left="2404"/>
    </w:pPr>
  </w:style>
  <w:style w:type="paragraph" w:styleId="Body4" w:customStyle="1">
    <w:name w:val="Body4"/>
    <w:basedOn w:val="Normal"/>
    <w:rsid w:val="00C11255"/>
    <w:pPr>
      <w:ind w:left="3617"/>
    </w:pPr>
  </w:style>
  <w:style w:type="paragraph" w:styleId="Body5" w:customStyle="1">
    <w:name w:val="Body5"/>
    <w:basedOn w:val="Normal"/>
    <w:rsid w:val="00C11255"/>
    <w:pPr>
      <w:ind w:left="4349"/>
    </w:pPr>
  </w:style>
  <w:style w:type="paragraph" w:styleId="BodyTextIndent">
    <w:name w:val="Body Text Indent"/>
    <w:basedOn w:val="Normal"/>
    <w:rsid w:val="00C11255"/>
    <w:pPr>
      <w:ind w:left="709"/>
    </w:pPr>
  </w:style>
  <w:style w:type="paragraph" w:styleId="Body6" w:customStyle="1">
    <w:name w:val="Body6"/>
    <w:basedOn w:val="Normal"/>
    <w:rsid w:val="00C11255"/>
    <w:pPr>
      <w:ind w:left="5058"/>
    </w:pPr>
  </w:style>
  <w:style w:type="paragraph" w:styleId="Body7" w:customStyle="1">
    <w:name w:val="Body7"/>
    <w:basedOn w:val="Normal"/>
    <w:rsid w:val="00C11255"/>
    <w:pPr>
      <w:ind w:left="5761"/>
    </w:pPr>
  </w:style>
  <w:style w:type="paragraph" w:styleId="Body8" w:customStyle="1">
    <w:name w:val="Body8"/>
    <w:basedOn w:val="Normal"/>
    <w:rsid w:val="00C11255"/>
    <w:pPr>
      <w:ind w:left="6447"/>
    </w:pPr>
  </w:style>
  <w:style w:type="paragraph" w:styleId="Body9" w:customStyle="1">
    <w:name w:val="Body9"/>
    <w:basedOn w:val="Normal"/>
    <w:rsid w:val="00C11255"/>
    <w:pPr>
      <w:ind w:left="7156"/>
    </w:pPr>
  </w:style>
  <w:style w:type="paragraph" w:styleId="ListBullet">
    <w:name w:val="List Bullet"/>
    <w:basedOn w:val="Normal"/>
    <w:rsid w:val="00C11255"/>
    <w:pPr>
      <w:ind w:left="709" w:hanging="709"/>
    </w:pPr>
  </w:style>
  <w:style w:type="paragraph" w:styleId="ListBullet2">
    <w:name w:val="List Bullet 2"/>
    <w:basedOn w:val="Normal"/>
    <w:rsid w:val="00C11255"/>
    <w:pPr>
      <w:ind w:left="993" w:hanging="709"/>
    </w:pPr>
  </w:style>
  <w:style w:type="paragraph" w:styleId="ListBullet3">
    <w:name w:val="List Bullet 3"/>
    <w:basedOn w:val="Normal"/>
    <w:rsid w:val="00C11255"/>
    <w:pPr>
      <w:ind w:left="1276" w:hanging="709"/>
    </w:pPr>
  </w:style>
  <w:style w:type="paragraph" w:styleId="ListBullet4">
    <w:name w:val="List Bullet 4"/>
    <w:basedOn w:val="Normal"/>
    <w:rsid w:val="00C11255"/>
    <w:pPr>
      <w:ind w:left="1560" w:hanging="709"/>
    </w:pPr>
  </w:style>
  <w:style w:type="paragraph" w:styleId="ListBullet5">
    <w:name w:val="List Bullet 5"/>
    <w:basedOn w:val="Normal"/>
    <w:rsid w:val="00C11255"/>
    <w:pPr>
      <w:ind w:left="1843" w:hanging="709"/>
    </w:pPr>
  </w:style>
  <w:style w:type="paragraph" w:styleId="ListContinue">
    <w:name w:val="List Continue"/>
    <w:basedOn w:val="Normal"/>
    <w:rsid w:val="00C11255"/>
    <w:pPr>
      <w:ind w:left="709"/>
    </w:pPr>
  </w:style>
  <w:style w:type="paragraph" w:styleId="ListContinue2">
    <w:name w:val="List Continue 2"/>
    <w:basedOn w:val="Normal"/>
    <w:rsid w:val="00C11255"/>
    <w:pPr>
      <w:ind w:left="567"/>
    </w:pPr>
  </w:style>
  <w:style w:type="paragraph" w:styleId="ListNumber">
    <w:name w:val="List Number"/>
    <w:basedOn w:val="Normal"/>
    <w:rsid w:val="00C11255"/>
    <w:pPr>
      <w:ind w:left="709" w:hanging="709"/>
    </w:pPr>
  </w:style>
  <w:style w:type="paragraph" w:styleId="ListNumber2">
    <w:name w:val="List Number 2"/>
    <w:basedOn w:val="Normal"/>
    <w:rsid w:val="00C11255"/>
    <w:pPr>
      <w:ind w:left="993" w:hanging="709"/>
    </w:pPr>
  </w:style>
  <w:style w:type="paragraph" w:styleId="ListNumber3">
    <w:name w:val="List Number 3"/>
    <w:basedOn w:val="Normal"/>
    <w:rsid w:val="00C11255"/>
    <w:pPr>
      <w:ind w:left="1276" w:hanging="709"/>
    </w:pPr>
  </w:style>
  <w:style w:type="paragraph" w:styleId="ListNumber4">
    <w:name w:val="List Number 4"/>
    <w:basedOn w:val="Normal"/>
    <w:rsid w:val="00C11255"/>
    <w:pPr>
      <w:ind w:left="1560" w:hanging="709"/>
    </w:pPr>
  </w:style>
  <w:style w:type="paragraph" w:styleId="ListNumber5">
    <w:name w:val="List Number 5"/>
    <w:basedOn w:val="Normal"/>
    <w:rsid w:val="00C11255"/>
    <w:pPr>
      <w:ind w:left="1843" w:hanging="709"/>
    </w:pPr>
  </w:style>
  <w:style w:type="paragraph" w:styleId="BodyText">
    <w:name w:val="Body Text"/>
    <w:basedOn w:val="Normal"/>
    <w:rsid w:val="00C11255"/>
  </w:style>
  <w:style w:type="paragraph" w:styleId="DocSpace" w:customStyle="1">
    <w:name w:val="DocSpace"/>
    <w:basedOn w:val="Normal"/>
    <w:rsid w:val="00C11255"/>
  </w:style>
  <w:style w:type="paragraph" w:styleId="SchTitle" w:customStyle="1">
    <w:name w:val="Sch Title"/>
    <w:next w:val="Normal"/>
    <w:rsid w:val="00C11255"/>
    <w:pPr>
      <w:keepNext/>
      <w:spacing w:before="240" w:after="60"/>
      <w:jc w:val="center"/>
    </w:pPr>
    <w:rPr>
      <w:rFonts w:ascii="Arial" w:hAnsi="Arial"/>
      <w:b/>
      <w:noProof/>
      <w:lang w:eastAsia="en-US"/>
    </w:rPr>
  </w:style>
  <w:style w:type="paragraph" w:styleId="SchedClauses" w:customStyle="1">
    <w:name w:val="Sched Clauses"/>
    <w:basedOn w:val="Normal"/>
    <w:rsid w:val="00C11255"/>
  </w:style>
  <w:style w:type="paragraph" w:styleId="STBody" w:customStyle="1">
    <w:name w:val="STBody"/>
    <w:basedOn w:val="Normal"/>
    <w:rsid w:val="00C11255"/>
    <w:pPr>
      <w:keepNext/>
      <w:jc w:val="center"/>
    </w:pPr>
  </w:style>
  <w:style w:type="character" w:styleId="Hyperlink">
    <w:name w:val="Hyperlink"/>
    <w:basedOn w:val="DefaultParagraphFont"/>
    <w:uiPriority w:val="99"/>
    <w:rsid w:val="00C11255"/>
    <w:rPr>
      <w:color w:val="0000FF"/>
      <w:u w:val="single"/>
    </w:rPr>
  </w:style>
  <w:style w:type="paragraph" w:styleId="SingleSpace" w:customStyle="1">
    <w:name w:val="SingleSpace"/>
    <w:rsid w:val="007F1C02"/>
    <w:pPr>
      <w:tabs>
        <w:tab w:val="left" w:pos="993"/>
      </w:tabs>
    </w:pPr>
    <w:rPr>
      <w:rFonts w:ascii="Arial" w:hAnsi="Arial"/>
      <w:lang w:eastAsia="en-US"/>
    </w:rPr>
  </w:style>
  <w:style w:type="paragraph" w:styleId="BalloonText">
    <w:name w:val="Balloon Text"/>
    <w:basedOn w:val="Normal"/>
    <w:semiHidden/>
    <w:rsid w:val="00697B78"/>
    <w:rPr>
      <w:rFonts w:ascii="Tahoma" w:hAnsi="Tahoma" w:cs="Tahoma"/>
      <w:sz w:val="16"/>
      <w:szCs w:val="16"/>
    </w:rPr>
  </w:style>
  <w:style w:type="paragraph" w:styleId="ListParagraph">
    <w:name w:val="List Paragraph"/>
    <w:basedOn w:val="Normal"/>
    <w:uiPriority w:val="1"/>
    <w:qFormat/>
    <w:rsid w:val="004A76D5"/>
    <w:pPr>
      <w:spacing w:after="0"/>
      <w:ind w:left="720"/>
      <w:contextualSpacing/>
    </w:pPr>
    <w:rPr>
      <w:color w:val="auto"/>
    </w:rPr>
  </w:style>
  <w:style w:type="paragraph" w:styleId="NormalWeb">
    <w:name w:val="Normal (Web)"/>
    <w:basedOn w:val="Normal"/>
    <w:uiPriority w:val="99"/>
    <w:unhideWhenUsed/>
    <w:rsid w:val="004A76D5"/>
    <w:pPr>
      <w:spacing w:before="240" w:after="480" w:line="240" w:lineRule="auto"/>
    </w:pPr>
    <w:rPr>
      <w:rFonts w:ascii="Times New Roman" w:hAnsi="Times New Roman"/>
      <w:color w:val="auto"/>
      <w:sz w:val="24"/>
      <w:szCs w:val="24"/>
      <w:lang w:eastAsia="en-GB"/>
    </w:rPr>
  </w:style>
  <w:style w:type="character" w:styleId="Strong">
    <w:name w:val="Strong"/>
    <w:basedOn w:val="DefaultParagraphFont"/>
    <w:uiPriority w:val="1"/>
    <w:qFormat/>
    <w:rsid w:val="0020398C"/>
    <w:rPr>
      <w:b/>
      <w:bCs/>
    </w:rPr>
  </w:style>
  <w:style w:type="character" w:styleId="FollowedHyperlink">
    <w:name w:val="FollowedHyperlink"/>
    <w:basedOn w:val="DefaultParagraphFont"/>
    <w:semiHidden/>
    <w:unhideWhenUsed/>
    <w:rsid w:val="0020398C"/>
    <w:rPr>
      <w:color w:val="800080" w:themeColor="followedHyperlink"/>
      <w:u w:val="single"/>
    </w:rPr>
  </w:style>
  <w:style w:type="paragraph" w:styleId="Default" w:customStyle="1">
    <w:name w:val="Default"/>
    <w:rsid w:val="005E70E7"/>
    <w:pPr>
      <w:autoSpaceDE w:val="0"/>
      <w:autoSpaceDN w:val="0"/>
      <w:adjustRightInd w:val="0"/>
    </w:pPr>
    <w:rPr>
      <w:rFonts w:ascii="Arial" w:hAnsi="Arial" w:cs="Arial"/>
      <w:color w:val="000000"/>
      <w:sz w:val="24"/>
      <w:szCs w:val="24"/>
    </w:rPr>
  </w:style>
  <w:style w:type="paragraph" w:styleId="Paragraph" w:customStyle="1">
    <w:name w:val="Paragraph"/>
    <w:basedOn w:val="Normal"/>
    <w:uiPriority w:val="4"/>
    <w:qFormat/>
    <w:rsid w:val="000223BD"/>
    <w:pPr>
      <w:numPr>
        <w:numId w:val="4"/>
      </w:numPr>
      <w:spacing w:before="240" w:after="240" w:line="276" w:lineRule="auto"/>
    </w:pPr>
    <w:rPr>
      <w:color w:val="auto"/>
      <w:sz w:val="24"/>
      <w:szCs w:val="24"/>
      <w:lang w:eastAsia="en-GB"/>
    </w:rPr>
  </w:style>
  <w:style w:type="paragraph" w:styleId="Revision">
    <w:name w:val="Revision"/>
    <w:hidden/>
    <w:uiPriority w:val="99"/>
    <w:semiHidden/>
    <w:rsid w:val="000329FE"/>
    <w:rPr>
      <w:rFonts w:ascii="Arial" w:hAnsi="Arial"/>
      <w:color w:val="333333"/>
      <w:lang w:eastAsia="en-US"/>
    </w:rPr>
  </w:style>
  <w:style w:type="character" w:styleId="CommentReference">
    <w:name w:val="annotation reference"/>
    <w:basedOn w:val="DefaultParagraphFont"/>
    <w:semiHidden/>
    <w:unhideWhenUsed/>
    <w:rsid w:val="000329FE"/>
    <w:rPr>
      <w:sz w:val="16"/>
      <w:szCs w:val="16"/>
    </w:rPr>
  </w:style>
  <w:style w:type="paragraph" w:styleId="CommentText">
    <w:name w:val="annotation text"/>
    <w:basedOn w:val="Normal"/>
    <w:link w:val="CommentTextChar"/>
    <w:unhideWhenUsed/>
    <w:rsid w:val="000329FE"/>
    <w:pPr>
      <w:spacing w:line="240" w:lineRule="auto"/>
    </w:pPr>
  </w:style>
  <w:style w:type="character" w:styleId="CommentTextChar" w:customStyle="1">
    <w:name w:val="Comment Text Char"/>
    <w:basedOn w:val="DefaultParagraphFont"/>
    <w:link w:val="CommentText"/>
    <w:rsid w:val="000329FE"/>
    <w:rPr>
      <w:rFonts w:ascii="Arial" w:hAnsi="Arial"/>
      <w:color w:val="333333"/>
      <w:lang w:eastAsia="en-US"/>
    </w:rPr>
  </w:style>
  <w:style w:type="paragraph" w:styleId="CommentSubject">
    <w:name w:val="annotation subject"/>
    <w:basedOn w:val="CommentText"/>
    <w:next w:val="CommentText"/>
    <w:link w:val="CommentSubjectChar"/>
    <w:semiHidden/>
    <w:unhideWhenUsed/>
    <w:rsid w:val="000329FE"/>
    <w:rPr>
      <w:b/>
      <w:bCs/>
    </w:rPr>
  </w:style>
  <w:style w:type="character" w:styleId="CommentSubjectChar" w:customStyle="1">
    <w:name w:val="Comment Subject Char"/>
    <w:basedOn w:val="CommentTextChar"/>
    <w:link w:val="CommentSubject"/>
    <w:semiHidden/>
    <w:rsid w:val="000329FE"/>
    <w:rPr>
      <w:rFonts w:ascii="Arial" w:hAnsi="Arial"/>
      <w:b/>
      <w:bCs/>
      <w:color w:val="333333"/>
      <w:lang w:eastAsia="en-US"/>
    </w:rPr>
  </w:style>
  <w:style w:type="paragraph" w:styleId="FootnoteText">
    <w:name w:val="footnote text"/>
    <w:basedOn w:val="Normal"/>
    <w:link w:val="FootnoteTextChar"/>
    <w:semiHidden/>
    <w:unhideWhenUsed/>
    <w:rsid w:val="00C70019"/>
    <w:pPr>
      <w:spacing w:after="0" w:line="240" w:lineRule="auto"/>
    </w:pPr>
  </w:style>
  <w:style w:type="character" w:styleId="FootnoteTextChar" w:customStyle="1">
    <w:name w:val="Footnote Text Char"/>
    <w:basedOn w:val="DefaultParagraphFont"/>
    <w:link w:val="FootnoteText"/>
    <w:semiHidden/>
    <w:rsid w:val="00C70019"/>
    <w:rPr>
      <w:rFonts w:ascii="Arial" w:hAnsi="Arial"/>
      <w:color w:val="333333"/>
      <w:lang w:eastAsia="en-US"/>
    </w:rPr>
  </w:style>
  <w:style w:type="character" w:styleId="FootnoteReference">
    <w:name w:val="footnote reference"/>
    <w:basedOn w:val="DefaultParagraphFont"/>
    <w:uiPriority w:val="99"/>
    <w:semiHidden/>
    <w:unhideWhenUsed/>
    <w:rsid w:val="00C70019"/>
    <w:rPr>
      <w:vertAlign w:val="superscript"/>
    </w:rPr>
  </w:style>
  <w:style w:type="character" w:styleId="NICEnormalChar" w:customStyle="1">
    <w:name w:val="NICE normal Char"/>
    <w:basedOn w:val="DefaultParagraphFont"/>
    <w:link w:val="NICEnormal"/>
    <w:locked/>
    <w:rsid w:val="00B94A47"/>
    <w:rPr>
      <w:rFonts w:ascii="Arial" w:hAnsi="Arial" w:cs="Arial"/>
      <w:lang w:eastAsia="en-US"/>
    </w:rPr>
  </w:style>
  <w:style w:type="paragraph" w:styleId="NICEnormal" w:customStyle="1">
    <w:name w:val="NICE normal"/>
    <w:basedOn w:val="Normal"/>
    <w:link w:val="NICEnormalChar"/>
    <w:rsid w:val="00B94A47"/>
    <w:pPr>
      <w:spacing w:after="240" w:line="360" w:lineRule="auto"/>
    </w:pPr>
    <w:rPr>
      <w:rFonts w:cs="Arial"/>
      <w:color w:val="auto"/>
    </w:rPr>
  </w:style>
  <w:style w:type="character" w:styleId="HeaderChar" w:customStyle="1">
    <w:name w:val="Header Char"/>
    <w:basedOn w:val="DefaultParagraphFont"/>
    <w:link w:val="Header"/>
    <w:uiPriority w:val="99"/>
    <w:rsid w:val="00491045"/>
    <w:rPr>
      <w:rFonts w:ascii="Arial" w:hAnsi="Arial"/>
      <w:color w:val="333333"/>
      <w:lang w:eastAsia="en-US"/>
    </w:rPr>
  </w:style>
  <w:style w:type="character" w:styleId="UnresolvedMention">
    <w:name w:val="Unresolved Mention"/>
    <w:basedOn w:val="DefaultParagraphFont"/>
    <w:uiPriority w:val="99"/>
    <w:semiHidden/>
    <w:unhideWhenUsed/>
    <w:rsid w:val="00623213"/>
    <w:rPr>
      <w:color w:val="605E5C"/>
      <w:shd w:val="clear" w:color="auto" w:fill="E1DFDD"/>
    </w:rPr>
  </w:style>
  <w:style w:type="paragraph" w:styleId="ParagraphNumbered" w:customStyle="1">
    <w:name w:val="Paragraph Numbered"/>
    <w:basedOn w:val="Normal"/>
    <w:uiPriority w:val="4"/>
    <w:qFormat/>
    <w:rsid w:val="002D2F52"/>
    <w:pPr>
      <w:widowControl w:val="0"/>
      <w:tabs>
        <w:tab w:val="left" w:pos="426"/>
      </w:tabs>
      <w:spacing w:after="240" w:line="360" w:lineRule="auto"/>
      <w:ind w:left="425" w:hanging="425"/>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1885">
      <w:bodyDiv w:val="1"/>
      <w:marLeft w:val="0"/>
      <w:marRight w:val="0"/>
      <w:marTop w:val="0"/>
      <w:marBottom w:val="0"/>
      <w:divBdr>
        <w:top w:val="none" w:sz="0" w:space="0" w:color="auto"/>
        <w:left w:val="none" w:sz="0" w:space="0" w:color="auto"/>
        <w:bottom w:val="none" w:sz="0" w:space="0" w:color="auto"/>
        <w:right w:val="none" w:sz="0" w:space="0" w:color="auto"/>
      </w:divBdr>
    </w:div>
    <w:div w:id="357779098">
      <w:bodyDiv w:val="1"/>
      <w:marLeft w:val="0"/>
      <w:marRight w:val="0"/>
      <w:marTop w:val="0"/>
      <w:marBottom w:val="0"/>
      <w:divBdr>
        <w:top w:val="none" w:sz="0" w:space="0" w:color="auto"/>
        <w:left w:val="none" w:sz="0" w:space="0" w:color="auto"/>
        <w:bottom w:val="none" w:sz="0" w:space="0" w:color="auto"/>
        <w:right w:val="none" w:sz="0" w:space="0" w:color="auto"/>
      </w:divBdr>
    </w:div>
    <w:div w:id="564612380">
      <w:bodyDiv w:val="1"/>
      <w:marLeft w:val="0"/>
      <w:marRight w:val="0"/>
      <w:marTop w:val="0"/>
      <w:marBottom w:val="0"/>
      <w:divBdr>
        <w:top w:val="none" w:sz="0" w:space="0" w:color="auto"/>
        <w:left w:val="none" w:sz="0" w:space="0" w:color="auto"/>
        <w:bottom w:val="none" w:sz="0" w:space="0" w:color="auto"/>
        <w:right w:val="none" w:sz="0" w:space="0" w:color="auto"/>
      </w:divBdr>
    </w:div>
    <w:div w:id="993726166">
      <w:bodyDiv w:val="1"/>
      <w:marLeft w:val="0"/>
      <w:marRight w:val="0"/>
      <w:marTop w:val="0"/>
      <w:marBottom w:val="0"/>
      <w:divBdr>
        <w:top w:val="none" w:sz="0" w:space="0" w:color="auto"/>
        <w:left w:val="none" w:sz="0" w:space="0" w:color="auto"/>
        <w:bottom w:val="none" w:sz="0" w:space="0" w:color="auto"/>
        <w:right w:val="none" w:sz="0" w:space="0" w:color="auto"/>
      </w:divBdr>
    </w:div>
    <w:div w:id="1008215759">
      <w:bodyDiv w:val="1"/>
      <w:marLeft w:val="0"/>
      <w:marRight w:val="0"/>
      <w:marTop w:val="0"/>
      <w:marBottom w:val="0"/>
      <w:divBdr>
        <w:top w:val="none" w:sz="0" w:space="0" w:color="auto"/>
        <w:left w:val="none" w:sz="0" w:space="0" w:color="auto"/>
        <w:bottom w:val="none" w:sz="0" w:space="0" w:color="auto"/>
        <w:right w:val="none" w:sz="0" w:space="0" w:color="auto"/>
      </w:divBdr>
    </w:div>
    <w:div w:id="1180238150">
      <w:bodyDiv w:val="1"/>
      <w:marLeft w:val="0"/>
      <w:marRight w:val="0"/>
      <w:marTop w:val="0"/>
      <w:marBottom w:val="0"/>
      <w:divBdr>
        <w:top w:val="none" w:sz="0" w:space="0" w:color="auto"/>
        <w:left w:val="none" w:sz="0" w:space="0" w:color="auto"/>
        <w:bottom w:val="none" w:sz="0" w:space="0" w:color="auto"/>
        <w:right w:val="none" w:sz="0" w:space="0" w:color="auto"/>
      </w:divBdr>
    </w:div>
    <w:div w:id="1525746716">
      <w:bodyDiv w:val="1"/>
      <w:marLeft w:val="0"/>
      <w:marRight w:val="0"/>
      <w:marTop w:val="0"/>
      <w:marBottom w:val="0"/>
      <w:divBdr>
        <w:top w:val="none" w:sz="0" w:space="0" w:color="auto"/>
        <w:left w:val="none" w:sz="0" w:space="0" w:color="auto"/>
        <w:bottom w:val="none" w:sz="0" w:space="0" w:color="auto"/>
        <w:right w:val="none" w:sz="0" w:space="0" w:color="auto"/>
      </w:divBdr>
    </w:div>
    <w:div w:id="1650209245">
      <w:bodyDiv w:val="1"/>
      <w:marLeft w:val="0"/>
      <w:marRight w:val="0"/>
      <w:marTop w:val="0"/>
      <w:marBottom w:val="0"/>
      <w:divBdr>
        <w:top w:val="none" w:sz="0" w:space="0" w:color="auto"/>
        <w:left w:val="none" w:sz="0" w:space="0" w:color="auto"/>
        <w:bottom w:val="none" w:sz="0" w:space="0" w:color="auto"/>
        <w:right w:val="none" w:sz="0" w:space="0" w:color="auto"/>
      </w:divBdr>
    </w:div>
    <w:div w:id="1724055910">
      <w:bodyDiv w:val="1"/>
      <w:marLeft w:val="0"/>
      <w:marRight w:val="0"/>
      <w:marTop w:val="0"/>
      <w:marBottom w:val="0"/>
      <w:divBdr>
        <w:top w:val="none" w:sz="0" w:space="0" w:color="auto"/>
        <w:left w:val="none" w:sz="0" w:space="0" w:color="auto"/>
        <w:bottom w:val="none" w:sz="0" w:space="0" w:color="auto"/>
        <w:right w:val="none" w:sz="0" w:space="0" w:color="auto"/>
      </w:divBdr>
    </w:div>
    <w:div w:id="20554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F9506-E1CD-4D08-BA6D-361550AE2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2A28EC-29FB-488A-9754-CF99B167A5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D7C591-C14F-4716-B87B-6183F8D88FB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Lyn Davies</lastModifiedBy>
  <revision>3</revision>
  <dcterms:created xsi:type="dcterms:W3CDTF">2024-05-10T08:39:00.0000000Z</dcterms:created>
  <dcterms:modified xsi:type="dcterms:W3CDTF">2024-08-27T09:53:32.5272859Z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2024-05-10T08:39:10Z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45ae4b5a-97d8-4474-955b-057e35c7c9d2</vt:lpwstr>
  </property>
  <property fmtid="{D5CDD505-2E9C-101B-9397-08002B2CF9AE}" pid="9" name="MSIP_Label_c69d85d5-6d9e-4305-a294-1f636ec0f2d6_ContentBits">
    <vt:lpwstr>0</vt:lpwstr>
  </property>
</Properties>
</file>