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022B" w:rsidR="0004302C" w:rsidP="0FA9C71D" w:rsidRDefault="0004302C" w14:paraId="5F36C1A4" w14:textId="345FD8FE">
      <w:pPr>
        <w:pStyle w:val="Normal"/>
        <w:rPr>
          <w:rFonts w:ascii="Arial" w:hAnsi="Arial" w:eastAsia="Arial" w:cs="Arial"/>
          <w:noProof w:val="0"/>
          <w:sz w:val="20"/>
          <w:szCs w:val="20"/>
          <w:lang w:val="en-GB"/>
        </w:rPr>
      </w:pPr>
      <w:r w:rsidRPr="0FA9C71D" w:rsidR="0004302C">
        <w:rPr>
          <w:rFonts w:cs="Arial"/>
        </w:rPr>
        <w:t xml:space="preserve">Sent by e-mail only: </w:t>
      </w:r>
      <w:r w:rsidRPr="0FA9C71D" w:rsidR="5A7CBAA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1123A2" w:rsidP="0FA9C71D" w:rsidRDefault="001123A2" w14:paraId="7BE263CD" w14:textId="3D4BC564">
      <w:pPr>
        <w:pStyle w:val="Normal"/>
        <w:spacing w:after="0" w:line="240" w:lineRule="auto"/>
        <w:jc w:val="both"/>
        <w:rPr>
          <w:rFonts w:ascii="Arial" w:hAnsi="Arial" w:eastAsia="Arial" w:cs="Arial"/>
          <w:noProof w:val="0"/>
          <w:sz w:val="20"/>
          <w:szCs w:val="20"/>
          <w:lang w:val="en-GB"/>
        </w:rPr>
      </w:pPr>
      <w:r w:rsidRPr="0FA9C71D" w:rsidR="001123A2">
        <w:rPr>
          <w:rFonts w:cs="Arial"/>
        </w:rPr>
        <w:t>FAO</w:t>
      </w:r>
      <w:r w:rsidRPr="0FA9C71D" w:rsidR="37D610B9">
        <w:rPr>
          <w:rFonts w:cs="Arial"/>
        </w:rPr>
        <w:t xml:space="preserve"> </w:t>
      </w:r>
      <w:r w:rsidRPr="0FA9C71D" w:rsidR="37D610B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FB2E35" w:rsidP="0004302C" w:rsidRDefault="00FB2E35" w14:paraId="789B6A28" w14:textId="471457C1">
      <w:pPr>
        <w:spacing w:after="0" w:line="240" w:lineRule="auto"/>
        <w:jc w:val="both"/>
        <w:rPr>
          <w:rFonts w:cs="Arial"/>
        </w:rPr>
      </w:pPr>
      <w:r>
        <w:rPr>
          <w:rFonts w:cs="Arial"/>
        </w:rPr>
        <w:t>Joint Chief Executive</w:t>
      </w:r>
    </w:p>
    <w:p w:rsidR="00E03CA6" w:rsidP="0004302C" w:rsidRDefault="00E03CA6" w14:paraId="68B7D865" w14:textId="2897508A">
      <w:pPr>
        <w:spacing w:after="0" w:line="240" w:lineRule="auto"/>
        <w:jc w:val="both"/>
        <w:rPr>
          <w:rFonts w:cs="Arial"/>
        </w:rPr>
      </w:pPr>
      <w:r w:rsidRPr="00E03CA6">
        <w:rPr>
          <w:rFonts w:cs="Arial"/>
        </w:rPr>
        <w:t>Tuberous Sclerosis Association</w:t>
      </w:r>
    </w:p>
    <w:p w:rsidR="000C5399" w:rsidP="0004302C" w:rsidRDefault="00E03CA6" w14:paraId="2D45C9E0" w14:textId="070C53BD">
      <w:pPr>
        <w:spacing w:after="0" w:line="240" w:lineRule="auto"/>
        <w:jc w:val="both"/>
        <w:rPr>
          <w:rFonts w:cs="Arial"/>
        </w:rPr>
      </w:pPr>
      <w:r>
        <w:rPr>
          <w:rFonts w:cs="Arial"/>
        </w:rPr>
        <w:t>c/o Nightingale House</w:t>
      </w:r>
    </w:p>
    <w:p w:rsidR="00E03CA6" w:rsidP="0004302C" w:rsidRDefault="00E03CA6" w14:paraId="1C1CA88F" w14:textId="3F9646F7">
      <w:pPr>
        <w:spacing w:after="0" w:line="240" w:lineRule="auto"/>
        <w:jc w:val="both"/>
        <w:rPr>
          <w:rFonts w:cs="Arial"/>
        </w:rPr>
      </w:pPr>
      <w:r>
        <w:rPr>
          <w:rFonts w:cs="Arial"/>
        </w:rPr>
        <w:t>46-48 East Street</w:t>
      </w:r>
    </w:p>
    <w:p w:rsidR="00E03CA6" w:rsidP="0004302C" w:rsidRDefault="00E03CA6" w14:paraId="790710BF" w14:textId="17923788">
      <w:pPr>
        <w:spacing w:after="0" w:line="240" w:lineRule="auto"/>
        <w:jc w:val="both"/>
        <w:rPr>
          <w:rFonts w:cs="Arial"/>
        </w:rPr>
      </w:pPr>
      <w:r>
        <w:rPr>
          <w:rFonts w:cs="Arial"/>
        </w:rPr>
        <w:t>Epsom</w:t>
      </w:r>
    </w:p>
    <w:p w:rsidR="00E03CA6" w:rsidP="0004302C" w:rsidRDefault="00E03CA6" w14:paraId="5E9B6B5D" w14:textId="4E8A7C07">
      <w:pPr>
        <w:spacing w:after="0" w:line="240" w:lineRule="auto"/>
        <w:jc w:val="both"/>
        <w:rPr>
          <w:rFonts w:cs="Arial"/>
        </w:rPr>
      </w:pPr>
      <w:r>
        <w:rPr>
          <w:rFonts w:cs="Arial"/>
        </w:rPr>
        <w:t>Surrey</w:t>
      </w:r>
    </w:p>
    <w:p w:rsidRPr="0043022B" w:rsidR="00E03CA6" w:rsidP="0004302C" w:rsidRDefault="00E03CA6" w14:paraId="6A76D813" w14:textId="5B4F0E5E">
      <w:pPr>
        <w:spacing w:after="0" w:line="240" w:lineRule="auto"/>
        <w:jc w:val="both"/>
        <w:rPr>
          <w:rFonts w:cs="Arial"/>
        </w:rPr>
      </w:pPr>
      <w:r>
        <w:rPr>
          <w:rFonts w:cs="Arial"/>
        </w:rPr>
        <w:t>KT17 1HQ</w:t>
      </w: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0DE95EB3" w:rsidP="35C16ACE" w:rsidRDefault="0DE95EB3" w14:paraId="516E49B5" w14:textId="5471F2E4">
      <w:pPr>
        <w:pStyle w:val="Normal"/>
        <w:suppressLineNumbers w:val="0"/>
        <w:bidi w:val="0"/>
        <w:spacing w:before="0" w:beforeAutospacing="off" w:after="200" w:afterAutospacing="off" w:line="288" w:lineRule="auto"/>
        <w:ind w:left="0" w:right="0"/>
        <w:jc w:val="left"/>
      </w:pPr>
      <w:r w:rsidRPr="35C16ACE" w:rsidR="0DE95EB3">
        <w:rPr>
          <w:rFonts w:cs="Arial"/>
        </w:rPr>
        <w:t>10 May 2024</w:t>
      </w:r>
    </w:p>
    <w:p w:rsidRPr="0043022B" w:rsidR="0004302C" w:rsidP="0004302C" w:rsidRDefault="0004302C" w14:paraId="50583914" w14:textId="77777777">
      <w:pPr>
        <w:rPr>
          <w:rStyle w:val="Hyperlink"/>
          <w:rFonts w:cs="Arial"/>
        </w:rPr>
      </w:pPr>
    </w:p>
    <w:p w:rsidRPr="0043022B" w:rsidR="0004302C" w:rsidP="0FA9C71D" w:rsidRDefault="0004302C" w14:paraId="6392A75B" w14:textId="6587127E">
      <w:pPr>
        <w:pStyle w:val="Normal"/>
        <w:ind w:left="426" w:right="468" w:hanging="426"/>
        <w:jc w:val="both"/>
        <w:rPr>
          <w:rFonts w:ascii="Arial" w:hAnsi="Arial" w:eastAsia="Arial" w:cs="Arial"/>
          <w:noProof w:val="0"/>
          <w:spacing w:val="-3"/>
          <w:sz w:val="20"/>
          <w:szCs w:val="20"/>
          <w:lang w:val="en-GB"/>
        </w:rPr>
      </w:pPr>
      <w:bookmarkStart w:name="deartext" w:id="0"/>
      <w:r w:rsidRPr="0FA9C71D" w:rsidR="0004302C">
        <w:rPr>
          <w:rFonts w:cs="Arial"/>
        </w:rPr>
        <w:t>Dear</w:t>
      </w:r>
      <w:bookmarkEnd w:id="0"/>
      <w:r w:rsidRPr="0FA9C71D" w:rsidR="0004302C">
        <w:rPr>
          <w:rFonts w:cs="Arial"/>
        </w:rPr>
        <w:t xml:space="preserve"> </w:t>
      </w:r>
      <w:bookmarkStart w:name="Sal" w:id="1"/>
      <w:bookmarkEnd w:id="1"/>
      <w:r w:rsidRPr="0FA9C71D" w:rsidR="60D3019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Pr="0043022B" w:rsidR="0004302C" w:rsidP="008669F8" w:rsidRDefault="0004302C" w14:paraId="0C2B27E7" w14:textId="3261537A">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BAA36E">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28A9AD3">
                <o:lock v:ext="edit" shapetype="f"/>
              </v:line>
            </w:pict>
          </mc:Fallback>
        </mc:AlternateContent>
      </w:r>
      <w:r w:rsidRPr="0043022B">
        <w:rPr>
          <w:rFonts w:cs="Arial"/>
          <w:b/>
          <w:spacing w:val="-3"/>
        </w:rPr>
        <w:t xml:space="preserve">Re: </w:t>
      </w:r>
      <w:r w:rsidRPr="0043022B">
        <w:rPr>
          <w:rFonts w:cs="Arial"/>
          <w:b/>
        </w:rPr>
        <w:t xml:space="preserve">Final </w:t>
      </w:r>
      <w:r w:rsidR="00910D48">
        <w:rPr>
          <w:rFonts w:cs="Arial"/>
          <w:b/>
        </w:rPr>
        <w:t>Draft Guidance</w:t>
      </w:r>
      <w:r w:rsidRPr="0043022B">
        <w:rPr>
          <w:rFonts w:cs="Arial"/>
          <w:b/>
        </w:rPr>
        <w:t xml:space="preserve"> </w:t>
      </w:r>
      <w:r w:rsidRPr="008669F8" w:rsidR="008669F8">
        <w:rPr>
          <w:rFonts w:cs="Arial"/>
          <w:b/>
        </w:rPr>
        <w:t xml:space="preserve">– Fenfluramine </w:t>
      </w:r>
      <w:bookmarkStart w:name="_Hlk166098169" w:id="2"/>
      <w:r w:rsidRPr="008669F8" w:rsidR="008669F8">
        <w:rPr>
          <w:rFonts w:cs="Arial"/>
          <w:b/>
        </w:rPr>
        <w:t>for treating seizures associated</w:t>
      </w:r>
      <w:r w:rsidR="008669F8">
        <w:rPr>
          <w:rFonts w:cs="Arial"/>
          <w:b/>
        </w:rPr>
        <w:t xml:space="preserve"> </w:t>
      </w:r>
      <w:r w:rsidRPr="008669F8" w:rsidR="008669F8">
        <w:rPr>
          <w:rFonts w:cs="Arial"/>
          <w:b/>
        </w:rPr>
        <w:t>with Lennox-</w:t>
      </w:r>
      <w:proofErr w:type="spellStart"/>
      <w:r w:rsidRPr="008669F8" w:rsidR="008669F8">
        <w:rPr>
          <w:rFonts w:cs="Arial"/>
          <w:b/>
        </w:rPr>
        <w:t>Gasta</w:t>
      </w:r>
      <w:r w:rsidR="00997990">
        <w:rPr>
          <w:rFonts w:cs="Arial"/>
          <w:b/>
        </w:rPr>
        <w:t>u</w:t>
      </w:r>
      <w:r w:rsidRPr="008669F8" w:rsidR="008669F8">
        <w:rPr>
          <w:rFonts w:cs="Arial"/>
          <w:b/>
        </w:rPr>
        <w:t>t</w:t>
      </w:r>
      <w:proofErr w:type="spellEnd"/>
      <w:r w:rsidRPr="008669F8" w:rsidR="008669F8">
        <w:rPr>
          <w:rFonts w:cs="Arial"/>
          <w:b/>
        </w:rPr>
        <w:t xml:space="preserve"> Syndrome in people 2 years and over </w:t>
      </w:r>
      <w:bookmarkEnd w:id="2"/>
      <w:r w:rsidRPr="008669F8" w:rsidR="008669F8">
        <w:rPr>
          <w:rFonts w:cs="Arial"/>
          <w:b/>
        </w:rPr>
        <w:t>(ID1651)</w:t>
      </w:r>
    </w:p>
    <w:p w:rsidRPr="00DD7697" w:rsidR="00003026" w:rsidP="00413F89" w:rsidRDefault="000223BD" w14:paraId="7414DC3E" w14:textId="44C48549">
      <w:pPr>
        <w:jc w:val="both"/>
        <w:rPr>
          <w:rFonts w:cs="Arial"/>
          <w:color w:val="auto"/>
        </w:rPr>
      </w:pPr>
      <w:r w:rsidRPr="00DD7697">
        <w:rPr>
          <w:rFonts w:cs="Arial"/>
          <w:color w:val="auto"/>
        </w:rPr>
        <w:t xml:space="preserve">Thank you for your letter of </w:t>
      </w:r>
      <w:r w:rsidR="008669F8">
        <w:rPr>
          <w:rFonts w:cs="Arial"/>
          <w:color w:val="auto"/>
        </w:rPr>
        <w:t>2</w:t>
      </w:r>
      <w:r w:rsidR="007A7F07">
        <w:rPr>
          <w:rFonts w:cs="Arial"/>
          <w:color w:val="auto"/>
        </w:rPr>
        <w:t xml:space="preserve"> May 202</w:t>
      </w:r>
      <w:r w:rsidR="008669F8">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E41FEC">
        <w:rPr>
          <w:rFonts w:cs="Arial"/>
          <w:color w:val="auto"/>
        </w:rPr>
        <w:t>Draft Guidance</w:t>
      </w:r>
      <w:r w:rsidR="00910D48">
        <w:rPr>
          <w:rFonts w:cs="Arial"/>
          <w:color w:val="auto"/>
        </w:rPr>
        <w:t xml:space="preserve"> (FDG).</w:t>
      </w:r>
    </w:p>
    <w:p w:rsidRPr="00DD7697" w:rsidR="00C70019" w:rsidP="00413F89" w:rsidRDefault="00C70019" w14:paraId="5F523C58" w14:textId="77777777">
      <w:pPr>
        <w:jc w:val="both"/>
        <w:rPr>
          <w:rFonts w:cs="Arial"/>
          <w:color w:val="auto"/>
        </w:rPr>
      </w:pPr>
      <w:r w:rsidRPr="00DD7697">
        <w:rPr>
          <w:rFonts w:cs="Arial"/>
          <w:color w:val="auto"/>
          <w:u w:val="single"/>
        </w:rPr>
        <w:t>Introduction</w:t>
      </w:r>
      <w:r w:rsidRPr="00DD7697">
        <w:rPr>
          <w:rFonts w:cs="Arial"/>
          <w:color w:val="auto"/>
        </w:rPr>
        <w:t xml:space="preserve"> </w:t>
      </w:r>
    </w:p>
    <w:p w:rsidRPr="00DD7697" w:rsidR="00C70019" w:rsidP="00413F89" w:rsidRDefault="00C70019" w14:paraId="70E1E5B1" w14:textId="2DBAE3FD">
      <w:pPr>
        <w:jc w:val="both"/>
        <w:rPr>
          <w:rFonts w:cs="Arial"/>
          <w:color w:val="auto"/>
        </w:rPr>
      </w:pPr>
      <w:r w:rsidRPr="00DD7697">
        <w:rPr>
          <w:rFonts w:cs="Arial"/>
          <w:color w:val="auto"/>
        </w:rPr>
        <w:t xml:space="preserve">The Institute's appeal procedures provide for an initial scrutiny of points that an appellant wishes to raise, to </w:t>
      </w:r>
      <w:r w:rsidRPr="00DD7697" w:rsidR="006B6C22">
        <w:rPr>
          <w:rFonts w:cs="Arial"/>
          <w:color w:val="auto"/>
        </w:rPr>
        <w:t>provide an initial view on whether</w:t>
      </w:r>
      <w:r w:rsidRPr="00DD7697">
        <w:rPr>
          <w:rFonts w:cs="Arial"/>
          <w:color w:val="auto"/>
        </w:rPr>
        <w:t xml:space="preserve"> they are within the permitted grounds of appeal ("valid")</w:t>
      </w:r>
      <w:r w:rsidRPr="00DD7697" w:rsidR="006B6C22">
        <w:rPr>
          <w:rFonts w:cs="Arial"/>
          <w:color w:val="auto"/>
        </w:rPr>
        <w:t xml:space="preserve"> and are at least arguable</w:t>
      </w:r>
      <w:r w:rsidRPr="00DD7697">
        <w:rPr>
          <w:rFonts w:cs="Arial"/>
          <w:color w:val="auto"/>
        </w:rPr>
        <w:t xml:space="preserve">. The permitted grounds of appeal are: </w:t>
      </w:r>
    </w:p>
    <w:p w:rsidRPr="00DD7697"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 xml:space="preserve">1(a) NICE has failed to act fairly, or </w:t>
      </w:r>
    </w:p>
    <w:p w:rsidRPr="00DD7697"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1(b) NICE has exceeded powers;</w:t>
      </w:r>
    </w:p>
    <w:p w:rsidRPr="00DD7697"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DD7697">
        <w:rPr>
          <w:rFonts w:cs="Arial"/>
          <w:color w:val="auto"/>
        </w:rPr>
        <w:t>(2) the recommendation is unreasonable in the light of the evidence submitted to NICE</w:t>
      </w:r>
      <w:r w:rsidRPr="00DD7697" w:rsidR="006347AD">
        <w:rPr>
          <w:rFonts w:cs="Arial"/>
          <w:color w:val="auto"/>
        </w:rPr>
        <w:t>.</w:t>
      </w:r>
    </w:p>
    <w:p w:rsidRPr="00DD7697" w:rsidR="00C70019" w:rsidP="00413F89" w:rsidRDefault="00C70019" w14:paraId="08D953B5" w14:textId="25297E74">
      <w:pPr>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DD7697" w:rsidR="00F41597">
        <w:rPr>
          <w:rFonts w:cs="Arial"/>
          <w:color w:val="auto"/>
        </w:rPr>
        <w:t>, are arguable, and</w:t>
      </w:r>
      <w:r w:rsidRPr="00DD7697">
        <w:rPr>
          <w:rFonts w:cs="Arial"/>
          <w:color w:val="auto"/>
        </w:rPr>
        <w:t xml:space="preserve"> fall within any one of the grounds will your appeal be referred to the Appeal Panel. </w:t>
      </w:r>
    </w:p>
    <w:p w:rsidRPr="00DD7697" w:rsidR="00C70019" w:rsidP="00413F89" w:rsidRDefault="00C70019" w14:paraId="146CF237" w14:textId="77777777">
      <w:pPr>
        <w:jc w:val="both"/>
        <w:rPr>
          <w:rFonts w:cs="Arial"/>
          <w:color w:val="auto"/>
        </w:rPr>
      </w:pPr>
      <w:r w:rsidRPr="00DD7697">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DD7697" w:rsidR="00C70019" w:rsidP="00413F89" w:rsidRDefault="00C70019" w14:paraId="3294E8F2" w14:textId="77777777">
      <w:pPr>
        <w:jc w:val="both"/>
        <w:rPr>
          <w:rFonts w:cs="Arial"/>
          <w:color w:val="auto"/>
          <w:u w:val="single"/>
        </w:rPr>
      </w:pPr>
      <w:r w:rsidRPr="00DD7697">
        <w:rPr>
          <w:rFonts w:cs="Arial"/>
          <w:color w:val="auto"/>
          <w:u w:val="single"/>
        </w:rPr>
        <w:t>Initial View</w:t>
      </w:r>
    </w:p>
    <w:p w:rsidR="00262058" w:rsidP="00413F89" w:rsidRDefault="00BB43EC" w14:paraId="15B951E6" w14:textId="4A8D7BE4">
      <w:pPr>
        <w:jc w:val="both"/>
        <w:rPr>
          <w:rFonts w:cs="Arial"/>
          <w:color w:val="auto"/>
        </w:rPr>
      </w:pPr>
      <w:r w:rsidRPr="00DD7697">
        <w:rPr>
          <w:rFonts w:cs="Arial"/>
          <w:color w:val="auto"/>
        </w:rPr>
        <w:t>I</w:t>
      </w:r>
      <w:r w:rsidRPr="00DD7697" w:rsidR="00C70019">
        <w:rPr>
          <w:rFonts w:cs="Arial"/>
          <w:color w:val="auto"/>
        </w:rPr>
        <w:t xml:space="preserve"> assess each of your </w:t>
      </w:r>
      <w:r w:rsidRPr="00DD7697" w:rsidR="00B36320">
        <w:rPr>
          <w:rFonts w:cs="Arial"/>
          <w:color w:val="auto"/>
        </w:rPr>
        <w:t xml:space="preserve">points </w:t>
      </w:r>
      <w:r w:rsidRPr="00DD7697" w:rsidR="00C70019">
        <w:rPr>
          <w:rFonts w:cs="Arial"/>
          <w:color w:val="auto"/>
        </w:rPr>
        <w:t xml:space="preserve">in turn.  </w:t>
      </w:r>
    </w:p>
    <w:p w:rsidRPr="00961369" w:rsidR="00E87F1E" w:rsidP="00E87F1E" w:rsidRDefault="00E87F1E" w14:paraId="7ADCDE98" w14:textId="77777777">
      <w:pPr>
        <w:spacing w:before="120" w:after="0" w:line="240" w:lineRule="auto"/>
        <w:rPr>
          <w:rFonts w:cs="Arial"/>
          <w:b/>
          <w:i/>
          <w:lang w:eastAsia="en-GB"/>
        </w:rPr>
      </w:pPr>
      <w:r w:rsidRPr="00961369">
        <w:rPr>
          <w:rFonts w:cs="Arial"/>
          <w:b/>
          <w:i/>
          <w:lang w:eastAsia="en-GB"/>
        </w:rPr>
        <w:t>Ground 1(a): In making the assessment that preceded the recommendation, NICE has failed to act fairly</w:t>
      </w:r>
    </w:p>
    <w:p w:rsidR="00B11119" w:rsidP="007A7F07" w:rsidRDefault="00B62869" w14:paraId="4DA05162" w14:textId="7C61CF31">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Pr="00AA6EA2" w:rsidR="00AA6EA2">
        <w:rPr>
          <w:rFonts w:cs="Arial"/>
          <w:b/>
          <w:color w:val="auto"/>
          <w:u w:val="single"/>
        </w:rPr>
        <w:t>In making the assessment that preceded the recommendation, NICE has failed to act fairly</w:t>
      </w:r>
    </w:p>
    <w:p w:rsidR="000C23CA" w:rsidP="00E87F1E" w:rsidRDefault="00E87F1E" w14:paraId="5E65D0B1" w14:textId="587A415B">
      <w:pPr>
        <w:pStyle w:val="BodyText"/>
        <w:jc w:val="both"/>
        <w:rPr>
          <w:rFonts w:cs="Arial"/>
        </w:rPr>
      </w:pPr>
      <w:r w:rsidRPr="000C23CA">
        <w:rPr>
          <w:rFonts w:cs="Arial"/>
          <w:color w:val="auto"/>
        </w:rPr>
        <w:t>I am not minded</w:t>
      </w:r>
      <w:r w:rsidRPr="00DD7697">
        <w:rPr>
          <w:rFonts w:cs="Arial"/>
          <w:color w:val="auto"/>
        </w:rPr>
        <w:t xml:space="preserve"> to refer this appeal point to the Appeal Panel.  </w:t>
      </w:r>
      <w:r>
        <w:rPr>
          <w:rFonts w:cs="Arial"/>
          <w:color w:val="auto"/>
        </w:rPr>
        <w:t xml:space="preserve"> </w:t>
      </w:r>
    </w:p>
    <w:p w:rsidR="00997990" w:rsidP="00E87F1E" w:rsidRDefault="00997990" w14:paraId="693C65C8" w14:textId="4E70C709">
      <w:pPr>
        <w:pStyle w:val="BodyText"/>
        <w:jc w:val="both"/>
        <w:rPr>
          <w:rFonts w:cs="Arial"/>
        </w:rPr>
      </w:pPr>
      <w:r>
        <w:rPr>
          <w:rFonts w:cs="Arial"/>
        </w:rPr>
        <w:t>I understand the TSA's argument to be that it was procedurally unfair for the Committee not to have heard from a patient for whom fenfluramine has made a significant positive difference to their quality of life, and that the Committee unfairly failed to ensure fair representation of LGS patients during the evaluation.</w:t>
      </w:r>
    </w:p>
    <w:p w:rsidR="003776DF" w:rsidP="00C322FF" w:rsidRDefault="00997990" w14:paraId="55444FDB" w14:textId="77777777">
      <w:pPr>
        <w:pStyle w:val="BodyText"/>
        <w:jc w:val="both"/>
        <w:rPr>
          <w:rFonts w:cs="Arial"/>
        </w:rPr>
      </w:pPr>
      <w:r>
        <w:rPr>
          <w:rFonts w:cs="Arial"/>
        </w:rPr>
        <w:t>NICE's Manual for health technology evaluations explains that NICE should invite stakeholders to take part in the evaluation, including national organisations representing patients and carers.</w:t>
      </w:r>
      <w:r w:rsidR="003776DF">
        <w:rPr>
          <w:rFonts w:cs="Arial"/>
        </w:rPr>
        <w:t xml:space="preserve">  NICE invites written submissions from all patient and carer organisations involved in the evaluation to provide perspectives on:</w:t>
      </w:r>
    </w:p>
    <w:p w:rsidRPr="003776DF" w:rsidR="003776DF" w:rsidP="003776DF" w:rsidRDefault="003776DF" w14:paraId="70B8BEBC" w14:textId="23CAD451">
      <w:pPr>
        <w:pStyle w:val="BodyText"/>
        <w:numPr>
          <w:ilvl w:val="0"/>
          <w:numId w:val="34"/>
        </w:numPr>
        <w:spacing w:line="240" w:lineRule="auto"/>
        <w:jc w:val="both"/>
        <w:rPr>
          <w:rFonts w:cs="Arial"/>
        </w:rPr>
      </w:pPr>
      <w:r w:rsidRPr="003776DF">
        <w:rPr>
          <w:rFonts w:cs="Arial"/>
        </w:rPr>
        <w:t xml:space="preserve">the experience of having the condition (before or after diagnosis) or caring for someone with the condition </w:t>
      </w:r>
    </w:p>
    <w:p w:rsidRPr="003776DF" w:rsidR="003776DF" w:rsidP="003776DF" w:rsidRDefault="003776DF" w14:paraId="39A31045" w14:textId="77777777">
      <w:pPr>
        <w:pStyle w:val="BodyText"/>
        <w:numPr>
          <w:ilvl w:val="0"/>
          <w:numId w:val="34"/>
        </w:numPr>
        <w:jc w:val="both"/>
        <w:rPr>
          <w:rFonts w:cs="Arial"/>
        </w:rPr>
      </w:pPr>
      <w:r w:rsidRPr="003776DF">
        <w:rPr>
          <w:rFonts w:cs="Arial"/>
        </w:rPr>
        <w:t xml:space="preserve">the experience of receiving care for the condition in the healthcare system </w:t>
      </w:r>
    </w:p>
    <w:p w:rsidRPr="003776DF" w:rsidR="003776DF" w:rsidP="003776DF" w:rsidRDefault="003776DF" w14:paraId="7629663F" w14:textId="77777777">
      <w:pPr>
        <w:pStyle w:val="BodyText"/>
        <w:numPr>
          <w:ilvl w:val="0"/>
          <w:numId w:val="34"/>
        </w:numPr>
        <w:jc w:val="both"/>
        <w:rPr>
          <w:rFonts w:cs="Arial"/>
        </w:rPr>
      </w:pPr>
      <w:r w:rsidRPr="003776DF">
        <w:rPr>
          <w:rFonts w:cs="Arial"/>
        </w:rPr>
        <w:t xml:space="preserve">the experience of having specific treatments or tests for the condition </w:t>
      </w:r>
    </w:p>
    <w:p w:rsidRPr="003776DF" w:rsidR="003776DF" w:rsidP="003776DF" w:rsidRDefault="003776DF" w14:paraId="350F06A9" w14:textId="77777777">
      <w:pPr>
        <w:pStyle w:val="BodyText"/>
        <w:numPr>
          <w:ilvl w:val="0"/>
          <w:numId w:val="34"/>
        </w:numPr>
        <w:jc w:val="both"/>
        <w:rPr>
          <w:rFonts w:cs="Arial"/>
        </w:rPr>
      </w:pPr>
      <w:r w:rsidRPr="003776DF">
        <w:rPr>
          <w:rFonts w:cs="Arial"/>
        </w:rPr>
        <w:t xml:space="preserve">treatment outcomes that are important to patients or carers (which may differ from the outcomes measured in the relevant clinical studies and the aspects of health included in generic measures of health-related quality of life) </w:t>
      </w:r>
    </w:p>
    <w:p w:rsidRPr="003776DF" w:rsidR="003776DF" w:rsidP="003776DF" w:rsidRDefault="003776DF" w14:paraId="594CA777" w14:textId="77777777">
      <w:pPr>
        <w:pStyle w:val="BodyText"/>
        <w:numPr>
          <w:ilvl w:val="0"/>
          <w:numId w:val="34"/>
        </w:numPr>
        <w:jc w:val="both"/>
        <w:rPr>
          <w:rFonts w:cs="Arial"/>
        </w:rPr>
      </w:pPr>
      <w:r w:rsidRPr="003776DF">
        <w:rPr>
          <w:rFonts w:cs="Arial"/>
        </w:rPr>
        <w:t xml:space="preserve">the acceptability of different treatments and modes of treatment </w:t>
      </w:r>
    </w:p>
    <w:p w:rsidRPr="003776DF" w:rsidR="003776DF" w:rsidP="003776DF" w:rsidRDefault="003776DF" w14:paraId="50E5937F" w14:textId="77777777">
      <w:pPr>
        <w:pStyle w:val="BodyText"/>
        <w:numPr>
          <w:ilvl w:val="0"/>
          <w:numId w:val="34"/>
        </w:numPr>
        <w:jc w:val="both"/>
        <w:rPr>
          <w:rFonts w:cs="Arial"/>
        </w:rPr>
      </w:pPr>
      <w:r w:rsidRPr="003776DF">
        <w:rPr>
          <w:rFonts w:cs="Arial"/>
        </w:rPr>
        <w:t xml:space="preserve">their preferences for different treatments and modes of treatment </w:t>
      </w:r>
    </w:p>
    <w:p w:rsidRPr="003776DF" w:rsidR="003776DF" w:rsidP="003776DF" w:rsidRDefault="003776DF" w14:paraId="5E6D8214" w14:textId="77777777">
      <w:pPr>
        <w:pStyle w:val="BodyText"/>
        <w:numPr>
          <w:ilvl w:val="0"/>
          <w:numId w:val="34"/>
        </w:numPr>
        <w:jc w:val="both"/>
        <w:rPr>
          <w:rFonts w:cs="Arial"/>
        </w:rPr>
      </w:pPr>
      <w:r w:rsidRPr="003776DF">
        <w:rPr>
          <w:rFonts w:cs="Arial"/>
        </w:rPr>
        <w:t xml:space="preserve">their expectations about the risks and benefits of the technology. </w:t>
      </w:r>
    </w:p>
    <w:p w:rsidR="003776DF" w:rsidP="00C322FF" w:rsidRDefault="003776DF" w14:paraId="74DFEB08" w14:textId="7F100ED0">
      <w:pPr>
        <w:pStyle w:val="BodyText"/>
        <w:jc w:val="both"/>
        <w:rPr>
          <w:rFonts w:cs="Arial"/>
        </w:rPr>
      </w:pPr>
      <w:r>
        <w:rPr>
          <w:rFonts w:cs="Arial"/>
        </w:rPr>
        <w:t>Stakeholder organisations are invited to nominate clinical experts, patient experts and commissioning experts.  Patient experts are chosen by NICE based on their experience of the technology and the condition that the technology is designed for.</w:t>
      </w:r>
    </w:p>
    <w:p w:rsidR="00997990" w:rsidP="00C322FF" w:rsidRDefault="00997990" w14:paraId="609E432C" w14:textId="5D28B86A">
      <w:pPr>
        <w:pStyle w:val="BodyText"/>
        <w:jc w:val="both"/>
        <w:rPr>
          <w:rFonts w:cs="Arial"/>
        </w:rPr>
      </w:pPr>
      <w:r>
        <w:rPr>
          <w:rFonts w:cs="Arial"/>
        </w:rPr>
        <w:t>In this evaluation, the evaluation documents record that, in addition to the TSA,  the following patient/carer groups were invited to participate</w:t>
      </w:r>
      <w:r w:rsidR="003776DF">
        <w:rPr>
          <w:rFonts w:cs="Arial"/>
        </w:rPr>
        <w:t xml:space="preserve"> as consultees</w:t>
      </w:r>
      <w:r>
        <w:rPr>
          <w:rFonts w:cs="Arial"/>
        </w:rPr>
        <w:t>:</w:t>
      </w:r>
    </w:p>
    <w:p w:rsidR="00997990" w:rsidP="00997990" w:rsidRDefault="00997990" w14:paraId="05B165DE" w14:textId="24B7D577">
      <w:pPr>
        <w:pStyle w:val="BodyText"/>
        <w:numPr>
          <w:ilvl w:val="0"/>
          <w:numId w:val="2"/>
        </w:numPr>
        <w:spacing w:after="0" w:line="240" w:lineRule="auto"/>
        <w:ind w:left="714" w:hanging="357"/>
        <w:jc w:val="both"/>
        <w:rPr>
          <w:rFonts w:cs="Arial"/>
        </w:rPr>
      </w:pPr>
      <w:r>
        <w:rPr>
          <w:rFonts w:cs="Arial"/>
        </w:rPr>
        <w:t>Brain and Spine Foundation</w:t>
      </w:r>
    </w:p>
    <w:p w:rsidR="00997990" w:rsidP="00997990" w:rsidRDefault="00997990" w14:paraId="75992FD4" w14:textId="61302D7F">
      <w:pPr>
        <w:pStyle w:val="BodyText"/>
        <w:numPr>
          <w:ilvl w:val="0"/>
          <w:numId w:val="2"/>
        </w:numPr>
        <w:spacing w:after="0" w:line="240" w:lineRule="auto"/>
        <w:ind w:left="714" w:hanging="357"/>
        <w:jc w:val="both"/>
        <w:rPr>
          <w:rFonts w:cs="Arial"/>
        </w:rPr>
      </w:pPr>
      <w:r>
        <w:rPr>
          <w:rFonts w:cs="Arial"/>
        </w:rPr>
        <w:t>Brain Charity</w:t>
      </w:r>
    </w:p>
    <w:p w:rsidR="00997990" w:rsidP="00997990" w:rsidRDefault="00997990" w14:paraId="291322A0" w14:textId="14AE9451">
      <w:pPr>
        <w:pStyle w:val="BodyText"/>
        <w:numPr>
          <w:ilvl w:val="0"/>
          <w:numId w:val="2"/>
        </w:numPr>
        <w:spacing w:after="0" w:line="240" w:lineRule="auto"/>
        <w:ind w:left="714" w:hanging="357"/>
        <w:jc w:val="both"/>
        <w:rPr>
          <w:rFonts w:cs="Arial"/>
        </w:rPr>
      </w:pPr>
      <w:r>
        <w:rPr>
          <w:rFonts w:cs="Arial"/>
        </w:rPr>
        <w:t>Contact</w:t>
      </w:r>
    </w:p>
    <w:p w:rsidR="00997990" w:rsidP="00997990" w:rsidRDefault="00997990" w14:paraId="2FCAFC08" w14:textId="7C24FADF">
      <w:pPr>
        <w:pStyle w:val="BodyText"/>
        <w:numPr>
          <w:ilvl w:val="0"/>
          <w:numId w:val="2"/>
        </w:numPr>
        <w:spacing w:after="0" w:line="240" w:lineRule="auto"/>
        <w:ind w:left="714" w:hanging="357"/>
        <w:jc w:val="both"/>
        <w:rPr>
          <w:rFonts w:cs="Arial"/>
        </w:rPr>
      </w:pPr>
      <w:r>
        <w:rPr>
          <w:rFonts w:cs="Arial"/>
        </w:rPr>
        <w:t>Dravet Syndrome UK</w:t>
      </w:r>
    </w:p>
    <w:p w:rsidR="00997990" w:rsidP="00997990" w:rsidRDefault="00997990" w14:paraId="2C17B121" w14:textId="47DF4FD1">
      <w:pPr>
        <w:pStyle w:val="BodyText"/>
        <w:numPr>
          <w:ilvl w:val="0"/>
          <w:numId w:val="2"/>
        </w:numPr>
        <w:spacing w:after="0" w:line="240" w:lineRule="auto"/>
        <w:ind w:left="714" w:hanging="357"/>
        <w:jc w:val="both"/>
        <w:rPr>
          <w:rFonts w:cs="Arial"/>
        </w:rPr>
      </w:pPr>
      <w:r>
        <w:rPr>
          <w:rFonts w:cs="Arial"/>
        </w:rPr>
        <w:t>Epilepsy Action</w:t>
      </w:r>
    </w:p>
    <w:p w:rsidR="00997990" w:rsidP="00997990" w:rsidRDefault="00997990" w14:paraId="45E68F60" w14:textId="617CBBDA">
      <w:pPr>
        <w:pStyle w:val="BodyText"/>
        <w:numPr>
          <w:ilvl w:val="0"/>
          <w:numId w:val="2"/>
        </w:numPr>
        <w:spacing w:after="0" w:line="240" w:lineRule="auto"/>
        <w:ind w:left="714" w:hanging="357"/>
        <w:jc w:val="both"/>
        <w:rPr>
          <w:rFonts w:cs="Arial"/>
        </w:rPr>
      </w:pPr>
      <w:r>
        <w:rPr>
          <w:rFonts w:cs="Arial"/>
        </w:rPr>
        <w:t>Epilepsy Society</w:t>
      </w:r>
    </w:p>
    <w:p w:rsidR="00997990" w:rsidP="00997990" w:rsidRDefault="00997990" w14:paraId="617D247F" w14:textId="0ACBCD57">
      <w:pPr>
        <w:pStyle w:val="BodyText"/>
        <w:numPr>
          <w:ilvl w:val="0"/>
          <w:numId w:val="2"/>
        </w:numPr>
        <w:spacing w:after="0" w:line="240" w:lineRule="auto"/>
        <w:ind w:left="714" w:hanging="357"/>
        <w:jc w:val="both"/>
        <w:rPr>
          <w:rFonts w:cs="Arial"/>
        </w:rPr>
      </w:pPr>
      <w:r>
        <w:rPr>
          <w:rFonts w:cs="Arial"/>
        </w:rPr>
        <w:t>Neurological Alliance</w:t>
      </w:r>
    </w:p>
    <w:p w:rsidR="00997990" w:rsidP="00997990" w:rsidRDefault="00997990" w14:paraId="2BEDF19C" w14:textId="02021ED9">
      <w:pPr>
        <w:pStyle w:val="BodyText"/>
        <w:numPr>
          <w:ilvl w:val="0"/>
          <w:numId w:val="2"/>
        </w:numPr>
        <w:spacing w:after="0" w:line="240" w:lineRule="auto"/>
        <w:ind w:left="714" w:hanging="357"/>
        <w:jc w:val="both"/>
        <w:rPr>
          <w:rFonts w:cs="Arial"/>
        </w:rPr>
      </w:pPr>
      <w:r>
        <w:rPr>
          <w:rFonts w:cs="Arial"/>
        </w:rPr>
        <w:t>South Asian Health Foundation</w:t>
      </w:r>
    </w:p>
    <w:p w:rsidR="00997990" w:rsidP="00997990" w:rsidRDefault="00997990" w14:paraId="33B19063" w14:textId="250A3EB8">
      <w:pPr>
        <w:pStyle w:val="BodyText"/>
        <w:numPr>
          <w:ilvl w:val="0"/>
          <w:numId w:val="2"/>
        </w:numPr>
        <w:spacing w:after="0" w:line="240" w:lineRule="auto"/>
        <w:ind w:left="714" w:hanging="357"/>
        <w:jc w:val="both"/>
        <w:rPr>
          <w:rFonts w:cs="Arial"/>
        </w:rPr>
      </w:pPr>
      <w:r>
        <w:rPr>
          <w:rFonts w:cs="Arial"/>
        </w:rPr>
        <w:t>Specialised Healthcare Alliance</w:t>
      </w:r>
    </w:p>
    <w:p w:rsidR="00997990" w:rsidP="00997990" w:rsidRDefault="00997990" w14:paraId="5A25D501" w14:textId="61DBDA92">
      <w:pPr>
        <w:pStyle w:val="BodyText"/>
        <w:numPr>
          <w:ilvl w:val="0"/>
          <w:numId w:val="2"/>
        </w:numPr>
        <w:spacing w:after="0" w:line="240" w:lineRule="auto"/>
        <w:ind w:left="714" w:hanging="357"/>
        <w:jc w:val="both"/>
        <w:rPr>
          <w:rFonts w:cs="Arial"/>
        </w:rPr>
      </w:pPr>
      <w:r>
        <w:rPr>
          <w:rFonts w:cs="Arial"/>
        </w:rPr>
        <w:t>SUDEP Action</w:t>
      </w:r>
    </w:p>
    <w:p w:rsidRPr="00997990" w:rsidR="00997990" w:rsidP="00997990" w:rsidRDefault="00997990" w14:paraId="6E5F12B6" w14:textId="7C489414">
      <w:pPr>
        <w:pStyle w:val="BodyText"/>
        <w:numPr>
          <w:ilvl w:val="0"/>
          <w:numId w:val="2"/>
        </w:numPr>
        <w:spacing w:after="0" w:line="240" w:lineRule="auto"/>
        <w:ind w:left="714" w:hanging="357"/>
        <w:jc w:val="both"/>
        <w:rPr>
          <w:rFonts w:cs="Arial"/>
        </w:rPr>
      </w:pPr>
      <w:r>
        <w:rPr>
          <w:rFonts w:cs="Arial"/>
        </w:rPr>
        <w:t>Young Epilepsy</w:t>
      </w:r>
    </w:p>
    <w:p w:rsidR="00997990" w:rsidP="00E87F1E" w:rsidRDefault="00997990" w14:paraId="15EA1F45" w14:textId="2280148C">
      <w:pPr>
        <w:pStyle w:val="BodyText"/>
        <w:jc w:val="both"/>
        <w:rPr>
          <w:rFonts w:cs="Arial"/>
        </w:rPr>
      </w:pPr>
      <w:r>
        <w:rPr>
          <w:rFonts w:cs="Arial"/>
        </w:rPr>
        <w:br/>
      </w:r>
      <w:r>
        <w:rPr>
          <w:rFonts w:cs="Arial"/>
        </w:rPr>
        <w:t>(</w:t>
      </w:r>
      <w:r w:rsidRPr="00A72AFE">
        <w:rPr>
          <w:rFonts w:cs="Arial"/>
        </w:rPr>
        <w:t>https://www.nice.org.uk/guidance/gid-ta10653/documents/final-matrix</w:t>
      </w:r>
      <w:r>
        <w:rPr>
          <w:rFonts w:cs="Arial"/>
        </w:rPr>
        <w:t>)</w:t>
      </w:r>
    </w:p>
    <w:p w:rsidR="003776DF" w:rsidP="00E87F1E" w:rsidRDefault="003776DF" w14:paraId="42CC140A" w14:textId="1AACB050">
      <w:pPr>
        <w:pStyle w:val="BodyText"/>
        <w:jc w:val="both"/>
        <w:rPr>
          <w:rFonts w:cs="Arial"/>
        </w:rPr>
      </w:pPr>
      <w:r>
        <w:rPr>
          <w:rFonts w:cs="Arial"/>
        </w:rPr>
        <w:t>I understand that in th</w:t>
      </w:r>
      <w:r w:rsidR="00815F9E">
        <w:rPr>
          <w:rFonts w:cs="Arial"/>
        </w:rPr>
        <w:t>is</w:t>
      </w:r>
      <w:r>
        <w:rPr>
          <w:rFonts w:cs="Arial"/>
        </w:rPr>
        <w:t xml:space="preserve"> ev</w:t>
      </w:r>
      <w:r w:rsidR="00815F9E">
        <w:rPr>
          <w:rFonts w:cs="Arial"/>
        </w:rPr>
        <w:t xml:space="preserve">aluation, </w:t>
      </w:r>
      <w:r>
        <w:rPr>
          <w:rFonts w:cs="Arial"/>
        </w:rPr>
        <w:t>the TSA was the only patient/carer group to participate in the process; however I do not understand you to be arguing that the</w:t>
      </w:r>
      <w:r w:rsidR="00815F9E">
        <w:rPr>
          <w:rFonts w:cs="Arial"/>
        </w:rPr>
        <w:t>re</w:t>
      </w:r>
      <w:r>
        <w:rPr>
          <w:rFonts w:cs="Arial"/>
        </w:rPr>
        <w:t xml:space="preserve"> was in fact a procedural failure to invite other patient groups to do so.</w:t>
      </w:r>
    </w:p>
    <w:p w:rsidR="003776DF" w:rsidP="00E87F1E" w:rsidRDefault="003776DF" w14:paraId="5D544B48" w14:textId="2C3D3DD8">
      <w:pPr>
        <w:pStyle w:val="BodyText"/>
        <w:jc w:val="both"/>
        <w:rPr>
          <w:rFonts w:cs="Arial"/>
        </w:rPr>
      </w:pPr>
      <w:r>
        <w:rPr>
          <w:rFonts w:cs="Arial"/>
        </w:rPr>
        <w:t xml:space="preserve">I also understand that the Committee heard from patient experts (see for example, paragraph 3.14 of the FDG), </w:t>
      </w:r>
      <w:r w:rsidR="00086FC6">
        <w:rPr>
          <w:rFonts w:cs="Arial"/>
        </w:rPr>
        <w:t>and that Lisa Suchet, a patient expert nominated by the TSA</w:t>
      </w:r>
      <w:r w:rsidR="00C322FF">
        <w:rPr>
          <w:rFonts w:cs="Arial"/>
        </w:rPr>
        <w:t>,</w:t>
      </w:r>
      <w:r w:rsidR="00086FC6">
        <w:rPr>
          <w:rFonts w:cs="Arial"/>
        </w:rPr>
        <w:t xml:space="preserve"> attended the committee meeting on 6 March 2024.  </w:t>
      </w:r>
      <w:r>
        <w:rPr>
          <w:rFonts w:cs="Arial"/>
        </w:rPr>
        <w:t>I do not understand you to be arguing that there was a procedural failure to consider nominations for patient expert(s) or to appoint one or more patient experts.</w:t>
      </w:r>
    </w:p>
    <w:p w:rsidR="00997990" w:rsidP="00E87F1E" w:rsidRDefault="00696927" w14:paraId="7DC7B5B9" w14:textId="105812EA">
      <w:pPr>
        <w:pStyle w:val="BodyText"/>
        <w:jc w:val="both"/>
        <w:rPr>
          <w:rFonts w:cs="Arial"/>
        </w:rPr>
      </w:pPr>
      <w:r>
        <w:rPr>
          <w:rFonts w:cs="Arial"/>
        </w:rPr>
        <w:t xml:space="preserve">That being the case, I do not </w:t>
      </w:r>
      <w:r w:rsidR="003776DF">
        <w:rPr>
          <w:rFonts w:cs="Arial"/>
        </w:rPr>
        <w:t xml:space="preserve">currently </w:t>
      </w:r>
      <w:r>
        <w:rPr>
          <w:rFonts w:cs="Arial"/>
        </w:rPr>
        <w:t>think it is arguable that NICE's approach was procedurally unfair in this regard.</w:t>
      </w:r>
      <w:r w:rsidR="003776DF">
        <w:rPr>
          <w:rFonts w:cs="Arial"/>
        </w:rPr>
        <w:t xml:space="preserve">  I invite TSA to provide further details as requested at the end of this letter, particularly if I have misunderstood any aspect of TSA's proposed appeal point.</w:t>
      </w:r>
    </w:p>
    <w:p w:rsidR="00AA6EA2" w:rsidP="00AA6EA2" w:rsidRDefault="00AA6EA2" w14:paraId="31B79EB3" w14:textId="743CAD85">
      <w:pPr>
        <w:spacing w:before="240" w:after="240" w:line="276" w:lineRule="auto"/>
        <w:jc w:val="both"/>
        <w:rPr>
          <w:rFonts w:cs="Arial"/>
          <w:b/>
          <w:color w:val="auto"/>
          <w:u w:val="single"/>
        </w:rPr>
      </w:pPr>
      <w:r w:rsidRPr="00DD7697">
        <w:rPr>
          <w:rFonts w:cs="Arial"/>
          <w:b/>
          <w:color w:val="auto"/>
          <w:u w:val="single"/>
        </w:rPr>
        <w:t xml:space="preserve">Appeal point </w:t>
      </w:r>
      <w:r>
        <w:rPr>
          <w:rFonts w:cs="Arial"/>
          <w:b/>
          <w:color w:val="auto"/>
          <w:u w:val="single"/>
        </w:rPr>
        <w:t>1(a)</w:t>
      </w:r>
      <w:r w:rsidRPr="006F5822">
        <w:rPr>
          <w:rFonts w:cs="Arial"/>
          <w:b/>
          <w:color w:val="auto"/>
          <w:u w:val="single"/>
        </w:rPr>
        <w:t>.</w:t>
      </w:r>
      <w:r w:rsidR="00DF55AA">
        <w:rPr>
          <w:rFonts w:cs="Arial"/>
          <w:b/>
          <w:color w:val="auto"/>
          <w:u w:val="single"/>
        </w:rPr>
        <w:t>2</w:t>
      </w:r>
      <w:r>
        <w:rPr>
          <w:rFonts w:cs="Arial"/>
          <w:b/>
          <w:color w:val="auto"/>
          <w:u w:val="single"/>
        </w:rPr>
        <w:t xml:space="preserve">: </w:t>
      </w:r>
      <w:r w:rsidRPr="00DF55AA" w:rsidR="00DF55AA">
        <w:rPr>
          <w:rFonts w:cs="Arial"/>
          <w:b/>
          <w:color w:val="auto"/>
          <w:u w:val="single"/>
        </w:rPr>
        <w:t>The committee compares Fenfluramine versus not having Fenfluramine –usual standard of care and refusal to base its recommendations on a comparison with cannabidiol plus clobazam (feedback received from SUDEP Action)</w:t>
      </w:r>
    </w:p>
    <w:p w:rsidR="00754ABF" w:rsidP="00AA6EA2" w:rsidRDefault="00AA6EA2" w14:paraId="2A2AF665" w14:textId="77777777">
      <w:pPr>
        <w:pStyle w:val="BodyText"/>
        <w:jc w:val="both"/>
        <w:rPr>
          <w:rFonts w:cs="Arial"/>
          <w:color w:val="auto"/>
        </w:rPr>
      </w:pPr>
      <w:r w:rsidRPr="00DD7697">
        <w:rPr>
          <w:rFonts w:cs="Arial"/>
          <w:color w:val="auto"/>
        </w:rPr>
        <w:t xml:space="preserve">I </w:t>
      </w:r>
      <w:r w:rsidRPr="000C23CA">
        <w:rPr>
          <w:rFonts w:cs="Arial"/>
          <w:color w:val="auto"/>
        </w:rPr>
        <w:t>am minded to refer this appeal point to the Appeal Panel.</w:t>
      </w:r>
      <w:r w:rsidRPr="00DD7697">
        <w:rPr>
          <w:rFonts w:cs="Arial"/>
          <w:color w:val="auto"/>
        </w:rPr>
        <w:t xml:space="preserve">  </w:t>
      </w:r>
      <w:r>
        <w:rPr>
          <w:rFonts w:cs="Arial"/>
          <w:color w:val="auto"/>
        </w:rPr>
        <w:t xml:space="preserve"> </w:t>
      </w:r>
    </w:p>
    <w:p w:rsidRPr="00754ABF" w:rsidR="00AA6EA2" w:rsidP="00754ABF" w:rsidRDefault="004E5A54" w14:paraId="6C50188F" w14:textId="3CACA2F8">
      <w:pPr>
        <w:pStyle w:val="BodyText"/>
        <w:jc w:val="both"/>
        <w:rPr>
          <w:rFonts w:cs="Arial"/>
          <w:color w:val="auto"/>
        </w:rPr>
      </w:pPr>
      <w:r>
        <w:rPr>
          <w:rFonts w:cs="Arial"/>
          <w:color w:val="auto"/>
        </w:rPr>
        <w:t>I reach this initial view on the basis that I understand from your appeal letter that</w:t>
      </w:r>
      <w:r w:rsidR="00754ABF">
        <w:rPr>
          <w:rFonts w:cs="Arial"/>
          <w:color w:val="auto"/>
        </w:rPr>
        <w:t xml:space="preserve"> </w:t>
      </w:r>
      <w:r>
        <w:rPr>
          <w:rFonts w:cs="Arial"/>
          <w:color w:val="auto"/>
        </w:rPr>
        <w:t xml:space="preserve">the draft guidance </w:t>
      </w:r>
      <w:r w:rsidR="00754ABF">
        <w:rPr>
          <w:rFonts w:cs="Arial"/>
          <w:color w:val="auto"/>
        </w:rPr>
        <w:t>published for consultation on 31 January 2024 (after the first committee meeting) stated in its introductory section that "</w:t>
      </w:r>
      <w:r w:rsidRPr="00754ABF" w:rsidR="00754ABF">
        <w:rPr>
          <w:rFonts w:cs="Arial"/>
          <w:i/>
          <w:iCs/>
          <w:color w:val="auto"/>
        </w:rPr>
        <w:t>an indirect comparison suggested that fenfluramine may be more effective than cannabidiol plus clobazam in reducing the number of drop seizures.</w:t>
      </w:r>
      <w:r w:rsidR="00754ABF">
        <w:rPr>
          <w:rFonts w:cs="Arial"/>
          <w:color w:val="auto"/>
        </w:rPr>
        <w:t>"  By contrast, the comparable wording of the introductory section of the final draft guidance published after the second committee meeting states that "</w:t>
      </w:r>
      <w:r w:rsidRPr="00754ABF" w:rsidR="00754ABF">
        <w:rPr>
          <w:rFonts w:cs="Arial"/>
          <w:i/>
          <w:iCs/>
          <w:color w:val="auto"/>
        </w:rPr>
        <w:t>[t]he results of an indirect comparison comparing fenfluramine with cannabidiol plus clobazam are uncertain.</w:t>
      </w:r>
      <w:r w:rsidRPr="00754ABF" w:rsidR="00754ABF">
        <w:rPr>
          <w:rFonts w:cs="Arial"/>
          <w:color w:val="auto"/>
        </w:rPr>
        <w:t>"</w:t>
      </w:r>
    </w:p>
    <w:p w:rsidRPr="00754ABF" w:rsidR="00754ABF" w:rsidP="00754ABF" w:rsidRDefault="00754ABF" w14:paraId="4F0F0EF5" w14:textId="51FFDA5B">
      <w:pPr>
        <w:pStyle w:val="BodyText"/>
        <w:jc w:val="both"/>
        <w:rPr>
          <w:rFonts w:cs="Arial"/>
          <w:color w:val="auto"/>
        </w:rPr>
      </w:pPr>
      <w:r w:rsidRPr="00754ABF">
        <w:rPr>
          <w:rFonts w:cs="Arial"/>
          <w:color w:val="auto"/>
        </w:rPr>
        <w:t>You say that this change is unexplained and inexplicable.  I agree that this is arguably unfair.</w:t>
      </w:r>
    </w:p>
    <w:p w:rsidR="00DF55AA" w:rsidP="00AA6EA2" w:rsidRDefault="007F080D" w14:paraId="69F33193" w14:textId="66C4C953">
      <w:pPr>
        <w:pStyle w:val="BodyText"/>
        <w:jc w:val="both"/>
        <w:rPr>
          <w:rFonts w:cs="Arial"/>
          <w:b/>
          <w:bCs/>
          <w:i/>
          <w:iCs/>
        </w:rPr>
      </w:pPr>
      <w:r w:rsidRPr="007F080D">
        <w:rPr>
          <w:rFonts w:cs="Arial"/>
          <w:b/>
          <w:bCs/>
          <w:i/>
          <w:iCs/>
        </w:rPr>
        <w:t>Ground 1(b): In making the assessment that preceded the recommendation, NICE has exceeded its powers</w:t>
      </w:r>
    </w:p>
    <w:p w:rsidRPr="008E6754" w:rsidR="007F080D" w:rsidP="00AA6EA2" w:rsidRDefault="008E6754" w14:paraId="25443AA1" w14:textId="3D5506BE">
      <w:pPr>
        <w:pStyle w:val="BodyText"/>
        <w:jc w:val="both"/>
        <w:rPr>
          <w:rFonts w:cs="Arial"/>
          <w:b/>
          <w:color w:val="auto"/>
          <w:u w:val="single"/>
        </w:rPr>
      </w:pPr>
      <w:r w:rsidRPr="008E6754">
        <w:rPr>
          <w:rFonts w:cs="Arial"/>
          <w:b/>
          <w:color w:val="auto"/>
          <w:u w:val="single"/>
        </w:rPr>
        <w:t>Ground 1b (1): In making the assessment that preceded the recommendation, NICE has failed to fully explore health inequalities</w:t>
      </w:r>
    </w:p>
    <w:p w:rsidR="000606FA" w:rsidP="009C6455" w:rsidRDefault="009C6455" w14:paraId="0B02A73F" w14:textId="78CEE4E0">
      <w:pPr>
        <w:pStyle w:val="BodyText"/>
        <w:jc w:val="both"/>
        <w:rPr>
          <w:rFonts w:cs="Arial"/>
        </w:rPr>
      </w:pPr>
      <w:r w:rsidRPr="00335D20">
        <w:rPr>
          <w:rFonts w:cs="Arial"/>
          <w:color w:val="auto"/>
        </w:rPr>
        <w:t>I am not minded</w:t>
      </w:r>
      <w:r w:rsidRPr="00DD7697">
        <w:rPr>
          <w:rFonts w:cs="Arial"/>
          <w:color w:val="auto"/>
        </w:rPr>
        <w:t xml:space="preserve"> to refer this appeal point to the Appeal Panel.  </w:t>
      </w:r>
      <w:r>
        <w:rPr>
          <w:rFonts w:cs="Arial"/>
          <w:color w:val="auto"/>
        </w:rPr>
        <w:t xml:space="preserve"> </w:t>
      </w:r>
    </w:p>
    <w:p w:rsidR="009C6455" w:rsidP="009C6455" w:rsidRDefault="00843CE1" w14:paraId="769BAC94" w14:textId="374C7A8D">
      <w:pPr>
        <w:pStyle w:val="BodyText"/>
        <w:jc w:val="both"/>
        <w:rPr>
          <w:rFonts w:cs="Arial"/>
        </w:rPr>
      </w:pPr>
      <w:r>
        <w:rPr>
          <w:rFonts w:cs="Arial"/>
        </w:rPr>
        <w:t xml:space="preserve">For referral under ground 1b, an appeal point must demonstrate an arguable breach of NICE's legal duties.  Your letter does not set out any arguable breach of NICE's duties.  I note that you say that having acknowledged that there is an unmet need for treatments that reduce the number of drop seizures without markedly increasing adverse events, the committee's negative recommendation </w:t>
      </w:r>
      <w:r w:rsidR="00C322FF">
        <w:rPr>
          <w:rFonts w:cs="Arial"/>
        </w:rPr>
        <w:t>"</w:t>
      </w:r>
      <w:r w:rsidRPr="00C322FF">
        <w:rPr>
          <w:rFonts w:cs="Arial"/>
          <w:i/>
          <w:iCs/>
        </w:rPr>
        <w:t>raises large inequality concerns, as LGS community already have limited treatment options available for patients</w:t>
      </w:r>
      <w:r w:rsidR="00C322FF">
        <w:rPr>
          <w:rFonts w:cs="Arial"/>
        </w:rPr>
        <w:t>"</w:t>
      </w:r>
      <w:r>
        <w:rPr>
          <w:rFonts w:cs="Arial"/>
        </w:rPr>
        <w:t xml:space="preserve">.  I cannot see how these statements relate to each other, or any basis for an arguable determination that a negative recommendation following acknowledgement of unmet needs breaches NICE's legal duties.  </w:t>
      </w:r>
    </w:p>
    <w:p w:rsidR="00843CE1" w:rsidP="009C6455" w:rsidRDefault="00843CE1" w14:paraId="6E6FFADF" w14:textId="52B7BCF1">
      <w:pPr>
        <w:pStyle w:val="BodyText"/>
        <w:jc w:val="both"/>
        <w:rPr>
          <w:rFonts w:cs="Arial"/>
        </w:rPr>
      </w:pPr>
      <w:r>
        <w:rPr>
          <w:rFonts w:cs="Arial"/>
        </w:rPr>
        <w:t>I also note that you say that the reasons set out in the FDG are not clear and unambiguous; please provide details of any lack of clarity or ambiguity that you consider leads to an arguable ground for appeal.</w:t>
      </w:r>
    </w:p>
    <w:p w:rsidR="00843CE1" w:rsidP="009C6455" w:rsidRDefault="00843CE1" w14:paraId="1FAEE1B2" w14:textId="729EF947">
      <w:pPr>
        <w:pStyle w:val="BodyText"/>
        <w:jc w:val="both"/>
        <w:rPr>
          <w:rFonts w:cs="Arial"/>
        </w:rPr>
      </w:pPr>
      <w:r>
        <w:rPr>
          <w:rFonts w:cs="Arial"/>
        </w:rPr>
        <w:t xml:space="preserve">Finally, I note that you say the reasons given do not address the difference between NICE's decision to approve fenfluramine for Dravet Syndrome, </w:t>
      </w:r>
      <w:r w:rsidR="00C322FF">
        <w:rPr>
          <w:rFonts w:cs="Arial"/>
        </w:rPr>
        <w:t xml:space="preserve">and the Committee's negative recommendation for fenfluramine for </w:t>
      </w:r>
      <w:r w:rsidRPr="00C322FF" w:rsidR="00C322FF">
        <w:rPr>
          <w:rFonts w:cs="Arial"/>
        </w:rPr>
        <w:t>treating seizures associated with Lennox-</w:t>
      </w:r>
      <w:proofErr w:type="spellStart"/>
      <w:r w:rsidRPr="00C322FF" w:rsidR="00C322FF">
        <w:rPr>
          <w:rFonts w:cs="Arial"/>
        </w:rPr>
        <w:t>Gastaut</w:t>
      </w:r>
      <w:proofErr w:type="spellEnd"/>
      <w:r w:rsidRPr="00C322FF" w:rsidR="00C322FF">
        <w:rPr>
          <w:rFonts w:cs="Arial"/>
        </w:rPr>
        <w:t xml:space="preserve"> Syndrome in people 2 years and over</w:t>
      </w:r>
      <w:r w:rsidR="00C322FF">
        <w:rPr>
          <w:rFonts w:cs="Arial"/>
        </w:rPr>
        <w:t>.</w:t>
      </w:r>
      <w:r>
        <w:rPr>
          <w:rFonts w:cs="Arial"/>
        </w:rPr>
        <w:t xml:space="preserve">  </w:t>
      </w:r>
      <w:r w:rsidR="00086FC6">
        <w:rPr>
          <w:rFonts w:cs="Arial"/>
        </w:rPr>
        <w:t>This is not in itself suggestive of a failure to meet any of NICE's obligations.  It is not unusual for different committees to reach different conclusions on cost and/or clinical effectiveness when considering technologies for different conditions, even where aetiology is similar.</w:t>
      </w:r>
    </w:p>
    <w:p w:rsidRPr="008E6754" w:rsidR="009C6455" w:rsidP="009C6455" w:rsidRDefault="009C6455" w14:paraId="7F5ECACC" w14:textId="35A49CF8">
      <w:pPr>
        <w:pStyle w:val="BodyText"/>
        <w:jc w:val="both"/>
        <w:rPr>
          <w:rFonts w:cs="Arial"/>
          <w:b/>
          <w:color w:val="auto"/>
          <w:u w:val="single"/>
        </w:rPr>
      </w:pPr>
      <w:r w:rsidRPr="008E6754">
        <w:rPr>
          <w:rFonts w:cs="Arial"/>
          <w:b/>
          <w:color w:val="auto"/>
          <w:u w:val="single"/>
        </w:rPr>
        <w:t>Ground 1b (</w:t>
      </w:r>
      <w:r>
        <w:rPr>
          <w:rFonts w:cs="Arial"/>
          <w:b/>
          <w:color w:val="auto"/>
          <w:u w:val="single"/>
        </w:rPr>
        <w:t>2</w:t>
      </w:r>
      <w:r w:rsidRPr="008E6754">
        <w:rPr>
          <w:rFonts w:cs="Arial"/>
          <w:b/>
          <w:color w:val="auto"/>
          <w:u w:val="single"/>
        </w:rPr>
        <w:t xml:space="preserve">): </w:t>
      </w:r>
      <w:r w:rsidRPr="009C6455">
        <w:rPr>
          <w:rFonts w:cs="Arial"/>
          <w:b/>
          <w:color w:val="auto"/>
          <w:u w:val="single"/>
        </w:rPr>
        <w:t>NICE has exceeded its powers by making recommendations that are incompatible with the Human Rights Act 1998</w:t>
      </w:r>
    </w:p>
    <w:p w:rsidR="009C6455" w:rsidP="009C6455" w:rsidRDefault="009C6455" w14:paraId="7296EDCA" w14:textId="75F28369">
      <w:pPr>
        <w:pStyle w:val="BodyText"/>
        <w:jc w:val="both"/>
        <w:rPr>
          <w:rFonts w:cs="Arial"/>
          <w:color w:val="auto"/>
        </w:rPr>
      </w:pPr>
      <w:r w:rsidRPr="00DD7697">
        <w:rPr>
          <w:rFonts w:cs="Arial"/>
          <w:color w:val="auto"/>
        </w:rPr>
        <w:t xml:space="preserve">I </w:t>
      </w:r>
      <w:r w:rsidRPr="00FE45B8">
        <w:rPr>
          <w:rFonts w:cs="Arial"/>
          <w:color w:val="auto"/>
        </w:rPr>
        <w:t>am not</w:t>
      </w:r>
      <w:r w:rsidRPr="00DD7697">
        <w:rPr>
          <w:rFonts w:cs="Arial"/>
          <w:color w:val="auto"/>
        </w:rPr>
        <w:t xml:space="preserve"> minded to refer this appeal point to the Appeal Panel</w:t>
      </w:r>
      <w:r w:rsidR="00FE45B8">
        <w:rPr>
          <w:rFonts w:cs="Arial"/>
          <w:color w:val="auto"/>
        </w:rPr>
        <w:t>.</w:t>
      </w:r>
    </w:p>
    <w:p w:rsidR="00FE45B8" w:rsidP="009C6455" w:rsidRDefault="008721A4" w14:paraId="47977536" w14:textId="57CE0417">
      <w:pPr>
        <w:pStyle w:val="BodyText"/>
        <w:jc w:val="both"/>
        <w:rPr>
          <w:rFonts w:cs="Arial"/>
        </w:rPr>
      </w:pPr>
      <w:r>
        <w:rPr>
          <w:rFonts w:cs="Arial"/>
        </w:rPr>
        <w:t xml:space="preserve">As with ground 1b(1), I have found it difficult to discern the elements of the appeal point being made.  No arguable breach of NICE's obligations under the Human Rights Act 1998 has been identified.  </w:t>
      </w:r>
    </w:p>
    <w:p w:rsidRPr="008E6754" w:rsidR="009C6455" w:rsidP="009C6455" w:rsidRDefault="009C6455" w14:paraId="0F84F9E1" w14:textId="5D573787">
      <w:pPr>
        <w:pStyle w:val="BodyText"/>
        <w:jc w:val="both"/>
        <w:rPr>
          <w:rFonts w:cs="Arial"/>
          <w:b/>
          <w:color w:val="auto"/>
          <w:u w:val="single"/>
        </w:rPr>
      </w:pPr>
      <w:r w:rsidRPr="008E6754">
        <w:rPr>
          <w:rFonts w:cs="Arial"/>
          <w:b/>
          <w:color w:val="auto"/>
          <w:u w:val="single"/>
        </w:rPr>
        <w:t>Ground 1b (</w:t>
      </w:r>
      <w:r w:rsidR="00222E07">
        <w:rPr>
          <w:rFonts w:cs="Arial"/>
          <w:b/>
          <w:color w:val="auto"/>
          <w:u w:val="single"/>
        </w:rPr>
        <w:t>3</w:t>
      </w:r>
      <w:r w:rsidRPr="008E6754">
        <w:rPr>
          <w:rFonts w:cs="Arial"/>
          <w:b/>
          <w:color w:val="auto"/>
          <w:u w:val="single"/>
        </w:rPr>
        <w:t xml:space="preserve">): </w:t>
      </w:r>
      <w:r w:rsidRPr="00222E07" w:rsidR="00222E07">
        <w:rPr>
          <w:rFonts w:cs="Arial"/>
          <w:b/>
          <w:color w:val="auto"/>
          <w:u w:val="single"/>
        </w:rPr>
        <w:t>NICE has exceeded its powers by making recommendations that are incompatible with the public sector equality duty (feedback received from SUDEP Action)</w:t>
      </w:r>
    </w:p>
    <w:p w:rsidR="00FE45B8" w:rsidP="009C6455" w:rsidRDefault="009C6455" w14:paraId="69ABF4A4" w14:textId="77777777">
      <w:pPr>
        <w:pStyle w:val="BodyText"/>
        <w:jc w:val="both"/>
        <w:rPr>
          <w:rFonts w:cs="Arial"/>
          <w:color w:val="auto"/>
        </w:rPr>
      </w:pPr>
      <w:r w:rsidRPr="0019176B">
        <w:rPr>
          <w:rFonts w:cs="Arial"/>
          <w:color w:val="auto"/>
        </w:rPr>
        <w:t>I am not minded</w:t>
      </w:r>
      <w:r w:rsidRPr="00DD7697">
        <w:rPr>
          <w:rFonts w:cs="Arial"/>
          <w:color w:val="auto"/>
        </w:rPr>
        <w:t xml:space="preserve"> to refer this appeal point to the Appeal Panel. </w:t>
      </w:r>
    </w:p>
    <w:p w:rsidR="00C5126F" w:rsidP="00C5126F" w:rsidRDefault="00C5126F" w14:paraId="25DEFBD1" w14:textId="7B272624">
      <w:pPr>
        <w:pStyle w:val="SchedClauses"/>
        <w:widowControl w:val="0"/>
        <w:spacing w:before="200" w:after="60" w:line="240" w:lineRule="auto"/>
        <w:jc w:val="both"/>
        <w:rPr>
          <w:rFonts w:cs="Arial"/>
        </w:rPr>
      </w:pPr>
      <w:r>
        <w:rPr>
          <w:rFonts w:cs="Arial"/>
        </w:rPr>
        <w:t>As with grounds 1b</w:t>
      </w:r>
      <w:r w:rsidR="00815F9E">
        <w:rPr>
          <w:rFonts w:cs="Arial"/>
        </w:rPr>
        <w:t xml:space="preserve"> </w:t>
      </w:r>
      <w:r>
        <w:rPr>
          <w:rFonts w:cs="Arial"/>
        </w:rPr>
        <w:t xml:space="preserve">(1) and (2), I have found it difficult to discern the elements of the appeal point being made.  </w:t>
      </w:r>
    </w:p>
    <w:p w:rsidR="00C5126F" w:rsidP="00C5126F" w:rsidRDefault="00C5126F" w14:paraId="18196FCA" w14:textId="4F1A62D6">
      <w:pPr>
        <w:pStyle w:val="SchedClauses"/>
        <w:widowControl w:val="0"/>
        <w:spacing w:before="200" w:after="60" w:line="240" w:lineRule="auto"/>
        <w:jc w:val="both"/>
        <w:rPr>
          <w:color w:val="auto"/>
          <w:lang w:eastAsia="en-GB"/>
        </w:rPr>
      </w:pPr>
      <w:r>
        <w:rPr>
          <w:rFonts w:cs="Arial"/>
        </w:rPr>
        <w:t>The public sector equality duty obliges NICE</w:t>
      </w:r>
      <w:r>
        <w:t>: “</w:t>
      </w:r>
      <w:r>
        <w:rPr>
          <w:i/>
          <w:iCs/>
        </w:rPr>
        <w:t>in the exercise of its functions, to have due regard to the need to— eliminate discrimination, …and any other conduct that is prohibited by or under the Equality Act; and advance equality of opportunity between persons who share a relevant protected characteristic and persons who do not share it.</w:t>
      </w:r>
      <w:r>
        <w:t xml:space="preserve">” </w:t>
      </w:r>
    </w:p>
    <w:p w:rsidR="00C5126F" w:rsidP="00C5126F" w:rsidRDefault="00C5126F" w14:paraId="22E25228" w14:textId="77777777">
      <w:pPr>
        <w:pStyle w:val="SchedClauses"/>
        <w:widowControl w:val="0"/>
        <w:spacing w:before="200" w:after="60" w:line="240" w:lineRule="auto"/>
        <w:jc w:val="both"/>
      </w:pPr>
      <w:r>
        <w:t xml:space="preserve">In so doing, NICE must have </w:t>
      </w:r>
      <w:r>
        <w:rPr>
          <w:i/>
          <w:iCs/>
        </w:rPr>
        <w:t>due regard</w:t>
      </w:r>
      <w:r>
        <w:t xml:space="preserve">, in particular, to the needs to: </w:t>
      </w:r>
    </w:p>
    <w:p w:rsidR="00C5126F" w:rsidP="00C5126F" w:rsidRDefault="00C5126F" w14:paraId="5F767DBB" w14:textId="77777777">
      <w:pPr>
        <w:pStyle w:val="DocSpace"/>
        <w:widowControl w:val="0"/>
        <w:numPr>
          <w:ilvl w:val="0"/>
          <w:numId w:val="36"/>
        </w:numPr>
        <w:spacing w:before="200" w:after="60" w:line="240" w:lineRule="auto"/>
        <w:jc w:val="both"/>
      </w:pPr>
      <w:r>
        <w:t xml:space="preserve">remove or minimise disadvantages suffered by persons who share a relevant protected characteristic that are connected to that characteristic; and </w:t>
      </w:r>
    </w:p>
    <w:p w:rsidR="00C5126F" w:rsidP="00C5126F" w:rsidRDefault="00C5126F" w14:paraId="5FC2476C" w14:textId="77777777">
      <w:pPr>
        <w:pStyle w:val="DocSpace"/>
        <w:widowControl w:val="0"/>
        <w:numPr>
          <w:ilvl w:val="0"/>
          <w:numId w:val="36"/>
        </w:numPr>
        <w:spacing w:before="200" w:after="60" w:line="240" w:lineRule="auto"/>
        <w:jc w:val="both"/>
      </w:pPr>
      <w:r>
        <w:t xml:space="preserve">take steps to meet the needs of persons who share a relevant protected characteristic that are different from the needs of persons who do not share it. </w:t>
      </w:r>
    </w:p>
    <w:p w:rsidR="00C5126F" w:rsidP="00C5126F" w:rsidRDefault="00C5126F" w14:paraId="10C0678E" w14:textId="796AA570">
      <w:pPr>
        <w:pStyle w:val="DocSpace"/>
        <w:widowControl w:val="0"/>
        <w:spacing w:before="200" w:after="60" w:line="240" w:lineRule="auto"/>
        <w:jc w:val="both"/>
      </w:pPr>
      <w:r>
        <w:t>TSA has the opportunity to respond to this letter before I make my final decision on referral; I would invite you to explain how specifically you consider that NICE's conduct of the evaluation has breached the public sector equality duty.</w:t>
      </w:r>
    </w:p>
    <w:p w:rsidRPr="007A7F07" w:rsidR="00B62869" w:rsidP="00B62869" w:rsidRDefault="007A7F07" w14:paraId="25FB955A" w14:textId="4DC048D1">
      <w:pPr>
        <w:spacing w:before="240" w:after="240" w:line="276" w:lineRule="auto"/>
        <w:jc w:val="both"/>
        <w:rPr>
          <w:rFonts w:cs="Arial"/>
          <w:b/>
          <w:i/>
          <w:color w:val="auto"/>
        </w:rPr>
      </w:pPr>
      <w:r>
        <w:rPr>
          <w:rFonts w:cs="Arial"/>
          <w:b/>
          <w:i/>
          <w:color w:val="auto"/>
        </w:rPr>
        <w:t>G</w:t>
      </w:r>
      <w:r w:rsidRPr="00E87F1E" w:rsidR="00491045">
        <w:rPr>
          <w:rFonts w:cs="Arial"/>
          <w:b/>
          <w:i/>
          <w:color w:val="auto"/>
        </w:rPr>
        <w:t xml:space="preserve">round 2: </w:t>
      </w:r>
      <w:r w:rsidRPr="00E87F1E" w:rsidR="00B62869">
        <w:rPr>
          <w:rFonts w:cs="Arial"/>
          <w:b/>
          <w:i/>
          <w:color w:val="auto"/>
        </w:rPr>
        <w:t>the recommendation is unreasonable in the light of the evidence submitted to NIC</w:t>
      </w:r>
    </w:p>
    <w:p w:rsidRPr="00EE7C41" w:rsidR="00491045" w:rsidP="000F07F9" w:rsidRDefault="00B62869" w14:paraId="41564A14" w14:textId="6068C158">
      <w:pPr>
        <w:pStyle w:val="Paragraph"/>
        <w:numPr>
          <w:ilvl w:val="0"/>
          <w:numId w:val="0"/>
        </w:numPr>
        <w:jc w:val="both"/>
        <w:rPr>
          <w:rFonts w:cs="Arial"/>
          <w:b/>
          <w:u w:val="single"/>
        </w:rPr>
      </w:pPr>
      <w:r w:rsidRPr="00EE7C41">
        <w:rPr>
          <w:rFonts w:cs="Arial"/>
          <w:b/>
          <w:sz w:val="20"/>
          <w:szCs w:val="20"/>
          <w:u w:val="single"/>
        </w:rPr>
        <w:t xml:space="preserve">Appeal point 2.1: </w:t>
      </w:r>
      <w:r w:rsidRPr="00F920C2" w:rsidR="00F920C2">
        <w:rPr>
          <w:rFonts w:cs="Arial"/>
          <w:b/>
          <w:sz w:val="20"/>
          <w:szCs w:val="20"/>
          <w:u w:val="single"/>
        </w:rPr>
        <w:t>Despite the Appraisal Committee recognising and acknowledging a large unmet need within the LGS patient committee, along with the fact that fenfluramine is already recommended as an add</w:t>
      </w:r>
      <w:r w:rsidRPr="00F920C2" w:rsidR="00F920C2">
        <w:rPr>
          <w:rFonts w:ascii="Cambria Math" w:hAnsi="Cambria Math" w:cs="Cambria Math"/>
          <w:b/>
          <w:sz w:val="20"/>
          <w:szCs w:val="20"/>
          <w:u w:val="single"/>
        </w:rPr>
        <w:t>‑</w:t>
      </w:r>
      <w:r w:rsidRPr="00F920C2" w:rsidR="00F920C2">
        <w:rPr>
          <w:rFonts w:cs="Arial"/>
          <w:b/>
          <w:sz w:val="20"/>
          <w:szCs w:val="20"/>
          <w:u w:val="single"/>
        </w:rPr>
        <w:t>on to other antiseizure medicines for treating seizures associated with Dravet syndrome in people aged 2 years and older, it is unfair that patients with LGS with similar aetiology will not have access to a new treatment option.</w:t>
      </w:r>
    </w:p>
    <w:p w:rsidR="00ED745D" w:rsidP="00491045" w:rsidRDefault="00491045" w14:paraId="2EADD3C7" w14:textId="77777777">
      <w:pPr>
        <w:pStyle w:val="BodyText"/>
        <w:jc w:val="both"/>
        <w:rPr>
          <w:rFonts w:cs="Arial"/>
          <w:color w:val="auto"/>
        </w:rPr>
      </w:pPr>
      <w:r w:rsidRPr="0019176B">
        <w:rPr>
          <w:rFonts w:cs="Arial"/>
          <w:color w:val="auto"/>
        </w:rPr>
        <w:t>I am not minded</w:t>
      </w:r>
      <w:r w:rsidRPr="00DD7697">
        <w:rPr>
          <w:rFonts w:cs="Arial"/>
          <w:color w:val="auto"/>
        </w:rPr>
        <w:t xml:space="preserve"> to refer this appeal point to the Appeal Panel</w:t>
      </w:r>
      <w:r w:rsidR="00ED745D">
        <w:rPr>
          <w:rFonts w:cs="Arial"/>
          <w:color w:val="auto"/>
        </w:rPr>
        <w:t>.</w:t>
      </w:r>
    </w:p>
    <w:p w:rsidR="00491045" w:rsidP="00491045" w:rsidRDefault="00534486" w14:paraId="2664B26B" w14:textId="2F88BDC5">
      <w:pPr>
        <w:pStyle w:val="BodyText"/>
        <w:jc w:val="both"/>
        <w:rPr>
          <w:rFonts w:cs="Arial"/>
        </w:rPr>
      </w:pPr>
      <w:r>
        <w:rPr>
          <w:rFonts w:cs="Arial"/>
        </w:rPr>
        <w:t>That is because</w:t>
      </w:r>
      <w:r w:rsidR="00C5126F">
        <w:rPr>
          <w:rFonts w:cs="Arial"/>
        </w:rPr>
        <w:t xml:space="preserve"> it is not clear to me from your letter how you consider the Committee's recommendation to be arguably unreasonable.  NICE's </w:t>
      </w:r>
      <w:r w:rsidRPr="00ED4AF2" w:rsidR="00C5126F">
        <w:rPr>
          <w:rFonts w:cs="Arial"/>
        </w:rPr>
        <w:t>Guide to the technology appraisal and HST appeal process</w:t>
      </w:r>
      <w:r w:rsidR="00C5126F">
        <w:rPr>
          <w:rFonts w:cs="Arial"/>
        </w:rPr>
        <w:t xml:space="preserve"> explains </w:t>
      </w:r>
      <w:r w:rsidR="00ED4AF2">
        <w:rPr>
          <w:rFonts w:cs="Arial"/>
        </w:rPr>
        <w:t>in section 4.3 what is meant by 'unreasonable' in the context of an appeal:</w:t>
      </w:r>
    </w:p>
    <w:p w:rsidRPr="00ED4AF2" w:rsidR="00ED4AF2" w:rsidP="00ED4AF2" w:rsidRDefault="00ED4AF2" w14:paraId="61D65FC6" w14:textId="77777777">
      <w:pPr>
        <w:pStyle w:val="BodyText"/>
        <w:ind w:left="720"/>
        <w:jc w:val="both"/>
        <w:rPr>
          <w:rFonts w:cs="Arial"/>
          <w:i/>
          <w:iCs/>
        </w:rPr>
      </w:pPr>
      <w:r w:rsidRPr="00ED4AF2">
        <w:rPr>
          <w:rFonts w:cs="Arial"/>
          <w:i/>
          <w:iCs/>
        </w:rPr>
        <w:t>Draft guidance is produced after a formal evaluation process that includes structured evidence gathering, consultation, expert input and consideration by a broad-based committee. The appeal process cannot replicate those steps. Therefore, the properly exercised and reasonable judgement of a committee must be respected and NICE will not accept an appeal simply because a consultee disagrees with the views or conclusions in the final draft guidance.</w:t>
      </w:r>
    </w:p>
    <w:p w:rsidRPr="00ED4AF2" w:rsidR="00ED4AF2" w:rsidP="00ED4AF2" w:rsidRDefault="00ED4AF2" w14:paraId="78252B4F" w14:textId="77777777">
      <w:pPr>
        <w:pStyle w:val="BodyText"/>
        <w:ind w:left="720"/>
        <w:jc w:val="both"/>
        <w:rPr>
          <w:rFonts w:cs="Arial"/>
        </w:rPr>
      </w:pPr>
      <w:r w:rsidRPr="00ED4AF2">
        <w:rPr>
          <w:rFonts w:cs="Arial"/>
          <w:i/>
          <w:iCs/>
        </w:rPr>
        <w:t>However, a consultee may appeal if they consider that the recommendations in the final draft guidance cannot reasonably be justified from the evidence presented to the committee. This ground means that the guidance is obviously and unarguably wrong, illogical, or 'does not add up'. The appeal panel will not make its own judgements about the technology, but it will review the committee's decisions to see if they can reasonably be justified, based on the evidence that was available to the committee.</w:t>
      </w:r>
    </w:p>
    <w:p w:rsidR="00ED4AF2" w:rsidP="00491045" w:rsidRDefault="00ED4AF2" w14:paraId="3C01F359" w14:textId="329AB563">
      <w:pPr>
        <w:pStyle w:val="BodyText"/>
        <w:jc w:val="both"/>
        <w:rPr>
          <w:rFonts w:cs="Arial"/>
        </w:rPr>
      </w:pPr>
      <w:r>
        <w:rPr>
          <w:rFonts w:cs="Arial"/>
        </w:rPr>
        <w:t>Your letter highlights a number of points that were considered and appear to have been well understood by the Committee in reaching their recommendation.  I cannot see any basis in your appeal letter for an arguable determination that the recommendation was unreasonable.  As noted above, I would invite you in any response to this letter to explain why, in your view, the Committee's conclusion was obviously wrong, illogical, or otherwise does not add up.</w:t>
      </w:r>
    </w:p>
    <w:p w:rsidRPr="00EE7C41" w:rsidR="00F920C2" w:rsidP="00F920C2" w:rsidRDefault="00F920C2" w14:paraId="16FE1451" w14:textId="0D932A14">
      <w:pPr>
        <w:pStyle w:val="Paragraph"/>
        <w:numPr>
          <w:ilvl w:val="0"/>
          <w:numId w:val="0"/>
        </w:numPr>
        <w:jc w:val="both"/>
        <w:rPr>
          <w:rFonts w:cs="Arial"/>
          <w:b/>
          <w:u w:val="single"/>
        </w:rPr>
      </w:pPr>
      <w:r w:rsidRPr="00EE7C41">
        <w:rPr>
          <w:rFonts w:cs="Arial"/>
          <w:b/>
          <w:sz w:val="20"/>
          <w:szCs w:val="20"/>
          <w:u w:val="single"/>
        </w:rPr>
        <w:t>Appeal point 2.</w:t>
      </w:r>
      <w:r>
        <w:rPr>
          <w:rFonts w:cs="Arial"/>
          <w:b/>
          <w:sz w:val="20"/>
          <w:szCs w:val="20"/>
          <w:u w:val="single"/>
        </w:rPr>
        <w:t>2</w:t>
      </w:r>
      <w:r w:rsidRPr="00EE7C41">
        <w:rPr>
          <w:rFonts w:cs="Arial"/>
          <w:b/>
          <w:sz w:val="20"/>
          <w:szCs w:val="20"/>
          <w:u w:val="single"/>
        </w:rPr>
        <w:t xml:space="preserve">: </w:t>
      </w:r>
      <w:r w:rsidRPr="00F920C2">
        <w:rPr>
          <w:rFonts w:cs="Arial"/>
          <w:b/>
          <w:sz w:val="20"/>
          <w:szCs w:val="20"/>
          <w:u w:val="single"/>
        </w:rPr>
        <w:t>The Appraisal Committee’s refusal to consider the use of fenfluramine was based on an error and therefore cannot reasonably be justified in the light of the evidence submitted (feedback received from SUDEP Action)</w:t>
      </w:r>
    </w:p>
    <w:p w:rsidR="0019176B" w:rsidP="00F920C2" w:rsidRDefault="00F920C2" w14:paraId="3C8D143F" w14:textId="0B4E971F">
      <w:pPr>
        <w:pStyle w:val="BodyText"/>
        <w:jc w:val="both"/>
        <w:rPr>
          <w:rFonts w:cs="Arial"/>
          <w:color w:val="auto"/>
        </w:rPr>
      </w:pPr>
      <w:r w:rsidRPr="0019176B">
        <w:rPr>
          <w:rFonts w:cs="Arial"/>
          <w:color w:val="auto"/>
        </w:rPr>
        <w:t>I am minded</w:t>
      </w:r>
      <w:r w:rsidRPr="00DD7697">
        <w:rPr>
          <w:rFonts w:cs="Arial"/>
          <w:color w:val="auto"/>
        </w:rPr>
        <w:t xml:space="preserve"> to refer this appeal point to the Appeal Panel.  </w:t>
      </w:r>
      <w:r>
        <w:rPr>
          <w:rFonts w:cs="Arial"/>
          <w:color w:val="auto"/>
        </w:rPr>
        <w:t xml:space="preserve"> </w:t>
      </w:r>
    </w:p>
    <w:p w:rsidR="00ED4AF2" w:rsidP="00F920C2" w:rsidRDefault="00ED4AF2" w14:paraId="3CDB42BD" w14:textId="1FEE18B9">
      <w:pPr>
        <w:pStyle w:val="BodyText"/>
        <w:jc w:val="both"/>
        <w:rPr>
          <w:rFonts w:cs="Arial"/>
        </w:rPr>
      </w:pPr>
      <w:r>
        <w:rPr>
          <w:rFonts w:cs="Arial"/>
          <w:color w:val="auto"/>
        </w:rPr>
        <w:t>I accept that the Committee's statement that "</w:t>
      </w:r>
      <w:r w:rsidRPr="0025126D">
        <w:rPr>
          <w:rFonts w:cs="Arial"/>
          <w:i/>
          <w:iCs/>
          <w:color w:val="auto"/>
        </w:rPr>
        <w:t>the results of an indirect comparison comparing fenfluramine with cannabidiol plus clobazam are uncertain</w:t>
      </w:r>
      <w:r>
        <w:rPr>
          <w:rFonts w:cs="Arial"/>
          <w:color w:val="auto"/>
        </w:rPr>
        <w:t xml:space="preserve">" is </w:t>
      </w:r>
      <w:r w:rsidR="0025126D">
        <w:rPr>
          <w:rFonts w:cs="Arial"/>
          <w:color w:val="auto"/>
        </w:rPr>
        <w:t>arguably unreasonable in circumstances where there is no obvious discussion of the evidence considered in reaching that view, and where the statement is considerably different from the statement in the draft guidance that "</w:t>
      </w:r>
      <w:r w:rsidRPr="0025126D" w:rsidR="0025126D">
        <w:rPr>
          <w:rFonts w:cs="Arial"/>
          <w:i/>
          <w:iCs/>
          <w:color w:val="auto"/>
        </w:rPr>
        <w:t>an indirect comparison suggested that fenfluramine may be more effective than cannabidiol plus clobazam in reducing the number of drop seizures.</w:t>
      </w:r>
      <w:r w:rsidR="0025126D">
        <w:rPr>
          <w:rFonts w:cs="Arial"/>
          <w:color w:val="auto"/>
        </w:rPr>
        <w:t>"</w:t>
      </w:r>
    </w:p>
    <w:p w:rsidRPr="00DD7697" w:rsidR="007E4EDC" w:rsidP="00623213" w:rsidRDefault="007E4EDC" w14:paraId="4AE6A487" w14:textId="6BDD7B15">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p>
    <w:p w:rsidRPr="00DD7697" w:rsidR="00C2049A" w:rsidP="00413F89" w:rsidRDefault="00AA2694" w14:paraId="0D42AE48" w14:textId="77777777">
      <w:pPr>
        <w:pStyle w:val="Paragraph"/>
        <w:numPr>
          <w:ilvl w:val="0"/>
          <w:numId w:val="0"/>
        </w:numPr>
        <w:spacing w:before="120"/>
        <w:jc w:val="both"/>
        <w:rPr>
          <w:rFonts w:cs="Arial"/>
          <w:sz w:val="20"/>
          <w:szCs w:val="20"/>
          <w:lang w:eastAsia="en-US"/>
        </w:rPr>
      </w:pPr>
      <w:r w:rsidRPr="00DD7697">
        <w:rPr>
          <w:rFonts w:cs="Arial"/>
          <w:sz w:val="20"/>
          <w:szCs w:val="20"/>
          <w:lang w:eastAsia="en-US"/>
        </w:rPr>
        <w:t>The above sets</w:t>
      </w:r>
      <w:r w:rsidRPr="00DD7697" w:rsidR="00C2049A">
        <w:rPr>
          <w:rFonts w:cs="Arial"/>
          <w:sz w:val="20"/>
          <w:szCs w:val="20"/>
          <w:lang w:eastAsia="en-US"/>
        </w:rPr>
        <w:t xml:space="preserve"> out above my initial views on all of your appeal points.</w:t>
      </w:r>
    </w:p>
    <w:p w:rsidRPr="00DD7697" w:rsidR="003B056B" w:rsidP="00413F89" w:rsidRDefault="003B056B" w14:paraId="5224AE76" w14:textId="3872F2A0">
      <w:pPr>
        <w:pStyle w:val="Paragraph"/>
        <w:numPr>
          <w:numId w:val="0"/>
        </w:numPr>
        <w:spacing w:before="120"/>
        <w:jc w:val="both"/>
        <w:rPr>
          <w:rFonts w:cs="Arial"/>
          <w:sz w:val="20"/>
          <w:szCs w:val="20"/>
          <w:lang w:eastAsia="en-US"/>
        </w:rPr>
      </w:pPr>
      <w:r w:rsidRPr="35C16ACE" w:rsidR="003B056B">
        <w:rPr>
          <w:rFonts w:cs="Arial"/>
          <w:sz w:val="20"/>
          <w:szCs w:val="20"/>
          <w:lang w:eastAsia="en-US"/>
        </w:rPr>
        <w:t xml:space="preserve">In respect of your points which I am not minded </w:t>
      </w:r>
      <w:r w:rsidRPr="35C16ACE" w:rsidR="003B056B">
        <w:rPr>
          <w:rFonts w:cs="Arial"/>
          <w:sz w:val="20"/>
          <w:szCs w:val="20"/>
          <w:lang w:eastAsia="en-US"/>
        </w:rPr>
        <w:t>to refer</w:t>
      </w:r>
      <w:r w:rsidRPr="35C16ACE" w:rsidR="003B056B">
        <w:rPr>
          <w:rFonts w:cs="Arial"/>
          <w:sz w:val="20"/>
          <w:szCs w:val="20"/>
          <w:lang w:eastAsia="en-US"/>
        </w:rPr>
        <w:t xml:space="preserve"> on you are entitled to </w:t>
      </w:r>
      <w:r w:rsidRPr="35C16ACE" w:rsidR="003B056B">
        <w:rPr>
          <w:rFonts w:cs="Arial"/>
          <w:sz w:val="20"/>
          <w:szCs w:val="20"/>
          <w:lang w:eastAsia="en-US"/>
        </w:rPr>
        <w:t>submit</w:t>
      </w:r>
      <w:r w:rsidRPr="35C16ACE" w:rsidR="003B056B">
        <w:rPr>
          <w:rFonts w:cs="Arial"/>
          <w:sz w:val="20"/>
          <w:szCs w:val="20"/>
          <w:lang w:eastAsia="en-US"/>
        </w:rPr>
        <w:t xml:space="preserve"> further clarification and/or evidence to me within the next 10 working days, and I will then give a final decision on the points t</w:t>
      </w:r>
      <w:r w:rsidRPr="35C16ACE" w:rsidR="00726F5A">
        <w:rPr>
          <w:rFonts w:cs="Arial"/>
          <w:sz w:val="20"/>
          <w:szCs w:val="20"/>
          <w:lang w:eastAsia="en-US"/>
        </w:rPr>
        <w:t xml:space="preserve">o put </w:t>
      </w:r>
      <w:r w:rsidRPr="35C16ACE" w:rsidR="00726F5A">
        <w:rPr>
          <w:rFonts w:cs="Arial"/>
          <w:sz w:val="20"/>
          <w:szCs w:val="20"/>
          <w:lang w:eastAsia="en-US"/>
        </w:rPr>
        <w:t>before an appeal panel</w:t>
      </w:r>
      <w:r w:rsidRPr="35C16ACE" w:rsidR="00726F5A">
        <w:rPr>
          <w:rFonts w:cs="Arial"/>
          <w:sz w:val="20"/>
          <w:szCs w:val="20"/>
          <w:lang w:eastAsia="en-US"/>
        </w:rPr>
        <w:t xml:space="preserve">.  </w:t>
      </w:r>
      <w:r w:rsidRPr="35C16ACE" w:rsidR="003B056B">
        <w:rPr>
          <w:rFonts w:cs="Arial"/>
          <w:sz w:val="20"/>
          <w:szCs w:val="20"/>
          <w:lang w:eastAsia="en-US"/>
        </w:rPr>
        <w:t xml:space="preserve">For the points I am already content to refer on, an oral appeal will be held </w:t>
      </w:r>
      <w:r w:rsidRPr="35C16ACE" w:rsidR="003B056B">
        <w:rPr>
          <w:rFonts w:cs="Arial"/>
          <w:sz w:val="20"/>
          <w:szCs w:val="20"/>
          <w:lang w:eastAsia="en-US"/>
        </w:rPr>
        <w:t>which is likely to be held remotely</w:t>
      </w:r>
      <w:r w:rsidRPr="35C16ACE" w:rsidR="5CF9616B">
        <w:rPr>
          <w:rFonts w:cs="Arial"/>
          <w:sz w:val="20"/>
          <w:szCs w:val="20"/>
          <w:lang w:eastAsia="en-US"/>
        </w:rPr>
        <w:t>.</w:t>
      </w:r>
    </w:p>
    <w:p w:rsidRPr="00DD7697" w:rsidR="003B056B" w:rsidP="00413F89" w:rsidRDefault="003B056B" w14:paraId="6445C872" w14:textId="59EACA7C">
      <w:pPr>
        <w:pStyle w:val="Paragraph"/>
        <w:numPr>
          <w:numId w:val="0"/>
        </w:numPr>
        <w:spacing w:before="120"/>
        <w:jc w:val="both"/>
        <w:rPr>
          <w:rFonts w:cs="Arial"/>
          <w:sz w:val="20"/>
          <w:szCs w:val="20"/>
        </w:rPr>
      </w:pPr>
      <w:r w:rsidRPr="35C16ACE" w:rsidR="003B056B">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w:t>
      </w:r>
      <w:r w:rsidRPr="35C16ACE" w:rsidR="003B056B">
        <w:rPr>
          <w:rFonts w:cs="Arial"/>
          <w:sz w:val="20"/>
          <w:szCs w:val="20"/>
          <w:lang w:eastAsia="en-US"/>
        </w:rPr>
        <w:t>contain</w:t>
      </w:r>
      <w:r w:rsidRPr="35C16ACE" w:rsidR="003B056B">
        <w:rPr>
          <w:rFonts w:cs="Arial"/>
          <w:sz w:val="20"/>
          <w:szCs w:val="20"/>
          <w:lang w:eastAsia="en-US"/>
        </w:rPr>
        <w:t xml:space="preserve"> confidential </w:t>
      </w:r>
      <w:r w:rsidRPr="35C16ACE" w:rsidR="003B056B">
        <w:rPr>
          <w:rFonts w:cs="Arial"/>
          <w:sz w:val="20"/>
          <w:szCs w:val="20"/>
          <w:lang w:eastAsia="en-US"/>
        </w:rPr>
        <w:t>information</w:t>
      </w:r>
      <w:r w:rsidRPr="35C16ACE" w:rsidR="003B056B">
        <w:rPr>
          <w:rFonts w:cs="Arial"/>
          <w:sz w:val="20"/>
          <w:szCs w:val="20"/>
        </w:rPr>
        <w:t xml:space="preserve"> please ensure you have provided a version with this information redacted by </w:t>
      </w:r>
      <w:r w:rsidRPr="35C16ACE" w:rsidR="08AEA750">
        <w:rPr>
          <w:rFonts w:cs="Arial"/>
          <w:sz w:val="20"/>
          <w:szCs w:val="20"/>
        </w:rPr>
        <w:t>3 June 2024.</w:t>
      </w:r>
      <w:r w:rsidRPr="35C16ACE" w:rsidR="003B056B">
        <w:rPr>
          <w:rFonts w:cs="Arial"/>
          <w:sz w:val="20"/>
          <w:szCs w:val="20"/>
        </w:rPr>
        <w:t>.</w:t>
      </w:r>
    </w:p>
    <w:p w:rsidRPr="00DD7697" w:rsidR="00010318" w:rsidP="00413F89" w:rsidRDefault="00010318" w14:paraId="0ED764D7" w14:textId="16955F19">
      <w:pPr>
        <w:pStyle w:val="Paragraph"/>
        <w:numPr>
          <w:numId w:val="0"/>
        </w:numPr>
        <w:spacing w:before="120"/>
        <w:jc w:val="both"/>
        <w:rPr>
          <w:rFonts w:cs="Arial"/>
          <w:sz w:val="20"/>
          <w:szCs w:val="20"/>
        </w:rPr>
      </w:pPr>
      <w:r w:rsidRPr="35C16ACE" w:rsidR="00010318">
        <w:rPr>
          <w:rFonts w:cs="Arial"/>
          <w:sz w:val="20"/>
          <w:szCs w:val="20"/>
        </w:rPr>
        <w:t xml:space="preserve">Ordinarily appeals are conducted </w:t>
      </w:r>
      <w:r w:rsidRPr="35C16ACE" w:rsidR="00010318">
        <w:rPr>
          <w:rFonts w:cs="Arial"/>
          <w:sz w:val="20"/>
          <w:szCs w:val="20"/>
        </w:rPr>
        <w:t>on the basis of</w:t>
      </w:r>
      <w:r w:rsidRPr="35C16ACE" w:rsidR="00010318">
        <w:rPr>
          <w:rFonts w:cs="Arial"/>
          <w:sz w:val="20"/>
          <w:szCs w:val="20"/>
        </w:rPr>
        <w:t xml:space="preserve"> the appellants’ written appeal letters, and the material generated during the appraisal process</w:t>
      </w:r>
      <w:r w:rsidRPr="35C16ACE" w:rsidR="00010318">
        <w:rPr>
          <w:rFonts w:cs="Arial"/>
          <w:sz w:val="20"/>
          <w:szCs w:val="20"/>
        </w:rPr>
        <w:t xml:space="preserve">.  </w:t>
      </w:r>
      <w:r w:rsidRPr="35C16ACE" w:rsidR="00010318">
        <w:rPr>
          <w:rFonts w:cs="Arial"/>
          <w:sz w:val="20"/>
          <w:szCs w:val="20"/>
        </w:rPr>
        <w:t xml:space="preserve">Use of </w:t>
      </w:r>
      <w:r w:rsidRPr="35C16ACE" w:rsidR="00010318">
        <w:rPr>
          <w:rFonts w:cs="Arial"/>
          <w:sz w:val="20"/>
          <w:szCs w:val="20"/>
        </w:rPr>
        <w:t>additional</w:t>
      </w:r>
      <w:r w:rsidRPr="35C16ACE" w:rsidR="00010318">
        <w:rPr>
          <w:rFonts w:cs="Arial"/>
          <w:sz w:val="20"/>
          <w:szCs w:val="20"/>
        </w:rPr>
        <w:t xml:space="preserve"> written material is discouraged, and the panel cannot receive any new evidence</w:t>
      </w:r>
      <w:r w:rsidRPr="35C16ACE" w:rsidR="00010318">
        <w:rPr>
          <w:rFonts w:cs="Arial"/>
          <w:sz w:val="20"/>
          <w:szCs w:val="20"/>
        </w:rPr>
        <w:t xml:space="preserve">.  </w:t>
      </w:r>
      <w:r w:rsidRPr="35C16ACE" w:rsidR="00010318">
        <w:rPr>
          <w:rFonts w:cs="Arial"/>
          <w:sz w:val="20"/>
          <w:szCs w:val="20"/>
        </w:rPr>
        <w:t xml:space="preserve">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Pr="35C16ACE" w:rsidR="592D3EBF">
        <w:rPr>
          <w:rFonts w:cs="Arial"/>
          <w:sz w:val="20"/>
          <w:szCs w:val="20"/>
        </w:rPr>
        <w:t>28 May 2024</w:t>
      </w:r>
      <w:r w:rsidRPr="35C16ACE" w:rsidR="00010318">
        <w:rPr>
          <w:rFonts w:cs="Arial"/>
          <w:sz w:val="20"/>
          <w:szCs w:val="20"/>
        </w:rPr>
        <w:t>.  Please note that the appeal panel cannot accept papers that are tabled late or ad hoc, as this affects the preparation of the panel and other parties for the appeal.</w:t>
      </w:r>
    </w:p>
    <w:p w:rsidR="00C70019" w:rsidP="00413F89" w:rsidRDefault="00C70019" w14:paraId="6427A69D" w14:textId="21C02660">
      <w:pPr>
        <w:jc w:val="both"/>
        <w:rPr>
          <w:rFonts w:cs="Arial"/>
          <w:color w:val="auto"/>
        </w:rPr>
      </w:pPr>
      <w:r w:rsidRPr="0FA9C71D" w:rsidR="00C70019">
        <w:rPr>
          <w:rFonts w:cs="Arial"/>
          <w:color w:val="auto"/>
        </w:rPr>
        <w:t>Yours sincerely</w:t>
      </w:r>
    </w:p>
    <w:p w:rsidR="22F10761" w:rsidP="0FA9C71D" w:rsidRDefault="22F10761" w14:paraId="4F2240B4" w14:textId="77D854C1">
      <w:pPr>
        <w:pStyle w:val="Normal"/>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FA9C71D" w:rsidR="142D8364">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22F10761" w:rsidP="0FA9C71D" w:rsidRDefault="22F10761" w14:paraId="6E5D0968" w14:textId="5832206D">
      <w:pPr>
        <w:pStyle w:val="Normal"/>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br/>
      </w:r>
      <w:r w:rsidRPr="0FA9C71D" w:rsidR="22F10761">
        <w:rPr>
          <w:rFonts w:ascii="Arial" w:hAnsi="Arial" w:eastAsia="Arial" w:cs="Arial"/>
          <w:b w:val="0"/>
          <w:bCs w:val="0"/>
          <w:i w:val="0"/>
          <w:iCs w:val="0"/>
          <w:caps w:val="0"/>
          <w:smallCaps w:val="0"/>
          <w:noProof w:val="0"/>
          <w:color w:val="000000" w:themeColor="text1" w:themeTint="FF" w:themeShade="FF"/>
          <w:sz w:val="20"/>
          <w:szCs w:val="20"/>
          <w:lang w:val="en-GB"/>
        </w:rPr>
        <w:t>Dr Mark Chakravarty</w:t>
      </w:r>
    </w:p>
    <w:p w:rsidR="22F10761" w:rsidP="35C16ACE" w:rsidRDefault="22F10761" w14:paraId="4C3FC0A1" w14:textId="51F45293">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5C16ACE" w:rsidR="22F10761">
        <w:rPr>
          <w:rFonts w:ascii="Arial" w:hAnsi="Arial" w:eastAsia="Arial" w:cs="Arial"/>
          <w:b w:val="0"/>
          <w:bCs w:val="0"/>
          <w:i w:val="0"/>
          <w:iCs w:val="0"/>
          <w:caps w:val="0"/>
          <w:smallCaps w:val="0"/>
          <w:noProof w:val="0"/>
          <w:color w:val="000000" w:themeColor="text1" w:themeTint="FF" w:themeShade="FF"/>
          <w:sz w:val="20"/>
          <w:szCs w:val="20"/>
          <w:lang w:val="en-GB"/>
        </w:rPr>
        <w:t>Lead Non-Executive Director for Appeals &amp; Vice Chairman</w:t>
      </w:r>
    </w:p>
    <w:p w:rsidR="22F10761" w:rsidP="35C16ACE" w:rsidRDefault="22F10761" w14:paraId="755CE401" w14:textId="0FE1DDC8">
      <w:pPr>
        <w:spacing w:before="120" w:after="24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5C16ACE" w:rsidR="22F10761">
        <w:rPr>
          <w:rFonts w:ascii="Arial" w:hAnsi="Arial" w:eastAsia="Arial" w:cs="Arial"/>
          <w:b w:val="0"/>
          <w:bCs w:val="0"/>
          <w:i w:val="0"/>
          <w:iCs w:val="0"/>
          <w:caps w:val="0"/>
          <w:smallCaps w:val="0"/>
          <w:noProof w:val="0"/>
          <w:color w:val="000000" w:themeColor="text1" w:themeTint="FF" w:themeShade="FF"/>
          <w:sz w:val="20"/>
          <w:szCs w:val="20"/>
          <w:lang w:val="en-GB"/>
        </w:rPr>
        <w:t>National Institute for Health and Care Excellence</w:t>
      </w:r>
    </w:p>
    <w:p w:rsidR="35C16ACE" w:rsidP="35C16ACE" w:rsidRDefault="35C16ACE" w14:paraId="2270DECB" w14:textId="63AF7755">
      <w:pPr>
        <w:pStyle w:val="Normal"/>
        <w:jc w:val="both"/>
      </w:pPr>
    </w:p>
    <w:p w:rsidR="004A76D5" w:rsidP="00413F89" w:rsidRDefault="004A76D5" w14:paraId="72284BFF" w14:textId="22D2CF28">
      <w:pPr>
        <w:jc w:val="both"/>
        <w:rPr>
          <w:rFonts w:cs="Arial"/>
          <w:color w:val="auto"/>
        </w:rPr>
      </w:pPr>
    </w:p>
    <w:p w:rsidRPr="00DD7697" w:rsidR="002B21D4" w:rsidP="00413F89" w:rsidRDefault="002B21D4" w14:paraId="0C61E456" w14:textId="77777777">
      <w:pPr>
        <w:jc w:val="both"/>
        <w:rPr>
          <w:rFonts w:cs="Arial"/>
          <w:color w:val="auto"/>
        </w:rPr>
      </w:pPr>
    </w:p>
    <w:sectPr w:rsidRPr="00DD7697" w:rsidR="002B21D4" w:rsidSect="001A3169">
      <w:headerReference w:type="even" r:id="rId10"/>
      <w:headerReference w:type="default" r:id="rId11"/>
      <w:footerReference w:type="even" r:id="rId12"/>
      <w:footerReference w:type="default" r:id="rId13"/>
      <w:headerReference w:type="first" r:id="rId14"/>
      <w:footerReference w:type="first" r:id="rId15"/>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169" w:rsidRDefault="001A3169" w14:paraId="63E0A266" w14:textId="77777777">
      <w:r>
        <w:separator/>
      </w:r>
    </w:p>
  </w:endnote>
  <w:endnote w:type="continuationSeparator" w:id="0">
    <w:p w:rsidR="001A3169" w:rsidRDefault="001A3169" w14:paraId="433BA5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EC18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169" w:rsidRDefault="001A3169" w14:paraId="570F450D" w14:textId="77777777">
      <w:r>
        <w:separator/>
      </w:r>
    </w:p>
  </w:footnote>
  <w:footnote w:type="continuationSeparator" w:id="0">
    <w:p w:rsidR="001A3169" w:rsidRDefault="001A3169" w14:paraId="417024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16EA2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7697" w:rsidRDefault="00C97697" w14:paraId="05918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A2F5B57"/>
    <w:multiLevelType w:val="multilevel"/>
    <w:tmpl w:val="009818E4"/>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hint="default" w:ascii="Symbol" w:hAnsi="Symbol"/>
      </w:r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9685EEB"/>
    <w:multiLevelType w:val="hybridMultilevel"/>
    <w:tmpl w:val="30A4850A"/>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3D4616"/>
    <w:multiLevelType w:val="hybridMultilevel"/>
    <w:tmpl w:val="AE84AB0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4"/>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5"/>
  </w:num>
  <w:num w:numId="19" w16cid:durableId="2126733805">
    <w:abstractNumId w:val="21"/>
  </w:num>
  <w:num w:numId="20" w16cid:durableId="621762274">
    <w:abstractNumId w:val="12"/>
  </w:num>
  <w:num w:numId="21" w16cid:durableId="170607788">
    <w:abstractNumId w:val="7"/>
  </w:num>
  <w:num w:numId="22" w16cid:durableId="460727966">
    <w:abstractNumId w:val="25"/>
  </w:num>
  <w:num w:numId="23" w16cid:durableId="2105420001">
    <w:abstractNumId w:val="1"/>
  </w:num>
  <w:num w:numId="24" w16cid:durableId="2048407580">
    <w:abstractNumId w:val="16"/>
  </w:num>
  <w:num w:numId="25" w16cid:durableId="1798986414">
    <w:abstractNumId w:val="9"/>
  </w:num>
  <w:num w:numId="26" w16cid:durableId="1415205502">
    <w:abstractNumId w:val="22"/>
  </w:num>
  <w:num w:numId="27" w16cid:durableId="368603691">
    <w:abstractNumId w:val="8"/>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7"/>
  </w:num>
  <w:num w:numId="34" w16cid:durableId="1117680403">
    <w:abstractNumId w:val="24"/>
  </w:num>
  <w:num w:numId="35" w16cid:durableId="163297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71496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4D23"/>
    <w:rsid w:val="00047383"/>
    <w:rsid w:val="00052894"/>
    <w:rsid w:val="000532DA"/>
    <w:rsid w:val="00056CD2"/>
    <w:rsid w:val="000606FA"/>
    <w:rsid w:val="0006785D"/>
    <w:rsid w:val="0007095A"/>
    <w:rsid w:val="000709E5"/>
    <w:rsid w:val="00075EC5"/>
    <w:rsid w:val="00080FCA"/>
    <w:rsid w:val="00082FAB"/>
    <w:rsid w:val="00083604"/>
    <w:rsid w:val="00084FD0"/>
    <w:rsid w:val="000853F6"/>
    <w:rsid w:val="00085837"/>
    <w:rsid w:val="00086FC6"/>
    <w:rsid w:val="00087222"/>
    <w:rsid w:val="000878D5"/>
    <w:rsid w:val="000928C5"/>
    <w:rsid w:val="00096EBF"/>
    <w:rsid w:val="000977EB"/>
    <w:rsid w:val="000A490C"/>
    <w:rsid w:val="000A4DFC"/>
    <w:rsid w:val="000B1D36"/>
    <w:rsid w:val="000B3C21"/>
    <w:rsid w:val="000B5760"/>
    <w:rsid w:val="000B73F9"/>
    <w:rsid w:val="000C23CA"/>
    <w:rsid w:val="000C5399"/>
    <w:rsid w:val="000D1E58"/>
    <w:rsid w:val="000D271C"/>
    <w:rsid w:val="000E020F"/>
    <w:rsid w:val="000E16D3"/>
    <w:rsid w:val="000E40C4"/>
    <w:rsid w:val="000F014D"/>
    <w:rsid w:val="000F3523"/>
    <w:rsid w:val="000F6BB5"/>
    <w:rsid w:val="00102F59"/>
    <w:rsid w:val="00106505"/>
    <w:rsid w:val="00107520"/>
    <w:rsid w:val="00111749"/>
    <w:rsid w:val="001123A2"/>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176B"/>
    <w:rsid w:val="001945C8"/>
    <w:rsid w:val="00194EE4"/>
    <w:rsid w:val="001969C2"/>
    <w:rsid w:val="001A0143"/>
    <w:rsid w:val="001A18CA"/>
    <w:rsid w:val="001A3169"/>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2E07"/>
    <w:rsid w:val="00223EBE"/>
    <w:rsid w:val="00232FF4"/>
    <w:rsid w:val="0023747F"/>
    <w:rsid w:val="00237C6C"/>
    <w:rsid w:val="0024377B"/>
    <w:rsid w:val="0025046D"/>
    <w:rsid w:val="002512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200C"/>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3C3E"/>
    <w:rsid w:val="00326AFE"/>
    <w:rsid w:val="00326E72"/>
    <w:rsid w:val="003308CE"/>
    <w:rsid w:val="00332149"/>
    <w:rsid w:val="00332C05"/>
    <w:rsid w:val="00334A83"/>
    <w:rsid w:val="00335D20"/>
    <w:rsid w:val="0033740C"/>
    <w:rsid w:val="00343CE3"/>
    <w:rsid w:val="00345918"/>
    <w:rsid w:val="003478F6"/>
    <w:rsid w:val="00351496"/>
    <w:rsid w:val="003627D7"/>
    <w:rsid w:val="0036323C"/>
    <w:rsid w:val="00371C6B"/>
    <w:rsid w:val="003736C9"/>
    <w:rsid w:val="003776DF"/>
    <w:rsid w:val="00381E46"/>
    <w:rsid w:val="00382D01"/>
    <w:rsid w:val="00383DDC"/>
    <w:rsid w:val="0038454F"/>
    <w:rsid w:val="00387503"/>
    <w:rsid w:val="00393619"/>
    <w:rsid w:val="00395196"/>
    <w:rsid w:val="0039570A"/>
    <w:rsid w:val="00396B85"/>
    <w:rsid w:val="003A6571"/>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66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A54"/>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67E2F"/>
    <w:rsid w:val="00671AC5"/>
    <w:rsid w:val="00671DEA"/>
    <w:rsid w:val="0067289D"/>
    <w:rsid w:val="00683436"/>
    <w:rsid w:val="00683585"/>
    <w:rsid w:val="006845FA"/>
    <w:rsid w:val="006863D5"/>
    <w:rsid w:val="006869AE"/>
    <w:rsid w:val="006941C5"/>
    <w:rsid w:val="00694D09"/>
    <w:rsid w:val="00696927"/>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6C21"/>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ABF"/>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D2528"/>
    <w:rsid w:val="007D53E2"/>
    <w:rsid w:val="007D7791"/>
    <w:rsid w:val="007D7C74"/>
    <w:rsid w:val="007E32CB"/>
    <w:rsid w:val="007E48AD"/>
    <w:rsid w:val="007E4EDC"/>
    <w:rsid w:val="007E7499"/>
    <w:rsid w:val="007F080D"/>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5F9E"/>
    <w:rsid w:val="008161FC"/>
    <w:rsid w:val="008208A7"/>
    <w:rsid w:val="00824892"/>
    <w:rsid w:val="00824CB2"/>
    <w:rsid w:val="008268F9"/>
    <w:rsid w:val="008273FA"/>
    <w:rsid w:val="00832D34"/>
    <w:rsid w:val="008330F5"/>
    <w:rsid w:val="008333D8"/>
    <w:rsid w:val="008349BD"/>
    <w:rsid w:val="00836768"/>
    <w:rsid w:val="00836849"/>
    <w:rsid w:val="00841DE5"/>
    <w:rsid w:val="00842D0D"/>
    <w:rsid w:val="00843CE1"/>
    <w:rsid w:val="00844BE5"/>
    <w:rsid w:val="0084519D"/>
    <w:rsid w:val="00855278"/>
    <w:rsid w:val="008576D4"/>
    <w:rsid w:val="00861527"/>
    <w:rsid w:val="00862B47"/>
    <w:rsid w:val="00862C1A"/>
    <w:rsid w:val="008630DF"/>
    <w:rsid w:val="008651F9"/>
    <w:rsid w:val="008669F8"/>
    <w:rsid w:val="00870284"/>
    <w:rsid w:val="008721A4"/>
    <w:rsid w:val="0087462B"/>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754"/>
    <w:rsid w:val="008E6AF9"/>
    <w:rsid w:val="008E722E"/>
    <w:rsid w:val="008F2130"/>
    <w:rsid w:val="008F4CCF"/>
    <w:rsid w:val="00900450"/>
    <w:rsid w:val="00903256"/>
    <w:rsid w:val="0090619B"/>
    <w:rsid w:val="00906CBF"/>
    <w:rsid w:val="00910D48"/>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97990"/>
    <w:rsid w:val="009A1A7D"/>
    <w:rsid w:val="009A23B7"/>
    <w:rsid w:val="009A7C87"/>
    <w:rsid w:val="009B2917"/>
    <w:rsid w:val="009B299F"/>
    <w:rsid w:val="009C2A6F"/>
    <w:rsid w:val="009C40F0"/>
    <w:rsid w:val="009C6455"/>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60B9"/>
    <w:rsid w:val="00A80603"/>
    <w:rsid w:val="00A830AF"/>
    <w:rsid w:val="00A87143"/>
    <w:rsid w:val="00A879C0"/>
    <w:rsid w:val="00A87CC1"/>
    <w:rsid w:val="00A95771"/>
    <w:rsid w:val="00A96044"/>
    <w:rsid w:val="00A9793D"/>
    <w:rsid w:val="00AA07E3"/>
    <w:rsid w:val="00AA0FC2"/>
    <w:rsid w:val="00AA12CA"/>
    <w:rsid w:val="00AA2694"/>
    <w:rsid w:val="00AA6EA2"/>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2249"/>
    <w:rsid w:val="00B36320"/>
    <w:rsid w:val="00B37654"/>
    <w:rsid w:val="00B40DA1"/>
    <w:rsid w:val="00B46004"/>
    <w:rsid w:val="00B4629A"/>
    <w:rsid w:val="00B60AF4"/>
    <w:rsid w:val="00B62757"/>
    <w:rsid w:val="00B62869"/>
    <w:rsid w:val="00B65B79"/>
    <w:rsid w:val="00B65E05"/>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24A"/>
    <w:rsid w:val="00C00668"/>
    <w:rsid w:val="00C020FA"/>
    <w:rsid w:val="00C03935"/>
    <w:rsid w:val="00C11255"/>
    <w:rsid w:val="00C2049A"/>
    <w:rsid w:val="00C204DE"/>
    <w:rsid w:val="00C214C1"/>
    <w:rsid w:val="00C26381"/>
    <w:rsid w:val="00C32256"/>
    <w:rsid w:val="00C322FF"/>
    <w:rsid w:val="00C34C6E"/>
    <w:rsid w:val="00C37918"/>
    <w:rsid w:val="00C4228B"/>
    <w:rsid w:val="00C46B59"/>
    <w:rsid w:val="00C47D95"/>
    <w:rsid w:val="00C5006F"/>
    <w:rsid w:val="00C511EF"/>
    <w:rsid w:val="00C5126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97697"/>
    <w:rsid w:val="00CA270F"/>
    <w:rsid w:val="00CA554E"/>
    <w:rsid w:val="00CA755B"/>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51F7"/>
    <w:rsid w:val="00D759C6"/>
    <w:rsid w:val="00D800C5"/>
    <w:rsid w:val="00D81B09"/>
    <w:rsid w:val="00D83321"/>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55AA"/>
    <w:rsid w:val="00DF654A"/>
    <w:rsid w:val="00DF782D"/>
    <w:rsid w:val="00DF79CC"/>
    <w:rsid w:val="00E03CA6"/>
    <w:rsid w:val="00E10345"/>
    <w:rsid w:val="00E10819"/>
    <w:rsid w:val="00E10C0E"/>
    <w:rsid w:val="00E11762"/>
    <w:rsid w:val="00E140BF"/>
    <w:rsid w:val="00E15CAE"/>
    <w:rsid w:val="00E16BC6"/>
    <w:rsid w:val="00E1774B"/>
    <w:rsid w:val="00E20DF8"/>
    <w:rsid w:val="00E27656"/>
    <w:rsid w:val="00E308B8"/>
    <w:rsid w:val="00E4124D"/>
    <w:rsid w:val="00E41FEC"/>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4AF2"/>
    <w:rsid w:val="00ED66BC"/>
    <w:rsid w:val="00ED745D"/>
    <w:rsid w:val="00EE03EE"/>
    <w:rsid w:val="00EE42AF"/>
    <w:rsid w:val="00EE5403"/>
    <w:rsid w:val="00EE5D52"/>
    <w:rsid w:val="00EE7C41"/>
    <w:rsid w:val="00EF043B"/>
    <w:rsid w:val="00EF237E"/>
    <w:rsid w:val="00EF23DF"/>
    <w:rsid w:val="00EF2575"/>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20C2"/>
    <w:rsid w:val="00F93B0E"/>
    <w:rsid w:val="00F93BEE"/>
    <w:rsid w:val="00F948D4"/>
    <w:rsid w:val="00F94A49"/>
    <w:rsid w:val="00F97147"/>
    <w:rsid w:val="00FA0AF2"/>
    <w:rsid w:val="00FA3A61"/>
    <w:rsid w:val="00FA6626"/>
    <w:rsid w:val="00FB033D"/>
    <w:rsid w:val="00FB0DAB"/>
    <w:rsid w:val="00FB2E35"/>
    <w:rsid w:val="00FB3AE9"/>
    <w:rsid w:val="00FB79C9"/>
    <w:rsid w:val="00FC0076"/>
    <w:rsid w:val="00FC1156"/>
    <w:rsid w:val="00FC342C"/>
    <w:rsid w:val="00FD13E3"/>
    <w:rsid w:val="00FD5516"/>
    <w:rsid w:val="00FD6D44"/>
    <w:rsid w:val="00FD72D9"/>
    <w:rsid w:val="00FD7366"/>
    <w:rsid w:val="00FE45B8"/>
    <w:rsid w:val="00FE7C65"/>
    <w:rsid w:val="00FF2267"/>
    <w:rsid w:val="00FF4009"/>
    <w:rsid w:val="00FF49EB"/>
    <w:rsid w:val="08AEA750"/>
    <w:rsid w:val="0D1215EE"/>
    <w:rsid w:val="0DE95EB3"/>
    <w:rsid w:val="0FA9C71D"/>
    <w:rsid w:val="13697D37"/>
    <w:rsid w:val="142D8364"/>
    <w:rsid w:val="22F10761"/>
    <w:rsid w:val="34EE24FE"/>
    <w:rsid w:val="35C16ACE"/>
    <w:rsid w:val="37D610B9"/>
    <w:rsid w:val="592D3EBF"/>
    <w:rsid w:val="5A7CBAA0"/>
    <w:rsid w:val="5CF9616B"/>
    <w:rsid w:val="5F77BAE9"/>
    <w:rsid w:val="60D30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234047010">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016229178">
      <w:bodyDiv w:val="1"/>
      <w:marLeft w:val="0"/>
      <w:marRight w:val="0"/>
      <w:marTop w:val="0"/>
      <w:marBottom w:val="0"/>
      <w:divBdr>
        <w:top w:val="none" w:sz="0" w:space="0" w:color="auto"/>
        <w:left w:val="none" w:sz="0" w:space="0" w:color="auto"/>
        <w:bottom w:val="none" w:sz="0" w:space="0" w:color="auto"/>
        <w:right w:val="none" w:sz="0" w:space="0" w:color="auto"/>
      </w:divBdr>
    </w:div>
    <w:div w:id="1137382913">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9EA87-585F-4726-904A-87D7A734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5A848-150E-48E8-B70C-51F84E9337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BA2C7-A632-4D32-A1AC-6777F3BC67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3</revision>
  <dcterms:created xsi:type="dcterms:W3CDTF">2024-05-10T08:46:00.0000000Z</dcterms:created>
  <dcterms:modified xsi:type="dcterms:W3CDTF">2024-08-27T10:17:32.0663137Z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2024-05-10T08:46:39Z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d9aef0fe-8181-427d-9037-1eecfda6f010</vt:lpwstr>
  </property>
  <property fmtid="{D5CDD505-2E9C-101B-9397-08002B2CF9AE}" pid="9" name="MSIP_Label_c69d85d5-6d9e-4305-a294-1f636ec0f2d6_ContentBits">
    <vt:lpwstr>0</vt:lpwstr>
  </property>
</Properties>
</file>