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6C89" w14:textId="77777777" w:rsidR="00CC79EF" w:rsidRPr="00AA2B19" w:rsidRDefault="00CC79EF" w:rsidP="00145D17">
      <w:pPr>
        <w:pStyle w:val="Title"/>
      </w:pPr>
      <w:r w:rsidRPr="00AA2B19">
        <w:t>NATIONAL INSTITUTE FOR HEALTH AND C</w:t>
      </w:r>
      <w:r>
        <w:t>ARE</w:t>
      </w:r>
      <w:r w:rsidRPr="00AA2B19">
        <w:t xml:space="preserve"> EXCELLENCE</w:t>
      </w:r>
    </w:p>
    <w:p w14:paraId="3E588F26" w14:textId="56EC71EC" w:rsidR="00CC79EF" w:rsidRPr="00AA2B19" w:rsidRDefault="00CC79EF" w:rsidP="00A959F6">
      <w:pPr>
        <w:pStyle w:val="Title"/>
      </w:pPr>
      <w:r w:rsidRPr="009A0FE4">
        <w:t>SINGLE T</w:t>
      </w:r>
      <w:r w:rsidRPr="00AA2B19">
        <w:t>ECHNOLOGY APPRAISAL</w:t>
      </w:r>
    </w:p>
    <w:p w14:paraId="6678744D" w14:textId="77777777" w:rsidR="00CC79EF" w:rsidRPr="00AA2B19" w:rsidRDefault="00CC79EF" w:rsidP="00A959F6">
      <w:pPr>
        <w:pStyle w:val="Title"/>
      </w:pPr>
      <w:r w:rsidRPr="00AA2B19">
        <w:t>APPEAL HEARING</w:t>
      </w:r>
    </w:p>
    <w:p w14:paraId="3612A376" w14:textId="77777777" w:rsidR="00CC79EF" w:rsidRPr="00AA2B19" w:rsidRDefault="00CC79EF" w:rsidP="00CC79EF">
      <w:pPr>
        <w:jc w:val="center"/>
        <w:rPr>
          <w:rFonts w:ascii="Arial" w:hAnsi="Arial" w:cs="Arial"/>
          <w:sz w:val="24"/>
          <w:szCs w:val="24"/>
        </w:rPr>
      </w:pPr>
    </w:p>
    <w:p w14:paraId="783B206C" w14:textId="070D43A8" w:rsidR="009A0FE4" w:rsidRDefault="00CC79EF" w:rsidP="00A959F6">
      <w:pPr>
        <w:pStyle w:val="Heading1"/>
      </w:pPr>
      <w:r w:rsidRPr="00AA2B19">
        <w:t xml:space="preserve">Advice on </w:t>
      </w:r>
      <w:r w:rsidR="009A0FE4">
        <w:t>efgartigimod for treating generalised Myasthenia Gravis [ID4003]</w:t>
      </w:r>
      <w:r w:rsidR="00A959F6">
        <w:t xml:space="preserve"> </w:t>
      </w:r>
    </w:p>
    <w:p w14:paraId="505460D7" w14:textId="6E0CB2FA" w:rsidR="00CC79EF" w:rsidRPr="00A959F6" w:rsidRDefault="00A959F6" w:rsidP="00A959F6">
      <w:pPr>
        <w:pStyle w:val="Heading1"/>
      </w:pPr>
      <w:r w:rsidRPr="00A959F6">
        <w:t>D</w:t>
      </w:r>
      <w:r w:rsidR="00CC79EF" w:rsidRPr="00A959F6">
        <w:t>ecision</w:t>
      </w:r>
      <w:r w:rsidR="00CC79EF" w:rsidRPr="00CC79EF">
        <w:rPr>
          <w:sz w:val="24"/>
          <w:szCs w:val="24"/>
        </w:rPr>
        <w:t xml:space="preserve"> </w:t>
      </w:r>
      <w:r w:rsidR="00CC79EF" w:rsidRPr="00A959F6">
        <w:t>of the panel</w:t>
      </w:r>
    </w:p>
    <w:p w14:paraId="29F04EAC" w14:textId="77777777" w:rsidR="00CC79EF" w:rsidRPr="00CC79EF" w:rsidRDefault="00CC79EF" w:rsidP="00A959F6">
      <w:pPr>
        <w:pStyle w:val="Heading2"/>
      </w:pPr>
      <w:r w:rsidRPr="00CC79EF">
        <w:t>Introduction</w:t>
      </w:r>
    </w:p>
    <w:p w14:paraId="39F4448E" w14:textId="6FE83B47" w:rsidR="00CC79EF" w:rsidRPr="00D032B4" w:rsidRDefault="00CC79EF" w:rsidP="00CC79EF">
      <w:pPr>
        <w:pStyle w:val="Paragraph"/>
        <w:rPr>
          <w:rFonts w:cs="Arial"/>
          <w:sz w:val="24"/>
          <w:szCs w:val="24"/>
        </w:rPr>
      </w:pPr>
      <w:r w:rsidRPr="00D032B4">
        <w:rPr>
          <w:rFonts w:cs="Arial"/>
          <w:sz w:val="24"/>
          <w:szCs w:val="24"/>
        </w:rPr>
        <w:t xml:space="preserve">An appeal panel was convened on </w:t>
      </w:r>
      <w:r w:rsidR="009A0FE4" w:rsidRPr="00D032B4">
        <w:rPr>
          <w:rFonts w:cs="Arial"/>
          <w:sz w:val="24"/>
          <w:szCs w:val="24"/>
        </w:rPr>
        <w:t>6 May 2025</w:t>
      </w:r>
      <w:r w:rsidRPr="00D032B4">
        <w:rPr>
          <w:rFonts w:cs="Arial"/>
          <w:sz w:val="24"/>
          <w:szCs w:val="24"/>
        </w:rPr>
        <w:t xml:space="preserve"> to consider an appeal against NICE’s final appraisal d</w:t>
      </w:r>
      <w:r w:rsidR="00F535A8" w:rsidRPr="00D032B4">
        <w:rPr>
          <w:rFonts w:cs="Arial"/>
          <w:sz w:val="24"/>
          <w:szCs w:val="24"/>
        </w:rPr>
        <w:t>ocument</w:t>
      </w:r>
      <w:r w:rsidRPr="00D032B4">
        <w:rPr>
          <w:rFonts w:cs="Arial"/>
          <w:sz w:val="24"/>
          <w:szCs w:val="24"/>
        </w:rPr>
        <w:t xml:space="preserve">, to the NHS, on </w:t>
      </w:r>
      <w:r w:rsidR="009A0FE4" w:rsidRPr="00D032B4">
        <w:rPr>
          <w:rFonts w:cs="Arial"/>
          <w:sz w:val="24"/>
          <w:szCs w:val="24"/>
        </w:rPr>
        <w:t>efgartigimod for treating generalised Myasthenia Gravis</w:t>
      </w:r>
      <w:r w:rsidR="003A413E" w:rsidRPr="00D032B4">
        <w:rPr>
          <w:rFonts w:cs="Arial"/>
          <w:sz w:val="24"/>
          <w:szCs w:val="24"/>
        </w:rPr>
        <w:t xml:space="preserve"> ("</w:t>
      </w:r>
      <w:r w:rsidR="00544068">
        <w:rPr>
          <w:rFonts w:cs="Arial"/>
          <w:b/>
          <w:bCs/>
          <w:sz w:val="24"/>
          <w:szCs w:val="24"/>
        </w:rPr>
        <w:t>generalised myasthenia gravis</w:t>
      </w:r>
      <w:r w:rsidR="003A413E" w:rsidRPr="00D032B4">
        <w:rPr>
          <w:rFonts w:cs="Arial"/>
          <w:sz w:val="24"/>
          <w:szCs w:val="24"/>
        </w:rPr>
        <w:t>") [ID4003]</w:t>
      </w:r>
      <w:r w:rsidR="00F535A8" w:rsidRPr="00D032B4">
        <w:rPr>
          <w:rFonts w:cs="Arial"/>
          <w:sz w:val="24"/>
          <w:szCs w:val="24"/>
        </w:rPr>
        <w:t>.</w:t>
      </w:r>
    </w:p>
    <w:p w14:paraId="178100A4" w14:textId="5C758C1F" w:rsidR="00CC79EF" w:rsidRPr="00D032B4" w:rsidRDefault="00CC79EF" w:rsidP="00CC79EF">
      <w:pPr>
        <w:pStyle w:val="Paragraph"/>
        <w:rPr>
          <w:rFonts w:cs="Arial"/>
          <w:sz w:val="24"/>
          <w:szCs w:val="24"/>
        </w:rPr>
      </w:pPr>
      <w:r w:rsidRPr="00D032B4">
        <w:rPr>
          <w:rFonts w:cs="Arial"/>
          <w:sz w:val="24"/>
          <w:szCs w:val="24"/>
        </w:rPr>
        <w:t xml:space="preserve">The </w:t>
      </w:r>
      <w:r w:rsidR="00F535A8" w:rsidRPr="00D032B4">
        <w:rPr>
          <w:rFonts w:cs="Arial"/>
          <w:sz w:val="24"/>
          <w:szCs w:val="24"/>
        </w:rPr>
        <w:t>a</w:t>
      </w:r>
      <w:r w:rsidRPr="00D032B4">
        <w:rPr>
          <w:rFonts w:cs="Arial"/>
          <w:sz w:val="24"/>
          <w:szCs w:val="24"/>
        </w:rPr>
        <w:t xml:space="preserve">ppeal </w:t>
      </w:r>
      <w:r w:rsidR="00F535A8" w:rsidRPr="00D032B4">
        <w:rPr>
          <w:rFonts w:cs="Arial"/>
          <w:sz w:val="24"/>
          <w:szCs w:val="24"/>
        </w:rPr>
        <w:t>p</w:t>
      </w:r>
      <w:r w:rsidRPr="00D032B4">
        <w:rPr>
          <w:rFonts w:cs="Arial"/>
          <w:sz w:val="24"/>
          <w:szCs w:val="24"/>
        </w:rPr>
        <w:t xml:space="preserve">anel consisted of: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3827"/>
      </w:tblGrid>
      <w:tr w:rsidR="009A0FE4" w:rsidRPr="00D032B4" w14:paraId="6B380A54" w14:textId="77777777" w:rsidTr="009A0FE4">
        <w:tc>
          <w:tcPr>
            <w:tcW w:w="3770" w:type="dxa"/>
          </w:tcPr>
          <w:p w14:paraId="52499D15" w14:textId="6DDBAE4B" w:rsidR="009A0FE4" w:rsidRPr="00D032B4" w:rsidRDefault="00443628" w:rsidP="009A0FE4">
            <w:pPr>
              <w:pStyle w:val="Paragraph"/>
              <w:numPr>
                <w:ilvl w:val="0"/>
                <w:numId w:val="25"/>
              </w:numPr>
              <w:rPr>
                <w:rFonts w:cs="Arial"/>
                <w:sz w:val="24"/>
                <w:szCs w:val="24"/>
              </w:rPr>
            </w:pPr>
            <w:r>
              <w:rPr>
                <w:rFonts w:cs="Arial"/>
                <w:sz w:val="24"/>
                <w:szCs w:val="24"/>
              </w:rPr>
              <w:t xml:space="preserve">Professor </w:t>
            </w:r>
            <w:r w:rsidR="009A0FE4" w:rsidRPr="00D032B4">
              <w:rPr>
                <w:rFonts w:cs="Arial"/>
                <w:sz w:val="24"/>
                <w:szCs w:val="24"/>
              </w:rPr>
              <w:t>Peter Groves</w:t>
            </w:r>
          </w:p>
        </w:tc>
        <w:tc>
          <w:tcPr>
            <w:tcW w:w="3827" w:type="dxa"/>
          </w:tcPr>
          <w:p w14:paraId="6D1C2157" w14:textId="7D2846FB" w:rsidR="009A0FE4" w:rsidRPr="00D032B4" w:rsidRDefault="009A0FE4" w:rsidP="009A0FE4">
            <w:pPr>
              <w:pStyle w:val="Paragraph"/>
              <w:numPr>
                <w:ilvl w:val="0"/>
                <w:numId w:val="0"/>
              </w:numPr>
              <w:rPr>
                <w:rFonts w:cs="Arial"/>
                <w:sz w:val="24"/>
                <w:szCs w:val="24"/>
              </w:rPr>
            </w:pPr>
            <w:r w:rsidRPr="00D032B4">
              <w:rPr>
                <w:rFonts w:cs="Arial"/>
                <w:sz w:val="24"/>
                <w:szCs w:val="24"/>
              </w:rPr>
              <w:t>Chair</w:t>
            </w:r>
          </w:p>
        </w:tc>
      </w:tr>
      <w:tr w:rsidR="009A0FE4" w:rsidRPr="00D032B4" w14:paraId="7A2A26B1" w14:textId="77777777" w:rsidTr="009A0FE4">
        <w:tc>
          <w:tcPr>
            <w:tcW w:w="3770" w:type="dxa"/>
          </w:tcPr>
          <w:p w14:paraId="1D25EF99" w14:textId="63AC504D" w:rsidR="009A0FE4" w:rsidRPr="00D032B4" w:rsidRDefault="00630DCA" w:rsidP="009A0FE4">
            <w:pPr>
              <w:pStyle w:val="Paragraph"/>
              <w:numPr>
                <w:ilvl w:val="0"/>
                <w:numId w:val="25"/>
              </w:numPr>
              <w:rPr>
                <w:rFonts w:cs="Arial"/>
                <w:sz w:val="24"/>
                <w:szCs w:val="24"/>
              </w:rPr>
            </w:pPr>
            <w:r>
              <w:rPr>
                <w:rFonts w:cs="Arial"/>
                <w:sz w:val="24"/>
                <w:szCs w:val="24"/>
              </w:rPr>
              <w:t xml:space="preserve">Dr </w:t>
            </w:r>
            <w:r w:rsidR="009A0FE4" w:rsidRPr="00D032B4">
              <w:rPr>
                <w:rFonts w:cs="Arial"/>
                <w:sz w:val="24"/>
                <w:szCs w:val="24"/>
              </w:rPr>
              <w:t>Justin Whatling</w:t>
            </w:r>
          </w:p>
        </w:tc>
        <w:tc>
          <w:tcPr>
            <w:tcW w:w="3827" w:type="dxa"/>
          </w:tcPr>
          <w:p w14:paraId="53658EF5" w14:textId="66F9E8DF" w:rsidR="009A0FE4" w:rsidRPr="00D032B4" w:rsidRDefault="009A0FE4" w:rsidP="009A0FE4">
            <w:pPr>
              <w:pStyle w:val="Paragraph"/>
              <w:numPr>
                <w:ilvl w:val="0"/>
                <w:numId w:val="0"/>
              </w:numPr>
              <w:rPr>
                <w:rFonts w:cs="Arial"/>
                <w:sz w:val="24"/>
                <w:szCs w:val="24"/>
              </w:rPr>
            </w:pPr>
            <w:r w:rsidRPr="00D032B4">
              <w:rPr>
                <w:rFonts w:cs="Arial"/>
                <w:sz w:val="24"/>
                <w:szCs w:val="24"/>
              </w:rPr>
              <w:t>NICE Non-executive Director</w:t>
            </w:r>
          </w:p>
        </w:tc>
      </w:tr>
      <w:tr w:rsidR="009A0FE4" w:rsidRPr="00D032B4" w14:paraId="7BC682D2" w14:textId="77777777" w:rsidTr="009A0FE4">
        <w:tc>
          <w:tcPr>
            <w:tcW w:w="3770" w:type="dxa"/>
          </w:tcPr>
          <w:p w14:paraId="5FF11EF1" w14:textId="2D84E94E" w:rsidR="009A0FE4" w:rsidRPr="00D032B4" w:rsidRDefault="00BA2EB3" w:rsidP="009A0FE4">
            <w:pPr>
              <w:pStyle w:val="Paragraph"/>
              <w:numPr>
                <w:ilvl w:val="0"/>
                <w:numId w:val="25"/>
              </w:numPr>
              <w:rPr>
                <w:rFonts w:cs="Arial"/>
                <w:sz w:val="24"/>
                <w:szCs w:val="24"/>
              </w:rPr>
            </w:pPr>
            <w:r>
              <w:rPr>
                <w:rFonts w:cs="Arial"/>
                <w:sz w:val="24"/>
                <w:szCs w:val="24"/>
              </w:rPr>
              <w:t xml:space="preserve">Dr </w:t>
            </w:r>
            <w:r w:rsidR="009A0FE4" w:rsidRPr="00D032B4">
              <w:rPr>
                <w:rFonts w:cs="Arial"/>
                <w:sz w:val="24"/>
                <w:szCs w:val="24"/>
              </w:rPr>
              <w:t>Paul Robinson</w:t>
            </w:r>
          </w:p>
        </w:tc>
        <w:tc>
          <w:tcPr>
            <w:tcW w:w="3827" w:type="dxa"/>
          </w:tcPr>
          <w:p w14:paraId="403CE914" w14:textId="516DC231" w:rsidR="009A0FE4" w:rsidRPr="00D032B4" w:rsidRDefault="009A0FE4" w:rsidP="009A0FE4">
            <w:pPr>
              <w:pStyle w:val="Paragraph"/>
              <w:numPr>
                <w:ilvl w:val="0"/>
                <w:numId w:val="0"/>
              </w:numPr>
              <w:rPr>
                <w:rFonts w:cs="Arial"/>
                <w:sz w:val="24"/>
                <w:szCs w:val="24"/>
              </w:rPr>
            </w:pPr>
            <w:r w:rsidRPr="00D032B4">
              <w:rPr>
                <w:rFonts w:cs="Arial"/>
                <w:sz w:val="24"/>
                <w:szCs w:val="24"/>
              </w:rPr>
              <w:t>Industry Representative</w:t>
            </w:r>
          </w:p>
        </w:tc>
      </w:tr>
      <w:tr w:rsidR="009A0FE4" w:rsidRPr="00D032B4" w14:paraId="579E66C5" w14:textId="77777777" w:rsidTr="009A0FE4">
        <w:tc>
          <w:tcPr>
            <w:tcW w:w="3770" w:type="dxa"/>
          </w:tcPr>
          <w:p w14:paraId="0995BB56" w14:textId="05176F77" w:rsidR="009A0FE4" w:rsidRPr="00D032B4" w:rsidRDefault="004C58EF" w:rsidP="009A0FE4">
            <w:pPr>
              <w:pStyle w:val="Paragraph"/>
              <w:numPr>
                <w:ilvl w:val="0"/>
                <w:numId w:val="25"/>
              </w:numPr>
              <w:rPr>
                <w:rFonts w:cs="Arial"/>
                <w:sz w:val="24"/>
                <w:szCs w:val="24"/>
              </w:rPr>
            </w:pPr>
            <w:r>
              <w:rPr>
                <w:rFonts w:cs="Arial"/>
                <w:sz w:val="24"/>
                <w:szCs w:val="24"/>
              </w:rPr>
              <w:t xml:space="preserve">Dr </w:t>
            </w:r>
            <w:r w:rsidR="009A0FE4" w:rsidRPr="00D032B4">
              <w:rPr>
                <w:rFonts w:cs="Arial"/>
                <w:sz w:val="24"/>
                <w:szCs w:val="24"/>
              </w:rPr>
              <w:t>Nigel Langford</w:t>
            </w:r>
          </w:p>
        </w:tc>
        <w:tc>
          <w:tcPr>
            <w:tcW w:w="3827" w:type="dxa"/>
          </w:tcPr>
          <w:p w14:paraId="50408E42" w14:textId="2A0E85C5" w:rsidR="009A0FE4" w:rsidRPr="00D032B4" w:rsidRDefault="009A0FE4" w:rsidP="009A0FE4">
            <w:pPr>
              <w:pStyle w:val="Paragraph"/>
              <w:numPr>
                <w:ilvl w:val="0"/>
                <w:numId w:val="0"/>
              </w:numPr>
              <w:rPr>
                <w:rFonts w:cs="Arial"/>
                <w:sz w:val="24"/>
                <w:szCs w:val="24"/>
              </w:rPr>
            </w:pPr>
            <w:r w:rsidRPr="00D032B4">
              <w:rPr>
                <w:rFonts w:cs="Arial"/>
                <w:sz w:val="24"/>
                <w:szCs w:val="24"/>
              </w:rPr>
              <w:t>Health Service Representative</w:t>
            </w:r>
          </w:p>
        </w:tc>
      </w:tr>
      <w:tr w:rsidR="009A0FE4" w:rsidRPr="00D032B4" w14:paraId="705AFD73" w14:textId="77777777" w:rsidTr="009A0FE4">
        <w:tc>
          <w:tcPr>
            <w:tcW w:w="3770" w:type="dxa"/>
          </w:tcPr>
          <w:p w14:paraId="1E14E3FE" w14:textId="23A9A0F2" w:rsidR="009A0FE4" w:rsidRPr="00D032B4" w:rsidRDefault="009A0FE4" w:rsidP="009A0FE4">
            <w:pPr>
              <w:pStyle w:val="Paragraph"/>
              <w:numPr>
                <w:ilvl w:val="0"/>
                <w:numId w:val="25"/>
              </w:numPr>
              <w:rPr>
                <w:rFonts w:cs="Arial"/>
                <w:sz w:val="24"/>
                <w:szCs w:val="24"/>
              </w:rPr>
            </w:pPr>
            <w:r w:rsidRPr="00D032B4">
              <w:rPr>
                <w:rFonts w:cs="Arial"/>
                <w:sz w:val="24"/>
                <w:szCs w:val="24"/>
              </w:rPr>
              <w:t>Rosemary Harris</w:t>
            </w:r>
          </w:p>
        </w:tc>
        <w:tc>
          <w:tcPr>
            <w:tcW w:w="3827" w:type="dxa"/>
          </w:tcPr>
          <w:p w14:paraId="227B543A" w14:textId="36E5947F" w:rsidR="009A0FE4" w:rsidRPr="00D032B4" w:rsidRDefault="009A0FE4" w:rsidP="009A0FE4">
            <w:pPr>
              <w:pStyle w:val="Paragraph"/>
              <w:numPr>
                <w:ilvl w:val="0"/>
                <w:numId w:val="0"/>
              </w:numPr>
              <w:rPr>
                <w:rFonts w:cs="Arial"/>
                <w:sz w:val="24"/>
                <w:szCs w:val="24"/>
              </w:rPr>
            </w:pPr>
            <w:r w:rsidRPr="00D032B4">
              <w:rPr>
                <w:rFonts w:cs="Arial"/>
                <w:sz w:val="24"/>
                <w:szCs w:val="24"/>
              </w:rPr>
              <w:t>Lay Representative</w:t>
            </w:r>
          </w:p>
        </w:tc>
      </w:tr>
    </w:tbl>
    <w:p w14:paraId="62CC4DFD" w14:textId="77777777" w:rsidR="009A0FE4" w:rsidRPr="00D032B4" w:rsidRDefault="009A0FE4" w:rsidP="009A0FE4">
      <w:pPr>
        <w:pStyle w:val="Paragraph"/>
        <w:numPr>
          <w:ilvl w:val="0"/>
          <w:numId w:val="0"/>
        </w:numPr>
        <w:ind w:left="709"/>
        <w:rPr>
          <w:rFonts w:cs="Arial"/>
          <w:sz w:val="24"/>
          <w:szCs w:val="24"/>
        </w:rPr>
      </w:pPr>
    </w:p>
    <w:p w14:paraId="00CB7AB0" w14:textId="7D96CB58" w:rsidR="00CC79EF" w:rsidRPr="00D032B4" w:rsidRDefault="00CC79EF" w:rsidP="00CC79EF">
      <w:pPr>
        <w:pStyle w:val="Paragraph"/>
        <w:rPr>
          <w:rFonts w:cs="Arial"/>
          <w:sz w:val="24"/>
          <w:szCs w:val="24"/>
        </w:rPr>
      </w:pPr>
      <w:r w:rsidRPr="00D032B4">
        <w:rPr>
          <w:rFonts w:cs="Arial"/>
          <w:sz w:val="24"/>
          <w:szCs w:val="24"/>
        </w:rPr>
        <w:lastRenderedPageBreak/>
        <w:t xml:space="preserve">None of the members of the appeal panel had any competing interest to declare. </w:t>
      </w:r>
    </w:p>
    <w:p w14:paraId="08E13CFD" w14:textId="2F151572" w:rsidR="00CC79EF" w:rsidRPr="00D032B4" w:rsidRDefault="00CC79EF" w:rsidP="009A0FE4">
      <w:pPr>
        <w:pStyle w:val="Paragraph"/>
        <w:rPr>
          <w:rFonts w:cs="Arial"/>
          <w:sz w:val="24"/>
          <w:szCs w:val="24"/>
        </w:rPr>
      </w:pPr>
      <w:r w:rsidRPr="00D032B4">
        <w:rPr>
          <w:rFonts w:cs="Arial"/>
          <w:sz w:val="24"/>
          <w:szCs w:val="24"/>
        </w:rPr>
        <w:t>The panel considered appeals submitted by</w:t>
      </w:r>
      <w:r w:rsidR="009A0FE4" w:rsidRPr="00D032B4">
        <w:rPr>
          <w:rFonts w:cs="Arial"/>
          <w:sz w:val="24"/>
          <w:szCs w:val="24"/>
        </w:rPr>
        <w:t xml:space="preserve"> </w:t>
      </w:r>
      <w:proofErr w:type="spellStart"/>
      <w:r w:rsidR="009A0FE4" w:rsidRPr="00D032B4">
        <w:rPr>
          <w:rFonts w:cs="Arial"/>
          <w:sz w:val="24"/>
          <w:szCs w:val="24"/>
        </w:rPr>
        <w:t>Argenx</w:t>
      </w:r>
      <w:proofErr w:type="spellEnd"/>
      <w:r w:rsidR="009A0FE4" w:rsidRPr="00D032B4">
        <w:rPr>
          <w:rFonts w:cs="Arial"/>
          <w:sz w:val="24"/>
          <w:szCs w:val="24"/>
        </w:rPr>
        <w:t xml:space="preserve"> (the "Company") and </w:t>
      </w:r>
      <w:proofErr w:type="spellStart"/>
      <w:r w:rsidR="009A0FE4" w:rsidRPr="00D032B4">
        <w:rPr>
          <w:rFonts w:cs="Arial"/>
          <w:sz w:val="24"/>
          <w:szCs w:val="24"/>
        </w:rPr>
        <w:t>Myaware</w:t>
      </w:r>
      <w:proofErr w:type="spellEnd"/>
      <w:r w:rsidR="009A0FE4" w:rsidRPr="00D032B4">
        <w:rPr>
          <w:rFonts w:cs="Arial"/>
          <w:sz w:val="24"/>
          <w:szCs w:val="24"/>
        </w:rPr>
        <w:t xml:space="preserve"> UK</w:t>
      </w:r>
      <w:r w:rsidR="00E459A3" w:rsidRPr="00D032B4">
        <w:rPr>
          <w:rFonts w:cs="Arial"/>
          <w:sz w:val="24"/>
          <w:szCs w:val="24"/>
        </w:rPr>
        <w:t xml:space="preserve"> ("</w:t>
      </w:r>
      <w:proofErr w:type="spellStart"/>
      <w:r w:rsidR="00E459A3" w:rsidRPr="00D032B4">
        <w:rPr>
          <w:rFonts w:cs="Arial"/>
          <w:sz w:val="24"/>
          <w:szCs w:val="24"/>
        </w:rPr>
        <w:t>Myaware</w:t>
      </w:r>
      <w:proofErr w:type="spellEnd"/>
      <w:r w:rsidR="00E459A3" w:rsidRPr="00D032B4">
        <w:rPr>
          <w:rFonts w:cs="Arial"/>
          <w:sz w:val="24"/>
          <w:szCs w:val="24"/>
        </w:rPr>
        <w:t>")</w:t>
      </w:r>
      <w:r w:rsidR="009A0FE4" w:rsidRPr="00D032B4">
        <w:rPr>
          <w:rFonts w:cs="Arial"/>
          <w:sz w:val="24"/>
          <w:szCs w:val="24"/>
        </w:rPr>
        <w:t xml:space="preserve">. </w:t>
      </w:r>
    </w:p>
    <w:p w14:paraId="43ED659A" w14:textId="53DF649F" w:rsidR="00CC79EF" w:rsidRPr="00D032B4" w:rsidRDefault="009A0FE4" w:rsidP="00CC79EF">
      <w:pPr>
        <w:pStyle w:val="Paragraph"/>
        <w:rPr>
          <w:rFonts w:cs="Arial"/>
          <w:sz w:val="24"/>
          <w:szCs w:val="24"/>
        </w:rPr>
      </w:pPr>
      <w:proofErr w:type="spellStart"/>
      <w:r w:rsidRPr="00D032B4">
        <w:rPr>
          <w:rFonts w:cs="Arial"/>
          <w:sz w:val="24"/>
          <w:szCs w:val="24"/>
        </w:rPr>
        <w:t>Argenx</w:t>
      </w:r>
      <w:proofErr w:type="spellEnd"/>
      <w:r w:rsidR="00CC79EF" w:rsidRPr="00D032B4">
        <w:rPr>
          <w:rFonts w:cs="Arial"/>
          <w:sz w:val="24"/>
          <w:szCs w:val="24"/>
        </w:rPr>
        <w:t xml:space="preserve"> was represented by:</w:t>
      </w:r>
      <w:r w:rsidR="00CC79EF" w:rsidRPr="00D032B4">
        <w:rPr>
          <w:rFonts w:cs="Arial"/>
          <w:color w:val="FF0000"/>
          <w:sz w:val="24"/>
          <w:szCs w:val="24"/>
        </w:rPr>
        <w:t xml:space="preserv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3761"/>
      </w:tblGrid>
      <w:tr w:rsidR="009A0FE4" w:rsidRPr="00D032B4" w14:paraId="4612877D" w14:textId="77777777" w:rsidTr="00FD1A77">
        <w:tc>
          <w:tcPr>
            <w:tcW w:w="4148" w:type="dxa"/>
          </w:tcPr>
          <w:p w14:paraId="070C6277" w14:textId="116D5CE2" w:rsidR="009A0FE4" w:rsidRPr="00D032B4" w:rsidRDefault="009A0FE4" w:rsidP="00FD1A77">
            <w:pPr>
              <w:pStyle w:val="Paragraph"/>
              <w:numPr>
                <w:ilvl w:val="0"/>
                <w:numId w:val="26"/>
              </w:numPr>
              <w:rPr>
                <w:rFonts w:cs="Arial"/>
                <w:sz w:val="24"/>
                <w:szCs w:val="24"/>
              </w:rPr>
            </w:pPr>
            <w:r w:rsidRPr="00D032B4">
              <w:rPr>
                <w:rFonts w:cs="Arial"/>
                <w:sz w:val="24"/>
                <w:szCs w:val="24"/>
              </w:rPr>
              <w:t>David Knechtel</w:t>
            </w:r>
          </w:p>
        </w:tc>
        <w:tc>
          <w:tcPr>
            <w:tcW w:w="4148" w:type="dxa"/>
          </w:tcPr>
          <w:p w14:paraId="012A1273" w14:textId="0A7C5B1E" w:rsidR="009A0FE4" w:rsidRPr="00D032B4" w:rsidRDefault="009A0FE4" w:rsidP="009A0FE4">
            <w:pPr>
              <w:pStyle w:val="Paragraph"/>
              <w:numPr>
                <w:ilvl w:val="0"/>
                <w:numId w:val="0"/>
              </w:numPr>
              <w:rPr>
                <w:rFonts w:cs="Arial"/>
                <w:sz w:val="24"/>
                <w:szCs w:val="24"/>
              </w:rPr>
            </w:pPr>
            <w:r w:rsidRPr="00D032B4">
              <w:rPr>
                <w:rFonts w:cs="Arial"/>
                <w:sz w:val="24"/>
                <w:szCs w:val="24"/>
              </w:rPr>
              <w:t>UK General Manager</w:t>
            </w:r>
          </w:p>
        </w:tc>
      </w:tr>
      <w:tr w:rsidR="009A0FE4" w:rsidRPr="00D032B4" w14:paraId="1432B49D" w14:textId="77777777" w:rsidTr="00FD1A77">
        <w:tc>
          <w:tcPr>
            <w:tcW w:w="4148" w:type="dxa"/>
          </w:tcPr>
          <w:p w14:paraId="4FE4ABB7" w14:textId="0ED26111" w:rsidR="009A0FE4" w:rsidRPr="00D032B4" w:rsidRDefault="009A0FE4" w:rsidP="00FD1A77">
            <w:pPr>
              <w:pStyle w:val="Paragraph"/>
              <w:numPr>
                <w:ilvl w:val="0"/>
                <w:numId w:val="26"/>
              </w:numPr>
              <w:rPr>
                <w:rFonts w:cs="Arial"/>
                <w:sz w:val="24"/>
                <w:szCs w:val="24"/>
              </w:rPr>
            </w:pPr>
            <w:r w:rsidRPr="00D032B4">
              <w:rPr>
                <w:rFonts w:cs="Arial"/>
                <w:sz w:val="24"/>
                <w:szCs w:val="24"/>
              </w:rPr>
              <w:t>Peter Graham</w:t>
            </w:r>
          </w:p>
        </w:tc>
        <w:tc>
          <w:tcPr>
            <w:tcW w:w="4148" w:type="dxa"/>
          </w:tcPr>
          <w:p w14:paraId="129C609A" w14:textId="2B459027" w:rsidR="009A0FE4" w:rsidRPr="00D032B4" w:rsidRDefault="009A0FE4" w:rsidP="009A0FE4">
            <w:pPr>
              <w:pStyle w:val="Paragraph"/>
              <w:numPr>
                <w:ilvl w:val="0"/>
                <w:numId w:val="0"/>
              </w:numPr>
              <w:rPr>
                <w:rFonts w:cs="Arial"/>
                <w:sz w:val="24"/>
                <w:szCs w:val="24"/>
              </w:rPr>
            </w:pPr>
            <w:r w:rsidRPr="00D032B4">
              <w:rPr>
                <w:rFonts w:cs="Arial"/>
                <w:sz w:val="24"/>
                <w:szCs w:val="24"/>
              </w:rPr>
              <w:t>Market Access Lead</w:t>
            </w:r>
          </w:p>
        </w:tc>
      </w:tr>
      <w:tr w:rsidR="009A0FE4" w:rsidRPr="00D032B4" w14:paraId="20720479" w14:textId="77777777" w:rsidTr="00FD1A77">
        <w:tc>
          <w:tcPr>
            <w:tcW w:w="4148" w:type="dxa"/>
          </w:tcPr>
          <w:p w14:paraId="78479524" w14:textId="4DC8F381" w:rsidR="009A0FE4" w:rsidRPr="00D032B4" w:rsidRDefault="009A0FE4" w:rsidP="00FD1A77">
            <w:pPr>
              <w:pStyle w:val="Paragraph"/>
              <w:numPr>
                <w:ilvl w:val="0"/>
                <w:numId w:val="26"/>
              </w:numPr>
              <w:rPr>
                <w:rFonts w:cs="Arial"/>
                <w:sz w:val="24"/>
                <w:szCs w:val="24"/>
              </w:rPr>
            </w:pPr>
            <w:r w:rsidRPr="00D032B4">
              <w:rPr>
                <w:rFonts w:cs="Arial"/>
                <w:sz w:val="24"/>
                <w:szCs w:val="24"/>
              </w:rPr>
              <w:t>Jane Summerfield</w:t>
            </w:r>
          </w:p>
        </w:tc>
        <w:tc>
          <w:tcPr>
            <w:tcW w:w="4148" w:type="dxa"/>
          </w:tcPr>
          <w:p w14:paraId="6D31896D" w14:textId="7618F291" w:rsidR="009A0FE4" w:rsidRPr="00D032B4" w:rsidRDefault="009A0FE4" w:rsidP="009A0FE4">
            <w:pPr>
              <w:pStyle w:val="Paragraph"/>
              <w:numPr>
                <w:ilvl w:val="0"/>
                <w:numId w:val="0"/>
              </w:numPr>
              <w:rPr>
                <w:rFonts w:cs="Arial"/>
                <w:sz w:val="24"/>
                <w:szCs w:val="24"/>
              </w:rPr>
            </w:pPr>
            <w:r w:rsidRPr="00D032B4">
              <w:rPr>
                <w:rFonts w:cs="Arial"/>
                <w:sz w:val="24"/>
                <w:szCs w:val="24"/>
              </w:rPr>
              <w:t xml:space="preserve">Legal </w:t>
            </w:r>
            <w:r w:rsidR="00FC70C4" w:rsidRPr="00D032B4">
              <w:rPr>
                <w:rFonts w:cs="Arial"/>
                <w:sz w:val="24"/>
                <w:szCs w:val="24"/>
              </w:rPr>
              <w:t>Representative</w:t>
            </w:r>
          </w:p>
        </w:tc>
      </w:tr>
      <w:tr w:rsidR="009A0FE4" w:rsidRPr="00D032B4" w14:paraId="67BFF711" w14:textId="77777777" w:rsidTr="00FD1A77">
        <w:tc>
          <w:tcPr>
            <w:tcW w:w="4148" w:type="dxa"/>
          </w:tcPr>
          <w:p w14:paraId="512262C2" w14:textId="4D3DBA2A" w:rsidR="009A0FE4" w:rsidRPr="00D032B4" w:rsidRDefault="009A0FE4" w:rsidP="00FD1A77">
            <w:pPr>
              <w:pStyle w:val="Paragraph"/>
              <w:numPr>
                <w:ilvl w:val="0"/>
                <w:numId w:val="26"/>
              </w:numPr>
              <w:rPr>
                <w:rFonts w:cs="Arial"/>
                <w:sz w:val="24"/>
                <w:szCs w:val="24"/>
              </w:rPr>
            </w:pPr>
            <w:r w:rsidRPr="00D032B4">
              <w:rPr>
                <w:rFonts w:cs="Arial"/>
                <w:sz w:val="24"/>
                <w:szCs w:val="24"/>
              </w:rPr>
              <w:t>Esther Nzenza</w:t>
            </w:r>
          </w:p>
        </w:tc>
        <w:tc>
          <w:tcPr>
            <w:tcW w:w="4148" w:type="dxa"/>
          </w:tcPr>
          <w:p w14:paraId="2F338D49" w14:textId="0256A6C0" w:rsidR="009A0FE4" w:rsidRPr="00D032B4" w:rsidRDefault="009A0FE4" w:rsidP="009A0FE4">
            <w:pPr>
              <w:pStyle w:val="Paragraph"/>
              <w:numPr>
                <w:ilvl w:val="0"/>
                <w:numId w:val="0"/>
              </w:numPr>
              <w:rPr>
                <w:rFonts w:cs="Arial"/>
                <w:sz w:val="24"/>
                <w:szCs w:val="24"/>
              </w:rPr>
            </w:pPr>
            <w:r w:rsidRPr="00D032B4">
              <w:rPr>
                <w:rFonts w:cs="Arial"/>
                <w:sz w:val="24"/>
                <w:szCs w:val="24"/>
              </w:rPr>
              <w:t>Decisive Consulting</w:t>
            </w:r>
          </w:p>
        </w:tc>
      </w:tr>
      <w:tr w:rsidR="009A0FE4" w:rsidRPr="00D032B4" w14:paraId="577DCB24" w14:textId="77777777" w:rsidTr="00FD1A77">
        <w:tc>
          <w:tcPr>
            <w:tcW w:w="4148" w:type="dxa"/>
          </w:tcPr>
          <w:p w14:paraId="4A76474E" w14:textId="05EDEAE4" w:rsidR="009A0FE4" w:rsidRPr="00D032B4" w:rsidRDefault="009A0FE4" w:rsidP="00FD1A77">
            <w:pPr>
              <w:pStyle w:val="Paragraph"/>
              <w:numPr>
                <w:ilvl w:val="0"/>
                <w:numId w:val="26"/>
              </w:numPr>
              <w:rPr>
                <w:rFonts w:cs="Arial"/>
                <w:sz w:val="24"/>
                <w:szCs w:val="24"/>
              </w:rPr>
            </w:pPr>
            <w:r w:rsidRPr="00D032B4">
              <w:rPr>
                <w:rFonts w:cs="Arial"/>
                <w:sz w:val="24"/>
                <w:szCs w:val="24"/>
              </w:rPr>
              <w:t>Maria de Francesco</w:t>
            </w:r>
          </w:p>
        </w:tc>
        <w:tc>
          <w:tcPr>
            <w:tcW w:w="4148" w:type="dxa"/>
          </w:tcPr>
          <w:p w14:paraId="369A460A" w14:textId="739DBA8B" w:rsidR="009A0FE4" w:rsidRPr="00D032B4" w:rsidRDefault="009A0FE4" w:rsidP="009A0FE4">
            <w:pPr>
              <w:pStyle w:val="Paragraph"/>
              <w:numPr>
                <w:ilvl w:val="0"/>
                <w:numId w:val="0"/>
              </w:numPr>
              <w:rPr>
                <w:rFonts w:cs="Arial"/>
                <w:sz w:val="24"/>
                <w:szCs w:val="24"/>
              </w:rPr>
            </w:pPr>
            <w:r w:rsidRPr="00D032B4">
              <w:rPr>
                <w:rFonts w:cs="Arial"/>
                <w:sz w:val="24"/>
                <w:szCs w:val="24"/>
              </w:rPr>
              <w:t>HEOR Value Hub</w:t>
            </w:r>
          </w:p>
        </w:tc>
      </w:tr>
    </w:tbl>
    <w:p w14:paraId="404068C7" w14:textId="2339C9ED" w:rsidR="00CC79EF" w:rsidRPr="00D032B4" w:rsidRDefault="009A0FE4" w:rsidP="00CC79EF">
      <w:pPr>
        <w:pStyle w:val="Paragraph"/>
        <w:rPr>
          <w:rFonts w:cs="Arial"/>
          <w:sz w:val="24"/>
          <w:szCs w:val="24"/>
        </w:rPr>
      </w:pPr>
      <w:proofErr w:type="spellStart"/>
      <w:r w:rsidRPr="00D032B4">
        <w:rPr>
          <w:rFonts w:cs="Arial"/>
          <w:sz w:val="24"/>
          <w:szCs w:val="24"/>
        </w:rPr>
        <w:t>Myaware</w:t>
      </w:r>
      <w:proofErr w:type="spellEnd"/>
      <w:r w:rsidRPr="00D032B4">
        <w:rPr>
          <w:rFonts w:cs="Arial"/>
          <w:sz w:val="24"/>
          <w:szCs w:val="24"/>
        </w:rPr>
        <w:t xml:space="preserve"> UK</w:t>
      </w:r>
      <w:r w:rsidR="00CC79EF" w:rsidRPr="00D032B4">
        <w:rPr>
          <w:rFonts w:cs="Arial"/>
          <w:sz w:val="24"/>
          <w:szCs w:val="24"/>
        </w:rPr>
        <w:t xml:space="preserve"> was represented by:</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gridCol w:w="3767"/>
      </w:tblGrid>
      <w:tr w:rsidR="009A0FE4" w:rsidRPr="00D032B4" w14:paraId="36F440A2" w14:textId="77777777" w:rsidTr="00FD1A77">
        <w:tc>
          <w:tcPr>
            <w:tcW w:w="4148" w:type="dxa"/>
          </w:tcPr>
          <w:p w14:paraId="18AE0BD6" w14:textId="2BEA6E5A" w:rsidR="009A0FE4" w:rsidRPr="00D032B4" w:rsidRDefault="009A0FE4" w:rsidP="00FD1A77">
            <w:pPr>
              <w:pStyle w:val="Paragraph"/>
              <w:numPr>
                <w:ilvl w:val="0"/>
                <w:numId w:val="26"/>
              </w:numPr>
              <w:rPr>
                <w:rFonts w:cs="Arial"/>
                <w:sz w:val="24"/>
                <w:szCs w:val="24"/>
              </w:rPr>
            </w:pPr>
            <w:r w:rsidRPr="00D032B4">
              <w:rPr>
                <w:rFonts w:cs="Arial"/>
                <w:sz w:val="24"/>
                <w:szCs w:val="24"/>
              </w:rPr>
              <w:t>Charlotte Campbell</w:t>
            </w:r>
          </w:p>
        </w:tc>
        <w:tc>
          <w:tcPr>
            <w:tcW w:w="4148" w:type="dxa"/>
          </w:tcPr>
          <w:p w14:paraId="6808DC31" w14:textId="40E3E96B" w:rsidR="009A0FE4" w:rsidRPr="00D032B4" w:rsidRDefault="009A0FE4" w:rsidP="009A0FE4">
            <w:pPr>
              <w:pStyle w:val="Paragraph"/>
              <w:numPr>
                <w:ilvl w:val="0"/>
                <w:numId w:val="0"/>
              </w:numPr>
              <w:rPr>
                <w:rFonts w:cs="Arial"/>
                <w:sz w:val="24"/>
                <w:szCs w:val="24"/>
              </w:rPr>
            </w:pPr>
            <w:r w:rsidRPr="00D032B4">
              <w:rPr>
                <w:rFonts w:cs="Arial"/>
                <w:sz w:val="24"/>
                <w:szCs w:val="24"/>
              </w:rPr>
              <w:t>Research and Partnerships Manager</w:t>
            </w:r>
          </w:p>
        </w:tc>
      </w:tr>
      <w:tr w:rsidR="009A0FE4" w:rsidRPr="00D032B4" w14:paraId="427C3E7F" w14:textId="77777777" w:rsidTr="00FD1A77">
        <w:tc>
          <w:tcPr>
            <w:tcW w:w="4148" w:type="dxa"/>
          </w:tcPr>
          <w:p w14:paraId="536051DB" w14:textId="77326189" w:rsidR="009A0FE4" w:rsidRPr="00D032B4" w:rsidRDefault="00033757" w:rsidP="00FD1A77">
            <w:pPr>
              <w:pStyle w:val="Paragraph"/>
              <w:numPr>
                <w:ilvl w:val="0"/>
                <w:numId w:val="26"/>
              </w:numPr>
              <w:rPr>
                <w:rFonts w:cs="Arial"/>
                <w:sz w:val="24"/>
                <w:szCs w:val="24"/>
              </w:rPr>
            </w:pPr>
            <w:r>
              <w:rPr>
                <w:rFonts w:cs="Arial"/>
                <w:sz w:val="24"/>
                <w:szCs w:val="24"/>
              </w:rPr>
              <w:t xml:space="preserve">Dr </w:t>
            </w:r>
            <w:r w:rsidR="009A0FE4" w:rsidRPr="00D032B4">
              <w:rPr>
                <w:rFonts w:cs="Arial"/>
                <w:sz w:val="24"/>
                <w:szCs w:val="24"/>
              </w:rPr>
              <w:t>Ashwin Pinto</w:t>
            </w:r>
          </w:p>
        </w:tc>
        <w:tc>
          <w:tcPr>
            <w:tcW w:w="4148" w:type="dxa"/>
          </w:tcPr>
          <w:p w14:paraId="31311195" w14:textId="13BA39F7" w:rsidR="009A0FE4" w:rsidRPr="00D032B4" w:rsidRDefault="009A0FE4" w:rsidP="009A0FE4">
            <w:pPr>
              <w:pStyle w:val="Paragraph"/>
              <w:numPr>
                <w:ilvl w:val="0"/>
                <w:numId w:val="0"/>
              </w:numPr>
              <w:rPr>
                <w:rFonts w:cs="Arial"/>
                <w:sz w:val="24"/>
                <w:szCs w:val="24"/>
              </w:rPr>
            </w:pPr>
            <w:r w:rsidRPr="00D032B4">
              <w:rPr>
                <w:rFonts w:cs="Arial"/>
                <w:sz w:val="24"/>
                <w:szCs w:val="24"/>
              </w:rPr>
              <w:t>Consultant Neurologist</w:t>
            </w:r>
          </w:p>
        </w:tc>
      </w:tr>
      <w:tr w:rsidR="009A0FE4" w:rsidRPr="00D032B4" w14:paraId="7ECDB564" w14:textId="77777777" w:rsidTr="00FD1A77">
        <w:tc>
          <w:tcPr>
            <w:tcW w:w="4148" w:type="dxa"/>
          </w:tcPr>
          <w:p w14:paraId="33765EE9" w14:textId="417FC882" w:rsidR="009A0FE4" w:rsidRPr="00D032B4" w:rsidRDefault="004E0E2C" w:rsidP="00FD1A77">
            <w:pPr>
              <w:pStyle w:val="Paragraph"/>
              <w:numPr>
                <w:ilvl w:val="0"/>
                <w:numId w:val="26"/>
              </w:numPr>
              <w:rPr>
                <w:rFonts w:cs="Arial"/>
                <w:sz w:val="24"/>
                <w:szCs w:val="24"/>
              </w:rPr>
            </w:pPr>
            <w:r>
              <w:rPr>
                <w:rFonts w:cs="Arial"/>
                <w:sz w:val="24"/>
                <w:szCs w:val="24"/>
              </w:rPr>
              <w:t xml:space="preserve">Dr </w:t>
            </w:r>
            <w:r w:rsidR="009A0FE4" w:rsidRPr="00D032B4">
              <w:rPr>
                <w:rFonts w:cs="Arial"/>
                <w:sz w:val="24"/>
                <w:szCs w:val="24"/>
              </w:rPr>
              <w:t>Jennifer Spillane</w:t>
            </w:r>
          </w:p>
        </w:tc>
        <w:tc>
          <w:tcPr>
            <w:tcW w:w="4148" w:type="dxa"/>
          </w:tcPr>
          <w:p w14:paraId="5F23E324" w14:textId="79B06A22" w:rsidR="009A0FE4" w:rsidRPr="00D032B4" w:rsidRDefault="009A0FE4" w:rsidP="009A0FE4">
            <w:pPr>
              <w:pStyle w:val="Paragraph"/>
              <w:numPr>
                <w:ilvl w:val="0"/>
                <w:numId w:val="0"/>
              </w:numPr>
              <w:rPr>
                <w:rFonts w:cs="Arial"/>
                <w:sz w:val="24"/>
                <w:szCs w:val="24"/>
              </w:rPr>
            </w:pPr>
            <w:r w:rsidRPr="00D032B4">
              <w:rPr>
                <w:rFonts w:cs="Arial"/>
                <w:sz w:val="24"/>
                <w:szCs w:val="24"/>
              </w:rPr>
              <w:t>Consultant Neurologist</w:t>
            </w:r>
          </w:p>
        </w:tc>
      </w:tr>
      <w:tr w:rsidR="009A0FE4" w:rsidRPr="00D032B4" w14:paraId="63EF0FA4" w14:textId="77777777" w:rsidTr="00FD1A77">
        <w:tc>
          <w:tcPr>
            <w:tcW w:w="4148" w:type="dxa"/>
          </w:tcPr>
          <w:p w14:paraId="34B4AAF3" w14:textId="1C419022" w:rsidR="009A0FE4" w:rsidRPr="00D032B4" w:rsidRDefault="009A0FE4" w:rsidP="00FD1A77">
            <w:pPr>
              <w:pStyle w:val="Paragraph"/>
              <w:numPr>
                <w:ilvl w:val="0"/>
                <w:numId w:val="26"/>
              </w:numPr>
              <w:rPr>
                <w:rFonts w:cs="Arial"/>
                <w:sz w:val="24"/>
                <w:szCs w:val="24"/>
              </w:rPr>
            </w:pPr>
            <w:r w:rsidRPr="00D032B4">
              <w:rPr>
                <w:rFonts w:cs="Arial"/>
                <w:sz w:val="24"/>
                <w:szCs w:val="24"/>
              </w:rPr>
              <w:t>Andrew Stephenson</w:t>
            </w:r>
          </w:p>
        </w:tc>
        <w:tc>
          <w:tcPr>
            <w:tcW w:w="4148" w:type="dxa"/>
          </w:tcPr>
          <w:p w14:paraId="120EFC3B" w14:textId="294C8E62" w:rsidR="009A0FE4" w:rsidRPr="00D032B4" w:rsidRDefault="009A0FE4" w:rsidP="009A0FE4">
            <w:pPr>
              <w:pStyle w:val="Paragraph"/>
              <w:numPr>
                <w:ilvl w:val="0"/>
                <w:numId w:val="0"/>
              </w:numPr>
              <w:rPr>
                <w:rFonts w:cs="Arial"/>
                <w:sz w:val="24"/>
                <w:szCs w:val="24"/>
              </w:rPr>
            </w:pPr>
            <w:r w:rsidRPr="00D032B4">
              <w:rPr>
                <w:rFonts w:cs="Arial"/>
                <w:sz w:val="24"/>
                <w:szCs w:val="24"/>
              </w:rPr>
              <w:t>Patient Representative</w:t>
            </w:r>
          </w:p>
        </w:tc>
      </w:tr>
      <w:tr w:rsidR="009A0FE4" w:rsidRPr="00D032B4" w14:paraId="21DF527C" w14:textId="77777777" w:rsidTr="00FD1A77">
        <w:tc>
          <w:tcPr>
            <w:tcW w:w="4148" w:type="dxa"/>
          </w:tcPr>
          <w:p w14:paraId="6537E6DC" w14:textId="5022D3C8" w:rsidR="009A0FE4" w:rsidRPr="00D032B4" w:rsidRDefault="009A0FE4" w:rsidP="00FD1A77">
            <w:pPr>
              <w:pStyle w:val="Paragraph"/>
              <w:numPr>
                <w:ilvl w:val="0"/>
                <w:numId w:val="26"/>
              </w:numPr>
              <w:rPr>
                <w:rFonts w:cs="Arial"/>
                <w:sz w:val="24"/>
                <w:szCs w:val="24"/>
              </w:rPr>
            </w:pPr>
            <w:r w:rsidRPr="00D032B4">
              <w:rPr>
                <w:rFonts w:cs="Arial"/>
                <w:sz w:val="24"/>
                <w:szCs w:val="24"/>
              </w:rPr>
              <w:lastRenderedPageBreak/>
              <w:t>Sarah Love</w:t>
            </w:r>
          </w:p>
        </w:tc>
        <w:tc>
          <w:tcPr>
            <w:tcW w:w="4148" w:type="dxa"/>
          </w:tcPr>
          <w:p w14:paraId="2CA06F6C" w14:textId="4301DFFA" w:rsidR="009A0FE4" w:rsidRPr="00D032B4" w:rsidRDefault="009A0FE4" w:rsidP="009A0FE4">
            <w:pPr>
              <w:pStyle w:val="Paragraph"/>
              <w:numPr>
                <w:ilvl w:val="0"/>
                <w:numId w:val="0"/>
              </w:numPr>
              <w:rPr>
                <w:rFonts w:cs="Arial"/>
                <w:sz w:val="24"/>
                <w:szCs w:val="24"/>
              </w:rPr>
            </w:pPr>
            <w:r w:rsidRPr="00D032B4">
              <w:rPr>
                <w:rFonts w:cs="Arial"/>
                <w:sz w:val="24"/>
                <w:szCs w:val="24"/>
              </w:rPr>
              <w:t>Legal Representative</w:t>
            </w:r>
          </w:p>
        </w:tc>
      </w:tr>
    </w:tbl>
    <w:p w14:paraId="3DAD1F11" w14:textId="3F4FFFB6" w:rsidR="00CC79EF" w:rsidRPr="00D032B4" w:rsidRDefault="00CC79EF" w:rsidP="00CC79EF">
      <w:pPr>
        <w:pStyle w:val="Paragraph"/>
        <w:rPr>
          <w:rFonts w:cs="Arial"/>
          <w:sz w:val="24"/>
          <w:szCs w:val="24"/>
        </w:rPr>
      </w:pPr>
      <w:r w:rsidRPr="00D032B4">
        <w:rPr>
          <w:rFonts w:cs="Arial"/>
          <w:sz w:val="24"/>
          <w:szCs w:val="24"/>
        </w:rPr>
        <w:t>In addition, the following individuals involved in the appraisal were present and available to answer questions from the appeal panel:</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gridCol w:w="3778"/>
      </w:tblGrid>
      <w:tr w:rsidR="00E459A3" w:rsidRPr="00D032B4" w14:paraId="11B948A3" w14:textId="77777777" w:rsidTr="00E459A3">
        <w:tc>
          <w:tcPr>
            <w:tcW w:w="4148" w:type="dxa"/>
          </w:tcPr>
          <w:p w14:paraId="21E632D9" w14:textId="668ABECF" w:rsidR="00FD1A77" w:rsidRPr="00D032B4" w:rsidRDefault="00ED2F2C" w:rsidP="00E459A3">
            <w:pPr>
              <w:pStyle w:val="Paragraph"/>
              <w:numPr>
                <w:ilvl w:val="0"/>
                <w:numId w:val="26"/>
              </w:numPr>
              <w:rPr>
                <w:rFonts w:cs="Arial"/>
                <w:sz w:val="24"/>
                <w:szCs w:val="24"/>
              </w:rPr>
            </w:pPr>
            <w:r>
              <w:rPr>
                <w:rFonts w:cs="Arial"/>
                <w:sz w:val="24"/>
                <w:szCs w:val="24"/>
              </w:rPr>
              <w:t xml:space="preserve">Dr </w:t>
            </w:r>
            <w:r w:rsidR="00FD1A77" w:rsidRPr="00D032B4">
              <w:rPr>
                <w:rFonts w:cs="Arial"/>
                <w:sz w:val="24"/>
                <w:szCs w:val="24"/>
              </w:rPr>
              <w:t>Raju Reddy</w:t>
            </w:r>
          </w:p>
        </w:tc>
        <w:tc>
          <w:tcPr>
            <w:tcW w:w="4148" w:type="dxa"/>
          </w:tcPr>
          <w:p w14:paraId="17397139" w14:textId="08F03500" w:rsidR="00FD1A77" w:rsidRPr="00D032B4" w:rsidRDefault="00ED2F2C" w:rsidP="00FD1A77">
            <w:pPr>
              <w:pStyle w:val="Paragraph"/>
              <w:numPr>
                <w:ilvl w:val="0"/>
                <w:numId w:val="0"/>
              </w:numPr>
              <w:rPr>
                <w:rFonts w:cs="Arial"/>
                <w:sz w:val="24"/>
                <w:szCs w:val="24"/>
              </w:rPr>
            </w:pPr>
            <w:r>
              <w:rPr>
                <w:rFonts w:cs="Arial"/>
                <w:sz w:val="24"/>
                <w:szCs w:val="24"/>
              </w:rPr>
              <w:t xml:space="preserve">Chair, </w:t>
            </w:r>
            <w:r w:rsidR="00FD1A77" w:rsidRPr="00D032B4">
              <w:rPr>
                <w:rFonts w:cs="Arial"/>
                <w:sz w:val="24"/>
                <w:szCs w:val="24"/>
              </w:rPr>
              <w:t>Technology Appraisal Committee</w:t>
            </w:r>
            <w:r w:rsidR="00A82BB8">
              <w:rPr>
                <w:rFonts w:cs="Arial"/>
                <w:sz w:val="24"/>
                <w:szCs w:val="24"/>
              </w:rPr>
              <w:t xml:space="preserve"> D</w:t>
            </w:r>
            <w:r w:rsidR="00FD1A77" w:rsidRPr="00D032B4">
              <w:rPr>
                <w:rFonts w:cs="Arial"/>
                <w:sz w:val="24"/>
                <w:szCs w:val="24"/>
              </w:rPr>
              <w:t xml:space="preserve"> </w:t>
            </w:r>
          </w:p>
        </w:tc>
      </w:tr>
      <w:tr w:rsidR="00E459A3" w:rsidRPr="00D032B4" w14:paraId="2D22C4A0" w14:textId="77777777" w:rsidTr="00E459A3">
        <w:tc>
          <w:tcPr>
            <w:tcW w:w="4148" w:type="dxa"/>
          </w:tcPr>
          <w:p w14:paraId="0C246026" w14:textId="5D575ECA" w:rsidR="00FD1A77" w:rsidRPr="00D032B4" w:rsidRDefault="002B265C" w:rsidP="00E459A3">
            <w:pPr>
              <w:pStyle w:val="Paragraph"/>
              <w:numPr>
                <w:ilvl w:val="0"/>
                <w:numId w:val="26"/>
              </w:numPr>
              <w:rPr>
                <w:rFonts w:cs="Arial"/>
                <w:sz w:val="24"/>
                <w:szCs w:val="24"/>
              </w:rPr>
            </w:pPr>
            <w:r>
              <w:rPr>
                <w:rFonts w:cs="Arial"/>
                <w:sz w:val="24"/>
                <w:szCs w:val="24"/>
              </w:rPr>
              <w:t xml:space="preserve">Dr </w:t>
            </w:r>
            <w:r w:rsidR="00FD1A77" w:rsidRPr="00D032B4">
              <w:rPr>
                <w:rFonts w:cs="Arial"/>
                <w:sz w:val="24"/>
                <w:szCs w:val="24"/>
              </w:rPr>
              <w:t>Jacoline Bouvy</w:t>
            </w:r>
          </w:p>
        </w:tc>
        <w:tc>
          <w:tcPr>
            <w:tcW w:w="4148" w:type="dxa"/>
          </w:tcPr>
          <w:p w14:paraId="6A89377E" w14:textId="3EC59F14" w:rsidR="00FD1A77" w:rsidRPr="00D032B4" w:rsidRDefault="00FD1A77" w:rsidP="00FD1A77">
            <w:pPr>
              <w:pStyle w:val="Paragraph"/>
              <w:numPr>
                <w:ilvl w:val="0"/>
                <w:numId w:val="0"/>
              </w:numPr>
              <w:rPr>
                <w:rFonts w:cs="Arial"/>
                <w:sz w:val="24"/>
                <w:szCs w:val="24"/>
              </w:rPr>
            </w:pPr>
            <w:r w:rsidRPr="00D032B4">
              <w:rPr>
                <w:rFonts w:cs="Arial"/>
                <w:sz w:val="24"/>
                <w:szCs w:val="24"/>
              </w:rPr>
              <w:t>Programme Director</w:t>
            </w:r>
            <w:r w:rsidR="00ED2F2C">
              <w:rPr>
                <w:rFonts w:cs="Arial"/>
                <w:sz w:val="24"/>
                <w:szCs w:val="24"/>
              </w:rPr>
              <w:t>, NICE</w:t>
            </w:r>
          </w:p>
        </w:tc>
      </w:tr>
      <w:tr w:rsidR="00E459A3" w:rsidRPr="00D032B4" w14:paraId="1EAB0A96" w14:textId="77777777" w:rsidTr="00E459A3">
        <w:tc>
          <w:tcPr>
            <w:tcW w:w="4148" w:type="dxa"/>
          </w:tcPr>
          <w:p w14:paraId="29DDFE86" w14:textId="411A3FFA" w:rsidR="00FD1A77" w:rsidRPr="00D032B4" w:rsidRDefault="00FD1A77" w:rsidP="00E459A3">
            <w:pPr>
              <w:pStyle w:val="Paragraph"/>
              <w:numPr>
                <w:ilvl w:val="0"/>
                <w:numId w:val="26"/>
              </w:numPr>
              <w:rPr>
                <w:rFonts w:cs="Arial"/>
                <w:sz w:val="24"/>
                <w:szCs w:val="24"/>
              </w:rPr>
            </w:pPr>
            <w:r w:rsidRPr="00D032B4">
              <w:rPr>
                <w:rFonts w:cs="Arial"/>
                <w:sz w:val="24"/>
                <w:szCs w:val="24"/>
              </w:rPr>
              <w:t>Ross Dent</w:t>
            </w:r>
          </w:p>
        </w:tc>
        <w:tc>
          <w:tcPr>
            <w:tcW w:w="4148" w:type="dxa"/>
          </w:tcPr>
          <w:p w14:paraId="447A30B3" w14:textId="772A8DB2" w:rsidR="00FD1A77" w:rsidRPr="00D032B4" w:rsidRDefault="00FD1A77" w:rsidP="00FD1A77">
            <w:pPr>
              <w:pStyle w:val="Paragraph"/>
              <w:numPr>
                <w:ilvl w:val="0"/>
                <w:numId w:val="0"/>
              </w:numPr>
              <w:rPr>
                <w:rFonts w:cs="Arial"/>
                <w:sz w:val="24"/>
                <w:szCs w:val="24"/>
              </w:rPr>
            </w:pPr>
            <w:r w:rsidRPr="00D032B4">
              <w:rPr>
                <w:rFonts w:cs="Arial"/>
                <w:sz w:val="24"/>
                <w:szCs w:val="24"/>
              </w:rPr>
              <w:t>Associate Director</w:t>
            </w:r>
            <w:r w:rsidR="00ED2F2C">
              <w:rPr>
                <w:rFonts w:cs="Arial"/>
                <w:sz w:val="24"/>
                <w:szCs w:val="24"/>
              </w:rPr>
              <w:t>, NICE</w:t>
            </w:r>
          </w:p>
        </w:tc>
      </w:tr>
      <w:tr w:rsidR="00E459A3" w:rsidRPr="00D032B4" w14:paraId="2C4FCA76" w14:textId="77777777" w:rsidTr="00E459A3">
        <w:tc>
          <w:tcPr>
            <w:tcW w:w="4148" w:type="dxa"/>
          </w:tcPr>
          <w:p w14:paraId="22C1E1E1" w14:textId="29C2CDF0" w:rsidR="00FD1A77" w:rsidRPr="00D032B4" w:rsidRDefault="00FD1A77" w:rsidP="00E459A3">
            <w:pPr>
              <w:pStyle w:val="Paragraph"/>
              <w:numPr>
                <w:ilvl w:val="0"/>
                <w:numId w:val="26"/>
              </w:numPr>
              <w:rPr>
                <w:rFonts w:cs="Arial"/>
                <w:sz w:val="24"/>
                <w:szCs w:val="24"/>
              </w:rPr>
            </w:pPr>
            <w:r w:rsidRPr="00D032B4">
              <w:rPr>
                <w:rFonts w:cs="Arial"/>
                <w:sz w:val="24"/>
                <w:szCs w:val="24"/>
              </w:rPr>
              <w:t>Alan Moore</w:t>
            </w:r>
          </w:p>
        </w:tc>
        <w:tc>
          <w:tcPr>
            <w:tcW w:w="4148" w:type="dxa"/>
          </w:tcPr>
          <w:p w14:paraId="03032FDC" w14:textId="36E3DA46" w:rsidR="00FD1A77" w:rsidRPr="00D032B4" w:rsidRDefault="00FD1A77" w:rsidP="00FD1A77">
            <w:pPr>
              <w:pStyle w:val="Paragraph"/>
              <w:numPr>
                <w:ilvl w:val="0"/>
                <w:numId w:val="0"/>
              </w:numPr>
              <w:rPr>
                <w:rFonts w:cs="Arial"/>
                <w:sz w:val="24"/>
                <w:szCs w:val="24"/>
              </w:rPr>
            </w:pPr>
            <w:r w:rsidRPr="00D032B4">
              <w:rPr>
                <w:rFonts w:cs="Arial"/>
                <w:sz w:val="24"/>
                <w:szCs w:val="24"/>
              </w:rPr>
              <w:t>Health Technology Assessment Adviser</w:t>
            </w:r>
            <w:r w:rsidR="00896A30">
              <w:rPr>
                <w:rFonts w:cs="Arial"/>
                <w:sz w:val="24"/>
                <w:szCs w:val="24"/>
              </w:rPr>
              <w:t>, NICE</w:t>
            </w:r>
          </w:p>
        </w:tc>
      </w:tr>
    </w:tbl>
    <w:p w14:paraId="15A23D07" w14:textId="70E828C0" w:rsidR="00CC79EF" w:rsidRPr="00D032B4" w:rsidRDefault="00CC79EF" w:rsidP="00CC79EF">
      <w:pPr>
        <w:pStyle w:val="Paragraph"/>
        <w:rPr>
          <w:rFonts w:cs="Arial"/>
          <w:sz w:val="24"/>
          <w:szCs w:val="24"/>
        </w:rPr>
      </w:pPr>
      <w:r w:rsidRPr="00D032B4">
        <w:rPr>
          <w:rFonts w:cs="Arial"/>
          <w:sz w:val="24"/>
          <w:szCs w:val="24"/>
        </w:rPr>
        <w:t>The appeal panel’s legal adviser</w:t>
      </w:r>
      <w:r w:rsidR="00FD1A77" w:rsidRPr="00D032B4">
        <w:rPr>
          <w:rFonts w:cs="Arial"/>
          <w:sz w:val="24"/>
          <w:szCs w:val="24"/>
        </w:rPr>
        <w:t xml:space="preserve">, Alistair Robertson (DAC Beachcroft LLP) </w:t>
      </w:r>
      <w:r w:rsidRPr="00D032B4">
        <w:rPr>
          <w:rFonts w:cs="Arial"/>
          <w:sz w:val="24"/>
          <w:szCs w:val="24"/>
        </w:rPr>
        <w:t>was also present.</w:t>
      </w:r>
    </w:p>
    <w:p w14:paraId="41DD00A2" w14:textId="304897D6" w:rsidR="00CC79EF" w:rsidRPr="00D032B4" w:rsidRDefault="00CC79EF" w:rsidP="00CC79EF">
      <w:pPr>
        <w:pStyle w:val="Paragraph"/>
        <w:rPr>
          <w:rFonts w:cs="Arial"/>
          <w:sz w:val="24"/>
          <w:szCs w:val="24"/>
        </w:rPr>
      </w:pPr>
      <w:r w:rsidRPr="00D032B4">
        <w:rPr>
          <w:rFonts w:cs="Arial"/>
          <w:sz w:val="24"/>
          <w:szCs w:val="24"/>
        </w:rPr>
        <w:t xml:space="preserve">Under NICE’s appeal procedures, members of the public are admitted </w:t>
      </w:r>
      <w:proofErr w:type="gramStart"/>
      <w:r w:rsidRPr="00D032B4">
        <w:rPr>
          <w:rFonts w:cs="Arial"/>
          <w:sz w:val="24"/>
          <w:szCs w:val="24"/>
        </w:rPr>
        <w:t>to observe</w:t>
      </w:r>
      <w:proofErr w:type="gramEnd"/>
      <w:r w:rsidRPr="00D032B4">
        <w:rPr>
          <w:rFonts w:cs="Arial"/>
          <w:sz w:val="24"/>
          <w:szCs w:val="24"/>
        </w:rPr>
        <w:t xml:space="preserve"> appeal hearings and several members of the public and NICE staff observed the proceedings which were held via Zoom.</w:t>
      </w:r>
    </w:p>
    <w:p w14:paraId="0908AF93" w14:textId="42C6C1FE" w:rsidR="00CC79EF" w:rsidRPr="00D032B4" w:rsidRDefault="00CC79EF" w:rsidP="00CC79EF">
      <w:pPr>
        <w:pStyle w:val="Paragraph"/>
        <w:rPr>
          <w:rFonts w:cs="Arial"/>
          <w:b/>
          <w:sz w:val="24"/>
          <w:szCs w:val="24"/>
        </w:rPr>
      </w:pPr>
      <w:r w:rsidRPr="00D032B4">
        <w:rPr>
          <w:rFonts w:cs="Arial"/>
          <w:sz w:val="24"/>
          <w:szCs w:val="24"/>
        </w:rPr>
        <w:t>There are two grounds under which an appeal can be lodged:</w:t>
      </w:r>
    </w:p>
    <w:p w14:paraId="3C1CBC24" w14:textId="2249EB22" w:rsidR="00CC79EF" w:rsidRPr="00D032B4" w:rsidRDefault="00CC79EF" w:rsidP="00CC79EF">
      <w:pPr>
        <w:pStyle w:val="Paragraphnonumbers"/>
        <w:rPr>
          <w:rFonts w:cs="Arial"/>
          <w:sz w:val="24"/>
          <w:szCs w:val="24"/>
        </w:rPr>
      </w:pPr>
      <w:r w:rsidRPr="00D032B4">
        <w:rPr>
          <w:rFonts w:cs="Arial"/>
          <w:sz w:val="24"/>
          <w:szCs w:val="24"/>
        </w:rPr>
        <w:t>Ground One: In making the assessment that preceded the recommendation, NICE has:</w:t>
      </w:r>
    </w:p>
    <w:p w14:paraId="6BF9CE65" w14:textId="77777777" w:rsidR="00CC79EF" w:rsidRPr="00D032B4" w:rsidRDefault="00CC79EF" w:rsidP="00CC79EF">
      <w:pPr>
        <w:pStyle w:val="Paragraphnonumbers"/>
        <w:rPr>
          <w:rFonts w:eastAsiaTheme="minorHAnsi" w:cs="Arial"/>
          <w:sz w:val="24"/>
          <w:szCs w:val="24"/>
        </w:rPr>
      </w:pPr>
      <w:r w:rsidRPr="00D032B4">
        <w:rPr>
          <w:rFonts w:eastAsiaTheme="minorHAnsi" w:cs="Arial"/>
          <w:sz w:val="24"/>
          <w:szCs w:val="24"/>
        </w:rPr>
        <w:t xml:space="preserve">(a) Failed to act fairly; and/or </w:t>
      </w:r>
    </w:p>
    <w:p w14:paraId="696FF392" w14:textId="77777777" w:rsidR="00CC79EF" w:rsidRPr="00D032B4" w:rsidRDefault="00CC79EF" w:rsidP="00CC79EF">
      <w:pPr>
        <w:pStyle w:val="Paragraphnonumbers"/>
        <w:rPr>
          <w:rFonts w:eastAsiaTheme="minorHAnsi" w:cs="Arial"/>
          <w:sz w:val="24"/>
          <w:szCs w:val="24"/>
        </w:rPr>
      </w:pPr>
      <w:r w:rsidRPr="00D032B4">
        <w:rPr>
          <w:rFonts w:eastAsiaTheme="minorHAnsi" w:cs="Arial"/>
          <w:sz w:val="24"/>
          <w:szCs w:val="24"/>
        </w:rPr>
        <w:t xml:space="preserve">(b) Exceeded its powers. </w:t>
      </w:r>
    </w:p>
    <w:p w14:paraId="06E0240D" w14:textId="77777777" w:rsidR="00CC79EF" w:rsidRPr="00D032B4" w:rsidRDefault="00CC79EF" w:rsidP="00CC79EF">
      <w:pPr>
        <w:pStyle w:val="Paragraphnonumbers"/>
        <w:rPr>
          <w:rFonts w:eastAsiaTheme="minorHAnsi" w:cs="Arial"/>
          <w:sz w:val="24"/>
          <w:szCs w:val="24"/>
        </w:rPr>
      </w:pPr>
      <w:r w:rsidRPr="00D032B4">
        <w:rPr>
          <w:rFonts w:eastAsiaTheme="minorHAnsi" w:cs="Arial"/>
          <w:sz w:val="24"/>
          <w:szCs w:val="24"/>
        </w:rPr>
        <w:lastRenderedPageBreak/>
        <w:t xml:space="preserve">Ground Two: The recommendation is unreasonable </w:t>
      </w:r>
      <w:proofErr w:type="gramStart"/>
      <w:r w:rsidRPr="00D032B4">
        <w:rPr>
          <w:rFonts w:eastAsiaTheme="minorHAnsi" w:cs="Arial"/>
          <w:sz w:val="24"/>
          <w:szCs w:val="24"/>
        </w:rPr>
        <w:t>in light of</w:t>
      </w:r>
      <w:proofErr w:type="gramEnd"/>
      <w:r w:rsidRPr="00D032B4">
        <w:rPr>
          <w:rFonts w:eastAsiaTheme="minorHAnsi" w:cs="Arial"/>
          <w:sz w:val="24"/>
          <w:szCs w:val="24"/>
        </w:rPr>
        <w:t xml:space="preserve"> the evidence submitted to NICE. </w:t>
      </w:r>
    </w:p>
    <w:p w14:paraId="6A935EEC" w14:textId="30F45D3B" w:rsidR="00CC79EF" w:rsidRPr="00D032B4" w:rsidRDefault="00E459A3" w:rsidP="00CC79EF">
      <w:pPr>
        <w:pStyle w:val="Paragraph"/>
        <w:rPr>
          <w:rFonts w:cs="Arial"/>
          <w:sz w:val="24"/>
          <w:szCs w:val="24"/>
        </w:rPr>
      </w:pPr>
      <w:r w:rsidRPr="00D032B4">
        <w:rPr>
          <w:rFonts w:cs="Arial"/>
          <w:sz w:val="24"/>
          <w:szCs w:val="24"/>
        </w:rPr>
        <w:t>Sharmila Nebhrajani</w:t>
      </w:r>
      <w:r w:rsidR="0088441D" w:rsidRPr="00D032B4">
        <w:rPr>
          <w:rFonts w:cs="Arial"/>
          <w:sz w:val="24"/>
          <w:szCs w:val="24"/>
        </w:rPr>
        <w:t xml:space="preserve">, NICE </w:t>
      </w:r>
      <w:r w:rsidR="00ED1F23" w:rsidRPr="00D032B4">
        <w:rPr>
          <w:rFonts w:cs="Arial"/>
          <w:sz w:val="24"/>
          <w:szCs w:val="24"/>
        </w:rPr>
        <w:t>Chair</w:t>
      </w:r>
      <w:r w:rsidR="00C6505A">
        <w:rPr>
          <w:rFonts w:cs="Arial"/>
          <w:sz w:val="24"/>
          <w:szCs w:val="24"/>
        </w:rPr>
        <w:t>man</w:t>
      </w:r>
      <w:r w:rsidR="0088441D" w:rsidRPr="00D032B4">
        <w:rPr>
          <w:rFonts w:cs="Arial"/>
          <w:sz w:val="24"/>
          <w:szCs w:val="24"/>
        </w:rPr>
        <w:t xml:space="preserve">, </w:t>
      </w:r>
      <w:r w:rsidR="00CC79EF" w:rsidRPr="00D032B4">
        <w:rPr>
          <w:rFonts w:cs="Arial"/>
          <w:sz w:val="24"/>
          <w:szCs w:val="24"/>
        </w:rPr>
        <w:t xml:space="preserve">in preliminary correspondence had confirmed that: </w:t>
      </w:r>
      <w:r w:rsidR="00CC79EF" w:rsidRPr="00D032B4">
        <w:rPr>
          <w:rFonts w:cs="Arial"/>
          <w:sz w:val="24"/>
          <w:szCs w:val="24"/>
        </w:rPr>
        <w:tab/>
      </w:r>
    </w:p>
    <w:p w14:paraId="32AD7EB1" w14:textId="0DBA1F11" w:rsidR="00CC79EF" w:rsidRPr="00D032B4" w:rsidRDefault="00E459A3" w:rsidP="00E7282A">
      <w:pPr>
        <w:pStyle w:val="Bullets"/>
        <w:rPr>
          <w:rFonts w:cs="Arial"/>
          <w:b/>
          <w:sz w:val="24"/>
          <w:szCs w:val="24"/>
        </w:rPr>
      </w:pPr>
      <w:proofErr w:type="spellStart"/>
      <w:r w:rsidRPr="00D032B4">
        <w:rPr>
          <w:rFonts w:cs="Arial"/>
          <w:sz w:val="24"/>
          <w:szCs w:val="24"/>
        </w:rPr>
        <w:t>Argenx</w:t>
      </w:r>
      <w:proofErr w:type="spellEnd"/>
      <w:r w:rsidR="00CC79EF" w:rsidRPr="00D032B4">
        <w:rPr>
          <w:rFonts w:cs="Arial"/>
          <w:sz w:val="24"/>
          <w:szCs w:val="24"/>
        </w:rPr>
        <w:t xml:space="preserve"> had potentially valid grounds of appeal </w:t>
      </w:r>
      <w:r w:rsidR="00E7282A" w:rsidRPr="00D032B4">
        <w:rPr>
          <w:rFonts w:cs="Arial"/>
          <w:sz w:val="24"/>
          <w:szCs w:val="24"/>
        </w:rPr>
        <w:t xml:space="preserve">under Grounds 1(a) and 2. </w:t>
      </w:r>
    </w:p>
    <w:p w14:paraId="44E228EA" w14:textId="35CC8695" w:rsidR="00CC79EF" w:rsidRPr="00D032B4" w:rsidRDefault="00E459A3" w:rsidP="00CC79EF">
      <w:pPr>
        <w:pStyle w:val="Bullets"/>
        <w:rPr>
          <w:rFonts w:cs="Arial"/>
          <w:b/>
          <w:sz w:val="24"/>
          <w:szCs w:val="24"/>
        </w:rPr>
      </w:pPr>
      <w:proofErr w:type="spellStart"/>
      <w:r w:rsidRPr="00D032B4">
        <w:rPr>
          <w:rFonts w:cs="Arial"/>
          <w:sz w:val="24"/>
          <w:szCs w:val="24"/>
        </w:rPr>
        <w:t>Myaware</w:t>
      </w:r>
      <w:proofErr w:type="spellEnd"/>
      <w:r w:rsidRPr="00D032B4">
        <w:rPr>
          <w:rFonts w:cs="Arial"/>
          <w:sz w:val="24"/>
          <w:szCs w:val="24"/>
        </w:rPr>
        <w:t xml:space="preserve"> </w:t>
      </w:r>
      <w:r w:rsidR="00CC79EF" w:rsidRPr="00D032B4">
        <w:rPr>
          <w:rFonts w:cs="Arial"/>
          <w:sz w:val="24"/>
          <w:szCs w:val="24"/>
        </w:rPr>
        <w:t>had</w:t>
      </w:r>
      <w:r w:rsidR="00E7282A" w:rsidRPr="00D032B4">
        <w:rPr>
          <w:rFonts w:cs="Arial"/>
          <w:sz w:val="24"/>
          <w:szCs w:val="24"/>
        </w:rPr>
        <w:t xml:space="preserve"> a potentially valid ground of appeal under Ground 2.</w:t>
      </w:r>
      <w:r w:rsidR="00CC79EF" w:rsidRPr="00D032B4">
        <w:rPr>
          <w:rFonts w:cs="Arial"/>
          <w:sz w:val="24"/>
          <w:szCs w:val="24"/>
        </w:rPr>
        <w:t xml:space="preserve"> </w:t>
      </w:r>
    </w:p>
    <w:p w14:paraId="039C1784" w14:textId="360EC0D2" w:rsidR="00E7282A" w:rsidRPr="00D032B4" w:rsidRDefault="00E7282A" w:rsidP="00CC79EF">
      <w:pPr>
        <w:pStyle w:val="Paragraph"/>
        <w:rPr>
          <w:rFonts w:cs="Arial"/>
          <w:sz w:val="24"/>
          <w:szCs w:val="24"/>
        </w:rPr>
      </w:pPr>
      <w:r w:rsidRPr="00D032B4">
        <w:rPr>
          <w:rFonts w:cs="Arial"/>
          <w:sz w:val="24"/>
          <w:szCs w:val="24"/>
        </w:rPr>
        <w:t xml:space="preserve">The appraisal that is the subject of the current appeal provided advice to the NHS on efgartigimod for treating generalised Myasthenia Gravis [ID4003]. </w:t>
      </w:r>
    </w:p>
    <w:p w14:paraId="33485FF7" w14:textId="38467FA8" w:rsidR="00CC79EF" w:rsidRPr="00D032B4" w:rsidRDefault="002F7231" w:rsidP="00CC79EF">
      <w:pPr>
        <w:pStyle w:val="Paragraph"/>
        <w:rPr>
          <w:rFonts w:cs="Arial"/>
          <w:sz w:val="24"/>
          <w:szCs w:val="24"/>
        </w:rPr>
      </w:pPr>
      <w:r w:rsidRPr="00D032B4">
        <w:rPr>
          <w:rFonts w:cs="Arial"/>
          <w:sz w:val="24"/>
          <w:szCs w:val="24"/>
        </w:rPr>
        <w:t xml:space="preserve">The numbering of appeal points in this document reflects those that were used during the hearing. The text of this document does not represent a verbatim account of the proceedings nor a documentation of the order of events that took place but rather, provides </w:t>
      </w:r>
      <w:proofErr w:type="gramStart"/>
      <w:r w:rsidRPr="00D032B4">
        <w:rPr>
          <w:rFonts w:cs="Arial"/>
          <w:sz w:val="24"/>
          <w:szCs w:val="24"/>
        </w:rPr>
        <w:t>a brief summary</w:t>
      </w:r>
      <w:proofErr w:type="gramEnd"/>
      <w:r w:rsidRPr="00D032B4">
        <w:rPr>
          <w:rFonts w:cs="Arial"/>
          <w:sz w:val="24"/>
          <w:szCs w:val="24"/>
        </w:rPr>
        <w:t xml:space="preserve"> of the appellant and committee submissions for the points that were discussed relevant to the decisions of the panel. </w:t>
      </w:r>
    </w:p>
    <w:p w14:paraId="23A96DCB" w14:textId="77777777" w:rsidR="00E7282A" w:rsidRPr="00D032B4" w:rsidRDefault="00CC79EF" w:rsidP="00CC79EF">
      <w:pPr>
        <w:pStyle w:val="Paragraph"/>
        <w:rPr>
          <w:rFonts w:cs="Arial"/>
          <w:color w:val="FF0000"/>
          <w:sz w:val="24"/>
          <w:szCs w:val="24"/>
        </w:rPr>
      </w:pPr>
      <w:r w:rsidRPr="00D032B4">
        <w:rPr>
          <w:rFonts w:cs="Arial"/>
          <w:sz w:val="24"/>
          <w:szCs w:val="24"/>
        </w:rPr>
        <w:t>Before the appeal panel inquired into the detailed complaints the following made a preliminary statement</w:t>
      </w:r>
      <w:r w:rsidR="00E459A3" w:rsidRPr="00D032B4">
        <w:rPr>
          <w:rFonts w:cs="Arial"/>
          <w:sz w:val="24"/>
          <w:szCs w:val="24"/>
        </w:rPr>
        <w:t>:</w:t>
      </w:r>
    </w:p>
    <w:p w14:paraId="2B313F65" w14:textId="01396C5F" w:rsidR="00E7282A" w:rsidRPr="00D032B4" w:rsidRDefault="00E459A3" w:rsidP="00E7282A">
      <w:pPr>
        <w:pStyle w:val="Paragraph"/>
        <w:numPr>
          <w:ilvl w:val="1"/>
          <w:numId w:val="1"/>
        </w:numPr>
        <w:rPr>
          <w:rFonts w:cs="Arial"/>
          <w:sz w:val="24"/>
          <w:szCs w:val="24"/>
        </w:rPr>
      </w:pPr>
      <w:r w:rsidRPr="00D032B4">
        <w:rPr>
          <w:rFonts w:cs="Arial"/>
          <w:sz w:val="24"/>
          <w:szCs w:val="24"/>
        </w:rPr>
        <w:t xml:space="preserve"> David </w:t>
      </w:r>
      <w:r w:rsidR="00622DE4" w:rsidRPr="00D032B4">
        <w:rPr>
          <w:rFonts w:cs="Arial"/>
          <w:sz w:val="24"/>
          <w:szCs w:val="24"/>
        </w:rPr>
        <w:t>Knechtel</w:t>
      </w:r>
      <w:r w:rsidRPr="00D032B4">
        <w:rPr>
          <w:rFonts w:cs="Arial"/>
          <w:sz w:val="24"/>
          <w:szCs w:val="24"/>
        </w:rPr>
        <w:t xml:space="preserve"> on behalf of </w:t>
      </w:r>
      <w:proofErr w:type="spellStart"/>
      <w:r w:rsidRPr="00D032B4">
        <w:rPr>
          <w:rFonts w:cs="Arial"/>
          <w:sz w:val="24"/>
          <w:szCs w:val="24"/>
        </w:rPr>
        <w:t>Argenx</w:t>
      </w:r>
      <w:proofErr w:type="spellEnd"/>
      <w:r w:rsidRPr="00D032B4">
        <w:rPr>
          <w:rFonts w:cs="Arial"/>
          <w:sz w:val="24"/>
          <w:szCs w:val="24"/>
        </w:rPr>
        <w:t xml:space="preserve">, </w:t>
      </w:r>
    </w:p>
    <w:p w14:paraId="517A92A5" w14:textId="77777777" w:rsidR="00E7282A" w:rsidRPr="00D032B4" w:rsidRDefault="00E459A3" w:rsidP="00E7282A">
      <w:pPr>
        <w:pStyle w:val="Paragraph"/>
        <w:numPr>
          <w:ilvl w:val="1"/>
          <w:numId w:val="1"/>
        </w:numPr>
        <w:rPr>
          <w:rFonts w:cs="Arial"/>
          <w:sz w:val="24"/>
          <w:szCs w:val="24"/>
        </w:rPr>
      </w:pPr>
      <w:r w:rsidRPr="00D032B4">
        <w:rPr>
          <w:rFonts w:cs="Arial"/>
          <w:sz w:val="24"/>
          <w:szCs w:val="24"/>
        </w:rPr>
        <w:t xml:space="preserve">Andrew Stephenson on behalf of </w:t>
      </w:r>
      <w:proofErr w:type="spellStart"/>
      <w:r w:rsidRPr="00D032B4">
        <w:rPr>
          <w:rFonts w:cs="Arial"/>
          <w:sz w:val="24"/>
          <w:szCs w:val="24"/>
        </w:rPr>
        <w:t>Myaware</w:t>
      </w:r>
      <w:proofErr w:type="spellEnd"/>
      <w:r w:rsidR="00E7282A" w:rsidRPr="00D032B4">
        <w:rPr>
          <w:rFonts w:cs="Arial"/>
          <w:sz w:val="24"/>
          <w:szCs w:val="24"/>
        </w:rPr>
        <w:t>;</w:t>
      </w:r>
      <w:r w:rsidRPr="00D032B4">
        <w:rPr>
          <w:rFonts w:cs="Arial"/>
          <w:sz w:val="24"/>
          <w:szCs w:val="24"/>
        </w:rPr>
        <w:t xml:space="preserve"> and </w:t>
      </w:r>
    </w:p>
    <w:p w14:paraId="7617B1CD" w14:textId="23BFB5A3" w:rsidR="00CC79EF" w:rsidRPr="00D032B4" w:rsidRDefault="00994A27" w:rsidP="00E7282A">
      <w:pPr>
        <w:pStyle w:val="Paragraph"/>
        <w:numPr>
          <w:ilvl w:val="1"/>
          <w:numId w:val="1"/>
        </w:numPr>
        <w:rPr>
          <w:rFonts w:cs="Arial"/>
          <w:sz w:val="24"/>
          <w:szCs w:val="24"/>
        </w:rPr>
      </w:pPr>
      <w:r>
        <w:rPr>
          <w:rFonts w:cs="Arial"/>
          <w:sz w:val="24"/>
          <w:szCs w:val="24"/>
        </w:rPr>
        <w:t xml:space="preserve">Dr </w:t>
      </w:r>
      <w:r w:rsidR="00E459A3" w:rsidRPr="00D032B4">
        <w:rPr>
          <w:rFonts w:cs="Arial"/>
          <w:sz w:val="24"/>
          <w:szCs w:val="24"/>
        </w:rPr>
        <w:t xml:space="preserve">Raju Reddy </w:t>
      </w:r>
      <w:r w:rsidR="00CC79EF" w:rsidRPr="00D032B4">
        <w:rPr>
          <w:rFonts w:cs="Arial"/>
          <w:sz w:val="24"/>
          <w:szCs w:val="24"/>
        </w:rPr>
        <w:t xml:space="preserve">on behalf of </w:t>
      </w:r>
      <w:r>
        <w:rPr>
          <w:rFonts w:cs="Arial"/>
          <w:sz w:val="24"/>
          <w:szCs w:val="24"/>
        </w:rPr>
        <w:t>NICE</w:t>
      </w:r>
      <w:r w:rsidR="00E459A3" w:rsidRPr="00D032B4">
        <w:rPr>
          <w:rFonts w:cs="Arial"/>
          <w:sz w:val="24"/>
          <w:szCs w:val="24"/>
        </w:rPr>
        <w:t>.</w:t>
      </w:r>
    </w:p>
    <w:p w14:paraId="4C2D55DA" w14:textId="48FB1E2C" w:rsidR="00E459A3" w:rsidRPr="00D032B4" w:rsidRDefault="00E459A3" w:rsidP="00E459A3">
      <w:pPr>
        <w:pStyle w:val="Heading3"/>
      </w:pPr>
      <w:proofErr w:type="spellStart"/>
      <w:r w:rsidRPr="00D032B4">
        <w:t>A</w:t>
      </w:r>
      <w:r w:rsidR="00E7282A" w:rsidRPr="00D032B4">
        <w:t>rgenx</w:t>
      </w:r>
      <w:proofErr w:type="spellEnd"/>
      <w:r w:rsidR="00E7282A" w:rsidRPr="00D032B4">
        <w:t xml:space="preserve"> A</w:t>
      </w:r>
      <w:r w:rsidRPr="00D032B4">
        <w:t xml:space="preserve">ppeal </w:t>
      </w:r>
      <w:r w:rsidR="00E7282A" w:rsidRPr="00D032B4">
        <w:t>Point</w:t>
      </w:r>
      <w:r w:rsidRPr="00D032B4">
        <w:t xml:space="preserve"> 1</w:t>
      </w:r>
      <w:r w:rsidR="00756935" w:rsidRPr="00D032B4">
        <w:t>a</w:t>
      </w:r>
      <w:r w:rsidR="005A6EDA">
        <w:t>.</w:t>
      </w:r>
      <w:r w:rsidR="00756935" w:rsidRPr="00D032B4">
        <w:t>2.3</w:t>
      </w:r>
      <w:r w:rsidRPr="00D032B4">
        <w:t xml:space="preserve">: </w:t>
      </w:r>
      <w:r w:rsidR="00756935" w:rsidRPr="00D032B4">
        <w:t xml:space="preserve">That it was unfair for NICE to have refused to share the </w:t>
      </w:r>
      <w:r w:rsidR="00C6505A">
        <w:t>C</w:t>
      </w:r>
      <w:r w:rsidR="00756935" w:rsidRPr="00D032B4">
        <w:t xml:space="preserve">ompany's response to the EAG critique and updated </w:t>
      </w:r>
      <w:r w:rsidR="00756935" w:rsidRPr="00D032B4">
        <w:lastRenderedPageBreak/>
        <w:t xml:space="preserve">analysis with the Committee </w:t>
      </w:r>
      <w:proofErr w:type="gramStart"/>
      <w:r w:rsidR="00756935" w:rsidRPr="00D032B4">
        <w:t>on the basis of</w:t>
      </w:r>
      <w:proofErr w:type="gramEnd"/>
      <w:r w:rsidR="00756935" w:rsidRPr="00D032B4">
        <w:t xml:space="preserve"> there being insufficient time. [original appeal </w:t>
      </w:r>
      <w:proofErr w:type="gramStart"/>
      <w:r w:rsidR="00756935" w:rsidRPr="00D032B4">
        <w:t>point</w:t>
      </w:r>
      <w:proofErr w:type="gramEnd"/>
      <w:r w:rsidR="00756935" w:rsidRPr="00D032B4">
        <w:t xml:space="preserve"> 1a</w:t>
      </w:r>
      <w:r w:rsidR="009C5CEC">
        <w:t>.</w:t>
      </w:r>
      <w:r w:rsidR="00756935" w:rsidRPr="00D032B4">
        <w:t>2]</w:t>
      </w:r>
    </w:p>
    <w:p w14:paraId="10A2F635" w14:textId="1C18045D" w:rsidR="009E4ECB" w:rsidRPr="00D032B4" w:rsidRDefault="009E4ECB" w:rsidP="00E459A3">
      <w:pPr>
        <w:pStyle w:val="Paragraph"/>
        <w:rPr>
          <w:rFonts w:cs="Arial"/>
          <w:sz w:val="24"/>
          <w:szCs w:val="24"/>
        </w:rPr>
      </w:pPr>
      <w:r w:rsidRPr="00D032B4">
        <w:rPr>
          <w:rFonts w:cs="Arial"/>
          <w:sz w:val="24"/>
          <w:szCs w:val="24"/>
        </w:rPr>
        <w:t>David Knechtel</w:t>
      </w:r>
      <w:r w:rsidR="008A02AA">
        <w:rPr>
          <w:rFonts w:cs="Arial"/>
          <w:sz w:val="24"/>
          <w:szCs w:val="24"/>
        </w:rPr>
        <w:t xml:space="preserve">, for </w:t>
      </w:r>
      <w:proofErr w:type="spellStart"/>
      <w:r w:rsidR="008A02AA">
        <w:rPr>
          <w:rFonts w:cs="Arial"/>
          <w:sz w:val="24"/>
          <w:szCs w:val="24"/>
        </w:rPr>
        <w:t>Argenx</w:t>
      </w:r>
      <w:proofErr w:type="spellEnd"/>
      <w:r w:rsidR="008875E2">
        <w:rPr>
          <w:rFonts w:cs="Arial"/>
          <w:sz w:val="24"/>
          <w:szCs w:val="24"/>
        </w:rPr>
        <w:t xml:space="preserve">, </w:t>
      </w:r>
      <w:r w:rsidR="00FC70C4" w:rsidRPr="00D032B4">
        <w:rPr>
          <w:rFonts w:cs="Arial"/>
          <w:sz w:val="24"/>
          <w:szCs w:val="24"/>
        </w:rPr>
        <w:t>described that a critique prepared by the external assessment group (</w:t>
      </w:r>
      <w:r w:rsidR="00FC70C4" w:rsidRPr="00DF62F9">
        <w:rPr>
          <w:rFonts w:cs="Arial"/>
          <w:sz w:val="24"/>
          <w:szCs w:val="24"/>
        </w:rPr>
        <w:t>EAG</w:t>
      </w:r>
      <w:r w:rsidR="00FC70C4" w:rsidRPr="00D032B4">
        <w:rPr>
          <w:rFonts w:cs="Arial"/>
          <w:sz w:val="24"/>
          <w:szCs w:val="24"/>
        </w:rPr>
        <w:t>) was delayed which resulted in insufficient time for the EAG to consider the Company's updated analysis in response to its critique</w:t>
      </w:r>
      <w:r w:rsidRPr="00D032B4">
        <w:rPr>
          <w:rFonts w:cs="Arial"/>
          <w:sz w:val="24"/>
          <w:szCs w:val="24"/>
        </w:rPr>
        <w:t>. Because of this, the Company's response to the EAG critique and updated analysis was not shared with the Committee</w:t>
      </w:r>
      <w:r w:rsidR="00FC70C4" w:rsidRPr="00D032B4">
        <w:rPr>
          <w:rFonts w:cs="Arial"/>
          <w:sz w:val="24"/>
          <w:szCs w:val="24"/>
        </w:rPr>
        <w:t xml:space="preserve"> before the fourth committee meeting or at all</w:t>
      </w:r>
      <w:r w:rsidRPr="00D032B4">
        <w:rPr>
          <w:rFonts w:cs="Arial"/>
          <w:sz w:val="24"/>
          <w:szCs w:val="24"/>
        </w:rPr>
        <w:t>. In</w:t>
      </w:r>
      <w:r w:rsidR="00815034" w:rsidRPr="00D032B4">
        <w:rPr>
          <w:rFonts w:cs="Arial"/>
          <w:sz w:val="24"/>
          <w:szCs w:val="24"/>
        </w:rPr>
        <w:t xml:space="preserve"> the Company's</w:t>
      </w:r>
      <w:r w:rsidRPr="00D032B4">
        <w:rPr>
          <w:rFonts w:cs="Arial"/>
          <w:sz w:val="24"/>
          <w:szCs w:val="24"/>
        </w:rPr>
        <w:t xml:space="preserve"> view, the Committee could not </w:t>
      </w:r>
      <w:proofErr w:type="gramStart"/>
      <w:r w:rsidRPr="00D032B4">
        <w:rPr>
          <w:rFonts w:cs="Arial"/>
          <w:sz w:val="24"/>
          <w:szCs w:val="24"/>
        </w:rPr>
        <w:t>take into account</w:t>
      </w:r>
      <w:proofErr w:type="gramEnd"/>
      <w:r w:rsidR="00921CBF" w:rsidRPr="00D032B4">
        <w:rPr>
          <w:rFonts w:cs="Arial"/>
          <w:sz w:val="24"/>
          <w:szCs w:val="24"/>
        </w:rPr>
        <w:t xml:space="preserve"> a</w:t>
      </w:r>
      <w:r w:rsidRPr="00D032B4">
        <w:rPr>
          <w:rFonts w:cs="Arial"/>
          <w:sz w:val="24"/>
          <w:szCs w:val="24"/>
        </w:rPr>
        <w:t xml:space="preserve"> relevant consideration as a result. </w:t>
      </w:r>
    </w:p>
    <w:p w14:paraId="02437240" w14:textId="7B1E3EBC" w:rsidR="00E459A3" w:rsidRPr="00D032B4" w:rsidRDefault="009E4ECB" w:rsidP="00E459A3">
      <w:pPr>
        <w:pStyle w:val="Paragraph"/>
        <w:rPr>
          <w:rFonts w:cs="Arial"/>
          <w:sz w:val="24"/>
          <w:szCs w:val="24"/>
        </w:rPr>
      </w:pPr>
      <w:r w:rsidRPr="00D032B4">
        <w:rPr>
          <w:rFonts w:cs="Arial"/>
          <w:sz w:val="24"/>
          <w:szCs w:val="24"/>
        </w:rPr>
        <w:t xml:space="preserve">Ross Dent, for NICE, explained that there is provision in </w:t>
      </w:r>
      <w:r w:rsidR="00FC70C4" w:rsidRPr="00D032B4">
        <w:rPr>
          <w:rFonts w:cs="Arial"/>
          <w:sz w:val="24"/>
          <w:szCs w:val="24"/>
        </w:rPr>
        <w:t>the "NICE health technology evaluations: the manual</w:t>
      </w:r>
      <w:r w:rsidR="00753550" w:rsidRPr="00D032B4">
        <w:rPr>
          <w:rFonts w:cs="Arial"/>
          <w:sz w:val="24"/>
          <w:szCs w:val="24"/>
        </w:rPr>
        <w:t>, (31 October 2023)</w:t>
      </w:r>
      <w:r w:rsidR="00FC70C4" w:rsidRPr="00D032B4">
        <w:rPr>
          <w:rFonts w:cs="Arial"/>
          <w:sz w:val="24"/>
          <w:szCs w:val="24"/>
        </w:rPr>
        <w:t>" (</w:t>
      </w:r>
      <w:r w:rsidR="00FC70C4" w:rsidRPr="001945DB" w:rsidDel="001945DB">
        <w:rPr>
          <w:rFonts w:cs="Arial"/>
          <w:sz w:val="24"/>
          <w:szCs w:val="24"/>
        </w:rPr>
        <w:t>"</w:t>
      </w:r>
      <w:r w:rsidRPr="00DF62F9">
        <w:rPr>
          <w:rFonts w:cs="Arial"/>
          <w:sz w:val="24"/>
          <w:szCs w:val="24"/>
        </w:rPr>
        <w:t>the Manual</w:t>
      </w:r>
      <w:r w:rsidR="00FC70C4" w:rsidRPr="00D032B4" w:rsidDel="001945DB">
        <w:rPr>
          <w:rFonts w:cs="Arial"/>
          <w:sz w:val="24"/>
          <w:szCs w:val="24"/>
        </w:rPr>
        <w:t>"</w:t>
      </w:r>
      <w:r w:rsidR="00FC70C4" w:rsidRPr="00D032B4">
        <w:rPr>
          <w:rFonts w:cs="Arial"/>
          <w:sz w:val="24"/>
          <w:szCs w:val="24"/>
        </w:rPr>
        <w:t>)</w:t>
      </w:r>
      <w:r w:rsidRPr="00D032B4">
        <w:rPr>
          <w:rFonts w:cs="Arial"/>
          <w:sz w:val="24"/>
          <w:szCs w:val="24"/>
        </w:rPr>
        <w:t xml:space="preserve"> for the Company to rectify any inaccuracies</w:t>
      </w:r>
      <w:r w:rsidR="00753550" w:rsidRPr="00D032B4">
        <w:rPr>
          <w:rFonts w:cs="Arial"/>
          <w:sz w:val="24"/>
          <w:szCs w:val="24"/>
        </w:rPr>
        <w:t xml:space="preserve"> in the EAG</w:t>
      </w:r>
      <w:r w:rsidR="00A82BB8">
        <w:rPr>
          <w:rFonts w:cs="Arial"/>
          <w:sz w:val="24"/>
          <w:szCs w:val="24"/>
        </w:rPr>
        <w:t>’</w:t>
      </w:r>
      <w:r w:rsidR="00753550" w:rsidRPr="00D032B4">
        <w:rPr>
          <w:rFonts w:cs="Arial"/>
          <w:sz w:val="24"/>
          <w:szCs w:val="24"/>
        </w:rPr>
        <w:t>s critique</w:t>
      </w:r>
      <w:r w:rsidRPr="00D032B4">
        <w:rPr>
          <w:rFonts w:cs="Arial"/>
          <w:sz w:val="24"/>
          <w:szCs w:val="24"/>
        </w:rPr>
        <w:t xml:space="preserve"> in the committee meeting. He noted that the Company was afforded that opportunity </w:t>
      </w:r>
      <w:r w:rsidR="00753550" w:rsidRPr="00D032B4">
        <w:rPr>
          <w:rFonts w:cs="Arial"/>
          <w:sz w:val="24"/>
          <w:szCs w:val="24"/>
        </w:rPr>
        <w:t>during</w:t>
      </w:r>
      <w:r w:rsidRPr="00D032B4">
        <w:rPr>
          <w:rFonts w:cs="Arial"/>
          <w:sz w:val="24"/>
          <w:szCs w:val="24"/>
        </w:rPr>
        <w:t xml:space="preserve"> the fourth committee meeting. The EAG critique was sent to the Company on 5 November</w:t>
      </w:r>
      <w:r w:rsidR="006063A9" w:rsidRPr="00D032B4">
        <w:rPr>
          <w:rFonts w:cs="Arial"/>
          <w:sz w:val="24"/>
          <w:szCs w:val="24"/>
        </w:rPr>
        <w:t xml:space="preserve"> 2024</w:t>
      </w:r>
      <w:r w:rsidRPr="00D032B4">
        <w:rPr>
          <w:rFonts w:cs="Arial"/>
          <w:sz w:val="24"/>
          <w:szCs w:val="24"/>
        </w:rPr>
        <w:t>, one month before the fourth committee meeting on 5 December</w:t>
      </w:r>
      <w:r w:rsidR="006063A9" w:rsidRPr="00D032B4">
        <w:rPr>
          <w:rFonts w:cs="Arial"/>
          <w:sz w:val="24"/>
          <w:szCs w:val="24"/>
        </w:rPr>
        <w:t xml:space="preserve"> 2024</w:t>
      </w:r>
      <w:r w:rsidRPr="00D032B4">
        <w:rPr>
          <w:rFonts w:cs="Arial"/>
          <w:sz w:val="24"/>
          <w:szCs w:val="24"/>
        </w:rPr>
        <w:t xml:space="preserve">, which is </w:t>
      </w:r>
      <w:r w:rsidR="00604C52" w:rsidRPr="00D032B4">
        <w:rPr>
          <w:rFonts w:cs="Arial"/>
          <w:sz w:val="24"/>
          <w:szCs w:val="24"/>
        </w:rPr>
        <w:t>earlier than is usual ahead of a committee meeting</w:t>
      </w:r>
      <w:r w:rsidRPr="00D032B4">
        <w:rPr>
          <w:rFonts w:cs="Arial"/>
          <w:sz w:val="24"/>
          <w:szCs w:val="24"/>
        </w:rPr>
        <w:t>. He explained that the Committee was unable to accept the updated analysis in response to the EAG critique</w:t>
      </w:r>
      <w:r w:rsidR="0070370C" w:rsidRPr="00D032B4">
        <w:rPr>
          <w:rFonts w:cs="Arial"/>
          <w:sz w:val="24"/>
          <w:szCs w:val="24"/>
        </w:rPr>
        <w:t xml:space="preserve"> (which was shared with the Committee on 20 November 2024)</w:t>
      </w:r>
      <w:r w:rsidRPr="00D032B4">
        <w:rPr>
          <w:rFonts w:cs="Arial"/>
          <w:sz w:val="24"/>
          <w:szCs w:val="24"/>
        </w:rPr>
        <w:t xml:space="preserve"> because (1) the EAG did not have time to consider the updated analysis, and the Committee would not consider analysis not reviewed by the EAG; and (2) even if the EAG had the capacity to review the updated analysis, it would still not have allowed enough time for the Committee and other stakeholders to consider and respond to the analysis</w:t>
      </w:r>
      <w:r w:rsidR="00604C52" w:rsidRPr="00D032B4">
        <w:rPr>
          <w:rFonts w:cs="Arial"/>
          <w:sz w:val="24"/>
          <w:szCs w:val="24"/>
        </w:rPr>
        <w:t xml:space="preserve"> as fairness would require</w:t>
      </w:r>
      <w:r w:rsidRPr="00D032B4">
        <w:rPr>
          <w:rFonts w:cs="Arial"/>
          <w:sz w:val="24"/>
          <w:szCs w:val="24"/>
        </w:rPr>
        <w:t xml:space="preserve">. </w:t>
      </w:r>
      <w:r w:rsidR="0070370C" w:rsidRPr="00D032B4">
        <w:rPr>
          <w:rFonts w:cs="Arial"/>
          <w:sz w:val="24"/>
          <w:szCs w:val="24"/>
        </w:rPr>
        <w:t xml:space="preserve">Ross Dent explained that although the fourth committee meeting could have been delayed </w:t>
      </w:r>
      <w:proofErr w:type="gramStart"/>
      <w:r w:rsidR="0070370C" w:rsidRPr="00D032B4">
        <w:rPr>
          <w:rFonts w:cs="Arial"/>
          <w:sz w:val="24"/>
          <w:szCs w:val="24"/>
        </w:rPr>
        <w:t>to allow</w:t>
      </w:r>
      <w:proofErr w:type="gramEnd"/>
      <w:r w:rsidR="0070370C" w:rsidRPr="00D032B4">
        <w:rPr>
          <w:rFonts w:cs="Arial"/>
          <w:sz w:val="24"/>
          <w:szCs w:val="24"/>
        </w:rPr>
        <w:t xml:space="preserve"> the updated analysis to be reviewed, this committee meeting had already been delayed (due to unforeseen </w:t>
      </w:r>
      <w:r w:rsidR="0070370C" w:rsidRPr="00D032B4">
        <w:rPr>
          <w:rFonts w:cs="Arial"/>
          <w:sz w:val="24"/>
          <w:szCs w:val="24"/>
        </w:rPr>
        <w:lastRenderedPageBreak/>
        <w:t xml:space="preserve">health issues within the Committee), and that it would be unfair on the other stakeholders to delay any further. </w:t>
      </w:r>
    </w:p>
    <w:p w14:paraId="768198B0" w14:textId="516260C9" w:rsidR="0070370C" w:rsidRPr="00D032B4" w:rsidRDefault="0070370C" w:rsidP="00E459A3">
      <w:pPr>
        <w:pStyle w:val="Paragraph"/>
        <w:rPr>
          <w:rFonts w:cs="Arial"/>
          <w:sz w:val="24"/>
          <w:szCs w:val="24"/>
        </w:rPr>
      </w:pPr>
      <w:r w:rsidRPr="00D032B4">
        <w:rPr>
          <w:rFonts w:cs="Arial"/>
          <w:sz w:val="24"/>
          <w:szCs w:val="24"/>
        </w:rPr>
        <w:t xml:space="preserve">The Panel enquired how NICE balances the need for the Committee to have as much information as possible </w:t>
      </w:r>
      <w:r w:rsidR="00976D3C" w:rsidRPr="00D032B4">
        <w:rPr>
          <w:rFonts w:cs="Arial"/>
          <w:sz w:val="24"/>
          <w:szCs w:val="24"/>
        </w:rPr>
        <w:t>with</w:t>
      </w:r>
      <w:r w:rsidR="00753550" w:rsidRPr="00D032B4">
        <w:rPr>
          <w:rFonts w:cs="Arial"/>
          <w:sz w:val="24"/>
          <w:szCs w:val="24"/>
        </w:rPr>
        <w:t xml:space="preserve"> the need to complete an appraisal with</w:t>
      </w:r>
      <w:r w:rsidR="00976D3C" w:rsidRPr="00D032B4">
        <w:rPr>
          <w:rFonts w:cs="Arial"/>
          <w:sz w:val="24"/>
          <w:szCs w:val="24"/>
        </w:rPr>
        <w:t>in reasonable</w:t>
      </w:r>
      <w:r w:rsidRPr="00D032B4">
        <w:rPr>
          <w:rFonts w:cs="Arial"/>
          <w:sz w:val="24"/>
          <w:szCs w:val="24"/>
        </w:rPr>
        <w:t xml:space="preserve"> time constraints. Ross Dent explained that NICE wants the Committee to have as much information as possible, but that there will always be more that could be said. In this case, the updated analysis could not be shared with the Committee without the external review of the EAG. Facilitating that would have extended the timelines considerably. On balance, NICE considered that given the </w:t>
      </w:r>
      <w:r w:rsidR="00564D59" w:rsidRPr="00D032B4">
        <w:rPr>
          <w:rFonts w:cs="Arial"/>
          <w:sz w:val="24"/>
          <w:szCs w:val="24"/>
        </w:rPr>
        <w:t xml:space="preserve">late </w:t>
      </w:r>
      <w:r w:rsidRPr="00D032B4">
        <w:rPr>
          <w:rFonts w:cs="Arial"/>
          <w:sz w:val="24"/>
          <w:szCs w:val="24"/>
        </w:rPr>
        <w:t xml:space="preserve">stage of the appraisal, the Committee had sufficient information before it to reach a conclusion without needing to </w:t>
      </w:r>
      <w:r w:rsidR="00564D59" w:rsidRPr="00D032B4">
        <w:rPr>
          <w:rFonts w:cs="Arial"/>
          <w:sz w:val="24"/>
          <w:szCs w:val="24"/>
        </w:rPr>
        <w:t>introduce</w:t>
      </w:r>
      <w:r w:rsidRPr="00D032B4">
        <w:rPr>
          <w:rFonts w:cs="Arial"/>
          <w:sz w:val="24"/>
          <w:szCs w:val="24"/>
        </w:rPr>
        <w:t xml:space="preserve"> undue delay. </w:t>
      </w:r>
    </w:p>
    <w:p w14:paraId="1D2795C2" w14:textId="290F21EC" w:rsidR="0070370C" w:rsidRPr="00D032B4" w:rsidRDefault="0070370C" w:rsidP="00A61C0A">
      <w:pPr>
        <w:pStyle w:val="Paragraph"/>
        <w:rPr>
          <w:rFonts w:cs="Arial"/>
          <w:sz w:val="24"/>
          <w:szCs w:val="24"/>
        </w:rPr>
      </w:pPr>
      <w:r w:rsidRPr="00D032B4">
        <w:rPr>
          <w:rFonts w:cs="Arial"/>
          <w:sz w:val="24"/>
          <w:szCs w:val="24"/>
        </w:rPr>
        <w:t xml:space="preserve">The Panel asked the NICE </w:t>
      </w:r>
      <w:r w:rsidR="00C73EDA">
        <w:rPr>
          <w:rFonts w:cs="Arial"/>
          <w:sz w:val="24"/>
          <w:szCs w:val="24"/>
        </w:rPr>
        <w:t>representatives</w:t>
      </w:r>
      <w:r w:rsidRPr="00D032B4">
        <w:rPr>
          <w:rFonts w:cs="Arial"/>
          <w:sz w:val="24"/>
          <w:szCs w:val="24"/>
        </w:rPr>
        <w:t xml:space="preserve"> what information</w:t>
      </w:r>
      <w:r w:rsidR="00564D59" w:rsidRPr="00D032B4">
        <w:rPr>
          <w:rFonts w:cs="Arial"/>
          <w:sz w:val="24"/>
          <w:szCs w:val="24"/>
        </w:rPr>
        <w:t xml:space="preserve"> was shared with</w:t>
      </w:r>
      <w:r w:rsidRPr="00D032B4">
        <w:rPr>
          <w:rFonts w:cs="Arial"/>
          <w:sz w:val="24"/>
          <w:szCs w:val="24"/>
        </w:rPr>
        <w:t xml:space="preserve"> the Committee before the fourth committee meeting. Ross Dent explained that a </w:t>
      </w:r>
      <w:r w:rsidR="00753550" w:rsidRPr="00D032B4">
        <w:rPr>
          <w:rFonts w:cs="Arial"/>
          <w:sz w:val="24"/>
          <w:szCs w:val="24"/>
        </w:rPr>
        <w:t>"</w:t>
      </w:r>
      <w:r w:rsidRPr="00D032B4">
        <w:rPr>
          <w:rFonts w:cs="Arial"/>
          <w:sz w:val="24"/>
          <w:szCs w:val="24"/>
        </w:rPr>
        <w:t>Chair's action</w:t>
      </w:r>
      <w:r w:rsidR="00753550" w:rsidRPr="00D032B4">
        <w:rPr>
          <w:rFonts w:cs="Arial"/>
          <w:sz w:val="24"/>
          <w:szCs w:val="24"/>
        </w:rPr>
        <w:t>"</w:t>
      </w:r>
      <w:r w:rsidRPr="00D032B4">
        <w:rPr>
          <w:rFonts w:cs="Arial"/>
          <w:sz w:val="24"/>
          <w:szCs w:val="24"/>
        </w:rPr>
        <w:t xml:space="preserve"> had taken place earlier in the process</w:t>
      </w:r>
      <w:r w:rsidR="00753550" w:rsidRPr="00D032B4">
        <w:rPr>
          <w:rFonts w:cs="Arial"/>
          <w:sz w:val="24"/>
          <w:szCs w:val="24"/>
        </w:rPr>
        <w:t xml:space="preserve"> after the third committee meeting</w:t>
      </w:r>
      <w:r w:rsidRPr="00D032B4">
        <w:rPr>
          <w:rFonts w:cs="Arial"/>
          <w:sz w:val="24"/>
          <w:szCs w:val="24"/>
        </w:rPr>
        <w:t xml:space="preserve">. </w:t>
      </w:r>
      <w:r w:rsidR="00A61C0A" w:rsidRPr="00D032B4">
        <w:rPr>
          <w:rFonts w:cs="Arial"/>
          <w:sz w:val="24"/>
          <w:szCs w:val="24"/>
        </w:rPr>
        <w:t xml:space="preserve">The </w:t>
      </w:r>
      <w:r w:rsidR="00100262">
        <w:rPr>
          <w:rFonts w:cs="Arial"/>
          <w:sz w:val="24"/>
          <w:szCs w:val="24"/>
        </w:rPr>
        <w:t>P</w:t>
      </w:r>
      <w:r w:rsidR="00A61C0A" w:rsidRPr="00D032B4">
        <w:rPr>
          <w:rFonts w:cs="Arial"/>
          <w:sz w:val="24"/>
          <w:szCs w:val="24"/>
        </w:rPr>
        <w:t>anel understood that the '</w:t>
      </w:r>
      <w:r w:rsidR="00C6505A">
        <w:rPr>
          <w:rFonts w:cs="Arial"/>
          <w:sz w:val="24"/>
          <w:szCs w:val="24"/>
        </w:rPr>
        <w:t>’</w:t>
      </w:r>
      <w:r w:rsidR="00A61C0A" w:rsidRPr="00D032B4">
        <w:rPr>
          <w:rFonts w:cs="Arial"/>
          <w:sz w:val="24"/>
          <w:szCs w:val="24"/>
        </w:rPr>
        <w:t>Chair's action</w:t>
      </w:r>
      <w:r w:rsidR="00C6505A">
        <w:rPr>
          <w:rFonts w:cs="Arial"/>
          <w:sz w:val="24"/>
          <w:szCs w:val="24"/>
        </w:rPr>
        <w:t>’</w:t>
      </w:r>
      <w:r w:rsidR="00A61C0A" w:rsidRPr="00D032B4">
        <w:rPr>
          <w:rFonts w:cs="Arial"/>
          <w:sz w:val="24"/>
          <w:szCs w:val="24"/>
        </w:rPr>
        <w:t xml:space="preserve">' related to discussion with the company about the cost of </w:t>
      </w:r>
      <w:r w:rsidR="00A61C0A">
        <w:rPr>
          <w:rFonts w:cs="Arial"/>
          <w:sz w:val="24"/>
          <w:szCs w:val="24"/>
        </w:rPr>
        <w:t>e</w:t>
      </w:r>
      <w:r w:rsidR="00A61C0A" w:rsidRPr="00D032B4">
        <w:rPr>
          <w:rFonts w:cs="Arial"/>
          <w:sz w:val="24"/>
          <w:szCs w:val="24"/>
        </w:rPr>
        <w:t xml:space="preserve">fgartigimod and the possible establishment of a Patient Access Scheme </w:t>
      </w:r>
      <w:r w:rsidR="00A82BB8">
        <w:rPr>
          <w:rFonts w:cs="Arial"/>
          <w:sz w:val="24"/>
          <w:szCs w:val="24"/>
        </w:rPr>
        <w:t>(</w:t>
      </w:r>
      <w:r w:rsidR="005F3ADC">
        <w:rPr>
          <w:rFonts w:cs="Arial"/>
          <w:sz w:val="24"/>
          <w:szCs w:val="24"/>
        </w:rPr>
        <w:t>“</w:t>
      </w:r>
      <w:r w:rsidR="005146BB" w:rsidRPr="00DF62F9">
        <w:rPr>
          <w:rFonts w:cs="Arial"/>
          <w:sz w:val="24"/>
          <w:szCs w:val="24"/>
        </w:rPr>
        <w:t>PAS</w:t>
      </w:r>
      <w:r w:rsidR="005F3ADC">
        <w:rPr>
          <w:rFonts w:cs="Arial"/>
          <w:sz w:val="24"/>
          <w:szCs w:val="24"/>
        </w:rPr>
        <w:t>”</w:t>
      </w:r>
      <w:r w:rsidR="00A82BB8">
        <w:rPr>
          <w:rFonts w:cs="Arial"/>
          <w:sz w:val="24"/>
          <w:szCs w:val="24"/>
        </w:rPr>
        <w:t xml:space="preserve">) </w:t>
      </w:r>
      <w:r w:rsidR="00A61C0A" w:rsidRPr="00D032B4">
        <w:rPr>
          <w:rFonts w:cs="Arial"/>
          <w:sz w:val="24"/>
          <w:szCs w:val="24"/>
        </w:rPr>
        <w:t xml:space="preserve">that may facilitate a positive recommendation, but that outside of these considerations, the Chair of the committee has limited delegated powers.  </w:t>
      </w:r>
      <w:r w:rsidRPr="00D032B4">
        <w:rPr>
          <w:rFonts w:cs="Arial"/>
          <w:sz w:val="24"/>
          <w:szCs w:val="24"/>
        </w:rPr>
        <w:t xml:space="preserve">The Chair can then either make a recommendation (positive, </w:t>
      </w:r>
      <w:r w:rsidR="00ED1F23" w:rsidRPr="00D032B4">
        <w:rPr>
          <w:rFonts w:cs="Arial"/>
          <w:sz w:val="24"/>
          <w:szCs w:val="24"/>
        </w:rPr>
        <w:t>optimised,</w:t>
      </w:r>
      <w:r w:rsidRPr="00D032B4">
        <w:rPr>
          <w:rFonts w:cs="Arial"/>
          <w:sz w:val="24"/>
          <w:szCs w:val="24"/>
        </w:rPr>
        <w:t xml:space="preserve"> or negative)</w:t>
      </w:r>
      <w:r w:rsidR="00753550" w:rsidRPr="00D032B4">
        <w:rPr>
          <w:rFonts w:cs="Arial"/>
          <w:sz w:val="24"/>
          <w:szCs w:val="24"/>
        </w:rPr>
        <w:t xml:space="preserve"> based on the revised price offer</w:t>
      </w:r>
      <w:r w:rsidRPr="00D032B4">
        <w:rPr>
          <w:rFonts w:cs="Arial"/>
          <w:sz w:val="24"/>
          <w:szCs w:val="24"/>
        </w:rPr>
        <w:t xml:space="preserve"> or proceed to another committee meeting if the Chair is unable to make a recommendation.</w:t>
      </w:r>
      <w:r w:rsidR="00FF2D9E" w:rsidRPr="00D032B4">
        <w:rPr>
          <w:rFonts w:cs="Arial"/>
          <w:sz w:val="24"/>
          <w:szCs w:val="24"/>
        </w:rPr>
        <w:t xml:space="preserve"> Ross Dent confirmed that the information received by the Committee ahead of the fourth committee meeting was that submitted by the Company in response to the </w:t>
      </w:r>
      <w:r w:rsidR="005146BB">
        <w:rPr>
          <w:rFonts w:cs="Arial"/>
          <w:sz w:val="24"/>
          <w:szCs w:val="24"/>
        </w:rPr>
        <w:t>‘’</w:t>
      </w:r>
      <w:r w:rsidR="00FF2D9E" w:rsidRPr="00D032B4">
        <w:rPr>
          <w:rFonts w:cs="Arial"/>
          <w:sz w:val="24"/>
          <w:szCs w:val="24"/>
        </w:rPr>
        <w:t>Chair's action</w:t>
      </w:r>
      <w:r w:rsidR="005146BB">
        <w:rPr>
          <w:rFonts w:cs="Arial"/>
          <w:sz w:val="24"/>
          <w:szCs w:val="24"/>
        </w:rPr>
        <w:t>’’</w:t>
      </w:r>
      <w:r w:rsidR="00FF2D9E" w:rsidRPr="00D032B4">
        <w:rPr>
          <w:rFonts w:cs="Arial"/>
          <w:sz w:val="24"/>
          <w:szCs w:val="24"/>
        </w:rPr>
        <w:t xml:space="preserve">. </w:t>
      </w:r>
    </w:p>
    <w:p w14:paraId="253DF2CF" w14:textId="4AC8CF3E" w:rsidR="00FF2D9E" w:rsidRPr="00D032B4" w:rsidRDefault="00DF16AC" w:rsidP="00E459A3">
      <w:pPr>
        <w:pStyle w:val="Paragraph"/>
        <w:rPr>
          <w:rFonts w:cs="Arial"/>
          <w:sz w:val="24"/>
          <w:szCs w:val="24"/>
        </w:rPr>
      </w:pPr>
      <w:r>
        <w:rPr>
          <w:rFonts w:cs="Arial"/>
          <w:sz w:val="24"/>
          <w:szCs w:val="24"/>
        </w:rPr>
        <w:t xml:space="preserve">Dr </w:t>
      </w:r>
      <w:r w:rsidR="00FF2D9E" w:rsidRPr="00D032B4">
        <w:rPr>
          <w:rFonts w:cs="Arial"/>
          <w:sz w:val="24"/>
          <w:szCs w:val="24"/>
        </w:rPr>
        <w:t xml:space="preserve">Jacoline Bouvy, for NICE, explained the factors that NICE </w:t>
      </w:r>
      <w:proofErr w:type="gramStart"/>
      <w:r w:rsidR="00FF2D9E" w:rsidRPr="00D032B4">
        <w:rPr>
          <w:rFonts w:cs="Arial"/>
          <w:sz w:val="24"/>
          <w:szCs w:val="24"/>
        </w:rPr>
        <w:t>takes into account</w:t>
      </w:r>
      <w:proofErr w:type="gramEnd"/>
      <w:r w:rsidR="00FF2D9E" w:rsidRPr="00D032B4">
        <w:rPr>
          <w:rFonts w:cs="Arial"/>
          <w:sz w:val="24"/>
          <w:szCs w:val="24"/>
        </w:rPr>
        <w:t xml:space="preserve"> in considering whether to accept additional evidence. </w:t>
      </w:r>
      <w:r w:rsidR="00FF2D9E" w:rsidRPr="00D032B4">
        <w:rPr>
          <w:rFonts w:cs="Arial"/>
          <w:sz w:val="24"/>
          <w:szCs w:val="24"/>
        </w:rPr>
        <w:lastRenderedPageBreak/>
        <w:t xml:space="preserve">First, </w:t>
      </w:r>
      <w:r w:rsidR="00CE6DA6" w:rsidRPr="00D032B4">
        <w:rPr>
          <w:rFonts w:cs="Arial"/>
          <w:sz w:val="24"/>
          <w:szCs w:val="24"/>
        </w:rPr>
        <w:t xml:space="preserve">it considers </w:t>
      </w:r>
      <w:r w:rsidR="00FF2D9E" w:rsidRPr="00D032B4">
        <w:rPr>
          <w:rFonts w:cs="Arial"/>
          <w:sz w:val="24"/>
          <w:szCs w:val="24"/>
        </w:rPr>
        <w:t xml:space="preserve">the resource implication for NICE and the EAG. </w:t>
      </w:r>
      <w:r>
        <w:rPr>
          <w:rFonts w:cs="Arial"/>
          <w:sz w:val="24"/>
          <w:szCs w:val="24"/>
        </w:rPr>
        <w:t xml:space="preserve">Dr Bouvy </w:t>
      </w:r>
      <w:r w:rsidR="00FF2D9E" w:rsidRPr="00D032B4">
        <w:rPr>
          <w:rFonts w:cs="Arial"/>
          <w:sz w:val="24"/>
          <w:szCs w:val="24"/>
        </w:rPr>
        <w:t xml:space="preserve">explained that </w:t>
      </w:r>
      <w:r w:rsidR="00CE6DA6" w:rsidRPr="00D032B4">
        <w:rPr>
          <w:rFonts w:cs="Arial"/>
          <w:sz w:val="24"/>
          <w:szCs w:val="24"/>
        </w:rPr>
        <w:t>by</w:t>
      </w:r>
      <w:r w:rsidR="00FF2D9E" w:rsidRPr="00D032B4">
        <w:rPr>
          <w:rFonts w:cs="Arial"/>
          <w:sz w:val="24"/>
          <w:szCs w:val="24"/>
        </w:rPr>
        <w:t xml:space="preserve"> this stage in the appraisal, there had already been technical engagement, two rounds of draft guidance (and corresponding consultation) and three committee meetings. There had already been considerable use of resource, and that NICE is </w:t>
      </w:r>
      <w:r w:rsidR="00CE6DA6" w:rsidRPr="00D032B4">
        <w:rPr>
          <w:rFonts w:cs="Arial"/>
          <w:sz w:val="24"/>
          <w:szCs w:val="24"/>
        </w:rPr>
        <w:t>duty bound</w:t>
      </w:r>
      <w:r w:rsidR="00FF2D9E" w:rsidRPr="00D032B4">
        <w:rPr>
          <w:rFonts w:cs="Arial"/>
          <w:sz w:val="24"/>
          <w:szCs w:val="24"/>
        </w:rPr>
        <w:t xml:space="preserve"> to draw appraisals to a</w:t>
      </w:r>
      <w:r w:rsidR="00CE6DA6" w:rsidRPr="00D032B4">
        <w:rPr>
          <w:rFonts w:cs="Arial"/>
          <w:sz w:val="24"/>
          <w:szCs w:val="24"/>
        </w:rPr>
        <w:t>n expeditious</w:t>
      </w:r>
      <w:r w:rsidR="00FF2D9E" w:rsidRPr="00D032B4">
        <w:rPr>
          <w:rFonts w:cs="Arial"/>
          <w:sz w:val="24"/>
          <w:szCs w:val="24"/>
        </w:rPr>
        <w:t xml:space="preserve"> conclusion. Secondly, NICE </w:t>
      </w:r>
      <w:proofErr w:type="gramStart"/>
      <w:r w:rsidR="00FF2D9E" w:rsidRPr="00D032B4">
        <w:rPr>
          <w:rFonts w:cs="Arial"/>
          <w:sz w:val="24"/>
          <w:szCs w:val="24"/>
        </w:rPr>
        <w:t>takes into account</w:t>
      </w:r>
      <w:proofErr w:type="gramEnd"/>
      <w:r w:rsidR="00FF2D9E" w:rsidRPr="00D032B4">
        <w:rPr>
          <w:rFonts w:cs="Arial"/>
          <w:sz w:val="24"/>
          <w:szCs w:val="24"/>
        </w:rPr>
        <w:t xml:space="preserve"> whether stakeholders have had adequate opportunity to put forward evidence, and have their views heard (and for the Committee to consider the same). In this instance, </w:t>
      </w:r>
      <w:r>
        <w:rPr>
          <w:rFonts w:cs="Arial"/>
          <w:sz w:val="24"/>
          <w:szCs w:val="24"/>
        </w:rPr>
        <w:t>Dr</w:t>
      </w:r>
      <w:r w:rsidRPr="00D032B4">
        <w:rPr>
          <w:rFonts w:cs="Arial"/>
          <w:sz w:val="24"/>
          <w:szCs w:val="24"/>
        </w:rPr>
        <w:t xml:space="preserve"> </w:t>
      </w:r>
      <w:r w:rsidR="00FF2D9E" w:rsidRPr="00D032B4">
        <w:rPr>
          <w:rFonts w:cs="Arial"/>
          <w:sz w:val="24"/>
          <w:szCs w:val="24"/>
        </w:rPr>
        <w:t>Bouvy explained, the fourth committee meeting was necessitated</w:t>
      </w:r>
      <w:r w:rsidR="00753550" w:rsidRPr="00D032B4">
        <w:rPr>
          <w:rFonts w:cs="Arial"/>
          <w:sz w:val="24"/>
          <w:szCs w:val="24"/>
        </w:rPr>
        <w:t xml:space="preserve"> because the Company had not accepted the preferred assumptions that formed the basis for the </w:t>
      </w:r>
      <w:r w:rsidR="009C5CEC">
        <w:rPr>
          <w:rFonts w:cs="Arial"/>
          <w:sz w:val="24"/>
          <w:szCs w:val="24"/>
        </w:rPr>
        <w:t>“</w:t>
      </w:r>
      <w:r w:rsidR="00753550" w:rsidRPr="00D032B4">
        <w:rPr>
          <w:rFonts w:cs="Arial"/>
          <w:sz w:val="24"/>
          <w:szCs w:val="24"/>
        </w:rPr>
        <w:t>Chair's action</w:t>
      </w:r>
      <w:r w:rsidR="005146BB">
        <w:rPr>
          <w:rFonts w:cs="Arial"/>
          <w:sz w:val="24"/>
          <w:szCs w:val="24"/>
        </w:rPr>
        <w:t>’’</w:t>
      </w:r>
      <w:r w:rsidR="00753550" w:rsidRPr="00D032B4">
        <w:rPr>
          <w:rFonts w:cs="Arial"/>
          <w:sz w:val="24"/>
          <w:szCs w:val="24"/>
        </w:rPr>
        <w:t xml:space="preserve"> request for a revised price </w:t>
      </w:r>
      <w:proofErr w:type="gramStart"/>
      <w:r w:rsidR="00753550" w:rsidRPr="00D032B4">
        <w:rPr>
          <w:rFonts w:cs="Arial"/>
          <w:sz w:val="24"/>
          <w:szCs w:val="24"/>
        </w:rPr>
        <w:t>offer, but</w:t>
      </w:r>
      <w:proofErr w:type="gramEnd"/>
      <w:r w:rsidR="00753550" w:rsidRPr="00D032B4">
        <w:rPr>
          <w:rFonts w:cs="Arial"/>
          <w:sz w:val="24"/>
          <w:szCs w:val="24"/>
        </w:rPr>
        <w:t xml:space="preserve"> rather had submitted a further updated analysis which had not been requested</w:t>
      </w:r>
      <w:r w:rsidR="00FF2D9E" w:rsidRPr="00D032B4">
        <w:rPr>
          <w:rFonts w:cs="Arial"/>
          <w:sz w:val="24"/>
          <w:szCs w:val="24"/>
        </w:rPr>
        <w:t>, which the Chair could not address without a full committee meeting</w:t>
      </w:r>
      <w:r w:rsidR="00F442E0" w:rsidRPr="00D032B4">
        <w:rPr>
          <w:rFonts w:cs="Arial"/>
          <w:sz w:val="24"/>
          <w:szCs w:val="24"/>
        </w:rPr>
        <w:t xml:space="preserve">. </w:t>
      </w:r>
      <w:r w:rsidR="00FF2D9E" w:rsidRPr="00D032B4">
        <w:rPr>
          <w:rFonts w:cs="Arial"/>
          <w:sz w:val="24"/>
          <w:szCs w:val="24"/>
        </w:rPr>
        <w:t xml:space="preserve"> </w:t>
      </w:r>
    </w:p>
    <w:p w14:paraId="4E72F7C0" w14:textId="0801535B" w:rsidR="00FF2D9E" w:rsidRPr="00D032B4" w:rsidRDefault="00FF2D9E" w:rsidP="00E459A3">
      <w:pPr>
        <w:pStyle w:val="Paragraph"/>
        <w:rPr>
          <w:rFonts w:cs="Arial"/>
          <w:sz w:val="24"/>
          <w:szCs w:val="24"/>
        </w:rPr>
      </w:pPr>
      <w:r w:rsidRPr="00D032B4">
        <w:rPr>
          <w:rFonts w:cs="Arial"/>
          <w:sz w:val="24"/>
          <w:szCs w:val="24"/>
        </w:rPr>
        <w:t xml:space="preserve">The Panel then turned to the Company to ask what was in the updated analysis that the Committee had not seen. </w:t>
      </w:r>
      <w:r w:rsidR="00B416C0" w:rsidRPr="00D032B4">
        <w:rPr>
          <w:rFonts w:cs="Arial"/>
          <w:sz w:val="24"/>
          <w:szCs w:val="24"/>
        </w:rPr>
        <w:t xml:space="preserve">David Knechtel explained that the updated analysis </w:t>
      </w:r>
      <w:r w:rsidR="00964B51" w:rsidRPr="00D032B4">
        <w:rPr>
          <w:rFonts w:cs="Arial"/>
          <w:sz w:val="24"/>
          <w:szCs w:val="24"/>
        </w:rPr>
        <w:t>modelled</w:t>
      </w:r>
      <w:r w:rsidR="00B416C0" w:rsidRPr="00D032B4">
        <w:rPr>
          <w:rFonts w:cs="Arial"/>
          <w:sz w:val="24"/>
          <w:szCs w:val="24"/>
        </w:rPr>
        <w:t xml:space="preserve"> </w:t>
      </w:r>
      <w:r w:rsidR="00964B51" w:rsidRPr="00D032B4">
        <w:rPr>
          <w:rFonts w:cs="Arial"/>
          <w:sz w:val="24"/>
          <w:szCs w:val="24"/>
        </w:rPr>
        <w:t xml:space="preserve">intravenous immunoglobulin </w:t>
      </w:r>
      <w:r w:rsidR="00B416C0" w:rsidRPr="00D032B4">
        <w:rPr>
          <w:rFonts w:cs="Arial"/>
          <w:sz w:val="24"/>
          <w:szCs w:val="24"/>
        </w:rPr>
        <w:t>and</w:t>
      </w:r>
      <w:r w:rsidR="00964B51" w:rsidRPr="00D032B4">
        <w:rPr>
          <w:rFonts w:cs="Arial"/>
          <w:sz w:val="24"/>
          <w:szCs w:val="24"/>
        </w:rPr>
        <w:t xml:space="preserve"> plasma exchange </w:t>
      </w:r>
      <w:r w:rsidR="00B416C0" w:rsidRPr="00D032B4">
        <w:rPr>
          <w:rFonts w:cs="Arial"/>
          <w:sz w:val="24"/>
          <w:szCs w:val="24"/>
        </w:rPr>
        <w:t xml:space="preserve">equally in both arms of the model. This was later stated to be the Committee's preferred assumption at paragraph 3.15 of the </w:t>
      </w:r>
      <w:r w:rsidR="00D55A8B">
        <w:rPr>
          <w:rFonts w:cs="Arial"/>
          <w:sz w:val="24"/>
          <w:szCs w:val="24"/>
        </w:rPr>
        <w:t>Final Draft Guidance (</w:t>
      </w:r>
      <w:r w:rsidR="00CC69BF">
        <w:rPr>
          <w:rFonts w:cs="Arial"/>
          <w:sz w:val="24"/>
          <w:szCs w:val="24"/>
        </w:rPr>
        <w:t>“</w:t>
      </w:r>
      <w:r w:rsidR="00B416C0" w:rsidRPr="00D032B4">
        <w:rPr>
          <w:rFonts w:cs="Arial"/>
          <w:sz w:val="24"/>
          <w:szCs w:val="24"/>
        </w:rPr>
        <w:t>FDG</w:t>
      </w:r>
      <w:r w:rsidR="00CC69BF">
        <w:rPr>
          <w:rFonts w:cs="Arial"/>
          <w:sz w:val="24"/>
          <w:szCs w:val="24"/>
        </w:rPr>
        <w:t>”</w:t>
      </w:r>
      <w:r w:rsidR="00D55A8B">
        <w:rPr>
          <w:rFonts w:cs="Arial"/>
          <w:sz w:val="24"/>
          <w:szCs w:val="24"/>
        </w:rPr>
        <w:t>)</w:t>
      </w:r>
      <w:r w:rsidR="00B416C0" w:rsidRPr="00D032B4">
        <w:rPr>
          <w:rFonts w:cs="Arial"/>
          <w:sz w:val="24"/>
          <w:szCs w:val="24"/>
        </w:rPr>
        <w:t xml:space="preserve">. David Knechtel explained that the </w:t>
      </w:r>
      <w:r w:rsidR="00391F81" w:rsidRPr="00D032B4">
        <w:rPr>
          <w:rFonts w:cs="Arial"/>
          <w:sz w:val="24"/>
          <w:szCs w:val="24"/>
        </w:rPr>
        <w:t>two-page</w:t>
      </w:r>
      <w:r w:rsidR="00B416C0" w:rsidRPr="00D032B4">
        <w:rPr>
          <w:rFonts w:cs="Arial"/>
          <w:sz w:val="24"/>
          <w:szCs w:val="24"/>
        </w:rPr>
        <w:t xml:space="preserve"> analysis that the Company had prepared </w:t>
      </w:r>
      <w:r w:rsidR="00753550" w:rsidRPr="00D032B4">
        <w:rPr>
          <w:rFonts w:cs="Arial"/>
          <w:sz w:val="24"/>
          <w:szCs w:val="24"/>
        </w:rPr>
        <w:t xml:space="preserve">in response to </w:t>
      </w:r>
      <w:r w:rsidR="00B416C0" w:rsidRPr="00D032B4">
        <w:rPr>
          <w:rFonts w:cs="Arial"/>
          <w:sz w:val="24"/>
          <w:szCs w:val="24"/>
        </w:rPr>
        <w:t xml:space="preserve">the </w:t>
      </w:r>
      <w:r w:rsidR="00F204C8">
        <w:rPr>
          <w:rFonts w:cs="Arial"/>
          <w:sz w:val="24"/>
          <w:szCs w:val="24"/>
        </w:rPr>
        <w:t>“</w:t>
      </w:r>
      <w:r w:rsidR="00B416C0" w:rsidRPr="00D032B4">
        <w:rPr>
          <w:rFonts w:cs="Arial"/>
          <w:sz w:val="24"/>
          <w:szCs w:val="24"/>
        </w:rPr>
        <w:t>Chair's action</w:t>
      </w:r>
      <w:r w:rsidR="00C6505A">
        <w:rPr>
          <w:rFonts w:cs="Arial"/>
          <w:sz w:val="24"/>
          <w:szCs w:val="24"/>
        </w:rPr>
        <w:t>’’</w:t>
      </w:r>
      <w:r w:rsidR="00B416C0" w:rsidRPr="00D032B4">
        <w:rPr>
          <w:rFonts w:cs="Arial"/>
          <w:sz w:val="24"/>
          <w:szCs w:val="24"/>
        </w:rPr>
        <w:t xml:space="preserve"> was never intended for a full committee meeting. </w:t>
      </w:r>
    </w:p>
    <w:p w14:paraId="6DBD1EC1" w14:textId="5870EAF4" w:rsidR="00B416C0" w:rsidRPr="00D032B4" w:rsidRDefault="00B416C0" w:rsidP="00E459A3">
      <w:pPr>
        <w:pStyle w:val="Paragraph"/>
        <w:rPr>
          <w:rFonts w:cs="Arial"/>
          <w:sz w:val="24"/>
          <w:szCs w:val="24"/>
        </w:rPr>
      </w:pPr>
      <w:r w:rsidRPr="00D032B4">
        <w:rPr>
          <w:rFonts w:cs="Arial"/>
          <w:sz w:val="24"/>
          <w:szCs w:val="24"/>
        </w:rPr>
        <w:t xml:space="preserve">The Panel explored further with the NICE </w:t>
      </w:r>
      <w:r w:rsidR="00CC69BF">
        <w:rPr>
          <w:rFonts w:cs="Arial"/>
          <w:sz w:val="24"/>
          <w:szCs w:val="24"/>
        </w:rPr>
        <w:t>representatives</w:t>
      </w:r>
      <w:r w:rsidRPr="00D032B4">
        <w:rPr>
          <w:rFonts w:cs="Arial"/>
          <w:sz w:val="24"/>
          <w:szCs w:val="24"/>
        </w:rPr>
        <w:t xml:space="preserve"> whether it was common practice for NICE to be selective in the information it receives</w:t>
      </w:r>
      <w:r w:rsidR="00C6505A">
        <w:rPr>
          <w:rFonts w:cs="Arial"/>
          <w:sz w:val="24"/>
          <w:szCs w:val="24"/>
        </w:rPr>
        <w:t xml:space="preserve"> and</w:t>
      </w:r>
      <w:r w:rsidRPr="00D032B4">
        <w:rPr>
          <w:rFonts w:cs="Arial"/>
          <w:sz w:val="24"/>
          <w:szCs w:val="24"/>
        </w:rPr>
        <w:t xml:space="preserve">, specifically where that information relates to cost-effectiveness modelling. Ross Dent explained that this was not an issue </w:t>
      </w:r>
      <w:r w:rsidR="00964B51" w:rsidRPr="00D032B4">
        <w:rPr>
          <w:rFonts w:cs="Arial"/>
          <w:sz w:val="24"/>
          <w:szCs w:val="24"/>
        </w:rPr>
        <w:t>that</w:t>
      </w:r>
      <w:r w:rsidRPr="00D032B4">
        <w:rPr>
          <w:rFonts w:cs="Arial"/>
          <w:sz w:val="24"/>
          <w:szCs w:val="24"/>
        </w:rPr>
        <w:t xml:space="preserve"> NICE has to grapple with usually, as it is not part of the prescribed appraisal process. In this instance, NICE did not have the </w:t>
      </w:r>
      <w:r w:rsidRPr="00D032B4">
        <w:rPr>
          <w:rFonts w:cs="Arial"/>
          <w:sz w:val="24"/>
          <w:szCs w:val="24"/>
        </w:rPr>
        <w:lastRenderedPageBreak/>
        <w:t>resource</w:t>
      </w:r>
      <w:r w:rsidR="00460782" w:rsidRPr="00D032B4">
        <w:rPr>
          <w:rFonts w:cs="Arial"/>
          <w:sz w:val="24"/>
          <w:szCs w:val="24"/>
        </w:rPr>
        <w:t>s</w:t>
      </w:r>
      <w:r w:rsidRPr="00D032B4">
        <w:rPr>
          <w:rFonts w:cs="Arial"/>
          <w:sz w:val="24"/>
          <w:szCs w:val="24"/>
        </w:rPr>
        <w:t xml:space="preserve"> to be able to consider further evidence, which NICE communicated to the Company the day after the Company </w:t>
      </w:r>
      <w:r w:rsidR="00460782" w:rsidRPr="00D032B4">
        <w:rPr>
          <w:rFonts w:cs="Arial"/>
          <w:sz w:val="24"/>
          <w:szCs w:val="24"/>
        </w:rPr>
        <w:t>indicated</w:t>
      </w:r>
      <w:r w:rsidRPr="00D032B4">
        <w:rPr>
          <w:rFonts w:cs="Arial"/>
          <w:sz w:val="24"/>
          <w:szCs w:val="24"/>
        </w:rPr>
        <w:t xml:space="preserve"> that it would be preparing </w:t>
      </w:r>
      <w:r w:rsidR="006E5321" w:rsidRPr="00D032B4">
        <w:rPr>
          <w:rFonts w:cs="Arial"/>
          <w:sz w:val="24"/>
          <w:szCs w:val="24"/>
        </w:rPr>
        <w:t>updated</w:t>
      </w:r>
      <w:r w:rsidRPr="00D032B4">
        <w:rPr>
          <w:rFonts w:cs="Arial"/>
          <w:sz w:val="24"/>
          <w:szCs w:val="24"/>
        </w:rPr>
        <w:t xml:space="preserve"> analysis. The Company </w:t>
      </w:r>
      <w:r w:rsidR="007D5053" w:rsidRPr="00D032B4">
        <w:rPr>
          <w:rFonts w:cs="Arial"/>
          <w:sz w:val="24"/>
          <w:szCs w:val="24"/>
        </w:rPr>
        <w:t>disagreed</w:t>
      </w:r>
      <w:r w:rsidR="00460782" w:rsidRPr="00D032B4">
        <w:rPr>
          <w:rFonts w:cs="Arial"/>
          <w:sz w:val="24"/>
          <w:szCs w:val="24"/>
        </w:rPr>
        <w:t xml:space="preserve"> with the Committee recollection of the timeline</w:t>
      </w:r>
      <w:r w:rsidRPr="00D032B4">
        <w:rPr>
          <w:rFonts w:cs="Arial"/>
          <w:sz w:val="24"/>
          <w:szCs w:val="24"/>
        </w:rPr>
        <w:t xml:space="preserve">, </w:t>
      </w:r>
      <w:r w:rsidR="00460782" w:rsidRPr="00D032B4">
        <w:rPr>
          <w:rFonts w:cs="Arial"/>
          <w:sz w:val="24"/>
          <w:szCs w:val="24"/>
        </w:rPr>
        <w:t>asserting instead that</w:t>
      </w:r>
      <w:r w:rsidRPr="00D032B4">
        <w:rPr>
          <w:rFonts w:cs="Arial"/>
          <w:sz w:val="24"/>
          <w:szCs w:val="24"/>
        </w:rPr>
        <w:t xml:space="preserve"> it had first communicated to NICE that it would be preparing information in response to the EAG critique on 15 October</w:t>
      </w:r>
      <w:r w:rsidR="00F115A5" w:rsidRPr="00D032B4">
        <w:rPr>
          <w:rFonts w:cs="Arial"/>
          <w:sz w:val="24"/>
          <w:szCs w:val="24"/>
        </w:rPr>
        <w:t xml:space="preserve"> 2024</w:t>
      </w:r>
      <w:r w:rsidRPr="00D032B4">
        <w:rPr>
          <w:rFonts w:cs="Arial"/>
          <w:sz w:val="24"/>
          <w:szCs w:val="24"/>
        </w:rPr>
        <w:t xml:space="preserve">. </w:t>
      </w:r>
    </w:p>
    <w:p w14:paraId="50580AC8" w14:textId="77777777" w:rsidR="00D032B4" w:rsidRPr="00D032B4" w:rsidRDefault="00B416C0" w:rsidP="00D032B4">
      <w:pPr>
        <w:pStyle w:val="Paragraph"/>
        <w:rPr>
          <w:rFonts w:cs="Arial"/>
          <w:sz w:val="24"/>
          <w:szCs w:val="24"/>
        </w:rPr>
      </w:pPr>
      <w:r w:rsidRPr="00D032B4">
        <w:rPr>
          <w:rFonts w:cs="Arial"/>
          <w:sz w:val="24"/>
          <w:szCs w:val="24"/>
        </w:rPr>
        <w:t xml:space="preserve">The Panel asked whether NICE had ever deviated from this process. Ross Dent explained that there is provision in the Manual to do so, and that there may be circumstances in which additional evidence is used, but that he could not recall such instances. </w:t>
      </w:r>
    </w:p>
    <w:p w14:paraId="4B2946EA" w14:textId="62D5C804" w:rsidR="00D032B4" w:rsidRPr="00D032B4" w:rsidRDefault="00D032B4" w:rsidP="00D032B4">
      <w:pPr>
        <w:pStyle w:val="Paragraph"/>
        <w:rPr>
          <w:rFonts w:cs="Arial"/>
          <w:sz w:val="24"/>
          <w:szCs w:val="24"/>
        </w:rPr>
      </w:pPr>
      <w:r w:rsidRPr="00D032B4">
        <w:rPr>
          <w:rFonts w:cs="Arial"/>
          <w:sz w:val="24"/>
          <w:szCs w:val="24"/>
        </w:rPr>
        <w:t>The Panel concluded as follows</w:t>
      </w:r>
      <w:r w:rsidR="00690D6D">
        <w:rPr>
          <w:rFonts w:cs="Arial"/>
          <w:sz w:val="24"/>
          <w:szCs w:val="24"/>
        </w:rPr>
        <w:t>.</w:t>
      </w:r>
      <w:r w:rsidRPr="00D032B4">
        <w:rPr>
          <w:rFonts w:cs="Arial"/>
          <w:sz w:val="24"/>
          <w:szCs w:val="24"/>
        </w:rPr>
        <w:t xml:space="preserve"> The </w:t>
      </w:r>
      <w:r w:rsidR="00B03F7D">
        <w:rPr>
          <w:rFonts w:cs="Arial"/>
          <w:sz w:val="24"/>
          <w:szCs w:val="24"/>
        </w:rPr>
        <w:t>P</w:t>
      </w:r>
      <w:r w:rsidRPr="00D032B4">
        <w:rPr>
          <w:rFonts w:cs="Arial"/>
          <w:sz w:val="24"/>
          <w:szCs w:val="24"/>
        </w:rPr>
        <w:t xml:space="preserve">anel noted the timeline of events between the </w:t>
      </w:r>
      <w:r w:rsidR="00A61C0A">
        <w:rPr>
          <w:rFonts w:cs="Arial"/>
          <w:sz w:val="24"/>
          <w:szCs w:val="24"/>
        </w:rPr>
        <w:t>third</w:t>
      </w:r>
      <w:r w:rsidR="00A61C0A" w:rsidRPr="00D032B4">
        <w:rPr>
          <w:rFonts w:cs="Arial"/>
          <w:sz w:val="24"/>
          <w:szCs w:val="24"/>
        </w:rPr>
        <w:t xml:space="preserve"> </w:t>
      </w:r>
      <w:r w:rsidRPr="00D032B4">
        <w:rPr>
          <w:rFonts w:cs="Arial"/>
          <w:sz w:val="24"/>
          <w:szCs w:val="24"/>
        </w:rPr>
        <w:t xml:space="preserve">and </w:t>
      </w:r>
      <w:r w:rsidR="00A61C0A">
        <w:rPr>
          <w:rFonts w:cs="Arial"/>
          <w:sz w:val="24"/>
          <w:szCs w:val="24"/>
        </w:rPr>
        <w:t>fourth</w:t>
      </w:r>
      <w:r w:rsidR="00A61C0A" w:rsidRPr="00D032B4">
        <w:rPr>
          <w:rFonts w:cs="Arial"/>
          <w:sz w:val="24"/>
          <w:szCs w:val="24"/>
        </w:rPr>
        <w:t xml:space="preserve"> </w:t>
      </w:r>
      <w:r w:rsidRPr="00D032B4">
        <w:rPr>
          <w:rFonts w:cs="Arial"/>
          <w:sz w:val="24"/>
          <w:szCs w:val="24"/>
        </w:rPr>
        <w:t xml:space="preserve">committee meetings, including the events that had followed the meeting between NICE and the company </w:t>
      </w:r>
      <w:proofErr w:type="gramStart"/>
      <w:r w:rsidRPr="00D032B4">
        <w:rPr>
          <w:rFonts w:cs="Arial"/>
          <w:sz w:val="24"/>
          <w:szCs w:val="24"/>
        </w:rPr>
        <w:t>as a result of</w:t>
      </w:r>
      <w:proofErr w:type="gramEnd"/>
      <w:r w:rsidRPr="00D032B4">
        <w:rPr>
          <w:rFonts w:cs="Arial"/>
          <w:sz w:val="24"/>
          <w:szCs w:val="24"/>
        </w:rPr>
        <w:t xml:space="preserve"> the </w:t>
      </w:r>
      <w:r w:rsidR="00A73F3A">
        <w:rPr>
          <w:rFonts w:cs="Arial"/>
          <w:sz w:val="24"/>
          <w:szCs w:val="24"/>
        </w:rPr>
        <w:t>“</w:t>
      </w:r>
      <w:r w:rsidRPr="00D032B4">
        <w:rPr>
          <w:rFonts w:cs="Arial"/>
          <w:sz w:val="24"/>
          <w:szCs w:val="24"/>
        </w:rPr>
        <w:t>Chair's action</w:t>
      </w:r>
      <w:r w:rsidR="005146BB">
        <w:rPr>
          <w:rFonts w:cs="Arial"/>
          <w:sz w:val="24"/>
          <w:szCs w:val="24"/>
        </w:rPr>
        <w:t>’’</w:t>
      </w:r>
      <w:r w:rsidRPr="00D032B4">
        <w:rPr>
          <w:rFonts w:cs="Arial"/>
          <w:sz w:val="24"/>
          <w:szCs w:val="24"/>
        </w:rPr>
        <w:t xml:space="preserve">. The </w:t>
      </w:r>
      <w:r w:rsidR="00100262">
        <w:rPr>
          <w:rFonts w:cs="Arial"/>
          <w:sz w:val="24"/>
          <w:szCs w:val="24"/>
        </w:rPr>
        <w:t>P</w:t>
      </w:r>
      <w:r w:rsidR="00100262" w:rsidRPr="00D032B4">
        <w:rPr>
          <w:rFonts w:cs="Arial"/>
          <w:sz w:val="24"/>
          <w:szCs w:val="24"/>
        </w:rPr>
        <w:t xml:space="preserve">anel </w:t>
      </w:r>
      <w:r w:rsidR="00B03F7D">
        <w:rPr>
          <w:rFonts w:cs="Arial"/>
          <w:sz w:val="24"/>
          <w:szCs w:val="24"/>
        </w:rPr>
        <w:t xml:space="preserve">also </w:t>
      </w:r>
      <w:r w:rsidRPr="00D032B4">
        <w:rPr>
          <w:rFonts w:cs="Arial"/>
          <w:sz w:val="24"/>
          <w:szCs w:val="24"/>
        </w:rPr>
        <w:t xml:space="preserve">noted that new evidence and economic analysis was subsequently submitted to NICE by the </w:t>
      </w:r>
      <w:r w:rsidR="00100262">
        <w:rPr>
          <w:rFonts w:cs="Arial"/>
          <w:sz w:val="24"/>
          <w:szCs w:val="24"/>
        </w:rPr>
        <w:t>C</w:t>
      </w:r>
      <w:r w:rsidR="00100262" w:rsidRPr="00D032B4">
        <w:rPr>
          <w:rFonts w:cs="Arial"/>
          <w:sz w:val="24"/>
          <w:szCs w:val="24"/>
        </w:rPr>
        <w:t xml:space="preserve">ompany </w:t>
      </w:r>
      <w:r w:rsidRPr="00D032B4">
        <w:rPr>
          <w:rFonts w:cs="Arial"/>
          <w:sz w:val="24"/>
          <w:szCs w:val="24"/>
        </w:rPr>
        <w:t xml:space="preserve">but that this was not directly in line with the issues discussed at the </w:t>
      </w:r>
      <w:r w:rsidR="00A73F3A">
        <w:rPr>
          <w:rFonts w:cs="Arial"/>
          <w:sz w:val="24"/>
          <w:szCs w:val="24"/>
        </w:rPr>
        <w:t>“</w:t>
      </w:r>
      <w:r w:rsidRPr="00D032B4">
        <w:rPr>
          <w:rFonts w:cs="Arial"/>
          <w:sz w:val="24"/>
          <w:szCs w:val="24"/>
        </w:rPr>
        <w:t>Chair's action</w:t>
      </w:r>
      <w:r w:rsidR="00695C53">
        <w:rPr>
          <w:rFonts w:cs="Arial"/>
          <w:sz w:val="24"/>
          <w:szCs w:val="24"/>
        </w:rPr>
        <w:t>’</w:t>
      </w:r>
      <w:r w:rsidR="005146BB">
        <w:rPr>
          <w:rFonts w:cs="Arial"/>
          <w:sz w:val="24"/>
          <w:szCs w:val="24"/>
        </w:rPr>
        <w:t>’</w:t>
      </w:r>
      <w:r w:rsidRPr="00D032B4">
        <w:rPr>
          <w:rFonts w:cs="Arial"/>
          <w:sz w:val="24"/>
          <w:szCs w:val="24"/>
        </w:rPr>
        <w:t xml:space="preserve"> meeting and had not been requested by NICE. The panel therefore accepted that the decision by NICE to ask the EAG to provide a further critique of the new information submitted by the company was procedurally correct and that this critique, when undertaken, was </w:t>
      </w:r>
      <w:proofErr w:type="gramStart"/>
      <w:r w:rsidRPr="00D032B4">
        <w:rPr>
          <w:rFonts w:cs="Arial"/>
          <w:sz w:val="24"/>
          <w:szCs w:val="24"/>
        </w:rPr>
        <w:t>fairly shared</w:t>
      </w:r>
      <w:proofErr w:type="gramEnd"/>
      <w:r w:rsidRPr="00D032B4">
        <w:rPr>
          <w:rFonts w:cs="Arial"/>
          <w:sz w:val="24"/>
          <w:szCs w:val="24"/>
        </w:rPr>
        <w:t xml:space="preserve"> with the company</w:t>
      </w:r>
      <w:r w:rsidR="00ED1F23" w:rsidRPr="00D032B4">
        <w:rPr>
          <w:rFonts w:cs="Arial"/>
          <w:sz w:val="24"/>
          <w:szCs w:val="24"/>
        </w:rPr>
        <w:t xml:space="preserve">. </w:t>
      </w:r>
      <w:r w:rsidRPr="00D032B4">
        <w:rPr>
          <w:rFonts w:cs="Arial"/>
          <w:sz w:val="24"/>
          <w:szCs w:val="24"/>
        </w:rPr>
        <w:t xml:space="preserve">The panel were satisfied that while the </w:t>
      </w:r>
      <w:r w:rsidR="00100262">
        <w:rPr>
          <w:rFonts w:cs="Arial"/>
          <w:sz w:val="24"/>
          <w:szCs w:val="24"/>
        </w:rPr>
        <w:t>C</w:t>
      </w:r>
      <w:r w:rsidR="00100262" w:rsidRPr="00D032B4">
        <w:rPr>
          <w:rFonts w:cs="Arial"/>
          <w:sz w:val="24"/>
          <w:szCs w:val="24"/>
        </w:rPr>
        <w:t xml:space="preserve">ompany </w:t>
      </w:r>
      <w:r w:rsidRPr="00D032B4">
        <w:rPr>
          <w:rFonts w:cs="Arial"/>
          <w:sz w:val="24"/>
          <w:szCs w:val="24"/>
        </w:rPr>
        <w:t xml:space="preserve">chose to respond to this critique, it was not </w:t>
      </w:r>
      <w:proofErr w:type="gramStart"/>
      <w:r w:rsidRPr="00D032B4">
        <w:rPr>
          <w:rFonts w:cs="Arial"/>
          <w:sz w:val="24"/>
          <w:szCs w:val="24"/>
        </w:rPr>
        <w:t>as a result of</w:t>
      </w:r>
      <w:proofErr w:type="gramEnd"/>
      <w:r w:rsidRPr="00D032B4">
        <w:rPr>
          <w:rFonts w:cs="Arial"/>
          <w:sz w:val="24"/>
          <w:szCs w:val="24"/>
        </w:rPr>
        <w:t xml:space="preserve"> a specific further request from NICE to do so</w:t>
      </w:r>
      <w:r w:rsidR="00ED1F23" w:rsidRPr="00D032B4">
        <w:rPr>
          <w:rFonts w:cs="Arial"/>
          <w:sz w:val="24"/>
          <w:szCs w:val="24"/>
        </w:rPr>
        <w:t xml:space="preserve">. </w:t>
      </w:r>
      <w:r w:rsidRPr="00D032B4">
        <w:rPr>
          <w:rFonts w:cs="Arial"/>
          <w:sz w:val="24"/>
          <w:szCs w:val="24"/>
        </w:rPr>
        <w:t xml:space="preserve">The </w:t>
      </w:r>
      <w:r w:rsidR="00100262">
        <w:rPr>
          <w:rFonts w:cs="Arial"/>
          <w:sz w:val="24"/>
          <w:szCs w:val="24"/>
        </w:rPr>
        <w:t>P</w:t>
      </w:r>
      <w:r w:rsidR="00100262" w:rsidRPr="00D032B4">
        <w:rPr>
          <w:rFonts w:cs="Arial"/>
          <w:sz w:val="24"/>
          <w:szCs w:val="24"/>
        </w:rPr>
        <w:t xml:space="preserve">anel </w:t>
      </w:r>
      <w:r w:rsidRPr="00D032B4">
        <w:rPr>
          <w:rFonts w:cs="Arial"/>
          <w:sz w:val="24"/>
          <w:szCs w:val="24"/>
        </w:rPr>
        <w:t xml:space="preserve">were also persuaded that NICE had approached the EAG again to ask if they were able to provide a further critique of the latest company </w:t>
      </w:r>
      <w:r w:rsidR="00391F81" w:rsidRPr="00D032B4">
        <w:rPr>
          <w:rFonts w:cs="Arial"/>
          <w:sz w:val="24"/>
          <w:szCs w:val="24"/>
        </w:rPr>
        <w:t>response but</w:t>
      </w:r>
      <w:r w:rsidRPr="00D032B4">
        <w:rPr>
          <w:rFonts w:cs="Arial"/>
          <w:sz w:val="24"/>
          <w:szCs w:val="24"/>
        </w:rPr>
        <w:t xml:space="preserve"> were informed that the EAG had insufficient capacity and time to do so. Under these circumstances, the </w:t>
      </w:r>
      <w:r w:rsidR="00100262">
        <w:rPr>
          <w:rFonts w:cs="Arial"/>
          <w:sz w:val="24"/>
          <w:szCs w:val="24"/>
        </w:rPr>
        <w:t>P</w:t>
      </w:r>
      <w:r w:rsidR="00100262" w:rsidRPr="00D032B4">
        <w:rPr>
          <w:rFonts w:cs="Arial"/>
          <w:sz w:val="24"/>
          <w:szCs w:val="24"/>
        </w:rPr>
        <w:t xml:space="preserve">anel </w:t>
      </w:r>
      <w:r w:rsidRPr="00D032B4">
        <w:rPr>
          <w:rFonts w:cs="Arial"/>
          <w:sz w:val="24"/>
          <w:szCs w:val="24"/>
        </w:rPr>
        <w:t xml:space="preserve">accepted that without further critique by the EAG, it was procedurally fair for NICE not to </w:t>
      </w:r>
      <w:r w:rsidR="00100262">
        <w:rPr>
          <w:rFonts w:cs="Arial"/>
          <w:sz w:val="24"/>
          <w:szCs w:val="24"/>
        </w:rPr>
        <w:t>have</w:t>
      </w:r>
      <w:r w:rsidRPr="00D032B4">
        <w:rPr>
          <w:rFonts w:cs="Arial"/>
          <w:sz w:val="24"/>
          <w:szCs w:val="24"/>
        </w:rPr>
        <w:t xml:space="preserve"> share</w:t>
      </w:r>
      <w:r w:rsidR="00100262">
        <w:rPr>
          <w:rFonts w:cs="Arial"/>
          <w:sz w:val="24"/>
          <w:szCs w:val="24"/>
        </w:rPr>
        <w:t>d</w:t>
      </w:r>
      <w:r w:rsidRPr="00D032B4">
        <w:rPr>
          <w:rFonts w:cs="Arial"/>
          <w:sz w:val="24"/>
          <w:szCs w:val="24"/>
        </w:rPr>
        <w:t xml:space="preserve"> the submitted </w:t>
      </w:r>
      <w:r w:rsidR="00100262">
        <w:rPr>
          <w:rFonts w:cs="Arial"/>
          <w:sz w:val="24"/>
          <w:szCs w:val="24"/>
        </w:rPr>
        <w:t>C</w:t>
      </w:r>
      <w:r w:rsidR="00100262" w:rsidRPr="00D032B4">
        <w:rPr>
          <w:rFonts w:cs="Arial"/>
          <w:sz w:val="24"/>
          <w:szCs w:val="24"/>
        </w:rPr>
        <w:t xml:space="preserve">ompany </w:t>
      </w:r>
      <w:r w:rsidRPr="00D032B4">
        <w:rPr>
          <w:rFonts w:cs="Arial"/>
          <w:sz w:val="24"/>
          <w:szCs w:val="24"/>
        </w:rPr>
        <w:t xml:space="preserve">response with the </w:t>
      </w:r>
      <w:r w:rsidR="00100262">
        <w:rPr>
          <w:rFonts w:cs="Arial"/>
          <w:sz w:val="24"/>
          <w:szCs w:val="24"/>
        </w:rPr>
        <w:t>C</w:t>
      </w:r>
      <w:r w:rsidRPr="00D032B4">
        <w:rPr>
          <w:rFonts w:cs="Arial"/>
          <w:sz w:val="24"/>
          <w:szCs w:val="24"/>
        </w:rPr>
        <w:t xml:space="preserve">ommittee prior to </w:t>
      </w:r>
      <w:r w:rsidRPr="00D032B4">
        <w:rPr>
          <w:rFonts w:cs="Arial"/>
          <w:sz w:val="24"/>
          <w:szCs w:val="24"/>
        </w:rPr>
        <w:lastRenderedPageBreak/>
        <w:t xml:space="preserve">the </w:t>
      </w:r>
      <w:r w:rsidR="00100262">
        <w:rPr>
          <w:rFonts w:cs="Arial"/>
          <w:sz w:val="24"/>
          <w:szCs w:val="24"/>
        </w:rPr>
        <w:t>fourth</w:t>
      </w:r>
      <w:r w:rsidR="00100262" w:rsidRPr="00D032B4">
        <w:rPr>
          <w:rFonts w:cs="Arial"/>
          <w:sz w:val="24"/>
          <w:szCs w:val="24"/>
        </w:rPr>
        <w:t xml:space="preserve"> </w:t>
      </w:r>
      <w:r w:rsidRPr="00D032B4">
        <w:rPr>
          <w:rFonts w:cs="Arial"/>
          <w:sz w:val="24"/>
          <w:szCs w:val="24"/>
        </w:rPr>
        <w:t xml:space="preserve">committee meeting. </w:t>
      </w:r>
      <w:r w:rsidR="0018352D" w:rsidRPr="0018352D">
        <w:rPr>
          <w:rFonts w:cs="Arial"/>
          <w:sz w:val="24"/>
          <w:szCs w:val="24"/>
        </w:rPr>
        <w:t>T</w:t>
      </w:r>
      <w:r w:rsidR="0018352D" w:rsidRPr="000131CD">
        <w:rPr>
          <w:rFonts w:cs="Arial"/>
          <w:sz w:val="24"/>
          <w:szCs w:val="24"/>
        </w:rPr>
        <w:t>he Panel noted that the Company submitted the information outside of the prescribed appraisal process and in the absence of any specific request to do so by the Committee, and that subsequently there was no obligation on NICE to have provided it to the Committee at this late stage in the appraisal</w:t>
      </w:r>
      <w:r w:rsidR="001159E1">
        <w:rPr>
          <w:rFonts w:cs="Arial"/>
          <w:sz w:val="24"/>
          <w:szCs w:val="24"/>
        </w:rPr>
        <w:t>, particularly in circumstances where EAG review was not practicable.</w:t>
      </w:r>
      <w:r w:rsidRPr="00D032B4">
        <w:rPr>
          <w:rFonts w:cs="Arial"/>
          <w:sz w:val="24"/>
          <w:szCs w:val="24"/>
        </w:rPr>
        <w:t xml:space="preserve">  The </w:t>
      </w:r>
      <w:r w:rsidR="00100262">
        <w:rPr>
          <w:rFonts w:cs="Arial"/>
          <w:sz w:val="24"/>
          <w:szCs w:val="24"/>
        </w:rPr>
        <w:t>P</w:t>
      </w:r>
      <w:r w:rsidR="00100262" w:rsidRPr="00D032B4">
        <w:rPr>
          <w:rFonts w:cs="Arial"/>
          <w:sz w:val="24"/>
          <w:szCs w:val="24"/>
        </w:rPr>
        <w:t xml:space="preserve">anel </w:t>
      </w:r>
      <w:r w:rsidRPr="00D032B4">
        <w:rPr>
          <w:rFonts w:cs="Arial"/>
          <w:sz w:val="24"/>
          <w:szCs w:val="24"/>
        </w:rPr>
        <w:t xml:space="preserve">concluded that NICE had been flexible and fair in engaging with the </w:t>
      </w:r>
      <w:r w:rsidR="00100262">
        <w:rPr>
          <w:rFonts w:cs="Arial"/>
          <w:sz w:val="24"/>
          <w:szCs w:val="24"/>
        </w:rPr>
        <w:t>C</w:t>
      </w:r>
      <w:r w:rsidR="00100262" w:rsidRPr="00D032B4">
        <w:rPr>
          <w:rFonts w:cs="Arial"/>
          <w:sz w:val="24"/>
          <w:szCs w:val="24"/>
        </w:rPr>
        <w:t xml:space="preserve">ompany </w:t>
      </w:r>
      <w:proofErr w:type="gramStart"/>
      <w:r w:rsidRPr="00D032B4">
        <w:rPr>
          <w:rFonts w:cs="Arial"/>
          <w:sz w:val="24"/>
          <w:szCs w:val="24"/>
        </w:rPr>
        <w:t>in regard to</w:t>
      </w:r>
      <w:proofErr w:type="gramEnd"/>
      <w:r w:rsidRPr="00D032B4">
        <w:rPr>
          <w:rFonts w:cs="Arial"/>
          <w:sz w:val="24"/>
          <w:szCs w:val="24"/>
        </w:rPr>
        <w:t xml:space="preserve"> their acceptance and consideration of </w:t>
      </w:r>
      <w:r w:rsidR="001159E1">
        <w:rPr>
          <w:rFonts w:cs="Arial"/>
          <w:sz w:val="24"/>
          <w:szCs w:val="24"/>
        </w:rPr>
        <w:t>additional</w:t>
      </w:r>
      <w:r w:rsidR="001159E1" w:rsidRPr="00D032B4">
        <w:rPr>
          <w:rFonts w:cs="Arial"/>
          <w:sz w:val="24"/>
          <w:szCs w:val="24"/>
        </w:rPr>
        <w:t xml:space="preserve"> </w:t>
      </w:r>
      <w:r w:rsidRPr="00D032B4">
        <w:rPr>
          <w:rFonts w:cs="Arial"/>
          <w:sz w:val="24"/>
          <w:szCs w:val="24"/>
        </w:rPr>
        <w:t xml:space="preserve">information from the company after the </w:t>
      </w:r>
      <w:r w:rsidR="007E634E">
        <w:rPr>
          <w:rFonts w:cs="Arial"/>
          <w:sz w:val="24"/>
          <w:szCs w:val="24"/>
        </w:rPr>
        <w:t>third</w:t>
      </w:r>
      <w:r w:rsidR="007E634E" w:rsidRPr="00D032B4">
        <w:rPr>
          <w:rFonts w:cs="Arial"/>
          <w:sz w:val="24"/>
          <w:szCs w:val="24"/>
        </w:rPr>
        <w:t xml:space="preserve"> </w:t>
      </w:r>
      <w:r w:rsidRPr="00D032B4">
        <w:rPr>
          <w:rFonts w:cs="Arial"/>
          <w:sz w:val="24"/>
          <w:szCs w:val="24"/>
        </w:rPr>
        <w:t>committee meeting</w:t>
      </w:r>
      <w:r w:rsidR="00ED1F23" w:rsidRPr="00D032B4">
        <w:rPr>
          <w:rFonts w:cs="Arial"/>
          <w:sz w:val="24"/>
          <w:szCs w:val="24"/>
        </w:rPr>
        <w:t xml:space="preserve">. </w:t>
      </w:r>
      <w:r w:rsidRPr="00D032B4">
        <w:rPr>
          <w:rFonts w:cs="Arial"/>
          <w:sz w:val="24"/>
          <w:szCs w:val="24"/>
        </w:rPr>
        <w:t xml:space="preserve">Accepting the need to progress the appraisal in the context of an already lengthy assessment process, 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further concluded that NICE had not acted in a procedurally unfair manner in not sharing the </w:t>
      </w:r>
      <w:r w:rsidR="007E634E">
        <w:rPr>
          <w:rFonts w:cs="Arial"/>
          <w:sz w:val="24"/>
          <w:szCs w:val="24"/>
        </w:rPr>
        <w:t>C</w:t>
      </w:r>
      <w:r w:rsidRPr="00D032B4">
        <w:rPr>
          <w:rFonts w:cs="Arial"/>
          <w:sz w:val="24"/>
          <w:szCs w:val="24"/>
        </w:rPr>
        <w:t xml:space="preserve">ompany response to the EAG critique of the additional submitted information with the </w:t>
      </w:r>
      <w:r w:rsidR="007E634E">
        <w:rPr>
          <w:rFonts w:cs="Arial"/>
          <w:sz w:val="24"/>
          <w:szCs w:val="24"/>
        </w:rPr>
        <w:t>C</w:t>
      </w:r>
      <w:r w:rsidR="007E634E" w:rsidRPr="00D032B4">
        <w:rPr>
          <w:rFonts w:cs="Arial"/>
          <w:sz w:val="24"/>
          <w:szCs w:val="24"/>
        </w:rPr>
        <w:t xml:space="preserve">ommittee </w:t>
      </w:r>
      <w:r w:rsidRPr="00D032B4">
        <w:rPr>
          <w:rFonts w:cs="Arial"/>
          <w:sz w:val="24"/>
          <w:szCs w:val="24"/>
        </w:rPr>
        <w:t xml:space="preserve">prior to the </w:t>
      </w:r>
      <w:r w:rsidR="007E634E">
        <w:rPr>
          <w:rFonts w:cs="Arial"/>
          <w:sz w:val="24"/>
          <w:szCs w:val="24"/>
        </w:rPr>
        <w:t>fourth</w:t>
      </w:r>
      <w:r w:rsidR="00237B2B">
        <w:rPr>
          <w:rFonts w:cs="Arial"/>
          <w:sz w:val="24"/>
          <w:szCs w:val="24"/>
        </w:rPr>
        <w:t xml:space="preserve"> </w:t>
      </w:r>
      <w:r w:rsidRPr="00D032B4">
        <w:rPr>
          <w:rFonts w:cs="Arial"/>
          <w:sz w:val="24"/>
          <w:szCs w:val="24"/>
        </w:rPr>
        <w:t xml:space="preserve">committee meeting.  </w:t>
      </w:r>
    </w:p>
    <w:p w14:paraId="55CA1637" w14:textId="33F2018C" w:rsidR="00D032B4" w:rsidRPr="00D032B4" w:rsidRDefault="00D032B4" w:rsidP="00D032B4">
      <w:pPr>
        <w:pStyle w:val="Paragraph"/>
        <w:rPr>
          <w:rFonts w:cs="Arial"/>
          <w:sz w:val="24"/>
          <w:szCs w:val="24"/>
        </w:rPr>
      </w:pPr>
      <w:r w:rsidRPr="00D032B4">
        <w:rPr>
          <w:rFonts w:cs="Arial"/>
          <w:sz w:val="24"/>
          <w:szCs w:val="24"/>
        </w:rPr>
        <w:t xml:space="preserve">The </w:t>
      </w:r>
      <w:r w:rsidR="006C7023">
        <w:rPr>
          <w:rFonts w:cs="Arial"/>
          <w:sz w:val="24"/>
          <w:szCs w:val="24"/>
        </w:rPr>
        <w:t>A</w:t>
      </w:r>
      <w:r w:rsidR="006C7023" w:rsidRPr="00D032B4">
        <w:rPr>
          <w:rFonts w:cs="Arial"/>
          <w:sz w:val="24"/>
          <w:szCs w:val="24"/>
        </w:rPr>
        <w:t xml:space="preserve">ppeal </w:t>
      </w:r>
      <w:r w:rsidR="007E634E">
        <w:rPr>
          <w:rFonts w:cs="Arial"/>
          <w:sz w:val="24"/>
          <w:szCs w:val="24"/>
        </w:rPr>
        <w:t>P</w:t>
      </w:r>
      <w:r w:rsidR="007E634E" w:rsidRPr="00D032B4">
        <w:rPr>
          <w:rFonts w:cs="Arial"/>
          <w:sz w:val="24"/>
          <w:szCs w:val="24"/>
        </w:rPr>
        <w:t xml:space="preserve">anel </w:t>
      </w:r>
      <w:r w:rsidRPr="00D032B4">
        <w:rPr>
          <w:rFonts w:cs="Arial"/>
          <w:sz w:val="24"/>
          <w:szCs w:val="24"/>
        </w:rPr>
        <w:t>therefore dismissed the appeal on this point.</w:t>
      </w:r>
    </w:p>
    <w:p w14:paraId="762C8CE6" w14:textId="6EEB2727" w:rsidR="00E459A3" w:rsidRPr="006E0B81" w:rsidRDefault="00F115A5" w:rsidP="00E459A3">
      <w:pPr>
        <w:pStyle w:val="Heading3"/>
      </w:pPr>
      <w:proofErr w:type="spellStart"/>
      <w:r w:rsidRPr="006C7023">
        <w:t>Argenx</w:t>
      </w:r>
      <w:proofErr w:type="spellEnd"/>
      <w:r w:rsidRPr="006C7023">
        <w:t xml:space="preserve"> </w:t>
      </w:r>
      <w:r w:rsidR="00E459A3" w:rsidRPr="006C7023">
        <w:t xml:space="preserve">Appeal </w:t>
      </w:r>
      <w:r w:rsidRPr="006C7023">
        <w:t>Point</w:t>
      </w:r>
      <w:r w:rsidR="00E459A3" w:rsidRPr="006C7023">
        <w:t xml:space="preserve"> </w:t>
      </w:r>
      <w:r w:rsidR="00756935" w:rsidRPr="006C7023">
        <w:t>1a</w:t>
      </w:r>
      <w:r w:rsidR="00F204C8">
        <w:t>.</w:t>
      </w:r>
      <w:r w:rsidR="00756935" w:rsidRPr="006C7023">
        <w:t>3</w:t>
      </w:r>
      <w:r w:rsidR="00756935" w:rsidRPr="006E0B81">
        <w:t xml:space="preserve">: The failure to provide draft guidance for consultation prior to the fourth Appraisal Committee meeting was </w:t>
      </w:r>
      <w:r w:rsidR="00391F81" w:rsidRPr="006E0B81">
        <w:t>unfair.</w:t>
      </w:r>
    </w:p>
    <w:p w14:paraId="26265615" w14:textId="467FB5A7" w:rsidR="00E459A3" w:rsidRPr="00D032B4" w:rsidRDefault="00DF6AC3" w:rsidP="00E459A3">
      <w:pPr>
        <w:pStyle w:val="Paragraph"/>
        <w:rPr>
          <w:rFonts w:cs="Arial"/>
          <w:sz w:val="24"/>
          <w:szCs w:val="24"/>
        </w:rPr>
      </w:pPr>
      <w:r w:rsidRPr="00D032B4">
        <w:rPr>
          <w:rFonts w:cs="Arial"/>
          <w:sz w:val="24"/>
          <w:szCs w:val="24"/>
        </w:rPr>
        <w:t>David Knechtel</w:t>
      </w:r>
      <w:r w:rsidR="006F15D7">
        <w:rPr>
          <w:rFonts w:cs="Arial"/>
          <w:sz w:val="24"/>
          <w:szCs w:val="24"/>
        </w:rPr>
        <w:t xml:space="preserve">, for </w:t>
      </w:r>
      <w:proofErr w:type="spellStart"/>
      <w:r w:rsidR="006F15D7">
        <w:rPr>
          <w:rFonts w:cs="Arial"/>
          <w:sz w:val="24"/>
          <w:szCs w:val="24"/>
        </w:rPr>
        <w:t>Argenx</w:t>
      </w:r>
      <w:proofErr w:type="spellEnd"/>
      <w:r w:rsidR="006C7023">
        <w:rPr>
          <w:rFonts w:cs="Arial"/>
          <w:sz w:val="24"/>
          <w:szCs w:val="24"/>
        </w:rPr>
        <w:t>,</w:t>
      </w:r>
      <w:r w:rsidRPr="00D032B4">
        <w:rPr>
          <w:rFonts w:cs="Arial"/>
          <w:sz w:val="24"/>
          <w:szCs w:val="24"/>
        </w:rPr>
        <w:t xml:space="preserve"> </w:t>
      </w:r>
      <w:r w:rsidR="00F115A5" w:rsidRPr="00D032B4">
        <w:rPr>
          <w:rFonts w:cs="Arial"/>
          <w:sz w:val="24"/>
          <w:szCs w:val="24"/>
        </w:rPr>
        <w:t>introduced</w:t>
      </w:r>
      <w:r w:rsidRPr="00D032B4">
        <w:rPr>
          <w:rFonts w:cs="Arial"/>
          <w:sz w:val="24"/>
          <w:szCs w:val="24"/>
        </w:rPr>
        <w:t xml:space="preserve"> the Company's position that it was unfair for NICE to have failed to produce draft guidance between the third and fourth committee meetings. It was the Company's view that the</w:t>
      </w:r>
      <w:r w:rsidR="00753550" w:rsidRPr="00D032B4">
        <w:rPr>
          <w:rFonts w:cs="Arial"/>
          <w:sz w:val="24"/>
          <w:szCs w:val="24"/>
        </w:rPr>
        <w:t xml:space="preserve"> fact of the</w:t>
      </w:r>
      <w:r w:rsidRPr="00D032B4">
        <w:rPr>
          <w:rFonts w:cs="Arial"/>
          <w:sz w:val="24"/>
          <w:szCs w:val="24"/>
        </w:rPr>
        <w:t xml:space="preserve"> need for a fourth committee meeting to resolve outstanding uncertainties was evidence that a third draft guidance and consultation was needed.</w:t>
      </w:r>
    </w:p>
    <w:p w14:paraId="27C1274A" w14:textId="0F69B9F0" w:rsidR="00E459A3" w:rsidRPr="00D032B4" w:rsidRDefault="00DF6AC3" w:rsidP="00E459A3">
      <w:pPr>
        <w:pStyle w:val="Paragraph"/>
        <w:rPr>
          <w:rFonts w:cs="Arial"/>
          <w:sz w:val="24"/>
          <w:szCs w:val="24"/>
        </w:rPr>
      </w:pPr>
      <w:r w:rsidRPr="00D032B4">
        <w:rPr>
          <w:rFonts w:cs="Arial"/>
          <w:sz w:val="24"/>
          <w:szCs w:val="24"/>
        </w:rPr>
        <w:t xml:space="preserve">Ross Dent, for NICE, explained that two </w:t>
      </w:r>
      <w:r w:rsidR="00F115A5" w:rsidRPr="00D032B4">
        <w:rPr>
          <w:rFonts w:cs="Arial"/>
          <w:sz w:val="24"/>
          <w:szCs w:val="24"/>
        </w:rPr>
        <w:t>rounds</w:t>
      </w:r>
      <w:r w:rsidRPr="00D032B4">
        <w:rPr>
          <w:rFonts w:cs="Arial"/>
          <w:sz w:val="24"/>
          <w:szCs w:val="24"/>
        </w:rPr>
        <w:t xml:space="preserve"> of draft guidance had been produced in this appraisal. Following the third committee meeting, the Committee had attempted to conclude the evaluation by outlining </w:t>
      </w:r>
      <w:r w:rsidR="00F115A5" w:rsidRPr="00D032B4">
        <w:rPr>
          <w:rFonts w:cs="Arial"/>
          <w:sz w:val="24"/>
          <w:szCs w:val="24"/>
        </w:rPr>
        <w:t>its</w:t>
      </w:r>
      <w:r w:rsidRPr="00D032B4">
        <w:rPr>
          <w:rFonts w:cs="Arial"/>
          <w:sz w:val="24"/>
          <w:szCs w:val="24"/>
        </w:rPr>
        <w:t xml:space="preserve"> preferred assumptions</w:t>
      </w:r>
      <w:r w:rsidR="00F115A5" w:rsidRPr="00D032B4">
        <w:rPr>
          <w:rFonts w:cs="Arial"/>
          <w:sz w:val="24"/>
          <w:szCs w:val="24"/>
        </w:rPr>
        <w:t xml:space="preserve"> in a </w:t>
      </w:r>
      <w:r w:rsidR="000B1FC1">
        <w:rPr>
          <w:rFonts w:cs="Arial"/>
          <w:sz w:val="24"/>
          <w:szCs w:val="24"/>
        </w:rPr>
        <w:t>“</w:t>
      </w:r>
      <w:r w:rsidR="00F115A5" w:rsidRPr="00D032B4">
        <w:rPr>
          <w:rFonts w:cs="Arial"/>
          <w:sz w:val="24"/>
          <w:szCs w:val="24"/>
        </w:rPr>
        <w:t xml:space="preserve">Chair's </w:t>
      </w:r>
      <w:r w:rsidR="00907C3A" w:rsidRPr="00D032B4">
        <w:rPr>
          <w:rFonts w:cs="Arial"/>
          <w:sz w:val="24"/>
          <w:szCs w:val="24"/>
        </w:rPr>
        <w:t>a</w:t>
      </w:r>
      <w:r w:rsidR="00F115A5" w:rsidRPr="00D032B4">
        <w:rPr>
          <w:rFonts w:cs="Arial"/>
          <w:sz w:val="24"/>
          <w:szCs w:val="24"/>
        </w:rPr>
        <w:t>ction</w:t>
      </w:r>
      <w:r w:rsidR="00794D12">
        <w:rPr>
          <w:rFonts w:cs="Arial"/>
          <w:sz w:val="24"/>
          <w:szCs w:val="24"/>
        </w:rPr>
        <w:t>’’</w:t>
      </w:r>
      <w:r w:rsidR="00F115A5" w:rsidRPr="00D032B4">
        <w:rPr>
          <w:rFonts w:cs="Arial"/>
          <w:sz w:val="24"/>
          <w:szCs w:val="24"/>
        </w:rPr>
        <w:t xml:space="preserve">. The </w:t>
      </w:r>
      <w:r w:rsidR="00F115A5" w:rsidRPr="00D032B4">
        <w:rPr>
          <w:rFonts w:cs="Arial"/>
          <w:sz w:val="24"/>
          <w:szCs w:val="24"/>
        </w:rPr>
        <w:lastRenderedPageBreak/>
        <w:t xml:space="preserve">Committee hoped </w:t>
      </w:r>
      <w:r w:rsidRPr="00D032B4">
        <w:rPr>
          <w:rFonts w:cs="Arial"/>
          <w:sz w:val="24"/>
          <w:szCs w:val="24"/>
        </w:rPr>
        <w:t xml:space="preserve">the Company would respond </w:t>
      </w:r>
      <w:r w:rsidR="00907C3A" w:rsidRPr="00D032B4">
        <w:rPr>
          <w:rFonts w:cs="Arial"/>
          <w:sz w:val="24"/>
          <w:szCs w:val="24"/>
        </w:rPr>
        <w:t xml:space="preserve">to the </w:t>
      </w:r>
      <w:r w:rsidR="00DB4BE1">
        <w:rPr>
          <w:rFonts w:cs="Arial"/>
          <w:sz w:val="24"/>
          <w:szCs w:val="24"/>
        </w:rPr>
        <w:t>“</w:t>
      </w:r>
      <w:r w:rsidR="00907C3A" w:rsidRPr="00D032B4">
        <w:rPr>
          <w:rFonts w:cs="Arial"/>
          <w:sz w:val="24"/>
          <w:szCs w:val="24"/>
        </w:rPr>
        <w:t>Chair's action</w:t>
      </w:r>
      <w:r w:rsidR="00794D12">
        <w:rPr>
          <w:rFonts w:cs="Arial"/>
          <w:sz w:val="24"/>
          <w:szCs w:val="24"/>
        </w:rPr>
        <w:t>’’</w:t>
      </w:r>
      <w:r w:rsidR="00907C3A" w:rsidRPr="00D032B4">
        <w:rPr>
          <w:rFonts w:cs="Arial"/>
          <w:sz w:val="24"/>
          <w:szCs w:val="24"/>
        </w:rPr>
        <w:t xml:space="preserve"> </w:t>
      </w:r>
      <w:r w:rsidRPr="00D032B4">
        <w:rPr>
          <w:rFonts w:cs="Arial"/>
          <w:sz w:val="24"/>
          <w:szCs w:val="24"/>
        </w:rPr>
        <w:t xml:space="preserve">with a confidential discount to enable a positive recommendation. </w:t>
      </w:r>
    </w:p>
    <w:p w14:paraId="1B77F702" w14:textId="0A2436B7" w:rsidR="00CA3741" w:rsidRPr="00D032B4" w:rsidRDefault="00DF6AC3" w:rsidP="00E459A3">
      <w:pPr>
        <w:pStyle w:val="Paragraph"/>
        <w:rPr>
          <w:rFonts w:cs="Arial"/>
          <w:sz w:val="24"/>
          <w:szCs w:val="24"/>
        </w:rPr>
      </w:pPr>
      <w:r w:rsidRPr="00D032B4">
        <w:rPr>
          <w:rFonts w:cs="Arial"/>
          <w:sz w:val="24"/>
          <w:szCs w:val="24"/>
        </w:rPr>
        <w:t xml:space="preserve">Sections 5.8.29 to 5.8.33 of the Manual explain the available outcomes of a </w:t>
      </w:r>
      <w:r w:rsidR="00DB4BE1">
        <w:rPr>
          <w:rFonts w:cs="Arial"/>
          <w:sz w:val="24"/>
          <w:szCs w:val="24"/>
        </w:rPr>
        <w:t>“</w:t>
      </w:r>
      <w:r w:rsidRPr="00D032B4">
        <w:rPr>
          <w:rFonts w:cs="Arial"/>
          <w:sz w:val="24"/>
          <w:szCs w:val="24"/>
        </w:rPr>
        <w:t>Chair's action</w:t>
      </w:r>
      <w:r w:rsidR="00794D12">
        <w:rPr>
          <w:rFonts w:cs="Arial"/>
          <w:sz w:val="24"/>
          <w:szCs w:val="24"/>
        </w:rPr>
        <w:t>’’</w:t>
      </w:r>
      <w:r w:rsidRPr="00D032B4">
        <w:rPr>
          <w:rFonts w:cs="Arial"/>
          <w:sz w:val="24"/>
          <w:szCs w:val="24"/>
        </w:rPr>
        <w:t xml:space="preserve"> – a recommendation (positive, </w:t>
      </w:r>
      <w:r w:rsidR="00ED1F23" w:rsidRPr="00D032B4">
        <w:rPr>
          <w:rFonts w:cs="Arial"/>
          <w:sz w:val="24"/>
          <w:szCs w:val="24"/>
        </w:rPr>
        <w:t>optimised,</w:t>
      </w:r>
      <w:r w:rsidRPr="00D032B4">
        <w:rPr>
          <w:rFonts w:cs="Arial"/>
          <w:sz w:val="24"/>
          <w:szCs w:val="24"/>
        </w:rPr>
        <w:t xml:space="preserve"> or negative) or a full committee meeting. Ross Dent explained that because the Company had only accepted some of the Committee's preferred assumptions in its </w:t>
      </w:r>
      <w:r w:rsidR="00A34C99" w:rsidRPr="00D032B4">
        <w:rPr>
          <w:rFonts w:cs="Arial"/>
          <w:sz w:val="24"/>
          <w:szCs w:val="24"/>
        </w:rPr>
        <w:t xml:space="preserve">revised </w:t>
      </w:r>
      <w:r w:rsidRPr="00D032B4">
        <w:rPr>
          <w:rFonts w:cs="Arial"/>
          <w:sz w:val="24"/>
          <w:szCs w:val="24"/>
        </w:rPr>
        <w:t>discount</w:t>
      </w:r>
      <w:r w:rsidR="00A34C99" w:rsidRPr="00D032B4">
        <w:rPr>
          <w:rFonts w:cs="Arial"/>
          <w:sz w:val="24"/>
          <w:szCs w:val="24"/>
        </w:rPr>
        <w:t xml:space="preserve"> PAS</w:t>
      </w:r>
      <w:r w:rsidRPr="00D032B4">
        <w:rPr>
          <w:rFonts w:cs="Arial"/>
          <w:sz w:val="24"/>
          <w:szCs w:val="24"/>
        </w:rPr>
        <w:t xml:space="preserve">, the Chair did not have the discretion to accept </w:t>
      </w:r>
      <w:r w:rsidR="00A34C99" w:rsidRPr="00D032B4">
        <w:rPr>
          <w:rFonts w:cs="Arial"/>
          <w:sz w:val="24"/>
          <w:szCs w:val="24"/>
        </w:rPr>
        <w:t xml:space="preserve">this </w:t>
      </w:r>
      <w:r w:rsidRPr="00D032B4">
        <w:rPr>
          <w:rFonts w:cs="Arial"/>
          <w:sz w:val="24"/>
          <w:szCs w:val="24"/>
        </w:rPr>
        <w:t>discount</w:t>
      </w:r>
      <w:r w:rsidR="00A34C99" w:rsidRPr="00D032B4">
        <w:rPr>
          <w:rFonts w:cs="Arial"/>
          <w:sz w:val="24"/>
          <w:szCs w:val="24"/>
        </w:rPr>
        <w:t xml:space="preserve"> as it did not align completely with the Committee's preferred assumptions</w:t>
      </w:r>
      <w:r w:rsidRPr="00D032B4">
        <w:rPr>
          <w:rFonts w:cs="Arial"/>
          <w:sz w:val="24"/>
          <w:szCs w:val="24"/>
        </w:rPr>
        <w:t xml:space="preserve">. </w:t>
      </w:r>
      <w:r w:rsidR="009458E5">
        <w:rPr>
          <w:rFonts w:cs="Arial"/>
          <w:sz w:val="24"/>
          <w:szCs w:val="24"/>
        </w:rPr>
        <w:t xml:space="preserve">Dr </w:t>
      </w:r>
      <w:r w:rsidR="00CA3741" w:rsidRPr="00D032B4">
        <w:rPr>
          <w:rFonts w:cs="Arial"/>
          <w:sz w:val="24"/>
          <w:szCs w:val="24"/>
        </w:rPr>
        <w:t>Raju Reddy</w:t>
      </w:r>
      <w:r w:rsidR="009458E5">
        <w:rPr>
          <w:rFonts w:cs="Arial"/>
          <w:sz w:val="24"/>
          <w:szCs w:val="24"/>
        </w:rPr>
        <w:t>, for NICE,</w:t>
      </w:r>
      <w:r w:rsidR="00CA3741" w:rsidRPr="00D032B4">
        <w:rPr>
          <w:rFonts w:cs="Arial"/>
          <w:sz w:val="24"/>
          <w:szCs w:val="24"/>
        </w:rPr>
        <w:t xml:space="preserve"> explained that the </w:t>
      </w:r>
      <w:r w:rsidR="00A524B2">
        <w:rPr>
          <w:rFonts w:cs="Arial"/>
          <w:sz w:val="24"/>
          <w:szCs w:val="24"/>
        </w:rPr>
        <w:t>“</w:t>
      </w:r>
      <w:r w:rsidR="00CA3741" w:rsidRPr="00D032B4">
        <w:rPr>
          <w:rFonts w:cs="Arial"/>
          <w:sz w:val="24"/>
          <w:szCs w:val="24"/>
        </w:rPr>
        <w:t>Chair's action</w:t>
      </w:r>
      <w:r w:rsidR="00794D12">
        <w:rPr>
          <w:rFonts w:cs="Arial"/>
          <w:sz w:val="24"/>
          <w:szCs w:val="24"/>
        </w:rPr>
        <w:t>’’</w:t>
      </w:r>
      <w:r w:rsidR="00CA3741" w:rsidRPr="00D032B4">
        <w:rPr>
          <w:rFonts w:cs="Arial"/>
          <w:sz w:val="24"/>
          <w:szCs w:val="24"/>
        </w:rPr>
        <w:t xml:space="preserve"> gives the Company an opportunity to align its preferences with the Committee, and the Committee sets out </w:t>
      </w:r>
      <w:r w:rsidR="00245B11" w:rsidRPr="00D032B4">
        <w:rPr>
          <w:rFonts w:cs="Arial"/>
          <w:sz w:val="24"/>
          <w:szCs w:val="24"/>
        </w:rPr>
        <w:t>an</w:t>
      </w:r>
      <w:r w:rsidR="00CA3741" w:rsidRPr="00D032B4">
        <w:rPr>
          <w:rFonts w:cs="Arial"/>
          <w:sz w:val="24"/>
          <w:szCs w:val="24"/>
        </w:rPr>
        <w:t xml:space="preserve"> </w:t>
      </w:r>
      <w:r w:rsidR="009458E5">
        <w:rPr>
          <w:rFonts w:cs="Arial"/>
          <w:sz w:val="24"/>
          <w:szCs w:val="24"/>
        </w:rPr>
        <w:t>Incremental Cost Effectiveness Ratio (</w:t>
      </w:r>
      <w:r w:rsidR="00CA3741" w:rsidRPr="00D032B4">
        <w:rPr>
          <w:rFonts w:cs="Arial"/>
          <w:sz w:val="24"/>
          <w:szCs w:val="24"/>
        </w:rPr>
        <w:t>ICER</w:t>
      </w:r>
      <w:r w:rsidR="009458E5">
        <w:rPr>
          <w:rFonts w:cs="Arial"/>
          <w:sz w:val="24"/>
          <w:szCs w:val="24"/>
        </w:rPr>
        <w:t>)</w:t>
      </w:r>
      <w:r w:rsidR="00CA3741" w:rsidRPr="00D032B4">
        <w:rPr>
          <w:rFonts w:cs="Arial"/>
          <w:sz w:val="24"/>
          <w:szCs w:val="24"/>
        </w:rPr>
        <w:t xml:space="preserve"> range threshold (which is a smaller range than is usually set out). If the preferences are aligned, and the ICER is within the stated threshold</w:t>
      </w:r>
      <w:r w:rsidR="003B6D57">
        <w:rPr>
          <w:rFonts w:cs="Arial"/>
          <w:sz w:val="24"/>
          <w:szCs w:val="24"/>
        </w:rPr>
        <w:t xml:space="preserve">, </w:t>
      </w:r>
      <w:r w:rsidR="00CA3741" w:rsidRPr="00D032B4">
        <w:rPr>
          <w:rFonts w:cs="Arial"/>
          <w:sz w:val="24"/>
          <w:szCs w:val="24"/>
        </w:rPr>
        <w:t>then the Chair has the Committee's authority to make the</w:t>
      </w:r>
      <w:r w:rsidR="00794D12">
        <w:rPr>
          <w:rFonts w:cs="Arial"/>
          <w:sz w:val="24"/>
          <w:szCs w:val="24"/>
        </w:rPr>
        <w:t xml:space="preserve"> positive</w:t>
      </w:r>
      <w:r w:rsidR="00CA3741" w:rsidRPr="00D032B4">
        <w:rPr>
          <w:rFonts w:cs="Arial"/>
          <w:sz w:val="24"/>
          <w:szCs w:val="24"/>
        </w:rPr>
        <w:t xml:space="preserve"> recommendation. </w:t>
      </w:r>
      <w:r w:rsidR="00391F81" w:rsidRPr="00D032B4">
        <w:rPr>
          <w:rFonts w:cs="Arial"/>
          <w:sz w:val="24"/>
          <w:szCs w:val="24"/>
        </w:rPr>
        <w:t>However,</w:t>
      </w:r>
      <w:r w:rsidR="00CA3741" w:rsidRPr="00D032B4">
        <w:rPr>
          <w:rFonts w:cs="Arial"/>
          <w:sz w:val="24"/>
          <w:szCs w:val="24"/>
        </w:rPr>
        <w:t xml:space="preserve"> in this instance, the Company reverted with new analysis</w:t>
      </w:r>
      <w:r w:rsidR="00245B11" w:rsidRPr="00D032B4">
        <w:rPr>
          <w:rFonts w:cs="Arial"/>
          <w:sz w:val="24"/>
          <w:szCs w:val="24"/>
        </w:rPr>
        <w:t xml:space="preserve"> </w:t>
      </w:r>
      <w:r w:rsidR="00CA3741" w:rsidRPr="00D032B4">
        <w:rPr>
          <w:rFonts w:cs="Arial"/>
          <w:sz w:val="24"/>
          <w:szCs w:val="24"/>
        </w:rPr>
        <w:t xml:space="preserve">that </w:t>
      </w:r>
      <w:r w:rsidR="00753550" w:rsidRPr="00D032B4">
        <w:rPr>
          <w:rFonts w:cs="Arial"/>
          <w:sz w:val="24"/>
          <w:szCs w:val="24"/>
        </w:rPr>
        <w:t xml:space="preserve">had </w:t>
      </w:r>
      <w:r w:rsidR="00CA3741" w:rsidRPr="00D032B4">
        <w:rPr>
          <w:rFonts w:cs="Arial"/>
          <w:sz w:val="24"/>
          <w:szCs w:val="24"/>
        </w:rPr>
        <w:t>not</w:t>
      </w:r>
      <w:r w:rsidR="00753550" w:rsidRPr="00D032B4">
        <w:rPr>
          <w:rFonts w:cs="Arial"/>
          <w:sz w:val="24"/>
          <w:szCs w:val="24"/>
        </w:rPr>
        <w:t xml:space="preserve"> been</w:t>
      </w:r>
      <w:r w:rsidR="00CA3741" w:rsidRPr="00D032B4">
        <w:rPr>
          <w:rFonts w:cs="Arial"/>
          <w:sz w:val="24"/>
          <w:szCs w:val="24"/>
        </w:rPr>
        <w:t xml:space="preserve"> reviewed by the EAG</w:t>
      </w:r>
      <w:r w:rsidR="00245B11" w:rsidRPr="00D032B4">
        <w:rPr>
          <w:rFonts w:cs="Arial"/>
          <w:sz w:val="24"/>
          <w:szCs w:val="24"/>
        </w:rPr>
        <w:t>, and a discount PAS that was not aligned with the Committee's preferred assumptions</w:t>
      </w:r>
      <w:r w:rsidR="00CA3741" w:rsidRPr="00D032B4">
        <w:rPr>
          <w:rFonts w:cs="Arial"/>
          <w:sz w:val="24"/>
          <w:szCs w:val="24"/>
        </w:rPr>
        <w:t xml:space="preserve">. </w:t>
      </w:r>
      <w:r w:rsidR="001E2726">
        <w:rPr>
          <w:rFonts w:cs="Arial"/>
          <w:sz w:val="24"/>
          <w:szCs w:val="24"/>
        </w:rPr>
        <w:t>Dr</w:t>
      </w:r>
      <w:r w:rsidR="001E2726" w:rsidRPr="00D032B4">
        <w:rPr>
          <w:rFonts w:cs="Arial"/>
          <w:sz w:val="24"/>
          <w:szCs w:val="24"/>
        </w:rPr>
        <w:t xml:space="preserve"> </w:t>
      </w:r>
      <w:r w:rsidR="00D859E5" w:rsidRPr="00D032B4">
        <w:rPr>
          <w:rFonts w:cs="Arial"/>
          <w:sz w:val="24"/>
          <w:szCs w:val="24"/>
        </w:rPr>
        <w:t xml:space="preserve">Reddy explained that as </w:t>
      </w:r>
      <w:r w:rsidR="00CA3741" w:rsidRPr="00D032B4">
        <w:rPr>
          <w:rFonts w:cs="Arial"/>
          <w:sz w:val="24"/>
          <w:szCs w:val="24"/>
        </w:rPr>
        <w:t>Chair</w:t>
      </w:r>
      <w:r w:rsidR="00D859E5" w:rsidRPr="00D032B4">
        <w:rPr>
          <w:rFonts w:cs="Arial"/>
          <w:sz w:val="24"/>
          <w:szCs w:val="24"/>
        </w:rPr>
        <w:t>, he</w:t>
      </w:r>
      <w:r w:rsidR="00CA3741" w:rsidRPr="00D032B4">
        <w:rPr>
          <w:rFonts w:cs="Arial"/>
          <w:sz w:val="24"/>
          <w:szCs w:val="24"/>
        </w:rPr>
        <w:t xml:space="preserve"> could not accept </w:t>
      </w:r>
      <w:r w:rsidR="00D859E5" w:rsidRPr="00D032B4">
        <w:rPr>
          <w:rFonts w:cs="Arial"/>
          <w:sz w:val="24"/>
          <w:szCs w:val="24"/>
        </w:rPr>
        <w:t>this</w:t>
      </w:r>
      <w:r w:rsidR="00CA3741" w:rsidRPr="00D032B4">
        <w:rPr>
          <w:rFonts w:cs="Arial"/>
          <w:sz w:val="24"/>
          <w:szCs w:val="24"/>
        </w:rPr>
        <w:t xml:space="preserve"> discount within the confines of the authority delegated to him by the Committee. </w:t>
      </w:r>
    </w:p>
    <w:p w14:paraId="130F29A0" w14:textId="4967CAE8" w:rsidR="00DF6AC3" w:rsidRPr="00D032B4" w:rsidRDefault="00DF6AC3" w:rsidP="00E459A3">
      <w:pPr>
        <w:pStyle w:val="Paragraph"/>
        <w:rPr>
          <w:rFonts w:cs="Arial"/>
          <w:sz w:val="24"/>
          <w:szCs w:val="24"/>
        </w:rPr>
      </w:pPr>
      <w:r w:rsidRPr="00D032B4">
        <w:rPr>
          <w:rFonts w:cs="Arial"/>
          <w:sz w:val="24"/>
          <w:szCs w:val="24"/>
        </w:rPr>
        <w:t xml:space="preserve">Consequently, the Committee had to decide whether it would issue a negative recommendation or convene a fourth committee meeting. The Committee considered that convening a fourth committee meeting was the fairest, most collaborative option which allowed fuller stakeholder engagement. </w:t>
      </w:r>
    </w:p>
    <w:p w14:paraId="25A4ED25" w14:textId="7D840F55" w:rsidR="00CA3741" w:rsidRPr="00D032B4" w:rsidRDefault="00CA3741" w:rsidP="00E459A3">
      <w:pPr>
        <w:pStyle w:val="Paragraph"/>
        <w:rPr>
          <w:rFonts w:cs="Arial"/>
          <w:sz w:val="24"/>
          <w:szCs w:val="24"/>
        </w:rPr>
      </w:pPr>
      <w:r w:rsidRPr="00D032B4">
        <w:rPr>
          <w:rFonts w:cs="Arial"/>
          <w:sz w:val="24"/>
          <w:szCs w:val="24"/>
        </w:rPr>
        <w:t xml:space="preserve">The Panel asked </w:t>
      </w:r>
      <w:r w:rsidR="00753550" w:rsidRPr="00D032B4">
        <w:rPr>
          <w:rFonts w:cs="Arial"/>
          <w:sz w:val="24"/>
          <w:szCs w:val="24"/>
        </w:rPr>
        <w:t xml:space="preserve">about the </w:t>
      </w:r>
      <w:r w:rsidRPr="00D032B4">
        <w:rPr>
          <w:rFonts w:cs="Arial"/>
          <w:sz w:val="24"/>
          <w:szCs w:val="24"/>
        </w:rPr>
        <w:t>extent</w:t>
      </w:r>
      <w:r w:rsidR="00753550" w:rsidRPr="00D032B4">
        <w:rPr>
          <w:rFonts w:cs="Arial"/>
          <w:sz w:val="24"/>
          <w:szCs w:val="24"/>
        </w:rPr>
        <w:t xml:space="preserve"> to which</w:t>
      </w:r>
      <w:r w:rsidRPr="00D032B4">
        <w:rPr>
          <w:rFonts w:cs="Arial"/>
          <w:sz w:val="24"/>
          <w:szCs w:val="24"/>
        </w:rPr>
        <w:t xml:space="preserve"> draft guidance </w:t>
      </w:r>
      <w:r w:rsidR="00753550" w:rsidRPr="00D032B4">
        <w:rPr>
          <w:rFonts w:cs="Arial"/>
          <w:sz w:val="24"/>
          <w:szCs w:val="24"/>
        </w:rPr>
        <w:t xml:space="preserve">would </w:t>
      </w:r>
      <w:r w:rsidRPr="00D032B4">
        <w:rPr>
          <w:rFonts w:cs="Arial"/>
          <w:sz w:val="24"/>
          <w:szCs w:val="24"/>
        </w:rPr>
        <w:t xml:space="preserve">have facilitated or enabled better understanding of the unresolved issues ahead of the fourth committee meeting. </w:t>
      </w:r>
      <w:r w:rsidR="000B0208">
        <w:rPr>
          <w:rFonts w:cs="Arial"/>
          <w:sz w:val="24"/>
          <w:szCs w:val="24"/>
        </w:rPr>
        <w:t xml:space="preserve">Dr </w:t>
      </w:r>
      <w:r w:rsidRPr="00D032B4">
        <w:rPr>
          <w:rFonts w:cs="Arial"/>
          <w:sz w:val="24"/>
          <w:szCs w:val="24"/>
        </w:rPr>
        <w:t>Jacoline Bouvy</w:t>
      </w:r>
      <w:r w:rsidR="00CA7AB8">
        <w:rPr>
          <w:rFonts w:cs="Arial"/>
          <w:sz w:val="24"/>
          <w:szCs w:val="24"/>
        </w:rPr>
        <w:t>,</w:t>
      </w:r>
      <w:r w:rsidRPr="00D032B4">
        <w:rPr>
          <w:rFonts w:cs="Arial"/>
          <w:sz w:val="24"/>
          <w:szCs w:val="24"/>
        </w:rPr>
        <w:t xml:space="preserve"> for NICE</w:t>
      </w:r>
      <w:r w:rsidR="00CA7AB8">
        <w:rPr>
          <w:rFonts w:cs="Arial"/>
          <w:sz w:val="24"/>
          <w:szCs w:val="24"/>
        </w:rPr>
        <w:t>,</w:t>
      </w:r>
      <w:r w:rsidRPr="00D032B4">
        <w:rPr>
          <w:rFonts w:cs="Arial"/>
          <w:sz w:val="24"/>
          <w:szCs w:val="24"/>
        </w:rPr>
        <w:t xml:space="preserve"> explained that the Committee did not consider these to be </w:t>
      </w:r>
      <w:r w:rsidR="00753550" w:rsidRPr="00D032B4">
        <w:rPr>
          <w:rFonts w:cs="Arial"/>
          <w:sz w:val="24"/>
          <w:szCs w:val="24"/>
        </w:rPr>
        <w:t xml:space="preserve">significant </w:t>
      </w:r>
      <w:r w:rsidRPr="00D032B4">
        <w:rPr>
          <w:rFonts w:cs="Arial"/>
          <w:sz w:val="24"/>
          <w:szCs w:val="24"/>
        </w:rPr>
        <w:lastRenderedPageBreak/>
        <w:t xml:space="preserve">unresolved issues, as it would have been prepared to issue </w:t>
      </w:r>
      <w:r w:rsidR="00753550" w:rsidRPr="00D032B4">
        <w:rPr>
          <w:rFonts w:cs="Arial"/>
          <w:sz w:val="24"/>
          <w:szCs w:val="24"/>
        </w:rPr>
        <w:t xml:space="preserve">an </w:t>
      </w:r>
      <w:r w:rsidRPr="00D032B4">
        <w:rPr>
          <w:rFonts w:cs="Arial"/>
          <w:sz w:val="24"/>
          <w:szCs w:val="24"/>
        </w:rPr>
        <w:t xml:space="preserve">FDG after the third committee meeting had it not proceeded to a </w:t>
      </w:r>
      <w:r w:rsidR="00EA56AC">
        <w:rPr>
          <w:rFonts w:cs="Arial"/>
          <w:sz w:val="24"/>
          <w:szCs w:val="24"/>
        </w:rPr>
        <w:t>“</w:t>
      </w:r>
      <w:r w:rsidRPr="00D032B4">
        <w:rPr>
          <w:rFonts w:cs="Arial"/>
          <w:sz w:val="24"/>
          <w:szCs w:val="24"/>
        </w:rPr>
        <w:t>Chair's action</w:t>
      </w:r>
      <w:r w:rsidR="00794D12">
        <w:rPr>
          <w:rFonts w:cs="Arial"/>
          <w:sz w:val="24"/>
          <w:szCs w:val="24"/>
        </w:rPr>
        <w:t>’’</w:t>
      </w:r>
      <w:r w:rsidRPr="00D032B4">
        <w:rPr>
          <w:rFonts w:cs="Arial"/>
          <w:sz w:val="24"/>
          <w:szCs w:val="24"/>
        </w:rPr>
        <w:t xml:space="preserve">. </w:t>
      </w:r>
      <w:r w:rsidR="000B0208">
        <w:rPr>
          <w:rFonts w:cs="Arial"/>
          <w:sz w:val="24"/>
          <w:szCs w:val="24"/>
        </w:rPr>
        <w:t>Dr</w:t>
      </w:r>
      <w:r w:rsidR="000B0208" w:rsidRPr="00D032B4">
        <w:rPr>
          <w:rFonts w:cs="Arial"/>
          <w:sz w:val="24"/>
          <w:szCs w:val="24"/>
        </w:rPr>
        <w:t xml:space="preserve"> </w:t>
      </w:r>
      <w:r w:rsidRPr="00D032B4">
        <w:rPr>
          <w:rFonts w:cs="Arial"/>
          <w:sz w:val="24"/>
          <w:szCs w:val="24"/>
        </w:rPr>
        <w:t xml:space="preserve">Bouvy reminded the Panel </w:t>
      </w:r>
      <w:r w:rsidR="00450454" w:rsidRPr="00D032B4">
        <w:rPr>
          <w:rFonts w:cs="Arial"/>
          <w:sz w:val="24"/>
          <w:szCs w:val="24"/>
        </w:rPr>
        <w:t>of the material c</w:t>
      </w:r>
      <w:r w:rsidRPr="00D032B4">
        <w:rPr>
          <w:rFonts w:cs="Arial"/>
          <w:sz w:val="24"/>
          <w:szCs w:val="24"/>
        </w:rPr>
        <w:t xml:space="preserve">onsiderations in deciding </w:t>
      </w:r>
      <w:proofErr w:type="gramStart"/>
      <w:r w:rsidRPr="00D032B4">
        <w:rPr>
          <w:rFonts w:cs="Arial"/>
          <w:sz w:val="24"/>
          <w:szCs w:val="24"/>
        </w:rPr>
        <w:t xml:space="preserve">whether </w:t>
      </w:r>
      <w:r w:rsidR="00794D12">
        <w:rPr>
          <w:rFonts w:cs="Arial"/>
          <w:sz w:val="24"/>
          <w:szCs w:val="24"/>
        </w:rPr>
        <w:t>or not</w:t>
      </w:r>
      <w:proofErr w:type="gramEnd"/>
      <w:r w:rsidR="00794D12">
        <w:rPr>
          <w:rFonts w:cs="Arial"/>
          <w:sz w:val="24"/>
          <w:szCs w:val="24"/>
        </w:rPr>
        <w:t xml:space="preserve"> </w:t>
      </w:r>
      <w:r w:rsidRPr="00D032B4">
        <w:rPr>
          <w:rFonts w:cs="Arial"/>
          <w:sz w:val="24"/>
          <w:szCs w:val="24"/>
        </w:rPr>
        <w:t xml:space="preserve">to publish draft guidance: (1) </w:t>
      </w:r>
      <w:r w:rsidR="00450454" w:rsidRPr="00D032B4">
        <w:rPr>
          <w:rFonts w:cs="Arial"/>
          <w:sz w:val="24"/>
          <w:szCs w:val="24"/>
        </w:rPr>
        <w:t xml:space="preserve">whether </w:t>
      </w:r>
      <w:r w:rsidRPr="00D032B4">
        <w:rPr>
          <w:rFonts w:cs="Arial"/>
          <w:sz w:val="24"/>
          <w:szCs w:val="24"/>
        </w:rPr>
        <w:t xml:space="preserve">there is significant new evidence; or (2) </w:t>
      </w:r>
      <w:r w:rsidR="00794D12">
        <w:rPr>
          <w:rFonts w:cs="Arial"/>
          <w:sz w:val="24"/>
          <w:szCs w:val="24"/>
        </w:rPr>
        <w:t xml:space="preserve">whether </w:t>
      </w:r>
      <w:r w:rsidRPr="00D032B4">
        <w:rPr>
          <w:rFonts w:cs="Arial"/>
          <w:sz w:val="24"/>
          <w:szCs w:val="24"/>
        </w:rPr>
        <w:t xml:space="preserve">the Committee feels that further draft guidance is required warranting stakeholder response. </w:t>
      </w:r>
    </w:p>
    <w:p w14:paraId="074AB65D" w14:textId="736C9874" w:rsidR="00CA3741" w:rsidRPr="00D032B4" w:rsidRDefault="00CA3741" w:rsidP="00E459A3">
      <w:pPr>
        <w:pStyle w:val="Paragraph"/>
        <w:rPr>
          <w:rFonts w:cs="Arial"/>
          <w:sz w:val="24"/>
          <w:szCs w:val="24"/>
        </w:rPr>
      </w:pPr>
      <w:r w:rsidRPr="00D032B4">
        <w:rPr>
          <w:rFonts w:cs="Arial"/>
          <w:sz w:val="24"/>
          <w:szCs w:val="24"/>
        </w:rPr>
        <w:t xml:space="preserve">David Knechtel stated that the Company had not introduced any new evidence at this stage, as it was </w:t>
      </w:r>
      <w:r w:rsidR="00450454" w:rsidRPr="00D032B4">
        <w:rPr>
          <w:rFonts w:cs="Arial"/>
          <w:sz w:val="24"/>
          <w:szCs w:val="24"/>
        </w:rPr>
        <w:t xml:space="preserve">expressly </w:t>
      </w:r>
      <w:r w:rsidRPr="00D032B4">
        <w:rPr>
          <w:rFonts w:cs="Arial"/>
          <w:sz w:val="24"/>
          <w:szCs w:val="24"/>
        </w:rPr>
        <w:t xml:space="preserve">told not to by the Committee. As a result, the discussion in the third and fourth committee meetings were very similar. </w:t>
      </w:r>
    </w:p>
    <w:p w14:paraId="4A6B0808" w14:textId="7294D466" w:rsidR="0034327F" w:rsidRPr="00D032B4" w:rsidRDefault="0034327F" w:rsidP="00E459A3">
      <w:pPr>
        <w:pStyle w:val="Paragraph"/>
        <w:rPr>
          <w:rFonts w:cs="Arial"/>
          <w:sz w:val="24"/>
          <w:szCs w:val="24"/>
        </w:rPr>
      </w:pPr>
      <w:r w:rsidRPr="00D032B4">
        <w:rPr>
          <w:rFonts w:cs="Arial"/>
          <w:sz w:val="24"/>
          <w:szCs w:val="24"/>
        </w:rPr>
        <w:t>Esther Nzenza, for</w:t>
      </w:r>
      <w:r w:rsidR="008C19FE">
        <w:rPr>
          <w:rFonts w:cs="Arial"/>
          <w:sz w:val="24"/>
          <w:szCs w:val="24"/>
        </w:rPr>
        <w:t xml:space="preserve"> </w:t>
      </w:r>
      <w:proofErr w:type="spellStart"/>
      <w:r w:rsidR="008C19FE">
        <w:rPr>
          <w:rFonts w:cs="Arial"/>
          <w:sz w:val="24"/>
          <w:szCs w:val="24"/>
        </w:rPr>
        <w:t>Argenx</w:t>
      </w:r>
      <w:proofErr w:type="spellEnd"/>
      <w:r w:rsidRPr="00D032B4">
        <w:rPr>
          <w:rFonts w:cs="Arial"/>
          <w:sz w:val="24"/>
          <w:szCs w:val="24"/>
        </w:rPr>
        <w:t xml:space="preserve">, added that part of the updated analysis which was not shared with the Committee before the fourth committee meeting (as explored further in </w:t>
      </w:r>
      <w:proofErr w:type="spellStart"/>
      <w:r w:rsidRPr="00D032B4">
        <w:rPr>
          <w:rFonts w:cs="Arial"/>
          <w:sz w:val="24"/>
          <w:szCs w:val="24"/>
        </w:rPr>
        <w:t>Argenx</w:t>
      </w:r>
      <w:proofErr w:type="spellEnd"/>
      <w:r w:rsidRPr="00D032B4">
        <w:rPr>
          <w:rFonts w:cs="Arial"/>
          <w:sz w:val="24"/>
          <w:szCs w:val="24"/>
        </w:rPr>
        <w:t xml:space="preserve"> Appeal Point 1a</w:t>
      </w:r>
      <w:r w:rsidR="005A6EDA">
        <w:rPr>
          <w:rFonts w:cs="Arial"/>
          <w:sz w:val="24"/>
          <w:szCs w:val="24"/>
        </w:rPr>
        <w:t>.</w:t>
      </w:r>
      <w:r w:rsidRPr="00D032B4">
        <w:rPr>
          <w:rFonts w:cs="Arial"/>
          <w:sz w:val="24"/>
          <w:szCs w:val="24"/>
        </w:rPr>
        <w:t>2.3) was expert elicitation compiled from experts across the UK, which formed the basis of the C</w:t>
      </w:r>
      <w:r w:rsidR="0056721F" w:rsidRPr="00D032B4">
        <w:rPr>
          <w:rFonts w:cs="Arial"/>
          <w:sz w:val="24"/>
          <w:szCs w:val="24"/>
        </w:rPr>
        <w:t>ompany</w:t>
      </w:r>
      <w:r w:rsidRPr="00D032B4">
        <w:rPr>
          <w:rFonts w:cs="Arial"/>
          <w:sz w:val="24"/>
          <w:szCs w:val="24"/>
        </w:rPr>
        <w:t xml:space="preserve">'s assumptions at the </w:t>
      </w:r>
      <w:r w:rsidR="009276D7">
        <w:rPr>
          <w:rFonts w:cs="Arial"/>
          <w:sz w:val="24"/>
          <w:szCs w:val="24"/>
        </w:rPr>
        <w:t>“</w:t>
      </w:r>
      <w:r w:rsidRPr="00D032B4">
        <w:rPr>
          <w:rFonts w:cs="Arial"/>
          <w:sz w:val="24"/>
          <w:szCs w:val="24"/>
        </w:rPr>
        <w:t>Chair's action</w:t>
      </w:r>
      <w:r w:rsidR="00794D12">
        <w:rPr>
          <w:rFonts w:cs="Arial"/>
          <w:sz w:val="24"/>
          <w:szCs w:val="24"/>
        </w:rPr>
        <w:t>’’</w:t>
      </w:r>
      <w:r w:rsidRPr="00D032B4">
        <w:rPr>
          <w:rFonts w:cs="Arial"/>
          <w:sz w:val="24"/>
          <w:szCs w:val="24"/>
        </w:rPr>
        <w:t xml:space="preserve">. </w:t>
      </w:r>
    </w:p>
    <w:p w14:paraId="42069281" w14:textId="1644F174" w:rsidR="0034327F" w:rsidRPr="00D032B4" w:rsidRDefault="0034327F" w:rsidP="00E459A3">
      <w:pPr>
        <w:pStyle w:val="Paragraph"/>
        <w:rPr>
          <w:rFonts w:cs="Arial"/>
          <w:sz w:val="24"/>
          <w:szCs w:val="24"/>
        </w:rPr>
      </w:pPr>
      <w:r w:rsidRPr="00D032B4">
        <w:rPr>
          <w:rFonts w:cs="Arial"/>
          <w:sz w:val="24"/>
          <w:szCs w:val="24"/>
        </w:rPr>
        <w:t xml:space="preserve">Alan Moore, for NICE, disagreed with David Knechtel that no new evidence had been introduced ahead of the fourth committee meeting. He explained that the </w:t>
      </w:r>
      <w:r w:rsidR="00461B7C" w:rsidRPr="00D032B4">
        <w:rPr>
          <w:rFonts w:cs="Arial"/>
          <w:sz w:val="24"/>
          <w:szCs w:val="24"/>
        </w:rPr>
        <w:t xml:space="preserve">Company </w:t>
      </w:r>
      <w:r w:rsidRPr="00D032B4">
        <w:rPr>
          <w:rFonts w:cs="Arial"/>
          <w:sz w:val="24"/>
          <w:szCs w:val="24"/>
        </w:rPr>
        <w:t xml:space="preserve">model had been changed to include </w:t>
      </w:r>
      <w:r w:rsidR="00544068">
        <w:rPr>
          <w:rFonts w:cs="Arial"/>
          <w:sz w:val="24"/>
          <w:szCs w:val="24"/>
        </w:rPr>
        <w:t>plasma exchange therapy</w:t>
      </w:r>
      <w:r w:rsidRPr="00D032B4">
        <w:rPr>
          <w:rFonts w:cs="Arial"/>
          <w:sz w:val="24"/>
          <w:szCs w:val="24"/>
        </w:rPr>
        <w:t xml:space="preserve"> in both arms, which was a substantial change which the Committee considered warranted critique by the EAG. The pathway had changed in each committee meeting and so the Committee considered it necessary for the EAG to be allowed to review that change. Alan Moore did not consider that further consultation would have made a material difference. </w:t>
      </w:r>
      <w:r w:rsidR="006A4256">
        <w:rPr>
          <w:rFonts w:cs="Arial"/>
          <w:sz w:val="24"/>
          <w:szCs w:val="24"/>
        </w:rPr>
        <w:t xml:space="preserve">Dr </w:t>
      </w:r>
      <w:r w:rsidRPr="00D032B4">
        <w:rPr>
          <w:rFonts w:cs="Arial"/>
          <w:sz w:val="24"/>
          <w:szCs w:val="24"/>
        </w:rPr>
        <w:t>Reddy added that there must be a line draw</w:t>
      </w:r>
      <w:r w:rsidR="0056721F" w:rsidRPr="00D032B4">
        <w:rPr>
          <w:rFonts w:cs="Arial"/>
          <w:sz w:val="24"/>
          <w:szCs w:val="24"/>
        </w:rPr>
        <w:t>n</w:t>
      </w:r>
      <w:r w:rsidRPr="00D032B4">
        <w:rPr>
          <w:rFonts w:cs="Arial"/>
          <w:sz w:val="24"/>
          <w:szCs w:val="24"/>
        </w:rPr>
        <w:t xml:space="preserve"> in each appraisal, and that NICE </w:t>
      </w:r>
      <w:r w:rsidR="0056721F" w:rsidRPr="00D032B4">
        <w:rPr>
          <w:rFonts w:cs="Arial"/>
          <w:sz w:val="24"/>
          <w:szCs w:val="24"/>
        </w:rPr>
        <w:t>should</w:t>
      </w:r>
      <w:r w:rsidRPr="00D032B4">
        <w:rPr>
          <w:rFonts w:cs="Arial"/>
          <w:sz w:val="24"/>
          <w:szCs w:val="24"/>
        </w:rPr>
        <w:t xml:space="preserve"> be consistent, </w:t>
      </w:r>
      <w:r w:rsidR="00ED1F23" w:rsidRPr="00D032B4">
        <w:rPr>
          <w:rFonts w:cs="Arial"/>
          <w:sz w:val="24"/>
          <w:szCs w:val="24"/>
        </w:rPr>
        <w:t>fair,</w:t>
      </w:r>
      <w:r w:rsidRPr="00D032B4">
        <w:rPr>
          <w:rFonts w:cs="Arial"/>
          <w:sz w:val="24"/>
          <w:szCs w:val="24"/>
        </w:rPr>
        <w:t xml:space="preserve"> and transparent in all its appraisals.</w:t>
      </w:r>
    </w:p>
    <w:p w14:paraId="666D47B0" w14:textId="27A7B368" w:rsidR="0034327F" w:rsidRPr="00D032B4" w:rsidRDefault="002D45DB" w:rsidP="00E459A3">
      <w:pPr>
        <w:pStyle w:val="Paragraph"/>
        <w:rPr>
          <w:rFonts w:cs="Arial"/>
          <w:sz w:val="24"/>
          <w:szCs w:val="24"/>
        </w:rPr>
      </w:pPr>
      <w:r w:rsidRPr="00D032B4">
        <w:rPr>
          <w:rFonts w:cs="Arial"/>
          <w:sz w:val="24"/>
          <w:szCs w:val="24"/>
        </w:rPr>
        <w:t xml:space="preserve">Peter Graham, for </w:t>
      </w:r>
      <w:proofErr w:type="spellStart"/>
      <w:r w:rsidR="006A4256">
        <w:rPr>
          <w:rFonts w:cs="Arial"/>
          <w:sz w:val="24"/>
          <w:szCs w:val="24"/>
        </w:rPr>
        <w:t>Argenx</w:t>
      </w:r>
      <w:proofErr w:type="spellEnd"/>
      <w:r w:rsidRPr="00D032B4">
        <w:rPr>
          <w:rFonts w:cs="Arial"/>
          <w:sz w:val="24"/>
          <w:szCs w:val="24"/>
        </w:rPr>
        <w:t xml:space="preserve">, used </w:t>
      </w:r>
      <w:r w:rsidR="00CE5419" w:rsidRPr="00D032B4">
        <w:rPr>
          <w:rFonts w:cs="Arial"/>
          <w:sz w:val="24"/>
          <w:szCs w:val="24"/>
        </w:rPr>
        <w:t xml:space="preserve">the modelling of </w:t>
      </w:r>
      <w:r w:rsidR="00544068">
        <w:rPr>
          <w:rFonts w:cs="Arial"/>
          <w:sz w:val="24"/>
          <w:szCs w:val="24"/>
        </w:rPr>
        <w:t>plasma exchange therapy</w:t>
      </w:r>
      <w:r w:rsidRPr="00D032B4">
        <w:rPr>
          <w:rFonts w:cs="Arial"/>
          <w:sz w:val="24"/>
          <w:szCs w:val="24"/>
        </w:rPr>
        <w:t xml:space="preserve"> as an example of where additional evidence would have benefitted the Committee</w:t>
      </w:r>
      <w:r w:rsidR="00CE5419" w:rsidRPr="00D032B4">
        <w:rPr>
          <w:rFonts w:cs="Arial"/>
          <w:sz w:val="24"/>
          <w:szCs w:val="24"/>
        </w:rPr>
        <w:t>'s decision making</w:t>
      </w:r>
      <w:r w:rsidRPr="00D032B4">
        <w:rPr>
          <w:rFonts w:cs="Arial"/>
          <w:sz w:val="24"/>
          <w:szCs w:val="24"/>
        </w:rPr>
        <w:t xml:space="preserve">. </w:t>
      </w:r>
      <w:r w:rsidRPr="00D032B4" w:rsidDel="006A4256">
        <w:rPr>
          <w:rFonts w:cs="Arial"/>
          <w:sz w:val="24"/>
          <w:szCs w:val="24"/>
        </w:rPr>
        <w:t xml:space="preserve">He </w:t>
      </w:r>
      <w:r w:rsidRPr="00D032B4">
        <w:rPr>
          <w:rFonts w:cs="Arial"/>
          <w:sz w:val="24"/>
          <w:szCs w:val="24"/>
        </w:rPr>
        <w:t xml:space="preserve">explained that the </w:t>
      </w:r>
      <w:r w:rsidR="00B03F7D">
        <w:rPr>
          <w:rFonts w:cs="Arial"/>
          <w:sz w:val="24"/>
          <w:szCs w:val="24"/>
        </w:rPr>
        <w:lastRenderedPageBreak/>
        <w:t xml:space="preserve">Company had submitted a response to the </w:t>
      </w:r>
      <w:r w:rsidR="009276D7">
        <w:rPr>
          <w:rFonts w:cs="Arial"/>
          <w:sz w:val="24"/>
          <w:szCs w:val="24"/>
        </w:rPr>
        <w:t>“</w:t>
      </w:r>
      <w:r w:rsidR="00B03F7D">
        <w:rPr>
          <w:rFonts w:cs="Arial"/>
          <w:sz w:val="24"/>
          <w:szCs w:val="24"/>
        </w:rPr>
        <w:t>Chair’s action’’, rather than material that it expected would be critiqued by the EAG</w:t>
      </w:r>
      <w:r w:rsidRPr="00D032B4">
        <w:rPr>
          <w:rFonts w:cs="Arial"/>
          <w:sz w:val="24"/>
          <w:szCs w:val="24"/>
        </w:rPr>
        <w:t xml:space="preserve">. </w:t>
      </w:r>
    </w:p>
    <w:p w14:paraId="28413751" w14:textId="46167184" w:rsidR="002D45DB" w:rsidRPr="00D032B4" w:rsidRDefault="006A4256" w:rsidP="00E459A3">
      <w:pPr>
        <w:pStyle w:val="Paragraph"/>
        <w:rPr>
          <w:rFonts w:cs="Arial"/>
          <w:sz w:val="24"/>
          <w:szCs w:val="24"/>
        </w:rPr>
      </w:pPr>
      <w:r>
        <w:rPr>
          <w:rFonts w:cs="Arial"/>
          <w:sz w:val="24"/>
          <w:szCs w:val="24"/>
        </w:rPr>
        <w:t xml:space="preserve">Dr </w:t>
      </w:r>
      <w:r w:rsidR="002D45DB" w:rsidRPr="00D032B4">
        <w:rPr>
          <w:rFonts w:cs="Arial"/>
          <w:sz w:val="24"/>
          <w:szCs w:val="24"/>
        </w:rPr>
        <w:t>Jacoline Bouvy explained that, from NICE's perspective, there was a clear request after the third Committee meeting for analysis align</w:t>
      </w:r>
      <w:r w:rsidR="00CE5419" w:rsidRPr="00D032B4">
        <w:rPr>
          <w:rFonts w:cs="Arial"/>
          <w:sz w:val="24"/>
          <w:szCs w:val="24"/>
        </w:rPr>
        <w:t xml:space="preserve">ed </w:t>
      </w:r>
      <w:r w:rsidR="002D45DB" w:rsidRPr="00D032B4">
        <w:rPr>
          <w:rFonts w:cs="Arial"/>
          <w:sz w:val="24"/>
          <w:szCs w:val="24"/>
        </w:rPr>
        <w:t xml:space="preserve">with the Committee's preferred assumptions, which the Company failed to provide. The modelling of </w:t>
      </w:r>
      <w:r w:rsidR="00544068">
        <w:rPr>
          <w:rFonts w:cs="Arial"/>
          <w:sz w:val="24"/>
          <w:szCs w:val="24"/>
        </w:rPr>
        <w:t>plasma exchange therapy</w:t>
      </w:r>
      <w:r w:rsidR="002D45DB" w:rsidRPr="00D032B4">
        <w:rPr>
          <w:rFonts w:cs="Arial"/>
          <w:sz w:val="24"/>
          <w:szCs w:val="24"/>
        </w:rPr>
        <w:t xml:space="preserve"> was a</w:t>
      </w:r>
      <w:r w:rsidR="00461B7C" w:rsidRPr="00D032B4">
        <w:rPr>
          <w:rFonts w:cs="Arial"/>
          <w:sz w:val="24"/>
          <w:szCs w:val="24"/>
        </w:rPr>
        <w:t>n</w:t>
      </w:r>
      <w:r w:rsidR="002D45DB" w:rsidRPr="00D032B4">
        <w:rPr>
          <w:rFonts w:cs="Arial"/>
          <w:sz w:val="24"/>
          <w:szCs w:val="24"/>
        </w:rPr>
        <w:t xml:space="preserve"> example of that. The Committee had reached its preferred assumptions, and modelling in line with those assumptions is what the Committee required from the Company at that stage in the appraisal process. </w:t>
      </w:r>
    </w:p>
    <w:p w14:paraId="0DEA1703" w14:textId="0DA65A1D" w:rsidR="00DF6AC3" w:rsidRPr="00D032B4" w:rsidRDefault="002D45DB" w:rsidP="00D919B2">
      <w:pPr>
        <w:pStyle w:val="Paragraph"/>
        <w:rPr>
          <w:rFonts w:cs="Arial"/>
          <w:sz w:val="24"/>
          <w:szCs w:val="24"/>
        </w:rPr>
      </w:pPr>
      <w:r w:rsidRPr="00D032B4">
        <w:rPr>
          <w:rFonts w:cs="Arial"/>
          <w:sz w:val="24"/>
          <w:szCs w:val="24"/>
        </w:rPr>
        <w:t>Ross Dent concluded for NICE</w:t>
      </w:r>
      <w:r w:rsidR="00660E5C">
        <w:rPr>
          <w:rFonts w:cs="Arial"/>
          <w:sz w:val="24"/>
          <w:szCs w:val="24"/>
        </w:rPr>
        <w:t>,</w:t>
      </w:r>
      <w:r w:rsidRPr="00D032B4">
        <w:rPr>
          <w:rFonts w:cs="Arial"/>
          <w:sz w:val="24"/>
          <w:szCs w:val="24"/>
        </w:rPr>
        <w:t xml:space="preserve"> explaining that the Committee had acted as flexibly as possible within the processes </w:t>
      </w:r>
      <w:r w:rsidR="00CE5419" w:rsidRPr="00D032B4">
        <w:rPr>
          <w:rFonts w:cs="Arial"/>
          <w:sz w:val="24"/>
          <w:szCs w:val="24"/>
        </w:rPr>
        <w:t>set out in the</w:t>
      </w:r>
      <w:r w:rsidRPr="00D032B4">
        <w:rPr>
          <w:rFonts w:cs="Arial"/>
          <w:sz w:val="24"/>
          <w:szCs w:val="24"/>
        </w:rPr>
        <w:t xml:space="preserve"> Manual </w:t>
      </w:r>
      <w:proofErr w:type="gramStart"/>
      <w:r w:rsidRPr="00D032B4">
        <w:rPr>
          <w:rFonts w:cs="Arial"/>
          <w:sz w:val="24"/>
          <w:szCs w:val="24"/>
        </w:rPr>
        <w:t>in an attempt to</w:t>
      </w:r>
      <w:proofErr w:type="gramEnd"/>
      <w:r w:rsidRPr="00D032B4">
        <w:rPr>
          <w:rFonts w:cs="Arial"/>
          <w:sz w:val="24"/>
          <w:szCs w:val="24"/>
        </w:rPr>
        <w:t xml:space="preserve"> reach a positive recommendation. Although the Committee could have issued negative FDG after the third committee meeting, it afforded</w:t>
      </w:r>
      <w:r w:rsidR="00E96F52" w:rsidRPr="00D032B4">
        <w:rPr>
          <w:rFonts w:cs="Arial"/>
          <w:sz w:val="24"/>
          <w:szCs w:val="24"/>
        </w:rPr>
        <w:t xml:space="preserve"> the Company</w:t>
      </w:r>
      <w:r w:rsidRPr="00D032B4">
        <w:rPr>
          <w:rFonts w:cs="Arial"/>
          <w:sz w:val="24"/>
          <w:szCs w:val="24"/>
        </w:rPr>
        <w:t xml:space="preserve"> one further opportunity to provide a confidential discount in line with the Committee's preferred assumptions, which it failed to do. David Knechtel responded that the Company was of the view that it did not </w:t>
      </w:r>
      <w:r w:rsidR="006C3127" w:rsidRPr="00D032B4">
        <w:rPr>
          <w:rFonts w:cs="Arial"/>
          <w:sz w:val="24"/>
          <w:szCs w:val="24"/>
        </w:rPr>
        <w:t>have</w:t>
      </w:r>
      <w:r w:rsidRPr="00D032B4">
        <w:rPr>
          <w:rFonts w:cs="Arial"/>
          <w:sz w:val="24"/>
          <w:szCs w:val="24"/>
        </w:rPr>
        <w:t xml:space="preserve"> a pragmatic opportunity to engage with the final committee meeting. </w:t>
      </w:r>
    </w:p>
    <w:p w14:paraId="6D07431F" w14:textId="679575A2" w:rsidR="00D032B4" w:rsidRPr="00D032B4" w:rsidRDefault="00D032B4" w:rsidP="00D032B4">
      <w:pPr>
        <w:pStyle w:val="Paragraph"/>
        <w:rPr>
          <w:rFonts w:cs="Arial"/>
          <w:sz w:val="24"/>
          <w:szCs w:val="24"/>
        </w:rPr>
      </w:pPr>
      <w:r w:rsidRPr="00D032B4">
        <w:rPr>
          <w:rFonts w:cs="Arial"/>
          <w:sz w:val="24"/>
          <w:szCs w:val="24"/>
        </w:rPr>
        <w:t>The Appeal Panel concluded as follows</w:t>
      </w:r>
      <w:r w:rsidR="007E634E">
        <w:rPr>
          <w:rFonts w:cs="Arial"/>
          <w:sz w:val="24"/>
          <w:szCs w:val="24"/>
        </w:rPr>
        <w:t xml:space="preserve">. </w:t>
      </w:r>
      <w:r w:rsidRPr="00D032B4">
        <w:rPr>
          <w:rFonts w:cs="Arial"/>
          <w:sz w:val="24"/>
          <w:szCs w:val="24"/>
        </w:rPr>
        <w:t xml:space="preserve">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were satisfied that during the meeting between the </w:t>
      </w:r>
      <w:r w:rsidR="00EE3D44">
        <w:rPr>
          <w:rFonts w:cs="Arial"/>
          <w:sz w:val="24"/>
          <w:szCs w:val="24"/>
        </w:rPr>
        <w:t>C</w:t>
      </w:r>
      <w:r w:rsidR="00EE3D44" w:rsidRPr="00D032B4">
        <w:rPr>
          <w:rFonts w:cs="Arial"/>
          <w:sz w:val="24"/>
          <w:szCs w:val="24"/>
        </w:rPr>
        <w:t xml:space="preserve">ompany </w:t>
      </w:r>
      <w:r w:rsidRPr="00D032B4">
        <w:rPr>
          <w:rFonts w:cs="Arial"/>
          <w:sz w:val="24"/>
          <w:szCs w:val="24"/>
        </w:rPr>
        <w:t xml:space="preserve">and NICE that resulted from the </w:t>
      </w:r>
      <w:r w:rsidR="00EE3D44">
        <w:rPr>
          <w:rFonts w:cs="Arial"/>
          <w:sz w:val="24"/>
          <w:szCs w:val="24"/>
        </w:rPr>
        <w:t>“</w:t>
      </w:r>
      <w:r w:rsidRPr="00D032B4">
        <w:rPr>
          <w:rFonts w:cs="Arial"/>
          <w:sz w:val="24"/>
          <w:szCs w:val="24"/>
        </w:rPr>
        <w:t>Chair's action</w:t>
      </w:r>
      <w:r w:rsidR="00794D12">
        <w:rPr>
          <w:rFonts w:cs="Arial"/>
          <w:sz w:val="24"/>
          <w:szCs w:val="24"/>
        </w:rPr>
        <w:t>’</w:t>
      </w:r>
      <w:r w:rsidR="003B6D57">
        <w:rPr>
          <w:rFonts w:cs="Arial"/>
          <w:sz w:val="24"/>
          <w:szCs w:val="24"/>
        </w:rPr>
        <w:t>’</w:t>
      </w:r>
      <w:r w:rsidRPr="00D032B4">
        <w:rPr>
          <w:rFonts w:cs="Arial"/>
          <w:sz w:val="24"/>
          <w:szCs w:val="24"/>
        </w:rPr>
        <w:t xml:space="preserve"> after the </w:t>
      </w:r>
      <w:r w:rsidR="007E634E">
        <w:rPr>
          <w:rFonts w:cs="Arial"/>
          <w:sz w:val="24"/>
          <w:szCs w:val="24"/>
        </w:rPr>
        <w:t>third</w:t>
      </w:r>
      <w:r w:rsidRPr="00D032B4">
        <w:rPr>
          <w:rFonts w:cs="Arial"/>
          <w:sz w:val="24"/>
          <w:szCs w:val="24"/>
        </w:rPr>
        <w:t xml:space="preserve"> committee meeting, NICE had outlined to the </w:t>
      </w:r>
      <w:r w:rsidR="007E634E">
        <w:rPr>
          <w:rFonts w:cs="Arial"/>
          <w:sz w:val="24"/>
          <w:szCs w:val="24"/>
        </w:rPr>
        <w:t>C</w:t>
      </w:r>
      <w:r w:rsidR="007E634E" w:rsidRPr="00D032B4">
        <w:rPr>
          <w:rFonts w:cs="Arial"/>
          <w:sz w:val="24"/>
          <w:szCs w:val="24"/>
        </w:rPr>
        <w:t xml:space="preserve">ompany </w:t>
      </w:r>
      <w:r w:rsidRPr="00D032B4">
        <w:rPr>
          <w:rFonts w:cs="Arial"/>
          <w:sz w:val="24"/>
          <w:szCs w:val="24"/>
        </w:rPr>
        <w:t xml:space="preserve">the </w:t>
      </w:r>
      <w:r w:rsidR="007E634E">
        <w:rPr>
          <w:rFonts w:cs="Arial"/>
          <w:sz w:val="24"/>
          <w:szCs w:val="24"/>
        </w:rPr>
        <w:t>C</w:t>
      </w:r>
      <w:r w:rsidR="007E634E" w:rsidRPr="00D032B4">
        <w:rPr>
          <w:rFonts w:cs="Arial"/>
          <w:sz w:val="24"/>
          <w:szCs w:val="24"/>
        </w:rPr>
        <w:t xml:space="preserve">ommittee's </w:t>
      </w:r>
      <w:r w:rsidRPr="00D032B4">
        <w:rPr>
          <w:rFonts w:cs="Arial"/>
          <w:sz w:val="24"/>
          <w:szCs w:val="24"/>
        </w:rPr>
        <w:t xml:space="preserve">preferred assumptions in the economic modelling of cost effectiveness and had invited an increased discount in the cost of </w:t>
      </w:r>
      <w:r w:rsidR="007E634E">
        <w:rPr>
          <w:rFonts w:cs="Arial"/>
          <w:sz w:val="24"/>
          <w:szCs w:val="24"/>
        </w:rPr>
        <w:t>e</w:t>
      </w:r>
      <w:r w:rsidR="007E634E" w:rsidRPr="00D032B4">
        <w:rPr>
          <w:rFonts w:cs="Arial"/>
          <w:sz w:val="24"/>
          <w:szCs w:val="24"/>
        </w:rPr>
        <w:t>fgartigimod</w:t>
      </w:r>
      <w:r w:rsidRPr="00D032B4">
        <w:rPr>
          <w:rFonts w:cs="Arial"/>
          <w:sz w:val="24"/>
          <w:szCs w:val="24"/>
        </w:rPr>
        <w:t xml:space="preserve"> to facilitate a positive recommendation.  This engagement provided an opportunity for the </w:t>
      </w:r>
      <w:r w:rsidR="007E634E">
        <w:rPr>
          <w:rFonts w:cs="Arial"/>
          <w:sz w:val="24"/>
          <w:szCs w:val="24"/>
        </w:rPr>
        <w:t>C</w:t>
      </w:r>
      <w:r w:rsidR="007E634E" w:rsidRPr="00D032B4">
        <w:rPr>
          <w:rFonts w:cs="Arial"/>
          <w:sz w:val="24"/>
          <w:szCs w:val="24"/>
        </w:rPr>
        <w:t xml:space="preserve">ompany </w:t>
      </w:r>
      <w:r w:rsidRPr="00D032B4">
        <w:rPr>
          <w:rFonts w:cs="Arial"/>
          <w:sz w:val="24"/>
          <w:szCs w:val="24"/>
        </w:rPr>
        <w:t xml:space="preserve">to then consider the </w:t>
      </w:r>
      <w:r w:rsidR="00794D12">
        <w:rPr>
          <w:rFonts w:cs="Arial"/>
          <w:sz w:val="24"/>
          <w:szCs w:val="24"/>
        </w:rPr>
        <w:t>assumptions</w:t>
      </w:r>
      <w:r w:rsidRPr="00D032B4">
        <w:rPr>
          <w:rFonts w:cs="Arial"/>
          <w:sz w:val="24"/>
          <w:szCs w:val="24"/>
        </w:rPr>
        <w:t xml:space="preserve"> that the </w:t>
      </w:r>
      <w:r w:rsidR="007E634E">
        <w:rPr>
          <w:rFonts w:cs="Arial"/>
          <w:sz w:val="24"/>
          <w:szCs w:val="24"/>
        </w:rPr>
        <w:t>C</w:t>
      </w:r>
      <w:r w:rsidR="007E634E" w:rsidRPr="00D032B4">
        <w:rPr>
          <w:rFonts w:cs="Arial"/>
          <w:sz w:val="24"/>
          <w:szCs w:val="24"/>
        </w:rPr>
        <w:t xml:space="preserve">ommittee </w:t>
      </w:r>
      <w:r w:rsidRPr="00D032B4">
        <w:rPr>
          <w:rFonts w:cs="Arial"/>
          <w:sz w:val="24"/>
          <w:szCs w:val="24"/>
        </w:rPr>
        <w:t xml:space="preserve">had come to following the </w:t>
      </w:r>
      <w:r w:rsidR="007E634E">
        <w:rPr>
          <w:rFonts w:cs="Arial"/>
          <w:sz w:val="24"/>
          <w:szCs w:val="24"/>
        </w:rPr>
        <w:t>third</w:t>
      </w:r>
      <w:r w:rsidR="007E634E" w:rsidRPr="00D032B4">
        <w:rPr>
          <w:rFonts w:cs="Arial"/>
          <w:sz w:val="24"/>
          <w:szCs w:val="24"/>
        </w:rPr>
        <w:t xml:space="preserve"> </w:t>
      </w:r>
      <w:r w:rsidRPr="00D032B4">
        <w:rPr>
          <w:rFonts w:cs="Arial"/>
          <w:sz w:val="24"/>
          <w:szCs w:val="24"/>
        </w:rPr>
        <w:t>committee meeting</w:t>
      </w:r>
      <w:r w:rsidR="00ED1F23" w:rsidRPr="00D032B4">
        <w:rPr>
          <w:rFonts w:cs="Arial"/>
          <w:sz w:val="24"/>
          <w:szCs w:val="24"/>
        </w:rPr>
        <w:t xml:space="preserve">. </w:t>
      </w:r>
      <w:r w:rsidRPr="00D032B4">
        <w:rPr>
          <w:rFonts w:cs="Arial"/>
          <w:sz w:val="24"/>
          <w:szCs w:val="24"/>
        </w:rPr>
        <w:t xml:space="preserve">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also noted that the </w:t>
      </w:r>
      <w:r w:rsidR="007E634E">
        <w:rPr>
          <w:rFonts w:cs="Arial"/>
          <w:sz w:val="24"/>
          <w:szCs w:val="24"/>
        </w:rPr>
        <w:t>C</w:t>
      </w:r>
      <w:r w:rsidR="007E634E" w:rsidRPr="00D032B4">
        <w:rPr>
          <w:rFonts w:cs="Arial"/>
          <w:sz w:val="24"/>
          <w:szCs w:val="24"/>
        </w:rPr>
        <w:t xml:space="preserve">ompany </w:t>
      </w:r>
      <w:r w:rsidRPr="00D032B4">
        <w:rPr>
          <w:rFonts w:cs="Arial"/>
          <w:sz w:val="24"/>
          <w:szCs w:val="24"/>
        </w:rPr>
        <w:t xml:space="preserve">had disagreed with the conclusions that the </w:t>
      </w:r>
      <w:r w:rsidR="007E634E">
        <w:rPr>
          <w:rFonts w:cs="Arial"/>
          <w:sz w:val="24"/>
          <w:szCs w:val="24"/>
        </w:rPr>
        <w:t>C</w:t>
      </w:r>
      <w:r w:rsidR="007E634E" w:rsidRPr="00D032B4">
        <w:rPr>
          <w:rFonts w:cs="Arial"/>
          <w:sz w:val="24"/>
          <w:szCs w:val="24"/>
        </w:rPr>
        <w:t xml:space="preserve">ommittee </w:t>
      </w:r>
      <w:r w:rsidRPr="00D032B4">
        <w:rPr>
          <w:rFonts w:cs="Arial"/>
          <w:sz w:val="24"/>
          <w:szCs w:val="24"/>
        </w:rPr>
        <w:t xml:space="preserve">had arrived at </w:t>
      </w:r>
      <w:proofErr w:type="gramStart"/>
      <w:r w:rsidRPr="00D032B4">
        <w:rPr>
          <w:rFonts w:cs="Arial"/>
          <w:sz w:val="24"/>
          <w:szCs w:val="24"/>
        </w:rPr>
        <w:t>in regard to</w:t>
      </w:r>
      <w:proofErr w:type="gramEnd"/>
      <w:r w:rsidRPr="00D032B4">
        <w:rPr>
          <w:rFonts w:cs="Arial"/>
          <w:sz w:val="24"/>
          <w:szCs w:val="24"/>
        </w:rPr>
        <w:t xml:space="preserve"> their preferred assumptions and </w:t>
      </w:r>
      <w:r w:rsidRPr="00D032B4">
        <w:rPr>
          <w:rFonts w:cs="Arial"/>
          <w:sz w:val="24"/>
          <w:szCs w:val="24"/>
        </w:rPr>
        <w:lastRenderedPageBreak/>
        <w:t xml:space="preserve">took the decision not to accept the Chair's proposal but rather to undertake further analysis and modelling in a direction that ultimately the </w:t>
      </w:r>
      <w:r w:rsidR="007E634E">
        <w:rPr>
          <w:rFonts w:cs="Arial"/>
          <w:sz w:val="24"/>
          <w:szCs w:val="24"/>
        </w:rPr>
        <w:t>C</w:t>
      </w:r>
      <w:r w:rsidR="007E634E" w:rsidRPr="00D032B4">
        <w:rPr>
          <w:rFonts w:cs="Arial"/>
          <w:sz w:val="24"/>
          <w:szCs w:val="24"/>
        </w:rPr>
        <w:t xml:space="preserve">ommittee </w:t>
      </w:r>
      <w:r w:rsidRPr="00D032B4">
        <w:rPr>
          <w:rFonts w:cs="Arial"/>
          <w:sz w:val="24"/>
          <w:szCs w:val="24"/>
        </w:rPr>
        <w:t>disagreed with</w:t>
      </w:r>
      <w:r w:rsidR="00ED1F23" w:rsidRPr="00D032B4">
        <w:rPr>
          <w:rFonts w:cs="Arial"/>
          <w:sz w:val="24"/>
          <w:szCs w:val="24"/>
        </w:rPr>
        <w:t xml:space="preserve">. </w:t>
      </w:r>
      <w:r w:rsidRPr="00D032B4">
        <w:rPr>
          <w:rFonts w:cs="Arial"/>
          <w:sz w:val="24"/>
          <w:szCs w:val="24"/>
        </w:rPr>
        <w:t xml:space="preserve">The </w:t>
      </w:r>
      <w:r w:rsidR="007E634E">
        <w:rPr>
          <w:rFonts w:cs="Arial"/>
          <w:sz w:val="24"/>
          <w:szCs w:val="24"/>
        </w:rPr>
        <w:t>P</w:t>
      </w:r>
      <w:r w:rsidR="007E634E" w:rsidRPr="00D032B4">
        <w:rPr>
          <w:rFonts w:cs="Arial"/>
          <w:sz w:val="24"/>
          <w:szCs w:val="24"/>
        </w:rPr>
        <w:t xml:space="preserve">anel </w:t>
      </w:r>
      <w:r w:rsidRPr="00D032B4">
        <w:rPr>
          <w:rFonts w:cs="Arial"/>
          <w:sz w:val="24"/>
          <w:szCs w:val="24"/>
        </w:rPr>
        <w:t>noted the claim made by NICE that this had not included any significantly new evidence that mandated a consultation process</w:t>
      </w:r>
      <w:r w:rsidR="00ED1F23" w:rsidRPr="00D032B4">
        <w:rPr>
          <w:rFonts w:cs="Arial"/>
          <w:sz w:val="24"/>
          <w:szCs w:val="24"/>
        </w:rPr>
        <w:t xml:space="preserve">. </w:t>
      </w:r>
      <w:r w:rsidRPr="00D032B4">
        <w:rPr>
          <w:rFonts w:cs="Arial"/>
          <w:sz w:val="24"/>
          <w:szCs w:val="24"/>
        </w:rPr>
        <w:t xml:space="preserve">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noted that there is no procedural obligation for NICE to publish draft guidance and undertake consultation after every committee meeting and that it had chosen not to do so on this occasion considering that two versions of draft guidance had already been produced; that a third would not have introduced new information that the company was not aware of; and that they wished to avoid further delays in the assessment process.  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were satisfied that engagement and communication between NICE and the </w:t>
      </w:r>
      <w:r w:rsidR="007E634E">
        <w:rPr>
          <w:rFonts w:cs="Arial"/>
          <w:sz w:val="24"/>
          <w:szCs w:val="24"/>
        </w:rPr>
        <w:t>C</w:t>
      </w:r>
      <w:r w:rsidR="007E634E" w:rsidRPr="00D032B4">
        <w:rPr>
          <w:rFonts w:cs="Arial"/>
          <w:sz w:val="24"/>
          <w:szCs w:val="24"/>
        </w:rPr>
        <w:t xml:space="preserve">ompany </w:t>
      </w:r>
      <w:r w:rsidRPr="00D032B4">
        <w:rPr>
          <w:rFonts w:cs="Arial"/>
          <w:sz w:val="24"/>
          <w:szCs w:val="24"/>
        </w:rPr>
        <w:t>around the committee's preferred modelling assumptions was undertaken after the third committee meeting</w:t>
      </w:r>
      <w:r w:rsidR="00ED1F23" w:rsidRPr="00D032B4">
        <w:rPr>
          <w:rFonts w:cs="Arial"/>
          <w:sz w:val="24"/>
          <w:szCs w:val="24"/>
        </w:rPr>
        <w:t xml:space="preserve">. </w:t>
      </w:r>
      <w:r w:rsidRPr="00D032B4">
        <w:rPr>
          <w:rFonts w:cs="Arial"/>
          <w:sz w:val="24"/>
          <w:szCs w:val="24"/>
        </w:rPr>
        <w:t xml:space="preserve">Furthermore, while disagreement remained between the </w:t>
      </w:r>
      <w:r w:rsidR="007E634E">
        <w:rPr>
          <w:rFonts w:cs="Arial"/>
          <w:sz w:val="24"/>
          <w:szCs w:val="24"/>
        </w:rPr>
        <w:t>C</w:t>
      </w:r>
      <w:r w:rsidR="007E634E" w:rsidRPr="00D032B4">
        <w:rPr>
          <w:rFonts w:cs="Arial"/>
          <w:sz w:val="24"/>
          <w:szCs w:val="24"/>
        </w:rPr>
        <w:t xml:space="preserve">ompany </w:t>
      </w:r>
      <w:r w:rsidRPr="00D032B4">
        <w:rPr>
          <w:rFonts w:cs="Arial"/>
          <w:sz w:val="24"/>
          <w:szCs w:val="24"/>
        </w:rPr>
        <w:t xml:space="preserve">and NICE </w:t>
      </w:r>
      <w:proofErr w:type="gramStart"/>
      <w:r w:rsidRPr="00D032B4">
        <w:rPr>
          <w:rFonts w:cs="Arial"/>
          <w:sz w:val="24"/>
          <w:szCs w:val="24"/>
        </w:rPr>
        <w:t>in regard to</w:t>
      </w:r>
      <w:proofErr w:type="gramEnd"/>
      <w:r w:rsidRPr="00D032B4">
        <w:rPr>
          <w:rFonts w:cs="Arial"/>
          <w:sz w:val="24"/>
          <w:szCs w:val="24"/>
        </w:rPr>
        <w:t xml:space="preserve"> the </w:t>
      </w:r>
      <w:r w:rsidR="007E634E">
        <w:rPr>
          <w:rFonts w:cs="Arial"/>
          <w:sz w:val="24"/>
          <w:szCs w:val="24"/>
        </w:rPr>
        <w:t>C</w:t>
      </w:r>
      <w:r w:rsidR="007E634E" w:rsidRPr="00D032B4">
        <w:rPr>
          <w:rFonts w:cs="Arial"/>
          <w:sz w:val="24"/>
          <w:szCs w:val="24"/>
        </w:rPr>
        <w:t xml:space="preserve">ommittee's </w:t>
      </w:r>
      <w:r w:rsidRPr="00D032B4">
        <w:rPr>
          <w:rFonts w:cs="Arial"/>
          <w:sz w:val="24"/>
          <w:szCs w:val="24"/>
        </w:rPr>
        <w:t xml:space="preserve">preferred assumptions to be ideally included in the economic modelling, 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concluded that this was unlikely to have been averted by the publication of </w:t>
      </w:r>
      <w:r w:rsidR="003B6D57">
        <w:rPr>
          <w:rFonts w:cs="Arial"/>
          <w:sz w:val="24"/>
          <w:szCs w:val="24"/>
        </w:rPr>
        <w:t xml:space="preserve">further </w:t>
      </w:r>
      <w:r w:rsidRPr="00D032B4">
        <w:rPr>
          <w:rFonts w:cs="Arial"/>
          <w:sz w:val="24"/>
          <w:szCs w:val="24"/>
        </w:rPr>
        <w:t>draft guidance and subsequent consultation</w:t>
      </w:r>
      <w:r w:rsidR="00ED1F23" w:rsidRPr="00D032B4">
        <w:rPr>
          <w:rFonts w:cs="Arial"/>
          <w:sz w:val="24"/>
          <w:szCs w:val="24"/>
        </w:rPr>
        <w:t xml:space="preserve">. </w:t>
      </w:r>
      <w:r w:rsidRPr="00D032B4">
        <w:rPr>
          <w:rFonts w:cs="Arial"/>
          <w:sz w:val="24"/>
          <w:szCs w:val="24"/>
        </w:rPr>
        <w:t xml:space="preserve">Overall, 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concluded that NICE had not acted in a procedurally unfair manner in not providing draft guidance prior to the </w:t>
      </w:r>
      <w:r w:rsidR="007E634E">
        <w:rPr>
          <w:rFonts w:cs="Arial"/>
          <w:sz w:val="24"/>
          <w:szCs w:val="24"/>
        </w:rPr>
        <w:t>fourth</w:t>
      </w:r>
      <w:r w:rsidR="007E634E" w:rsidRPr="00D032B4">
        <w:rPr>
          <w:rFonts w:cs="Arial"/>
          <w:sz w:val="24"/>
          <w:szCs w:val="24"/>
        </w:rPr>
        <w:t xml:space="preserve"> </w:t>
      </w:r>
      <w:r w:rsidRPr="00D032B4">
        <w:rPr>
          <w:rFonts w:cs="Arial"/>
          <w:sz w:val="24"/>
          <w:szCs w:val="24"/>
        </w:rPr>
        <w:t>committee meeting.</w:t>
      </w:r>
    </w:p>
    <w:p w14:paraId="4AA6FB44" w14:textId="453C076E" w:rsidR="00D032B4" w:rsidRPr="00D032B4" w:rsidRDefault="00D032B4" w:rsidP="00D032B4">
      <w:pPr>
        <w:pStyle w:val="Paragraph"/>
        <w:rPr>
          <w:rFonts w:cs="Arial"/>
          <w:sz w:val="24"/>
          <w:szCs w:val="24"/>
        </w:rPr>
      </w:pPr>
      <w:r w:rsidRPr="00D032B4">
        <w:rPr>
          <w:rFonts w:cs="Arial"/>
          <w:sz w:val="24"/>
          <w:szCs w:val="24"/>
        </w:rPr>
        <w:t xml:space="preserve">The </w:t>
      </w:r>
      <w:r w:rsidR="007E634E">
        <w:rPr>
          <w:rFonts w:cs="Arial"/>
          <w:sz w:val="24"/>
          <w:szCs w:val="24"/>
        </w:rPr>
        <w:t>A</w:t>
      </w:r>
      <w:r w:rsidR="007E634E" w:rsidRPr="00D032B4">
        <w:rPr>
          <w:rFonts w:cs="Arial"/>
          <w:sz w:val="24"/>
          <w:szCs w:val="24"/>
        </w:rPr>
        <w:t xml:space="preserve">ppeal </w:t>
      </w:r>
      <w:r w:rsidR="007E634E">
        <w:rPr>
          <w:rFonts w:cs="Arial"/>
          <w:sz w:val="24"/>
          <w:szCs w:val="24"/>
        </w:rPr>
        <w:t>P</w:t>
      </w:r>
      <w:r w:rsidR="007E634E" w:rsidRPr="00D032B4">
        <w:rPr>
          <w:rFonts w:cs="Arial"/>
          <w:sz w:val="24"/>
          <w:szCs w:val="24"/>
        </w:rPr>
        <w:t xml:space="preserve">anel </w:t>
      </w:r>
      <w:r w:rsidRPr="00D032B4">
        <w:rPr>
          <w:rFonts w:cs="Arial"/>
          <w:sz w:val="24"/>
          <w:szCs w:val="24"/>
        </w:rPr>
        <w:t>therefore dismissed</w:t>
      </w:r>
      <w:r w:rsidRPr="00D032B4">
        <w:rPr>
          <w:rFonts w:cs="Arial"/>
          <w:color w:val="FF0000"/>
          <w:sz w:val="24"/>
          <w:szCs w:val="24"/>
        </w:rPr>
        <w:t xml:space="preserve"> </w:t>
      </w:r>
      <w:r w:rsidRPr="00D032B4">
        <w:rPr>
          <w:rFonts w:cs="Arial"/>
          <w:sz w:val="24"/>
          <w:szCs w:val="24"/>
        </w:rPr>
        <w:t>the appeal on this point.</w:t>
      </w:r>
    </w:p>
    <w:p w14:paraId="2F6117C9" w14:textId="2DB956D7" w:rsidR="00E459A3" w:rsidRPr="00D032B4" w:rsidRDefault="006C3127" w:rsidP="00E459A3">
      <w:pPr>
        <w:pStyle w:val="Heading3"/>
      </w:pPr>
      <w:proofErr w:type="spellStart"/>
      <w:r w:rsidRPr="00D032B4">
        <w:t>Argenx</w:t>
      </w:r>
      <w:proofErr w:type="spellEnd"/>
      <w:r w:rsidRPr="00D032B4">
        <w:t xml:space="preserve"> </w:t>
      </w:r>
      <w:r w:rsidR="00E459A3" w:rsidRPr="00D032B4">
        <w:t xml:space="preserve">Appeal </w:t>
      </w:r>
      <w:r w:rsidRPr="00D032B4">
        <w:t>Point</w:t>
      </w:r>
      <w:r w:rsidR="00E459A3" w:rsidRPr="00D032B4">
        <w:t xml:space="preserve"> </w:t>
      </w:r>
      <w:r w:rsidR="00756935" w:rsidRPr="00D032B4">
        <w:t>1a</w:t>
      </w:r>
      <w:r w:rsidR="00F204C8">
        <w:t>.</w:t>
      </w:r>
      <w:r w:rsidR="00756935" w:rsidRPr="00D032B4">
        <w:t xml:space="preserve">2.2: That it was procedurally unfair for the committee to change the fourth committee meeting from being a private committee meeting to being a public committee meeting. [original appeal </w:t>
      </w:r>
      <w:proofErr w:type="gramStart"/>
      <w:r w:rsidR="00756935" w:rsidRPr="00D032B4">
        <w:t>point</w:t>
      </w:r>
      <w:proofErr w:type="gramEnd"/>
      <w:r w:rsidR="00756935" w:rsidRPr="00D032B4">
        <w:t xml:space="preserve"> 1a</w:t>
      </w:r>
      <w:r w:rsidR="00F204C8">
        <w:t>.</w:t>
      </w:r>
      <w:r w:rsidR="00756935" w:rsidRPr="00D032B4">
        <w:t>2]</w:t>
      </w:r>
    </w:p>
    <w:p w14:paraId="414FB29D" w14:textId="19B28376" w:rsidR="007C46C8" w:rsidRPr="00D032B4" w:rsidRDefault="007C46C8" w:rsidP="00E459A3">
      <w:pPr>
        <w:pStyle w:val="Paragraph"/>
        <w:rPr>
          <w:rFonts w:cs="Arial"/>
          <w:sz w:val="24"/>
          <w:szCs w:val="24"/>
        </w:rPr>
      </w:pPr>
      <w:r w:rsidRPr="00D032B4">
        <w:rPr>
          <w:rFonts w:cs="Arial"/>
          <w:sz w:val="24"/>
          <w:szCs w:val="24"/>
        </w:rPr>
        <w:t>David Knechtel</w:t>
      </w:r>
      <w:r w:rsidR="00FA38EC">
        <w:rPr>
          <w:rFonts w:cs="Arial"/>
          <w:sz w:val="24"/>
          <w:szCs w:val="24"/>
        </w:rPr>
        <w:t>,</w:t>
      </w:r>
      <w:r w:rsidRPr="00D032B4">
        <w:rPr>
          <w:rFonts w:cs="Arial"/>
          <w:sz w:val="24"/>
          <w:szCs w:val="24"/>
        </w:rPr>
        <w:t xml:space="preserve"> for </w:t>
      </w:r>
      <w:proofErr w:type="spellStart"/>
      <w:r w:rsidR="00E41819">
        <w:rPr>
          <w:rFonts w:cs="Arial"/>
          <w:sz w:val="24"/>
          <w:szCs w:val="24"/>
        </w:rPr>
        <w:t>Argenx</w:t>
      </w:r>
      <w:proofErr w:type="spellEnd"/>
      <w:r w:rsidR="00FA38EC">
        <w:rPr>
          <w:rFonts w:cs="Arial"/>
          <w:sz w:val="24"/>
          <w:szCs w:val="24"/>
        </w:rPr>
        <w:t xml:space="preserve">, </w:t>
      </w:r>
      <w:r w:rsidRPr="00D032B4">
        <w:rPr>
          <w:rFonts w:cs="Arial"/>
          <w:sz w:val="24"/>
          <w:szCs w:val="24"/>
        </w:rPr>
        <w:t xml:space="preserve">described that the Company's </w:t>
      </w:r>
      <w:r w:rsidR="006C3127" w:rsidRPr="00D032B4">
        <w:rPr>
          <w:rFonts w:cs="Arial"/>
          <w:sz w:val="24"/>
          <w:szCs w:val="24"/>
        </w:rPr>
        <w:t xml:space="preserve">updated analysis </w:t>
      </w:r>
      <w:r w:rsidR="001B27BA" w:rsidRPr="00D032B4">
        <w:rPr>
          <w:rFonts w:cs="Arial"/>
          <w:sz w:val="24"/>
          <w:szCs w:val="24"/>
        </w:rPr>
        <w:t xml:space="preserve">prepared in </w:t>
      </w:r>
      <w:r w:rsidRPr="00D032B4">
        <w:rPr>
          <w:rFonts w:cs="Arial"/>
          <w:sz w:val="24"/>
          <w:szCs w:val="24"/>
        </w:rPr>
        <w:t xml:space="preserve">response to the </w:t>
      </w:r>
      <w:r w:rsidR="001F4D37">
        <w:rPr>
          <w:rFonts w:cs="Arial"/>
          <w:sz w:val="24"/>
          <w:szCs w:val="24"/>
        </w:rPr>
        <w:t>“</w:t>
      </w:r>
      <w:r w:rsidRPr="00D032B4">
        <w:rPr>
          <w:rFonts w:cs="Arial"/>
          <w:sz w:val="24"/>
          <w:szCs w:val="24"/>
        </w:rPr>
        <w:t>Chair's action</w:t>
      </w:r>
      <w:r w:rsidR="00E25EEB">
        <w:rPr>
          <w:rFonts w:cs="Arial"/>
          <w:sz w:val="24"/>
          <w:szCs w:val="24"/>
        </w:rPr>
        <w:t>’’</w:t>
      </w:r>
      <w:r w:rsidRPr="00D032B4">
        <w:rPr>
          <w:rFonts w:cs="Arial"/>
          <w:sz w:val="24"/>
          <w:szCs w:val="24"/>
        </w:rPr>
        <w:t xml:space="preserve"> was never intended for use in a committee meeting, private or public. </w:t>
      </w:r>
    </w:p>
    <w:p w14:paraId="575BDCAB" w14:textId="38DB9D89" w:rsidR="007C46C8" w:rsidRPr="00D032B4" w:rsidRDefault="007C46C8" w:rsidP="00E459A3">
      <w:pPr>
        <w:pStyle w:val="Paragraph"/>
        <w:rPr>
          <w:rFonts w:cs="Arial"/>
          <w:sz w:val="24"/>
          <w:szCs w:val="24"/>
        </w:rPr>
      </w:pPr>
      <w:r w:rsidRPr="00D032B4">
        <w:rPr>
          <w:rFonts w:cs="Arial"/>
          <w:sz w:val="24"/>
          <w:szCs w:val="24"/>
        </w:rPr>
        <w:lastRenderedPageBreak/>
        <w:t>Ross Dent</w:t>
      </w:r>
      <w:r w:rsidR="00E41819">
        <w:rPr>
          <w:rFonts w:cs="Arial"/>
          <w:sz w:val="24"/>
          <w:szCs w:val="24"/>
        </w:rPr>
        <w:t>, for NICE</w:t>
      </w:r>
      <w:r w:rsidR="007E3156">
        <w:rPr>
          <w:rFonts w:cs="Arial"/>
          <w:sz w:val="24"/>
          <w:szCs w:val="24"/>
        </w:rPr>
        <w:t>,</w:t>
      </w:r>
      <w:r w:rsidRPr="00D032B4">
        <w:rPr>
          <w:rFonts w:cs="Arial"/>
          <w:sz w:val="24"/>
          <w:szCs w:val="24"/>
        </w:rPr>
        <w:t xml:space="preserve"> explained that the only reason a committee meeting would be held in p</w:t>
      </w:r>
      <w:r w:rsidR="00444CB8" w:rsidRPr="00D032B4">
        <w:rPr>
          <w:rFonts w:cs="Arial"/>
          <w:sz w:val="24"/>
          <w:szCs w:val="24"/>
        </w:rPr>
        <w:t>rivate</w:t>
      </w:r>
      <w:r w:rsidRPr="00D032B4">
        <w:rPr>
          <w:rFonts w:cs="Arial"/>
          <w:sz w:val="24"/>
          <w:szCs w:val="24"/>
        </w:rPr>
        <w:t xml:space="preserve"> was because of confidential pricing discussions</w:t>
      </w:r>
      <w:r w:rsidR="00BB64FE" w:rsidRPr="00D032B4">
        <w:rPr>
          <w:rFonts w:cs="Arial"/>
          <w:sz w:val="24"/>
          <w:szCs w:val="24"/>
        </w:rPr>
        <w:t xml:space="preserve"> or where the technology had not yet received marketing authorisation (section 5.8.4 of the Manual)</w:t>
      </w:r>
      <w:r w:rsidRPr="00D032B4">
        <w:rPr>
          <w:rFonts w:cs="Arial"/>
          <w:sz w:val="24"/>
          <w:szCs w:val="24"/>
        </w:rPr>
        <w:t xml:space="preserve">. The Committee considered that the confidential </w:t>
      </w:r>
      <w:r w:rsidR="00444CB8" w:rsidRPr="00D032B4">
        <w:rPr>
          <w:rFonts w:cs="Arial"/>
          <w:sz w:val="24"/>
          <w:szCs w:val="24"/>
        </w:rPr>
        <w:t>element of the</w:t>
      </w:r>
      <w:r w:rsidRPr="00D032B4">
        <w:rPr>
          <w:rFonts w:cs="Arial"/>
          <w:sz w:val="24"/>
          <w:szCs w:val="24"/>
        </w:rPr>
        <w:t xml:space="preserve"> discussion</w:t>
      </w:r>
      <w:r w:rsidR="00444CB8" w:rsidRPr="00D032B4">
        <w:rPr>
          <w:rFonts w:cs="Arial"/>
          <w:sz w:val="24"/>
          <w:szCs w:val="24"/>
        </w:rPr>
        <w:t xml:space="preserve"> (i.e. on pricing)</w:t>
      </w:r>
      <w:r w:rsidRPr="00D032B4">
        <w:rPr>
          <w:rFonts w:cs="Arial"/>
          <w:sz w:val="24"/>
          <w:szCs w:val="24"/>
        </w:rPr>
        <w:t xml:space="preserve"> had already taken place during the </w:t>
      </w:r>
      <w:r w:rsidR="001F4D37">
        <w:rPr>
          <w:rFonts w:cs="Arial"/>
          <w:sz w:val="24"/>
          <w:szCs w:val="24"/>
        </w:rPr>
        <w:t>“</w:t>
      </w:r>
      <w:r w:rsidRPr="00D032B4">
        <w:rPr>
          <w:rFonts w:cs="Arial"/>
          <w:sz w:val="24"/>
          <w:szCs w:val="24"/>
        </w:rPr>
        <w:t>Chair's action</w:t>
      </w:r>
      <w:r w:rsidR="00E25EEB">
        <w:rPr>
          <w:rFonts w:cs="Arial"/>
          <w:sz w:val="24"/>
          <w:szCs w:val="24"/>
        </w:rPr>
        <w:t>’’</w:t>
      </w:r>
      <w:r w:rsidRPr="00D032B4">
        <w:rPr>
          <w:rFonts w:cs="Arial"/>
          <w:sz w:val="24"/>
          <w:szCs w:val="24"/>
        </w:rPr>
        <w:t xml:space="preserve">, and instead it was the outstanding issues broader than pricing that warranted discussion at a fourth committee meeting which consequently should be held in public. This gave the Committee the benefit of hearing the views of other stakeholders. NICE did not recall the Company expressing concern as to the preparation for a public hearing ahead of the fourth committee meeting. </w:t>
      </w:r>
    </w:p>
    <w:p w14:paraId="251173A4" w14:textId="03491D33" w:rsidR="007C46C8" w:rsidRPr="00D032B4" w:rsidRDefault="007E3156" w:rsidP="00E459A3">
      <w:pPr>
        <w:pStyle w:val="Paragraph"/>
        <w:rPr>
          <w:rFonts w:cs="Arial"/>
          <w:sz w:val="24"/>
          <w:szCs w:val="24"/>
        </w:rPr>
      </w:pPr>
      <w:r>
        <w:rPr>
          <w:rFonts w:cs="Arial"/>
          <w:sz w:val="24"/>
          <w:szCs w:val="24"/>
        </w:rPr>
        <w:t xml:space="preserve">Dr </w:t>
      </w:r>
      <w:r w:rsidR="00B3519A" w:rsidRPr="00D032B4">
        <w:rPr>
          <w:rFonts w:cs="Arial"/>
          <w:sz w:val="24"/>
          <w:szCs w:val="24"/>
        </w:rPr>
        <w:t>Raju Reddy</w:t>
      </w:r>
      <w:r>
        <w:rPr>
          <w:rFonts w:cs="Arial"/>
          <w:sz w:val="24"/>
          <w:szCs w:val="24"/>
        </w:rPr>
        <w:t>, for NICE,</w:t>
      </w:r>
      <w:r w:rsidR="00B3519A" w:rsidRPr="00D032B4">
        <w:rPr>
          <w:rFonts w:cs="Arial"/>
          <w:sz w:val="24"/>
          <w:szCs w:val="24"/>
        </w:rPr>
        <w:t xml:space="preserve"> highlighted the benefits of the fourth committee meeting having been heard in public, that it was a rich, multi-disciplinary approach </w:t>
      </w:r>
      <w:proofErr w:type="gramStart"/>
      <w:r w:rsidR="00B3519A" w:rsidRPr="00D032B4">
        <w:rPr>
          <w:rFonts w:cs="Arial"/>
          <w:sz w:val="24"/>
          <w:szCs w:val="24"/>
        </w:rPr>
        <w:t xml:space="preserve">as a result </w:t>
      </w:r>
      <w:r w:rsidR="00FA3743" w:rsidRPr="00D032B4">
        <w:rPr>
          <w:rFonts w:cs="Arial"/>
          <w:sz w:val="24"/>
          <w:szCs w:val="24"/>
        </w:rPr>
        <w:t>of</w:t>
      </w:r>
      <w:proofErr w:type="gramEnd"/>
      <w:r w:rsidR="00B3519A" w:rsidRPr="00D032B4">
        <w:rPr>
          <w:rFonts w:cs="Arial"/>
          <w:sz w:val="24"/>
          <w:szCs w:val="24"/>
        </w:rPr>
        <w:t xml:space="preserve"> the clinical expert input </w:t>
      </w:r>
      <w:r w:rsidR="00FA3743" w:rsidRPr="00D032B4">
        <w:rPr>
          <w:rFonts w:cs="Arial"/>
          <w:sz w:val="24"/>
          <w:szCs w:val="24"/>
        </w:rPr>
        <w:t>hear</w:t>
      </w:r>
      <w:r w:rsidR="00461B7C" w:rsidRPr="00D032B4">
        <w:rPr>
          <w:rFonts w:cs="Arial"/>
          <w:sz w:val="24"/>
          <w:szCs w:val="24"/>
        </w:rPr>
        <w:t>d</w:t>
      </w:r>
      <w:r w:rsidR="00FA3743" w:rsidRPr="00D032B4">
        <w:rPr>
          <w:rFonts w:cs="Arial"/>
          <w:sz w:val="24"/>
          <w:szCs w:val="24"/>
        </w:rPr>
        <w:t xml:space="preserve"> </w:t>
      </w:r>
      <w:r w:rsidR="00B3519A" w:rsidRPr="00D032B4">
        <w:rPr>
          <w:rFonts w:cs="Arial"/>
          <w:sz w:val="24"/>
          <w:szCs w:val="24"/>
        </w:rPr>
        <w:t>at</w:t>
      </w:r>
      <w:r w:rsidR="00FA3743" w:rsidRPr="00D032B4">
        <w:rPr>
          <w:rFonts w:cs="Arial"/>
          <w:sz w:val="24"/>
          <w:szCs w:val="24"/>
        </w:rPr>
        <w:t xml:space="preserve"> all</w:t>
      </w:r>
      <w:r w:rsidR="00B3519A" w:rsidRPr="00D032B4">
        <w:rPr>
          <w:rFonts w:cs="Arial"/>
          <w:sz w:val="24"/>
          <w:szCs w:val="24"/>
        </w:rPr>
        <w:t xml:space="preserve"> four committee meetings (clinical experts may only be present for one</w:t>
      </w:r>
      <w:r w:rsidR="00FA3743" w:rsidRPr="00D032B4">
        <w:rPr>
          <w:rFonts w:cs="Arial"/>
          <w:sz w:val="24"/>
          <w:szCs w:val="24"/>
        </w:rPr>
        <w:t xml:space="preserve"> or two</w:t>
      </w:r>
      <w:r w:rsidR="00B3519A" w:rsidRPr="00D032B4">
        <w:rPr>
          <w:rFonts w:cs="Arial"/>
          <w:sz w:val="24"/>
          <w:szCs w:val="24"/>
        </w:rPr>
        <w:t xml:space="preserve"> committee meeting</w:t>
      </w:r>
      <w:r w:rsidR="00FA3743" w:rsidRPr="00D032B4">
        <w:rPr>
          <w:rFonts w:cs="Arial"/>
          <w:sz w:val="24"/>
          <w:szCs w:val="24"/>
        </w:rPr>
        <w:t>s in most technology appraisals</w:t>
      </w:r>
      <w:r w:rsidR="00B3519A" w:rsidRPr="00D032B4">
        <w:rPr>
          <w:rFonts w:cs="Arial"/>
          <w:sz w:val="24"/>
          <w:szCs w:val="24"/>
        </w:rPr>
        <w:t xml:space="preserve">). </w:t>
      </w:r>
    </w:p>
    <w:p w14:paraId="3C3B5323" w14:textId="49B54419" w:rsidR="00B3519A" w:rsidRPr="00D032B4" w:rsidRDefault="00B3519A" w:rsidP="00B3519A">
      <w:pPr>
        <w:pStyle w:val="Paragraph"/>
        <w:rPr>
          <w:rFonts w:cs="Arial"/>
          <w:sz w:val="24"/>
          <w:szCs w:val="24"/>
        </w:rPr>
      </w:pPr>
      <w:r w:rsidRPr="00D032B4">
        <w:rPr>
          <w:rFonts w:cs="Arial"/>
          <w:sz w:val="24"/>
          <w:szCs w:val="24"/>
        </w:rPr>
        <w:t xml:space="preserve">The Panel asked the Company why it considers it was disadvantaged by a public committee meeting rather than a private committee meeting, and when it became aware of that </w:t>
      </w:r>
      <w:r w:rsidR="00E931F8" w:rsidRPr="00D032B4">
        <w:rPr>
          <w:rFonts w:cs="Arial"/>
          <w:sz w:val="24"/>
          <w:szCs w:val="24"/>
        </w:rPr>
        <w:t>change</w:t>
      </w:r>
      <w:r w:rsidRPr="00D032B4">
        <w:rPr>
          <w:rFonts w:cs="Arial"/>
          <w:sz w:val="24"/>
          <w:szCs w:val="24"/>
        </w:rPr>
        <w:t xml:space="preserve">. The Company explained that it was told that it would be a public committee meeting on 5 September 2024. David Knechtel explained that the issue was not preparation, but that the Company did not have any opportunity to put forward any additional information, </w:t>
      </w:r>
      <w:r w:rsidR="00ED1F23" w:rsidRPr="00D032B4">
        <w:rPr>
          <w:rFonts w:cs="Arial"/>
          <w:sz w:val="24"/>
          <w:szCs w:val="24"/>
        </w:rPr>
        <w:t>analysis,</w:t>
      </w:r>
      <w:r w:rsidRPr="00D032B4">
        <w:rPr>
          <w:rFonts w:cs="Arial"/>
          <w:sz w:val="24"/>
          <w:szCs w:val="24"/>
        </w:rPr>
        <w:t xml:space="preserve"> or evidence. He emphasised again that </w:t>
      </w:r>
      <w:r w:rsidR="00461B7C" w:rsidRPr="00D032B4">
        <w:rPr>
          <w:rFonts w:cs="Arial"/>
          <w:sz w:val="24"/>
          <w:szCs w:val="24"/>
        </w:rPr>
        <w:t xml:space="preserve">in the Company's view, </w:t>
      </w:r>
      <w:r w:rsidRPr="00D032B4">
        <w:rPr>
          <w:rFonts w:cs="Arial"/>
          <w:sz w:val="24"/>
          <w:szCs w:val="24"/>
        </w:rPr>
        <w:t xml:space="preserve">the information submitted as part of the </w:t>
      </w:r>
      <w:r w:rsidR="00A225BC">
        <w:rPr>
          <w:rFonts w:cs="Arial"/>
          <w:sz w:val="24"/>
          <w:szCs w:val="24"/>
        </w:rPr>
        <w:t>“</w:t>
      </w:r>
      <w:r w:rsidRPr="00D032B4">
        <w:rPr>
          <w:rFonts w:cs="Arial"/>
          <w:sz w:val="24"/>
          <w:szCs w:val="24"/>
        </w:rPr>
        <w:t>Chair's action</w:t>
      </w:r>
      <w:r w:rsidR="00E25EEB">
        <w:rPr>
          <w:rFonts w:cs="Arial"/>
          <w:sz w:val="24"/>
          <w:szCs w:val="24"/>
        </w:rPr>
        <w:t>’’</w:t>
      </w:r>
      <w:r w:rsidRPr="00D032B4">
        <w:rPr>
          <w:rFonts w:cs="Arial"/>
          <w:sz w:val="24"/>
          <w:szCs w:val="24"/>
        </w:rPr>
        <w:t xml:space="preserve"> (which was consequently used for the fourth committee meeting) was not fit for</w:t>
      </w:r>
      <w:r w:rsidR="00E931F8" w:rsidRPr="00D032B4">
        <w:rPr>
          <w:rFonts w:cs="Arial"/>
          <w:sz w:val="24"/>
          <w:szCs w:val="24"/>
        </w:rPr>
        <w:t xml:space="preserve"> that</w:t>
      </w:r>
      <w:r w:rsidRPr="00D032B4">
        <w:rPr>
          <w:rFonts w:cs="Arial"/>
          <w:sz w:val="24"/>
          <w:szCs w:val="24"/>
        </w:rPr>
        <w:t xml:space="preserve"> purpose.</w:t>
      </w:r>
    </w:p>
    <w:p w14:paraId="33E66BA8" w14:textId="4EE21597" w:rsidR="00B3519A" w:rsidRPr="00D032B4" w:rsidRDefault="00B3519A" w:rsidP="00B3519A">
      <w:pPr>
        <w:pStyle w:val="Paragraph"/>
        <w:rPr>
          <w:rFonts w:cs="Arial"/>
          <w:sz w:val="24"/>
          <w:szCs w:val="24"/>
        </w:rPr>
      </w:pPr>
      <w:r w:rsidRPr="00D032B4">
        <w:rPr>
          <w:rFonts w:cs="Arial"/>
          <w:sz w:val="24"/>
          <w:szCs w:val="24"/>
        </w:rPr>
        <w:t xml:space="preserve">In response to a question from the Panel, David Knechtel explained that the Company </w:t>
      </w:r>
      <w:r w:rsidR="005D3AF8">
        <w:rPr>
          <w:rFonts w:cs="Arial"/>
          <w:sz w:val="24"/>
          <w:szCs w:val="24"/>
        </w:rPr>
        <w:t xml:space="preserve">had </w:t>
      </w:r>
      <w:r w:rsidR="00B03F7D">
        <w:rPr>
          <w:rFonts w:cs="Arial"/>
          <w:sz w:val="24"/>
          <w:szCs w:val="24"/>
        </w:rPr>
        <w:t xml:space="preserve">not </w:t>
      </w:r>
      <w:r w:rsidRPr="00D032B4">
        <w:rPr>
          <w:rFonts w:cs="Arial"/>
          <w:sz w:val="24"/>
          <w:szCs w:val="24"/>
        </w:rPr>
        <w:t xml:space="preserve">been allowed to </w:t>
      </w:r>
      <w:r w:rsidR="00B03F7D">
        <w:rPr>
          <w:rFonts w:cs="Arial"/>
          <w:sz w:val="24"/>
          <w:szCs w:val="24"/>
        </w:rPr>
        <w:t xml:space="preserve">provide new evidence to </w:t>
      </w:r>
      <w:r w:rsidR="00B03F7D">
        <w:rPr>
          <w:rFonts w:cs="Arial"/>
          <w:sz w:val="24"/>
          <w:szCs w:val="24"/>
        </w:rPr>
        <w:lastRenderedPageBreak/>
        <w:t xml:space="preserve">the committee regarding the updated </w:t>
      </w:r>
      <w:r w:rsidRPr="00D032B4">
        <w:rPr>
          <w:rFonts w:cs="Arial"/>
          <w:sz w:val="24"/>
          <w:szCs w:val="24"/>
        </w:rPr>
        <w:t xml:space="preserve">modelling of </w:t>
      </w:r>
      <w:r w:rsidR="001159E1">
        <w:rPr>
          <w:rFonts w:cs="Arial"/>
          <w:sz w:val="24"/>
          <w:szCs w:val="24"/>
        </w:rPr>
        <w:t xml:space="preserve">intravenous immunoglobulin </w:t>
      </w:r>
      <w:r w:rsidRPr="00D032B4">
        <w:rPr>
          <w:rFonts w:cs="Arial"/>
          <w:sz w:val="24"/>
          <w:szCs w:val="24"/>
        </w:rPr>
        <w:t xml:space="preserve">and </w:t>
      </w:r>
      <w:r w:rsidR="00544068">
        <w:rPr>
          <w:rFonts w:cs="Arial"/>
          <w:sz w:val="24"/>
          <w:szCs w:val="24"/>
        </w:rPr>
        <w:t>plasma exchange therapy</w:t>
      </w:r>
      <w:r w:rsidRPr="00D032B4">
        <w:rPr>
          <w:rFonts w:cs="Arial"/>
          <w:sz w:val="24"/>
          <w:szCs w:val="24"/>
        </w:rPr>
        <w:t xml:space="preserve"> in the efgartigimod and comparator arms, drawn from clinical expert elicitation</w:t>
      </w:r>
      <w:r w:rsidR="00B03F7D">
        <w:rPr>
          <w:rFonts w:cs="Arial"/>
          <w:sz w:val="24"/>
          <w:szCs w:val="24"/>
        </w:rPr>
        <w:t>, which it would have done</w:t>
      </w:r>
      <w:r w:rsidR="005D3AF8">
        <w:rPr>
          <w:rFonts w:cs="Arial"/>
          <w:sz w:val="24"/>
          <w:szCs w:val="24"/>
        </w:rPr>
        <w:t>,</w:t>
      </w:r>
      <w:r w:rsidR="00B03F7D">
        <w:rPr>
          <w:rFonts w:cs="Arial"/>
          <w:sz w:val="24"/>
          <w:szCs w:val="24"/>
        </w:rPr>
        <w:t xml:space="preserve"> if given the opportunity</w:t>
      </w:r>
      <w:r w:rsidRPr="00D032B4">
        <w:rPr>
          <w:rFonts w:cs="Arial"/>
          <w:sz w:val="24"/>
          <w:szCs w:val="24"/>
        </w:rPr>
        <w:t xml:space="preserve">. </w:t>
      </w:r>
    </w:p>
    <w:p w14:paraId="0744FE3F" w14:textId="22CD1880" w:rsidR="00B3519A" w:rsidRPr="00D032B4" w:rsidRDefault="007B6E7E" w:rsidP="00B3519A">
      <w:pPr>
        <w:pStyle w:val="Paragraph"/>
        <w:rPr>
          <w:rFonts w:cs="Arial"/>
          <w:sz w:val="24"/>
          <w:szCs w:val="24"/>
        </w:rPr>
      </w:pPr>
      <w:r>
        <w:rPr>
          <w:rFonts w:cs="Arial"/>
          <w:sz w:val="24"/>
          <w:szCs w:val="24"/>
        </w:rPr>
        <w:t xml:space="preserve">Dr </w:t>
      </w:r>
      <w:r w:rsidR="00B3519A" w:rsidRPr="00D032B4">
        <w:rPr>
          <w:rFonts w:cs="Arial"/>
          <w:sz w:val="24"/>
          <w:szCs w:val="24"/>
        </w:rPr>
        <w:t>Jacoline Bouvy</w:t>
      </w:r>
      <w:r>
        <w:rPr>
          <w:rFonts w:cs="Arial"/>
          <w:sz w:val="24"/>
          <w:szCs w:val="24"/>
        </w:rPr>
        <w:t>, for NICE,</w:t>
      </w:r>
      <w:r w:rsidR="00B3519A" w:rsidRPr="00D032B4">
        <w:rPr>
          <w:rFonts w:cs="Arial"/>
          <w:sz w:val="24"/>
          <w:szCs w:val="24"/>
        </w:rPr>
        <w:t xml:space="preserve"> referred to David Knechtel's previous observation that the discussion in the third and fourth committee meetings were similar. She explained that this was not surprising, given that the Committee </w:t>
      </w:r>
      <w:r w:rsidR="006E3E09" w:rsidRPr="00D032B4">
        <w:rPr>
          <w:rFonts w:cs="Arial"/>
          <w:sz w:val="24"/>
          <w:szCs w:val="24"/>
        </w:rPr>
        <w:t>was</w:t>
      </w:r>
      <w:r w:rsidR="00B3519A" w:rsidRPr="00D032B4">
        <w:rPr>
          <w:rFonts w:cs="Arial"/>
          <w:sz w:val="24"/>
          <w:szCs w:val="24"/>
        </w:rPr>
        <w:t xml:space="preserve"> prepared to move to FDG after the third committee meeting. It would be of greater concern if the Committee had changed its stance on </w:t>
      </w:r>
      <w:proofErr w:type="gramStart"/>
      <w:r w:rsidR="00B3519A" w:rsidRPr="00D032B4">
        <w:rPr>
          <w:rFonts w:cs="Arial"/>
          <w:sz w:val="24"/>
          <w:szCs w:val="24"/>
        </w:rPr>
        <w:t>a number of</w:t>
      </w:r>
      <w:proofErr w:type="gramEnd"/>
      <w:r w:rsidR="00B3519A" w:rsidRPr="00D032B4">
        <w:rPr>
          <w:rFonts w:cs="Arial"/>
          <w:sz w:val="24"/>
          <w:szCs w:val="24"/>
        </w:rPr>
        <w:t xml:space="preserve"> its preferred assumptions at such a late stage in the appraisal. </w:t>
      </w:r>
      <w:r w:rsidR="002972DC">
        <w:rPr>
          <w:rFonts w:cs="Arial"/>
          <w:sz w:val="24"/>
          <w:szCs w:val="24"/>
        </w:rPr>
        <w:t>Dr</w:t>
      </w:r>
      <w:r w:rsidR="002972DC" w:rsidRPr="00D032B4">
        <w:rPr>
          <w:rFonts w:cs="Arial"/>
          <w:sz w:val="24"/>
          <w:szCs w:val="24"/>
        </w:rPr>
        <w:t xml:space="preserve"> </w:t>
      </w:r>
      <w:r w:rsidR="000D61E7" w:rsidRPr="00D032B4">
        <w:rPr>
          <w:rFonts w:cs="Arial"/>
          <w:sz w:val="24"/>
          <w:szCs w:val="24"/>
        </w:rPr>
        <w:t xml:space="preserve">Bouvy </w:t>
      </w:r>
      <w:r w:rsidR="006E3E09" w:rsidRPr="00D032B4">
        <w:rPr>
          <w:rFonts w:cs="Arial"/>
          <w:sz w:val="24"/>
          <w:szCs w:val="24"/>
        </w:rPr>
        <w:t>also agreed with</w:t>
      </w:r>
      <w:r w:rsidR="000D61E7" w:rsidRPr="00D032B4">
        <w:rPr>
          <w:rFonts w:cs="Arial"/>
          <w:sz w:val="24"/>
          <w:szCs w:val="24"/>
        </w:rPr>
        <w:t xml:space="preserve"> Ross Dent's </w:t>
      </w:r>
      <w:r w:rsidR="006E3E09" w:rsidRPr="00D032B4">
        <w:rPr>
          <w:rFonts w:cs="Arial"/>
          <w:sz w:val="24"/>
          <w:szCs w:val="24"/>
        </w:rPr>
        <w:t>explanation</w:t>
      </w:r>
      <w:r w:rsidR="000D61E7" w:rsidRPr="00D032B4">
        <w:rPr>
          <w:rFonts w:cs="Arial"/>
          <w:sz w:val="24"/>
          <w:szCs w:val="24"/>
        </w:rPr>
        <w:t xml:space="preserve">, that a committee meeting will be held in public </w:t>
      </w:r>
      <w:r w:rsidR="00E25EEB">
        <w:rPr>
          <w:rFonts w:cs="Arial"/>
          <w:sz w:val="24"/>
          <w:szCs w:val="24"/>
        </w:rPr>
        <w:t xml:space="preserve">in the absence of </w:t>
      </w:r>
      <w:r w:rsidR="000D61E7" w:rsidRPr="00D032B4">
        <w:rPr>
          <w:rFonts w:cs="Arial"/>
          <w:sz w:val="24"/>
          <w:szCs w:val="24"/>
        </w:rPr>
        <w:t>good reason</w:t>
      </w:r>
      <w:r w:rsidR="00E25EEB">
        <w:rPr>
          <w:rFonts w:cs="Arial"/>
          <w:sz w:val="24"/>
          <w:szCs w:val="24"/>
        </w:rPr>
        <w:t>s</w:t>
      </w:r>
      <w:r w:rsidR="000D61E7" w:rsidRPr="00D032B4">
        <w:rPr>
          <w:rFonts w:cs="Arial"/>
          <w:sz w:val="24"/>
          <w:szCs w:val="24"/>
        </w:rPr>
        <w:t xml:space="preserve"> not to (</w:t>
      </w:r>
      <w:r w:rsidR="00461B7C" w:rsidRPr="00D032B4">
        <w:rPr>
          <w:rFonts w:cs="Arial"/>
          <w:sz w:val="24"/>
          <w:szCs w:val="24"/>
        </w:rPr>
        <w:t>e.g.</w:t>
      </w:r>
      <w:r w:rsidR="000D61E7" w:rsidRPr="00D032B4">
        <w:rPr>
          <w:rFonts w:cs="Arial"/>
          <w:sz w:val="24"/>
          <w:szCs w:val="24"/>
        </w:rPr>
        <w:t xml:space="preserve"> confidential pricing discussions</w:t>
      </w:r>
      <w:r w:rsidR="001D289A" w:rsidRPr="00D032B4">
        <w:rPr>
          <w:rFonts w:cs="Arial"/>
          <w:sz w:val="24"/>
          <w:szCs w:val="24"/>
        </w:rPr>
        <w:t xml:space="preserve"> or before the technology obtains regulatory approval</w:t>
      </w:r>
      <w:r w:rsidR="000D61E7" w:rsidRPr="00D032B4">
        <w:rPr>
          <w:rFonts w:cs="Arial"/>
          <w:sz w:val="24"/>
          <w:szCs w:val="24"/>
        </w:rPr>
        <w:t xml:space="preserve">). The practical difference between a private and public committee meeting is that public observers cannot attend a private committee meeting. </w:t>
      </w:r>
    </w:p>
    <w:p w14:paraId="1058B923" w14:textId="5481D818" w:rsidR="000D61E7" w:rsidRPr="00D032B4" w:rsidRDefault="000D61E7" w:rsidP="00B3519A">
      <w:pPr>
        <w:pStyle w:val="Paragraph"/>
        <w:rPr>
          <w:rFonts w:cs="Arial"/>
          <w:sz w:val="24"/>
          <w:szCs w:val="24"/>
        </w:rPr>
      </w:pPr>
      <w:r w:rsidRPr="00D032B4">
        <w:rPr>
          <w:rFonts w:cs="Arial"/>
          <w:sz w:val="24"/>
          <w:szCs w:val="24"/>
        </w:rPr>
        <w:t>David Knechtel</w:t>
      </w:r>
      <w:r w:rsidR="001D289A" w:rsidRPr="00D032B4">
        <w:rPr>
          <w:rFonts w:cs="Arial"/>
          <w:sz w:val="24"/>
          <w:szCs w:val="24"/>
        </w:rPr>
        <w:t xml:space="preserve"> said</w:t>
      </w:r>
      <w:r w:rsidRPr="00D032B4">
        <w:rPr>
          <w:rFonts w:cs="Arial"/>
          <w:sz w:val="24"/>
          <w:szCs w:val="24"/>
        </w:rPr>
        <w:t xml:space="preserve"> that it was an over-simplification to say that nothing </w:t>
      </w:r>
      <w:r w:rsidR="001D289A" w:rsidRPr="00D032B4">
        <w:rPr>
          <w:rFonts w:cs="Arial"/>
          <w:sz w:val="24"/>
          <w:szCs w:val="24"/>
        </w:rPr>
        <w:t xml:space="preserve">had </w:t>
      </w:r>
      <w:r w:rsidRPr="00D032B4">
        <w:rPr>
          <w:rFonts w:cs="Arial"/>
          <w:sz w:val="24"/>
          <w:szCs w:val="24"/>
        </w:rPr>
        <w:t xml:space="preserve">changed between the third and fourth committee meeting. The Committee's approach to both </w:t>
      </w:r>
      <w:r w:rsidR="00544068">
        <w:rPr>
          <w:rFonts w:cs="Arial"/>
          <w:sz w:val="24"/>
          <w:szCs w:val="24"/>
        </w:rPr>
        <w:t>plasma exchange therapy</w:t>
      </w:r>
      <w:r w:rsidRPr="00D032B4">
        <w:rPr>
          <w:rFonts w:cs="Arial"/>
          <w:sz w:val="24"/>
          <w:szCs w:val="24"/>
        </w:rPr>
        <w:t xml:space="preserve"> and dosing changed at the fourth committee meeting, which left the Company feeling as though it was chasing ever moving targets.</w:t>
      </w:r>
      <w:r w:rsidRPr="00D032B4" w:rsidDel="002972DC">
        <w:rPr>
          <w:rFonts w:cs="Arial"/>
          <w:sz w:val="24"/>
          <w:szCs w:val="24"/>
        </w:rPr>
        <w:t xml:space="preserve"> </w:t>
      </w:r>
      <w:r w:rsidR="002972DC">
        <w:rPr>
          <w:rFonts w:cs="Arial"/>
          <w:sz w:val="24"/>
          <w:szCs w:val="24"/>
        </w:rPr>
        <w:t>Dr</w:t>
      </w:r>
      <w:r w:rsidRPr="00D032B4">
        <w:rPr>
          <w:rFonts w:cs="Arial"/>
          <w:sz w:val="24"/>
          <w:szCs w:val="24"/>
        </w:rPr>
        <w:t xml:space="preserve"> Bouvy noted that from the Committee's </w:t>
      </w:r>
      <w:r w:rsidR="001D289A" w:rsidRPr="00D032B4">
        <w:rPr>
          <w:rFonts w:cs="Arial"/>
          <w:sz w:val="24"/>
          <w:szCs w:val="24"/>
        </w:rPr>
        <w:t>perspective</w:t>
      </w:r>
      <w:r w:rsidRPr="00D032B4">
        <w:rPr>
          <w:rFonts w:cs="Arial"/>
          <w:sz w:val="24"/>
          <w:szCs w:val="24"/>
        </w:rPr>
        <w:t xml:space="preserve">, the opposite was true. The Committee had repeatedly reiterated its preferred assumptions throughout the appraisal, and the Company (despite </w:t>
      </w:r>
      <w:proofErr w:type="gramStart"/>
      <w:r w:rsidRPr="00D032B4">
        <w:rPr>
          <w:rFonts w:cs="Arial"/>
          <w:sz w:val="24"/>
          <w:szCs w:val="24"/>
        </w:rPr>
        <w:t>a number of</w:t>
      </w:r>
      <w:proofErr w:type="gramEnd"/>
      <w:r w:rsidRPr="00D032B4">
        <w:rPr>
          <w:rFonts w:cs="Arial"/>
          <w:sz w:val="24"/>
          <w:szCs w:val="24"/>
        </w:rPr>
        <w:t xml:space="preserve"> other amend</w:t>
      </w:r>
      <w:r w:rsidR="002C213A">
        <w:rPr>
          <w:rFonts w:cs="Arial"/>
          <w:sz w:val="24"/>
          <w:szCs w:val="24"/>
        </w:rPr>
        <w:t>ment</w:t>
      </w:r>
      <w:r w:rsidRPr="00D032B4">
        <w:rPr>
          <w:rFonts w:cs="Arial"/>
          <w:sz w:val="24"/>
          <w:szCs w:val="24"/>
        </w:rPr>
        <w:t xml:space="preserve">s) did not </w:t>
      </w:r>
      <w:r w:rsidR="00BB64FE" w:rsidRPr="00D032B4">
        <w:rPr>
          <w:rFonts w:cs="Arial"/>
          <w:sz w:val="24"/>
          <w:szCs w:val="24"/>
        </w:rPr>
        <w:t xml:space="preserve">change its modelled assumptions in line with the Committee's preferences. </w:t>
      </w:r>
    </w:p>
    <w:p w14:paraId="569DBC4B" w14:textId="3C5D6A15" w:rsidR="00BB64FE" w:rsidRPr="00D032B4" w:rsidRDefault="00BB64FE" w:rsidP="00B3519A">
      <w:pPr>
        <w:pStyle w:val="Paragraph"/>
        <w:rPr>
          <w:rFonts w:cs="Arial"/>
          <w:sz w:val="24"/>
          <w:szCs w:val="24"/>
        </w:rPr>
      </w:pPr>
      <w:r w:rsidRPr="00D032B4">
        <w:rPr>
          <w:rFonts w:cs="Arial"/>
          <w:sz w:val="24"/>
          <w:szCs w:val="24"/>
        </w:rPr>
        <w:t xml:space="preserve">The Panel asked the Committee to what extent it was obliged to request company submission of further analysis ahead of a committee meeting. </w:t>
      </w:r>
      <w:r w:rsidR="00E37EC4">
        <w:rPr>
          <w:rFonts w:cs="Arial"/>
          <w:sz w:val="24"/>
          <w:szCs w:val="24"/>
        </w:rPr>
        <w:t>Dr</w:t>
      </w:r>
      <w:r w:rsidR="00E37EC4" w:rsidRPr="00D032B4">
        <w:rPr>
          <w:rFonts w:cs="Arial"/>
          <w:sz w:val="24"/>
          <w:szCs w:val="24"/>
        </w:rPr>
        <w:t xml:space="preserve"> </w:t>
      </w:r>
      <w:r w:rsidRPr="00D032B4">
        <w:rPr>
          <w:rFonts w:cs="Arial"/>
          <w:sz w:val="24"/>
          <w:szCs w:val="24"/>
        </w:rPr>
        <w:t xml:space="preserve">Reddy explained that the Company had submitted </w:t>
      </w:r>
      <w:r w:rsidR="006E5321" w:rsidRPr="00D032B4">
        <w:rPr>
          <w:rFonts w:cs="Arial"/>
          <w:sz w:val="24"/>
          <w:szCs w:val="24"/>
        </w:rPr>
        <w:lastRenderedPageBreak/>
        <w:t>updated</w:t>
      </w:r>
      <w:r w:rsidRPr="00D032B4">
        <w:rPr>
          <w:rFonts w:cs="Arial"/>
          <w:sz w:val="24"/>
          <w:szCs w:val="24"/>
        </w:rPr>
        <w:t xml:space="preserve"> analysis as part of the </w:t>
      </w:r>
      <w:r w:rsidR="002C213A">
        <w:rPr>
          <w:rFonts w:cs="Arial"/>
          <w:sz w:val="24"/>
          <w:szCs w:val="24"/>
        </w:rPr>
        <w:t>“</w:t>
      </w:r>
      <w:r w:rsidRPr="00D032B4">
        <w:rPr>
          <w:rFonts w:cs="Arial"/>
          <w:sz w:val="24"/>
          <w:szCs w:val="24"/>
        </w:rPr>
        <w:t>Chair's action</w:t>
      </w:r>
      <w:r w:rsidR="00E25EEB">
        <w:rPr>
          <w:rFonts w:cs="Arial"/>
          <w:sz w:val="24"/>
          <w:szCs w:val="24"/>
        </w:rPr>
        <w:t>’’</w:t>
      </w:r>
      <w:r w:rsidRPr="00D032B4">
        <w:rPr>
          <w:rFonts w:cs="Arial"/>
          <w:sz w:val="24"/>
          <w:szCs w:val="24"/>
        </w:rPr>
        <w:t xml:space="preserve"> (which he could not accept in that forum). Although it would have been open to the Committee to disregard this evidence and make a negative recommendation under the provisions of the Manual, the Committee decided against this and</w:t>
      </w:r>
      <w:r w:rsidR="00461B7C" w:rsidRPr="00D032B4">
        <w:rPr>
          <w:rFonts w:cs="Arial"/>
          <w:sz w:val="24"/>
          <w:szCs w:val="24"/>
        </w:rPr>
        <w:t xml:space="preserve"> decided</w:t>
      </w:r>
      <w:r w:rsidRPr="00D032B4">
        <w:rPr>
          <w:rFonts w:cs="Arial"/>
          <w:sz w:val="24"/>
          <w:szCs w:val="24"/>
        </w:rPr>
        <w:t xml:space="preserve"> instead</w:t>
      </w:r>
      <w:r w:rsidR="00461B7C" w:rsidRPr="00D032B4">
        <w:rPr>
          <w:rFonts w:cs="Arial"/>
          <w:sz w:val="24"/>
          <w:szCs w:val="24"/>
        </w:rPr>
        <w:t xml:space="preserve"> to</w:t>
      </w:r>
      <w:r w:rsidRPr="00D032B4">
        <w:rPr>
          <w:rFonts w:cs="Arial"/>
          <w:sz w:val="24"/>
          <w:szCs w:val="24"/>
        </w:rPr>
        <w:t xml:space="preserve"> hold a</w:t>
      </w:r>
      <w:r w:rsidR="00461B7C" w:rsidRPr="00D032B4">
        <w:rPr>
          <w:rFonts w:cs="Arial"/>
          <w:sz w:val="24"/>
          <w:szCs w:val="24"/>
        </w:rPr>
        <w:t xml:space="preserve"> fourth</w:t>
      </w:r>
      <w:r w:rsidRPr="00D032B4">
        <w:rPr>
          <w:rFonts w:cs="Arial"/>
          <w:sz w:val="24"/>
          <w:szCs w:val="24"/>
        </w:rPr>
        <w:t xml:space="preserve"> public committee meeting, which would allow</w:t>
      </w:r>
      <w:r w:rsidR="00461B7C" w:rsidRPr="00D032B4">
        <w:rPr>
          <w:rFonts w:cs="Arial"/>
          <w:sz w:val="24"/>
          <w:szCs w:val="24"/>
        </w:rPr>
        <w:t xml:space="preserve"> consideration of that additional analysis,</w:t>
      </w:r>
      <w:r w:rsidRPr="00D032B4">
        <w:rPr>
          <w:rFonts w:cs="Arial"/>
          <w:sz w:val="24"/>
          <w:szCs w:val="24"/>
        </w:rPr>
        <w:t xml:space="preserve"> stakeholder engagement and the best possible opportunity for a positive recommendation. </w:t>
      </w:r>
      <w:r w:rsidR="00E37EC4">
        <w:rPr>
          <w:rFonts w:cs="Arial"/>
          <w:sz w:val="24"/>
          <w:szCs w:val="24"/>
        </w:rPr>
        <w:t>Dr Reddy</w:t>
      </w:r>
      <w:r w:rsidR="00E37EC4" w:rsidRPr="00D032B4">
        <w:rPr>
          <w:rFonts w:cs="Arial"/>
          <w:sz w:val="24"/>
          <w:szCs w:val="24"/>
        </w:rPr>
        <w:t xml:space="preserve"> </w:t>
      </w:r>
      <w:r w:rsidRPr="00D032B4">
        <w:rPr>
          <w:rFonts w:cs="Arial"/>
          <w:sz w:val="24"/>
          <w:szCs w:val="24"/>
        </w:rPr>
        <w:t xml:space="preserve">reminded the Panel that it was not the Committee's intention to hold a fourth committee meeting, but that this was necessitated </w:t>
      </w:r>
      <w:proofErr w:type="gramStart"/>
      <w:r w:rsidRPr="00D032B4">
        <w:rPr>
          <w:rFonts w:cs="Arial"/>
          <w:sz w:val="24"/>
          <w:szCs w:val="24"/>
        </w:rPr>
        <w:t>as a result of</w:t>
      </w:r>
      <w:proofErr w:type="gramEnd"/>
      <w:r w:rsidRPr="00D032B4">
        <w:rPr>
          <w:rFonts w:cs="Arial"/>
          <w:sz w:val="24"/>
          <w:szCs w:val="24"/>
        </w:rPr>
        <w:t xml:space="preserve"> the Company's response to the </w:t>
      </w:r>
      <w:r w:rsidR="002C213A">
        <w:rPr>
          <w:rFonts w:cs="Arial"/>
          <w:sz w:val="24"/>
          <w:szCs w:val="24"/>
        </w:rPr>
        <w:t>“</w:t>
      </w:r>
      <w:r w:rsidRPr="00D032B4">
        <w:rPr>
          <w:rFonts w:cs="Arial"/>
          <w:sz w:val="24"/>
          <w:szCs w:val="24"/>
        </w:rPr>
        <w:t>Chair's action</w:t>
      </w:r>
      <w:r w:rsidR="00E25EEB">
        <w:rPr>
          <w:rFonts w:cs="Arial"/>
          <w:sz w:val="24"/>
          <w:szCs w:val="24"/>
        </w:rPr>
        <w:t>’’</w:t>
      </w:r>
      <w:r w:rsidRPr="00D032B4">
        <w:rPr>
          <w:rFonts w:cs="Arial"/>
          <w:sz w:val="24"/>
          <w:szCs w:val="24"/>
        </w:rPr>
        <w:t xml:space="preserve">. </w:t>
      </w:r>
    </w:p>
    <w:p w14:paraId="5C52C5C2" w14:textId="4FC5E3FE" w:rsidR="000D61E7" w:rsidRPr="00D032B4" w:rsidRDefault="00BB64FE" w:rsidP="00B3519A">
      <w:pPr>
        <w:pStyle w:val="Paragraph"/>
        <w:rPr>
          <w:rFonts w:cs="Arial"/>
          <w:sz w:val="24"/>
          <w:szCs w:val="24"/>
        </w:rPr>
      </w:pPr>
      <w:r w:rsidRPr="00D032B4">
        <w:rPr>
          <w:rFonts w:cs="Arial"/>
          <w:sz w:val="24"/>
          <w:szCs w:val="24"/>
        </w:rPr>
        <w:t xml:space="preserve">The Panel asked whether the Committee could have convened a private Part </w:t>
      </w:r>
      <w:r w:rsidR="0000090A" w:rsidRPr="00D032B4">
        <w:rPr>
          <w:rFonts w:cs="Arial"/>
          <w:sz w:val="24"/>
          <w:szCs w:val="24"/>
        </w:rPr>
        <w:t>2</w:t>
      </w:r>
      <w:r w:rsidRPr="00D032B4">
        <w:rPr>
          <w:rFonts w:cs="Arial"/>
          <w:sz w:val="24"/>
          <w:szCs w:val="24"/>
        </w:rPr>
        <w:t xml:space="preserve"> to the committee meeting</w:t>
      </w:r>
      <w:r w:rsidR="0000090A" w:rsidRPr="00D032B4">
        <w:rPr>
          <w:rFonts w:cs="Arial"/>
          <w:sz w:val="24"/>
          <w:szCs w:val="24"/>
        </w:rPr>
        <w:t xml:space="preserve"> (as per section 5.8.16 of the Manual)</w:t>
      </w:r>
      <w:r w:rsidRPr="00D032B4">
        <w:rPr>
          <w:rFonts w:cs="Arial"/>
          <w:sz w:val="24"/>
          <w:szCs w:val="24"/>
        </w:rPr>
        <w:t xml:space="preserve"> should the need to discuss confidential information arise </w:t>
      </w:r>
      <w:proofErr w:type="gramStart"/>
      <w:r w:rsidRPr="00D032B4">
        <w:rPr>
          <w:rFonts w:cs="Arial"/>
          <w:sz w:val="24"/>
          <w:szCs w:val="24"/>
        </w:rPr>
        <w:t>during the course of</w:t>
      </w:r>
      <w:proofErr w:type="gramEnd"/>
      <w:r w:rsidRPr="00D032B4">
        <w:rPr>
          <w:rFonts w:cs="Arial"/>
          <w:sz w:val="24"/>
          <w:szCs w:val="24"/>
        </w:rPr>
        <w:t xml:space="preserve"> the committee meeting. The Committee confirmed that it could have done so, but that there was no need to </w:t>
      </w:r>
      <w:r w:rsidR="0000090A" w:rsidRPr="00D032B4">
        <w:rPr>
          <w:rFonts w:cs="Arial"/>
          <w:sz w:val="24"/>
          <w:szCs w:val="24"/>
        </w:rPr>
        <w:t>in this instance</w:t>
      </w:r>
      <w:r w:rsidRPr="00D032B4">
        <w:rPr>
          <w:rFonts w:cs="Arial"/>
          <w:sz w:val="24"/>
          <w:szCs w:val="24"/>
        </w:rPr>
        <w:t xml:space="preserve">. </w:t>
      </w:r>
    </w:p>
    <w:p w14:paraId="258ECCDE" w14:textId="6CE04BC8" w:rsidR="00E459A3" w:rsidRPr="00D032B4" w:rsidRDefault="00BB64FE" w:rsidP="00BB64FE">
      <w:pPr>
        <w:pStyle w:val="Paragraph"/>
        <w:rPr>
          <w:rFonts w:cs="Arial"/>
          <w:sz w:val="24"/>
          <w:szCs w:val="24"/>
        </w:rPr>
      </w:pPr>
      <w:r w:rsidRPr="00D032B4">
        <w:rPr>
          <w:rFonts w:cs="Arial"/>
          <w:sz w:val="24"/>
          <w:szCs w:val="24"/>
        </w:rPr>
        <w:t>Esther Nzenza</w:t>
      </w:r>
      <w:r w:rsidR="00787A71">
        <w:rPr>
          <w:rFonts w:cs="Arial"/>
          <w:sz w:val="24"/>
          <w:szCs w:val="24"/>
        </w:rPr>
        <w:t xml:space="preserve">, for </w:t>
      </w:r>
      <w:proofErr w:type="spellStart"/>
      <w:r w:rsidR="00787A71">
        <w:rPr>
          <w:rFonts w:cs="Arial"/>
          <w:sz w:val="24"/>
          <w:szCs w:val="24"/>
        </w:rPr>
        <w:t>Argenx</w:t>
      </w:r>
      <w:proofErr w:type="spellEnd"/>
      <w:r w:rsidR="00787A71">
        <w:rPr>
          <w:rFonts w:cs="Arial"/>
          <w:sz w:val="24"/>
          <w:szCs w:val="24"/>
        </w:rPr>
        <w:t>,</w:t>
      </w:r>
      <w:r w:rsidRPr="00D032B4">
        <w:rPr>
          <w:rFonts w:cs="Arial"/>
          <w:sz w:val="24"/>
          <w:szCs w:val="24"/>
        </w:rPr>
        <w:t xml:space="preserve"> concluded</w:t>
      </w:r>
      <w:r w:rsidR="00787A71">
        <w:rPr>
          <w:rFonts w:cs="Arial"/>
          <w:sz w:val="24"/>
          <w:szCs w:val="24"/>
        </w:rPr>
        <w:t xml:space="preserve"> t</w:t>
      </w:r>
      <w:r w:rsidRPr="00D032B4">
        <w:rPr>
          <w:rFonts w:cs="Arial"/>
          <w:sz w:val="24"/>
          <w:szCs w:val="24"/>
        </w:rPr>
        <w:t xml:space="preserve">hat the information </w:t>
      </w:r>
      <w:r w:rsidR="00773BEB" w:rsidRPr="00D032B4">
        <w:rPr>
          <w:rFonts w:cs="Arial"/>
          <w:sz w:val="24"/>
          <w:szCs w:val="24"/>
        </w:rPr>
        <w:t>considered at the fourth committee meeting</w:t>
      </w:r>
      <w:r w:rsidRPr="00D032B4">
        <w:rPr>
          <w:rFonts w:cs="Arial"/>
          <w:sz w:val="24"/>
          <w:szCs w:val="24"/>
        </w:rPr>
        <w:t xml:space="preserve"> (i.e. in response to the </w:t>
      </w:r>
      <w:r w:rsidR="0050497A">
        <w:rPr>
          <w:rFonts w:cs="Arial"/>
          <w:sz w:val="24"/>
          <w:szCs w:val="24"/>
        </w:rPr>
        <w:t>“</w:t>
      </w:r>
      <w:r w:rsidRPr="00D032B4">
        <w:rPr>
          <w:rFonts w:cs="Arial"/>
          <w:sz w:val="24"/>
          <w:szCs w:val="24"/>
        </w:rPr>
        <w:t>Chair's action</w:t>
      </w:r>
      <w:r w:rsidR="00E25EEB">
        <w:rPr>
          <w:rFonts w:cs="Arial"/>
          <w:sz w:val="24"/>
          <w:szCs w:val="24"/>
        </w:rPr>
        <w:t>’’</w:t>
      </w:r>
      <w:r w:rsidRPr="00D032B4">
        <w:rPr>
          <w:rFonts w:cs="Arial"/>
          <w:sz w:val="24"/>
          <w:szCs w:val="24"/>
        </w:rPr>
        <w:t xml:space="preserve">) did not reflect the remaining uncertainties. The uncertainty could have been addressed by the expert elicitation and </w:t>
      </w:r>
      <w:r w:rsidR="00773BEB" w:rsidRPr="00D032B4">
        <w:rPr>
          <w:rFonts w:cs="Arial"/>
          <w:sz w:val="24"/>
          <w:szCs w:val="24"/>
        </w:rPr>
        <w:t xml:space="preserve">updated </w:t>
      </w:r>
      <w:r w:rsidRPr="00D032B4">
        <w:rPr>
          <w:rFonts w:cs="Arial"/>
          <w:sz w:val="24"/>
          <w:szCs w:val="24"/>
        </w:rPr>
        <w:t>analysis that the Company was not allowed to submit. She suggested that it may have been appropriate for the Committee to have delayed the meeting to allow that updated analysis to be considered.</w:t>
      </w:r>
    </w:p>
    <w:p w14:paraId="3687CFA9" w14:textId="3BE68017" w:rsidR="00D032B4" w:rsidRPr="00D032B4" w:rsidRDefault="00D032B4" w:rsidP="00D032B4">
      <w:pPr>
        <w:pStyle w:val="Paragraph"/>
        <w:rPr>
          <w:rFonts w:cs="Arial"/>
          <w:sz w:val="24"/>
          <w:szCs w:val="24"/>
        </w:rPr>
      </w:pPr>
      <w:r w:rsidRPr="00D032B4">
        <w:rPr>
          <w:rFonts w:cs="Arial"/>
          <w:sz w:val="24"/>
          <w:szCs w:val="24"/>
        </w:rPr>
        <w:t>The Appeal Panel concluded as follows</w:t>
      </w:r>
      <w:r w:rsidR="007E634E">
        <w:rPr>
          <w:rFonts w:cs="Arial"/>
          <w:sz w:val="24"/>
          <w:szCs w:val="24"/>
        </w:rPr>
        <w:t>.</w:t>
      </w:r>
      <w:r w:rsidR="007E634E" w:rsidRPr="00D032B4">
        <w:rPr>
          <w:rFonts w:cs="Arial"/>
          <w:sz w:val="24"/>
          <w:szCs w:val="24"/>
        </w:rPr>
        <w:t xml:space="preserve"> </w:t>
      </w:r>
      <w:r w:rsidRPr="00D032B4">
        <w:rPr>
          <w:rFonts w:cs="Arial"/>
          <w:sz w:val="24"/>
          <w:szCs w:val="24"/>
        </w:rPr>
        <w:t xml:space="preserve">The </w:t>
      </w:r>
      <w:r w:rsidR="007E634E">
        <w:rPr>
          <w:rFonts w:cs="Arial"/>
          <w:sz w:val="24"/>
          <w:szCs w:val="24"/>
        </w:rPr>
        <w:t>P</w:t>
      </w:r>
      <w:r w:rsidR="007E634E" w:rsidRPr="00D032B4">
        <w:rPr>
          <w:rFonts w:cs="Arial"/>
          <w:sz w:val="24"/>
          <w:szCs w:val="24"/>
        </w:rPr>
        <w:t xml:space="preserve">anel </w:t>
      </w:r>
      <w:proofErr w:type="gramStart"/>
      <w:r w:rsidRPr="00D032B4">
        <w:rPr>
          <w:rFonts w:cs="Arial"/>
          <w:sz w:val="24"/>
          <w:szCs w:val="24"/>
        </w:rPr>
        <w:t>took into account</w:t>
      </w:r>
      <w:proofErr w:type="gramEnd"/>
      <w:r w:rsidRPr="00D032B4">
        <w:rPr>
          <w:rFonts w:cs="Arial"/>
          <w:sz w:val="24"/>
          <w:szCs w:val="24"/>
        </w:rPr>
        <w:t xml:space="preserve"> that NICE processes are designed to be transparent and to facilitate stakeholder engagement whenever possible. It therefore understood the procedural explanation by NICE that a private committee meeting would normally only be scheduled if confidential information, such as drug pricing, were to be discussed, while a public meeting that </w:t>
      </w:r>
      <w:r w:rsidRPr="00D032B4">
        <w:rPr>
          <w:rFonts w:cs="Arial"/>
          <w:sz w:val="24"/>
          <w:szCs w:val="24"/>
        </w:rPr>
        <w:lastRenderedPageBreak/>
        <w:t xml:space="preserve">involves stakeholder involvement is otherwise generally preferred. </w:t>
      </w:r>
      <w:proofErr w:type="gramStart"/>
      <w:r w:rsidRPr="00D032B4">
        <w:rPr>
          <w:rFonts w:cs="Arial"/>
          <w:sz w:val="24"/>
          <w:szCs w:val="24"/>
        </w:rPr>
        <w:t>In regard to</w:t>
      </w:r>
      <w:proofErr w:type="gramEnd"/>
      <w:r w:rsidRPr="00D032B4">
        <w:rPr>
          <w:rFonts w:cs="Arial"/>
          <w:sz w:val="24"/>
          <w:szCs w:val="24"/>
        </w:rPr>
        <w:t xml:space="preserve"> this appraisal, 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noted the changing circumstances between the </w:t>
      </w:r>
      <w:r w:rsidR="007E634E">
        <w:rPr>
          <w:rFonts w:cs="Arial"/>
          <w:sz w:val="24"/>
          <w:szCs w:val="24"/>
        </w:rPr>
        <w:t xml:space="preserve">third </w:t>
      </w:r>
      <w:r w:rsidRPr="00D032B4">
        <w:rPr>
          <w:rFonts w:cs="Arial"/>
          <w:sz w:val="24"/>
          <w:szCs w:val="24"/>
        </w:rPr>
        <w:t xml:space="preserve">and the </w:t>
      </w:r>
      <w:r w:rsidR="007E634E">
        <w:rPr>
          <w:rFonts w:cs="Arial"/>
          <w:sz w:val="24"/>
          <w:szCs w:val="24"/>
        </w:rPr>
        <w:t>fourth</w:t>
      </w:r>
      <w:r w:rsidRPr="00D032B4">
        <w:rPr>
          <w:rFonts w:cs="Arial"/>
          <w:sz w:val="24"/>
          <w:szCs w:val="24"/>
        </w:rPr>
        <w:t xml:space="preserve"> committee meeting that had a bearing on the ultimate decision by NICE to hold the </w:t>
      </w:r>
      <w:r w:rsidR="007E634E">
        <w:rPr>
          <w:rFonts w:cs="Arial"/>
          <w:sz w:val="24"/>
          <w:szCs w:val="24"/>
        </w:rPr>
        <w:t>fourth</w:t>
      </w:r>
      <w:r w:rsidR="007E634E" w:rsidRPr="00D032B4">
        <w:rPr>
          <w:rFonts w:cs="Arial"/>
          <w:sz w:val="24"/>
          <w:szCs w:val="24"/>
        </w:rPr>
        <w:t xml:space="preserve"> </w:t>
      </w:r>
      <w:r w:rsidRPr="00D032B4">
        <w:rPr>
          <w:rFonts w:cs="Arial"/>
          <w:sz w:val="24"/>
          <w:szCs w:val="24"/>
        </w:rPr>
        <w:t xml:space="preserve">meeting in public. 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accepted that, after the </w:t>
      </w:r>
      <w:r w:rsidR="007E634E">
        <w:rPr>
          <w:rFonts w:cs="Arial"/>
          <w:sz w:val="24"/>
          <w:szCs w:val="24"/>
        </w:rPr>
        <w:t>C</w:t>
      </w:r>
      <w:r w:rsidR="007E634E" w:rsidRPr="00D032B4">
        <w:rPr>
          <w:rFonts w:cs="Arial"/>
          <w:sz w:val="24"/>
          <w:szCs w:val="24"/>
        </w:rPr>
        <w:t xml:space="preserve">ompany </w:t>
      </w:r>
      <w:r w:rsidRPr="00D032B4">
        <w:rPr>
          <w:rFonts w:cs="Arial"/>
          <w:sz w:val="24"/>
          <w:szCs w:val="24"/>
        </w:rPr>
        <w:t xml:space="preserve">had rejected the </w:t>
      </w:r>
      <w:r w:rsidR="00E30411">
        <w:rPr>
          <w:rFonts w:cs="Arial"/>
          <w:sz w:val="24"/>
          <w:szCs w:val="24"/>
        </w:rPr>
        <w:t>‘</w:t>
      </w:r>
      <w:r w:rsidR="00E25EEB">
        <w:rPr>
          <w:rFonts w:cs="Arial"/>
          <w:sz w:val="24"/>
          <w:szCs w:val="24"/>
        </w:rPr>
        <w:t>‘</w:t>
      </w:r>
      <w:r w:rsidRPr="00D032B4">
        <w:rPr>
          <w:rFonts w:cs="Arial"/>
          <w:sz w:val="24"/>
          <w:szCs w:val="24"/>
        </w:rPr>
        <w:t>Chair's action</w:t>
      </w:r>
      <w:r w:rsidR="00E25EEB">
        <w:rPr>
          <w:rFonts w:cs="Arial"/>
          <w:sz w:val="24"/>
          <w:szCs w:val="24"/>
        </w:rPr>
        <w:t>’</w:t>
      </w:r>
      <w:r w:rsidR="00E30411">
        <w:rPr>
          <w:rFonts w:cs="Arial"/>
          <w:sz w:val="24"/>
          <w:szCs w:val="24"/>
        </w:rPr>
        <w:t>’</w:t>
      </w:r>
      <w:r w:rsidRPr="00D032B4">
        <w:rPr>
          <w:rFonts w:cs="Arial"/>
          <w:sz w:val="24"/>
          <w:szCs w:val="24"/>
        </w:rPr>
        <w:t xml:space="preserve"> proposals that were centred around confidential information relating to the pricing of </w:t>
      </w:r>
      <w:r w:rsidR="007E634E">
        <w:rPr>
          <w:rFonts w:cs="Arial"/>
          <w:sz w:val="24"/>
          <w:szCs w:val="24"/>
        </w:rPr>
        <w:t>e</w:t>
      </w:r>
      <w:r w:rsidR="007E634E" w:rsidRPr="00D032B4">
        <w:rPr>
          <w:rFonts w:cs="Arial"/>
          <w:sz w:val="24"/>
          <w:szCs w:val="24"/>
        </w:rPr>
        <w:t>fgartigimod</w:t>
      </w:r>
      <w:r w:rsidRPr="00D032B4">
        <w:rPr>
          <w:rFonts w:cs="Arial"/>
          <w:sz w:val="24"/>
          <w:szCs w:val="24"/>
        </w:rPr>
        <w:t xml:space="preserve"> and a possible </w:t>
      </w:r>
      <w:proofErr w:type="gramStart"/>
      <w:r w:rsidRPr="00D032B4">
        <w:rPr>
          <w:rFonts w:cs="Arial"/>
          <w:sz w:val="24"/>
          <w:szCs w:val="24"/>
        </w:rPr>
        <w:t>PAS, and</w:t>
      </w:r>
      <w:proofErr w:type="gramEnd"/>
      <w:r w:rsidRPr="00D032B4">
        <w:rPr>
          <w:rFonts w:cs="Arial"/>
          <w:sz w:val="24"/>
          <w:szCs w:val="24"/>
        </w:rPr>
        <w:t xml:space="preserve"> had chosen to introduce an alternative and new approach to their economic modelling, the issues to be considered at the </w:t>
      </w:r>
      <w:r w:rsidR="007E634E">
        <w:rPr>
          <w:rFonts w:cs="Arial"/>
          <w:sz w:val="24"/>
          <w:szCs w:val="24"/>
        </w:rPr>
        <w:t xml:space="preserve">fourth </w:t>
      </w:r>
      <w:r w:rsidRPr="00D032B4">
        <w:rPr>
          <w:rFonts w:cs="Arial"/>
          <w:sz w:val="24"/>
          <w:szCs w:val="24"/>
        </w:rPr>
        <w:t xml:space="preserve">committee meeting broadened.  It was satisfied that in the context of residual disagreements between the </w:t>
      </w:r>
      <w:r w:rsidR="007E634E">
        <w:rPr>
          <w:rFonts w:cs="Arial"/>
          <w:sz w:val="24"/>
          <w:szCs w:val="24"/>
        </w:rPr>
        <w:t>C</w:t>
      </w:r>
      <w:r w:rsidR="007E634E" w:rsidRPr="00D032B4">
        <w:rPr>
          <w:rFonts w:cs="Arial"/>
          <w:sz w:val="24"/>
          <w:szCs w:val="24"/>
        </w:rPr>
        <w:t xml:space="preserve">ompany </w:t>
      </w:r>
      <w:r w:rsidRPr="00D032B4">
        <w:rPr>
          <w:rFonts w:cs="Arial"/>
          <w:sz w:val="24"/>
          <w:szCs w:val="24"/>
        </w:rPr>
        <w:t xml:space="preserve">and the </w:t>
      </w:r>
      <w:r w:rsidR="007E634E">
        <w:rPr>
          <w:rFonts w:cs="Arial"/>
          <w:sz w:val="24"/>
          <w:szCs w:val="24"/>
        </w:rPr>
        <w:t>C</w:t>
      </w:r>
      <w:r w:rsidR="007E634E" w:rsidRPr="00D032B4">
        <w:rPr>
          <w:rFonts w:cs="Arial"/>
          <w:sz w:val="24"/>
          <w:szCs w:val="24"/>
        </w:rPr>
        <w:t xml:space="preserve">ommittee </w:t>
      </w:r>
      <w:r w:rsidRPr="00D032B4">
        <w:rPr>
          <w:rFonts w:cs="Arial"/>
          <w:sz w:val="24"/>
          <w:szCs w:val="24"/>
        </w:rPr>
        <w:t xml:space="preserve">around the preferred assumptions in the economic modelling, the decision by NICE to change the status of the </w:t>
      </w:r>
      <w:r w:rsidR="007E634E">
        <w:rPr>
          <w:rFonts w:cs="Arial"/>
          <w:sz w:val="24"/>
          <w:szCs w:val="24"/>
        </w:rPr>
        <w:t>four</w:t>
      </w:r>
      <w:r w:rsidR="007E634E" w:rsidRPr="00D032B4">
        <w:rPr>
          <w:rFonts w:cs="Arial"/>
          <w:sz w:val="24"/>
          <w:szCs w:val="24"/>
        </w:rPr>
        <w:t xml:space="preserve">th </w:t>
      </w:r>
      <w:r w:rsidRPr="00D032B4">
        <w:rPr>
          <w:rFonts w:cs="Arial"/>
          <w:sz w:val="24"/>
          <w:szCs w:val="24"/>
        </w:rPr>
        <w:t xml:space="preserve">committee meeting from a </w:t>
      </w:r>
      <w:r w:rsidR="00C3635C">
        <w:rPr>
          <w:rFonts w:cs="Arial"/>
          <w:sz w:val="24"/>
          <w:szCs w:val="24"/>
        </w:rPr>
        <w:t>private</w:t>
      </w:r>
      <w:r w:rsidR="00C3635C" w:rsidRPr="00D032B4">
        <w:rPr>
          <w:rFonts w:cs="Arial"/>
          <w:sz w:val="24"/>
          <w:szCs w:val="24"/>
        </w:rPr>
        <w:t xml:space="preserve"> </w:t>
      </w:r>
      <w:r w:rsidRPr="00D032B4">
        <w:rPr>
          <w:rFonts w:cs="Arial"/>
          <w:sz w:val="24"/>
          <w:szCs w:val="24"/>
        </w:rPr>
        <w:t xml:space="preserve">to a </w:t>
      </w:r>
      <w:r w:rsidR="00C3635C">
        <w:rPr>
          <w:rFonts w:cs="Arial"/>
          <w:sz w:val="24"/>
          <w:szCs w:val="24"/>
        </w:rPr>
        <w:t>public</w:t>
      </w:r>
      <w:r w:rsidRPr="00D032B4">
        <w:rPr>
          <w:rFonts w:cs="Arial"/>
          <w:sz w:val="24"/>
          <w:szCs w:val="24"/>
        </w:rPr>
        <w:t xml:space="preserve"> one was driven by a desire to allow for wider stakeholder involvement, including the input of clinical and patient experts. </w:t>
      </w:r>
      <w:proofErr w:type="gramStart"/>
      <w:r w:rsidRPr="00D032B4">
        <w:rPr>
          <w:rFonts w:cs="Arial"/>
          <w:sz w:val="24"/>
          <w:szCs w:val="24"/>
        </w:rPr>
        <w:t>In regard to</w:t>
      </w:r>
      <w:proofErr w:type="gramEnd"/>
      <w:r w:rsidRPr="00D032B4">
        <w:rPr>
          <w:rFonts w:cs="Arial"/>
          <w:sz w:val="24"/>
          <w:szCs w:val="24"/>
        </w:rPr>
        <w:t xml:space="preserve"> the timing of this decision, the </w:t>
      </w:r>
      <w:r w:rsidR="007E634E">
        <w:rPr>
          <w:rFonts w:cs="Arial"/>
          <w:sz w:val="24"/>
          <w:szCs w:val="24"/>
        </w:rPr>
        <w:t>P</w:t>
      </w:r>
      <w:r w:rsidR="007E634E" w:rsidRPr="00D032B4">
        <w:rPr>
          <w:rFonts w:cs="Arial"/>
          <w:sz w:val="24"/>
          <w:szCs w:val="24"/>
        </w:rPr>
        <w:t xml:space="preserve">anel </w:t>
      </w:r>
      <w:r w:rsidRPr="00D032B4">
        <w:rPr>
          <w:rFonts w:cs="Arial"/>
          <w:sz w:val="24"/>
          <w:szCs w:val="24"/>
        </w:rPr>
        <w:t>noted that this was taken approximately 3 months before the meeting was ultimately held</w:t>
      </w:r>
      <w:r w:rsidR="00ED1F23" w:rsidRPr="00D032B4">
        <w:rPr>
          <w:rFonts w:cs="Arial"/>
          <w:sz w:val="24"/>
          <w:szCs w:val="24"/>
        </w:rPr>
        <w:t xml:space="preserve">. </w:t>
      </w:r>
      <w:r w:rsidRPr="00D032B4">
        <w:rPr>
          <w:rFonts w:cs="Arial"/>
          <w:sz w:val="24"/>
          <w:szCs w:val="24"/>
        </w:rPr>
        <w:t xml:space="preserve">Furthermore, the </w:t>
      </w:r>
      <w:r w:rsidR="007E634E">
        <w:rPr>
          <w:rFonts w:cs="Arial"/>
          <w:sz w:val="24"/>
          <w:szCs w:val="24"/>
        </w:rPr>
        <w:t>P</w:t>
      </w:r>
      <w:r w:rsidR="007E634E" w:rsidRPr="00D032B4">
        <w:rPr>
          <w:rFonts w:cs="Arial"/>
          <w:sz w:val="24"/>
          <w:szCs w:val="24"/>
        </w:rPr>
        <w:t xml:space="preserve">anel </w:t>
      </w:r>
      <w:r w:rsidRPr="00D032B4">
        <w:rPr>
          <w:rFonts w:cs="Arial"/>
          <w:sz w:val="24"/>
          <w:szCs w:val="24"/>
        </w:rPr>
        <w:t xml:space="preserve">were persuaded that no further evidence or analysis had been requested of the </w:t>
      </w:r>
      <w:r w:rsidR="007E634E">
        <w:rPr>
          <w:rFonts w:cs="Arial"/>
          <w:sz w:val="24"/>
          <w:szCs w:val="24"/>
        </w:rPr>
        <w:t>C</w:t>
      </w:r>
      <w:r w:rsidR="007E634E" w:rsidRPr="00D032B4">
        <w:rPr>
          <w:rFonts w:cs="Arial"/>
          <w:sz w:val="24"/>
          <w:szCs w:val="24"/>
        </w:rPr>
        <w:t xml:space="preserve">ompany </w:t>
      </w:r>
      <w:r w:rsidRPr="00D032B4">
        <w:rPr>
          <w:rFonts w:cs="Arial"/>
          <w:sz w:val="24"/>
          <w:szCs w:val="24"/>
        </w:rPr>
        <w:t xml:space="preserve">by NICE in advance of the </w:t>
      </w:r>
      <w:r w:rsidR="007E634E">
        <w:rPr>
          <w:rFonts w:cs="Arial"/>
          <w:sz w:val="24"/>
          <w:szCs w:val="24"/>
        </w:rPr>
        <w:t>four</w:t>
      </w:r>
      <w:r w:rsidRPr="00D032B4">
        <w:rPr>
          <w:rFonts w:cs="Arial"/>
          <w:sz w:val="24"/>
          <w:szCs w:val="24"/>
        </w:rPr>
        <w:t xml:space="preserve">th committee meeting and that the involvement of stakeholders in the meeting offered potential advantages to the company in informing the committee's </w:t>
      </w:r>
      <w:r w:rsidR="00E30411">
        <w:rPr>
          <w:rFonts w:cs="Arial"/>
          <w:sz w:val="24"/>
          <w:szCs w:val="24"/>
        </w:rPr>
        <w:t xml:space="preserve">further </w:t>
      </w:r>
      <w:r w:rsidRPr="00D032B4">
        <w:rPr>
          <w:rFonts w:cs="Arial"/>
          <w:sz w:val="24"/>
          <w:szCs w:val="24"/>
        </w:rPr>
        <w:t xml:space="preserve">consideration of the company's value proposition.  The </w:t>
      </w:r>
      <w:r w:rsidR="0074228C">
        <w:rPr>
          <w:rFonts w:cs="Arial"/>
          <w:sz w:val="24"/>
          <w:szCs w:val="24"/>
        </w:rPr>
        <w:t>P</w:t>
      </w:r>
      <w:r w:rsidRPr="00D032B4">
        <w:rPr>
          <w:rFonts w:cs="Arial"/>
          <w:sz w:val="24"/>
          <w:szCs w:val="24"/>
        </w:rPr>
        <w:t xml:space="preserve">anel were not convinced, therefore, that there was any significant disadvantage to the </w:t>
      </w:r>
      <w:r w:rsidR="0074228C">
        <w:rPr>
          <w:rFonts w:cs="Arial"/>
          <w:sz w:val="24"/>
          <w:szCs w:val="24"/>
        </w:rPr>
        <w:t>C</w:t>
      </w:r>
      <w:r w:rsidR="0074228C" w:rsidRPr="00D032B4">
        <w:rPr>
          <w:rFonts w:cs="Arial"/>
          <w:sz w:val="24"/>
          <w:szCs w:val="24"/>
        </w:rPr>
        <w:t xml:space="preserve">ompany </w:t>
      </w:r>
      <w:proofErr w:type="gramStart"/>
      <w:r w:rsidRPr="00D032B4">
        <w:rPr>
          <w:rFonts w:cs="Arial"/>
          <w:sz w:val="24"/>
          <w:szCs w:val="24"/>
        </w:rPr>
        <w:t>as a result of</w:t>
      </w:r>
      <w:proofErr w:type="gramEnd"/>
      <w:r w:rsidRPr="00D032B4">
        <w:rPr>
          <w:rFonts w:cs="Arial"/>
          <w:sz w:val="24"/>
          <w:szCs w:val="24"/>
        </w:rPr>
        <w:t xml:space="preserve"> NICE deciding to change the status of the meeting from a private to a public one and concluded that NICE had not behaved in a procedurally unfair manner in arriving at this decision.</w:t>
      </w:r>
    </w:p>
    <w:p w14:paraId="13365CF1" w14:textId="5DFF539C" w:rsidR="00D032B4" w:rsidRPr="00D032B4" w:rsidRDefault="00D032B4" w:rsidP="00D032B4">
      <w:pPr>
        <w:pStyle w:val="Paragraph"/>
        <w:rPr>
          <w:rFonts w:cs="Arial"/>
          <w:sz w:val="24"/>
          <w:szCs w:val="24"/>
        </w:rPr>
      </w:pPr>
      <w:r w:rsidRPr="00D032B4">
        <w:rPr>
          <w:rFonts w:cs="Arial"/>
          <w:sz w:val="24"/>
          <w:szCs w:val="24"/>
        </w:rPr>
        <w:t xml:space="preserve">The </w:t>
      </w:r>
      <w:r w:rsidR="0074228C">
        <w:rPr>
          <w:rFonts w:cs="Arial"/>
          <w:sz w:val="24"/>
          <w:szCs w:val="24"/>
        </w:rPr>
        <w:t>A</w:t>
      </w:r>
      <w:r w:rsidR="0074228C" w:rsidRPr="00D032B4">
        <w:rPr>
          <w:rFonts w:cs="Arial"/>
          <w:sz w:val="24"/>
          <w:szCs w:val="24"/>
        </w:rPr>
        <w:t xml:space="preserve">ppeal </w:t>
      </w:r>
      <w:r w:rsidR="0074228C">
        <w:rPr>
          <w:rFonts w:cs="Arial"/>
          <w:sz w:val="24"/>
          <w:szCs w:val="24"/>
        </w:rPr>
        <w:t>P</w:t>
      </w:r>
      <w:r w:rsidR="0074228C" w:rsidRPr="00D032B4">
        <w:rPr>
          <w:rFonts w:cs="Arial"/>
          <w:sz w:val="24"/>
          <w:szCs w:val="24"/>
        </w:rPr>
        <w:t xml:space="preserve">anel </w:t>
      </w:r>
      <w:r w:rsidRPr="00D032B4">
        <w:rPr>
          <w:rFonts w:cs="Arial"/>
          <w:sz w:val="24"/>
          <w:szCs w:val="24"/>
        </w:rPr>
        <w:t>therefore dismissed</w:t>
      </w:r>
      <w:r w:rsidRPr="00D032B4">
        <w:rPr>
          <w:rFonts w:cs="Arial"/>
          <w:color w:val="FF0000"/>
          <w:sz w:val="24"/>
          <w:szCs w:val="24"/>
        </w:rPr>
        <w:t xml:space="preserve"> </w:t>
      </w:r>
      <w:r w:rsidRPr="00D032B4">
        <w:rPr>
          <w:rFonts w:cs="Arial"/>
          <w:sz w:val="24"/>
          <w:szCs w:val="24"/>
        </w:rPr>
        <w:t>the appeal on this point.</w:t>
      </w:r>
    </w:p>
    <w:p w14:paraId="5A6B728C" w14:textId="128D8417" w:rsidR="00E7282A" w:rsidRPr="00D032B4" w:rsidRDefault="00E7282A" w:rsidP="00E7282A">
      <w:pPr>
        <w:pStyle w:val="Paragraph"/>
        <w:numPr>
          <w:ilvl w:val="0"/>
          <w:numId w:val="0"/>
        </w:numPr>
        <w:ind w:left="851" w:hanging="851"/>
        <w:rPr>
          <w:rFonts w:cs="Arial"/>
          <w:b/>
          <w:bCs/>
          <w:sz w:val="24"/>
          <w:szCs w:val="24"/>
        </w:rPr>
      </w:pPr>
      <w:proofErr w:type="spellStart"/>
      <w:r w:rsidRPr="00D032B4">
        <w:rPr>
          <w:rFonts w:cs="Arial"/>
          <w:b/>
          <w:bCs/>
          <w:sz w:val="24"/>
          <w:szCs w:val="24"/>
        </w:rPr>
        <w:t>Argenx</w:t>
      </w:r>
      <w:proofErr w:type="spellEnd"/>
      <w:r w:rsidRPr="00D032B4">
        <w:rPr>
          <w:rFonts w:cs="Arial"/>
          <w:b/>
          <w:bCs/>
          <w:sz w:val="24"/>
          <w:szCs w:val="24"/>
        </w:rPr>
        <w:t xml:space="preserve"> Appeal Points 1a</w:t>
      </w:r>
      <w:r w:rsidR="005A6EDA">
        <w:rPr>
          <w:rFonts w:cs="Arial"/>
          <w:b/>
          <w:bCs/>
          <w:sz w:val="24"/>
          <w:szCs w:val="24"/>
        </w:rPr>
        <w:t>.</w:t>
      </w:r>
      <w:r w:rsidRPr="00D032B4">
        <w:rPr>
          <w:rFonts w:cs="Arial"/>
          <w:b/>
          <w:bCs/>
          <w:sz w:val="24"/>
          <w:szCs w:val="24"/>
        </w:rPr>
        <w:t>1 and 2.1</w:t>
      </w:r>
    </w:p>
    <w:p w14:paraId="0ED27CE6" w14:textId="1A7C4D34" w:rsidR="00461B7C" w:rsidRPr="00D032B4" w:rsidRDefault="00461B7C" w:rsidP="00461B7C">
      <w:pPr>
        <w:pStyle w:val="Heading3"/>
      </w:pPr>
      <w:proofErr w:type="spellStart"/>
      <w:r w:rsidRPr="00D032B4">
        <w:lastRenderedPageBreak/>
        <w:t>Argenx</w:t>
      </w:r>
      <w:proofErr w:type="spellEnd"/>
      <w:r w:rsidRPr="00D032B4">
        <w:t xml:space="preserve"> Appeal </w:t>
      </w:r>
      <w:r w:rsidR="00D301ED">
        <w:t>Point</w:t>
      </w:r>
      <w:r w:rsidR="00D301ED" w:rsidRPr="00D032B4">
        <w:t xml:space="preserve"> </w:t>
      </w:r>
      <w:r w:rsidRPr="00D032B4">
        <w:t>1a</w:t>
      </w:r>
      <w:r w:rsidR="005A6EDA">
        <w:t>.</w:t>
      </w:r>
      <w:r w:rsidRPr="00D032B4">
        <w:t xml:space="preserve">1: It was procedurally unfair to have introduced a change of approach in the FDG as to how the Appraisal Committee considers efgartigimod in the treatment pathway at a very late stage without any explanation or opportunity to </w:t>
      </w:r>
      <w:r w:rsidR="00ED1F23" w:rsidRPr="00D032B4">
        <w:t>respond.</w:t>
      </w:r>
    </w:p>
    <w:p w14:paraId="34218B3D" w14:textId="52E994CB" w:rsidR="00461B7C" w:rsidRPr="00D032B4" w:rsidRDefault="00461B7C" w:rsidP="00D032B4">
      <w:pPr>
        <w:pStyle w:val="Heading3"/>
      </w:pPr>
      <w:proofErr w:type="spellStart"/>
      <w:r w:rsidRPr="00D032B4">
        <w:t>Argenx</w:t>
      </w:r>
      <w:proofErr w:type="spellEnd"/>
      <w:r w:rsidRPr="00D032B4">
        <w:t xml:space="preserve"> Appeal Point 2.1: The Appraisal Committee's conclusion that efgartigimod is only an additional treatment in the existing pathway is </w:t>
      </w:r>
      <w:r w:rsidR="00391F81" w:rsidRPr="00D032B4">
        <w:t>unreasonable.</w:t>
      </w:r>
    </w:p>
    <w:p w14:paraId="6C5AAD83" w14:textId="1E823792" w:rsidR="009F6796" w:rsidRPr="00D032B4" w:rsidRDefault="009F6796" w:rsidP="009F6796">
      <w:pPr>
        <w:pStyle w:val="Paragraph"/>
        <w:rPr>
          <w:rFonts w:cs="Arial"/>
          <w:sz w:val="24"/>
          <w:szCs w:val="24"/>
        </w:rPr>
      </w:pPr>
      <w:proofErr w:type="spellStart"/>
      <w:r w:rsidRPr="00D032B4">
        <w:rPr>
          <w:rFonts w:cs="Arial"/>
          <w:sz w:val="24"/>
          <w:szCs w:val="24"/>
        </w:rPr>
        <w:t>Argenx</w:t>
      </w:r>
      <w:proofErr w:type="spellEnd"/>
      <w:r w:rsidRPr="00D032B4">
        <w:rPr>
          <w:rFonts w:cs="Arial"/>
          <w:sz w:val="24"/>
          <w:szCs w:val="24"/>
        </w:rPr>
        <w:t xml:space="preserve"> Appeal Points 1a</w:t>
      </w:r>
      <w:r w:rsidR="005A6EDA">
        <w:rPr>
          <w:rFonts w:cs="Arial"/>
          <w:sz w:val="24"/>
          <w:szCs w:val="24"/>
        </w:rPr>
        <w:t>.</w:t>
      </w:r>
      <w:r w:rsidRPr="00D032B4">
        <w:rPr>
          <w:rFonts w:cs="Arial"/>
          <w:sz w:val="24"/>
          <w:szCs w:val="24"/>
        </w:rPr>
        <w:t>1 and 2.1 both related to the positioning of efgartigimod in the treatment pathway: 1a</w:t>
      </w:r>
      <w:r w:rsidR="005A6EDA">
        <w:rPr>
          <w:rFonts w:cs="Arial"/>
          <w:sz w:val="24"/>
          <w:szCs w:val="24"/>
        </w:rPr>
        <w:t>.</w:t>
      </w:r>
      <w:r w:rsidRPr="00D032B4">
        <w:rPr>
          <w:rFonts w:cs="Arial"/>
          <w:sz w:val="24"/>
          <w:szCs w:val="24"/>
        </w:rPr>
        <w:t xml:space="preserve">1 in respect of the procedural fairness of a change in approach in the FDG as to efgartigimod's position in the treatment pathway, and 2.1 as to the reasonableness of the resulting conclusion. Consequently, they were </w:t>
      </w:r>
      <w:r w:rsidR="00461B7C" w:rsidRPr="00D032B4">
        <w:rPr>
          <w:rFonts w:cs="Arial"/>
          <w:sz w:val="24"/>
          <w:szCs w:val="24"/>
        </w:rPr>
        <w:t xml:space="preserve">discussed </w:t>
      </w:r>
      <w:r w:rsidRPr="00D032B4">
        <w:rPr>
          <w:rFonts w:cs="Arial"/>
          <w:sz w:val="24"/>
          <w:szCs w:val="24"/>
        </w:rPr>
        <w:t>together in the hearing (which is reflected in the summary of discussion below)</w:t>
      </w:r>
      <w:r w:rsidR="00461B7C" w:rsidRPr="00D032B4">
        <w:rPr>
          <w:rFonts w:cs="Arial"/>
          <w:sz w:val="24"/>
          <w:szCs w:val="24"/>
        </w:rPr>
        <w:t>. They were then considered separately</w:t>
      </w:r>
      <w:r w:rsidRPr="00D032B4">
        <w:rPr>
          <w:rFonts w:cs="Arial"/>
          <w:sz w:val="24"/>
          <w:szCs w:val="24"/>
        </w:rPr>
        <w:t xml:space="preserve"> by the Panel and the conclusions in this decision letter are presented as such. </w:t>
      </w:r>
    </w:p>
    <w:p w14:paraId="3FAB5B14" w14:textId="1BF031AC" w:rsidR="00AC0E88" w:rsidRPr="00D032B4" w:rsidRDefault="00AC0E88" w:rsidP="00B93E19">
      <w:pPr>
        <w:pStyle w:val="Paragraph"/>
        <w:rPr>
          <w:rFonts w:cs="Arial"/>
          <w:sz w:val="24"/>
          <w:szCs w:val="24"/>
        </w:rPr>
      </w:pPr>
      <w:r w:rsidRPr="00D032B4">
        <w:rPr>
          <w:rFonts w:cs="Arial"/>
          <w:sz w:val="24"/>
          <w:szCs w:val="24"/>
        </w:rPr>
        <w:t>David Knechtel</w:t>
      </w:r>
      <w:r w:rsidR="00392B12">
        <w:rPr>
          <w:rFonts w:cs="Arial"/>
          <w:sz w:val="24"/>
          <w:szCs w:val="24"/>
        </w:rPr>
        <w:t>,</w:t>
      </w:r>
      <w:r w:rsidRPr="00D032B4">
        <w:rPr>
          <w:rFonts w:cs="Arial"/>
          <w:sz w:val="24"/>
          <w:szCs w:val="24"/>
        </w:rPr>
        <w:t xml:space="preserve"> for </w:t>
      </w:r>
      <w:proofErr w:type="spellStart"/>
      <w:r w:rsidR="00ED6D7A">
        <w:rPr>
          <w:rFonts w:cs="Arial"/>
          <w:sz w:val="24"/>
          <w:szCs w:val="24"/>
        </w:rPr>
        <w:t>Argenx</w:t>
      </w:r>
      <w:proofErr w:type="spellEnd"/>
      <w:r w:rsidRPr="00D032B4">
        <w:rPr>
          <w:rFonts w:cs="Arial"/>
          <w:sz w:val="24"/>
          <w:szCs w:val="24"/>
        </w:rPr>
        <w:t>, explain</w:t>
      </w:r>
      <w:r w:rsidR="00ED6D7A">
        <w:rPr>
          <w:rFonts w:cs="Arial"/>
          <w:sz w:val="24"/>
          <w:szCs w:val="24"/>
        </w:rPr>
        <w:t>ed</w:t>
      </w:r>
      <w:r w:rsidRPr="00D032B4">
        <w:rPr>
          <w:rFonts w:cs="Arial"/>
          <w:sz w:val="24"/>
          <w:szCs w:val="24"/>
        </w:rPr>
        <w:t xml:space="preserve"> that both these appeal points focused on whether efgartigimod was seen as "additional" or "replacement" in the treatment pathway. He stated that </w:t>
      </w:r>
      <w:r w:rsidR="00FC3115">
        <w:rPr>
          <w:rFonts w:cs="Arial"/>
          <w:sz w:val="24"/>
          <w:szCs w:val="24"/>
        </w:rPr>
        <w:t xml:space="preserve">the </w:t>
      </w:r>
      <w:r w:rsidRPr="00D032B4">
        <w:rPr>
          <w:rFonts w:cs="Arial"/>
          <w:sz w:val="24"/>
          <w:szCs w:val="24"/>
        </w:rPr>
        <w:t>clinical view was unequivocal, that efgartigimod was</w:t>
      </w:r>
      <w:r w:rsidR="00773BEB" w:rsidRPr="00D032B4">
        <w:rPr>
          <w:rFonts w:cs="Arial"/>
          <w:sz w:val="24"/>
          <w:szCs w:val="24"/>
        </w:rPr>
        <w:t xml:space="preserve"> a</w:t>
      </w:r>
      <w:r w:rsidRPr="00D032B4">
        <w:rPr>
          <w:rFonts w:cs="Arial"/>
          <w:sz w:val="24"/>
          <w:szCs w:val="24"/>
        </w:rPr>
        <w:t xml:space="preserve"> replacement not additional treatment in the pathway. He explained that not only was the FDG in direct contradiction to the draft guidance, but that the change had not been highlighted in any exchange between the Committee and the Company before the fourth committee meeting. </w:t>
      </w:r>
    </w:p>
    <w:p w14:paraId="4380C144" w14:textId="03D27A6B" w:rsidR="00FA7D1F" w:rsidRPr="00D032B4" w:rsidRDefault="00AC0E88" w:rsidP="00B93E19">
      <w:pPr>
        <w:pStyle w:val="Paragraph"/>
        <w:rPr>
          <w:rFonts w:cs="Arial"/>
          <w:sz w:val="24"/>
          <w:szCs w:val="24"/>
        </w:rPr>
      </w:pPr>
      <w:r w:rsidRPr="00D032B4">
        <w:rPr>
          <w:rFonts w:cs="Arial"/>
          <w:sz w:val="24"/>
          <w:szCs w:val="24"/>
        </w:rPr>
        <w:t>Explaining the modelled pathway, David Knechtel explained that the changes made by the Company to the pathway throughout the appraisal process were made in response to requests by the Committee. The Company w</w:t>
      </w:r>
      <w:r w:rsidR="00432772" w:rsidRPr="00D032B4">
        <w:rPr>
          <w:rFonts w:cs="Arial"/>
          <w:sz w:val="24"/>
          <w:szCs w:val="24"/>
        </w:rPr>
        <w:t>as</w:t>
      </w:r>
      <w:r w:rsidRPr="00D032B4">
        <w:rPr>
          <w:rFonts w:cs="Arial"/>
          <w:sz w:val="24"/>
          <w:szCs w:val="24"/>
        </w:rPr>
        <w:t xml:space="preserve"> of the view that it is impossible to overstate the significance of this change – as it ignores the extent to </w:t>
      </w:r>
      <w:r w:rsidRPr="00D032B4">
        <w:rPr>
          <w:rFonts w:cs="Arial"/>
          <w:sz w:val="24"/>
          <w:szCs w:val="24"/>
        </w:rPr>
        <w:lastRenderedPageBreak/>
        <w:t xml:space="preserve">which the costs of </w:t>
      </w:r>
      <w:r w:rsidR="001159E1">
        <w:rPr>
          <w:rFonts w:cs="Arial"/>
          <w:sz w:val="24"/>
          <w:szCs w:val="24"/>
        </w:rPr>
        <w:t>intravenous immunoglobulin</w:t>
      </w:r>
      <w:r w:rsidRPr="00D032B4">
        <w:rPr>
          <w:rFonts w:cs="Arial"/>
          <w:sz w:val="24"/>
          <w:szCs w:val="24"/>
        </w:rPr>
        <w:t xml:space="preserve"> and </w:t>
      </w:r>
      <w:r w:rsidR="00544068">
        <w:rPr>
          <w:rFonts w:cs="Arial"/>
          <w:sz w:val="24"/>
          <w:szCs w:val="24"/>
        </w:rPr>
        <w:t>plasma exchange therapy</w:t>
      </w:r>
      <w:r w:rsidRPr="00D032B4">
        <w:rPr>
          <w:rFonts w:cs="Arial"/>
          <w:sz w:val="24"/>
          <w:szCs w:val="24"/>
        </w:rPr>
        <w:t xml:space="preserve"> are displaced by efgartigimod. This takes efgartigimod from being cost-effective to being far above the acceptable ICER threshold when considered as an add-on to </w:t>
      </w:r>
      <w:r w:rsidR="001159E1">
        <w:rPr>
          <w:rFonts w:cs="Arial"/>
          <w:sz w:val="24"/>
          <w:szCs w:val="24"/>
        </w:rPr>
        <w:t>intravenous immunoglobulin</w:t>
      </w:r>
      <w:r w:rsidRPr="00D032B4">
        <w:rPr>
          <w:rFonts w:cs="Arial"/>
          <w:sz w:val="24"/>
          <w:szCs w:val="24"/>
        </w:rPr>
        <w:t xml:space="preserve"> and </w:t>
      </w:r>
      <w:r w:rsidR="00544068">
        <w:rPr>
          <w:rFonts w:cs="Arial"/>
          <w:sz w:val="24"/>
          <w:szCs w:val="24"/>
        </w:rPr>
        <w:t>plasma exchange therapy</w:t>
      </w:r>
      <w:r w:rsidRPr="00D032B4">
        <w:rPr>
          <w:rFonts w:cs="Arial"/>
          <w:sz w:val="24"/>
          <w:szCs w:val="24"/>
        </w:rPr>
        <w:t xml:space="preserve">. </w:t>
      </w:r>
    </w:p>
    <w:p w14:paraId="69BEAD09" w14:textId="2D3C53EE" w:rsidR="00432772" w:rsidRPr="00D032B4" w:rsidRDefault="00432772" w:rsidP="00B93E19">
      <w:pPr>
        <w:pStyle w:val="Paragraph"/>
        <w:rPr>
          <w:rFonts w:cs="Arial"/>
          <w:sz w:val="24"/>
          <w:szCs w:val="24"/>
        </w:rPr>
      </w:pPr>
      <w:r w:rsidRPr="00D032B4">
        <w:rPr>
          <w:rFonts w:cs="Arial"/>
          <w:sz w:val="24"/>
          <w:szCs w:val="24"/>
        </w:rPr>
        <w:t>In respect of the Ground 1(a) appeal, David Knechtel explained that throughout the entire history of the appraisal, the Company ha</w:t>
      </w:r>
      <w:r w:rsidR="00D767B4" w:rsidRPr="00D032B4">
        <w:rPr>
          <w:rFonts w:cs="Arial"/>
          <w:sz w:val="24"/>
          <w:szCs w:val="24"/>
        </w:rPr>
        <w:t>d</w:t>
      </w:r>
      <w:r w:rsidRPr="00D032B4">
        <w:rPr>
          <w:rFonts w:cs="Arial"/>
          <w:sz w:val="24"/>
          <w:szCs w:val="24"/>
        </w:rPr>
        <w:t xml:space="preserve"> modelled efgartigimod as an escalation therapy for those inadequately controlled on standard treatment alone. Every assumption, ICER and scenario </w:t>
      </w:r>
      <w:r w:rsidR="00D767B4" w:rsidRPr="00D032B4">
        <w:rPr>
          <w:rFonts w:cs="Arial"/>
          <w:sz w:val="24"/>
          <w:szCs w:val="24"/>
        </w:rPr>
        <w:t>were</w:t>
      </w:r>
      <w:r w:rsidRPr="00D032B4">
        <w:rPr>
          <w:rFonts w:cs="Arial"/>
          <w:sz w:val="24"/>
          <w:szCs w:val="24"/>
        </w:rPr>
        <w:t xml:space="preserve"> based on efgartigimod being an alternative to or replacement of </w:t>
      </w:r>
      <w:r w:rsidR="001159E1">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in the treatment pathway. 58.4% of the patient cohort in </w:t>
      </w:r>
      <w:r w:rsidR="00CB1467" w:rsidRPr="00D032B4">
        <w:rPr>
          <w:rFonts w:cs="Arial"/>
          <w:sz w:val="24"/>
          <w:szCs w:val="24"/>
        </w:rPr>
        <w:t>the early access to medicines scheme (</w:t>
      </w:r>
      <w:r w:rsidR="00244F92">
        <w:rPr>
          <w:rFonts w:cs="Arial"/>
          <w:sz w:val="24"/>
          <w:szCs w:val="24"/>
        </w:rPr>
        <w:t>“</w:t>
      </w:r>
      <w:r w:rsidRPr="00AC2B0A">
        <w:rPr>
          <w:rFonts w:cs="Arial"/>
          <w:sz w:val="24"/>
          <w:szCs w:val="24"/>
        </w:rPr>
        <w:t>EAMS</w:t>
      </w:r>
      <w:r w:rsidR="00CB1467" w:rsidRPr="00847AF5" w:rsidDel="00847AF5">
        <w:rPr>
          <w:rFonts w:cs="Arial"/>
          <w:sz w:val="24"/>
          <w:szCs w:val="24"/>
        </w:rPr>
        <w:t>"</w:t>
      </w:r>
      <w:r w:rsidR="00CB1467" w:rsidRPr="00847AF5">
        <w:rPr>
          <w:rFonts w:cs="Arial"/>
          <w:sz w:val="24"/>
          <w:szCs w:val="24"/>
        </w:rPr>
        <w:t>)</w:t>
      </w:r>
      <w:r w:rsidRPr="00847AF5">
        <w:rPr>
          <w:rFonts w:cs="Arial"/>
          <w:sz w:val="24"/>
          <w:szCs w:val="24"/>
        </w:rPr>
        <w:t xml:space="preserve"> </w:t>
      </w:r>
      <w:r w:rsidRPr="00D032B4">
        <w:rPr>
          <w:rFonts w:cs="Arial"/>
          <w:sz w:val="24"/>
          <w:szCs w:val="24"/>
        </w:rPr>
        <w:t xml:space="preserve">received </w:t>
      </w:r>
      <w:r w:rsidR="001159E1">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before being replaced by efgartigimod. He explained that a change of this magnitude</w:t>
      </w:r>
      <w:r w:rsidR="00461B7C" w:rsidRPr="00D032B4">
        <w:rPr>
          <w:rFonts w:cs="Arial"/>
          <w:sz w:val="24"/>
          <w:szCs w:val="24"/>
        </w:rPr>
        <w:t xml:space="preserve"> (from replacement to additional treatment)</w:t>
      </w:r>
      <w:r w:rsidRPr="00D032B4">
        <w:rPr>
          <w:rFonts w:cs="Arial"/>
          <w:sz w:val="24"/>
          <w:szCs w:val="24"/>
        </w:rPr>
        <w:t xml:space="preserve"> which fundamentally alters the outcome</w:t>
      </w:r>
      <w:r w:rsidR="00461B7C" w:rsidRPr="00D032B4">
        <w:rPr>
          <w:rFonts w:cs="Arial"/>
          <w:sz w:val="24"/>
          <w:szCs w:val="24"/>
        </w:rPr>
        <w:t>,</w:t>
      </w:r>
      <w:r w:rsidRPr="00D032B4">
        <w:rPr>
          <w:rFonts w:cs="Arial"/>
          <w:sz w:val="24"/>
          <w:szCs w:val="24"/>
        </w:rPr>
        <w:t xml:space="preserve"> should have been accompanied by an explanation, and subject to stakeholder response. Instead, </w:t>
      </w:r>
      <w:r w:rsidR="00D767B4" w:rsidRPr="00D032B4">
        <w:rPr>
          <w:rFonts w:cs="Arial"/>
          <w:sz w:val="24"/>
          <w:szCs w:val="24"/>
        </w:rPr>
        <w:t xml:space="preserve">he </w:t>
      </w:r>
      <w:r w:rsidR="00461B7C" w:rsidRPr="00D032B4">
        <w:rPr>
          <w:rFonts w:cs="Arial"/>
          <w:sz w:val="24"/>
          <w:szCs w:val="24"/>
        </w:rPr>
        <w:t xml:space="preserve">said </w:t>
      </w:r>
      <w:r w:rsidR="00D767B4" w:rsidRPr="00D032B4">
        <w:rPr>
          <w:rFonts w:cs="Arial"/>
          <w:sz w:val="24"/>
          <w:szCs w:val="24"/>
        </w:rPr>
        <w:t xml:space="preserve">that </w:t>
      </w:r>
      <w:r w:rsidRPr="00D032B4">
        <w:rPr>
          <w:rFonts w:cs="Arial"/>
          <w:sz w:val="24"/>
          <w:szCs w:val="24"/>
        </w:rPr>
        <w:t xml:space="preserve">this was raised </w:t>
      </w:r>
      <w:r w:rsidR="00D767B4" w:rsidRPr="00D032B4">
        <w:rPr>
          <w:rFonts w:cs="Arial"/>
          <w:sz w:val="24"/>
          <w:szCs w:val="24"/>
        </w:rPr>
        <w:t>in correspondence with</w:t>
      </w:r>
      <w:r w:rsidRPr="00D032B4">
        <w:rPr>
          <w:rFonts w:cs="Arial"/>
          <w:sz w:val="24"/>
          <w:szCs w:val="24"/>
        </w:rPr>
        <w:t xml:space="preserve"> NICE one week after the fourth committee meeting </w:t>
      </w:r>
      <w:r w:rsidR="00461B7C" w:rsidRPr="00D032B4">
        <w:rPr>
          <w:rFonts w:cs="Arial"/>
          <w:sz w:val="24"/>
          <w:szCs w:val="24"/>
        </w:rPr>
        <w:t xml:space="preserve">and that this </w:t>
      </w:r>
      <w:r w:rsidRPr="00D032B4">
        <w:rPr>
          <w:rFonts w:cs="Arial"/>
          <w:sz w:val="24"/>
          <w:szCs w:val="24"/>
        </w:rPr>
        <w:t xml:space="preserve">denied the Company any opportunity to properly address the issue before the FDG was published. </w:t>
      </w:r>
    </w:p>
    <w:p w14:paraId="4A5541F0" w14:textId="72330DA4" w:rsidR="00432772" w:rsidRPr="00D032B4" w:rsidRDefault="00C2489B" w:rsidP="00B93E19">
      <w:pPr>
        <w:pStyle w:val="Paragraph"/>
        <w:rPr>
          <w:rFonts w:cs="Arial"/>
          <w:sz w:val="24"/>
          <w:szCs w:val="24"/>
        </w:rPr>
      </w:pPr>
      <w:r>
        <w:rPr>
          <w:rFonts w:cs="Arial"/>
          <w:sz w:val="24"/>
          <w:szCs w:val="24"/>
        </w:rPr>
        <w:t xml:space="preserve">Dr </w:t>
      </w:r>
      <w:r w:rsidR="00432772" w:rsidRPr="00D032B4">
        <w:rPr>
          <w:rFonts w:cs="Arial"/>
          <w:sz w:val="24"/>
          <w:szCs w:val="24"/>
        </w:rPr>
        <w:t>Raju Reddy, for NICE, reiterated the fact that the marketing authorisation for efgartigimod is as an "add-on to standard treatment". NICE committees can only recommend technologies</w:t>
      </w:r>
      <w:r w:rsidR="00F452EC" w:rsidRPr="00D032B4">
        <w:rPr>
          <w:rFonts w:cs="Arial"/>
          <w:sz w:val="24"/>
          <w:szCs w:val="24"/>
        </w:rPr>
        <w:t xml:space="preserve"> for use</w:t>
      </w:r>
      <w:r w:rsidR="00432772" w:rsidRPr="00D032B4">
        <w:rPr>
          <w:rFonts w:cs="Arial"/>
          <w:sz w:val="24"/>
          <w:szCs w:val="24"/>
        </w:rPr>
        <w:t xml:space="preserve"> within their marketing authorisation</w:t>
      </w:r>
      <w:r w:rsidR="00F452EC" w:rsidRPr="00D032B4">
        <w:rPr>
          <w:rFonts w:cs="Arial"/>
          <w:sz w:val="24"/>
          <w:szCs w:val="24"/>
        </w:rPr>
        <w:t xml:space="preserve"> (see Table 6.3 in the Manual)</w:t>
      </w:r>
      <w:r w:rsidR="00432772" w:rsidRPr="00D032B4">
        <w:rPr>
          <w:rFonts w:cs="Arial"/>
          <w:sz w:val="24"/>
          <w:szCs w:val="24"/>
        </w:rPr>
        <w:t xml:space="preserve">. </w:t>
      </w:r>
      <w:proofErr w:type="gramStart"/>
      <w:r w:rsidR="00432772" w:rsidRPr="00D032B4">
        <w:rPr>
          <w:rFonts w:cs="Arial"/>
          <w:sz w:val="24"/>
          <w:szCs w:val="24"/>
        </w:rPr>
        <w:t>Referring back</w:t>
      </w:r>
      <w:proofErr w:type="gramEnd"/>
      <w:r w:rsidR="00432772" w:rsidRPr="00D032B4">
        <w:rPr>
          <w:rFonts w:cs="Arial"/>
          <w:sz w:val="24"/>
          <w:szCs w:val="24"/>
        </w:rPr>
        <w:t xml:space="preserve"> to </w:t>
      </w:r>
      <w:r w:rsidR="00410559">
        <w:rPr>
          <w:rFonts w:cs="Arial"/>
          <w:sz w:val="24"/>
          <w:szCs w:val="24"/>
        </w:rPr>
        <w:t xml:space="preserve">Dr </w:t>
      </w:r>
      <w:r w:rsidR="00432772" w:rsidRPr="00D032B4">
        <w:rPr>
          <w:rFonts w:cs="Arial"/>
          <w:sz w:val="24"/>
          <w:szCs w:val="24"/>
        </w:rPr>
        <w:t>Jennifer Spillane's evidence earlier in the hearing</w:t>
      </w:r>
      <w:r w:rsidR="002F45F6">
        <w:rPr>
          <w:rFonts w:cs="Arial"/>
          <w:sz w:val="24"/>
          <w:szCs w:val="24"/>
        </w:rPr>
        <w:t xml:space="preserve"> on another appeal point</w:t>
      </w:r>
      <w:r w:rsidR="00432772" w:rsidRPr="00D032B4">
        <w:rPr>
          <w:rFonts w:cs="Arial"/>
          <w:sz w:val="24"/>
          <w:szCs w:val="24"/>
        </w:rPr>
        <w:t xml:space="preserve">, </w:t>
      </w:r>
      <w:r w:rsidR="005627B4">
        <w:rPr>
          <w:rFonts w:cs="Arial"/>
          <w:sz w:val="24"/>
          <w:szCs w:val="24"/>
        </w:rPr>
        <w:t>Dr</w:t>
      </w:r>
      <w:r w:rsidR="005627B4" w:rsidRPr="00D032B4">
        <w:rPr>
          <w:rFonts w:cs="Arial"/>
          <w:sz w:val="24"/>
          <w:szCs w:val="24"/>
        </w:rPr>
        <w:t xml:space="preserve"> </w:t>
      </w:r>
      <w:r w:rsidR="00432772" w:rsidRPr="00D032B4">
        <w:rPr>
          <w:rFonts w:cs="Arial"/>
          <w:sz w:val="24"/>
          <w:szCs w:val="24"/>
        </w:rPr>
        <w:t xml:space="preserve">Reddy </w:t>
      </w:r>
      <w:r w:rsidR="0078400F" w:rsidRPr="00D032B4">
        <w:rPr>
          <w:rFonts w:cs="Arial"/>
          <w:sz w:val="24"/>
          <w:szCs w:val="24"/>
        </w:rPr>
        <w:t>referred to the clinical expert input that</w:t>
      </w:r>
      <w:r w:rsidR="00432772" w:rsidRPr="00D032B4">
        <w:rPr>
          <w:rFonts w:cs="Arial"/>
          <w:sz w:val="24"/>
          <w:szCs w:val="24"/>
        </w:rPr>
        <w:t xml:space="preserve"> </w:t>
      </w:r>
      <w:r w:rsidR="0078400F" w:rsidRPr="00D032B4">
        <w:rPr>
          <w:rFonts w:cs="Arial"/>
          <w:sz w:val="24"/>
          <w:szCs w:val="24"/>
        </w:rPr>
        <w:t>patients</w:t>
      </w:r>
      <w:r w:rsidR="00432772" w:rsidRPr="00D032B4">
        <w:rPr>
          <w:rFonts w:cs="Arial"/>
          <w:sz w:val="24"/>
          <w:szCs w:val="24"/>
        </w:rPr>
        <w:t xml:space="preserve"> </w:t>
      </w:r>
      <w:r w:rsidR="0078400F" w:rsidRPr="00D032B4">
        <w:rPr>
          <w:rFonts w:cs="Arial"/>
          <w:sz w:val="24"/>
          <w:szCs w:val="24"/>
        </w:rPr>
        <w:t>would not be left untreated.</w:t>
      </w:r>
      <w:r w:rsidR="00432772" w:rsidRPr="00D032B4">
        <w:rPr>
          <w:rFonts w:cs="Arial"/>
          <w:sz w:val="24"/>
          <w:szCs w:val="24"/>
        </w:rPr>
        <w:t xml:space="preserve"> If a new treatment is added </w:t>
      </w:r>
      <w:r w:rsidR="00432772" w:rsidRPr="00D032B4">
        <w:rPr>
          <w:rFonts w:cs="Arial"/>
          <w:sz w:val="24"/>
          <w:szCs w:val="24"/>
        </w:rPr>
        <w:lastRenderedPageBreak/>
        <w:t>at any stage in the pathway, this increases the number of drugs into the interventional pathway.</w:t>
      </w:r>
    </w:p>
    <w:p w14:paraId="3FB21AA8" w14:textId="5F3E26C0" w:rsidR="00432772" w:rsidRPr="00D032B4" w:rsidRDefault="00025E3F" w:rsidP="00B93E19">
      <w:pPr>
        <w:pStyle w:val="Paragraph"/>
        <w:rPr>
          <w:rFonts w:cs="Arial"/>
          <w:sz w:val="24"/>
          <w:szCs w:val="24"/>
        </w:rPr>
      </w:pPr>
      <w:r>
        <w:rPr>
          <w:rFonts w:cs="Arial"/>
          <w:sz w:val="24"/>
          <w:szCs w:val="24"/>
        </w:rPr>
        <w:t>Dr Reddy</w:t>
      </w:r>
      <w:r w:rsidRPr="00D032B4">
        <w:rPr>
          <w:rFonts w:cs="Arial"/>
          <w:sz w:val="24"/>
          <w:szCs w:val="24"/>
        </w:rPr>
        <w:t xml:space="preserve"> </w:t>
      </w:r>
      <w:r w:rsidR="00432772" w:rsidRPr="00D032B4">
        <w:rPr>
          <w:rFonts w:cs="Arial"/>
          <w:sz w:val="24"/>
          <w:szCs w:val="24"/>
        </w:rPr>
        <w:t xml:space="preserve">described that some marketing authorisations will specify the point in the pathway at which the treatment is authorised to be administered (for example, as </w:t>
      </w:r>
      <w:r w:rsidR="00ED1F23" w:rsidRPr="00D032B4">
        <w:rPr>
          <w:rFonts w:cs="Arial"/>
          <w:sz w:val="24"/>
          <w:szCs w:val="24"/>
        </w:rPr>
        <w:t>second line</w:t>
      </w:r>
      <w:r w:rsidR="00432772" w:rsidRPr="00D032B4">
        <w:rPr>
          <w:rFonts w:cs="Arial"/>
          <w:sz w:val="24"/>
          <w:szCs w:val="24"/>
        </w:rPr>
        <w:t xml:space="preserve"> only). </w:t>
      </w:r>
      <w:r w:rsidR="00F452EC" w:rsidRPr="00D032B4">
        <w:rPr>
          <w:rFonts w:cs="Arial"/>
          <w:sz w:val="24"/>
          <w:szCs w:val="24"/>
        </w:rPr>
        <w:t xml:space="preserve">There is no mention of any other treatment that should precede or follow efgartigimod in the treatment pathway (unlike </w:t>
      </w:r>
      <w:r w:rsidR="0078400F" w:rsidRPr="00D032B4">
        <w:rPr>
          <w:rFonts w:cs="Arial"/>
          <w:sz w:val="24"/>
          <w:szCs w:val="24"/>
        </w:rPr>
        <w:t>in other marketing authorisations</w:t>
      </w:r>
      <w:r w:rsidR="00F452EC" w:rsidRPr="00D032B4">
        <w:rPr>
          <w:rFonts w:cs="Arial"/>
          <w:sz w:val="24"/>
          <w:szCs w:val="24"/>
        </w:rPr>
        <w:t xml:space="preserve">). </w:t>
      </w:r>
      <w:r w:rsidR="00432772" w:rsidRPr="00D032B4">
        <w:rPr>
          <w:rFonts w:cs="Arial"/>
          <w:sz w:val="24"/>
          <w:szCs w:val="24"/>
        </w:rPr>
        <w:t xml:space="preserve">Here, the marketing authorisation does not provide any specificity over and above being "add-on". </w:t>
      </w:r>
    </w:p>
    <w:p w14:paraId="65233C57" w14:textId="63D11986" w:rsidR="00F452EC" w:rsidRPr="00D032B4" w:rsidRDefault="00F452EC" w:rsidP="00B93E19">
      <w:pPr>
        <w:pStyle w:val="Paragraph"/>
        <w:rPr>
          <w:rFonts w:cs="Arial"/>
          <w:sz w:val="24"/>
          <w:szCs w:val="24"/>
        </w:rPr>
      </w:pPr>
      <w:r w:rsidRPr="00D032B4">
        <w:rPr>
          <w:rFonts w:cs="Arial"/>
          <w:sz w:val="24"/>
          <w:szCs w:val="24"/>
        </w:rPr>
        <w:t xml:space="preserve">With reference to paragraphs 3.4 of the second draft guidance and FDG, </w:t>
      </w:r>
      <w:r w:rsidR="00F309D6">
        <w:rPr>
          <w:rFonts w:cs="Arial"/>
          <w:sz w:val="24"/>
          <w:szCs w:val="24"/>
        </w:rPr>
        <w:t>Dr</w:t>
      </w:r>
      <w:r w:rsidR="00F309D6" w:rsidRPr="00D032B4">
        <w:rPr>
          <w:rFonts w:cs="Arial"/>
          <w:sz w:val="24"/>
          <w:szCs w:val="24"/>
        </w:rPr>
        <w:t xml:space="preserve"> </w:t>
      </w:r>
      <w:r w:rsidRPr="00D032B4">
        <w:rPr>
          <w:rFonts w:cs="Arial"/>
          <w:sz w:val="24"/>
          <w:szCs w:val="24"/>
        </w:rPr>
        <w:t xml:space="preserve">Reddy noted that the target population remained </w:t>
      </w:r>
      <w:r w:rsidR="0078400F" w:rsidRPr="00D032B4">
        <w:rPr>
          <w:rFonts w:cs="Arial"/>
          <w:sz w:val="24"/>
          <w:szCs w:val="24"/>
        </w:rPr>
        <w:t>consistent</w:t>
      </w:r>
      <w:r w:rsidRPr="00D032B4">
        <w:rPr>
          <w:rFonts w:cs="Arial"/>
          <w:sz w:val="24"/>
          <w:szCs w:val="24"/>
        </w:rPr>
        <w:t xml:space="preserve">. The target population are people who have active refractory </w:t>
      </w:r>
      <w:r w:rsidR="00544068">
        <w:rPr>
          <w:rFonts w:cs="Arial"/>
          <w:sz w:val="24"/>
          <w:szCs w:val="24"/>
        </w:rPr>
        <w:t>generalised myasthenia gravis</w:t>
      </w:r>
      <w:r w:rsidRPr="00D032B4">
        <w:rPr>
          <w:rFonts w:cs="Arial"/>
          <w:sz w:val="24"/>
          <w:szCs w:val="24"/>
        </w:rPr>
        <w:t xml:space="preserve"> with a</w:t>
      </w:r>
      <w:r w:rsidR="0078400F" w:rsidRPr="00D032B4">
        <w:rPr>
          <w:rFonts w:cs="Arial"/>
          <w:sz w:val="24"/>
          <w:szCs w:val="24"/>
        </w:rPr>
        <w:t xml:space="preserve"> MG Activities of Daily Living </w:t>
      </w:r>
      <w:r w:rsidR="0078400F" w:rsidRPr="00F309D6">
        <w:rPr>
          <w:rFonts w:cs="Arial"/>
          <w:sz w:val="24"/>
          <w:szCs w:val="24"/>
        </w:rPr>
        <w:t>(</w:t>
      </w:r>
      <w:r w:rsidRPr="00AC2B0A">
        <w:rPr>
          <w:rFonts w:cs="Arial"/>
          <w:sz w:val="24"/>
          <w:szCs w:val="24"/>
        </w:rPr>
        <w:t>MG-ADL</w:t>
      </w:r>
      <w:r w:rsidR="0078400F" w:rsidRPr="00F309D6">
        <w:rPr>
          <w:rFonts w:cs="Arial"/>
          <w:sz w:val="24"/>
          <w:szCs w:val="24"/>
        </w:rPr>
        <w:t>)</w:t>
      </w:r>
      <w:r w:rsidRPr="00F309D6">
        <w:rPr>
          <w:rFonts w:cs="Arial"/>
          <w:sz w:val="24"/>
          <w:szCs w:val="24"/>
        </w:rPr>
        <w:t xml:space="preserve"> </w:t>
      </w:r>
      <w:r w:rsidRPr="00D032B4">
        <w:rPr>
          <w:rFonts w:cs="Arial"/>
          <w:sz w:val="24"/>
          <w:szCs w:val="24"/>
        </w:rPr>
        <w:t xml:space="preserve">score of 5 or more and who cannot tolerate or are ineligible for standard treatment (or in whom standard treatment has failed). Standard treatment was defined as a maximal dose of corticosteroids, and at least </w:t>
      </w:r>
      <w:r w:rsidR="00ED1F23" w:rsidRPr="00D032B4">
        <w:rPr>
          <w:rFonts w:cs="Arial"/>
          <w:sz w:val="24"/>
          <w:szCs w:val="24"/>
        </w:rPr>
        <w:t>two</w:t>
      </w:r>
      <w:r w:rsidRPr="00D032B4">
        <w:rPr>
          <w:rFonts w:cs="Arial"/>
          <w:sz w:val="24"/>
          <w:szCs w:val="24"/>
        </w:rPr>
        <w:t xml:space="preserve"> additional treatments, such as non-steroidal immunosuppressants and rituximab, for an adequate </w:t>
      </w:r>
      <w:proofErr w:type="gramStart"/>
      <w:r w:rsidRPr="00D032B4">
        <w:rPr>
          <w:rFonts w:cs="Arial"/>
          <w:sz w:val="24"/>
          <w:szCs w:val="24"/>
        </w:rPr>
        <w:t>period of time</w:t>
      </w:r>
      <w:proofErr w:type="gramEnd"/>
      <w:r w:rsidRPr="00D032B4">
        <w:rPr>
          <w:rFonts w:cs="Arial"/>
          <w:sz w:val="24"/>
          <w:szCs w:val="24"/>
        </w:rPr>
        <w:t xml:space="preserve">, at an adequate dose. </w:t>
      </w:r>
    </w:p>
    <w:p w14:paraId="3AB99CE8" w14:textId="062F674C" w:rsidR="00F452EC" w:rsidRPr="00D032B4" w:rsidRDefault="00F452EC" w:rsidP="00B93E19">
      <w:pPr>
        <w:pStyle w:val="Paragraph"/>
        <w:rPr>
          <w:rFonts w:cs="Arial"/>
          <w:sz w:val="24"/>
          <w:szCs w:val="24"/>
        </w:rPr>
      </w:pPr>
      <w:r w:rsidRPr="00D032B4">
        <w:rPr>
          <w:rFonts w:cs="Arial"/>
          <w:sz w:val="24"/>
          <w:szCs w:val="24"/>
        </w:rPr>
        <w:t>With reference to the above target population, the Committee did not understand the Company</w:t>
      </w:r>
      <w:r w:rsidR="0078400F" w:rsidRPr="00D032B4">
        <w:rPr>
          <w:rFonts w:cs="Arial"/>
          <w:sz w:val="24"/>
          <w:szCs w:val="24"/>
        </w:rPr>
        <w:t xml:space="preserve">'s position that </w:t>
      </w:r>
      <w:r w:rsidRPr="00D032B4">
        <w:rPr>
          <w:rFonts w:cs="Arial"/>
          <w:sz w:val="24"/>
          <w:szCs w:val="24"/>
        </w:rPr>
        <w:t xml:space="preserve">efgartigimod </w:t>
      </w:r>
      <w:r w:rsidR="0078400F" w:rsidRPr="00D032B4">
        <w:rPr>
          <w:rFonts w:cs="Arial"/>
          <w:sz w:val="24"/>
          <w:szCs w:val="24"/>
        </w:rPr>
        <w:t>was</w:t>
      </w:r>
      <w:r w:rsidRPr="00D032B4">
        <w:rPr>
          <w:rFonts w:cs="Arial"/>
          <w:sz w:val="24"/>
          <w:szCs w:val="24"/>
        </w:rPr>
        <w:t xml:space="preserve"> anything other than an "add-on". Although the Committee's view evolved throughout the course of the appraisal, </w:t>
      </w:r>
      <w:proofErr w:type="gramStart"/>
      <w:r w:rsidRPr="00D032B4">
        <w:rPr>
          <w:rFonts w:cs="Arial"/>
          <w:sz w:val="24"/>
          <w:szCs w:val="24"/>
        </w:rPr>
        <w:t>taking into account</w:t>
      </w:r>
      <w:proofErr w:type="gramEnd"/>
      <w:r w:rsidRPr="00D032B4">
        <w:rPr>
          <w:rFonts w:cs="Arial"/>
          <w:sz w:val="24"/>
          <w:szCs w:val="24"/>
        </w:rPr>
        <w:t xml:space="preserve"> expert clinical input, it ha</w:t>
      </w:r>
      <w:r w:rsidR="008921B1" w:rsidRPr="00D032B4">
        <w:rPr>
          <w:rFonts w:cs="Arial"/>
          <w:sz w:val="24"/>
          <w:szCs w:val="24"/>
        </w:rPr>
        <w:t>d</w:t>
      </w:r>
      <w:r w:rsidRPr="00D032B4">
        <w:rPr>
          <w:rFonts w:cs="Arial"/>
          <w:sz w:val="24"/>
          <w:szCs w:val="24"/>
        </w:rPr>
        <w:t xml:space="preserve"> not fundamentally changed </w:t>
      </w:r>
      <w:r w:rsidR="008921B1" w:rsidRPr="00D032B4">
        <w:rPr>
          <w:rFonts w:cs="Arial"/>
          <w:sz w:val="24"/>
          <w:szCs w:val="24"/>
        </w:rPr>
        <w:t xml:space="preserve">in the FDG </w:t>
      </w:r>
      <w:r w:rsidRPr="00D032B4">
        <w:rPr>
          <w:rFonts w:cs="Arial"/>
          <w:sz w:val="24"/>
          <w:szCs w:val="24"/>
        </w:rPr>
        <w:t xml:space="preserve">as the Company suggests. </w:t>
      </w:r>
    </w:p>
    <w:p w14:paraId="53A56044" w14:textId="4D1CC6DA" w:rsidR="00F452EC" w:rsidRPr="00D032B4" w:rsidRDefault="00F82A77" w:rsidP="00B93E19">
      <w:pPr>
        <w:pStyle w:val="Paragraph"/>
        <w:rPr>
          <w:rFonts w:cs="Arial"/>
          <w:sz w:val="24"/>
          <w:szCs w:val="24"/>
        </w:rPr>
      </w:pPr>
      <w:r>
        <w:rPr>
          <w:rFonts w:cs="Arial"/>
          <w:sz w:val="24"/>
          <w:szCs w:val="24"/>
        </w:rPr>
        <w:t xml:space="preserve">Dr </w:t>
      </w:r>
      <w:r w:rsidR="00F452EC" w:rsidRPr="00D032B4">
        <w:rPr>
          <w:rFonts w:cs="Arial"/>
          <w:sz w:val="24"/>
          <w:szCs w:val="24"/>
        </w:rPr>
        <w:t>Jacoline Bouvy</w:t>
      </w:r>
      <w:r>
        <w:rPr>
          <w:rFonts w:cs="Arial"/>
          <w:sz w:val="24"/>
          <w:szCs w:val="24"/>
        </w:rPr>
        <w:t>, for NICE,</w:t>
      </w:r>
      <w:r w:rsidR="00F452EC" w:rsidRPr="00D032B4">
        <w:rPr>
          <w:rFonts w:cs="Arial"/>
          <w:sz w:val="24"/>
          <w:szCs w:val="24"/>
        </w:rPr>
        <w:t xml:space="preserve"> </w:t>
      </w:r>
      <w:r w:rsidR="008921B1" w:rsidRPr="00D032B4">
        <w:rPr>
          <w:rFonts w:cs="Arial"/>
          <w:sz w:val="24"/>
          <w:szCs w:val="24"/>
        </w:rPr>
        <w:t>highlighted the</w:t>
      </w:r>
      <w:r w:rsidR="00F452EC" w:rsidRPr="00D032B4">
        <w:rPr>
          <w:rFonts w:cs="Arial"/>
          <w:sz w:val="24"/>
          <w:szCs w:val="24"/>
        </w:rPr>
        <w:t xml:space="preserve"> distinction </w:t>
      </w:r>
      <w:r w:rsidR="00CC0B99" w:rsidRPr="00D032B4">
        <w:rPr>
          <w:rFonts w:cs="Arial"/>
          <w:sz w:val="24"/>
          <w:szCs w:val="24"/>
        </w:rPr>
        <w:t xml:space="preserve">between </w:t>
      </w:r>
      <w:r w:rsidR="001159E1">
        <w:rPr>
          <w:rFonts w:cs="Arial"/>
          <w:sz w:val="24"/>
          <w:szCs w:val="24"/>
        </w:rPr>
        <w:t>intravenous immunoglobulin</w:t>
      </w:r>
      <w:r w:rsidR="00CC0B99" w:rsidRPr="00D032B4">
        <w:rPr>
          <w:rFonts w:cs="Arial"/>
          <w:sz w:val="24"/>
          <w:szCs w:val="24"/>
        </w:rPr>
        <w:t xml:space="preserve"> and </w:t>
      </w:r>
      <w:r w:rsidR="00544068">
        <w:rPr>
          <w:rFonts w:cs="Arial"/>
          <w:sz w:val="24"/>
          <w:szCs w:val="24"/>
        </w:rPr>
        <w:t>plasma exchange therapy</w:t>
      </w:r>
      <w:r w:rsidR="00CC0B99" w:rsidRPr="00D032B4">
        <w:rPr>
          <w:rFonts w:cs="Arial"/>
          <w:sz w:val="24"/>
          <w:szCs w:val="24"/>
        </w:rPr>
        <w:t>'s dual purpose in modelling</w:t>
      </w:r>
      <w:r w:rsidR="00F452EC" w:rsidRPr="00D032B4">
        <w:rPr>
          <w:rFonts w:cs="Arial"/>
          <w:sz w:val="24"/>
          <w:szCs w:val="24"/>
        </w:rPr>
        <w:t xml:space="preserve">. First, as a comparator for efgartigimod, </w:t>
      </w:r>
      <w:proofErr w:type="gramStart"/>
      <w:r w:rsidR="00F452EC" w:rsidRPr="00D032B4">
        <w:rPr>
          <w:rFonts w:cs="Arial"/>
          <w:sz w:val="24"/>
          <w:szCs w:val="24"/>
        </w:rPr>
        <w:t>that is to say that</w:t>
      </w:r>
      <w:proofErr w:type="gramEnd"/>
      <w:r w:rsidR="00F452EC" w:rsidRPr="00D032B4">
        <w:rPr>
          <w:rFonts w:cs="Arial"/>
          <w:sz w:val="24"/>
          <w:szCs w:val="24"/>
        </w:rPr>
        <w:t xml:space="preserve"> </w:t>
      </w:r>
      <w:r w:rsidR="001159E1">
        <w:rPr>
          <w:rFonts w:cs="Arial"/>
          <w:sz w:val="24"/>
          <w:szCs w:val="24"/>
        </w:rPr>
        <w:t>intravenous immunoglobulin</w:t>
      </w:r>
      <w:r w:rsidR="00F452EC" w:rsidRPr="00D032B4">
        <w:rPr>
          <w:rFonts w:cs="Arial"/>
          <w:sz w:val="24"/>
          <w:szCs w:val="24"/>
        </w:rPr>
        <w:t xml:space="preserve"> and </w:t>
      </w:r>
      <w:r w:rsidR="00544068">
        <w:rPr>
          <w:rFonts w:cs="Arial"/>
          <w:sz w:val="24"/>
          <w:szCs w:val="24"/>
        </w:rPr>
        <w:t>plasma exchange therapy</w:t>
      </w:r>
      <w:r w:rsidR="00F452EC" w:rsidRPr="00D032B4">
        <w:rPr>
          <w:rFonts w:cs="Arial"/>
          <w:sz w:val="24"/>
          <w:szCs w:val="24"/>
        </w:rPr>
        <w:t xml:space="preserve"> </w:t>
      </w:r>
      <w:r w:rsidR="00F452EC" w:rsidRPr="00D032B4">
        <w:rPr>
          <w:rFonts w:cs="Arial"/>
          <w:sz w:val="24"/>
          <w:szCs w:val="24"/>
        </w:rPr>
        <w:lastRenderedPageBreak/>
        <w:t>are the</w:t>
      </w:r>
      <w:r w:rsidR="00650A50" w:rsidRPr="00D032B4">
        <w:rPr>
          <w:rFonts w:cs="Arial"/>
          <w:sz w:val="24"/>
          <w:szCs w:val="24"/>
        </w:rPr>
        <w:t xml:space="preserve"> escalation therapies </w:t>
      </w:r>
      <w:r w:rsidR="00F452EC" w:rsidRPr="00D032B4">
        <w:rPr>
          <w:rFonts w:cs="Arial"/>
          <w:sz w:val="24"/>
          <w:szCs w:val="24"/>
        </w:rPr>
        <w:t>that a p</w:t>
      </w:r>
      <w:r w:rsidR="00650A50" w:rsidRPr="00D032B4">
        <w:rPr>
          <w:rFonts w:cs="Arial"/>
          <w:sz w:val="24"/>
          <w:szCs w:val="24"/>
        </w:rPr>
        <w:t>atient</w:t>
      </w:r>
      <w:r w:rsidR="00F452EC" w:rsidRPr="00D032B4">
        <w:rPr>
          <w:rFonts w:cs="Arial"/>
          <w:sz w:val="24"/>
          <w:szCs w:val="24"/>
        </w:rPr>
        <w:t xml:space="preserve"> would receive </w:t>
      </w:r>
      <w:r w:rsidR="00F452EC" w:rsidRPr="00391F81">
        <w:rPr>
          <w:rFonts w:cs="Arial"/>
          <w:sz w:val="24"/>
          <w:szCs w:val="24"/>
        </w:rPr>
        <w:t>instead of</w:t>
      </w:r>
      <w:r w:rsidR="00F452EC" w:rsidRPr="00D032B4">
        <w:rPr>
          <w:rFonts w:cs="Arial"/>
          <w:sz w:val="24"/>
          <w:szCs w:val="24"/>
        </w:rPr>
        <w:t xml:space="preserve"> efgartigimod. Secondly, </w:t>
      </w:r>
      <w:r w:rsidR="004E1836" w:rsidRPr="00391F81">
        <w:rPr>
          <w:rFonts w:cs="Arial"/>
          <w:sz w:val="24"/>
          <w:szCs w:val="24"/>
        </w:rPr>
        <w:t>as part of</w:t>
      </w:r>
      <w:r w:rsidR="004E1836" w:rsidRPr="00D032B4">
        <w:rPr>
          <w:rFonts w:cs="Arial"/>
          <w:sz w:val="24"/>
          <w:szCs w:val="24"/>
        </w:rPr>
        <w:t xml:space="preserve"> the treatment pathway</w:t>
      </w:r>
      <w:r w:rsidR="00650A50" w:rsidRPr="00D032B4">
        <w:rPr>
          <w:rFonts w:cs="Arial"/>
          <w:sz w:val="24"/>
          <w:szCs w:val="24"/>
        </w:rPr>
        <w:t>, considering</w:t>
      </w:r>
      <w:r w:rsidR="00F452EC" w:rsidRPr="00D032B4">
        <w:rPr>
          <w:rFonts w:cs="Arial"/>
          <w:sz w:val="24"/>
          <w:szCs w:val="24"/>
        </w:rPr>
        <w:t xml:space="preserve"> wh</w:t>
      </w:r>
      <w:r w:rsidR="00CC0B99" w:rsidRPr="00D032B4">
        <w:rPr>
          <w:rFonts w:cs="Arial"/>
          <w:sz w:val="24"/>
          <w:szCs w:val="24"/>
        </w:rPr>
        <w:t xml:space="preserve">ether a </w:t>
      </w:r>
      <w:r w:rsidR="00F452EC" w:rsidRPr="00D032B4">
        <w:rPr>
          <w:rFonts w:cs="Arial"/>
          <w:sz w:val="24"/>
          <w:szCs w:val="24"/>
        </w:rPr>
        <w:t>patient would receive</w:t>
      </w:r>
      <w:r w:rsidR="00CC0B99" w:rsidRPr="00D032B4">
        <w:rPr>
          <w:rFonts w:cs="Arial"/>
          <w:sz w:val="24"/>
          <w:szCs w:val="24"/>
        </w:rPr>
        <w:t xml:space="preserve"> </w:t>
      </w:r>
      <w:r w:rsidR="001159E1">
        <w:rPr>
          <w:rFonts w:cs="Arial"/>
          <w:sz w:val="24"/>
          <w:szCs w:val="24"/>
        </w:rPr>
        <w:t>intravenous immunoglobulin</w:t>
      </w:r>
      <w:r w:rsidR="00CC0B99" w:rsidRPr="00D032B4">
        <w:rPr>
          <w:rFonts w:cs="Arial"/>
          <w:sz w:val="24"/>
          <w:szCs w:val="24"/>
        </w:rPr>
        <w:t xml:space="preserve"> and </w:t>
      </w:r>
      <w:r w:rsidR="00544068">
        <w:rPr>
          <w:rFonts w:cs="Arial"/>
          <w:sz w:val="24"/>
          <w:szCs w:val="24"/>
        </w:rPr>
        <w:t>plasma exchange therapy</w:t>
      </w:r>
      <w:r w:rsidR="00F452EC" w:rsidRPr="00D032B4">
        <w:rPr>
          <w:rFonts w:cs="Arial"/>
          <w:sz w:val="24"/>
          <w:szCs w:val="24"/>
        </w:rPr>
        <w:t xml:space="preserve"> if efgartigimod stopped working.</w:t>
      </w:r>
      <w:r w:rsidR="00CC0B99" w:rsidRPr="00D032B4">
        <w:rPr>
          <w:rFonts w:cs="Arial"/>
          <w:sz w:val="24"/>
          <w:szCs w:val="24"/>
        </w:rPr>
        <w:t xml:space="preserve"> It is equally, if not more important, for the Committee to </w:t>
      </w:r>
      <w:proofErr w:type="gramStart"/>
      <w:r w:rsidR="00CC0B99" w:rsidRPr="00D032B4">
        <w:rPr>
          <w:rFonts w:cs="Arial"/>
          <w:sz w:val="24"/>
          <w:szCs w:val="24"/>
        </w:rPr>
        <w:t>take into account</w:t>
      </w:r>
      <w:proofErr w:type="gramEnd"/>
      <w:r w:rsidR="00CC0B99" w:rsidRPr="00D032B4">
        <w:rPr>
          <w:rFonts w:cs="Arial"/>
          <w:sz w:val="24"/>
          <w:szCs w:val="24"/>
        </w:rPr>
        <w:t xml:space="preserve"> what happens in the </w:t>
      </w:r>
      <w:r w:rsidR="00270191" w:rsidRPr="00D032B4">
        <w:rPr>
          <w:rFonts w:cs="Arial"/>
          <w:sz w:val="24"/>
          <w:szCs w:val="24"/>
        </w:rPr>
        <w:t>efgartigimod</w:t>
      </w:r>
      <w:r w:rsidR="00CC0B99" w:rsidRPr="00D032B4">
        <w:rPr>
          <w:rFonts w:cs="Arial"/>
          <w:sz w:val="24"/>
          <w:szCs w:val="24"/>
        </w:rPr>
        <w:t xml:space="preserve"> arm of the model where efgartigimod is no</w:t>
      </w:r>
      <w:r w:rsidR="00270191" w:rsidRPr="00D032B4">
        <w:rPr>
          <w:rFonts w:cs="Arial"/>
          <w:sz w:val="24"/>
          <w:szCs w:val="24"/>
        </w:rPr>
        <w:t xml:space="preserve"> longer used.</w:t>
      </w:r>
    </w:p>
    <w:p w14:paraId="2A5CB4CB" w14:textId="30713E02" w:rsidR="00F452EC" w:rsidRPr="00D032B4" w:rsidRDefault="00CC0B99" w:rsidP="00B93E19">
      <w:pPr>
        <w:pStyle w:val="Paragraph"/>
        <w:rPr>
          <w:rFonts w:cs="Arial"/>
          <w:sz w:val="24"/>
          <w:szCs w:val="24"/>
        </w:rPr>
      </w:pPr>
      <w:proofErr w:type="gramStart"/>
      <w:r w:rsidRPr="00D032B4">
        <w:rPr>
          <w:rFonts w:cs="Arial"/>
          <w:sz w:val="24"/>
          <w:szCs w:val="24"/>
        </w:rPr>
        <w:t>In order to</w:t>
      </w:r>
      <w:proofErr w:type="gramEnd"/>
      <w:r w:rsidRPr="00D032B4">
        <w:rPr>
          <w:rFonts w:cs="Arial"/>
          <w:sz w:val="24"/>
          <w:szCs w:val="24"/>
        </w:rPr>
        <w:t xml:space="preserve"> better understand all parties' understanding of the impact of the term "add-on" in the marketing authorisation, the Panel asked the Company and NICE to clarify the distinction between concurrent treatment (and whether it would ever be advisable to administer </w:t>
      </w:r>
      <w:r w:rsidR="00544068">
        <w:rPr>
          <w:rFonts w:cs="Arial"/>
          <w:sz w:val="24"/>
          <w:szCs w:val="24"/>
        </w:rPr>
        <w:t>plasma exchange therapy</w:t>
      </w:r>
      <w:r w:rsidRPr="00D032B4">
        <w:rPr>
          <w:rFonts w:cs="Arial"/>
          <w:sz w:val="24"/>
          <w:szCs w:val="24"/>
        </w:rPr>
        <w:t xml:space="preserve"> / </w:t>
      </w:r>
      <w:r w:rsidR="001159E1">
        <w:rPr>
          <w:rFonts w:cs="Arial"/>
          <w:sz w:val="24"/>
          <w:szCs w:val="24"/>
        </w:rPr>
        <w:t>intravenous immunoglobulin</w:t>
      </w:r>
      <w:r w:rsidRPr="00D032B4">
        <w:rPr>
          <w:rFonts w:cs="Arial"/>
          <w:sz w:val="24"/>
          <w:szCs w:val="24"/>
        </w:rPr>
        <w:t xml:space="preserve"> with efgartigimod) and sequential treatment. </w:t>
      </w:r>
    </w:p>
    <w:p w14:paraId="123CABFC" w14:textId="0C2643C9" w:rsidR="00CC0B99" w:rsidRPr="00D032B4" w:rsidRDefault="00F82A77" w:rsidP="00B93E19">
      <w:pPr>
        <w:pStyle w:val="Paragraph"/>
        <w:rPr>
          <w:rFonts w:cs="Arial"/>
          <w:sz w:val="24"/>
          <w:szCs w:val="24"/>
        </w:rPr>
      </w:pPr>
      <w:r>
        <w:rPr>
          <w:rFonts w:cs="Arial"/>
          <w:sz w:val="24"/>
          <w:szCs w:val="24"/>
        </w:rPr>
        <w:t>Dr</w:t>
      </w:r>
      <w:r w:rsidRPr="00D032B4">
        <w:rPr>
          <w:rFonts w:cs="Arial"/>
          <w:sz w:val="24"/>
          <w:szCs w:val="24"/>
        </w:rPr>
        <w:t xml:space="preserve"> </w:t>
      </w:r>
      <w:r w:rsidR="00CC0B99" w:rsidRPr="00D032B4">
        <w:rPr>
          <w:rFonts w:cs="Arial"/>
          <w:sz w:val="24"/>
          <w:szCs w:val="24"/>
        </w:rPr>
        <w:t xml:space="preserve">Reddy confirmed that there is no suggestion that efgartigimod is being used at the same time as </w:t>
      </w:r>
      <w:r w:rsidR="001159E1">
        <w:rPr>
          <w:rFonts w:cs="Arial"/>
          <w:sz w:val="24"/>
          <w:szCs w:val="24"/>
        </w:rPr>
        <w:t>intravenous immunoglobulin</w:t>
      </w:r>
      <w:r w:rsidR="00CC0B99" w:rsidRPr="00D032B4">
        <w:rPr>
          <w:rFonts w:cs="Arial"/>
          <w:sz w:val="24"/>
          <w:szCs w:val="24"/>
        </w:rPr>
        <w:t xml:space="preserve"> and/or </w:t>
      </w:r>
      <w:r w:rsidR="00544068">
        <w:rPr>
          <w:rFonts w:cs="Arial"/>
          <w:sz w:val="24"/>
          <w:szCs w:val="24"/>
        </w:rPr>
        <w:t>plasma exchange therapy</w:t>
      </w:r>
      <w:r w:rsidR="00CC0B99" w:rsidRPr="00D032B4">
        <w:rPr>
          <w:rFonts w:cs="Arial"/>
          <w:sz w:val="24"/>
          <w:szCs w:val="24"/>
        </w:rPr>
        <w:t xml:space="preserve">. </w:t>
      </w:r>
      <w:r w:rsidR="00270191" w:rsidRPr="00D032B4">
        <w:rPr>
          <w:rFonts w:cs="Arial"/>
          <w:sz w:val="24"/>
          <w:szCs w:val="24"/>
        </w:rPr>
        <w:t>But, he</w:t>
      </w:r>
      <w:r w:rsidR="00CC0B99" w:rsidRPr="00D032B4">
        <w:rPr>
          <w:rFonts w:cs="Arial"/>
          <w:sz w:val="24"/>
          <w:szCs w:val="24"/>
        </w:rPr>
        <w:t xml:space="preserve"> explained</w:t>
      </w:r>
      <w:r w:rsidR="00270191" w:rsidRPr="00D032B4">
        <w:rPr>
          <w:rFonts w:cs="Arial"/>
          <w:sz w:val="24"/>
          <w:szCs w:val="24"/>
        </w:rPr>
        <w:t xml:space="preserve">, </w:t>
      </w:r>
      <w:r w:rsidR="00CC0B99" w:rsidRPr="00D032B4">
        <w:rPr>
          <w:rFonts w:cs="Arial"/>
          <w:sz w:val="24"/>
          <w:szCs w:val="24"/>
        </w:rPr>
        <w:t xml:space="preserve">the whole treatment pathway </w:t>
      </w:r>
      <w:proofErr w:type="gramStart"/>
      <w:r w:rsidR="00CC0B99" w:rsidRPr="00D032B4">
        <w:rPr>
          <w:rFonts w:cs="Arial"/>
          <w:sz w:val="24"/>
          <w:szCs w:val="24"/>
        </w:rPr>
        <w:t>has to</w:t>
      </w:r>
      <w:proofErr w:type="gramEnd"/>
      <w:r w:rsidR="00CC0B99" w:rsidRPr="00D032B4">
        <w:rPr>
          <w:rFonts w:cs="Arial"/>
          <w:sz w:val="24"/>
          <w:szCs w:val="24"/>
        </w:rPr>
        <w:t xml:space="preserve"> be considered in modelling – which includes those patients who might go back onto </w:t>
      </w:r>
      <w:r w:rsidR="001159E1">
        <w:rPr>
          <w:rFonts w:cs="Arial"/>
          <w:sz w:val="24"/>
          <w:szCs w:val="24"/>
        </w:rPr>
        <w:t>intravenous immunoglobulin</w:t>
      </w:r>
      <w:r w:rsidR="00CC0B99" w:rsidRPr="00D032B4">
        <w:rPr>
          <w:rFonts w:cs="Arial"/>
          <w:sz w:val="24"/>
          <w:szCs w:val="24"/>
        </w:rPr>
        <w:t xml:space="preserve"> or </w:t>
      </w:r>
      <w:r w:rsidR="00544068">
        <w:rPr>
          <w:rFonts w:cs="Arial"/>
          <w:sz w:val="24"/>
          <w:szCs w:val="24"/>
        </w:rPr>
        <w:t>plasma exchange therapy</w:t>
      </w:r>
      <w:r w:rsidR="00CC0B99" w:rsidRPr="00D032B4">
        <w:rPr>
          <w:rFonts w:cs="Arial"/>
          <w:sz w:val="24"/>
          <w:szCs w:val="24"/>
        </w:rPr>
        <w:t xml:space="preserve"> if efgartigimod stopped working. </w:t>
      </w:r>
    </w:p>
    <w:p w14:paraId="2A79976F" w14:textId="549C9170" w:rsidR="00CC0B99" w:rsidRPr="00D032B4" w:rsidRDefault="00CC0B99" w:rsidP="00B93E19">
      <w:pPr>
        <w:pStyle w:val="Paragraph"/>
        <w:rPr>
          <w:rFonts w:cs="Arial"/>
          <w:sz w:val="24"/>
          <w:szCs w:val="24"/>
        </w:rPr>
      </w:pPr>
      <w:r w:rsidRPr="00D032B4">
        <w:rPr>
          <w:rFonts w:cs="Arial"/>
          <w:sz w:val="24"/>
          <w:szCs w:val="24"/>
        </w:rPr>
        <w:t xml:space="preserve">Alan Moore, for NICE, explained that modelling an appropriate pathway </w:t>
      </w:r>
      <w:r w:rsidR="00B72E50" w:rsidRPr="00D032B4">
        <w:rPr>
          <w:rFonts w:cs="Arial"/>
          <w:sz w:val="24"/>
          <w:szCs w:val="24"/>
        </w:rPr>
        <w:t>is</w:t>
      </w:r>
      <w:r w:rsidRPr="00D032B4">
        <w:rPr>
          <w:rFonts w:cs="Arial"/>
          <w:sz w:val="24"/>
          <w:szCs w:val="24"/>
        </w:rPr>
        <w:t xml:space="preserve"> a fundamental part of any appraisal. He described the changes made by the Company to the modelled treatment pathway at each committee meeting. Using the pathway modelled at the fourth committee meeting as an example</w:t>
      </w:r>
      <w:r w:rsidR="00663D76" w:rsidRPr="00D032B4">
        <w:rPr>
          <w:rFonts w:cs="Arial"/>
          <w:sz w:val="24"/>
          <w:szCs w:val="24"/>
        </w:rPr>
        <w:t xml:space="preserve">, the efgartigimod arm and the comparator arm both only modelled two treatments despite there being an additional line in the pathway in the efgartigimod arm: </w:t>
      </w:r>
    </w:p>
    <w:p w14:paraId="04BC37C2" w14:textId="4239FD9B" w:rsidR="00663D76" w:rsidRPr="00D032B4" w:rsidRDefault="00663D76" w:rsidP="00663D76">
      <w:pPr>
        <w:pStyle w:val="Paragraph"/>
        <w:numPr>
          <w:ilvl w:val="1"/>
          <w:numId w:val="1"/>
        </w:numPr>
        <w:rPr>
          <w:rFonts w:cs="Arial"/>
          <w:sz w:val="24"/>
          <w:szCs w:val="24"/>
        </w:rPr>
      </w:pPr>
      <w:r w:rsidRPr="00D032B4">
        <w:rPr>
          <w:rFonts w:cs="Arial"/>
          <w:sz w:val="24"/>
          <w:szCs w:val="24"/>
        </w:rPr>
        <w:t xml:space="preserve">In the efgartigimod arm: </w:t>
      </w:r>
    </w:p>
    <w:p w14:paraId="64486E8B" w14:textId="50108F9B" w:rsidR="00663D76" w:rsidRPr="00D032B4" w:rsidRDefault="00663D76" w:rsidP="00663D76">
      <w:pPr>
        <w:pStyle w:val="Paragraph"/>
        <w:numPr>
          <w:ilvl w:val="2"/>
          <w:numId w:val="1"/>
        </w:numPr>
        <w:rPr>
          <w:rFonts w:cs="Arial"/>
          <w:sz w:val="24"/>
          <w:szCs w:val="24"/>
        </w:rPr>
      </w:pPr>
      <w:r w:rsidRPr="00D032B4">
        <w:rPr>
          <w:rFonts w:cs="Arial"/>
          <w:sz w:val="24"/>
          <w:szCs w:val="24"/>
        </w:rPr>
        <w:t xml:space="preserve">Efgartigimod and </w:t>
      </w:r>
      <w:r w:rsidR="001159E1">
        <w:rPr>
          <w:rFonts w:cs="Arial"/>
          <w:sz w:val="24"/>
          <w:szCs w:val="24"/>
        </w:rPr>
        <w:t>intravenous immunoglobulin</w:t>
      </w:r>
      <w:r w:rsidRPr="00D032B4">
        <w:rPr>
          <w:rFonts w:cs="Arial"/>
          <w:sz w:val="24"/>
          <w:szCs w:val="24"/>
        </w:rPr>
        <w:t xml:space="preserve">; or </w:t>
      </w:r>
    </w:p>
    <w:p w14:paraId="38124AB9" w14:textId="2C6D99F6" w:rsidR="00663D76" w:rsidRPr="00D032B4" w:rsidRDefault="00663D76" w:rsidP="00663D76">
      <w:pPr>
        <w:pStyle w:val="Paragraph"/>
        <w:numPr>
          <w:ilvl w:val="2"/>
          <w:numId w:val="1"/>
        </w:numPr>
        <w:rPr>
          <w:rFonts w:cs="Arial"/>
          <w:sz w:val="24"/>
          <w:szCs w:val="24"/>
        </w:rPr>
      </w:pPr>
      <w:r w:rsidRPr="00D032B4">
        <w:rPr>
          <w:rFonts w:cs="Arial"/>
          <w:sz w:val="24"/>
          <w:szCs w:val="24"/>
        </w:rPr>
        <w:lastRenderedPageBreak/>
        <w:t xml:space="preserve">Efgartigimod and </w:t>
      </w:r>
      <w:r w:rsidR="00544068">
        <w:rPr>
          <w:rFonts w:cs="Arial"/>
          <w:sz w:val="24"/>
          <w:szCs w:val="24"/>
        </w:rPr>
        <w:t>plasma exchange therapy</w:t>
      </w:r>
    </w:p>
    <w:p w14:paraId="40B25FD9" w14:textId="796C5407" w:rsidR="00663D76" w:rsidRPr="00D032B4" w:rsidRDefault="00663D76" w:rsidP="00663D76">
      <w:pPr>
        <w:pStyle w:val="Paragraph"/>
        <w:numPr>
          <w:ilvl w:val="1"/>
          <w:numId w:val="1"/>
        </w:numPr>
        <w:rPr>
          <w:rFonts w:cs="Arial"/>
          <w:sz w:val="24"/>
          <w:szCs w:val="24"/>
        </w:rPr>
      </w:pPr>
      <w:r w:rsidRPr="00D032B4">
        <w:rPr>
          <w:rFonts w:cs="Arial"/>
          <w:sz w:val="24"/>
          <w:szCs w:val="24"/>
        </w:rPr>
        <w:t xml:space="preserve">In the established clinical management comparator arm: </w:t>
      </w:r>
    </w:p>
    <w:p w14:paraId="00B365FF" w14:textId="4E31175E" w:rsidR="00663D76" w:rsidRPr="00D032B4" w:rsidRDefault="001159E1" w:rsidP="00663D76">
      <w:pPr>
        <w:pStyle w:val="Paragraph"/>
        <w:numPr>
          <w:ilvl w:val="2"/>
          <w:numId w:val="1"/>
        </w:numPr>
        <w:rPr>
          <w:rFonts w:cs="Arial"/>
          <w:sz w:val="24"/>
          <w:szCs w:val="24"/>
        </w:rPr>
      </w:pPr>
      <w:r>
        <w:rPr>
          <w:rFonts w:cs="Arial"/>
          <w:sz w:val="24"/>
          <w:szCs w:val="24"/>
        </w:rPr>
        <w:t>Intravenous immunoglobulin</w:t>
      </w:r>
      <w:r w:rsidR="00663D76" w:rsidRPr="00D032B4">
        <w:rPr>
          <w:rFonts w:cs="Arial"/>
          <w:sz w:val="24"/>
          <w:szCs w:val="24"/>
        </w:rPr>
        <w:t xml:space="preserve"> and </w:t>
      </w:r>
      <w:r w:rsidR="00544068">
        <w:rPr>
          <w:rFonts w:cs="Arial"/>
          <w:sz w:val="24"/>
          <w:szCs w:val="24"/>
        </w:rPr>
        <w:t>plasma exchange therapy</w:t>
      </w:r>
      <w:r w:rsidR="00663D76" w:rsidRPr="00D032B4">
        <w:rPr>
          <w:rFonts w:cs="Arial"/>
          <w:sz w:val="24"/>
          <w:szCs w:val="24"/>
        </w:rPr>
        <w:t xml:space="preserve">. </w:t>
      </w:r>
    </w:p>
    <w:p w14:paraId="1F71F72B" w14:textId="46A84BBB" w:rsidR="00663D76" w:rsidRPr="00D032B4" w:rsidRDefault="00663D76" w:rsidP="00663D76">
      <w:pPr>
        <w:pStyle w:val="Paragraph"/>
        <w:rPr>
          <w:rFonts w:cs="Arial"/>
          <w:sz w:val="24"/>
          <w:szCs w:val="24"/>
        </w:rPr>
      </w:pPr>
      <w:r w:rsidRPr="00D032B4">
        <w:rPr>
          <w:rFonts w:cs="Arial"/>
          <w:sz w:val="24"/>
          <w:szCs w:val="24"/>
        </w:rPr>
        <w:t xml:space="preserve">David Knechtel noted that there was no mention of efgartigimod being an "add-on" to the pathway during the </w:t>
      </w:r>
      <w:r w:rsidR="00675A1E">
        <w:rPr>
          <w:rFonts w:cs="Arial"/>
          <w:sz w:val="24"/>
          <w:szCs w:val="24"/>
        </w:rPr>
        <w:t>“</w:t>
      </w:r>
      <w:r w:rsidRPr="00D032B4">
        <w:rPr>
          <w:rFonts w:cs="Arial"/>
          <w:sz w:val="24"/>
          <w:szCs w:val="24"/>
        </w:rPr>
        <w:t>Chair's action</w:t>
      </w:r>
      <w:r w:rsidR="00AA0AB0">
        <w:rPr>
          <w:rFonts w:cs="Arial"/>
          <w:sz w:val="24"/>
          <w:szCs w:val="24"/>
        </w:rPr>
        <w:t>’’</w:t>
      </w:r>
      <w:r w:rsidRPr="00D032B4">
        <w:rPr>
          <w:rFonts w:cs="Arial"/>
          <w:sz w:val="24"/>
          <w:szCs w:val="24"/>
        </w:rPr>
        <w:t xml:space="preserve">, and that the first time the Company was made aware of this was on 12 December 2024 </w:t>
      </w:r>
      <w:r w:rsidR="00B72E50" w:rsidRPr="00D032B4">
        <w:rPr>
          <w:rFonts w:cs="Arial"/>
          <w:sz w:val="24"/>
          <w:szCs w:val="24"/>
        </w:rPr>
        <w:t xml:space="preserve">in correspondence with NICE </w:t>
      </w:r>
      <w:r w:rsidRPr="00D032B4">
        <w:rPr>
          <w:rFonts w:cs="Arial"/>
          <w:sz w:val="24"/>
          <w:szCs w:val="24"/>
        </w:rPr>
        <w:t xml:space="preserve">after the fourth committee meeting. </w:t>
      </w:r>
    </w:p>
    <w:p w14:paraId="425236E1" w14:textId="66A1F024" w:rsidR="00663D76" w:rsidRPr="00D032B4" w:rsidRDefault="00663D76" w:rsidP="00663D76">
      <w:pPr>
        <w:pStyle w:val="Paragraph"/>
        <w:rPr>
          <w:rFonts w:cs="Arial"/>
          <w:sz w:val="24"/>
          <w:szCs w:val="24"/>
        </w:rPr>
      </w:pPr>
      <w:r w:rsidRPr="00D032B4">
        <w:rPr>
          <w:rFonts w:cs="Arial"/>
          <w:sz w:val="24"/>
          <w:szCs w:val="24"/>
        </w:rPr>
        <w:t>Esther Nzenza</w:t>
      </w:r>
      <w:r w:rsidR="00CF3C74">
        <w:rPr>
          <w:rFonts w:cs="Arial"/>
          <w:sz w:val="24"/>
          <w:szCs w:val="24"/>
        </w:rPr>
        <w:t xml:space="preserve">, for </w:t>
      </w:r>
      <w:proofErr w:type="spellStart"/>
      <w:r w:rsidR="00CF3C74">
        <w:rPr>
          <w:rFonts w:cs="Arial"/>
          <w:sz w:val="24"/>
          <w:szCs w:val="24"/>
        </w:rPr>
        <w:t>Argenx</w:t>
      </w:r>
      <w:proofErr w:type="spellEnd"/>
      <w:r w:rsidR="00CF3C74">
        <w:rPr>
          <w:rFonts w:cs="Arial"/>
          <w:sz w:val="24"/>
          <w:szCs w:val="24"/>
        </w:rPr>
        <w:t>,</w:t>
      </w:r>
      <w:r w:rsidRPr="00D032B4">
        <w:rPr>
          <w:rFonts w:cs="Arial"/>
          <w:sz w:val="24"/>
          <w:szCs w:val="24"/>
        </w:rPr>
        <w:t xml:space="preserve"> highlighted that the comparators in this appraisal have no clinical trial data or regulatory indication for use for refractory </w:t>
      </w:r>
      <w:r w:rsidR="00544068">
        <w:rPr>
          <w:rFonts w:cs="Arial"/>
          <w:sz w:val="24"/>
          <w:szCs w:val="24"/>
        </w:rPr>
        <w:t>generalised myasthenia gravis</w:t>
      </w:r>
      <w:r w:rsidRPr="00D032B4">
        <w:rPr>
          <w:rFonts w:cs="Arial"/>
          <w:sz w:val="24"/>
          <w:szCs w:val="24"/>
        </w:rPr>
        <w:t xml:space="preserve"> – and so there is inherent uncertainty in the pathway against which efgartigimod is being compared. She explained that the Company ha</w:t>
      </w:r>
      <w:r w:rsidR="00B72E50" w:rsidRPr="00D032B4">
        <w:rPr>
          <w:rFonts w:cs="Arial"/>
          <w:sz w:val="24"/>
          <w:szCs w:val="24"/>
        </w:rPr>
        <w:t>d</w:t>
      </w:r>
      <w:r w:rsidRPr="00D032B4">
        <w:rPr>
          <w:rFonts w:cs="Arial"/>
          <w:sz w:val="24"/>
          <w:szCs w:val="24"/>
        </w:rPr>
        <w:t xml:space="preserve"> sought to address those inherent uncertainties associated with unlicensed comparators by using the EAMS data (available after the second committee meeting onwards), expert elicitation etc.</w:t>
      </w:r>
    </w:p>
    <w:p w14:paraId="399FEEA8" w14:textId="367CB4AC" w:rsidR="00D73D61" w:rsidRPr="00D032B4" w:rsidRDefault="00D73D61" w:rsidP="00DF23BE">
      <w:pPr>
        <w:pStyle w:val="Paragraph"/>
        <w:rPr>
          <w:rFonts w:cs="Arial"/>
          <w:sz w:val="24"/>
          <w:szCs w:val="24"/>
        </w:rPr>
      </w:pPr>
      <w:r w:rsidRPr="00D032B4">
        <w:rPr>
          <w:rFonts w:cs="Arial"/>
          <w:sz w:val="24"/>
          <w:szCs w:val="24"/>
        </w:rPr>
        <w:t xml:space="preserve">In response, </w:t>
      </w:r>
      <w:r w:rsidR="00CF3C74">
        <w:rPr>
          <w:rFonts w:cs="Arial"/>
          <w:sz w:val="24"/>
          <w:szCs w:val="24"/>
        </w:rPr>
        <w:t>Dr</w:t>
      </w:r>
      <w:r w:rsidR="00CF3C74" w:rsidRPr="00D032B4">
        <w:rPr>
          <w:rFonts w:cs="Arial"/>
          <w:sz w:val="24"/>
          <w:szCs w:val="24"/>
        </w:rPr>
        <w:t xml:space="preserve"> </w:t>
      </w:r>
      <w:r w:rsidRPr="00D032B4">
        <w:rPr>
          <w:rFonts w:cs="Arial"/>
          <w:sz w:val="24"/>
          <w:szCs w:val="24"/>
        </w:rPr>
        <w:t xml:space="preserve">Bouvy explained that the Committee </w:t>
      </w:r>
      <w:r w:rsidR="00B72E50" w:rsidRPr="00D032B4">
        <w:rPr>
          <w:rFonts w:cs="Arial"/>
          <w:sz w:val="24"/>
          <w:szCs w:val="24"/>
        </w:rPr>
        <w:t>underst</w:t>
      </w:r>
      <w:r w:rsidR="008A329C" w:rsidRPr="00D032B4">
        <w:rPr>
          <w:rFonts w:cs="Arial"/>
          <w:sz w:val="24"/>
          <w:szCs w:val="24"/>
        </w:rPr>
        <w:t>ood</w:t>
      </w:r>
      <w:r w:rsidR="00B72E50" w:rsidRPr="00D032B4">
        <w:rPr>
          <w:rFonts w:cs="Arial"/>
          <w:sz w:val="24"/>
          <w:szCs w:val="24"/>
        </w:rPr>
        <w:t xml:space="preserve"> and appreciate</w:t>
      </w:r>
      <w:r w:rsidR="008A329C" w:rsidRPr="00D032B4">
        <w:rPr>
          <w:rFonts w:cs="Arial"/>
          <w:sz w:val="24"/>
          <w:szCs w:val="24"/>
        </w:rPr>
        <w:t>d</w:t>
      </w:r>
      <w:r w:rsidR="00B72E50" w:rsidRPr="00D032B4">
        <w:rPr>
          <w:rFonts w:cs="Arial"/>
          <w:sz w:val="24"/>
          <w:szCs w:val="24"/>
        </w:rPr>
        <w:t xml:space="preserve"> the impact of efgart</w:t>
      </w:r>
      <w:r w:rsidR="008A329C" w:rsidRPr="00D032B4">
        <w:rPr>
          <w:rFonts w:cs="Arial"/>
          <w:sz w:val="24"/>
          <w:szCs w:val="24"/>
        </w:rPr>
        <w:t xml:space="preserve">igimod being modelled as an "add-on" to already </w:t>
      </w:r>
      <w:r w:rsidRPr="00D032B4">
        <w:rPr>
          <w:rFonts w:cs="Arial"/>
          <w:sz w:val="24"/>
          <w:szCs w:val="24"/>
        </w:rPr>
        <w:t>very expensive treatmen</w:t>
      </w:r>
      <w:r w:rsidR="00DF23BE" w:rsidRPr="00D032B4">
        <w:rPr>
          <w:rFonts w:cs="Arial"/>
          <w:sz w:val="24"/>
          <w:szCs w:val="24"/>
        </w:rPr>
        <w:t>t</w:t>
      </w:r>
      <w:r w:rsidRPr="00D032B4">
        <w:rPr>
          <w:rFonts w:cs="Arial"/>
          <w:sz w:val="24"/>
          <w:szCs w:val="24"/>
        </w:rPr>
        <w:t xml:space="preserve">. As a result, the Committee considered that it had a duty – which it sought to meet by issuing multiple draft guidance – to explore </w:t>
      </w:r>
      <w:r w:rsidR="00BC4E6F" w:rsidRPr="00D032B4">
        <w:rPr>
          <w:rFonts w:cs="Arial"/>
          <w:sz w:val="24"/>
          <w:szCs w:val="24"/>
        </w:rPr>
        <w:t>those</w:t>
      </w:r>
      <w:r w:rsidRPr="00D032B4">
        <w:rPr>
          <w:rFonts w:cs="Arial"/>
          <w:sz w:val="24"/>
          <w:szCs w:val="24"/>
        </w:rPr>
        <w:t xml:space="preserve"> issues and consider all the evidence available to it. The Committee applied an unusually high amount of flexibility in this appraisal, but it could not, however, ignore what it heard from the clinical experts in forming a reasonable set of assumptions </w:t>
      </w:r>
      <w:proofErr w:type="gramStart"/>
      <w:r w:rsidRPr="00D032B4">
        <w:rPr>
          <w:rFonts w:cs="Arial"/>
          <w:sz w:val="24"/>
          <w:szCs w:val="24"/>
        </w:rPr>
        <w:t>in light of</w:t>
      </w:r>
      <w:proofErr w:type="gramEnd"/>
      <w:r w:rsidRPr="00D032B4">
        <w:rPr>
          <w:rFonts w:cs="Arial"/>
          <w:sz w:val="24"/>
          <w:szCs w:val="24"/>
        </w:rPr>
        <w:t xml:space="preserve"> that uncertainty. </w:t>
      </w:r>
    </w:p>
    <w:p w14:paraId="1EF66885" w14:textId="7794E22C" w:rsidR="00663D76" w:rsidRPr="00D032B4" w:rsidRDefault="00663D76" w:rsidP="00663D76">
      <w:pPr>
        <w:pStyle w:val="Paragraph"/>
        <w:rPr>
          <w:rFonts w:cs="Arial"/>
          <w:sz w:val="24"/>
          <w:szCs w:val="24"/>
        </w:rPr>
      </w:pPr>
      <w:r w:rsidRPr="00D032B4">
        <w:rPr>
          <w:rFonts w:cs="Arial"/>
          <w:sz w:val="24"/>
          <w:szCs w:val="24"/>
        </w:rPr>
        <w:t>Ross Dent</w:t>
      </w:r>
      <w:r w:rsidR="00CF3C74">
        <w:rPr>
          <w:rFonts w:cs="Arial"/>
          <w:sz w:val="24"/>
          <w:szCs w:val="24"/>
        </w:rPr>
        <w:t>, for NICE,</w:t>
      </w:r>
      <w:r w:rsidRPr="00D032B4">
        <w:rPr>
          <w:rFonts w:cs="Arial"/>
          <w:sz w:val="24"/>
          <w:szCs w:val="24"/>
        </w:rPr>
        <w:t xml:space="preserve"> noted that it is very clear in first, second and final draft guidance that the Committee had not seen a modelled </w:t>
      </w:r>
      <w:r w:rsidRPr="00D032B4">
        <w:rPr>
          <w:rFonts w:cs="Arial"/>
          <w:sz w:val="24"/>
          <w:szCs w:val="24"/>
        </w:rPr>
        <w:lastRenderedPageBreak/>
        <w:t xml:space="preserve">pathway which reflected its preferences. None of the modelled pathways put forward by the Company reflected current NHS practice. This is supported by clinical expert input </w:t>
      </w:r>
      <w:r w:rsidR="00884D10">
        <w:rPr>
          <w:rFonts w:cs="Arial"/>
          <w:sz w:val="24"/>
          <w:szCs w:val="24"/>
        </w:rPr>
        <w:t>that</w:t>
      </w:r>
      <w:r w:rsidRPr="00D032B4">
        <w:rPr>
          <w:rFonts w:cs="Arial"/>
          <w:sz w:val="24"/>
          <w:szCs w:val="24"/>
        </w:rPr>
        <w:t xml:space="preserve"> agree</w:t>
      </w:r>
      <w:r w:rsidR="00884D10">
        <w:rPr>
          <w:rFonts w:cs="Arial"/>
          <w:sz w:val="24"/>
          <w:szCs w:val="24"/>
        </w:rPr>
        <w:t>d</w:t>
      </w:r>
      <w:r w:rsidRPr="00D032B4">
        <w:rPr>
          <w:rFonts w:cs="Arial"/>
          <w:sz w:val="24"/>
          <w:szCs w:val="24"/>
        </w:rPr>
        <w:t xml:space="preserve"> with the Committee that efgartigimod is used instead of </w:t>
      </w:r>
      <w:r w:rsidR="001159E1">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but that those who stop efgartigimod </w:t>
      </w:r>
      <w:r w:rsidR="00461B7C" w:rsidRPr="00D032B4">
        <w:rPr>
          <w:rFonts w:cs="Arial"/>
          <w:sz w:val="24"/>
          <w:szCs w:val="24"/>
        </w:rPr>
        <w:t xml:space="preserve">may </w:t>
      </w:r>
      <w:r w:rsidRPr="00D032B4">
        <w:rPr>
          <w:rFonts w:cs="Arial"/>
          <w:sz w:val="24"/>
          <w:szCs w:val="24"/>
        </w:rPr>
        <w:t xml:space="preserve">go on to receive </w:t>
      </w:r>
      <w:r w:rsidR="001159E1">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That fact ha</w:t>
      </w:r>
      <w:r w:rsidR="00DF23BE" w:rsidRPr="00D032B4">
        <w:rPr>
          <w:rFonts w:cs="Arial"/>
          <w:sz w:val="24"/>
          <w:szCs w:val="24"/>
        </w:rPr>
        <w:t>d</w:t>
      </w:r>
      <w:r w:rsidRPr="00D032B4">
        <w:rPr>
          <w:rFonts w:cs="Arial"/>
          <w:sz w:val="24"/>
          <w:szCs w:val="24"/>
        </w:rPr>
        <w:t xml:space="preserve"> not changed throughout the appraisal. Alan Moore agreed with Ross Dent, highlighting that the Committee ha</w:t>
      </w:r>
      <w:r w:rsidR="00DF23BE" w:rsidRPr="00D032B4">
        <w:rPr>
          <w:rFonts w:cs="Arial"/>
          <w:sz w:val="24"/>
          <w:szCs w:val="24"/>
        </w:rPr>
        <w:t>d</w:t>
      </w:r>
      <w:r w:rsidRPr="00D032B4">
        <w:rPr>
          <w:rFonts w:cs="Arial"/>
          <w:sz w:val="24"/>
          <w:szCs w:val="24"/>
        </w:rPr>
        <w:t xml:space="preserve"> not at any stage accepted the Company's model as appropriate – the FDG being </w:t>
      </w:r>
      <w:proofErr w:type="gramStart"/>
      <w:r w:rsidRPr="00D032B4">
        <w:rPr>
          <w:rFonts w:cs="Arial"/>
          <w:sz w:val="24"/>
          <w:szCs w:val="24"/>
        </w:rPr>
        <w:t>the final conclusion</w:t>
      </w:r>
      <w:proofErr w:type="gramEnd"/>
      <w:r w:rsidRPr="00D032B4">
        <w:rPr>
          <w:rFonts w:cs="Arial"/>
          <w:sz w:val="24"/>
          <w:szCs w:val="24"/>
        </w:rPr>
        <w:t xml:space="preserve"> of that consistently held view. </w:t>
      </w:r>
      <w:r w:rsidR="0004401A">
        <w:rPr>
          <w:rFonts w:cs="Arial"/>
          <w:sz w:val="24"/>
          <w:szCs w:val="24"/>
        </w:rPr>
        <w:t>Dr</w:t>
      </w:r>
      <w:r w:rsidR="0004401A" w:rsidRPr="00D032B4">
        <w:rPr>
          <w:rFonts w:cs="Arial"/>
          <w:sz w:val="24"/>
          <w:szCs w:val="24"/>
        </w:rPr>
        <w:t xml:space="preserve"> </w:t>
      </w:r>
      <w:r w:rsidR="00D73D61" w:rsidRPr="00D032B4">
        <w:rPr>
          <w:rFonts w:cs="Arial"/>
          <w:sz w:val="24"/>
          <w:szCs w:val="24"/>
        </w:rPr>
        <w:t xml:space="preserve">Bouvy added that none of the cost effectiveness estimates provided during the appraisal provided a basis on which the Committee could recommend efgartigimod for use in the NHS. That was the Committee's position before, during and after the fourth committee meeting – and the Committee </w:t>
      </w:r>
      <w:r w:rsidR="00461B7C" w:rsidRPr="00D032B4">
        <w:rPr>
          <w:rFonts w:cs="Arial"/>
          <w:sz w:val="24"/>
          <w:szCs w:val="24"/>
        </w:rPr>
        <w:t xml:space="preserve">rejected </w:t>
      </w:r>
      <w:r w:rsidR="00D73D61" w:rsidRPr="00D032B4">
        <w:rPr>
          <w:rFonts w:cs="Arial"/>
          <w:sz w:val="24"/>
          <w:szCs w:val="24"/>
        </w:rPr>
        <w:t xml:space="preserve">the suggestion that this was a material change from its previous </w:t>
      </w:r>
      <w:r w:rsidR="00BC4E6F" w:rsidRPr="00D032B4">
        <w:rPr>
          <w:rFonts w:cs="Arial"/>
          <w:sz w:val="24"/>
          <w:szCs w:val="24"/>
        </w:rPr>
        <w:t>position</w:t>
      </w:r>
      <w:r w:rsidR="00D73D61" w:rsidRPr="00D032B4">
        <w:rPr>
          <w:rFonts w:cs="Arial"/>
          <w:sz w:val="24"/>
          <w:szCs w:val="24"/>
        </w:rPr>
        <w:t xml:space="preserve">. </w:t>
      </w:r>
    </w:p>
    <w:p w14:paraId="7A179B03" w14:textId="7C6D0092" w:rsidR="00A71B4E" w:rsidRPr="00D032B4" w:rsidRDefault="00A71B4E" w:rsidP="00663D76">
      <w:pPr>
        <w:pStyle w:val="Paragraph"/>
        <w:rPr>
          <w:rFonts w:cs="Arial"/>
          <w:sz w:val="24"/>
          <w:szCs w:val="24"/>
        </w:rPr>
      </w:pPr>
      <w:r w:rsidRPr="00D032B4">
        <w:rPr>
          <w:rFonts w:cs="Arial"/>
          <w:sz w:val="24"/>
          <w:szCs w:val="24"/>
        </w:rPr>
        <w:t xml:space="preserve">Peter Graham, for </w:t>
      </w:r>
      <w:proofErr w:type="spellStart"/>
      <w:r w:rsidR="00DA4787">
        <w:rPr>
          <w:rFonts w:cs="Arial"/>
          <w:sz w:val="24"/>
          <w:szCs w:val="24"/>
        </w:rPr>
        <w:t>Argenx</w:t>
      </w:r>
      <w:proofErr w:type="spellEnd"/>
      <w:r w:rsidRPr="00D032B4">
        <w:rPr>
          <w:rFonts w:cs="Arial"/>
          <w:sz w:val="24"/>
          <w:szCs w:val="24"/>
        </w:rPr>
        <w:t xml:space="preserve">, </w:t>
      </w:r>
      <w:r w:rsidR="00461B7C" w:rsidRPr="00D032B4">
        <w:rPr>
          <w:rFonts w:cs="Arial"/>
          <w:sz w:val="24"/>
          <w:szCs w:val="24"/>
        </w:rPr>
        <w:t xml:space="preserve">said </w:t>
      </w:r>
      <w:r w:rsidRPr="00D032B4">
        <w:rPr>
          <w:rFonts w:cs="Arial"/>
          <w:sz w:val="24"/>
          <w:szCs w:val="24"/>
        </w:rPr>
        <w:t xml:space="preserve">that correspondence from NICE on 12 December 2024 was very clear that efgartigimod was considered simply </w:t>
      </w:r>
      <w:r w:rsidR="00AA0AB0">
        <w:rPr>
          <w:rFonts w:cs="Arial"/>
          <w:sz w:val="24"/>
          <w:szCs w:val="24"/>
        </w:rPr>
        <w:t xml:space="preserve">as </w:t>
      </w:r>
      <w:r w:rsidRPr="00D032B4">
        <w:rPr>
          <w:rFonts w:cs="Arial"/>
          <w:sz w:val="24"/>
          <w:szCs w:val="24"/>
        </w:rPr>
        <w:t xml:space="preserve">an addition in the pathway. </w:t>
      </w:r>
      <w:r w:rsidR="00932AF6" w:rsidRPr="00D032B4">
        <w:rPr>
          <w:rFonts w:cs="Arial"/>
          <w:sz w:val="24"/>
          <w:szCs w:val="24"/>
        </w:rPr>
        <w:t>Peter Graham noted that e</w:t>
      </w:r>
      <w:r w:rsidRPr="00D032B4">
        <w:rPr>
          <w:rFonts w:cs="Arial"/>
          <w:sz w:val="24"/>
          <w:szCs w:val="24"/>
        </w:rPr>
        <w:t>fgartigimod would have to be offered at a very low price to justify being an addition to the pathway</w:t>
      </w:r>
      <w:r w:rsidR="00932AF6" w:rsidRPr="00D032B4">
        <w:rPr>
          <w:rFonts w:cs="Arial"/>
          <w:sz w:val="24"/>
          <w:szCs w:val="24"/>
        </w:rPr>
        <w:t xml:space="preserve">, and that </w:t>
      </w:r>
      <w:r w:rsidRPr="00D032B4">
        <w:rPr>
          <w:rFonts w:cs="Arial"/>
          <w:sz w:val="24"/>
          <w:szCs w:val="24"/>
        </w:rPr>
        <w:t xml:space="preserve">it was unlikely the Company would have ever embarked on the appraisal process if efgartigimod was only ever </w:t>
      </w:r>
      <w:r w:rsidR="00BC4E6F" w:rsidRPr="00D032B4">
        <w:rPr>
          <w:rFonts w:cs="Arial"/>
          <w:sz w:val="24"/>
          <w:szCs w:val="24"/>
        </w:rPr>
        <w:t>intended</w:t>
      </w:r>
      <w:r w:rsidRPr="00D032B4">
        <w:rPr>
          <w:rFonts w:cs="Arial"/>
          <w:sz w:val="24"/>
          <w:szCs w:val="24"/>
        </w:rPr>
        <w:t xml:space="preserve"> to be an addition to the treatment pathway. </w:t>
      </w:r>
      <w:r w:rsidR="00DA4787">
        <w:rPr>
          <w:rFonts w:cs="Arial"/>
          <w:sz w:val="24"/>
          <w:szCs w:val="24"/>
        </w:rPr>
        <w:t>Dr</w:t>
      </w:r>
      <w:r w:rsidR="00DA4787" w:rsidRPr="00D032B4">
        <w:rPr>
          <w:rFonts w:cs="Arial"/>
          <w:sz w:val="24"/>
          <w:szCs w:val="24"/>
        </w:rPr>
        <w:t xml:space="preserve"> </w:t>
      </w:r>
      <w:r w:rsidR="00F511FF" w:rsidRPr="00D032B4">
        <w:rPr>
          <w:rFonts w:cs="Arial"/>
          <w:sz w:val="24"/>
          <w:szCs w:val="24"/>
        </w:rPr>
        <w:t xml:space="preserve">Bouvy </w:t>
      </w:r>
      <w:r w:rsidR="001A7073" w:rsidRPr="00D032B4">
        <w:rPr>
          <w:rFonts w:cs="Arial"/>
          <w:sz w:val="24"/>
          <w:szCs w:val="24"/>
        </w:rPr>
        <w:t>noted</w:t>
      </w:r>
      <w:r w:rsidR="00F511FF" w:rsidRPr="00D032B4">
        <w:rPr>
          <w:rFonts w:cs="Arial"/>
          <w:sz w:val="24"/>
          <w:szCs w:val="24"/>
        </w:rPr>
        <w:t xml:space="preserve"> that the Committee is not required to create a set of assumptions which would allow the Company to put forward a cost-effective offer. NICE's remit is to evaluate whether an intervention provides cost-effective use of NHS resources, based on what the Committee considers to be the best approximation of reality. </w:t>
      </w:r>
      <w:r w:rsidR="00FA0D94" w:rsidRPr="00D032B4">
        <w:rPr>
          <w:rFonts w:cs="Arial"/>
          <w:sz w:val="24"/>
          <w:szCs w:val="24"/>
        </w:rPr>
        <w:t xml:space="preserve">Based on the evidence available to the Committee, its preferred assumptions are what it considered to be the best estimation of how efgartigimod would be used in clinical practice. </w:t>
      </w:r>
    </w:p>
    <w:p w14:paraId="56824759" w14:textId="3E795F36" w:rsidR="00A71B4E" w:rsidRPr="00D032B4" w:rsidRDefault="00F511FF" w:rsidP="00663D76">
      <w:pPr>
        <w:pStyle w:val="Paragraph"/>
        <w:rPr>
          <w:rFonts w:cs="Arial"/>
          <w:sz w:val="24"/>
          <w:szCs w:val="24"/>
        </w:rPr>
      </w:pPr>
      <w:r w:rsidRPr="00D032B4">
        <w:rPr>
          <w:rFonts w:cs="Arial"/>
          <w:sz w:val="24"/>
          <w:szCs w:val="24"/>
        </w:rPr>
        <w:lastRenderedPageBreak/>
        <w:t xml:space="preserve">Maria de Francesco, for </w:t>
      </w:r>
      <w:proofErr w:type="spellStart"/>
      <w:r w:rsidR="00DA4787">
        <w:rPr>
          <w:rFonts w:cs="Arial"/>
          <w:sz w:val="24"/>
          <w:szCs w:val="24"/>
        </w:rPr>
        <w:t>Argenx</w:t>
      </w:r>
      <w:proofErr w:type="spellEnd"/>
      <w:r w:rsidRPr="00D032B4">
        <w:rPr>
          <w:rFonts w:cs="Arial"/>
          <w:sz w:val="24"/>
          <w:szCs w:val="24"/>
        </w:rPr>
        <w:t xml:space="preserve">, explained that patients receiving </w:t>
      </w:r>
      <w:r w:rsidR="001159E1">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are not being left untreated if either (or both) fail. They would cycle between </w:t>
      </w:r>
      <w:r w:rsidR="001159E1">
        <w:rPr>
          <w:rFonts w:cs="Arial"/>
          <w:sz w:val="24"/>
          <w:szCs w:val="24"/>
        </w:rPr>
        <w:t>intravenous immunoglobulin</w:t>
      </w:r>
      <w:r w:rsidRPr="00D032B4">
        <w:rPr>
          <w:rFonts w:cs="Arial"/>
          <w:sz w:val="24"/>
          <w:szCs w:val="24"/>
        </w:rPr>
        <w:t xml:space="preserve"> and </w:t>
      </w:r>
      <w:r w:rsidR="00544068">
        <w:rPr>
          <w:rFonts w:cs="Arial"/>
          <w:sz w:val="24"/>
          <w:szCs w:val="24"/>
        </w:rPr>
        <w:t>plasma exchange therapy</w:t>
      </w:r>
      <w:r w:rsidRPr="00D032B4">
        <w:rPr>
          <w:rFonts w:cs="Arial"/>
          <w:sz w:val="24"/>
          <w:szCs w:val="24"/>
        </w:rPr>
        <w:t xml:space="preserve"> and vice versa, dosage would be increased etc. There would not be a simple discontinuation because </w:t>
      </w:r>
      <w:r w:rsidR="001A7073" w:rsidRPr="00D032B4">
        <w:rPr>
          <w:rFonts w:cs="Arial"/>
          <w:sz w:val="24"/>
          <w:szCs w:val="24"/>
        </w:rPr>
        <w:t xml:space="preserve">clinicians have confirmed that </w:t>
      </w:r>
      <w:r w:rsidRPr="00D032B4">
        <w:rPr>
          <w:rFonts w:cs="Arial"/>
          <w:sz w:val="24"/>
          <w:szCs w:val="24"/>
        </w:rPr>
        <w:t xml:space="preserve">patients are not left untreated. If the pathway modelled patients going </w:t>
      </w:r>
      <w:r w:rsidR="00ED1F23" w:rsidRPr="00D032B4">
        <w:rPr>
          <w:rFonts w:cs="Arial"/>
          <w:sz w:val="24"/>
          <w:szCs w:val="24"/>
        </w:rPr>
        <w:t xml:space="preserve">from </w:t>
      </w:r>
      <w:r w:rsidR="00ED1F23">
        <w:rPr>
          <w:rFonts w:cs="Arial"/>
          <w:sz w:val="24"/>
          <w:szCs w:val="24"/>
        </w:rPr>
        <w:t>intravenous immunoglobulin</w:t>
      </w:r>
      <w:r w:rsidRPr="00D032B4">
        <w:rPr>
          <w:rFonts w:cs="Arial"/>
          <w:sz w:val="24"/>
          <w:szCs w:val="24"/>
        </w:rPr>
        <w:t xml:space="preserve"> to </w:t>
      </w:r>
      <w:r w:rsidR="00544068">
        <w:rPr>
          <w:rFonts w:cs="Arial"/>
          <w:sz w:val="24"/>
          <w:szCs w:val="24"/>
        </w:rPr>
        <w:t>plasma exchange therapy</w:t>
      </w:r>
      <w:r w:rsidRPr="00D032B4">
        <w:rPr>
          <w:rFonts w:cs="Arial"/>
          <w:sz w:val="24"/>
          <w:szCs w:val="24"/>
        </w:rPr>
        <w:t xml:space="preserve"> to nothing – then efgartigimod would be an additional line of treatment. She explained that this is not what is happening in practice and so the modelling reflects that treatment cycling – from </w:t>
      </w:r>
      <w:r w:rsidR="001159E1">
        <w:rPr>
          <w:rFonts w:cs="Arial"/>
          <w:sz w:val="24"/>
          <w:szCs w:val="24"/>
        </w:rPr>
        <w:t>intravenous immunoglobulin</w:t>
      </w:r>
      <w:r w:rsidRPr="00D032B4">
        <w:rPr>
          <w:rFonts w:cs="Arial"/>
          <w:sz w:val="24"/>
          <w:szCs w:val="24"/>
        </w:rPr>
        <w:t xml:space="preserve"> to </w:t>
      </w:r>
      <w:r w:rsidR="00544068">
        <w:rPr>
          <w:rFonts w:cs="Arial"/>
          <w:sz w:val="24"/>
          <w:szCs w:val="24"/>
        </w:rPr>
        <w:t>plasma exchange therapy</w:t>
      </w:r>
      <w:r w:rsidRPr="00D032B4">
        <w:rPr>
          <w:rFonts w:cs="Arial"/>
          <w:sz w:val="24"/>
          <w:szCs w:val="24"/>
        </w:rPr>
        <w:t xml:space="preserve">, back to </w:t>
      </w:r>
      <w:r w:rsidR="001159E1">
        <w:rPr>
          <w:rFonts w:cs="Arial"/>
          <w:sz w:val="24"/>
          <w:szCs w:val="24"/>
        </w:rPr>
        <w:t>intravenous immunoglobulin</w:t>
      </w:r>
      <w:r w:rsidRPr="00D032B4">
        <w:rPr>
          <w:rFonts w:cs="Arial"/>
          <w:sz w:val="24"/>
          <w:szCs w:val="24"/>
        </w:rPr>
        <w:t xml:space="preserve"> etc. Maria de Francesco noted that some</w:t>
      </w:r>
      <w:r w:rsidR="00461B7C" w:rsidRPr="00D032B4">
        <w:rPr>
          <w:rFonts w:cs="Arial"/>
          <w:sz w:val="24"/>
          <w:szCs w:val="24"/>
        </w:rPr>
        <w:t xml:space="preserve"> patients</w:t>
      </w:r>
      <w:r w:rsidRPr="00D032B4">
        <w:rPr>
          <w:rFonts w:cs="Arial"/>
          <w:sz w:val="24"/>
          <w:szCs w:val="24"/>
        </w:rPr>
        <w:t xml:space="preserve"> might stop efgartigimod, move on to </w:t>
      </w:r>
      <w:r w:rsidR="00544068">
        <w:rPr>
          <w:rFonts w:cs="Arial"/>
          <w:sz w:val="24"/>
          <w:szCs w:val="24"/>
        </w:rPr>
        <w:t>plasma exchange therapy</w:t>
      </w:r>
      <w:r w:rsidRPr="00D032B4">
        <w:rPr>
          <w:rFonts w:cs="Arial"/>
          <w:sz w:val="24"/>
          <w:szCs w:val="24"/>
        </w:rPr>
        <w:t xml:space="preserve"> then move onto </w:t>
      </w:r>
      <w:r w:rsidR="001159E1">
        <w:rPr>
          <w:rFonts w:cs="Arial"/>
          <w:sz w:val="24"/>
          <w:szCs w:val="24"/>
        </w:rPr>
        <w:t>intravenous immunoglobulin</w:t>
      </w:r>
      <w:r w:rsidRPr="00D032B4">
        <w:rPr>
          <w:rFonts w:cs="Arial"/>
          <w:sz w:val="24"/>
          <w:szCs w:val="24"/>
        </w:rPr>
        <w:t xml:space="preserve"> (as modelled), and then could go back to </w:t>
      </w:r>
      <w:r w:rsidR="00544068">
        <w:rPr>
          <w:rFonts w:cs="Arial"/>
          <w:sz w:val="24"/>
          <w:szCs w:val="24"/>
        </w:rPr>
        <w:t>plasma exchange therapy</w:t>
      </w:r>
      <w:r w:rsidRPr="00D032B4">
        <w:rPr>
          <w:rFonts w:cs="Arial"/>
          <w:sz w:val="24"/>
          <w:szCs w:val="24"/>
        </w:rPr>
        <w:t xml:space="preserve"> (or vice versa). She stressed that this was not a linear pathway which would see a patient left untreated having tried each escalation therapy once. </w:t>
      </w:r>
    </w:p>
    <w:p w14:paraId="50D47243" w14:textId="5B5BB861" w:rsidR="00F511FF" w:rsidRPr="00D032B4" w:rsidRDefault="00F511FF" w:rsidP="00663D76">
      <w:pPr>
        <w:pStyle w:val="Paragraph"/>
        <w:rPr>
          <w:rFonts w:cs="Arial"/>
          <w:sz w:val="24"/>
          <w:szCs w:val="24"/>
        </w:rPr>
      </w:pPr>
      <w:r w:rsidRPr="00D032B4">
        <w:rPr>
          <w:rFonts w:cs="Arial"/>
          <w:sz w:val="24"/>
          <w:szCs w:val="24"/>
        </w:rPr>
        <w:t xml:space="preserve">Alan Moore described that the Company's modelled pathway does not accurately model a sequence of treatments. Efgartigimod is not a cure for </w:t>
      </w:r>
      <w:r w:rsidR="00544068">
        <w:rPr>
          <w:rFonts w:cs="Arial"/>
          <w:sz w:val="24"/>
          <w:szCs w:val="24"/>
        </w:rPr>
        <w:t>generalised myasthenia gravis</w:t>
      </w:r>
      <w:r w:rsidRPr="00D032B4">
        <w:rPr>
          <w:rFonts w:cs="Arial"/>
          <w:sz w:val="24"/>
          <w:szCs w:val="24"/>
        </w:rPr>
        <w:t xml:space="preserve">, and </w:t>
      </w:r>
      <w:r w:rsidR="00461B7C" w:rsidRPr="00D032B4">
        <w:rPr>
          <w:rFonts w:cs="Arial"/>
          <w:sz w:val="24"/>
          <w:szCs w:val="24"/>
        </w:rPr>
        <w:t xml:space="preserve">the </w:t>
      </w:r>
      <w:r w:rsidRPr="00D032B4">
        <w:rPr>
          <w:rFonts w:cs="Arial"/>
          <w:sz w:val="24"/>
          <w:szCs w:val="24"/>
        </w:rPr>
        <w:t xml:space="preserve">pathway </w:t>
      </w:r>
      <w:proofErr w:type="gramStart"/>
      <w:r w:rsidRPr="00D032B4">
        <w:rPr>
          <w:rFonts w:cs="Arial"/>
          <w:sz w:val="24"/>
          <w:szCs w:val="24"/>
        </w:rPr>
        <w:t>has to</w:t>
      </w:r>
      <w:proofErr w:type="gramEnd"/>
      <w:r w:rsidRPr="00D032B4">
        <w:rPr>
          <w:rFonts w:cs="Arial"/>
          <w:sz w:val="24"/>
          <w:szCs w:val="24"/>
        </w:rPr>
        <w:t xml:space="preserve"> be modelled over a lifetime, instead of modelling one snapshot of the pathway. </w:t>
      </w:r>
    </w:p>
    <w:p w14:paraId="1E1A5DC8" w14:textId="7FC68CAA" w:rsidR="00F511FF" w:rsidRPr="00D032B4" w:rsidRDefault="006D1424" w:rsidP="00F511FF">
      <w:pPr>
        <w:pStyle w:val="Paragraph"/>
        <w:rPr>
          <w:rFonts w:cs="Arial"/>
          <w:sz w:val="24"/>
          <w:szCs w:val="24"/>
        </w:rPr>
      </w:pPr>
      <w:r>
        <w:rPr>
          <w:rFonts w:cs="Arial"/>
          <w:sz w:val="24"/>
          <w:szCs w:val="24"/>
        </w:rPr>
        <w:t>Dr</w:t>
      </w:r>
      <w:r w:rsidRPr="00D032B4">
        <w:rPr>
          <w:rFonts w:cs="Arial"/>
          <w:sz w:val="24"/>
          <w:szCs w:val="24"/>
        </w:rPr>
        <w:t xml:space="preserve"> </w:t>
      </w:r>
      <w:r w:rsidR="00F511FF" w:rsidRPr="00D032B4">
        <w:rPr>
          <w:rFonts w:cs="Arial"/>
          <w:sz w:val="24"/>
          <w:szCs w:val="24"/>
        </w:rPr>
        <w:t xml:space="preserve">Bouvy </w:t>
      </w:r>
      <w:r w:rsidR="00BE0E53" w:rsidRPr="00D032B4">
        <w:rPr>
          <w:rFonts w:cs="Arial"/>
          <w:sz w:val="24"/>
          <w:szCs w:val="24"/>
        </w:rPr>
        <w:t xml:space="preserve">added </w:t>
      </w:r>
      <w:r w:rsidR="00F511FF" w:rsidRPr="00D032B4">
        <w:rPr>
          <w:rFonts w:cs="Arial"/>
          <w:sz w:val="24"/>
          <w:szCs w:val="24"/>
        </w:rPr>
        <w:t xml:space="preserve">that the marketing authorisation uses the phrase "add-on to standard treatment". Standard treatment does not include </w:t>
      </w:r>
      <w:r w:rsidR="00544068">
        <w:rPr>
          <w:rFonts w:cs="Arial"/>
          <w:sz w:val="24"/>
          <w:szCs w:val="24"/>
        </w:rPr>
        <w:t>intravenous immunoglobulin</w:t>
      </w:r>
      <w:r w:rsidR="00F511FF" w:rsidRPr="00D032B4">
        <w:rPr>
          <w:rFonts w:cs="Arial"/>
          <w:sz w:val="24"/>
          <w:szCs w:val="24"/>
        </w:rPr>
        <w:t xml:space="preserve"> or </w:t>
      </w:r>
      <w:r w:rsidR="00544068">
        <w:rPr>
          <w:rFonts w:cs="Arial"/>
          <w:sz w:val="24"/>
          <w:szCs w:val="24"/>
        </w:rPr>
        <w:t>plasma exchange therapy</w:t>
      </w:r>
      <w:r w:rsidR="00F75061" w:rsidRPr="00D032B4">
        <w:rPr>
          <w:rFonts w:cs="Arial"/>
          <w:sz w:val="24"/>
          <w:szCs w:val="24"/>
        </w:rPr>
        <w:t xml:space="preserve">. </w:t>
      </w:r>
    </w:p>
    <w:p w14:paraId="76DE8BDD" w14:textId="21106229" w:rsidR="00FA0D94" w:rsidRPr="00D032B4" w:rsidRDefault="00461B7C" w:rsidP="00F511FF">
      <w:pPr>
        <w:pStyle w:val="Paragraph"/>
        <w:rPr>
          <w:rFonts w:cs="Arial"/>
          <w:sz w:val="24"/>
          <w:szCs w:val="24"/>
        </w:rPr>
      </w:pPr>
      <w:r w:rsidRPr="00D032B4">
        <w:rPr>
          <w:rFonts w:cs="Arial"/>
          <w:sz w:val="24"/>
          <w:szCs w:val="24"/>
        </w:rPr>
        <w:t>Esther Nzenza</w:t>
      </w:r>
      <w:r w:rsidR="007F2395">
        <w:rPr>
          <w:rFonts w:cs="Arial"/>
          <w:sz w:val="24"/>
          <w:szCs w:val="24"/>
        </w:rPr>
        <w:t xml:space="preserve"> </w:t>
      </w:r>
      <w:r w:rsidRPr="00D032B4">
        <w:rPr>
          <w:rFonts w:cs="Arial"/>
          <w:sz w:val="24"/>
          <w:szCs w:val="24"/>
        </w:rPr>
        <w:t>said that if the Company</w:t>
      </w:r>
      <w:r w:rsidR="00FA0D94" w:rsidRPr="00D032B4">
        <w:rPr>
          <w:rFonts w:cs="Arial"/>
          <w:sz w:val="24"/>
          <w:szCs w:val="24"/>
        </w:rPr>
        <w:t xml:space="preserve"> had an opportunity to address the misunderstanding about the relative position of efgartigimod in the pathway, the uncertainty could have been narrowed. Escalation therapies are used one at a time, and so are </w:t>
      </w:r>
      <w:r w:rsidR="00FA0D94" w:rsidRPr="00D032B4">
        <w:rPr>
          <w:rFonts w:cs="Arial"/>
          <w:sz w:val="24"/>
          <w:szCs w:val="24"/>
        </w:rPr>
        <w:lastRenderedPageBreak/>
        <w:t xml:space="preserve">comparators in the pathway. In the Company's view, part of the problem is that the modelling starts with the distribution of prior therapies. Some patients in the model were eligible for EAMS, which means that the next logical treatment choice would have been an escalation therapy (even though some might not have already received </w:t>
      </w:r>
      <w:r w:rsidR="00544068">
        <w:rPr>
          <w:rFonts w:cs="Arial"/>
          <w:sz w:val="24"/>
          <w:szCs w:val="24"/>
        </w:rPr>
        <w:t>intravenous immunoglobulin</w:t>
      </w:r>
      <w:r w:rsidR="00FA0D94" w:rsidRPr="00D032B4">
        <w:rPr>
          <w:rFonts w:cs="Arial"/>
          <w:sz w:val="24"/>
          <w:szCs w:val="24"/>
        </w:rPr>
        <w:t xml:space="preserve"> / </w:t>
      </w:r>
      <w:r w:rsidR="00544068">
        <w:rPr>
          <w:rFonts w:cs="Arial"/>
          <w:sz w:val="24"/>
          <w:szCs w:val="24"/>
        </w:rPr>
        <w:t>plasma exchange therapy</w:t>
      </w:r>
      <w:r w:rsidR="00FA0D94" w:rsidRPr="00D032B4">
        <w:rPr>
          <w:rFonts w:cs="Arial"/>
          <w:sz w:val="24"/>
          <w:szCs w:val="24"/>
        </w:rPr>
        <w:t xml:space="preserve"> by the time they started taking efgartigimod). </w:t>
      </w:r>
    </w:p>
    <w:p w14:paraId="2CDA5BD5" w14:textId="4519229B" w:rsidR="00FA0D94" w:rsidRPr="00D032B4" w:rsidRDefault="00FA0D94" w:rsidP="00F511FF">
      <w:pPr>
        <w:pStyle w:val="Paragraph"/>
        <w:rPr>
          <w:rFonts w:cs="Arial"/>
          <w:sz w:val="24"/>
          <w:szCs w:val="24"/>
        </w:rPr>
      </w:pPr>
      <w:r w:rsidRPr="00D032B4">
        <w:rPr>
          <w:rFonts w:cs="Arial"/>
          <w:sz w:val="24"/>
          <w:szCs w:val="24"/>
        </w:rPr>
        <w:t xml:space="preserve">David Knechtel then </w:t>
      </w:r>
      <w:r w:rsidR="005A447D" w:rsidRPr="00D032B4">
        <w:rPr>
          <w:rFonts w:cs="Arial"/>
          <w:sz w:val="24"/>
          <w:szCs w:val="24"/>
        </w:rPr>
        <w:t>referred to</w:t>
      </w:r>
      <w:r w:rsidRPr="00D032B4">
        <w:rPr>
          <w:rFonts w:cs="Arial"/>
          <w:sz w:val="24"/>
          <w:szCs w:val="24"/>
        </w:rPr>
        <w:t xml:space="preserve"> the EAMS data, noting that it was a clear indication of efgartigimod replacing other escalation therapies. Alan Moore explained that the EAMS data shows that a percentage of people on current treatment went on to receive efgartigimod. The fact that they are now taking efgartigimod does not mean that they will never receive </w:t>
      </w:r>
      <w:r w:rsidR="00544068">
        <w:rPr>
          <w:rFonts w:cs="Arial"/>
          <w:sz w:val="24"/>
          <w:szCs w:val="24"/>
        </w:rPr>
        <w:t>intravenous immunoglobulin</w:t>
      </w:r>
      <w:r w:rsidRPr="00D032B4">
        <w:rPr>
          <w:rFonts w:cs="Arial"/>
          <w:sz w:val="24"/>
          <w:szCs w:val="24"/>
        </w:rPr>
        <w:t xml:space="preserve"> and/or </w:t>
      </w:r>
      <w:r w:rsidR="00544068">
        <w:rPr>
          <w:rFonts w:cs="Arial"/>
          <w:sz w:val="24"/>
          <w:szCs w:val="24"/>
        </w:rPr>
        <w:t>plasma exchange therapy</w:t>
      </w:r>
      <w:r w:rsidRPr="00D032B4">
        <w:rPr>
          <w:rFonts w:cs="Arial"/>
          <w:sz w:val="24"/>
          <w:szCs w:val="24"/>
        </w:rPr>
        <w:t xml:space="preserve"> in the future. How that is modelled in the pathway is a key consideration for evaluation. </w:t>
      </w:r>
    </w:p>
    <w:p w14:paraId="6BE48040" w14:textId="72017DC5" w:rsidR="00FA0D94" w:rsidRPr="00D032B4" w:rsidRDefault="00FA0D94" w:rsidP="00FA0D94">
      <w:pPr>
        <w:pStyle w:val="Paragraph"/>
        <w:rPr>
          <w:rFonts w:cs="Arial"/>
          <w:sz w:val="24"/>
          <w:szCs w:val="24"/>
        </w:rPr>
      </w:pPr>
      <w:r w:rsidRPr="00D032B4">
        <w:rPr>
          <w:rFonts w:cs="Arial"/>
          <w:sz w:val="24"/>
          <w:szCs w:val="24"/>
        </w:rPr>
        <w:t xml:space="preserve">The Company and the Committee agreed that efgartigimod would not be used concurrently with </w:t>
      </w:r>
      <w:r w:rsidR="00544068">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Ross Dent highlighted that this was not in dispute, but the question extant was what would happen to patients when efgartigimod is stopped. </w:t>
      </w:r>
      <w:r w:rsidR="00160A44">
        <w:rPr>
          <w:rFonts w:cs="Arial"/>
          <w:sz w:val="24"/>
          <w:szCs w:val="24"/>
        </w:rPr>
        <w:t>Dr</w:t>
      </w:r>
      <w:r w:rsidR="00160A44" w:rsidRPr="00D032B4">
        <w:rPr>
          <w:rFonts w:cs="Arial"/>
          <w:sz w:val="24"/>
          <w:szCs w:val="24"/>
        </w:rPr>
        <w:t xml:space="preserve"> </w:t>
      </w:r>
      <w:r w:rsidRPr="00D032B4">
        <w:rPr>
          <w:rFonts w:cs="Arial"/>
          <w:sz w:val="24"/>
          <w:szCs w:val="24"/>
        </w:rPr>
        <w:t xml:space="preserve">Reddy explained that the pathway shows efgartigimod replacing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for a short period of time, before reverting to the escalation therapy options available before efgartigimod (</w:t>
      </w:r>
      <w:r w:rsidR="00454083" w:rsidRPr="00D032B4">
        <w:rPr>
          <w:rFonts w:cs="Arial"/>
          <w:sz w:val="24"/>
          <w:szCs w:val="24"/>
        </w:rPr>
        <w:t>i.e.</w:t>
      </w:r>
      <w:r w:rsidRPr="00D032B4">
        <w:rPr>
          <w:rFonts w:cs="Arial"/>
          <w:sz w:val="24"/>
          <w:szCs w:val="24"/>
        </w:rPr>
        <w:t xml:space="preserve"> </w:t>
      </w:r>
      <w:r w:rsidR="00544068">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w:t>
      </w:r>
    </w:p>
    <w:p w14:paraId="4EB997BE" w14:textId="5E79FDE4" w:rsidR="00FA0D94" w:rsidRPr="00D032B4" w:rsidRDefault="00FA0D94" w:rsidP="00FA0D94">
      <w:pPr>
        <w:pStyle w:val="Paragraph"/>
        <w:rPr>
          <w:rFonts w:cs="Arial"/>
          <w:sz w:val="24"/>
          <w:szCs w:val="24"/>
        </w:rPr>
      </w:pPr>
      <w:r w:rsidRPr="00D032B4">
        <w:rPr>
          <w:rFonts w:cs="Arial"/>
          <w:sz w:val="24"/>
          <w:szCs w:val="24"/>
        </w:rPr>
        <w:t xml:space="preserve">Esther Nzenza added that the </w:t>
      </w:r>
      <w:r w:rsidR="005A447D" w:rsidRPr="00D032B4">
        <w:rPr>
          <w:rFonts w:cs="Arial"/>
          <w:sz w:val="24"/>
          <w:szCs w:val="24"/>
        </w:rPr>
        <w:t xml:space="preserve">updated analysis and </w:t>
      </w:r>
      <w:r w:rsidRPr="00D032B4">
        <w:rPr>
          <w:rFonts w:cs="Arial"/>
          <w:sz w:val="24"/>
          <w:szCs w:val="24"/>
        </w:rPr>
        <w:t xml:space="preserve">expert elicitation which was not shared with the Committee prior to the fourth committee meeting explored the theoretical situation in which efgartigimod stopped working. </w:t>
      </w:r>
    </w:p>
    <w:p w14:paraId="611AD505" w14:textId="50DD85C9" w:rsidR="0055527A" w:rsidRPr="00D032B4" w:rsidRDefault="0055527A" w:rsidP="0055527A">
      <w:pPr>
        <w:pStyle w:val="Paragraph"/>
        <w:rPr>
          <w:rFonts w:cs="Arial"/>
          <w:sz w:val="24"/>
          <w:szCs w:val="24"/>
        </w:rPr>
      </w:pPr>
      <w:r w:rsidRPr="00D032B4">
        <w:rPr>
          <w:rFonts w:cs="Arial"/>
          <w:sz w:val="24"/>
          <w:szCs w:val="24"/>
        </w:rPr>
        <w:lastRenderedPageBreak/>
        <w:t xml:space="preserve">The Panel asked whether re-treatment was a realistic potential, and whether patients would cycle through all three escalation therapies (efgartigimod, </w:t>
      </w:r>
      <w:r w:rsidR="00544068">
        <w:rPr>
          <w:rFonts w:cs="Arial"/>
          <w:sz w:val="24"/>
          <w:szCs w:val="24"/>
        </w:rPr>
        <w:t>intravenous immunoglobulin</w:t>
      </w:r>
      <w:r w:rsidRPr="00D032B4">
        <w:rPr>
          <w:rFonts w:cs="Arial"/>
          <w:sz w:val="24"/>
          <w:szCs w:val="24"/>
        </w:rPr>
        <w:t xml:space="preserve"> and </w:t>
      </w:r>
      <w:r w:rsidR="00544068">
        <w:rPr>
          <w:rFonts w:cs="Arial"/>
          <w:sz w:val="24"/>
          <w:szCs w:val="24"/>
        </w:rPr>
        <w:t>plasma exchange therapy</w:t>
      </w:r>
      <w:r w:rsidRPr="00D032B4">
        <w:rPr>
          <w:rFonts w:cs="Arial"/>
          <w:sz w:val="24"/>
          <w:szCs w:val="24"/>
        </w:rPr>
        <w:t xml:space="preserve">) throughout the lifetime of the pathway in practice. </w:t>
      </w:r>
      <w:r w:rsidR="00160A44">
        <w:rPr>
          <w:rFonts w:cs="Arial"/>
          <w:sz w:val="24"/>
          <w:szCs w:val="24"/>
        </w:rPr>
        <w:t>Dr</w:t>
      </w:r>
      <w:r w:rsidR="00160A44" w:rsidRPr="00D032B4">
        <w:rPr>
          <w:rFonts w:cs="Arial"/>
          <w:sz w:val="24"/>
          <w:szCs w:val="24"/>
        </w:rPr>
        <w:t xml:space="preserve"> </w:t>
      </w:r>
      <w:r w:rsidRPr="00D032B4">
        <w:rPr>
          <w:rFonts w:cs="Arial"/>
          <w:sz w:val="24"/>
          <w:szCs w:val="24"/>
        </w:rPr>
        <w:t xml:space="preserve">Reddy said that patients would cycle through </w:t>
      </w:r>
      <w:r w:rsidR="00544068">
        <w:rPr>
          <w:rFonts w:cs="Arial"/>
          <w:sz w:val="24"/>
          <w:szCs w:val="24"/>
        </w:rPr>
        <w:t>intravenous immunoglobulin</w:t>
      </w:r>
      <w:r w:rsidRPr="00D032B4">
        <w:rPr>
          <w:rFonts w:cs="Arial"/>
          <w:sz w:val="24"/>
          <w:szCs w:val="24"/>
        </w:rPr>
        <w:t xml:space="preserve"> and </w:t>
      </w:r>
      <w:r w:rsidR="00544068">
        <w:rPr>
          <w:rFonts w:cs="Arial"/>
          <w:sz w:val="24"/>
          <w:szCs w:val="24"/>
        </w:rPr>
        <w:t>plasma exchange therapy</w:t>
      </w:r>
      <w:r w:rsidRPr="00D032B4">
        <w:rPr>
          <w:rFonts w:cs="Arial"/>
          <w:sz w:val="24"/>
          <w:szCs w:val="24"/>
        </w:rPr>
        <w:t xml:space="preserve"> throughout the lifetime of the pathway, but that the same had not been modelled for efgartigimod. </w:t>
      </w:r>
    </w:p>
    <w:p w14:paraId="26EB5B56" w14:textId="790F870E" w:rsidR="0055527A" w:rsidRPr="00D032B4" w:rsidRDefault="0055527A" w:rsidP="0055527A">
      <w:pPr>
        <w:pStyle w:val="Paragraph"/>
        <w:rPr>
          <w:rFonts w:cs="Arial"/>
          <w:sz w:val="24"/>
          <w:szCs w:val="24"/>
        </w:rPr>
      </w:pPr>
      <w:r w:rsidRPr="00D032B4">
        <w:rPr>
          <w:rFonts w:cs="Arial"/>
          <w:sz w:val="24"/>
          <w:szCs w:val="24"/>
        </w:rPr>
        <w:t xml:space="preserve">Alan Moore explained that the Committee had asked clinicians what would happen after stopping efgartigimod. The key </w:t>
      </w:r>
      <w:r w:rsidR="00C962A1" w:rsidRPr="00D032B4">
        <w:rPr>
          <w:rFonts w:cs="Arial"/>
          <w:sz w:val="24"/>
          <w:szCs w:val="24"/>
        </w:rPr>
        <w:t xml:space="preserve">output </w:t>
      </w:r>
      <w:r w:rsidRPr="00D032B4">
        <w:rPr>
          <w:rFonts w:cs="Arial"/>
          <w:sz w:val="24"/>
          <w:szCs w:val="24"/>
        </w:rPr>
        <w:t xml:space="preserve">was that all the options available before efgartigimod were available after efgartigimod. That sequence </w:t>
      </w:r>
      <w:proofErr w:type="gramStart"/>
      <w:r w:rsidRPr="00D032B4">
        <w:rPr>
          <w:rFonts w:cs="Arial"/>
          <w:sz w:val="24"/>
          <w:szCs w:val="24"/>
        </w:rPr>
        <w:t>has to</w:t>
      </w:r>
      <w:proofErr w:type="gramEnd"/>
      <w:r w:rsidRPr="00D032B4">
        <w:rPr>
          <w:rFonts w:cs="Arial"/>
          <w:sz w:val="24"/>
          <w:szCs w:val="24"/>
        </w:rPr>
        <w:t xml:space="preserve"> be modelled, and this was incorporated into the Committee's preferred assumptions, guided by clinical expert input. </w:t>
      </w:r>
    </w:p>
    <w:p w14:paraId="53B20E1A" w14:textId="0E52F258" w:rsidR="0055527A" w:rsidRPr="00D032B4" w:rsidRDefault="0055527A" w:rsidP="0055527A">
      <w:pPr>
        <w:pStyle w:val="Paragraph"/>
        <w:rPr>
          <w:rFonts w:cs="Arial"/>
          <w:sz w:val="24"/>
          <w:szCs w:val="24"/>
        </w:rPr>
      </w:pPr>
      <w:r w:rsidRPr="00D032B4">
        <w:rPr>
          <w:rFonts w:cs="Arial"/>
          <w:sz w:val="24"/>
          <w:szCs w:val="24"/>
        </w:rPr>
        <w:t xml:space="preserve">Esther Nzenza stressed that at the point in the pathway at which the health service is paying for efgartigimod, it is not also paying for </w:t>
      </w:r>
      <w:r w:rsidR="00544068">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for that patient. It is therefore a substitution in the pathway. She added that there is no evidence to date in the EAMS cohort of patients moving back to </w:t>
      </w:r>
      <w:r w:rsidR="00544068">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from efgartigimod, but that it could happen in future. </w:t>
      </w:r>
    </w:p>
    <w:p w14:paraId="3A327791" w14:textId="11A26FAA" w:rsidR="0055527A" w:rsidRPr="00D032B4" w:rsidRDefault="0055527A" w:rsidP="0055527A">
      <w:pPr>
        <w:pStyle w:val="Paragraph"/>
        <w:rPr>
          <w:rFonts w:cs="Arial"/>
          <w:sz w:val="24"/>
          <w:szCs w:val="24"/>
        </w:rPr>
      </w:pPr>
      <w:r w:rsidRPr="00D032B4">
        <w:rPr>
          <w:rFonts w:cs="Arial"/>
          <w:sz w:val="24"/>
          <w:szCs w:val="24"/>
        </w:rPr>
        <w:t xml:space="preserve">The Panel asked both the Company and NICE for their view as to the material impact </w:t>
      </w:r>
      <w:r w:rsidR="00C962A1" w:rsidRPr="00D032B4">
        <w:rPr>
          <w:rFonts w:cs="Arial"/>
          <w:sz w:val="24"/>
          <w:szCs w:val="24"/>
        </w:rPr>
        <w:t xml:space="preserve">that the position of efgartigimod in the pathway </w:t>
      </w:r>
      <w:r w:rsidRPr="00D032B4">
        <w:rPr>
          <w:rFonts w:cs="Arial"/>
          <w:sz w:val="24"/>
          <w:szCs w:val="24"/>
        </w:rPr>
        <w:t>has on the ICER.</w:t>
      </w:r>
    </w:p>
    <w:p w14:paraId="41880C97" w14:textId="372F65B8" w:rsidR="0055527A" w:rsidRPr="00D032B4" w:rsidRDefault="004018D1" w:rsidP="0055527A">
      <w:pPr>
        <w:pStyle w:val="Paragraph"/>
        <w:rPr>
          <w:rFonts w:cs="Arial"/>
          <w:sz w:val="24"/>
          <w:szCs w:val="24"/>
        </w:rPr>
      </w:pPr>
      <w:r w:rsidRPr="00D032B4">
        <w:rPr>
          <w:rFonts w:cs="Arial"/>
          <w:sz w:val="24"/>
          <w:szCs w:val="24"/>
        </w:rPr>
        <w:t xml:space="preserve">Peter Graham explained that when the Company received NICE's preferred assumptions – it modelled </w:t>
      </w:r>
      <w:proofErr w:type="gramStart"/>
      <w:r w:rsidRPr="00D032B4">
        <w:rPr>
          <w:rFonts w:cs="Arial"/>
          <w:sz w:val="24"/>
          <w:szCs w:val="24"/>
        </w:rPr>
        <w:t>a number of</w:t>
      </w:r>
      <w:proofErr w:type="gramEnd"/>
      <w:r w:rsidRPr="00D032B4">
        <w:rPr>
          <w:rFonts w:cs="Arial"/>
          <w:sz w:val="24"/>
          <w:szCs w:val="24"/>
        </w:rPr>
        <w:t xml:space="preserve"> scenarios, and in every case efgartigimod was cost-effective (applying </w:t>
      </w:r>
      <w:r w:rsidR="00544068">
        <w:rPr>
          <w:rFonts w:cs="Arial"/>
          <w:sz w:val="24"/>
          <w:szCs w:val="24"/>
        </w:rPr>
        <w:t>intravenous immunoglobulin</w:t>
      </w:r>
      <w:r w:rsidRPr="00D032B4">
        <w:rPr>
          <w:rFonts w:cs="Arial"/>
          <w:sz w:val="24"/>
          <w:szCs w:val="24"/>
        </w:rPr>
        <w:t>/</w:t>
      </w:r>
      <w:r w:rsidR="00544068">
        <w:rPr>
          <w:rFonts w:cs="Arial"/>
          <w:sz w:val="24"/>
          <w:szCs w:val="24"/>
        </w:rPr>
        <w:t>plasma exchange therapy</w:t>
      </w:r>
      <w:r w:rsidRPr="00D032B4">
        <w:rPr>
          <w:rFonts w:cs="Arial"/>
          <w:sz w:val="24"/>
          <w:szCs w:val="24"/>
        </w:rPr>
        <w:t xml:space="preserve"> equally across arms). If the pathway is changed </w:t>
      </w:r>
      <w:r w:rsidR="00285C89" w:rsidRPr="00D032B4">
        <w:rPr>
          <w:rFonts w:cs="Arial"/>
          <w:sz w:val="24"/>
          <w:szCs w:val="24"/>
        </w:rPr>
        <w:t>s</w:t>
      </w:r>
      <w:r w:rsidRPr="00D032B4">
        <w:rPr>
          <w:rFonts w:cs="Arial"/>
          <w:sz w:val="24"/>
          <w:szCs w:val="24"/>
        </w:rPr>
        <w:t xml:space="preserve">o that efgartigimod is only an addition to the </w:t>
      </w:r>
      <w:r w:rsidRPr="00D032B4">
        <w:rPr>
          <w:rFonts w:cs="Arial"/>
          <w:sz w:val="24"/>
          <w:szCs w:val="24"/>
        </w:rPr>
        <w:lastRenderedPageBreak/>
        <w:t xml:space="preserve">pathway (i.e. not displacing anything), that changes the ICER to be far </w:t>
      </w:r>
      <w:proofErr w:type="gramStart"/>
      <w:r w:rsidRPr="00D032B4">
        <w:rPr>
          <w:rFonts w:cs="Arial"/>
          <w:sz w:val="24"/>
          <w:szCs w:val="24"/>
        </w:rPr>
        <w:t>in excess of</w:t>
      </w:r>
      <w:proofErr w:type="gramEnd"/>
      <w:r w:rsidRPr="00D032B4">
        <w:rPr>
          <w:rFonts w:cs="Arial"/>
          <w:sz w:val="24"/>
          <w:szCs w:val="24"/>
        </w:rPr>
        <w:t xml:space="preserve"> the acceptable threshold. </w:t>
      </w:r>
    </w:p>
    <w:p w14:paraId="08D5E00B" w14:textId="4FC01CAA" w:rsidR="00285C89" w:rsidRPr="00D032B4" w:rsidRDefault="00285C89" w:rsidP="0055527A">
      <w:pPr>
        <w:pStyle w:val="Paragraph"/>
        <w:rPr>
          <w:rFonts w:cs="Arial"/>
          <w:sz w:val="24"/>
          <w:szCs w:val="24"/>
        </w:rPr>
      </w:pPr>
      <w:r w:rsidRPr="00D032B4">
        <w:rPr>
          <w:rFonts w:cs="Arial"/>
          <w:sz w:val="24"/>
          <w:szCs w:val="24"/>
        </w:rPr>
        <w:t xml:space="preserve">Alan Moore explained that the model in the Company's base case shows that people </w:t>
      </w:r>
      <w:r w:rsidR="00F75061" w:rsidRPr="00D032B4">
        <w:rPr>
          <w:rFonts w:cs="Arial"/>
          <w:sz w:val="24"/>
          <w:szCs w:val="24"/>
        </w:rPr>
        <w:t>are not</w:t>
      </w:r>
      <w:r w:rsidRPr="00D032B4">
        <w:rPr>
          <w:rFonts w:cs="Arial"/>
          <w:sz w:val="24"/>
          <w:szCs w:val="24"/>
        </w:rPr>
        <w:t xml:space="preserve"> on efgartigimod for long, and that incremental benefits are low – the result of this is that the ICER will be relatively high. That is, however, a reasonable conclusion which is not implausible in the Committee's view. Modelling needs to be robust in both arms, and any deviations should be clearly supported by evidence (which was not present here). </w:t>
      </w:r>
    </w:p>
    <w:p w14:paraId="5E90BD7A" w14:textId="7DB30E28" w:rsidR="00285C89" w:rsidRPr="00D032B4" w:rsidRDefault="00C54940" w:rsidP="0055527A">
      <w:pPr>
        <w:pStyle w:val="Paragraph"/>
        <w:rPr>
          <w:rFonts w:cs="Arial"/>
          <w:sz w:val="24"/>
          <w:szCs w:val="24"/>
        </w:rPr>
      </w:pPr>
      <w:r>
        <w:rPr>
          <w:rFonts w:cs="Arial"/>
          <w:sz w:val="24"/>
          <w:szCs w:val="24"/>
        </w:rPr>
        <w:t>Dr</w:t>
      </w:r>
      <w:r w:rsidRPr="00D032B4">
        <w:rPr>
          <w:rFonts w:cs="Arial"/>
          <w:sz w:val="24"/>
          <w:szCs w:val="24"/>
        </w:rPr>
        <w:t xml:space="preserve"> </w:t>
      </w:r>
      <w:r w:rsidR="00285C89" w:rsidRPr="00D032B4">
        <w:rPr>
          <w:rFonts w:cs="Arial"/>
          <w:sz w:val="24"/>
          <w:szCs w:val="24"/>
        </w:rPr>
        <w:t xml:space="preserve">Bouvy reiterated that everyone </w:t>
      </w:r>
      <w:proofErr w:type="gramStart"/>
      <w:r w:rsidR="00285C89" w:rsidRPr="00D032B4">
        <w:rPr>
          <w:rFonts w:cs="Arial"/>
          <w:sz w:val="24"/>
          <w:szCs w:val="24"/>
        </w:rPr>
        <w:t>is in agreement</w:t>
      </w:r>
      <w:proofErr w:type="gramEnd"/>
      <w:r w:rsidR="00285C89" w:rsidRPr="00D032B4">
        <w:rPr>
          <w:rFonts w:cs="Arial"/>
          <w:sz w:val="24"/>
          <w:szCs w:val="24"/>
        </w:rPr>
        <w:t xml:space="preserve"> that efgartigimod would not be administered concurrently with </w:t>
      </w:r>
      <w:r w:rsidR="00544068">
        <w:rPr>
          <w:rFonts w:cs="Arial"/>
          <w:sz w:val="24"/>
          <w:szCs w:val="24"/>
        </w:rPr>
        <w:t>intravenous immunoglobulin</w:t>
      </w:r>
      <w:r w:rsidR="00285C89" w:rsidRPr="00D032B4">
        <w:rPr>
          <w:rFonts w:cs="Arial"/>
          <w:sz w:val="24"/>
          <w:szCs w:val="24"/>
        </w:rPr>
        <w:t xml:space="preserve"> or </w:t>
      </w:r>
      <w:r w:rsidR="00544068">
        <w:rPr>
          <w:rFonts w:cs="Arial"/>
          <w:sz w:val="24"/>
          <w:szCs w:val="24"/>
        </w:rPr>
        <w:t>plasma exchange therapy</w:t>
      </w:r>
      <w:r w:rsidR="00285C89" w:rsidRPr="00D032B4">
        <w:rPr>
          <w:rFonts w:cs="Arial"/>
          <w:sz w:val="24"/>
          <w:szCs w:val="24"/>
        </w:rPr>
        <w:t xml:space="preserve">. However, the key factor for the Committee is that the long-term pathway must be modelled. In that long-term pathway, efgartigimod is an additional treatment. </w:t>
      </w:r>
      <w:r w:rsidR="00000F96" w:rsidRPr="00D032B4">
        <w:rPr>
          <w:rFonts w:cs="Arial"/>
          <w:sz w:val="24"/>
          <w:szCs w:val="24"/>
        </w:rPr>
        <w:t>The issue is not wha</w:t>
      </w:r>
      <w:r w:rsidR="00285C89" w:rsidRPr="00D032B4">
        <w:rPr>
          <w:rFonts w:cs="Arial"/>
          <w:sz w:val="24"/>
          <w:szCs w:val="24"/>
        </w:rPr>
        <w:t xml:space="preserve">t happens when patients receive efgartigimod, but whether it is reasonable to assume that patients would go back to </w:t>
      </w:r>
      <w:r w:rsidR="00544068">
        <w:rPr>
          <w:rFonts w:cs="Arial"/>
          <w:sz w:val="24"/>
          <w:szCs w:val="24"/>
        </w:rPr>
        <w:t>intravenous immunoglobulin</w:t>
      </w:r>
      <w:r w:rsidR="00285C89" w:rsidRPr="00D032B4">
        <w:rPr>
          <w:rFonts w:cs="Arial"/>
          <w:sz w:val="24"/>
          <w:szCs w:val="24"/>
        </w:rPr>
        <w:t xml:space="preserve"> and/or </w:t>
      </w:r>
      <w:r w:rsidR="00544068">
        <w:rPr>
          <w:rFonts w:cs="Arial"/>
          <w:sz w:val="24"/>
          <w:szCs w:val="24"/>
        </w:rPr>
        <w:t>plasma exchange therapy</w:t>
      </w:r>
      <w:r w:rsidR="00285C89" w:rsidRPr="00D032B4">
        <w:rPr>
          <w:rFonts w:cs="Arial"/>
          <w:sz w:val="24"/>
          <w:szCs w:val="24"/>
        </w:rPr>
        <w:t xml:space="preserve"> after efgartigimod or whether efgartigimod has some impact on the subsequent pathway. Here, given the length, </w:t>
      </w:r>
      <w:r w:rsidR="00F75061" w:rsidRPr="00D032B4">
        <w:rPr>
          <w:rFonts w:cs="Arial"/>
          <w:sz w:val="24"/>
          <w:szCs w:val="24"/>
        </w:rPr>
        <w:t>duration,</w:t>
      </w:r>
      <w:r w:rsidR="00285C89" w:rsidRPr="00D032B4">
        <w:rPr>
          <w:rFonts w:cs="Arial"/>
          <w:sz w:val="24"/>
          <w:szCs w:val="24"/>
        </w:rPr>
        <w:t xml:space="preserve"> and time on treatment on efgartigimod, </w:t>
      </w:r>
      <w:r w:rsidR="00DC078C" w:rsidRPr="00D032B4">
        <w:rPr>
          <w:rFonts w:cs="Arial"/>
          <w:sz w:val="24"/>
          <w:szCs w:val="24"/>
        </w:rPr>
        <w:t>the Committee considered it</w:t>
      </w:r>
      <w:r w:rsidR="00285C89" w:rsidRPr="00D032B4">
        <w:rPr>
          <w:rFonts w:cs="Arial"/>
          <w:sz w:val="24"/>
          <w:szCs w:val="24"/>
        </w:rPr>
        <w:t xml:space="preserve"> reasonable to assume that efgartigimod does not impact the subsequent pathway. </w:t>
      </w:r>
    </w:p>
    <w:p w14:paraId="1ABD93C4" w14:textId="713E174B" w:rsidR="00DC078C" w:rsidRPr="00D032B4" w:rsidRDefault="00C54940" w:rsidP="0055527A">
      <w:pPr>
        <w:pStyle w:val="Paragraph"/>
        <w:rPr>
          <w:rFonts w:cs="Arial"/>
          <w:sz w:val="24"/>
          <w:szCs w:val="24"/>
        </w:rPr>
      </w:pPr>
      <w:r>
        <w:rPr>
          <w:rFonts w:cs="Arial"/>
          <w:sz w:val="24"/>
          <w:szCs w:val="24"/>
        </w:rPr>
        <w:t>Dr</w:t>
      </w:r>
      <w:r w:rsidRPr="00D032B4">
        <w:rPr>
          <w:rFonts w:cs="Arial"/>
          <w:sz w:val="24"/>
          <w:szCs w:val="24"/>
        </w:rPr>
        <w:t xml:space="preserve"> </w:t>
      </w:r>
      <w:r w:rsidR="00DC078C" w:rsidRPr="00D032B4">
        <w:rPr>
          <w:rFonts w:cs="Arial"/>
          <w:sz w:val="24"/>
          <w:szCs w:val="24"/>
        </w:rPr>
        <w:t xml:space="preserve">Bouvy noted that it is not entirely correct to assume that all those people in EAMS who might be offered efgartigimod in the model would go on to be offered other escalation therapies (as only around half of the EAMS population were receiving </w:t>
      </w:r>
      <w:r w:rsidR="00544068">
        <w:rPr>
          <w:rFonts w:cs="Arial"/>
          <w:sz w:val="24"/>
          <w:szCs w:val="24"/>
        </w:rPr>
        <w:t>intravenous immunoglobulin</w:t>
      </w:r>
      <w:r w:rsidR="00DC078C" w:rsidRPr="00D032B4">
        <w:rPr>
          <w:rFonts w:cs="Arial"/>
          <w:sz w:val="24"/>
          <w:szCs w:val="24"/>
        </w:rPr>
        <w:t xml:space="preserve"> / </w:t>
      </w:r>
      <w:r w:rsidR="00544068">
        <w:rPr>
          <w:rFonts w:cs="Arial"/>
          <w:sz w:val="24"/>
          <w:szCs w:val="24"/>
        </w:rPr>
        <w:t>plasma exchange therapy</w:t>
      </w:r>
      <w:r w:rsidR="00DC078C" w:rsidRPr="00D032B4">
        <w:rPr>
          <w:rFonts w:cs="Arial"/>
          <w:sz w:val="24"/>
          <w:szCs w:val="24"/>
        </w:rPr>
        <w:t xml:space="preserve">). Esther Nzenza </w:t>
      </w:r>
      <w:proofErr w:type="gramStart"/>
      <w:r w:rsidR="00DC078C" w:rsidRPr="00D032B4">
        <w:rPr>
          <w:rFonts w:cs="Arial"/>
          <w:sz w:val="24"/>
          <w:szCs w:val="24"/>
        </w:rPr>
        <w:t>agreed, but</w:t>
      </w:r>
      <w:proofErr w:type="gramEnd"/>
      <w:r w:rsidR="00DC078C" w:rsidRPr="00D032B4">
        <w:rPr>
          <w:rFonts w:cs="Arial"/>
          <w:sz w:val="24"/>
          <w:szCs w:val="24"/>
        </w:rPr>
        <w:t xml:space="preserve"> noted that in time those patients would go on to receive escalation therapies given that one criterion for EAMS was patients who "have failed, not tolerated or are not suitable for standard therapy for </w:t>
      </w:r>
      <w:r w:rsidR="00544068">
        <w:rPr>
          <w:rFonts w:cs="Arial"/>
          <w:sz w:val="24"/>
          <w:szCs w:val="24"/>
        </w:rPr>
        <w:t>generalised myasthenia gravis</w:t>
      </w:r>
      <w:r w:rsidR="00DC078C" w:rsidRPr="00D032B4">
        <w:rPr>
          <w:rFonts w:cs="Arial"/>
          <w:sz w:val="24"/>
          <w:szCs w:val="24"/>
        </w:rPr>
        <w:t xml:space="preserve">". </w:t>
      </w:r>
    </w:p>
    <w:p w14:paraId="6F6BC6B2" w14:textId="78245A37" w:rsidR="00DC078C" w:rsidRPr="00D032B4" w:rsidRDefault="00DC078C" w:rsidP="0055527A">
      <w:pPr>
        <w:pStyle w:val="Paragraph"/>
        <w:rPr>
          <w:rFonts w:cs="Arial"/>
          <w:sz w:val="24"/>
          <w:szCs w:val="24"/>
        </w:rPr>
      </w:pPr>
      <w:r w:rsidRPr="00D032B4">
        <w:rPr>
          <w:rFonts w:cs="Arial"/>
          <w:sz w:val="24"/>
          <w:szCs w:val="24"/>
        </w:rPr>
        <w:lastRenderedPageBreak/>
        <w:t xml:space="preserve">The Panel asked whether the modelled pathway after the third and fourth committee meetings were completely new pathways, or whether they were refinements of earlier pathways. Alan Moore explained that the main change in the Company's final modelled pathway was to remove all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from the efgartigimod arm. </w:t>
      </w:r>
      <w:r w:rsidR="009F74B2" w:rsidRPr="00D032B4">
        <w:rPr>
          <w:rFonts w:cs="Arial"/>
          <w:sz w:val="24"/>
          <w:szCs w:val="24"/>
        </w:rPr>
        <w:t xml:space="preserve">The Committee </w:t>
      </w:r>
      <w:r w:rsidR="000B4987" w:rsidRPr="00D032B4">
        <w:rPr>
          <w:rFonts w:cs="Arial"/>
          <w:sz w:val="24"/>
          <w:szCs w:val="24"/>
        </w:rPr>
        <w:t xml:space="preserve">had told the Company that the model was not appropriate and that it </w:t>
      </w:r>
      <w:r w:rsidR="00F75061" w:rsidRPr="00D032B4">
        <w:rPr>
          <w:rFonts w:cs="Arial"/>
          <w:sz w:val="24"/>
          <w:szCs w:val="24"/>
        </w:rPr>
        <w:t>did not</w:t>
      </w:r>
      <w:r w:rsidR="000B4987" w:rsidRPr="00D032B4">
        <w:rPr>
          <w:rFonts w:cs="Arial"/>
          <w:sz w:val="24"/>
          <w:szCs w:val="24"/>
        </w:rPr>
        <w:t xml:space="preserve"> capture the pathway according to its preferred assumptions. The last modelled iteration was not appropriate because it did not allow for treatment sequencing (i.e. 2 vs 2 treatments rather than 3 vs 2 treatments to reflect efgartigimod as an additional line). </w:t>
      </w:r>
    </w:p>
    <w:p w14:paraId="0E8BB537" w14:textId="6752CB8B" w:rsidR="000B4987" w:rsidRPr="00D032B4" w:rsidRDefault="000B4987" w:rsidP="0055527A">
      <w:pPr>
        <w:pStyle w:val="Paragraph"/>
        <w:rPr>
          <w:rFonts w:cs="Arial"/>
          <w:sz w:val="24"/>
          <w:szCs w:val="24"/>
        </w:rPr>
      </w:pPr>
      <w:r w:rsidRPr="00D032B4">
        <w:rPr>
          <w:rFonts w:cs="Arial"/>
          <w:sz w:val="24"/>
          <w:szCs w:val="24"/>
        </w:rPr>
        <w:t>Maria de Francesco disagreed with Alan Moore's characterisation of the model. Instead, she explained that the</w:t>
      </w:r>
      <w:r w:rsidR="003B62E7" w:rsidRPr="00D032B4">
        <w:rPr>
          <w:rFonts w:cs="Arial"/>
          <w:sz w:val="24"/>
          <w:szCs w:val="24"/>
        </w:rPr>
        <w:t xml:space="preserve"> fact that the arms were modelled equally as 2 vs 2 treatments (instead of 3 vs 2 in the efgartigimod arm) reflects the fact that there are more than two treatments in that pathway</w:t>
      </w:r>
      <w:r w:rsidRPr="00D032B4">
        <w:rPr>
          <w:rFonts w:cs="Arial"/>
          <w:sz w:val="24"/>
          <w:szCs w:val="24"/>
        </w:rPr>
        <w:t xml:space="preserve">. The "2 treatments" described by Alan Moore are not two treatments as they would cycle indefinitely. The Company had modelled a scenario where patients remain on treatment forever (whether efgartigimod or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This removes the need to incorporate cycling into the </w:t>
      </w:r>
      <w:r w:rsidR="00F75061" w:rsidRPr="00D032B4">
        <w:rPr>
          <w:rFonts w:cs="Arial"/>
          <w:sz w:val="24"/>
          <w:szCs w:val="24"/>
        </w:rPr>
        <w:t>modelling and</w:t>
      </w:r>
      <w:r w:rsidRPr="00D032B4">
        <w:rPr>
          <w:rFonts w:cs="Arial"/>
          <w:sz w:val="24"/>
          <w:szCs w:val="24"/>
        </w:rPr>
        <w:t xml:space="preserve"> is </w:t>
      </w:r>
      <w:proofErr w:type="gramStart"/>
      <w:r w:rsidRPr="00D032B4">
        <w:rPr>
          <w:rFonts w:cs="Arial"/>
          <w:sz w:val="24"/>
          <w:szCs w:val="24"/>
        </w:rPr>
        <w:t>in itself a</w:t>
      </w:r>
      <w:proofErr w:type="gramEnd"/>
      <w:r w:rsidRPr="00D032B4">
        <w:rPr>
          <w:rFonts w:cs="Arial"/>
          <w:sz w:val="24"/>
          <w:szCs w:val="24"/>
        </w:rPr>
        <w:t xml:space="preserve"> conservative assumption given that </w:t>
      </w:r>
      <w:r w:rsidR="00544068">
        <w:rPr>
          <w:rFonts w:cs="Arial"/>
          <w:sz w:val="24"/>
          <w:szCs w:val="24"/>
        </w:rPr>
        <w:t>intravenous immunoglobulin</w:t>
      </w:r>
      <w:r w:rsidRPr="00D032B4">
        <w:rPr>
          <w:rFonts w:cs="Arial"/>
          <w:sz w:val="24"/>
          <w:szCs w:val="24"/>
        </w:rPr>
        <w:t xml:space="preserve"> is more costly than </w:t>
      </w:r>
      <w:r w:rsidR="00544068">
        <w:rPr>
          <w:rFonts w:cs="Arial"/>
          <w:sz w:val="24"/>
          <w:szCs w:val="24"/>
        </w:rPr>
        <w:t>plasma exchange therapy</w:t>
      </w:r>
      <w:r w:rsidRPr="00D032B4">
        <w:rPr>
          <w:rFonts w:cs="Arial"/>
          <w:sz w:val="24"/>
          <w:szCs w:val="24"/>
        </w:rPr>
        <w:t>.</w:t>
      </w:r>
    </w:p>
    <w:p w14:paraId="1A2E18D5" w14:textId="32908FF9" w:rsidR="00D032B4" w:rsidRPr="00D032B4" w:rsidRDefault="00D032B4" w:rsidP="00D032B4">
      <w:pPr>
        <w:pStyle w:val="Paragraph"/>
        <w:rPr>
          <w:rFonts w:cs="Arial"/>
          <w:sz w:val="24"/>
          <w:szCs w:val="24"/>
        </w:rPr>
      </w:pPr>
      <w:r w:rsidRPr="00D032B4">
        <w:rPr>
          <w:rFonts w:cs="Arial"/>
          <w:sz w:val="24"/>
          <w:szCs w:val="24"/>
        </w:rPr>
        <w:t xml:space="preserve">Although these appeal points were considered together at the hearing, the panel arrived at separate decisions </w:t>
      </w:r>
      <w:proofErr w:type="gramStart"/>
      <w:r w:rsidRPr="00D032B4">
        <w:rPr>
          <w:rFonts w:cs="Arial"/>
          <w:sz w:val="24"/>
          <w:szCs w:val="24"/>
        </w:rPr>
        <w:t>in regard to</w:t>
      </w:r>
      <w:proofErr w:type="gramEnd"/>
      <w:r w:rsidRPr="00D032B4">
        <w:rPr>
          <w:rFonts w:cs="Arial"/>
          <w:sz w:val="24"/>
          <w:szCs w:val="24"/>
        </w:rPr>
        <w:t xml:space="preserve"> the </w:t>
      </w:r>
      <w:r w:rsidR="0074228C">
        <w:rPr>
          <w:rFonts w:cs="Arial"/>
          <w:sz w:val="24"/>
          <w:szCs w:val="24"/>
        </w:rPr>
        <w:t>two</w:t>
      </w:r>
      <w:r w:rsidR="0074228C" w:rsidRPr="00D032B4">
        <w:rPr>
          <w:rFonts w:cs="Arial"/>
          <w:sz w:val="24"/>
          <w:szCs w:val="24"/>
        </w:rPr>
        <w:t xml:space="preserve"> </w:t>
      </w:r>
      <w:r w:rsidRPr="00D032B4">
        <w:rPr>
          <w:rFonts w:cs="Arial"/>
          <w:sz w:val="24"/>
          <w:szCs w:val="24"/>
        </w:rPr>
        <w:t>different points that related to different grounds for appeal. To inform these decisions, the panel concluded that NICE had been consistent throughout the appraisal in its description of the place of efga</w:t>
      </w:r>
      <w:r w:rsidR="0074228C">
        <w:rPr>
          <w:rFonts w:cs="Arial"/>
          <w:sz w:val="24"/>
          <w:szCs w:val="24"/>
        </w:rPr>
        <w:t>r</w:t>
      </w:r>
      <w:r w:rsidRPr="00D032B4">
        <w:rPr>
          <w:rFonts w:cs="Arial"/>
          <w:sz w:val="24"/>
          <w:szCs w:val="24"/>
        </w:rPr>
        <w:t xml:space="preserve">tigimod as an </w:t>
      </w:r>
      <w:r w:rsidR="00884D10">
        <w:rPr>
          <w:rFonts w:cs="Arial"/>
          <w:sz w:val="24"/>
          <w:szCs w:val="24"/>
        </w:rPr>
        <w:t>‘</w:t>
      </w:r>
      <w:r w:rsidRPr="00D032B4">
        <w:rPr>
          <w:rFonts w:cs="Arial"/>
          <w:sz w:val="24"/>
          <w:szCs w:val="24"/>
        </w:rPr>
        <w:t>'add-on'</w:t>
      </w:r>
      <w:r w:rsidR="00884D10">
        <w:rPr>
          <w:rFonts w:cs="Arial"/>
          <w:sz w:val="24"/>
          <w:szCs w:val="24"/>
        </w:rPr>
        <w:t>’</w:t>
      </w:r>
      <w:r w:rsidRPr="00D032B4">
        <w:rPr>
          <w:rFonts w:cs="Arial"/>
          <w:sz w:val="24"/>
          <w:szCs w:val="24"/>
        </w:rPr>
        <w:t xml:space="preserve"> to standard treatment for </w:t>
      </w:r>
      <w:r w:rsidR="00544068">
        <w:rPr>
          <w:rFonts w:cs="Arial"/>
          <w:sz w:val="24"/>
          <w:szCs w:val="24"/>
        </w:rPr>
        <w:t>generalised myasthenia gravis</w:t>
      </w:r>
      <w:r w:rsidRPr="00D032B4">
        <w:rPr>
          <w:rFonts w:cs="Arial"/>
          <w:sz w:val="24"/>
          <w:szCs w:val="24"/>
        </w:rPr>
        <w:t xml:space="preserve"> in the</w:t>
      </w:r>
      <w:r w:rsidR="0074228C">
        <w:rPr>
          <w:rFonts w:cs="Arial"/>
          <w:sz w:val="24"/>
          <w:szCs w:val="24"/>
        </w:rPr>
        <w:t xml:space="preserve"> first, second and final</w:t>
      </w:r>
      <w:r w:rsidRPr="00D032B4">
        <w:rPr>
          <w:rFonts w:cs="Arial"/>
          <w:sz w:val="24"/>
          <w:szCs w:val="24"/>
        </w:rPr>
        <w:t xml:space="preserve"> draft guidance, and that this </w:t>
      </w:r>
      <w:r w:rsidRPr="00D032B4">
        <w:rPr>
          <w:rFonts w:cs="Arial"/>
          <w:sz w:val="24"/>
          <w:szCs w:val="24"/>
        </w:rPr>
        <w:lastRenderedPageBreak/>
        <w:t>reflected the Marketing Authorisation for efga</w:t>
      </w:r>
      <w:r w:rsidR="0074228C">
        <w:rPr>
          <w:rFonts w:cs="Arial"/>
          <w:sz w:val="24"/>
          <w:szCs w:val="24"/>
        </w:rPr>
        <w:t>r</w:t>
      </w:r>
      <w:r w:rsidRPr="00D032B4">
        <w:rPr>
          <w:rFonts w:cs="Arial"/>
          <w:sz w:val="24"/>
          <w:szCs w:val="24"/>
        </w:rPr>
        <w:t xml:space="preserve">tigimod. Nonetheless, the </w:t>
      </w:r>
      <w:r w:rsidR="0074228C">
        <w:rPr>
          <w:rFonts w:cs="Arial"/>
          <w:sz w:val="24"/>
          <w:szCs w:val="24"/>
        </w:rPr>
        <w:t>P</w:t>
      </w:r>
      <w:r w:rsidR="0074228C" w:rsidRPr="00D032B4">
        <w:rPr>
          <w:rFonts w:cs="Arial"/>
          <w:sz w:val="24"/>
          <w:szCs w:val="24"/>
        </w:rPr>
        <w:t xml:space="preserve">anel </w:t>
      </w:r>
      <w:r w:rsidRPr="00D032B4">
        <w:rPr>
          <w:rFonts w:cs="Arial"/>
          <w:sz w:val="24"/>
          <w:szCs w:val="24"/>
        </w:rPr>
        <w:t>noted that the interpretation of the terminology '</w:t>
      </w:r>
      <w:r w:rsidR="00884D10">
        <w:rPr>
          <w:rFonts w:cs="Arial"/>
          <w:sz w:val="24"/>
          <w:szCs w:val="24"/>
        </w:rPr>
        <w:t>’</w:t>
      </w:r>
      <w:r w:rsidRPr="00D032B4">
        <w:rPr>
          <w:rFonts w:cs="Arial"/>
          <w:sz w:val="24"/>
          <w:szCs w:val="24"/>
        </w:rPr>
        <w:t>add-on'</w:t>
      </w:r>
      <w:r w:rsidR="00884D10">
        <w:rPr>
          <w:rFonts w:cs="Arial"/>
          <w:sz w:val="24"/>
          <w:szCs w:val="24"/>
        </w:rPr>
        <w:t>’</w:t>
      </w:r>
      <w:r w:rsidRPr="00D032B4">
        <w:rPr>
          <w:rFonts w:cs="Arial"/>
          <w:sz w:val="24"/>
          <w:szCs w:val="24"/>
        </w:rPr>
        <w:t xml:space="preserve"> therapy had been the source of some confusion between the </w:t>
      </w:r>
      <w:r w:rsidR="0074228C">
        <w:rPr>
          <w:rFonts w:cs="Arial"/>
          <w:sz w:val="24"/>
          <w:szCs w:val="24"/>
        </w:rPr>
        <w:t>C</w:t>
      </w:r>
      <w:r w:rsidR="0074228C" w:rsidRPr="00D032B4">
        <w:rPr>
          <w:rFonts w:cs="Arial"/>
          <w:sz w:val="24"/>
          <w:szCs w:val="24"/>
        </w:rPr>
        <w:t xml:space="preserve">ompany </w:t>
      </w:r>
      <w:r w:rsidRPr="00D032B4">
        <w:rPr>
          <w:rFonts w:cs="Arial"/>
          <w:sz w:val="24"/>
          <w:szCs w:val="24"/>
        </w:rPr>
        <w:t xml:space="preserve">and NICE </w:t>
      </w:r>
      <w:proofErr w:type="gramStart"/>
      <w:r w:rsidRPr="00D032B4">
        <w:rPr>
          <w:rFonts w:cs="Arial"/>
          <w:sz w:val="24"/>
          <w:szCs w:val="24"/>
        </w:rPr>
        <w:t>during the course of</w:t>
      </w:r>
      <w:proofErr w:type="gramEnd"/>
      <w:r w:rsidRPr="00D032B4">
        <w:rPr>
          <w:rFonts w:cs="Arial"/>
          <w:sz w:val="24"/>
          <w:szCs w:val="24"/>
        </w:rPr>
        <w:t xml:space="preserve"> the appraisal and that this was relevant in considering these appeal points</w:t>
      </w:r>
      <w:r w:rsidR="00F75061" w:rsidRPr="00D032B4">
        <w:rPr>
          <w:rFonts w:cs="Arial"/>
          <w:sz w:val="24"/>
          <w:szCs w:val="24"/>
        </w:rPr>
        <w:t xml:space="preserve">. </w:t>
      </w:r>
      <w:r w:rsidRPr="00D032B4">
        <w:rPr>
          <w:rFonts w:cs="Arial"/>
          <w:sz w:val="24"/>
          <w:szCs w:val="24"/>
        </w:rPr>
        <w:t xml:space="preserve">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were also satisfied that NICE had been consistent during the appraisal in considering that while </w:t>
      </w:r>
      <w:r w:rsidR="00884D10">
        <w:rPr>
          <w:rFonts w:cs="Arial"/>
          <w:sz w:val="24"/>
          <w:szCs w:val="24"/>
        </w:rPr>
        <w:t>‘</w:t>
      </w:r>
      <w:r w:rsidRPr="00D032B4">
        <w:rPr>
          <w:rFonts w:cs="Arial"/>
          <w:sz w:val="24"/>
          <w:szCs w:val="24"/>
        </w:rPr>
        <w:t>'add-on'</w:t>
      </w:r>
      <w:r w:rsidR="00884D10">
        <w:rPr>
          <w:rFonts w:cs="Arial"/>
          <w:sz w:val="24"/>
          <w:szCs w:val="24"/>
        </w:rPr>
        <w:t>’</w:t>
      </w:r>
      <w:r w:rsidRPr="00D032B4">
        <w:rPr>
          <w:rFonts w:cs="Arial"/>
          <w:sz w:val="24"/>
          <w:szCs w:val="24"/>
        </w:rPr>
        <w:t xml:space="preserve"> therapy may comprise co-administration of efga</w:t>
      </w:r>
      <w:r w:rsidR="0074228C">
        <w:rPr>
          <w:rFonts w:cs="Arial"/>
          <w:sz w:val="24"/>
          <w:szCs w:val="24"/>
        </w:rPr>
        <w:t>r</w:t>
      </w:r>
      <w:r w:rsidRPr="00D032B4">
        <w:rPr>
          <w:rFonts w:cs="Arial"/>
          <w:sz w:val="24"/>
          <w:szCs w:val="24"/>
        </w:rPr>
        <w:t>tigimod with pyridostigmine, steroids and non-steroid immuno-</w:t>
      </w:r>
      <w:r w:rsidR="0074228C" w:rsidRPr="00D032B4">
        <w:rPr>
          <w:rFonts w:cs="Arial"/>
          <w:sz w:val="24"/>
          <w:szCs w:val="24"/>
        </w:rPr>
        <w:t>suppressants</w:t>
      </w:r>
      <w:r w:rsidRPr="00D032B4">
        <w:rPr>
          <w:rFonts w:cs="Arial"/>
          <w:sz w:val="24"/>
          <w:szCs w:val="24"/>
        </w:rPr>
        <w:t>, it did not refer to the co-treatment of patients with efga</w:t>
      </w:r>
      <w:r w:rsidR="0074228C">
        <w:rPr>
          <w:rFonts w:cs="Arial"/>
          <w:sz w:val="24"/>
          <w:szCs w:val="24"/>
        </w:rPr>
        <w:t>r</w:t>
      </w:r>
      <w:r w:rsidRPr="00D032B4">
        <w:rPr>
          <w:rFonts w:cs="Arial"/>
          <w:sz w:val="24"/>
          <w:szCs w:val="24"/>
        </w:rPr>
        <w:t xml:space="preserve">tigimod and either intravenous immunoglobulin or plasma exchange therapy. The </w:t>
      </w:r>
      <w:r w:rsidR="007C2FD4">
        <w:rPr>
          <w:rFonts w:cs="Arial"/>
          <w:sz w:val="24"/>
          <w:szCs w:val="24"/>
        </w:rPr>
        <w:t>P</w:t>
      </w:r>
      <w:r w:rsidRPr="00D032B4">
        <w:rPr>
          <w:rFonts w:cs="Arial"/>
          <w:sz w:val="24"/>
          <w:szCs w:val="24"/>
        </w:rPr>
        <w:t xml:space="preserve">anel were therefore satisfied that in reference to </w:t>
      </w:r>
      <w:r w:rsidR="00907D82">
        <w:rPr>
          <w:rFonts w:cs="Arial"/>
          <w:sz w:val="24"/>
          <w:szCs w:val="24"/>
        </w:rPr>
        <w:t>“</w:t>
      </w:r>
      <w:r w:rsidRPr="00D032B4">
        <w:rPr>
          <w:rFonts w:cs="Arial"/>
          <w:sz w:val="24"/>
          <w:szCs w:val="24"/>
        </w:rPr>
        <w:t>add-on</w:t>
      </w:r>
      <w:r w:rsidR="00884D10">
        <w:rPr>
          <w:rFonts w:cs="Arial"/>
          <w:sz w:val="24"/>
          <w:szCs w:val="24"/>
        </w:rPr>
        <w:t>’</w:t>
      </w:r>
      <w:r w:rsidRPr="00D032B4">
        <w:rPr>
          <w:rFonts w:cs="Arial"/>
          <w:sz w:val="24"/>
          <w:szCs w:val="24"/>
        </w:rPr>
        <w:t xml:space="preserve">' therapy in the context of so-called </w:t>
      </w:r>
      <w:r w:rsidR="00907D82">
        <w:rPr>
          <w:rFonts w:cs="Arial"/>
          <w:sz w:val="24"/>
          <w:szCs w:val="24"/>
        </w:rPr>
        <w:t>“</w:t>
      </w:r>
      <w:r w:rsidRPr="00D032B4">
        <w:rPr>
          <w:rFonts w:cs="Arial"/>
          <w:sz w:val="24"/>
          <w:szCs w:val="24"/>
        </w:rPr>
        <w:t>rescue</w:t>
      </w:r>
      <w:r w:rsidR="00884D10">
        <w:rPr>
          <w:rFonts w:cs="Arial"/>
          <w:sz w:val="24"/>
          <w:szCs w:val="24"/>
        </w:rPr>
        <w:t>’</w:t>
      </w:r>
      <w:r w:rsidRPr="00D032B4">
        <w:rPr>
          <w:rFonts w:cs="Arial"/>
          <w:sz w:val="24"/>
          <w:szCs w:val="24"/>
        </w:rPr>
        <w:t xml:space="preserve">' treatments, this reflected a sequential pattern or substitution therapy that may be necessary throughout the lifetime of a patient.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were persuaded by the biological principles of this and by the fact that this distinction had been a consistent approach that featured in the </w:t>
      </w:r>
      <w:r w:rsidR="0074228C">
        <w:rPr>
          <w:rFonts w:cs="Arial"/>
          <w:sz w:val="24"/>
          <w:szCs w:val="24"/>
        </w:rPr>
        <w:t>C</w:t>
      </w:r>
      <w:r w:rsidR="0074228C" w:rsidRPr="00D032B4">
        <w:rPr>
          <w:rFonts w:cs="Arial"/>
          <w:sz w:val="24"/>
          <w:szCs w:val="24"/>
        </w:rPr>
        <w:t xml:space="preserve">ommittee's </w:t>
      </w:r>
      <w:r w:rsidRPr="00D032B4">
        <w:rPr>
          <w:rFonts w:cs="Arial"/>
          <w:sz w:val="24"/>
          <w:szCs w:val="24"/>
        </w:rPr>
        <w:t xml:space="preserve">thinking around its preferred assumptions to optimally inform the economic modelling </w:t>
      </w:r>
      <w:proofErr w:type="gramStart"/>
      <w:r w:rsidRPr="00D032B4">
        <w:rPr>
          <w:rFonts w:cs="Arial"/>
          <w:sz w:val="24"/>
          <w:szCs w:val="24"/>
        </w:rPr>
        <w:t>during the course of</w:t>
      </w:r>
      <w:proofErr w:type="gramEnd"/>
      <w:r w:rsidRPr="00D032B4">
        <w:rPr>
          <w:rFonts w:cs="Arial"/>
          <w:sz w:val="24"/>
          <w:szCs w:val="24"/>
        </w:rPr>
        <w:t xml:space="preserve"> the appraisal</w:t>
      </w:r>
      <w:r w:rsidR="00F75061" w:rsidRPr="00D032B4">
        <w:rPr>
          <w:rFonts w:cs="Arial"/>
          <w:sz w:val="24"/>
          <w:szCs w:val="24"/>
        </w:rPr>
        <w:t xml:space="preserve">. </w:t>
      </w:r>
    </w:p>
    <w:p w14:paraId="757B720D" w14:textId="58E4CD41" w:rsidR="00D032B4" w:rsidRPr="00D032B4" w:rsidRDefault="00D032B4" w:rsidP="00D032B4">
      <w:pPr>
        <w:pStyle w:val="Paragraph"/>
        <w:rPr>
          <w:rFonts w:cs="Arial"/>
          <w:sz w:val="24"/>
          <w:szCs w:val="24"/>
        </w:rPr>
      </w:pPr>
      <w:r w:rsidRPr="00D032B4">
        <w:rPr>
          <w:rFonts w:cs="Arial"/>
          <w:sz w:val="24"/>
          <w:szCs w:val="24"/>
        </w:rPr>
        <w:t>Regarding appeal point</w:t>
      </w:r>
      <w:r w:rsidRPr="00D032B4">
        <w:rPr>
          <w:rFonts w:cs="Arial"/>
          <w:b/>
          <w:sz w:val="24"/>
          <w:szCs w:val="24"/>
        </w:rPr>
        <w:t xml:space="preserve"> </w:t>
      </w:r>
      <w:proofErr w:type="spellStart"/>
      <w:r w:rsidRPr="00D032B4">
        <w:rPr>
          <w:rFonts w:cs="Arial"/>
          <w:b/>
          <w:sz w:val="24"/>
          <w:szCs w:val="24"/>
        </w:rPr>
        <w:t>Argenx</w:t>
      </w:r>
      <w:proofErr w:type="spellEnd"/>
      <w:r w:rsidRPr="00D032B4">
        <w:rPr>
          <w:rFonts w:cs="Arial"/>
          <w:b/>
          <w:sz w:val="24"/>
          <w:szCs w:val="24"/>
        </w:rPr>
        <w:t xml:space="preserve"> 1a</w:t>
      </w:r>
      <w:r w:rsidR="005A6EDA">
        <w:rPr>
          <w:rFonts w:cs="Arial"/>
          <w:b/>
          <w:sz w:val="24"/>
          <w:szCs w:val="24"/>
        </w:rPr>
        <w:t>.</w:t>
      </w:r>
      <w:r w:rsidR="00C54940">
        <w:rPr>
          <w:rFonts w:cs="Arial"/>
          <w:b/>
          <w:sz w:val="24"/>
          <w:szCs w:val="24"/>
        </w:rPr>
        <w:t>1</w:t>
      </w:r>
      <w:r w:rsidRPr="00D032B4">
        <w:rPr>
          <w:rFonts w:cs="Arial"/>
          <w:b/>
          <w:sz w:val="24"/>
          <w:szCs w:val="24"/>
        </w:rPr>
        <w:t>,</w:t>
      </w:r>
      <w:r w:rsidRPr="00D032B4">
        <w:rPr>
          <w:rFonts w:cs="Arial"/>
          <w:sz w:val="24"/>
          <w:szCs w:val="24"/>
        </w:rPr>
        <w:t xml:space="preserve"> the Appeal Panel concluded as follows</w:t>
      </w:r>
      <w:r w:rsidR="00690D6D">
        <w:rPr>
          <w:rFonts w:cs="Arial"/>
          <w:sz w:val="24"/>
          <w:szCs w:val="24"/>
        </w:rPr>
        <w:t>.</w:t>
      </w:r>
      <w:r w:rsidRPr="00D032B4">
        <w:rPr>
          <w:rFonts w:cs="Arial"/>
          <w:sz w:val="24"/>
          <w:szCs w:val="24"/>
        </w:rPr>
        <w:t xml:space="preserve">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noted that the </w:t>
      </w:r>
      <w:r w:rsidR="0074228C">
        <w:rPr>
          <w:rFonts w:cs="Arial"/>
          <w:sz w:val="24"/>
          <w:szCs w:val="24"/>
        </w:rPr>
        <w:t>C</w:t>
      </w:r>
      <w:r w:rsidR="0074228C" w:rsidRPr="00D032B4">
        <w:rPr>
          <w:rFonts w:cs="Arial"/>
          <w:sz w:val="24"/>
          <w:szCs w:val="24"/>
        </w:rPr>
        <w:t>ompany</w:t>
      </w:r>
      <w:r w:rsidR="00931628">
        <w:rPr>
          <w:rFonts w:cs="Arial"/>
          <w:sz w:val="24"/>
          <w:szCs w:val="24"/>
        </w:rPr>
        <w:t>’s</w:t>
      </w:r>
      <w:r w:rsidR="0074228C" w:rsidRPr="00D032B4">
        <w:rPr>
          <w:rFonts w:cs="Arial"/>
          <w:sz w:val="24"/>
          <w:szCs w:val="24"/>
        </w:rPr>
        <w:t xml:space="preserve"> </w:t>
      </w:r>
      <w:r w:rsidRPr="00D032B4">
        <w:rPr>
          <w:rFonts w:cs="Arial"/>
          <w:sz w:val="24"/>
          <w:szCs w:val="24"/>
        </w:rPr>
        <w:t xml:space="preserve">economic model had been amended </w:t>
      </w:r>
      <w:proofErr w:type="gramStart"/>
      <w:r w:rsidRPr="00D032B4">
        <w:rPr>
          <w:rFonts w:cs="Arial"/>
          <w:sz w:val="24"/>
          <w:szCs w:val="24"/>
        </w:rPr>
        <w:t>during the course of</w:t>
      </w:r>
      <w:proofErr w:type="gramEnd"/>
      <w:r w:rsidRPr="00D032B4">
        <w:rPr>
          <w:rFonts w:cs="Arial"/>
          <w:sz w:val="24"/>
          <w:szCs w:val="24"/>
        </w:rPr>
        <w:t xml:space="preserve"> the appraisal and that this included a significant change before the </w:t>
      </w:r>
      <w:r w:rsidR="0074228C">
        <w:rPr>
          <w:rFonts w:cs="Arial"/>
          <w:sz w:val="24"/>
          <w:szCs w:val="24"/>
        </w:rPr>
        <w:t>fourth</w:t>
      </w:r>
      <w:r w:rsidR="0074228C" w:rsidRPr="00D032B4">
        <w:rPr>
          <w:rFonts w:cs="Arial"/>
          <w:sz w:val="24"/>
          <w:szCs w:val="24"/>
        </w:rPr>
        <w:t xml:space="preserve"> </w:t>
      </w:r>
      <w:r w:rsidRPr="00D032B4">
        <w:rPr>
          <w:rFonts w:cs="Arial"/>
          <w:sz w:val="24"/>
          <w:szCs w:val="24"/>
        </w:rPr>
        <w:t xml:space="preserve">committee meeting </w:t>
      </w:r>
      <w:proofErr w:type="gramStart"/>
      <w:r w:rsidRPr="00D032B4">
        <w:rPr>
          <w:rFonts w:cs="Arial"/>
          <w:sz w:val="24"/>
          <w:szCs w:val="24"/>
        </w:rPr>
        <w:t>in regard to</w:t>
      </w:r>
      <w:proofErr w:type="gramEnd"/>
      <w:r w:rsidRPr="00D032B4">
        <w:rPr>
          <w:rFonts w:cs="Arial"/>
          <w:sz w:val="24"/>
          <w:szCs w:val="24"/>
        </w:rPr>
        <w:t xml:space="preserve"> the inclusion of </w:t>
      </w:r>
      <w:r w:rsidR="00544068">
        <w:rPr>
          <w:rFonts w:cs="Arial"/>
          <w:sz w:val="24"/>
          <w:szCs w:val="24"/>
        </w:rPr>
        <w:t>plasma exchange therapy</w:t>
      </w:r>
      <w:r w:rsidRPr="00D032B4">
        <w:rPr>
          <w:rFonts w:cs="Arial"/>
          <w:sz w:val="24"/>
          <w:szCs w:val="24"/>
        </w:rPr>
        <w:t xml:space="preserve"> in the treatment pathway. Furthermore, the</w:t>
      </w:r>
      <w:r w:rsidR="0074228C">
        <w:rPr>
          <w:rFonts w:cs="Arial"/>
          <w:sz w:val="24"/>
          <w:szCs w:val="24"/>
        </w:rPr>
        <w:t xml:space="preserve"> Panel</w:t>
      </w:r>
      <w:r w:rsidRPr="00D032B4">
        <w:rPr>
          <w:rFonts w:cs="Arial"/>
          <w:sz w:val="24"/>
          <w:szCs w:val="24"/>
        </w:rPr>
        <w:t xml:space="preserve"> were persuaded that this change in the modelling approach by the </w:t>
      </w:r>
      <w:r w:rsidR="00907D82">
        <w:rPr>
          <w:rFonts w:cs="Arial"/>
          <w:sz w:val="24"/>
          <w:szCs w:val="24"/>
        </w:rPr>
        <w:t>C</w:t>
      </w:r>
      <w:r w:rsidRPr="00D032B4">
        <w:rPr>
          <w:rFonts w:cs="Arial"/>
          <w:sz w:val="24"/>
          <w:szCs w:val="24"/>
        </w:rPr>
        <w:t xml:space="preserve">ompany was not reflective of changes in the </w:t>
      </w:r>
      <w:r w:rsidR="0074228C">
        <w:rPr>
          <w:rFonts w:cs="Arial"/>
          <w:sz w:val="24"/>
          <w:szCs w:val="24"/>
        </w:rPr>
        <w:t>C</w:t>
      </w:r>
      <w:r w:rsidRPr="00D032B4">
        <w:rPr>
          <w:rFonts w:cs="Arial"/>
          <w:sz w:val="24"/>
          <w:szCs w:val="24"/>
        </w:rPr>
        <w:t xml:space="preserve">ommittee's preferred assumptions after the </w:t>
      </w:r>
      <w:r w:rsidR="0074228C">
        <w:rPr>
          <w:rFonts w:cs="Arial"/>
          <w:sz w:val="24"/>
          <w:szCs w:val="24"/>
        </w:rPr>
        <w:t>thir</w:t>
      </w:r>
      <w:r w:rsidR="0074228C" w:rsidRPr="00D032B4">
        <w:rPr>
          <w:rFonts w:cs="Arial"/>
          <w:sz w:val="24"/>
          <w:szCs w:val="24"/>
        </w:rPr>
        <w:t xml:space="preserve">d </w:t>
      </w:r>
      <w:r w:rsidRPr="00D032B4">
        <w:rPr>
          <w:rFonts w:cs="Arial"/>
          <w:sz w:val="24"/>
          <w:szCs w:val="24"/>
        </w:rPr>
        <w:t xml:space="preserve">committee meeting and that the </w:t>
      </w:r>
      <w:r w:rsidR="0074228C">
        <w:rPr>
          <w:rFonts w:cs="Arial"/>
          <w:sz w:val="24"/>
          <w:szCs w:val="24"/>
        </w:rPr>
        <w:t>C</w:t>
      </w:r>
      <w:r w:rsidR="0074228C" w:rsidRPr="00D032B4">
        <w:rPr>
          <w:rFonts w:cs="Arial"/>
          <w:sz w:val="24"/>
          <w:szCs w:val="24"/>
        </w:rPr>
        <w:t xml:space="preserve">ompany </w:t>
      </w:r>
      <w:r w:rsidRPr="00D032B4">
        <w:rPr>
          <w:rFonts w:cs="Arial"/>
          <w:sz w:val="24"/>
          <w:szCs w:val="24"/>
        </w:rPr>
        <w:t xml:space="preserve">had been provided opportunity throughout the appraisal to engage with modelling based on the </w:t>
      </w:r>
      <w:r w:rsidR="00C3635C">
        <w:rPr>
          <w:rFonts w:cs="Arial"/>
          <w:sz w:val="24"/>
          <w:szCs w:val="24"/>
        </w:rPr>
        <w:t>C</w:t>
      </w:r>
      <w:r w:rsidRPr="00D032B4">
        <w:rPr>
          <w:rFonts w:cs="Arial"/>
          <w:sz w:val="24"/>
          <w:szCs w:val="24"/>
        </w:rPr>
        <w:t xml:space="preserve">ommittee's preferred assumptions.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concluded that the </w:t>
      </w:r>
      <w:r w:rsidR="0074228C">
        <w:rPr>
          <w:rFonts w:cs="Arial"/>
          <w:sz w:val="24"/>
          <w:szCs w:val="24"/>
        </w:rPr>
        <w:t>C</w:t>
      </w:r>
      <w:r w:rsidR="0074228C" w:rsidRPr="00D032B4">
        <w:rPr>
          <w:rFonts w:cs="Arial"/>
          <w:sz w:val="24"/>
          <w:szCs w:val="24"/>
        </w:rPr>
        <w:t xml:space="preserve">ommittee's </w:t>
      </w:r>
      <w:r w:rsidRPr="00D032B4">
        <w:rPr>
          <w:rFonts w:cs="Arial"/>
          <w:sz w:val="24"/>
          <w:szCs w:val="24"/>
        </w:rPr>
        <w:t>preferred place of efga</w:t>
      </w:r>
      <w:r w:rsidR="0074228C">
        <w:rPr>
          <w:rFonts w:cs="Arial"/>
          <w:sz w:val="24"/>
          <w:szCs w:val="24"/>
        </w:rPr>
        <w:t>r</w:t>
      </w:r>
      <w:r w:rsidRPr="00D032B4">
        <w:rPr>
          <w:rFonts w:cs="Arial"/>
          <w:sz w:val="24"/>
          <w:szCs w:val="24"/>
        </w:rPr>
        <w:t xml:space="preserve">tigimod in the treatment pathway was consistently linked to the positioning of </w:t>
      </w:r>
      <w:r w:rsidR="00066567">
        <w:rPr>
          <w:rFonts w:cs="Arial"/>
          <w:sz w:val="24"/>
          <w:szCs w:val="24"/>
        </w:rPr>
        <w:t>“</w:t>
      </w:r>
      <w:r w:rsidRPr="00D032B4">
        <w:rPr>
          <w:rFonts w:cs="Arial"/>
          <w:sz w:val="24"/>
          <w:szCs w:val="24"/>
        </w:rPr>
        <w:t>rescue'</w:t>
      </w:r>
      <w:r w:rsidR="00931628">
        <w:rPr>
          <w:rFonts w:cs="Arial"/>
          <w:sz w:val="24"/>
          <w:szCs w:val="24"/>
        </w:rPr>
        <w:t>’</w:t>
      </w:r>
      <w:r w:rsidRPr="00D032B4">
        <w:rPr>
          <w:rFonts w:cs="Arial"/>
          <w:sz w:val="24"/>
          <w:szCs w:val="24"/>
        </w:rPr>
        <w:t xml:space="preserve"> </w:t>
      </w:r>
      <w:r w:rsidRPr="00D032B4">
        <w:rPr>
          <w:rFonts w:cs="Arial"/>
          <w:sz w:val="24"/>
          <w:szCs w:val="24"/>
        </w:rPr>
        <w:lastRenderedPageBreak/>
        <w:t>treatment, in a sequential manner, and that there was no convincing evidence that NICE had itself introduced a procedurally unfair late change in its approach in this regard in the FDG.</w:t>
      </w:r>
    </w:p>
    <w:p w14:paraId="1BD3524A" w14:textId="10048143" w:rsidR="00D032B4" w:rsidRPr="00D032B4" w:rsidRDefault="00D032B4" w:rsidP="00D032B4">
      <w:pPr>
        <w:pStyle w:val="Paragraph"/>
        <w:rPr>
          <w:rFonts w:cs="Arial"/>
          <w:sz w:val="24"/>
          <w:szCs w:val="24"/>
        </w:rPr>
      </w:pPr>
      <w:r w:rsidRPr="00D032B4">
        <w:rPr>
          <w:rFonts w:cs="Arial"/>
          <w:sz w:val="24"/>
          <w:szCs w:val="24"/>
        </w:rPr>
        <w:t xml:space="preserve">The </w:t>
      </w:r>
      <w:r w:rsidR="0074228C">
        <w:rPr>
          <w:rFonts w:cs="Arial"/>
          <w:sz w:val="24"/>
          <w:szCs w:val="24"/>
        </w:rPr>
        <w:t>A</w:t>
      </w:r>
      <w:r w:rsidR="0074228C" w:rsidRPr="00D032B4">
        <w:rPr>
          <w:rFonts w:cs="Arial"/>
          <w:sz w:val="24"/>
          <w:szCs w:val="24"/>
        </w:rPr>
        <w:t xml:space="preserve">ppeal </w:t>
      </w:r>
      <w:r w:rsidR="0074228C">
        <w:rPr>
          <w:rFonts w:cs="Arial"/>
          <w:sz w:val="24"/>
          <w:szCs w:val="24"/>
        </w:rPr>
        <w:t>P</w:t>
      </w:r>
      <w:r w:rsidRPr="00D032B4">
        <w:rPr>
          <w:rFonts w:cs="Arial"/>
          <w:sz w:val="24"/>
          <w:szCs w:val="24"/>
        </w:rPr>
        <w:t>anel therefore dismissed</w:t>
      </w:r>
      <w:r w:rsidRPr="00D032B4">
        <w:rPr>
          <w:rFonts w:cs="Arial"/>
          <w:color w:val="FF0000"/>
          <w:sz w:val="24"/>
          <w:szCs w:val="24"/>
        </w:rPr>
        <w:t xml:space="preserve"> </w:t>
      </w:r>
      <w:r w:rsidRPr="00D032B4">
        <w:rPr>
          <w:rFonts w:cs="Arial"/>
          <w:sz w:val="24"/>
          <w:szCs w:val="24"/>
        </w:rPr>
        <w:t>the appeal on this point.</w:t>
      </w:r>
    </w:p>
    <w:p w14:paraId="15089436" w14:textId="74809C09" w:rsidR="00D032B4" w:rsidRPr="00D032B4" w:rsidRDefault="00D032B4" w:rsidP="00D032B4">
      <w:pPr>
        <w:pStyle w:val="Paragraph"/>
        <w:rPr>
          <w:rFonts w:cs="Arial"/>
          <w:sz w:val="24"/>
          <w:szCs w:val="24"/>
        </w:rPr>
      </w:pPr>
      <w:r w:rsidRPr="00D032B4">
        <w:rPr>
          <w:rFonts w:cs="Arial"/>
          <w:sz w:val="24"/>
          <w:szCs w:val="24"/>
        </w:rPr>
        <w:t xml:space="preserve">Regarding appeal point </w:t>
      </w:r>
      <w:proofErr w:type="spellStart"/>
      <w:r w:rsidRPr="00D032B4">
        <w:rPr>
          <w:rFonts w:cs="Arial"/>
          <w:b/>
          <w:sz w:val="24"/>
          <w:szCs w:val="24"/>
        </w:rPr>
        <w:t>Argenx</w:t>
      </w:r>
      <w:proofErr w:type="spellEnd"/>
      <w:r w:rsidRPr="00D032B4">
        <w:rPr>
          <w:rFonts w:cs="Arial"/>
          <w:b/>
          <w:sz w:val="24"/>
          <w:szCs w:val="24"/>
        </w:rPr>
        <w:t xml:space="preserve"> 2.1, </w:t>
      </w:r>
      <w:r w:rsidRPr="00D032B4">
        <w:rPr>
          <w:rFonts w:cs="Arial"/>
          <w:sz w:val="24"/>
          <w:szCs w:val="24"/>
        </w:rPr>
        <w:t>the Appeal Panel concluded as follows</w:t>
      </w:r>
      <w:r w:rsidR="00690D6D">
        <w:rPr>
          <w:rFonts w:cs="Arial"/>
          <w:sz w:val="24"/>
          <w:szCs w:val="24"/>
        </w:rPr>
        <w:t>.</w:t>
      </w:r>
      <w:r w:rsidR="0074228C">
        <w:rPr>
          <w:rFonts w:cs="Arial"/>
          <w:sz w:val="24"/>
          <w:szCs w:val="24"/>
        </w:rPr>
        <w:t xml:space="preserve"> </w:t>
      </w:r>
      <w:r w:rsidRPr="00D032B4">
        <w:rPr>
          <w:rFonts w:cs="Arial"/>
          <w:sz w:val="24"/>
          <w:szCs w:val="24"/>
        </w:rPr>
        <w:t xml:space="preserve">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were satisfied that the target population during this appraisal comprised patients with </w:t>
      </w:r>
      <w:r w:rsidR="00544068">
        <w:rPr>
          <w:rFonts w:cs="Arial"/>
          <w:sz w:val="24"/>
          <w:szCs w:val="24"/>
        </w:rPr>
        <w:t>generalised myasthenia gravis</w:t>
      </w:r>
      <w:r w:rsidRPr="00D032B4">
        <w:rPr>
          <w:rFonts w:cs="Arial"/>
          <w:sz w:val="24"/>
          <w:szCs w:val="24"/>
        </w:rPr>
        <w:t xml:space="preserve"> who are resistant to standard therapy and require </w:t>
      </w:r>
      <w:r w:rsidR="007E3213">
        <w:rPr>
          <w:rFonts w:cs="Arial"/>
          <w:sz w:val="24"/>
          <w:szCs w:val="24"/>
        </w:rPr>
        <w:t>“</w:t>
      </w:r>
      <w:r w:rsidRPr="00D032B4">
        <w:rPr>
          <w:rFonts w:cs="Arial"/>
          <w:sz w:val="24"/>
          <w:szCs w:val="24"/>
        </w:rPr>
        <w:t>add-</w:t>
      </w:r>
      <w:r w:rsidR="007E3213" w:rsidRPr="00D032B4">
        <w:rPr>
          <w:rFonts w:cs="Arial"/>
          <w:sz w:val="24"/>
          <w:szCs w:val="24"/>
        </w:rPr>
        <w:t>on</w:t>
      </w:r>
      <w:r w:rsidR="007E3213">
        <w:rPr>
          <w:rFonts w:cs="Arial"/>
          <w:sz w:val="24"/>
          <w:szCs w:val="24"/>
        </w:rPr>
        <w:t>”</w:t>
      </w:r>
      <w:r w:rsidR="007E3213" w:rsidRPr="00D032B4">
        <w:rPr>
          <w:rFonts w:cs="Arial"/>
          <w:sz w:val="24"/>
          <w:szCs w:val="24"/>
        </w:rPr>
        <w:t xml:space="preserve"> </w:t>
      </w:r>
      <w:r w:rsidRPr="00D032B4">
        <w:rPr>
          <w:rFonts w:cs="Arial"/>
          <w:sz w:val="24"/>
          <w:szCs w:val="24"/>
        </w:rPr>
        <w:t>therapy</w:t>
      </w:r>
      <w:r w:rsidR="00F75061" w:rsidRPr="00D032B4">
        <w:rPr>
          <w:rFonts w:cs="Arial"/>
          <w:sz w:val="24"/>
          <w:szCs w:val="24"/>
        </w:rPr>
        <w:t xml:space="preserve">. </w:t>
      </w:r>
      <w:r w:rsidRPr="00D032B4">
        <w:rPr>
          <w:rFonts w:cs="Arial"/>
          <w:sz w:val="24"/>
          <w:szCs w:val="24"/>
        </w:rPr>
        <w:t xml:space="preserve">Furthermore, they were persuaded that the </w:t>
      </w:r>
      <w:r w:rsidR="0074228C">
        <w:rPr>
          <w:rFonts w:cs="Arial"/>
          <w:sz w:val="24"/>
          <w:szCs w:val="24"/>
        </w:rPr>
        <w:t>C</w:t>
      </w:r>
      <w:r w:rsidR="0074228C" w:rsidRPr="00D032B4">
        <w:rPr>
          <w:rFonts w:cs="Arial"/>
          <w:sz w:val="24"/>
          <w:szCs w:val="24"/>
        </w:rPr>
        <w:t xml:space="preserve">ommittee's </w:t>
      </w:r>
      <w:r w:rsidRPr="00D032B4">
        <w:rPr>
          <w:rFonts w:cs="Arial"/>
          <w:sz w:val="24"/>
          <w:szCs w:val="24"/>
        </w:rPr>
        <w:t>preferred positioning of efga</w:t>
      </w:r>
      <w:r w:rsidR="0074228C">
        <w:rPr>
          <w:rFonts w:cs="Arial"/>
          <w:sz w:val="24"/>
          <w:szCs w:val="24"/>
        </w:rPr>
        <w:t>r</w:t>
      </w:r>
      <w:r w:rsidRPr="00D032B4">
        <w:rPr>
          <w:rFonts w:cs="Arial"/>
          <w:sz w:val="24"/>
          <w:szCs w:val="24"/>
        </w:rPr>
        <w:t>tigimod in the treatment pathway for such patients was reasonably based on the acceptance that efga</w:t>
      </w:r>
      <w:r w:rsidR="0074228C">
        <w:rPr>
          <w:rFonts w:cs="Arial"/>
          <w:sz w:val="24"/>
          <w:szCs w:val="24"/>
        </w:rPr>
        <w:t>r</w:t>
      </w:r>
      <w:r w:rsidRPr="00D032B4">
        <w:rPr>
          <w:rFonts w:cs="Arial"/>
          <w:sz w:val="24"/>
          <w:szCs w:val="24"/>
        </w:rPr>
        <w:t xml:space="preserve">tigimod is not curative and that when treatment is stopped, patients will require </w:t>
      </w:r>
      <w:r w:rsidR="007E3213">
        <w:rPr>
          <w:rFonts w:cs="Arial"/>
          <w:sz w:val="24"/>
          <w:szCs w:val="24"/>
        </w:rPr>
        <w:t>“</w:t>
      </w:r>
      <w:r w:rsidRPr="00D032B4">
        <w:rPr>
          <w:rFonts w:cs="Arial"/>
          <w:sz w:val="24"/>
          <w:szCs w:val="24"/>
        </w:rPr>
        <w:t>rescue</w:t>
      </w:r>
      <w:r w:rsidR="007E3213">
        <w:rPr>
          <w:rFonts w:cs="Arial"/>
          <w:sz w:val="24"/>
          <w:szCs w:val="24"/>
        </w:rPr>
        <w:t>”</w:t>
      </w:r>
      <w:r w:rsidRPr="00D032B4">
        <w:rPr>
          <w:rFonts w:cs="Arial"/>
          <w:sz w:val="24"/>
          <w:szCs w:val="24"/>
        </w:rPr>
        <w:t xml:space="preserve"> therapy with </w:t>
      </w:r>
      <w:r w:rsidR="00544068">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in a sequential</w:t>
      </w:r>
      <w:r w:rsidR="009D0471">
        <w:rPr>
          <w:rFonts w:cs="Arial"/>
          <w:sz w:val="24"/>
          <w:szCs w:val="24"/>
        </w:rPr>
        <w:t xml:space="preserve"> pattern</w:t>
      </w:r>
      <w:r w:rsidRPr="00D032B4">
        <w:rPr>
          <w:rFonts w:cs="Arial"/>
          <w:sz w:val="24"/>
          <w:szCs w:val="24"/>
        </w:rPr>
        <w:t xml:space="preserve">. </w:t>
      </w:r>
    </w:p>
    <w:p w14:paraId="052A9F5B" w14:textId="0AFEB10E" w:rsidR="00D032B4" w:rsidRPr="00D032B4" w:rsidRDefault="00D032B4" w:rsidP="00D032B4">
      <w:pPr>
        <w:pStyle w:val="Paragraph"/>
        <w:rPr>
          <w:rFonts w:cs="Arial"/>
          <w:sz w:val="24"/>
          <w:szCs w:val="24"/>
        </w:rPr>
      </w:pPr>
      <w:r w:rsidRPr="00D032B4">
        <w:rPr>
          <w:rFonts w:cs="Arial"/>
          <w:sz w:val="24"/>
          <w:szCs w:val="24"/>
        </w:rPr>
        <w:t xml:space="preserve">The </w:t>
      </w:r>
      <w:r w:rsidR="007E3213">
        <w:rPr>
          <w:rFonts w:cs="Arial"/>
          <w:sz w:val="24"/>
          <w:szCs w:val="24"/>
        </w:rPr>
        <w:t>A</w:t>
      </w:r>
      <w:r w:rsidR="007E3213" w:rsidRPr="00D032B4">
        <w:rPr>
          <w:rFonts w:cs="Arial"/>
          <w:sz w:val="24"/>
          <w:szCs w:val="24"/>
        </w:rPr>
        <w:t xml:space="preserve">ppeal </w:t>
      </w:r>
      <w:r w:rsidR="007E3213">
        <w:rPr>
          <w:rFonts w:cs="Arial"/>
          <w:sz w:val="24"/>
          <w:szCs w:val="24"/>
        </w:rPr>
        <w:t>P</w:t>
      </w:r>
      <w:r w:rsidRPr="00D032B4">
        <w:rPr>
          <w:rFonts w:cs="Arial"/>
          <w:sz w:val="24"/>
          <w:szCs w:val="24"/>
        </w:rPr>
        <w:t>anel therefore dismissed</w:t>
      </w:r>
      <w:r w:rsidRPr="00D032B4">
        <w:rPr>
          <w:rFonts w:cs="Arial"/>
          <w:color w:val="FF0000"/>
          <w:sz w:val="24"/>
          <w:szCs w:val="24"/>
        </w:rPr>
        <w:t xml:space="preserve"> </w:t>
      </w:r>
      <w:r w:rsidRPr="00D032B4">
        <w:rPr>
          <w:rFonts w:cs="Arial"/>
          <w:sz w:val="24"/>
          <w:szCs w:val="24"/>
        </w:rPr>
        <w:t>the appeal on this point.</w:t>
      </w:r>
    </w:p>
    <w:p w14:paraId="1A8100D9" w14:textId="371627CF" w:rsidR="005E6107" w:rsidRPr="00D032B4" w:rsidRDefault="005E6107" w:rsidP="00D634E1">
      <w:pPr>
        <w:pStyle w:val="Heading3"/>
      </w:pPr>
      <w:proofErr w:type="spellStart"/>
      <w:r w:rsidRPr="00D032B4">
        <w:t>Myaware</w:t>
      </w:r>
      <w:proofErr w:type="spellEnd"/>
      <w:r w:rsidRPr="00D032B4">
        <w:t xml:space="preserve"> </w:t>
      </w:r>
      <w:r w:rsidR="007E3213">
        <w:t>A</w:t>
      </w:r>
      <w:r w:rsidR="004F2B54">
        <w:t xml:space="preserve">ppeal </w:t>
      </w:r>
      <w:r w:rsidR="007E3213">
        <w:t>P</w:t>
      </w:r>
      <w:r w:rsidR="004F2B54">
        <w:t xml:space="preserve">oint </w:t>
      </w:r>
      <w:r w:rsidRPr="00D032B4">
        <w:t xml:space="preserve">2.3: In circumstances where expert clinical input suggested that the current clinical guidelines for </w:t>
      </w:r>
      <w:r w:rsidR="00544068">
        <w:t>generalised myasthenia gravis</w:t>
      </w:r>
      <w:r w:rsidRPr="00D032B4">
        <w:t xml:space="preserve"> are out of date and not reflective of the care pathway in practice, it was unreasonable for the committee to prefer the clinical guideline over the expert clinical input [original appeal point 2.3 and 2.4].</w:t>
      </w:r>
    </w:p>
    <w:p w14:paraId="620A35D5" w14:textId="384A846E" w:rsidR="005E6107" w:rsidRPr="00D032B4" w:rsidRDefault="005E6107" w:rsidP="005E6107">
      <w:pPr>
        <w:pStyle w:val="Paragraph"/>
        <w:rPr>
          <w:rFonts w:cs="Arial"/>
          <w:sz w:val="24"/>
          <w:szCs w:val="24"/>
        </w:rPr>
      </w:pPr>
      <w:r w:rsidRPr="00D032B4">
        <w:rPr>
          <w:rFonts w:cs="Arial"/>
          <w:sz w:val="24"/>
          <w:szCs w:val="24"/>
        </w:rPr>
        <w:t>Sarah Love</w:t>
      </w:r>
      <w:r w:rsidR="001E54AA">
        <w:rPr>
          <w:rFonts w:cs="Arial"/>
          <w:sz w:val="24"/>
          <w:szCs w:val="24"/>
        </w:rPr>
        <w:t xml:space="preserve">, for </w:t>
      </w:r>
      <w:proofErr w:type="spellStart"/>
      <w:r w:rsidR="001E54AA">
        <w:rPr>
          <w:rFonts w:cs="Arial"/>
          <w:sz w:val="24"/>
          <w:szCs w:val="24"/>
        </w:rPr>
        <w:t>Myaware</w:t>
      </w:r>
      <w:proofErr w:type="spellEnd"/>
      <w:r w:rsidR="001E54AA">
        <w:rPr>
          <w:rFonts w:cs="Arial"/>
          <w:sz w:val="24"/>
          <w:szCs w:val="24"/>
        </w:rPr>
        <w:t xml:space="preserve">, </w:t>
      </w:r>
      <w:r w:rsidRPr="00D032B4">
        <w:rPr>
          <w:rFonts w:cs="Arial"/>
          <w:sz w:val="24"/>
          <w:szCs w:val="24"/>
        </w:rPr>
        <w:t>explain</w:t>
      </w:r>
      <w:r w:rsidR="001E54AA">
        <w:rPr>
          <w:rFonts w:cs="Arial"/>
          <w:sz w:val="24"/>
          <w:szCs w:val="24"/>
        </w:rPr>
        <w:t>ed</w:t>
      </w:r>
      <w:r w:rsidRPr="00D032B4">
        <w:rPr>
          <w:rFonts w:cs="Arial"/>
          <w:sz w:val="24"/>
          <w:szCs w:val="24"/>
        </w:rPr>
        <w:t xml:space="preserve"> </w:t>
      </w:r>
      <w:proofErr w:type="spellStart"/>
      <w:r w:rsidRPr="00D032B4">
        <w:rPr>
          <w:rFonts w:cs="Arial"/>
          <w:sz w:val="24"/>
          <w:szCs w:val="24"/>
        </w:rPr>
        <w:t>Myaware's</w:t>
      </w:r>
      <w:proofErr w:type="spellEnd"/>
      <w:r w:rsidRPr="00D032B4">
        <w:rPr>
          <w:rFonts w:cs="Arial"/>
          <w:sz w:val="24"/>
          <w:szCs w:val="24"/>
        </w:rPr>
        <w:t xml:space="preserve"> position that the Committee did not attribute adequate weight to expert views on the care pathway for treatment of </w:t>
      </w:r>
      <w:r w:rsidR="00544068">
        <w:rPr>
          <w:rFonts w:cs="Arial"/>
          <w:sz w:val="24"/>
          <w:szCs w:val="24"/>
        </w:rPr>
        <w:t>generalised myasthenia gravis</w:t>
      </w:r>
      <w:r w:rsidRPr="00D032B4">
        <w:rPr>
          <w:rFonts w:cs="Arial"/>
          <w:sz w:val="24"/>
          <w:szCs w:val="24"/>
        </w:rPr>
        <w:t xml:space="preserve">. She noted that the Association of British Neurologist </w:t>
      </w:r>
      <w:r w:rsidR="00D2753F">
        <w:rPr>
          <w:rFonts w:cs="Arial"/>
          <w:sz w:val="24"/>
          <w:szCs w:val="24"/>
        </w:rPr>
        <w:t>(</w:t>
      </w:r>
      <w:r w:rsidR="00676B6A" w:rsidRPr="00AD10A9">
        <w:rPr>
          <w:rFonts w:cs="Arial"/>
          <w:sz w:val="24"/>
          <w:szCs w:val="24"/>
        </w:rPr>
        <w:t>“</w:t>
      </w:r>
      <w:r w:rsidR="00D2753F" w:rsidRPr="000131CD">
        <w:rPr>
          <w:rFonts w:cs="Arial"/>
          <w:sz w:val="24"/>
          <w:szCs w:val="24"/>
        </w:rPr>
        <w:t>ABN</w:t>
      </w:r>
      <w:r w:rsidR="00676B6A">
        <w:rPr>
          <w:rFonts w:cs="Arial"/>
          <w:sz w:val="24"/>
          <w:szCs w:val="24"/>
        </w:rPr>
        <w:t>”</w:t>
      </w:r>
      <w:r w:rsidR="00D2753F">
        <w:rPr>
          <w:rFonts w:cs="Arial"/>
          <w:sz w:val="24"/>
          <w:szCs w:val="24"/>
        </w:rPr>
        <w:t xml:space="preserve">) </w:t>
      </w:r>
      <w:r w:rsidRPr="00D2753F">
        <w:rPr>
          <w:rFonts w:cs="Arial"/>
          <w:sz w:val="24"/>
          <w:szCs w:val="24"/>
        </w:rPr>
        <w:t>Guidelines</w:t>
      </w:r>
      <w:r w:rsidRPr="00D032B4">
        <w:rPr>
          <w:rFonts w:cs="Arial"/>
          <w:sz w:val="24"/>
          <w:szCs w:val="24"/>
        </w:rPr>
        <w:t xml:space="preserve"> for the management of </w:t>
      </w:r>
      <w:r w:rsidR="00544068">
        <w:rPr>
          <w:rFonts w:cs="Arial"/>
          <w:sz w:val="24"/>
          <w:szCs w:val="24"/>
        </w:rPr>
        <w:t>generalised myasthenia gravis</w:t>
      </w:r>
      <w:r w:rsidRPr="00D032B4">
        <w:rPr>
          <w:rFonts w:cs="Arial"/>
          <w:sz w:val="24"/>
          <w:szCs w:val="24"/>
        </w:rPr>
        <w:t xml:space="preserve"> (published in 2015) (</w:t>
      </w:r>
      <w:r w:rsidR="00676B6A">
        <w:rPr>
          <w:rFonts w:cs="Arial"/>
          <w:sz w:val="24"/>
          <w:szCs w:val="24"/>
        </w:rPr>
        <w:t>“</w:t>
      </w:r>
      <w:r w:rsidRPr="00D634E1">
        <w:rPr>
          <w:rFonts w:cs="Arial"/>
          <w:sz w:val="24"/>
          <w:szCs w:val="24"/>
        </w:rPr>
        <w:t>2015 Guidelines</w:t>
      </w:r>
      <w:r w:rsidR="00676B6A">
        <w:rPr>
          <w:rFonts w:cs="Arial"/>
          <w:sz w:val="24"/>
          <w:szCs w:val="24"/>
        </w:rPr>
        <w:t>”</w:t>
      </w:r>
      <w:r w:rsidRPr="00D032B4">
        <w:rPr>
          <w:rFonts w:cs="Arial"/>
          <w:sz w:val="24"/>
          <w:szCs w:val="24"/>
        </w:rPr>
        <w:t xml:space="preserve">) were a relevant consideration for the Committee to </w:t>
      </w:r>
      <w:proofErr w:type="gramStart"/>
      <w:r w:rsidRPr="00D032B4">
        <w:rPr>
          <w:rFonts w:cs="Arial"/>
          <w:sz w:val="24"/>
          <w:szCs w:val="24"/>
        </w:rPr>
        <w:t>take into account</w:t>
      </w:r>
      <w:proofErr w:type="gramEnd"/>
      <w:r w:rsidRPr="00D032B4">
        <w:rPr>
          <w:rFonts w:cs="Arial"/>
          <w:sz w:val="24"/>
          <w:szCs w:val="24"/>
        </w:rPr>
        <w:t xml:space="preserve"> (according to section 3.3.24 of the </w:t>
      </w:r>
      <w:r w:rsidRPr="00D032B4">
        <w:rPr>
          <w:rFonts w:cs="Arial"/>
          <w:sz w:val="24"/>
          <w:szCs w:val="24"/>
        </w:rPr>
        <w:lastRenderedPageBreak/>
        <w:t xml:space="preserve">Manual). Clinical expert input was that the guidelines were out of date and did not reflect current NHS practice. It was </w:t>
      </w:r>
      <w:proofErr w:type="spellStart"/>
      <w:r w:rsidRPr="00D032B4">
        <w:rPr>
          <w:rFonts w:cs="Arial"/>
          <w:sz w:val="24"/>
          <w:szCs w:val="24"/>
        </w:rPr>
        <w:t>Myaware's</w:t>
      </w:r>
      <w:proofErr w:type="spellEnd"/>
      <w:r w:rsidRPr="00D032B4">
        <w:rPr>
          <w:rFonts w:cs="Arial"/>
          <w:sz w:val="24"/>
          <w:szCs w:val="24"/>
        </w:rPr>
        <w:t xml:space="preserve"> view that it was unreasonable for the Committee to have preferred the 2015 Guidelines over clinical expert input. Simply put, she said, it made no sense to cite the 2015 Guidelines but not take on</w:t>
      </w:r>
      <w:r w:rsidR="00B03F7D">
        <w:rPr>
          <w:rFonts w:cs="Arial"/>
          <w:sz w:val="24"/>
          <w:szCs w:val="24"/>
        </w:rPr>
        <w:t>-</w:t>
      </w:r>
      <w:r w:rsidRPr="00D032B4">
        <w:rPr>
          <w:rFonts w:cs="Arial"/>
          <w:sz w:val="24"/>
          <w:szCs w:val="24"/>
        </w:rPr>
        <w:t xml:space="preserve">board expert input of what has changed in the decade since their publication. </w:t>
      </w:r>
    </w:p>
    <w:p w14:paraId="3CC024A4" w14:textId="2DC184BE" w:rsidR="005E6107" w:rsidRPr="00D032B4" w:rsidRDefault="005E6107" w:rsidP="005E6107">
      <w:pPr>
        <w:pStyle w:val="Paragraph"/>
        <w:rPr>
          <w:rFonts w:cs="Arial"/>
          <w:sz w:val="24"/>
          <w:szCs w:val="24"/>
        </w:rPr>
      </w:pPr>
      <w:r w:rsidRPr="00D032B4">
        <w:rPr>
          <w:rFonts w:cs="Arial"/>
          <w:sz w:val="24"/>
          <w:szCs w:val="24"/>
        </w:rPr>
        <w:t xml:space="preserve">Referring to sections 1.3.8 and 3.3.24 in the Manual, Sarah Love emphasised the key role of clinical experts in the appraisal process. She explained that this is of particular importance to this appraisal, given that </w:t>
      </w:r>
      <w:r w:rsidR="00544068">
        <w:rPr>
          <w:rFonts w:cs="Arial"/>
          <w:sz w:val="24"/>
          <w:szCs w:val="24"/>
        </w:rPr>
        <w:t>generalised myasthenia gravis</w:t>
      </w:r>
      <w:r w:rsidRPr="00D032B4">
        <w:rPr>
          <w:rFonts w:cs="Arial"/>
          <w:sz w:val="24"/>
          <w:szCs w:val="24"/>
        </w:rPr>
        <w:t xml:space="preserve"> is a rare disease, efgartigimod has a relatively small target treatment population, and that expertise in refractory </w:t>
      </w:r>
      <w:r w:rsidR="00544068">
        <w:rPr>
          <w:rFonts w:cs="Arial"/>
          <w:sz w:val="24"/>
          <w:szCs w:val="24"/>
        </w:rPr>
        <w:t>generalised myasthenia gravis</w:t>
      </w:r>
      <w:r w:rsidRPr="00D032B4">
        <w:rPr>
          <w:rFonts w:cs="Arial"/>
          <w:sz w:val="24"/>
          <w:szCs w:val="24"/>
        </w:rPr>
        <w:t xml:space="preserve"> is heavily concentrated in a small number of clinicians in specialist treatment centres (some of whom having contributed to the appraisal process either in committee meetings or in written consultation responses). </w:t>
      </w:r>
    </w:p>
    <w:p w14:paraId="324A6F83" w14:textId="77777777" w:rsidR="005E6107" w:rsidRPr="00D032B4" w:rsidRDefault="005E6107" w:rsidP="005E6107">
      <w:pPr>
        <w:pStyle w:val="Paragraph"/>
        <w:rPr>
          <w:rFonts w:cs="Arial"/>
          <w:sz w:val="24"/>
          <w:szCs w:val="24"/>
        </w:rPr>
      </w:pPr>
      <w:r w:rsidRPr="00D032B4">
        <w:rPr>
          <w:rFonts w:cs="Arial"/>
          <w:sz w:val="24"/>
          <w:szCs w:val="24"/>
        </w:rPr>
        <w:t xml:space="preserve">The Panel understands that an update to the 2015 Guidelines is expected soon. A draft treatment algorithm developed by the ABN was shared with the Committee in academic confidence prior to the third committee meeting. </w:t>
      </w:r>
    </w:p>
    <w:p w14:paraId="6CA4B673" w14:textId="4B6ADD71" w:rsidR="005E6107" w:rsidRPr="00D032B4" w:rsidRDefault="00046415" w:rsidP="005E6107">
      <w:pPr>
        <w:pStyle w:val="Paragraph"/>
        <w:rPr>
          <w:rFonts w:cs="Arial"/>
          <w:sz w:val="24"/>
          <w:szCs w:val="24"/>
        </w:rPr>
      </w:pPr>
      <w:r>
        <w:rPr>
          <w:rFonts w:cs="Arial"/>
          <w:sz w:val="24"/>
          <w:szCs w:val="24"/>
        </w:rPr>
        <w:t>Dr</w:t>
      </w:r>
      <w:r w:rsidR="005E6107" w:rsidRPr="00D032B4">
        <w:rPr>
          <w:rFonts w:cs="Arial"/>
          <w:sz w:val="24"/>
          <w:szCs w:val="24"/>
        </w:rPr>
        <w:t xml:space="preserve"> Jennifer Spillane, for </w:t>
      </w:r>
      <w:proofErr w:type="spellStart"/>
      <w:r w:rsidR="005E6107" w:rsidRPr="00D032B4">
        <w:rPr>
          <w:rFonts w:cs="Arial"/>
          <w:sz w:val="24"/>
          <w:szCs w:val="24"/>
        </w:rPr>
        <w:t>Myaware</w:t>
      </w:r>
      <w:proofErr w:type="spellEnd"/>
      <w:r w:rsidR="005E6107" w:rsidRPr="00D032B4">
        <w:rPr>
          <w:rFonts w:cs="Arial"/>
          <w:sz w:val="24"/>
          <w:szCs w:val="24"/>
        </w:rPr>
        <w:t xml:space="preserve">, explained her role running a specialist refractory </w:t>
      </w:r>
      <w:r w:rsidR="00544068">
        <w:rPr>
          <w:rFonts w:cs="Arial"/>
          <w:sz w:val="24"/>
          <w:szCs w:val="24"/>
        </w:rPr>
        <w:t>generalised myasthenia gravis</w:t>
      </w:r>
      <w:r w:rsidR="005E6107" w:rsidRPr="00D032B4">
        <w:rPr>
          <w:rFonts w:cs="Arial"/>
          <w:sz w:val="24"/>
          <w:szCs w:val="24"/>
        </w:rPr>
        <w:t xml:space="preserve"> clinic across two NHS trusts in London, and her role as clinical lead for </w:t>
      </w:r>
      <w:r w:rsidR="00544068">
        <w:rPr>
          <w:rFonts w:cs="Arial"/>
          <w:sz w:val="24"/>
          <w:szCs w:val="24"/>
        </w:rPr>
        <w:t>plasma exchange therapy</w:t>
      </w:r>
      <w:r w:rsidR="005E6107" w:rsidRPr="00D032B4">
        <w:rPr>
          <w:rFonts w:cs="Arial"/>
          <w:sz w:val="24"/>
          <w:szCs w:val="24"/>
        </w:rPr>
        <w:t xml:space="preserve"> in one trust. She described the current treatment pathway for refractory </w:t>
      </w:r>
      <w:r w:rsidR="00544068">
        <w:rPr>
          <w:rFonts w:cs="Arial"/>
          <w:sz w:val="24"/>
          <w:szCs w:val="24"/>
        </w:rPr>
        <w:t>generalised myasthenia gravis</w:t>
      </w:r>
      <w:r w:rsidR="005E6107" w:rsidRPr="00D032B4">
        <w:rPr>
          <w:rFonts w:cs="Arial"/>
          <w:sz w:val="24"/>
          <w:szCs w:val="24"/>
        </w:rPr>
        <w:t xml:space="preserve">, and highlighted the following six key areas in which the management of </w:t>
      </w:r>
      <w:r w:rsidR="00544068">
        <w:rPr>
          <w:rFonts w:cs="Arial"/>
          <w:sz w:val="24"/>
          <w:szCs w:val="24"/>
        </w:rPr>
        <w:t>generalised myasthenia gravis</w:t>
      </w:r>
      <w:r w:rsidR="005E6107" w:rsidRPr="00D032B4">
        <w:rPr>
          <w:rFonts w:cs="Arial"/>
          <w:sz w:val="24"/>
          <w:szCs w:val="24"/>
        </w:rPr>
        <w:t xml:space="preserve"> had changed since the publication of the 2015 Guidelines (and will be reflected in the revised guidelines): </w:t>
      </w:r>
    </w:p>
    <w:p w14:paraId="05F84D05" w14:textId="3E24929E" w:rsidR="005E6107" w:rsidRPr="00D032B4" w:rsidRDefault="005E6107" w:rsidP="005E6107">
      <w:pPr>
        <w:pStyle w:val="Paragraph"/>
        <w:numPr>
          <w:ilvl w:val="1"/>
          <w:numId w:val="1"/>
        </w:numPr>
        <w:rPr>
          <w:rFonts w:cs="Arial"/>
          <w:sz w:val="24"/>
          <w:szCs w:val="24"/>
        </w:rPr>
      </w:pPr>
      <w:r w:rsidRPr="00D032B4">
        <w:rPr>
          <w:rFonts w:cs="Arial"/>
          <w:sz w:val="24"/>
          <w:szCs w:val="24"/>
        </w:rPr>
        <w:t xml:space="preserve">First, that 13 specialist centres for the management of refractory </w:t>
      </w:r>
      <w:r w:rsidR="00544068">
        <w:rPr>
          <w:rFonts w:cs="Arial"/>
          <w:sz w:val="24"/>
          <w:szCs w:val="24"/>
        </w:rPr>
        <w:t>generalised myasthenia gravis</w:t>
      </w:r>
      <w:r w:rsidRPr="00D032B4">
        <w:rPr>
          <w:rFonts w:cs="Arial"/>
          <w:sz w:val="24"/>
          <w:szCs w:val="24"/>
        </w:rPr>
        <w:t xml:space="preserve"> had opened in England. The </w:t>
      </w:r>
      <w:r w:rsidRPr="00D032B4">
        <w:rPr>
          <w:rFonts w:cs="Arial"/>
          <w:sz w:val="24"/>
          <w:szCs w:val="24"/>
        </w:rPr>
        <w:lastRenderedPageBreak/>
        <w:t xml:space="preserve">revised guidelines will provide referral criteria to those centres, meaning that any patients considered for targeted therapy will be those considered to have true refractory </w:t>
      </w:r>
      <w:r w:rsidR="00544068">
        <w:rPr>
          <w:rFonts w:cs="Arial"/>
          <w:sz w:val="24"/>
          <w:szCs w:val="24"/>
        </w:rPr>
        <w:t>generalised myasthenia gravis</w:t>
      </w:r>
      <w:r w:rsidRPr="00D032B4">
        <w:rPr>
          <w:rFonts w:cs="Arial"/>
          <w:sz w:val="24"/>
          <w:szCs w:val="24"/>
        </w:rPr>
        <w:t xml:space="preserve"> by a specialist, and will be discussed in a</w:t>
      </w:r>
      <w:r w:rsidR="004578CC">
        <w:rPr>
          <w:rFonts w:cs="Arial"/>
          <w:sz w:val="24"/>
          <w:szCs w:val="24"/>
        </w:rPr>
        <w:t xml:space="preserve"> </w:t>
      </w:r>
      <w:proofErr w:type="spellStart"/>
      <w:r w:rsidR="004578CC">
        <w:rPr>
          <w:rFonts w:cs="Arial"/>
          <w:sz w:val="24"/>
          <w:szCs w:val="24"/>
        </w:rPr>
        <w:t>multi disci</w:t>
      </w:r>
      <w:r w:rsidR="00E637BF">
        <w:rPr>
          <w:rFonts w:cs="Arial"/>
          <w:sz w:val="24"/>
          <w:szCs w:val="24"/>
        </w:rPr>
        <w:t>plinary</w:t>
      </w:r>
      <w:proofErr w:type="spellEnd"/>
      <w:r w:rsidR="00E637BF">
        <w:rPr>
          <w:rFonts w:cs="Arial"/>
          <w:sz w:val="24"/>
          <w:szCs w:val="24"/>
        </w:rPr>
        <w:t xml:space="preserve"> team (“</w:t>
      </w:r>
      <w:r w:rsidRPr="00D032B4">
        <w:rPr>
          <w:rFonts w:cs="Arial"/>
          <w:sz w:val="24"/>
          <w:szCs w:val="24"/>
        </w:rPr>
        <w:t>MDT</w:t>
      </w:r>
      <w:r w:rsidR="00E637BF">
        <w:rPr>
          <w:rFonts w:cs="Arial"/>
          <w:sz w:val="24"/>
          <w:szCs w:val="24"/>
        </w:rPr>
        <w:t>”)</w:t>
      </w:r>
      <w:r w:rsidRPr="00D032B4">
        <w:rPr>
          <w:rFonts w:cs="Arial"/>
          <w:sz w:val="24"/>
          <w:szCs w:val="24"/>
        </w:rPr>
        <w:t xml:space="preserve">. </w:t>
      </w:r>
    </w:p>
    <w:p w14:paraId="21AF7A61" w14:textId="77777777" w:rsidR="005E6107" w:rsidRPr="00D032B4" w:rsidRDefault="005E6107" w:rsidP="005E6107">
      <w:pPr>
        <w:pStyle w:val="Paragraph"/>
        <w:numPr>
          <w:ilvl w:val="1"/>
          <w:numId w:val="1"/>
        </w:numPr>
        <w:rPr>
          <w:rFonts w:cs="Arial"/>
          <w:sz w:val="24"/>
          <w:szCs w:val="24"/>
        </w:rPr>
      </w:pPr>
      <w:r w:rsidRPr="00D032B4">
        <w:rPr>
          <w:rFonts w:cs="Arial"/>
          <w:sz w:val="24"/>
          <w:szCs w:val="24"/>
        </w:rPr>
        <w:t xml:space="preserve">Secondly, that MG-ADL scores will form an integral part of the updated guidelines. This is relevant because efgartigimod would only be considered for those with an MG-ADL score of 5 or more. MG-ADL scores would then be used to assess treatment response, and if there was no improvement measured then efgartigimod would be stopped. If efgartigimod was effective, the outcome MG-ADL measure would be used to match maximum efficiency (i.e. appropriate disease control without over treatment). </w:t>
      </w:r>
    </w:p>
    <w:p w14:paraId="63F6B29A" w14:textId="77777777" w:rsidR="005E6107" w:rsidRPr="00D032B4" w:rsidRDefault="005E6107" w:rsidP="005E6107">
      <w:pPr>
        <w:pStyle w:val="Paragraph"/>
        <w:numPr>
          <w:ilvl w:val="1"/>
          <w:numId w:val="1"/>
        </w:numPr>
        <w:rPr>
          <w:rFonts w:cs="Arial"/>
          <w:sz w:val="24"/>
          <w:szCs w:val="24"/>
        </w:rPr>
      </w:pPr>
      <w:r w:rsidRPr="00D032B4">
        <w:rPr>
          <w:rFonts w:cs="Arial"/>
          <w:sz w:val="24"/>
          <w:szCs w:val="24"/>
        </w:rPr>
        <w:t xml:space="preserve">Thirdly, steroid reduction will now be used as an outcome </w:t>
      </w:r>
      <w:proofErr w:type="gramStart"/>
      <w:r w:rsidRPr="00D032B4">
        <w:rPr>
          <w:rFonts w:cs="Arial"/>
          <w:sz w:val="24"/>
          <w:szCs w:val="24"/>
        </w:rPr>
        <w:t>measure in its own right</w:t>
      </w:r>
      <w:proofErr w:type="gramEnd"/>
      <w:r w:rsidRPr="00D032B4">
        <w:rPr>
          <w:rFonts w:cs="Arial"/>
          <w:sz w:val="24"/>
          <w:szCs w:val="24"/>
        </w:rPr>
        <w:t xml:space="preserve">. A patient starting efgartigimod would need a clear steroid reduction plan. </w:t>
      </w:r>
    </w:p>
    <w:p w14:paraId="0A2EB635" w14:textId="7C84683F" w:rsidR="005E6107" w:rsidRPr="00D032B4" w:rsidRDefault="005E6107" w:rsidP="005E6107">
      <w:pPr>
        <w:pStyle w:val="Paragraph"/>
        <w:numPr>
          <w:ilvl w:val="1"/>
          <w:numId w:val="1"/>
        </w:numPr>
        <w:rPr>
          <w:rFonts w:cs="Arial"/>
          <w:sz w:val="24"/>
          <w:szCs w:val="24"/>
        </w:rPr>
      </w:pPr>
      <w:r w:rsidRPr="00D032B4">
        <w:rPr>
          <w:rFonts w:cs="Arial"/>
          <w:sz w:val="24"/>
          <w:szCs w:val="24"/>
        </w:rPr>
        <w:t xml:space="preserve">Fourthly,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w:t>
      </w:r>
      <w:r w:rsidR="00E637BF">
        <w:rPr>
          <w:rFonts w:cs="Arial"/>
          <w:sz w:val="24"/>
          <w:szCs w:val="24"/>
        </w:rPr>
        <w:t>“</w:t>
      </w:r>
      <w:r w:rsidR="00E637BF" w:rsidRPr="00D032B4">
        <w:rPr>
          <w:rFonts w:cs="Arial"/>
          <w:sz w:val="24"/>
          <w:szCs w:val="24"/>
        </w:rPr>
        <w:t>rescue</w:t>
      </w:r>
      <w:r w:rsidR="00E637BF">
        <w:rPr>
          <w:rFonts w:cs="Arial"/>
          <w:sz w:val="24"/>
          <w:szCs w:val="24"/>
        </w:rPr>
        <w:t>’’</w:t>
      </w:r>
      <w:r w:rsidR="00E637BF" w:rsidRPr="00D032B4">
        <w:rPr>
          <w:rFonts w:cs="Arial"/>
          <w:sz w:val="24"/>
          <w:szCs w:val="24"/>
        </w:rPr>
        <w:t xml:space="preserve"> </w:t>
      </w:r>
      <w:r w:rsidRPr="00D032B4">
        <w:rPr>
          <w:rFonts w:cs="Arial"/>
          <w:sz w:val="24"/>
          <w:szCs w:val="24"/>
        </w:rPr>
        <w:t xml:space="preserve">treatments will be recognised in the revised guidelines as part of the treatment pathway for the small subset of </w:t>
      </w:r>
      <w:proofErr w:type="gramStart"/>
      <w:r w:rsidRPr="00D032B4">
        <w:rPr>
          <w:rFonts w:cs="Arial"/>
          <w:sz w:val="24"/>
          <w:szCs w:val="24"/>
        </w:rPr>
        <w:t>patients</w:t>
      </w:r>
      <w:proofErr w:type="gramEnd"/>
      <w:r w:rsidRPr="00D032B4">
        <w:rPr>
          <w:rFonts w:cs="Arial"/>
          <w:sz w:val="24"/>
          <w:szCs w:val="24"/>
        </w:rPr>
        <w:t xml:space="preserve"> refractory to all other recognised treatments. </w:t>
      </w:r>
    </w:p>
    <w:p w14:paraId="3D10D730" w14:textId="49AF0532" w:rsidR="005E6107" w:rsidRPr="00D032B4" w:rsidRDefault="005E6107" w:rsidP="005E6107">
      <w:pPr>
        <w:pStyle w:val="Paragraph"/>
        <w:numPr>
          <w:ilvl w:val="1"/>
          <w:numId w:val="1"/>
        </w:numPr>
        <w:rPr>
          <w:rFonts w:cs="Arial"/>
          <w:sz w:val="24"/>
          <w:szCs w:val="24"/>
        </w:rPr>
      </w:pPr>
      <w:r w:rsidRPr="00D032B4">
        <w:rPr>
          <w:rFonts w:cs="Arial"/>
          <w:sz w:val="24"/>
          <w:szCs w:val="24"/>
        </w:rPr>
        <w:t xml:space="preserve">Fifthly, rituximab will be considered a treatment option for those with </w:t>
      </w:r>
      <w:r w:rsidR="00544068">
        <w:rPr>
          <w:rFonts w:cs="Arial"/>
          <w:sz w:val="24"/>
          <w:szCs w:val="24"/>
        </w:rPr>
        <w:t>generalised myasthenia gravis</w:t>
      </w:r>
      <w:r w:rsidRPr="00D032B4">
        <w:rPr>
          <w:rFonts w:cs="Arial"/>
          <w:sz w:val="24"/>
          <w:szCs w:val="24"/>
        </w:rPr>
        <w:t xml:space="preserve"> in the revised guidelines, and at an earlier point in the pathway than previously. Although rituximab forms part of the treatment pathway, contrary to the statement in the FDG, </w:t>
      </w:r>
      <w:r w:rsidR="00F75061" w:rsidRPr="00D032B4">
        <w:rPr>
          <w:rFonts w:cs="Arial"/>
          <w:sz w:val="24"/>
          <w:szCs w:val="24"/>
        </w:rPr>
        <w:t>clinicians do not consider rituximab</w:t>
      </w:r>
      <w:r w:rsidRPr="00D032B4">
        <w:rPr>
          <w:rFonts w:cs="Arial"/>
          <w:sz w:val="24"/>
          <w:szCs w:val="24"/>
        </w:rPr>
        <w:t xml:space="preserve"> to be an equally effective treatment to </w:t>
      </w:r>
      <w:r w:rsidR="00544068">
        <w:rPr>
          <w:rFonts w:cs="Arial"/>
          <w:sz w:val="24"/>
          <w:szCs w:val="24"/>
        </w:rPr>
        <w:t>intravenous immunoglobulin</w:t>
      </w:r>
      <w:r w:rsidRPr="00D032B4">
        <w:rPr>
          <w:rFonts w:cs="Arial"/>
          <w:sz w:val="24"/>
          <w:szCs w:val="24"/>
        </w:rPr>
        <w:t xml:space="preserve">. The EAMS data show that only 50% of those in that cohort responded to rituximab. </w:t>
      </w:r>
    </w:p>
    <w:p w14:paraId="4A1C0E4D" w14:textId="6D3B44A8" w:rsidR="005E6107" w:rsidRPr="00D032B4" w:rsidRDefault="005E6107" w:rsidP="005E6107">
      <w:pPr>
        <w:pStyle w:val="Paragraph"/>
        <w:numPr>
          <w:ilvl w:val="1"/>
          <w:numId w:val="1"/>
        </w:numPr>
        <w:rPr>
          <w:rFonts w:cs="Arial"/>
          <w:sz w:val="24"/>
          <w:szCs w:val="24"/>
        </w:rPr>
      </w:pPr>
      <w:r w:rsidRPr="00D032B4">
        <w:rPr>
          <w:rFonts w:cs="Arial"/>
          <w:sz w:val="24"/>
          <w:szCs w:val="24"/>
        </w:rPr>
        <w:lastRenderedPageBreak/>
        <w:t xml:space="preserve">Finally, the position of targeted therapies for </w:t>
      </w:r>
      <w:r w:rsidR="00544068">
        <w:rPr>
          <w:rFonts w:cs="Arial"/>
          <w:sz w:val="24"/>
          <w:szCs w:val="24"/>
        </w:rPr>
        <w:t>generalised myasthenia gravis</w:t>
      </w:r>
      <w:r w:rsidRPr="00D032B4">
        <w:rPr>
          <w:rFonts w:cs="Arial"/>
          <w:sz w:val="24"/>
          <w:szCs w:val="24"/>
        </w:rPr>
        <w:t xml:space="preserve"> have been refined in the revised guidelines. Targeted therapies (such as efgartigimod) are considered for those with ongoing burdensome symptoms after specialist multi-disciplinary review. </w:t>
      </w:r>
    </w:p>
    <w:p w14:paraId="315D6CDA" w14:textId="2BA280A4" w:rsidR="005E6107" w:rsidRPr="00D032B4" w:rsidRDefault="00046415" w:rsidP="005E6107">
      <w:pPr>
        <w:pStyle w:val="Paragraph"/>
        <w:rPr>
          <w:rFonts w:cs="Arial"/>
          <w:sz w:val="24"/>
          <w:szCs w:val="24"/>
        </w:rPr>
      </w:pPr>
      <w:r>
        <w:rPr>
          <w:rFonts w:cs="Arial"/>
          <w:sz w:val="24"/>
          <w:szCs w:val="24"/>
        </w:rPr>
        <w:t>Dr</w:t>
      </w:r>
      <w:r w:rsidRPr="00D032B4">
        <w:rPr>
          <w:rFonts w:cs="Arial"/>
          <w:sz w:val="24"/>
          <w:szCs w:val="24"/>
        </w:rPr>
        <w:t xml:space="preserve"> </w:t>
      </w:r>
      <w:r w:rsidR="005E6107" w:rsidRPr="00D032B4">
        <w:rPr>
          <w:rFonts w:cs="Arial"/>
          <w:sz w:val="24"/>
          <w:szCs w:val="24"/>
        </w:rPr>
        <w:t xml:space="preserve">Spillane explained that the above demonstrates the significant change in almost all aspects of clinical management of </w:t>
      </w:r>
      <w:r w:rsidR="00544068">
        <w:rPr>
          <w:rFonts w:cs="Arial"/>
          <w:sz w:val="24"/>
          <w:szCs w:val="24"/>
        </w:rPr>
        <w:t>generalised myasthenia gravis</w:t>
      </w:r>
      <w:r w:rsidR="005E6107" w:rsidRPr="00D032B4">
        <w:rPr>
          <w:rFonts w:cs="Arial"/>
          <w:sz w:val="24"/>
          <w:szCs w:val="24"/>
        </w:rPr>
        <w:t xml:space="preserve"> in the last decade. Although the revised guidelines were not published at the time of the appraisal committee meetings, she explained that clinicians have tried to highlight the substance of the revised guidelines at numerous points through the appraisal process, including by submitting the draft treatment algorithm (in academic confidence) in April 2024, by clarifying the position of efgartigimod in the treatment pathway in evidence provided to NICE in January 2024 (prepared by 13 </w:t>
      </w:r>
      <w:r w:rsidR="00544068">
        <w:rPr>
          <w:rFonts w:cs="Arial"/>
          <w:sz w:val="24"/>
          <w:szCs w:val="24"/>
        </w:rPr>
        <w:t>generalised myasthenia gravis</w:t>
      </w:r>
      <w:r w:rsidR="005E6107" w:rsidRPr="00D032B4">
        <w:rPr>
          <w:rFonts w:cs="Arial"/>
          <w:sz w:val="24"/>
          <w:szCs w:val="24"/>
        </w:rPr>
        <w:t xml:space="preserve"> experts) and by the involvement of </w:t>
      </w:r>
      <w:r w:rsidR="00931628">
        <w:rPr>
          <w:rFonts w:cs="Arial"/>
          <w:sz w:val="24"/>
          <w:szCs w:val="24"/>
        </w:rPr>
        <w:t>2</w:t>
      </w:r>
      <w:r w:rsidR="005E6107" w:rsidRPr="00D032B4">
        <w:rPr>
          <w:rFonts w:cs="Arial"/>
          <w:sz w:val="24"/>
          <w:szCs w:val="24"/>
        </w:rPr>
        <w:t xml:space="preserve"> clinical experts in the committee meetings who had personally been involved in revising the guidelines. </w:t>
      </w:r>
    </w:p>
    <w:p w14:paraId="6825A89B" w14:textId="17FEB123" w:rsidR="005E6107" w:rsidRPr="00D032B4" w:rsidRDefault="005E6107" w:rsidP="005E6107">
      <w:pPr>
        <w:pStyle w:val="Paragraph"/>
        <w:rPr>
          <w:rFonts w:cs="Arial"/>
          <w:sz w:val="24"/>
          <w:szCs w:val="24"/>
        </w:rPr>
      </w:pPr>
      <w:proofErr w:type="gramStart"/>
      <w:r w:rsidRPr="00D032B4">
        <w:rPr>
          <w:rFonts w:cs="Arial"/>
          <w:sz w:val="24"/>
          <w:szCs w:val="24"/>
        </w:rPr>
        <w:t>In light of</w:t>
      </w:r>
      <w:proofErr w:type="gramEnd"/>
      <w:r w:rsidRPr="00D032B4">
        <w:rPr>
          <w:rFonts w:cs="Arial"/>
          <w:sz w:val="24"/>
          <w:szCs w:val="24"/>
        </w:rPr>
        <w:t xml:space="preserve"> all the above, </w:t>
      </w:r>
      <w:r w:rsidR="00046415">
        <w:rPr>
          <w:rFonts w:cs="Arial"/>
          <w:sz w:val="24"/>
          <w:szCs w:val="24"/>
        </w:rPr>
        <w:t>Dr</w:t>
      </w:r>
      <w:r w:rsidR="00046415" w:rsidRPr="00D032B4">
        <w:rPr>
          <w:rFonts w:cs="Arial"/>
          <w:sz w:val="24"/>
          <w:szCs w:val="24"/>
        </w:rPr>
        <w:t xml:space="preserve"> </w:t>
      </w:r>
      <w:r w:rsidRPr="00D032B4">
        <w:rPr>
          <w:rFonts w:cs="Arial"/>
          <w:sz w:val="24"/>
          <w:szCs w:val="24"/>
        </w:rPr>
        <w:t xml:space="preserve">Spillane concluded her view for </w:t>
      </w:r>
      <w:proofErr w:type="spellStart"/>
      <w:r w:rsidRPr="00D032B4">
        <w:rPr>
          <w:rFonts w:cs="Arial"/>
          <w:sz w:val="24"/>
          <w:szCs w:val="24"/>
        </w:rPr>
        <w:t>Myaware</w:t>
      </w:r>
      <w:proofErr w:type="spellEnd"/>
      <w:r w:rsidRPr="00D032B4">
        <w:rPr>
          <w:rFonts w:cs="Arial"/>
          <w:sz w:val="24"/>
          <w:szCs w:val="24"/>
        </w:rPr>
        <w:t xml:space="preserve"> that it was unreasonable for the Committee to have preferred a decade old out-of-date guideline over up-to-date expert clinical view. </w:t>
      </w:r>
    </w:p>
    <w:p w14:paraId="07C2321B" w14:textId="22252E9B" w:rsidR="005E6107" w:rsidRPr="00D032B4" w:rsidRDefault="00046415" w:rsidP="005E6107">
      <w:pPr>
        <w:pStyle w:val="Paragraph"/>
        <w:rPr>
          <w:rFonts w:cs="Arial"/>
          <w:sz w:val="24"/>
          <w:szCs w:val="24"/>
        </w:rPr>
      </w:pPr>
      <w:r>
        <w:rPr>
          <w:rFonts w:cs="Arial"/>
          <w:sz w:val="24"/>
          <w:szCs w:val="24"/>
        </w:rPr>
        <w:t>Dr</w:t>
      </w:r>
      <w:r w:rsidR="005E6107" w:rsidRPr="00D032B4">
        <w:rPr>
          <w:rFonts w:cs="Arial"/>
          <w:sz w:val="24"/>
          <w:szCs w:val="24"/>
        </w:rPr>
        <w:t xml:space="preserve"> Ashwin Pinto, for </w:t>
      </w:r>
      <w:proofErr w:type="spellStart"/>
      <w:r w:rsidR="005E6107" w:rsidRPr="00D032B4">
        <w:rPr>
          <w:rFonts w:cs="Arial"/>
          <w:sz w:val="24"/>
          <w:szCs w:val="24"/>
        </w:rPr>
        <w:t>Myaware</w:t>
      </w:r>
      <w:proofErr w:type="spellEnd"/>
      <w:r w:rsidR="005E6107" w:rsidRPr="00D032B4">
        <w:rPr>
          <w:rFonts w:cs="Arial"/>
          <w:sz w:val="24"/>
          <w:szCs w:val="24"/>
        </w:rPr>
        <w:t xml:space="preserve">, explained that he also runs a specialist </w:t>
      </w:r>
      <w:r w:rsidR="00544068">
        <w:rPr>
          <w:rFonts w:cs="Arial"/>
          <w:sz w:val="24"/>
          <w:szCs w:val="24"/>
        </w:rPr>
        <w:t>generalised myasthenia gravis</w:t>
      </w:r>
      <w:r w:rsidR="005E6107" w:rsidRPr="00D032B4">
        <w:rPr>
          <w:rFonts w:cs="Arial"/>
          <w:sz w:val="24"/>
          <w:szCs w:val="24"/>
        </w:rPr>
        <w:t xml:space="preserve"> clinic. His evidence focused on the positioning of efgartigimod in the treatment pathway. He explained that back in 2015, the treatment options for the small cohort of </w:t>
      </w:r>
      <w:proofErr w:type="gramStart"/>
      <w:r w:rsidR="005E6107" w:rsidRPr="00D032B4">
        <w:rPr>
          <w:rFonts w:cs="Arial"/>
          <w:sz w:val="24"/>
          <w:szCs w:val="24"/>
        </w:rPr>
        <w:t>patients</w:t>
      </w:r>
      <w:proofErr w:type="gramEnd"/>
      <w:r w:rsidR="005E6107" w:rsidRPr="00D032B4">
        <w:rPr>
          <w:rFonts w:cs="Arial"/>
          <w:sz w:val="24"/>
          <w:szCs w:val="24"/>
        </w:rPr>
        <w:t xml:space="preserve"> refractory to other treatments were very limited. Usually, patients would be offered </w:t>
      </w:r>
      <w:r w:rsidR="00544068">
        <w:rPr>
          <w:rFonts w:cs="Arial"/>
          <w:sz w:val="24"/>
          <w:szCs w:val="24"/>
        </w:rPr>
        <w:t>intravenous immunoglobulin</w:t>
      </w:r>
      <w:r w:rsidR="005E6107" w:rsidRPr="00D032B4">
        <w:rPr>
          <w:rFonts w:cs="Arial"/>
          <w:sz w:val="24"/>
          <w:szCs w:val="24"/>
        </w:rPr>
        <w:t xml:space="preserve"> or </w:t>
      </w:r>
      <w:r w:rsidR="00544068">
        <w:rPr>
          <w:rFonts w:cs="Arial"/>
          <w:sz w:val="24"/>
          <w:szCs w:val="24"/>
        </w:rPr>
        <w:t>plasma exchange therapy</w:t>
      </w:r>
      <w:r w:rsidR="005E6107" w:rsidRPr="00D032B4">
        <w:rPr>
          <w:rFonts w:cs="Arial"/>
          <w:sz w:val="24"/>
          <w:szCs w:val="24"/>
        </w:rPr>
        <w:t xml:space="preserve"> as an alternative. There is a national demand programme for </w:t>
      </w:r>
      <w:r w:rsidR="00544068">
        <w:rPr>
          <w:rFonts w:cs="Arial"/>
          <w:sz w:val="24"/>
          <w:szCs w:val="24"/>
        </w:rPr>
        <w:t>intravenous immunoglobulin</w:t>
      </w:r>
      <w:r w:rsidR="005E6107" w:rsidRPr="00D032B4">
        <w:rPr>
          <w:rFonts w:cs="Arial"/>
          <w:sz w:val="24"/>
          <w:szCs w:val="24"/>
        </w:rPr>
        <w:t xml:space="preserve"> which requires patients to be discussed at a regional panel before </w:t>
      </w:r>
      <w:r w:rsidR="00544068">
        <w:rPr>
          <w:rFonts w:cs="Arial"/>
          <w:sz w:val="24"/>
          <w:szCs w:val="24"/>
        </w:rPr>
        <w:t>intravenous immunoglobulin</w:t>
      </w:r>
      <w:r w:rsidR="005E6107" w:rsidRPr="00D032B4">
        <w:rPr>
          <w:rFonts w:cs="Arial"/>
          <w:sz w:val="24"/>
          <w:szCs w:val="24"/>
        </w:rPr>
        <w:t xml:space="preserve"> is offered given supply concerns. </w:t>
      </w:r>
    </w:p>
    <w:p w14:paraId="4008E996" w14:textId="6B833030" w:rsidR="005E6107" w:rsidRPr="00D032B4" w:rsidRDefault="00C12647" w:rsidP="005E6107">
      <w:pPr>
        <w:pStyle w:val="Paragraph"/>
        <w:rPr>
          <w:rFonts w:cs="Arial"/>
          <w:sz w:val="24"/>
          <w:szCs w:val="24"/>
        </w:rPr>
      </w:pPr>
      <w:r>
        <w:rPr>
          <w:rFonts w:cs="Arial"/>
          <w:sz w:val="24"/>
          <w:szCs w:val="24"/>
        </w:rPr>
        <w:lastRenderedPageBreak/>
        <w:t>Dr</w:t>
      </w:r>
      <w:r w:rsidRPr="00D032B4">
        <w:rPr>
          <w:rFonts w:cs="Arial"/>
          <w:sz w:val="24"/>
          <w:szCs w:val="24"/>
        </w:rPr>
        <w:t xml:space="preserve"> </w:t>
      </w:r>
      <w:r w:rsidR="005E6107" w:rsidRPr="00D032B4">
        <w:rPr>
          <w:rFonts w:cs="Arial"/>
          <w:sz w:val="24"/>
          <w:szCs w:val="24"/>
        </w:rPr>
        <w:t xml:space="preserve">Pinto explained that rituximab is at best modestly effective. Those not responding to rituximab (which is c.50% of those patients otherwise treated with </w:t>
      </w:r>
      <w:r w:rsidR="00544068">
        <w:rPr>
          <w:rFonts w:cs="Arial"/>
          <w:sz w:val="24"/>
          <w:szCs w:val="24"/>
        </w:rPr>
        <w:t>plasma exchange therapy</w:t>
      </w:r>
      <w:r w:rsidR="005E6107" w:rsidRPr="00D032B4">
        <w:rPr>
          <w:rFonts w:cs="Arial"/>
          <w:sz w:val="24"/>
          <w:szCs w:val="24"/>
        </w:rPr>
        <w:t xml:space="preserve"> / </w:t>
      </w:r>
      <w:r w:rsidR="00544068">
        <w:rPr>
          <w:rFonts w:cs="Arial"/>
          <w:sz w:val="24"/>
          <w:szCs w:val="24"/>
        </w:rPr>
        <w:t>intravenous immunoglobulin</w:t>
      </w:r>
      <w:r w:rsidR="005E6107" w:rsidRPr="00D032B4">
        <w:rPr>
          <w:rFonts w:cs="Arial"/>
          <w:sz w:val="24"/>
          <w:szCs w:val="24"/>
        </w:rPr>
        <w:t xml:space="preserve">) do not benefit from any other remaining therapies, only </w:t>
      </w:r>
      <w:r w:rsidR="00544068">
        <w:rPr>
          <w:rFonts w:cs="Arial"/>
          <w:sz w:val="24"/>
          <w:szCs w:val="24"/>
        </w:rPr>
        <w:t xml:space="preserve">intravenous </w:t>
      </w:r>
      <w:r w:rsidR="00F75061">
        <w:rPr>
          <w:rFonts w:cs="Arial"/>
          <w:sz w:val="24"/>
          <w:szCs w:val="24"/>
        </w:rPr>
        <w:t>immunoglobulin,</w:t>
      </w:r>
      <w:r w:rsidR="005E6107" w:rsidRPr="00D032B4">
        <w:rPr>
          <w:rFonts w:cs="Arial"/>
          <w:sz w:val="24"/>
          <w:szCs w:val="24"/>
        </w:rPr>
        <w:t xml:space="preserve"> or </w:t>
      </w:r>
      <w:r w:rsidR="00544068">
        <w:rPr>
          <w:rFonts w:cs="Arial"/>
          <w:sz w:val="24"/>
          <w:szCs w:val="24"/>
        </w:rPr>
        <w:t>plasma exchange therapy</w:t>
      </w:r>
      <w:r w:rsidR="005E6107" w:rsidRPr="00D032B4">
        <w:rPr>
          <w:rFonts w:cs="Arial"/>
          <w:sz w:val="24"/>
          <w:szCs w:val="24"/>
        </w:rPr>
        <w:t xml:space="preserve">. Both </w:t>
      </w:r>
      <w:r w:rsidR="00544068">
        <w:rPr>
          <w:rFonts w:cs="Arial"/>
          <w:sz w:val="24"/>
          <w:szCs w:val="24"/>
        </w:rPr>
        <w:t>intravenous immunoglobulin</w:t>
      </w:r>
      <w:r w:rsidR="005E6107" w:rsidRPr="00D032B4">
        <w:rPr>
          <w:rFonts w:cs="Arial"/>
          <w:sz w:val="24"/>
          <w:szCs w:val="24"/>
        </w:rPr>
        <w:t xml:space="preserve"> and </w:t>
      </w:r>
      <w:r w:rsidR="00544068">
        <w:rPr>
          <w:rFonts w:cs="Arial"/>
          <w:sz w:val="24"/>
          <w:szCs w:val="24"/>
        </w:rPr>
        <w:t>plasma exchange therapy</w:t>
      </w:r>
      <w:r w:rsidR="005E6107" w:rsidRPr="00D032B4">
        <w:rPr>
          <w:rFonts w:cs="Arial"/>
          <w:sz w:val="24"/>
          <w:szCs w:val="24"/>
        </w:rPr>
        <w:t xml:space="preserve"> are difficult to access, with a day case or brief overnight admission to hospital necessary. There are relative contraindications for both treatments – </w:t>
      </w:r>
      <w:r w:rsidR="00544068">
        <w:rPr>
          <w:rFonts w:cs="Arial"/>
          <w:sz w:val="24"/>
          <w:szCs w:val="24"/>
        </w:rPr>
        <w:t>intravenous immunoglobulin</w:t>
      </w:r>
      <w:r w:rsidR="005E6107" w:rsidRPr="00D032B4">
        <w:rPr>
          <w:rFonts w:cs="Arial"/>
          <w:sz w:val="24"/>
          <w:szCs w:val="24"/>
        </w:rPr>
        <w:t xml:space="preserve"> is associated with risk of aseptic meningitis and thrombotic events, and there is long term impact of peripheral vein access associated with recurrent </w:t>
      </w:r>
      <w:r w:rsidR="00544068">
        <w:rPr>
          <w:rFonts w:cs="Arial"/>
          <w:sz w:val="24"/>
          <w:szCs w:val="24"/>
        </w:rPr>
        <w:t>plasma exchange therapy</w:t>
      </w:r>
      <w:r w:rsidR="005E6107" w:rsidRPr="00D032B4">
        <w:rPr>
          <w:rFonts w:cs="Arial"/>
          <w:sz w:val="24"/>
          <w:szCs w:val="24"/>
        </w:rPr>
        <w:t xml:space="preserve">. </w:t>
      </w:r>
    </w:p>
    <w:p w14:paraId="30F5E6AD" w14:textId="61D2F732" w:rsidR="005E6107" w:rsidRPr="00D032B4" w:rsidRDefault="005E6107" w:rsidP="005E6107">
      <w:pPr>
        <w:pStyle w:val="Paragraph"/>
        <w:rPr>
          <w:rFonts w:cs="Arial"/>
          <w:sz w:val="24"/>
          <w:szCs w:val="24"/>
        </w:rPr>
      </w:pPr>
      <w:r w:rsidRPr="00D032B4">
        <w:rPr>
          <w:rFonts w:cs="Arial"/>
          <w:sz w:val="24"/>
          <w:szCs w:val="24"/>
        </w:rPr>
        <w:t xml:space="preserve">He described that of his patients eligible for efgartigimod, nearly all have achieved minimum symptom expression, and no </w:t>
      </w:r>
      <w:r w:rsidR="00931628">
        <w:rPr>
          <w:rFonts w:cs="Arial"/>
          <w:sz w:val="24"/>
          <w:szCs w:val="24"/>
        </w:rPr>
        <w:t>‘’</w:t>
      </w:r>
      <w:r w:rsidRPr="00D032B4">
        <w:rPr>
          <w:rFonts w:cs="Arial"/>
          <w:sz w:val="24"/>
          <w:szCs w:val="24"/>
        </w:rPr>
        <w:t>rescue</w:t>
      </w:r>
      <w:r w:rsidR="00931628">
        <w:rPr>
          <w:rFonts w:cs="Arial"/>
          <w:sz w:val="24"/>
          <w:szCs w:val="24"/>
        </w:rPr>
        <w:t>’’</w:t>
      </w:r>
      <w:r w:rsidRPr="00D032B4">
        <w:rPr>
          <w:rFonts w:cs="Arial"/>
          <w:sz w:val="24"/>
          <w:szCs w:val="24"/>
        </w:rPr>
        <w:t xml:space="preserve"> treatment with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has been necessary to date. In his clinical experience, efgartigimod has therefore been a direct replacement for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from the first dose. </w:t>
      </w:r>
      <w:r w:rsidR="00C12647">
        <w:rPr>
          <w:rFonts w:cs="Arial"/>
          <w:sz w:val="24"/>
          <w:szCs w:val="24"/>
        </w:rPr>
        <w:t>Dr</w:t>
      </w:r>
      <w:r w:rsidR="00C12647" w:rsidRPr="00D032B4">
        <w:rPr>
          <w:rFonts w:cs="Arial"/>
          <w:sz w:val="24"/>
          <w:szCs w:val="24"/>
        </w:rPr>
        <w:t xml:space="preserve"> </w:t>
      </w:r>
      <w:r w:rsidRPr="00D032B4">
        <w:rPr>
          <w:rFonts w:cs="Arial"/>
          <w:sz w:val="24"/>
          <w:szCs w:val="24"/>
        </w:rPr>
        <w:t xml:space="preserve">Pinto explained that it is not possible to prescribe </w:t>
      </w:r>
      <w:r w:rsidR="00544068">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at the same time as efgartigimod, as there is no scientific rationale or mechanism of action to do so. </w:t>
      </w:r>
    </w:p>
    <w:p w14:paraId="649F43C0" w14:textId="3B189AFF" w:rsidR="005E6107" w:rsidRPr="00D032B4" w:rsidRDefault="00C12647" w:rsidP="005E6107">
      <w:pPr>
        <w:pStyle w:val="Paragraph"/>
        <w:rPr>
          <w:rFonts w:cs="Arial"/>
          <w:sz w:val="24"/>
          <w:szCs w:val="24"/>
        </w:rPr>
      </w:pPr>
      <w:r>
        <w:rPr>
          <w:rFonts w:cs="Arial"/>
          <w:sz w:val="24"/>
          <w:szCs w:val="24"/>
        </w:rPr>
        <w:t>Dr</w:t>
      </w:r>
      <w:r w:rsidRPr="00D032B4">
        <w:rPr>
          <w:rFonts w:cs="Arial"/>
          <w:sz w:val="24"/>
          <w:szCs w:val="24"/>
        </w:rPr>
        <w:t xml:space="preserve"> </w:t>
      </w:r>
      <w:r w:rsidR="005E6107" w:rsidRPr="00D032B4">
        <w:rPr>
          <w:rFonts w:cs="Arial"/>
          <w:sz w:val="24"/>
          <w:szCs w:val="24"/>
        </w:rPr>
        <w:t xml:space="preserve">Pinto described that in his specialist </w:t>
      </w:r>
      <w:r w:rsidR="00544068">
        <w:rPr>
          <w:rFonts w:cs="Arial"/>
          <w:sz w:val="24"/>
          <w:szCs w:val="24"/>
        </w:rPr>
        <w:t>generalised myasthenia gravis</w:t>
      </w:r>
      <w:r w:rsidR="005E6107" w:rsidRPr="00D032B4">
        <w:rPr>
          <w:rFonts w:cs="Arial"/>
          <w:sz w:val="24"/>
          <w:szCs w:val="24"/>
        </w:rPr>
        <w:t xml:space="preserve"> unit, 3 of 7 patients have been able to return to full time work since starting on efgartigimod. He concluded by re-iterating Jennifer Spillane's view that there had been significant changes to </w:t>
      </w:r>
      <w:r w:rsidR="00544068">
        <w:rPr>
          <w:rFonts w:cs="Arial"/>
          <w:sz w:val="24"/>
          <w:szCs w:val="24"/>
        </w:rPr>
        <w:t>generalised myasthenia gravis</w:t>
      </w:r>
      <w:r w:rsidR="005E6107" w:rsidRPr="00D032B4">
        <w:rPr>
          <w:rFonts w:cs="Arial"/>
          <w:sz w:val="24"/>
          <w:szCs w:val="24"/>
        </w:rPr>
        <w:t xml:space="preserve"> management since 2015. </w:t>
      </w:r>
    </w:p>
    <w:p w14:paraId="4CF712D6" w14:textId="25888468" w:rsidR="005E6107" w:rsidRPr="00D032B4" w:rsidRDefault="00C12647" w:rsidP="005E6107">
      <w:pPr>
        <w:pStyle w:val="Paragraph"/>
        <w:rPr>
          <w:rFonts w:cs="Arial"/>
          <w:sz w:val="24"/>
          <w:szCs w:val="24"/>
        </w:rPr>
      </w:pPr>
      <w:r>
        <w:rPr>
          <w:rFonts w:cs="Arial"/>
          <w:sz w:val="24"/>
          <w:szCs w:val="24"/>
        </w:rPr>
        <w:t xml:space="preserve">Dr </w:t>
      </w:r>
      <w:r w:rsidR="005E6107" w:rsidRPr="00D032B4">
        <w:rPr>
          <w:rFonts w:cs="Arial"/>
          <w:sz w:val="24"/>
          <w:szCs w:val="24"/>
        </w:rPr>
        <w:t xml:space="preserve">Raju Reddy, for NICE, confirmed that the Committee was aware that the existing 2015 Guidelines were out of date. He referred the Panel to paragraph 3.2 of the first draft guidance and paragraph 3.2 of </w:t>
      </w:r>
      <w:r w:rsidR="005E6107" w:rsidRPr="00D032B4">
        <w:rPr>
          <w:rFonts w:cs="Arial"/>
          <w:sz w:val="24"/>
          <w:szCs w:val="24"/>
        </w:rPr>
        <w:lastRenderedPageBreak/>
        <w:t xml:space="preserve">the FDG which both recognise that the 2015 Guidelines were (at the time of the appraisal) in the process of being updated. </w:t>
      </w:r>
    </w:p>
    <w:p w14:paraId="3D9A7FC6" w14:textId="53644481" w:rsidR="005E6107" w:rsidRPr="00D032B4" w:rsidRDefault="00C12647" w:rsidP="005E6107">
      <w:pPr>
        <w:pStyle w:val="Paragraph"/>
        <w:rPr>
          <w:rFonts w:cs="Arial"/>
          <w:sz w:val="24"/>
          <w:szCs w:val="24"/>
        </w:rPr>
      </w:pPr>
      <w:r>
        <w:rPr>
          <w:rFonts w:cs="Arial"/>
          <w:sz w:val="24"/>
          <w:szCs w:val="24"/>
        </w:rPr>
        <w:t>Dr Reddy</w:t>
      </w:r>
      <w:r w:rsidRPr="00D032B4">
        <w:rPr>
          <w:rFonts w:cs="Arial"/>
          <w:sz w:val="24"/>
          <w:szCs w:val="24"/>
        </w:rPr>
        <w:t xml:space="preserve"> </w:t>
      </w:r>
      <w:r w:rsidR="005E6107" w:rsidRPr="00D032B4">
        <w:rPr>
          <w:rFonts w:cs="Arial"/>
          <w:sz w:val="24"/>
          <w:szCs w:val="24"/>
        </w:rPr>
        <w:t xml:space="preserve">assured </w:t>
      </w:r>
      <w:proofErr w:type="spellStart"/>
      <w:r w:rsidR="005E6107" w:rsidRPr="00D032B4">
        <w:rPr>
          <w:rFonts w:cs="Arial"/>
          <w:sz w:val="24"/>
          <w:szCs w:val="24"/>
        </w:rPr>
        <w:t>Myaware</w:t>
      </w:r>
      <w:proofErr w:type="spellEnd"/>
      <w:r w:rsidR="005E6107" w:rsidRPr="00D032B4">
        <w:rPr>
          <w:rFonts w:cs="Arial"/>
          <w:sz w:val="24"/>
          <w:szCs w:val="24"/>
        </w:rPr>
        <w:t xml:space="preserve"> that the current treatment pathway (informed by clinical expert input) underpins the Company's model, and not the 2015 Guidelines. As a result, the modelling included all the current treatments and not just those contained in the 2015 Guidelines. </w:t>
      </w:r>
    </w:p>
    <w:p w14:paraId="6B249536" w14:textId="64212A33" w:rsidR="005E6107" w:rsidRPr="00D032B4" w:rsidRDefault="00C12647" w:rsidP="005E6107">
      <w:pPr>
        <w:pStyle w:val="Paragraph"/>
        <w:rPr>
          <w:rFonts w:cs="Arial"/>
          <w:sz w:val="24"/>
          <w:szCs w:val="24"/>
        </w:rPr>
      </w:pPr>
      <w:r>
        <w:rPr>
          <w:rFonts w:cs="Arial"/>
          <w:sz w:val="24"/>
          <w:szCs w:val="24"/>
        </w:rPr>
        <w:t>Dr</w:t>
      </w:r>
      <w:r w:rsidRPr="00D032B4">
        <w:rPr>
          <w:rFonts w:cs="Arial"/>
          <w:sz w:val="24"/>
          <w:szCs w:val="24"/>
        </w:rPr>
        <w:t xml:space="preserve"> </w:t>
      </w:r>
      <w:r w:rsidR="005E6107" w:rsidRPr="00D032B4">
        <w:rPr>
          <w:rFonts w:cs="Arial"/>
          <w:sz w:val="24"/>
          <w:szCs w:val="24"/>
        </w:rPr>
        <w:t xml:space="preserve">Reddy expressed his view that it is incorrect to suggest that the Committee had not considered the draft treatment algorithm in its decision making. The Committee could not refer to the draft treatment algorithm in the FDG as it was submitted in academic confidence. However, the pathway underpinning the model demonstrates that the Committee </w:t>
      </w:r>
      <w:proofErr w:type="gramStart"/>
      <w:r w:rsidR="005E6107" w:rsidRPr="00D032B4">
        <w:rPr>
          <w:rFonts w:cs="Arial"/>
          <w:sz w:val="24"/>
          <w:szCs w:val="24"/>
        </w:rPr>
        <w:t>took into account</w:t>
      </w:r>
      <w:proofErr w:type="gramEnd"/>
      <w:r w:rsidR="005E6107" w:rsidRPr="00D032B4">
        <w:rPr>
          <w:rFonts w:cs="Arial"/>
          <w:sz w:val="24"/>
          <w:szCs w:val="24"/>
        </w:rPr>
        <w:t xml:space="preserve"> the substance of the draft treatment algorithm in its decision making, notwithstanding the fact that it did not have the freedom to refer to it in the FDG. </w:t>
      </w:r>
    </w:p>
    <w:p w14:paraId="757D20FD" w14:textId="7DC78AFE" w:rsidR="005E6107" w:rsidRPr="00D032B4" w:rsidRDefault="005E6107" w:rsidP="005E6107">
      <w:pPr>
        <w:pStyle w:val="Paragraph"/>
        <w:rPr>
          <w:rFonts w:cs="Arial"/>
          <w:sz w:val="24"/>
          <w:szCs w:val="24"/>
        </w:rPr>
      </w:pPr>
      <w:r w:rsidRPr="00D032B4">
        <w:rPr>
          <w:rFonts w:cs="Arial"/>
          <w:sz w:val="24"/>
          <w:szCs w:val="24"/>
        </w:rPr>
        <w:t xml:space="preserve">In response to </w:t>
      </w:r>
      <w:r w:rsidR="007F3D30">
        <w:rPr>
          <w:rFonts w:cs="Arial"/>
          <w:sz w:val="24"/>
          <w:szCs w:val="24"/>
        </w:rPr>
        <w:t>Dr</w:t>
      </w:r>
      <w:r w:rsidR="007F3D30" w:rsidRPr="00D032B4">
        <w:rPr>
          <w:rFonts w:cs="Arial"/>
          <w:sz w:val="24"/>
          <w:szCs w:val="24"/>
        </w:rPr>
        <w:t xml:space="preserve"> </w:t>
      </w:r>
      <w:r w:rsidRPr="00D032B4">
        <w:rPr>
          <w:rFonts w:cs="Arial"/>
          <w:sz w:val="24"/>
          <w:szCs w:val="24"/>
        </w:rPr>
        <w:t xml:space="preserve">Spillane and </w:t>
      </w:r>
      <w:r w:rsidR="007F3D30">
        <w:rPr>
          <w:rFonts w:cs="Arial"/>
          <w:sz w:val="24"/>
          <w:szCs w:val="24"/>
        </w:rPr>
        <w:t>Dr</w:t>
      </w:r>
      <w:r w:rsidR="007F3D30" w:rsidRPr="00D032B4">
        <w:rPr>
          <w:rFonts w:cs="Arial"/>
          <w:sz w:val="24"/>
          <w:szCs w:val="24"/>
        </w:rPr>
        <w:t xml:space="preserve"> </w:t>
      </w:r>
      <w:r w:rsidRPr="00D032B4">
        <w:rPr>
          <w:rFonts w:cs="Arial"/>
          <w:sz w:val="24"/>
          <w:szCs w:val="24"/>
        </w:rPr>
        <w:t xml:space="preserve">Pinto's comments about the statement in draft guidance relating to rituximab (that it was an equally effective treatment to </w:t>
      </w:r>
      <w:r w:rsidR="00544068">
        <w:rPr>
          <w:rFonts w:cs="Arial"/>
          <w:sz w:val="24"/>
          <w:szCs w:val="24"/>
        </w:rPr>
        <w:t>intravenous immunoglobulin</w:t>
      </w:r>
      <w:r w:rsidRPr="00D032B4">
        <w:rPr>
          <w:rFonts w:cs="Arial"/>
          <w:sz w:val="24"/>
          <w:szCs w:val="24"/>
        </w:rPr>
        <w:t xml:space="preserve">) was incorrect, </w:t>
      </w:r>
      <w:r w:rsidR="007F3D30">
        <w:rPr>
          <w:rFonts w:cs="Arial"/>
          <w:sz w:val="24"/>
          <w:szCs w:val="24"/>
        </w:rPr>
        <w:t>Dr</w:t>
      </w:r>
      <w:r w:rsidR="007F3D30" w:rsidRPr="00D032B4">
        <w:rPr>
          <w:rFonts w:cs="Arial"/>
          <w:sz w:val="24"/>
          <w:szCs w:val="24"/>
        </w:rPr>
        <w:t xml:space="preserve"> </w:t>
      </w:r>
      <w:r w:rsidRPr="00D032B4">
        <w:rPr>
          <w:rFonts w:cs="Arial"/>
          <w:sz w:val="24"/>
          <w:szCs w:val="24"/>
        </w:rPr>
        <w:t xml:space="preserve">Reddy explained that rituximab is not included in the model and therefore this would not have impacted the cost-effectiveness estimates. </w:t>
      </w:r>
    </w:p>
    <w:p w14:paraId="5C678B29" w14:textId="64FF4BAB" w:rsidR="005E6107" w:rsidRPr="00D032B4" w:rsidRDefault="007F3D30" w:rsidP="005E6107">
      <w:pPr>
        <w:pStyle w:val="Paragraph"/>
        <w:rPr>
          <w:rFonts w:cs="Arial"/>
          <w:sz w:val="24"/>
          <w:szCs w:val="24"/>
        </w:rPr>
      </w:pPr>
      <w:r>
        <w:rPr>
          <w:rFonts w:cs="Arial"/>
          <w:sz w:val="24"/>
          <w:szCs w:val="24"/>
        </w:rPr>
        <w:t>Dr</w:t>
      </w:r>
      <w:r w:rsidRPr="00D032B4">
        <w:rPr>
          <w:rFonts w:cs="Arial"/>
          <w:sz w:val="24"/>
          <w:szCs w:val="24"/>
        </w:rPr>
        <w:t xml:space="preserve"> </w:t>
      </w:r>
      <w:r w:rsidR="005E6107" w:rsidRPr="00D032B4">
        <w:rPr>
          <w:rFonts w:cs="Arial"/>
          <w:sz w:val="24"/>
          <w:szCs w:val="24"/>
        </w:rPr>
        <w:t xml:space="preserve">Reddy explained that once efgartigimod stops being effective, patients would then go onto </w:t>
      </w:r>
      <w:r w:rsidR="00544068">
        <w:rPr>
          <w:rFonts w:cs="Arial"/>
          <w:sz w:val="24"/>
          <w:szCs w:val="24"/>
        </w:rPr>
        <w:t>intravenous immunoglobulin</w:t>
      </w:r>
      <w:r w:rsidR="005E6107" w:rsidRPr="00D032B4">
        <w:rPr>
          <w:rFonts w:cs="Arial"/>
          <w:sz w:val="24"/>
          <w:szCs w:val="24"/>
        </w:rPr>
        <w:t xml:space="preserve"> or </w:t>
      </w:r>
      <w:r w:rsidR="00544068">
        <w:rPr>
          <w:rFonts w:cs="Arial"/>
          <w:sz w:val="24"/>
          <w:szCs w:val="24"/>
        </w:rPr>
        <w:t>plasma exchange therapy</w:t>
      </w:r>
      <w:r w:rsidR="005E6107" w:rsidRPr="00D032B4">
        <w:rPr>
          <w:rFonts w:cs="Arial"/>
          <w:sz w:val="24"/>
          <w:szCs w:val="24"/>
        </w:rPr>
        <w:t xml:space="preserve">. The Committee's preferred pathway subsequently </w:t>
      </w:r>
      <w:proofErr w:type="gramStart"/>
      <w:r w:rsidR="005E6107" w:rsidRPr="00D032B4">
        <w:rPr>
          <w:rFonts w:cs="Arial"/>
          <w:sz w:val="24"/>
          <w:szCs w:val="24"/>
        </w:rPr>
        <w:t>took into account</w:t>
      </w:r>
      <w:proofErr w:type="gramEnd"/>
      <w:r w:rsidR="005E6107" w:rsidRPr="00D032B4">
        <w:rPr>
          <w:rFonts w:cs="Arial"/>
          <w:sz w:val="24"/>
          <w:szCs w:val="24"/>
        </w:rPr>
        <w:t xml:space="preserve"> the clinical expert input heard at committee meetings, consultation comments and the draft treatment algorithm shared ahead of the third committee meeting. The Committee agree</w:t>
      </w:r>
      <w:r w:rsidR="00634957">
        <w:rPr>
          <w:rFonts w:cs="Arial"/>
          <w:sz w:val="24"/>
          <w:szCs w:val="24"/>
        </w:rPr>
        <w:t>d</w:t>
      </w:r>
      <w:r w:rsidR="005E6107" w:rsidRPr="00D032B4">
        <w:rPr>
          <w:rFonts w:cs="Arial"/>
          <w:sz w:val="24"/>
          <w:szCs w:val="24"/>
        </w:rPr>
        <w:t xml:space="preserve"> with the clinical experts that </w:t>
      </w:r>
      <w:r w:rsidR="00544068">
        <w:rPr>
          <w:rFonts w:cs="Arial"/>
          <w:sz w:val="24"/>
          <w:szCs w:val="24"/>
        </w:rPr>
        <w:t>plasma exchange therapy</w:t>
      </w:r>
      <w:r w:rsidR="005E6107" w:rsidRPr="00D032B4">
        <w:rPr>
          <w:rFonts w:cs="Arial"/>
          <w:sz w:val="24"/>
          <w:szCs w:val="24"/>
        </w:rPr>
        <w:t xml:space="preserve"> is part of the treatment pathway for refractory </w:t>
      </w:r>
      <w:r w:rsidR="00544068">
        <w:rPr>
          <w:rFonts w:cs="Arial"/>
          <w:sz w:val="24"/>
          <w:szCs w:val="24"/>
        </w:rPr>
        <w:t>generalised myasthenia gravis</w:t>
      </w:r>
      <w:r w:rsidR="005E6107" w:rsidRPr="00D032B4">
        <w:rPr>
          <w:rFonts w:cs="Arial"/>
          <w:sz w:val="24"/>
          <w:szCs w:val="24"/>
        </w:rPr>
        <w:t xml:space="preserve">, but it </w:t>
      </w:r>
      <w:r w:rsidR="005E6107" w:rsidRPr="00D032B4">
        <w:rPr>
          <w:rFonts w:cs="Arial"/>
          <w:sz w:val="24"/>
          <w:szCs w:val="24"/>
        </w:rPr>
        <w:lastRenderedPageBreak/>
        <w:t xml:space="preserve">did not agree with the Company's approach to modelling </w:t>
      </w:r>
      <w:r w:rsidR="00544068">
        <w:rPr>
          <w:rFonts w:cs="Arial"/>
          <w:sz w:val="24"/>
          <w:szCs w:val="24"/>
        </w:rPr>
        <w:t>plasma exchange therapy</w:t>
      </w:r>
      <w:r w:rsidR="005E6107" w:rsidRPr="00D032B4">
        <w:rPr>
          <w:rFonts w:cs="Arial"/>
          <w:sz w:val="24"/>
          <w:szCs w:val="24"/>
        </w:rPr>
        <w:t xml:space="preserve"> (this is described in detail at paragraph 3.15 of the FDG). </w:t>
      </w:r>
    </w:p>
    <w:p w14:paraId="0B528A7A" w14:textId="77777777" w:rsidR="005E6107" w:rsidRPr="00D032B4" w:rsidRDefault="005E6107" w:rsidP="005E6107">
      <w:pPr>
        <w:pStyle w:val="Paragraph"/>
        <w:rPr>
          <w:rFonts w:cs="Arial"/>
          <w:sz w:val="24"/>
          <w:szCs w:val="24"/>
        </w:rPr>
      </w:pPr>
      <w:r w:rsidRPr="00D032B4">
        <w:rPr>
          <w:rFonts w:cs="Arial"/>
          <w:sz w:val="24"/>
          <w:szCs w:val="24"/>
        </w:rPr>
        <w:t xml:space="preserve">Discussion then turned to efgartigimod's indication as an "add-on" therapy in the marketing authorisation. This is related to </w:t>
      </w:r>
      <w:proofErr w:type="spellStart"/>
      <w:r w:rsidRPr="00D032B4">
        <w:rPr>
          <w:rFonts w:cs="Arial"/>
          <w:sz w:val="24"/>
          <w:szCs w:val="24"/>
        </w:rPr>
        <w:t>Myaware's</w:t>
      </w:r>
      <w:proofErr w:type="spellEnd"/>
      <w:r w:rsidRPr="00D032B4">
        <w:rPr>
          <w:rFonts w:cs="Arial"/>
          <w:sz w:val="24"/>
          <w:szCs w:val="24"/>
        </w:rPr>
        <w:t xml:space="preserve"> appeal point 2.3 on the basis that it impacts the reasonableness of the Committee's approach to the position of efgartigimod in the treatment pathway. </w:t>
      </w:r>
    </w:p>
    <w:p w14:paraId="789710FB" w14:textId="75B34146" w:rsidR="005E6107" w:rsidRPr="00D032B4" w:rsidRDefault="007F3D30" w:rsidP="005E6107">
      <w:pPr>
        <w:pStyle w:val="Paragraph"/>
        <w:rPr>
          <w:rFonts w:cs="Arial"/>
          <w:sz w:val="24"/>
          <w:szCs w:val="24"/>
        </w:rPr>
      </w:pPr>
      <w:r>
        <w:rPr>
          <w:rFonts w:cs="Arial"/>
          <w:sz w:val="24"/>
          <w:szCs w:val="24"/>
        </w:rPr>
        <w:t>Dr</w:t>
      </w:r>
      <w:r w:rsidRPr="00D032B4">
        <w:rPr>
          <w:rFonts w:cs="Arial"/>
          <w:sz w:val="24"/>
          <w:szCs w:val="24"/>
        </w:rPr>
        <w:t xml:space="preserve"> </w:t>
      </w:r>
      <w:r w:rsidR="005E6107" w:rsidRPr="00D032B4">
        <w:rPr>
          <w:rFonts w:cs="Arial"/>
          <w:sz w:val="24"/>
          <w:szCs w:val="24"/>
        </w:rPr>
        <w:t xml:space="preserve">Pinto and </w:t>
      </w:r>
      <w:r>
        <w:rPr>
          <w:rFonts w:cs="Arial"/>
          <w:sz w:val="24"/>
          <w:szCs w:val="24"/>
        </w:rPr>
        <w:t>Dr</w:t>
      </w:r>
      <w:r w:rsidRPr="00D032B4">
        <w:rPr>
          <w:rFonts w:cs="Arial"/>
          <w:sz w:val="24"/>
          <w:szCs w:val="24"/>
        </w:rPr>
        <w:t xml:space="preserve"> </w:t>
      </w:r>
      <w:r w:rsidR="005E6107" w:rsidRPr="00D032B4">
        <w:rPr>
          <w:rFonts w:cs="Arial"/>
          <w:sz w:val="24"/>
          <w:szCs w:val="24"/>
        </w:rPr>
        <w:t xml:space="preserve">Spillane both confirmed that </w:t>
      </w:r>
      <w:r w:rsidR="00B26223">
        <w:rPr>
          <w:rFonts w:cs="Arial"/>
          <w:sz w:val="24"/>
          <w:szCs w:val="24"/>
        </w:rPr>
        <w:t>clinicians</w:t>
      </w:r>
      <w:r w:rsidR="005E6107" w:rsidRPr="00D032B4">
        <w:rPr>
          <w:rFonts w:cs="Arial"/>
          <w:sz w:val="24"/>
          <w:szCs w:val="24"/>
        </w:rPr>
        <w:t xml:space="preserve"> </w:t>
      </w:r>
      <w:r w:rsidR="00B03F7D">
        <w:rPr>
          <w:rFonts w:cs="Arial"/>
          <w:sz w:val="24"/>
          <w:szCs w:val="24"/>
        </w:rPr>
        <w:t>do not</w:t>
      </w:r>
      <w:r w:rsidR="005E6107" w:rsidRPr="00D032B4">
        <w:rPr>
          <w:rFonts w:cs="Arial"/>
          <w:sz w:val="24"/>
          <w:szCs w:val="24"/>
        </w:rPr>
        <w:t xml:space="preserve"> give efgartigimod to those currently being treated with </w:t>
      </w:r>
      <w:r w:rsidR="00544068">
        <w:rPr>
          <w:rFonts w:cs="Arial"/>
          <w:sz w:val="24"/>
          <w:szCs w:val="24"/>
        </w:rPr>
        <w:t>intravenous immunoglobulin</w:t>
      </w:r>
      <w:r w:rsidR="005E6107" w:rsidRPr="00D032B4">
        <w:rPr>
          <w:rFonts w:cs="Arial"/>
          <w:sz w:val="24"/>
          <w:szCs w:val="24"/>
        </w:rPr>
        <w:t xml:space="preserve"> or </w:t>
      </w:r>
      <w:r w:rsidR="00544068">
        <w:rPr>
          <w:rFonts w:cs="Arial"/>
          <w:sz w:val="24"/>
          <w:szCs w:val="24"/>
        </w:rPr>
        <w:t>plasma exchange therapy</w:t>
      </w:r>
      <w:r w:rsidR="005E6107" w:rsidRPr="00D032B4">
        <w:rPr>
          <w:rFonts w:cs="Arial"/>
          <w:sz w:val="24"/>
          <w:szCs w:val="24"/>
        </w:rPr>
        <w:t xml:space="preserve"> (or vice versa). </w:t>
      </w:r>
      <w:r>
        <w:rPr>
          <w:rFonts w:cs="Arial"/>
          <w:sz w:val="24"/>
          <w:szCs w:val="24"/>
        </w:rPr>
        <w:t>Dr</w:t>
      </w:r>
      <w:r w:rsidRPr="00D032B4">
        <w:rPr>
          <w:rFonts w:cs="Arial"/>
          <w:sz w:val="24"/>
          <w:szCs w:val="24"/>
        </w:rPr>
        <w:t xml:space="preserve"> </w:t>
      </w:r>
      <w:r w:rsidR="005E6107" w:rsidRPr="00D032B4">
        <w:rPr>
          <w:rFonts w:cs="Arial"/>
          <w:sz w:val="24"/>
          <w:szCs w:val="24"/>
        </w:rPr>
        <w:t xml:space="preserve">Pinto explained that the data in EAMS to date shows that no patient has returned to </w:t>
      </w:r>
      <w:r w:rsidR="00544068">
        <w:rPr>
          <w:rFonts w:cs="Arial"/>
          <w:sz w:val="24"/>
          <w:szCs w:val="24"/>
        </w:rPr>
        <w:t>intravenous immunoglobulin</w:t>
      </w:r>
      <w:r w:rsidR="005E6107" w:rsidRPr="00D032B4">
        <w:rPr>
          <w:rFonts w:cs="Arial"/>
          <w:sz w:val="24"/>
          <w:szCs w:val="24"/>
        </w:rPr>
        <w:t xml:space="preserve"> / </w:t>
      </w:r>
      <w:r w:rsidR="00544068">
        <w:rPr>
          <w:rFonts w:cs="Arial"/>
          <w:sz w:val="24"/>
          <w:szCs w:val="24"/>
        </w:rPr>
        <w:t>plasma exchange therapy</w:t>
      </w:r>
      <w:r w:rsidR="005E6107" w:rsidRPr="00D032B4">
        <w:rPr>
          <w:rFonts w:cs="Arial"/>
          <w:sz w:val="24"/>
          <w:szCs w:val="24"/>
        </w:rPr>
        <w:t xml:space="preserve">, and so it may be unfair to assume a return to </w:t>
      </w:r>
      <w:r w:rsidR="00544068">
        <w:rPr>
          <w:rFonts w:cs="Arial"/>
          <w:sz w:val="24"/>
          <w:szCs w:val="24"/>
        </w:rPr>
        <w:t>intravenous immunoglobulin</w:t>
      </w:r>
      <w:r w:rsidR="005E6107" w:rsidRPr="00D032B4">
        <w:rPr>
          <w:rFonts w:cs="Arial"/>
          <w:sz w:val="24"/>
          <w:szCs w:val="24"/>
        </w:rPr>
        <w:t xml:space="preserve"> / </w:t>
      </w:r>
      <w:r w:rsidR="00544068">
        <w:rPr>
          <w:rFonts w:cs="Arial"/>
          <w:sz w:val="24"/>
          <w:szCs w:val="24"/>
        </w:rPr>
        <w:t>plasma exchange therapy</w:t>
      </w:r>
      <w:r w:rsidR="005E6107" w:rsidRPr="00D032B4">
        <w:rPr>
          <w:rFonts w:cs="Arial"/>
          <w:sz w:val="24"/>
          <w:szCs w:val="24"/>
        </w:rPr>
        <w:t xml:space="preserve"> in the model after efgartigimod. </w:t>
      </w:r>
      <w:r>
        <w:rPr>
          <w:rFonts w:cs="Arial"/>
          <w:sz w:val="24"/>
          <w:szCs w:val="24"/>
        </w:rPr>
        <w:t>Dr</w:t>
      </w:r>
      <w:r w:rsidRPr="00D032B4">
        <w:rPr>
          <w:rFonts w:cs="Arial"/>
          <w:sz w:val="24"/>
          <w:szCs w:val="24"/>
        </w:rPr>
        <w:t xml:space="preserve"> </w:t>
      </w:r>
      <w:r w:rsidR="005E6107" w:rsidRPr="00D032B4">
        <w:rPr>
          <w:rFonts w:cs="Arial"/>
          <w:sz w:val="24"/>
          <w:szCs w:val="24"/>
        </w:rPr>
        <w:t xml:space="preserve">Spillane added that "add-on" in the marketing authorisation means that it is not a first line </w:t>
      </w:r>
      <w:r w:rsidR="00ED1F23" w:rsidRPr="00D032B4">
        <w:rPr>
          <w:rFonts w:cs="Arial"/>
          <w:sz w:val="24"/>
          <w:szCs w:val="24"/>
        </w:rPr>
        <w:t>treatment but</w:t>
      </w:r>
      <w:r w:rsidR="005E6107" w:rsidRPr="00D032B4">
        <w:rPr>
          <w:rFonts w:cs="Arial"/>
          <w:sz w:val="24"/>
          <w:szCs w:val="24"/>
        </w:rPr>
        <w:t xml:space="preserve"> instead is administered as an "add-on" to those who have not responded to other standard treatments. </w:t>
      </w:r>
    </w:p>
    <w:p w14:paraId="567362E5" w14:textId="1983CA8A" w:rsidR="005E6107" w:rsidRPr="00D032B4" w:rsidRDefault="005E6107" w:rsidP="005E6107">
      <w:pPr>
        <w:pStyle w:val="Paragraph"/>
        <w:rPr>
          <w:rFonts w:cs="Arial"/>
          <w:sz w:val="24"/>
          <w:szCs w:val="24"/>
        </w:rPr>
      </w:pPr>
      <w:r w:rsidRPr="00D032B4">
        <w:rPr>
          <w:rFonts w:cs="Arial"/>
          <w:sz w:val="24"/>
          <w:szCs w:val="24"/>
        </w:rPr>
        <w:t>Andrew Stephenson</w:t>
      </w:r>
      <w:r w:rsidR="00744083">
        <w:rPr>
          <w:rFonts w:cs="Arial"/>
          <w:sz w:val="24"/>
          <w:szCs w:val="24"/>
        </w:rPr>
        <w:t xml:space="preserve">, for </w:t>
      </w:r>
      <w:proofErr w:type="spellStart"/>
      <w:r w:rsidR="00744083">
        <w:rPr>
          <w:rFonts w:cs="Arial"/>
          <w:sz w:val="24"/>
          <w:szCs w:val="24"/>
        </w:rPr>
        <w:t>Myaware</w:t>
      </w:r>
      <w:proofErr w:type="spellEnd"/>
      <w:r w:rsidR="00744083">
        <w:rPr>
          <w:rFonts w:cs="Arial"/>
          <w:sz w:val="24"/>
          <w:szCs w:val="24"/>
        </w:rPr>
        <w:t>,</w:t>
      </w:r>
      <w:r w:rsidRPr="00D032B4">
        <w:rPr>
          <w:rFonts w:cs="Arial"/>
          <w:sz w:val="24"/>
          <w:szCs w:val="24"/>
        </w:rPr>
        <w:t xml:space="preserve"> drew on his lived </w:t>
      </w:r>
      <w:r w:rsidR="00ED1F23" w:rsidRPr="00D032B4">
        <w:rPr>
          <w:rFonts w:cs="Arial"/>
          <w:sz w:val="24"/>
          <w:szCs w:val="24"/>
        </w:rPr>
        <w:t>experience and</w:t>
      </w:r>
      <w:r w:rsidRPr="00D032B4">
        <w:rPr>
          <w:rFonts w:cs="Arial"/>
          <w:sz w:val="24"/>
          <w:szCs w:val="24"/>
        </w:rPr>
        <w:t xml:space="preserve"> described that neither </w:t>
      </w:r>
      <w:r w:rsidR="00544068">
        <w:rPr>
          <w:rFonts w:cs="Arial"/>
          <w:sz w:val="24"/>
          <w:szCs w:val="24"/>
        </w:rPr>
        <w:t>intravenous immunoglobulin</w:t>
      </w:r>
      <w:r w:rsidRPr="00D032B4">
        <w:rPr>
          <w:rFonts w:cs="Arial"/>
          <w:sz w:val="24"/>
          <w:szCs w:val="24"/>
        </w:rPr>
        <w:t xml:space="preserve"> </w:t>
      </w:r>
      <w:r w:rsidR="00ED1F23" w:rsidRPr="00D032B4">
        <w:rPr>
          <w:rFonts w:cs="Arial"/>
          <w:sz w:val="24"/>
          <w:szCs w:val="24"/>
        </w:rPr>
        <w:t>nor</w:t>
      </w:r>
      <w:r w:rsidRPr="00D032B4">
        <w:rPr>
          <w:rFonts w:cs="Arial"/>
          <w:sz w:val="24"/>
          <w:szCs w:val="24"/>
        </w:rPr>
        <w:t xml:space="preserve"> </w:t>
      </w:r>
      <w:r w:rsidR="00544068">
        <w:rPr>
          <w:rFonts w:cs="Arial"/>
          <w:sz w:val="24"/>
          <w:szCs w:val="24"/>
        </w:rPr>
        <w:t>plasma exchange therapy</w:t>
      </w:r>
      <w:r w:rsidRPr="00D032B4">
        <w:rPr>
          <w:rFonts w:cs="Arial"/>
          <w:sz w:val="24"/>
          <w:szCs w:val="24"/>
        </w:rPr>
        <w:t xml:space="preserve"> are treatment options for him anymore because of vein damage. </w:t>
      </w:r>
      <w:r w:rsidR="002063D2">
        <w:rPr>
          <w:rFonts w:cs="Arial"/>
          <w:sz w:val="24"/>
          <w:szCs w:val="24"/>
        </w:rPr>
        <w:t>He</w:t>
      </w:r>
      <w:r w:rsidRPr="00D032B4">
        <w:rPr>
          <w:rFonts w:cs="Arial"/>
          <w:sz w:val="24"/>
          <w:szCs w:val="24"/>
        </w:rPr>
        <w:t xml:space="preserve"> explained that his symptoms are currently managed by efgartigimod, and that he could not go back onto </w:t>
      </w:r>
      <w:r w:rsidR="00544068">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should efgartigimod stop working. </w:t>
      </w:r>
    </w:p>
    <w:p w14:paraId="23A5D2D2" w14:textId="6506ADBA" w:rsidR="005E6107" w:rsidRPr="00D032B4" w:rsidRDefault="005E6107" w:rsidP="005E6107">
      <w:pPr>
        <w:pStyle w:val="Paragraph"/>
        <w:rPr>
          <w:rFonts w:cs="Arial"/>
          <w:sz w:val="24"/>
          <w:szCs w:val="24"/>
        </w:rPr>
      </w:pPr>
      <w:r w:rsidRPr="00D032B4">
        <w:rPr>
          <w:rFonts w:cs="Arial"/>
          <w:sz w:val="24"/>
          <w:szCs w:val="24"/>
        </w:rPr>
        <w:t xml:space="preserve">Alan Moore, for NICE, reiterated </w:t>
      </w:r>
      <w:r w:rsidR="00D02E71">
        <w:rPr>
          <w:rFonts w:cs="Arial"/>
          <w:sz w:val="24"/>
          <w:szCs w:val="24"/>
        </w:rPr>
        <w:t>Dr</w:t>
      </w:r>
      <w:r w:rsidR="00D02E71" w:rsidRPr="00D032B4">
        <w:rPr>
          <w:rFonts w:cs="Arial"/>
          <w:sz w:val="24"/>
          <w:szCs w:val="24"/>
        </w:rPr>
        <w:t xml:space="preserve"> </w:t>
      </w:r>
      <w:r w:rsidRPr="00D032B4">
        <w:rPr>
          <w:rFonts w:cs="Arial"/>
          <w:sz w:val="24"/>
          <w:szCs w:val="24"/>
        </w:rPr>
        <w:t xml:space="preserve">Reddy's statement that the 2015 Guidelines did not inform the model or the cost effectiveness analysis, </w:t>
      </w:r>
      <w:r w:rsidRPr="00D032B4">
        <w:rPr>
          <w:rFonts w:cs="Arial"/>
          <w:sz w:val="24"/>
          <w:szCs w:val="24"/>
        </w:rPr>
        <w:lastRenderedPageBreak/>
        <w:t xml:space="preserve">and so the Committee attributed more weight to clinical expert input than the 2015 Guidelines to reflect current NHS practice. </w:t>
      </w:r>
    </w:p>
    <w:p w14:paraId="2B957DC9" w14:textId="77777777" w:rsidR="005E6107" w:rsidRPr="00D032B4" w:rsidRDefault="005E6107" w:rsidP="005E6107">
      <w:pPr>
        <w:pStyle w:val="Paragraph"/>
        <w:rPr>
          <w:rFonts w:cs="Arial"/>
          <w:sz w:val="24"/>
          <w:szCs w:val="24"/>
        </w:rPr>
      </w:pPr>
      <w:r w:rsidRPr="00D032B4">
        <w:rPr>
          <w:rFonts w:cs="Arial"/>
          <w:sz w:val="24"/>
          <w:szCs w:val="24"/>
        </w:rPr>
        <w:t xml:space="preserve">The Panel asked whether the target population reflected the draft treatment algorithm. Alan Moore explained that the Company refined the target population in line with the EAMS criteria which alleviated some of the Committee's concerns as to the propriety of the target population. He explained that the pathway evolved in time in line with the EAMS data to accurately reflect the refractory population who would go on to receive more targeted treatments. </w:t>
      </w:r>
    </w:p>
    <w:p w14:paraId="2107440A" w14:textId="3C5A3DA3" w:rsidR="005E6107" w:rsidRPr="00D032B4" w:rsidRDefault="005E6107" w:rsidP="005E6107">
      <w:pPr>
        <w:pStyle w:val="Paragraph"/>
        <w:rPr>
          <w:rFonts w:cs="Arial"/>
          <w:sz w:val="24"/>
          <w:szCs w:val="24"/>
        </w:rPr>
      </w:pPr>
      <w:r w:rsidRPr="00D032B4">
        <w:rPr>
          <w:rFonts w:cs="Arial"/>
          <w:sz w:val="24"/>
          <w:szCs w:val="24"/>
        </w:rPr>
        <w:t xml:space="preserve">Sarah Love highlighted that a Ground 2 appeal point requires an appellant to demonstrate that the reasoning in the FDG did not add-up, and (in this case) did not reflect the clinical input which the Committee had received. She noted that </w:t>
      </w:r>
      <w:r w:rsidR="00D02E71">
        <w:rPr>
          <w:rFonts w:cs="Arial"/>
          <w:sz w:val="24"/>
          <w:szCs w:val="24"/>
        </w:rPr>
        <w:t>Dr</w:t>
      </w:r>
      <w:r w:rsidR="00D02E71" w:rsidRPr="00D032B4">
        <w:rPr>
          <w:rFonts w:cs="Arial"/>
          <w:sz w:val="24"/>
          <w:szCs w:val="24"/>
        </w:rPr>
        <w:t xml:space="preserve"> </w:t>
      </w:r>
      <w:r w:rsidRPr="00D032B4">
        <w:rPr>
          <w:rFonts w:cs="Arial"/>
          <w:sz w:val="24"/>
          <w:szCs w:val="24"/>
        </w:rPr>
        <w:t xml:space="preserve">Reddy and Alan Moore had sought to reassure </w:t>
      </w:r>
      <w:proofErr w:type="spellStart"/>
      <w:r w:rsidRPr="00D032B4">
        <w:rPr>
          <w:rFonts w:cs="Arial"/>
          <w:sz w:val="24"/>
          <w:szCs w:val="24"/>
        </w:rPr>
        <w:t>Myaware</w:t>
      </w:r>
      <w:proofErr w:type="spellEnd"/>
      <w:r w:rsidRPr="00D032B4">
        <w:rPr>
          <w:rFonts w:cs="Arial"/>
          <w:sz w:val="24"/>
          <w:szCs w:val="24"/>
        </w:rPr>
        <w:t xml:space="preserve"> that erroneous statements in the FDG (for example in respect of the efficacy of rituximab) were immaterial as they did not impact the cost effectiveness. Sarah Love clarified that although that may be true, that is not explained in the FDG, which consequently does not add-up given the clinical expert input the Committee had received. </w:t>
      </w:r>
    </w:p>
    <w:p w14:paraId="2EC9FA11" w14:textId="3E39A048" w:rsidR="005E6107" w:rsidRPr="00D032B4" w:rsidRDefault="005E6107" w:rsidP="005E6107">
      <w:pPr>
        <w:pStyle w:val="Paragraph"/>
        <w:rPr>
          <w:rFonts w:cs="Arial"/>
          <w:sz w:val="24"/>
          <w:szCs w:val="24"/>
        </w:rPr>
      </w:pPr>
      <w:r w:rsidRPr="00D032B4">
        <w:rPr>
          <w:rFonts w:cs="Arial"/>
          <w:sz w:val="24"/>
          <w:szCs w:val="24"/>
        </w:rPr>
        <w:t xml:space="preserve">Charlotte Campbell, for </w:t>
      </w:r>
      <w:proofErr w:type="spellStart"/>
      <w:r w:rsidRPr="00D032B4">
        <w:rPr>
          <w:rFonts w:cs="Arial"/>
          <w:sz w:val="24"/>
          <w:szCs w:val="24"/>
        </w:rPr>
        <w:t>Myaware</w:t>
      </w:r>
      <w:proofErr w:type="spellEnd"/>
      <w:r w:rsidRPr="00D032B4">
        <w:rPr>
          <w:rFonts w:cs="Arial"/>
          <w:sz w:val="24"/>
          <w:szCs w:val="24"/>
        </w:rPr>
        <w:t xml:space="preserve">, who had been present at all four committee meetings said that no reference was made to the draft treatment algorithm in committee meeting slides, and that she had to prompt discussion of the draft treatment algorithm in the third committee meeting. </w:t>
      </w:r>
      <w:r w:rsidR="00D02E71">
        <w:rPr>
          <w:rFonts w:cs="Arial"/>
          <w:sz w:val="24"/>
          <w:szCs w:val="24"/>
        </w:rPr>
        <w:t>Dr</w:t>
      </w:r>
      <w:r w:rsidR="00D02E71" w:rsidRPr="00D032B4">
        <w:rPr>
          <w:rFonts w:cs="Arial"/>
          <w:sz w:val="24"/>
          <w:szCs w:val="24"/>
        </w:rPr>
        <w:t xml:space="preserve"> </w:t>
      </w:r>
      <w:r w:rsidRPr="00D032B4">
        <w:rPr>
          <w:rFonts w:cs="Arial"/>
          <w:sz w:val="24"/>
          <w:szCs w:val="24"/>
        </w:rPr>
        <w:t xml:space="preserve">Reddy assured </w:t>
      </w:r>
      <w:proofErr w:type="spellStart"/>
      <w:r w:rsidRPr="00D032B4">
        <w:rPr>
          <w:rFonts w:cs="Arial"/>
          <w:sz w:val="24"/>
          <w:szCs w:val="24"/>
        </w:rPr>
        <w:t>Myaware</w:t>
      </w:r>
      <w:proofErr w:type="spellEnd"/>
      <w:r w:rsidRPr="00D032B4">
        <w:rPr>
          <w:rFonts w:cs="Arial"/>
          <w:sz w:val="24"/>
          <w:szCs w:val="24"/>
        </w:rPr>
        <w:t xml:space="preserve"> that the pathway (as set out in the draft treatment algorithm) had been considered in meetings / the FDG. </w:t>
      </w:r>
    </w:p>
    <w:p w14:paraId="158B2E21" w14:textId="1487E418" w:rsidR="005E6107" w:rsidRPr="00D032B4" w:rsidRDefault="005E6107" w:rsidP="005E6107">
      <w:pPr>
        <w:pStyle w:val="Paragraph"/>
        <w:rPr>
          <w:rFonts w:cs="Arial"/>
          <w:sz w:val="24"/>
          <w:szCs w:val="24"/>
        </w:rPr>
      </w:pPr>
      <w:r w:rsidRPr="00D032B4">
        <w:rPr>
          <w:rFonts w:cs="Arial"/>
          <w:sz w:val="24"/>
          <w:szCs w:val="24"/>
        </w:rPr>
        <w:t xml:space="preserve">The Panel asked whether patients would </w:t>
      </w:r>
      <w:r w:rsidR="00ED1F23" w:rsidRPr="00D032B4">
        <w:rPr>
          <w:rFonts w:cs="Arial"/>
          <w:sz w:val="24"/>
          <w:szCs w:val="24"/>
        </w:rPr>
        <w:t>continue</w:t>
      </w:r>
      <w:r w:rsidRPr="00D032B4">
        <w:rPr>
          <w:rFonts w:cs="Arial"/>
          <w:sz w:val="24"/>
          <w:szCs w:val="24"/>
        </w:rPr>
        <w:t xml:space="preserve"> with other treatments (but not </w:t>
      </w:r>
      <w:r w:rsidR="00544068">
        <w:rPr>
          <w:rFonts w:cs="Arial"/>
          <w:sz w:val="24"/>
          <w:szCs w:val="24"/>
        </w:rPr>
        <w:t>intravenous immunoglobulin</w:t>
      </w:r>
      <w:r w:rsidRPr="00D032B4">
        <w:rPr>
          <w:rFonts w:cs="Arial"/>
          <w:sz w:val="24"/>
          <w:szCs w:val="24"/>
        </w:rPr>
        <w:t>/</w:t>
      </w:r>
      <w:r w:rsidR="00544068">
        <w:rPr>
          <w:rFonts w:cs="Arial"/>
          <w:sz w:val="24"/>
          <w:szCs w:val="24"/>
        </w:rPr>
        <w:t>plasma exchange therapy</w:t>
      </w:r>
      <w:r w:rsidRPr="00D032B4">
        <w:rPr>
          <w:rFonts w:cs="Arial"/>
          <w:sz w:val="24"/>
          <w:szCs w:val="24"/>
        </w:rPr>
        <w:t xml:space="preserve">) alongside efgartigimod. </w:t>
      </w:r>
      <w:r w:rsidR="00D02E71">
        <w:rPr>
          <w:rFonts w:cs="Arial"/>
          <w:sz w:val="24"/>
          <w:szCs w:val="24"/>
        </w:rPr>
        <w:t>Dr</w:t>
      </w:r>
      <w:r w:rsidR="00D02E71" w:rsidRPr="00D032B4">
        <w:rPr>
          <w:rFonts w:cs="Arial"/>
          <w:sz w:val="24"/>
          <w:szCs w:val="24"/>
        </w:rPr>
        <w:t xml:space="preserve"> </w:t>
      </w:r>
      <w:r w:rsidRPr="00D032B4">
        <w:rPr>
          <w:rFonts w:cs="Arial"/>
          <w:sz w:val="24"/>
          <w:szCs w:val="24"/>
        </w:rPr>
        <w:t xml:space="preserve">Spillane explained that </w:t>
      </w:r>
      <w:r w:rsidRPr="00D032B4">
        <w:rPr>
          <w:rFonts w:cs="Arial"/>
          <w:sz w:val="24"/>
          <w:szCs w:val="24"/>
        </w:rPr>
        <w:lastRenderedPageBreak/>
        <w:t xml:space="preserve">efgartigimod allows for the reduction of other treatments, including steroids. Steroid reduction is an indicator of successful treatment with efgartigimod. She explained that if efgartigimod was successful, steroids would be reduced first, then immunosuppressant would be reduced, and then only if outcomes remained positive, the clinician would consider increasing the intervals between treatment cycles. She explained that if a patient's condition does not allow for steroid reduction while on efgartigimod, she would consider stopping treatment with efgartigimod as it is an indicator that efgartigimod is not working (as reducing steroids is a key outcome). </w:t>
      </w:r>
    </w:p>
    <w:p w14:paraId="17755433" w14:textId="1CA1A484" w:rsidR="005E6107" w:rsidRPr="00D032B4" w:rsidRDefault="005E6107" w:rsidP="005E6107">
      <w:pPr>
        <w:pStyle w:val="Paragraph"/>
        <w:rPr>
          <w:rFonts w:cs="Arial"/>
          <w:sz w:val="24"/>
          <w:szCs w:val="24"/>
        </w:rPr>
      </w:pPr>
      <w:r w:rsidRPr="00D032B4">
        <w:rPr>
          <w:rFonts w:cs="Arial"/>
          <w:sz w:val="24"/>
          <w:szCs w:val="24"/>
        </w:rPr>
        <w:t xml:space="preserve">The Panel asked whether the modelling inputs changed at each committee meeting, given the change in the proposed treatment pathway in each meeting. </w:t>
      </w:r>
      <w:r w:rsidR="00D02E71">
        <w:rPr>
          <w:rFonts w:cs="Arial"/>
          <w:sz w:val="24"/>
          <w:szCs w:val="24"/>
        </w:rPr>
        <w:t>Dr</w:t>
      </w:r>
      <w:r w:rsidR="00D02E71" w:rsidRPr="00D032B4">
        <w:rPr>
          <w:rFonts w:cs="Arial"/>
          <w:sz w:val="24"/>
          <w:szCs w:val="24"/>
        </w:rPr>
        <w:t xml:space="preserve"> </w:t>
      </w:r>
      <w:r w:rsidRPr="00D032B4">
        <w:rPr>
          <w:rFonts w:cs="Arial"/>
          <w:sz w:val="24"/>
          <w:szCs w:val="24"/>
        </w:rPr>
        <w:t xml:space="preserve">Spillane explained that clinical practice has not changed, but that confidence in using efgartigimod has grown over time which has enabled better steroid reduction. </w:t>
      </w:r>
      <w:r w:rsidR="00D02E71">
        <w:rPr>
          <w:rFonts w:cs="Arial"/>
          <w:sz w:val="24"/>
          <w:szCs w:val="24"/>
        </w:rPr>
        <w:t>Dr</w:t>
      </w:r>
      <w:r w:rsidR="001955C4">
        <w:rPr>
          <w:rFonts w:cs="Arial"/>
          <w:sz w:val="24"/>
          <w:szCs w:val="24"/>
        </w:rPr>
        <w:t xml:space="preserve"> </w:t>
      </w:r>
      <w:r w:rsidRPr="00D032B4">
        <w:rPr>
          <w:rFonts w:cs="Arial"/>
          <w:sz w:val="24"/>
          <w:szCs w:val="24"/>
        </w:rPr>
        <w:t xml:space="preserve">Reddy confirmed that the clinical pathways had not changed. </w:t>
      </w:r>
    </w:p>
    <w:p w14:paraId="0B2BE273" w14:textId="5A596928" w:rsidR="005E6107" w:rsidRPr="00D032B4" w:rsidRDefault="005E6107" w:rsidP="005E6107">
      <w:pPr>
        <w:pStyle w:val="Paragraph"/>
        <w:rPr>
          <w:rFonts w:cs="Arial"/>
          <w:sz w:val="24"/>
          <w:szCs w:val="24"/>
        </w:rPr>
      </w:pPr>
      <w:r w:rsidRPr="00D032B4">
        <w:rPr>
          <w:rFonts w:cs="Arial"/>
          <w:sz w:val="24"/>
          <w:szCs w:val="24"/>
        </w:rPr>
        <w:t xml:space="preserve">The Panel asked what options are available to patients who do not respond to efgartigimod. </w:t>
      </w:r>
      <w:r w:rsidR="00D02E71">
        <w:rPr>
          <w:rFonts w:cs="Arial"/>
          <w:sz w:val="24"/>
          <w:szCs w:val="24"/>
        </w:rPr>
        <w:t>Dr</w:t>
      </w:r>
      <w:r w:rsidR="00D02E71" w:rsidRPr="00D032B4">
        <w:rPr>
          <w:rFonts w:cs="Arial"/>
          <w:sz w:val="24"/>
          <w:szCs w:val="24"/>
        </w:rPr>
        <w:t xml:space="preserve"> </w:t>
      </w:r>
      <w:r w:rsidRPr="00D032B4">
        <w:rPr>
          <w:rFonts w:cs="Arial"/>
          <w:sz w:val="24"/>
          <w:szCs w:val="24"/>
        </w:rPr>
        <w:t xml:space="preserve">Spillane explained that a higher dose of steroids, </w:t>
      </w:r>
      <w:r w:rsidR="00544068">
        <w:rPr>
          <w:rFonts w:cs="Arial"/>
          <w:sz w:val="24"/>
          <w:szCs w:val="24"/>
        </w:rPr>
        <w:t>intravenous immunoglobulin</w:t>
      </w:r>
      <w:r w:rsidRPr="00D032B4">
        <w:rPr>
          <w:rFonts w:cs="Arial"/>
          <w:sz w:val="24"/>
          <w:szCs w:val="24"/>
        </w:rPr>
        <w:t xml:space="preserve"> or </w:t>
      </w:r>
      <w:r w:rsidR="00544068">
        <w:rPr>
          <w:rFonts w:cs="Arial"/>
          <w:sz w:val="24"/>
          <w:szCs w:val="24"/>
        </w:rPr>
        <w:t>plasma exchange therapy</w:t>
      </w:r>
      <w:r w:rsidRPr="00D032B4">
        <w:rPr>
          <w:rFonts w:cs="Arial"/>
          <w:sz w:val="24"/>
          <w:szCs w:val="24"/>
        </w:rPr>
        <w:t xml:space="preserve"> would be considered. Over and above that, rare treatments would be considered which would require national discussion. She reminded the Panel of the mortality association with myasthenic crisis. Drawing on his lived experience, Andrew Stephenson noted that a stem cell transplant had been discussed as an option for him in the future should efgartigimod fail (given that neither </w:t>
      </w:r>
      <w:r w:rsidR="00544068">
        <w:rPr>
          <w:rFonts w:cs="Arial"/>
          <w:sz w:val="24"/>
          <w:szCs w:val="24"/>
        </w:rPr>
        <w:t>intravenous immunoglobulin</w:t>
      </w:r>
      <w:r w:rsidRPr="00D032B4">
        <w:rPr>
          <w:rFonts w:cs="Arial"/>
          <w:sz w:val="24"/>
          <w:szCs w:val="24"/>
        </w:rPr>
        <w:t xml:space="preserve"> </w:t>
      </w:r>
      <w:r w:rsidR="00634957">
        <w:rPr>
          <w:rFonts w:cs="Arial"/>
          <w:sz w:val="24"/>
          <w:szCs w:val="24"/>
        </w:rPr>
        <w:t>n</w:t>
      </w:r>
      <w:r w:rsidRPr="00D032B4">
        <w:rPr>
          <w:rFonts w:cs="Arial"/>
          <w:sz w:val="24"/>
          <w:szCs w:val="24"/>
        </w:rPr>
        <w:t xml:space="preserve">or </w:t>
      </w:r>
      <w:r w:rsidR="00544068">
        <w:rPr>
          <w:rFonts w:cs="Arial"/>
          <w:sz w:val="24"/>
          <w:szCs w:val="24"/>
        </w:rPr>
        <w:t>plasma exchange therapy</w:t>
      </w:r>
      <w:r w:rsidRPr="00D032B4">
        <w:rPr>
          <w:rFonts w:cs="Arial"/>
          <w:sz w:val="24"/>
          <w:szCs w:val="24"/>
        </w:rPr>
        <w:t xml:space="preserve"> are available to him). </w:t>
      </w:r>
    </w:p>
    <w:p w14:paraId="38E6ACAE" w14:textId="79E37AD7" w:rsidR="007C20A6" w:rsidRPr="00D032B4" w:rsidRDefault="007C20A6" w:rsidP="007C20A6">
      <w:pPr>
        <w:pStyle w:val="Paragraph"/>
        <w:rPr>
          <w:rFonts w:cs="Arial"/>
          <w:sz w:val="24"/>
          <w:szCs w:val="24"/>
        </w:rPr>
      </w:pPr>
      <w:r w:rsidRPr="00D032B4">
        <w:rPr>
          <w:rFonts w:cs="Arial"/>
          <w:sz w:val="24"/>
          <w:szCs w:val="24"/>
        </w:rPr>
        <w:t>The Appeal Panel concluded as follows</w:t>
      </w:r>
      <w:r w:rsidR="0074228C">
        <w:rPr>
          <w:rFonts w:cs="Arial"/>
          <w:sz w:val="24"/>
          <w:szCs w:val="24"/>
        </w:rPr>
        <w:t>.</w:t>
      </w:r>
      <w:r w:rsidR="0074228C" w:rsidRPr="00D032B4">
        <w:rPr>
          <w:rFonts w:cs="Arial"/>
          <w:sz w:val="24"/>
          <w:szCs w:val="24"/>
        </w:rPr>
        <w:t xml:space="preserve"> </w:t>
      </w:r>
      <w:r w:rsidR="0074228C">
        <w:rPr>
          <w:rFonts w:cs="Arial"/>
          <w:sz w:val="24"/>
          <w:szCs w:val="24"/>
        </w:rPr>
        <w:t>T</w:t>
      </w:r>
      <w:r w:rsidRPr="00D032B4">
        <w:rPr>
          <w:rFonts w:cs="Arial"/>
          <w:sz w:val="24"/>
          <w:szCs w:val="24"/>
        </w:rPr>
        <w:t xml:space="preserve">he Panel were satisfied that the </w:t>
      </w:r>
      <w:r w:rsidR="00E82785">
        <w:rPr>
          <w:rFonts w:cs="Arial"/>
          <w:sz w:val="24"/>
          <w:szCs w:val="24"/>
        </w:rPr>
        <w:t>C</w:t>
      </w:r>
      <w:r w:rsidRPr="00D032B4">
        <w:rPr>
          <w:rFonts w:cs="Arial"/>
          <w:sz w:val="24"/>
          <w:szCs w:val="24"/>
        </w:rPr>
        <w:t xml:space="preserve">ommittee had recognised in section 3.2 of the FDG that the 2015 Guidelines were outdated and did not accurately reflect current clinical practice. The Panel was also persuaded that the updated but </w:t>
      </w:r>
      <w:r w:rsidRPr="00D032B4">
        <w:rPr>
          <w:rFonts w:cs="Arial"/>
          <w:sz w:val="24"/>
          <w:szCs w:val="24"/>
        </w:rPr>
        <w:lastRenderedPageBreak/>
        <w:t xml:space="preserve">unpublished ABN </w:t>
      </w:r>
      <w:r w:rsidR="00222A9C" w:rsidRPr="00D032B4">
        <w:rPr>
          <w:rFonts w:cs="Arial"/>
          <w:sz w:val="24"/>
          <w:szCs w:val="24"/>
        </w:rPr>
        <w:t xml:space="preserve">draft </w:t>
      </w:r>
      <w:r w:rsidRPr="00D032B4">
        <w:rPr>
          <w:rFonts w:cs="Arial"/>
          <w:sz w:val="24"/>
          <w:szCs w:val="24"/>
        </w:rPr>
        <w:t xml:space="preserve">treatment algorithm that was submitted to NICE in academic confidence had been carefully considered by the </w:t>
      </w:r>
      <w:r w:rsidR="00222A9C" w:rsidRPr="00D032B4">
        <w:rPr>
          <w:rFonts w:cs="Arial"/>
          <w:sz w:val="24"/>
          <w:szCs w:val="24"/>
        </w:rPr>
        <w:t>C</w:t>
      </w:r>
      <w:r w:rsidRPr="00D032B4">
        <w:rPr>
          <w:rFonts w:cs="Arial"/>
          <w:sz w:val="24"/>
          <w:szCs w:val="24"/>
        </w:rPr>
        <w:t xml:space="preserve">ommittee in their decision-making in the </w:t>
      </w:r>
      <w:r w:rsidR="00222A9C" w:rsidRPr="00D032B4">
        <w:rPr>
          <w:rFonts w:cs="Arial"/>
          <w:sz w:val="24"/>
          <w:szCs w:val="24"/>
        </w:rPr>
        <w:t>third</w:t>
      </w:r>
      <w:r w:rsidRPr="00D032B4">
        <w:rPr>
          <w:rFonts w:cs="Arial"/>
          <w:sz w:val="24"/>
          <w:szCs w:val="24"/>
        </w:rPr>
        <w:t xml:space="preserve"> committee meeting, but that they were unable to pay reference to this in the FDG because of confidentiality restrictions.  Furthermore,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heard evidence that data from the EAMS database, </w:t>
      </w:r>
      <w:r w:rsidR="00ED1F23" w:rsidRPr="00D032B4">
        <w:rPr>
          <w:rFonts w:cs="Arial"/>
          <w:sz w:val="24"/>
          <w:szCs w:val="24"/>
        </w:rPr>
        <w:t>which</w:t>
      </w:r>
      <w:r w:rsidRPr="00D032B4">
        <w:rPr>
          <w:rFonts w:cs="Arial"/>
          <w:sz w:val="24"/>
          <w:szCs w:val="24"/>
        </w:rPr>
        <w:t xml:space="preserve"> reflected the use of </w:t>
      </w:r>
      <w:r w:rsidR="0074228C">
        <w:rPr>
          <w:rFonts w:cs="Arial"/>
          <w:sz w:val="24"/>
          <w:szCs w:val="24"/>
        </w:rPr>
        <w:t>e</w:t>
      </w:r>
      <w:r w:rsidR="0074228C" w:rsidRPr="00D032B4">
        <w:rPr>
          <w:rFonts w:cs="Arial"/>
          <w:sz w:val="24"/>
          <w:szCs w:val="24"/>
        </w:rPr>
        <w:t>fga</w:t>
      </w:r>
      <w:r w:rsidR="0074228C">
        <w:rPr>
          <w:rFonts w:cs="Arial"/>
          <w:sz w:val="24"/>
          <w:szCs w:val="24"/>
        </w:rPr>
        <w:t>r</w:t>
      </w:r>
      <w:r w:rsidR="0074228C" w:rsidRPr="00D032B4">
        <w:rPr>
          <w:rFonts w:cs="Arial"/>
          <w:sz w:val="24"/>
          <w:szCs w:val="24"/>
        </w:rPr>
        <w:t xml:space="preserve">tigimod </w:t>
      </w:r>
      <w:r w:rsidRPr="00D032B4">
        <w:rPr>
          <w:rFonts w:cs="Arial"/>
          <w:sz w:val="24"/>
          <w:szCs w:val="24"/>
        </w:rPr>
        <w:t xml:space="preserve">and other treatment modalities for </w:t>
      </w:r>
      <w:r w:rsidR="00544068">
        <w:rPr>
          <w:rFonts w:cs="Arial"/>
          <w:sz w:val="24"/>
          <w:szCs w:val="24"/>
        </w:rPr>
        <w:t>generalised myasthenia gravis</w:t>
      </w:r>
      <w:r w:rsidRPr="00D032B4">
        <w:rPr>
          <w:rFonts w:cs="Arial"/>
          <w:sz w:val="24"/>
          <w:szCs w:val="24"/>
        </w:rPr>
        <w:t xml:space="preserve"> within contemporary NHS clinical practice, had also been considered by the </w:t>
      </w:r>
      <w:r w:rsidR="0074228C">
        <w:rPr>
          <w:rFonts w:cs="Arial"/>
          <w:sz w:val="24"/>
          <w:szCs w:val="24"/>
        </w:rPr>
        <w:t>C</w:t>
      </w:r>
      <w:r w:rsidR="0074228C" w:rsidRPr="00D032B4">
        <w:rPr>
          <w:rFonts w:cs="Arial"/>
          <w:sz w:val="24"/>
          <w:szCs w:val="24"/>
        </w:rPr>
        <w:t xml:space="preserve">ommittee </w:t>
      </w:r>
      <w:r w:rsidRPr="00D032B4">
        <w:rPr>
          <w:rFonts w:cs="Arial"/>
          <w:sz w:val="24"/>
          <w:szCs w:val="24"/>
        </w:rPr>
        <w:t xml:space="preserve">in their decision-making.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were convinced that the target population that was considered by the </w:t>
      </w:r>
      <w:r w:rsidR="0074228C">
        <w:rPr>
          <w:rFonts w:cs="Arial"/>
          <w:sz w:val="24"/>
          <w:szCs w:val="24"/>
        </w:rPr>
        <w:t>C</w:t>
      </w:r>
      <w:r w:rsidR="0074228C" w:rsidRPr="00D032B4">
        <w:rPr>
          <w:rFonts w:cs="Arial"/>
          <w:sz w:val="24"/>
          <w:szCs w:val="24"/>
        </w:rPr>
        <w:t xml:space="preserve">ompany </w:t>
      </w:r>
      <w:r w:rsidRPr="00D032B4">
        <w:rPr>
          <w:rFonts w:cs="Arial"/>
          <w:sz w:val="24"/>
          <w:szCs w:val="24"/>
        </w:rPr>
        <w:t xml:space="preserve">and the </w:t>
      </w:r>
      <w:r w:rsidR="0074228C">
        <w:rPr>
          <w:rFonts w:cs="Arial"/>
          <w:sz w:val="24"/>
          <w:szCs w:val="24"/>
        </w:rPr>
        <w:t>C</w:t>
      </w:r>
      <w:r w:rsidR="0074228C" w:rsidRPr="00D032B4">
        <w:rPr>
          <w:rFonts w:cs="Arial"/>
          <w:sz w:val="24"/>
          <w:szCs w:val="24"/>
        </w:rPr>
        <w:t xml:space="preserve">ommittee </w:t>
      </w:r>
      <w:r w:rsidRPr="00D032B4">
        <w:rPr>
          <w:rFonts w:cs="Arial"/>
          <w:sz w:val="24"/>
          <w:szCs w:val="24"/>
        </w:rPr>
        <w:t xml:space="preserve">in this appraisal aligned with the updated treatment algorithm and noted that </w:t>
      </w:r>
      <w:r w:rsidR="009D65E7">
        <w:rPr>
          <w:rFonts w:cs="Arial"/>
          <w:sz w:val="24"/>
          <w:szCs w:val="24"/>
        </w:rPr>
        <w:t>“</w:t>
      </w:r>
      <w:r w:rsidRPr="00D032B4">
        <w:rPr>
          <w:rFonts w:cs="Arial"/>
          <w:sz w:val="24"/>
          <w:szCs w:val="24"/>
        </w:rPr>
        <w:t>rescue</w:t>
      </w:r>
      <w:r w:rsidR="009D65E7">
        <w:rPr>
          <w:rFonts w:cs="Arial"/>
          <w:sz w:val="24"/>
          <w:szCs w:val="24"/>
        </w:rPr>
        <w:t>”</w:t>
      </w:r>
      <w:r w:rsidRPr="00D032B4">
        <w:rPr>
          <w:rFonts w:cs="Arial"/>
          <w:sz w:val="24"/>
          <w:szCs w:val="24"/>
        </w:rPr>
        <w:t xml:space="preserve"> treatments for </w:t>
      </w:r>
      <w:r w:rsidR="00544068">
        <w:rPr>
          <w:rFonts w:cs="Arial"/>
          <w:sz w:val="24"/>
          <w:szCs w:val="24"/>
        </w:rPr>
        <w:t>generalised myasthenia gravis</w:t>
      </w:r>
      <w:r w:rsidRPr="00D032B4">
        <w:rPr>
          <w:rFonts w:cs="Arial"/>
          <w:sz w:val="24"/>
          <w:szCs w:val="24"/>
        </w:rPr>
        <w:t xml:space="preserve">, including </w:t>
      </w:r>
      <w:r w:rsidR="00544068">
        <w:rPr>
          <w:rFonts w:cs="Arial"/>
          <w:sz w:val="24"/>
          <w:szCs w:val="24"/>
        </w:rPr>
        <w:t>intravenous immunoglobulin</w:t>
      </w:r>
      <w:r w:rsidR="0074228C">
        <w:rPr>
          <w:rFonts w:cs="Arial"/>
          <w:sz w:val="24"/>
          <w:szCs w:val="24"/>
        </w:rPr>
        <w:t xml:space="preserve"> and </w:t>
      </w:r>
      <w:r w:rsidR="00544068">
        <w:rPr>
          <w:rFonts w:cs="Arial"/>
          <w:sz w:val="24"/>
          <w:szCs w:val="24"/>
        </w:rPr>
        <w:t>plasma exchange therapy</w:t>
      </w:r>
      <w:r w:rsidRPr="00D032B4">
        <w:rPr>
          <w:rFonts w:cs="Arial"/>
          <w:sz w:val="24"/>
          <w:szCs w:val="24"/>
        </w:rPr>
        <w:t xml:space="preserve">, that had not been included in the </w:t>
      </w:r>
      <w:r w:rsidR="0074228C">
        <w:rPr>
          <w:rFonts w:cs="Arial"/>
          <w:sz w:val="24"/>
          <w:szCs w:val="24"/>
        </w:rPr>
        <w:t>2015 Guidelines</w:t>
      </w:r>
      <w:r w:rsidRPr="00D032B4">
        <w:rPr>
          <w:rFonts w:cs="Arial"/>
          <w:sz w:val="24"/>
          <w:szCs w:val="24"/>
        </w:rPr>
        <w:t xml:space="preserve">, had featured in the consideration and decision-making of the </w:t>
      </w:r>
      <w:r w:rsidR="0074228C">
        <w:rPr>
          <w:rFonts w:cs="Arial"/>
          <w:sz w:val="24"/>
          <w:szCs w:val="24"/>
        </w:rPr>
        <w:t>C</w:t>
      </w:r>
      <w:r w:rsidR="0074228C" w:rsidRPr="00D032B4">
        <w:rPr>
          <w:rFonts w:cs="Arial"/>
          <w:sz w:val="24"/>
          <w:szCs w:val="24"/>
        </w:rPr>
        <w:t>ommittee</w:t>
      </w:r>
      <w:r w:rsidRPr="00D032B4">
        <w:rPr>
          <w:rFonts w:cs="Arial"/>
          <w:sz w:val="24"/>
          <w:szCs w:val="24"/>
        </w:rPr>
        <w:t xml:space="preserve">.  In this regard,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concluded that the </w:t>
      </w:r>
      <w:r w:rsidR="0074228C">
        <w:rPr>
          <w:rFonts w:cs="Arial"/>
          <w:sz w:val="24"/>
          <w:szCs w:val="24"/>
        </w:rPr>
        <w:t>C</w:t>
      </w:r>
      <w:r w:rsidR="0074228C" w:rsidRPr="00D032B4">
        <w:rPr>
          <w:rFonts w:cs="Arial"/>
          <w:sz w:val="24"/>
          <w:szCs w:val="24"/>
        </w:rPr>
        <w:t xml:space="preserve">ommittee </w:t>
      </w:r>
      <w:r w:rsidRPr="00D032B4">
        <w:rPr>
          <w:rFonts w:cs="Arial"/>
          <w:sz w:val="24"/>
          <w:szCs w:val="24"/>
        </w:rPr>
        <w:t xml:space="preserve">had taken account </w:t>
      </w:r>
      <w:r w:rsidR="0005491F">
        <w:rPr>
          <w:rFonts w:cs="Arial"/>
          <w:sz w:val="24"/>
          <w:szCs w:val="24"/>
        </w:rPr>
        <w:t xml:space="preserve">of </w:t>
      </w:r>
      <w:r w:rsidRPr="00D032B4">
        <w:rPr>
          <w:rFonts w:cs="Arial"/>
          <w:sz w:val="24"/>
          <w:szCs w:val="24"/>
        </w:rPr>
        <w:t xml:space="preserve">advice from clinical experts that these treatments feature as important components of the current clinical pathway, even though they are unlicensed for use in </w:t>
      </w:r>
      <w:r w:rsidR="00544068">
        <w:rPr>
          <w:rFonts w:cs="Arial"/>
          <w:sz w:val="24"/>
          <w:szCs w:val="24"/>
        </w:rPr>
        <w:t>generalised myasthenia gravis</w:t>
      </w:r>
      <w:r w:rsidRPr="00D032B4">
        <w:rPr>
          <w:rFonts w:cs="Arial"/>
          <w:sz w:val="24"/>
          <w:szCs w:val="24"/>
        </w:rPr>
        <w:t xml:space="preserve">, and that they had been considered in the </w:t>
      </w:r>
      <w:r w:rsidR="0074228C">
        <w:rPr>
          <w:rFonts w:cs="Arial"/>
          <w:sz w:val="24"/>
          <w:szCs w:val="24"/>
        </w:rPr>
        <w:t>C</w:t>
      </w:r>
      <w:r w:rsidR="0074228C" w:rsidRPr="00D032B4">
        <w:rPr>
          <w:rFonts w:cs="Arial"/>
          <w:sz w:val="24"/>
          <w:szCs w:val="24"/>
        </w:rPr>
        <w:t xml:space="preserve">ommittee's </w:t>
      </w:r>
      <w:r w:rsidRPr="00D032B4">
        <w:rPr>
          <w:rFonts w:cs="Arial"/>
          <w:sz w:val="24"/>
          <w:szCs w:val="24"/>
        </w:rPr>
        <w:t xml:space="preserve">preferred assumptions to inform the cost effectiveness modelling. Overall,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concluded that the </w:t>
      </w:r>
      <w:r w:rsidR="0074228C">
        <w:rPr>
          <w:rFonts w:cs="Arial"/>
          <w:sz w:val="24"/>
          <w:szCs w:val="24"/>
        </w:rPr>
        <w:t>C</w:t>
      </w:r>
      <w:r w:rsidR="0074228C" w:rsidRPr="00D032B4">
        <w:rPr>
          <w:rFonts w:cs="Arial"/>
          <w:sz w:val="24"/>
          <w:szCs w:val="24"/>
        </w:rPr>
        <w:t xml:space="preserve">ommittee </w:t>
      </w:r>
      <w:r w:rsidRPr="00D032B4">
        <w:rPr>
          <w:rFonts w:cs="Arial"/>
          <w:sz w:val="24"/>
          <w:szCs w:val="24"/>
        </w:rPr>
        <w:t xml:space="preserve">had not favoured the </w:t>
      </w:r>
      <w:r w:rsidR="0074228C">
        <w:rPr>
          <w:rFonts w:cs="Arial"/>
          <w:sz w:val="24"/>
          <w:szCs w:val="24"/>
        </w:rPr>
        <w:t>2015 Guidelines</w:t>
      </w:r>
      <w:r w:rsidRPr="00D032B4">
        <w:rPr>
          <w:rFonts w:cs="Arial"/>
          <w:sz w:val="24"/>
          <w:szCs w:val="24"/>
        </w:rPr>
        <w:t xml:space="preserve"> over and above the input of clinical experts </w:t>
      </w:r>
      <w:r w:rsidR="00ED1F23" w:rsidRPr="00D032B4">
        <w:rPr>
          <w:rFonts w:cs="Arial"/>
          <w:sz w:val="24"/>
          <w:szCs w:val="24"/>
        </w:rPr>
        <w:t>regarding</w:t>
      </w:r>
      <w:r w:rsidRPr="00D032B4">
        <w:rPr>
          <w:rFonts w:cs="Arial"/>
          <w:sz w:val="24"/>
          <w:szCs w:val="24"/>
        </w:rPr>
        <w:t xml:space="preserve"> current clinical practice and were satisfied that their consideration of expert advice in this regard had been reasonable</w:t>
      </w:r>
      <w:r w:rsidR="00F75061" w:rsidRPr="00D032B4">
        <w:rPr>
          <w:rFonts w:cs="Arial"/>
          <w:sz w:val="24"/>
          <w:szCs w:val="24"/>
        </w:rPr>
        <w:t xml:space="preserve">. </w:t>
      </w:r>
    </w:p>
    <w:p w14:paraId="4280D0D0" w14:textId="39E42466" w:rsidR="007C20A6" w:rsidRPr="00D032B4" w:rsidRDefault="007C20A6" w:rsidP="0074228C">
      <w:pPr>
        <w:pStyle w:val="Paragraph"/>
        <w:rPr>
          <w:rFonts w:cs="Arial"/>
          <w:sz w:val="24"/>
          <w:szCs w:val="24"/>
        </w:rPr>
      </w:pPr>
      <w:r w:rsidRPr="00D032B4">
        <w:rPr>
          <w:rFonts w:cs="Arial"/>
          <w:sz w:val="24"/>
          <w:szCs w:val="24"/>
        </w:rPr>
        <w:t xml:space="preserve">The </w:t>
      </w:r>
      <w:r w:rsidR="0074228C">
        <w:rPr>
          <w:rFonts w:cs="Arial"/>
          <w:sz w:val="24"/>
          <w:szCs w:val="24"/>
        </w:rPr>
        <w:t>A</w:t>
      </w:r>
      <w:r w:rsidR="0074228C" w:rsidRPr="00D032B4">
        <w:rPr>
          <w:rFonts w:cs="Arial"/>
          <w:sz w:val="24"/>
          <w:szCs w:val="24"/>
        </w:rPr>
        <w:t xml:space="preserve">ppeal </w:t>
      </w:r>
      <w:r w:rsidR="0074228C">
        <w:rPr>
          <w:rFonts w:cs="Arial"/>
          <w:sz w:val="24"/>
          <w:szCs w:val="24"/>
        </w:rPr>
        <w:t>P</w:t>
      </w:r>
      <w:r w:rsidR="0074228C" w:rsidRPr="00D032B4">
        <w:rPr>
          <w:rFonts w:cs="Arial"/>
          <w:sz w:val="24"/>
          <w:szCs w:val="24"/>
        </w:rPr>
        <w:t xml:space="preserve">anel </w:t>
      </w:r>
      <w:r w:rsidRPr="00D032B4">
        <w:rPr>
          <w:rFonts w:cs="Arial"/>
          <w:sz w:val="24"/>
          <w:szCs w:val="24"/>
        </w:rPr>
        <w:t>therefore dismissed the appeal on this point.</w:t>
      </w:r>
    </w:p>
    <w:p w14:paraId="62D78ECE" w14:textId="39F981F4" w:rsidR="007C20A6" w:rsidRPr="00D032B4" w:rsidRDefault="007C20A6" w:rsidP="007C20A6">
      <w:pPr>
        <w:pStyle w:val="Paragraph"/>
        <w:rPr>
          <w:rFonts w:cs="Arial"/>
          <w:sz w:val="24"/>
          <w:szCs w:val="24"/>
        </w:rPr>
      </w:pPr>
      <w:r w:rsidRPr="00D032B4">
        <w:rPr>
          <w:rFonts w:cs="Arial"/>
          <w:sz w:val="24"/>
          <w:szCs w:val="24"/>
        </w:rPr>
        <w:t xml:space="preserve">The </w:t>
      </w:r>
      <w:r w:rsidR="0074228C">
        <w:rPr>
          <w:rFonts w:cs="Arial"/>
          <w:sz w:val="24"/>
          <w:szCs w:val="24"/>
        </w:rPr>
        <w:t>A</w:t>
      </w:r>
      <w:r w:rsidR="0074228C" w:rsidRPr="00D032B4">
        <w:rPr>
          <w:rFonts w:cs="Arial"/>
          <w:sz w:val="24"/>
          <w:szCs w:val="24"/>
        </w:rPr>
        <w:t xml:space="preserve">ppeal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noted comments in the hearing from clinical experts representing </w:t>
      </w:r>
      <w:proofErr w:type="spellStart"/>
      <w:r w:rsidRPr="00D032B4">
        <w:rPr>
          <w:rFonts w:cs="Arial"/>
          <w:sz w:val="24"/>
          <w:szCs w:val="24"/>
        </w:rPr>
        <w:t>Myaware</w:t>
      </w:r>
      <w:proofErr w:type="spellEnd"/>
      <w:r w:rsidRPr="00D032B4">
        <w:rPr>
          <w:rFonts w:cs="Arial"/>
          <w:sz w:val="24"/>
          <w:szCs w:val="24"/>
        </w:rPr>
        <w:t xml:space="preserve"> that, in their opinion, the statement in section 3.2 of the FDG </w:t>
      </w:r>
      <w:r w:rsidR="00ED1F23" w:rsidRPr="00D032B4">
        <w:rPr>
          <w:rFonts w:cs="Arial"/>
          <w:sz w:val="24"/>
          <w:szCs w:val="24"/>
        </w:rPr>
        <w:t>regarding</w:t>
      </w:r>
      <w:r w:rsidRPr="00D032B4">
        <w:rPr>
          <w:rFonts w:cs="Arial"/>
          <w:sz w:val="24"/>
          <w:szCs w:val="24"/>
        </w:rPr>
        <w:t xml:space="preserve"> NHS England considering rituximab </w:t>
      </w:r>
      <w:r w:rsidRPr="00D032B4">
        <w:rPr>
          <w:rFonts w:cs="Arial"/>
          <w:sz w:val="24"/>
          <w:szCs w:val="24"/>
        </w:rPr>
        <w:lastRenderedPageBreak/>
        <w:t xml:space="preserve">as an alternative treatment to </w:t>
      </w:r>
      <w:r w:rsidR="00544068">
        <w:rPr>
          <w:rFonts w:cs="Arial"/>
          <w:sz w:val="24"/>
          <w:szCs w:val="24"/>
        </w:rPr>
        <w:t>intravenous immunoglobulin</w:t>
      </w:r>
      <w:r w:rsidRPr="00D032B4">
        <w:rPr>
          <w:rFonts w:cs="Arial"/>
          <w:sz w:val="24"/>
          <w:szCs w:val="24"/>
        </w:rPr>
        <w:t xml:space="preserve"> is misleading</w:t>
      </w:r>
      <w:r w:rsidR="00ED1F23" w:rsidRPr="00D032B4">
        <w:rPr>
          <w:rFonts w:cs="Arial"/>
          <w:sz w:val="24"/>
          <w:szCs w:val="24"/>
        </w:rPr>
        <w:t xml:space="preserve">. </w:t>
      </w:r>
      <w:r w:rsidRPr="00D032B4">
        <w:rPr>
          <w:rFonts w:cs="Arial"/>
          <w:sz w:val="24"/>
          <w:szCs w:val="24"/>
        </w:rPr>
        <w:t xml:space="preserve">They outlined that </w:t>
      </w:r>
      <w:r w:rsidR="0074228C" w:rsidRPr="00D032B4">
        <w:rPr>
          <w:rFonts w:cs="Arial"/>
          <w:sz w:val="24"/>
          <w:szCs w:val="24"/>
        </w:rPr>
        <w:t>rituximab</w:t>
      </w:r>
      <w:r w:rsidRPr="00D032B4">
        <w:rPr>
          <w:rFonts w:cs="Arial"/>
          <w:sz w:val="24"/>
          <w:szCs w:val="24"/>
        </w:rPr>
        <w:t xml:space="preserve"> is not regarded by expert clinicians as a replacement for </w:t>
      </w:r>
      <w:r w:rsidR="00544068">
        <w:rPr>
          <w:rFonts w:cs="Arial"/>
          <w:sz w:val="24"/>
          <w:szCs w:val="24"/>
        </w:rPr>
        <w:t>intravenous immunoglobulin</w:t>
      </w:r>
      <w:r w:rsidRPr="00D032B4">
        <w:rPr>
          <w:rFonts w:cs="Arial"/>
          <w:sz w:val="24"/>
          <w:szCs w:val="24"/>
        </w:rPr>
        <w:t xml:space="preserve"> but that it is used earlier in the treatment pathway</w:t>
      </w:r>
      <w:r w:rsidR="00F75061" w:rsidRPr="00D032B4">
        <w:rPr>
          <w:rFonts w:cs="Arial"/>
          <w:sz w:val="24"/>
          <w:szCs w:val="24"/>
        </w:rPr>
        <w:t xml:space="preserve">. </w:t>
      </w:r>
      <w:r w:rsidRPr="00D032B4">
        <w:rPr>
          <w:rFonts w:cs="Arial"/>
          <w:sz w:val="24"/>
          <w:szCs w:val="24"/>
        </w:rPr>
        <w:t xml:space="preserve">The </w:t>
      </w:r>
      <w:r w:rsidR="0074228C">
        <w:rPr>
          <w:rFonts w:cs="Arial"/>
          <w:sz w:val="24"/>
          <w:szCs w:val="24"/>
        </w:rPr>
        <w:t>P</w:t>
      </w:r>
      <w:r w:rsidR="0074228C" w:rsidRPr="00D032B4">
        <w:rPr>
          <w:rFonts w:cs="Arial"/>
          <w:sz w:val="24"/>
          <w:szCs w:val="24"/>
        </w:rPr>
        <w:t xml:space="preserve">anel </w:t>
      </w:r>
      <w:r w:rsidRPr="00D032B4">
        <w:rPr>
          <w:rFonts w:cs="Arial"/>
          <w:sz w:val="24"/>
          <w:szCs w:val="24"/>
        </w:rPr>
        <w:t>recommends</w:t>
      </w:r>
      <w:r w:rsidR="00634957">
        <w:rPr>
          <w:rFonts w:cs="Arial"/>
          <w:sz w:val="24"/>
          <w:szCs w:val="24"/>
        </w:rPr>
        <w:t>,</w:t>
      </w:r>
      <w:r w:rsidR="008B28C8">
        <w:rPr>
          <w:rFonts w:cs="Arial"/>
          <w:sz w:val="24"/>
          <w:szCs w:val="24"/>
        </w:rPr>
        <w:t xml:space="preserve"> as a minor clarification</w:t>
      </w:r>
      <w:r w:rsidR="00634957">
        <w:rPr>
          <w:rFonts w:cs="Arial"/>
          <w:sz w:val="24"/>
          <w:szCs w:val="24"/>
        </w:rPr>
        <w:t>,</w:t>
      </w:r>
      <w:r w:rsidRPr="00D032B4">
        <w:rPr>
          <w:rFonts w:cs="Arial"/>
          <w:sz w:val="24"/>
          <w:szCs w:val="24"/>
        </w:rPr>
        <w:t xml:space="preserve"> that NICE re-considers the wording of section 3.2 of the FDG to ensure clarity about the place of rituximab in the care pathway in NHS clinical practice as well as to accurately reflect the preferred position of NHS England in this regard.</w:t>
      </w:r>
    </w:p>
    <w:p w14:paraId="1EDD4791" w14:textId="062048AF" w:rsidR="00CC79EF" w:rsidRPr="00D032B4" w:rsidRDefault="00036710" w:rsidP="00B93E19">
      <w:pPr>
        <w:pStyle w:val="Heading3"/>
      </w:pPr>
      <w:proofErr w:type="spellStart"/>
      <w:r w:rsidRPr="00D032B4">
        <w:t>Argenx</w:t>
      </w:r>
      <w:proofErr w:type="spellEnd"/>
      <w:r w:rsidRPr="00D032B4">
        <w:t xml:space="preserve"> </w:t>
      </w:r>
      <w:r w:rsidR="00CC79EF" w:rsidRPr="00D032B4">
        <w:t xml:space="preserve">Appeal </w:t>
      </w:r>
      <w:r w:rsidRPr="00D032B4">
        <w:t>P</w:t>
      </w:r>
      <w:r w:rsidR="00CC79EF" w:rsidRPr="00D032B4">
        <w:t>oint</w:t>
      </w:r>
      <w:r w:rsidR="00756935" w:rsidRPr="00D032B4">
        <w:t xml:space="preserve"> 2.2:</w:t>
      </w:r>
      <w:r w:rsidR="00CC79EF" w:rsidRPr="00D032B4">
        <w:t xml:space="preserve"> </w:t>
      </w:r>
      <w:r w:rsidR="00756935" w:rsidRPr="00D032B4">
        <w:t xml:space="preserve">The Appraisal Committee's conclusion that plasma exchange should be excluded from modelling of the treatment pathway despite being an established part of usual treatment is </w:t>
      </w:r>
      <w:r w:rsidR="00ED1F23" w:rsidRPr="00D032B4">
        <w:t>unreasonable.</w:t>
      </w:r>
    </w:p>
    <w:p w14:paraId="275AC476" w14:textId="7F98E585" w:rsidR="00CC79EF" w:rsidRPr="00D032B4" w:rsidRDefault="00036710" w:rsidP="00B93E19">
      <w:pPr>
        <w:pStyle w:val="Paragraph"/>
        <w:rPr>
          <w:rFonts w:cs="Arial"/>
          <w:sz w:val="24"/>
          <w:szCs w:val="24"/>
        </w:rPr>
      </w:pPr>
      <w:r w:rsidRPr="00D032B4">
        <w:rPr>
          <w:rFonts w:cs="Arial"/>
          <w:sz w:val="24"/>
          <w:szCs w:val="24"/>
        </w:rPr>
        <w:t xml:space="preserve">Peter Graham, for </w:t>
      </w:r>
      <w:proofErr w:type="spellStart"/>
      <w:r w:rsidR="001955C4">
        <w:rPr>
          <w:rFonts w:cs="Arial"/>
          <w:sz w:val="24"/>
          <w:szCs w:val="24"/>
        </w:rPr>
        <w:t>Argenx</w:t>
      </w:r>
      <w:proofErr w:type="spellEnd"/>
      <w:r w:rsidRPr="00D032B4">
        <w:rPr>
          <w:rFonts w:cs="Arial"/>
          <w:sz w:val="24"/>
          <w:szCs w:val="24"/>
        </w:rPr>
        <w:t xml:space="preserve">, explained that </w:t>
      </w:r>
      <w:proofErr w:type="gramStart"/>
      <w:r w:rsidRPr="00D032B4">
        <w:rPr>
          <w:rFonts w:cs="Arial"/>
          <w:sz w:val="24"/>
          <w:szCs w:val="24"/>
        </w:rPr>
        <w:t>despite the fact that</w:t>
      </w:r>
      <w:proofErr w:type="gramEnd"/>
      <w:r w:rsidRPr="00D032B4">
        <w:rPr>
          <w:rFonts w:cs="Arial"/>
          <w:sz w:val="24"/>
          <w:szCs w:val="24"/>
        </w:rPr>
        <w:t xml:space="preserve"> the Committee's preferred assumptions include </w:t>
      </w:r>
      <w:r w:rsidR="00544068">
        <w:rPr>
          <w:rFonts w:cs="Arial"/>
          <w:sz w:val="24"/>
          <w:szCs w:val="24"/>
        </w:rPr>
        <w:t>plasma exchange therapy</w:t>
      </w:r>
      <w:r w:rsidRPr="00D032B4">
        <w:rPr>
          <w:rFonts w:cs="Arial"/>
          <w:sz w:val="24"/>
          <w:szCs w:val="24"/>
        </w:rPr>
        <w:t xml:space="preserve"> as part of the treatment pathway, the EAG model preferred by the Committee and described in the FDG as the "least biased approach" excludes </w:t>
      </w:r>
      <w:r w:rsidR="00544068">
        <w:rPr>
          <w:rFonts w:cs="Arial"/>
          <w:sz w:val="24"/>
          <w:szCs w:val="24"/>
        </w:rPr>
        <w:t>plasma exchange therapy</w:t>
      </w:r>
      <w:r w:rsidRPr="00D032B4">
        <w:rPr>
          <w:rFonts w:cs="Arial"/>
          <w:sz w:val="24"/>
          <w:szCs w:val="24"/>
        </w:rPr>
        <w:t>. He described this treatment sequence as being a significant departure from reality, which acts to artificially increase the cost associated with efgartigimod</w:t>
      </w:r>
      <w:r w:rsidR="00F75061" w:rsidRPr="00D032B4">
        <w:rPr>
          <w:rFonts w:cs="Arial"/>
          <w:sz w:val="24"/>
          <w:szCs w:val="24"/>
        </w:rPr>
        <w:t xml:space="preserve">. </w:t>
      </w:r>
      <w:r w:rsidRPr="00D032B4">
        <w:rPr>
          <w:rFonts w:cs="Arial"/>
          <w:sz w:val="24"/>
          <w:szCs w:val="24"/>
        </w:rPr>
        <w:t xml:space="preserve">It is the Company's position that excluding a clinically relevant option from the model is unreasonable. Peter Graham described that although the Committee was ready to apply flexibility in respect of some aspects (such as </w:t>
      </w:r>
      <w:r w:rsidR="00544068">
        <w:rPr>
          <w:rFonts w:cs="Arial"/>
          <w:sz w:val="24"/>
          <w:szCs w:val="24"/>
        </w:rPr>
        <w:t>time on treatment</w:t>
      </w:r>
      <w:r w:rsidRPr="00D032B4">
        <w:rPr>
          <w:rFonts w:cs="Arial"/>
          <w:sz w:val="24"/>
          <w:szCs w:val="24"/>
        </w:rPr>
        <w:t xml:space="preserve">), the same was not afforded to the modelling of </w:t>
      </w:r>
      <w:r w:rsidR="00544068">
        <w:rPr>
          <w:rFonts w:cs="Arial"/>
          <w:sz w:val="24"/>
          <w:szCs w:val="24"/>
        </w:rPr>
        <w:t>plasma exchange therapy</w:t>
      </w:r>
      <w:r w:rsidRPr="00D032B4">
        <w:rPr>
          <w:rFonts w:cs="Arial"/>
          <w:sz w:val="24"/>
          <w:szCs w:val="24"/>
        </w:rPr>
        <w:t xml:space="preserve">. </w:t>
      </w:r>
    </w:p>
    <w:p w14:paraId="604CEF21" w14:textId="42390CC3" w:rsidR="00AB7ADB" w:rsidRPr="00D032B4" w:rsidRDefault="001955C4" w:rsidP="00B93E19">
      <w:pPr>
        <w:pStyle w:val="Paragraph"/>
        <w:rPr>
          <w:rFonts w:cs="Arial"/>
          <w:sz w:val="24"/>
          <w:szCs w:val="24"/>
        </w:rPr>
      </w:pPr>
      <w:r>
        <w:rPr>
          <w:rFonts w:cs="Arial"/>
          <w:sz w:val="24"/>
          <w:szCs w:val="24"/>
        </w:rPr>
        <w:t xml:space="preserve">Dr </w:t>
      </w:r>
      <w:r w:rsidR="00036710" w:rsidRPr="00D032B4">
        <w:rPr>
          <w:rFonts w:cs="Arial"/>
          <w:sz w:val="24"/>
          <w:szCs w:val="24"/>
        </w:rPr>
        <w:t xml:space="preserve">Raju Reddy, for NICE, explained that </w:t>
      </w:r>
      <w:r w:rsidR="00544068">
        <w:rPr>
          <w:rFonts w:cs="Arial"/>
          <w:sz w:val="24"/>
          <w:szCs w:val="24"/>
        </w:rPr>
        <w:t>plasma exchange therapy</w:t>
      </w:r>
      <w:r w:rsidR="00036710" w:rsidRPr="00D032B4">
        <w:rPr>
          <w:rFonts w:cs="Arial"/>
          <w:sz w:val="24"/>
          <w:szCs w:val="24"/>
        </w:rPr>
        <w:t xml:space="preserve"> was only incorporated into the Company's modelling for the </w:t>
      </w:r>
      <w:r w:rsidR="00D0775E">
        <w:rPr>
          <w:rFonts w:cs="Arial"/>
          <w:sz w:val="24"/>
          <w:szCs w:val="24"/>
        </w:rPr>
        <w:t>“</w:t>
      </w:r>
      <w:r w:rsidR="00036710" w:rsidRPr="00D032B4">
        <w:rPr>
          <w:rFonts w:cs="Arial"/>
          <w:sz w:val="24"/>
          <w:szCs w:val="24"/>
        </w:rPr>
        <w:t>Chair's action</w:t>
      </w:r>
      <w:r w:rsidR="00B320FC">
        <w:rPr>
          <w:rFonts w:cs="Arial"/>
          <w:sz w:val="24"/>
          <w:szCs w:val="24"/>
        </w:rPr>
        <w:t>’’</w:t>
      </w:r>
      <w:r w:rsidR="00036710" w:rsidRPr="00D032B4">
        <w:rPr>
          <w:rFonts w:cs="Arial"/>
          <w:sz w:val="24"/>
          <w:szCs w:val="24"/>
        </w:rPr>
        <w:t xml:space="preserve"> and subsequently the fourth committee meeting. </w:t>
      </w:r>
      <w:r w:rsidR="00B320FC">
        <w:rPr>
          <w:rFonts w:cs="Arial"/>
          <w:sz w:val="24"/>
          <w:szCs w:val="24"/>
        </w:rPr>
        <w:t>P</w:t>
      </w:r>
      <w:r w:rsidR="00544068">
        <w:rPr>
          <w:rFonts w:cs="Arial"/>
          <w:sz w:val="24"/>
          <w:szCs w:val="24"/>
        </w:rPr>
        <w:t>lasma exchange therapy</w:t>
      </w:r>
      <w:r w:rsidR="00036710" w:rsidRPr="00D032B4">
        <w:rPr>
          <w:rFonts w:cs="Arial"/>
          <w:sz w:val="24"/>
          <w:szCs w:val="24"/>
        </w:rPr>
        <w:t xml:space="preserve"> was excluded from the Company's original base case, with the </w:t>
      </w:r>
      <w:r w:rsidR="00426710">
        <w:rPr>
          <w:rFonts w:cs="Arial"/>
          <w:sz w:val="24"/>
          <w:szCs w:val="24"/>
        </w:rPr>
        <w:t>C</w:t>
      </w:r>
      <w:r w:rsidR="00036710" w:rsidRPr="00D032B4">
        <w:rPr>
          <w:rFonts w:cs="Arial"/>
          <w:sz w:val="24"/>
          <w:szCs w:val="24"/>
        </w:rPr>
        <w:t xml:space="preserve">ompany's rationale for the exclusion being that there were insufficient data for the use of </w:t>
      </w:r>
      <w:r w:rsidR="00544068">
        <w:rPr>
          <w:rFonts w:cs="Arial"/>
          <w:sz w:val="24"/>
          <w:szCs w:val="24"/>
        </w:rPr>
        <w:t>plasma exchange therapy</w:t>
      </w:r>
      <w:r w:rsidR="00036710" w:rsidRPr="00D032B4">
        <w:rPr>
          <w:rFonts w:cs="Arial"/>
          <w:sz w:val="24"/>
          <w:szCs w:val="24"/>
        </w:rPr>
        <w:t xml:space="preserve"> outside </w:t>
      </w:r>
      <w:r w:rsidR="00036710" w:rsidRPr="00D032B4">
        <w:rPr>
          <w:rFonts w:cs="Arial"/>
          <w:sz w:val="24"/>
          <w:szCs w:val="24"/>
        </w:rPr>
        <w:lastRenderedPageBreak/>
        <w:t xml:space="preserve">myasthenic crisis. The Company only changed this approach after the third committee meeting, which was a key reason why a fourth committee meeting was necessary. </w:t>
      </w:r>
      <w:r>
        <w:rPr>
          <w:rFonts w:cs="Arial"/>
          <w:sz w:val="24"/>
          <w:szCs w:val="24"/>
        </w:rPr>
        <w:t>Dr</w:t>
      </w:r>
      <w:r w:rsidRPr="00D032B4">
        <w:rPr>
          <w:rFonts w:cs="Arial"/>
          <w:sz w:val="24"/>
          <w:szCs w:val="24"/>
        </w:rPr>
        <w:t xml:space="preserve"> </w:t>
      </w:r>
      <w:r w:rsidR="00A763E0" w:rsidRPr="00D032B4">
        <w:rPr>
          <w:rFonts w:cs="Arial"/>
          <w:sz w:val="24"/>
          <w:szCs w:val="24"/>
        </w:rPr>
        <w:t xml:space="preserve">Reddy explained that the Committee had been clear from the first draft guidance that </w:t>
      </w:r>
      <w:r w:rsidR="00544068">
        <w:rPr>
          <w:rFonts w:cs="Arial"/>
          <w:sz w:val="24"/>
          <w:szCs w:val="24"/>
        </w:rPr>
        <w:t>plasma exchange therapy</w:t>
      </w:r>
      <w:r w:rsidR="00A763E0" w:rsidRPr="00D032B4">
        <w:rPr>
          <w:rFonts w:cs="Arial"/>
          <w:sz w:val="24"/>
          <w:szCs w:val="24"/>
        </w:rPr>
        <w:t xml:space="preserve"> forms part of the treatment pathway. The reason </w:t>
      </w:r>
      <w:r w:rsidR="00AB7ADB" w:rsidRPr="00D032B4">
        <w:rPr>
          <w:rFonts w:cs="Arial"/>
          <w:sz w:val="24"/>
          <w:szCs w:val="24"/>
        </w:rPr>
        <w:t>that</w:t>
      </w:r>
      <w:r w:rsidR="00A763E0" w:rsidRPr="00D032B4">
        <w:rPr>
          <w:rFonts w:cs="Arial"/>
          <w:sz w:val="24"/>
          <w:szCs w:val="24"/>
        </w:rPr>
        <w:t xml:space="preserve"> the C</w:t>
      </w:r>
      <w:r w:rsidR="00AB7ADB" w:rsidRPr="00D032B4">
        <w:rPr>
          <w:rFonts w:cs="Arial"/>
          <w:sz w:val="24"/>
          <w:szCs w:val="24"/>
        </w:rPr>
        <w:t>ommittee</w:t>
      </w:r>
      <w:r w:rsidR="00A763E0" w:rsidRPr="00D032B4">
        <w:rPr>
          <w:rFonts w:cs="Arial"/>
          <w:sz w:val="24"/>
          <w:szCs w:val="24"/>
        </w:rPr>
        <w:t xml:space="preserve"> could not consider </w:t>
      </w:r>
      <w:r w:rsidR="00544068">
        <w:rPr>
          <w:rFonts w:cs="Arial"/>
          <w:sz w:val="24"/>
          <w:szCs w:val="24"/>
        </w:rPr>
        <w:t>plasma exchange therapy</w:t>
      </w:r>
      <w:r w:rsidR="00A763E0" w:rsidRPr="00D032B4">
        <w:rPr>
          <w:rFonts w:cs="Arial"/>
          <w:sz w:val="24"/>
          <w:szCs w:val="24"/>
        </w:rPr>
        <w:t xml:space="preserve"> as part of the model was because the Company had modelled </w:t>
      </w:r>
      <w:r w:rsidR="00544068">
        <w:rPr>
          <w:rFonts w:cs="Arial"/>
          <w:sz w:val="24"/>
          <w:szCs w:val="24"/>
        </w:rPr>
        <w:t>plasma exchange therapy</w:t>
      </w:r>
      <w:r w:rsidR="00A763E0" w:rsidRPr="00D032B4">
        <w:rPr>
          <w:rFonts w:cs="Arial"/>
          <w:sz w:val="24"/>
          <w:szCs w:val="24"/>
        </w:rPr>
        <w:t xml:space="preserve"> incorrectly, which in turn heavily biased </w:t>
      </w:r>
      <w:r w:rsidR="00B26223">
        <w:rPr>
          <w:rFonts w:cs="Arial"/>
          <w:sz w:val="24"/>
          <w:szCs w:val="24"/>
        </w:rPr>
        <w:t>the results</w:t>
      </w:r>
      <w:r w:rsidR="00A763E0" w:rsidRPr="00D032B4">
        <w:rPr>
          <w:rFonts w:cs="Arial"/>
          <w:sz w:val="24"/>
          <w:szCs w:val="24"/>
        </w:rPr>
        <w:t xml:space="preserve"> favour of efgartigimod. </w:t>
      </w:r>
    </w:p>
    <w:p w14:paraId="7D5821C5" w14:textId="1A3967F0" w:rsidR="00036710" w:rsidRPr="00D032B4" w:rsidRDefault="00A763E0" w:rsidP="00B93E19">
      <w:pPr>
        <w:pStyle w:val="Paragraph"/>
        <w:rPr>
          <w:rFonts w:cs="Arial"/>
          <w:sz w:val="24"/>
          <w:szCs w:val="24"/>
        </w:rPr>
      </w:pPr>
      <w:r w:rsidRPr="00D032B4">
        <w:rPr>
          <w:rFonts w:cs="Arial"/>
          <w:sz w:val="24"/>
          <w:szCs w:val="24"/>
        </w:rPr>
        <w:t xml:space="preserve">The Company's model for the fourth committee </w:t>
      </w:r>
      <w:r w:rsidR="0079437B" w:rsidRPr="00D032B4">
        <w:rPr>
          <w:rFonts w:cs="Arial"/>
          <w:sz w:val="24"/>
          <w:szCs w:val="24"/>
        </w:rPr>
        <w:t xml:space="preserve">meeting </w:t>
      </w:r>
      <w:r w:rsidR="00AB7ADB" w:rsidRPr="00D032B4">
        <w:rPr>
          <w:rFonts w:cs="Arial"/>
          <w:sz w:val="24"/>
          <w:szCs w:val="24"/>
        </w:rPr>
        <w:t>applied</w:t>
      </w:r>
      <w:r w:rsidRPr="00D032B4">
        <w:rPr>
          <w:rFonts w:cs="Arial"/>
          <w:sz w:val="24"/>
          <w:szCs w:val="24"/>
        </w:rPr>
        <w:t xml:space="preserve"> </w:t>
      </w:r>
      <w:r w:rsidR="00544068">
        <w:rPr>
          <w:rFonts w:cs="Arial"/>
          <w:sz w:val="24"/>
          <w:szCs w:val="24"/>
        </w:rPr>
        <w:t>plasma exchange therapy</w:t>
      </w:r>
      <w:r w:rsidRPr="00D032B4">
        <w:rPr>
          <w:rFonts w:cs="Arial"/>
          <w:sz w:val="24"/>
          <w:szCs w:val="24"/>
        </w:rPr>
        <w:t xml:space="preserve"> at 43.8% </w:t>
      </w:r>
      <w:r w:rsidR="00AB7ADB" w:rsidRPr="00D032B4">
        <w:rPr>
          <w:rFonts w:cs="Arial"/>
          <w:sz w:val="24"/>
          <w:szCs w:val="24"/>
        </w:rPr>
        <w:t>in</w:t>
      </w:r>
      <w:r w:rsidRPr="00D032B4">
        <w:rPr>
          <w:rFonts w:cs="Arial"/>
          <w:sz w:val="24"/>
          <w:szCs w:val="24"/>
        </w:rPr>
        <w:t xml:space="preserve"> the comparator arm but only 6% in the efgartigimod arm, which resulted in a 29% increase in drug cost</w:t>
      </w:r>
      <w:r w:rsidR="00AB7ADB" w:rsidRPr="00D032B4">
        <w:rPr>
          <w:rFonts w:cs="Arial"/>
          <w:sz w:val="24"/>
          <w:szCs w:val="24"/>
        </w:rPr>
        <w:t>s</w:t>
      </w:r>
      <w:r w:rsidRPr="00D032B4">
        <w:rPr>
          <w:rFonts w:cs="Arial"/>
          <w:sz w:val="24"/>
          <w:szCs w:val="24"/>
        </w:rPr>
        <w:t xml:space="preserve"> in the comparator arm against a 2% increase in the efgartigimod arm. </w:t>
      </w:r>
    </w:p>
    <w:p w14:paraId="513EBE61" w14:textId="2978FFB6" w:rsidR="00A763E0" w:rsidRPr="00D032B4" w:rsidRDefault="001955C4" w:rsidP="00B93E19">
      <w:pPr>
        <w:pStyle w:val="Paragraph"/>
        <w:rPr>
          <w:rFonts w:cs="Arial"/>
          <w:sz w:val="24"/>
          <w:szCs w:val="24"/>
        </w:rPr>
      </w:pPr>
      <w:r>
        <w:rPr>
          <w:rFonts w:cs="Arial"/>
          <w:sz w:val="24"/>
          <w:szCs w:val="24"/>
        </w:rPr>
        <w:t>Dr</w:t>
      </w:r>
      <w:r w:rsidRPr="00D032B4">
        <w:rPr>
          <w:rFonts w:cs="Arial"/>
          <w:sz w:val="24"/>
          <w:szCs w:val="24"/>
        </w:rPr>
        <w:t xml:space="preserve"> </w:t>
      </w:r>
      <w:r w:rsidR="00AB7ADB" w:rsidRPr="00D032B4">
        <w:rPr>
          <w:rFonts w:cs="Arial"/>
          <w:sz w:val="24"/>
          <w:szCs w:val="24"/>
        </w:rPr>
        <w:t xml:space="preserve">Reddy explained that the Committee's preferred assumption was for appropriate modelling of </w:t>
      </w:r>
      <w:r w:rsidR="00544068">
        <w:rPr>
          <w:rFonts w:cs="Arial"/>
          <w:sz w:val="24"/>
          <w:szCs w:val="24"/>
        </w:rPr>
        <w:t>plasma exchange therapy</w:t>
      </w:r>
      <w:r w:rsidR="00AB7ADB" w:rsidRPr="00D032B4">
        <w:rPr>
          <w:rFonts w:cs="Arial"/>
          <w:sz w:val="24"/>
          <w:szCs w:val="24"/>
        </w:rPr>
        <w:t xml:space="preserve">. Including </w:t>
      </w:r>
      <w:r w:rsidR="00544068">
        <w:rPr>
          <w:rFonts w:cs="Arial"/>
          <w:sz w:val="24"/>
          <w:szCs w:val="24"/>
        </w:rPr>
        <w:t>plasma exchange therapy</w:t>
      </w:r>
      <w:r w:rsidR="00AB7ADB" w:rsidRPr="00D032B4">
        <w:rPr>
          <w:rFonts w:cs="Arial"/>
          <w:sz w:val="24"/>
          <w:szCs w:val="24"/>
        </w:rPr>
        <w:t xml:space="preserve"> equally across both arms would not have</w:t>
      </w:r>
      <w:r w:rsidR="00A20202" w:rsidRPr="00D032B4">
        <w:rPr>
          <w:rFonts w:cs="Arial"/>
          <w:sz w:val="24"/>
          <w:szCs w:val="24"/>
        </w:rPr>
        <w:t xml:space="preserve"> materially</w:t>
      </w:r>
      <w:r w:rsidR="00AB7ADB" w:rsidRPr="00D032B4">
        <w:rPr>
          <w:rFonts w:cs="Arial"/>
          <w:sz w:val="24"/>
          <w:szCs w:val="24"/>
        </w:rPr>
        <w:t xml:space="preserve"> impacted the ICER of either arm</w:t>
      </w:r>
      <w:r w:rsidR="00A20202" w:rsidRPr="00D032B4">
        <w:rPr>
          <w:rFonts w:cs="Arial"/>
          <w:sz w:val="24"/>
          <w:szCs w:val="24"/>
        </w:rPr>
        <w:t xml:space="preserve">. As the Company did not model </w:t>
      </w:r>
      <w:r w:rsidR="00544068">
        <w:rPr>
          <w:rFonts w:cs="Arial"/>
          <w:sz w:val="24"/>
          <w:szCs w:val="24"/>
        </w:rPr>
        <w:t>plasma exchange therapy</w:t>
      </w:r>
      <w:r w:rsidR="00A20202" w:rsidRPr="00D032B4">
        <w:rPr>
          <w:rFonts w:cs="Arial"/>
          <w:sz w:val="24"/>
          <w:szCs w:val="24"/>
        </w:rPr>
        <w:t xml:space="preserve"> equally across both arms, the Committee had no option but to accept the EAG model, which </w:t>
      </w:r>
      <w:r>
        <w:rPr>
          <w:rFonts w:cs="Arial"/>
          <w:sz w:val="24"/>
          <w:szCs w:val="24"/>
        </w:rPr>
        <w:t>Dr</w:t>
      </w:r>
      <w:r w:rsidRPr="00D032B4">
        <w:rPr>
          <w:rFonts w:cs="Arial"/>
          <w:sz w:val="24"/>
          <w:szCs w:val="24"/>
        </w:rPr>
        <w:t xml:space="preserve"> </w:t>
      </w:r>
      <w:r w:rsidR="00A20202" w:rsidRPr="00D032B4">
        <w:rPr>
          <w:rFonts w:cs="Arial"/>
          <w:sz w:val="24"/>
          <w:szCs w:val="24"/>
        </w:rPr>
        <w:t xml:space="preserve">Reddy described as being the </w:t>
      </w:r>
      <w:proofErr w:type="gramStart"/>
      <w:r w:rsidR="00A20202" w:rsidRPr="00D032B4">
        <w:rPr>
          <w:rFonts w:cs="Arial"/>
          <w:sz w:val="24"/>
          <w:szCs w:val="24"/>
        </w:rPr>
        <w:t>least worst</w:t>
      </w:r>
      <w:proofErr w:type="gramEnd"/>
      <w:r w:rsidR="00A20202" w:rsidRPr="00D032B4">
        <w:rPr>
          <w:rFonts w:cs="Arial"/>
          <w:sz w:val="24"/>
          <w:szCs w:val="24"/>
        </w:rPr>
        <w:t xml:space="preserve"> option. This is explained at paragraph 3.15 of the FDG. Alan Moore agreed, explaining that the Company's model </w:t>
      </w:r>
      <w:r w:rsidR="003C3886" w:rsidRPr="00D032B4">
        <w:rPr>
          <w:rFonts w:cs="Arial"/>
          <w:sz w:val="24"/>
          <w:szCs w:val="24"/>
        </w:rPr>
        <w:t xml:space="preserve">structure </w:t>
      </w:r>
      <w:r w:rsidR="00A20202" w:rsidRPr="00D032B4">
        <w:rPr>
          <w:rFonts w:cs="Arial"/>
          <w:sz w:val="24"/>
          <w:szCs w:val="24"/>
        </w:rPr>
        <w:t xml:space="preserve">did not allow the Committee (or the EAG) to model </w:t>
      </w:r>
      <w:r w:rsidR="00544068">
        <w:rPr>
          <w:rFonts w:cs="Arial"/>
          <w:sz w:val="24"/>
          <w:szCs w:val="24"/>
        </w:rPr>
        <w:t>plasma exchange therapy</w:t>
      </w:r>
      <w:r w:rsidR="00A20202" w:rsidRPr="00D032B4">
        <w:rPr>
          <w:rFonts w:cs="Arial"/>
          <w:sz w:val="24"/>
          <w:szCs w:val="24"/>
        </w:rPr>
        <w:t xml:space="preserve"> in the way it had hoped to do so. </w:t>
      </w:r>
    </w:p>
    <w:p w14:paraId="7D052A97" w14:textId="74E13532" w:rsidR="00D032B4" w:rsidRPr="00410559" w:rsidRDefault="00A20202" w:rsidP="00B93E19">
      <w:pPr>
        <w:pStyle w:val="Paragraph"/>
        <w:rPr>
          <w:rFonts w:cs="Arial"/>
          <w:sz w:val="24"/>
          <w:szCs w:val="24"/>
        </w:rPr>
      </w:pPr>
      <w:r w:rsidRPr="00D032B4">
        <w:rPr>
          <w:rFonts w:cs="Arial"/>
          <w:sz w:val="24"/>
          <w:szCs w:val="24"/>
        </w:rPr>
        <w:t xml:space="preserve">The Panel asked whether there was agreement that </w:t>
      </w:r>
      <w:r w:rsidR="00544068">
        <w:rPr>
          <w:rFonts w:cs="Arial"/>
          <w:sz w:val="24"/>
          <w:szCs w:val="24"/>
        </w:rPr>
        <w:t>plasma exchange therapy</w:t>
      </w:r>
      <w:r w:rsidRPr="00D032B4">
        <w:rPr>
          <w:rFonts w:cs="Arial"/>
          <w:sz w:val="24"/>
          <w:szCs w:val="24"/>
        </w:rPr>
        <w:t xml:space="preserve"> formed part of the treatment pathway for the target population, and whether EAMS data informed modelling. </w:t>
      </w:r>
      <w:r w:rsidR="00426710">
        <w:rPr>
          <w:rFonts w:cs="Arial"/>
          <w:sz w:val="24"/>
          <w:szCs w:val="24"/>
        </w:rPr>
        <w:t>Dr</w:t>
      </w:r>
      <w:r w:rsidRPr="00D032B4">
        <w:rPr>
          <w:rFonts w:cs="Arial"/>
          <w:sz w:val="24"/>
          <w:szCs w:val="24"/>
        </w:rPr>
        <w:t xml:space="preserve"> Reddy confirmed that </w:t>
      </w:r>
      <w:r w:rsidR="00544068">
        <w:rPr>
          <w:rFonts w:cs="Arial"/>
          <w:sz w:val="24"/>
          <w:szCs w:val="24"/>
        </w:rPr>
        <w:t>plasma exchange therapy</w:t>
      </w:r>
      <w:r w:rsidRPr="00D032B4">
        <w:rPr>
          <w:rFonts w:cs="Arial"/>
          <w:sz w:val="24"/>
          <w:szCs w:val="24"/>
        </w:rPr>
        <w:t xml:space="preserve"> is part of the treatment pathway (reflected in the FDG) and that EAMS / EAMS+ data were </w:t>
      </w:r>
      <w:r w:rsidRPr="00410559">
        <w:rPr>
          <w:rFonts w:cs="Arial"/>
          <w:sz w:val="24"/>
          <w:szCs w:val="24"/>
        </w:rPr>
        <w:t xml:space="preserve">fundamental to modelling, but that the inherent issues with the model </w:t>
      </w:r>
      <w:r w:rsidR="00461B7C" w:rsidRPr="00410559">
        <w:rPr>
          <w:rFonts w:cs="Arial"/>
          <w:sz w:val="24"/>
          <w:szCs w:val="24"/>
        </w:rPr>
        <w:lastRenderedPageBreak/>
        <w:t xml:space="preserve">provided by the Company </w:t>
      </w:r>
      <w:r w:rsidRPr="00410559">
        <w:rPr>
          <w:rFonts w:cs="Arial"/>
          <w:sz w:val="24"/>
          <w:szCs w:val="24"/>
        </w:rPr>
        <w:t xml:space="preserve">meant that </w:t>
      </w:r>
      <w:r w:rsidR="00544068" w:rsidRPr="00410559">
        <w:rPr>
          <w:rFonts w:cs="Arial"/>
          <w:sz w:val="24"/>
          <w:szCs w:val="24"/>
        </w:rPr>
        <w:t>plasma exchange therapy</w:t>
      </w:r>
      <w:r w:rsidRPr="00410559">
        <w:rPr>
          <w:rFonts w:cs="Arial"/>
          <w:sz w:val="24"/>
          <w:szCs w:val="24"/>
        </w:rPr>
        <w:t xml:space="preserve"> had to be excluded. </w:t>
      </w:r>
    </w:p>
    <w:p w14:paraId="244E242A" w14:textId="7A566284" w:rsidR="00A20202" w:rsidRPr="00AD10A9" w:rsidRDefault="00A20202" w:rsidP="00D032B4">
      <w:pPr>
        <w:pStyle w:val="Paragraph"/>
        <w:rPr>
          <w:rFonts w:cs="Arial"/>
          <w:sz w:val="24"/>
          <w:szCs w:val="24"/>
        </w:rPr>
      </w:pPr>
      <w:r w:rsidRPr="00410559">
        <w:rPr>
          <w:rFonts w:cs="Arial"/>
          <w:sz w:val="24"/>
          <w:szCs w:val="24"/>
        </w:rPr>
        <w:t>Maria de Francesco, for</w:t>
      </w:r>
      <w:r w:rsidR="001955C4" w:rsidRPr="00410559">
        <w:rPr>
          <w:rFonts w:cs="Arial"/>
          <w:sz w:val="24"/>
          <w:szCs w:val="24"/>
        </w:rPr>
        <w:t xml:space="preserve"> </w:t>
      </w:r>
      <w:proofErr w:type="spellStart"/>
      <w:r w:rsidR="001955C4" w:rsidRPr="00410559">
        <w:rPr>
          <w:rFonts w:cs="Arial"/>
          <w:sz w:val="24"/>
          <w:szCs w:val="24"/>
        </w:rPr>
        <w:t>Argenx</w:t>
      </w:r>
      <w:proofErr w:type="spellEnd"/>
      <w:r w:rsidRPr="00410559">
        <w:rPr>
          <w:rFonts w:cs="Arial"/>
          <w:sz w:val="24"/>
          <w:szCs w:val="24"/>
        </w:rPr>
        <w:t xml:space="preserve">, explained that the reason the Company had modelled the sequence of efgartigimod to </w:t>
      </w:r>
      <w:r w:rsidR="00544068" w:rsidRPr="00410559">
        <w:rPr>
          <w:rFonts w:cs="Arial"/>
          <w:sz w:val="24"/>
          <w:szCs w:val="24"/>
        </w:rPr>
        <w:t>intravenous immunoglobulin</w:t>
      </w:r>
      <w:r w:rsidRPr="00410559">
        <w:rPr>
          <w:rFonts w:cs="Arial"/>
          <w:sz w:val="24"/>
          <w:szCs w:val="24"/>
        </w:rPr>
        <w:t xml:space="preserve"> or </w:t>
      </w:r>
      <w:r w:rsidR="00544068" w:rsidRPr="00410559">
        <w:rPr>
          <w:rFonts w:cs="Arial"/>
          <w:sz w:val="24"/>
          <w:szCs w:val="24"/>
        </w:rPr>
        <w:t>plasma exchange therapy</w:t>
      </w:r>
      <w:r w:rsidRPr="00410559">
        <w:rPr>
          <w:rFonts w:cs="Arial"/>
          <w:sz w:val="24"/>
          <w:szCs w:val="24"/>
        </w:rPr>
        <w:t xml:space="preserve"> and then only </w:t>
      </w:r>
      <w:r w:rsidR="00544068" w:rsidRPr="00410559">
        <w:rPr>
          <w:rFonts w:cs="Arial"/>
          <w:sz w:val="24"/>
          <w:szCs w:val="24"/>
        </w:rPr>
        <w:t>plasma exchange therapy</w:t>
      </w:r>
      <w:r w:rsidRPr="00410559">
        <w:rPr>
          <w:rFonts w:cs="Arial"/>
          <w:sz w:val="24"/>
          <w:szCs w:val="24"/>
        </w:rPr>
        <w:t xml:space="preserve"> in the comparator, is because this reflected what the Company considered to be most representative of clinical practice.</w:t>
      </w:r>
      <w:r w:rsidR="00BE0E53" w:rsidRPr="00410559">
        <w:rPr>
          <w:rFonts w:cs="Arial"/>
          <w:sz w:val="24"/>
          <w:szCs w:val="24"/>
        </w:rPr>
        <w:t xml:space="preserve"> She said that modelling one additional treatment forever in both arms of the model (i.e. efgartigimod and comparator arms) would mean the two cancel each other </w:t>
      </w:r>
      <w:r w:rsidR="00ED1F23" w:rsidRPr="00410559">
        <w:rPr>
          <w:rFonts w:cs="Arial"/>
          <w:sz w:val="24"/>
          <w:szCs w:val="24"/>
        </w:rPr>
        <w:t>out and</w:t>
      </w:r>
      <w:r w:rsidR="00BE0E53" w:rsidRPr="00410559">
        <w:rPr>
          <w:rFonts w:cs="Arial"/>
          <w:sz w:val="24"/>
          <w:szCs w:val="24"/>
        </w:rPr>
        <w:t xml:space="preserve"> explained that this is what the Company had modelled in version 8.0 of the model. She also made the point that patients who needed it would not be left without treatment, and so if </w:t>
      </w:r>
      <w:r w:rsidR="00544068" w:rsidRPr="00410559">
        <w:rPr>
          <w:rFonts w:cs="Arial"/>
          <w:sz w:val="24"/>
          <w:szCs w:val="24"/>
        </w:rPr>
        <w:t>plasma exchange therapy</w:t>
      </w:r>
      <w:r w:rsidR="00BE0E53" w:rsidRPr="00410559">
        <w:rPr>
          <w:rFonts w:cs="Arial"/>
          <w:sz w:val="24"/>
          <w:szCs w:val="24"/>
        </w:rPr>
        <w:t xml:space="preserve"> was not included in the model,</w:t>
      </w:r>
      <w:r w:rsidR="00BE0E53" w:rsidRPr="00D032B4">
        <w:rPr>
          <w:rFonts w:cs="Arial"/>
          <w:sz w:val="24"/>
          <w:szCs w:val="24"/>
        </w:rPr>
        <w:t xml:space="preserve"> those patients would be left with </w:t>
      </w:r>
      <w:r w:rsidR="00544068">
        <w:rPr>
          <w:rFonts w:cs="Arial"/>
          <w:sz w:val="24"/>
          <w:szCs w:val="24"/>
        </w:rPr>
        <w:t>intravenous immunoglobulin</w:t>
      </w:r>
      <w:r w:rsidR="00BE0E53" w:rsidRPr="00D032B4">
        <w:rPr>
          <w:rFonts w:cs="Arial"/>
          <w:sz w:val="24"/>
          <w:szCs w:val="24"/>
        </w:rPr>
        <w:t xml:space="preserve"> which is more expensive than </w:t>
      </w:r>
      <w:r w:rsidR="00544068">
        <w:rPr>
          <w:rFonts w:cs="Arial"/>
          <w:sz w:val="24"/>
          <w:szCs w:val="24"/>
        </w:rPr>
        <w:t>plasma exchange therapy</w:t>
      </w:r>
      <w:r w:rsidR="00F75061" w:rsidRPr="00D032B4">
        <w:rPr>
          <w:rFonts w:cs="Arial"/>
          <w:sz w:val="24"/>
          <w:szCs w:val="24"/>
        </w:rPr>
        <w:t xml:space="preserve">. </w:t>
      </w:r>
    </w:p>
    <w:p w14:paraId="026D8E73" w14:textId="38B84589" w:rsidR="00E526A0" w:rsidRPr="00D032B4" w:rsidRDefault="00E526A0" w:rsidP="00B93E19">
      <w:pPr>
        <w:pStyle w:val="Paragraph"/>
        <w:rPr>
          <w:rFonts w:cs="Arial"/>
          <w:sz w:val="24"/>
          <w:szCs w:val="24"/>
        </w:rPr>
      </w:pPr>
      <w:r w:rsidRPr="00D032B4">
        <w:rPr>
          <w:rFonts w:cs="Arial"/>
          <w:sz w:val="24"/>
          <w:szCs w:val="24"/>
        </w:rPr>
        <w:t xml:space="preserve">Peter Graham explained that it was clear in the first and second committee meetings that the Company had excluded </w:t>
      </w:r>
      <w:r w:rsidR="00544068">
        <w:rPr>
          <w:rFonts w:cs="Arial"/>
          <w:sz w:val="24"/>
          <w:szCs w:val="24"/>
        </w:rPr>
        <w:t>plasma exchange therapy</w:t>
      </w:r>
      <w:r w:rsidRPr="00D032B4">
        <w:rPr>
          <w:rFonts w:cs="Arial"/>
          <w:sz w:val="24"/>
          <w:szCs w:val="24"/>
        </w:rPr>
        <w:t xml:space="preserve"> given there was no data on utilisation of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Although the Company knew that both were used in practice, it did not know in what proportions it was used until the EAMS data came through. Some submitted scenarios did include </w:t>
      </w:r>
      <w:r w:rsidR="00544068">
        <w:rPr>
          <w:rFonts w:cs="Arial"/>
          <w:sz w:val="24"/>
          <w:szCs w:val="24"/>
        </w:rPr>
        <w:t>plasma exchange therapy</w:t>
      </w:r>
      <w:r w:rsidRPr="00D032B4">
        <w:rPr>
          <w:rFonts w:cs="Arial"/>
          <w:sz w:val="24"/>
          <w:szCs w:val="24"/>
        </w:rPr>
        <w:t>, but not the base case due to the lack of supporting data. By the fourth committee meeting, the Company sought to model in a manner that was more reflective of clinical practice. Peter Graham</w:t>
      </w:r>
      <w:r w:rsidR="003C3886" w:rsidRPr="00D032B4">
        <w:rPr>
          <w:rFonts w:cs="Arial"/>
          <w:sz w:val="24"/>
          <w:szCs w:val="24"/>
        </w:rPr>
        <w:t>, describing the modelled pathway at the fourth committee meeting,</w:t>
      </w:r>
      <w:r w:rsidRPr="00D032B4">
        <w:rPr>
          <w:rFonts w:cs="Arial"/>
          <w:sz w:val="24"/>
          <w:szCs w:val="24"/>
        </w:rPr>
        <w:t xml:space="preserve"> explained that the 43.8% </w:t>
      </w:r>
      <w:r w:rsidR="00544068">
        <w:rPr>
          <w:rFonts w:cs="Arial"/>
          <w:sz w:val="24"/>
          <w:szCs w:val="24"/>
        </w:rPr>
        <w:t>intravenous immunoglobulin</w:t>
      </w:r>
      <w:r w:rsidRPr="00D032B4">
        <w:rPr>
          <w:rFonts w:cs="Arial"/>
          <w:sz w:val="24"/>
          <w:szCs w:val="24"/>
        </w:rPr>
        <w:t xml:space="preserve"> was drawn from EAMS, and the 6% on </w:t>
      </w:r>
      <w:r w:rsidR="00544068">
        <w:rPr>
          <w:rFonts w:cs="Arial"/>
          <w:sz w:val="24"/>
          <w:szCs w:val="24"/>
        </w:rPr>
        <w:t>plasma exchange therapy</w:t>
      </w:r>
      <w:r w:rsidRPr="00D032B4">
        <w:rPr>
          <w:rFonts w:cs="Arial"/>
          <w:sz w:val="24"/>
          <w:szCs w:val="24"/>
        </w:rPr>
        <w:t xml:space="preserve"> reflected those in EAMS who did not originally respond to </w:t>
      </w:r>
      <w:r w:rsidR="00544068">
        <w:rPr>
          <w:rFonts w:cs="Arial"/>
          <w:sz w:val="24"/>
          <w:szCs w:val="24"/>
        </w:rPr>
        <w:t>intravenous immunoglobulin</w:t>
      </w:r>
      <w:r w:rsidRPr="00D032B4">
        <w:rPr>
          <w:rFonts w:cs="Arial"/>
          <w:sz w:val="24"/>
          <w:szCs w:val="24"/>
        </w:rPr>
        <w:t xml:space="preserve"> (and so the assumption is </w:t>
      </w:r>
      <w:r w:rsidR="001D34EE" w:rsidRPr="00D032B4">
        <w:rPr>
          <w:rFonts w:cs="Arial"/>
          <w:sz w:val="24"/>
          <w:szCs w:val="24"/>
        </w:rPr>
        <w:t xml:space="preserve">that </w:t>
      </w:r>
      <w:r w:rsidRPr="00D032B4">
        <w:rPr>
          <w:rFonts w:cs="Arial"/>
          <w:sz w:val="24"/>
          <w:szCs w:val="24"/>
        </w:rPr>
        <w:t xml:space="preserve">they would not return to </w:t>
      </w:r>
      <w:r w:rsidR="00544068">
        <w:rPr>
          <w:rFonts w:cs="Arial"/>
          <w:sz w:val="24"/>
          <w:szCs w:val="24"/>
        </w:rPr>
        <w:t xml:space="preserve">intravenous </w:t>
      </w:r>
      <w:r w:rsidR="00544068">
        <w:rPr>
          <w:rFonts w:cs="Arial"/>
          <w:sz w:val="24"/>
          <w:szCs w:val="24"/>
        </w:rPr>
        <w:lastRenderedPageBreak/>
        <w:t>immunoglobulin</w:t>
      </w:r>
      <w:r w:rsidRPr="00D032B4">
        <w:rPr>
          <w:rFonts w:cs="Arial"/>
          <w:sz w:val="24"/>
          <w:szCs w:val="24"/>
        </w:rPr>
        <w:t xml:space="preserve">). He explained that there </w:t>
      </w:r>
      <w:proofErr w:type="gramStart"/>
      <w:r w:rsidRPr="00D032B4">
        <w:rPr>
          <w:rFonts w:cs="Arial"/>
          <w:sz w:val="24"/>
          <w:szCs w:val="24"/>
        </w:rPr>
        <w:t>are</w:t>
      </w:r>
      <w:proofErr w:type="gramEnd"/>
      <w:r w:rsidRPr="00D032B4">
        <w:rPr>
          <w:rFonts w:cs="Arial"/>
          <w:sz w:val="24"/>
          <w:szCs w:val="24"/>
        </w:rPr>
        <w:t xml:space="preserve"> more escalation therapies applied to the efgartigimod arm than the comparator arm which is a conservative approach. He noted that only </w:t>
      </w:r>
      <w:r w:rsidR="00824C33" w:rsidRPr="00D032B4">
        <w:rPr>
          <w:rFonts w:cs="Arial"/>
          <w:sz w:val="24"/>
          <w:szCs w:val="24"/>
        </w:rPr>
        <w:t xml:space="preserve">at the fourth committee meeting </w:t>
      </w:r>
      <w:r w:rsidRPr="00D032B4">
        <w:rPr>
          <w:rFonts w:cs="Arial"/>
          <w:sz w:val="24"/>
          <w:szCs w:val="24"/>
        </w:rPr>
        <w:t xml:space="preserve">did the Company understand through the Committee that it may have been the best option to apply </w:t>
      </w:r>
      <w:r w:rsidR="00544068">
        <w:rPr>
          <w:rFonts w:cs="Arial"/>
          <w:sz w:val="24"/>
          <w:szCs w:val="24"/>
        </w:rPr>
        <w:t>plasma exchange therapy</w:t>
      </w:r>
      <w:r w:rsidRPr="00D032B4">
        <w:rPr>
          <w:rFonts w:cs="Arial"/>
          <w:sz w:val="24"/>
          <w:szCs w:val="24"/>
        </w:rPr>
        <w:t xml:space="preserve"> equally across both arms (which would have improved the cost-effectiveness of efgartigimod). Peter Graham noted that the model applying </w:t>
      </w:r>
      <w:r w:rsidR="00544068">
        <w:rPr>
          <w:rFonts w:cs="Arial"/>
          <w:sz w:val="24"/>
          <w:szCs w:val="24"/>
        </w:rPr>
        <w:t>plasma exchange therapy</w:t>
      </w:r>
      <w:r w:rsidRPr="00D032B4">
        <w:rPr>
          <w:rFonts w:cs="Arial"/>
          <w:sz w:val="24"/>
          <w:szCs w:val="24"/>
        </w:rPr>
        <w:t xml:space="preserve"> equally across both arms was part of the </w:t>
      </w:r>
      <w:r w:rsidR="006E5321" w:rsidRPr="00D032B4">
        <w:rPr>
          <w:rFonts w:cs="Arial"/>
          <w:sz w:val="24"/>
          <w:szCs w:val="24"/>
        </w:rPr>
        <w:t>updated</w:t>
      </w:r>
      <w:r w:rsidRPr="00D032B4">
        <w:rPr>
          <w:rFonts w:cs="Arial"/>
          <w:sz w:val="24"/>
          <w:szCs w:val="24"/>
        </w:rPr>
        <w:t xml:space="preserve"> analysis that was not shared with the Committee ahead of the fourth committee meeting. </w:t>
      </w:r>
    </w:p>
    <w:p w14:paraId="69A68B5C" w14:textId="563A6B04" w:rsidR="00EA2A5E" w:rsidRPr="00D032B4" w:rsidRDefault="00EA2A5E" w:rsidP="00B93E19">
      <w:pPr>
        <w:pStyle w:val="Paragraph"/>
        <w:rPr>
          <w:rFonts w:cs="Arial"/>
          <w:sz w:val="24"/>
          <w:szCs w:val="24"/>
        </w:rPr>
      </w:pPr>
      <w:r w:rsidRPr="00D032B4">
        <w:rPr>
          <w:rFonts w:cs="Arial"/>
          <w:sz w:val="24"/>
          <w:szCs w:val="24"/>
        </w:rPr>
        <w:t xml:space="preserve">The Panel asked whether the Committee's concern in respect of the relative paucity of data it attached to </w:t>
      </w:r>
      <w:r w:rsidR="00544068">
        <w:rPr>
          <w:rFonts w:cs="Arial"/>
          <w:sz w:val="24"/>
          <w:szCs w:val="24"/>
        </w:rPr>
        <w:t>intravenous immunoglobulin</w:t>
      </w:r>
      <w:r w:rsidRPr="00D032B4">
        <w:rPr>
          <w:rFonts w:cs="Arial"/>
          <w:sz w:val="24"/>
          <w:szCs w:val="24"/>
        </w:rPr>
        <w:t xml:space="preserve"> also applied to the inclusion of </w:t>
      </w:r>
      <w:r w:rsidR="00544068">
        <w:rPr>
          <w:rFonts w:cs="Arial"/>
          <w:sz w:val="24"/>
          <w:szCs w:val="24"/>
        </w:rPr>
        <w:t>plasma exchange therapy</w:t>
      </w:r>
      <w:r w:rsidRPr="00D032B4">
        <w:rPr>
          <w:rFonts w:cs="Arial"/>
          <w:sz w:val="24"/>
          <w:szCs w:val="24"/>
        </w:rPr>
        <w:t xml:space="preserve"> in the model</w:t>
      </w:r>
      <w:r w:rsidR="003A4206" w:rsidRPr="00D032B4">
        <w:rPr>
          <w:rFonts w:cs="Arial"/>
          <w:sz w:val="24"/>
          <w:szCs w:val="24"/>
        </w:rPr>
        <w:t>.</w:t>
      </w:r>
      <w:r w:rsidRPr="00D032B4">
        <w:rPr>
          <w:rFonts w:cs="Arial"/>
          <w:sz w:val="24"/>
          <w:szCs w:val="24"/>
        </w:rPr>
        <w:t xml:space="preserve"> </w:t>
      </w:r>
    </w:p>
    <w:p w14:paraId="55398B07" w14:textId="649F8506" w:rsidR="003A4206" w:rsidRPr="00D032B4" w:rsidRDefault="00EA2A5E" w:rsidP="00B93E19">
      <w:pPr>
        <w:pStyle w:val="Paragraph"/>
        <w:rPr>
          <w:rFonts w:cs="Arial"/>
          <w:sz w:val="24"/>
          <w:szCs w:val="24"/>
        </w:rPr>
      </w:pPr>
      <w:r w:rsidRPr="00D032B4">
        <w:rPr>
          <w:rFonts w:cs="Arial"/>
          <w:sz w:val="24"/>
          <w:szCs w:val="24"/>
        </w:rPr>
        <w:t>Alan Moore</w:t>
      </w:r>
      <w:r w:rsidR="00A23DB5">
        <w:rPr>
          <w:rFonts w:cs="Arial"/>
          <w:sz w:val="24"/>
          <w:szCs w:val="24"/>
        </w:rPr>
        <w:t>, for NICE,</w:t>
      </w:r>
      <w:r w:rsidRPr="00D032B4">
        <w:rPr>
          <w:rFonts w:cs="Arial"/>
          <w:sz w:val="24"/>
          <w:szCs w:val="24"/>
        </w:rPr>
        <w:t xml:space="preserve"> explained that both are unlicensed, expensive, have a highly uncertain uptake and </w:t>
      </w:r>
      <w:r w:rsidR="00544068">
        <w:rPr>
          <w:rFonts w:cs="Arial"/>
          <w:sz w:val="24"/>
          <w:szCs w:val="24"/>
        </w:rPr>
        <w:t>time on treatment</w:t>
      </w:r>
      <w:r w:rsidRPr="00D032B4">
        <w:rPr>
          <w:rFonts w:cs="Arial"/>
          <w:sz w:val="24"/>
          <w:szCs w:val="24"/>
        </w:rPr>
        <w:t xml:space="preserve"> and are underpinned by limited data. The Committee was flexible in accepting both into the mode</w:t>
      </w:r>
      <w:r w:rsidR="00C0269A" w:rsidRPr="00D032B4">
        <w:rPr>
          <w:rFonts w:cs="Arial"/>
          <w:sz w:val="24"/>
          <w:szCs w:val="24"/>
        </w:rPr>
        <w:t>l</w:t>
      </w:r>
      <w:r w:rsidRPr="00D032B4">
        <w:rPr>
          <w:rFonts w:cs="Arial"/>
          <w:sz w:val="24"/>
          <w:szCs w:val="24"/>
        </w:rPr>
        <w:t xml:space="preserve">, and so the uncertainties and concerns regarding </w:t>
      </w:r>
      <w:r w:rsidR="00544068">
        <w:rPr>
          <w:rFonts w:cs="Arial"/>
          <w:sz w:val="24"/>
          <w:szCs w:val="24"/>
        </w:rPr>
        <w:t>plasma exchange therapy</w:t>
      </w:r>
      <w:r w:rsidRPr="00D032B4">
        <w:rPr>
          <w:rFonts w:cs="Arial"/>
          <w:sz w:val="24"/>
          <w:szCs w:val="24"/>
        </w:rPr>
        <w:t xml:space="preserve"> mirrored the concerns in respect of </w:t>
      </w:r>
      <w:r w:rsidR="00544068">
        <w:rPr>
          <w:rFonts w:cs="Arial"/>
          <w:sz w:val="24"/>
          <w:szCs w:val="24"/>
        </w:rPr>
        <w:t>intravenous immunoglobulin</w:t>
      </w:r>
      <w:r w:rsidRPr="00D032B4">
        <w:rPr>
          <w:rFonts w:cs="Arial"/>
          <w:sz w:val="24"/>
          <w:szCs w:val="24"/>
        </w:rPr>
        <w:t xml:space="preserve">. </w:t>
      </w:r>
    </w:p>
    <w:p w14:paraId="3A019752" w14:textId="49C87B05" w:rsidR="00EA2A5E" w:rsidRPr="00D032B4" w:rsidRDefault="00EA2A5E" w:rsidP="00206985">
      <w:pPr>
        <w:pStyle w:val="Paragraph"/>
        <w:rPr>
          <w:rFonts w:cs="Arial"/>
          <w:sz w:val="24"/>
          <w:szCs w:val="24"/>
        </w:rPr>
      </w:pPr>
      <w:r w:rsidRPr="00D032B4">
        <w:rPr>
          <w:rFonts w:cs="Arial"/>
          <w:sz w:val="24"/>
          <w:szCs w:val="24"/>
        </w:rPr>
        <w:t xml:space="preserve">The Panel followed up asking how the Committee reached a different conclusion in respect its preferred assumptions </w:t>
      </w:r>
      <w:r w:rsidR="003A4206" w:rsidRPr="00D032B4">
        <w:rPr>
          <w:rFonts w:cs="Arial"/>
          <w:sz w:val="24"/>
          <w:szCs w:val="24"/>
        </w:rPr>
        <w:t>for the different</w:t>
      </w:r>
      <w:r w:rsidRPr="00D032B4">
        <w:rPr>
          <w:rFonts w:cs="Arial"/>
          <w:sz w:val="24"/>
          <w:szCs w:val="24"/>
        </w:rPr>
        <w:t xml:space="preserve"> </w:t>
      </w:r>
      <w:r w:rsidR="008D24CE">
        <w:rPr>
          <w:rFonts w:cs="Arial"/>
          <w:sz w:val="24"/>
          <w:szCs w:val="24"/>
        </w:rPr>
        <w:t>“</w:t>
      </w:r>
      <w:r w:rsidRPr="00D032B4">
        <w:rPr>
          <w:rFonts w:cs="Arial"/>
          <w:sz w:val="24"/>
          <w:szCs w:val="24"/>
        </w:rPr>
        <w:t>rescue</w:t>
      </w:r>
      <w:r w:rsidR="00136FB2">
        <w:rPr>
          <w:rFonts w:cs="Arial"/>
          <w:sz w:val="24"/>
          <w:szCs w:val="24"/>
        </w:rPr>
        <w:t>’’</w:t>
      </w:r>
      <w:r w:rsidRPr="00D032B4">
        <w:rPr>
          <w:rFonts w:cs="Arial"/>
          <w:sz w:val="24"/>
          <w:szCs w:val="24"/>
        </w:rPr>
        <w:t xml:space="preserve"> treatments. Alan Moore explained that the Committee wanted to include </w:t>
      </w:r>
      <w:r w:rsidR="00544068">
        <w:rPr>
          <w:rFonts w:cs="Arial"/>
          <w:sz w:val="24"/>
          <w:szCs w:val="24"/>
        </w:rPr>
        <w:t>plasma exchange therapy</w:t>
      </w:r>
      <w:r w:rsidRPr="00D032B4">
        <w:rPr>
          <w:rFonts w:cs="Arial"/>
          <w:sz w:val="24"/>
          <w:szCs w:val="24"/>
        </w:rPr>
        <w:t xml:space="preserve"> in the pathway</w:t>
      </w:r>
      <w:r w:rsidR="003A4206" w:rsidRPr="00D032B4">
        <w:rPr>
          <w:rFonts w:cs="Arial"/>
          <w:sz w:val="24"/>
          <w:szCs w:val="24"/>
        </w:rPr>
        <w:t xml:space="preserve">, but the </w:t>
      </w:r>
      <w:proofErr w:type="gramStart"/>
      <w:r w:rsidR="003A4206" w:rsidRPr="00D032B4">
        <w:rPr>
          <w:rFonts w:cs="Arial"/>
          <w:sz w:val="24"/>
          <w:szCs w:val="24"/>
        </w:rPr>
        <w:t>manner in which</w:t>
      </w:r>
      <w:proofErr w:type="gramEnd"/>
      <w:r w:rsidR="003A4206" w:rsidRPr="00D032B4">
        <w:rPr>
          <w:rFonts w:cs="Arial"/>
          <w:sz w:val="24"/>
          <w:szCs w:val="24"/>
        </w:rPr>
        <w:t xml:space="preserve"> the Company had modelled </w:t>
      </w:r>
      <w:r w:rsidR="00544068">
        <w:rPr>
          <w:rFonts w:cs="Arial"/>
          <w:sz w:val="24"/>
          <w:szCs w:val="24"/>
        </w:rPr>
        <w:t>plasma exchange therapy</w:t>
      </w:r>
      <w:r w:rsidR="003A4206" w:rsidRPr="00D032B4">
        <w:rPr>
          <w:rFonts w:cs="Arial"/>
          <w:sz w:val="24"/>
          <w:szCs w:val="24"/>
        </w:rPr>
        <w:t xml:space="preserve"> across the treatment arms did not allow the Committee to use the model to explore the pathway it preferred. He noted that when modelling several </w:t>
      </w:r>
      <w:r w:rsidR="00ED1F23" w:rsidRPr="00D032B4">
        <w:rPr>
          <w:rFonts w:cs="Arial"/>
          <w:sz w:val="24"/>
          <w:szCs w:val="24"/>
        </w:rPr>
        <w:t>high-cost</w:t>
      </w:r>
      <w:r w:rsidR="003A4206" w:rsidRPr="00D032B4">
        <w:rPr>
          <w:rFonts w:cs="Arial"/>
          <w:sz w:val="24"/>
          <w:szCs w:val="24"/>
        </w:rPr>
        <w:t xml:space="preserve"> treatments, this should be robustly modelled and supported with evidence. </w:t>
      </w:r>
    </w:p>
    <w:p w14:paraId="47700148" w14:textId="1A629E33" w:rsidR="003A4206" w:rsidRPr="00D032B4" w:rsidRDefault="00A23DB5" w:rsidP="00C0269A">
      <w:pPr>
        <w:pStyle w:val="Paragraph"/>
        <w:rPr>
          <w:rFonts w:cs="Arial"/>
          <w:sz w:val="24"/>
          <w:szCs w:val="24"/>
        </w:rPr>
      </w:pPr>
      <w:r>
        <w:rPr>
          <w:rFonts w:cs="Arial"/>
          <w:sz w:val="24"/>
          <w:szCs w:val="24"/>
        </w:rPr>
        <w:lastRenderedPageBreak/>
        <w:t>Dr</w:t>
      </w:r>
      <w:r w:rsidRPr="00D032B4">
        <w:rPr>
          <w:rFonts w:cs="Arial"/>
          <w:sz w:val="24"/>
          <w:szCs w:val="24"/>
        </w:rPr>
        <w:t xml:space="preserve"> </w:t>
      </w:r>
      <w:r w:rsidR="003A4206" w:rsidRPr="00D032B4">
        <w:rPr>
          <w:rFonts w:cs="Arial"/>
          <w:sz w:val="24"/>
          <w:szCs w:val="24"/>
        </w:rPr>
        <w:t xml:space="preserve">Reddy explained that there is better evidence available for </w:t>
      </w:r>
      <w:r w:rsidR="00544068">
        <w:rPr>
          <w:rFonts w:cs="Arial"/>
          <w:sz w:val="24"/>
          <w:szCs w:val="24"/>
        </w:rPr>
        <w:t>intravenous immunoglobulin</w:t>
      </w:r>
      <w:r w:rsidR="003A4206" w:rsidRPr="00D032B4">
        <w:rPr>
          <w:rFonts w:cs="Arial"/>
          <w:sz w:val="24"/>
          <w:szCs w:val="24"/>
        </w:rPr>
        <w:t xml:space="preserve"> than </w:t>
      </w:r>
      <w:r w:rsidR="00544068">
        <w:rPr>
          <w:rFonts w:cs="Arial"/>
          <w:sz w:val="24"/>
          <w:szCs w:val="24"/>
        </w:rPr>
        <w:t>plasma exchange therapy</w:t>
      </w:r>
      <w:r w:rsidR="003A4206" w:rsidRPr="00D032B4">
        <w:rPr>
          <w:rFonts w:cs="Arial"/>
          <w:sz w:val="24"/>
          <w:szCs w:val="24"/>
        </w:rPr>
        <w:t xml:space="preserve"> as </w:t>
      </w:r>
      <w:r w:rsidR="00544068">
        <w:rPr>
          <w:rFonts w:cs="Arial"/>
          <w:sz w:val="24"/>
          <w:szCs w:val="24"/>
        </w:rPr>
        <w:t>intravenous immunoglobulin</w:t>
      </w:r>
      <w:r w:rsidR="003A4206" w:rsidRPr="00D032B4">
        <w:rPr>
          <w:rFonts w:cs="Arial"/>
          <w:sz w:val="24"/>
          <w:szCs w:val="24"/>
        </w:rPr>
        <w:t xml:space="preserve"> use is recorded on a national database </w:t>
      </w:r>
      <w:r w:rsidR="00C0269A" w:rsidRPr="00D032B4">
        <w:rPr>
          <w:rFonts w:cs="Arial"/>
          <w:sz w:val="24"/>
          <w:szCs w:val="24"/>
        </w:rPr>
        <w:t xml:space="preserve">maintained </w:t>
      </w:r>
      <w:r w:rsidR="00C4238C">
        <w:rPr>
          <w:rFonts w:cs="Arial"/>
          <w:sz w:val="24"/>
          <w:szCs w:val="24"/>
        </w:rPr>
        <w:t xml:space="preserve">by </w:t>
      </w:r>
      <w:r w:rsidR="003A4206" w:rsidRPr="00D032B4">
        <w:rPr>
          <w:rFonts w:cs="Arial"/>
          <w:sz w:val="24"/>
          <w:szCs w:val="24"/>
        </w:rPr>
        <w:t xml:space="preserve">NHS England. He explained that the Committee concluded with some degree of certainty that the ICER would not be materially changed (if modelled in both arms), and because the </w:t>
      </w:r>
      <w:r w:rsidR="00544068">
        <w:rPr>
          <w:rFonts w:cs="Arial"/>
          <w:sz w:val="24"/>
          <w:szCs w:val="24"/>
        </w:rPr>
        <w:t>time on treatment</w:t>
      </w:r>
      <w:r w:rsidR="003A4206" w:rsidRPr="00D032B4">
        <w:rPr>
          <w:rFonts w:cs="Arial"/>
          <w:sz w:val="24"/>
          <w:szCs w:val="24"/>
        </w:rPr>
        <w:t xml:space="preserve"> of efgartigimod was so short, it was reasonable also to conclude that removing </w:t>
      </w:r>
      <w:r w:rsidR="00544068">
        <w:rPr>
          <w:rFonts w:cs="Arial"/>
          <w:sz w:val="24"/>
          <w:szCs w:val="24"/>
        </w:rPr>
        <w:t>plasma exchange therapy</w:t>
      </w:r>
      <w:r w:rsidR="003A4206" w:rsidRPr="00D032B4">
        <w:rPr>
          <w:rFonts w:cs="Arial"/>
          <w:sz w:val="24"/>
          <w:szCs w:val="24"/>
        </w:rPr>
        <w:t xml:space="preserve"> from modelling altogether would not have materially impacted the ICER. </w:t>
      </w:r>
    </w:p>
    <w:p w14:paraId="56ACA4C3" w14:textId="441A52B1" w:rsidR="00C0269A" w:rsidRPr="00D032B4" w:rsidRDefault="003A4206" w:rsidP="00C0269A">
      <w:pPr>
        <w:pStyle w:val="Paragraph"/>
        <w:rPr>
          <w:rFonts w:cs="Arial"/>
          <w:sz w:val="24"/>
          <w:szCs w:val="24"/>
        </w:rPr>
      </w:pPr>
      <w:r w:rsidRPr="00D032B4">
        <w:rPr>
          <w:rFonts w:cs="Arial"/>
          <w:sz w:val="24"/>
          <w:szCs w:val="24"/>
        </w:rPr>
        <w:t>David Knechtel</w:t>
      </w:r>
      <w:r w:rsidR="00A23DB5">
        <w:rPr>
          <w:rFonts w:cs="Arial"/>
          <w:sz w:val="24"/>
          <w:szCs w:val="24"/>
        </w:rPr>
        <w:t xml:space="preserve">, for </w:t>
      </w:r>
      <w:proofErr w:type="spellStart"/>
      <w:r w:rsidR="00A23DB5">
        <w:rPr>
          <w:rFonts w:cs="Arial"/>
          <w:sz w:val="24"/>
          <w:szCs w:val="24"/>
        </w:rPr>
        <w:t>Argenx</w:t>
      </w:r>
      <w:proofErr w:type="spellEnd"/>
      <w:r w:rsidR="00A23DB5">
        <w:rPr>
          <w:rFonts w:cs="Arial"/>
          <w:sz w:val="24"/>
          <w:szCs w:val="24"/>
        </w:rPr>
        <w:t>,</w:t>
      </w:r>
      <w:r w:rsidRPr="00D032B4">
        <w:rPr>
          <w:rFonts w:cs="Arial"/>
          <w:sz w:val="24"/>
          <w:szCs w:val="24"/>
        </w:rPr>
        <w:t xml:space="preserve"> disagreed, stating that in circumstances where all parties agree that </w:t>
      </w:r>
      <w:r w:rsidR="00544068">
        <w:rPr>
          <w:rFonts w:cs="Arial"/>
          <w:sz w:val="24"/>
          <w:szCs w:val="24"/>
        </w:rPr>
        <w:t>plasma exchange therapy</w:t>
      </w:r>
      <w:r w:rsidRPr="00D032B4">
        <w:rPr>
          <w:rFonts w:cs="Arial"/>
          <w:sz w:val="24"/>
          <w:szCs w:val="24"/>
        </w:rPr>
        <w:t xml:space="preserve"> is an important part of the treatment pathway in clinical practice, it was unreasonable for the Committee to have </w:t>
      </w:r>
      <w:r w:rsidR="005330BE" w:rsidRPr="00D032B4">
        <w:rPr>
          <w:rFonts w:cs="Arial"/>
          <w:sz w:val="24"/>
          <w:szCs w:val="24"/>
        </w:rPr>
        <w:t>e</w:t>
      </w:r>
      <w:r w:rsidRPr="00D032B4">
        <w:rPr>
          <w:rFonts w:cs="Arial"/>
          <w:sz w:val="24"/>
          <w:szCs w:val="24"/>
        </w:rPr>
        <w:t xml:space="preserve">xcluded it entirely. </w:t>
      </w:r>
      <w:r w:rsidR="005330BE" w:rsidRPr="00D032B4">
        <w:rPr>
          <w:rFonts w:cs="Arial"/>
          <w:sz w:val="24"/>
          <w:szCs w:val="24"/>
        </w:rPr>
        <w:t>Peter Graham</w:t>
      </w:r>
      <w:r w:rsidR="00C0269A" w:rsidRPr="00D032B4">
        <w:rPr>
          <w:rFonts w:cs="Arial"/>
          <w:sz w:val="24"/>
          <w:szCs w:val="24"/>
        </w:rPr>
        <w:t xml:space="preserve"> disagreed with the Committee position</w:t>
      </w:r>
      <w:r w:rsidR="00824C33" w:rsidRPr="00D032B4">
        <w:rPr>
          <w:rFonts w:cs="Arial"/>
          <w:sz w:val="24"/>
          <w:szCs w:val="24"/>
        </w:rPr>
        <w:t xml:space="preserve"> also</w:t>
      </w:r>
      <w:r w:rsidR="005330BE" w:rsidRPr="00D032B4">
        <w:rPr>
          <w:rFonts w:cs="Arial"/>
          <w:sz w:val="24"/>
          <w:szCs w:val="24"/>
        </w:rPr>
        <w:t xml:space="preserve">. He explained that although </w:t>
      </w:r>
      <w:r w:rsidR="00544068">
        <w:rPr>
          <w:rFonts w:cs="Arial"/>
          <w:sz w:val="24"/>
          <w:szCs w:val="24"/>
        </w:rPr>
        <w:t>intravenous immunoglobulin</w:t>
      </w:r>
      <w:r w:rsidR="005330BE" w:rsidRPr="00D032B4">
        <w:rPr>
          <w:rFonts w:cs="Arial"/>
          <w:sz w:val="24"/>
          <w:szCs w:val="24"/>
        </w:rPr>
        <w:t xml:space="preserve"> was the more costly escalation treatment, the Company had originally incorporated </w:t>
      </w:r>
      <w:r w:rsidR="00544068">
        <w:rPr>
          <w:rFonts w:cs="Arial"/>
          <w:sz w:val="24"/>
          <w:szCs w:val="24"/>
        </w:rPr>
        <w:t>intravenous immunoglobulin</w:t>
      </w:r>
      <w:r w:rsidR="005330BE" w:rsidRPr="00D032B4">
        <w:rPr>
          <w:rFonts w:cs="Arial"/>
          <w:sz w:val="24"/>
          <w:szCs w:val="24"/>
        </w:rPr>
        <w:t xml:space="preserve"> into modelling because there were more data available for </w:t>
      </w:r>
      <w:r w:rsidR="00544068">
        <w:rPr>
          <w:rFonts w:cs="Arial"/>
          <w:sz w:val="24"/>
          <w:szCs w:val="24"/>
        </w:rPr>
        <w:t>intravenous immunoglobulin</w:t>
      </w:r>
      <w:r w:rsidR="005330BE" w:rsidRPr="00D032B4">
        <w:rPr>
          <w:rFonts w:cs="Arial"/>
          <w:sz w:val="24"/>
          <w:szCs w:val="24"/>
        </w:rPr>
        <w:t xml:space="preserve"> use to underpin the model. </w:t>
      </w:r>
    </w:p>
    <w:p w14:paraId="2B3FF40B" w14:textId="4DF99D02" w:rsidR="00036710" w:rsidRPr="00D032B4" w:rsidRDefault="00A23DB5" w:rsidP="00C0269A">
      <w:pPr>
        <w:pStyle w:val="Paragraph"/>
        <w:rPr>
          <w:rFonts w:cs="Arial"/>
          <w:sz w:val="24"/>
          <w:szCs w:val="24"/>
        </w:rPr>
      </w:pPr>
      <w:r>
        <w:rPr>
          <w:rFonts w:cs="Arial"/>
          <w:sz w:val="24"/>
          <w:szCs w:val="24"/>
        </w:rPr>
        <w:t>Dr</w:t>
      </w:r>
      <w:r w:rsidRPr="00D032B4">
        <w:rPr>
          <w:rFonts w:cs="Arial"/>
          <w:sz w:val="24"/>
          <w:szCs w:val="24"/>
        </w:rPr>
        <w:t xml:space="preserve"> </w:t>
      </w:r>
      <w:r w:rsidR="005330BE" w:rsidRPr="00D032B4">
        <w:rPr>
          <w:rFonts w:cs="Arial"/>
          <w:sz w:val="24"/>
          <w:szCs w:val="24"/>
        </w:rPr>
        <w:t xml:space="preserve">Reddy highlighted again that it did not appear plausible for only 6% to go onto </w:t>
      </w:r>
      <w:r w:rsidR="00544068">
        <w:rPr>
          <w:rFonts w:cs="Arial"/>
          <w:sz w:val="24"/>
          <w:szCs w:val="24"/>
        </w:rPr>
        <w:t>plasma exchange therapy</w:t>
      </w:r>
      <w:r w:rsidR="005330BE" w:rsidRPr="00D032B4">
        <w:rPr>
          <w:rFonts w:cs="Arial"/>
          <w:sz w:val="24"/>
          <w:szCs w:val="24"/>
        </w:rPr>
        <w:t xml:space="preserve"> after efgartigimod whereas 43.8% would go onto </w:t>
      </w:r>
      <w:r w:rsidR="00544068">
        <w:rPr>
          <w:rFonts w:cs="Arial"/>
          <w:sz w:val="24"/>
          <w:szCs w:val="24"/>
        </w:rPr>
        <w:t>plasma exchange therapy</w:t>
      </w:r>
      <w:r w:rsidR="005330BE" w:rsidRPr="00D032B4">
        <w:rPr>
          <w:rFonts w:cs="Arial"/>
          <w:sz w:val="24"/>
          <w:szCs w:val="24"/>
        </w:rPr>
        <w:t xml:space="preserve"> after </w:t>
      </w:r>
      <w:r w:rsidR="00544068">
        <w:rPr>
          <w:rFonts w:cs="Arial"/>
          <w:sz w:val="24"/>
          <w:szCs w:val="24"/>
        </w:rPr>
        <w:t>intravenous immunoglobulin</w:t>
      </w:r>
      <w:r w:rsidR="00F75061" w:rsidRPr="00D032B4">
        <w:rPr>
          <w:rFonts w:cs="Arial"/>
          <w:sz w:val="24"/>
          <w:szCs w:val="24"/>
        </w:rPr>
        <w:t xml:space="preserve">. </w:t>
      </w:r>
    </w:p>
    <w:p w14:paraId="7339E253" w14:textId="063CAACB" w:rsidR="00D032B4" w:rsidRPr="00D032B4" w:rsidRDefault="00D032B4" w:rsidP="00D032B4">
      <w:pPr>
        <w:pStyle w:val="Paragraph"/>
        <w:rPr>
          <w:rFonts w:cs="Arial"/>
          <w:sz w:val="24"/>
          <w:szCs w:val="24"/>
        </w:rPr>
      </w:pPr>
      <w:r w:rsidRPr="00D032B4">
        <w:rPr>
          <w:rFonts w:cs="Arial"/>
          <w:sz w:val="24"/>
          <w:szCs w:val="24"/>
        </w:rPr>
        <w:t>The Appeal Panel concluded as follows</w:t>
      </w:r>
      <w:r w:rsidR="0074228C">
        <w:rPr>
          <w:rFonts w:cs="Arial"/>
          <w:sz w:val="24"/>
          <w:szCs w:val="24"/>
        </w:rPr>
        <w:t xml:space="preserve">. </w:t>
      </w:r>
      <w:r w:rsidRPr="00D032B4">
        <w:rPr>
          <w:rFonts w:cs="Arial"/>
          <w:sz w:val="24"/>
          <w:szCs w:val="24"/>
        </w:rPr>
        <w:t xml:space="preserve">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were persuaded that the </w:t>
      </w:r>
      <w:r w:rsidR="0074228C">
        <w:rPr>
          <w:rFonts w:cs="Arial"/>
          <w:sz w:val="24"/>
          <w:szCs w:val="24"/>
        </w:rPr>
        <w:t>C</w:t>
      </w:r>
      <w:r w:rsidR="0074228C" w:rsidRPr="00D032B4">
        <w:rPr>
          <w:rFonts w:cs="Arial"/>
          <w:sz w:val="24"/>
          <w:szCs w:val="24"/>
        </w:rPr>
        <w:t xml:space="preserve">ommittee </w:t>
      </w:r>
      <w:r w:rsidRPr="00D032B4">
        <w:rPr>
          <w:rFonts w:cs="Arial"/>
          <w:sz w:val="24"/>
          <w:szCs w:val="24"/>
        </w:rPr>
        <w:t xml:space="preserve">had taken note of and accepted clinical expert advice that </w:t>
      </w:r>
      <w:r w:rsidR="00544068">
        <w:rPr>
          <w:rFonts w:cs="Arial"/>
          <w:sz w:val="24"/>
          <w:szCs w:val="24"/>
        </w:rPr>
        <w:t>plasma exchange therapy</w:t>
      </w:r>
      <w:r w:rsidRPr="00D032B4">
        <w:rPr>
          <w:rFonts w:cs="Arial"/>
          <w:sz w:val="24"/>
          <w:szCs w:val="24"/>
        </w:rPr>
        <w:t xml:space="preserve"> is part of the accepted NHS treatment pathway for patients with </w:t>
      </w:r>
      <w:r w:rsidR="00544068">
        <w:rPr>
          <w:rFonts w:cs="Arial"/>
          <w:sz w:val="24"/>
          <w:szCs w:val="24"/>
        </w:rPr>
        <w:t>generalised myasthenia gravis</w:t>
      </w:r>
      <w:r w:rsidR="00F75061" w:rsidRPr="00D032B4">
        <w:rPr>
          <w:rFonts w:cs="Arial"/>
          <w:sz w:val="24"/>
          <w:szCs w:val="24"/>
        </w:rPr>
        <w:t xml:space="preserve">. </w:t>
      </w:r>
      <w:r w:rsidRPr="00D032B4">
        <w:rPr>
          <w:rFonts w:cs="Arial"/>
          <w:sz w:val="24"/>
          <w:szCs w:val="24"/>
        </w:rPr>
        <w:t xml:space="preserve">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were satisfied that the conclusion that was reached by the committee at its </w:t>
      </w:r>
      <w:r w:rsidR="0074228C">
        <w:rPr>
          <w:rFonts w:cs="Arial"/>
          <w:sz w:val="24"/>
          <w:szCs w:val="24"/>
        </w:rPr>
        <w:t>fourth committee</w:t>
      </w:r>
      <w:r w:rsidR="0074228C" w:rsidRPr="00D032B4">
        <w:rPr>
          <w:rFonts w:cs="Arial"/>
          <w:sz w:val="24"/>
          <w:szCs w:val="24"/>
        </w:rPr>
        <w:t xml:space="preserve"> </w:t>
      </w:r>
      <w:r w:rsidRPr="00D032B4">
        <w:rPr>
          <w:rFonts w:cs="Arial"/>
          <w:sz w:val="24"/>
          <w:szCs w:val="24"/>
        </w:rPr>
        <w:t xml:space="preserve">meeting that </w:t>
      </w:r>
      <w:r w:rsidR="00544068">
        <w:rPr>
          <w:rFonts w:cs="Arial"/>
          <w:sz w:val="24"/>
          <w:szCs w:val="24"/>
        </w:rPr>
        <w:t>plasma exchange therapy</w:t>
      </w:r>
      <w:r w:rsidRPr="00D032B4">
        <w:rPr>
          <w:rFonts w:cs="Arial"/>
          <w:sz w:val="24"/>
          <w:szCs w:val="24"/>
        </w:rPr>
        <w:t xml:space="preserve"> should be excluded from the modelled pathway was governed by the circumstances and information available to it at that meeting</w:t>
      </w:r>
      <w:r w:rsidR="00F75061" w:rsidRPr="00D032B4">
        <w:rPr>
          <w:rFonts w:cs="Arial"/>
          <w:sz w:val="24"/>
          <w:szCs w:val="24"/>
        </w:rPr>
        <w:t xml:space="preserve">. </w:t>
      </w:r>
      <w:r w:rsidRPr="00D032B4">
        <w:rPr>
          <w:rFonts w:cs="Arial"/>
          <w:sz w:val="24"/>
          <w:szCs w:val="24"/>
        </w:rPr>
        <w:t xml:space="preserve">In </w:t>
      </w:r>
      <w:r w:rsidRPr="00D032B4">
        <w:rPr>
          <w:rFonts w:cs="Arial"/>
          <w:sz w:val="24"/>
          <w:szCs w:val="24"/>
        </w:rPr>
        <w:lastRenderedPageBreak/>
        <w:t xml:space="preserve">this regard,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noted that in the early stages of the appraisal, the inclusion of </w:t>
      </w:r>
      <w:r w:rsidR="00544068">
        <w:rPr>
          <w:rFonts w:cs="Arial"/>
          <w:sz w:val="24"/>
          <w:szCs w:val="24"/>
        </w:rPr>
        <w:t>plasma exchange therapy</w:t>
      </w:r>
      <w:r w:rsidRPr="00D032B4">
        <w:rPr>
          <w:rFonts w:cs="Arial"/>
          <w:sz w:val="24"/>
          <w:szCs w:val="24"/>
        </w:rPr>
        <w:t xml:space="preserve"> in the modelling of the treatment pathway was supported by NICE</w:t>
      </w:r>
      <w:r w:rsidR="00B26223">
        <w:rPr>
          <w:rFonts w:cs="Arial"/>
          <w:sz w:val="24"/>
          <w:szCs w:val="24"/>
        </w:rPr>
        <w:t>,</w:t>
      </w:r>
      <w:r w:rsidRPr="00D032B4">
        <w:rPr>
          <w:rFonts w:cs="Arial"/>
          <w:sz w:val="24"/>
          <w:szCs w:val="24"/>
        </w:rPr>
        <w:t xml:space="preserve"> but that the </w:t>
      </w:r>
      <w:r w:rsidR="0074228C">
        <w:rPr>
          <w:rFonts w:cs="Arial"/>
          <w:sz w:val="24"/>
          <w:szCs w:val="24"/>
        </w:rPr>
        <w:t>C</w:t>
      </w:r>
      <w:r w:rsidR="0074228C" w:rsidRPr="00D032B4">
        <w:rPr>
          <w:rFonts w:cs="Arial"/>
          <w:sz w:val="24"/>
          <w:szCs w:val="24"/>
        </w:rPr>
        <w:t xml:space="preserve">ompany </w:t>
      </w:r>
      <w:r w:rsidRPr="00D032B4">
        <w:rPr>
          <w:rFonts w:cs="Arial"/>
          <w:sz w:val="24"/>
          <w:szCs w:val="24"/>
        </w:rPr>
        <w:t xml:space="preserve">had declined to </w:t>
      </w:r>
      <w:r w:rsidR="0074228C">
        <w:rPr>
          <w:rFonts w:cs="Arial"/>
          <w:sz w:val="24"/>
          <w:szCs w:val="24"/>
        </w:rPr>
        <w:t xml:space="preserve">incorporate </w:t>
      </w:r>
      <w:r w:rsidR="00544068">
        <w:rPr>
          <w:rFonts w:cs="Arial"/>
          <w:sz w:val="24"/>
          <w:szCs w:val="24"/>
        </w:rPr>
        <w:t>plasma exchange therapy</w:t>
      </w:r>
      <w:r w:rsidR="0074228C">
        <w:rPr>
          <w:rFonts w:cs="Arial"/>
          <w:sz w:val="24"/>
          <w:szCs w:val="24"/>
        </w:rPr>
        <w:t xml:space="preserve"> into its model </w:t>
      </w:r>
      <w:r w:rsidRPr="00D032B4">
        <w:rPr>
          <w:rFonts w:cs="Arial"/>
          <w:sz w:val="24"/>
          <w:szCs w:val="24"/>
        </w:rPr>
        <w:t xml:space="preserve">on the basis of concerns about the availability of evidence to support its use as maintenance therapy outside of the acute treatment of myasthenic crises. Furthermore,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noted that the subsequent inclusion of plasma exchange in the modelled pathway was a late change that was introduced by the </w:t>
      </w:r>
      <w:r w:rsidR="0074228C">
        <w:rPr>
          <w:rFonts w:cs="Arial"/>
          <w:sz w:val="24"/>
          <w:szCs w:val="24"/>
        </w:rPr>
        <w:t>C</w:t>
      </w:r>
      <w:r w:rsidR="0074228C" w:rsidRPr="00D032B4">
        <w:rPr>
          <w:rFonts w:cs="Arial"/>
          <w:sz w:val="24"/>
          <w:szCs w:val="24"/>
        </w:rPr>
        <w:t xml:space="preserve">ompany </w:t>
      </w:r>
      <w:r w:rsidR="00C4238C">
        <w:rPr>
          <w:rFonts w:cs="Arial"/>
          <w:sz w:val="24"/>
          <w:szCs w:val="24"/>
        </w:rPr>
        <w:t xml:space="preserve">between the third and fourth </w:t>
      </w:r>
      <w:r w:rsidRPr="00D032B4">
        <w:rPr>
          <w:rFonts w:cs="Arial"/>
          <w:sz w:val="24"/>
          <w:szCs w:val="24"/>
        </w:rPr>
        <w:t>committee meeting</w:t>
      </w:r>
      <w:r w:rsidR="00C4238C">
        <w:rPr>
          <w:rFonts w:cs="Arial"/>
          <w:sz w:val="24"/>
          <w:szCs w:val="24"/>
        </w:rPr>
        <w:t>s</w:t>
      </w:r>
      <w:r w:rsidRPr="00D032B4">
        <w:rPr>
          <w:rFonts w:cs="Arial"/>
          <w:sz w:val="24"/>
          <w:szCs w:val="24"/>
        </w:rPr>
        <w:t xml:space="preserve"> in a non-invited analysis that followed their rejection of the </w:t>
      </w:r>
      <w:r w:rsidR="000751FD">
        <w:rPr>
          <w:rFonts w:cs="Arial"/>
          <w:sz w:val="24"/>
          <w:szCs w:val="24"/>
        </w:rPr>
        <w:t>“</w:t>
      </w:r>
      <w:r w:rsidRPr="00D032B4">
        <w:rPr>
          <w:rFonts w:cs="Arial"/>
          <w:sz w:val="24"/>
          <w:szCs w:val="24"/>
        </w:rPr>
        <w:t>Chair's action</w:t>
      </w:r>
      <w:r w:rsidR="00C4238C">
        <w:rPr>
          <w:rFonts w:cs="Arial"/>
          <w:sz w:val="24"/>
          <w:szCs w:val="24"/>
        </w:rPr>
        <w:t>’</w:t>
      </w:r>
      <w:r w:rsidR="00B26223">
        <w:rPr>
          <w:rFonts w:cs="Arial"/>
          <w:sz w:val="24"/>
          <w:szCs w:val="24"/>
        </w:rPr>
        <w:t>’</w:t>
      </w:r>
      <w:r w:rsidRPr="00D032B4">
        <w:rPr>
          <w:rFonts w:cs="Arial"/>
          <w:sz w:val="24"/>
          <w:szCs w:val="24"/>
        </w:rPr>
        <w:t xml:space="preserve"> proposals. The </w:t>
      </w:r>
      <w:r w:rsidR="0074228C">
        <w:rPr>
          <w:rFonts w:cs="Arial"/>
          <w:sz w:val="24"/>
          <w:szCs w:val="24"/>
        </w:rPr>
        <w:t>P</w:t>
      </w:r>
      <w:r w:rsidR="0074228C" w:rsidRPr="00D032B4">
        <w:rPr>
          <w:rFonts w:cs="Arial"/>
          <w:sz w:val="24"/>
          <w:szCs w:val="24"/>
        </w:rPr>
        <w:t xml:space="preserve">anel </w:t>
      </w:r>
      <w:r w:rsidR="00C4238C">
        <w:rPr>
          <w:rFonts w:cs="Arial"/>
          <w:sz w:val="24"/>
          <w:szCs w:val="24"/>
        </w:rPr>
        <w:t>observed</w:t>
      </w:r>
      <w:r w:rsidRPr="00D032B4">
        <w:rPr>
          <w:rFonts w:cs="Arial"/>
          <w:sz w:val="24"/>
          <w:szCs w:val="24"/>
        </w:rPr>
        <w:t xml:space="preserve"> that there therefore appeared to have been an inconsistency on the part of the </w:t>
      </w:r>
      <w:r w:rsidR="0074228C">
        <w:rPr>
          <w:rFonts w:cs="Arial"/>
          <w:sz w:val="24"/>
          <w:szCs w:val="24"/>
        </w:rPr>
        <w:t>C</w:t>
      </w:r>
      <w:r w:rsidR="0074228C" w:rsidRPr="00D032B4">
        <w:rPr>
          <w:rFonts w:cs="Arial"/>
          <w:sz w:val="24"/>
          <w:szCs w:val="24"/>
        </w:rPr>
        <w:t xml:space="preserve">ompany </w:t>
      </w:r>
      <w:r w:rsidRPr="00D032B4">
        <w:rPr>
          <w:rFonts w:cs="Arial"/>
          <w:sz w:val="24"/>
          <w:szCs w:val="24"/>
        </w:rPr>
        <w:t xml:space="preserve">during the appraisal process </w:t>
      </w:r>
      <w:proofErr w:type="gramStart"/>
      <w:r w:rsidRPr="00D032B4">
        <w:rPr>
          <w:rFonts w:cs="Arial"/>
          <w:sz w:val="24"/>
          <w:szCs w:val="24"/>
        </w:rPr>
        <w:t>in regard to</w:t>
      </w:r>
      <w:proofErr w:type="gramEnd"/>
      <w:r w:rsidRPr="00D032B4">
        <w:rPr>
          <w:rFonts w:cs="Arial"/>
          <w:sz w:val="24"/>
          <w:szCs w:val="24"/>
        </w:rPr>
        <w:t xml:space="preserve"> the inclusion or exclusion of </w:t>
      </w:r>
      <w:r w:rsidR="00544068">
        <w:rPr>
          <w:rFonts w:cs="Arial"/>
          <w:sz w:val="24"/>
          <w:szCs w:val="24"/>
        </w:rPr>
        <w:t>plasma exchange therapy</w:t>
      </w:r>
      <w:r w:rsidRPr="00D032B4">
        <w:rPr>
          <w:rFonts w:cs="Arial"/>
          <w:sz w:val="24"/>
          <w:szCs w:val="24"/>
        </w:rPr>
        <w:t xml:space="preserve"> in the modelled treatment pathway, and that this contrasted with the focus that they had consistently applied to the use </w:t>
      </w:r>
      <w:r w:rsidR="00544068">
        <w:rPr>
          <w:rFonts w:cs="Arial"/>
          <w:sz w:val="24"/>
          <w:szCs w:val="24"/>
        </w:rPr>
        <w:t>intravenous immunoglobulin</w:t>
      </w:r>
      <w:r w:rsidR="0074228C">
        <w:rPr>
          <w:rFonts w:cs="Arial"/>
          <w:sz w:val="24"/>
          <w:szCs w:val="24"/>
        </w:rPr>
        <w:t xml:space="preserve"> </w:t>
      </w:r>
      <w:r w:rsidRPr="00D032B4">
        <w:rPr>
          <w:rFonts w:cs="Arial"/>
          <w:sz w:val="24"/>
          <w:szCs w:val="24"/>
        </w:rPr>
        <w:t xml:space="preserve">in their modelled approaches.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also noted that at the </w:t>
      </w:r>
      <w:r w:rsidR="0074228C">
        <w:rPr>
          <w:rFonts w:cs="Arial"/>
          <w:sz w:val="24"/>
          <w:szCs w:val="24"/>
        </w:rPr>
        <w:t>fourth</w:t>
      </w:r>
      <w:r w:rsidR="0074228C" w:rsidRPr="00D032B4">
        <w:rPr>
          <w:rFonts w:cs="Arial"/>
          <w:sz w:val="24"/>
          <w:szCs w:val="24"/>
        </w:rPr>
        <w:t xml:space="preserve"> </w:t>
      </w:r>
      <w:r w:rsidRPr="00D032B4">
        <w:rPr>
          <w:rFonts w:cs="Arial"/>
          <w:sz w:val="24"/>
          <w:szCs w:val="24"/>
        </w:rPr>
        <w:t xml:space="preserve">committee meeting, the </w:t>
      </w:r>
      <w:r w:rsidR="0074228C">
        <w:rPr>
          <w:rFonts w:cs="Arial"/>
          <w:sz w:val="24"/>
          <w:szCs w:val="24"/>
        </w:rPr>
        <w:t>C</w:t>
      </w:r>
      <w:r w:rsidR="0074228C" w:rsidRPr="00D032B4">
        <w:rPr>
          <w:rFonts w:cs="Arial"/>
          <w:sz w:val="24"/>
          <w:szCs w:val="24"/>
        </w:rPr>
        <w:t xml:space="preserve">ompany </w:t>
      </w:r>
      <w:r w:rsidRPr="00D032B4">
        <w:rPr>
          <w:rFonts w:cs="Arial"/>
          <w:sz w:val="24"/>
          <w:szCs w:val="24"/>
        </w:rPr>
        <w:t xml:space="preserve">model presented included a differential application of </w:t>
      </w:r>
      <w:r w:rsidR="00544068">
        <w:rPr>
          <w:rFonts w:cs="Arial"/>
          <w:sz w:val="24"/>
          <w:szCs w:val="24"/>
        </w:rPr>
        <w:t>plasma exchange therapy</w:t>
      </w:r>
      <w:r w:rsidRPr="00D032B4">
        <w:rPr>
          <w:rFonts w:cs="Arial"/>
          <w:sz w:val="24"/>
          <w:szCs w:val="24"/>
        </w:rPr>
        <w:t xml:space="preserve"> to </w:t>
      </w:r>
      <w:r w:rsidR="0074228C">
        <w:rPr>
          <w:rFonts w:cs="Arial"/>
          <w:sz w:val="24"/>
          <w:szCs w:val="24"/>
        </w:rPr>
        <w:t xml:space="preserve">both </w:t>
      </w:r>
      <w:r w:rsidRPr="00D032B4">
        <w:rPr>
          <w:rFonts w:cs="Arial"/>
          <w:sz w:val="24"/>
          <w:szCs w:val="24"/>
        </w:rPr>
        <w:t xml:space="preserve">treatment arms of the model and that the </w:t>
      </w:r>
      <w:r w:rsidR="0074228C">
        <w:rPr>
          <w:rFonts w:cs="Arial"/>
          <w:sz w:val="24"/>
          <w:szCs w:val="24"/>
        </w:rPr>
        <w:t>C</w:t>
      </w:r>
      <w:r w:rsidR="0074228C" w:rsidRPr="00D032B4">
        <w:rPr>
          <w:rFonts w:cs="Arial"/>
          <w:sz w:val="24"/>
          <w:szCs w:val="24"/>
        </w:rPr>
        <w:t xml:space="preserve">ommittee </w:t>
      </w:r>
      <w:r w:rsidRPr="00D032B4">
        <w:rPr>
          <w:rFonts w:cs="Arial"/>
          <w:sz w:val="24"/>
          <w:szCs w:val="24"/>
        </w:rPr>
        <w:t>considered this to be implausible</w:t>
      </w:r>
      <w:r w:rsidR="00F75061" w:rsidRPr="00D032B4">
        <w:rPr>
          <w:rFonts w:cs="Arial"/>
          <w:sz w:val="24"/>
          <w:szCs w:val="24"/>
        </w:rPr>
        <w:t xml:space="preserve">. </w:t>
      </w:r>
      <w:r w:rsidRPr="00D032B4">
        <w:rPr>
          <w:rFonts w:cs="Arial"/>
          <w:sz w:val="24"/>
          <w:szCs w:val="24"/>
        </w:rPr>
        <w:t xml:space="preserve">Furthermore, the </w:t>
      </w:r>
      <w:r w:rsidR="0074228C">
        <w:rPr>
          <w:rFonts w:cs="Arial"/>
          <w:sz w:val="24"/>
          <w:szCs w:val="24"/>
        </w:rPr>
        <w:t>P</w:t>
      </w:r>
      <w:r w:rsidR="0074228C" w:rsidRPr="00D032B4">
        <w:rPr>
          <w:rFonts w:cs="Arial"/>
          <w:sz w:val="24"/>
          <w:szCs w:val="24"/>
        </w:rPr>
        <w:t xml:space="preserve">anel </w:t>
      </w:r>
      <w:r w:rsidRPr="00D032B4">
        <w:rPr>
          <w:rFonts w:cs="Arial"/>
          <w:sz w:val="24"/>
          <w:szCs w:val="24"/>
        </w:rPr>
        <w:t xml:space="preserve">took note of reported technical difficulties that prevented the EAG from running the </w:t>
      </w:r>
      <w:r w:rsidR="0074228C">
        <w:rPr>
          <w:rFonts w:cs="Arial"/>
          <w:sz w:val="24"/>
          <w:szCs w:val="24"/>
        </w:rPr>
        <w:t>C</w:t>
      </w:r>
      <w:r w:rsidR="0074228C" w:rsidRPr="00D032B4">
        <w:rPr>
          <w:rFonts w:cs="Arial"/>
          <w:sz w:val="24"/>
          <w:szCs w:val="24"/>
        </w:rPr>
        <w:t xml:space="preserve">ompany </w:t>
      </w:r>
      <w:r w:rsidRPr="00D032B4">
        <w:rPr>
          <w:rFonts w:cs="Arial"/>
          <w:sz w:val="24"/>
          <w:szCs w:val="24"/>
        </w:rPr>
        <w:t xml:space="preserve">model with different inputs and assumptions in advance of the </w:t>
      </w:r>
      <w:r w:rsidR="00CF1947">
        <w:rPr>
          <w:rFonts w:cs="Arial"/>
          <w:sz w:val="24"/>
          <w:szCs w:val="24"/>
        </w:rPr>
        <w:t>fourth</w:t>
      </w:r>
      <w:r w:rsidR="00CF1947" w:rsidRPr="00D032B4">
        <w:rPr>
          <w:rFonts w:cs="Arial"/>
          <w:sz w:val="24"/>
          <w:szCs w:val="24"/>
        </w:rPr>
        <w:t xml:space="preserve"> </w:t>
      </w:r>
      <w:r w:rsidRPr="00D032B4">
        <w:rPr>
          <w:rFonts w:cs="Arial"/>
          <w:sz w:val="24"/>
          <w:szCs w:val="24"/>
        </w:rPr>
        <w:t xml:space="preserve">committee meeting. Finally,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heard contrasting reports from the </w:t>
      </w:r>
      <w:r w:rsidR="00CF1947">
        <w:rPr>
          <w:rFonts w:cs="Arial"/>
          <w:sz w:val="24"/>
          <w:szCs w:val="24"/>
        </w:rPr>
        <w:t>C</w:t>
      </w:r>
      <w:r w:rsidR="00CF1947" w:rsidRPr="00D032B4">
        <w:rPr>
          <w:rFonts w:cs="Arial"/>
          <w:sz w:val="24"/>
          <w:szCs w:val="24"/>
        </w:rPr>
        <w:t xml:space="preserve">ompany </w:t>
      </w:r>
      <w:r w:rsidRPr="00D032B4">
        <w:rPr>
          <w:rFonts w:cs="Arial"/>
          <w:sz w:val="24"/>
          <w:szCs w:val="24"/>
        </w:rPr>
        <w:t xml:space="preserve">and NICE </w:t>
      </w:r>
      <w:proofErr w:type="gramStart"/>
      <w:r w:rsidRPr="00D032B4">
        <w:rPr>
          <w:rFonts w:cs="Arial"/>
          <w:sz w:val="24"/>
          <w:szCs w:val="24"/>
        </w:rPr>
        <w:t>in regard to</w:t>
      </w:r>
      <w:proofErr w:type="gramEnd"/>
      <w:r w:rsidRPr="00D032B4">
        <w:rPr>
          <w:rFonts w:cs="Arial"/>
          <w:sz w:val="24"/>
          <w:szCs w:val="24"/>
        </w:rPr>
        <w:t xml:space="preserve"> the impact that the inclusion or exclusion of </w:t>
      </w:r>
      <w:r w:rsidR="00544068">
        <w:rPr>
          <w:rFonts w:cs="Arial"/>
          <w:sz w:val="24"/>
          <w:szCs w:val="24"/>
        </w:rPr>
        <w:t>plasma exchange therapy</w:t>
      </w:r>
      <w:r w:rsidRPr="00D032B4">
        <w:rPr>
          <w:rFonts w:cs="Arial"/>
          <w:sz w:val="24"/>
          <w:szCs w:val="24"/>
        </w:rPr>
        <w:t xml:space="preserve"> exerted on the modelling of the cost effectiveness of </w:t>
      </w:r>
      <w:proofErr w:type="gramStart"/>
      <w:r w:rsidRPr="00D032B4">
        <w:rPr>
          <w:rFonts w:cs="Arial"/>
          <w:sz w:val="24"/>
          <w:szCs w:val="24"/>
        </w:rPr>
        <w:t>efga</w:t>
      </w:r>
      <w:r w:rsidR="00CF1947">
        <w:rPr>
          <w:rFonts w:cs="Arial"/>
          <w:sz w:val="24"/>
          <w:szCs w:val="24"/>
        </w:rPr>
        <w:t>r</w:t>
      </w:r>
      <w:r w:rsidRPr="00D032B4">
        <w:rPr>
          <w:rFonts w:cs="Arial"/>
          <w:sz w:val="24"/>
          <w:szCs w:val="24"/>
        </w:rPr>
        <w:t>tigimod, but</w:t>
      </w:r>
      <w:proofErr w:type="gramEnd"/>
      <w:r w:rsidRPr="00D032B4">
        <w:rPr>
          <w:rFonts w:cs="Arial"/>
          <w:sz w:val="24"/>
          <w:szCs w:val="24"/>
        </w:rPr>
        <w:t xml:space="preserve"> concluded that the modelling limitations encountered compromised the ability to draw firm conclusions about this.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considered that it was reasonable for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to conclude that there were significant limitations to the </w:t>
      </w:r>
      <w:r w:rsidR="00CF1947">
        <w:rPr>
          <w:rFonts w:cs="Arial"/>
          <w:sz w:val="24"/>
          <w:szCs w:val="24"/>
        </w:rPr>
        <w:t>C</w:t>
      </w:r>
      <w:r w:rsidR="00CF1947" w:rsidRPr="00D032B4">
        <w:rPr>
          <w:rFonts w:cs="Arial"/>
          <w:sz w:val="24"/>
          <w:szCs w:val="24"/>
        </w:rPr>
        <w:t xml:space="preserve">ompany's </w:t>
      </w:r>
      <w:r w:rsidRPr="00D032B4">
        <w:rPr>
          <w:rFonts w:cs="Arial"/>
          <w:sz w:val="24"/>
          <w:szCs w:val="24"/>
        </w:rPr>
        <w:t xml:space="preserve">approach that was presented at the </w:t>
      </w:r>
      <w:r w:rsidR="00CF1947">
        <w:rPr>
          <w:rFonts w:cs="Arial"/>
          <w:sz w:val="24"/>
          <w:szCs w:val="24"/>
        </w:rPr>
        <w:t>fourth</w:t>
      </w:r>
      <w:r w:rsidR="00CF1947" w:rsidRPr="00D032B4">
        <w:rPr>
          <w:rFonts w:cs="Arial"/>
          <w:sz w:val="24"/>
          <w:szCs w:val="24"/>
        </w:rPr>
        <w:t xml:space="preserve"> </w:t>
      </w:r>
      <w:r w:rsidRPr="00D032B4">
        <w:rPr>
          <w:rFonts w:cs="Arial"/>
          <w:sz w:val="24"/>
          <w:szCs w:val="24"/>
        </w:rPr>
        <w:t xml:space="preserve">committee </w:t>
      </w:r>
      <w:r w:rsidRPr="00D032B4">
        <w:rPr>
          <w:rFonts w:cs="Arial"/>
          <w:sz w:val="24"/>
          <w:szCs w:val="24"/>
        </w:rPr>
        <w:lastRenderedPageBreak/>
        <w:t xml:space="preserve">meeting </w:t>
      </w:r>
      <w:r w:rsidR="00B26223">
        <w:rPr>
          <w:rFonts w:cs="Arial"/>
          <w:sz w:val="24"/>
          <w:szCs w:val="24"/>
        </w:rPr>
        <w:t>regarding</w:t>
      </w:r>
      <w:r w:rsidRPr="00D032B4">
        <w:rPr>
          <w:rFonts w:cs="Arial"/>
          <w:sz w:val="24"/>
          <w:szCs w:val="24"/>
        </w:rPr>
        <w:t xml:space="preserve"> the use of </w:t>
      </w:r>
      <w:r w:rsidR="00544068">
        <w:rPr>
          <w:rFonts w:cs="Arial"/>
          <w:sz w:val="24"/>
          <w:szCs w:val="24"/>
        </w:rPr>
        <w:t>plasma exchange therapy</w:t>
      </w:r>
      <w:r w:rsidR="00B26223">
        <w:rPr>
          <w:rFonts w:cs="Arial"/>
          <w:sz w:val="24"/>
          <w:szCs w:val="24"/>
        </w:rPr>
        <w:t xml:space="preserve"> in their proposed model</w:t>
      </w:r>
      <w:r w:rsidR="00F75061" w:rsidRPr="00D032B4">
        <w:rPr>
          <w:rFonts w:cs="Arial"/>
          <w:sz w:val="24"/>
          <w:szCs w:val="24"/>
        </w:rPr>
        <w:t xml:space="preserve">. </w:t>
      </w:r>
      <w:r w:rsidRPr="00D032B4">
        <w:rPr>
          <w:rFonts w:cs="Arial"/>
          <w:sz w:val="24"/>
          <w:szCs w:val="24"/>
        </w:rPr>
        <w:t xml:space="preserve">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also considered that it was reasonable for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to consider that the results </w:t>
      </w:r>
      <w:r w:rsidR="00B463C5">
        <w:rPr>
          <w:rFonts w:cs="Arial"/>
          <w:sz w:val="24"/>
          <w:szCs w:val="24"/>
        </w:rPr>
        <w:t xml:space="preserve">of the economic analysis based on the model </w:t>
      </w:r>
      <w:r w:rsidRPr="00D032B4">
        <w:rPr>
          <w:rFonts w:cs="Arial"/>
          <w:sz w:val="24"/>
          <w:szCs w:val="24"/>
        </w:rPr>
        <w:t>were therefore implausible</w:t>
      </w:r>
      <w:r w:rsidR="00F75061" w:rsidRPr="00D032B4">
        <w:rPr>
          <w:rFonts w:cs="Arial"/>
          <w:sz w:val="24"/>
          <w:szCs w:val="24"/>
        </w:rPr>
        <w:t xml:space="preserve">. </w:t>
      </w:r>
      <w:r w:rsidRPr="00D032B4">
        <w:rPr>
          <w:rFonts w:cs="Arial"/>
          <w:sz w:val="24"/>
          <w:szCs w:val="24"/>
        </w:rPr>
        <w:t xml:space="preserve">In the absence of alternative and more plausible modelled proposals,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considered that it was reasonable for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to conclude that </w:t>
      </w:r>
      <w:r w:rsidR="00544068">
        <w:rPr>
          <w:rFonts w:cs="Arial"/>
          <w:sz w:val="24"/>
          <w:szCs w:val="24"/>
        </w:rPr>
        <w:t>plasma exchange therapy</w:t>
      </w:r>
      <w:r w:rsidRPr="00D032B4">
        <w:rPr>
          <w:rFonts w:cs="Arial"/>
          <w:sz w:val="24"/>
          <w:szCs w:val="24"/>
        </w:rPr>
        <w:t xml:space="preserve"> be excluded from the modelled pathway although it had recognised the role of plasma exchange therapy in the usual treatment pathway for </w:t>
      </w:r>
      <w:r w:rsidR="00544068">
        <w:rPr>
          <w:rFonts w:cs="Arial"/>
          <w:sz w:val="24"/>
          <w:szCs w:val="24"/>
        </w:rPr>
        <w:t>generalised myasthenia gravis</w:t>
      </w:r>
      <w:r w:rsidRPr="00D032B4">
        <w:rPr>
          <w:rFonts w:cs="Arial"/>
          <w:sz w:val="24"/>
          <w:szCs w:val="24"/>
        </w:rPr>
        <w:t xml:space="preserve"> in NHS clinical practice.</w:t>
      </w:r>
    </w:p>
    <w:p w14:paraId="0EAC832A" w14:textId="30FC452E" w:rsidR="00D032B4" w:rsidRPr="00D032B4" w:rsidRDefault="00D032B4" w:rsidP="00D032B4">
      <w:pPr>
        <w:pStyle w:val="Paragraph"/>
        <w:rPr>
          <w:rFonts w:cs="Arial"/>
          <w:sz w:val="24"/>
          <w:szCs w:val="24"/>
        </w:rPr>
      </w:pPr>
      <w:r w:rsidRPr="00D032B4">
        <w:rPr>
          <w:rFonts w:cs="Arial"/>
          <w:sz w:val="24"/>
          <w:szCs w:val="24"/>
        </w:rPr>
        <w:t xml:space="preserve">The </w:t>
      </w:r>
      <w:r w:rsidR="00CF1947">
        <w:rPr>
          <w:rFonts w:cs="Arial"/>
          <w:sz w:val="24"/>
          <w:szCs w:val="24"/>
        </w:rPr>
        <w:t>A</w:t>
      </w:r>
      <w:r w:rsidR="00CF1947" w:rsidRPr="00D032B4">
        <w:rPr>
          <w:rFonts w:cs="Arial"/>
          <w:sz w:val="24"/>
          <w:szCs w:val="24"/>
        </w:rPr>
        <w:t xml:space="preserve">ppeal </w:t>
      </w:r>
      <w:r w:rsidR="00CF1947">
        <w:rPr>
          <w:rFonts w:cs="Arial"/>
          <w:sz w:val="24"/>
          <w:szCs w:val="24"/>
        </w:rPr>
        <w:t>P</w:t>
      </w:r>
      <w:r w:rsidR="00CF1947" w:rsidRPr="00D032B4">
        <w:rPr>
          <w:rFonts w:cs="Arial"/>
          <w:sz w:val="24"/>
          <w:szCs w:val="24"/>
        </w:rPr>
        <w:t xml:space="preserve">anel </w:t>
      </w:r>
      <w:r w:rsidRPr="00D032B4">
        <w:rPr>
          <w:rFonts w:cs="Arial"/>
          <w:sz w:val="24"/>
          <w:szCs w:val="24"/>
        </w:rPr>
        <w:t>therefore dismissed</w:t>
      </w:r>
      <w:r w:rsidRPr="00D032B4">
        <w:rPr>
          <w:rFonts w:cs="Arial"/>
          <w:color w:val="FF0000"/>
          <w:sz w:val="24"/>
          <w:szCs w:val="24"/>
        </w:rPr>
        <w:t xml:space="preserve"> </w:t>
      </w:r>
      <w:r w:rsidRPr="00D032B4">
        <w:rPr>
          <w:rFonts w:cs="Arial"/>
          <w:sz w:val="24"/>
          <w:szCs w:val="24"/>
        </w:rPr>
        <w:t>the appeal on this point.</w:t>
      </w:r>
    </w:p>
    <w:p w14:paraId="5D7BEFB5" w14:textId="33CD2C62" w:rsidR="00756935" w:rsidRPr="00D032B4" w:rsidRDefault="00D032B4" w:rsidP="00AD10A9">
      <w:pPr>
        <w:pStyle w:val="Heading3"/>
      </w:pPr>
      <w:proofErr w:type="spellStart"/>
      <w:r w:rsidRPr="00D032B4">
        <w:t>Argenx</w:t>
      </w:r>
      <w:proofErr w:type="spellEnd"/>
      <w:r w:rsidRPr="00D032B4">
        <w:t xml:space="preserve"> </w:t>
      </w:r>
      <w:r w:rsidR="00756935" w:rsidRPr="00D032B4">
        <w:t xml:space="preserve">Appeal Point 2.3: The Appraisal Committee's conclusion to disconnect the source of assumptions for efficacy and dosing and use separate sources is </w:t>
      </w:r>
      <w:r w:rsidR="00ED1F23" w:rsidRPr="00D032B4">
        <w:t>unreasonable.</w:t>
      </w:r>
    </w:p>
    <w:p w14:paraId="316C0087" w14:textId="19F78E74" w:rsidR="00756935" w:rsidRPr="00D032B4" w:rsidRDefault="005330BE" w:rsidP="00756935">
      <w:pPr>
        <w:pStyle w:val="Paragraph"/>
        <w:rPr>
          <w:rFonts w:cs="Arial"/>
          <w:sz w:val="24"/>
          <w:szCs w:val="24"/>
        </w:rPr>
      </w:pPr>
      <w:r w:rsidRPr="00D032B4">
        <w:rPr>
          <w:rFonts w:cs="Arial"/>
          <w:sz w:val="24"/>
          <w:szCs w:val="24"/>
        </w:rPr>
        <w:t>Esther Nzenza</w:t>
      </w:r>
      <w:r w:rsidR="000E3007">
        <w:rPr>
          <w:rFonts w:cs="Arial"/>
          <w:sz w:val="24"/>
          <w:szCs w:val="24"/>
        </w:rPr>
        <w:t>,</w:t>
      </w:r>
      <w:r w:rsidRPr="00D032B4">
        <w:rPr>
          <w:rFonts w:cs="Arial"/>
          <w:sz w:val="24"/>
          <w:szCs w:val="24"/>
        </w:rPr>
        <w:t xml:space="preserve"> </w:t>
      </w:r>
      <w:r w:rsidR="008204B1">
        <w:rPr>
          <w:rFonts w:cs="Arial"/>
          <w:sz w:val="24"/>
          <w:szCs w:val="24"/>
        </w:rPr>
        <w:t xml:space="preserve">for </w:t>
      </w:r>
      <w:proofErr w:type="spellStart"/>
      <w:r w:rsidR="008204B1">
        <w:rPr>
          <w:rFonts w:cs="Arial"/>
          <w:sz w:val="24"/>
          <w:szCs w:val="24"/>
        </w:rPr>
        <w:t>Argenx</w:t>
      </w:r>
      <w:proofErr w:type="spellEnd"/>
      <w:r w:rsidR="008204B1">
        <w:rPr>
          <w:rFonts w:cs="Arial"/>
          <w:sz w:val="24"/>
          <w:szCs w:val="24"/>
        </w:rPr>
        <w:t xml:space="preserve">, </w:t>
      </w:r>
      <w:r w:rsidRPr="00D032B4">
        <w:rPr>
          <w:rFonts w:cs="Arial"/>
          <w:sz w:val="24"/>
          <w:szCs w:val="24"/>
        </w:rPr>
        <w:t xml:space="preserve">explained the Company's position that it was unreasonable and unjustified for the Committee to have based dosing on limited and immature EAMS data </w:t>
      </w:r>
      <w:r w:rsidR="00824C33" w:rsidRPr="00D032B4">
        <w:rPr>
          <w:rFonts w:cs="Arial"/>
          <w:sz w:val="24"/>
          <w:szCs w:val="24"/>
        </w:rPr>
        <w:t>whilst basing its assumptions as to efficacy on data from the A</w:t>
      </w:r>
      <w:r w:rsidRPr="00D032B4">
        <w:rPr>
          <w:rFonts w:cs="Arial"/>
          <w:sz w:val="24"/>
          <w:szCs w:val="24"/>
        </w:rPr>
        <w:t>DAPT</w:t>
      </w:r>
      <w:r w:rsidR="00824C33" w:rsidRPr="00D032B4">
        <w:rPr>
          <w:rFonts w:cs="Arial"/>
          <w:sz w:val="24"/>
          <w:szCs w:val="24"/>
        </w:rPr>
        <w:t xml:space="preserve"> trial</w:t>
      </w:r>
      <w:r w:rsidR="00606E76" w:rsidRPr="00D032B4">
        <w:rPr>
          <w:rFonts w:cs="Arial"/>
          <w:sz w:val="24"/>
          <w:szCs w:val="24"/>
        </w:rPr>
        <w:t>.</w:t>
      </w:r>
      <w:r w:rsidRPr="00D032B4">
        <w:rPr>
          <w:rFonts w:cs="Arial"/>
          <w:sz w:val="24"/>
          <w:szCs w:val="24"/>
        </w:rPr>
        <w:t xml:space="preserve"> Good scientific practice dictates that where possible, both sources should be drawn from the same model as they are inherently linked factors. </w:t>
      </w:r>
      <w:r w:rsidR="008D323E" w:rsidRPr="00D032B4">
        <w:rPr>
          <w:rFonts w:cs="Arial"/>
          <w:sz w:val="24"/>
          <w:szCs w:val="24"/>
        </w:rPr>
        <w:t>She noted that b</w:t>
      </w:r>
      <w:r w:rsidRPr="00D032B4">
        <w:rPr>
          <w:rFonts w:cs="Arial"/>
          <w:sz w:val="24"/>
          <w:szCs w:val="24"/>
        </w:rPr>
        <w:t xml:space="preserve">oth the EAG and the Committee had confirmed the generalisability of ADAPT </w:t>
      </w:r>
      <w:r w:rsidR="00997ED8">
        <w:rPr>
          <w:rFonts w:cs="Arial"/>
          <w:sz w:val="24"/>
          <w:szCs w:val="24"/>
        </w:rPr>
        <w:t xml:space="preserve">data, </w:t>
      </w:r>
      <w:r w:rsidRPr="00D032B4">
        <w:rPr>
          <w:rFonts w:cs="Arial"/>
          <w:sz w:val="24"/>
          <w:szCs w:val="24"/>
        </w:rPr>
        <w:t xml:space="preserve">including </w:t>
      </w:r>
      <w:r w:rsidR="00824C33" w:rsidRPr="00D032B4">
        <w:rPr>
          <w:rFonts w:cs="Arial"/>
          <w:sz w:val="24"/>
          <w:szCs w:val="24"/>
        </w:rPr>
        <w:t xml:space="preserve">to </w:t>
      </w:r>
      <w:r w:rsidRPr="00D032B4">
        <w:rPr>
          <w:rFonts w:cs="Arial"/>
          <w:sz w:val="24"/>
          <w:szCs w:val="24"/>
        </w:rPr>
        <w:t>the EAMS cohort, yet the Committee depart</w:t>
      </w:r>
      <w:r w:rsidR="008D323E" w:rsidRPr="00D032B4">
        <w:rPr>
          <w:rFonts w:cs="Arial"/>
          <w:sz w:val="24"/>
          <w:szCs w:val="24"/>
        </w:rPr>
        <w:t>ed</w:t>
      </w:r>
      <w:r w:rsidRPr="00D032B4">
        <w:rPr>
          <w:rFonts w:cs="Arial"/>
          <w:sz w:val="24"/>
          <w:szCs w:val="24"/>
        </w:rPr>
        <w:t xml:space="preserve"> from this view in concluding that EAMS data should override ADAPT data for dosing. </w:t>
      </w:r>
    </w:p>
    <w:p w14:paraId="1D397ACD" w14:textId="6A1C2951" w:rsidR="005330BE" w:rsidRPr="00D032B4" w:rsidRDefault="005330BE" w:rsidP="00756935">
      <w:pPr>
        <w:pStyle w:val="Paragraph"/>
        <w:rPr>
          <w:rFonts w:cs="Arial"/>
          <w:sz w:val="24"/>
          <w:szCs w:val="24"/>
        </w:rPr>
      </w:pPr>
      <w:r w:rsidRPr="00D032B4">
        <w:rPr>
          <w:rFonts w:cs="Arial"/>
          <w:sz w:val="24"/>
          <w:szCs w:val="24"/>
        </w:rPr>
        <w:t xml:space="preserve">Esther Nzenza went on to explain that the baseline MG-ADL scores were higher in EAMS than ADAPT, and that the Committee had </w:t>
      </w:r>
      <w:r w:rsidR="00606E76" w:rsidRPr="00D032B4">
        <w:rPr>
          <w:rFonts w:cs="Arial"/>
          <w:sz w:val="24"/>
          <w:szCs w:val="24"/>
        </w:rPr>
        <w:t>assumed</w:t>
      </w:r>
      <w:r w:rsidRPr="00D032B4">
        <w:rPr>
          <w:rFonts w:cs="Arial"/>
          <w:sz w:val="24"/>
          <w:szCs w:val="24"/>
        </w:rPr>
        <w:t xml:space="preserve"> this to mean more frequent dosing. The Company's post-hoc analysis of EAMS shows no correlation between dosing intervals and MG-ADL scores, which she describes as undermining the </w:t>
      </w:r>
      <w:r w:rsidRPr="00D032B4">
        <w:rPr>
          <w:rFonts w:cs="Arial"/>
          <w:sz w:val="24"/>
          <w:szCs w:val="24"/>
        </w:rPr>
        <w:lastRenderedPageBreak/>
        <w:t>Committee's view that EAMS better reflects severity dosing.</w:t>
      </w:r>
      <w:r w:rsidR="008D323E" w:rsidRPr="00D032B4">
        <w:rPr>
          <w:rFonts w:cs="Arial"/>
          <w:sz w:val="24"/>
          <w:szCs w:val="24"/>
        </w:rPr>
        <w:t xml:space="preserve"> The Company considered that this highlighted the concerns </w:t>
      </w:r>
      <w:r w:rsidR="00DE0543" w:rsidRPr="00D032B4">
        <w:rPr>
          <w:rFonts w:cs="Arial"/>
          <w:sz w:val="24"/>
          <w:szCs w:val="24"/>
        </w:rPr>
        <w:t xml:space="preserve">arising from </w:t>
      </w:r>
      <w:r w:rsidR="008D323E" w:rsidRPr="00D032B4">
        <w:rPr>
          <w:rFonts w:cs="Arial"/>
          <w:sz w:val="24"/>
          <w:szCs w:val="24"/>
        </w:rPr>
        <w:t xml:space="preserve">drawing any conclusion from a small, heterogeneous early access cohort. </w:t>
      </w:r>
    </w:p>
    <w:p w14:paraId="440584CA" w14:textId="0A72962C" w:rsidR="005330BE" w:rsidRPr="00D032B4" w:rsidRDefault="008D323E" w:rsidP="00756935">
      <w:pPr>
        <w:pStyle w:val="Paragraph"/>
        <w:rPr>
          <w:rFonts w:cs="Arial"/>
          <w:sz w:val="24"/>
          <w:szCs w:val="24"/>
        </w:rPr>
      </w:pPr>
      <w:r w:rsidRPr="00D032B4">
        <w:rPr>
          <w:rFonts w:cs="Arial"/>
          <w:sz w:val="24"/>
          <w:szCs w:val="24"/>
        </w:rPr>
        <w:t>Describing the impact of the change, Esther Nzenza noted that the Company was i</w:t>
      </w:r>
      <w:r w:rsidR="00606E76" w:rsidRPr="00D032B4">
        <w:rPr>
          <w:rFonts w:cs="Arial"/>
          <w:sz w:val="24"/>
          <w:szCs w:val="24"/>
        </w:rPr>
        <w:t>nformed</w:t>
      </w:r>
      <w:r w:rsidRPr="00D032B4">
        <w:rPr>
          <w:rFonts w:cs="Arial"/>
          <w:sz w:val="24"/>
          <w:szCs w:val="24"/>
        </w:rPr>
        <w:t xml:space="preserve"> of the switch to EAMS dosing in the base case days before the fourth committee meeting, which did not allow time for any new / alternative data. Disconnecting the sources of assumption for efficacy and dosing significantly inflated the ICER and introduced bias against efgartigimod</w:t>
      </w:r>
      <w:r w:rsidR="00F75061" w:rsidRPr="00D032B4">
        <w:rPr>
          <w:rFonts w:cs="Arial"/>
          <w:sz w:val="24"/>
          <w:szCs w:val="24"/>
        </w:rPr>
        <w:t xml:space="preserve">. </w:t>
      </w:r>
    </w:p>
    <w:p w14:paraId="175D108A" w14:textId="3CBB5C8D" w:rsidR="00756935" w:rsidRPr="00D032B4" w:rsidRDefault="008D323E" w:rsidP="00756935">
      <w:pPr>
        <w:pStyle w:val="Paragraph"/>
        <w:rPr>
          <w:rFonts w:cs="Arial"/>
          <w:sz w:val="24"/>
          <w:szCs w:val="24"/>
        </w:rPr>
      </w:pPr>
      <w:r w:rsidRPr="00D032B4">
        <w:rPr>
          <w:rFonts w:cs="Arial"/>
          <w:sz w:val="24"/>
          <w:szCs w:val="24"/>
        </w:rPr>
        <w:t xml:space="preserve">Alan Moore, for NICE, explained that it was entirely reasonable for the Committee to have used EAMS data as it </w:t>
      </w:r>
      <w:r w:rsidR="00DE0543" w:rsidRPr="00D032B4">
        <w:rPr>
          <w:rFonts w:cs="Arial"/>
          <w:sz w:val="24"/>
          <w:szCs w:val="24"/>
        </w:rPr>
        <w:t>is from a</w:t>
      </w:r>
      <w:r w:rsidRPr="00D032B4">
        <w:rPr>
          <w:rFonts w:cs="Arial"/>
          <w:sz w:val="24"/>
          <w:szCs w:val="24"/>
        </w:rPr>
        <w:t xml:space="preserve"> UK population, heavily informed by the Company's own target population. One of the key uncertainties </w:t>
      </w:r>
      <w:r w:rsidR="00DE0543" w:rsidRPr="00D032B4">
        <w:rPr>
          <w:rFonts w:cs="Arial"/>
          <w:sz w:val="24"/>
          <w:szCs w:val="24"/>
        </w:rPr>
        <w:t xml:space="preserve">for the Committee to address was as to </w:t>
      </w:r>
      <w:r w:rsidRPr="00D032B4">
        <w:rPr>
          <w:rFonts w:cs="Arial"/>
          <w:sz w:val="24"/>
          <w:szCs w:val="24"/>
        </w:rPr>
        <w:t>the frequency of dosing</w:t>
      </w:r>
      <w:r w:rsidR="00DE0543" w:rsidRPr="00D032B4">
        <w:rPr>
          <w:rFonts w:cs="Arial"/>
          <w:sz w:val="24"/>
          <w:szCs w:val="24"/>
        </w:rPr>
        <w:t xml:space="preserve"> and the target population </w:t>
      </w:r>
      <w:r w:rsidR="00E27175" w:rsidRPr="00D032B4">
        <w:rPr>
          <w:rFonts w:cs="Arial"/>
          <w:sz w:val="24"/>
          <w:szCs w:val="24"/>
        </w:rPr>
        <w:t xml:space="preserve">which </w:t>
      </w:r>
      <w:proofErr w:type="gramStart"/>
      <w:r w:rsidR="00DE0543" w:rsidRPr="00D032B4">
        <w:rPr>
          <w:rFonts w:cs="Arial"/>
          <w:sz w:val="24"/>
          <w:szCs w:val="24"/>
        </w:rPr>
        <w:t>by definition experiences</w:t>
      </w:r>
      <w:proofErr w:type="gramEnd"/>
      <w:r w:rsidR="00DE0543" w:rsidRPr="00D032B4">
        <w:rPr>
          <w:rFonts w:cs="Arial"/>
          <w:sz w:val="24"/>
          <w:szCs w:val="24"/>
        </w:rPr>
        <w:t xml:space="preserve"> more severe refractory </w:t>
      </w:r>
      <w:r w:rsidR="00544068">
        <w:rPr>
          <w:rFonts w:cs="Arial"/>
          <w:sz w:val="24"/>
          <w:szCs w:val="24"/>
        </w:rPr>
        <w:t>generalised myasthenia gravis</w:t>
      </w:r>
      <w:r w:rsidRPr="00D032B4">
        <w:rPr>
          <w:rFonts w:cs="Arial"/>
          <w:sz w:val="24"/>
          <w:szCs w:val="24"/>
        </w:rPr>
        <w:t xml:space="preserve">. In the Company's model, and in ADAPT, </w:t>
      </w:r>
      <w:r w:rsidR="007668CE" w:rsidRPr="00D032B4">
        <w:rPr>
          <w:rFonts w:cs="Arial"/>
          <w:sz w:val="24"/>
          <w:szCs w:val="24"/>
        </w:rPr>
        <w:t xml:space="preserve">subsequent </w:t>
      </w:r>
      <w:r w:rsidRPr="00D032B4">
        <w:rPr>
          <w:rFonts w:cs="Arial"/>
          <w:sz w:val="24"/>
          <w:szCs w:val="24"/>
        </w:rPr>
        <w:t xml:space="preserve">treatment was given when the MG-ADL scores </w:t>
      </w:r>
      <w:r w:rsidR="007668CE" w:rsidRPr="00D032B4">
        <w:rPr>
          <w:rFonts w:cs="Arial"/>
          <w:sz w:val="24"/>
          <w:szCs w:val="24"/>
        </w:rPr>
        <w:t>fell</w:t>
      </w:r>
      <w:r w:rsidRPr="00D032B4">
        <w:rPr>
          <w:rFonts w:cs="Arial"/>
          <w:sz w:val="24"/>
          <w:szCs w:val="24"/>
        </w:rPr>
        <w:t xml:space="preserve"> below 5</w:t>
      </w:r>
      <w:r w:rsidR="00E27175" w:rsidRPr="00D032B4">
        <w:rPr>
          <w:rFonts w:cs="Arial"/>
          <w:sz w:val="24"/>
          <w:szCs w:val="24"/>
        </w:rPr>
        <w:t xml:space="preserve"> (i.e. efgartigimod was no longer required), </w:t>
      </w:r>
      <w:r w:rsidR="00B26223">
        <w:rPr>
          <w:rFonts w:cs="Arial"/>
          <w:sz w:val="24"/>
          <w:szCs w:val="24"/>
        </w:rPr>
        <w:t>whilst</w:t>
      </w:r>
      <w:r w:rsidR="00E27175" w:rsidRPr="00D032B4">
        <w:rPr>
          <w:rFonts w:cs="Arial"/>
          <w:sz w:val="24"/>
          <w:szCs w:val="24"/>
        </w:rPr>
        <w:t xml:space="preserve"> the EAMS data showed more frequent dosing with time </w:t>
      </w:r>
      <w:r w:rsidRPr="00D032B4">
        <w:rPr>
          <w:rFonts w:cs="Arial"/>
          <w:sz w:val="24"/>
          <w:szCs w:val="24"/>
        </w:rPr>
        <w:t>in a patient population directly in line with the Company's</w:t>
      </w:r>
      <w:r w:rsidR="00B26223">
        <w:rPr>
          <w:rFonts w:cs="Arial"/>
          <w:sz w:val="24"/>
          <w:szCs w:val="24"/>
        </w:rPr>
        <w:t xml:space="preserve"> model</w:t>
      </w:r>
      <w:r w:rsidRPr="00D032B4">
        <w:rPr>
          <w:rFonts w:cs="Arial"/>
          <w:sz w:val="24"/>
          <w:szCs w:val="24"/>
        </w:rPr>
        <w:t xml:space="preserve">. </w:t>
      </w:r>
    </w:p>
    <w:p w14:paraId="0C6FACBC" w14:textId="4E9BA858" w:rsidR="008D323E" w:rsidRPr="00D032B4" w:rsidRDefault="008D323E" w:rsidP="00756935">
      <w:pPr>
        <w:pStyle w:val="Paragraph"/>
        <w:rPr>
          <w:rFonts w:cs="Arial"/>
          <w:sz w:val="24"/>
          <w:szCs w:val="24"/>
        </w:rPr>
      </w:pPr>
      <w:r w:rsidRPr="00D032B4">
        <w:rPr>
          <w:rFonts w:cs="Arial"/>
          <w:sz w:val="24"/>
          <w:szCs w:val="24"/>
        </w:rPr>
        <w:t xml:space="preserve">Alan Moore explained that in ideal circumstances, the sources would all be derived from one model, but in many </w:t>
      </w:r>
      <w:r w:rsidR="00ED1F23" w:rsidRPr="00D032B4">
        <w:rPr>
          <w:rFonts w:cs="Arial"/>
          <w:sz w:val="24"/>
          <w:szCs w:val="24"/>
        </w:rPr>
        <w:t>instances,</w:t>
      </w:r>
      <w:r w:rsidRPr="00D032B4">
        <w:rPr>
          <w:rFonts w:cs="Arial"/>
          <w:sz w:val="24"/>
          <w:szCs w:val="24"/>
        </w:rPr>
        <w:t xml:space="preserve"> this is not possible. Here, the least appropriate source for dosing was ADAPT as it was a fundamentally broader patient population than (1) the Company's target population and (2) the exact UK population in the EAMS cohort. Dosing has a significant impact on cost-effectiveness and so the Committee need</w:t>
      </w:r>
      <w:r w:rsidR="00AB4E9D" w:rsidRPr="00D032B4">
        <w:rPr>
          <w:rFonts w:cs="Arial"/>
          <w:sz w:val="24"/>
          <w:szCs w:val="24"/>
        </w:rPr>
        <w:t>ed</w:t>
      </w:r>
      <w:r w:rsidRPr="00D032B4">
        <w:rPr>
          <w:rFonts w:cs="Arial"/>
          <w:sz w:val="24"/>
          <w:szCs w:val="24"/>
        </w:rPr>
        <w:t xml:space="preserve"> an accurate representation of that cost. </w:t>
      </w:r>
    </w:p>
    <w:p w14:paraId="78C04043" w14:textId="613016AB" w:rsidR="008D323E" w:rsidRPr="00D032B4" w:rsidRDefault="00C453DB" w:rsidP="00756935">
      <w:pPr>
        <w:pStyle w:val="Paragraph"/>
        <w:rPr>
          <w:rFonts w:cs="Arial"/>
          <w:sz w:val="24"/>
          <w:szCs w:val="24"/>
        </w:rPr>
      </w:pPr>
      <w:r w:rsidRPr="00D032B4">
        <w:rPr>
          <w:rFonts w:cs="Arial"/>
          <w:sz w:val="24"/>
          <w:szCs w:val="24"/>
        </w:rPr>
        <w:lastRenderedPageBreak/>
        <w:t xml:space="preserve">The Panel asked why it was necessary to change the dosing schedule in modelling. </w:t>
      </w:r>
      <w:r w:rsidR="00B21503">
        <w:rPr>
          <w:rFonts w:cs="Arial"/>
          <w:sz w:val="24"/>
          <w:szCs w:val="24"/>
        </w:rPr>
        <w:t xml:space="preserve">Dr </w:t>
      </w:r>
      <w:r w:rsidRPr="00D032B4">
        <w:rPr>
          <w:rFonts w:cs="Arial"/>
          <w:sz w:val="24"/>
          <w:szCs w:val="24"/>
        </w:rPr>
        <w:t>Raju Reddy</w:t>
      </w:r>
      <w:r w:rsidR="00385910">
        <w:rPr>
          <w:rFonts w:cs="Arial"/>
          <w:sz w:val="24"/>
          <w:szCs w:val="24"/>
        </w:rPr>
        <w:t>, for NICE,</w:t>
      </w:r>
      <w:r w:rsidRPr="00D032B4">
        <w:rPr>
          <w:rFonts w:cs="Arial"/>
          <w:sz w:val="24"/>
          <w:szCs w:val="24"/>
        </w:rPr>
        <w:t xml:space="preserve"> explained that </w:t>
      </w:r>
      <w:r w:rsidR="00544F21" w:rsidRPr="00D032B4">
        <w:rPr>
          <w:rFonts w:cs="Arial"/>
          <w:sz w:val="24"/>
          <w:szCs w:val="24"/>
        </w:rPr>
        <w:t xml:space="preserve">the second draft guidance highlighted the Committee's view that the clinical and cost effectiveness of efgartigimod would change for different populations. </w:t>
      </w:r>
    </w:p>
    <w:p w14:paraId="548F3129" w14:textId="4C37FE2B" w:rsidR="00544F21" w:rsidRPr="00D032B4" w:rsidRDefault="00544F21" w:rsidP="00544F21">
      <w:pPr>
        <w:pStyle w:val="Paragraph"/>
        <w:rPr>
          <w:rFonts w:cs="Arial"/>
          <w:sz w:val="24"/>
          <w:szCs w:val="24"/>
        </w:rPr>
      </w:pPr>
      <w:r w:rsidRPr="00D032B4">
        <w:rPr>
          <w:rFonts w:cs="Arial"/>
          <w:sz w:val="24"/>
          <w:szCs w:val="24"/>
        </w:rPr>
        <w:t>Esther Nzenza reiterated that EAMS is an immature data set. The best way, in the Company’s opinion, to remove the inherent issues associated with a heterogeneous population is to look more broadly. The Company considers that this is why ADAPT (which is an unusually large sample given the rarity of the condition), having accepted its generalisability, should be used</w:t>
      </w:r>
      <w:r w:rsidR="00AB4E9D" w:rsidRPr="00D032B4">
        <w:rPr>
          <w:rFonts w:cs="Arial"/>
          <w:sz w:val="24"/>
          <w:szCs w:val="24"/>
        </w:rPr>
        <w:t xml:space="preserve"> as</w:t>
      </w:r>
      <w:r w:rsidRPr="00D032B4">
        <w:rPr>
          <w:rFonts w:cs="Arial"/>
          <w:sz w:val="24"/>
          <w:szCs w:val="24"/>
        </w:rPr>
        <w:t xml:space="preserve"> </w:t>
      </w:r>
      <w:r w:rsidR="00AB4E9D" w:rsidRPr="00D032B4">
        <w:rPr>
          <w:rFonts w:cs="Arial"/>
          <w:sz w:val="24"/>
          <w:szCs w:val="24"/>
        </w:rPr>
        <w:t>the</w:t>
      </w:r>
      <w:r w:rsidRPr="00D032B4">
        <w:rPr>
          <w:rFonts w:cs="Arial"/>
          <w:sz w:val="24"/>
          <w:szCs w:val="24"/>
        </w:rPr>
        <w:t xml:space="preserve"> source</w:t>
      </w:r>
      <w:r w:rsidR="00AB4E9D" w:rsidRPr="00D032B4">
        <w:rPr>
          <w:rFonts w:cs="Arial"/>
          <w:sz w:val="24"/>
          <w:szCs w:val="24"/>
        </w:rPr>
        <w:t xml:space="preserve"> </w:t>
      </w:r>
      <w:r w:rsidRPr="00D032B4">
        <w:rPr>
          <w:rFonts w:cs="Arial"/>
          <w:sz w:val="24"/>
          <w:szCs w:val="24"/>
        </w:rPr>
        <w:t xml:space="preserve">for both efficacy and dosing assumptions. </w:t>
      </w:r>
    </w:p>
    <w:p w14:paraId="71E57DFC" w14:textId="7F371064" w:rsidR="00544F21" w:rsidRPr="00D032B4" w:rsidRDefault="008204B1" w:rsidP="00544F21">
      <w:pPr>
        <w:pStyle w:val="Paragraph"/>
        <w:rPr>
          <w:rFonts w:cs="Arial"/>
          <w:sz w:val="24"/>
          <w:szCs w:val="24"/>
        </w:rPr>
      </w:pPr>
      <w:r>
        <w:rPr>
          <w:rFonts w:cs="Arial"/>
          <w:sz w:val="24"/>
          <w:szCs w:val="24"/>
        </w:rPr>
        <w:t xml:space="preserve">Dr </w:t>
      </w:r>
      <w:r w:rsidR="00544F21" w:rsidRPr="00D032B4">
        <w:rPr>
          <w:rFonts w:cs="Arial"/>
          <w:sz w:val="24"/>
          <w:szCs w:val="24"/>
        </w:rPr>
        <w:t>Jacoline Bouvy</w:t>
      </w:r>
      <w:r w:rsidR="00347715">
        <w:rPr>
          <w:rFonts w:cs="Arial"/>
          <w:sz w:val="24"/>
          <w:szCs w:val="24"/>
        </w:rPr>
        <w:t>, for NICE,</w:t>
      </w:r>
      <w:r w:rsidR="00544F21" w:rsidRPr="00D032B4">
        <w:rPr>
          <w:rFonts w:cs="Arial"/>
          <w:sz w:val="24"/>
          <w:szCs w:val="24"/>
        </w:rPr>
        <w:t xml:space="preserve"> explained that a large cohort may be more precise, but not necessarily accurate. The Committee gave weight to the fact that ADAPT was not reflective of what is happening in clinical practice. She further added that health technology appraisals use different sources for utility estimate</w:t>
      </w:r>
      <w:r w:rsidR="005C116B" w:rsidRPr="00D032B4">
        <w:rPr>
          <w:rFonts w:cs="Arial"/>
          <w:sz w:val="24"/>
          <w:szCs w:val="24"/>
        </w:rPr>
        <w:t>s</w:t>
      </w:r>
      <w:r w:rsidR="00544F21" w:rsidRPr="00D032B4">
        <w:rPr>
          <w:rFonts w:cs="Arial"/>
          <w:sz w:val="24"/>
          <w:szCs w:val="24"/>
        </w:rPr>
        <w:t xml:space="preserve"> (including real-world evidence) </w:t>
      </w:r>
      <w:r w:rsidR="00C72542" w:rsidRPr="00D032B4">
        <w:rPr>
          <w:rFonts w:cs="Arial"/>
          <w:sz w:val="24"/>
          <w:szCs w:val="24"/>
        </w:rPr>
        <w:t>relatively frequently where there is reason to challenge the face validity of the assumptions</w:t>
      </w:r>
      <w:r w:rsidR="005C116B" w:rsidRPr="00D032B4">
        <w:rPr>
          <w:rFonts w:cs="Arial"/>
          <w:sz w:val="24"/>
          <w:szCs w:val="24"/>
        </w:rPr>
        <w:t xml:space="preserve"> derived </w:t>
      </w:r>
      <w:r w:rsidR="00DE0543" w:rsidRPr="00D032B4">
        <w:rPr>
          <w:rFonts w:cs="Arial"/>
          <w:sz w:val="24"/>
          <w:szCs w:val="24"/>
        </w:rPr>
        <w:t xml:space="preserve">from </w:t>
      </w:r>
      <w:r w:rsidR="005C116B" w:rsidRPr="00D032B4">
        <w:rPr>
          <w:rFonts w:cs="Arial"/>
          <w:sz w:val="24"/>
          <w:szCs w:val="24"/>
        </w:rPr>
        <w:t>a single source</w:t>
      </w:r>
      <w:r w:rsidR="00C72542" w:rsidRPr="00D032B4">
        <w:rPr>
          <w:rFonts w:cs="Arial"/>
          <w:sz w:val="24"/>
          <w:szCs w:val="24"/>
        </w:rPr>
        <w:t>.</w:t>
      </w:r>
      <w:r w:rsidR="004A5C7A">
        <w:rPr>
          <w:rFonts w:cs="Arial"/>
          <w:sz w:val="24"/>
          <w:szCs w:val="24"/>
        </w:rPr>
        <w:t xml:space="preserve"> Dr</w:t>
      </w:r>
      <w:r w:rsidR="00C72542" w:rsidRPr="00D032B4">
        <w:rPr>
          <w:rFonts w:cs="Arial"/>
          <w:sz w:val="24"/>
          <w:szCs w:val="24"/>
        </w:rPr>
        <w:t xml:space="preserve"> Bouvy explained that in situations where real world evidence is available (for example in relation to treatments in the Cancer Drugs Fund), more often than not the baseline characteristics adopted will be based on real-world evidence and not R</w:t>
      </w:r>
      <w:r w:rsidR="0058293C">
        <w:rPr>
          <w:rFonts w:cs="Arial"/>
          <w:sz w:val="24"/>
          <w:szCs w:val="24"/>
        </w:rPr>
        <w:t xml:space="preserve">andomised </w:t>
      </w:r>
      <w:r w:rsidR="00C72542" w:rsidRPr="00D032B4">
        <w:rPr>
          <w:rFonts w:cs="Arial"/>
          <w:sz w:val="24"/>
          <w:szCs w:val="24"/>
        </w:rPr>
        <w:t>C</w:t>
      </w:r>
      <w:r w:rsidR="0058293C">
        <w:rPr>
          <w:rFonts w:cs="Arial"/>
          <w:sz w:val="24"/>
          <w:szCs w:val="24"/>
        </w:rPr>
        <w:t xml:space="preserve">ontrolled </w:t>
      </w:r>
      <w:r w:rsidR="00C72542" w:rsidRPr="00D032B4">
        <w:rPr>
          <w:rFonts w:cs="Arial"/>
          <w:sz w:val="24"/>
          <w:szCs w:val="24"/>
        </w:rPr>
        <w:t>T</w:t>
      </w:r>
      <w:r w:rsidR="006D26C4">
        <w:rPr>
          <w:rFonts w:cs="Arial"/>
          <w:sz w:val="24"/>
          <w:szCs w:val="24"/>
        </w:rPr>
        <w:t>rial (</w:t>
      </w:r>
      <w:r w:rsidR="00385910">
        <w:rPr>
          <w:rFonts w:cs="Arial"/>
          <w:sz w:val="24"/>
          <w:szCs w:val="24"/>
        </w:rPr>
        <w:t>“</w:t>
      </w:r>
      <w:r w:rsidR="006D26C4">
        <w:rPr>
          <w:rFonts w:cs="Arial"/>
          <w:sz w:val="24"/>
          <w:szCs w:val="24"/>
        </w:rPr>
        <w:t>RCT</w:t>
      </w:r>
      <w:r w:rsidR="00385910">
        <w:rPr>
          <w:rFonts w:cs="Arial"/>
          <w:sz w:val="24"/>
          <w:szCs w:val="24"/>
        </w:rPr>
        <w:t>”</w:t>
      </w:r>
      <w:r w:rsidR="006D26C4">
        <w:rPr>
          <w:rFonts w:cs="Arial"/>
          <w:sz w:val="24"/>
          <w:szCs w:val="24"/>
        </w:rPr>
        <w:t>)</w:t>
      </w:r>
      <w:r w:rsidR="00C72542" w:rsidRPr="00D032B4">
        <w:rPr>
          <w:rFonts w:cs="Arial"/>
          <w:sz w:val="24"/>
          <w:szCs w:val="24"/>
        </w:rPr>
        <w:t xml:space="preserve"> data. </w:t>
      </w:r>
    </w:p>
    <w:p w14:paraId="22FD2047" w14:textId="4BBA806F" w:rsidR="00C72542" w:rsidRPr="00D032B4" w:rsidRDefault="00C72542" w:rsidP="00544F21">
      <w:pPr>
        <w:pStyle w:val="Paragraph"/>
        <w:rPr>
          <w:rFonts w:cs="Arial"/>
          <w:sz w:val="24"/>
          <w:szCs w:val="24"/>
        </w:rPr>
      </w:pPr>
      <w:r w:rsidRPr="00D032B4">
        <w:rPr>
          <w:rFonts w:cs="Arial"/>
          <w:sz w:val="24"/>
          <w:szCs w:val="24"/>
        </w:rPr>
        <w:t xml:space="preserve">Explaining why this was important, Alan Moore </w:t>
      </w:r>
      <w:r w:rsidR="00DE0543" w:rsidRPr="00D032B4">
        <w:rPr>
          <w:rFonts w:cs="Arial"/>
          <w:sz w:val="24"/>
          <w:szCs w:val="24"/>
        </w:rPr>
        <w:t xml:space="preserve">said </w:t>
      </w:r>
      <w:r w:rsidRPr="00D032B4">
        <w:rPr>
          <w:rFonts w:cs="Arial"/>
          <w:sz w:val="24"/>
          <w:szCs w:val="24"/>
        </w:rPr>
        <w:t xml:space="preserve">that a patient will stay on treatment until and unless the MG-ADL score drops below 5. In the EAMS cohort, an MG-ADL score of less than 5 is harder to achieve given that it is a patient cohort with more severe refractory </w:t>
      </w:r>
      <w:r w:rsidR="00544068">
        <w:rPr>
          <w:rFonts w:cs="Arial"/>
          <w:sz w:val="24"/>
          <w:szCs w:val="24"/>
        </w:rPr>
        <w:t>generalised myasthenia gravis</w:t>
      </w:r>
      <w:r w:rsidRPr="00D032B4">
        <w:rPr>
          <w:rFonts w:cs="Arial"/>
          <w:sz w:val="24"/>
          <w:szCs w:val="24"/>
        </w:rPr>
        <w:t xml:space="preserve"> than ADAPT. The </w:t>
      </w:r>
      <w:r w:rsidR="00ED1F23" w:rsidRPr="00D032B4">
        <w:rPr>
          <w:rFonts w:cs="Arial"/>
          <w:sz w:val="24"/>
          <w:szCs w:val="24"/>
        </w:rPr>
        <w:t>real-world</w:t>
      </w:r>
      <w:r w:rsidRPr="00D032B4">
        <w:rPr>
          <w:rFonts w:cs="Arial"/>
          <w:sz w:val="24"/>
          <w:szCs w:val="24"/>
        </w:rPr>
        <w:t xml:space="preserve"> </w:t>
      </w:r>
      <w:r w:rsidRPr="00D032B4">
        <w:rPr>
          <w:rFonts w:cs="Arial"/>
          <w:sz w:val="24"/>
          <w:szCs w:val="24"/>
        </w:rPr>
        <w:lastRenderedPageBreak/>
        <w:t xml:space="preserve">experience of efgartigimod in </w:t>
      </w:r>
      <w:r w:rsidR="005C116B" w:rsidRPr="00D032B4">
        <w:rPr>
          <w:rFonts w:cs="Arial"/>
          <w:sz w:val="24"/>
          <w:szCs w:val="24"/>
        </w:rPr>
        <w:t>a</w:t>
      </w:r>
      <w:r w:rsidRPr="00D032B4">
        <w:rPr>
          <w:rFonts w:cs="Arial"/>
          <w:sz w:val="24"/>
          <w:szCs w:val="24"/>
        </w:rPr>
        <w:t xml:space="preserve"> UK </w:t>
      </w:r>
      <w:r w:rsidR="005C116B" w:rsidRPr="00D032B4">
        <w:rPr>
          <w:rFonts w:cs="Arial"/>
          <w:sz w:val="24"/>
          <w:szCs w:val="24"/>
        </w:rPr>
        <w:t xml:space="preserve">population </w:t>
      </w:r>
      <w:r w:rsidRPr="00D032B4">
        <w:rPr>
          <w:rFonts w:cs="Arial"/>
          <w:sz w:val="24"/>
          <w:szCs w:val="24"/>
        </w:rPr>
        <w:t xml:space="preserve">is important because it is key evidence of how the drug will be used in the NHS. </w:t>
      </w:r>
    </w:p>
    <w:p w14:paraId="654594C1" w14:textId="72E8DF7C" w:rsidR="00C72542" w:rsidRPr="00D032B4" w:rsidRDefault="00C72542" w:rsidP="00544F21">
      <w:pPr>
        <w:pStyle w:val="Paragraph"/>
        <w:rPr>
          <w:rFonts w:cs="Arial"/>
          <w:sz w:val="24"/>
          <w:szCs w:val="24"/>
        </w:rPr>
      </w:pPr>
      <w:r w:rsidRPr="00D032B4">
        <w:rPr>
          <w:rFonts w:cs="Arial"/>
          <w:sz w:val="24"/>
          <w:szCs w:val="24"/>
        </w:rPr>
        <w:t xml:space="preserve">Esther Nzenza reiterated </w:t>
      </w:r>
      <w:r w:rsidR="00DE0543" w:rsidRPr="00D032B4">
        <w:rPr>
          <w:rFonts w:cs="Arial"/>
          <w:sz w:val="24"/>
          <w:szCs w:val="24"/>
        </w:rPr>
        <w:t xml:space="preserve">the Company's position </w:t>
      </w:r>
      <w:r w:rsidRPr="00D032B4">
        <w:rPr>
          <w:rFonts w:cs="Arial"/>
          <w:sz w:val="24"/>
          <w:szCs w:val="24"/>
        </w:rPr>
        <w:t xml:space="preserve">that MG-ADL scores do not correlate with the dosing regimen. In the event of successful treatment, post-hoc analysis of EAMS data suggests that clinicians would look to extend not reduce treatment intervals. Alan Moore pointed out that the Company's own model suggests that efgartigimod will be discontinued once the MG-ADL score drops below 5. </w:t>
      </w:r>
    </w:p>
    <w:p w14:paraId="4399685A" w14:textId="66BBF85F" w:rsidR="00D032B4" w:rsidRPr="00D032B4" w:rsidRDefault="00D032B4" w:rsidP="00D032B4">
      <w:pPr>
        <w:pStyle w:val="Paragraph"/>
        <w:rPr>
          <w:rFonts w:cs="Arial"/>
          <w:sz w:val="24"/>
          <w:szCs w:val="24"/>
        </w:rPr>
      </w:pPr>
      <w:r w:rsidRPr="00D032B4">
        <w:rPr>
          <w:rFonts w:cs="Arial"/>
          <w:sz w:val="24"/>
          <w:szCs w:val="24"/>
        </w:rPr>
        <w:t>The Appeal Panel concluded as follows</w:t>
      </w:r>
      <w:r w:rsidR="00CF1947">
        <w:rPr>
          <w:rFonts w:cs="Arial"/>
          <w:sz w:val="24"/>
          <w:szCs w:val="24"/>
        </w:rPr>
        <w:t>.</w:t>
      </w:r>
      <w:r w:rsidR="00CF1947" w:rsidRPr="00D032B4">
        <w:rPr>
          <w:rFonts w:cs="Arial"/>
          <w:sz w:val="24"/>
          <w:szCs w:val="24"/>
        </w:rPr>
        <w:t xml:space="preserve"> </w:t>
      </w:r>
      <w:r w:rsidRPr="00D032B4">
        <w:rPr>
          <w:rFonts w:cs="Arial"/>
          <w:sz w:val="24"/>
          <w:szCs w:val="24"/>
        </w:rPr>
        <w:t xml:space="preserve">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that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had recognised that the target population considered in this appraisal for treatment with efga</w:t>
      </w:r>
      <w:r w:rsidR="00CF1947">
        <w:rPr>
          <w:rFonts w:cs="Arial"/>
          <w:sz w:val="24"/>
          <w:szCs w:val="24"/>
        </w:rPr>
        <w:t>r</w:t>
      </w:r>
      <w:r w:rsidRPr="00D032B4">
        <w:rPr>
          <w:rFonts w:cs="Arial"/>
          <w:sz w:val="24"/>
          <w:szCs w:val="24"/>
        </w:rPr>
        <w:t xml:space="preserve">tigimod was more severely affected by their </w:t>
      </w:r>
      <w:r w:rsidR="00544068">
        <w:rPr>
          <w:rFonts w:cs="Arial"/>
          <w:sz w:val="24"/>
          <w:szCs w:val="24"/>
        </w:rPr>
        <w:t>generalised myasthenia gravis</w:t>
      </w:r>
      <w:r w:rsidRPr="00D032B4">
        <w:rPr>
          <w:rFonts w:cs="Arial"/>
          <w:sz w:val="24"/>
          <w:szCs w:val="24"/>
        </w:rPr>
        <w:t xml:space="preserve"> illness than the overall cohort that was included in the randomised controlled ADAPT trial, and that this was outlined in section 3.11 of the FDG.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also observed that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had explained in 3.11 that they considered that data from the EAMS database </w:t>
      </w:r>
      <w:proofErr w:type="gramStart"/>
      <w:r w:rsidRPr="00D032B4">
        <w:rPr>
          <w:rFonts w:cs="Arial"/>
          <w:sz w:val="24"/>
          <w:szCs w:val="24"/>
        </w:rPr>
        <w:t>in regard to</w:t>
      </w:r>
      <w:proofErr w:type="gramEnd"/>
      <w:r w:rsidRPr="00D032B4">
        <w:rPr>
          <w:rFonts w:cs="Arial"/>
          <w:sz w:val="24"/>
          <w:szCs w:val="24"/>
        </w:rPr>
        <w:t xml:space="preserve"> the dosing of efga</w:t>
      </w:r>
      <w:r w:rsidR="00CF1947">
        <w:rPr>
          <w:rFonts w:cs="Arial"/>
          <w:sz w:val="24"/>
          <w:szCs w:val="24"/>
        </w:rPr>
        <w:t>r</w:t>
      </w:r>
      <w:r w:rsidRPr="00D032B4">
        <w:rPr>
          <w:rFonts w:cs="Arial"/>
          <w:sz w:val="24"/>
          <w:szCs w:val="24"/>
        </w:rPr>
        <w:t xml:space="preserve">tigimod, was more reflective of </w:t>
      </w:r>
      <w:r w:rsidR="00243919">
        <w:rPr>
          <w:rFonts w:cs="Arial"/>
          <w:sz w:val="24"/>
          <w:szCs w:val="24"/>
        </w:rPr>
        <w:t>“</w:t>
      </w:r>
      <w:r w:rsidRPr="00D032B4">
        <w:rPr>
          <w:rFonts w:cs="Arial"/>
          <w:sz w:val="24"/>
          <w:szCs w:val="24"/>
        </w:rPr>
        <w:t xml:space="preserve">real </w:t>
      </w:r>
      <w:r w:rsidR="00243919" w:rsidRPr="00D032B4">
        <w:rPr>
          <w:rFonts w:cs="Arial"/>
          <w:sz w:val="24"/>
          <w:szCs w:val="24"/>
        </w:rPr>
        <w:t>world</w:t>
      </w:r>
      <w:r w:rsidR="00243919">
        <w:rPr>
          <w:rFonts w:cs="Arial"/>
          <w:sz w:val="24"/>
          <w:szCs w:val="24"/>
        </w:rPr>
        <w:t>”</w:t>
      </w:r>
      <w:r w:rsidR="00243919" w:rsidRPr="00D032B4">
        <w:rPr>
          <w:rFonts w:cs="Arial"/>
          <w:sz w:val="24"/>
          <w:szCs w:val="24"/>
        </w:rPr>
        <w:t xml:space="preserve"> </w:t>
      </w:r>
      <w:r w:rsidRPr="00D032B4">
        <w:rPr>
          <w:rFonts w:cs="Arial"/>
          <w:sz w:val="24"/>
          <w:szCs w:val="24"/>
        </w:rPr>
        <w:t>NHS practice in the target population than data from the ADAPT trial population</w:t>
      </w:r>
      <w:r w:rsidR="00F75061" w:rsidRPr="00D032B4">
        <w:rPr>
          <w:rFonts w:cs="Arial"/>
          <w:sz w:val="24"/>
          <w:szCs w:val="24"/>
        </w:rPr>
        <w:t xml:space="preserve">. </w:t>
      </w:r>
      <w:r w:rsidRPr="00D032B4">
        <w:rPr>
          <w:rFonts w:cs="Arial"/>
          <w:sz w:val="24"/>
          <w:szCs w:val="24"/>
        </w:rPr>
        <w:t xml:space="preserve">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had also concluded that the dosing assumptions for efga</w:t>
      </w:r>
      <w:r w:rsidR="00CF1947">
        <w:rPr>
          <w:rFonts w:cs="Arial"/>
          <w:sz w:val="24"/>
          <w:szCs w:val="24"/>
        </w:rPr>
        <w:t>r</w:t>
      </w:r>
      <w:r w:rsidRPr="00D032B4">
        <w:rPr>
          <w:rFonts w:cs="Arial"/>
          <w:sz w:val="24"/>
          <w:szCs w:val="24"/>
        </w:rPr>
        <w:t xml:space="preserve">tigimod in the economic modelling exerted a substantial impact on the conclusions around cost effectiveness and had therefore appropriately considered the optimal source of dosing data in the </w:t>
      </w:r>
      <w:r w:rsidR="00CF1947">
        <w:rPr>
          <w:rFonts w:cs="Arial"/>
          <w:sz w:val="24"/>
          <w:szCs w:val="24"/>
        </w:rPr>
        <w:t>fourth</w:t>
      </w:r>
      <w:r w:rsidR="00CF1947" w:rsidRPr="00D032B4">
        <w:rPr>
          <w:rFonts w:cs="Arial"/>
          <w:sz w:val="24"/>
          <w:szCs w:val="24"/>
        </w:rPr>
        <w:t xml:space="preserve"> </w:t>
      </w:r>
      <w:r w:rsidRPr="00D032B4">
        <w:rPr>
          <w:rFonts w:cs="Arial"/>
          <w:sz w:val="24"/>
          <w:szCs w:val="24"/>
        </w:rPr>
        <w:t>committee meeting in the</w:t>
      </w:r>
      <w:r w:rsidR="00D634BE">
        <w:rPr>
          <w:rFonts w:cs="Arial"/>
          <w:sz w:val="24"/>
          <w:szCs w:val="24"/>
        </w:rPr>
        <w:t>ir</w:t>
      </w:r>
      <w:r w:rsidRPr="00D032B4">
        <w:rPr>
          <w:rFonts w:cs="Arial"/>
          <w:sz w:val="24"/>
          <w:szCs w:val="24"/>
        </w:rPr>
        <w:t xml:space="preserve"> deliberations. The </w:t>
      </w:r>
      <w:r w:rsidR="00CF1947">
        <w:rPr>
          <w:rFonts w:cs="Arial"/>
          <w:sz w:val="24"/>
          <w:szCs w:val="24"/>
        </w:rPr>
        <w:t>P</w:t>
      </w:r>
      <w:r w:rsidRPr="00D032B4">
        <w:rPr>
          <w:rFonts w:cs="Arial"/>
          <w:sz w:val="24"/>
          <w:szCs w:val="24"/>
        </w:rPr>
        <w:t xml:space="preserve">anel noted that NICE processes indicate that preferred evidence sources reflect the specific use being considered by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and that while data from randomised clinical studies are usually preferred, additional data from non-randomised studies can be used to compl</w:t>
      </w:r>
      <w:r w:rsidR="00D7614B">
        <w:rPr>
          <w:rFonts w:cs="Arial"/>
          <w:sz w:val="24"/>
          <w:szCs w:val="24"/>
        </w:rPr>
        <w:t>e</w:t>
      </w:r>
      <w:r w:rsidRPr="00D032B4">
        <w:rPr>
          <w:rFonts w:cs="Arial"/>
          <w:sz w:val="24"/>
          <w:szCs w:val="24"/>
        </w:rPr>
        <w:t>ment RCT data when evidence is limited</w:t>
      </w:r>
      <w:r w:rsidR="00F75061" w:rsidRPr="00D032B4">
        <w:rPr>
          <w:rFonts w:cs="Arial"/>
          <w:sz w:val="24"/>
          <w:szCs w:val="24"/>
        </w:rPr>
        <w:t xml:space="preserve">. </w:t>
      </w:r>
      <w:r w:rsidRPr="00D032B4">
        <w:rPr>
          <w:rFonts w:cs="Arial"/>
          <w:sz w:val="24"/>
          <w:szCs w:val="24"/>
        </w:rPr>
        <w:t xml:space="preserve">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were satisfied that the consideration of separate data sources in regard to clinical outcome and drug dosing </w:t>
      </w:r>
      <w:r w:rsidR="00EF7A18">
        <w:rPr>
          <w:rFonts w:cs="Arial"/>
          <w:sz w:val="24"/>
          <w:szCs w:val="24"/>
        </w:rPr>
        <w:t>is</w:t>
      </w:r>
      <w:r w:rsidR="00EF7A18" w:rsidRPr="00D032B4">
        <w:rPr>
          <w:rFonts w:cs="Arial"/>
          <w:sz w:val="24"/>
          <w:szCs w:val="24"/>
        </w:rPr>
        <w:t xml:space="preserve"> </w:t>
      </w:r>
      <w:r w:rsidRPr="00D032B4">
        <w:rPr>
          <w:rFonts w:cs="Arial"/>
          <w:sz w:val="24"/>
          <w:szCs w:val="24"/>
        </w:rPr>
        <w:t>consistent with NICE processes</w:t>
      </w:r>
      <w:r w:rsidR="008B28C8">
        <w:rPr>
          <w:rFonts w:cs="Arial"/>
          <w:sz w:val="24"/>
          <w:szCs w:val="24"/>
        </w:rPr>
        <w:t xml:space="preserve"> </w:t>
      </w:r>
      <w:r w:rsidR="008B28C8">
        <w:rPr>
          <w:rFonts w:cs="Arial"/>
          <w:sz w:val="24"/>
          <w:szCs w:val="24"/>
        </w:rPr>
        <w:lastRenderedPageBreak/>
        <w:t>(in particular, section 3.3.2 of the Manual)</w:t>
      </w:r>
      <w:r w:rsidRPr="00D032B4">
        <w:rPr>
          <w:rFonts w:cs="Arial"/>
          <w:sz w:val="24"/>
          <w:szCs w:val="24"/>
        </w:rPr>
        <w:t xml:space="preserve">; that NICE has adopted a similar approach in other appraisals; and that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had not acted unreasonably in reaching this conclusion on the basis of its desire that the appraisal conclusions accurately reflect the way in which efga</w:t>
      </w:r>
      <w:r w:rsidR="00CF1947">
        <w:rPr>
          <w:rFonts w:cs="Arial"/>
          <w:sz w:val="24"/>
          <w:szCs w:val="24"/>
        </w:rPr>
        <w:t>r</w:t>
      </w:r>
      <w:r w:rsidRPr="00D032B4">
        <w:rPr>
          <w:rFonts w:cs="Arial"/>
          <w:sz w:val="24"/>
          <w:szCs w:val="24"/>
        </w:rPr>
        <w:t>tigimod is used in NHS practice.</w:t>
      </w:r>
    </w:p>
    <w:p w14:paraId="68FECEA9" w14:textId="4CB8066A" w:rsidR="00756935" w:rsidRPr="00D032B4" w:rsidRDefault="00D032B4" w:rsidP="00D032B4">
      <w:pPr>
        <w:pStyle w:val="Paragraph"/>
        <w:rPr>
          <w:rFonts w:cs="Arial"/>
          <w:sz w:val="24"/>
          <w:szCs w:val="24"/>
        </w:rPr>
      </w:pPr>
      <w:r w:rsidRPr="00D032B4">
        <w:rPr>
          <w:rFonts w:cs="Arial"/>
          <w:sz w:val="24"/>
          <w:szCs w:val="24"/>
        </w:rPr>
        <w:t xml:space="preserve">The </w:t>
      </w:r>
      <w:r w:rsidR="00CF1947">
        <w:rPr>
          <w:rFonts w:cs="Arial"/>
          <w:sz w:val="24"/>
          <w:szCs w:val="24"/>
        </w:rPr>
        <w:t>A</w:t>
      </w:r>
      <w:r w:rsidR="00CF1947" w:rsidRPr="00D032B4">
        <w:rPr>
          <w:rFonts w:cs="Arial"/>
          <w:sz w:val="24"/>
          <w:szCs w:val="24"/>
        </w:rPr>
        <w:t xml:space="preserve">ppeal </w:t>
      </w:r>
      <w:r w:rsidR="00CF1947">
        <w:rPr>
          <w:rFonts w:cs="Arial"/>
          <w:sz w:val="24"/>
          <w:szCs w:val="24"/>
        </w:rPr>
        <w:t>P</w:t>
      </w:r>
      <w:r w:rsidR="00CF1947" w:rsidRPr="00D032B4">
        <w:rPr>
          <w:rFonts w:cs="Arial"/>
          <w:sz w:val="24"/>
          <w:szCs w:val="24"/>
        </w:rPr>
        <w:t xml:space="preserve">anel </w:t>
      </w:r>
      <w:r w:rsidRPr="00D032B4">
        <w:rPr>
          <w:rFonts w:cs="Arial"/>
          <w:sz w:val="24"/>
          <w:szCs w:val="24"/>
        </w:rPr>
        <w:t>therefore dismissed</w:t>
      </w:r>
      <w:r w:rsidRPr="00D032B4">
        <w:rPr>
          <w:rFonts w:cs="Arial"/>
          <w:color w:val="FF0000"/>
          <w:sz w:val="24"/>
          <w:szCs w:val="24"/>
        </w:rPr>
        <w:t xml:space="preserve"> </w:t>
      </w:r>
      <w:r w:rsidRPr="00D032B4">
        <w:rPr>
          <w:rFonts w:cs="Arial"/>
          <w:sz w:val="24"/>
          <w:szCs w:val="24"/>
        </w:rPr>
        <w:t>the appeal on this point.</w:t>
      </w:r>
    </w:p>
    <w:p w14:paraId="6735E7DC" w14:textId="0B59C2BE" w:rsidR="00756935" w:rsidRPr="00D032B4" w:rsidRDefault="006D33FD" w:rsidP="00AD10A9">
      <w:pPr>
        <w:pStyle w:val="Heading3"/>
      </w:pPr>
      <w:proofErr w:type="spellStart"/>
      <w:r>
        <w:t>Argenx</w:t>
      </w:r>
      <w:proofErr w:type="spellEnd"/>
      <w:r>
        <w:t xml:space="preserve"> </w:t>
      </w:r>
      <w:r w:rsidR="00756935" w:rsidRPr="00D032B4">
        <w:t xml:space="preserve">Appeal Point 2.5:  The Appraisal Committee's conclusion on </w:t>
      </w:r>
      <w:r w:rsidR="00544068">
        <w:t>intravenous immunoglobulin</w:t>
      </w:r>
      <w:r w:rsidR="00756935" w:rsidRPr="00D032B4">
        <w:t xml:space="preserve"> response rate in patients who discontinue efgartigimod is unreasonable </w:t>
      </w:r>
      <w:proofErr w:type="gramStart"/>
      <w:r w:rsidR="00756935" w:rsidRPr="00D032B4">
        <w:t>in light of</w:t>
      </w:r>
      <w:proofErr w:type="gramEnd"/>
      <w:r w:rsidR="00756935" w:rsidRPr="00D032B4">
        <w:t xml:space="preserve"> the published literature and expert elicitation evidence </w:t>
      </w:r>
      <w:r w:rsidR="00ED1F23" w:rsidRPr="00D032B4">
        <w:t>submitted.</w:t>
      </w:r>
      <w:r w:rsidR="00756935" w:rsidRPr="00D032B4">
        <w:t xml:space="preserve"> </w:t>
      </w:r>
    </w:p>
    <w:p w14:paraId="5501B8AA" w14:textId="54163C75" w:rsidR="00C72542" w:rsidRPr="00D032B4" w:rsidRDefault="00C72542" w:rsidP="00756935">
      <w:pPr>
        <w:pStyle w:val="Paragraph"/>
        <w:rPr>
          <w:rFonts w:cs="Arial"/>
          <w:sz w:val="24"/>
          <w:szCs w:val="24"/>
        </w:rPr>
      </w:pPr>
      <w:r w:rsidRPr="00D032B4">
        <w:rPr>
          <w:rFonts w:cs="Arial"/>
          <w:sz w:val="24"/>
          <w:szCs w:val="24"/>
        </w:rPr>
        <w:t xml:space="preserve">Esther Nzenza, for </w:t>
      </w:r>
      <w:proofErr w:type="spellStart"/>
      <w:r w:rsidR="006D33FD">
        <w:rPr>
          <w:rFonts w:cs="Arial"/>
          <w:sz w:val="24"/>
          <w:szCs w:val="24"/>
        </w:rPr>
        <w:t>Argenx</w:t>
      </w:r>
      <w:proofErr w:type="spellEnd"/>
      <w:r w:rsidRPr="00D032B4">
        <w:rPr>
          <w:rFonts w:cs="Arial"/>
          <w:sz w:val="24"/>
          <w:szCs w:val="24"/>
        </w:rPr>
        <w:t xml:space="preserve">, introduced the Company's position that the conclusion in the FDG in respect of </w:t>
      </w:r>
      <w:r w:rsidR="00544068">
        <w:rPr>
          <w:rFonts w:cs="Arial"/>
          <w:sz w:val="24"/>
          <w:szCs w:val="24"/>
        </w:rPr>
        <w:t>intravenous immunoglobulin</w:t>
      </w:r>
      <w:r w:rsidRPr="00D032B4">
        <w:rPr>
          <w:rFonts w:cs="Arial"/>
          <w:sz w:val="24"/>
          <w:szCs w:val="24"/>
        </w:rPr>
        <w:t xml:space="preserve"> response rate cannot be supported by the evidence.</w:t>
      </w:r>
      <w:r w:rsidR="00DE0543" w:rsidRPr="00D032B4">
        <w:rPr>
          <w:rFonts w:cs="Arial"/>
          <w:sz w:val="24"/>
          <w:szCs w:val="24"/>
        </w:rPr>
        <w:t xml:space="preserve"> The Company </w:t>
      </w:r>
      <w:r w:rsidRPr="00D032B4">
        <w:rPr>
          <w:rFonts w:cs="Arial"/>
          <w:sz w:val="24"/>
          <w:szCs w:val="24"/>
        </w:rPr>
        <w:t xml:space="preserve">assumptions derived an aggregated discontinuation rate from 2 studies (recognising the paucity of evidence) supported by 6 consultants treating </w:t>
      </w:r>
      <w:r w:rsidR="00544068">
        <w:rPr>
          <w:rFonts w:cs="Arial"/>
          <w:sz w:val="24"/>
          <w:szCs w:val="24"/>
        </w:rPr>
        <w:t>generalised myasthenia gravis</w:t>
      </w:r>
      <w:r w:rsidRPr="00D032B4">
        <w:rPr>
          <w:rFonts w:cs="Arial"/>
          <w:sz w:val="24"/>
          <w:szCs w:val="24"/>
        </w:rPr>
        <w:t xml:space="preserve"> which gave an estimate of 14.5%. The Company </w:t>
      </w:r>
      <w:r w:rsidR="00977256" w:rsidRPr="00D032B4">
        <w:rPr>
          <w:rFonts w:cs="Arial"/>
          <w:sz w:val="24"/>
          <w:szCs w:val="24"/>
        </w:rPr>
        <w:t>states</w:t>
      </w:r>
      <w:r w:rsidRPr="00D032B4">
        <w:rPr>
          <w:rFonts w:cs="Arial"/>
          <w:sz w:val="24"/>
          <w:szCs w:val="24"/>
        </w:rPr>
        <w:t xml:space="preserve"> that this was presented in the third committee meeting, but that it was subsequently rejected without clear explanation after the fourth committee meeting and replaced instead with the view of one clinical expert.</w:t>
      </w:r>
      <w:r w:rsidR="00DF61E6" w:rsidRPr="00D032B4">
        <w:rPr>
          <w:rFonts w:cs="Arial"/>
          <w:sz w:val="24"/>
          <w:szCs w:val="24"/>
        </w:rPr>
        <w:t xml:space="preserve"> The Company maintained that its view was sound, and that the conclusion to adopt an alternative measure of response was </w:t>
      </w:r>
      <w:r w:rsidR="00ED1F23" w:rsidRPr="00D032B4">
        <w:rPr>
          <w:rFonts w:cs="Arial"/>
          <w:sz w:val="24"/>
          <w:szCs w:val="24"/>
        </w:rPr>
        <w:t>unreasonable and</w:t>
      </w:r>
      <w:r w:rsidR="00DF61E6" w:rsidRPr="00D032B4">
        <w:rPr>
          <w:rFonts w:cs="Arial"/>
          <w:sz w:val="24"/>
          <w:szCs w:val="24"/>
        </w:rPr>
        <w:t xml:space="preserve"> acted to distort the comparative value of efgartigimod further. </w:t>
      </w:r>
    </w:p>
    <w:p w14:paraId="3F42EA03" w14:textId="2C3A4ADD" w:rsidR="00DF61E6" w:rsidRPr="00D032B4" w:rsidRDefault="00DF61E6" w:rsidP="00756935">
      <w:pPr>
        <w:pStyle w:val="Paragraph"/>
        <w:rPr>
          <w:rFonts w:cs="Arial"/>
          <w:sz w:val="24"/>
          <w:szCs w:val="24"/>
        </w:rPr>
      </w:pPr>
      <w:r w:rsidRPr="00D032B4">
        <w:rPr>
          <w:rFonts w:cs="Arial"/>
          <w:sz w:val="24"/>
          <w:szCs w:val="24"/>
        </w:rPr>
        <w:t>Alan Moore</w:t>
      </w:r>
      <w:r w:rsidR="00CF7229">
        <w:rPr>
          <w:rFonts w:cs="Arial"/>
          <w:sz w:val="24"/>
          <w:szCs w:val="24"/>
        </w:rPr>
        <w:t>, for NICE,</w:t>
      </w:r>
      <w:r w:rsidRPr="00D032B4">
        <w:rPr>
          <w:rFonts w:cs="Arial"/>
          <w:sz w:val="24"/>
          <w:szCs w:val="24"/>
        </w:rPr>
        <w:t xml:space="preserve"> explained to the Panel that there are other </w:t>
      </w:r>
      <w:r w:rsidR="00544068">
        <w:rPr>
          <w:rFonts w:cs="Arial"/>
          <w:sz w:val="24"/>
          <w:szCs w:val="24"/>
        </w:rPr>
        <w:t>generalised myasthenia gravis</w:t>
      </w:r>
      <w:r w:rsidRPr="00D032B4">
        <w:rPr>
          <w:rFonts w:cs="Arial"/>
          <w:sz w:val="24"/>
          <w:szCs w:val="24"/>
        </w:rPr>
        <w:t xml:space="preserve"> topics being appraised in parallel with efgartigimod, and that the Committee was eager to maintain a consistency of decision</w:t>
      </w:r>
      <w:r w:rsidR="00EC295C">
        <w:rPr>
          <w:rFonts w:cs="Arial"/>
          <w:sz w:val="24"/>
          <w:szCs w:val="24"/>
        </w:rPr>
        <w:t>-</w:t>
      </w:r>
      <w:r w:rsidRPr="00D032B4">
        <w:rPr>
          <w:rFonts w:cs="Arial"/>
          <w:sz w:val="24"/>
          <w:szCs w:val="24"/>
        </w:rPr>
        <w:t>making where</w:t>
      </w:r>
      <w:r w:rsidR="00977256" w:rsidRPr="00D032B4">
        <w:rPr>
          <w:rFonts w:cs="Arial"/>
          <w:sz w:val="24"/>
          <w:szCs w:val="24"/>
        </w:rPr>
        <w:t xml:space="preserve"> </w:t>
      </w:r>
      <w:r w:rsidRPr="00D032B4">
        <w:rPr>
          <w:rFonts w:cs="Arial"/>
          <w:sz w:val="24"/>
          <w:szCs w:val="24"/>
        </w:rPr>
        <w:t xml:space="preserve">possible. Given the </w:t>
      </w:r>
      <w:r w:rsidR="00544068">
        <w:rPr>
          <w:rFonts w:cs="Arial"/>
          <w:sz w:val="24"/>
          <w:szCs w:val="24"/>
        </w:rPr>
        <w:t>intravenous immunoglobulin</w:t>
      </w:r>
      <w:r w:rsidRPr="00D032B4">
        <w:rPr>
          <w:rFonts w:cs="Arial"/>
          <w:sz w:val="24"/>
          <w:szCs w:val="24"/>
        </w:rPr>
        <w:t xml:space="preserve"> response rates submitted in comparable appraisals, the Committee asked the clinical experts present at the </w:t>
      </w:r>
      <w:r w:rsidRPr="00D032B4">
        <w:rPr>
          <w:rFonts w:cs="Arial"/>
          <w:sz w:val="24"/>
          <w:szCs w:val="24"/>
        </w:rPr>
        <w:lastRenderedPageBreak/>
        <w:t>fourth committee meeting which</w:t>
      </w:r>
      <w:r w:rsidR="00977256" w:rsidRPr="00D032B4">
        <w:rPr>
          <w:rFonts w:cs="Arial"/>
          <w:sz w:val="24"/>
          <w:szCs w:val="24"/>
        </w:rPr>
        <w:t xml:space="preserve"> </w:t>
      </w:r>
      <w:r w:rsidR="00544068">
        <w:rPr>
          <w:rFonts w:cs="Arial"/>
          <w:sz w:val="24"/>
          <w:szCs w:val="24"/>
        </w:rPr>
        <w:t>intravenous immunoglobulin</w:t>
      </w:r>
      <w:r w:rsidRPr="00D032B4">
        <w:rPr>
          <w:rFonts w:cs="Arial"/>
          <w:sz w:val="24"/>
          <w:szCs w:val="24"/>
        </w:rPr>
        <w:t xml:space="preserve"> response rate it considered appropriate. The two clinical experts in the fourth committee meeting both agreed that 70% was a reasonable response rate. The Committee was of the view that the evidence for the Company's </w:t>
      </w:r>
      <w:r w:rsidR="00544068">
        <w:rPr>
          <w:rFonts w:cs="Arial"/>
          <w:sz w:val="24"/>
          <w:szCs w:val="24"/>
        </w:rPr>
        <w:t>intravenous immunoglobulin</w:t>
      </w:r>
      <w:r w:rsidR="00977256" w:rsidRPr="00D032B4">
        <w:rPr>
          <w:rFonts w:cs="Arial"/>
          <w:sz w:val="24"/>
          <w:szCs w:val="24"/>
        </w:rPr>
        <w:t xml:space="preserve"> </w:t>
      </w:r>
      <w:r w:rsidRPr="00D032B4">
        <w:rPr>
          <w:rFonts w:cs="Arial"/>
          <w:sz w:val="24"/>
          <w:szCs w:val="24"/>
        </w:rPr>
        <w:t>response rate was highly uncertain and not robust. If appropriate</w:t>
      </w:r>
      <w:r w:rsidR="00977256" w:rsidRPr="00D032B4">
        <w:rPr>
          <w:rFonts w:cs="Arial"/>
          <w:sz w:val="24"/>
          <w:szCs w:val="24"/>
        </w:rPr>
        <w:t>ly</w:t>
      </w:r>
      <w:r w:rsidRPr="00D032B4">
        <w:rPr>
          <w:rFonts w:cs="Arial"/>
          <w:sz w:val="24"/>
          <w:szCs w:val="24"/>
        </w:rPr>
        <w:t xml:space="preserve"> structured, this should not have a material impact on the cost-effectiveness model. </w:t>
      </w:r>
    </w:p>
    <w:p w14:paraId="7D8BA584" w14:textId="27D831EC" w:rsidR="00DF61E6" w:rsidRPr="00D032B4" w:rsidRDefault="00DF61E6" w:rsidP="00756935">
      <w:pPr>
        <w:pStyle w:val="Paragraph"/>
        <w:rPr>
          <w:rFonts w:cs="Arial"/>
          <w:sz w:val="24"/>
          <w:szCs w:val="24"/>
        </w:rPr>
      </w:pPr>
      <w:r w:rsidRPr="00D032B4">
        <w:rPr>
          <w:rFonts w:cs="Arial"/>
          <w:sz w:val="24"/>
          <w:szCs w:val="24"/>
        </w:rPr>
        <w:t xml:space="preserve">The Panel accepted that there is a general desire for consistency across NICE </w:t>
      </w:r>
      <w:r w:rsidR="00ED1F23" w:rsidRPr="00D032B4">
        <w:rPr>
          <w:rFonts w:cs="Arial"/>
          <w:sz w:val="24"/>
          <w:szCs w:val="24"/>
        </w:rPr>
        <w:t>appraisals but</w:t>
      </w:r>
      <w:r w:rsidRPr="00D032B4">
        <w:rPr>
          <w:rFonts w:cs="Arial"/>
          <w:sz w:val="24"/>
          <w:szCs w:val="24"/>
        </w:rPr>
        <w:t xml:space="preserve"> asked whether the Committee took the EAG</w:t>
      </w:r>
      <w:r w:rsidR="00B01C80" w:rsidRPr="00D032B4">
        <w:rPr>
          <w:rFonts w:cs="Arial"/>
          <w:sz w:val="24"/>
          <w:szCs w:val="24"/>
        </w:rPr>
        <w:t xml:space="preserve"> </w:t>
      </w:r>
      <w:r w:rsidR="00544068">
        <w:rPr>
          <w:rFonts w:cs="Arial"/>
          <w:sz w:val="24"/>
          <w:szCs w:val="24"/>
        </w:rPr>
        <w:t>intravenous immunoglobulin</w:t>
      </w:r>
      <w:r w:rsidRPr="00D032B4">
        <w:rPr>
          <w:rFonts w:cs="Arial"/>
          <w:sz w:val="24"/>
          <w:szCs w:val="24"/>
        </w:rPr>
        <w:t xml:space="preserve"> response rate into account. </w:t>
      </w:r>
      <w:r w:rsidR="00CF7229">
        <w:rPr>
          <w:rFonts w:cs="Arial"/>
          <w:sz w:val="24"/>
          <w:szCs w:val="24"/>
        </w:rPr>
        <w:t xml:space="preserve">Dr </w:t>
      </w:r>
      <w:r w:rsidRPr="00D032B4">
        <w:rPr>
          <w:rFonts w:cs="Arial"/>
          <w:sz w:val="24"/>
          <w:szCs w:val="24"/>
        </w:rPr>
        <w:t>Raju Reddy</w:t>
      </w:r>
      <w:r w:rsidR="00CF7229">
        <w:rPr>
          <w:rFonts w:cs="Arial"/>
          <w:sz w:val="24"/>
          <w:szCs w:val="24"/>
        </w:rPr>
        <w:t xml:space="preserve">, for NICE, </w:t>
      </w:r>
      <w:r w:rsidRPr="00D032B4">
        <w:rPr>
          <w:rFonts w:cs="Arial"/>
          <w:sz w:val="24"/>
          <w:szCs w:val="24"/>
        </w:rPr>
        <w:t>described that this is an example of the Committee disagreeing with the EAG. He also noted that, as set out in paragraph 3.8 of the FDG, clinical experts stated a 65-7</w:t>
      </w:r>
      <w:r w:rsidR="00B26223">
        <w:rPr>
          <w:rFonts w:cs="Arial"/>
          <w:sz w:val="24"/>
          <w:szCs w:val="24"/>
        </w:rPr>
        <w:t>5</w:t>
      </w:r>
      <w:r w:rsidRPr="00D032B4">
        <w:rPr>
          <w:rFonts w:cs="Arial"/>
          <w:sz w:val="24"/>
          <w:szCs w:val="24"/>
        </w:rPr>
        <w:t xml:space="preserve">% response rate. </w:t>
      </w:r>
      <w:r w:rsidR="003E17DA" w:rsidRPr="00D032B4">
        <w:rPr>
          <w:rFonts w:cs="Arial"/>
          <w:sz w:val="24"/>
          <w:szCs w:val="24"/>
        </w:rPr>
        <w:t>Ross Dent</w:t>
      </w:r>
      <w:r w:rsidR="00CF7229">
        <w:rPr>
          <w:rFonts w:cs="Arial"/>
          <w:sz w:val="24"/>
          <w:szCs w:val="24"/>
        </w:rPr>
        <w:t>, for NICE,</w:t>
      </w:r>
      <w:r w:rsidR="003E17DA" w:rsidRPr="00D032B4">
        <w:rPr>
          <w:rFonts w:cs="Arial"/>
          <w:sz w:val="24"/>
          <w:szCs w:val="24"/>
        </w:rPr>
        <w:t xml:space="preserve"> explained that there is a desire to promote consistency if appropriate to do so, and here the Committee sought expert input at the fourth committee meeting to ascertain whether the </w:t>
      </w:r>
      <w:r w:rsidR="00544068">
        <w:rPr>
          <w:rFonts w:cs="Arial"/>
          <w:sz w:val="24"/>
          <w:szCs w:val="24"/>
        </w:rPr>
        <w:t>intravenous immunoglobulin</w:t>
      </w:r>
      <w:r w:rsidR="003E17DA" w:rsidRPr="00D032B4">
        <w:rPr>
          <w:rFonts w:cs="Arial"/>
          <w:sz w:val="24"/>
          <w:szCs w:val="24"/>
        </w:rPr>
        <w:t xml:space="preserve"> response rate assumptions used in other </w:t>
      </w:r>
      <w:r w:rsidR="00544068">
        <w:rPr>
          <w:rFonts w:cs="Arial"/>
          <w:sz w:val="24"/>
          <w:szCs w:val="24"/>
        </w:rPr>
        <w:t>generalised myasthenia gravis</w:t>
      </w:r>
      <w:r w:rsidR="003E17DA" w:rsidRPr="00D032B4">
        <w:rPr>
          <w:rFonts w:cs="Arial"/>
          <w:sz w:val="24"/>
          <w:szCs w:val="24"/>
        </w:rPr>
        <w:t xml:space="preserve"> appraisals were appropriate for use in the efgartigimod appraisal or not. </w:t>
      </w:r>
    </w:p>
    <w:p w14:paraId="5448EEA1" w14:textId="50790AAF" w:rsidR="003E17DA" w:rsidRPr="00D032B4" w:rsidRDefault="003E17DA" w:rsidP="00756935">
      <w:pPr>
        <w:pStyle w:val="Paragraph"/>
        <w:rPr>
          <w:rFonts w:cs="Arial"/>
          <w:sz w:val="24"/>
          <w:szCs w:val="24"/>
        </w:rPr>
      </w:pPr>
      <w:r w:rsidRPr="00D032B4">
        <w:rPr>
          <w:rFonts w:cs="Arial"/>
          <w:sz w:val="24"/>
          <w:szCs w:val="24"/>
        </w:rPr>
        <w:t xml:space="preserve">Alan Moore explained that there are vastly different inputs in the model, and </w:t>
      </w:r>
      <w:r w:rsidR="00CF7229">
        <w:rPr>
          <w:rFonts w:cs="Arial"/>
          <w:sz w:val="24"/>
          <w:szCs w:val="24"/>
        </w:rPr>
        <w:t>Dr</w:t>
      </w:r>
      <w:r w:rsidR="00CF7229" w:rsidRPr="00D032B4">
        <w:rPr>
          <w:rFonts w:cs="Arial"/>
          <w:sz w:val="24"/>
          <w:szCs w:val="24"/>
        </w:rPr>
        <w:t xml:space="preserve"> </w:t>
      </w:r>
      <w:r w:rsidRPr="00D032B4">
        <w:rPr>
          <w:rFonts w:cs="Arial"/>
          <w:sz w:val="24"/>
          <w:szCs w:val="24"/>
        </w:rPr>
        <w:t xml:space="preserve">Reddy added that the Company was adopting an inconsistent approach during the hearing as to whether it considered </w:t>
      </w:r>
      <w:r w:rsidR="00544068">
        <w:rPr>
          <w:rFonts w:cs="Arial"/>
          <w:sz w:val="24"/>
          <w:szCs w:val="24"/>
        </w:rPr>
        <w:t>intravenous immunoglobulin</w:t>
      </w:r>
      <w:r w:rsidRPr="00D032B4">
        <w:rPr>
          <w:rFonts w:cs="Arial"/>
          <w:sz w:val="24"/>
          <w:szCs w:val="24"/>
        </w:rPr>
        <w:t xml:space="preserve"> an effective </w:t>
      </w:r>
      <w:r w:rsidR="00FB6C60">
        <w:rPr>
          <w:rFonts w:cs="Arial"/>
          <w:sz w:val="24"/>
          <w:szCs w:val="24"/>
        </w:rPr>
        <w:t>“</w:t>
      </w:r>
      <w:r w:rsidRPr="00D032B4">
        <w:rPr>
          <w:rFonts w:cs="Arial"/>
          <w:sz w:val="24"/>
          <w:szCs w:val="24"/>
        </w:rPr>
        <w:t>rescue</w:t>
      </w:r>
      <w:r w:rsidR="00EC295C">
        <w:rPr>
          <w:rFonts w:cs="Arial"/>
          <w:sz w:val="24"/>
          <w:szCs w:val="24"/>
        </w:rPr>
        <w:t>’’</w:t>
      </w:r>
      <w:r w:rsidRPr="00D032B4">
        <w:rPr>
          <w:rFonts w:cs="Arial"/>
          <w:sz w:val="24"/>
          <w:szCs w:val="24"/>
        </w:rPr>
        <w:t xml:space="preserve"> treatment or not. </w:t>
      </w:r>
    </w:p>
    <w:p w14:paraId="4A58DE8A" w14:textId="305C9B55" w:rsidR="003E17DA" w:rsidRPr="00D032B4" w:rsidRDefault="003E17DA" w:rsidP="00756935">
      <w:pPr>
        <w:pStyle w:val="Paragraph"/>
        <w:rPr>
          <w:rFonts w:cs="Arial"/>
          <w:sz w:val="24"/>
          <w:szCs w:val="24"/>
        </w:rPr>
      </w:pPr>
      <w:r w:rsidRPr="00D032B4">
        <w:rPr>
          <w:rFonts w:cs="Arial"/>
          <w:sz w:val="24"/>
          <w:szCs w:val="24"/>
        </w:rPr>
        <w:t xml:space="preserve">Esther Nzenza expressed the view that </w:t>
      </w:r>
      <w:r w:rsidR="00ED1F23" w:rsidRPr="00D032B4">
        <w:rPr>
          <w:rFonts w:cs="Arial"/>
          <w:sz w:val="24"/>
          <w:szCs w:val="24"/>
        </w:rPr>
        <w:t>literature-based</w:t>
      </w:r>
      <w:r w:rsidRPr="00D032B4">
        <w:rPr>
          <w:rFonts w:cs="Arial"/>
          <w:sz w:val="24"/>
          <w:szCs w:val="24"/>
        </w:rPr>
        <w:t xml:space="preserve"> estimates validated by 6 geographical centres had been overridden by clinical opinion which the Company does not recall hearing in the committee meetings. </w:t>
      </w:r>
    </w:p>
    <w:p w14:paraId="4A1FE3DF" w14:textId="0E206E3F" w:rsidR="00B01C80" w:rsidRPr="00D032B4" w:rsidRDefault="00B01C80" w:rsidP="00B01C80">
      <w:pPr>
        <w:pStyle w:val="Paragraph"/>
        <w:rPr>
          <w:rFonts w:cs="Arial"/>
          <w:sz w:val="24"/>
          <w:szCs w:val="24"/>
        </w:rPr>
      </w:pPr>
      <w:r w:rsidRPr="00D032B4">
        <w:rPr>
          <w:rFonts w:cs="Arial"/>
          <w:sz w:val="24"/>
          <w:szCs w:val="24"/>
        </w:rPr>
        <w:lastRenderedPageBreak/>
        <w:t xml:space="preserve">The Panel asked the Company how it derived a response rate of 80.5% from the Hellman et al 2014 and Bril et al 2023 studies </w:t>
      </w:r>
      <w:r w:rsidRPr="000F5D3B">
        <w:rPr>
          <w:rFonts w:cs="Arial"/>
          <w:sz w:val="24"/>
          <w:szCs w:val="24"/>
        </w:rPr>
        <w:t>(</w:t>
      </w:r>
      <w:r w:rsidRPr="00AD10A9">
        <w:rPr>
          <w:rFonts w:cs="Arial"/>
          <w:sz w:val="24"/>
          <w:szCs w:val="24"/>
        </w:rPr>
        <w:t>Helman and Bril</w:t>
      </w:r>
      <w:r w:rsidRPr="000F5D3B">
        <w:rPr>
          <w:rFonts w:cs="Arial"/>
          <w:sz w:val="24"/>
          <w:szCs w:val="24"/>
        </w:rPr>
        <w:t>).</w:t>
      </w:r>
      <w:r w:rsidRPr="00D032B4">
        <w:rPr>
          <w:rFonts w:cs="Arial"/>
          <w:sz w:val="24"/>
          <w:szCs w:val="24"/>
        </w:rPr>
        <w:t xml:space="preserve"> </w:t>
      </w:r>
    </w:p>
    <w:p w14:paraId="30B4D98D" w14:textId="1341192F" w:rsidR="003E17DA" w:rsidRPr="00D032B4" w:rsidRDefault="003E17DA" w:rsidP="00756935">
      <w:pPr>
        <w:pStyle w:val="Paragraph"/>
        <w:rPr>
          <w:rFonts w:cs="Arial"/>
          <w:sz w:val="24"/>
          <w:szCs w:val="24"/>
        </w:rPr>
      </w:pPr>
      <w:r w:rsidRPr="00D032B4">
        <w:rPr>
          <w:rFonts w:cs="Arial"/>
          <w:sz w:val="24"/>
          <w:szCs w:val="24"/>
        </w:rPr>
        <w:t>Maria de Francesco</w:t>
      </w:r>
      <w:r w:rsidR="000725B4">
        <w:rPr>
          <w:rFonts w:cs="Arial"/>
          <w:sz w:val="24"/>
          <w:szCs w:val="24"/>
        </w:rPr>
        <w:t xml:space="preserve">, for </w:t>
      </w:r>
      <w:proofErr w:type="spellStart"/>
      <w:r w:rsidR="000725B4">
        <w:rPr>
          <w:rFonts w:cs="Arial"/>
          <w:sz w:val="24"/>
          <w:szCs w:val="24"/>
        </w:rPr>
        <w:t>Argenx</w:t>
      </w:r>
      <w:proofErr w:type="spellEnd"/>
      <w:r w:rsidR="000725B4">
        <w:rPr>
          <w:rFonts w:cs="Arial"/>
          <w:sz w:val="24"/>
          <w:szCs w:val="24"/>
        </w:rPr>
        <w:t>,</w:t>
      </w:r>
      <w:r w:rsidRPr="00D032B4">
        <w:rPr>
          <w:rFonts w:cs="Arial"/>
          <w:sz w:val="24"/>
          <w:szCs w:val="24"/>
        </w:rPr>
        <w:t xml:space="preserve"> explained that it pooled the sample of patients from both studies (a total of 82) patients, and </w:t>
      </w:r>
      <w:r w:rsidR="007C3CC2">
        <w:rPr>
          <w:rFonts w:cs="Arial"/>
          <w:sz w:val="24"/>
          <w:szCs w:val="24"/>
        </w:rPr>
        <w:t>divided the number who discontinued treatment (16)</w:t>
      </w:r>
      <w:r w:rsidRPr="00D032B4">
        <w:rPr>
          <w:rFonts w:cs="Arial"/>
          <w:sz w:val="24"/>
          <w:szCs w:val="24"/>
        </w:rPr>
        <w:t xml:space="preserve"> </w:t>
      </w:r>
      <w:r w:rsidR="007C3CC2">
        <w:rPr>
          <w:rFonts w:cs="Arial"/>
          <w:sz w:val="24"/>
          <w:szCs w:val="24"/>
        </w:rPr>
        <w:t xml:space="preserve">by </w:t>
      </w:r>
      <w:r w:rsidRPr="00D032B4">
        <w:rPr>
          <w:rFonts w:cs="Arial"/>
          <w:sz w:val="24"/>
          <w:szCs w:val="24"/>
        </w:rPr>
        <w:t xml:space="preserve">the </w:t>
      </w:r>
      <w:r w:rsidR="00932AF6" w:rsidRPr="00D032B4">
        <w:rPr>
          <w:rFonts w:cs="Arial"/>
          <w:sz w:val="24"/>
          <w:szCs w:val="24"/>
        </w:rPr>
        <w:t xml:space="preserve">total </w:t>
      </w:r>
      <w:r w:rsidRPr="00D032B4">
        <w:rPr>
          <w:rFonts w:cs="Arial"/>
          <w:sz w:val="24"/>
          <w:szCs w:val="24"/>
        </w:rPr>
        <w:t xml:space="preserve">number of patients </w:t>
      </w:r>
      <w:r w:rsidR="00932AF6" w:rsidRPr="00D032B4">
        <w:rPr>
          <w:rFonts w:cs="Arial"/>
          <w:sz w:val="24"/>
          <w:szCs w:val="24"/>
        </w:rPr>
        <w:t xml:space="preserve">across both studies </w:t>
      </w:r>
      <w:r w:rsidRPr="00D032B4">
        <w:rPr>
          <w:rFonts w:cs="Arial"/>
          <w:sz w:val="24"/>
          <w:szCs w:val="24"/>
        </w:rPr>
        <w:t>in the pooled sample (16 / 82)</w:t>
      </w:r>
      <w:r w:rsidR="007C3CC2">
        <w:rPr>
          <w:rFonts w:cs="Arial"/>
          <w:sz w:val="24"/>
          <w:szCs w:val="24"/>
        </w:rPr>
        <w:t>,</w:t>
      </w:r>
      <w:r w:rsidRPr="00D032B4">
        <w:rPr>
          <w:rFonts w:cs="Arial"/>
          <w:sz w:val="24"/>
          <w:szCs w:val="24"/>
        </w:rPr>
        <w:t xml:space="preserve"> which gave a discontinuation rate of 19.5%. </w:t>
      </w:r>
    </w:p>
    <w:p w14:paraId="5BB57875" w14:textId="2862DA78" w:rsidR="00932AF6" w:rsidRPr="00D032B4" w:rsidRDefault="00932AF6" w:rsidP="00756935">
      <w:pPr>
        <w:pStyle w:val="Paragraph"/>
        <w:rPr>
          <w:rFonts w:cs="Arial"/>
          <w:sz w:val="24"/>
          <w:szCs w:val="24"/>
        </w:rPr>
      </w:pPr>
      <w:r w:rsidRPr="00D032B4">
        <w:rPr>
          <w:rFonts w:cs="Arial"/>
          <w:sz w:val="24"/>
          <w:szCs w:val="24"/>
        </w:rPr>
        <w:t xml:space="preserve">The Panel noted that of the two studies, one had a discontinuation rate of 15 / 52 (29%) and the other had a discontinuation rate of 1/30 (3%). The Company agreed. Helman and Bril taken separately therefore produced a range of discontinuation rates which </w:t>
      </w:r>
      <w:r w:rsidR="00B26223">
        <w:rPr>
          <w:rFonts w:cs="Arial"/>
          <w:sz w:val="24"/>
          <w:szCs w:val="24"/>
        </w:rPr>
        <w:t>approximated</w:t>
      </w:r>
      <w:r w:rsidR="00B26223" w:rsidRPr="00D032B4">
        <w:rPr>
          <w:rFonts w:cs="Arial"/>
          <w:sz w:val="24"/>
          <w:szCs w:val="24"/>
        </w:rPr>
        <w:t xml:space="preserve"> </w:t>
      </w:r>
      <w:r w:rsidRPr="00D032B4">
        <w:rPr>
          <w:rFonts w:cs="Arial"/>
          <w:sz w:val="24"/>
          <w:szCs w:val="24"/>
        </w:rPr>
        <w:t xml:space="preserve">30% (the </w:t>
      </w:r>
      <w:r w:rsidR="00544068">
        <w:rPr>
          <w:rFonts w:cs="Arial"/>
          <w:sz w:val="24"/>
          <w:szCs w:val="24"/>
        </w:rPr>
        <w:t>intravenous immunoglobulin</w:t>
      </w:r>
      <w:r w:rsidRPr="00D032B4">
        <w:rPr>
          <w:rFonts w:cs="Arial"/>
          <w:sz w:val="24"/>
          <w:szCs w:val="24"/>
        </w:rPr>
        <w:t xml:space="preserve"> response rate preferred by the Committee in its FDG conclusions).</w:t>
      </w:r>
    </w:p>
    <w:p w14:paraId="32631D32" w14:textId="3A3ECB5C" w:rsidR="00723DDB" w:rsidRPr="00D032B4" w:rsidRDefault="00723DDB" w:rsidP="00723DDB">
      <w:pPr>
        <w:pStyle w:val="Paragraph"/>
        <w:rPr>
          <w:rFonts w:cs="Arial"/>
          <w:sz w:val="24"/>
          <w:szCs w:val="24"/>
        </w:rPr>
      </w:pPr>
      <w:r w:rsidRPr="00D032B4">
        <w:rPr>
          <w:rFonts w:cs="Arial"/>
          <w:sz w:val="24"/>
          <w:szCs w:val="24"/>
        </w:rPr>
        <w:t xml:space="preserve">During the discussion, the Company and the Committee disagreed as to whether the </w:t>
      </w:r>
      <w:r w:rsidR="00544068">
        <w:rPr>
          <w:rFonts w:cs="Arial"/>
          <w:sz w:val="24"/>
          <w:szCs w:val="24"/>
        </w:rPr>
        <w:t>intravenous immunoglobulin</w:t>
      </w:r>
      <w:r w:rsidRPr="00D032B4">
        <w:rPr>
          <w:rFonts w:cs="Arial"/>
          <w:sz w:val="24"/>
          <w:szCs w:val="24"/>
        </w:rPr>
        <w:t xml:space="preserve"> response rates across comparable </w:t>
      </w:r>
      <w:r w:rsidR="00544068">
        <w:rPr>
          <w:rFonts w:cs="Arial"/>
          <w:sz w:val="24"/>
          <w:szCs w:val="24"/>
        </w:rPr>
        <w:t>generalised myasthenia gravis</w:t>
      </w:r>
      <w:r w:rsidRPr="00D032B4">
        <w:rPr>
          <w:rFonts w:cs="Arial"/>
          <w:sz w:val="24"/>
          <w:szCs w:val="24"/>
        </w:rPr>
        <w:t xml:space="preserve"> appraisals also </w:t>
      </w:r>
      <w:r w:rsidR="00B7173B" w:rsidRPr="00D032B4">
        <w:rPr>
          <w:rFonts w:cs="Arial"/>
          <w:sz w:val="24"/>
          <w:szCs w:val="24"/>
        </w:rPr>
        <w:t>took</w:t>
      </w:r>
      <w:r w:rsidRPr="00D032B4">
        <w:rPr>
          <w:rFonts w:cs="Arial"/>
          <w:sz w:val="24"/>
          <w:szCs w:val="24"/>
        </w:rPr>
        <w:t xml:space="preserve"> discontinuation</w:t>
      </w:r>
      <w:r w:rsidR="00B7173B" w:rsidRPr="00D032B4">
        <w:rPr>
          <w:rFonts w:cs="Arial"/>
          <w:sz w:val="24"/>
          <w:szCs w:val="24"/>
        </w:rPr>
        <w:t xml:space="preserve"> into account</w:t>
      </w:r>
      <w:r w:rsidRPr="00D032B4">
        <w:rPr>
          <w:rFonts w:cs="Arial"/>
          <w:sz w:val="24"/>
          <w:szCs w:val="24"/>
        </w:rPr>
        <w:t xml:space="preserve">. The Committee stated that those who respond to </w:t>
      </w:r>
      <w:r w:rsidR="00544068">
        <w:rPr>
          <w:rFonts w:cs="Arial"/>
          <w:sz w:val="24"/>
          <w:szCs w:val="24"/>
        </w:rPr>
        <w:t>intravenous immunoglobulin</w:t>
      </w:r>
      <w:r w:rsidRPr="00D032B4">
        <w:rPr>
          <w:rFonts w:cs="Arial"/>
          <w:sz w:val="24"/>
          <w:szCs w:val="24"/>
        </w:rPr>
        <w:t xml:space="preserve"> would stay on treatment, and so the inverse is those who would discontinue after </w:t>
      </w:r>
      <w:r w:rsidR="00544068">
        <w:rPr>
          <w:rFonts w:cs="Arial"/>
          <w:sz w:val="24"/>
          <w:szCs w:val="24"/>
        </w:rPr>
        <w:t>intravenous immunoglobulin</w:t>
      </w:r>
      <w:r w:rsidRPr="00D032B4">
        <w:rPr>
          <w:rFonts w:cs="Arial"/>
          <w:sz w:val="24"/>
          <w:szCs w:val="24"/>
        </w:rPr>
        <w:t xml:space="preserve"> (and not go on to long term </w:t>
      </w:r>
      <w:r w:rsidR="00544068">
        <w:rPr>
          <w:rFonts w:cs="Arial"/>
          <w:sz w:val="24"/>
          <w:szCs w:val="24"/>
        </w:rPr>
        <w:t>intravenous immunoglobulin</w:t>
      </w:r>
      <w:r w:rsidRPr="00D032B4">
        <w:rPr>
          <w:rFonts w:cs="Arial"/>
          <w:sz w:val="24"/>
          <w:szCs w:val="24"/>
        </w:rPr>
        <w:t xml:space="preserve">) and that both these things are reflected in the </w:t>
      </w:r>
      <w:r w:rsidR="00544068">
        <w:rPr>
          <w:rFonts w:cs="Arial"/>
          <w:sz w:val="24"/>
          <w:szCs w:val="24"/>
        </w:rPr>
        <w:t>intravenous immunoglobulin</w:t>
      </w:r>
      <w:r w:rsidRPr="00D032B4">
        <w:rPr>
          <w:rFonts w:cs="Arial"/>
          <w:sz w:val="24"/>
          <w:szCs w:val="24"/>
        </w:rPr>
        <w:t xml:space="preserve"> response rate. The Company on the other hand maintained that response rate and discontinuation are </w:t>
      </w:r>
      <w:r w:rsidR="00B7173B" w:rsidRPr="00D032B4">
        <w:rPr>
          <w:rFonts w:cs="Arial"/>
          <w:sz w:val="24"/>
          <w:szCs w:val="24"/>
        </w:rPr>
        <w:t>measure</w:t>
      </w:r>
      <w:r w:rsidR="00932AF6" w:rsidRPr="00D032B4">
        <w:rPr>
          <w:rFonts w:cs="Arial"/>
          <w:sz w:val="24"/>
          <w:szCs w:val="24"/>
        </w:rPr>
        <w:t>d</w:t>
      </w:r>
      <w:r w:rsidR="00B7173B" w:rsidRPr="00D032B4">
        <w:rPr>
          <w:rFonts w:cs="Arial"/>
          <w:sz w:val="24"/>
          <w:szCs w:val="24"/>
        </w:rPr>
        <w:t xml:space="preserve"> differently</w:t>
      </w:r>
      <w:r w:rsidRPr="00D032B4">
        <w:rPr>
          <w:rFonts w:cs="Arial"/>
          <w:sz w:val="24"/>
          <w:szCs w:val="24"/>
        </w:rPr>
        <w:t xml:space="preserve">. Those who do not respond to </w:t>
      </w:r>
      <w:r w:rsidR="00544068">
        <w:rPr>
          <w:rFonts w:cs="Arial"/>
          <w:sz w:val="24"/>
          <w:szCs w:val="24"/>
        </w:rPr>
        <w:t>intravenous immunoglobulin</w:t>
      </w:r>
      <w:r w:rsidRPr="00D032B4">
        <w:rPr>
          <w:rFonts w:cs="Arial"/>
          <w:sz w:val="24"/>
          <w:szCs w:val="24"/>
        </w:rPr>
        <w:t xml:space="preserve"> within 14 days are not immediately discontinued. They would receive one loading dose and two maintenance cycles before any decision to discontinue is made. This means that it would be much longer than 14 days before a decision to discontinue is made. In the efgartigimod arm, the Company has assumed that </w:t>
      </w:r>
      <w:r w:rsidRPr="00D032B4">
        <w:rPr>
          <w:rFonts w:cs="Arial"/>
          <w:sz w:val="24"/>
          <w:szCs w:val="24"/>
        </w:rPr>
        <w:lastRenderedPageBreak/>
        <w:t>discontinuation will be considered if there is nil response after two cycles.</w:t>
      </w:r>
    </w:p>
    <w:p w14:paraId="5B1666C5" w14:textId="3981BD91" w:rsidR="00D032B4" w:rsidRPr="00D032B4" w:rsidRDefault="00D032B4" w:rsidP="00D032B4">
      <w:pPr>
        <w:pStyle w:val="Paragraph"/>
        <w:rPr>
          <w:rFonts w:cs="Arial"/>
          <w:sz w:val="24"/>
          <w:szCs w:val="24"/>
        </w:rPr>
      </w:pPr>
      <w:r w:rsidRPr="00D032B4">
        <w:rPr>
          <w:rFonts w:cs="Arial"/>
          <w:sz w:val="24"/>
          <w:szCs w:val="24"/>
        </w:rPr>
        <w:t>The Appeal Panel concluded as follows</w:t>
      </w:r>
      <w:r w:rsidR="00CF1947">
        <w:rPr>
          <w:rFonts w:cs="Arial"/>
          <w:sz w:val="24"/>
          <w:szCs w:val="24"/>
        </w:rPr>
        <w:t>.</w:t>
      </w:r>
      <w:r w:rsidR="00CF1947" w:rsidRPr="00D032B4">
        <w:rPr>
          <w:rFonts w:cs="Arial"/>
          <w:sz w:val="24"/>
          <w:szCs w:val="24"/>
        </w:rPr>
        <w:t xml:space="preserve"> </w:t>
      </w:r>
      <w:r w:rsidRPr="00D032B4">
        <w:rPr>
          <w:rFonts w:cs="Arial"/>
          <w:sz w:val="24"/>
          <w:szCs w:val="24"/>
        </w:rPr>
        <w:t xml:space="preserve">The </w:t>
      </w:r>
      <w:r w:rsidR="0021780C">
        <w:rPr>
          <w:rFonts w:cs="Arial"/>
          <w:sz w:val="24"/>
          <w:szCs w:val="24"/>
        </w:rPr>
        <w:t>P</w:t>
      </w:r>
      <w:r w:rsidRPr="00D032B4">
        <w:rPr>
          <w:rFonts w:cs="Arial"/>
          <w:sz w:val="24"/>
          <w:szCs w:val="24"/>
        </w:rPr>
        <w:t xml:space="preserve">anel noted that the response rate </w:t>
      </w:r>
      <w:r w:rsidR="007C3CC2">
        <w:rPr>
          <w:rFonts w:cs="Arial"/>
          <w:sz w:val="24"/>
          <w:szCs w:val="24"/>
        </w:rPr>
        <w:t xml:space="preserve">to </w:t>
      </w:r>
      <w:r w:rsidR="00544068">
        <w:rPr>
          <w:rFonts w:cs="Arial"/>
          <w:sz w:val="24"/>
          <w:szCs w:val="24"/>
        </w:rPr>
        <w:t>intravenous immunoglobulin</w:t>
      </w:r>
      <w:r w:rsidRPr="00D032B4">
        <w:rPr>
          <w:rFonts w:cs="Arial"/>
          <w:sz w:val="24"/>
          <w:szCs w:val="24"/>
        </w:rPr>
        <w:t xml:space="preserve"> in </w:t>
      </w:r>
      <w:r w:rsidR="00544068">
        <w:rPr>
          <w:rFonts w:cs="Arial"/>
          <w:sz w:val="24"/>
          <w:szCs w:val="24"/>
        </w:rPr>
        <w:t>generalised myasthenia gravis</w:t>
      </w:r>
      <w:r w:rsidRPr="00D032B4">
        <w:rPr>
          <w:rFonts w:cs="Arial"/>
          <w:sz w:val="24"/>
          <w:szCs w:val="24"/>
        </w:rPr>
        <w:t xml:space="preserve"> after efga</w:t>
      </w:r>
      <w:r w:rsidR="00CF1947">
        <w:rPr>
          <w:rFonts w:cs="Arial"/>
          <w:sz w:val="24"/>
          <w:szCs w:val="24"/>
        </w:rPr>
        <w:t>r</w:t>
      </w:r>
      <w:r w:rsidRPr="00D032B4">
        <w:rPr>
          <w:rFonts w:cs="Arial"/>
          <w:sz w:val="24"/>
          <w:szCs w:val="24"/>
        </w:rPr>
        <w:t xml:space="preserve">tigimod treatment is stopped, was considered by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to have an important bearing on the outcome of the economic modelling, but that there was uncertainty about the most accurate rate, given the paucity of relevant published data.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also understood that arriving at an estimated response rate from the available studies required an extrapolation from discontinuation rates that were cited in </w:t>
      </w:r>
      <w:r w:rsidR="00EF7A18">
        <w:rPr>
          <w:rFonts w:cs="Arial"/>
          <w:sz w:val="24"/>
          <w:szCs w:val="24"/>
        </w:rPr>
        <w:t>two</w:t>
      </w:r>
      <w:r w:rsidRPr="00D032B4">
        <w:rPr>
          <w:rFonts w:cs="Arial"/>
          <w:sz w:val="24"/>
          <w:szCs w:val="24"/>
        </w:rPr>
        <w:t xml:space="preserve"> studies that had been identified by the </w:t>
      </w:r>
      <w:r w:rsidR="00CF1947">
        <w:rPr>
          <w:rFonts w:cs="Arial"/>
          <w:sz w:val="24"/>
          <w:szCs w:val="24"/>
        </w:rPr>
        <w:t>C</w:t>
      </w:r>
      <w:r w:rsidR="00CF1947" w:rsidRPr="00D032B4">
        <w:rPr>
          <w:rFonts w:cs="Arial"/>
          <w:sz w:val="24"/>
          <w:szCs w:val="24"/>
        </w:rPr>
        <w:t xml:space="preserve">ompany </w:t>
      </w:r>
      <w:r w:rsidRPr="00D032B4">
        <w:rPr>
          <w:rFonts w:cs="Arial"/>
          <w:sz w:val="24"/>
          <w:szCs w:val="24"/>
        </w:rPr>
        <w:t xml:space="preserve">and considered by the </w:t>
      </w:r>
      <w:r w:rsidR="00CF1947">
        <w:rPr>
          <w:rFonts w:cs="Arial"/>
          <w:sz w:val="24"/>
          <w:szCs w:val="24"/>
        </w:rPr>
        <w:t>C</w:t>
      </w:r>
      <w:r w:rsidRPr="00D032B4">
        <w:rPr>
          <w:rFonts w:cs="Arial"/>
          <w:sz w:val="24"/>
          <w:szCs w:val="24"/>
        </w:rPr>
        <w:t xml:space="preserve">ommittee at the </w:t>
      </w:r>
      <w:r w:rsidR="00CF1947">
        <w:rPr>
          <w:rFonts w:cs="Arial"/>
          <w:sz w:val="24"/>
          <w:szCs w:val="24"/>
        </w:rPr>
        <w:t>third</w:t>
      </w:r>
      <w:r w:rsidR="00CF1947" w:rsidRPr="00D032B4">
        <w:rPr>
          <w:rFonts w:cs="Arial"/>
          <w:sz w:val="24"/>
          <w:szCs w:val="24"/>
        </w:rPr>
        <w:t xml:space="preserve"> </w:t>
      </w:r>
      <w:r w:rsidRPr="00D032B4">
        <w:rPr>
          <w:rFonts w:cs="Arial"/>
          <w:sz w:val="24"/>
          <w:szCs w:val="24"/>
        </w:rPr>
        <w:t xml:space="preserve">committee meeting. The </w:t>
      </w:r>
      <w:r w:rsidR="00CF1947">
        <w:rPr>
          <w:rFonts w:cs="Arial"/>
          <w:sz w:val="24"/>
          <w:szCs w:val="24"/>
        </w:rPr>
        <w:t>P</w:t>
      </w:r>
      <w:r w:rsidRPr="00D032B4">
        <w:rPr>
          <w:rFonts w:cs="Arial"/>
          <w:sz w:val="24"/>
          <w:szCs w:val="24"/>
        </w:rPr>
        <w:t xml:space="preserve">anel noted that the rates of discontinuation of </w:t>
      </w:r>
      <w:r w:rsidR="00544068">
        <w:rPr>
          <w:rFonts w:cs="Arial"/>
          <w:sz w:val="24"/>
          <w:szCs w:val="24"/>
        </w:rPr>
        <w:t>intravenous immunoglobulin</w:t>
      </w:r>
      <w:r w:rsidRPr="00D032B4">
        <w:rPr>
          <w:rFonts w:cs="Arial"/>
          <w:sz w:val="24"/>
          <w:szCs w:val="24"/>
        </w:rPr>
        <w:t xml:space="preserve"> treatment in the 2 studies were 3% and 29% and that expert elicitation undertaken by the </w:t>
      </w:r>
      <w:r w:rsidR="00CF1947">
        <w:rPr>
          <w:rFonts w:cs="Arial"/>
          <w:sz w:val="24"/>
          <w:szCs w:val="24"/>
        </w:rPr>
        <w:t>C</w:t>
      </w:r>
      <w:r w:rsidR="00CF1947" w:rsidRPr="00D032B4">
        <w:rPr>
          <w:rFonts w:cs="Arial"/>
          <w:sz w:val="24"/>
          <w:szCs w:val="24"/>
        </w:rPr>
        <w:t xml:space="preserve">ompany </w:t>
      </w:r>
      <w:r w:rsidRPr="00D032B4">
        <w:rPr>
          <w:rFonts w:cs="Arial"/>
          <w:sz w:val="24"/>
          <w:szCs w:val="24"/>
        </w:rPr>
        <w:t xml:space="preserve">from 6 expert clinicians had resulted in an estimated discontinuation rate of 14.5%.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were satisfied that this information had been shared with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at the </w:t>
      </w:r>
      <w:r w:rsidR="00CF1947">
        <w:rPr>
          <w:rFonts w:cs="Arial"/>
          <w:sz w:val="24"/>
          <w:szCs w:val="24"/>
        </w:rPr>
        <w:t>third</w:t>
      </w:r>
      <w:r w:rsidR="00CF1947" w:rsidRPr="00D032B4">
        <w:rPr>
          <w:rFonts w:cs="Arial"/>
          <w:sz w:val="24"/>
          <w:szCs w:val="24"/>
        </w:rPr>
        <w:t xml:space="preserve"> </w:t>
      </w:r>
      <w:r w:rsidRPr="00D032B4">
        <w:rPr>
          <w:rFonts w:cs="Arial"/>
          <w:sz w:val="24"/>
          <w:szCs w:val="24"/>
        </w:rPr>
        <w:t xml:space="preserve">committee meeting and had been considered by them before they arrived at their preferred assumption </w:t>
      </w:r>
      <w:proofErr w:type="gramStart"/>
      <w:r w:rsidRPr="00D032B4">
        <w:rPr>
          <w:rFonts w:cs="Arial"/>
          <w:sz w:val="24"/>
          <w:szCs w:val="24"/>
        </w:rPr>
        <w:t>in regard to</w:t>
      </w:r>
      <w:proofErr w:type="gramEnd"/>
      <w:r w:rsidRPr="00D032B4">
        <w:rPr>
          <w:rFonts w:cs="Arial"/>
          <w:sz w:val="24"/>
          <w:szCs w:val="24"/>
        </w:rPr>
        <w:t xml:space="preserve"> </w:t>
      </w:r>
      <w:r w:rsidR="00BA162E">
        <w:rPr>
          <w:rFonts w:cs="Arial"/>
          <w:sz w:val="24"/>
          <w:szCs w:val="24"/>
        </w:rPr>
        <w:t xml:space="preserve">the </w:t>
      </w:r>
      <w:r w:rsidRPr="00D032B4">
        <w:rPr>
          <w:rFonts w:cs="Arial"/>
          <w:sz w:val="24"/>
          <w:szCs w:val="24"/>
        </w:rPr>
        <w:t>response rate</w:t>
      </w:r>
      <w:r w:rsidR="00BA162E">
        <w:rPr>
          <w:rFonts w:cs="Arial"/>
          <w:sz w:val="24"/>
          <w:szCs w:val="24"/>
        </w:rPr>
        <w:t xml:space="preserve"> to</w:t>
      </w:r>
      <w:r w:rsidRPr="00D032B4">
        <w:rPr>
          <w:rFonts w:cs="Arial"/>
          <w:sz w:val="24"/>
          <w:szCs w:val="24"/>
        </w:rPr>
        <w:t xml:space="preserve"> </w:t>
      </w:r>
      <w:r w:rsidR="00544068">
        <w:rPr>
          <w:rFonts w:cs="Arial"/>
          <w:sz w:val="24"/>
          <w:szCs w:val="24"/>
        </w:rPr>
        <w:t>intravenous immunoglobulin</w:t>
      </w:r>
      <w:r w:rsidRPr="00D032B4">
        <w:rPr>
          <w:rFonts w:cs="Arial"/>
          <w:sz w:val="24"/>
          <w:szCs w:val="24"/>
        </w:rPr>
        <w:t xml:space="preserve"> (70%)</w:t>
      </w:r>
      <w:r w:rsidR="00F75061" w:rsidRPr="00D032B4">
        <w:rPr>
          <w:rFonts w:cs="Arial"/>
          <w:sz w:val="24"/>
          <w:szCs w:val="24"/>
        </w:rPr>
        <w:t xml:space="preserve">. </w:t>
      </w:r>
      <w:r w:rsidRPr="00D032B4">
        <w:rPr>
          <w:rFonts w:cs="Arial"/>
          <w:sz w:val="24"/>
          <w:szCs w:val="24"/>
        </w:rPr>
        <w:t xml:space="preserve">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the EAG had been satisfied with the response rate of 80% that was proposed by the </w:t>
      </w:r>
      <w:r w:rsidR="00ED1F23">
        <w:rPr>
          <w:rFonts w:cs="Arial"/>
          <w:sz w:val="24"/>
          <w:szCs w:val="24"/>
        </w:rPr>
        <w:t>C</w:t>
      </w:r>
      <w:r w:rsidR="00ED1F23" w:rsidRPr="00D032B4">
        <w:rPr>
          <w:rFonts w:cs="Arial"/>
          <w:sz w:val="24"/>
          <w:szCs w:val="24"/>
        </w:rPr>
        <w:t>ompany but</w:t>
      </w:r>
      <w:r w:rsidRPr="00D032B4">
        <w:rPr>
          <w:rFonts w:cs="Arial"/>
          <w:sz w:val="24"/>
          <w:szCs w:val="24"/>
        </w:rPr>
        <w:t xml:space="preserve"> accepted that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were not obliged to agree and that it was reasonable, in principle, for them to arrive at their own conclusions about this.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the preferred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response rate of 70% was arrived at following the receipt of expert clinical advice from </w:t>
      </w:r>
      <w:r w:rsidR="00EF7A18">
        <w:rPr>
          <w:rFonts w:cs="Arial"/>
          <w:sz w:val="24"/>
          <w:szCs w:val="24"/>
        </w:rPr>
        <w:t>two</w:t>
      </w:r>
      <w:r w:rsidRPr="00D032B4">
        <w:rPr>
          <w:rFonts w:cs="Arial"/>
          <w:sz w:val="24"/>
          <w:szCs w:val="24"/>
        </w:rPr>
        <w:t xml:space="preserve"> clinicians (65-7</w:t>
      </w:r>
      <w:r w:rsidR="00192DDA">
        <w:rPr>
          <w:rFonts w:cs="Arial"/>
          <w:sz w:val="24"/>
          <w:szCs w:val="24"/>
        </w:rPr>
        <w:t>5</w:t>
      </w:r>
      <w:r w:rsidRPr="00D032B4">
        <w:rPr>
          <w:rFonts w:cs="Arial"/>
          <w:sz w:val="24"/>
          <w:szCs w:val="24"/>
        </w:rPr>
        <w:t>%) at the</w:t>
      </w:r>
      <w:r w:rsidR="00CF1947">
        <w:rPr>
          <w:rFonts w:cs="Arial"/>
          <w:sz w:val="24"/>
          <w:szCs w:val="24"/>
        </w:rPr>
        <w:t xml:space="preserve"> fourth</w:t>
      </w:r>
      <w:r w:rsidRPr="00D032B4">
        <w:rPr>
          <w:rFonts w:cs="Arial"/>
          <w:sz w:val="24"/>
          <w:szCs w:val="24"/>
        </w:rPr>
        <w:t xml:space="preserve"> committee meeting, as explained in section 3.8 of the FDG, and heard from NICE that this figure was consistent with the response rates that were used in economic modelling in other relevant NICE appraisals addressing the same condition.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concluded that the 70% </w:t>
      </w:r>
      <w:r w:rsidRPr="00D032B4">
        <w:rPr>
          <w:rFonts w:cs="Arial"/>
          <w:sz w:val="24"/>
          <w:szCs w:val="24"/>
        </w:rPr>
        <w:lastRenderedPageBreak/>
        <w:t xml:space="preserve">response rate that was preferred by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was </w:t>
      </w:r>
      <w:r w:rsidR="00CF1947">
        <w:rPr>
          <w:rFonts w:cs="Arial"/>
          <w:sz w:val="24"/>
          <w:szCs w:val="24"/>
        </w:rPr>
        <w:t>reasonable</w:t>
      </w:r>
      <w:r w:rsidRPr="00D032B4">
        <w:rPr>
          <w:rFonts w:cs="Arial"/>
          <w:sz w:val="24"/>
          <w:szCs w:val="24"/>
        </w:rPr>
        <w:t xml:space="preserve"> given the absence of definitive published data; the fact that this was consistent with one of the published study's discontinuation rate (29%); that this figure had been informed by expert advice in the </w:t>
      </w:r>
      <w:r w:rsidR="00CF1947">
        <w:rPr>
          <w:rFonts w:cs="Arial"/>
          <w:sz w:val="24"/>
          <w:szCs w:val="24"/>
        </w:rPr>
        <w:t>fourth</w:t>
      </w:r>
      <w:r w:rsidR="00CF1947" w:rsidRPr="00D032B4">
        <w:rPr>
          <w:rFonts w:cs="Arial"/>
          <w:sz w:val="24"/>
          <w:szCs w:val="24"/>
        </w:rPr>
        <w:t xml:space="preserve"> </w:t>
      </w:r>
      <w:r w:rsidRPr="00D032B4">
        <w:rPr>
          <w:rFonts w:cs="Arial"/>
          <w:sz w:val="24"/>
          <w:szCs w:val="24"/>
        </w:rPr>
        <w:t>committee meeting (65-7</w:t>
      </w:r>
      <w:r w:rsidR="007C3CC2">
        <w:rPr>
          <w:rFonts w:cs="Arial"/>
          <w:sz w:val="24"/>
          <w:szCs w:val="24"/>
        </w:rPr>
        <w:t>5</w:t>
      </w:r>
      <w:r w:rsidRPr="00D032B4">
        <w:rPr>
          <w:rFonts w:cs="Arial"/>
          <w:sz w:val="24"/>
          <w:szCs w:val="24"/>
        </w:rPr>
        <w:t xml:space="preserve">%); and that the inclusion of this response rate in the economic modelling ensured consistency across NICE appraisals of different treatments for the same condition. </w:t>
      </w:r>
    </w:p>
    <w:p w14:paraId="05717128" w14:textId="763E5255" w:rsidR="00D032B4" w:rsidRPr="00D032B4" w:rsidRDefault="00D032B4" w:rsidP="00D032B4">
      <w:pPr>
        <w:pStyle w:val="Paragraph"/>
        <w:rPr>
          <w:rFonts w:cs="Arial"/>
          <w:sz w:val="24"/>
          <w:szCs w:val="24"/>
        </w:rPr>
      </w:pPr>
      <w:r w:rsidRPr="00D032B4">
        <w:rPr>
          <w:rFonts w:cs="Arial"/>
          <w:sz w:val="24"/>
          <w:szCs w:val="24"/>
        </w:rPr>
        <w:t xml:space="preserve">The </w:t>
      </w:r>
      <w:r w:rsidR="00CF1947">
        <w:rPr>
          <w:rFonts w:cs="Arial"/>
          <w:sz w:val="24"/>
          <w:szCs w:val="24"/>
        </w:rPr>
        <w:t>A</w:t>
      </w:r>
      <w:r w:rsidR="00CF1947" w:rsidRPr="00D032B4">
        <w:rPr>
          <w:rFonts w:cs="Arial"/>
          <w:sz w:val="24"/>
          <w:szCs w:val="24"/>
        </w:rPr>
        <w:t xml:space="preserve">ppeal </w:t>
      </w:r>
      <w:r w:rsidR="00CF1947">
        <w:rPr>
          <w:rFonts w:cs="Arial"/>
          <w:sz w:val="24"/>
          <w:szCs w:val="24"/>
        </w:rPr>
        <w:t>P</w:t>
      </w:r>
      <w:r w:rsidR="00CF1947" w:rsidRPr="00D032B4">
        <w:rPr>
          <w:rFonts w:cs="Arial"/>
          <w:sz w:val="24"/>
          <w:szCs w:val="24"/>
        </w:rPr>
        <w:t xml:space="preserve">anel </w:t>
      </w:r>
      <w:r w:rsidRPr="00D032B4">
        <w:rPr>
          <w:rFonts w:cs="Arial"/>
          <w:sz w:val="24"/>
          <w:szCs w:val="24"/>
        </w:rPr>
        <w:t>therefore dismissed</w:t>
      </w:r>
      <w:r w:rsidRPr="00D032B4">
        <w:rPr>
          <w:rFonts w:cs="Arial"/>
          <w:color w:val="FF0000"/>
          <w:sz w:val="24"/>
          <w:szCs w:val="24"/>
        </w:rPr>
        <w:t xml:space="preserve"> </w:t>
      </w:r>
      <w:r w:rsidRPr="00D032B4">
        <w:rPr>
          <w:rFonts w:cs="Arial"/>
          <w:sz w:val="24"/>
          <w:szCs w:val="24"/>
        </w:rPr>
        <w:t>the appeal on this point.</w:t>
      </w:r>
    </w:p>
    <w:p w14:paraId="6563EE7F" w14:textId="7E50C0D9" w:rsidR="00756935" w:rsidRPr="00D032B4" w:rsidRDefault="00D032B4" w:rsidP="00D032B4">
      <w:pPr>
        <w:pStyle w:val="Paragraph"/>
        <w:rPr>
          <w:rFonts w:cs="Arial"/>
          <w:sz w:val="24"/>
          <w:szCs w:val="24"/>
        </w:rPr>
      </w:pPr>
      <w:r w:rsidRPr="00D032B4">
        <w:rPr>
          <w:rFonts w:cs="Arial"/>
          <w:sz w:val="24"/>
          <w:szCs w:val="24"/>
        </w:rPr>
        <w:t xml:space="preserve">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section 3.8 of the FDG included an explanation of the rationale that supported the decision of the </w:t>
      </w:r>
      <w:r w:rsidR="00BF2765">
        <w:rPr>
          <w:rFonts w:cs="Arial"/>
          <w:sz w:val="24"/>
          <w:szCs w:val="24"/>
        </w:rPr>
        <w:t>C</w:t>
      </w:r>
      <w:r w:rsidRPr="00D032B4">
        <w:rPr>
          <w:rFonts w:cs="Arial"/>
          <w:sz w:val="24"/>
          <w:szCs w:val="24"/>
        </w:rPr>
        <w:t xml:space="preserve">ommittee in arriving at its preferred assumption of a response rate to intravenous immunoglobulin of </w:t>
      </w:r>
      <w:proofErr w:type="gramStart"/>
      <w:r w:rsidRPr="00D032B4">
        <w:rPr>
          <w:rFonts w:cs="Arial"/>
          <w:sz w:val="24"/>
          <w:szCs w:val="24"/>
        </w:rPr>
        <w:t>70%, but</w:t>
      </w:r>
      <w:proofErr w:type="gramEnd"/>
      <w:r w:rsidRPr="00D032B4">
        <w:rPr>
          <w:rFonts w:cs="Arial"/>
          <w:sz w:val="24"/>
          <w:szCs w:val="24"/>
        </w:rPr>
        <w:t xml:space="preserve"> considered that the issue of consistency across relevant NICE appraisals, in this regard, had not been explicitly addressed in this section.</w:t>
      </w:r>
      <w:r w:rsidR="008B28C8">
        <w:rPr>
          <w:rFonts w:cs="Arial"/>
          <w:sz w:val="24"/>
          <w:szCs w:val="24"/>
        </w:rPr>
        <w:t xml:space="preserve"> </w:t>
      </w:r>
      <w:r w:rsidR="007C3CC2">
        <w:rPr>
          <w:rFonts w:cs="Arial"/>
          <w:sz w:val="24"/>
          <w:szCs w:val="24"/>
        </w:rPr>
        <w:t>The Panel are aware that t</w:t>
      </w:r>
      <w:r w:rsidR="008B28C8">
        <w:rPr>
          <w:rFonts w:cs="Arial"/>
          <w:sz w:val="24"/>
          <w:szCs w:val="24"/>
        </w:rPr>
        <w:t xml:space="preserve">here is a desire to promote consistency across technology appraisals where it is appropriate to do so, </w:t>
      </w:r>
      <w:r w:rsidR="007C3CC2">
        <w:rPr>
          <w:rFonts w:cs="Arial"/>
          <w:sz w:val="24"/>
          <w:szCs w:val="24"/>
        </w:rPr>
        <w:t xml:space="preserve">and that </w:t>
      </w:r>
      <w:r w:rsidR="008B28C8">
        <w:rPr>
          <w:rFonts w:cs="Arial"/>
          <w:sz w:val="24"/>
          <w:szCs w:val="24"/>
        </w:rPr>
        <w:t>each Committee will take its own decision based on the facts before it</w:t>
      </w:r>
      <w:r w:rsidR="00F75061">
        <w:rPr>
          <w:rFonts w:cs="Arial"/>
          <w:sz w:val="24"/>
          <w:szCs w:val="24"/>
        </w:rPr>
        <w:t>.</w:t>
      </w:r>
      <w:r w:rsidR="00F75061" w:rsidRPr="00D032B4">
        <w:rPr>
          <w:rFonts w:cs="Arial"/>
          <w:sz w:val="24"/>
          <w:szCs w:val="24"/>
        </w:rPr>
        <w:t xml:space="preserve"> </w:t>
      </w:r>
      <w:r w:rsidR="008C3949">
        <w:rPr>
          <w:rFonts w:cs="Arial"/>
          <w:sz w:val="24"/>
          <w:szCs w:val="24"/>
        </w:rPr>
        <w:t>G</w:t>
      </w:r>
      <w:r w:rsidRPr="00D032B4">
        <w:rPr>
          <w:rFonts w:cs="Arial"/>
          <w:sz w:val="24"/>
          <w:szCs w:val="24"/>
        </w:rPr>
        <w:t xml:space="preserve">iven the importance placed in the hearing on the issue of consistency by the NICE and </w:t>
      </w:r>
      <w:r w:rsidR="00CF1947">
        <w:rPr>
          <w:rFonts w:cs="Arial"/>
          <w:sz w:val="24"/>
          <w:szCs w:val="24"/>
        </w:rPr>
        <w:t>C</w:t>
      </w:r>
      <w:r w:rsidRPr="00D032B4">
        <w:rPr>
          <w:rFonts w:cs="Arial"/>
          <w:sz w:val="24"/>
          <w:szCs w:val="24"/>
        </w:rPr>
        <w:t xml:space="preserve">ommittee representatives </w:t>
      </w:r>
      <w:proofErr w:type="gramStart"/>
      <w:r w:rsidRPr="00D032B4">
        <w:rPr>
          <w:rFonts w:cs="Arial"/>
          <w:sz w:val="24"/>
          <w:szCs w:val="24"/>
        </w:rPr>
        <w:t>in regard to</w:t>
      </w:r>
      <w:proofErr w:type="gramEnd"/>
      <w:r w:rsidRPr="00D032B4">
        <w:rPr>
          <w:rFonts w:cs="Arial"/>
          <w:sz w:val="24"/>
          <w:szCs w:val="24"/>
        </w:rPr>
        <w:t xml:space="preserve"> this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decision,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recommends that NICE consider re-wording section 3.8 to make the issue of consistency </w:t>
      </w:r>
      <w:r w:rsidR="00BA162E">
        <w:rPr>
          <w:rFonts w:cs="Arial"/>
          <w:sz w:val="24"/>
          <w:szCs w:val="24"/>
        </w:rPr>
        <w:t xml:space="preserve">across appraisals </w:t>
      </w:r>
      <w:r w:rsidRPr="00D032B4">
        <w:rPr>
          <w:rFonts w:cs="Arial"/>
          <w:sz w:val="24"/>
          <w:szCs w:val="24"/>
        </w:rPr>
        <w:t>clearer.</w:t>
      </w:r>
    </w:p>
    <w:p w14:paraId="2389DDEF" w14:textId="251C91FC" w:rsidR="00756935" w:rsidRPr="00D032B4" w:rsidRDefault="003B44D3" w:rsidP="00AD10A9">
      <w:pPr>
        <w:pStyle w:val="Heading3"/>
      </w:pPr>
      <w:proofErr w:type="spellStart"/>
      <w:r>
        <w:t>Argenx</w:t>
      </w:r>
      <w:proofErr w:type="spellEnd"/>
      <w:r>
        <w:t xml:space="preserve"> </w:t>
      </w:r>
      <w:r w:rsidR="00756935" w:rsidRPr="00D032B4">
        <w:t xml:space="preserve">Appeal Point 2.4: It is unreasonable </w:t>
      </w:r>
      <w:proofErr w:type="gramStart"/>
      <w:r w:rsidR="00756935" w:rsidRPr="00D032B4">
        <w:t>in light of</w:t>
      </w:r>
      <w:proofErr w:type="gramEnd"/>
      <w:r w:rsidR="00756935" w:rsidRPr="00D032B4">
        <w:t xml:space="preserve"> the Committee's conclusion at paragraph 3.12 of the FDG, for the Committee also to conclude at paragraph 3.8 that clinical and patient experts considered the </w:t>
      </w:r>
      <w:r w:rsidR="00CF1947">
        <w:t>C</w:t>
      </w:r>
      <w:r w:rsidR="00CF1947" w:rsidRPr="00D032B4">
        <w:t xml:space="preserve">ompany's </w:t>
      </w:r>
      <w:r w:rsidR="00756935" w:rsidRPr="00D032B4">
        <w:t xml:space="preserve">analysis including censoring to be </w:t>
      </w:r>
      <w:r w:rsidR="00ED1F23" w:rsidRPr="00D032B4">
        <w:t>implausible.</w:t>
      </w:r>
    </w:p>
    <w:p w14:paraId="5B76C124" w14:textId="6D80A744" w:rsidR="00723DDB" w:rsidRPr="00D032B4" w:rsidRDefault="00707CA7" w:rsidP="00756935">
      <w:pPr>
        <w:pStyle w:val="Paragraph"/>
        <w:rPr>
          <w:rFonts w:cs="Arial"/>
          <w:sz w:val="24"/>
          <w:szCs w:val="24"/>
        </w:rPr>
      </w:pPr>
      <w:r w:rsidRPr="00D032B4">
        <w:rPr>
          <w:rFonts w:cs="Arial"/>
          <w:sz w:val="24"/>
          <w:szCs w:val="24"/>
        </w:rPr>
        <w:t xml:space="preserve">Peter Graham, for </w:t>
      </w:r>
      <w:proofErr w:type="spellStart"/>
      <w:r w:rsidR="003B44D3">
        <w:rPr>
          <w:rFonts w:cs="Arial"/>
          <w:sz w:val="24"/>
          <w:szCs w:val="24"/>
        </w:rPr>
        <w:t>Argenx</w:t>
      </w:r>
      <w:proofErr w:type="spellEnd"/>
      <w:r w:rsidRPr="00D032B4">
        <w:rPr>
          <w:rFonts w:cs="Arial"/>
          <w:sz w:val="24"/>
          <w:szCs w:val="24"/>
        </w:rPr>
        <w:t>, introduced the Company's position that it is inconsistent and unreasonable that the</w:t>
      </w:r>
      <w:r w:rsidR="00932AF6" w:rsidRPr="00D032B4">
        <w:rPr>
          <w:rFonts w:cs="Arial"/>
          <w:sz w:val="24"/>
          <w:szCs w:val="24"/>
        </w:rPr>
        <w:t xml:space="preserve"> Company's</w:t>
      </w:r>
      <w:r w:rsidRPr="00D032B4">
        <w:rPr>
          <w:rFonts w:cs="Arial"/>
          <w:sz w:val="24"/>
          <w:szCs w:val="24"/>
        </w:rPr>
        <w:t xml:space="preserve"> censoring analysis was considered implausible at paragraph 3.8 of the FDG, but that it is accepted at paragraph 3.12 that the Company's censoring of patients </w:t>
      </w:r>
      <w:r w:rsidRPr="00D032B4">
        <w:rPr>
          <w:rFonts w:cs="Arial"/>
          <w:sz w:val="24"/>
          <w:szCs w:val="24"/>
        </w:rPr>
        <w:lastRenderedPageBreak/>
        <w:t xml:space="preserve">with an MG-ADL score below 5 is reflective of ADAPT. </w:t>
      </w:r>
      <w:r w:rsidR="00200967" w:rsidRPr="00D032B4">
        <w:rPr>
          <w:rFonts w:cs="Arial"/>
          <w:sz w:val="24"/>
          <w:szCs w:val="24"/>
        </w:rPr>
        <w:t xml:space="preserve">The EAG agreed that this was clinically reasonable. </w:t>
      </w:r>
    </w:p>
    <w:p w14:paraId="6395F3CC" w14:textId="12E2ECBA" w:rsidR="00200967" w:rsidRPr="00D032B4" w:rsidRDefault="00200967" w:rsidP="00756935">
      <w:pPr>
        <w:pStyle w:val="Paragraph"/>
        <w:rPr>
          <w:rFonts w:cs="Arial"/>
          <w:sz w:val="24"/>
          <w:szCs w:val="24"/>
        </w:rPr>
      </w:pPr>
      <w:r w:rsidRPr="00D032B4">
        <w:rPr>
          <w:rFonts w:cs="Arial"/>
          <w:sz w:val="24"/>
          <w:szCs w:val="24"/>
        </w:rPr>
        <w:t xml:space="preserve">Alan Moore, for NICE, explained that the censoring analysis was based on very small numbers. Efgartigimod is not modelled as a cure, and the Committee did not consider a substantially longer </w:t>
      </w:r>
      <w:r w:rsidR="00544068">
        <w:rPr>
          <w:rFonts w:cs="Arial"/>
          <w:sz w:val="24"/>
          <w:szCs w:val="24"/>
        </w:rPr>
        <w:t>time on treatment</w:t>
      </w:r>
      <w:r w:rsidRPr="00D032B4">
        <w:rPr>
          <w:rFonts w:cs="Arial"/>
          <w:sz w:val="24"/>
          <w:szCs w:val="24"/>
        </w:rPr>
        <w:t xml:space="preserve"> for </w:t>
      </w:r>
      <w:r w:rsidR="00544068">
        <w:rPr>
          <w:rFonts w:cs="Arial"/>
          <w:sz w:val="24"/>
          <w:szCs w:val="24"/>
        </w:rPr>
        <w:t>intravenous immunoglobulin</w:t>
      </w:r>
      <w:r w:rsidRPr="00D032B4">
        <w:rPr>
          <w:rFonts w:cs="Arial"/>
          <w:sz w:val="24"/>
          <w:szCs w:val="24"/>
        </w:rPr>
        <w:t xml:space="preserve"> to be appropriate </w:t>
      </w:r>
      <w:proofErr w:type="gramStart"/>
      <w:r w:rsidRPr="00D032B4">
        <w:rPr>
          <w:rFonts w:cs="Arial"/>
          <w:sz w:val="24"/>
          <w:szCs w:val="24"/>
        </w:rPr>
        <w:t>in light of</w:t>
      </w:r>
      <w:proofErr w:type="gramEnd"/>
      <w:r w:rsidRPr="00D032B4">
        <w:rPr>
          <w:rFonts w:cs="Arial"/>
          <w:sz w:val="24"/>
          <w:szCs w:val="24"/>
        </w:rPr>
        <w:t xml:space="preserve"> efgartigimod being easier to use compared to </w:t>
      </w:r>
      <w:r w:rsidR="00544068">
        <w:rPr>
          <w:rFonts w:cs="Arial"/>
          <w:sz w:val="24"/>
          <w:szCs w:val="24"/>
        </w:rPr>
        <w:t>intravenous immunoglobulin</w:t>
      </w:r>
      <w:r w:rsidRPr="00D032B4">
        <w:rPr>
          <w:rFonts w:cs="Arial"/>
          <w:sz w:val="24"/>
          <w:szCs w:val="24"/>
        </w:rPr>
        <w:t xml:space="preserve"> which is burdensome. The Company had initially modelled patients being on </w:t>
      </w:r>
      <w:r w:rsidR="00544068">
        <w:rPr>
          <w:rFonts w:cs="Arial"/>
          <w:sz w:val="24"/>
          <w:szCs w:val="24"/>
        </w:rPr>
        <w:t>intravenous immunoglobulin</w:t>
      </w:r>
      <w:r w:rsidRPr="00D032B4">
        <w:rPr>
          <w:rFonts w:cs="Arial"/>
          <w:sz w:val="24"/>
          <w:szCs w:val="24"/>
        </w:rPr>
        <w:t xml:space="preserve"> for life (amounting to over £1m per patient in the model). At each point in the iterative process of modelling, there was a substantially higher </w:t>
      </w:r>
      <w:r w:rsidR="00544068">
        <w:rPr>
          <w:rFonts w:cs="Arial"/>
          <w:sz w:val="24"/>
          <w:szCs w:val="24"/>
        </w:rPr>
        <w:t>time on treatment</w:t>
      </w:r>
      <w:r w:rsidRPr="00D032B4">
        <w:rPr>
          <w:rFonts w:cs="Arial"/>
          <w:sz w:val="24"/>
          <w:szCs w:val="24"/>
        </w:rPr>
        <w:t xml:space="preserve"> for </w:t>
      </w:r>
      <w:r w:rsidR="00544068">
        <w:rPr>
          <w:rFonts w:cs="Arial"/>
          <w:sz w:val="24"/>
          <w:szCs w:val="24"/>
        </w:rPr>
        <w:t>intravenous immunoglobulin</w:t>
      </w:r>
      <w:r w:rsidRPr="00D032B4">
        <w:rPr>
          <w:rFonts w:cs="Arial"/>
          <w:sz w:val="24"/>
          <w:szCs w:val="24"/>
        </w:rPr>
        <w:t>. This was the result of censoring a small number of patient</w:t>
      </w:r>
      <w:r w:rsidR="00932AF6" w:rsidRPr="00D032B4">
        <w:rPr>
          <w:rFonts w:cs="Arial"/>
          <w:sz w:val="24"/>
          <w:szCs w:val="24"/>
        </w:rPr>
        <w:t>s</w:t>
      </w:r>
      <w:r w:rsidRPr="00D032B4">
        <w:rPr>
          <w:rFonts w:cs="Arial"/>
          <w:sz w:val="24"/>
          <w:szCs w:val="24"/>
        </w:rPr>
        <w:t xml:space="preserve"> with </w:t>
      </w:r>
      <w:r w:rsidR="00932AF6" w:rsidRPr="00D032B4">
        <w:rPr>
          <w:rFonts w:cs="Arial"/>
          <w:sz w:val="24"/>
          <w:szCs w:val="24"/>
        </w:rPr>
        <w:t xml:space="preserve">limited </w:t>
      </w:r>
      <w:r w:rsidRPr="00D032B4">
        <w:rPr>
          <w:rFonts w:cs="Arial"/>
          <w:sz w:val="24"/>
          <w:szCs w:val="24"/>
        </w:rPr>
        <w:t xml:space="preserve">follow up. </w:t>
      </w:r>
    </w:p>
    <w:p w14:paraId="1A1BB2F8" w14:textId="5C875441" w:rsidR="00200967" w:rsidRPr="00D032B4" w:rsidRDefault="00200967" w:rsidP="00756935">
      <w:pPr>
        <w:pStyle w:val="Paragraph"/>
        <w:rPr>
          <w:rFonts w:cs="Arial"/>
          <w:sz w:val="24"/>
          <w:szCs w:val="24"/>
        </w:rPr>
      </w:pPr>
      <w:r w:rsidRPr="00D032B4">
        <w:rPr>
          <w:rFonts w:cs="Arial"/>
          <w:sz w:val="24"/>
          <w:szCs w:val="24"/>
        </w:rPr>
        <w:t xml:space="preserve">The Panel asked whether clinical and patient experts had confirmed the implausibility of the censoring analysis. Alan Moore confirmed that the Committee heard </w:t>
      </w:r>
      <w:r w:rsidR="00E9363A" w:rsidRPr="00D032B4">
        <w:rPr>
          <w:rFonts w:cs="Arial"/>
          <w:sz w:val="24"/>
          <w:szCs w:val="24"/>
        </w:rPr>
        <w:t xml:space="preserve">from patients that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w:t>
      </w:r>
      <w:r w:rsidR="00E9363A" w:rsidRPr="00D032B4">
        <w:rPr>
          <w:rFonts w:cs="Arial"/>
          <w:sz w:val="24"/>
          <w:szCs w:val="24"/>
        </w:rPr>
        <w:t>was</w:t>
      </w:r>
      <w:r w:rsidRPr="00D032B4">
        <w:rPr>
          <w:rFonts w:cs="Arial"/>
          <w:sz w:val="24"/>
          <w:szCs w:val="24"/>
        </w:rPr>
        <w:t xml:space="preserve"> burdensome and </w:t>
      </w:r>
      <w:r w:rsidR="00E9363A" w:rsidRPr="00D032B4">
        <w:rPr>
          <w:rFonts w:cs="Arial"/>
          <w:sz w:val="24"/>
          <w:szCs w:val="24"/>
        </w:rPr>
        <w:t xml:space="preserve">from clinicians that they </w:t>
      </w:r>
      <w:r w:rsidRPr="00D032B4">
        <w:rPr>
          <w:rFonts w:cs="Arial"/>
          <w:sz w:val="24"/>
          <w:szCs w:val="24"/>
        </w:rPr>
        <w:t>ha</w:t>
      </w:r>
      <w:r w:rsidR="00E9363A" w:rsidRPr="00D032B4">
        <w:rPr>
          <w:rFonts w:cs="Arial"/>
          <w:sz w:val="24"/>
          <w:szCs w:val="24"/>
        </w:rPr>
        <w:t xml:space="preserve">ve </w:t>
      </w:r>
      <w:r w:rsidRPr="00D032B4">
        <w:rPr>
          <w:rFonts w:cs="Arial"/>
          <w:sz w:val="24"/>
          <w:szCs w:val="24"/>
        </w:rPr>
        <w:t xml:space="preserve">a limited evidence base. The input on plausibility of </w:t>
      </w:r>
      <w:r w:rsidR="00544068">
        <w:rPr>
          <w:rFonts w:cs="Arial"/>
          <w:sz w:val="24"/>
          <w:szCs w:val="24"/>
        </w:rPr>
        <w:t>time on treatment</w:t>
      </w:r>
      <w:r w:rsidRPr="00D032B4">
        <w:rPr>
          <w:rFonts w:cs="Arial"/>
          <w:sz w:val="24"/>
          <w:szCs w:val="24"/>
        </w:rPr>
        <w:t xml:space="preserve"> and censoring analysis was mainly derived from clinical input as it would have been difficult </w:t>
      </w:r>
      <w:r w:rsidR="00DB5881" w:rsidRPr="00D032B4">
        <w:rPr>
          <w:rFonts w:cs="Arial"/>
          <w:sz w:val="24"/>
          <w:szCs w:val="24"/>
        </w:rPr>
        <w:t xml:space="preserve">for patients to comment. </w:t>
      </w:r>
    </w:p>
    <w:p w14:paraId="0E7ECF82" w14:textId="3B30A9A2" w:rsidR="00200967" w:rsidRPr="00D032B4" w:rsidRDefault="00200967" w:rsidP="00756935">
      <w:pPr>
        <w:pStyle w:val="Paragraph"/>
        <w:rPr>
          <w:rFonts w:cs="Arial"/>
          <w:sz w:val="24"/>
          <w:szCs w:val="24"/>
        </w:rPr>
      </w:pPr>
      <w:r w:rsidRPr="00D032B4">
        <w:rPr>
          <w:rFonts w:cs="Arial"/>
          <w:sz w:val="24"/>
          <w:szCs w:val="24"/>
        </w:rPr>
        <w:t xml:space="preserve">Alan Moore explained that the Committee does not object to censoring </w:t>
      </w:r>
      <w:r w:rsidRPr="000131CD">
        <w:rPr>
          <w:rFonts w:cs="Arial"/>
          <w:i/>
          <w:iCs/>
          <w:sz w:val="24"/>
          <w:szCs w:val="24"/>
        </w:rPr>
        <w:t>per se</w:t>
      </w:r>
      <w:r w:rsidRPr="00D032B4">
        <w:rPr>
          <w:rFonts w:cs="Arial"/>
          <w:sz w:val="24"/>
          <w:szCs w:val="24"/>
        </w:rPr>
        <w:t>,</w:t>
      </w:r>
      <w:r w:rsidR="00DB5881" w:rsidRPr="00D032B4">
        <w:rPr>
          <w:rFonts w:cs="Arial"/>
          <w:sz w:val="24"/>
          <w:szCs w:val="24"/>
        </w:rPr>
        <w:t xml:space="preserve"> it</w:t>
      </w:r>
      <w:r w:rsidRPr="00D032B4">
        <w:rPr>
          <w:rFonts w:cs="Arial"/>
          <w:sz w:val="24"/>
          <w:szCs w:val="24"/>
        </w:rPr>
        <w:t xml:space="preserve"> is used frequently in appraisals for </w:t>
      </w:r>
      <w:proofErr w:type="gramStart"/>
      <w:r w:rsidRPr="00D032B4">
        <w:rPr>
          <w:rFonts w:cs="Arial"/>
          <w:sz w:val="24"/>
          <w:szCs w:val="24"/>
        </w:rPr>
        <w:t>a number of</w:t>
      </w:r>
      <w:proofErr w:type="gramEnd"/>
      <w:r w:rsidRPr="00D032B4">
        <w:rPr>
          <w:rFonts w:cs="Arial"/>
          <w:sz w:val="24"/>
          <w:szCs w:val="24"/>
        </w:rPr>
        <w:t xml:space="preserve"> reasons. In this instance, censoring was discussed at every committee meeting, but always in relation to </w:t>
      </w:r>
      <w:proofErr w:type="gramStart"/>
      <w:r w:rsidRPr="00D032B4">
        <w:rPr>
          <w:rFonts w:cs="Arial"/>
          <w:sz w:val="24"/>
          <w:szCs w:val="24"/>
        </w:rPr>
        <w:t>fairly small</w:t>
      </w:r>
      <w:proofErr w:type="gramEnd"/>
      <w:r w:rsidRPr="00D032B4">
        <w:rPr>
          <w:rFonts w:cs="Arial"/>
          <w:sz w:val="24"/>
          <w:szCs w:val="24"/>
        </w:rPr>
        <w:t xml:space="preserve"> </w:t>
      </w:r>
      <w:r w:rsidR="00DB5881" w:rsidRPr="00D032B4">
        <w:rPr>
          <w:rFonts w:cs="Arial"/>
          <w:sz w:val="24"/>
          <w:szCs w:val="24"/>
        </w:rPr>
        <w:t>numbers</w:t>
      </w:r>
      <w:r w:rsidRPr="00D032B4">
        <w:rPr>
          <w:rFonts w:cs="Arial"/>
          <w:sz w:val="24"/>
          <w:szCs w:val="24"/>
        </w:rPr>
        <w:t xml:space="preserve"> which would only usually be plausible to censor with robust reasons for doing so. </w:t>
      </w:r>
    </w:p>
    <w:p w14:paraId="34E5F9EF" w14:textId="65A439D0" w:rsidR="00200967" w:rsidRPr="00D032B4" w:rsidRDefault="00200967" w:rsidP="00756935">
      <w:pPr>
        <w:pStyle w:val="Paragraph"/>
        <w:rPr>
          <w:rFonts w:cs="Arial"/>
          <w:sz w:val="24"/>
          <w:szCs w:val="24"/>
        </w:rPr>
      </w:pPr>
      <w:r w:rsidRPr="00D032B4">
        <w:rPr>
          <w:rFonts w:cs="Arial"/>
          <w:sz w:val="24"/>
          <w:szCs w:val="24"/>
        </w:rPr>
        <w:t xml:space="preserve">Peter Graham explained that efgartigimod is a more effective drug than </w:t>
      </w:r>
      <w:r w:rsidR="00544068">
        <w:rPr>
          <w:rFonts w:cs="Arial"/>
          <w:sz w:val="24"/>
          <w:szCs w:val="24"/>
        </w:rPr>
        <w:t>intravenous immunoglobulin</w:t>
      </w:r>
      <w:r w:rsidRPr="00D032B4">
        <w:rPr>
          <w:rFonts w:cs="Arial"/>
          <w:sz w:val="24"/>
          <w:szCs w:val="24"/>
        </w:rPr>
        <w:t xml:space="preserve">, and so the censoring has the impact of removing patients who are strong responders. Those who </w:t>
      </w:r>
      <w:r w:rsidRPr="00D032B4">
        <w:rPr>
          <w:rFonts w:cs="Arial"/>
          <w:sz w:val="24"/>
          <w:szCs w:val="24"/>
        </w:rPr>
        <w:lastRenderedPageBreak/>
        <w:t xml:space="preserve">do well stop efgartigimod. It is the Company's view that it is appropriate to censor these patients, which has an impact on the ICER and </w:t>
      </w:r>
      <w:r w:rsidR="00544068">
        <w:rPr>
          <w:rFonts w:cs="Arial"/>
          <w:sz w:val="24"/>
          <w:szCs w:val="24"/>
        </w:rPr>
        <w:t>time on treatment</w:t>
      </w:r>
      <w:r w:rsidRPr="00D032B4">
        <w:rPr>
          <w:rFonts w:cs="Arial"/>
          <w:sz w:val="24"/>
          <w:szCs w:val="24"/>
        </w:rPr>
        <w:t xml:space="preserve">. </w:t>
      </w:r>
      <w:r w:rsidR="00534955" w:rsidRPr="00D032B4">
        <w:rPr>
          <w:rFonts w:cs="Arial"/>
          <w:sz w:val="24"/>
          <w:szCs w:val="24"/>
        </w:rPr>
        <w:t>The Company consider</w:t>
      </w:r>
      <w:r w:rsidR="00932AF6" w:rsidRPr="00D032B4">
        <w:rPr>
          <w:rFonts w:cs="Arial"/>
          <w:sz w:val="24"/>
          <w:szCs w:val="24"/>
        </w:rPr>
        <w:t>s</w:t>
      </w:r>
      <w:r w:rsidR="00534955" w:rsidRPr="00D032B4">
        <w:rPr>
          <w:rFonts w:cs="Arial"/>
          <w:sz w:val="24"/>
          <w:szCs w:val="24"/>
        </w:rPr>
        <w:t xml:space="preserve"> this to be reasonable censoring which had a significant impact which it does not consider the experts would have described as implausible. </w:t>
      </w:r>
    </w:p>
    <w:p w14:paraId="15ACB66F" w14:textId="06FE519A" w:rsidR="00534955" w:rsidRPr="00D032B4" w:rsidRDefault="00534955" w:rsidP="00756935">
      <w:pPr>
        <w:pStyle w:val="Paragraph"/>
        <w:rPr>
          <w:rFonts w:cs="Arial"/>
          <w:sz w:val="24"/>
          <w:szCs w:val="24"/>
        </w:rPr>
      </w:pPr>
      <w:r w:rsidRPr="00D032B4">
        <w:rPr>
          <w:rFonts w:cs="Arial"/>
          <w:sz w:val="24"/>
          <w:szCs w:val="24"/>
        </w:rPr>
        <w:t xml:space="preserve">Alan Moore explained in further detail the importance of </w:t>
      </w:r>
      <w:r w:rsidR="00544068">
        <w:rPr>
          <w:rFonts w:cs="Arial"/>
          <w:sz w:val="24"/>
          <w:szCs w:val="24"/>
        </w:rPr>
        <w:t>time on treatment</w:t>
      </w:r>
      <w:r w:rsidRPr="00D032B4">
        <w:rPr>
          <w:rFonts w:cs="Arial"/>
          <w:sz w:val="24"/>
          <w:szCs w:val="24"/>
        </w:rPr>
        <w:t xml:space="preserve">. If efgartigimod is efficacious, patients will stay on it for a long time. The ADAPT trial used an intra-venous formulation of efgartigimod, but there is now a subcutaneous formulation available. This is likely to increase the </w:t>
      </w:r>
      <w:r w:rsidR="00544068">
        <w:rPr>
          <w:rFonts w:cs="Arial"/>
          <w:sz w:val="24"/>
          <w:szCs w:val="24"/>
        </w:rPr>
        <w:t>time on treatment</w:t>
      </w:r>
      <w:r w:rsidRPr="00D032B4">
        <w:rPr>
          <w:rFonts w:cs="Arial"/>
          <w:sz w:val="24"/>
          <w:szCs w:val="24"/>
        </w:rPr>
        <w:t xml:space="preserve"> for efgartigimod. Alan Moore emphasised that changing one input to the model impacts all the others. He noted that if all the other inputs were modelled in accordance with the Committee's preferences, a change to </w:t>
      </w:r>
      <w:r w:rsidR="00544068">
        <w:rPr>
          <w:rFonts w:cs="Arial"/>
          <w:sz w:val="24"/>
          <w:szCs w:val="24"/>
        </w:rPr>
        <w:t>time on treatment</w:t>
      </w:r>
      <w:r w:rsidRPr="00D032B4">
        <w:rPr>
          <w:rFonts w:cs="Arial"/>
          <w:sz w:val="24"/>
          <w:szCs w:val="24"/>
        </w:rPr>
        <w:t xml:space="preserve"> would have been less of an issue because the model would have otherwise been correct. Here, the censoring was based on very small numbers and was uncertain, and did not have face validity. </w:t>
      </w:r>
      <w:r w:rsidR="003B44D3">
        <w:rPr>
          <w:rFonts w:cs="Arial"/>
          <w:sz w:val="24"/>
          <w:szCs w:val="24"/>
        </w:rPr>
        <w:t xml:space="preserve">Dr </w:t>
      </w:r>
      <w:r w:rsidRPr="00D032B4">
        <w:rPr>
          <w:rFonts w:cs="Arial"/>
          <w:sz w:val="24"/>
          <w:szCs w:val="24"/>
        </w:rPr>
        <w:t>Raju Reddy</w:t>
      </w:r>
      <w:r w:rsidR="003B44D3">
        <w:rPr>
          <w:rFonts w:cs="Arial"/>
          <w:sz w:val="24"/>
          <w:szCs w:val="24"/>
        </w:rPr>
        <w:t>, for NICE,</w:t>
      </w:r>
      <w:r w:rsidRPr="00D032B4">
        <w:rPr>
          <w:rFonts w:cs="Arial"/>
          <w:sz w:val="24"/>
          <w:szCs w:val="24"/>
        </w:rPr>
        <w:t xml:space="preserve"> added that the Committee </w:t>
      </w:r>
      <w:proofErr w:type="gramStart"/>
      <w:r w:rsidRPr="00D032B4">
        <w:rPr>
          <w:rFonts w:cs="Arial"/>
          <w:sz w:val="24"/>
          <w:szCs w:val="24"/>
        </w:rPr>
        <w:t>took into account</w:t>
      </w:r>
      <w:proofErr w:type="gramEnd"/>
      <w:r w:rsidRPr="00D032B4">
        <w:rPr>
          <w:rFonts w:cs="Arial"/>
          <w:sz w:val="24"/>
          <w:szCs w:val="24"/>
        </w:rPr>
        <w:t xml:space="preserve"> in its preferred assumptions the availability of subcutaneous efgartigimod.</w:t>
      </w:r>
    </w:p>
    <w:p w14:paraId="7F3CB5BC" w14:textId="4FE5B205" w:rsidR="00534955" w:rsidRPr="00D032B4" w:rsidRDefault="00534955" w:rsidP="00756935">
      <w:pPr>
        <w:pStyle w:val="Paragraph"/>
        <w:rPr>
          <w:rFonts w:cs="Arial"/>
          <w:sz w:val="24"/>
          <w:szCs w:val="24"/>
        </w:rPr>
      </w:pPr>
      <w:r w:rsidRPr="00D032B4">
        <w:rPr>
          <w:rFonts w:cs="Arial"/>
          <w:sz w:val="24"/>
          <w:szCs w:val="24"/>
        </w:rPr>
        <w:t xml:space="preserve">Paragraph 3.12 of the FDG highlights the poorer response / increased complications associated with </w:t>
      </w:r>
      <w:r w:rsidR="00544068">
        <w:rPr>
          <w:rFonts w:cs="Arial"/>
          <w:sz w:val="24"/>
          <w:szCs w:val="24"/>
        </w:rPr>
        <w:t>intravenous immunoglobulin</w:t>
      </w:r>
      <w:r w:rsidRPr="00D032B4">
        <w:rPr>
          <w:rFonts w:cs="Arial"/>
          <w:sz w:val="24"/>
          <w:szCs w:val="24"/>
        </w:rPr>
        <w:t xml:space="preserve"> / </w:t>
      </w:r>
      <w:r w:rsidR="00544068">
        <w:rPr>
          <w:rFonts w:cs="Arial"/>
          <w:sz w:val="24"/>
          <w:szCs w:val="24"/>
        </w:rPr>
        <w:t>plasma exchange therapy</w:t>
      </w:r>
      <w:r w:rsidRPr="00D032B4">
        <w:rPr>
          <w:rFonts w:cs="Arial"/>
          <w:sz w:val="24"/>
          <w:szCs w:val="24"/>
        </w:rPr>
        <w:t xml:space="preserve"> (compared against efgartigimod) and so it is implausible for </w:t>
      </w:r>
      <w:r w:rsidR="00544068">
        <w:rPr>
          <w:rFonts w:cs="Arial"/>
          <w:sz w:val="24"/>
          <w:szCs w:val="24"/>
        </w:rPr>
        <w:t>time on treatment</w:t>
      </w:r>
      <w:r w:rsidRPr="00D032B4">
        <w:rPr>
          <w:rFonts w:cs="Arial"/>
          <w:sz w:val="24"/>
          <w:szCs w:val="24"/>
        </w:rPr>
        <w:t xml:space="preserve"> of efgartigimod to be far lower given that it is easier to </w:t>
      </w:r>
      <w:r w:rsidR="00ED1F23" w:rsidRPr="00D032B4">
        <w:rPr>
          <w:rFonts w:cs="Arial"/>
          <w:sz w:val="24"/>
          <w:szCs w:val="24"/>
        </w:rPr>
        <w:t>use and</w:t>
      </w:r>
      <w:r w:rsidRPr="00D032B4">
        <w:rPr>
          <w:rFonts w:cs="Arial"/>
          <w:sz w:val="24"/>
          <w:szCs w:val="24"/>
        </w:rPr>
        <w:t xml:space="preserve"> can be administered at home. This assumption lacks face validity, and disregards patient, </w:t>
      </w:r>
      <w:r w:rsidR="00F75061" w:rsidRPr="00D032B4">
        <w:rPr>
          <w:rFonts w:cs="Arial"/>
          <w:sz w:val="24"/>
          <w:szCs w:val="24"/>
        </w:rPr>
        <w:t>carer,</w:t>
      </w:r>
      <w:r w:rsidRPr="00D032B4">
        <w:rPr>
          <w:rFonts w:cs="Arial"/>
          <w:sz w:val="24"/>
          <w:szCs w:val="24"/>
        </w:rPr>
        <w:t xml:space="preserve"> and clinical expert input. </w:t>
      </w:r>
    </w:p>
    <w:p w14:paraId="37E220A0" w14:textId="761610D3" w:rsidR="00534955" w:rsidRPr="00D032B4" w:rsidRDefault="00BE77E0" w:rsidP="00756935">
      <w:pPr>
        <w:pStyle w:val="Paragraph"/>
        <w:rPr>
          <w:rFonts w:cs="Arial"/>
          <w:sz w:val="24"/>
          <w:szCs w:val="24"/>
        </w:rPr>
      </w:pPr>
      <w:r>
        <w:rPr>
          <w:rFonts w:cs="Arial"/>
          <w:sz w:val="24"/>
          <w:szCs w:val="24"/>
        </w:rPr>
        <w:t>Dr</w:t>
      </w:r>
      <w:r w:rsidRPr="00D032B4">
        <w:rPr>
          <w:rFonts w:cs="Arial"/>
          <w:sz w:val="24"/>
          <w:szCs w:val="24"/>
        </w:rPr>
        <w:t xml:space="preserve"> </w:t>
      </w:r>
      <w:r w:rsidR="00534955" w:rsidRPr="00D032B4">
        <w:rPr>
          <w:rFonts w:cs="Arial"/>
          <w:sz w:val="24"/>
          <w:szCs w:val="24"/>
        </w:rPr>
        <w:t xml:space="preserve">Reddy explained the Committee's view that there is no inconsistency between paragraphs 3.8 and 3.12. Peter Graham disagreed, explaining that at no point have the patients or clinicians said that those with an MG-ADL of less than 5 would continue </w:t>
      </w:r>
      <w:r w:rsidR="00534955" w:rsidRPr="00D032B4">
        <w:rPr>
          <w:rFonts w:cs="Arial"/>
          <w:sz w:val="24"/>
          <w:szCs w:val="24"/>
        </w:rPr>
        <w:lastRenderedPageBreak/>
        <w:t>treatment. He stressed that this</w:t>
      </w:r>
      <w:r w:rsidR="00D1211A" w:rsidRPr="00D032B4">
        <w:rPr>
          <w:rFonts w:cs="Arial"/>
          <w:sz w:val="24"/>
          <w:szCs w:val="24"/>
        </w:rPr>
        <w:t xml:space="preserve"> relates to those who improve on efgartigimod and are taken out of the analysis, rather than those who only remain well because they are on efgartigimod (but would deteriorate without it).</w:t>
      </w:r>
    </w:p>
    <w:p w14:paraId="7B80CC12" w14:textId="723EE28B" w:rsidR="00534955" w:rsidRPr="00D032B4" w:rsidRDefault="00534955" w:rsidP="00756935">
      <w:pPr>
        <w:pStyle w:val="Paragraph"/>
        <w:rPr>
          <w:rFonts w:cs="Arial"/>
          <w:sz w:val="24"/>
          <w:szCs w:val="24"/>
        </w:rPr>
      </w:pPr>
      <w:r w:rsidRPr="00D032B4">
        <w:rPr>
          <w:rFonts w:cs="Arial"/>
          <w:sz w:val="24"/>
          <w:szCs w:val="24"/>
        </w:rPr>
        <w:t>Esther Nzenza</w:t>
      </w:r>
      <w:r w:rsidR="00BE77E0">
        <w:rPr>
          <w:rFonts w:cs="Arial"/>
          <w:sz w:val="24"/>
          <w:szCs w:val="24"/>
        </w:rPr>
        <w:t xml:space="preserve">, for </w:t>
      </w:r>
      <w:proofErr w:type="spellStart"/>
      <w:r w:rsidR="00BE77E0">
        <w:rPr>
          <w:rFonts w:cs="Arial"/>
          <w:sz w:val="24"/>
          <w:szCs w:val="24"/>
        </w:rPr>
        <w:t>Argenx</w:t>
      </w:r>
      <w:proofErr w:type="spellEnd"/>
      <w:r w:rsidR="00BE77E0">
        <w:rPr>
          <w:rFonts w:cs="Arial"/>
          <w:sz w:val="24"/>
          <w:szCs w:val="24"/>
        </w:rPr>
        <w:t>,</w:t>
      </w:r>
      <w:r w:rsidRPr="00D032B4">
        <w:rPr>
          <w:rFonts w:cs="Arial"/>
          <w:sz w:val="24"/>
          <w:szCs w:val="24"/>
        </w:rPr>
        <w:t xml:space="preserve"> reiterated that the Company's appeal point relates to the reasonableness of the approach</w:t>
      </w:r>
      <w:r w:rsidR="00932AF6" w:rsidRPr="00D032B4">
        <w:rPr>
          <w:rFonts w:cs="Arial"/>
          <w:sz w:val="24"/>
          <w:szCs w:val="24"/>
        </w:rPr>
        <w:t xml:space="preserve"> taken in the FDG, which considers the censoring approach to be</w:t>
      </w:r>
      <w:r w:rsidRPr="00D032B4">
        <w:rPr>
          <w:rFonts w:cs="Arial"/>
          <w:sz w:val="24"/>
          <w:szCs w:val="24"/>
        </w:rPr>
        <w:t xml:space="preserve"> plausible in one part of the FDG, and lacking face validity in another part. Alan Moore explained to the Panel that </w:t>
      </w:r>
      <w:r w:rsidR="00544068">
        <w:rPr>
          <w:rFonts w:cs="Arial"/>
          <w:sz w:val="24"/>
          <w:szCs w:val="24"/>
        </w:rPr>
        <w:t>time on treatment</w:t>
      </w:r>
      <w:r w:rsidRPr="00D032B4">
        <w:rPr>
          <w:rFonts w:cs="Arial"/>
          <w:sz w:val="24"/>
          <w:szCs w:val="24"/>
        </w:rPr>
        <w:t xml:space="preserve"> was discussed at every committee meeting, and that it was a key issue which drove cost-effectiveness results. The Committee </w:t>
      </w:r>
      <w:proofErr w:type="gramStart"/>
      <w:r w:rsidRPr="00D032B4">
        <w:rPr>
          <w:rFonts w:cs="Arial"/>
          <w:sz w:val="24"/>
          <w:szCs w:val="24"/>
        </w:rPr>
        <w:t>has to</w:t>
      </w:r>
      <w:proofErr w:type="gramEnd"/>
      <w:r w:rsidRPr="00D032B4">
        <w:rPr>
          <w:rFonts w:cs="Arial"/>
          <w:sz w:val="24"/>
          <w:szCs w:val="24"/>
        </w:rPr>
        <w:t xml:space="preserve"> consider the robustness of the analysis, and the Company's assertion in the </w:t>
      </w:r>
      <w:r w:rsidR="002E1DD2">
        <w:rPr>
          <w:rFonts w:cs="Arial"/>
          <w:sz w:val="24"/>
          <w:szCs w:val="24"/>
        </w:rPr>
        <w:t xml:space="preserve">appeal </w:t>
      </w:r>
      <w:r w:rsidRPr="00D032B4">
        <w:rPr>
          <w:rFonts w:cs="Arial"/>
          <w:sz w:val="24"/>
          <w:szCs w:val="24"/>
        </w:rPr>
        <w:t xml:space="preserve">hearing (that some patients stop treatment because it is no longer needed) appears to attribute a curative effect to efgartigimod which was not modelled before the Committee. </w:t>
      </w:r>
    </w:p>
    <w:p w14:paraId="69F556DA" w14:textId="30849613" w:rsidR="00534955" w:rsidRPr="00D032B4" w:rsidRDefault="00534955" w:rsidP="00756935">
      <w:pPr>
        <w:pStyle w:val="Paragraph"/>
        <w:rPr>
          <w:rFonts w:cs="Arial"/>
          <w:sz w:val="24"/>
          <w:szCs w:val="24"/>
        </w:rPr>
      </w:pPr>
      <w:r w:rsidRPr="00D032B4">
        <w:rPr>
          <w:rFonts w:cs="Arial"/>
          <w:sz w:val="24"/>
          <w:szCs w:val="24"/>
        </w:rPr>
        <w:t>Ross Dent</w:t>
      </w:r>
      <w:r w:rsidR="007B02EA">
        <w:rPr>
          <w:rFonts w:cs="Arial"/>
          <w:sz w:val="24"/>
          <w:szCs w:val="24"/>
        </w:rPr>
        <w:t>, for NICE,</w:t>
      </w:r>
      <w:r w:rsidRPr="00D032B4">
        <w:rPr>
          <w:rFonts w:cs="Arial"/>
          <w:sz w:val="24"/>
          <w:szCs w:val="24"/>
        </w:rPr>
        <w:t xml:space="preserve"> concluded on behalf of the Committee that </w:t>
      </w:r>
      <w:r w:rsidR="002E0303" w:rsidRPr="00D032B4">
        <w:rPr>
          <w:rFonts w:cs="Arial"/>
          <w:sz w:val="24"/>
          <w:szCs w:val="24"/>
        </w:rPr>
        <w:t xml:space="preserve">everyone appeared to </w:t>
      </w:r>
      <w:proofErr w:type="gramStart"/>
      <w:r w:rsidR="002E0303" w:rsidRPr="00D032B4">
        <w:rPr>
          <w:rFonts w:cs="Arial"/>
          <w:sz w:val="24"/>
          <w:szCs w:val="24"/>
        </w:rPr>
        <w:t>be in agreement</w:t>
      </w:r>
      <w:proofErr w:type="gramEnd"/>
      <w:r w:rsidR="002E0303" w:rsidRPr="00D032B4">
        <w:rPr>
          <w:rFonts w:cs="Arial"/>
          <w:sz w:val="24"/>
          <w:szCs w:val="24"/>
        </w:rPr>
        <w:t xml:space="preserve"> that </w:t>
      </w:r>
      <w:r w:rsidRPr="00D032B4">
        <w:rPr>
          <w:rFonts w:cs="Arial"/>
          <w:sz w:val="24"/>
          <w:szCs w:val="24"/>
        </w:rPr>
        <w:t>patients would not have these treatments with an MG-ADL score of less than 5. Instead</w:t>
      </w:r>
      <w:r w:rsidR="002E0303" w:rsidRPr="00D032B4">
        <w:rPr>
          <w:rFonts w:cs="Arial"/>
          <w:sz w:val="24"/>
          <w:szCs w:val="24"/>
        </w:rPr>
        <w:t xml:space="preserve">, the Company had asked the clinical experts whether it was plausible for </w:t>
      </w:r>
      <w:r w:rsidR="00544068">
        <w:rPr>
          <w:rFonts w:cs="Arial"/>
          <w:sz w:val="24"/>
          <w:szCs w:val="24"/>
        </w:rPr>
        <w:t>time on treatment</w:t>
      </w:r>
      <w:r w:rsidR="002E0303" w:rsidRPr="00D032B4">
        <w:rPr>
          <w:rFonts w:cs="Arial"/>
          <w:sz w:val="24"/>
          <w:szCs w:val="24"/>
        </w:rPr>
        <w:t xml:space="preserve"> </w:t>
      </w:r>
      <w:r w:rsidR="00BE4419">
        <w:rPr>
          <w:rFonts w:cs="Arial"/>
          <w:sz w:val="24"/>
          <w:szCs w:val="24"/>
        </w:rPr>
        <w:t xml:space="preserve">for </w:t>
      </w:r>
      <w:r w:rsidR="00544068">
        <w:rPr>
          <w:rFonts w:cs="Arial"/>
          <w:sz w:val="24"/>
          <w:szCs w:val="24"/>
        </w:rPr>
        <w:t>intravenous immunoglobulin</w:t>
      </w:r>
      <w:r w:rsidR="002E0303" w:rsidRPr="00D032B4">
        <w:rPr>
          <w:rFonts w:cs="Arial"/>
          <w:sz w:val="24"/>
          <w:szCs w:val="24"/>
        </w:rPr>
        <w:t xml:space="preserve"> to be longer than </w:t>
      </w:r>
      <w:r w:rsidR="00544068">
        <w:rPr>
          <w:rFonts w:cs="Arial"/>
          <w:sz w:val="24"/>
          <w:szCs w:val="24"/>
        </w:rPr>
        <w:t>time on treatment</w:t>
      </w:r>
      <w:r w:rsidR="002E0303" w:rsidRPr="00D032B4">
        <w:rPr>
          <w:rFonts w:cs="Arial"/>
          <w:sz w:val="24"/>
          <w:szCs w:val="24"/>
        </w:rPr>
        <w:t xml:space="preserve"> for efgartigimod, a statement with which the clinical expert disagreed, which is reflected as such at paragraph 3.8 of the FDG. </w:t>
      </w:r>
    </w:p>
    <w:p w14:paraId="1DB7FC7D" w14:textId="4802528C" w:rsidR="00D032B4" w:rsidRPr="00D032B4" w:rsidRDefault="00D032B4" w:rsidP="00D032B4">
      <w:pPr>
        <w:pStyle w:val="Paragraph"/>
        <w:rPr>
          <w:rFonts w:cs="Arial"/>
          <w:sz w:val="24"/>
          <w:szCs w:val="24"/>
        </w:rPr>
      </w:pPr>
      <w:r w:rsidRPr="00D032B4">
        <w:rPr>
          <w:rFonts w:cs="Arial"/>
          <w:sz w:val="24"/>
          <w:szCs w:val="24"/>
        </w:rPr>
        <w:t>The Appeal Panel concluded as follows</w:t>
      </w:r>
      <w:r w:rsidR="00CF1947">
        <w:rPr>
          <w:rFonts w:cs="Arial"/>
          <w:sz w:val="24"/>
          <w:szCs w:val="24"/>
        </w:rPr>
        <w:t xml:space="preserve">. </w:t>
      </w:r>
      <w:r w:rsidRPr="00D032B4">
        <w:rPr>
          <w:rFonts w:cs="Arial"/>
          <w:sz w:val="24"/>
          <w:szCs w:val="24"/>
        </w:rPr>
        <w:t xml:space="preserve">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questioned the plausibility of the </w:t>
      </w:r>
      <w:r w:rsidR="00CF1947">
        <w:rPr>
          <w:rFonts w:cs="Arial"/>
          <w:sz w:val="24"/>
          <w:szCs w:val="24"/>
        </w:rPr>
        <w:t>C</w:t>
      </w:r>
      <w:r w:rsidR="00CF1947" w:rsidRPr="00D032B4">
        <w:rPr>
          <w:rFonts w:cs="Arial"/>
          <w:sz w:val="24"/>
          <w:szCs w:val="24"/>
        </w:rPr>
        <w:t xml:space="preserve">ompany </w:t>
      </w:r>
      <w:r w:rsidRPr="00D032B4">
        <w:rPr>
          <w:rFonts w:cs="Arial"/>
          <w:sz w:val="24"/>
          <w:szCs w:val="24"/>
        </w:rPr>
        <w:t xml:space="preserve">economic modelling at the </w:t>
      </w:r>
      <w:r w:rsidR="00CF1947">
        <w:rPr>
          <w:rFonts w:cs="Arial"/>
          <w:sz w:val="24"/>
          <w:szCs w:val="24"/>
        </w:rPr>
        <w:t>third and fourth</w:t>
      </w:r>
      <w:r w:rsidRPr="00D032B4">
        <w:rPr>
          <w:rFonts w:cs="Arial"/>
          <w:sz w:val="24"/>
          <w:szCs w:val="24"/>
        </w:rPr>
        <w:t xml:space="preserve"> committee meetings, given that the </w:t>
      </w:r>
      <w:r w:rsidR="00CF1947">
        <w:rPr>
          <w:rFonts w:cs="Arial"/>
          <w:sz w:val="24"/>
          <w:szCs w:val="24"/>
        </w:rPr>
        <w:t>C</w:t>
      </w:r>
      <w:r w:rsidR="00CF1947" w:rsidRPr="00D032B4">
        <w:rPr>
          <w:rFonts w:cs="Arial"/>
          <w:sz w:val="24"/>
          <w:szCs w:val="24"/>
        </w:rPr>
        <w:t xml:space="preserve">ompany </w:t>
      </w:r>
      <w:r w:rsidRPr="00D032B4">
        <w:rPr>
          <w:rFonts w:cs="Arial"/>
          <w:sz w:val="24"/>
          <w:szCs w:val="24"/>
        </w:rPr>
        <w:t xml:space="preserve">base case comprised shorter </w:t>
      </w:r>
      <w:r w:rsidR="00544068">
        <w:rPr>
          <w:rFonts w:cs="Arial"/>
          <w:sz w:val="24"/>
          <w:szCs w:val="24"/>
        </w:rPr>
        <w:t>time on treatment</w:t>
      </w:r>
      <w:r w:rsidRPr="00D032B4">
        <w:rPr>
          <w:rFonts w:cs="Arial"/>
          <w:sz w:val="24"/>
          <w:szCs w:val="24"/>
        </w:rPr>
        <w:t xml:space="preserve"> for efga</w:t>
      </w:r>
      <w:r w:rsidR="00CF1947">
        <w:rPr>
          <w:rFonts w:cs="Arial"/>
          <w:sz w:val="24"/>
          <w:szCs w:val="24"/>
        </w:rPr>
        <w:t>r</w:t>
      </w:r>
      <w:r w:rsidRPr="00D032B4">
        <w:rPr>
          <w:rFonts w:cs="Arial"/>
          <w:sz w:val="24"/>
          <w:szCs w:val="24"/>
        </w:rPr>
        <w:t xml:space="preserve">tigimod than </w:t>
      </w:r>
      <w:r w:rsidR="00544068">
        <w:rPr>
          <w:rFonts w:cs="Arial"/>
          <w:sz w:val="24"/>
          <w:szCs w:val="24"/>
        </w:rPr>
        <w:t>intravenous immunoglobulin</w:t>
      </w:r>
      <w:r w:rsidR="00F75061" w:rsidRPr="00D032B4">
        <w:rPr>
          <w:rFonts w:cs="Arial"/>
          <w:sz w:val="24"/>
          <w:szCs w:val="24"/>
        </w:rPr>
        <w:t xml:space="preserve">. </w:t>
      </w:r>
      <w:r w:rsidRPr="00D032B4">
        <w:rPr>
          <w:rFonts w:cs="Arial"/>
          <w:sz w:val="24"/>
          <w:szCs w:val="24"/>
        </w:rPr>
        <w:t xml:space="preserve">It also noted that the base case presented by the </w:t>
      </w:r>
      <w:r w:rsidR="00EF7A18">
        <w:rPr>
          <w:rFonts w:cs="Arial"/>
          <w:sz w:val="24"/>
          <w:szCs w:val="24"/>
        </w:rPr>
        <w:t>C</w:t>
      </w:r>
      <w:r w:rsidRPr="00D032B4">
        <w:rPr>
          <w:rFonts w:cs="Arial"/>
          <w:sz w:val="24"/>
          <w:szCs w:val="24"/>
        </w:rPr>
        <w:t xml:space="preserve">ompany at the </w:t>
      </w:r>
      <w:r w:rsidR="00CF1947">
        <w:rPr>
          <w:rFonts w:cs="Arial"/>
          <w:sz w:val="24"/>
          <w:szCs w:val="24"/>
        </w:rPr>
        <w:t>fourth</w:t>
      </w:r>
      <w:r w:rsidR="00CF1947" w:rsidRPr="00D032B4">
        <w:rPr>
          <w:rFonts w:cs="Arial"/>
          <w:sz w:val="24"/>
          <w:szCs w:val="24"/>
        </w:rPr>
        <w:t xml:space="preserve"> </w:t>
      </w:r>
      <w:r w:rsidRPr="00D032B4">
        <w:rPr>
          <w:rFonts w:cs="Arial"/>
          <w:sz w:val="24"/>
          <w:szCs w:val="24"/>
        </w:rPr>
        <w:t>committee meeting extrapolated time</w:t>
      </w:r>
      <w:r w:rsidR="00001CC1">
        <w:rPr>
          <w:rFonts w:cs="Arial"/>
          <w:sz w:val="24"/>
          <w:szCs w:val="24"/>
        </w:rPr>
        <w:t xml:space="preserve"> </w:t>
      </w:r>
      <w:r w:rsidRPr="00D032B4">
        <w:rPr>
          <w:rFonts w:cs="Arial"/>
          <w:sz w:val="24"/>
          <w:szCs w:val="24"/>
        </w:rPr>
        <w:t>on</w:t>
      </w:r>
      <w:r w:rsidR="00001CC1">
        <w:rPr>
          <w:rFonts w:cs="Arial"/>
          <w:sz w:val="24"/>
          <w:szCs w:val="24"/>
        </w:rPr>
        <w:t xml:space="preserve"> </w:t>
      </w:r>
      <w:r w:rsidRPr="00D032B4">
        <w:rPr>
          <w:rFonts w:cs="Arial"/>
          <w:sz w:val="24"/>
          <w:szCs w:val="24"/>
        </w:rPr>
        <w:t xml:space="preserve">treatment for </w:t>
      </w:r>
      <w:r w:rsidR="00544068">
        <w:rPr>
          <w:rFonts w:cs="Arial"/>
          <w:sz w:val="24"/>
          <w:szCs w:val="24"/>
        </w:rPr>
        <w:t xml:space="preserve">intravenous </w:t>
      </w:r>
      <w:r w:rsidR="00544068">
        <w:rPr>
          <w:rFonts w:cs="Arial"/>
          <w:sz w:val="24"/>
          <w:szCs w:val="24"/>
        </w:rPr>
        <w:lastRenderedPageBreak/>
        <w:t>immunoglobulin</w:t>
      </w:r>
      <w:r w:rsidRPr="00D032B4">
        <w:rPr>
          <w:rFonts w:cs="Arial"/>
          <w:sz w:val="24"/>
          <w:szCs w:val="24"/>
        </w:rPr>
        <w:t xml:space="preserve"> from efga</w:t>
      </w:r>
      <w:r w:rsidR="00CF1947">
        <w:rPr>
          <w:rFonts w:cs="Arial"/>
          <w:sz w:val="24"/>
          <w:szCs w:val="24"/>
        </w:rPr>
        <w:t>r</w:t>
      </w:r>
      <w:r w:rsidRPr="00D032B4">
        <w:rPr>
          <w:rFonts w:cs="Arial"/>
          <w:sz w:val="24"/>
          <w:szCs w:val="24"/>
        </w:rPr>
        <w:t xml:space="preserve">tigimod data using censorship of patients who had responded to treatment, such that their MG-ADL score became less than or equal to 5.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heard from clinical experts that it is not unreasonable to consider that treatment would be stopped in the face of such a satisfactory clinical response</w:t>
      </w:r>
      <w:r w:rsidR="00F75061" w:rsidRPr="00D032B4">
        <w:rPr>
          <w:rFonts w:cs="Arial"/>
          <w:sz w:val="24"/>
          <w:szCs w:val="24"/>
        </w:rPr>
        <w:t xml:space="preserve">. </w:t>
      </w:r>
      <w:r w:rsidRPr="00D032B4">
        <w:rPr>
          <w:rFonts w:cs="Arial"/>
          <w:sz w:val="24"/>
          <w:szCs w:val="24"/>
        </w:rPr>
        <w:t xml:space="preserve">Furthermore,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NICE accepted that the principle of data censorship is not necessarily incorrect </w:t>
      </w:r>
      <w:r w:rsidRPr="00D032B4">
        <w:rPr>
          <w:rFonts w:cs="Arial"/>
          <w:i/>
          <w:sz w:val="24"/>
          <w:szCs w:val="24"/>
        </w:rPr>
        <w:t xml:space="preserve">per se, </w:t>
      </w:r>
      <w:r w:rsidRPr="00D032B4">
        <w:rPr>
          <w:rFonts w:cs="Arial"/>
          <w:sz w:val="24"/>
          <w:szCs w:val="24"/>
        </w:rPr>
        <w:t>and that there is no direct evidence available to inform assumptions about the</w:t>
      </w:r>
      <w:r w:rsidR="00001CC1">
        <w:rPr>
          <w:rFonts w:cs="Arial"/>
          <w:sz w:val="24"/>
          <w:szCs w:val="24"/>
        </w:rPr>
        <w:t xml:space="preserve"> time on treatment </w:t>
      </w:r>
      <w:r w:rsidRPr="00D032B4">
        <w:rPr>
          <w:rFonts w:cs="Arial"/>
          <w:sz w:val="24"/>
          <w:szCs w:val="24"/>
        </w:rPr>
        <w:t xml:space="preserve">for </w:t>
      </w:r>
      <w:r w:rsidR="00544068">
        <w:rPr>
          <w:rFonts w:cs="Arial"/>
          <w:sz w:val="24"/>
          <w:szCs w:val="24"/>
        </w:rPr>
        <w:t>intravenous immunoglobulin</w:t>
      </w:r>
      <w:r w:rsidR="00CF1947">
        <w:rPr>
          <w:rFonts w:cs="Arial"/>
          <w:sz w:val="24"/>
          <w:szCs w:val="24"/>
        </w:rPr>
        <w:t xml:space="preserve"> in </w:t>
      </w:r>
      <w:r w:rsidR="00544068">
        <w:rPr>
          <w:rFonts w:cs="Arial"/>
          <w:sz w:val="24"/>
          <w:szCs w:val="24"/>
        </w:rPr>
        <w:t>generalised myasthenia gravis</w:t>
      </w:r>
      <w:r w:rsidR="00F75061" w:rsidRPr="00D032B4">
        <w:rPr>
          <w:rFonts w:cs="Arial"/>
          <w:sz w:val="24"/>
          <w:szCs w:val="24"/>
        </w:rPr>
        <w:t xml:space="preserve">. </w:t>
      </w:r>
      <w:r w:rsidRPr="00D032B4">
        <w:rPr>
          <w:rFonts w:cs="Arial"/>
          <w:sz w:val="24"/>
          <w:szCs w:val="24"/>
        </w:rPr>
        <w:t xml:space="preserve">On the other hand,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noted that the </w:t>
      </w:r>
      <w:r w:rsidR="00CF1947">
        <w:rPr>
          <w:rFonts w:cs="Arial"/>
          <w:sz w:val="24"/>
          <w:szCs w:val="24"/>
        </w:rPr>
        <w:t>C</w:t>
      </w:r>
      <w:r w:rsidR="00CF1947" w:rsidRPr="00D032B4">
        <w:rPr>
          <w:rFonts w:cs="Arial"/>
          <w:sz w:val="24"/>
          <w:szCs w:val="24"/>
        </w:rPr>
        <w:t xml:space="preserve">ommittee's </w:t>
      </w:r>
      <w:r w:rsidRPr="00D032B4">
        <w:rPr>
          <w:rFonts w:cs="Arial"/>
          <w:sz w:val="24"/>
          <w:szCs w:val="24"/>
        </w:rPr>
        <w:t>concerns in this case centred around the small numbers of patients involved and the short clinical follow-up, as well as the resulting differential</w:t>
      </w:r>
      <w:r w:rsidR="00001CC1">
        <w:rPr>
          <w:rFonts w:cs="Arial"/>
          <w:sz w:val="24"/>
          <w:szCs w:val="24"/>
        </w:rPr>
        <w:t xml:space="preserve"> time on treatment</w:t>
      </w:r>
      <w:r w:rsidRPr="00D032B4">
        <w:rPr>
          <w:rFonts w:cs="Arial"/>
          <w:sz w:val="24"/>
          <w:szCs w:val="24"/>
        </w:rPr>
        <w:t xml:space="preserve"> between efga</w:t>
      </w:r>
      <w:r w:rsidR="00CF1947">
        <w:rPr>
          <w:rFonts w:cs="Arial"/>
          <w:sz w:val="24"/>
          <w:szCs w:val="24"/>
        </w:rPr>
        <w:t>r</w:t>
      </w:r>
      <w:r w:rsidRPr="00D032B4">
        <w:rPr>
          <w:rFonts w:cs="Arial"/>
          <w:sz w:val="24"/>
          <w:szCs w:val="24"/>
        </w:rPr>
        <w:t>tigimod and</w:t>
      </w:r>
      <w:r w:rsidR="00C74E74">
        <w:rPr>
          <w:rFonts w:cs="Arial"/>
          <w:sz w:val="24"/>
          <w:szCs w:val="24"/>
        </w:rPr>
        <w:t xml:space="preserve"> </w:t>
      </w:r>
      <w:r w:rsidR="00544068">
        <w:rPr>
          <w:rFonts w:cs="Arial"/>
          <w:sz w:val="24"/>
          <w:szCs w:val="24"/>
        </w:rPr>
        <w:t>intravenous immunoglobulin</w:t>
      </w:r>
      <w:r w:rsidR="00CF1947">
        <w:rPr>
          <w:rFonts w:cs="Arial"/>
          <w:sz w:val="24"/>
          <w:szCs w:val="24"/>
        </w:rPr>
        <w:t xml:space="preserve">. </w:t>
      </w:r>
      <w:proofErr w:type="gramStart"/>
      <w:r w:rsidRPr="00D032B4">
        <w:rPr>
          <w:rFonts w:cs="Arial"/>
          <w:sz w:val="24"/>
          <w:szCs w:val="24"/>
        </w:rPr>
        <w:t>In regard to</w:t>
      </w:r>
      <w:proofErr w:type="gramEnd"/>
      <w:r w:rsidRPr="00D032B4">
        <w:rPr>
          <w:rFonts w:cs="Arial"/>
          <w:sz w:val="24"/>
          <w:szCs w:val="24"/>
        </w:rPr>
        <w:t xml:space="preserve"> the latter,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were satisfied that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had received expert clinical </w:t>
      </w:r>
      <w:r w:rsidR="002461CE">
        <w:rPr>
          <w:rFonts w:cs="Arial"/>
          <w:sz w:val="24"/>
          <w:szCs w:val="24"/>
        </w:rPr>
        <w:t xml:space="preserve">and patient </w:t>
      </w:r>
      <w:r w:rsidRPr="00D032B4">
        <w:rPr>
          <w:rFonts w:cs="Arial"/>
          <w:sz w:val="24"/>
          <w:szCs w:val="24"/>
        </w:rPr>
        <w:t xml:space="preserve">advice in the </w:t>
      </w:r>
      <w:r w:rsidR="00CF1947">
        <w:rPr>
          <w:rFonts w:cs="Arial"/>
          <w:sz w:val="24"/>
          <w:szCs w:val="24"/>
        </w:rPr>
        <w:t>third and fourth</w:t>
      </w:r>
      <w:r w:rsidRPr="00D032B4">
        <w:rPr>
          <w:rFonts w:cs="Arial"/>
          <w:sz w:val="24"/>
          <w:szCs w:val="24"/>
        </w:rPr>
        <w:t xml:space="preserve"> committee meetings</w:t>
      </w:r>
      <w:r w:rsidR="002461CE">
        <w:rPr>
          <w:rFonts w:cs="Arial"/>
          <w:sz w:val="24"/>
          <w:szCs w:val="24"/>
        </w:rPr>
        <w:t xml:space="preserve"> who had indicated the potential benefits of efgartigimod and the potential complications with intravenous immunoglobulin treatment. The </w:t>
      </w:r>
      <w:r w:rsidR="0080548F">
        <w:rPr>
          <w:rFonts w:cs="Arial"/>
          <w:sz w:val="24"/>
          <w:szCs w:val="24"/>
        </w:rPr>
        <w:t>P</w:t>
      </w:r>
      <w:r w:rsidR="002461CE">
        <w:rPr>
          <w:rFonts w:cs="Arial"/>
          <w:sz w:val="24"/>
          <w:szCs w:val="24"/>
        </w:rPr>
        <w:t xml:space="preserve">anel also noted that the </w:t>
      </w:r>
      <w:r w:rsidR="001F5F1C">
        <w:rPr>
          <w:rFonts w:cs="Arial"/>
          <w:sz w:val="24"/>
          <w:szCs w:val="24"/>
        </w:rPr>
        <w:t>C</w:t>
      </w:r>
      <w:r w:rsidR="002461CE">
        <w:rPr>
          <w:rFonts w:cs="Arial"/>
          <w:sz w:val="24"/>
          <w:szCs w:val="24"/>
        </w:rPr>
        <w:t xml:space="preserve">ommittee had concluded that the treatment advantages associated with efgartigimod are likely to lengthen time on treatment. </w:t>
      </w:r>
      <w:r w:rsidRPr="00D032B4">
        <w:rPr>
          <w:rFonts w:cs="Arial"/>
          <w:sz w:val="24"/>
          <w:szCs w:val="24"/>
        </w:rPr>
        <w:t xml:space="preserve">Overall,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did not consider, therefore, that it was unreasonable for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to conclude that the </w:t>
      </w:r>
      <w:r w:rsidR="00CF1947">
        <w:rPr>
          <w:rFonts w:cs="Arial"/>
          <w:sz w:val="24"/>
          <w:szCs w:val="24"/>
        </w:rPr>
        <w:t>C</w:t>
      </w:r>
      <w:r w:rsidRPr="00D032B4">
        <w:rPr>
          <w:rFonts w:cs="Arial"/>
          <w:sz w:val="24"/>
          <w:szCs w:val="24"/>
        </w:rPr>
        <w:t xml:space="preserve">ompany's model, including censorship was implausible. </w:t>
      </w:r>
      <w:proofErr w:type="gramStart"/>
      <w:r w:rsidRPr="00D032B4">
        <w:rPr>
          <w:rFonts w:cs="Arial"/>
          <w:sz w:val="24"/>
          <w:szCs w:val="24"/>
        </w:rPr>
        <w:t>In regard to</w:t>
      </w:r>
      <w:proofErr w:type="gramEnd"/>
      <w:r w:rsidRPr="00D032B4">
        <w:rPr>
          <w:rFonts w:cs="Arial"/>
          <w:sz w:val="24"/>
          <w:szCs w:val="24"/>
        </w:rPr>
        <w:t xml:space="preserve"> section 3.12 of the FDG, that addressed the </w:t>
      </w:r>
      <w:r w:rsidR="00CF1947">
        <w:rPr>
          <w:rFonts w:cs="Arial"/>
          <w:sz w:val="24"/>
          <w:szCs w:val="24"/>
        </w:rPr>
        <w:t>C</w:t>
      </w:r>
      <w:r w:rsidR="00CF1947" w:rsidRPr="00D032B4">
        <w:rPr>
          <w:rFonts w:cs="Arial"/>
          <w:sz w:val="24"/>
          <w:szCs w:val="24"/>
        </w:rPr>
        <w:t xml:space="preserve">ompany's </w:t>
      </w:r>
      <w:r w:rsidRPr="00D032B4">
        <w:rPr>
          <w:rFonts w:cs="Arial"/>
          <w:sz w:val="24"/>
          <w:szCs w:val="24"/>
        </w:rPr>
        <w:t xml:space="preserve">model, the </w:t>
      </w:r>
      <w:r w:rsidR="001F5F1C">
        <w:rPr>
          <w:rFonts w:cs="Arial"/>
          <w:sz w:val="24"/>
          <w:szCs w:val="24"/>
        </w:rPr>
        <w:t>P</w:t>
      </w:r>
      <w:r w:rsidRPr="00D032B4">
        <w:rPr>
          <w:rFonts w:cs="Arial"/>
          <w:sz w:val="24"/>
          <w:szCs w:val="24"/>
        </w:rPr>
        <w:t xml:space="preserve">anel noted that while the </w:t>
      </w:r>
      <w:r w:rsidR="00CF1947">
        <w:rPr>
          <w:rFonts w:cs="Arial"/>
          <w:sz w:val="24"/>
          <w:szCs w:val="24"/>
        </w:rPr>
        <w:t>C</w:t>
      </w:r>
      <w:r w:rsidR="00CF1947" w:rsidRPr="00D032B4">
        <w:rPr>
          <w:rFonts w:cs="Arial"/>
          <w:sz w:val="24"/>
          <w:szCs w:val="24"/>
        </w:rPr>
        <w:t xml:space="preserve">ommittee </w:t>
      </w:r>
      <w:r w:rsidRPr="00D032B4">
        <w:rPr>
          <w:rFonts w:cs="Arial"/>
          <w:sz w:val="24"/>
          <w:szCs w:val="24"/>
        </w:rPr>
        <w:t xml:space="preserve">accepted that </w:t>
      </w:r>
      <w:r w:rsidR="001F5F1C">
        <w:rPr>
          <w:rFonts w:cs="Arial"/>
          <w:sz w:val="24"/>
          <w:szCs w:val="24"/>
        </w:rPr>
        <w:t>‘</w:t>
      </w:r>
      <w:r w:rsidRPr="00D032B4">
        <w:rPr>
          <w:rFonts w:cs="Arial"/>
          <w:sz w:val="24"/>
          <w:szCs w:val="24"/>
        </w:rPr>
        <w:t xml:space="preserve">...the </w:t>
      </w:r>
      <w:r w:rsidR="00CF1947">
        <w:rPr>
          <w:rFonts w:cs="Arial"/>
          <w:sz w:val="24"/>
          <w:szCs w:val="24"/>
        </w:rPr>
        <w:t>C</w:t>
      </w:r>
      <w:r w:rsidR="00CF1947" w:rsidRPr="00D032B4">
        <w:rPr>
          <w:rFonts w:cs="Arial"/>
          <w:sz w:val="24"/>
          <w:szCs w:val="24"/>
        </w:rPr>
        <w:t xml:space="preserve">ompany's </w:t>
      </w:r>
      <w:r w:rsidRPr="00D032B4">
        <w:rPr>
          <w:rFonts w:cs="Arial"/>
          <w:sz w:val="24"/>
          <w:szCs w:val="24"/>
        </w:rPr>
        <w:t>modelled health states were generally appropriate for decision-making.</w:t>
      </w:r>
      <w:r w:rsidR="004F74F9">
        <w:rPr>
          <w:rFonts w:cs="Arial"/>
          <w:sz w:val="24"/>
          <w:szCs w:val="24"/>
        </w:rPr>
        <w:t>’</w:t>
      </w:r>
      <w:r w:rsidRPr="00D032B4">
        <w:rPr>
          <w:rFonts w:cs="Arial"/>
          <w:sz w:val="24"/>
          <w:szCs w:val="24"/>
        </w:rPr>
        <w:t xml:space="preserve">, there was also reference to their concerns about </w:t>
      </w:r>
      <w:r w:rsidR="001F5F1C">
        <w:rPr>
          <w:rFonts w:cs="Arial"/>
          <w:sz w:val="24"/>
          <w:szCs w:val="24"/>
        </w:rPr>
        <w:t>‘</w:t>
      </w:r>
      <w:r w:rsidRPr="00D032B4">
        <w:rPr>
          <w:rFonts w:cs="Arial"/>
          <w:sz w:val="24"/>
          <w:szCs w:val="24"/>
        </w:rPr>
        <w:t>...significant limitations in some aspects of the modelling.</w:t>
      </w:r>
      <w:r w:rsidR="004F74F9">
        <w:rPr>
          <w:rFonts w:cs="Arial"/>
          <w:sz w:val="24"/>
          <w:szCs w:val="24"/>
        </w:rPr>
        <w:t>’</w:t>
      </w:r>
      <w:r w:rsidRPr="00D032B4">
        <w:rPr>
          <w:rFonts w:cs="Arial"/>
          <w:sz w:val="24"/>
          <w:szCs w:val="24"/>
        </w:rPr>
        <w:t xml:space="preserve"> The </w:t>
      </w:r>
      <w:r w:rsidR="00CF1947">
        <w:rPr>
          <w:rFonts w:cs="Arial"/>
          <w:sz w:val="24"/>
          <w:szCs w:val="24"/>
        </w:rPr>
        <w:t>P</w:t>
      </w:r>
      <w:r w:rsidR="00CF1947" w:rsidRPr="00D032B4">
        <w:rPr>
          <w:rFonts w:cs="Arial"/>
          <w:sz w:val="24"/>
          <w:szCs w:val="24"/>
        </w:rPr>
        <w:t xml:space="preserve">anel </w:t>
      </w:r>
      <w:r w:rsidRPr="00D032B4">
        <w:rPr>
          <w:rFonts w:cs="Arial"/>
          <w:sz w:val="24"/>
          <w:szCs w:val="24"/>
        </w:rPr>
        <w:t xml:space="preserve">considered that section 3.8 of the FDG provided more specific details about these concerns and that there was therefore no fundamental inconsistency between the </w:t>
      </w:r>
      <w:r w:rsidR="00CF1947">
        <w:rPr>
          <w:rFonts w:cs="Arial"/>
          <w:sz w:val="24"/>
          <w:szCs w:val="24"/>
        </w:rPr>
        <w:t>two</w:t>
      </w:r>
      <w:r w:rsidR="00CF1947" w:rsidRPr="00D032B4">
        <w:rPr>
          <w:rFonts w:cs="Arial"/>
          <w:sz w:val="24"/>
          <w:szCs w:val="24"/>
        </w:rPr>
        <w:t xml:space="preserve"> </w:t>
      </w:r>
      <w:r w:rsidRPr="00D032B4">
        <w:rPr>
          <w:rFonts w:cs="Arial"/>
          <w:sz w:val="24"/>
          <w:szCs w:val="24"/>
        </w:rPr>
        <w:t>sections of the FDG.</w:t>
      </w:r>
    </w:p>
    <w:p w14:paraId="109BFB3D" w14:textId="363E80EB" w:rsidR="00756935" w:rsidRPr="00D032B4" w:rsidRDefault="00D032B4" w:rsidP="00D032B4">
      <w:pPr>
        <w:pStyle w:val="Paragraph"/>
        <w:rPr>
          <w:rFonts w:cs="Arial"/>
          <w:sz w:val="24"/>
          <w:szCs w:val="24"/>
        </w:rPr>
      </w:pPr>
      <w:r w:rsidRPr="00D032B4">
        <w:rPr>
          <w:rFonts w:cs="Arial"/>
          <w:sz w:val="24"/>
          <w:szCs w:val="24"/>
        </w:rPr>
        <w:lastRenderedPageBreak/>
        <w:t xml:space="preserve">The </w:t>
      </w:r>
      <w:r w:rsidR="00CF1947">
        <w:rPr>
          <w:rFonts w:cs="Arial"/>
          <w:sz w:val="24"/>
          <w:szCs w:val="24"/>
        </w:rPr>
        <w:t>A</w:t>
      </w:r>
      <w:r w:rsidR="00CF1947" w:rsidRPr="00D032B4">
        <w:rPr>
          <w:rFonts w:cs="Arial"/>
          <w:sz w:val="24"/>
          <w:szCs w:val="24"/>
        </w:rPr>
        <w:t xml:space="preserve">ppeal </w:t>
      </w:r>
      <w:r w:rsidR="00CF1947">
        <w:rPr>
          <w:rFonts w:cs="Arial"/>
          <w:sz w:val="24"/>
          <w:szCs w:val="24"/>
        </w:rPr>
        <w:t>P</w:t>
      </w:r>
      <w:r w:rsidR="00CF1947" w:rsidRPr="00D032B4">
        <w:rPr>
          <w:rFonts w:cs="Arial"/>
          <w:sz w:val="24"/>
          <w:szCs w:val="24"/>
        </w:rPr>
        <w:t xml:space="preserve">anel </w:t>
      </w:r>
      <w:r w:rsidRPr="00D032B4">
        <w:rPr>
          <w:rFonts w:cs="Arial"/>
          <w:sz w:val="24"/>
          <w:szCs w:val="24"/>
        </w:rPr>
        <w:t>therefore dismissed</w:t>
      </w:r>
      <w:r w:rsidRPr="00D032B4">
        <w:rPr>
          <w:rFonts w:cs="Arial"/>
          <w:color w:val="FF0000"/>
          <w:sz w:val="24"/>
          <w:szCs w:val="24"/>
        </w:rPr>
        <w:t xml:space="preserve"> </w:t>
      </w:r>
      <w:r w:rsidRPr="00D032B4">
        <w:rPr>
          <w:rFonts w:cs="Arial"/>
          <w:sz w:val="24"/>
          <w:szCs w:val="24"/>
        </w:rPr>
        <w:t>the appeal on this point.</w:t>
      </w:r>
    </w:p>
    <w:p w14:paraId="4EA2B79E" w14:textId="5B59A245" w:rsidR="00CC79EF" w:rsidRPr="00D032B4" w:rsidRDefault="00CC79EF" w:rsidP="00B93E19">
      <w:pPr>
        <w:pStyle w:val="Heading2"/>
        <w:rPr>
          <w:rFonts w:cs="Arial"/>
          <w:sz w:val="24"/>
          <w:szCs w:val="24"/>
        </w:rPr>
      </w:pPr>
      <w:r w:rsidRPr="00D032B4">
        <w:rPr>
          <w:rFonts w:cs="Arial"/>
          <w:sz w:val="24"/>
          <w:szCs w:val="24"/>
        </w:rPr>
        <w:t>Conclusion and effect of the appeal panel’s decisi</w:t>
      </w:r>
      <w:r w:rsidR="00B93E19" w:rsidRPr="00D032B4">
        <w:rPr>
          <w:rFonts w:cs="Arial"/>
          <w:sz w:val="24"/>
          <w:szCs w:val="24"/>
        </w:rPr>
        <w:t>on</w:t>
      </w:r>
    </w:p>
    <w:p w14:paraId="25054966" w14:textId="54A65008" w:rsidR="00CC79EF" w:rsidRPr="00D032B4" w:rsidRDefault="00CC79EF" w:rsidP="00B93E19">
      <w:pPr>
        <w:pStyle w:val="Paragraph"/>
        <w:rPr>
          <w:rFonts w:cs="Arial"/>
          <w:sz w:val="24"/>
          <w:szCs w:val="24"/>
        </w:rPr>
      </w:pPr>
      <w:r w:rsidRPr="00D032B4">
        <w:rPr>
          <w:rFonts w:cs="Arial"/>
          <w:sz w:val="24"/>
          <w:szCs w:val="24"/>
        </w:rPr>
        <w:t xml:space="preserve">The </w:t>
      </w:r>
      <w:r w:rsidR="008B28C8">
        <w:rPr>
          <w:rFonts w:cs="Arial"/>
          <w:sz w:val="24"/>
          <w:szCs w:val="24"/>
        </w:rPr>
        <w:t>A</w:t>
      </w:r>
      <w:r w:rsidR="008B28C8" w:rsidRPr="00D032B4">
        <w:rPr>
          <w:rFonts w:cs="Arial"/>
          <w:sz w:val="24"/>
          <w:szCs w:val="24"/>
        </w:rPr>
        <w:t xml:space="preserve">ppeal </w:t>
      </w:r>
      <w:r w:rsidR="008B28C8">
        <w:rPr>
          <w:rFonts w:cs="Arial"/>
          <w:sz w:val="24"/>
          <w:szCs w:val="24"/>
        </w:rPr>
        <w:t>P</w:t>
      </w:r>
      <w:r w:rsidR="008B28C8" w:rsidRPr="00D032B4">
        <w:rPr>
          <w:rFonts w:cs="Arial"/>
          <w:sz w:val="24"/>
          <w:szCs w:val="24"/>
        </w:rPr>
        <w:t xml:space="preserve">anel </w:t>
      </w:r>
      <w:r w:rsidRPr="00D032B4">
        <w:rPr>
          <w:rFonts w:cs="Arial"/>
          <w:sz w:val="24"/>
          <w:szCs w:val="24"/>
        </w:rPr>
        <w:t>dismissed the appeal against this appraisal on all grounds</w:t>
      </w:r>
      <w:r w:rsidR="008B28C8">
        <w:rPr>
          <w:rFonts w:cs="Arial"/>
          <w:sz w:val="24"/>
          <w:szCs w:val="24"/>
        </w:rPr>
        <w:t xml:space="preserve"> </w:t>
      </w:r>
      <w:r w:rsidR="00BE4419">
        <w:rPr>
          <w:rFonts w:cs="Arial"/>
          <w:sz w:val="24"/>
          <w:szCs w:val="24"/>
        </w:rPr>
        <w:t>but</w:t>
      </w:r>
      <w:r w:rsidR="008B28C8">
        <w:rPr>
          <w:rFonts w:cs="Arial"/>
          <w:sz w:val="24"/>
          <w:szCs w:val="24"/>
        </w:rPr>
        <w:t xml:space="preserve"> has made two recommendations for minor clarification by NICE in the FDG</w:t>
      </w:r>
      <w:r w:rsidR="004C132B">
        <w:rPr>
          <w:rFonts w:cs="Arial"/>
          <w:sz w:val="24"/>
          <w:szCs w:val="24"/>
        </w:rPr>
        <w:t xml:space="preserve"> (see sections 116 and 155)</w:t>
      </w:r>
      <w:r w:rsidR="008B28C8">
        <w:rPr>
          <w:rFonts w:cs="Arial"/>
          <w:sz w:val="24"/>
          <w:szCs w:val="24"/>
        </w:rPr>
        <w:t>.</w:t>
      </w:r>
    </w:p>
    <w:p w14:paraId="56DD8D5E" w14:textId="1B58A49E" w:rsidR="00CC79EF" w:rsidRPr="00D032B4" w:rsidRDefault="00CC79EF" w:rsidP="00B93E19">
      <w:pPr>
        <w:pStyle w:val="Paragraph"/>
        <w:rPr>
          <w:rFonts w:cs="Arial"/>
        </w:rPr>
      </w:pPr>
      <w:r w:rsidRPr="00D032B4">
        <w:rPr>
          <w:rFonts w:cs="Arial"/>
          <w:sz w:val="24"/>
          <w:szCs w:val="24"/>
        </w:rPr>
        <w:t xml:space="preserve">There is no possibility of further appeal against this decision of the </w:t>
      </w:r>
      <w:r w:rsidR="00690D6D">
        <w:rPr>
          <w:rFonts w:cs="Arial"/>
          <w:sz w:val="24"/>
          <w:szCs w:val="24"/>
        </w:rPr>
        <w:t>A</w:t>
      </w:r>
      <w:r w:rsidRPr="00D032B4">
        <w:rPr>
          <w:rFonts w:cs="Arial"/>
          <w:sz w:val="24"/>
          <w:szCs w:val="24"/>
        </w:rPr>
        <w:t xml:space="preserve">ppeal </w:t>
      </w:r>
      <w:r w:rsidR="00690D6D">
        <w:rPr>
          <w:rFonts w:cs="Arial"/>
          <w:sz w:val="24"/>
          <w:szCs w:val="24"/>
        </w:rPr>
        <w:t>P</w:t>
      </w:r>
      <w:r w:rsidRPr="00D032B4">
        <w:rPr>
          <w:rFonts w:cs="Arial"/>
          <w:sz w:val="24"/>
          <w:szCs w:val="24"/>
        </w:rPr>
        <w:t>anel. However, this decision and NICE’s decision to issue the final guidance may be challenged by applying to the High Court for permission to apply for a judicial review. Any such application must be made within three months of NICE publishing the final guidance.</w:t>
      </w:r>
    </w:p>
    <w:p w14:paraId="04AF3D12" w14:textId="77777777" w:rsidR="008814FB" w:rsidRPr="008814FB" w:rsidRDefault="008814FB" w:rsidP="008814FB">
      <w:pPr>
        <w:pStyle w:val="Title"/>
      </w:pPr>
    </w:p>
    <w:sectPr w:rsidR="008814FB" w:rsidRPr="008814FB" w:rsidSect="0095629B">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F18E" w14:textId="77777777" w:rsidR="004568E2" w:rsidRDefault="004568E2" w:rsidP="00446BEE">
      <w:r>
        <w:separator/>
      </w:r>
    </w:p>
  </w:endnote>
  <w:endnote w:type="continuationSeparator" w:id="0">
    <w:p w14:paraId="0E1A753D" w14:textId="77777777" w:rsidR="004568E2" w:rsidRDefault="004568E2" w:rsidP="00446BEE">
      <w:r>
        <w:continuationSeparator/>
      </w:r>
    </w:p>
  </w:endnote>
  <w:endnote w:type="continuationNotice" w:id="1">
    <w:p w14:paraId="1708582D" w14:textId="77777777" w:rsidR="004568E2" w:rsidRDefault="00456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3D30" w14:textId="77777777" w:rsidR="00E7282A" w:rsidRDefault="00E72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56C" w14:textId="2D99F1A5" w:rsidR="00446BEE" w:rsidRDefault="00FD1A77" w:rsidP="00446BEE">
    <w:pPr>
      <w:pStyle w:val="Footer"/>
    </w:pPr>
    <w:r>
      <w:t>Efgartigimod for treating generalised Myasthenia Gravis [ID4003]</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fldChar w:fldCharType="begin"/>
    </w:r>
    <w:r>
      <w:instrText>NUMPAGES</w:instrText>
    </w:r>
    <w:r>
      <w:fldChar w:fldCharType="separate"/>
    </w:r>
    <w:r w:rsidR="00FA2C5A">
      <w:rPr>
        <w:noProof/>
      </w:rPr>
      <w:t>1</w:t>
    </w:r>
    <w:r>
      <w:fldChar w:fldCharType="end"/>
    </w:r>
  </w:p>
  <w:p w14:paraId="520F9F64" w14:textId="77777777" w:rsidR="00446BEE" w:rsidRDefault="00446BEE">
    <w:pPr>
      <w:pStyle w:val="Footer"/>
    </w:pPr>
  </w:p>
  <w:p w14:paraId="3C62B38B" w14:textId="77777777" w:rsidR="00446BEE" w:rsidRDefault="0044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E6E3" w14:textId="77777777" w:rsidR="00E7282A" w:rsidRDefault="00E72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C445" w14:textId="77777777" w:rsidR="004568E2" w:rsidRDefault="004568E2" w:rsidP="00446BEE">
      <w:r>
        <w:separator/>
      </w:r>
    </w:p>
  </w:footnote>
  <w:footnote w:type="continuationSeparator" w:id="0">
    <w:p w14:paraId="0278F23C" w14:textId="77777777" w:rsidR="004568E2" w:rsidRDefault="004568E2" w:rsidP="00446BEE">
      <w:r>
        <w:continuationSeparator/>
      </w:r>
    </w:p>
  </w:footnote>
  <w:footnote w:type="continuationNotice" w:id="1">
    <w:p w14:paraId="73157E26" w14:textId="77777777" w:rsidR="004568E2" w:rsidRDefault="004568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53CF" w14:textId="77777777" w:rsidR="00E7282A" w:rsidRDefault="00E72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1BC2" w14:textId="77777777" w:rsidR="00E7282A" w:rsidRDefault="00E72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64D9" w14:textId="77777777" w:rsidR="00E7282A" w:rsidRDefault="00E72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029D6"/>
    <w:multiLevelType w:val="hybridMultilevel"/>
    <w:tmpl w:val="6C8C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5426D2"/>
    <w:multiLevelType w:val="hybridMultilevel"/>
    <w:tmpl w:val="E3C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C6EAD"/>
    <w:multiLevelType w:val="hybridMultilevel"/>
    <w:tmpl w:val="436867D0"/>
    <w:lvl w:ilvl="0" w:tplc="3252BCA2">
      <w:start w:val="1"/>
      <w:numFmt w:val="bullet"/>
      <w:lvlText w:val=""/>
      <w:lvlJc w:val="left"/>
      <w:pPr>
        <w:ind w:left="720" w:hanging="360"/>
      </w:pPr>
      <w:rPr>
        <w:rFonts w:ascii="Symbol" w:hAnsi="Symbol" w:hint="default"/>
      </w:rPr>
    </w:lvl>
    <w:lvl w:ilvl="1" w:tplc="18C0C954">
      <w:start w:val="1"/>
      <w:numFmt w:val="bullet"/>
      <w:lvlText w:val="o"/>
      <w:lvlJc w:val="left"/>
      <w:pPr>
        <w:ind w:left="1440" w:hanging="360"/>
      </w:pPr>
      <w:rPr>
        <w:rFonts w:ascii="Courier New" w:hAnsi="Courier New" w:cs="Times New Roman" w:hint="default"/>
      </w:rPr>
    </w:lvl>
    <w:lvl w:ilvl="2" w:tplc="2334FC5E">
      <w:start w:val="1"/>
      <w:numFmt w:val="bullet"/>
      <w:lvlText w:val=""/>
      <w:lvlJc w:val="left"/>
      <w:pPr>
        <w:ind w:left="2160" w:hanging="360"/>
      </w:pPr>
      <w:rPr>
        <w:rFonts w:ascii="Wingdings" w:hAnsi="Wingdings" w:hint="default"/>
      </w:rPr>
    </w:lvl>
    <w:lvl w:ilvl="3" w:tplc="4BC072BE">
      <w:start w:val="1"/>
      <w:numFmt w:val="bullet"/>
      <w:lvlText w:val=""/>
      <w:lvlJc w:val="left"/>
      <w:pPr>
        <w:ind w:left="2880" w:hanging="360"/>
      </w:pPr>
      <w:rPr>
        <w:rFonts w:ascii="Symbol" w:hAnsi="Symbol" w:hint="default"/>
      </w:rPr>
    </w:lvl>
    <w:lvl w:ilvl="4" w:tplc="652602F0">
      <w:start w:val="1"/>
      <w:numFmt w:val="bullet"/>
      <w:lvlText w:val="o"/>
      <w:lvlJc w:val="left"/>
      <w:pPr>
        <w:ind w:left="3600" w:hanging="360"/>
      </w:pPr>
      <w:rPr>
        <w:rFonts w:ascii="Courier New" w:hAnsi="Courier New" w:cs="Times New Roman" w:hint="default"/>
      </w:rPr>
    </w:lvl>
    <w:lvl w:ilvl="5" w:tplc="0936C3EA">
      <w:start w:val="1"/>
      <w:numFmt w:val="bullet"/>
      <w:lvlText w:val=""/>
      <w:lvlJc w:val="left"/>
      <w:pPr>
        <w:ind w:left="4320" w:hanging="360"/>
      </w:pPr>
      <w:rPr>
        <w:rFonts w:ascii="Wingdings" w:hAnsi="Wingdings" w:hint="default"/>
      </w:rPr>
    </w:lvl>
    <w:lvl w:ilvl="6" w:tplc="600AFBEC">
      <w:start w:val="1"/>
      <w:numFmt w:val="bullet"/>
      <w:lvlText w:val=""/>
      <w:lvlJc w:val="left"/>
      <w:pPr>
        <w:ind w:left="5040" w:hanging="360"/>
      </w:pPr>
      <w:rPr>
        <w:rFonts w:ascii="Symbol" w:hAnsi="Symbol" w:hint="default"/>
      </w:rPr>
    </w:lvl>
    <w:lvl w:ilvl="7" w:tplc="1ADE08A8">
      <w:start w:val="1"/>
      <w:numFmt w:val="bullet"/>
      <w:lvlText w:val="o"/>
      <w:lvlJc w:val="left"/>
      <w:pPr>
        <w:ind w:left="5760" w:hanging="360"/>
      </w:pPr>
      <w:rPr>
        <w:rFonts w:ascii="Courier New" w:hAnsi="Courier New" w:cs="Times New Roman" w:hint="default"/>
      </w:rPr>
    </w:lvl>
    <w:lvl w:ilvl="8" w:tplc="8BF017AC">
      <w:start w:val="1"/>
      <w:numFmt w:val="bullet"/>
      <w:lvlText w:val=""/>
      <w:lvlJc w:val="left"/>
      <w:pPr>
        <w:ind w:left="6480" w:hanging="360"/>
      </w:pPr>
      <w:rPr>
        <w:rFonts w:ascii="Wingdings" w:hAnsi="Wingdings" w:hint="default"/>
      </w:rPr>
    </w:lvl>
  </w:abstractNum>
  <w:abstractNum w:abstractNumId="16"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564764">
    <w:abstractNumId w:val="18"/>
  </w:num>
  <w:num w:numId="2" w16cid:durableId="1215968135">
    <w:abstractNumId w:val="19"/>
  </w:num>
  <w:num w:numId="3" w16cid:durableId="1123036315">
    <w:abstractNumId w:val="19"/>
    <w:lvlOverride w:ilvl="0">
      <w:startOverride w:val="1"/>
    </w:lvlOverride>
  </w:num>
  <w:num w:numId="4" w16cid:durableId="1962029493">
    <w:abstractNumId w:val="19"/>
    <w:lvlOverride w:ilvl="0">
      <w:startOverride w:val="1"/>
    </w:lvlOverride>
  </w:num>
  <w:num w:numId="5" w16cid:durableId="828594966">
    <w:abstractNumId w:val="19"/>
    <w:lvlOverride w:ilvl="0">
      <w:startOverride w:val="1"/>
    </w:lvlOverride>
  </w:num>
  <w:num w:numId="6" w16cid:durableId="2062551872">
    <w:abstractNumId w:val="19"/>
    <w:lvlOverride w:ilvl="0">
      <w:startOverride w:val="1"/>
    </w:lvlOverride>
  </w:num>
  <w:num w:numId="7" w16cid:durableId="1750080115">
    <w:abstractNumId w:val="19"/>
    <w:lvlOverride w:ilvl="0">
      <w:startOverride w:val="1"/>
    </w:lvlOverride>
  </w:num>
  <w:num w:numId="8" w16cid:durableId="1056659755">
    <w:abstractNumId w:val="9"/>
  </w:num>
  <w:num w:numId="9" w16cid:durableId="1358508294">
    <w:abstractNumId w:val="7"/>
  </w:num>
  <w:num w:numId="10" w16cid:durableId="1499347687">
    <w:abstractNumId w:val="6"/>
  </w:num>
  <w:num w:numId="11" w16cid:durableId="1508061195">
    <w:abstractNumId w:val="5"/>
  </w:num>
  <w:num w:numId="12" w16cid:durableId="1919440124">
    <w:abstractNumId w:val="4"/>
  </w:num>
  <w:num w:numId="13" w16cid:durableId="211893969">
    <w:abstractNumId w:val="8"/>
  </w:num>
  <w:num w:numId="14" w16cid:durableId="256446596">
    <w:abstractNumId w:val="3"/>
  </w:num>
  <w:num w:numId="15" w16cid:durableId="1352221067">
    <w:abstractNumId w:val="2"/>
  </w:num>
  <w:num w:numId="16" w16cid:durableId="948195593">
    <w:abstractNumId w:val="1"/>
  </w:num>
  <w:num w:numId="17" w16cid:durableId="882136630">
    <w:abstractNumId w:val="0"/>
  </w:num>
  <w:num w:numId="18" w16cid:durableId="2036803415">
    <w:abstractNumId w:val="11"/>
  </w:num>
  <w:num w:numId="19" w16cid:durableId="1245459062">
    <w:abstractNumId w:val="11"/>
    <w:lvlOverride w:ilvl="0">
      <w:startOverride w:val="1"/>
    </w:lvlOverride>
  </w:num>
  <w:num w:numId="20" w16cid:durableId="1577279352">
    <w:abstractNumId w:val="12"/>
  </w:num>
  <w:num w:numId="21" w16cid:durableId="676737510">
    <w:abstractNumId w:val="16"/>
  </w:num>
  <w:num w:numId="22" w16cid:durableId="693307393">
    <w:abstractNumId w:val="14"/>
  </w:num>
  <w:num w:numId="23" w16cid:durableId="989477544">
    <w:abstractNumId w:val="17"/>
  </w:num>
  <w:num w:numId="24" w16cid:durableId="1195575870">
    <w:abstractNumId w:val="19"/>
  </w:num>
  <w:num w:numId="25" w16cid:durableId="197086159">
    <w:abstractNumId w:val="10"/>
  </w:num>
  <w:num w:numId="26" w16cid:durableId="280184804">
    <w:abstractNumId w:val="13"/>
  </w:num>
  <w:num w:numId="27" w16cid:durableId="921765174">
    <w:abstractNumId w:val="15"/>
  </w:num>
  <w:num w:numId="28" w16cid:durableId="1396930594">
    <w:abstractNumId w:val="18"/>
  </w:num>
  <w:num w:numId="29" w16cid:durableId="149176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090A"/>
    <w:rsid w:val="00000F96"/>
    <w:rsid w:val="00001CC1"/>
    <w:rsid w:val="000053F8"/>
    <w:rsid w:val="0001310B"/>
    <w:rsid w:val="000131CD"/>
    <w:rsid w:val="00024D0A"/>
    <w:rsid w:val="00025E3F"/>
    <w:rsid w:val="0002706C"/>
    <w:rsid w:val="00033464"/>
    <w:rsid w:val="00033757"/>
    <w:rsid w:val="00036710"/>
    <w:rsid w:val="0004401A"/>
    <w:rsid w:val="00046415"/>
    <w:rsid w:val="00046C54"/>
    <w:rsid w:val="0005491F"/>
    <w:rsid w:val="00066567"/>
    <w:rsid w:val="00070065"/>
    <w:rsid w:val="000725B4"/>
    <w:rsid w:val="000751FD"/>
    <w:rsid w:val="000A2A16"/>
    <w:rsid w:val="000A4FEE"/>
    <w:rsid w:val="000B0208"/>
    <w:rsid w:val="000B1FC1"/>
    <w:rsid w:val="000B4987"/>
    <w:rsid w:val="000B5939"/>
    <w:rsid w:val="000B60F6"/>
    <w:rsid w:val="000B737F"/>
    <w:rsid w:val="000C1607"/>
    <w:rsid w:val="000C4E06"/>
    <w:rsid w:val="000D4FE0"/>
    <w:rsid w:val="000D61E7"/>
    <w:rsid w:val="000E3007"/>
    <w:rsid w:val="000F5D3B"/>
    <w:rsid w:val="000F7543"/>
    <w:rsid w:val="00100262"/>
    <w:rsid w:val="001127C6"/>
    <w:rsid w:val="001134E7"/>
    <w:rsid w:val="001159E1"/>
    <w:rsid w:val="00130CAA"/>
    <w:rsid w:val="00131817"/>
    <w:rsid w:val="00136FB2"/>
    <w:rsid w:val="00145D17"/>
    <w:rsid w:val="00160A44"/>
    <w:rsid w:val="0016760F"/>
    <w:rsid w:val="0017169E"/>
    <w:rsid w:val="0018352D"/>
    <w:rsid w:val="0018678F"/>
    <w:rsid w:val="001868DC"/>
    <w:rsid w:val="00192DDA"/>
    <w:rsid w:val="001945DB"/>
    <w:rsid w:val="001955C4"/>
    <w:rsid w:val="001966C6"/>
    <w:rsid w:val="001968C5"/>
    <w:rsid w:val="001A7073"/>
    <w:rsid w:val="001B0EE9"/>
    <w:rsid w:val="001B17CE"/>
    <w:rsid w:val="001B27BA"/>
    <w:rsid w:val="001B65B3"/>
    <w:rsid w:val="001D289A"/>
    <w:rsid w:val="001D34EE"/>
    <w:rsid w:val="001D70DB"/>
    <w:rsid w:val="001E2726"/>
    <w:rsid w:val="001E54AA"/>
    <w:rsid w:val="001F4D37"/>
    <w:rsid w:val="001F5F1C"/>
    <w:rsid w:val="00200967"/>
    <w:rsid w:val="002063D2"/>
    <w:rsid w:val="00210BC0"/>
    <w:rsid w:val="0021780C"/>
    <w:rsid w:val="00222A9C"/>
    <w:rsid w:val="00237B2B"/>
    <w:rsid w:val="002408EA"/>
    <w:rsid w:val="00243919"/>
    <w:rsid w:val="00244F92"/>
    <w:rsid w:val="00245B11"/>
    <w:rsid w:val="002461CE"/>
    <w:rsid w:val="00270191"/>
    <w:rsid w:val="0027737F"/>
    <w:rsid w:val="002819D7"/>
    <w:rsid w:val="00285C89"/>
    <w:rsid w:val="002972DC"/>
    <w:rsid w:val="002A2E38"/>
    <w:rsid w:val="002B15ED"/>
    <w:rsid w:val="002B265C"/>
    <w:rsid w:val="002C1A7E"/>
    <w:rsid w:val="002C213A"/>
    <w:rsid w:val="002C6F4C"/>
    <w:rsid w:val="002D3376"/>
    <w:rsid w:val="002D45DB"/>
    <w:rsid w:val="002E0303"/>
    <w:rsid w:val="002E1DD2"/>
    <w:rsid w:val="002F45F6"/>
    <w:rsid w:val="002F7231"/>
    <w:rsid w:val="002F7FF6"/>
    <w:rsid w:val="00311ED0"/>
    <w:rsid w:val="003256AA"/>
    <w:rsid w:val="0034327F"/>
    <w:rsid w:val="00347715"/>
    <w:rsid w:val="003538DD"/>
    <w:rsid w:val="00356978"/>
    <w:rsid w:val="003648C5"/>
    <w:rsid w:val="003722FA"/>
    <w:rsid w:val="00376885"/>
    <w:rsid w:val="00385910"/>
    <w:rsid w:val="00391F81"/>
    <w:rsid w:val="00392B12"/>
    <w:rsid w:val="00393BBB"/>
    <w:rsid w:val="003964A6"/>
    <w:rsid w:val="003A413E"/>
    <w:rsid w:val="003A4206"/>
    <w:rsid w:val="003B44D3"/>
    <w:rsid w:val="003B62E7"/>
    <w:rsid w:val="003B671D"/>
    <w:rsid w:val="003B6D57"/>
    <w:rsid w:val="003C3886"/>
    <w:rsid w:val="003C7AAF"/>
    <w:rsid w:val="003D082E"/>
    <w:rsid w:val="003E17DA"/>
    <w:rsid w:val="003F2E35"/>
    <w:rsid w:val="003F533D"/>
    <w:rsid w:val="003F5404"/>
    <w:rsid w:val="004018D1"/>
    <w:rsid w:val="004075B6"/>
    <w:rsid w:val="00410559"/>
    <w:rsid w:val="004141C0"/>
    <w:rsid w:val="00420952"/>
    <w:rsid w:val="00426710"/>
    <w:rsid w:val="00432772"/>
    <w:rsid w:val="004418FD"/>
    <w:rsid w:val="00443628"/>
    <w:rsid w:val="00444CB8"/>
    <w:rsid w:val="00446BEE"/>
    <w:rsid w:val="00450454"/>
    <w:rsid w:val="00454083"/>
    <w:rsid w:val="004568E2"/>
    <w:rsid w:val="004578CC"/>
    <w:rsid w:val="00460782"/>
    <w:rsid w:val="00461B7C"/>
    <w:rsid w:val="004A312D"/>
    <w:rsid w:val="004A5C7A"/>
    <w:rsid w:val="004B70C3"/>
    <w:rsid w:val="004C132B"/>
    <w:rsid w:val="004C3A10"/>
    <w:rsid w:val="004C58EF"/>
    <w:rsid w:val="004C740B"/>
    <w:rsid w:val="004D6FDA"/>
    <w:rsid w:val="004E0E2C"/>
    <w:rsid w:val="004E1836"/>
    <w:rsid w:val="004E7D78"/>
    <w:rsid w:val="004F12CE"/>
    <w:rsid w:val="004F2B54"/>
    <w:rsid w:val="004F74F9"/>
    <w:rsid w:val="005025A1"/>
    <w:rsid w:val="0050497A"/>
    <w:rsid w:val="005146BB"/>
    <w:rsid w:val="005330BE"/>
    <w:rsid w:val="00534955"/>
    <w:rsid w:val="00544068"/>
    <w:rsid w:val="00544F21"/>
    <w:rsid w:val="0055527A"/>
    <w:rsid w:val="005627B4"/>
    <w:rsid w:val="00564D59"/>
    <w:rsid w:val="0056721F"/>
    <w:rsid w:val="00576251"/>
    <w:rsid w:val="0058293C"/>
    <w:rsid w:val="005A447D"/>
    <w:rsid w:val="005A6EDA"/>
    <w:rsid w:val="005C116B"/>
    <w:rsid w:val="005C4122"/>
    <w:rsid w:val="005D3AF8"/>
    <w:rsid w:val="005E6107"/>
    <w:rsid w:val="005F3ADC"/>
    <w:rsid w:val="00604C52"/>
    <w:rsid w:val="006063A9"/>
    <w:rsid w:val="00606E76"/>
    <w:rsid w:val="00622DE4"/>
    <w:rsid w:val="00624A07"/>
    <w:rsid w:val="006250C5"/>
    <w:rsid w:val="0062540C"/>
    <w:rsid w:val="00630DCA"/>
    <w:rsid w:val="00634957"/>
    <w:rsid w:val="00650A50"/>
    <w:rsid w:val="00660E5C"/>
    <w:rsid w:val="00663D76"/>
    <w:rsid w:val="00675A1E"/>
    <w:rsid w:val="00676B6A"/>
    <w:rsid w:val="00676FF6"/>
    <w:rsid w:val="00684931"/>
    <w:rsid w:val="00690D6D"/>
    <w:rsid w:val="006921E1"/>
    <w:rsid w:val="006946A5"/>
    <w:rsid w:val="00695155"/>
    <w:rsid w:val="00695C53"/>
    <w:rsid w:val="00697B56"/>
    <w:rsid w:val="006A4256"/>
    <w:rsid w:val="006A773E"/>
    <w:rsid w:val="006B37F1"/>
    <w:rsid w:val="006C3127"/>
    <w:rsid w:val="006C7023"/>
    <w:rsid w:val="006D1424"/>
    <w:rsid w:val="006D26C4"/>
    <w:rsid w:val="006D33FD"/>
    <w:rsid w:val="006E0B81"/>
    <w:rsid w:val="006E25D0"/>
    <w:rsid w:val="006E3E09"/>
    <w:rsid w:val="006E5321"/>
    <w:rsid w:val="006F15D7"/>
    <w:rsid w:val="006F4B48"/>
    <w:rsid w:val="006F65CB"/>
    <w:rsid w:val="0070370C"/>
    <w:rsid w:val="00707CA7"/>
    <w:rsid w:val="007104DA"/>
    <w:rsid w:val="00723DDB"/>
    <w:rsid w:val="00725234"/>
    <w:rsid w:val="00736348"/>
    <w:rsid w:val="0074228C"/>
    <w:rsid w:val="00744083"/>
    <w:rsid w:val="00753550"/>
    <w:rsid w:val="00756935"/>
    <w:rsid w:val="00757314"/>
    <w:rsid w:val="007668CE"/>
    <w:rsid w:val="00773BEB"/>
    <w:rsid w:val="007748E1"/>
    <w:rsid w:val="0078400F"/>
    <w:rsid w:val="00787A71"/>
    <w:rsid w:val="007940B3"/>
    <w:rsid w:val="0079437B"/>
    <w:rsid w:val="00794D12"/>
    <w:rsid w:val="0079579D"/>
    <w:rsid w:val="007A09F5"/>
    <w:rsid w:val="007A718A"/>
    <w:rsid w:val="007B02EA"/>
    <w:rsid w:val="007B4C7C"/>
    <w:rsid w:val="007B6E7E"/>
    <w:rsid w:val="007C20A6"/>
    <w:rsid w:val="007C2FD4"/>
    <w:rsid w:val="007C3CC2"/>
    <w:rsid w:val="007C46C8"/>
    <w:rsid w:val="007D5053"/>
    <w:rsid w:val="007E2DFE"/>
    <w:rsid w:val="007E3156"/>
    <w:rsid w:val="007E3213"/>
    <w:rsid w:val="007E634E"/>
    <w:rsid w:val="007F2395"/>
    <w:rsid w:val="007F3D30"/>
    <w:rsid w:val="0080548F"/>
    <w:rsid w:val="0081098E"/>
    <w:rsid w:val="008114D4"/>
    <w:rsid w:val="00815034"/>
    <w:rsid w:val="00815A54"/>
    <w:rsid w:val="008204B1"/>
    <w:rsid w:val="00824C33"/>
    <w:rsid w:val="008335CB"/>
    <w:rsid w:val="0084341F"/>
    <w:rsid w:val="00847AF5"/>
    <w:rsid w:val="00861B92"/>
    <w:rsid w:val="008814FB"/>
    <w:rsid w:val="0088441D"/>
    <w:rsid w:val="00884D10"/>
    <w:rsid w:val="008875E2"/>
    <w:rsid w:val="00887DA2"/>
    <w:rsid w:val="008921B1"/>
    <w:rsid w:val="00896A30"/>
    <w:rsid w:val="008A02AA"/>
    <w:rsid w:val="008A329C"/>
    <w:rsid w:val="008B28C8"/>
    <w:rsid w:val="008C19FE"/>
    <w:rsid w:val="008C3949"/>
    <w:rsid w:val="008D24CE"/>
    <w:rsid w:val="008D323E"/>
    <w:rsid w:val="008D4FF5"/>
    <w:rsid w:val="008F0013"/>
    <w:rsid w:val="008F1F91"/>
    <w:rsid w:val="008F5E30"/>
    <w:rsid w:val="008F7663"/>
    <w:rsid w:val="00907C3A"/>
    <w:rsid w:val="00907D82"/>
    <w:rsid w:val="00914D7F"/>
    <w:rsid w:val="00921672"/>
    <w:rsid w:val="00921CBF"/>
    <w:rsid w:val="009276D7"/>
    <w:rsid w:val="00931628"/>
    <w:rsid w:val="00932AF6"/>
    <w:rsid w:val="009458E5"/>
    <w:rsid w:val="0095629B"/>
    <w:rsid w:val="00964B51"/>
    <w:rsid w:val="00976D3C"/>
    <w:rsid w:val="00977256"/>
    <w:rsid w:val="00980F0A"/>
    <w:rsid w:val="00994A27"/>
    <w:rsid w:val="00997ED8"/>
    <w:rsid w:val="009A0FE4"/>
    <w:rsid w:val="009B3F23"/>
    <w:rsid w:val="009C5CEC"/>
    <w:rsid w:val="009D0471"/>
    <w:rsid w:val="009D65E7"/>
    <w:rsid w:val="009E4ECB"/>
    <w:rsid w:val="009E680B"/>
    <w:rsid w:val="009F6796"/>
    <w:rsid w:val="009F74B2"/>
    <w:rsid w:val="00A07379"/>
    <w:rsid w:val="00A075AA"/>
    <w:rsid w:val="00A15A1F"/>
    <w:rsid w:val="00A164DD"/>
    <w:rsid w:val="00A20202"/>
    <w:rsid w:val="00A225BC"/>
    <w:rsid w:val="00A23DB5"/>
    <w:rsid w:val="00A3325A"/>
    <w:rsid w:val="00A34C99"/>
    <w:rsid w:val="00A41CA8"/>
    <w:rsid w:val="00A43013"/>
    <w:rsid w:val="00A524B2"/>
    <w:rsid w:val="00A557BA"/>
    <w:rsid w:val="00A56F26"/>
    <w:rsid w:val="00A5739D"/>
    <w:rsid w:val="00A61C0A"/>
    <w:rsid w:val="00A71B4E"/>
    <w:rsid w:val="00A73F3A"/>
    <w:rsid w:val="00A763E0"/>
    <w:rsid w:val="00A829C3"/>
    <w:rsid w:val="00A82BB8"/>
    <w:rsid w:val="00A87747"/>
    <w:rsid w:val="00A959F6"/>
    <w:rsid w:val="00AA0AB0"/>
    <w:rsid w:val="00AB4E9D"/>
    <w:rsid w:val="00AB7ADB"/>
    <w:rsid w:val="00AC0E88"/>
    <w:rsid w:val="00AC2B0A"/>
    <w:rsid w:val="00AD08DA"/>
    <w:rsid w:val="00AD10A9"/>
    <w:rsid w:val="00AD16D5"/>
    <w:rsid w:val="00AE4660"/>
    <w:rsid w:val="00AF108A"/>
    <w:rsid w:val="00AF3D2B"/>
    <w:rsid w:val="00B01C80"/>
    <w:rsid w:val="00B02E55"/>
    <w:rsid w:val="00B036C1"/>
    <w:rsid w:val="00B03F7D"/>
    <w:rsid w:val="00B21503"/>
    <w:rsid w:val="00B25F45"/>
    <w:rsid w:val="00B26223"/>
    <w:rsid w:val="00B320FC"/>
    <w:rsid w:val="00B3519A"/>
    <w:rsid w:val="00B416C0"/>
    <w:rsid w:val="00B450D4"/>
    <w:rsid w:val="00B463C5"/>
    <w:rsid w:val="00B5431F"/>
    <w:rsid w:val="00B716E3"/>
    <w:rsid w:val="00B7173B"/>
    <w:rsid w:val="00B72E50"/>
    <w:rsid w:val="00B80375"/>
    <w:rsid w:val="00B807DD"/>
    <w:rsid w:val="00B93E19"/>
    <w:rsid w:val="00B973F3"/>
    <w:rsid w:val="00BA162E"/>
    <w:rsid w:val="00BA2EB3"/>
    <w:rsid w:val="00BB64FE"/>
    <w:rsid w:val="00BC4E6F"/>
    <w:rsid w:val="00BC71DF"/>
    <w:rsid w:val="00BE0E53"/>
    <w:rsid w:val="00BE4419"/>
    <w:rsid w:val="00BE5407"/>
    <w:rsid w:val="00BE77E0"/>
    <w:rsid w:val="00BF2765"/>
    <w:rsid w:val="00BF7FE0"/>
    <w:rsid w:val="00C0269A"/>
    <w:rsid w:val="00C12647"/>
    <w:rsid w:val="00C169A9"/>
    <w:rsid w:val="00C2489B"/>
    <w:rsid w:val="00C255D0"/>
    <w:rsid w:val="00C30FF1"/>
    <w:rsid w:val="00C3635C"/>
    <w:rsid w:val="00C4238C"/>
    <w:rsid w:val="00C453DB"/>
    <w:rsid w:val="00C54940"/>
    <w:rsid w:val="00C6149E"/>
    <w:rsid w:val="00C6505A"/>
    <w:rsid w:val="00C72542"/>
    <w:rsid w:val="00C73EDA"/>
    <w:rsid w:val="00C74E74"/>
    <w:rsid w:val="00C81847"/>
    <w:rsid w:val="00C83169"/>
    <w:rsid w:val="00C962A1"/>
    <w:rsid w:val="00C96411"/>
    <w:rsid w:val="00CA2931"/>
    <w:rsid w:val="00CA3741"/>
    <w:rsid w:val="00CA7AB8"/>
    <w:rsid w:val="00CB1467"/>
    <w:rsid w:val="00CC0B99"/>
    <w:rsid w:val="00CC69BF"/>
    <w:rsid w:val="00CC79EF"/>
    <w:rsid w:val="00CE2F61"/>
    <w:rsid w:val="00CE5419"/>
    <w:rsid w:val="00CE6DA6"/>
    <w:rsid w:val="00CF1947"/>
    <w:rsid w:val="00CF3C74"/>
    <w:rsid w:val="00CF58B7"/>
    <w:rsid w:val="00CF7229"/>
    <w:rsid w:val="00D02E71"/>
    <w:rsid w:val="00D032B4"/>
    <w:rsid w:val="00D0775E"/>
    <w:rsid w:val="00D1211A"/>
    <w:rsid w:val="00D2753F"/>
    <w:rsid w:val="00D301ED"/>
    <w:rsid w:val="00D351C1"/>
    <w:rsid w:val="00D35EFB"/>
    <w:rsid w:val="00D420CA"/>
    <w:rsid w:val="00D444F4"/>
    <w:rsid w:val="00D504B3"/>
    <w:rsid w:val="00D52420"/>
    <w:rsid w:val="00D55A8B"/>
    <w:rsid w:val="00D634BE"/>
    <w:rsid w:val="00D634E1"/>
    <w:rsid w:val="00D72E4B"/>
    <w:rsid w:val="00D73D61"/>
    <w:rsid w:val="00D7614B"/>
    <w:rsid w:val="00D767B4"/>
    <w:rsid w:val="00D859E5"/>
    <w:rsid w:val="00D86BF0"/>
    <w:rsid w:val="00D91AF5"/>
    <w:rsid w:val="00D97368"/>
    <w:rsid w:val="00DA4787"/>
    <w:rsid w:val="00DB4BE1"/>
    <w:rsid w:val="00DB5881"/>
    <w:rsid w:val="00DC078C"/>
    <w:rsid w:val="00DE0543"/>
    <w:rsid w:val="00DF16AC"/>
    <w:rsid w:val="00DF23BE"/>
    <w:rsid w:val="00DF61E6"/>
    <w:rsid w:val="00DF62F9"/>
    <w:rsid w:val="00DF6AC3"/>
    <w:rsid w:val="00E25EEB"/>
    <w:rsid w:val="00E27175"/>
    <w:rsid w:val="00E30411"/>
    <w:rsid w:val="00E37EC4"/>
    <w:rsid w:val="00E41819"/>
    <w:rsid w:val="00E459A3"/>
    <w:rsid w:val="00E51920"/>
    <w:rsid w:val="00E526A0"/>
    <w:rsid w:val="00E637BF"/>
    <w:rsid w:val="00E64120"/>
    <w:rsid w:val="00E660A1"/>
    <w:rsid w:val="00E66C97"/>
    <w:rsid w:val="00E719FE"/>
    <w:rsid w:val="00E7282A"/>
    <w:rsid w:val="00E7529D"/>
    <w:rsid w:val="00E82785"/>
    <w:rsid w:val="00E901BA"/>
    <w:rsid w:val="00E931F8"/>
    <w:rsid w:val="00E9363A"/>
    <w:rsid w:val="00E96F52"/>
    <w:rsid w:val="00EA0138"/>
    <w:rsid w:val="00EA2A5E"/>
    <w:rsid w:val="00EA2F1B"/>
    <w:rsid w:val="00EA56AC"/>
    <w:rsid w:val="00EB70B1"/>
    <w:rsid w:val="00EC16DB"/>
    <w:rsid w:val="00EC21E1"/>
    <w:rsid w:val="00EC295C"/>
    <w:rsid w:val="00EC36C0"/>
    <w:rsid w:val="00ED1663"/>
    <w:rsid w:val="00ED1F23"/>
    <w:rsid w:val="00ED2F2C"/>
    <w:rsid w:val="00ED6D7A"/>
    <w:rsid w:val="00EE3052"/>
    <w:rsid w:val="00EE3D44"/>
    <w:rsid w:val="00EF3267"/>
    <w:rsid w:val="00EF4007"/>
    <w:rsid w:val="00EF7A18"/>
    <w:rsid w:val="00F055F1"/>
    <w:rsid w:val="00F115A5"/>
    <w:rsid w:val="00F11E09"/>
    <w:rsid w:val="00F204C8"/>
    <w:rsid w:val="00F20FA2"/>
    <w:rsid w:val="00F2521A"/>
    <w:rsid w:val="00F309D6"/>
    <w:rsid w:val="00F40B7B"/>
    <w:rsid w:val="00F442E0"/>
    <w:rsid w:val="00F452EC"/>
    <w:rsid w:val="00F511FF"/>
    <w:rsid w:val="00F535A8"/>
    <w:rsid w:val="00F610AF"/>
    <w:rsid w:val="00F73F3A"/>
    <w:rsid w:val="00F75061"/>
    <w:rsid w:val="00F762BB"/>
    <w:rsid w:val="00F80897"/>
    <w:rsid w:val="00F82A77"/>
    <w:rsid w:val="00F86B0C"/>
    <w:rsid w:val="00F879E0"/>
    <w:rsid w:val="00FA0D94"/>
    <w:rsid w:val="00FA2C5A"/>
    <w:rsid w:val="00FA2D60"/>
    <w:rsid w:val="00FA3743"/>
    <w:rsid w:val="00FA38EC"/>
    <w:rsid w:val="00FA3FC4"/>
    <w:rsid w:val="00FA7D1F"/>
    <w:rsid w:val="00FB6C60"/>
    <w:rsid w:val="00FC0134"/>
    <w:rsid w:val="00FC2D11"/>
    <w:rsid w:val="00FC3115"/>
    <w:rsid w:val="00FC380C"/>
    <w:rsid w:val="00FC6230"/>
    <w:rsid w:val="00FC70C4"/>
    <w:rsid w:val="00FD1A77"/>
    <w:rsid w:val="00FF0D45"/>
    <w:rsid w:val="00FF2D9E"/>
    <w:rsid w:val="00FF61E7"/>
    <w:rsid w:val="4444E91E"/>
    <w:rsid w:val="70352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BC9B0"/>
  <w15:chartTrackingRefBased/>
  <w15:docId w15:val="{243DE132-3DB4-4D48-909F-BC259683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6C7023"/>
    <w:pPr>
      <w:keepNext/>
      <w:spacing w:before="240" w:after="240" w:line="36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eastAsia="Calibri" w:hAnsi="Arial" w:cs="Arial"/>
      <w:b/>
      <w:bCs/>
      <w:sz w:val="24"/>
      <w:szCs w:val="24"/>
      <w:lang w:eastAsia="en-US"/>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paragraph" w:styleId="CommentSubject">
    <w:name w:val="annotation subject"/>
    <w:basedOn w:val="CommentText"/>
    <w:next w:val="CommentText"/>
    <w:link w:val="CommentSubjectChar"/>
    <w:semiHidden/>
    <w:rsid w:val="004018D1"/>
    <w:rPr>
      <w:b/>
      <w:bCs/>
    </w:rPr>
  </w:style>
  <w:style w:type="character" w:customStyle="1" w:styleId="CommentSubjectChar">
    <w:name w:val="Comment Subject Char"/>
    <w:basedOn w:val="CommentTextChar"/>
    <w:link w:val="CommentSubject"/>
    <w:semiHidden/>
    <w:rsid w:val="004018D1"/>
    <w:rPr>
      <w:rFonts w:ascii="Calibri" w:eastAsia="Calibri" w:hAnsi="Calibri"/>
      <w:b/>
      <w:bCs/>
      <w:lang w:eastAsia="en-US"/>
    </w:rPr>
  </w:style>
  <w:style w:type="paragraph" w:styleId="Revision">
    <w:name w:val="Revision"/>
    <w:hidden/>
    <w:uiPriority w:val="99"/>
    <w:semiHidden/>
    <w:rsid w:val="00FC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267136">
      <w:bodyDiv w:val="1"/>
      <w:marLeft w:val="0"/>
      <w:marRight w:val="0"/>
      <w:marTop w:val="0"/>
      <w:marBottom w:val="0"/>
      <w:divBdr>
        <w:top w:val="none" w:sz="0" w:space="0" w:color="auto"/>
        <w:left w:val="none" w:sz="0" w:space="0" w:color="auto"/>
        <w:bottom w:val="none" w:sz="0" w:space="0" w:color="auto"/>
        <w:right w:val="none" w:sz="0" w:space="0" w:color="auto"/>
      </w:divBdr>
    </w:div>
    <w:div w:id="705444445">
      <w:bodyDiv w:val="1"/>
      <w:marLeft w:val="0"/>
      <w:marRight w:val="0"/>
      <w:marTop w:val="0"/>
      <w:marBottom w:val="0"/>
      <w:divBdr>
        <w:top w:val="none" w:sz="0" w:space="0" w:color="auto"/>
        <w:left w:val="none" w:sz="0" w:space="0" w:color="auto"/>
        <w:bottom w:val="none" w:sz="0" w:space="0" w:color="auto"/>
        <w:right w:val="none" w:sz="0" w:space="0" w:color="auto"/>
      </w:divBdr>
    </w:div>
    <w:div w:id="862748219">
      <w:bodyDiv w:val="1"/>
      <w:marLeft w:val="0"/>
      <w:marRight w:val="0"/>
      <w:marTop w:val="0"/>
      <w:marBottom w:val="0"/>
      <w:divBdr>
        <w:top w:val="none" w:sz="0" w:space="0" w:color="auto"/>
        <w:left w:val="none" w:sz="0" w:space="0" w:color="auto"/>
        <w:bottom w:val="none" w:sz="0" w:space="0" w:color="auto"/>
        <w:right w:val="none" w:sz="0" w:space="0" w:color="auto"/>
      </w:divBdr>
    </w:div>
    <w:div w:id="905459995">
      <w:bodyDiv w:val="1"/>
      <w:marLeft w:val="0"/>
      <w:marRight w:val="0"/>
      <w:marTop w:val="0"/>
      <w:marBottom w:val="0"/>
      <w:divBdr>
        <w:top w:val="none" w:sz="0" w:space="0" w:color="auto"/>
        <w:left w:val="none" w:sz="0" w:space="0" w:color="auto"/>
        <w:bottom w:val="none" w:sz="0" w:space="0" w:color="auto"/>
        <w:right w:val="none" w:sz="0" w:space="0" w:color="auto"/>
      </w:divBdr>
    </w:div>
    <w:div w:id="911355191">
      <w:bodyDiv w:val="1"/>
      <w:marLeft w:val="0"/>
      <w:marRight w:val="0"/>
      <w:marTop w:val="0"/>
      <w:marBottom w:val="0"/>
      <w:divBdr>
        <w:top w:val="none" w:sz="0" w:space="0" w:color="auto"/>
        <w:left w:val="none" w:sz="0" w:space="0" w:color="auto"/>
        <w:bottom w:val="none" w:sz="0" w:space="0" w:color="auto"/>
        <w:right w:val="none" w:sz="0" w:space="0" w:color="auto"/>
      </w:divBdr>
    </w:div>
    <w:div w:id="917053157">
      <w:bodyDiv w:val="1"/>
      <w:marLeft w:val="0"/>
      <w:marRight w:val="0"/>
      <w:marTop w:val="0"/>
      <w:marBottom w:val="0"/>
      <w:divBdr>
        <w:top w:val="none" w:sz="0" w:space="0" w:color="auto"/>
        <w:left w:val="none" w:sz="0" w:space="0" w:color="auto"/>
        <w:bottom w:val="none" w:sz="0" w:space="0" w:color="auto"/>
        <w:right w:val="none" w:sz="0" w:space="0" w:color="auto"/>
      </w:divBdr>
    </w:div>
    <w:div w:id="1068724625">
      <w:bodyDiv w:val="1"/>
      <w:marLeft w:val="0"/>
      <w:marRight w:val="0"/>
      <w:marTop w:val="0"/>
      <w:marBottom w:val="0"/>
      <w:divBdr>
        <w:top w:val="none" w:sz="0" w:space="0" w:color="auto"/>
        <w:left w:val="none" w:sz="0" w:space="0" w:color="auto"/>
        <w:bottom w:val="none" w:sz="0" w:space="0" w:color="auto"/>
        <w:right w:val="none" w:sz="0" w:space="0" w:color="auto"/>
      </w:divBdr>
    </w:div>
    <w:div w:id="1543861933">
      <w:bodyDiv w:val="1"/>
      <w:marLeft w:val="0"/>
      <w:marRight w:val="0"/>
      <w:marTop w:val="0"/>
      <w:marBottom w:val="0"/>
      <w:divBdr>
        <w:top w:val="none" w:sz="0" w:space="0" w:color="auto"/>
        <w:left w:val="none" w:sz="0" w:space="0" w:color="auto"/>
        <w:bottom w:val="none" w:sz="0" w:space="0" w:color="auto"/>
        <w:right w:val="none" w:sz="0" w:space="0" w:color="auto"/>
      </w:divBdr>
    </w:div>
    <w:div w:id="1650358200">
      <w:bodyDiv w:val="1"/>
      <w:marLeft w:val="0"/>
      <w:marRight w:val="0"/>
      <w:marTop w:val="0"/>
      <w:marBottom w:val="0"/>
      <w:divBdr>
        <w:top w:val="none" w:sz="0" w:space="0" w:color="auto"/>
        <w:left w:val="none" w:sz="0" w:space="0" w:color="auto"/>
        <w:bottom w:val="none" w:sz="0" w:space="0" w:color="auto"/>
        <w:right w:val="none" w:sz="0" w:space="0" w:color="auto"/>
      </w:divBdr>
    </w:div>
    <w:div w:id="1717698997">
      <w:bodyDiv w:val="1"/>
      <w:marLeft w:val="0"/>
      <w:marRight w:val="0"/>
      <w:marTop w:val="0"/>
      <w:marBottom w:val="0"/>
      <w:divBdr>
        <w:top w:val="none" w:sz="0" w:space="0" w:color="auto"/>
        <w:left w:val="none" w:sz="0" w:space="0" w:color="auto"/>
        <w:bottom w:val="none" w:sz="0" w:space="0" w:color="auto"/>
        <w:right w:val="none" w:sz="0" w:space="0" w:color="auto"/>
      </w:divBdr>
    </w:div>
    <w:div w:id="1765147489">
      <w:bodyDiv w:val="1"/>
      <w:marLeft w:val="0"/>
      <w:marRight w:val="0"/>
      <w:marTop w:val="0"/>
      <w:marBottom w:val="0"/>
      <w:divBdr>
        <w:top w:val="none" w:sz="0" w:space="0" w:color="auto"/>
        <w:left w:val="none" w:sz="0" w:space="0" w:color="auto"/>
        <w:bottom w:val="none" w:sz="0" w:space="0" w:color="auto"/>
        <w:right w:val="none" w:sz="0" w:space="0" w:color="auto"/>
      </w:divBdr>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 w:id="211762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roperties xmlns="http://www.imanage.com/work/xmlschema">
  <documentid>Active1!161073146.2</documentid>
  <senderid>AWNE</senderid>
  <senderemail>AEDWARDS@DACBEACHCROFT.COM</senderemail>
  <lastmodified>2025-05-16T13:27:00.0000000+01:00</lastmodified>
  <database>Active1</database>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73C31-6D34-4F4D-8A75-44D619C9C980}">
  <ds:schemaRefs>
    <ds:schemaRef ds:uri="http://purl.org/dc/elements/1.1/"/>
    <ds:schemaRef ds:uri="http://www.w3.org/XML/1998/namespace"/>
    <ds:schemaRef ds:uri="465a54fe-435b-4423-8fe2-c9a3626b31f7"/>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68f19371-ebe6-4483-8e72-73d36cd7064e"/>
  </ds:schemaRefs>
</ds:datastoreItem>
</file>

<file path=customXml/itemProps2.xml><?xml version="1.0" encoding="utf-8"?>
<ds:datastoreItem xmlns:ds="http://schemas.openxmlformats.org/officeDocument/2006/customXml" ds:itemID="{81931812-D9C3-466B-A39D-F207C45D9A85}">
  <ds:schemaRefs>
    <ds:schemaRef ds:uri="http://www.imanage.com/work/xmlschema"/>
  </ds:schemaRefs>
</ds:datastoreItem>
</file>

<file path=customXml/itemProps3.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4.xml><?xml version="1.0" encoding="utf-8"?>
<ds:datastoreItem xmlns:ds="http://schemas.openxmlformats.org/officeDocument/2006/customXml" ds:itemID="{AE028520-B1F4-46BE-94E1-E6542B924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CF5996-CE59-434D-9B84-5BB111641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59</Pages>
  <Words>16290</Words>
  <Characters>88022</Characters>
  <Application>Microsoft Office Word</Application>
  <DocSecurity>0</DocSecurity>
  <Lines>733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120</cp:revision>
  <cp:lastPrinted>2025-05-12T21:42:00Z</cp:lastPrinted>
  <dcterms:created xsi:type="dcterms:W3CDTF">2025-05-20T10:32:00Z</dcterms:created>
  <dcterms:modified xsi:type="dcterms:W3CDTF">2025-05-22T14:49:00Z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2025-05-16T12:42:12Z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bcfe6c83-d8f7-4d1a-a771-ff08558f3d04</vt:lpwstr>
  </property>
  <property fmtid="{D5CDD505-2E9C-101B-9397-08002B2CF9AE}" pid="8" name="MSIP_Label_c69d85d5-6d9e-4305-a294-1f636ec0f2d6_ContentBits">
    <vt:lpwstr>0</vt:lpwstr>
  </property>
  <property fmtid="{D5CDD505-2E9C-101B-9397-08002B2CF9AE}" pid="9" name="MSIP_Label_c69d85d5-6d9e-4305-a294-1f636ec0f2d6_Tag">
    <vt:lpwstr>10, 3, 0, 2</vt:lpwstr>
  </property>
  <property fmtid="{D5CDD505-2E9C-101B-9397-08002B2CF9AE}" pid="10" name="ContentTypeId">
    <vt:lpwstr>0x0101003300E5E64B980D458C754FFE05DEE26D</vt:lpwstr>
  </property>
</Properties>
</file>