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1AEF" w14:textId="77777777" w:rsidR="00510C14" w:rsidRPr="00BC0D2A" w:rsidRDefault="00194D72" w:rsidP="00510C14">
      <w:pPr>
        <w:pStyle w:val="Paragraph"/>
        <w:numPr>
          <w:ilvl w:val="0"/>
          <w:numId w:val="0"/>
        </w:numPr>
        <w:spacing w:before="0" w:after="0" w:line="360" w:lineRule="auto"/>
        <w:rPr>
          <w:rFonts w:cs="Arial"/>
          <w:sz w:val="22"/>
          <w:szCs w:val="22"/>
        </w:rPr>
      </w:pPr>
      <w:r w:rsidRPr="00BC0D2A">
        <w:rPr>
          <w:rFonts w:cs="Arial"/>
          <w:sz w:val="22"/>
          <w:szCs w:val="22"/>
        </w:rPr>
        <w:t>7 February 2025</w:t>
      </w:r>
    </w:p>
    <w:p w14:paraId="069C1E64" w14:textId="77777777" w:rsidR="00510C14" w:rsidRPr="00BC0D2A" w:rsidRDefault="00510C14" w:rsidP="00510C14">
      <w:pPr>
        <w:pStyle w:val="Paragraph"/>
        <w:numPr>
          <w:ilvl w:val="0"/>
          <w:numId w:val="0"/>
        </w:numPr>
        <w:spacing w:before="0" w:after="0" w:line="360" w:lineRule="auto"/>
        <w:rPr>
          <w:rFonts w:cs="Arial"/>
          <w:sz w:val="22"/>
          <w:szCs w:val="22"/>
        </w:rPr>
      </w:pPr>
    </w:p>
    <w:p w14:paraId="2E469475"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Dr Mark Chakravarty</w:t>
      </w:r>
    </w:p>
    <w:p w14:paraId="64BA13D5"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 xml:space="preserve">Lead Non-executive Director for Appeals </w:t>
      </w:r>
    </w:p>
    <w:p w14:paraId="5197CF95"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National Institute for Health and Care Excellence</w:t>
      </w:r>
    </w:p>
    <w:p w14:paraId="480374F9"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2</w:t>
      </w:r>
      <w:r w:rsidRPr="00BC0D2A">
        <w:rPr>
          <w:rFonts w:cs="Arial"/>
          <w:sz w:val="22"/>
          <w:szCs w:val="22"/>
          <w:vertAlign w:val="superscript"/>
        </w:rPr>
        <w:t>nd</w:t>
      </w:r>
      <w:r w:rsidRPr="00BC0D2A">
        <w:rPr>
          <w:rFonts w:cs="Arial"/>
          <w:sz w:val="22"/>
          <w:szCs w:val="22"/>
        </w:rPr>
        <w:t xml:space="preserve"> Floor</w:t>
      </w:r>
    </w:p>
    <w:p w14:paraId="47AB593C"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2 Redman Place</w:t>
      </w:r>
    </w:p>
    <w:p w14:paraId="138B3867" w14:textId="77777777" w:rsidR="00510C14" w:rsidRPr="00BC0D2A" w:rsidRDefault="00194D72" w:rsidP="00510C14">
      <w:pPr>
        <w:pStyle w:val="Paragraph"/>
        <w:numPr>
          <w:ilvl w:val="0"/>
          <w:numId w:val="0"/>
        </w:numPr>
        <w:spacing w:before="0" w:after="0" w:line="240" w:lineRule="auto"/>
        <w:rPr>
          <w:rFonts w:cs="Arial"/>
          <w:sz w:val="22"/>
          <w:szCs w:val="22"/>
        </w:rPr>
      </w:pPr>
      <w:r w:rsidRPr="00BC0D2A">
        <w:rPr>
          <w:rFonts w:cs="Arial"/>
          <w:sz w:val="22"/>
          <w:szCs w:val="22"/>
        </w:rPr>
        <w:t>London E20 1JQ</w:t>
      </w:r>
    </w:p>
    <w:p w14:paraId="5EFF8695" w14:textId="77777777" w:rsidR="00510C14" w:rsidRPr="00BC0D2A" w:rsidRDefault="00510C14" w:rsidP="00510C14">
      <w:pPr>
        <w:pStyle w:val="Paragraph"/>
        <w:numPr>
          <w:ilvl w:val="0"/>
          <w:numId w:val="0"/>
        </w:numPr>
        <w:spacing w:before="0" w:after="0" w:line="360" w:lineRule="auto"/>
        <w:rPr>
          <w:rFonts w:cs="Arial"/>
          <w:sz w:val="22"/>
          <w:szCs w:val="22"/>
        </w:rPr>
      </w:pPr>
    </w:p>
    <w:p w14:paraId="0BDAE0B1" w14:textId="77777777" w:rsidR="00510C14" w:rsidRPr="00BC0D2A" w:rsidRDefault="00194D72" w:rsidP="00510C14">
      <w:pPr>
        <w:pStyle w:val="Paragraph"/>
        <w:numPr>
          <w:ilvl w:val="0"/>
          <w:numId w:val="0"/>
        </w:numPr>
        <w:spacing w:before="0" w:after="0" w:line="360" w:lineRule="auto"/>
        <w:rPr>
          <w:rFonts w:cs="Arial"/>
          <w:sz w:val="22"/>
          <w:szCs w:val="22"/>
        </w:rPr>
      </w:pPr>
      <w:r w:rsidRPr="00BC0D2A">
        <w:rPr>
          <w:rFonts w:cs="Arial"/>
          <w:sz w:val="22"/>
          <w:szCs w:val="22"/>
        </w:rPr>
        <w:t>Dear Dr Chakravarty,</w:t>
      </w:r>
    </w:p>
    <w:p w14:paraId="66EAA29E" w14:textId="77777777" w:rsidR="00510C14" w:rsidRPr="00BC0D2A" w:rsidRDefault="00194D72" w:rsidP="00510C14">
      <w:pPr>
        <w:pStyle w:val="Heading1"/>
        <w:shd w:val="clear" w:color="auto" w:fill="FBFAF8"/>
        <w:jc w:val="both"/>
        <w:rPr>
          <w:rFonts w:cs="Arial"/>
          <w:color w:val="0E0E0E"/>
          <w:szCs w:val="28"/>
          <w:lang w:val="en-GB"/>
        </w:rPr>
      </w:pPr>
      <w:r w:rsidRPr="00BC0D2A">
        <w:rPr>
          <w:rFonts w:cs="Arial"/>
          <w:lang w:val="en-GB"/>
        </w:rPr>
        <w:t xml:space="preserve">Appeal against the Final Draft Guidance for </w:t>
      </w:r>
      <w:r w:rsidR="00D53058" w:rsidRPr="00BC0D2A">
        <w:rPr>
          <w:rFonts w:cs="Arial"/>
          <w:color w:val="0E0E0E"/>
          <w:lang w:val="en-GB"/>
        </w:rPr>
        <w:t>e</w:t>
      </w:r>
      <w:r w:rsidRPr="00BC0D2A">
        <w:rPr>
          <w:rFonts w:cs="Arial"/>
          <w:color w:val="0E0E0E"/>
          <w:lang w:val="en-GB"/>
        </w:rPr>
        <w:t>fgartigimod for treating generalised myasthenia gravis [ID4003]</w:t>
      </w:r>
    </w:p>
    <w:p w14:paraId="526D69B4" w14:textId="77777777" w:rsidR="00510C14" w:rsidRPr="00BC0D2A" w:rsidRDefault="00510C14" w:rsidP="00510C14">
      <w:pPr>
        <w:pStyle w:val="Paragraph"/>
        <w:numPr>
          <w:ilvl w:val="0"/>
          <w:numId w:val="0"/>
        </w:numPr>
        <w:spacing w:before="0" w:after="0" w:line="360" w:lineRule="auto"/>
        <w:jc w:val="both"/>
        <w:rPr>
          <w:rFonts w:cs="Arial"/>
          <w:b/>
          <w:bCs/>
          <w:i/>
          <w:iCs/>
          <w:color w:val="0E0E0E"/>
          <w:sz w:val="16"/>
          <w:szCs w:val="16"/>
        </w:rPr>
      </w:pPr>
    </w:p>
    <w:p w14:paraId="4A7D0438" w14:textId="77777777" w:rsidR="00510C14" w:rsidRPr="00BC0D2A" w:rsidRDefault="00194D72" w:rsidP="00510C14">
      <w:pPr>
        <w:pStyle w:val="Paragraph"/>
        <w:numPr>
          <w:ilvl w:val="0"/>
          <w:numId w:val="0"/>
        </w:numPr>
        <w:spacing w:before="0" w:after="0" w:line="360" w:lineRule="auto"/>
        <w:jc w:val="both"/>
        <w:rPr>
          <w:rFonts w:cs="Arial"/>
          <w:b/>
          <w:i/>
          <w:color w:val="0E0E0E"/>
        </w:rPr>
      </w:pPr>
      <w:r w:rsidRPr="00BC0D2A">
        <w:rPr>
          <w:rFonts w:cs="Arial"/>
          <w:b/>
          <w:bCs/>
          <w:i/>
          <w:iCs/>
          <w:color w:val="0E0E0E"/>
        </w:rPr>
        <w:t>Executive Summary</w:t>
      </w:r>
    </w:p>
    <w:p w14:paraId="3917AC6A"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The legal and technical robustness of this appraisal decision for efgartigimod (ID4003) has been undermined by significant procedural unfairness, resulting in argenx UK Limited (“</w:t>
      </w:r>
      <w:r w:rsidRPr="00BC0D2A">
        <w:rPr>
          <w:rFonts w:cs="Arial"/>
          <w:i w:val="0"/>
          <w:sz w:val="22"/>
          <w:szCs w:val="22"/>
          <w:lang w:val="en-GB"/>
        </w:rPr>
        <w:t>argenx</w:t>
      </w:r>
      <w:r w:rsidRPr="00BC0D2A">
        <w:rPr>
          <w:rFonts w:cs="Arial"/>
          <w:b w:val="0"/>
          <w:bCs w:val="0"/>
          <w:i w:val="0"/>
          <w:iCs w:val="0"/>
          <w:sz w:val="22"/>
          <w:szCs w:val="22"/>
          <w:lang w:val="en-GB"/>
        </w:rPr>
        <w:t>” or the “</w:t>
      </w:r>
      <w:r w:rsidRPr="00BC0D2A">
        <w:rPr>
          <w:rFonts w:cs="Arial"/>
          <w:i w:val="0"/>
          <w:sz w:val="22"/>
          <w:szCs w:val="22"/>
          <w:lang w:val="en-GB"/>
        </w:rPr>
        <w:t>company</w:t>
      </w:r>
      <w:r w:rsidRPr="00BC0D2A">
        <w:rPr>
          <w:rFonts w:cs="Arial"/>
          <w:b w:val="0"/>
          <w:bCs w:val="0"/>
          <w:i w:val="0"/>
          <w:iCs w:val="0"/>
          <w:sz w:val="22"/>
          <w:szCs w:val="22"/>
          <w:lang w:val="en-GB"/>
        </w:rPr>
        <w:t>”) not having a fair opportunity to make intelligent representations on matters relevant to the Final Draft Guidance (</w:t>
      </w:r>
      <w:r w:rsidRPr="00BC0D2A">
        <w:rPr>
          <w:rFonts w:cs="Arial"/>
          <w:i w:val="0"/>
          <w:sz w:val="22"/>
          <w:szCs w:val="22"/>
          <w:lang w:val="en-GB"/>
        </w:rPr>
        <w:t>“FDG</w:t>
      </w:r>
      <w:r w:rsidRPr="00BC0D2A">
        <w:rPr>
          <w:rFonts w:cs="Arial"/>
          <w:b w:val="0"/>
          <w:bCs w:val="0"/>
          <w:i w:val="0"/>
          <w:iCs w:val="0"/>
          <w:sz w:val="22"/>
          <w:szCs w:val="22"/>
          <w:lang w:val="en-GB"/>
        </w:rPr>
        <w:t xml:space="preserve">”).  </w:t>
      </w:r>
    </w:p>
    <w:p w14:paraId="5C3E30B4"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i w:val="0"/>
          <w:sz w:val="22"/>
          <w:szCs w:val="22"/>
          <w:lang w:val="en-GB"/>
        </w:rPr>
        <w:t>In particular, (</w:t>
      </w:r>
      <w:proofErr w:type="spellStart"/>
      <w:r w:rsidRPr="00BC0D2A">
        <w:rPr>
          <w:rFonts w:cs="Arial"/>
          <w:b w:val="0"/>
          <w:i w:val="0"/>
          <w:sz w:val="22"/>
          <w:szCs w:val="22"/>
          <w:lang w:val="en-GB"/>
        </w:rPr>
        <w:t>i</w:t>
      </w:r>
      <w:proofErr w:type="spellEnd"/>
      <w:r w:rsidRPr="00BC0D2A">
        <w:rPr>
          <w:rFonts w:cs="Arial"/>
          <w:b w:val="0"/>
          <w:i w:val="0"/>
          <w:sz w:val="22"/>
          <w:szCs w:val="22"/>
          <w:lang w:val="en-GB"/>
        </w:rPr>
        <w:t xml:space="preserve">) the </w:t>
      </w:r>
      <w:r w:rsidRPr="00BC0D2A">
        <w:rPr>
          <w:rFonts w:cs="Arial"/>
          <w:b w:val="0"/>
          <w:i w:val="0"/>
          <w:sz w:val="22"/>
          <w:szCs w:val="22"/>
          <w:lang w:val="en-GB" w:eastAsia="en-GB"/>
        </w:rPr>
        <w:t xml:space="preserve">Appraisal Committee’s late </w:t>
      </w:r>
      <w:r w:rsidRPr="00BC0D2A">
        <w:rPr>
          <w:rFonts w:cs="Arial"/>
          <w:b w:val="0"/>
          <w:bCs w:val="0"/>
          <w:i w:val="0"/>
          <w:iCs w:val="0"/>
          <w:sz w:val="22"/>
          <w:szCs w:val="22"/>
          <w:lang w:val="en-GB" w:eastAsia="en-GB"/>
        </w:rPr>
        <w:t>and unreasoned change</w:t>
      </w:r>
      <w:r w:rsidRPr="00BC0D2A">
        <w:rPr>
          <w:rFonts w:cs="Arial"/>
          <w:b w:val="0"/>
          <w:i w:val="0"/>
          <w:sz w:val="22"/>
          <w:szCs w:val="22"/>
          <w:lang w:val="en-GB" w:eastAsia="en-GB"/>
        </w:rPr>
        <w:t xml:space="preserve"> from considering efgartigimod as a potential alternative to maintenance IVIg/plasma exchange to considering efgartigimod as only additive to the existing treatment pathway, as well as (ii) </w:t>
      </w:r>
      <w:r w:rsidRPr="00BC0D2A">
        <w:rPr>
          <w:rFonts w:cs="Arial"/>
          <w:b w:val="0"/>
          <w:bCs w:val="0"/>
          <w:i w:val="0"/>
          <w:iCs w:val="0"/>
          <w:sz w:val="22"/>
          <w:szCs w:val="22"/>
          <w:lang w:val="en-GB" w:eastAsia="en-GB"/>
        </w:rPr>
        <w:t>NICE’s handling of the Chair’s offer process</w:t>
      </w:r>
      <w:r w:rsidR="00D53058" w:rsidRPr="00BC0D2A">
        <w:rPr>
          <w:rFonts w:cs="Arial"/>
          <w:b w:val="0"/>
          <w:bCs w:val="0"/>
          <w:i w:val="0"/>
          <w:iCs w:val="0"/>
          <w:sz w:val="22"/>
          <w:szCs w:val="22"/>
          <w:lang w:val="en-GB" w:eastAsia="en-GB"/>
        </w:rPr>
        <w:t xml:space="preserve"> and</w:t>
      </w:r>
      <w:r w:rsidRPr="00BC0D2A">
        <w:rPr>
          <w:rFonts w:cs="Arial"/>
          <w:b w:val="0"/>
          <w:bCs w:val="0"/>
          <w:i w:val="0"/>
          <w:iCs w:val="0"/>
          <w:sz w:val="22"/>
          <w:szCs w:val="22"/>
          <w:lang w:val="en-GB" w:eastAsia="en-GB"/>
        </w:rPr>
        <w:t xml:space="preserve"> scheduling of</w:t>
      </w:r>
      <w:r w:rsidRPr="00BC0D2A">
        <w:rPr>
          <w:rFonts w:cs="Arial"/>
          <w:b w:val="0"/>
          <w:i w:val="0"/>
          <w:sz w:val="22"/>
          <w:szCs w:val="22"/>
          <w:lang w:val="en-GB" w:eastAsia="en-GB"/>
        </w:rPr>
        <w:t xml:space="preserve"> a further </w:t>
      </w:r>
      <w:r w:rsidRPr="00BC0D2A">
        <w:rPr>
          <w:rFonts w:cs="Arial"/>
          <w:b w:val="0"/>
          <w:bCs w:val="0"/>
          <w:i w:val="0"/>
          <w:iCs w:val="0"/>
          <w:sz w:val="22"/>
          <w:szCs w:val="22"/>
          <w:lang w:val="en-GB" w:eastAsia="en-GB"/>
        </w:rPr>
        <w:t>Appraisal Committee Meeting (“</w:t>
      </w:r>
      <w:r w:rsidRPr="00BC0D2A">
        <w:rPr>
          <w:rFonts w:cs="Arial"/>
          <w:i w:val="0"/>
          <w:sz w:val="22"/>
          <w:szCs w:val="22"/>
          <w:lang w:val="en-GB" w:eastAsia="en-GB"/>
        </w:rPr>
        <w:t>ACM</w:t>
      </w:r>
      <w:r w:rsidRPr="00BC0D2A">
        <w:rPr>
          <w:rFonts w:cs="Arial"/>
          <w:b w:val="0"/>
          <w:bCs w:val="0"/>
          <w:i w:val="0"/>
          <w:iCs w:val="0"/>
          <w:sz w:val="22"/>
          <w:szCs w:val="22"/>
          <w:lang w:val="en-GB" w:eastAsia="en-GB"/>
        </w:rPr>
        <w:t>”)</w:t>
      </w:r>
      <w:r w:rsidRPr="00BC0D2A">
        <w:rPr>
          <w:rFonts w:cs="Arial"/>
          <w:b w:val="0"/>
          <w:i w:val="0"/>
          <w:sz w:val="22"/>
          <w:szCs w:val="22"/>
          <w:lang w:val="en-GB" w:eastAsia="en-GB"/>
        </w:rPr>
        <w:t xml:space="preserve"> following the Chair’s offer without the company being able to </w:t>
      </w:r>
      <w:r w:rsidRPr="00BC0D2A">
        <w:rPr>
          <w:rFonts w:cs="Arial"/>
          <w:b w:val="0"/>
          <w:bCs w:val="0"/>
          <w:i w:val="0"/>
          <w:iCs w:val="0"/>
          <w:sz w:val="22"/>
          <w:szCs w:val="22"/>
          <w:lang w:val="en-GB" w:eastAsia="en-GB"/>
        </w:rPr>
        <w:t xml:space="preserve">make </w:t>
      </w:r>
      <w:r w:rsidRPr="00BC0D2A">
        <w:rPr>
          <w:rFonts w:cs="Arial"/>
          <w:b w:val="0"/>
          <w:i w:val="0"/>
          <w:sz w:val="22"/>
          <w:szCs w:val="22"/>
          <w:lang w:val="en-GB" w:eastAsia="en-GB"/>
        </w:rPr>
        <w:t xml:space="preserve">full </w:t>
      </w:r>
      <w:r w:rsidRPr="00BC0D2A">
        <w:rPr>
          <w:rFonts w:cs="Arial"/>
          <w:b w:val="0"/>
          <w:bCs w:val="0"/>
          <w:i w:val="0"/>
          <w:iCs w:val="0"/>
          <w:sz w:val="22"/>
          <w:szCs w:val="22"/>
          <w:lang w:val="en-GB" w:eastAsia="en-GB"/>
        </w:rPr>
        <w:t>representations</w:t>
      </w:r>
      <w:r w:rsidRPr="00BC0D2A">
        <w:rPr>
          <w:rFonts w:cs="Arial"/>
          <w:b w:val="0"/>
          <w:i w:val="0"/>
          <w:sz w:val="22"/>
          <w:szCs w:val="22"/>
          <w:lang w:val="en-GB" w:eastAsia="en-GB"/>
        </w:rPr>
        <w:t xml:space="preserve"> in advance of the ACM, and (iii) significant </w:t>
      </w:r>
      <w:r w:rsidRPr="00BC0D2A">
        <w:rPr>
          <w:rFonts w:cs="Arial"/>
          <w:b w:val="0"/>
          <w:i w:val="0"/>
          <w:sz w:val="22"/>
          <w:szCs w:val="22"/>
          <w:lang w:val="en-GB"/>
        </w:rPr>
        <w:t xml:space="preserve">inconsistencies with the approach taken in the current appraisal of </w:t>
      </w:r>
      <w:proofErr w:type="spellStart"/>
      <w:r w:rsidRPr="00BC0D2A">
        <w:rPr>
          <w:rFonts w:cs="Arial"/>
          <w:b w:val="0"/>
          <w:i w:val="0"/>
          <w:sz w:val="22"/>
          <w:szCs w:val="22"/>
          <w:lang w:val="en-GB"/>
        </w:rPr>
        <w:t>zilucoplan</w:t>
      </w:r>
      <w:proofErr w:type="spellEnd"/>
      <w:r w:rsidRPr="00BC0D2A">
        <w:rPr>
          <w:rFonts w:cs="Arial"/>
          <w:b w:val="0"/>
          <w:i w:val="0"/>
          <w:sz w:val="22"/>
          <w:szCs w:val="22"/>
          <w:lang w:val="en-GB"/>
        </w:rPr>
        <w:t xml:space="preserve"> in the same indication,</w:t>
      </w:r>
      <w:r w:rsidRPr="00BC0D2A">
        <w:rPr>
          <w:rFonts w:cs="Arial"/>
          <w:b w:val="0"/>
          <w:i w:val="0"/>
          <w:sz w:val="22"/>
          <w:szCs w:val="22"/>
          <w:lang w:val="en-GB" w:eastAsia="en-GB"/>
        </w:rPr>
        <w:t xml:space="preserve"> are procedurally unfair.  </w:t>
      </w:r>
      <w:r w:rsidRPr="00BC0D2A">
        <w:rPr>
          <w:rFonts w:cs="Arial"/>
          <w:b w:val="0"/>
          <w:bCs w:val="0"/>
          <w:i w:val="0"/>
          <w:iCs w:val="0"/>
          <w:sz w:val="22"/>
          <w:szCs w:val="22"/>
          <w:lang w:val="en-GB" w:eastAsia="en-GB"/>
        </w:rPr>
        <w:t xml:space="preserve">As a </w:t>
      </w:r>
      <w:proofErr w:type="gramStart"/>
      <w:r w:rsidRPr="00BC0D2A">
        <w:rPr>
          <w:rFonts w:cs="Arial"/>
          <w:b w:val="0"/>
          <w:bCs w:val="0"/>
          <w:i w:val="0"/>
          <w:iCs w:val="0"/>
          <w:sz w:val="22"/>
          <w:szCs w:val="22"/>
          <w:lang w:val="en-GB" w:eastAsia="en-GB"/>
        </w:rPr>
        <w:t>result</w:t>
      </w:r>
      <w:proofErr w:type="gramEnd"/>
      <w:r w:rsidRPr="00BC0D2A">
        <w:rPr>
          <w:rFonts w:cs="Arial"/>
          <w:b w:val="0"/>
          <w:bCs w:val="0"/>
          <w:i w:val="0"/>
          <w:iCs w:val="0"/>
          <w:sz w:val="22"/>
          <w:szCs w:val="22"/>
          <w:lang w:val="en-GB" w:eastAsia="en-GB"/>
        </w:rPr>
        <w:t xml:space="preserve"> or otherwise, the </w:t>
      </w:r>
      <w:r w:rsidRPr="00BC0D2A">
        <w:rPr>
          <w:rFonts w:cs="Arial"/>
          <w:b w:val="0"/>
          <w:i w:val="0"/>
          <w:sz w:val="22"/>
          <w:szCs w:val="22"/>
          <w:lang w:val="en-GB" w:eastAsia="en-GB"/>
        </w:rPr>
        <w:t>Appraisal Committee has reached unreasonable conclusions based on</w:t>
      </w:r>
      <w:r w:rsidRPr="00BC0D2A">
        <w:rPr>
          <w:rFonts w:cs="Arial"/>
          <w:b w:val="0"/>
          <w:i w:val="0"/>
          <w:sz w:val="22"/>
          <w:szCs w:val="22"/>
          <w:lang w:val="en-GB"/>
        </w:rPr>
        <w:t xml:space="preserve"> the evidence submitted in relation to </w:t>
      </w:r>
      <w:proofErr w:type="gramStart"/>
      <w:r w:rsidRPr="00BC0D2A">
        <w:rPr>
          <w:rFonts w:cs="Arial"/>
          <w:b w:val="0"/>
          <w:i w:val="0"/>
          <w:sz w:val="22"/>
          <w:szCs w:val="22"/>
          <w:lang w:val="en-GB"/>
        </w:rPr>
        <w:t>a number of</w:t>
      </w:r>
      <w:proofErr w:type="gramEnd"/>
      <w:r w:rsidRPr="00BC0D2A">
        <w:rPr>
          <w:rFonts w:cs="Arial"/>
          <w:b w:val="0"/>
          <w:i w:val="0"/>
          <w:sz w:val="22"/>
          <w:szCs w:val="22"/>
          <w:lang w:val="en-GB"/>
        </w:rPr>
        <w:t xml:space="preserve"> key assumptions </w:t>
      </w:r>
      <w:r w:rsidRPr="00BC0D2A">
        <w:rPr>
          <w:rFonts w:cs="Arial"/>
          <w:b w:val="0"/>
          <w:bCs w:val="0"/>
          <w:i w:val="0"/>
          <w:iCs w:val="0"/>
          <w:sz w:val="22"/>
          <w:szCs w:val="22"/>
          <w:lang w:val="en-GB"/>
        </w:rPr>
        <w:t>that adversely impact the ICER and render</w:t>
      </w:r>
      <w:r w:rsidRPr="00BC0D2A">
        <w:rPr>
          <w:rFonts w:cs="Arial"/>
          <w:b w:val="0"/>
          <w:i w:val="0"/>
          <w:sz w:val="22"/>
          <w:szCs w:val="22"/>
          <w:lang w:val="en-GB"/>
        </w:rPr>
        <w:t xml:space="preserve"> the FDG unreasonable</w:t>
      </w:r>
      <w:r w:rsidRPr="00BC0D2A">
        <w:rPr>
          <w:rFonts w:cs="Arial"/>
          <w:b w:val="0"/>
          <w:bCs w:val="0"/>
          <w:i w:val="0"/>
          <w:iCs w:val="0"/>
          <w:sz w:val="22"/>
          <w:szCs w:val="22"/>
          <w:lang w:val="en-GB"/>
        </w:rPr>
        <w:t>.</w:t>
      </w:r>
    </w:p>
    <w:p w14:paraId="58DF4D32"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argenx remains fully committed to working with NICE to achieve a robust appraisal outcome, which it is confident will result in access to efgartigimod for eligible patients. For this to be possible, the points raised below need to be addressed through a fair process. argenx brings this appeal against the FDG on the following grounds:</w:t>
      </w:r>
    </w:p>
    <w:p w14:paraId="09A14EE9" w14:textId="77777777" w:rsidR="00510C14" w:rsidRPr="00BC0D2A" w:rsidRDefault="00194D72" w:rsidP="00510C14">
      <w:pPr>
        <w:pStyle w:val="Heading3"/>
        <w:jc w:val="both"/>
        <w:rPr>
          <w:rFonts w:cs="Arial"/>
          <w:lang w:val="en-GB"/>
        </w:rPr>
      </w:pPr>
      <w:r w:rsidRPr="00BC0D2A">
        <w:rPr>
          <w:rFonts w:cs="Arial"/>
          <w:lang w:val="en-GB"/>
        </w:rPr>
        <w:t>Ground 1(a): NICE has failed to act fairly</w:t>
      </w:r>
      <w:r w:rsidRPr="00BC0D2A">
        <w:rPr>
          <w:rFonts w:cs="Arial"/>
          <w:lang w:val="en-GB"/>
        </w:rPr>
        <w:tab/>
      </w:r>
    </w:p>
    <w:p w14:paraId="0C5CE8A9" w14:textId="77777777" w:rsidR="00510C14" w:rsidRPr="00BC0D2A" w:rsidRDefault="00194D72" w:rsidP="00510C14">
      <w:pPr>
        <w:pStyle w:val="Numberedlevel3text"/>
        <w:numPr>
          <w:ilvl w:val="0"/>
          <w:numId w:val="7"/>
        </w:numPr>
        <w:spacing w:after="0" w:line="240" w:lineRule="auto"/>
        <w:ind w:left="567" w:hanging="425"/>
        <w:jc w:val="both"/>
        <w:rPr>
          <w:sz w:val="22"/>
          <w:szCs w:val="22"/>
          <w:lang w:val="en-GB" w:eastAsia="en-GB"/>
        </w:rPr>
      </w:pPr>
      <w:r w:rsidRPr="00BC0D2A">
        <w:rPr>
          <w:sz w:val="22"/>
          <w:szCs w:val="22"/>
          <w:lang w:val="en-GB" w:eastAsia="en-GB"/>
        </w:rPr>
        <w:t>It was procedurally unfair to have introduced a change of approach in the FDG as to how the Appraisal Committee considers efgartigimod in the treatment pathway at a very late stage without any explanation or opportunity to respond.</w:t>
      </w:r>
    </w:p>
    <w:p w14:paraId="63564EB8" w14:textId="77777777" w:rsidR="00510C14" w:rsidRPr="00BC0D2A" w:rsidRDefault="00194D72" w:rsidP="00510C14">
      <w:pPr>
        <w:pStyle w:val="Numberedlevel3text"/>
        <w:numPr>
          <w:ilvl w:val="0"/>
          <w:numId w:val="7"/>
        </w:numPr>
        <w:spacing w:after="0" w:line="240" w:lineRule="auto"/>
        <w:ind w:left="567" w:hanging="425"/>
        <w:jc w:val="both"/>
        <w:rPr>
          <w:bCs w:val="0"/>
          <w:sz w:val="22"/>
          <w:szCs w:val="22"/>
          <w:lang w:val="en-GB" w:eastAsia="en-GB"/>
        </w:rPr>
      </w:pPr>
      <w:r w:rsidRPr="00BC0D2A">
        <w:rPr>
          <w:bCs w:val="0"/>
          <w:sz w:val="22"/>
          <w:szCs w:val="22"/>
          <w:lang w:val="en-GB" w:eastAsia="en-GB"/>
        </w:rPr>
        <w:t xml:space="preserve">NICE’s handling of the appraisal process relating to a Chair’s offer and subsequent </w:t>
      </w:r>
      <w:r w:rsidRPr="00BC0D2A">
        <w:rPr>
          <w:sz w:val="22"/>
          <w:szCs w:val="22"/>
          <w:lang w:val="en-GB" w:eastAsia="en-GB"/>
        </w:rPr>
        <w:t>fourth Appraisal Committee Meeting</w:t>
      </w:r>
      <w:r w:rsidRPr="00BC0D2A">
        <w:rPr>
          <w:bCs w:val="0"/>
          <w:sz w:val="22"/>
          <w:szCs w:val="22"/>
          <w:lang w:val="en-GB" w:eastAsia="en-GB"/>
        </w:rPr>
        <w:t xml:space="preserve"> </w:t>
      </w:r>
      <w:r w:rsidRPr="00BC0D2A">
        <w:rPr>
          <w:sz w:val="22"/>
          <w:szCs w:val="22"/>
          <w:lang w:val="en-GB" w:eastAsia="en-GB"/>
        </w:rPr>
        <w:t>was</w:t>
      </w:r>
      <w:r w:rsidRPr="00BC0D2A">
        <w:rPr>
          <w:bCs w:val="0"/>
          <w:sz w:val="22"/>
          <w:szCs w:val="22"/>
          <w:lang w:val="en-GB" w:eastAsia="en-GB"/>
        </w:rPr>
        <w:t xml:space="preserve"> unfair.</w:t>
      </w:r>
    </w:p>
    <w:p w14:paraId="0116D2F2" w14:textId="77777777" w:rsidR="00510C14" w:rsidRPr="00BC0D2A" w:rsidRDefault="00194D72" w:rsidP="00510C14">
      <w:pPr>
        <w:pStyle w:val="Numberedlevel3text"/>
        <w:numPr>
          <w:ilvl w:val="0"/>
          <w:numId w:val="7"/>
        </w:numPr>
        <w:spacing w:after="0" w:line="240" w:lineRule="auto"/>
        <w:ind w:left="567" w:hanging="425"/>
        <w:jc w:val="both"/>
        <w:rPr>
          <w:bCs w:val="0"/>
          <w:sz w:val="22"/>
          <w:szCs w:val="22"/>
          <w:lang w:val="en-GB" w:eastAsia="en-GB"/>
        </w:rPr>
      </w:pPr>
      <w:r w:rsidRPr="00BC0D2A">
        <w:rPr>
          <w:sz w:val="22"/>
          <w:szCs w:val="22"/>
          <w:lang w:val="en-GB" w:eastAsia="en-GB"/>
        </w:rPr>
        <w:t>The</w:t>
      </w:r>
      <w:r w:rsidRPr="00BC0D2A">
        <w:rPr>
          <w:bCs w:val="0"/>
          <w:sz w:val="22"/>
          <w:szCs w:val="22"/>
          <w:lang w:val="en-GB" w:eastAsia="en-GB"/>
        </w:rPr>
        <w:t xml:space="preserve"> failure to provide draft guidance for consultation </w:t>
      </w:r>
      <w:r w:rsidRPr="00BC0D2A">
        <w:rPr>
          <w:sz w:val="22"/>
          <w:szCs w:val="22"/>
          <w:lang w:val="en-GB" w:eastAsia="en-GB"/>
        </w:rPr>
        <w:t xml:space="preserve">prior to </w:t>
      </w:r>
      <w:r w:rsidRPr="00BC0D2A">
        <w:rPr>
          <w:bCs w:val="0"/>
          <w:sz w:val="22"/>
          <w:szCs w:val="22"/>
          <w:lang w:val="en-GB" w:eastAsia="en-GB"/>
        </w:rPr>
        <w:t xml:space="preserve">the </w:t>
      </w:r>
      <w:r w:rsidRPr="00BC0D2A">
        <w:rPr>
          <w:sz w:val="22"/>
          <w:szCs w:val="22"/>
          <w:lang w:val="en-GB" w:eastAsia="en-GB"/>
        </w:rPr>
        <w:t>fourth</w:t>
      </w:r>
      <w:r w:rsidRPr="00BC0D2A">
        <w:rPr>
          <w:bCs w:val="0"/>
          <w:sz w:val="22"/>
          <w:szCs w:val="22"/>
          <w:lang w:val="en-GB" w:eastAsia="en-GB"/>
        </w:rPr>
        <w:t xml:space="preserve"> Appraisal Committee meeting </w:t>
      </w:r>
      <w:r w:rsidRPr="00BC0D2A">
        <w:rPr>
          <w:sz w:val="22"/>
          <w:szCs w:val="22"/>
          <w:lang w:val="en-GB" w:eastAsia="en-GB"/>
        </w:rPr>
        <w:t>was</w:t>
      </w:r>
      <w:r w:rsidRPr="00BC0D2A">
        <w:rPr>
          <w:bCs w:val="0"/>
          <w:sz w:val="22"/>
          <w:szCs w:val="22"/>
          <w:lang w:val="en-GB" w:eastAsia="en-GB"/>
        </w:rPr>
        <w:t xml:space="preserve"> unfair.</w:t>
      </w:r>
    </w:p>
    <w:p w14:paraId="63A7492E" w14:textId="77777777" w:rsidR="00510C14" w:rsidRPr="00BC0D2A" w:rsidRDefault="00194D72" w:rsidP="00510C14">
      <w:pPr>
        <w:pStyle w:val="Numberedlevel3text"/>
        <w:numPr>
          <w:ilvl w:val="0"/>
          <w:numId w:val="7"/>
        </w:numPr>
        <w:spacing w:after="0" w:line="240" w:lineRule="auto"/>
        <w:ind w:left="567" w:hanging="425"/>
        <w:jc w:val="both"/>
        <w:rPr>
          <w:bCs w:val="0"/>
          <w:sz w:val="22"/>
          <w:szCs w:val="22"/>
          <w:lang w:val="en-GB" w:eastAsia="en-GB"/>
        </w:rPr>
      </w:pPr>
      <w:r w:rsidRPr="00BC0D2A">
        <w:rPr>
          <w:sz w:val="22"/>
          <w:szCs w:val="22"/>
          <w:lang w:val="en-GB" w:eastAsia="en-GB"/>
        </w:rPr>
        <w:lastRenderedPageBreak/>
        <w:t>The Appraisal Committee’s</w:t>
      </w:r>
      <w:r w:rsidRPr="00BC0D2A">
        <w:rPr>
          <w:bCs w:val="0"/>
          <w:sz w:val="22"/>
          <w:szCs w:val="22"/>
          <w:lang w:val="en-GB" w:eastAsia="en-GB"/>
        </w:rPr>
        <w:t xml:space="preserve"> approach to </w:t>
      </w:r>
      <w:proofErr w:type="gramStart"/>
      <w:r w:rsidRPr="00BC0D2A">
        <w:rPr>
          <w:bCs w:val="0"/>
          <w:sz w:val="22"/>
          <w:szCs w:val="22"/>
          <w:lang w:val="en-GB" w:eastAsia="en-GB"/>
        </w:rPr>
        <w:t>a number of</w:t>
      </w:r>
      <w:proofErr w:type="gramEnd"/>
      <w:r w:rsidRPr="00BC0D2A">
        <w:rPr>
          <w:bCs w:val="0"/>
          <w:sz w:val="22"/>
          <w:szCs w:val="22"/>
          <w:lang w:val="en-GB" w:eastAsia="en-GB"/>
        </w:rPr>
        <w:t xml:space="preserve"> points in this appraisal is inconsistent with the approach </w:t>
      </w:r>
      <w:r w:rsidRPr="00BC0D2A">
        <w:rPr>
          <w:sz w:val="22"/>
          <w:szCs w:val="22"/>
          <w:lang w:val="en-GB" w:eastAsia="en-GB"/>
        </w:rPr>
        <w:t>taken</w:t>
      </w:r>
      <w:r w:rsidRPr="00BC0D2A">
        <w:rPr>
          <w:bCs w:val="0"/>
          <w:sz w:val="22"/>
          <w:szCs w:val="22"/>
          <w:lang w:val="en-GB" w:eastAsia="en-GB"/>
        </w:rPr>
        <w:t xml:space="preserve"> in the appraisal of </w:t>
      </w:r>
      <w:proofErr w:type="spellStart"/>
      <w:r w:rsidRPr="00BC0D2A">
        <w:rPr>
          <w:bCs w:val="0"/>
          <w:sz w:val="22"/>
          <w:szCs w:val="22"/>
          <w:lang w:val="en-GB" w:eastAsia="en-GB"/>
        </w:rPr>
        <w:t>zilucoplan</w:t>
      </w:r>
      <w:proofErr w:type="spellEnd"/>
      <w:r w:rsidRPr="00BC0D2A">
        <w:rPr>
          <w:bCs w:val="0"/>
          <w:sz w:val="22"/>
          <w:szCs w:val="22"/>
          <w:lang w:val="en-GB" w:eastAsia="en-GB"/>
        </w:rPr>
        <w:t xml:space="preserve"> for the same indication and </w:t>
      </w:r>
      <w:r w:rsidRPr="00BC0D2A">
        <w:rPr>
          <w:sz w:val="22"/>
          <w:szCs w:val="22"/>
          <w:lang w:val="en-GB" w:eastAsia="en-GB"/>
        </w:rPr>
        <w:t xml:space="preserve">thus </w:t>
      </w:r>
      <w:r w:rsidRPr="00BC0D2A">
        <w:rPr>
          <w:bCs w:val="0"/>
          <w:sz w:val="22"/>
          <w:szCs w:val="22"/>
          <w:lang w:val="en-GB" w:eastAsia="en-GB"/>
        </w:rPr>
        <w:t>unfair.</w:t>
      </w:r>
    </w:p>
    <w:p w14:paraId="23AF5D8E" w14:textId="77777777" w:rsidR="00510C14" w:rsidRPr="00BC0D2A" w:rsidRDefault="00194D72" w:rsidP="00510C14">
      <w:pPr>
        <w:pStyle w:val="Heading3"/>
        <w:jc w:val="both"/>
        <w:rPr>
          <w:rFonts w:cs="Arial"/>
          <w:lang w:val="en-GB"/>
        </w:rPr>
      </w:pPr>
      <w:r w:rsidRPr="00BC0D2A">
        <w:rPr>
          <w:rFonts w:cs="Arial"/>
          <w:lang w:val="en-GB"/>
        </w:rPr>
        <w:t>Ground 2: The recommendation is unreasonable in the light of the evidence submitted to NICE</w:t>
      </w:r>
    </w:p>
    <w:p w14:paraId="19A4C87C" w14:textId="77777777" w:rsidR="00510C14" w:rsidRPr="00BC0D2A" w:rsidRDefault="00194D72" w:rsidP="00510C14">
      <w:pPr>
        <w:pStyle w:val="Numberedlevel3text"/>
        <w:numPr>
          <w:ilvl w:val="0"/>
          <w:numId w:val="9"/>
        </w:numPr>
        <w:spacing w:after="0" w:line="240" w:lineRule="auto"/>
        <w:ind w:left="567" w:hanging="425"/>
        <w:jc w:val="both"/>
        <w:rPr>
          <w:sz w:val="22"/>
          <w:szCs w:val="22"/>
          <w:lang w:val="en-GB" w:eastAsia="en-GB"/>
        </w:rPr>
      </w:pPr>
      <w:r w:rsidRPr="00BC0D2A">
        <w:rPr>
          <w:sz w:val="22"/>
          <w:szCs w:val="22"/>
          <w:lang w:val="en-GB"/>
        </w:rPr>
        <w:t>The</w:t>
      </w:r>
      <w:r w:rsidRPr="00BC0D2A">
        <w:rPr>
          <w:sz w:val="22"/>
          <w:szCs w:val="22"/>
          <w:lang w:val="en-GB" w:eastAsia="en-GB"/>
        </w:rPr>
        <w:t xml:space="preserve"> Appraisal Committee's conclusion that efgartigimod is only an additional treatment in the existing treatment pathway is unreasonable.</w:t>
      </w:r>
    </w:p>
    <w:p w14:paraId="61AC03DA" w14:textId="77777777" w:rsidR="00510C14" w:rsidRPr="00BC0D2A" w:rsidRDefault="00194D72" w:rsidP="00510C14">
      <w:pPr>
        <w:pStyle w:val="Numberedlevel3text"/>
        <w:numPr>
          <w:ilvl w:val="0"/>
          <w:numId w:val="9"/>
        </w:numPr>
        <w:spacing w:after="0" w:line="240" w:lineRule="auto"/>
        <w:ind w:left="567" w:hanging="425"/>
        <w:jc w:val="both"/>
        <w:rPr>
          <w:bCs w:val="0"/>
          <w:sz w:val="22"/>
          <w:szCs w:val="22"/>
          <w:lang w:val="en-GB" w:eastAsia="en-GB"/>
        </w:rPr>
      </w:pPr>
      <w:r w:rsidRPr="00BC0D2A">
        <w:rPr>
          <w:sz w:val="22"/>
          <w:szCs w:val="22"/>
          <w:lang w:val="en-GB"/>
        </w:rPr>
        <w:t>The</w:t>
      </w:r>
      <w:r w:rsidRPr="00BC0D2A">
        <w:rPr>
          <w:bCs w:val="0"/>
          <w:sz w:val="22"/>
          <w:szCs w:val="22"/>
          <w:lang w:val="en-GB"/>
        </w:rPr>
        <w:t xml:space="preserve"> </w:t>
      </w:r>
      <w:r w:rsidRPr="00BC0D2A">
        <w:rPr>
          <w:sz w:val="22"/>
          <w:szCs w:val="22"/>
          <w:lang w:val="en-GB"/>
        </w:rPr>
        <w:t>Appraisal Committee’s conclusion that plasma exchange should be excluded from</w:t>
      </w:r>
      <w:r w:rsidRPr="00BC0D2A">
        <w:rPr>
          <w:bCs w:val="0"/>
          <w:sz w:val="22"/>
          <w:szCs w:val="22"/>
          <w:lang w:val="en-GB"/>
        </w:rPr>
        <w:t xml:space="preserve"> </w:t>
      </w:r>
      <w:r w:rsidRPr="00BC0D2A">
        <w:rPr>
          <w:sz w:val="22"/>
          <w:szCs w:val="22"/>
          <w:lang w:val="en-GB"/>
        </w:rPr>
        <w:t xml:space="preserve">modelling of </w:t>
      </w:r>
      <w:r w:rsidRPr="00BC0D2A">
        <w:rPr>
          <w:bCs w:val="0"/>
          <w:sz w:val="22"/>
          <w:szCs w:val="22"/>
          <w:lang w:val="en-GB"/>
        </w:rPr>
        <w:t xml:space="preserve">the treatment pathway </w:t>
      </w:r>
      <w:r w:rsidRPr="00BC0D2A">
        <w:rPr>
          <w:sz w:val="22"/>
          <w:szCs w:val="22"/>
          <w:lang w:val="en-GB"/>
        </w:rPr>
        <w:t>despite</w:t>
      </w:r>
      <w:r w:rsidRPr="00BC0D2A">
        <w:rPr>
          <w:bCs w:val="0"/>
          <w:sz w:val="22"/>
          <w:szCs w:val="22"/>
          <w:lang w:val="en-GB"/>
        </w:rPr>
        <w:t xml:space="preserve"> </w:t>
      </w:r>
      <w:r w:rsidRPr="00BC0D2A">
        <w:rPr>
          <w:sz w:val="22"/>
          <w:szCs w:val="22"/>
          <w:lang w:val="en-GB"/>
        </w:rPr>
        <w:t>being</w:t>
      </w:r>
      <w:r w:rsidRPr="00BC0D2A">
        <w:rPr>
          <w:bCs w:val="0"/>
          <w:sz w:val="22"/>
          <w:szCs w:val="22"/>
          <w:lang w:val="en-GB"/>
        </w:rPr>
        <w:t xml:space="preserve"> an established part of </w:t>
      </w:r>
      <w:r w:rsidRPr="00BC0D2A">
        <w:rPr>
          <w:sz w:val="22"/>
          <w:szCs w:val="22"/>
          <w:lang w:val="en-GB"/>
        </w:rPr>
        <w:t>usual treatment</w:t>
      </w:r>
      <w:r w:rsidRPr="00BC0D2A">
        <w:rPr>
          <w:bCs w:val="0"/>
          <w:sz w:val="22"/>
          <w:szCs w:val="22"/>
          <w:lang w:val="en-GB"/>
        </w:rPr>
        <w:t xml:space="preserve"> is unreasonable.</w:t>
      </w:r>
    </w:p>
    <w:p w14:paraId="1F1CB4FD" w14:textId="77777777" w:rsidR="00510C14" w:rsidRPr="00BC0D2A" w:rsidRDefault="00194D72" w:rsidP="00510C14">
      <w:pPr>
        <w:pStyle w:val="Numberedlevel3text"/>
        <w:numPr>
          <w:ilvl w:val="0"/>
          <w:numId w:val="9"/>
        </w:numPr>
        <w:spacing w:after="0" w:line="240" w:lineRule="auto"/>
        <w:ind w:left="567" w:hanging="425"/>
        <w:jc w:val="both"/>
        <w:rPr>
          <w:bCs w:val="0"/>
          <w:sz w:val="22"/>
          <w:szCs w:val="22"/>
          <w:lang w:val="en-GB" w:eastAsia="en-GB"/>
        </w:rPr>
      </w:pPr>
      <w:r w:rsidRPr="00BC0D2A">
        <w:rPr>
          <w:sz w:val="22"/>
          <w:szCs w:val="22"/>
          <w:lang w:val="en-GB"/>
        </w:rPr>
        <w:t>The Appraisal Committee’s conclusion to disconnect the source of assumptions for efficacy and dosing and use separate sources</w:t>
      </w:r>
      <w:r w:rsidRPr="00BC0D2A">
        <w:rPr>
          <w:bCs w:val="0"/>
          <w:sz w:val="22"/>
          <w:szCs w:val="22"/>
          <w:lang w:val="en-GB"/>
        </w:rPr>
        <w:t xml:space="preserve"> is </w:t>
      </w:r>
      <w:r w:rsidRPr="00BC0D2A">
        <w:rPr>
          <w:sz w:val="22"/>
          <w:szCs w:val="22"/>
          <w:lang w:val="en-GB"/>
        </w:rPr>
        <w:t>unreasonable</w:t>
      </w:r>
      <w:r w:rsidRPr="00BC0D2A">
        <w:rPr>
          <w:bCs w:val="0"/>
          <w:sz w:val="22"/>
          <w:szCs w:val="22"/>
          <w:lang w:val="en-GB"/>
        </w:rPr>
        <w:t>.</w:t>
      </w:r>
    </w:p>
    <w:p w14:paraId="2B580BE1" w14:textId="77777777" w:rsidR="00510C14" w:rsidRPr="00BC0D2A" w:rsidRDefault="00194D72" w:rsidP="00510C14">
      <w:pPr>
        <w:pStyle w:val="Numberedlevel3text"/>
        <w:numPr>
          <w:ilvl w:val="0"/>
          <w:numId w:val="9"/>
        </w:numPr>
        <w:spacing w:after="0" w:line="240" w:lineRule="auto"/>
        <w:ind w:left="567" w:hanging="425"/>
        <w:jc w:val="both"/>
        <w:rPr>
          <w:bCs w:val="0"/>
          <w:sz w:val="22"/>
          <w:szCs w:val="22"/>
          <w:lang w:val="en-GB" w:eastAsia="en-GB"/>
        </w:rPr>
      </w:pPr>
      <w:r w:rsidRPr="00BC0D2A">
        <w:rPr>
          <w:sz w:val="22"/>
          <w:szCs w:val="22"/>
          <w:lang w:val="en-GB"/>
        </w:rPr>
        <w:t>The Appraisal Committee’s conclusion to disregard data provided on time on treatment for maintenance IVIg and instead apply the time on treatment of efgartigimod to maintenance IVIg without any explanation or supporting evidence is unreasonable.</w:t>
      </w:r>
    </w:p>
    <w:p w14:paraId="6BCC7287" w14:textId="77777777" w:rsidR="00510C14" w:rsidRPr="00BC0D2A" w:rsidRDefault="00194D72" w:rsidP="00510C14">
      <w:pPr>
        <w:pStyle w:val="Numberedlevel3text"/>
        <w:numPr>
          <w:ilvl w:val="0"/>
          <w:numId w:val="9"/>
        </w:numPr>
        <w:spacing w:after="0" w:line="240" w:lineRule="auto"/>
        <w:ind w:left="567" w:hanging="425"/>
        <w:jc w:val="both"/>
        <w:rPr>
          <w:sz w:val="22"/>
          <w:szCs w:val="22"/>
          <w:lang w:val="en-GB" w:eastAsia="en-GB"/>
        </w:rPr>
      </w:pPr>
      <w:r w:rsidRPr="00BC0D2A">
        <w:rPr>
          <w:sz w:val="22"/>
          <w:szCs w:val="22"/>
          <w:lang w:val="en-GB"/>
        </w:rPr>
        <w:t xml:space="preserve">The Appraisal Committee’s conclusion on IVIg response rate in patients who discontinue efgartigimod is unreasonable </w:t>
      </w:r>
      <w:proofErr w:type="gramStart"/>
      <w:r w:rsidRPr="00BC0D2A">
        <w:rPr>
          <w:sz w:val="22"/>
          <w:szCs w:val="22"/>
          <w:lang w:val="en-GB"/>
        </w:rPr>
        <w:t>in light of</w:t>
      </w:r>
      <w:proofErr w:type="gramEnd"/>
      <w:r w:rsidRPr="00BC0D2A">
        <w:rPr>
          <w:sz w:val="22"/>
          <w:szCs w:val="22"/>
          <w:lang w:val="en-GB"/>
        </w:rPr>
        <w:t xml:space="preserve"> the published literature and expert elicitation evidence submitted. </w:t>
      </w:r>
    </w:p>
    <w:p w14:paraId="1D52A34D" w14:textId="77777777" w:rsidR="00510C14" w:rsidRPr="00BC0D2A" w:rsidRDefault="00194D72" w:rsidP="00510C14">
      <w:pPr>
        <w:pStyle w:val="Heading2"/>
        <w:jc w:val="both"/>
        <w:rPr>
          <w:rFonts w:cs="Arial"/>
          <w:sz w:val="24"/>
          <w:szCs w:val="24"/>
          <w:lang w:val="en-GB"/>
        </w:rPr>
      </w:pPr>
      <w:r w:rsidRPr="00BC0D2A">
        <w:rPr>
          <w:rFonts w:cs="Arial"/>
          <w:sz w:val="24"/>
          <w:szCs w:val="24"/>
          <w:lang w:val="en-GB"/>
        </w:rPr>
        <w:t xml:space="preserve">Introduction </w:t>
      </w:r>
    </w:p>
    <w:p w14:paraId="064F7700"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 xml:space="preserve">Brief information on the condition, </w:t>
      </w:r>
      <w:r w:rsidRPr="00BC0D2A">
        <w:rPr>
          <w:rFonts w:cs="Arial"/>
          <w:b w:val="0"/>
          <w:bCs w:val="0"/>
          <w:i w:val="0"/>
          <w:iCs w:val="0"/>
          <w:color w:val="0E0E0E"/>
          <w:sz w:val="22"/>
          <w:szCs w:val="22"/>
          <w:lang w:val="en-GB"/>
        </w:rPr>
        <w:t>generalised myasthenia gravi</w:t>
      </w:r>
      <w:r w:rsidRPr="00BC0D2A">
        <w:rPr>
          <w:rFonts w:cs="Arial"/>
          <w:b w:val="0"/>
          <w:i w:val="0"/>
          <w:color w:val="0E0E0E"/>
          <w:sz w:val="22"/>
          <w:szCs w:val="22"/>
          <w:lang w:val="en-GB"/>
        </w:rPr>
        <w:t>s (“</w:t>
      </w:r>
      <w:proofErr w:type="spellStart"/>
      <w:r w:rsidRPr="00BC0D2A">
        <w:rPr>
          <w:rFonts w:cs="Arial"/>
          <w:i w:val="0"/>
          <w:iCs w:val="0"/>
          <w:sz w:val="22"/>
          <w:szCs w:val="22"/>
          <w:lang w:val="en-GB"/>
        </w:rPr>
        <w:t>gMG</w:t>
      </w:r>
      <w:proofErr w:type="spellEnd"/>
      <w:r w:rsidRPr="00BC0D2A">
        <w:rPr>
          <w:rFonts w:cs="Arial"/>
          <w:b w:val="0"/>
          <w:i w:val="0"/>
          <w:sz w:val="22"/>
          <w:szCs w:val="22"/>
          <w:lang w:val="en-GB"/>
        </w:rPr>
        <w:t>”)</w:t>
      </w:r>
      <w:r w:rsidRPr="00BC0D2A">
        <w:rPr>
          <w:rFonts w:cs="Arial"/>
          <w:b w:val="0"/>
          <w:bCs w:val="0"/>
          <w:i w:val="0"/>
          <w:iCs w:val="0"/>
          <w:sz w:val="22"/>
          <w:szCs w:val="22"/>
          <w:lang w:val="en-GB"/>
        </w:rPr>
        <w:t>, and the technology, efgartigimod, is provided below to assist the Appeal Panel.  Please also refer to the more detailed information provided by the company in its appraisal submissions.</w:t>
      </w:r>
    </w:p>
    <w:p w14:paraId="3194ED0E" w14:textId="77777777" w:rsidR="00510C14" w:rsidRPr="00BC0D2A" w:rsidRDefault="00194D72" w:rsidP="00510C14">
      <w:pPr>
        <w:pStyle w:val="Heading2"/>
        <w:jc w:val="both"/>
        <w:rPr>
          <w:rFonts w:cs="Arial"/>
          <w:i w:val="0"/>
          <w:color w:val="0E0E0E"/>
          <w:sz w:val="24"/>
          <w:szCs w:val="24"/>
          <w:lang w:val="en-GB"/>
        </w:rPr>
      </w:pPr>
      <w:r w:rsidRPr="00BC0D2A">
        <w:rPr>
          <w:rFonts w:cs="Arial"/>
          <w:i w:val="0"/>
          <w:color w:val="0E0E0E"/>
          <w:sz w:val="24"/>
          <w:szCs w:val="24"/>
          <w:lang w:val="en-GB"/>
        </w:rPr>
        <w:t>Generalised Myasthenia Gravis</w:t>
      </w:r>
    </w:p>
    <w:p w14:paraId="3956F273"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 xml:space="preserve">Myasthenia gravis is a long-term autoimmune condition that causes certain muscles to become weak and tire easily. It is caused by the immune system mistakenly producing autoimmune antibodies that block the chemical signals between nerves and muscles, meaning that muscles are unable to tighten (contract). The muscles around the eyes are commonly affected first, which causes drooping of the eyelid and double vision. Muscles controlling facial expression, chewing, swallowing, speaking and, less commonly, breathing and neck and limb movements can also be affected. When muscle groups other than the eye muscles are affected, the condition is known as generalised myasthenia gravis, </w:t>
      </w:r>
      <w:proofErr w:type="spellStart"/>
      <w:r w:rsidRPr="00BC0D2A">
        <w:rPr>
          <w:rFonts w:cs="Arial"/>
          <w:b w:val="0"/>
          <w:bCs w:val="0"/>
          <w:i w:val="0"/>
          <w:iCs w:val="0"/>
          <w:sz w:val="22"/>
          <w:szCs w:val="22"/>
          <w:lang w:val="en-GB"/>
        </w:rPr>
        <w:t>gMG</w:t>
      </w:r>
      <w:proofErr w:type="spellEnd"/>
      <w:r w:rsidRPr="00BC0D2A">
        <w:rPr>
          <w:rFonts w:cs="Arial"/>
          <w:b w:val="0"/>
          <w:bCs w:val="0"/>
          <w:i w:val="0"/>
          <w:iCs w:val="0"/>
          <w:sz w:val="22"/>
          <w:szCs w:val="22"/>
          <w:lang w:val="en-GB"/>
        </w:rPr>
        <w:t xml:space="preserve">. In severe cases, muscle weakness causes life-threatening difficulties with breathing, known as myasthenic crisis. </w:t>
      </w:r>
    </w:p>
    <w:p w14:paraId="57A000BD"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 xml:space="preserve">Myasthenia gravis affects about 15 in every 100,000 people in the UK. It can develop at any age, but most commonly affects women under 40 and men over 60. Around 80% of people with myasthenia gravis will progress to </w:t>
      </w:r>
      <w:proofErr w:type="spellStart"/>
      <w:r w:rsidRPr="00BC0D2A">
        <w:rPr>
          <w:rFonts w:cs="Arial"/>
          <w:b w:val="0"/>
          <w:bCs w:val="0"/>
          <w:i w:val="0"/>
          <w:iCs w:val="0"/>
          <w:sz w:val="22"/>
          <w:szCs w:val="22"/>
          <w:lang w:val="en-GB"/>
        </w:rPr>
        <w:t>gMG</w:t>
      </w:r>
      <w:proofErr w:type="spellEnd"/>
      <w:r w:rsidRPr="00BC0D2A">
        <w:rPr>
          <w:rFonts w:cs="Arial"/>
          <w:b w:val="0"/>
          <w:bCs w:val="0"/>
          <w:i w:val="0"/>
          <w:iCs w:val="0"/>
          <w:sz w:val="22"/>
          <w:szCs w:val="22"/>
          <w:lang w:val="en-GB"/>
        </w:rPr>
        <w:t xml:space="preserve"> within 2 years. Most people with </w:t>
      </w:r>
      <w:proofErr w:type="spellStart"/>
      <w:r w:rsidRPr="00BC0D2A">
        <w:rPr>
          <w:rFonts w:cs="Arial"/>
          <w:b w:val="0"/>
          <w:bCs w:val="0"/>
          <w:i w:val="0"/>
          <w:iCs w:val="0"/>
          <w:sz w:val="22"/>
          <w:szCs w:val="22"/>
          <w:lang w:val="en-GB"/>
        </w:rPr>
        <w:t>gMG</w:t>
      </w:r>
      <w:proofErr w:type="spellEnd"/>
      <w:r w:rsidRPr="00BC0D2A">
        <w:rPr>
          <w:rFonts w:cs="Arial"/>
          <w:b w:val="0"/>
          <w:bCs w:val="0"/>
          <w:i w:val="0"/>
          <w:iCs w:val="0"/>
          <w:sz w:val="22"/>
          <w:szCs w:val="22"/>
          <w:lang w:val="en-GB"/>
        </w:rPr>
        <w:t xml:space="preserve"> have anti-acetylcholine receptor (</w:t>
      </w:r>
      <w:proofErr w:type="spellStart"/>
      <w:r w:rsidRPr="00BC0D2A">
        <w:rPr>
          <w:rFonts w:cs="Arial"/>
          <w:b w:val="0"/>
          <w:bCs w:val="0"/>
          <w:i w:val="0"/>
          <w:iCs w:val="0"/>
          <w:sz w:val="22"/>
          <w:szCs w:val="22"/>
          <w:lang w:val="en-GB"/>
        </w:rPr>
        <w:t>AChR</w:t>
      </w:r>
      <w:proofErr w:type="spellEnd"/>
      <w:r w:rsidRPr="00BC0D2A">
        <w:rPr>
          <w:rFonts w:cs="Arial"/>
          <w:b w:val="0"/>
          <w:bCs w:val="0"/>
          <w:i w:val="0"/>
          <w:iCs w:val="0"/>
          <w:sz w:val="22"/>
          <w:szCs w:val="22"/>
          <w:lang w:val="en-GB"/>
        </w:rPr>
        <w:t>) antibodies.</w:t>
      </w:r>
    </w:p>
    <w:p w14:paraId="30494022"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 xml:space="preserve">Treatment for </w:t>
      </w:r>
      <w:proofErr w:type="spellStart"/>
      <w:r w:rsidRPr="00BC0D2A">
        <w:rPr>
          <w:rFonts w:cs="Arial"/>
          <w:b w:val="0"/>
          <w:bCs w:val="0"/>
          <w:i w:val="0"/>
          <w:iCs w:val="0"/>
          <w:sz w:val="22"/>
          <w:szCs w:val="22"/>
          <w:lang w:val="en-GB"/>
        </w:rPr>
        <w:t>gMG</w:t>
      </w:r>
      <w:proofErr w:type="spellEnd"/>
      <w:r w:rsidRPr="00BC0D2A">
        <w:rPr>
          <w:rFonts w:cs="Arial"/>
          <w:b w:val="0"/>
          <w:bCs w:val="0"/>
          <w:i w:val="0"/>
          <w:iCs w:val="0"/>
          <w:sz w:val="22"/>
          <w:szCs w:val="22"/>
          <w:lang w:val="en-GB"/>
        </w:rPr>
        <w:t xml:space="preserve"> includes anticholinesterases, corticosteroids, non-steroidal immunosuppressants and/or surgery to remove the thymus gland. Myasthenic crisis is treated in hospital with intravenous infusions of antibodies (immunoglobulins) (referred to as “</w:t>
      </w:r>
      <w:r w:rsidRPr="00BC0D2A">
        <w:rPr>
          <w:rFonts w:cs="Arial"/>
          <w:i w:val="0"/>
          <w:iCs w:val="0"/>
          <w:sz w:val="22"/>
          <w:szCs w:val="22"/>
          <w:lang w:val="en-GB"/>
        </w:rPr>
        <w:t>IVIg</w:t>
      </w:r>
      <w:r w:rsidRPr="00BC0D2A">
        <w:rPr>
          <w:rFonts w:cs="Arial"/>
          <w:b w:val="0"/>
          <w:bCs w:val="0"/>
          <w:i w:val="0"/>
          <w:iCs w:val="0"/>
          <w:sz w:val="22"/>
          <w:szCs w:val="22"/>
          <w:lang w:val="en-GB"/>
        </w:rPr>
        <w:t xml:space="preserve">” below), or by processing plasma from the blood to reduce the number of autoimmune abnormal antibodies (known as plasmapheresis or plasma </w:t>
      </w:r>
      <w:proofErr w:type="gramStart"/>
      <w:r w:rsidRPr="00BC0D2A">
        <w:rPr>
          <w:rFonts w:cs="Arial"/>
          <w:b w:val="0"/>
          <w:bCs w:val="0"/>
          <w:i w:val="0"/>
          <w:iCs w:val="0"/>
          <w:sz w:val="22"/>
          <w:szCs w:val="22"/>
          <w:lang w:val="en-GB"/>
        </w:rPr>
        <w:t>exchange, and</w:t>
      </w:r>
      <w:proofErr w:type="gramEnd"/>
      <w:r w:rsidRPr="00BC0D2A">
        <w:rPr>
          <w:rFonts w:cs="Arial"/>
          <w:b w:val="0"/>
          <w:bCs w:val="0"/>
          <w:i w:val="0"/>
          <w:iCs w:val="0"/>
          <w:sz w:val="22"/>
          <w:szCs w:val="22"/>
          <w:lang w:val="en-GB"/>
        </w:rPr>
        <w:t xml:space="preserve"> also referred to as “</w:t>
      </w:r>
      <w:r w:rsidRPr="00BC0D2A">
        <w:rPr>
          <w:rFonts w:cs="Arial"/>
          <w:i w:val="0"/>
          <w:iCs w:val="0"/>
          <w:sz w:val="22"/>
          <w:szCs w:val="22"/>
          <w:lang w:val="en-GB"/>
        </w:rPr>
        <w:t>PLEX</w:t>
      </w:r>
      <w:r w:rsidRPr="00BC0D2A">
        <w:rPr>
          <w:rFonts w:cs="Arial"/>
          <w:b w:val="0"/>
          <w:bCs w:val="0"/>
          <w:i w:val="0"/>
          <w:iCs w:val="0"/>
          <w:sz w:val="22"/>
          <w:szCs w:val="22"/>
          <w:lang w:val="en-GB"/>
        </w:rPr>
        <w:t>”).</w:t>
      </w:r>
    </w:p>
    <w:p w14:paraId="052E1A4B" w14:textId="77777777" w:rsidR="00510C14" w:rsidRPr="00BC0D2A" w:rsidRDefault="00194D72" w:rsidP="00510C14">
      <w:pPr>
        <w:pStyle w:val="Heading2"/>
        <w:jc w:val="both"/>
        <w:rPr>
          <w:rFonts w:cs="Arial"/>
          <w:b w:val="0"/>
          <w:bCs w:val="0"/>
          <w:i w:val="0"/>
          <w:iCs w:val="0"/>
          <w:sz w:val="22"/>
          <w:szCs w:val="22"/>
          <w:lang w:val="en-GB"/>
        </w:rPr>
      </w:pPr>
      <w:r w:rsidRPr="00BC0D2A">
        <w:rPr>
          <w:rStyle w:val="cf01"/>
          <w:rFonts w:ascii="Arial" w:hAnsi="Arial" w:cs="Arial"/>
          <w:b w:val="0"/>
          <w:bCs w:val="0"/>
          <w:i w:val="0"/>
          <w:iCs w:val="0"/>
          <w:sz w:val="22"/>
          <w:szCs w:val="22"/>
          <w:lang w:val="en-GB"/>
        </w:rPr>
        <w:t xml:space="preserve">This appraisal focuses on refractory </w:t>
      </w:r>
      <w:proofErr w:type="spellStart"/>
      <w:r w:rsidRPr="00BC0D2A">
        <w:rPr>
          <w:rStyle w:val="cf01"/>
          <w:rFonts w:ascii="Arial" w:hAnsi="Arial" w:cs="Arial"/>
          <w:b w:val="0"/>
          <w:bCs w:val="0"/>
          <w:i w:val="0"/>
          <w:iCs w:val="0"/>
          <w:sz w:val="22"/>
          <w:szCs w:val="22"/>
          <w:lang w:val="en-GB"/>
        </w:rPr>
        <w:t>gMG</w:t>
      </w:r>
      <w:proofErr w:type="spellEnd"/>
      <w:r w:rsidRPr="00BC0D2A">
        <w:rPr>
          <w:rStyle w:val="cf01"/>
          <w:rFonts w:ascii="Arial" w:hAnsi="Arial" w:cs="Arial"/>
          <w:b w:val="0"/>
          <w:bCs w:val="0"/>
          <w:i w:val="0"/>
          <w:iCs w:val="0"/>
          <w:sz w:val="22"/>
          <w:szCs w:val="22"/>
          <w:lang w:val="en-GB"/>
        </w:rPr>
        <w:t xml:space="preserve"> which refers to patients who are either intolerant, ineligible or have failed to respond adequately to conventional treatments or experience frequent relapses despite optimised therapy.</w:t>
      </w:r>
      <w:r w:rsidRPr="00BC0D2A">
        <w:rPr>
          <w:rStyle w:val="cf01"/>
          <w:rFonts w:ascii="Arial" w:hAnsi="Arial" w:cs="Arial"/>
          <w:b w:val="0"/>
          <w:i w:val="0"/>
          <w:sz w:val="22"/>
          <w:szCs w:val="22"/>
          <w:lang w:val="en-GB"/>
        </w:rPr>
        <w:t xml:space="preserve"> </w:t>
      </w:r>
      <w:r w:rsidRPr="00BC0D2A">
        <w:rPr>
          <w:rStyle w:val="cf01"/>
          <w:rFonts w:ascii="Arial" w:hAnsi="Arial" w:cs="Arial"/>
          <w:b w:val="0"/>
          <w:bCs w:val="0"/>
          <w:i w:val="0"/>
          <w:iCs w:val="0"/>
          <w:sz w:val="22"/>
          <w:szCs w:val="22"/>
          <w:lang w:val="en-GB"/>
        </w:rPr>
        <w:t xml:space="preserve">A proportion (approximately 50% based on EAMS published data) of these patients in the target population are managed with long term </w:t>
      </w:r>
      <w:r w:rsidRPr="00BC0D2A">
        <w:rPr>
          <w:rStyle w:val="cf01"/>
          <w:rFonts w:ascii="Arial" w:hAnsi="Arial" w:cs="Arial"/>
          <w:b w:val="0"/>
          <w:bCs w:val="0"/>
          <w:i w:val="0"/>
          <w:iCs w:val="0"/>
          <w:sz w:val="22"/>
          <w:szCs w:val="22"/>
          <w:lang w:val="en-GB"/>
        </w:rPr>
        <w:lastRenderedPageBreak/>
        <w:t>maintenance use of IVIg or plasma exchange due to an absence of other treatment options in current clinical practice and could instead be treated with efgartigimod.</w:t>
      </w:r>
    </w:p>
    <w:p w14:paraId="54B35CBA" w14:textId="77777777" w:rsidR="00510C14" w:rsidRPr="00BC0D2A" w:rsidRDefault="00194D72" w:rsidP="00510C14">
      <w:pPr>
        <w:pStyle w:val="Heading2"/>
        <w:jc w:val="both"/>
        <w:rPr>
          <w:rFonts w:cs="Arial"/>
          <w:i w:val="0"/>
          <w:iCs w:val="0"/>
          <w:color w:val="0E0E0E"/>
          <w:sz w:val="24"/>
          <w:szCs w:val="24"/>
          <w:lang w:val="en-GB"/>
        </w:rPr>
      </w:pPr>
      <w:r w:rsidRPr="00BC0D2A">
        <w:rPr>
          <w:rFonts w:cs="Arial"/>
          <w:i w:val="0"/>
          <w:iCs w:val="0"/>
          <w:color w:val="0E0E0E"/>
          <w:sz w:val="24"/>
          <w:szCs w:val="24"/>
          <w:lang w:val="en-GB"/>
        </w:rPr>
        <w:t>Efgartigimod</w:t>
      </w:r>
    </w:p>
    <w:p w14:paraId="7FF92F39"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Efgartigimod (</w:t>
      </w:r>
      <w:proofErr w:type="spellStart"/>
      <w:r w:rsidRPr="00BC0D2A">
        <w:rPr>
          <w:rFonts w:cs="Arial"/>
          <w:b w:val="0"/>
          <w:bCs w:val="0"/>
          <w:i w:val="0"/>
          <w:iCs w:val="0"/>
          <w:sz w:val="22"/>
          <w:szCs w:val="22"/>
          <w:lang w:val="en-GB"/>
        </w:rPr>
        <w:t>Vyvgart</w:t>
      </w:r>
      <w:proofErr w:type="spellEnd"/>
      <w:r w:rsidRPr="00BC0D2A">
        <w:rPr>
          <w:rFonts w:cs="Arial"/>
          <w:b w:val="0"/>
          <w:bCs w:val="0"/>
          <w:i w:val="0"/>
          <w:iCs w:val="0"/>
          <w:sz w:val="22"/>
          <w:szCs w:val="22"/>
          <w:lang w:val="en-GB"/>
        </w:rPr>
        <w:t xml:space="preserve">) is a human antibody fragment with increased affinity to the protein, </w:t>
      </w:r>
      <w:proofErr w:type="spellStart"/>
      <w:r w:rsidRPr="00BC0D2A">
        <w:rPr>
          <w:rFonts w:cs="Arial"/>
          <w:b w:val="0"/>
          <w:bCs w:val="0"/>
          <w:i w:val="0"/>
          <w:iCs w:val="0"/>
          <w:sz w:val="22"/>
          <w:szCs w:val="22"/>
          <w:lang w:val="en-GB"/>
        </w:rPr>
        <w:t>FcRn</w:t>
      </w:r>
      <w:proofErr w:type="spellEnd"/>
      <w:r w:rsidRPr="00BC0D2A">
        <w:rPr>
          <w:rFonts w:cs="Arial"/>
          <w:b w:val="0"/>
          <w:bCs w:val="0"/>
          <w:i w:val="0"/>
          <w:iCs w:val="0"/>
          <w:sz w:val="22"/>
          <w:szCs w:val="22"/>
          <w:lang w:val="en-GB"/>
        </w:rPr>
        <w:t xml:space="preserve">. It binds to </w:t>
      </w:r>
      <w:proofErr w:type="spellStart"/>
      <w:r w:rsidRPr="00BC0D2A">
        <w:rPr>
          <w:rFonts w:cs="Arial"/>
          <w:b w:val="0"/>
          <w:bCs w:val="0"/>
          <w:i w:val="0"/>
          <w:iCs w:val="0"/>
          <w:sz w:val="22"/>
          <w:szCs w:val="22"/>
          <w:lang w:val="en-GB"/>
        </w:rPr>
        <w:t>FcRn</w:t>
      </w:r>
      <w:proofErr w:type="spellEnd"/>
      <w:r w:rsidRPr="00BC0D2A">
        <w:rPr>
          <w:rFonts w:cs="Arial"/>
          <w:b w:val="0"/>
          <w:bCs w:val="0"/>
          <w:i w:val="0"/>
          <w:iCs w:val="0"/>
          <w:sz w:val="22"/>
          <w:szCs w:val="22"/>
          <w:lang w:val="en-GB"/>
        </w:rPr>
        <w:t xml:space="preserve">, allowing circulating immunoglobulin antibodies to be broken down and removed from the body much more quickly. Efgartigimod is indicated as an add-on to standard therapy for the treatment of adult patients with </w:t>
      </w:r>
      <w:proofErr w:type="spellStart"/>
      <w:r w:rsidRPr="00BC0D2A">
        <w:rPr>
          <w:rFonts w:cs="Arial"/>
          <w:b w:val="0"/>
          <w:bCs w:val="0"/>
          <w:i w:val="0"/>
          <w:iCs w:val="0"/>
          <w:sz w:val="22"/>
          <w:szCs w:val="22"/>
          <w:lang w:val="en-GB"/>
        </w:rPr>
        <w:t>gMG</w:t>
      </w:r>
      <w:proofErr w:type="spellEnd"/>
      <w:r w:rsidRPr="00BC0D2A">
        <w:rPr>
          <w:rFonts w:cs="Arial"/>
          <w:b w:val="0"/>
          <w:bCs w:val="0"/>
          <w:i w:val="0"/>
          <w:iCs w:val="0"/>
          <w:sz w:val="22"/>
          <w:szCs w:val="22"/>
          <w:lang w:val="en-GB"/>
        </w:rPr>
        <w:t xml:space="preserve"> who </w:t>
      </w:r>
      <w:proofErr w:type="gramStart"/>
      <w:r w:rsidRPr="00BC0D2A">
        <w:rPr>
          <w:rFonts w:cs="Arial"/>
          <w:b w:val="0"/>
          <w:bCs w:val="0"/>
          <w:i w:val="0"/>
          <w:iCs w:val="0"/>
          <w:sz w:val="22"/>
          <w:szCs w:val="22"/>
          <w:lang w:val="en-GB"/>
        </w:rPr>
        <w:t>are anti-acetylcholine receptor (</w:t>
      </w:r>
      <w:proofErr w:type="spellStart"/>
      <w:r w:rsidRPr="00BC0D2A">
        <w:rPr>
          <w:rFonts w:cs="Arial"/>
          <w:b w:val="0"/>
          <w:bCs w:val="0"/>
          <w:i w:val="0"/>
          <w:iCs w:val="0"/>
          <w:sz w:val="22"/>
          <w:szCs w:val="22"/>
          <w:lang w:val="en-GB"/>
        </w:rPr>
        <w:t>AChR</w:t>
      </w:r>
      <w:proofErr w:type="spellEnd"/>
      <w:r w:rsidRPr="00BC0D2A">
        <w:rPr>
          <w:rFonts w:cs="Arial"/>
          <w:b w:val="0"/>
          <w:bCs w:val="0"/>
          <w:i w:val="0"/>
          <w:iCs w:val="0"/>
          <w:sz w:val="22"/>
          <w:szCs w:val="22"/>
          <w:lang w:val="en-GB"/>
        </w:rPr>
        <w:t>) antibody</w:t>
      </w:r>
      <w:proofErr w:type="gramEnd"/>
      <w:r w:rsidRPr="00BC0D2A">
        <w:rPr>
          <w:rFonts w:cs="Arial"/>
          <w:b w:val="0"/>
          <w:bCs w:val="0"/>
          <w:i w:val="0"/>
          <w:iCs w:val="0"/>
          <w:sz w:val="22"/>
          <w:szCs w:val="22"/>
          <w:lang w:val="en-GB"/>
        </w:rPr>
        <w:t xml:space="preserve"> positive and is administered intravenously or by subcutaneous injection.</w:t>
      </w:r>
    </w:p>
    <w:p w14:paraId="15958DE1" w14:textId="77777777" w:rsidR="00510C14" w:rsidRPr="00BC0D2A" w:rsidRDefault="00194D72" w:rsidP="00510C14">
      <w:pPr>
        <w:pStyle w:val="Heading2"/>
        <w:jc w:val="both"/>
        <w:rPr>
          <w:rFonts w:cs="Arial"/>
          <w:b w:val="0"/>
          <w:bCs w:val="0"/>
          <w:i w:val="0"/>
          <w:iCs w:val="0"/>
          <w:color w:val="0E0E0E"/>
          <w:sz w:val="22"/>
          <w:szCs w:val="22"/>
          <w:lang w:val="en-GB"/>
        </w:rPr>
      </w:pPr>
      <w:r w:rsidRPr="00BC0D2A">
        <w:rPr>
          <w:rFonts w:cs="Arial"/>
          <w:b w:val="0"/>
          <w:bCs w:val="0"/>
          <w:i w:val="0"/>
          <w:iCs w:val="0"/>
          <w:color w:val="0E0E0E"/>
          <w:sz w:val="22"/>
          <w:szCs w:val="22"/>
          <w:lang w:val="en-GB"/>
        </w:rPr>
        <w:t>As part of the appraisal, the company has provided evidence to NICE from many sources, including the ADAPT clinical trial (referred to as “</w:t>
      </w:r>
      <w:r w:rsidRPr="00BC0D2A">
        <w:rPr>
          <w:rFonts w:cs="Arial"/>
          <w:i w:val="0"/>
          <w:iCs w:val="0"/>
          <w:color w:val="0E0E0E"/>
          <w:sz w:val="22"/>
          <w:szCs w:val="22"/>
          <w:lang w:val="en-GB"/>
        </w:rPr>
        <w:t>ADAPT</w:t>
      </w:r>
      <w:r w:rsidRPr="00BC0D2A">
        <w:rPr>
          <w:rFonts w:cs="Arial"/>
          <w:b w:val="0"/>
          <w:bCs w:val="0"/>
          <w:i w:val="0"/>
          <w:iCs w:val="0"/>
          <w:color w:val="0E0E0E"/>
          <w:sz w:val="22"/>
          <w:szCs w:val="22"/>
          <w:lang w:val="en-GB"/>
        </w:rPr>
        <w:t xml:space="preserve">” below) and </w:t>
      </w:r>
      <w:proofErr w:type="gramStart"/>
      <w:r w:rsidRPr="00BC0D2A">
        <w:rPr>
          <w:rFonts w:cs="Arial"/>
          <w:b w:val="0"/>
          <w:bCs w:val="0"/>
          <w:i w:val="0"/>
          <w:iCs w:val="0"/>
          <w:color w:val="0E0E0E"/>
          <w:sz w:val="22"/>
          <w:szCs w:val="22"/>
          <w:lang w:val="en-GB"/>
        </w:rPr>
        <w:t>real world</w:t>
      </w:r>
      <w:proofErr w:type="gramEnd"/>
      <w:r w:rsidRPr="00BC0D2A">
        <w:rPr>
          <w:rFonts w:cs="Arial"/>
          <w:b w:val="0"/>
          <w:bCs w:val="0"/>
          <w:i w:val="0"/>
          <w:iCs w:val="0"/>
          <w:color w:val="0E0E0E"/>
          <w:sz w:val="22"/>
          <w:szCs w:val="22"/>
          <w:lang w:val="en-GB"/>
        </w:rPr>
        <w:t xml:space="preserve"> evidence gathered through making the product available via the Early Access to Medicines Scheme (referred to as “</w:t>
      </w:r>
      <w:r w:rsidRPr="00BC0D2A">
        <w:rPr>
          <w:rFonts w:cs="Arial"/>
          <w:i w:val="0"/>
          <w:iCs w:val="0"/>
          <w:color w:val="0E0E0E"/>
          <w:sz w:val="22"/>
          <w:szCs w:val="22"/>
          <w:lang w:val="en-GB"/>
        </w:rPr>
        <w:t>EAMS</w:t>
      </w:r>
      <w:r w:rsidRPr="00BC0D2A">
        <w:rPr>
          <w:rFonts w:cs="Arial"/>
          <w:b w:val="0"/>
          <w:bCs w:val="0"/>
          <w:i w:val="0"/>
          <w:iCs w:val="0"/>
          <w:color w:val="0E0E0E"/>
          <w:sz w:val="22"/>
          <w:szCs w:val="22"/>
          <w:lang w:val="en-GB"/>
        </w:rPr>
        <w:t xml:space="preserve">” below).  </w:t>
      </w:r>
    </w:p>
    <w:p w14:paraId="2570A112" w14:textId="77777777" w:rsidR="00510C14" w:rsidRPr="00BC0D2A" w:rsidRDefault="00194D72" w:rsidP="00510C14">
      <w:pPr>
        <w:pStyle w:val="Heading2"/>
        <w:jc w:val="both"/>
        <w:rPr>
          <w:rFonts w:cs="Arial"/>
          <w:i w:val="0"/>
          <w:color w:val="0E0E0E"/>
          <w:sz w:val="24"/>
          <w:szCs w:val="24"/>
          <w:u w:val="single"/>
          <w:lang w:val="en-GB"/>
        </w:rPr>
      </w:pPr>
      <w:r w:rsidRPr="00BC0D2A">
        <w:rPr>
          <w:rFonts w:cs="Arial"/>
          <w:i w:val="0"/>
          <w:iCs w:val="0"/>
          <w:color w:val="0E0E0E"/>
          <w:sz w:val="24"/>
          <w:szCs w:val="24"/>
          <w:u w:val="single"/>
          <w:lang w:val="en-GB"/>
        </w:rPr>
        <w:t>Appraisal Procedure Overview</w:t>
      </w:r>
    </w:p>
    <w:p w14:paraId="6CDFE915" w14:textId="77777777" w:rsidR="00510C14" w:rsidRPr="00BC0D2A" w:rsidRDefault="00510C14" w:rsidP="00510C14">
      <w:pPr>
        <w:rPr>
          <w:rFonts w:ascii="Arial" w:hAnsi="Arial" w:cs="Arial"/>
          <w:lang w:val="en-GB" w:eastAsia="x-none"/>
        </w:rPr>
      </w:pPr>
    </w:p>
    <w:tbl>
      <w:tblPr>
        <w:tblStyle w:val="TableGrid"/>
        <w:tblW w:w="0" w:type="auto"/>
        <w:tblLook w:val="04A0" w:firstRow="1" w:lastRow="0" w:firstColumn="1" w:lastColumn="0" w:noHBand="0" w:noVBand="1"/>
      </w:tblPr>
      <w:tblGrid>
        <w:gridCol w:w="2547"/>
        <w:gridCol w:w="5749"/>
      </w:tblGrid>
      <w:tr w:rsidR="00DF2204" w:rsidRPr="00BC0D2A" w14:paraId="375C0AF9" w14:textId="77777777" w:rsidTr="008E2059">
        <w:tc>
          <w:tcPr>
            <w:tcW w:w="2547" w:type="dxa"/>
          </w:tcPr>
          <w:p w14:paraId="64FDB7A6"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24 November 2021</w:t>
            </w:r>
          </w:p>
        </w:tc>
        <w:tc>
          <w:tcPr>
            <w:tcW w:w="5749" w:type="dxa"/>
          </w:tcPr>
          <w:p w14:paraId="747B403B"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Topic selected by NICE</w:t>
            </w:r>
          </w:p>
        </w:tc>
      </w:tr>
      <w:tr w:rsidR="00DF2204" w:rsidRPr="00BC0D2A" w14:paraId="2BF5EB4D" w14:textId="77777777" w:rsidTr="008E2059">
        <w:tc>
          <w:tcPr>
            <w:tcW w:w="2547" w:type="dxa"/>
          </w:tcPr>
          <w:p w14:paraId="611DCFE4"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30 November 2022</w:t>
            </w:r>
          </w:p>
        </w:tc>
        <w:tc>
          <w:tcPr>
            <w:tcW w:w="5749" w:type="dxa"/>
          </w:tcPr>
          <w:p w14:paraId="4FBD4B13"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Final Scope</w:t>
            </w:r>
          </w:p>
        </w:tc>
      </w:tr>
      <w:tr w:rsidR="00DF2204" w:rsidRPr="00BC0D2A" w14:paraId="62CE72DF" w14:textId="77777777" w:rsidTr="008E2059">
        <w:tc>
          <w:tcPr>
            <w:tcW w:w="2547" w:type="dxa"/>
          </w:tcPr>
          <w:p w14:paraId="1450A2D2"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14 February 2023</w:t>
            </w:r>
          </w:p>
        </w:tc>
        <w:tc>
          <w:tcPr>
            <w:tcW w:w="5749" w:type="dxa"/>
          </w:tcPr>
          <w:p w14:paraId="74830E74"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argenx submission to NICE</w:t>
            </w:r>
          </w:p>
        </w:tc>
      </w:tr>
      <w:tr w:rsidR="00DF2204" w:rsidRPr="00BC0D2A" w14:paraId="4E8C4A4C" w14:textId="77777777" w:rsidTr="008E2059">
        <w:tc>
          <w:tcPr>
            <w:tcW w:w="2547" w:type="dxa"/>
          </w:tcPr>
          <w:p w14:paraId="2519C33C"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14 March 2023</w:t>
            </w:r>
          </w:p>
        </w:tc>
        <w:tc>
          <w:tcPr>
            <w:tcW w:w="5749" w:type="dxa"/>
          </w:tcPr>
          <w:p w14:paraId="68638FB0"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Great Britain marketing authorisation granted</w:t>
            </w:r>
          </w:p>
        </w:tc>
      </w:tr>
      <w:tr w:rsidR="00DF2204" w:rsidRPr="00BC0D2A" w14:paraId="315E0374" w14:textId="77777777" w:rsidTr="008E2059">
        <w:tc>
          <w:tcPr>
            <w:tcW w:w="2547" w:type="dxa"/>
          </w:tcPr>
          <w:p w14:paraId="770B2D02"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10 August 2023</w:t>
            </w:r>
          </w:p>
        </w:tc>
        <w:tc>
          <w:tcPr>
            <w:tcW w:w="5749" w:type="dxa"/>
          </w:tcPr>
          <w:p w14:paraId="02CA990C"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First Appraisal Committee Meeting (“</w:t>
            </w:r>
            <w:r w:rsidRPr="00BC0D2A">
              <w:rPr>
                <w:rFonts w:cs="Arial"/>
                <w:b/>
                <w:bCs/>
                <w:sz w:val="22"/>
                <w:szCs w:val="22"/>
              </w:rPr>
              <w:t>ACM 1</w:t>
            </w:r>
            <w:r w:rsidRPr="00BC0D2A">
              <w:rPr>
                <w:rFonts w:cs="Arial"/>
                <w:sz w:val="22"/>
                <w:szCs w:val="22"/>
              </w:rPr>
              <w:t>”)</w:t>
            </w:r>
          </w:p>
        </w:tc>
      </w:tr>
      <w:tr w:rsidR="00DF2204" w:rsidRPr="00BC0D2A" w14:paraId="07F69D0A" w14:textId="77777777" w:rsidTr="008E2059">
        <w:tc>
          <w:tcPr>
            <w:tcW w:w="2547" w:type="dxa"/>
          </w:tcPr>
          <w:p w14:paraId="7EB7456B"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 September 2023</w:t>
            </w:r>
          </w:p>
        </w:tc>
        <w:tc>
          <w:tcPr>
            <w:tcW w:w="5749" w:type="dxa"/>
          </w:tcPr>
          <w:p w14:paraId="57EF0744"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Draft Guidance 1 issued for consultation</w:t>
            </w:r>
          </w:p>
        </w:tc>
      </w:tr>
      <w:tr w:rsidR="00DF2204" w:rsidRPr="00BC0D2A" w14:paraId="32331398" w14:textId="77777777" w:rsidTr="008E2059">
        <w:tc>
          <w:tcPr>
            <w:tcW w:w="2547" w:type="dxa"/>
          </w:tcPr>
          <w:p w14:paraId="1AF33A3D"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16 November 2023</w:t>
            </w:r>
          </w:p>
        </w:tc>
        <w:tc>
          <w:tcPr>
            <w:tcW w:w="5749" w:type="dxa"/>
          </w:tcPr>
          <w:p w14:paraId="000DF315"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Second Appraisal Committee Meeting (“</w:t>
            </w:r>
            <w:r w:rsidRPr="00BC0D2A">
              <w:rPr>
                <w:rFonts w:cs="Arial"/>
                <w:b/>
                <w:bCs/>
                <w:sz w:val="22"/>
                <w:szCs w:val="22"/>
              </w:rPr>
              <w:t>ACM 2</w:t>
            </w:r>
            <w:r w:rsidRPr="00BC0D2A">
              <w:rPr>
                <w:rFonts w:cs="Arial"/>
                <w:sz w:val="22"/>
                <w:szCs w:val="22"/>
              </w:rPr>
              <w:t>”)</w:t>
            </w:r>
          </w:p>
        </w:tc>
      </w:tr>
      <w:tr w:rsidR="00DF2204" w:rsidRPr="00BC0D2A" w14:paraId="57C5CABA" w14:textId="77777777" w:rsidTr="008E2059">
        <w:tc>
          <w:tcPr>
            <w:tcW w:w="2547" w:type="dxa"/>
          </w:tcPr>
          <w:p w14:paraId="6C837314"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12 December 2023</w:t>
            </w:r>
          </w:p>
        </w:tc>
        <w:tc>
          <w:tcPr>
            <w:tcW w:w="5749" w:type="dxa"/>
          </w:tcPr>
          <w:p w14:paraId="09E2AAF9"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Draft Guidance 2 issued for consultation</w:t>
            </w:r>
          </w:p>
        </w:tc>
      </w:tr>
      <w:tr w:rsidR="00DF2204" w:rsidRPr="00BC0D2A" w14:paraId="3ABDDE3F" w14:textId="77777777" w:rsidTr="008E2059">
        <w:tc>
          <w:tcPr>
            <w:tcW w:w="2547" w:type="dxa"/>
          </w:tcPr>
          <w:p w14:paraId="59FF2B38"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9 May 2024</w:t>
            </w:r>
          </w:p>
        </w:tc>
        <w:tc>
          <w:tcPr>
            <w:tcW w:w="5749" w:type="dxa"/>
          </w:tcPr>
          <w:p w14:paraId="2D29E188"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Third Appraisal Committee Meeting (“</w:t>
            </w:r>
            <w:r w:rsidRPr="00BC0D2A">
              <w:rPr>
                <w:rFonts w:cs="Arial"/>
                <w:b/>
                <w:bCs/>
                <w:sz w:val="22"/>
                <w:szCs w:val="22"/>
              </w:rPr>
              <w:t>ACM 3</w:t>
            </w:r>
            <w:r w:rsidRPr="00BC0D2A">
              <w:rPr>
                <w:rFonts w:cs="Arial"/>
                <w:sz w:val="22"/>
                <w:szCs w:val="22"/>
              </w:rPr>
              <w:t xml:space="preserve">”) </w:t>
            </w:r>
          </w:p>
        </w:tc>
      </w:tr>
      <w:tr w:rsidR="00DF2204" w:rsidRPr="00BC0D2A" w14:paraId="7D509678" w14:textId="77777777" w:rsidTr="008E2059">
        <w:tc>
          <w:tcPr>
            <w:tcW w:w="2547" w:type="dxa"/>
          </w:tcPr>
          <w:p w14:paraId="2103E770"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18 July 2024</w:t>
            </w:r>
          </w:p>
        </w:tc>
        <w:tc>
          <w:tcPr>
            <w:tcW w:w="5749" w:type="dxa"/>
          </w:tcPr>
          <w:p w14:paraId="2DD27148"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Chair’s offer</w:t>
            </w:r>
          </w:p>
        </w:tc>
      </w:tr>
      <w:tr w:rsidR="00DF2204" w:rsidRPr="00BC0D2A" w14:paraId="19AE00CE" w14:textId="77777777" w:rsidTr="008E2059">
        <w:tc>
          <w:tcPr>
            <w:tcW w:w="2547" w:type="dxa"/>
          </w:tcPr>
          <w:p w14:paraId="17A96618"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 xml:space="preserve">5 December 2024 </w:t>
            </w:r>
          </w:p>
        </w:tc>
        <w:tc>
          <w:tcPr>
            <w:tcW w:w="5749" w:type="dxa"/>
          </w:tcPr>
          <w:p w14:paraId="58BE5ACB"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Fourth Appraisal Committee Meeting (“</w:t>
            </w:r>
            <w:r w:rsidRPr="00BC0D2A">
              <w:rPr>
                <w:rFonts w:cs="Arial"/>
                <w:b/>
                <w:bCs/>
                <w:sz w:val="22"/>
                <w:szCs w:val="22"/>
              </w:rPr>
              <w:t>ACM 4</w:t>
            </w:r>
            <w:r w:rsidRPr="00BC0D2A">
              <w:rPr>
                <w:rFonts w:cs="Arial"/>
                <w:sz w:val="22"/>
                <w:szCs w:val="22"/>
              </w:rPr>
              <w:t xml:space="preserve">”) </w:t>
            </w:r>
          </w:p>
        </w:tc>
      </w:tr>
      <w:tr w:rsidR="00DF2204" w:rsidRPr="00BC0D2A" w14:paraId="6E4CCA78" w14:textId="77777777" w:rsidTr="008E2059">
        <w:tc>
          <w:tcPr>
            <w:tcW w:w="2547" w:type="dxa"/>
          </w:tcPr>
          <w:p w14:paraId="43619742"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17 January 2025</w:t>
            </w:r>
          </w:p>
        </w:tc>
        <w:tc>
          <w:tcPr>
            <w:tcW w:w="5749" w:type="dxa"/>
          </w:tcPr>
          <w:p w14:paraId="11F49034" w14:textId="77777777" w:rsidR="00510C14" w:rsidRPr="00BC0D2A" w:rsidRDefault="00194D72" w:rsidP="008E2059">
            <w:pPr>
              <w:pStyle w:val="Paragraph"/>
              <w:numPr>
                <w:ilvl w:val="0"/>
                <w:numId w:val="0"/>
              </w:numPr>
              <w:spacing w:before="0" w:after="0" w:line="360" w:lineRule="auto"/>
              <w:jc w:val="both"/>
              <w:rPr>
                <w:rFonts w:cs="Arial"/>
                <w:sz w:val="22"/>
                <w:szCs w:val="22"/>
              </w:rPr>
            </w:pPr>
            <w:r w:rsidRPr="00BC0D2A">
              <w:rPr>
                <w:rFonts w:cs="Arial"/>
                <w:sz w:val="22"/>
                <w:szCs w:val="22"/>
              </w:rPr>
              <w:t>Final Draft Guidance issued to consultees</w:t>
            </w:r>
          </w:p>
        </w:tc>
      </w:tr>
    </w:tbl>
    <w:p w14:paraId="1300448C" w14:textId="77777777" w:rsidR="00510C14" w:rsidRPr="00BC0D2A" w:rsidRDefault="00510C14" w:rsidP="00510C14">
      <w:pPr>
        <w:pStyle w:val="Paragraph"/>
        <w:numPr>
          <w:ilvl w:val="0"/>
          <w:numId w:val="0"/>
        </w:numPr>
        <w:spacing w:before="0" w:after="0" w:line="360" w:lineRule="auto"/>
        <w:jc w:val="both"/>
        <w:rPr>
          <w:rFonts w:cs="Arial"/>
          <w:sz w:val="22"/>
          <w:szCs w:val="22"/>
        </w:rPr>
      </w:pPr>
    </w:p>
    <w:p w14:paraId="0C527884" w14:textId="77777777" w:rsidR="00510C14" w:rsidRPr="00BC0D2A" w:rsidRDefault="00194D72" w:rsidP="00510C14">
      <w:pPr>
        <w:pStyle w:val="Paragraph"/>
        <w:numPr>
          <w:ilvl w:val="0"/>
          <w:numId w:val="0"/>
        </w:numPr>
        <w:spacing w:before="0" w:after="0" w:line="360" w:lineRule="auto"/>
        <w:jc w:val="both"/>
        <w:rPr>
          <w:rFonts w:cs="Arial"/>
          <w:b/>
          <w:bCs/>
          <w:i/>
          <w:iCs/>
          <w:color w:val="0E0E0E"/>
        </w:rPr>
      </w:pPr>
      <w:r w:rsidRPr="00BC0D2A">
        <w:rPr>
          <w:rFonts w:cs="Arial"/>
          <w:b/>
          <w:bCs/>
          <w:i/>
          <w:iCs/>
          <w:color w:val="0E0E0E"/>
        </w:rPr>
        <w:t>Grounds of Appeal</w:t>
      </w:r>
    </w:p>
    <w:p w14:paraId="52E628A2"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 xml:space="preserve">argenx appeals against the Final Draft Guidance on the following grounds: </w:t>
      </w:r>
    </w:p>
    <w:p w14:paraId="62B1B008" w14:textId="77777777" w:rsidR="00510C14" w:rsidRPr="00BC0D2A" w:rsidRDefault="00194D72" w:rsidP="00510C14">
      <w:pPr>
        <w:pStyle w:val="Heading2"/>
        <w:jc w:val="both"/>
        <w:rPr>
          <w:rFonts w:cs="Arial"/>
          <w:sz w:val="24"/>
          <w:szCs w:val="24"/>
          <w:lang w:val="en-GB"/>
        </w:rPr>
      </w:pPr>
      <w:r w:rsidRPr="00BC0D2A">
        <w:rPr>
          <w:rFonts w:cs="Arial"/>
          <w:sz w:val="24"/>
          <w:szCs w:val="24"/>
          <w:lang w:val="en-GB"/>
        </w:rPr>
        <w:t xml:space="preserve">Ground 1a: NICE has failed to act fairly </w:t>
      </w:r>
    </w:p>
    <w:p w14:paraId="55BB134C" w14:textId="77777777" w:rsidR="00510C14" w:rsidRPr="00BC0D2A" w:rsidRDefault="00194D72" w:rsidP="00510C14">
      <w:pPr>
        <w:pStyle w:val="Heading3"/>
        <w:jc w:val="both"/>
        <w:rPr>
          <w:rFonts w:cs="Arial"/>
          <w:szCs w:val="24"/>
          <w:lang w:val="en-GB" w:eastAsia="en-GB"/>
        </w:rPr>
      </w:pPr>
      <w:r w:rsidRPr="00BC0D2A">
        <w:rPr>
          <w:rFonts w:cs="Arial"/>
          <w:szCs w:val="24"/>
          <w:lang w:val="en-GB"/>
        </w:rPr>
        <w:t>1(a).1</w:t>
      </w:r>
      <w:r w:rsidRPr="00BC0D2A">
        <w:rPr>
          <w:rFonts w:cs="Arial"/>
          <w:szCs w:val="24"/>
          <w:lang w:val="en-GB"/>
        </w:rPr>
        <w:tab/>
      </w:r>
      <w:r w:rsidRPr="00BC0D2A">
        <w:rPr>
          <w:rFonts w:cs="Arial"/>
          <w:szCs w:val="24"/>
          <w:lang w:val="en-GB" w:eastAsia="en-GB"/>
        </w:rPr>
        <w:t>It was procedurally unfair to have introduced a change of approach in the FDG as to how the Appraisal Committee considers efgartigimod in the treatment pathway at a very late stage without any explanation or opportunity to respond.</w:t>
      </w:r>
    </w:p>
    <w:p w14:paraId="04E03623" w14:textId="77777777" w:rsidR="00510C14" w:rsidRPr="00BC0D2A" w:rsidRDefault="00510C14" w:rsidP="00510C14">
      <w:pPr>
        <w:pStyle w:val="Numberedlevel3text"/>
        <w:tabs>
          <w:tab w:val="clear" w:pos="360"/>
        </w:tabs>
        <w:spacing w:after="0" w:line="240" w:lineRule="auto"/>
        <w:jc w:val="both"/>
        <w:rPr>
          <w:bCs w:val="0"/>
          <w:sz w:val="22"/>
          <w:szCs w:val="22"/>
          <w:u w:val="single"/>
          <w:lang w:val="en-GB" w:eastAsia="en-GB"/>
        </w:rPr>
      </w:pPr>
    </w:p>
    <w:p w14:paraId="288982EE"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lastRenderedPageBreak/>
        <w:t xml:space="preserve">The Appraisal Committee made a fundamental change to how it considers efgartigimod in the treatment pathway – from being an alternative to maintenance IVIg and plasma exchange to </w:t>
      </w:r>
      <w:r w:rsidR="0055778B" w:rsidRPr="00BC0D2A">
        <w:rPr>
          <w:sz w:val="22"/>
          <w:szCs w:val="22"/>
          <w:lang w:val="en-GB" w:eastAsia="en-GB"/>
        </w:rPr>
        <w:t xml:space="preserve">being </w:t>
      </w:r>
      <w:r w:rsidRPr="00BC0D2A">
        <w:rPr>
          <w:sz w:val="22"/>
          <w:szCs w:val="22"/>
          <w:lang w:val="en-GB" w:eastAsia="en-GB"/>
        </w:rPr>
        <w:t xml:space="preserve">only additive to the existing treatment pathway including maintenance IVIg and plasma exchange – after the fourth Appraisal Committee Meeting.  This is procedurally unfair as it denied the company (and others) a fair (or, in this case, any) opportunity to make intelligent representations based on a proper understanding of the Appraisal Committee’s considerations. </w:t>
      </w:r>
    </w:p>
    <w:p w14:paraId="3E70B05D"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042AB9B4"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Section 1.2 of the FDG states that “</w:t>
      </w:r>
      <w:r w:rsidRPr="00BC0D2A">
        <w:rPr>
          <w:i/>
          <w:sz w:val="22"/>
          <w:szCs w:val="22"/>
          <w:lang w:val="en-GB" w:eastAsia="en-GB"/>
        </w:rPr>
        <w:t>The economic model does not accurately capture how efgartigimod would be used in the NHS; this is, as an additional treatment in the treatment pathway.  The most likely cost effectiveness estimates are substantially above what NICE considers an acceptable use of NHS resources. This is because while the company’s model suggests there is a modest gain in quality-adjusted life years, this is at a substantial additional cost, since efgartigimod is an additional treatment in the treatment pathway</w:t>
      </w:r>
      <w:r w:rsidRPr="00BC0D2A">
        <w:rPr>
          <w:sz w:val="22"/>
          <w:szCs w:val="22"/>
          <w:lang w:val="en-GB" w:eastAsia="en-GB"/>
        </w:rPr>
        <w:t xml:space="preserve">”. </w:t>
      </w:r>
    </w:p>
    <w:p w14:paraId="7622E0AA"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3311D564"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rPr>
        <w:t xml:space="preserve">This is a fundamental misunderstanding of the role of efgartigimod in the treatment pathway and how this has been captured in the company’s model. It </w:t>
      </w:r>
      <w:r w:rsidRPr="00BC0D2A">
        <w:rPr>
          <w:sz w:val="22"/>
          <w:szCs w:val="22"/>
          <w:lang w:val="en-GB" w:eastAsia="en-GB"/>
        </w:rPr>
        <w:t xml:space="preserve">materially impacts the appraisal outcome, </w:t>
      </w:r>
      <w:r w:rsidRPr="00BC0D2A">
        <w:rPr>
          <w:bCs w:val="0"/>
          <w:sz w:val="22"/>
          <w:szCs w:val="22"/>
          <w:lang w:val="en-GB"/>
        </w:rPr>
        <w:t>as it fails to recognise that the significant costs associated with escalation therapy (</w:t>
      </w:r>
      <w:r w:rsidRPr="00BC0D2A">
        <w:rPr>
          <w:sz w:val="22"/>
          <w:szCs w:val="22"/>
          <w:lang w:val="en-GB"/>
        </w:rPr>
        <w:t>i.e. IVIg</w:t>
      </w:r>
      <w:r w:rsidRPr="00BC0D2A">
        <w:rPr>
          <w:bCs w:val="0"/>
          <w:sz w:val="22"/>
          <w:szCs w:val="22"/>
          <w:lang w:val="en-GB"/>
        </w:rPr>
        <w:t xml:space="preserve"> and </w:t>
      </w:r>
      <w:r w:rsidRPr="00BC0D2A">
        <w:rPr>
          <w:sz w:val="22"/>
          <w:szCs w:val="22"/>
          <w:lang w:val="en-GB"/>
        </w:rPr>
        <w:t>plasma exchange)</w:t>
      </w:r>
      <w:r w:rsidRPr="00BC0D2A">
        <w:rPr>
          <w:bCs w:val="0"/>
          <w:sz w:val="22"/>
          <w:szCs w:val="22"/>
          <w:lang w:val="en-GB"/>
        </w:rPr>
        <w:t xml:space="preserve"> would be displaced by efgartigimod where used as an alternative to IVIg and </w:t>
      </w:r>
      <w:r w:rsidRPr="00BC0D2A">
        <w:rPr>
          <w:sz w:val="22"/>
          <w:szCs w:val="22"/>
          <w:lang w:val="en-GB"/>
        </w:rPr>
        <w:t>plasma exchange, both of which have a scant evidence base when used as maintenance therapy and have not been subject to the rigours of a health technology assessment</w:t>
      </w:r>
      <w:r w:rsidRPr="00BC0D2A">
        <w:rPr>
          <w:sz w:val="22"/>
          <w:szCs w:val="22"/>
          <w:lang w:val="en-GB" w:eastAsia="en-GB"/>
        </w:rPr>
        <w:t>. The reasonableness of this conclusion is discussed in Ground 2.1 below and the lack of opportunity for the company to make representations in advance of ACM 4 discussed in Ground 1(a).3 below likely contributed to this outcome.</w:t>
      </w:r>
    </w:p>
    <w:p w14:paraId="4E342C14"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428BD16F" w14:textId="77777777" w:rsidR="00510C14" w:rsidRPr="00BC0D2A" w:rsidRDefault="00194D72" w:rsidP="00510C14">
      <w:pPr>
        <w:pStyle w:val="Numberedlevel3text"/>
        <w:numPr>
          <w:ilvl w:val="0"/>
          <w:numId w:val="0"/>
        </w:numPr>
        <w:spacing w:after="0" w:line="240" w:lineRule="auto"/>
        <w:jc w:val="both"/>
        <w:rPr>
          <w:lang w:val="en-GB"/>
        </w:rPr>
      </w:pPr>
      <w:r w:rsidRPr="00BC0D2A">
        <w:rPr>
          <w:sz w:val="22"/>
          <w:szCs w:val="22"/>
          <w:lang w:val="en-GB" w:eastAsia="en-GB"/>
        </w:rPr>
        <w:t>To draw such a conclusion in the FDG, which was not discussed during ACM 4 but only first communicated to the company in a call with NICE on 12 December 2024, after ACM 4, is not consistent with a fair and transparent process, including Section 6.1.8 of NICE’s Manual which states:</w:t>
      </w:r>
    </w:p>
    <w:p w14:paraId="08EE64D2"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3C9E896E" w14:textId="77777777" w:rsidR="00510C14" w:rsidRPr="00BC0D2A" w:rsidRDefault="00194D72" w:rsidP="00F13723">
      <w:pPr>
        <w:pStyle w:val="Numberedlevel3text"/>
        <w:numPr>
          <w:ilvl w:val="0"/>
          <w:numId w:val="0"/>
        </w:numPr>
        <w:spacing w:after="0" w:line="240" w:lineRule="auto"/>
        <w:ind w:left="567"/>
        <w:jc w:val="both"/>
        <w:rPr>
          <w:i/>
          <w:iCs/>
          <w:sz w:val="22"/>
          <w:szCs w:val="22"/>
          <w:lang w:val="en-GB" w:eastAsia="en-GB"/>
        </w:rPr>
      </w:pPr>
      <w:r w:rsidRPr="00BC0D2A">
        <w:rPr>
          <w:sz w:val="22"/>
          <w:szCs w:val="22"/>
          <w:lang w:val="en-GB" w:eastAsia="en-GB"/>
        </w:rPr>
        <w:t>“</w:t>
      </w:r>
      <w:r w:rsidRPr="00BC0D2A">
        <w:rPr>
          <w:i/>
          <w:sz w:val="22"/>
          <w:szCs w:val="22"/>
          <w:lang w:val="en-GB" w:eastAsia="en-GB"/>
        </w:rPr>
        <w:t xml:space="preserve">The credibility of the guidance produced by NICE depends on the </w:t>
      </w:r>
      <w:r w:rsidRPr="00BC0D2A">
        <w:rPr>
          <w:lang w:val="en-GB"/>
        </w:rPr>
        <w:tab/>
      </w:r>
      <w:r w:rsidRPr="00BC0D2A">
        <w:rPr>
          <w:i/>
          <w:iCs/>
          <w:sz w:val="22"/>
          <w:szCs w:val="22"/>
          <w:lang w:val="en-GB" w:eastAsia="en-GB"/>
        </w:rPr>
        <w:t>transparency</w:t>
      </w:r>
      <w:r w:rsidRPr="00BC0D2A">
        <w:rPr>
          <w:i/>
          <w:sz w:val="22"/>
          <w:szCs w:val="22"/>
          <w:lang w:val="en-GB" w:eastAsia="en-GB"/>
        </w:rPr>
        <w:t xml:space="preserve"> of the committee’s decision-making process</w:t>
      </w:r>
      <w:r w:rsidRPr="00BC0D2A">
        <w:rPr>
          <w:sz w:val="22"/>
          <w:szCs w:val="22"/>
          <w:lang w:val="en-GB" w:eastAsia="en-GB"/>
        </w:rPr>
        <w:t>”.</w:t>
      </w:r>
    </w:p>
    <w:p w14:paraId="290B2332" w14:textId="77777777" w:rsidR="00510C14" w:rsidRPr="00BC0D2A" w:rsidRDefault="00510C14" w:rsidP="00510C14">
      <w:pPr>
        <w:pStyle w:val="Numberedlevel3text"/>
        <w:numPr>
          <w:ilvl w:val="0"/>
          <w:numId w:val="0"/>
        </w:numPr>
        <w:spacing w:after="0" w:line="240" w:lineRule="auto"/>
        <w:jc w:val="both"/>
        <w:rPr>
          <w:bCs w:val="0"/>
          <w:sz w:val="22"/>
          <w:szCs w:val="22"/>
          <w:lang w:val="en-GB" w:eastAsia="en-GB"/>
        </w:rPr>
      </w:pPr>
    </w:p>
    <w:p w14:paraId="2B51EDA9"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The Appraisal Committee</w:t>
      </w:r>
      <w:r w:rsidRPr="00BC0D2A">
        <w:rPr>
          <w:bCs w:val="0"/>
          <w:sz w:val="22"/>
          <w:szCs w:val="22"/>
          <w:lang w:val="en-GB"/>
        </w:rPr>
        <w:t xml:space="preserve"> has not explained at all in the FDG (nor </w:t>
      </w:r>
      <w:r w:rsidRPr="00BC0D2A">
        <w:rPr>
          <w:sz w:val="22"/>
          <w:szCs w:val="22"/>
          <w:lang w:val="en-GB"/>
        </w:rPr>
        <w:t xml:space="preserve">did NICE </w:t>
      </w:r>
      <w:r w:rsidRPr="00BC0D2A">
        <w:rPr>
          <w:bCs w:val="0"/>
          <w:sz w:val="22"/>
          <w:szCs w:val="22"/>
          <w:lang w:val="en-GB"/>
        </w:rPr>
        <w:t>in the call) the basis for changing its approach on this fundamental point following ACM 4</w:t>
      </w:r>
      <w:r w:rsidRPr="00BC0D2A">
        <w:rPr>
          <w:sz w:val="22"/>
          <w:szCs w:val="22"/>
          <w:lang w:val="en-GB"/>
        </w:rPr>
        <w:t>.</w:t>
      </w:r>
      <w:r w:rsidRPr="00BC0D2A">
        <w:rPr>
          <w:bCs w:val="0"/>
          <w:sz w:val="22"/>
          <w:szCs w:val="22"/>
          <w:lang w:val="en-GB"/>
        </w:rPr>
        <w:t xml:space="preserve">  </w:t>
      </w:r>
      <w:r w:rsidRPr="00BC0D2A">
        <w:rPr>
          <w:sz w:val="22"/>
          <w:szCs w:val="22"/>
          <w:lang w:val="en-GB"/>
        </w:rPr>
        <w:t xml:space="preserve">During the </w:t>
      </w:r>
      <w:proofErr w:type="gramStart"/>
      <w:r w:rsidRPr="00BC0D2A">
        <w:rPr>
          <w:sz w:val="22"/>
          <w:szCs w:val="22"/>
          <w:lang w:val="en-GB"/>
        </w:rPr>
        <w:t>call in</w:t>
      </w:r>
      <w:proofErr w:type="gramEnd"/>
      <w:r w:rsidRPr="00BC0D2A">
        <w:rPr>
          <w:sz w:val="22"/>
          <w:szCs w:val="22"/>
          <w:lang w:val="en-GB"/>
        </w:rPr>
        <w:t xml:space="preserve"> which NICE communicated this change in approach, the company responded immediately that such an approach is fundamentally flawed for the reasons outlined above and given in Ground 2.1.  NICE responded that no further discussion or representations were now possible prior to the publication of the FDG.  </w:t>
      </w:r>
    </w:p>
    <w:p w14:paraId="01174497"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74AF0050"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The introduction of a such a material change at a very late stage in the appraisal process, without explanation or the ability for the company to make intelligent representations in response, is self-evidently unfair.</w:t>
      </w:r>
    </w:p>
    <w:p w14:paraId="78ABE463" w14:textId="77777777" w:rsidR="00510C14" w:rsidRPr="00BC0D2A" w:rsidRDefault="00194D72" w:rsidP="00510C14">
      <w:pPr>
        <w:pStyle w:val="Heading3"/>
        <w:jc w:val="both"/>
        <w:rPr>
          <w:rFonts w:cs="Arial"/>
          <w:szCs w:val="24"/>
          <w:lang w:val="en-GB"/>
        </w:rPr>
      </w:pPr>
      <w:r w:rsidRPr="00BC0D2A">
        <w:rPr>
          <w:rFonts w:cs="Arial"/>
          <w:szCs w:val="24"/>
          <w:lang w:val="en-GB"/>
        </w:rPr>
        <w:t>1(a).2</w:t>
      </w:r>
      <w:r w:rsidRPr="00BC0D2A">
        <w:rPr>
          <w:rFonts w:cs="Arial"/>
          <w:szCs w:val="24"/>
          <w:lang w:val="en-GB"/>
        </w:rPr>
        <w:tab/>
      </w:r>
      <w:r w:rsidRPr="00BC0D2A">
        <w:rPr>
          <w:rFonts w:cs="Arial"/>
          <w:bCs w:val="0"/>
          <w:szCs w:val="24"/>
          <w:lang w:val="en-GB" w:eastAsia="en-GB"/>
        </w:rPr>
        <w:t xml:space="preserve">NICE’s handling of the appraisal process relating to a Chair’s offer and subsequent </w:t>
      </w:r>
      <w:r w:rsidRPr="00BC0D2A">
        <w:rPr>
          <w:rFonts w:cs="Arial"/>
          <w:szCs w:val="24"/>
          <w:lang w:val="en-GB" w:eastAsia="en-GB"/>
        </w:rPr>
        <w:t>fourth Appraisal Committee Meeting was</w:t>
      </w:r>
      <w:r w:rsidRPr="00BC0D2A">
        <w:rPr>
          <w:rFonts w:cs="Arial"/>
          <w:bCs w:val="0"/>
          <w:szCs w:val="24"/>
          <w:lang w:val="en-GB" w:eastAsia="en-GB"/>
        </w:rPr>
        <w:t xml:space="preserve"> </w:t>
      </w:r>
      <w:r w:rsidRPr="00BC0D2A">
        <w:rPr>
          <w:rFonts w:cs="Arial"/>
          <w:szCs w:val="24"/>
          <w:lang w:val="en-GB" w:eastAsia="en-GB"/>
        </w:rPr>
        <w:t>unfair.</w:t>
      </w:r>
    </w:p>
    <w:p w14:paraId="7565A1EC"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5701D398"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r w:rsidRPr="00BC0D2A">
        <w:rPr>
          <w:bCs w:val="0"/>
          <w:sz w:val="22"/>
          <w:szCs w:val="22"/>
          <w:lang w:val="en-GB" w:eastAsia="en-GB"/>
        </w:rPr>
        <w:t xml:space="preserve">NICE’s handling of the appraisal process relating to a Chair’s offer, </w:t>
      </w:r>
      <w:r w:rsidRPr="00BC0D2A">
        <w:rPr>
          <w:sz w:val="22"/>
          <w:szCs w:val="22"/>
          <w:lang w:val="en-GB" w:eastAsia="en-GB"/>
        </w:rPr>
        <w:t xml:space="preserve">which was predicated on </w:t>
      </w:r>
      <w:r w:rsidRPr="00BC0D2A">
        <w:rPr>
          <w:bCs w:val="0"/>
          <w:sz w:val="22"/>
          <w:szCs w:val="22"/>
          <w:lang w:val="en-GB" w:eastAsia="en-GB"/>
        </w:rPr>
        <w:t xml:space="preserve">the FDG </w:t>
      </w:r>
      <w:r w:rsidRPr="00BC0D2A">
        <w:rPr>
          <w:sz w:val="22"/>
          <w:szCs w:val="22"/>
          <w:lang w:val="en-GB" w:eastAsia="en-GB"/>
        </w:rPr>
        <w:t>being</w:t>
      </w:r>
      <w:r w:rsidRPr="00BC0D2A">
        <w:rPr>
          <w:bCs w:val="0"/>
          <w:sz w:val="22"/>
          <w:szCs w:val="22"/>
          <w:lang w:val="en-GB" w:eastAsia="en-GB"/>
        </w:rPr>
        <w:t xml:space="preserve"> published following the </w:t>
      </w:r>
      <w:r w:rsidRPr="00BC0D2A">
        <w:rPr>
          <w:sz w:val="22"/>
          <w:szCs w:val="22"/>
          <w:lang w:val="en-GB" w:eastAsia="en-GB"/>
        </w:rPr>
        <w:t>company’s</w:t>
      </w:r>
      <w:r w:rsidRPr="00BC0D2A">
        <w:rPr>
          <w:bCs w:val="0"/>
          <w:sz w:val="22"/>
          <w:szCs w:val="22"/>
          <w:lang w:val="en-GB" w:eastAsia="en-GB"/>
        </w:rPr>
        <w:t xml:space="preserve"> response to the Chair’s offer, and then subsequently </w:t>
      </w:r>
      <w:r w:rsidRPr="00BC0D2A">
        <w:rPr>
          <w:sz w:val="22"/>
          <w:szCs w:val="22"/>
          <w:lang w:val="en-GB" w:eastAsia="en-GB"/>
        </w:rPr>
        <w:t>instead deciding</w:t>
      </w:r>
      <w:r w:rsidRPr="00BC0D2A">
        <w:rPr>
          <w:bCs w:val="0"/>
          <w:sz w:val="22"/>
          <w:szCs w:val="22"/>
          <w:lang w:val="en-GB" w:eastAsia="en-GB"/>
        </w:rPr>
        <w:t xml:space="preserve"> to hold a fourth ACM was procedurally unfair and denied the </w:t>
      </w:r>
      <w:r w:rsidRPr="00BC0D2A">
        <w:rPr>
          <w:sz w:val="22"/>
          <w:szCs w:val="22"/>
          <w:lang w:val="en-GB" w:eastAsia="en-GB"/>
        </w:rPr>
        <w:t>company</w:t>
      </w:r>
      <w:r w:rsidRPr="00BC0D2A">
        <w:rPr>
          <w:bCs w:val="0"/>
          <w:sz w:val="22"/>
          <w:szCs w:val="22"/>
          <w:lang w:val="en-GB" w:eastAsia="en-GB"/>
        </w:rPr>
        <w:t xml:space="preserve"> a fair opportunity to respond and make </w:t>
      </w:r>
      <w:r w:rsidRPr="00BC0D2A">
        <w:rPr>
          <w:sz w:val="22"/>
          <w:szCs w:val="22"/>
          <w:lang w:val="en-GB" w:eastAsia="en-GB"/>
        </w:rPr>
        <w:t>intelligent</w:t>
      </w:r>
      <w:r w:rsidRPr="00BC0D2A">
        <w:rPr>
          <w:bCs w:val="0"/>
          <w:sz w:val="22"/>
          <w:szCs w:val="22"/>
          <w:lang w:val="en-GB" w:eastAsia="en-GB"/>
        </w:rPr>
        <w:t xml:space="preserve"> representations </w:t>
      </w:r>
      <w:r w:rsidRPr="00BC0D2A">
        <w:rPr>
          <w:sz w:val="22"/>
          <w:szCs w:val="22"/>
          <w:lang w:val="en-GB" w:eastAsia="en-GB"/>
        </w:rPr>
        <w:t>based</w:t>
      </w:r>
      <w:r w:rsidRPr="00BC0D2A">
        <w:rPr>
          <w:bCs w:val="0"/>
          <w:sz w:val="22"/>
          <w:szCs w:val="22"/>
          <w:lang w:val="en-GB" w:eastAsia="en-GB"/>
        </w:rPr>
        <w:t xml:space="preserve"> on a proper understanding of the process.</w:t>
      </w:r>
    </w:p>
    <w:p w14:paraId="7C1F479B"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570AF9E5"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Following ACM 3, the Appraisal Committee requested further information on:</w:t>
      </w:r>
    </w:p>
    <w:p w14:paraId="5B21B84E"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37A87AAD" w14:textId="77777777" w:rsidR="00510C14" w:rsidRPr="00BC0D2A" w:rsidRDefault="00194D72" w:rsidP="00510C14">
      <w:pPr>
        <w:pStyle w:val="Numberedlevel3text"/>
        <w:numPr>
          <w:ilvl w:val="0"/>
          <w:numId w:val="41"/>
        </w:numPr>
        <w:spacing w:line="240" w:lineRule="auto"/>
        <w:jc w:val="both"/>
        <w:rPr>
          <w:sz w:val="22"/>
          <w:szCs w:val="22"/>
          <w:lang w:val="en-GB" w:eastAsia="en-GB"/>
        </w:rPr>
      </w:pPr>
      <w:r w:rsidRPr="00BC0D2A">
        <w:rPr>
          <w:sz w:val="22"/>
          <w:szCs w:val="22"/>
          <w:lang w:val="en-GB" w:eastAsia="en-GB"/>
        </w:rPr>
        <w:t xml:space="preserve">Usage of IVIg in patients who discontinue treatment with </w:t>
      </w:r>
      <w:proofErr w:type="gramStart"/>
      <w:r w:rsidRPr="00BC0D2A">
        <w:rPr>
          <w:sz w:val="22"/>
          <w:szCs w:val="22"/>
          <w:lang w:val="en-GB" w:eastAsia="en-GB"/>
        </w:rPr>
        <w:t>efgartigimod;</w:t>
      </w:r>
      <w:proofErr w:type="gramEnd"/>
      <w:r w:rsidRPr="00BC0D2A">
        <w:rPr>
          <w:sz w:val="22"/>
          <w:szCs w:val="22"/>
          <w:lang w:val="en-GB" w:eastAsia="en-GB"/>
        </w:rPr>
        <w:t xml:space="preserve"> </w:t>
      </w:r>
    </w:p>
    <w:p w14:paraId="55771FBB" w14:textId="77777777" w:rsidR="00510C14" w:rsidRPr="00BC0D2A" w:rsidRDefault="00194D72" w:rsidP="00510C14">
      <w:pPr>
        <w:pStyle w:val="Numberedlevel3text"/>
        <w:numPr>
          <w:ilvl w:val="0"/>
          <w:numId w:val="41"/>
        </w:numPr>
        <w:spacing w:line="240" w:lineRule="auto"/>
        <w:jc w:val="both"/>
        <w:rPr>
          <w:sz w:val="22"/>
          <w:szCs w:val="22"/>
          <w:lang w:val="en-GB" w:eastAsia="en-GB"/>
        </w:rPr>
      </w:pPr>
      <w:r w:rsidRPr="00BC0D2A">
        <w:rPr>
          <w:sz w:val="22"/>
          <w:szCs w:val="22"/>
          <w:lang w:val="en-GB" w:eastAsia="en-GB"/>
        </w:rPr>
        <w:t xml:space="preserve">Difference in time on treatment between efgartigimod and IVIg; and </w:t>
      </w:r>
    </w:p>
    <w:p w14:paraId="56091D74" w14:textId="77777777" w:rsidR="00510C14" w:rsidRPr="00BC0D2A" w:rsidRDefault="00194D72" w:rsidP="00510C14">
      <w:pPr>
        <w:pStyle w:val="Numberedlevel3text"/>
        <w:numPr>
          <w:ilvl w:val="0"/>
          <w:numId w:val="41"/>
        </w:numPr>
        <w:spacing w:after="0" w:line="240" w:lineRule="auto"/>
        <w:jc w:val="both"/>
        <w:rPr>
          <w:sz w:val="22"/>
          <w:szCs w:val="22"/>
          <w:lang w:val="en-GB" w:eastAsia="en-GB"/>
        </w:rPr>
      </w:pPr>
      <w:r w:rsidRPr="00BC0D2A">
        <w:rPr>
          <w:sz w:val="22"/>
          <w:szCs w:val="22"/>
          <w:lang w:val="en-GB" w:eastAsia="en-GB"/>
        </w:rPr>
        <w:t>Parameters related to IVIg use, efficacy and dosing.</w:t>
      </w:r>
    </w:p>
    <w:p w14:paraId="36BBC0C9" w14:textId="77777777" w:rsidR="00510C14" w:rsidRPr="00BC0D2A" w:rsidRDefault="00510C14" w:rsidP="00510C14">
      <w:pPr>
        <w:pStyle w:val="Numberedlevel3text"/>
        <w:numPr>
          <w:ilvl w:val="0"/>
          <w:numId w:val="0"/>
        </w:numPr>
        <w:spacing w:after="0" w:line="240" w:lineRule="auto"/>
        <w:ind w:left="120"/>
        <w:jc w:val="both"/>
        <w:rPr>
          <w:sz w:val="22"/>
          <w:szCs w:val="22"/>
          <w:lang w:val="en-GB" w:eastAsia="en-GB"/>
        </w:rPr>
      </w:pPr>
    </w:p>
    <w:p w14:paraId="5BDFAA19"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In response, the company provided further analysis and a fully executable model on 13 June 2024. The EAG critiqued the company’s response and a</w:t>
      </w:r>
      <w:r w:rsidRPr="00BC0D2A">
        <w:rPr>
          <w:rStyle w:val="cf01"/>
          <w:rFonts w:ascii="Arial" w:hAnsi="Arial" w:cs="Arial"/>
          <w:sz w:val="22"/>
          <w:szCs w:val="22"/>
          <w:lang w:val="en-GB"/>
        </w:rPr>
        <w:t xml:space="preserve">greed with the company’s position on </w:t>
      </w:r>
      <w:proofErr w:type="gramStart"/>
      <w:r w:rsidRPr="00BC0D2A">
        <w:rPr>
          <w:rStyle w:val="cf01"/>
          <w:rFonts w:ascii="Arial" w:hAnsi="Arial" w:cs="Arial"/>
          <w:sz w:val="22"/>
          <w:szCs w:val="22"/>
          <w:lang w:val="en-GB"/>
        </w:rPr>
        <w:t>a number of</w:t>
      </w:r>
      <w:proofErr w:type="gramEnd"/>
      <w:r w:rsidRPr="00BC0D2A">
        <w:rPr>
          <w:rStyle w:val="cf01"/>
          <w:rFonts w:ascii="Arial" w:hAnsi="Arial" w:cs="Arial"/>
          <w:sz w:val="22"/>
          <w:szCs w:val="22"/>
          <w:lang w:val="en-GB"/>
        </w:rPr>
        <w:t xml:space="preserve"> key points that impact the ICER, including in relation to the censoring of patients with MG-ADL&lt;5 score and noted that in the critical area of IVIg use in patients who discontinue efgartigimod further clinical opinion was needed. </w:t>
      </w:r>
    </w:p>
    <w:p w14:paraId="2E8D5B13"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7FEBA125"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NICE then communicated a Chair’s offer to the company on 18 July 2024, which stated that the FDG would be released following the company’s response, due by 1 August 2024. The Chair’s offer was based on the most conservative of the 12 scenarios provided by the EAG and was significantly more conservative than the EAG’s base case.</w:t>
      </w:r>
    </w:p>
    <w:p w14:paraId="0D91FFF5"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351502B1"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The company provided its response to the Chair’s offer with the understanding that there would be no further opportunity to respond and that the FDG would then be published; at no point was the company informed that its response would or might later go forward for EAG scrutiny.</w:t>
      </w:r>
    </w:p>
    <w:p w14:paraId="02150BFC"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7C796130"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The company disagreed with the Chair’s position and was unable to accept the Chair’s offer as it deviated significantly from the published evidence and clinician testimony in the appraisal, did not align to UK clinical practice, as well as being commercially unviable. The company proposed an alternative offer based on one of the EAG’s modelled scenarios that the company considered as more representative of the evidence submitted, </w:t>
      </w:r>
      <w:proofErr w:type="gramStart"/>
      <w:r w:rsidRPr="00BC0D2A">
        <w:rPr>
          <w:sz w:val="22"/>
          <w:szCs w:val="22"/>
          <w:lang w:val="en-GB" w:eastAsia="en-GB"/>
        </w:rPr>
        <w:t>taking into account</w:t>
      </w:r>
      <w:proofErr w:type="gramEnd"/>
      <w:r w:rsidRPr="00BC0D2A">
        <w:rPr>
          <w:sz w:val="22"/>
          <w:szCs w:val="22"/>
          <w:lang w:val="en-GB" w:eastAsia="en-GB"/>
        </w:rPr>
        <w:t xml:space="preserve"> the Appraisal Committee’s preferred assumptions. The company was instructed by NICE not to provide any additional analysis or commentary as it would not be sent on to the Appraisal Committee. </w:t>
      </w:r>
    </w:p>
    <w:p w14:paraId="579279CE"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2957BF0F"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NICE rejected the company’s response offer and, rather than issuing an FDG as previously communicated, instead informed the company that a fourth ACM would be scheduled. </w:t>
      </w:r>
    </w:p>
    <w:p w14:paraId="26497985"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6BC79956"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The company’s response to the Chair’s offer was provided on the understanding that, and in reliance on NICE’s stated position that, the next step would be publication of the FDG, i.e. there would not be a further ACM.  Had the company been aware that its position would or might be later shared with the EAG and form the basis for ACM 4, the company would not have taken the same position on several key assumptions in its response to the Chair’s offer.</w:t>
      </w:r>
    </w:p>
    <w:p w14:paraId="63527705"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6DACE18A"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It also means that the company has already proposed a materially higher patient access scheme than is supported based on the company’s modelled range of ICERs.</w:t>
      </w:r>
    </w:p>
    <w:p w14:paraId="1C556C76"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142EB221"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NICE initially communicated to the company that ACM 4 would be a private Appraisal Committee meeting (so without company or clinical expert stakeholder involvement) and that a limited set of information would be provided to the Appraisal Committee, including the company’s response to the Appraisal Committee’s request for information after ACM 3 and the EAG’s critique, but not the company’s letter responding to the Chair’s offer.  The company was told by NICE that it could provide no more than an update on its response offer (i.e., no more than a PAS and corresponding ICER) submitted to the Chair to the Appraisal Committee in </w:t>
      </w:r>
      <w:r w:rsidRPr="00BC0D2A">
        <w:rPr>
          <w:sz w:val="22"/>
          <w:szCs w:val="22"/>
          <w:lang w:val="en-GB" w:eastAsia="en-GB"/>
        </w:rPr>
        <w:lastRenderedPageBreak/>
        <w:t>advance of ACM 4, but after the company pushed back, NICE agreed that the company could provide a minimal amount of contextual information (two pages) alongside. The company sent an updated proposal for the Appraisal Committee on 15 August 2024.  There was no new evidence or data contained within this updated proposal, only an updated PAS and ICER with contextual, supporting rationale.</w:t>
      </w:r>
    </w:p>
    <w:p w14:paraId="5E74457F"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2D9B0B1B"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Without explanation, NICE then changed ACM 4 to a public meeting and confirmed that the documents described above would be shared with the Appraisal Committee as well as a further critique of the company’s new updated base case which had been requested from the EAG. After a significant delay, the company was informed that the date for ACM 4 would be 3 October 2024, and that the EAG critique would be finalised and shared in early September.</w:t>
      </w:r>
    </w:p>
    <w:p w14:paraId="3005C8DA"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68F715F4"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On 19 September, NICE communicated to the company that </w:t>
      </w:r>
      <w:r w:rsidR="00AF5262" w:rsidRPr="00BC0D2A">
        <w:rPr>
          <w:sz w:val="22"/>
          <w:szCs w:val="22"/>
          <w:lang w:val="en-GB" w:eastAsia="en-GB"/>
        </w:rPr>
        <w:t>it was</w:t>
      </w:r>
      <w:r w:rsidRPr="00BC0D2A">
        <w:rPr>
          <w:sz w:val="22"/>
          <w:szCs w:val="22"/>
          <w:lang w:val="en-GB" w:eastAsia="en-GB"/>
        </w:rPr>
        <w:t xml:space="preserve"> “</w:t>
      </w:r>
      <w:r w:rsidRPr="00BC0D2A">
        <w:rPr>
          <w:i/>
          <w:sz w:val="22"/>
          <w:szCs w:val="22"/>
          <w:lang w:val="en-GB" w:eastAsia="en-GB"/>
        </w:rPr>
        <w:t>not able to proceed with the planned committee discussion on 3 October for this topic. This is for operational reasons including, unfortunately, unexpected health related issues for both the committee chair and vice-chair</w:t>
      </w:r>
      <w:r w:rsidRPr="00BC0D2A">
        <w:rPr>
          <w:sz w:val="22"/>
          <w:szCs w:val="22"/>
          <w:lang w:val="en-GB" w:eastAsia="en-GB"/>
        </w:rPr>
        <w:t xml:space="preserve">”. While the Committee D meeting scheduled for 3 October 2024 was not cancelled, and indeed went ahead with two other appraisals on the day, NICE delayed the inclusion of the efgartigimod ACM 4 to 5 December 2024.  </w:t>
      </w:r>
    </w:p>
    <w:p w14:paraId="6A122BC6"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5626279D"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The EAG’s critique was also delayed, without explanation, and was provided to the company on 5 November, two months later than indicated.  The company reviewed the EAG’s comments on receipt and responded to NICE, including evidence on the three key areas of alleged uncertainty, being (</w:t>
      </w:r>
      <w:proofErr w:type="spellStart"/>
      <w:r w:rsidRPr="00BC0D2A">
        <w:rPr>
          <w:sz w:val="22"/>
          <w:szCs w:val="22"/>
          <w:lang w:val="en-GB" w:eastAsia="en-GB"/>
        </w:rPr>
        <w:t>i</w:t>
      </w:r>
      <w:proofErr w:type="spellEnd"/>
      <w:r w:rsidRPr="00BC0D2A">
        <w:rPr>
          <w:sz w:val="22"/>
          <w:szCs w:val="22"/>
          <w:lang w:val="en-GB" w:eastAsia="en-GB"/>
        </w:rPr>
        <w:t xml:space="preserve">) treatment options considered in clinical practice for </w:t>
      </w:r>
      <w:proofErr w:type="spellStart"/>
      <w:r w:rsidRPr="00BC0D2A">
        <w:rPr>
          <w:sz w:val="22"/>
          <w:szCs w:val="22"/>
          <w:lang w:val="en-GB" w:eastAsia="en-GB"/>
        </w:rPr>
        <w:t>gMG</w:t>
      </w:r>
      <w:proofErr w:type="spellEnd"/>
      <w:r w:rsidRPr="00BC0D2A">
        <w:rPr>
          <w:sz w:val="22"/>
          <w:szCs w:val="22"/>
          <w:lang w:val="en-GB" w:eastAsia="en-GB"/>
        </w:rPr>
        <w:t xml:space="preserve"> patient that are refractory to all available treatment options including maintenance IVIg; (ii) treatment options considered for </w:t>
      </w:r>
      <w:proofErr w:type="spellStart"/>
      <w:r w:rsidRPr="00BC0D2A">
        <w:rPr>
          <w:sz w:val="22"/>
          <w:szCs w:val="22"/>
          <w:lang w:val="en-GB" w:eastAsia="en-GB"/>
        </w:rPr>
        <w:t>gMG</w:t>
      </w:r>
      <w:proofErr w:type="spellEnd"/>
      <w:r w:rsidRPr="00BC0D2A">
        <w:rPr>
          <w:sz w:val="22"/>
          <w:szCs w:val="22"/>
          <w:lang w:val="en-GB" w:eastAsia="en-GB"/>
        </w:rPr>
        <w:t xml:space="preserve"> patients with an MG-ADL score ≤ 5; and (iii) typical treatment regimen for </w:t>
      </w:r>
      <w:proofErr w:type="spellStart"/>
      <w:r w:rsidRPr="00BC0D2A">
        <w:rPr>
          <w:sz w:val="22"/>
          <w:szCs w:val="22"/>
          <w:lang w:val="en-GB" w:eastAsia="en-GB"/>
        </w:rPr>
        <w:t>gMG</w:t>
      </w:r>
      <w:proofErr w:type="spellEnd"/>
      <w:r w:rsidRPr="00BC0D2A">
        <w:rPr>
          <w:sz w:val="22"/>
          <w:szCs w:val="22"/>
          <w:lang w:val="en-GB" w:eastAsia="en-GB"/>
        </w:rPr>
        <w:t xml:space="preserve"> patients who are receiving maintenance treatment with plasma exchange.  The company also provided the results of an updated base case analysis with </w:t>
      </w:r>
      <w:proofErr w:type="gramStart"/>
      <w:r w:rsidRPr="00BC0D2A">
        <w:rPr>
          <w:sz w:val="22"/>
          <w:szCs w:val="22"/>
          <w:lang w:val="en-GB" w:eastAsia="en-GB"/>
        </w:rPr>
        <w:t>IVIg</w:t>
      </w:r>
      <w:proofErr w:type="gramEnd"/>
      <w:r w:rsidRPr="00BC0D2A">
        <w:rPr>
          <w:sz w:val="22"/>
          <w:szCs w:val="22"/>
          <w:lang w:val="en-GB" w:eastAsia="en-GB"/>
        </w:rPr>
        <w:t xml:space="preserve"> and plasma exchange applied equally in both arms addressing the Appraisal Committee’s preferred position, which showed improved cost effectiveness, </w:t>
      </w:r>
      <w:r w:rsidRPr="00BC0D2A">
        <w:rPr>
          <w:sz w:val="22"/>
          <w:szCs w:val="22"/>
          <w:lang w:val="en-GB"/>
        </w:rPr>
        <w:t>positioning efgartigimod as a cost-effective option under the offered PAS</w:t>
      </w:r>
      <w:r w:rsidRPr="00BC0D2A">
        <w:rPr>
          <w:sz w:val="22"/>
          <w:szCs w:val="22"/>
          <w:lang w:val="en-GB" w:eastAsia="en-GB"/>
        </w:rPr>
        <w:t xml:space="preserve">. However, NICE responded that neither the company’s comments on the EAG critique, nor the updated analysis, would be provided to the Appraisal Committee for consideration in ACM 4, as there was insufficient time.  </w:t>
      </w:r>
    </w:p>
    <w:p w14:paraId="10CAA654"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495B9465" w14:textId="042DDB9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rPr>
        <w:t>This decision to disregard the company’s responses prior to ACM 4</w:t>
      </w:r>
      <w:r w:rsidR="005C3515">
        <w:rPr>
          <w:sz w:val="22"/>
          <w:szCs w:val="22"/>
          <w:lang w:val="en-GB"/>
        </w:rPr>
        <w:t xml:space="preserve"> – </w:t>
      </w:r>
      <w:r w:rsidRPr="00BC0D2A">
        <w:rPr>
          <w:sz w:val="22"/>
          <w:szCs w:val="22"/>
          <w:lang w:val="en-GB"/>
        </w:rPr>
        <w:t>despite the given reason of lack of time for the Appraisal Committee to review these in advance of ACM 4 being caused by NICE’s delays</w:t>
      </w:r>
      <w:r w:rsidR="005C3515">
        <w:rPr>
          <w:sz w:val="22"/>
          <w:szCs w:val="22"/>
          <w:lang w:val="en-GB"/>
        </w:rPr>
        <w:t xml:space="preserve"> – </w:t>
      </w:r>
      <w:r w:rsidRPr="00BC0D2A">
        <w:rPr>
          <w:sz w:val="22"/>
          <w:szCs w:val="22"/>
          <w:lang w:val="en-GB"/>
        </w:rPr>
        <w:t xml:space="preserve">resulted in the Appraisal Committee overlooking or misinterpreting essential information as well as </w:t>
      </w:r>
      <w:r w:rsidR="00AF5262" w:rsidRPr="00BC0D2A">
        <w:rPr>
          <w:sz w:val="22"/>
          <w:szCs w:val="22"/>
          <w:lang w:val="en-GB"/>
        </w:rPr>
        <w:t xml:space="preserve">not being able to consider </w:t>
      </w:r>
      <w:r w:rsidRPr="00BC0D2A">
        <w:rPr>
          <w:sz w:val="22"/>
          <w:szCs w:val="22"/>
          <w:lang w:val="en-GB"/>
        </w:rPr>
        <w:t>the company’s efforts to address and resolve the outstanding issues at ACM 4</w:t>
      </w:r>
      <w:r w:rsidRPr="00BC0D2A">
        <w:rPr>
          <w:sz w:val="22"/>
          <w:szCs w:val="22"/>
          <w:lang w:val="en-GB" w:eastAsia="en-GB"/>
        </w:rPr>
        <w:t>. As an example, the Appraisal Committee slides for ACM 4 specifically criticise the company for not enough detail on plasma exchange inclusion however the company was explicitly asked not to provide this level of information. This is also relevant in Ground 2.2 below.</w:t>
      </w:r>
    </w:p>
    <w:p w14:paraId="5958C327"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3D438E8D"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bCs w:val="0"/>
          <w:sz w:val="22"/>
          <w:szCs w:val="22"/>
          <w:lang w:val="en-GB" w:eastAsia="en-GB"/>
        </w:rPr>
        <w:t xml:space="preserve">The chaotic process between ACM 3 and ACM 4 resulted in </w:t>
      </w:r>
      <w:r w:rsidRPr="00BC0D2A">
        <w:rPr>
          <w:sz w:val="22"/>
          <w:szCs w:val="22"/>
          <w:lang w:val="en-GB" w:eastAsia="en-GB"/>
        </w:rPr>
        <w:t>a</w:t>
      </w:r>
      <w:r w:rsidRPr="00BC0D2A">
        <w:rPr>
          <w:bCs w:val="0"/>
          <w:sz w:val="22"/>
          <w:szCs w:val="22"/>
          <w:lang w:val="en-GB" w:eastAsia="en-GB"/>
        </w:rPr>
        <w:t xml:space="preserve"> process </w:t>
      </w:r>
      <w:r w:rsidRPr="00BC0D2A">
        <w:rPr>
          <w:sz w:val="22"/>
          <w:szCs w:val="22"/>
          <w:lang w:val="en-GB" w:eastAsia="en-GB"/>
        </w:rPr>
        <w:t>that lacked transparency</w:t>
      </w:r>
      <w:r w:rsidRPr="00BC0D2A">
        <w:rPr>
          <w:bCs w:val="0"/>
          <w:sz w:val="22"/>
          <w:szCs w:val="22"/>
          <w:lang w:val="en-GB" w:eastAsia="en-GB"/>
        </w:rPr>
        <w:t xml:space="preserve"> </w:t>
      </w:r>
      <w:r w:rsidRPr="00BC0D2A">
        <w:rPr>
          <w:sz w:val="22"/>
          <w:szCs w:val="22"/>
          <w:lang w:val="en-GB" w:eastAsia="en-GB"/>
        </w:rPr>
        <w:t xml:space="preserve">and appropriate engagement.  In this respect, it was procedurally unfair and inconsistent with Section 6.1.8 of NICE’s Manual, which states: </w:t>
      </w:r>
    </w:p>
    <w:p w14:paraId="63C099D4"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6EDA355A" w14:textId="77777777" w:rsidR="00510C14" w:rsidRPr="00BC0D2A" w:rsidRDefault="00194D72" w:rsidP="00510C14">
      <w:pPr>
        <w:pStyle w:val="Numberedlevel3text"/>
        <w:numPr>
          <w:ilvl w:val="0"/>
          <w:numId w:val="0"/>
        </w:numPr>
        <w:spacing w:after="0" w:line="240" w:lineRule="auto"/>
        <w:ind w:left="720"/>
        <w:jc w:val="both"/>
        <w:rPr>
          <w:i/>
          <w:sz w:val="22"/>
          <w:szCs w:val="22"/>
          <w:lang w:val="en-GB" w:eastAsia="en-GB"/>
        </w:rPr>
      </w:pPr>
      <w:r w:rsidRPr="00BC0D2A">
        <w:rPr>
          <w:i/>
          <w:sz w:val="22"/>
          <w:szCs w:val="22"/>
          <w:lang w:val="en-GB" w:eastAsia="en-GB"/>
        </w:rPr>
        <w:t xml:space="preserve">“The credibility of the guidance produced by NICE depends on the transparency of the committee’s decision-making process”. </w:t>
      </w:r>
    </w:p>
    <w:p w14:paraId="443DA7A5"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0C5538CA"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r w:rsidRPr="00BC0D2A">
        <w:rPr>
          <w:sz w:val="22"/>
          <w:szCs w:val="22"/>
          <w:lang w:val="en-GB" w:eastAsia="en-GB"/>
        </w:rPr>
        <w:t>Further, it</w:t>
      </w:r>
      <w:r w:rsidRPr="00BC0D2A">
        <w:rPr>
          <w:bCs w:val="0"/>
          <w:sz w:val="22"/>
          <w:szCs w:val="22"/>
          <w:lang w:val="en-GB" w:eastAsia="en-GB"/>
        </w:rPr>
        <w:t xml:space="preserve"> exacerbated the risk of an irrational and unreasonable outcome, which is what has then followed. </w:t>
      </w:r>
    </w:p>
    <w:p w14:paraId="3C705AAD" w14:textId="77777777" w:rsidR="00510C14" w:rsidRPr="00BC0D2A" w:rsidRDefault="00194D72">
      <w:pPr>
        <w:spacing w:line="240" w:lineRule="auto"/>
        <w:jc w:val="left"/>
        <w:rPr>
          <w:rFonts w:ascii="Arial" w:eastAsia="Times New Roman" w:hAnsi="Arial" w:cs="Arial"/>
          <w:b/>
          <w:bCs/>
          <w:sz w:val="22"/>
          <w:lang w:val="en-GB" w:eastAsia="x-none"/>
        </w:rPr>
      </w:pPr>
      <w:r w:rsidRPr="00BC0D2A">
        <w:rPr>
          <w:rFonts w:cs="Arial"/>
          <w:sz w:val="22"/>
          <w:lang w:val="en-GB"/>
        </w:rPr>
        <w:br w:type="page"/>
      </w:r>
    </w:p>
    <w:p w14:paraId="3D5368A7" w14:textId="77777777" w:rsidR="00510C14" w:rsidRPr="00BC0D2A" w:rsidRDefault="00194D72" w:rsidP="00510C14">
      <w:pPr>
        <w:pStyle w:val="Heading3"/>
        <w:jc w:val="both"/>
        <w:rPr>
          <w:rFonts w:cs="Arial"/>
          <w:bCs w:val="0"/>
          <w:szCs w:val="24"/>
          <w:lang w:val="en-GB" w:eastAsia="en-GB"/>
        </w:rPr>
      </w:pPr>
      <w:r w:rsidRPr="00BC0D2A">
        <w:rPr>
          <w:rFonts w:cs="Arial"/>
          <w:szCs w:val="24"/>
          <w:lang w:val="en-GB"/>
        </w:rPr>
        <w:lastRenderedPageBreak/>
        <w:t>1(a).3</w:t>
      </w:r>
      <w:r w:rsidRPr="00BC0D2A">
        <w:rPr>
          <w:rFonts w:cs="Arial"/>
          <w:szCs w:val="24"/>
          <w:lang w:val="en-GB"/>
        </w:rPr>
        <w:tab/>
      </w:r>
      <w:r w:rsidRPr="00BC0D2A">
        <w:rPr>
          <w:rFonts w:cs="Arial"/>
          <w:szCs w:val="24"/>
          <w:lang w:val="en-GB" w:eastAsia="en-GB"/>
        </w:rPr>
        <w:t>The</w:t>
      </w:r>
      <w:r w:rsidRPr="00BC0D2A">
        <w:rPr>
          <w:rFonts w:cs="Arial"/>
          <w:bCs w:val="0"/>
          <w:szCs w:val="24"/>
          <w:lang w:val="en-GB" w:eastAsia="en-GB"/>
        </w:rPr>
        <w:t xml:space="preserve"> failure to provide draft guidance for consultation </w:t>
      </w:r>
      <w:r w:rsidRPr="00BC0D2A">
        <w:rPr>
          <w:rFonts w:cs="Arial"/>
          <w:szCs w:val="24"/>
          <w:lang w:val="en-GB" w:eastAsia="en-GB"/>
        </w:rPr>
        <w:t>prior to the fourth Appraisal Committee Meeting was</w:t>
      </w:r>
      <w:r w:rsidRPr="00BC0D2A">
        <w:rPr>
          <w:rFonts w:cs="Arial"/>
          <w:bCs w:val="0"/>
          <w:szCs w:val="24"/>
          <w:lang w:val="en-GB" w:eastAsia="en-GB"/>
        </w:rPr>
        <w:t xml:space="preserve"> unfair.</w:t>
      </w:r>
    </w:p>
    <w:p w14:paraId="43E2A549"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68EBBA75"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r w:rsidRPr="00BC0D2A">
        <w:rPr>
          <w:bCs w:val="0"/>
          <w:sz w:val="22"/>
          <w:szCs w:val="22"/>
          <w:lang w:val="en-GB" w:eastAsia="en-GB"/>
        </w:rPr>
        <w:t xml:space="preserve">Flowing from the procedural unfairness set out in </w:t>
      </w:r>
      <w:r w:rsidRPr="00BC0D2A">
        <w:rPr>
          <w:sz w:val="22"/>
          <w:szCs w:val="22"/>
          <w:lang w:val="en-GB" w:eastAsia="en-GB"/>
        </w:rPr>
        <w:t>Ground</w:t>
      </w:r>
      <w:r w:rsidRPr="00BC0D2A">
        <w:rPr>
          <w:bCs w:val="0"/>
          <w:sz w:val="22"/>
          <w:szCs w:val="22"/>
          <w:lang w:val="en-GB" w:eastAsia="en-GB"/>
        </w:rPr>
        <w:t xml:space="preserve"> </w:t>
      </w:r>
      <w:r w:rsidRPr="00BC0D2A">
        <w:rPr>
          <w:sz w:val="22"/>
          <w:szCs w:val="22"/>
          <w:lang w:val="en-GB" w:eastAsia="en-GB"/>
        </w:rPr>
        <w:t>1(a).2,</w:t>
      </w:r>
      <w:r w:rsidRPr="00BC0D2A">
        <w:rPr>
          <w:bCs w:val="0"/>
          <w:sz w:val="22"/>
          <w:szCs w:val="22"/>
          <w:lang w:val="en-GB" w:eastAsia="en-GB"/>
        </w:rPr>
        <w:t xml:space="preserve"> NICE’s </w:t>
      </w:r>
      <w:r w:rsidRPr="00BC0D2A">
        <w:rPr>
          <w:sz w:val="22"/>
          <w:szCs w:val="22"/>
          <w:lang w:val="en-GB" w:eastAsia="en-GB"/>
        </w:rPr>
        <w:t xml:space="preserve">failure to provide </w:t>
      </w:r>
      <w:r w:rsidRPr="00BC0D2A">
        <w:rPr>
          <w:bCs w:val="0"/>
          <w:sz w:val="22"/>
          <w:szCs w:val="22"/>
          <w:lang w:val="en-GB" w:eastAsia="en-GB"/>
        </w:rPr>
        <w:t>draft guidance for consultation</w:t>
      </w:r>
      <w:r w:rsidRPr="00BC0D2A">
        <w:rPr>
          <w:sz w:val="22"/>
          <w:szCs w:val="22"/>
          <w:lang w:val="en-GB" w:eastAsia="en-GB"/>
        </w:rPr>
        <w:t xml:space="preserve"> prior to ACM 4</w:t>
      </w:r>
      <w:r w:rsidRPr="00BC0D2A">
        <w:rPr>
          <w:bCs w:val="0"/>
          <w:sz w:val="22"/>
          <w:szCs w:val="22"/>
          <w:lang w:val="en-GB" w:eastAsia="en-GB"/>
        </w:rPr>
        <w:t xml:space="preserve"> is unfair and denied the </w:t>
      </w:r>
      <w:r w:rsidRPr="00BC0D2A">
        <w:rPr>
          <w:sz w:val="22"/>
          <w:szCs w:val="22"/>
          <w:lang w:val="en-GB" w:eastAsia="en-GB"/>
        </w:rPr>
        <w:t>company</w:t>
      </w:r>
      <w:r w:rsidRPr="00BC0D2A">
        <w:rPr>
          <w:bCs w:val="0"/>
          <w:sz w:val="22"/>
          <w:szCs w:val="22"/>
          <w:lang w:val="en-GB" w:eastAsia="en-GB"/>
        </w:rPr>
        <w:t xml:space="preserve"> </w:t>
      </w:r>
      <w:r w:rsidRPr="00BC0D2A">
        <w:rPr>
          <w:sz w:val="22"/>
          <w:szCs w:val="22"/>
          <w:lang w:val="en-GB" w:eastAsia="en-GB"/>
        </w:rPr>
        <w:t>and all stakeholders a</w:t>
      </w:r>
      <w:r w:rsidRPr="00BC0D2A">
        <w:rPr>
          <w:bCs w:val="0"/>
          <w:sz w:val="22"/>
          <w:szCs w:val="22"/>
          <w:lang w:val="en-GB" w:eastAsia="en-GB"/>
        </w:rPr>
        <w:t xml:space="preserve"> </w:t>
      </w:r>
      <w:r w:rsidRPr="00BC0D2A">
        <w:rPr>
          <w:sz w:val="22"/>
          <w:szCs w:val="22"/>
          <w:lang w:val="en-GB" w:eastAsia="en-GB"/>
        </w:rPr>
        <w:t>reasonable</w:t>
      </w:r>
      <w:r w:rsidRPr="00BC0D2A">
        <w:rPr>
          <w:bCs w:val="0"/>
          <w:sz w:val="22"/>
          <w:szCs w:val="22"/>
          <w:lang w:val="en-GB" w:eastAsia="en-GB"/>
        </w:rPr>
        <w:t xml:space="preserve"> opportunity to make </w:t>
      </w:r>
      <w:r w:rsidRPr="00BC0D2A">
        <w:rPr>
          <w:sz w:val="22"/>
          <w:szCs w:val="22"/>
          <w:lang w:val="en-GB" w:eastAsia="en-GB"/>
        </w:rPr>
        <w:t>intelligent</w:t>
      </w:r>
      <w:r w:rsidRPr="00BC0D2A">
        <w:rPr>
          <w:bCs w:val="0"/>
          <w:sz w:val="22"/>
          <w:szCs w:val="22"/>
          <w:lang w:val="en-GB" w:eastAsia="en-GB"/>
        </w:rPr>
        <w:t xml:space="preserve"> representations</w:t>
      </w:r>
      <w:r w:rsidRPr="00BC0D2A">
        <w:rPr>
          <w:sz w:val="22"/>
          <w:szCs w:val="22"/>
          <w:lang w:val="en-GB" w:eastAsia="en-GB"/>
        </w:rPr>
        <w:t xml:space="preserve"> on the Appraisal Committee’s position in advance of ACM 4</w:t>
      </w:r>
      <w:r w:rsidRPr="00BC0D2A">
        <w:rPr>
          <w:bCs w:val="0"/>
          <w:sz w:val="22"/>
          <w:szCs w:val="22"/>
          <w:lang w:val="en-GB" w:eastAsia="en-GB"/>
        </w:rPr>
        <w:t>.</w:t>
      </w:r>
    </w:p>
    <w:p w14:paraId="365D0BA6"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2A949D6C"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On making the decision to schedule a fourth ACM, the Appraisal Committee should have provided both the company and other stakeholders with the opportunity to fully understand and comment on the Appraisal Committee’s position by way of updated draft guidance for consultation ahead of ACM 4.  </w:t>
      </w:r>
    </w:p>
    <w:p w14:paraId="226801F7"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0B203062" w14:textId="77777777" w:rsidR="00510C14" w:rsidRPr="00BC0D2A" w:rsidRDefault="00194D72" w:rsidP="00510C14">
      <w:pPr>
        <w:pStyle w:val="Numberedlevel3text"/>
        <w:numPr>
          <w:ilvl w:val="0"/>
          <w:numId w:val="0"/>
        </w:numPr>
        <w:spacing w:after="0" w:line="240" w:lineRule="auto"/>
        <w:jc w:val="both"/>
        <w:rPr>
          <w:lang w:val="en-GB"/>
        </w:rPr>
      </w:pPr>
      <w:r w:rsidRPr="00BC0D2A">
        <w:rPr>
          <w:sz w:val="22"/>
          <w:szCs w:val="22"/>
          <w:lang w:val="en-GB"/>
        </w:rPr>
        <w:t>While the company acknowledges that NICE’s Manual does not expressly provide that consultation must be provided at this stage, doing so would have allowed a fair and transparent process going into ACM 4, including enabling the company to amend its approach based on the Appraisal Committee’s preferred assumptions, particularly given the points made in Ground 1</w:t>
      </w:r>
      <w:proofErr w:type="gramStart"/>
      <w:r w:rsidRPr="00BC0D2A">
        <w:rPr>
          <w:sz w:val="22"/>
          <w:szCs w:val="22"/>
          <w:lang w:val="en-GB"/>
        </w:rPr>
        <w:t>a(</w:t>
      </w:r>
      <w:proofErr w:type="gramEnd"/>
      <w:r w:rsidRPr="00BC0D2A">
        <w:rPr>
          <w:sz w:val="22"/>
          <w:szCs w:val="22"/>
          <w:lang w:val="en-GB"/>
        </w:rPr>
        <w:t xml:space="preserve">2) above.  As a specific example, new issues in relation to clinical efficacy and dosing data, which had been addressed and accepted by the Appraisal Committee at ACM 2 were reopened in ACM 4 (see Ground 2.4 below); these could have been addressed by the company in advance of ACM 4 had consultation on updated draft guidance taken place.  </w:t>
      </w:r>
    </w:p>
    <w:p w14:paraId="6CECD64C"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54E61260"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fact that NICE scheduled a fourth ACM, rather than publishing the FDG after the Chair’s offer, also illustrates that material points remained unresolved following ACM 3; the company raised this concern with the NICE team, including with NICE senior management during a call on 28 November 2024, but it was not addressed. Furthermore, while there were exchanges between the company and NICE following ACM 3 as described in Ground 2.2 above, </w:t>
      </w:r>
      <w:proofErr w:type="gramStart"/>
      <w:r w:rsidRPr="00BC0D2A">
        <w:rPr>
          <w:sz w:val="22"/>
          <w:szCs w:val="22"/>
          <w:lang w:val="en-GB"/>
        </w:rPr>
        <w:t>in reality these</w:t>
      </w:r>
      <w:proofErr w:type="gramEnd"/>
      <w:r w:rsidRPr="00BC0D2A">
        <w:rPr>
          <w:sz w:val="22"/>
          <w:szCs w:val="22"/>
          <w:lang w:val="en-GB"/>
        </w:rPr>
        <w:t xml:space="preserve"> were extremely restrictive, with limited opportunities for any new information or modelling approaches.  This did not constitute adequate consultation or reflect the totality of the approach that the company would have taken had consultation on draft guidance occurred, nor did it allow other stakeholders any opportunity to comment prior to ACM 4.  For example, had draft guidance been published, the company would have had the opportunity to obtain expert elicitation as indicated in the EAG’s comments to reduce the uncertainty identified and would have been aware of and able to present additional evidence to support the use</w:t>
      </w:r>
      <w:r w:rsidR="00AF5262" w:rsidRPr="00BC0D2A">
        <w:rPr>
          <w:sz w:val="22"/>
          <w:szCs w:val="22"/>
          <w:lang w:val="en-GB"/>
        </w:rPr>
        <w:t xml:space="preserve"> of</w:t>
      </w:r>
      <w:r w:rsidRPr="00BC0D2A">
        <w:rPr>
          <w:sz w:val="22"/>
          <w:szCs w:val="22"/>
          <w:lang w:val="en-GB"/>
        </w:rPr>
        <w:t xml:space="preserve"> ADAPT trial data for dosing which is raised in Ground 2.4. </w:t>
      </w:r>
    </w:p>
    <w:p w14:paraId="195BD4F4"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73055394"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rPr>
        <w:t xml:space="preserve">The absence of draft guidance and consultation prior to ACM 4 resulted in a lack of transparency in the Appraisal Committee’s decision-making, that again is inconsistent with the </w:t>
      </w:r>
      <w:proofErr w:type="gramStart"/>
      <w:r w:rsidRPr="00BC0D2A">
        <w:rPr>
          <w:sz w:val="22"/>
          <w:szCs w:val="22"/>
          <w:lang w:val="en-GB"/>
        </w:rPr>
        <w:t xml:space="preserve">statement </w:t>
      </w:r>
      <w:r w:rsidRPr="00BC0D2A">
        <w:rPr>
          <w:sz w:val="22"/>
          <w:szCs w:val="22"/>
          <w:lang w:val="en-GB" w:eastAsia="en-GB"/>
        </w:rPr>
        <w:t xml:space="preserve"> </w:t>
      </w:r>
      <w:r w:rsidRPr="00BC0D2A">
        <w:rPr>
          <w:i/>
          <w:iCs/>
          <w:sz w:val="22"/>
          <w:szCs w:val="22"/>
          <w:lang w:val="en-GB" w:eastAsia="en-GB"/>
        </w:rPr>
        <w:t>“</w:t>
      </w:r>
      <w:proofErr w:type="gramEnd"/>
      <w:r w:rsidRPr="00BC0D2A">
        <w:rPr>
          <w:i/>
          <w:iCs/>
          <w:sz w:val="22"/>
          <w:szCs w:val="22"/>
          <w:lang w:val="en-GB" w:eastAsia="en-GB"/>
        </w:rPr>
        <w:t>The credibility of the guidance produced by NICE depends on the transparency of the committee’s decision-making process”</w:t>
      </w:r>
      <w:r w:rsidRPr="00BC0D2A">
        <w:rPr>
          <w:sz w:val="22"/>
          <w:szCs w:val="22"/>
          <w:lang w:val="en-GB" w:eastAsia="en-GB"/>
        </w:rPr>
        <w:t xml:space="preserve"> in </w:t>
      </w:r>
      <w:r w:rsidRPr="00BC0D2A">
        <w:rPr>
          <w:sz w:val="22"/>
          <w:szCs w:val="22"/>
          <w:lang w:val="en-GB"/>
        </w:rPr>
        <w:t>Section 6.1.8 of NICE’s Manual.</w:t>
      </w:r>
    </w:p>
    <w:p w14:paraId="2E6444C9"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57AF9BC6"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It denied the company and all stakeholders a fair opportunity to make intelligent representations in advance of ACM 4, directly impacting the course of discussions on outstanding key issues at ACM </w:t>
      </w:r>
      <w:proofErr w:type="gramStart"/>
      <w:r w:rsidRPr="00BC0D2A">
        <w:rPr>
          <w:sz w:val="22"/>
          <w:szCs w:val="22"/>
          <w:lang w:val="en-GB"/>
        </w:rPr>
        <w:t>4, and</w:t>
      </w:r>
      <w:proofErr w:type="gramEnd"/>
      <w:r w:rsidRPr="00BC0D2A">
        <w:rPr>
          <w:sz w:val="22"/>
          <w:szCs w:val="22"/>
          <w:lang w:val="en-GB"/>
        </w:rPr>
        <w:t xml:space="preserve"> was procedurally unfair. </w:t>
      </w:r>
    </w:p>
    <w:p w14:paraId="06F7E315" w14:textId="77777777" w:rsidR="00510C14" w:rsidRPr="00BC0D2A" w:rsidRDefault="00194D72">
      <w:pPr>
        <w:spacing w:line="240" w:lineRule="auto"/>
        <w:jc w:val="left"/>
        <w:rPr>
          <w:rFonts w:ascii="Arial" w:eastAsia="Times New Roman" w:hAnsi="Arial" w:cs="Arial"/>
          <w:b/>
          <w:bCs/>
          <w:sz w:val="24"/>
          <w:szCs w:val="26"/>
          <w:lang w:val="en-GB" w:eastAsia="x-none"/>
        </w:rPr>
      </w:pPr>
      <w:r w:rsidRPr="00BC0D2A">
        <w:rPr>
          <w:rFonts w:cs="Arial"/>
          <w:lang w:val="en-GB"/>
        </w:rPr>
        <w:br w:type="page"/>
      </w:r>
    </w:p>
    <w:p w14:paraId="6ECF6289" w14:textId="77777777" w:rsidR="00510C14" w:rsidRPr="00BC0D2A" w:rsidRDefault="00194D72" w:rsidP="00510C14">
      <w:pPr>
        <w:pStyle w:val="Heading3"/>
        <w:jc w:val="both"/>
        <w:rPr>
          <w:rFonts w:cs="Arial"/>
          <w:bCs w:val="0"/>
          <w:szCs w:val="24"/>
          <w:lang w:val="en-GB" w:eastAsia="en-GB"/>
        </w:rPr>
      </w:pPr>
      <w:r w:rsidRPr="00BC0D2A">
        <w:rPr>
          <w:rFonts w:cs="Arial"/>
          <w:szCs w:val="24"/>
          <w:lang w:val="en-GB"/>
        </w:rPr>
        <w:lastRenderedPageBreak/>
        <w:t>1(a).4</w:t>
      </w:r>
      <w:r w:rsidRPr="00BC0D2A">
        <w:rPr>
          <w:rFonts w:cs="Arial"/>
          <w:szCs w:val="24"/>
          <w:lang w:val="en-GB"/>
        </w:rPr>
        <w:tab/>
      </w:r>
      <w:r w:rsidRPr="00BC0D2A">
        <w:rPr>
          <w:rFonts w:cs="Arial"/>
          <w:szCs w:val="24"/>
          <w:lang w:val="en-GB" w:eastAsia="en-GB"/>
        </w:rPr>
        <w:t>The Appraisal Committee’s</w:t>
      </w:r>
      <w:r w:rsidRPr="00BC0D2A">
        <w:rPr>
          <w:rFonts w:cs="Arial"/>
          <w:bCs w:val="0"/>
          <w:szCs w:val="24"/>
          <w:lang w:val="en-GB" w:eastAsia="en-GB"/>
        </w:rPr>
        <w:t xml:space="preserve"> approach to </w:t>
      </w:r>
      <w:proofErr w:type="gramStart"/>
      <w:r w:rsidRPr="00BC0D2A">
        <w:rPr>
          <w:rFonts w:cs="Arial"/>
          <w:bCs w:val="0"/>
          <w:szCs w:val="24"/>
          <w:lang w:val="en-GB" w:eastAsia="en-GB"/>
        </w:rPr>
        <w:t>a number of</w:t>
      </w:r>
      <w:proofErr w:type="gramEnd"/>
      <w:r w:rsidRPr="00BC0D2A">
        <w:rPr>
          <w:rFonts w:cs="Arial"/>
          <w:bCs w:val="0"/>
          <w:szCs w:val="24"/>
          <w:lang w:val="en-GB" w:eastAsia="en-GB"/>
        </w:rPr>
        <w:t xml:space="preserve"> points in this appraisal is inconsistent with the approach followed in the appraisal of </w:t>
      </w:r>
      <w:proofErr w:type="spellStart"/>
      <w:r w:rsidRPr="00BC0D2A">
        <w:rPr>
          <w:rFonts w:cs="Arial"/>
          <w:bCs w:val="0"/>
          <w:szCs w:val="24"/>
          <w:lang w:val="en-GB" w:eastAsia="en-GB"/>
        </w:rPr>
        <w:t>zilucoplan</w:t>
      </w:r>
      <w:proofErr w:type="spellEnd"/>
      <w:r w:rsidRPr="00BC0D2A">
        <w:rPr>
          <w:rFonts w:cs="Arial"/>
          <w:bCs w:val="0"/>
          <w:szCs w:val="24"/>
          <w:lang w:val="en-GB" w:eastAsia="en-GB"/>
        </w:rPr>
        <w:t xml:space="preserve"> for the same indication and </w:t>
      </w:r>
      <w:r w:rsidRPr="00BC0D2A">
        <w:rPr>
          <w:rFonts w:cs="Arial"/>
          <w:szCs w:val="24"/>
          <w:lang w:val="en-GB" w:eastAsia="en-GB"/>
        </w:rPr>
        <w:t xml:space="preserve">thus </w:t>
      </w:r>
      <w:r w:rsidRPr="00BC0D2A">
        <w:rPr>
          <w:rFonts w:cs="Arial"/>
          <w:bCs w:val="0"/>
          <w:szCs w:val="24"/>
          <w:lang w:val="en-GB" w:eastAsia="en-GB"/>
        </w:rPr>
        <w:t>unfair.</w:t>
      </w:r>
    </w:p>
    <w:p w14:paraId="25040DAB" w14:textId="77777777" w:rsidR="00510C14" w:rsidRPr="00BC0D2A" w:rsidRDefault="00510C14" w:rsidP="00510C14">
      <w:pPr>
        <w:pStyle w:val="Numberedlevel3text"/>
        <w:tabs>
          <w:tab w:val="clear" w:pos="360"/>
        </w:tabs>
        <w:spacing w:after="0" w:line="240" w:lineRule="auto"/>
        <w:jc w:val="both"/>
        <w:rPr>
          <w:bCs w:val="0"/>
          <w:sz w:val="22"/>
          <w:szCs w:val="22"/>
          <w:u w:val="single"/>
          <w:lang w:val="en-GB" w:eastAsia="en-GB"/>
        </w:rPr>
      </w:pPr>
    </w:p>
    <w:p w14:paraId="278D222E"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This point is argued here on the grounds of unfair process but is also potentially relevant under Ground 2 as it links closely with Ground 2.1.</w:t>
      </w:r>
    </w:p>
    <w:p w14:paraId="6C64F601"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783E8683"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While the company appreciates that Appraisal Committee D is not bound to follow the same approach as in other appraisals and that each appraisal is evaluated on the evidence provided, principles of procedural fairness require NICE to maintain basic levels of consistency in its methodology. Section 6.2.27 of NICE’s Manual states that: </w:t>
      </w:r>
    </w:p>
    <w:p w14:paraId="11BB3D10"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572250D3" w14:textId="77777777" w:rsidR="00510C14" w:rsidRPr="00BC0D2A" w:rsidRDefault="00194D72" w:rsidP="00510C14">
      <w:pPr>
        <w:pStyle w:val="Numberedlevel3text"/>
        <w:numPr>
          <w:ilvl w:val="0"/>
          <w:numId w:val="0"/>
        </w:numPr>
        <w:spacing w:after="0" w:line="240" w:lineRule="auto"/>
        <w:ind w:left="720"/>
        <w:jc w:val="both"/>
        <w:rPr>
          <w:sz w:val="22"/>
          <w:szCs w:val="22"/>
          <w:lang w:val="en-GB" w:eastAsia="en-GB"/>
        </w:rPr>
      </w:pPr>
      <w:r w:rsidRPr="00BC0D2A">
        <w:rPr>
          <w:sz w:val="22"/>
          <w:szCs w:val="22"/>
          <w:lang w:val="en-GB" w:eastAsia="en-GB"/>
        </w:rPr>
        <w:t>“A</w:t>
      </w:r>
      <w:r w:rsidRPr="00BC0D2A">
        <w:rPr>
          <w:i/>
          <w:iCs/>
          <w:sz w:val="22"/>
          <w:szCs w:val="22"/>
          <w:lang w:val="en-GB" w:eastAsia="en-GB"/>
        </w:rPr>
        <w:t>s far as possible, the committee will make sure that its decisions about what constitutes good value for money are consistently applied between evaluations</w:t>
      </w:r>
      <w:r w:rsidRPr="00BC0D2A">
        <w:rPr>
          <w:sz w:val="22"/>
          <w:szCs w:val="22"/>
          <w:lang w:val="en-GB" w:eastAsia="en-GB"/>
        </w:rPr>
        <w:t xml:space="preserve">”.  </w:t>
      </w:r>
    </w:p>
    <w:p w14:paraId="5A838977"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033D79C5"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Applicants also have a legitimate expectation that NICE will treat all applicants fairly and equally. Two different Appraisal Committees therefore should not arrive at very different conclusions on key points impacting the ICER in appraisals for the same indication, treatment pathway and position in therapy. To do so without providing adequate reasons is procedurally unfair. </w:t>
      </w:r>
    </w:p>
    <w:p w14:paraId="68751E61"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701B68B2"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r w:rsidRPr="00BC0D2A">
        <w:rPr>
          <w:bCs w:val="0"/>
          <w:sz w:val="22"/>
          <w:szCs w:val="22"/>
          <w:lang w:val="en-GB" w:eastAsia="en-GB"/>
        </w:rPr>
        <w:t xml:space="preserve">NICE is conducting an appraisal in the same indication </w:t>
      </w:r>
      <w:r w:rsidR="00E11AF3" w:rsidRPr="00BC0D2A">
        <w:rPr>
          <w:bCs w:val="0"/>
          <w:sz w:val="22"/>
          <w:szCs w:val="22"/>
          <w:lang w:val="en-GB" w:eastAsia="en-GB"/>
        </w:rPr>
        <w:t>(</w:t>
      </w:r>
      <w:r w:rsidRPr="00BC0D2A">
        <w:rPr>
          <w:bCs w:val="0"/>
          <w:sz w:val="22"/>
          <w:szCs w:val="22"/>
          <w:lang w:val="en-GB" w:eastAsia="en-GB"/>
        </w:rPr>
        <w:t>and target patient population</w:t>
      </w:r>
      <w:r w:rsidR="00E11AF3" w:rsidRPr="00BC0D2A">
        <w:rPr>
          <w:bCs w:val="0"/>
          <w:sz w:val="22"/>
          <w:szCs w:val="22"/>
          <w:lang w:val="en-GB" w:eastAsia="en-GB"/>
        </w:rPr>
        <w:t>)</w:t>
      </w:r>
      <w:r w:rsidRPr="00BC0D2A">
        <w:rPr>
          <w:bCs w:val="0"/>
          <w:sz w:val="22"/>
          <w:szCs w:val="22"/>
          <w:lang w:val="en-GB" w:eastAsia="en-GB"/>
        </w:rPr>
        <w:t xml:space="preserve"> for </w:t>
      </w:r>
      <w:proofErr w:type="spellStart"/>
      <w:r w:rsidRPr="00BC0D2A">
        <w:rPr>
          <w:bCs w:val="0"/>
          <w:sz w:val="22"/>
          <w:szCs w:val="22"/>
          <w:lang w:val="en-GB" w:eastAsia="en-GB"/>
        </w:rPr>
        <w:t>zilucoplan</w:t>
      </w:r>
      <w:proofErr w:type="spellEnd"/>
      <w:r w:rsidRPr="00BC0D2A">
        <w:rPr>
          <w:bCs w:val="0"/>
          <w:sz w:val="22"/>
          <w:szCs w:val="22"/>
          <w:lang w:val="en-GB" w:eastAsia="en-GB"/>
        </w:rPr>
        <w:t xml:space="preserve"> for treating antibody positive </w:t>
      </w:r>
      <w:proofErr w:type="spellStart"/>
      <w:r w:rsidRPr="00BC0D2A">
        <w:rPr>
          <w:bCs w:val="0"/>
          <w:sz w:val="22"/>
          <w:szCs w:val="22"/>
          <w:lang w:val="en-GB" w:eastAsia="en-GB"/>
        </w:rPr>
        <w:t>gMG</w:t>
      </w:r>
      <w:proofErr w:type="spellEnd"/>
      <w:r w:rsidRPr="00BC0D2A">
        <w:rPr>
          <w:bCs w:val="0"/>
          <w:sz w:val="22"/>
          <w:szCs w:val="22"/>
          <w:lang w:val="en-GB" w:eastAsia="en-GB"/>
        </w:rPr>
        <w:t xml:space="preserve"> (ID4008</w:t>
      </w:r>
      <w:r w:rsidRPr="00BC0D2A">
        <w:rPr>
          <w:sz w:val="22"/>
          <w:szCs w:val="22"/>
          <w:lang w:val="en-GB" w:eastAsia="en-GB"/>
        </w:rPr>
        <w:t>) for which Committee Meeting 3 took place on 5 February 2025.</w:t>
      </w:r>
      <w:r w:rsidRPr="00BC0D2A">
        <w:rPr>
          <w:bCs w:val="0"/>
          <w:sz w:val="22"/>
          <w:szCs w:val="22"/>
          <w:lang w:val="en-GB" w:eastAsia="en-GB"/>
        </w:rPr>
        <w:t xml:space="preserve">  A different NICE Committee has been assigned to this appraisal and </w:t>
      </w:r>
      <w:r w:rsidRPr="00BC0D2A">
        <w:rPr>
          <w:sz w:val="22"/>
          <w:szCs w:val="22"/>
          <w:lang w:val="en-GB" w:eastAsia="en-GB"/>
        </w:rPr>
        <w:t>based on the draft guidance in that appraisal and the Committee Meeting 3 discussion has</w:t>
      </w:r>
      <w:r w:rsidRPr="00BC0D2A">
        <w:rPr>
          <w:bCs w:val="0"/>
          <w:sz w:val="22"/>
          <w:szCs w:val="22"/>
          <w:lang w:val="en-GB" w:eastAsia="en-GB"/>
        </w:rPr>
        <w:t xml:space="preserve"> taken a markedly different approach to several aspects relevant to the modelling for efgartigimod, including:</w:t>
      </w:r>
    </w:p>
    <w:p w14:paraId="668C765D"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35A5B7CF" w14:textId="77777777" w:rsidR="00510C14" w:rsidRPr="00BC0D2A" w:rsidRDefault="00194D72" w:rsidP="00510C14">
      <w:pPr>
        <w:pStyle w:val="Numberedlevel3text"/>
        <w:numPr>
          <w:ilvl w:val="0"/>
          <w:numId w:val="8"/>
        </w:numPr>
        <w:spacing w:after="0" w:line="240" w:lineRule="auto"/>
        <w:jc w:val="both"/>
        <w:rPr>
          <w:bCs w:val="0"/>
          <w:sz w:val="22"/>
          <w:szCs w:val="22"/>
          <w:lang w:val="en-GB" w:eastAsia="en-GB"/>
        </w:rPr>
      </w:pPr>
      <w:r w:rsidRPr="00BC0D2A">
        <w:rPr>
          <w:bCs w:val="0"/>
          <w:sz w:val="22"/>
          <w:szCs w:val="22"/>
          <w:lang w:val="en-GB" w:eastAsia="en-GB"/>
        </w:rPr>
        <w:t xml:space="preserve">including </w:t>
      </w:r>
      <w:r w:rsidRPr="00BC0D2A">
        <w:rPr>
          <w:sz w:val="22"/>
          <w:szCs w:val="22"/>
          <w:lang w:val="en-GB" w:eastAsia="en-GB"/>
        </w:rPr>
        <w:t>plasma exchange</w:t>
      </w:r>
      <w:r w:rsidRPr="00BC0D2A">
        <w:rPr>
          <w:bCs w:val="0"/>
          <w:sz w:val="22"/>
          <w:szCs w:val="22"/>
          <w:lang w:val="en-GB" w:eastAsia="en-GB"/>
        </w:rPr>
        <w:t xml:space="preserve"> in the model as a component of </w:t>
      </w:r>
      <w:r w:rsidRPr="00BC0D2A">
        <w:rPr>
          <w:sz w:val="22"/>
          <w:szCs w:val="22"/>
          <w:lang w:val="en-GB" w:eastAsia="en-GB"/>
        </w:rPr>
        <w:t>usual treatment is most reflective of NHS practice</w:t>
      </w:r>
      <w:r w:rsidRPr="00BC0D2A">
        <w:rPr>
          <w:bCs w:val="0"/>
          <w:sz w:val="22"/>
          <w:szCs w:val="22"/>
          <w:lang w:val="en-GB" w:eastAsia="en-GB"/>
        </w:rPr>
        <w:t xml:space="preserve">, which </w:t>
      </w:r>
      <w:r w:rsidRPr="00BC0D2A">
        <w:rPr>
          <w:sz w:val="22"/>
          <w:szCs w:val="22"/>
          <w:lang w:val="en-GB" w:eastAsia="en-GB"/>
        </w:rPr>
        <w:t>Appraisal Committee</w:t>
      </w:r>
      <w:r w:rsidRPr="00BC0D2A">
        <w:rPr>
          <w:bCs w:val="0"/>
          <w:sz w:val="22"/>
          <w:szCs w:val="22"/>
          <w:lang w:val="en-GB" w:eastAsia="en-GB"/>
        </w:rPr>
        <w:t xml:space="preserve"> D in this appraisal for efgartigimod has excluded (see </w:t>
      </w:r>
      <w:r w:rsidRPr="00BC0D2A">
        <w:rPr>
          <w:sz w:val="22"/>
          <w:szCs w:val="22"/>
          <w:lang w:val="en-GB" w:eastAsia="en-GB"/>
        </w:rPr>
        <w:t>Ground</w:t>
      </w:r>
      <w:r w:rsidRPr="00BC0D2A">
        <w:rPr>
          <w:bCs w:val="0"/>
          <w:sz w:val="22"/>
          <w:szCs w:val="22"/>
          <w:lang w:val="en-GB" w:eastAsia="en-GB"/>
        </w:rPr>
        <w:t xml:space="preserve"> </w:t>
      </w:r>
      <w:r w:rsidRPr="00BC0D2A">
        <w:rPr>
          <w:sz w:val="22"/>
          <w:szCs w:val="22"/>
          <w:lang w:val="en-GB" w:eastAsia="en-GB"/>
        </w:rPr>
        <w:t>2.1</w:t>
      </w:r>
      <w:r w:rsidRPr="00BC0D2A">
        <w:rPr>
          <w:bCs w:val="0"/>
          <w:sz w:val="22"/>
          <w:szCs w:val="22"/>
          <w:lang w:val="en-GB" w:eastAsia="en-GB"/>
        </w:rPr>
        <w:t xml:space="preserve"> below</w:t>
      </w:r>
      <w:proofErr w:type="gramStart"/>
      <w:r w:rsidRPr="00BC0D2A">
        <w:rPr>
          <w:bCs w:val="0"/>
          <w:sz w:val="22"/>
          <w:szCs w:val="22"/>
          <w:lang w:val="en-GB" w:eastAsia="en-GB"/>
        </w:rPr>
        <w:t>);</w:t>
      </w:r>
      <w:proofErr w:type="gramEnd"/>
    </w:p>
    <w:p w14:paraId="31895ADD" w14:textId="77777777" w:rsidR="00510C14" w:rsidRPr="00BC0D2A" w:rsidRDefault="00510C14" w:rsidP="00510C14">
      <w:pPr>
        <w:pStyle w:val="Numberedlevel3text"/>
        <w:numPr>
          <w:ilvl w:val="0"/>
          <w:numId w:val="0"/>
        </w:numPr>
        <w:spacing w:after="0" w:line="240" w:lineRule="auto"/>
        <w:ind w:left="720"/>
        <w:jc w:val="both"/>
        <w:rPr>
          <w:sz w:val="22"/>
          <w:szCs w:val="22"/>
          <w:lang w:val="en-GB" w:eastAsia="en-GB"/>
        </w:rPr>
      </w:pPr>
    </w:p>
    <w:p w14:paraId="7D6FA1E1" w14:textId="77777777" w:rsidR="00510C14" w:rsidRPr="00BC0D2A" w:rsidRDefault="00194D72" w:rsidP="00510C14">
      <w:pPr>
        <w:pStyle w:val="Numberedlevel3text"/>
        <w:numPr>
          <w:ilvl w:val="0"/>
          <w:numId w:val="8"/>
        </w:numPr>
        <w:spacing w:after="0" w:line="240" w:lineRule="auto"/>
        <w:jc w:val="both"/>
        <w:rPr>
          <w:bCs w:val="0"/>
          <w:sz w:val="22"/>
          <w:szCs w:val="22"/>
          <w:lang w:val="en-GB" w:eastAsia="en-GB"/>
        </w:rPr>
      </w:pPr>
      <w:r w:rsidRPr="00BC0D2A">
        <w:rPr>
          <w:bCs w:val="0"/>
          <w:sz w:val="22"/>
          <w:szCs w:val="22"/>
          <w:lang w:val="en-GB" w:eastAsia="en-GB"/>
        </w:rPr>
        <w:t xml:space="preserve">accepting </w:t>
      </w:r>
      <w:r w:rsidRPr="00BC0D2A">
        <w:rPr>
          <w:sz w:val="22"/>
          <w:szCs w:val="22"/>
          <w:lang w:val="en-GB" w:eastAsia="en-GB"/>
        </w:rPr>
        <w:t>plasma exchange</w:t>
      </w:r>
      <w:r w:rsidRPr="00BC0D2A">
        <w:rPr>
          <w:bCs w:val="0"/>
          <w:sz w:val="22"/>
          <w:szCs w:val="22"/>
          <w:lang w:val="en-GB" w:eastAsia="en-GB"/>
        </w:rPr>
        <w:t xml:space="preserve"> as a relevant sequential treatment in the model</w:t>
      </w:r>
      <w:r w:rsidRPr="00BC0D2A">
        <w:rPr>
          <w:sz w:val="22"/>
          <w:szCs w:val="22"/>
          <w:lang w:val="en-GB" w:eastAsia="en-GB"/>
        </w:rPr>
        <w:t xml:space="preserve"> in line with clinical practice</w:t>
      </w:r>
      <w:r w:rsidRPr="00BC0D2A">
        <w:rPr>
          <w:bCs w:val="0"/>
          <w:sz w:val="22"/>
          <w:szCs w:val="22"/>
          <w:lang w:val="en-GB" w:eastAsia="en-GB"/>
        </w:rPr>
        <w:t xml:space="preserve">, which </w:t>
      </w:r>
      <w:r w:rsidRPr="00BC0D2A">
        <w:rPr>
          <w:sz w:val="22"/>
          <w:szCs w:val="22"/>
          <w:lang w:val="en-GB" w:eastAsia="en-GB"/>
        </w:rPr>
        <w:t xml:space="preserve">Appraisal </w:t>
      </w:r>
      <w:r w:rsidRPr="00BC0D2A">
        <w:rPr>
          <w:bCs w:val="0"/>
          <w:sz w:val="22"/>
          <w:szCs w:val="22"/>
          <w:lang w:val="en-GB" w:eastAsia="en-GB"/>
        </w:rPr>
        <w:t xml:space="preserve">Committee D in this appraisal for efgartigimod has rejected (see </w:t>
      </w:r>
      <w:r w:rsidRPr="00BC0D2A">
        <w:rPr>
          <w:sz w:val="22"/>
          <w:szCs w:val="22"/>
          <w:lang w:val="en-GB" w:eastAsia="en-GB"/>
        </w:rPr>
        <w:t>Ground</w:t>
      </w:r>
      <w:r w:rsidRPr="00BC0D2A">
        <w:rPr>
          <w:bCs w:val="0"/>
          <w:sz w:val="22"/>
          <w:szCs w:val="22"/>
          <w:lang w:val="en-GB" w:eastAsia="en-GB"/>
        </w:rPr>
        <w:t xml:space="preserve"> </w:t>
      </w:r>
      <w:r w:rsidRPr="00BC0D2A">
        <w:rPr>
          <w:sz w:val="22"/>
          <w:szCs w:val="22"/>
          <w:lang w:val="en-GB" w:eastAsia="en-GB"/>
        </w:rPr>
        <w:t>2.1</w:t>
      </w:r>
      <w:r w:rsidRPr="00BC0D2A">
        <w:rPr>
          <w:bCs w:val="0"/>
          <w:sz w:val="22"/>
          <w:szCs w:val="22"/>
          <w:lang w:val="en-GB" w:eastAsia="en-GB"/>
        </w:rPr>
        <w:t xml:space="preserve"> below</w:t>
      </w:r>
      <w:proofErr w:type="gramStart"/>
      <w:r w:rsidRPr="00BC0D2A">
        <w:rPr>
          <w:bCs w:val="0"/>
          <w:sz w:val="22"/>
          <w:szCs w:val="22"/>
          <w:lang w:val="en-GB" w:eastAsia="en-GB"/>
        </w:rPr>
        <w:t>);</w:t>
      </w:r>
      <w:proofErr w:type="gramEnd"/>
    </w:p>
    <w:p w14:paraId="3EA22D86" w14:textId="77777777" w:rsidR="00510C14" w:rsidRPr="00BC0D2A" w:rsidRDefault="00510C14" w:rsidP="00510C14">
      <w:pPr>
        <w:pStyle w:val="Numberedlevel3text"/>
        <w:numPr>
          <w:ilvl w:val="0"/>
          <w:numId w:val="0"/>
        </w:numPr>
        <w:spacing w:after="0" w:line="240" w:lineRule="auto"/>
        <w:ind w:left="720"/>
        <w:jc w:val="both"/>
        <w:rPr>
          <w:sz w:val="22"/>
          <w:szCs w:val="22"/>
          <w:lang w:val="en-GB" w:eastAsia="en-GB"/>
        </w:rPr>
      </w:pPr>
    </w:p>
    <w:p w14:paraId="6EB94006" w14:textId="77777777" w:rsidR="00510C14" w:rsidRPr="00BC0D2A" w:rsidRDefault="00194D72" w:rsidP="00510C14">
      <w:pPr>
        <w:pStyle w:val="Numberedlevel3text"/>
        <w:numPr>
          <w:ilvl w:val="0"/>
          <w:numId w:val="8"/>
        </w:numPr>
        <w:spacing w:after="0" w:line="240" w:lineRule="auto"/>
        <w:jc w:val="both"/>
        <w:rPr>
          <w:sz w:val="22"/>
          <w:szCs w:val="22"/>
          <w:lang w:val="en-GB" w:eastAsia="en-GB"/>
        </w:rPr>
      </w:pPr>
      <w:r w:rsidRPr="00BC0D2A">
        <w:rPr>
          <w:sz w:val="22"/>
          <w:szCs w:val="22"/>
          <w:lang w:val="en-GB" w:eastAsia="en-GB"/>
        </w:rPr>
        <w:t xml:space="preserve">accepting that </w:t>
      </w:r>
      <w:proofErr w:type="spellStart"/>
      <w:r w:rsidRPr="00BC0D2A">
        <w:rPr>
          <w:sz w:val="22"/>
          <w:szCs w:val="22"/>
          <w:lang w:val="en-GB" w:eastAsia="en-GB"/>
        </w:rPr>
        <w:t>zilucoplan</w:t>
      </w:r>
      <w:proofErr w:type="spellEnd"/>
      <w:r w:rsidRPr="00BC0D2A">
        <w:rPr>
          <w:sz w:val="22"/>
          <w:szCs w:val="22"/>
          <w:lang w:val="en-GB" w:eastAsia="en-GB"/>
        </w:rPr>
        <w:t xml:space="preserve"> is a direct alternative for IVIg / plasma exchange, displacing it in the pathway as opposed to simply being an addition to the pathway</w:t>
      </w:r>
      <w:r w:rsidR="00AF5262" w:rsidRPr="00BC0D2A">
        <w:rPr>
          <w:sz w:val="22"/>
          <w:szCs w:val="22"/>
          <w:lang w:val="en-GB" w:eastAsia="en-GB"/>
        </w:rPr>
        <w:t xml:space="preserve"> (see Ground 2.1 below)</w:t>
      </w:r>
      <w:r w:rsidRPr="00BC0D2A">
        <w:rPr>
          <w:sz w:val="22"/>
          <w:szCs w:val="22"/>
          <w:lang w:val="en-GB" w:eastAsia="en-GB"/>
        </w:rPr>
        <w:t xml:space="preserve">, in contrast to Appraisal Committee </w:t>
      </w:r>
      <w:proofErr w:type="gramStart"/>
      <w:r w:rsidRPr="00BC0D2A">
        <w:rPr>
          <w:sz w:val="22"/>
          <w:szCs w:val="22"/>
          <w:lang w:val="en-GB" w:eastAsia="en-GB"/>
        </w:rPr>
        <w:t>D;</w:t>
      </w:r>
      <w:proofErr w:type="gramEnd"/>
    </w:p>
    <w:p w14:paraId="53DA17EC" w14:textId="77777777" w:rsidR="00510C14" w:rsidRPr="00BC0D2A" w:rsidRDefault="00510C14" w:rsidP="00510C14">
      <w:pPr>
        <w:pStyle w:val="Numberedlevel3text"/>
        <w:numPr>
          <w:ilvl w:val="0"/>
          <w:numId w:val="0"/>
        </w:numPr>
        <w:spacing w:after="0" w:line="240" w:lineRule="auto"/>
        <w:ind w:left="720"/>
        <w:jc w:val="both"/>
        <w:rPr>
          <w:sz w:val="22"/>
          <w:szCs w:val="22"/>
          <w:lang w:val="en-GB" w:eastAsia="en-GB"/>
        </w:rPr>
      </w:pPr>
    </w:p>
    <w:p w14:paraId="70D48861" w14:textId="77777777" w:rsidR="00510C14" w:rsidRPr="00BC0D2A" w:rsidRDefault="00194D72" w:rsidP="00510C14">
      <w:pPr>
        <w:pStyle w:val="Numberedlevel3text"/>
        <w:numPr>
          <w:ilvl w:val="0"/>
          <w:numId w:val="8"/>
        </w:numPr>
        <w:spacing w:after="0" w:line="240" w:lineRule="auto"/>
        <w:jc w:val="both"/>
        <w:rPr>
          <w:sz w:val="22"/>
          <w:szCs w:val="22"/>
          <w:lang w:val="en-GB" w:eastAsia="en-GB"/>
        </w:rPr>
      </w:pPr>
      <w:r w:rsidRPr="00BC0D2A">
        <w:rPr>
          <w:sz w:val="22"/>
          <w:szCs w:val="22"/>
          <w:lang w:val="en-GB" w:eastAsia="en-GB"/>
        </w:rPr>
        <w:t xml:space="preserve">accepting that the outcomes of the whole trial populations for </w:t>
      </w:r>
      <w:proofErr w:type="spellStart"/>
      <w:r w:rsidRPr="00BC0D2A">
        <w:rPr>
          <w:sz w:val="22"/>
          <w:szCs w:val="22"/>
          <w:lang w:val="en-GB" w:eastAsia="en-GB"/>
        </w:rPr>
        <w:t>zilucoplan</w:t>
      </w:r>
      <w:proofErr w:type="spellEnd"/>
      <w:r w:rsidRPr="00BC0D2A">
        <w:rPr>
          <w:sz w:val="22"/>
          <w:szCs w:val="22"/>
          <w:lang w:val="en-GB" w:eastAsia="en-GB"/>
        </w:rPr>
        <w:t xml:space="preserve"> studies can be generalised to the refractory </w:t>
      </w:r>
      <w:proofErr w:type="spellStart"/>
      <w:r w:rsidRPr="00BC0D2A">
        <w:rPr>
          <w:sz w:val="22"/>
          <w:szCs w:val="22"/>
          <w:lang w:val="en-GB" w:eastAsia="en-GB"/>
        </w:rPr>
        <w:t>gMG</w:t>
      </w:r>
      <w:proofErr w:type="spellEnd"/>
      <w:r w:rsidRPr="00BC0D2A">
        <w:rPr>
          <w:sz w:val="22"/>
          <w:szCs w:val="22"/>
          <w:lang w:val="en-GB" w:eastAsia="en-GB"/>
        </w:rPr>
        <w:t xml:space="preserve"> population in the NHS, which again is at odds with Appraisal Committee D’s position in Section 3.11 of the FDG for </w:t>
      </w:r>
      <w:proofErr w:type="gramStart"/>
      <w:r w:rsidRPr="00BC0D2A">
        <w:rPr>
          <w:sz w:val="22"/>
          <w:szCs w:val="22"/>
          <w:lang w:val="en-GB" w:eastAsia="en-GB"/>
        </w:rPr>
        <w:t>efgartigimod;</w:t>
      </w:r>
      <w:proofErr w:type="gramEnd"/>
    </w:p>
    <w:p w14:paraId="2480F4AA" w14:textId="77777777" w:rsidR="00510C14" w:rsidRPr="00BC0D2A" w:rsidRDefault="00510C14" w:rsidP="00510C14">
      <w:pPr>
        <w:pStyle w:val="Numberedlevel3text"/>
        <w:numPr>
          <w:ilvl w:val="0"/>
          <w:numId w:val="0"/>
        </w:numPr>
        <w:spacing w:after="0" w:line="240" w:lineRule="auto"/>
        <w:ind w:left="720"/>
        <w:jc w:val="both"/>
        <w:rPr>
          <w:sz w:val="22"/>
          <w:szCs w:val="22"/>
          <w:lang w:val="en-GB" w:eastAsia="en-GB"/>
        </w:rPr>
      </w:pPr>
    </w:p>
    <w:p w14:paraId="0236E851" w14:textId="77777777" w:rsidR="00510C14" w:rsidRPr="00BC0D2A" w:rsidRDefault="00194D72" w:rsidP="00510C14">
      <w:pPr>
        <w:pStyle w:val="Numberedlevel3text"/>
        <w:numPr>
          <w:ilvl w:val="0"/>
          <w:numId w:val="8"/>
        </w:numPr>
        <w:spacing w:after="0" w:line="240" w:lineRule="auto"/>
        <w:jc w:val="both"/>
        <w:rPr>
          <w:bCs w:val="0"/>
          <w:sz w:val="22"/>
          <w:szCs w:val="22"/>
          <w:lang w:val="en-GB" w:eastAsia="en-GB"/>
        </w:rPr>
      </w:pPr>
      <w:r w:rsidRPr="00BC0D2A">
        <w:rPr>
          <w:bCs w:val="0"/>
          <w:sz w:val="22"/>
          <w:szCs w:val="22"/>
          <w:lang w:val="en-GB" w:eastAsia="en-GB"/>
        </w:rPr>
        <w:t>applying a utility decrement to IVIg/</w:t>
      </w:r>
      <w:r w:rsidRPr="00BC0D2A">
        <w:rPr>
          <w:sz w:val="22"/>
          <w:szCs w:val="22"/>
          <w:lang w:val="en-GB" w:eastAsia="en-GB"/>
        </w:rPr>
        <w:t>plasma exchange</w:t>
      </w:r>
      <w:r w:rsidRPr="00BC0D2A">
        <w:rPr>
          <w:bCs w:val="0"/>
          <w:sz w:val="22"/>
          <w:szCs w:val="22"/>
          <w:lang w:val="en-GB" w:eastAsia="en-GB"/>
        </w:rPr>
        <w:t xml:space="preserve"> due to the mode of administration, which has not been applied by </w:t>
      </w:r>
      <w:r w:rsidRPr="00BC0D2A">
        <w:rPr>
          <w:sz w:val="22"/>
          <w:szCs w:val="22"/>
          <w:lang w:val="en-GB" w:eastAsia="en-GB"/>
        </w:rPr>
        <w:t xml:space="preserve">Appraisal </w:t>
      </w:r>
      <w:r w:rsidRPr="00BC0D2A">
        <w:rPr>
          <w:bCs w:val="0"/>
          <w:sz w:val="22"/>
          <w:szCs w:val="22"/>
          <w:lang w:val="en-GB" w:eastAsia="en-GB"/>
        </w:rPr>
        <w:t>Committee D in this appraisal for efgartigimod.</w:t>
      </w:r>
    </w:p>
    <w:p w14:paraId="0F7B14A4"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7FD3874E"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bookmarkStart w:id="0" w:name="_Hlk97737424"/>
      <w:r w:rsidRPr="00BC0D2A">
        <w:rPr>
          <w:bCs w:val="0"/>
          <w:sz w:val="22"/>
          <w:szCs w:val="22"/>
          <w:lang w:val="en-GB" w:eastAsia="en-GB"/>
        </w:rPr>
        <w:t xml:space="preserve">If the same approach to the considerations listed above had been taken by </w:t>
      </w:r>
      <w:r w:rsidRPr="00BC0D2A">
        <w:rPr>
          <w:sz w:val="22"/>
          <w:szCs w:val="22"/>
          <w:lang w:val="en-GB" w:eastAsia="en-GB"/>
        </w:rPr>
        <w:t xml:space="preserve">Appraisal Committee D </w:t>
      </w:r>
      <w:r w:rsidRPr="00BC0D2A">
        <w:rPr>
          <w:bCs w:val="0"/>
          <w:sz w:val="22"/>
          <w:szCs w:val="22"/>
          <w:lang w:val="en-GB" w:eastAsia="en-GB"/>
        </w:rPr>
        <w:t xml:space="preserve">in this appraisal, it would </w:t>
      </w:r>
      <w:r w:rsidRPr="00BC0D2A">
        <w:rPr>
          <w:sz w:val="22"/>
          <w:szCs w:val="22"/>
          <w:lang w:val="en-GB" w:eastAsia="en-GB"/>
        </w:rPr>
        <w:t>very likely have</w:t>
      </w:r>
      <w:r w:rsidRPr="00BC0D2A">
        <w:rPr>
          <w:bCs w:val="0"/>
          <w:sz w:val="22"/>
          <w:szCs w:val="22"/>
          <w:lang w:val="en-GB" w:eastAsia="en-GB"/>
        </w:rPr>
        <w:t xml:space="preserve"> </w:t>
      </w:r>
      <w:r w:rsidRPr="00BC0D2A">
        <w:rPr>
          <w:sz w:val="22"/>
          <w:szCs w:val="22"/>
          <w:lang w:val="en-GB" w:eastAsia="en-GB"/>
        </w:rPr>
        <w:t>resulted</w:t>
      </w:r>
      <w:r w:rsidRPr="00BC0D2A">
        <w:rPr>
          <w:bCs w:val="0"/>
          <w:sz w:val="22"/>
          <w:szCs w:val="22"/>
          <w:lang w:val="en-GB" w:eastAsia="en-GB"/>
        </w:rPr>
        <w:t xml:space="preserve"> in </w:t>
      </w:r>
      <w:r w:rsidRPr="00BC0D2A">
        <w:rPr>
          <w:sz w:val="22"/>
          <w:szCs w:val="22"/>
          <w:lang w:val="en-GB" w:eastAsia="en-GB"/>
        </w:rPr>
        <w:t xml:space="preserve">the Appraisal </w:t>
      </w:r>
      <w:r w:rsidRPr="00BC0D2A">
        <w:rPr>
          <w:bCs w:val="0"/>
          <w:sz w:val="22"/>
          <w:szCs w:val="22"/>
          <w:lang w:val="en-GB"/>
        </w:rPr>
        <w:t xml:space="preserve">Committee </w:t>
      </w:r>
      <w:r w:rsidRPr="00BC0D2A">
        <w:rPr>
          <w:bCs w:val="0"/>
          <w:sz w:val="22"/>
          <w:szCs w:val="22"/>
          <w:lang w:val="en-GB" w:eastAsia="en-GB"/>
        </w:rPr>
        <w:t xml:space="preserve">calculating a significantly lower ICER </w:t>
      </w:r>
      <w:r w:rsidRPr="00BC0D2A">
        <w:rPr>
          <w:sz w:val="22"/>
          <w:szCs w:val="22"/>
          <w:lang w:val="en-GB" w:eastAsia="en-GB"/>
        </w:rPr>
        <w:t>that was within the acceptable ICER threshold</w:t>
      </w:r>
      <w:r w:rsidRPr="00BC0D2A">
        <w:rPr>
          <w:bCs w:val="0"/>
          <w:sz w:val="22"/>
          <w:szCs w:val="22"/>
          <w:lang w:val="en-GB" w:eastAsia="en-GB"/>
        </w:rPr>
        <w:t>.</w:t>
      </w:r>
    </w:p>
    <w:bookmarkEnd w:id="0"/>
    <w:p w14:paraId="70FAC739"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5FB9DAB4" w14:textId="5ED45998"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sz w:val="22"/>
          <w:szCs w:val="22"/>
          <w:lang w:val="en-GB" w:eastAsia="en-GB"/>
        </w:rPr>
        <w:t xml:space="preserve">The company appreciates that the </w:t>
      </w:r>
      <w:proofErr w:type="spellStart"/>
      <w:r w:rsidRPr="00BC0D2A">
        <w:rPr>
          <w:sz w:val="22"/>
          <w:szCs w:val="22"/>
          <w:lang w:val="en-GB" w:eastAsia="en-GB"/>
        </w:rPr>
        <w:t>zilucoplan</w:t>
      </w:r>
      <w:proofErr w:type="spellEnd"/>
      <w:r w:rsidRPr="00BC0D2A">
        <w:rPr>
          <w:sz w:val="22"/>
          <w:szCs w:val="22"/>
          <w:lang w:val="en-GB" w:eastAsia="en-GB"/>
        </w:rPr>
        <w:t xml:space="preserve"> appraisal is ongoing and that the end position may vary in some respects from the current position, but as that appraisal currently stands, </w:t>
      </w:r>
      <w:r w:rsidRPr="00BC0D2A">
        <w:rPr>
          <w:sz w:val="22"/>
          <w:szCs w:val="22"/>
          <w:lang w:val="en-GB" w:eastAsia="en-GB"/>
        </w:rPr>
        <w:lastRenderedPageBreak/>
        <w:t>the position taken by the two Appraisal Committees on material points is inconsistent and adequate reasons for this have not been provided.</w:t>
      </w:r>
    </w:p>
    <w:p w14:paraId="7808151D" w14:textId="77777777" w:rsidR="00510C14" w:rsidRPr="00BC0D2A" w:rsidRDefault="00194D72" w:rsidP="00510C14">
      <w:pPr>
        <w:pStyle w:val="Heading2"/>
        <w:jc w:val="both"/>
        <w:rPr>
          <w:rFonts w:cs="Arial"/>
          <w:sz w:val="24"/>
          <w:szCs w:val="24"/>
          <w:lang w:val="en-GB"/>
        </w:rPr>
      </w:pPr>
      <w:r w:rsidRPr="00BC0D2A">
        <w:rPr>
          <w:rFonts w:cs="Arial"/>
          <w:sz w:val="24"/>
          <w:szCs w:val="24"/>
          <w:lang w:val="en-GB"/>
        </w:rPr>
        <w:t xml:space="preserve">Ground 2: </w:t>
      </w:r>
      <w:bookmarkStart w:id="1" w:name="_Hlk97737736"/>
      <w:r w:rsidRPr="00BC0D2A">
        <w:rPr>
          <w:rFonts w:cs="Arial"/>
          <w:sz w:val="24"/>
          <w:szCs w:val="24"/>
          <w:lang w:val="en-GB"/>
        </w:rPr>
        <w:t>The recommendation is unreasonable in the light of the evidence submitted to NICE</w:t>
      </w:r>
      <w:bookmarkEnd w:id="1"/>
    </w:p>
    <w:p w14:paraId="691EDEB0" w14:textId="77777777" w:rsidR="00510C14" w:rsidRPr="00BC0D2A" w:rsidRDefault="00510C14" w:rsidP="00510C14">
      <w:pPr>
        <w:pStyle w:val="Numberedlevel3text"/>
        <w:tabs>
          <w:tab w:val="clear" w:pos="360"/>
        </w:tabs>
        <w:spacing w:after="0" w:line="240" w:lineRule="auto"/>
        <w:jc w:val="both"/>
        <w:rPr>
          <w:bCs w:val="0"/>
          <w:sz w:val="22"/>
          <w:szCs w:val="22"/>
          <w:lang w:val="en-GB" w:eastAsia="en-GB"/>
        </w:rPr>
      </w:pPr>
    </w:p>
    <w:p w14:paraId="6051E82B" w14:textId="77777777" w:rsidR="00510C14" w:rsidRPr="00BC0D2A" w:rsidRDefault="00194D72" w:rsidP="00510C14">
      <w:pPr>
        <w:pStyle w:val="Numberedlevel3text"/>
        <w:numPr>
          <w:ilvl w:val="0"/>
          <w:numId w:val="0"/>
        </w:numPr>
        <w:spacing w:after="0" w:line="240" w:lineRule="auto"/>
        <w:jc w:val="both"/>
        <w:rPr>
          <w:bCs w:val="0"/>
          <w:sz w:val="22"/>
          <w:szCs w:val="22"/>
          <w:lang w:val="en-GB" w:eastAsia="en-GB"/>
        </w:rPr>
      </w:pPr>
      <w:r w:rsidRPr="00BC0D2A">
        <w:rPr>
          <w:bCs w:val="0"/>
          <w:sz w:val="22"/>
          <w:szCs w:val="22"/>
          <w:lang w:val="en-GB" w:eastAsia="en-GB"/>
        </w:rPr>
        <w:t xml:space="preserve">The recommendations in the Final Draft Guidance on the points below </w:t>
      </w:r>
      <w:r w:rsidRPr="00BC0D2A">
        <w:rPr>
          <w:sz w:val="22"/>
          <w:szCs w:val="22"/>
          <w:lang w:val="en-GB" w:eastAsia="en-GB"/>
        </w:rPr>
        <w:t>are unreasonable based on</w:t>
      </w:r>
      <w:r w:rsidRPr="00BC0D2A">
        <w:rPr>
          <w:bCs w:val="0"/>
          <w:sz w:val="22"/>
          <w:szCs w:val="22"/>
          <w:lang w:val="en-GB" w:eastAsia="en-GB"/>
        </w:rPr>
        <w:t xml:space="preserve"> the evidence </w:t>
      </w:r>
      <w:r w:rsidRPr="00BC0D2A">
        <w:rPr>
          <w:sz w:val="22"/>
          <w:szCs w:val="22"/>
          <w:lang w:val="en-GB" w:eastAsia="en-GB"/>
        </w:rPr>
        <w:t>submitted</w:t>
      </w:r>
      <w:r w:rsidRPr="00BC0D2A">
        <w:rPr>
          <w:bCs w:val="0"/>
          <w:sz w:val="22"/>
          <w:szCs w:val="22"/>
          <w:lang w:val="en-GB" w:eastAsia="en-GB"/>
        </w:rPr>
        <w:t>.</w:t>
      </w:r>
    </w:p>
    <w:p w14:paraId="4144987B" w14:textId="77777777" w:rsidR="00510C14" w:rsidRPr="00BC0D2A" w:rsidRDefault="00194D72" w:rsidP="00510C14">
      <w:pPr>
        <w:pStyle w:val="Heading3"/>
        <w:jc w:val="both"/>
        <w:rPr>
          <w:rFonts w:cs="Arial"/>
          <w:sz w:val="22"/>
          <w:szCs w:val="22"/>
          <w:lang w:val="en-GB" w:eastAsia="en-GB"/>
        </w:rPr>
      </w:pPr>
      <w:r w:rsidRPr="00BC0D2A">
        <w:rPr>
          <w:rFonts w:cs="Arial"/>
          <w:lang w:val="en-GB"/>
        </w:rPr>
        <w:t>2.1</w:t>
      </w:r>
      <w:r w:rsidRPr="00BC0D2A">
        <w:rPr>
          <w:rFonts w:cs="Arial"/>
          <w:lang w:val="en-GB"/>
        </w:rPr>
        <w:tab/>
      </w:r>
      <w:r w:rsidRPr="00BC0D2A">
        <w:rPr>
          <w:rFonts w:cs="Arial"/>
          <w:lang w:val="en-GB" w:eastAsia="en-GB"/>
        </w:rPr>
        <w:t>The Appraisal Committee's conclusion that efgartigimod is only an additional treatment in the existing treatment pathway is unreasonable.</w:t>
      </w:r>
    </w:p>
    <w:p w14:paraId="7F9A7EDF" w14:textId="77777777" w:rsidR="00510C14" w:rsidRPr="00BC0D2A" w:rsidRDefault="00510C14" w:rsidP="00510C14">
      <w:pPr>
        <w:pStyle w:val="Numberedlevel3text"/>
        <w:tabs>
          <w:tab w:val="clear" w:pos="360"/>
        </w:tabs>
        <w:spacing w:after="0" w:line="240" w:lineRule="auto"/>
        <w:jc w:val="both"/>
        <w:rPr>
          <w:sz w:val="22"/>
          <w:szCs w:val="22"/>
          <w:u w:val="single"/>
          <w:lang w:val="en-GB" w:eastAsia="en-GB"/>
        </w:rPr>
      </w:pPr>
    </w:p>
    <w:p w14:paraId="65022932" w14:textId="77777777" w:rsidR="00510C14" w:rsidRPr="00BC0D2A" w:rsidRDefault="00194D72" w:rsidP="00510C14">
      <w:pPr>
        <w:pStyle w:val="Numberedlevel3text"/>
        <w:numPr>
          <w:ilvl w:val="0"/>
          <w:numId w:val="0"/>
        </w:numPr>
        <w:spacing w:after="0" w:line="240" w:lineRule="auto"/>
        <w:jc w:val="both"/>
        <w:rPr>
          <w:b/>
          <w:sz w:val="22"/>
          <w:szCs w:val="22"/>
          <w:lang w:val="en-GB" w:eastAsia="en-GB"/>
        </w:rPr>
      </w:pPr>
      <w:r w:rsidRPr="00BC0D2A">
        <w:rPr>
          <w:sz w:val="22"/>
          <w:szCs w:val="22"/>
          <w:lang w:val="en-GB" w:eastAsia="en-GB"/>
        </w:rPr>
        <w:t>In Section 1.2 of the FDG, the Appraisal Committee concludes that efgartigimod is an additional treatment in the treatment pathway and that use of efgartigimod is therefore at “substantial additional cost”: “</w:t>
      </w:r>
      <w:r w:rsidRPr="00BC0D2A">
        <w:rPr>
          <w:i/>
          <w:sz w:val="22"/>
          <w:szCs w:val="22"/>
          <w:lang w:val="en-GB" w:eastAsia="en-GB"/>
        </w:rPr>
        <w:t>The economic model does not accurately capture how efgartigimod would be used in the NHS; this is, as an additional treatment in the treatment pathway</w:t>
      </w:r>
      <w:r w:rsidRPr="00BC0D2A">
        <w:rPr>
          <w:i/>
          <w:iCs/>
          <w:sz w:val="22"/>
          <w:szCs w:val="22"/>
          <w:lang w:val="en-GB" w:eastAsia="en-GB"/>
        </w:rPr>
        <w:t>...</w:t>
      </w:r>
      <w:r w:rsidRPr="00BC0D2A">
        <w:rPr>
          <w:i/>
          <w:sz w:val="22"/>
          <w:szCs w:val="22"/>
          <w:lang w:val="en-GB" w:eastAsia="en-GB"/>
        </w:rPr>
        <w:t xml:space="preserve"> This is because while the company’s model suggests there is a modest gain in quality-adjusted life years, this is at a substantial additional cost, since efgartigimod is an additional treatment in the treatment pathway</w:t>
      </w:r>
      <w:r w:rsidRPr="00BC0D2A">
        <w:rPr>
          <w:sz w:val="22"/>
          <w:szCs w:val="22"/>
          <w:lang w:val="en-GB" w:eastAsia="en-GB"/>
        </w:rPr>
        <w:t xml:space="preserve">”. </w:t>
      </w:r>
    </w:p>
    <w:p w14:paraId="1EF34A7E" w14:textId="77777777" w:rsidR="00510C14" w:rsidRPr="00BC0D2A" w:rsidRDefault="00510C14" w:rsidP="00510C14">
      <w:pPr>
        <w:pStyle w:val="Numberedlevel3text"/>
        <w:tabs>
          <w:tab w:val="clear" w:pos="360"/>
        </w:tabs>
        <w:spacing w:after="0" w:line="240" w:lineRule="auto"/>
        <w:jc w:val="both"/>
        <w:rPr>
          <w:sz w:val="22"/>
          <w:szCs w:val="22"/>
          <w:lang w:val="en-GB" w:eastAsia="en-GB"/>
        </w:rPr>
      </w:pPr>
    </w:p>
    <w:p w14:paraId="767D89C1"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Appraisal Committee’s conclusion positions efgartigimod as for use as an additional treatment in the treatment pathway and does not recognise that efgartigimod is more likely to be used as an </w:t>
      </w:r>
      <w:r w:rsidRPr="00BC0D2A">
        <w:rPr>
          <w:sz w:val="22"/>
          <w:szCs w:val="22"/>
          <w:u w:val="single"/>
          <w:lang w:val="en-GB"/>
        </w:rPr>
        <w:t>alternative</w:t>
      </w:r>
      <w:r w:rsidRPr="00BC0D2A">
        <w:rPr>
          <w:sz w:val="22"/>
          <w:szCs w:val="22"/>
          <w:lang w:val="en-GB"/>
        </w:rPr>
        <w:t xml:space="preserve"> to maintenance IVIg or plasma exchange in the target population, as supported by the EAMS data. This conclusion is a fundamental misunderstanding of the role of efgartigimod in the treatment pathway and is inconsistent with the evidence submitted in the appraisal and how the treatment pathways have been captured in the company’s model.</w:t>
      </w:r>
    </w:p>
    <w:p w14:paraId="491AA3FA"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1E119932"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Appraisal Committee asked for evidence of UK clinical practice during the appraisal process.  The company provided UK real world evidence (the EAMS data) and clinical expert input on multiple occasions, evidencing that efgartigimod’s place in the treatment pathway is clear and well-defined, including as an alternative to maintenance IVIg and plasma exchange, which the Appraisal Committee accepted at ACM 2 and throughout the appraisal until post-ACM 4.  </w:t>
      </w:r>
    </w:p>
    <w:p w14:paraId="242ED1CE"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33339FFB"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Appraisal Committee’s conclusion </w:t>
      </w:r>
      <w:r w:rsidR="00E11AF3" w:rsidRPr="00BC0D2A">
        <w:rPr>
          <w:sz w:val="22"/>
          <w:szCs w:val="22"/>
          <w:lang w:val="en-GB"/>
        </w:rPr>
        <w:t xml:space="preserve">in this respect </w:t>
      </w:r>
      <w:r w:rsidRPr="00BC0D2A">
        <w:rPr>
          <w:sz w:val="22"/>
          <w:szCs w:val="22"/>
          <w:lang w:val="en-GB"/>
        </w:rPr>
        <w:t>also contradicts the Appraisal Committee’s conclusion stated in Section 3.4 of the FDG that it “</w:t>
      </w:r>
      <w:r w:rsidRPr="00BC0D2A">
        <w:rPr>
          <w:i/>
          <w:iCs/>
          <w:sz w:val="22"/>
          <w:szCs w:val="22"/>
          <w:lang w:val="en-GB"/>
        </w:rPr>
        <w:t>would evaluate efgartigimod in the population proposed by the company</w:t>
      </w:r>
      <w:r w:rsidRPr="00BC0D2A">
        <w:rPr>
          <w:sz w:val="22"/>
          <w:szCs w:val="22"/>
          <w:lang w:val="en-GB"/>
        </w:rPr>
        <w:t>”. In response to Draft Guidance 1 and the Appraisal Committee’s requests, the company narrowed the target patient population to patients with a MG-ADL score of 5 or more and who cannot tolerate, are ineligible for or have failed on standard treatment, with standard treatment defined as maximal dose of corticosteroids and at least 2 additional treatments. This was based on the EAMS eligibility criteria and a Delphi expert panel, and was supported by the EAG and clinical experts, as noted in Section 3.4 of the FDG. It is inconsistent and unreasonable for the Appraisal Committee to confirm acceptance of the company’s proposed population but at the same time conclude in the FDG that efgartigimod is only for use in addition to maintenance IVIg and plasma exchange, which is inconsistent with the proposed population.</w:t>
      </w:r>
    </w:p>
    <w:p w14:paraId="5E8D3959" w14:textId="77777777" w:rsidR="00510C14" w:rsidRPr="00BC0D2A" w:rsidRDefault="00510C14" w:rsidP="00510C14">
      <w:pPr>
        <w:pStyle w:val="Numberedlevel3text"/>
        <w:tabs>
          <w:tab w:val="clear" w:pos="360"/>
        </w:tabs>
        <w:spacing w:after="0" w:line="240" w:lineRule="auto"/>
        <w:jc w:val="both"/>
        <w:rPr>
          <w:bCs w:val="0"/>
          <w:sz w:val="22"/>
          <w:szCs w:val="22"/>
          <w:lang w:val="en-GB"/>
        </w:rPr>
      </w:pPr>
    </w:p>
    <w:p w14:paraId="6ADDEB03"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lastRenderedPageBreak/>
        <w:t xml:space="preserve">This conclusion also has a very material impact on the appraisal and the ICER calculated, as it fails to recognise that the significant costs associated with escalation therapy would be displaced by efgartigimod </w:t>
      </w:r>
      <w:proofErr w:type="gramStart"/>
      <w:r w:rsidRPr="00BC0D2A">
        <w:rPr>
          <w:sz w:val="22"/>
          <w:szCs w:val="22"/>
          <w:lang w:val="en-GB"/>
        </w:rPr>
        <w:t>where</w:t>
      </w:r>
      <w:proofErr w:type="gramEnd"/>
      <w:r w:rsidRPr="00BC0D2A">
        <w:rPr>
          <w:sz w:val="22"/>
          <w:szCs w:val="22"/>
          <w:lang w:val="en-GB"/>
        </w:rPr>
        <w:t xml:space="preserve"> used as an alternative to IVIg and plasma exchange. </w:t>
      </w:r>
    </w:p>
    <w:p w14:paraId="5E8DD091"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01873BE6" w14:textId="77777777" w:rsidR="00510C14" w:rsidRPr="00BC0D2A" w:rsidRDefault="00194D72" w:rsidP="00510C14">
      <w:pPr>
        <w:pStyle w:val="Numberedlevel3text"/>
        <w:numPr>
          <w:ilvl w:val="0"/>
          <w:numId w:val="0"/>
        </w:numPr>
        <w:spacing w:after="0" w:line="240" w:lineRule="auto"/>
        <w:jc w:val="both"/>
        <w:rPr>
          <w:b/>
          <w:lang w:val="en-GB"/>
        </w:rPr>
      </w:pPr>
      <w:r w:rsidRPr="00BC0D2A">
        <w:rPr>
          <w:b/>
          <w:sz w:val="22"/>
          <w:szCs w:val="22"/>
          <w:lang w:val="en-GB" w:eastAsia="en-GB"/>
        </w:rPr>
        <w:t xml:space="preserve">2.2 </w:t>
      </w:r>
      <w:r w:rsidRPr="00BC0D2A">
        <w:rPr>
          <w:b/>
          <w:lang w:val="en-GB" w:eastAsia="en-GB"/>
        </w:rPr>
        <w:t xml:space="preserve">The Appraisal Committee’s conclusion that plasma exchange should be excluded </w:t>
      </w:r>
      <w:r w:rsidRPr="00BC0D2A">
        <w:rPr>
          <w:b/>
          <w:lang w:val="en-GB"/>
        </w:rPr>
        <w:t>from modelling of the treatment pathway despite being an established part of usual treatment is unreasonable.</w:t>
      </w:r>
    </w:p>
    <w:p w14:paraId="3C118547" w14:textId="77777777" w:rsidR="00510C14" w:rsidRPr="00BC0D2A" w:rsidRDefault="00510C14" w:rsidP="00510C14">
      <w:pPr>
        <w:pStyle w:val="Numberedlevel3text"/>
        <w:tabs>
          <w:tab w:val="clear" w:pos="360"/>
        </w:tabs>
        <w:spacing w:after="0" w:line="240" w:lineRule="auto"/>
        <w:jc w:val="both"/>
        <w:rPr>
          <w:b/>
          <w:sz w:val="22"/>
          <w:szCs w:val="22"/>
          <w:lang w:val="en-GB"/>
        </w:rPr>
      </w:pPr>
    </w:p>
    <w:p w14:paraId="0732BA68"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Section 3.15 of the FDG states “</w:t>
      </w:r>
      <w:r w:rsidRPr="00BC0D2A">
        <w:rPr>
          <w:i/>
          <w:iCs/>
          <w:sz w:val="22"/>
          <w:szCs w:val="22"/>
          <w:lang w:val="en-GB"/>
        </w:rPr>
        <w:t xml:space="preserve">The committee decided the EAG’s approach of removing plasma exchange was less biased than the company’s approach and achieved a net effect more </w:t>
      </w:r>
      <w:proofErr w:type="gramStart"/>
      <w:r w:rsidRPr="00BC0D2A">
        <w:rPr>
          <w:i/>
          <w:iCs/>
          <w:sz w:val="22"/>
          <w:szCs w:val="22"/>
          <w:lang w:val="en-GB"/>
        </w:rPr>
        <w:t>similar to</w:t>
      </w:r>
      <w:proofErr w:type="gramEnd"/>
      <w:r w:rsidRPr="00BC0D2A">
        <w:rPr>
          <w:i/>
          <w:iCs/>
          <w:sz w:val="22"/>
          <w:szCs w:val="22"/>
          <w:lang w:val="en-GB"/>
        </w:rPr>
        <w:t xml:space="preserve"> what would be expected under the committee’s preferred approach. So, it would consider this in decision making</w:t>
      </w:r>
      <w:r w:rsidRPr="00BC0D2A">
        <w:rPr>
          <w:sz w:val="22"/>
          <w:szCs w:val="22"/>
          <w:lang w:val="en-GB"/>
        </w:rPr>
        <w:t xml:space="preserve">”. This conclusion is unreasonable based on the evidence submitted as follows </w:t>
      </w:r>
      <w:proofErr w:type="gramStart"/>
      <w:r w:rsidRPr="00BC0D2A">
        <w:rPr>
          <w:sz w:val="22"/>
          <w:szCs w:val="22"/>
          <w:lang w:val="en-GB"/>
        </w:rPr>
        <w:t>and also</w:t>
      </w:r>
      <w:proofErr w:type="gramEnd"/>
      <w:r w:rsidRPr="00BC0D2A">
        <w:rPr>
          <w:sz w:val="22"/>
          <w:szCs w:val="22"/>
          <w:lang w:val="en-GB"/>
        </w:rPr>
        <w:t xml:space="preserve"> lacks transparency as it does not explain what would instead be expected under its preferred approach.</w:t>
      </w:r>
    </w:p>
    <w:p w14:paraId="4025DCE8"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079881CF"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The reasoning provided in Section 3.15 for the Appraisal Committee’s conclusion that the EAG position was less biased is that “</w:t>
      </w:r>
      <w:r w:rsidRPr="00BC0D2A">
        <w:rPr>
          <w:i/>
          <w:sz w:val="22"/>
          <w:szCs w:val="22"/>
          <w:lang w:val="en-GB"/>
        </w:rPr>
        <w:t>The clinical experts disagreed with the company’s assumption in the efgartigimod arm that, after stopping IVIg or plasma exchange, people would not have the other treatment</w:t>
      </w:r>
      <w:r w:rsidRPr="00BC0D2A">
        <w:rPr>
          <w:sz w:val="22"/>
          <w:szCs w:val="22"/>
          <w:lang w:val="en-GB"/>
        </w:rPr>
        <w:t>”.</w:t>
      </w:r>
    </w:p>
    <w:p w14:paraId="00B8874B"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422AF85A" w14:textId="77777777" w:rsidR="00510C14" w:rsidRPr="00BC0D2A" w:rsidRDefault="00194D72" w:rsidP="00510C14">
      <w:pPr>
        <w:pStyle w:val="Numberedlevel3text"/>
        <w:numPr>
          <w:ilvl w:val="0"/>
          <w:numId w:val="20"/>
        </w:numPr>
        <w:spacing w:after="0" w:line="240" w:lineRule="auto"/>
        <w:ind w:left="0"/>
        <w:jc w:val="both"/>
        <w:rPr>
          <w:rFonts w:eastAsia="Arial"/>
          <w:sz w:val="22"/>
          <w:szCs w:val="22"/>
          <w:lang w:val="en-GB"/>
        </w:rPr>
      </w:pPr>
      <w:r w:rsidRPr="00BC0D2A">
        <w:rPr>
          <w:sz w:val="22"/>
          <w:szCs w:val="22"/>
          <w:lang w:val="en-GB"/>
        </w:rPr>
        <w:t xml:space="preserve">This statement and the EAG’s position are based on a fundamental misunderstanding of </w:t>
      </w:r>
      <w:r w:rsidRPr="00BC0D2A">
        <w:rPr>
          <w:rFonts w:eastAsia="Arial"/>
          <w:sz w:val="22"/>
          <w:szCs w:val="22"/>
          <w:lang w:val="en-GB"/>
        </w:rPr>
        <w:t>the company’s modelled treatment pathway as shown below. Please note that in building this treatment pathway the company is still being conservative, since post-discontinuation of efgartigimod a larger proportion of the cohort is assigned to IVIg, which is more costly, than PLEX.</w:t>
      </w:r>
    </w:p>
    <w:p w14:paraId="05865FB4"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noProof/>
          <w:lang w:val="en-GB"/>
        </w:rPr>
        <w:drawing>
          <wp:inline distT="0" distB="0" distL="0" distR="0" wp14:anchorId="7A46054D" wp14:editId="6B46661D">
            <wp:extent cx="5862319" cy="3302000"/>
            <wp:effectExtent l="0" t="0" r="5715" b="0"/>
            <wp:docPr id="770820105" name="Picture 77082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58476" name="Picture 770820105"/>
                    <pic:cNvPicPr/>
                  </pic:nvPicPr>
                  <pic:blipFill>
                    <a:blip r:embed="rId11">
                      <a:extLst>
                        <a:ext uri="{28A0092B-C50C-407E-A947-70E740481C1C}">
                          <a14:useLocalDpi xmlns:a14="http://schemas.microsoft.com/office/drawing/2010/main" val="0"/>
                        </a:ext>
                      </a:extLst>
                    </a:blip>
                    <a:stretch>
                      <a:fillRect/>
                    </a:stretch>
                  </pic:blipFill>
                  <pic:spPr>
                    <a:xfrm>
                      <a:off x="0" y="0"/>
                      <a:ext cx="5868505" cy="3305484"/>
                    </a:xfrm>
                    <a:prstGeom prst="rect">
                      <a:avLst/>
                    </a:prstGeom>
                  </pic:spPr>
                </pic:pic>
              </a:graphicData>
            </a:graphic>
          </wp:inline>
        </w:drawing>
      </w:r>
      <w:r w:rsidRPr="00BC0D2A">
        <w:rPr>
          <w:rFonts w:eastAsia="Arial"/>
          <w:sz w:val="22"/>
          <w:szCs w:val="22"/>
          <w:lang w:val="en-GB"/>
        </w:rPr>
        <w:t>Post-discontinuation of efgartigimod (</w:t>
      </w:r>
      <w:r w:rsidRPr="00BC0D2A">
        <w:rPr>
          <w:rFonts w:eastAsia="Arial"/>
          <w:b/>
          <w:sz w:val="22"/>
          <w:szCs w:val="22"/>
          <w:lang w:val="en-GB"/>
        </w:rPr>
        <w:t>“EFG</w:t>
      </w:r>
      <w:r w:rsidRPr="00BC0D2A">
        <w:rPr>
          <w:rFonts w:eastAsia="Arial"/>
          <w:sz w:val="22"/>
          <w:szCs w:val="22"/>
          <w:lang w:val="en-GB"/>
        </w:rPr>
        <w:t>”), the treatment mix applied is in line with the distribution of treatments in the established clinical management (“</w:t>
      </w:r>
      <w:r w:rsidRPr="00BC0D2A">
        <w:rPr>
          <w:rFonts w:eastAsia="Arial"/>
          <w:b/>
          <w:sz w:val="22"/>
          <w:szCs w:val="22"/>
          <w:lang w:val="en-GB"/>
        </w:rPr>
        <w:t>ECM</w:t>
      </w:r>
      <w:r w:rsidRPr="00BC0D2A">
        <w:rPr>
          <w:rFonts w:eastAsia="Arial"/>
          <w:sz w:val="22"/>
          <w:szCs w:val="22"/>
          <w:lang w:val="en-GB"/>
        </w:rPr>
        <w:t xml:space="preserve">”) arm (43.8% on maintenance IVIg with an additional 6% on plasma exchange to reflect non-responders to IVIg prior to EFG treatment, 50.2% on conventional therapy only), as shown in blue in the diagram above. In the ECM arm (shown in beige in the diagram), the cohort on maintenance IVIg (43.8%) is assumed to receive only plasma exchange post-discontinuation. This modelling approach is conservative as, if post-discontinuation of EFG the cohort is assigned to ECM distribution considering only plasma exchange as maintenance treatment instead of IVIg (i.e. </w:t>
      </w:r>
      <w:r w:rsidRPr="00BC0D2A">
        <w:rPr>
          <w:rFonts w:eastAsia="Arial"/>
          <w:sz w:val="22"/>
          <w:szCs w:val="22"/>
          <w:lang w:val="en-GB"/>
        </w:rPr>
        <w:lastRenderedPageBreak/>
        <w:t>43.8% on plasma exchange), the total cost would be reduced and the ICER would improve in favour of efgartigimod (as IVIg has a higher total annual cost than plasma exchange).</w:t>
      </w:r>
    </w:p>
    <w:p w14:paraId="0F123484"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rFonts w:eastAsia="Arial"/>
          <w:sz w:val="22"/>
          <w:szCs w:val="22"/>
          <w:lang w:val="en-GB"/>
        </w:rPr>
        <w:t xml:space="preserve">Similarly, if the company removed plasma exchange and equalized assumptions post-discontinuation in two treatment arms, the treatment pathway post-discontinuation would see 43.8% of patients on maintenance IVIg in both the efgartigimod and ECM arm. This alternative scenario would increase the cost in the comparator arm since IVIg is more expensive than plasma exchange and the ICER would improve in favour of efgartigimod. </w:t>
      </w:r>
    </w:p>
    <w:p w14:paraId="4875614D"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rFonts w:eastAsia="Arial"/>
          <w:sz w:val="22"/>
          <w:szCs w:val="22"/>
          <w:lang w:val="en-GB"/>
        </w:rPr>
        <w:t xml:space="preserve">Therefore, the inclusion of plasma exchange in the analysis as currently modelled by the company is both reasonable and conservative, favouring the comparator arm and not efgartigimod. If plasma exchange is not </w:t>
      </w:r>
      <w:proofErr w:type="gramStart"/>
      <w:r w:rsidRPr="00BC0D2A">
        <w:rPr>
          <w:rFonts w:eastAsia="Arial"/>
          <w:sz w:val="22"/>
          <w:szCs w:val="22"/>
          <w:lang w:val="en-GB"/>
        </w:rPr>
        <w:t>included</w:t>
      </w:r>
      <w:proofErr w:type="gramEnd"/>
      <w:r w:rsidRPr="00BC0D2A">
        <w:rPr>
          <w:rFonts w:eastAsia="Arial"/>
          <w:sz w:val="22"/>
          <w:szCs w:val="22"/>
          <w:lang w:val="en-GB"/>
        </w:rPr>
        <w:t xml:space="preserve"> then the only option is </w:t>
      </w:r>
      <w:proofErr w:type="gramStart"/>
      <w:r w:rsidRPr="00BC0D2A">
        <w:rPr>
          <w:rFonts w:eastAsia="Arial"/>
          <w:sz w:val="22"/>
          <w:szCs w:val="22"/>
          <w:lang w:val="en-GB"/>
        </w:rPr>
        <w:t>IVIg</w:t>
      </w:r>
      <w:proofErr w:type="gramEnd"/>
      <w:r w:rsidRPr="00BC0D2A">
        <w:rPr>
          <w:rFonts w:eastAsia="Arial"/>
          <w:sz w:val="22"/>
          <w:szCs w:val="22"/>
          <w:lang w:val="en-GB"/>
        </w:rPr>
        <w:t xml:space="preserve"> and costs of the comparator arm increase disproportionately.</w:t>
      </w:r>
    </w:p>
    <w:p w14:paraId="5A22AD66"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rFonts w:eastAsia="Arial"/>
          <w:sz w:val="22"/>
          <w:szCs w:val="22"/>
          <w:lang w:val="en-GB"/>
        </w:rPr>
        <w:t xml:space="preserve">To give more detail - IVIg is used as a follow-up treatment for patients who stop taking efgartigimod. However, in removing plasma exchange the Appraisal Committee only considered conventional therapy as the follow-up treatment for those stopping IVIg and did not include plasma exchange as an option. Clinicians advised clearly in ACM 4 that this is not what happens in clinical practice: patients with an MG-ADL &gt;5 on standard of care therapies would likely to be offered </w:t>
      </w:r>
      <w:r w:rsidRPr="00BC0D2A">
        <w:rPr>
          <w:rFonts w:eastAsia="Arial"/>
          <w:bCs w:val="0"/>
          <w:sz w:val="22"/>
          <w:szCs w:val="22"/>
          <w:lang w:val="en-GB"/>
        </w:rPr>
        <w:t>IVIg or plasma exchange as further escalation therapy and not left to deteriorate on standard of care alone. This further is supported by observed data from the EAMS population and from the DELPHI panel conducted.</w:t>
      </w:r>
    </w:p>
    <w:p w14:paraId="7F630781"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rFonts w:eastAsia="Arial"/>
          <w:sz w:val="22"/>
          <w:szCs w:val="22"/>
          <w:lang w:val="en-GB"/>
        </w:rPr>
        <w:t xml:space="preserve">Follow-up treatments should therefore apply to </w:t>
      </w:r>
      <w:r w:rsidRPr="00BC0D2A">
        <w:rPr>
          <w:rFonts w:eastAsia="Arial"/>
          <w:sz w:val="22"/>
          <w:szCs w:val="22"/>
          <w:u w:val="single"/>
          <w:lang w:val="en-GB"/>
        </w:rPr>
        <w:t>all</w:t>
      </w:r>
      <w:r w:rsidRPr="00BC0D2A">
        <w:rPr>
          <w:rFonts w:eastAsia="Arial"/>
          <w:sz w:val="22"/>
          <w:szCs w:val="22"/>
          <w:lang w:val="en-GB"/>
        </w:rPr>
        <w:t xml:space="preserve"> treatments, including IVIg. In the latest model, 56.2% of patients received only conventional therapy, while 43.8% received maintenance IVIg alongside conventional therapy. These figures reflect real-world clinical practice in England for the target group as evidenced by the EAMS data. Patients starting on conventional therapy (56.2%) remain on it throughout the analysis period. Those on maintenance IVIg (43.8%) are expected to continue IVIg or switch to another maintenance treatment, like plasma exchange (</w:t>
      </w:r>
      <w:r w:rsidR="00E11AF3" w:rsidRPr="00BC0D2A">
        <w:rPr>
          <w:rFonts w:eastAsia="Arial"/>
          <w:sz w:val="22"/>
          <w:szCs w:val="22"/>
          <w:lang w:val="en-GB"/>
        </w:rPr>
        <w:t>plasma exchange</w:t>
      </w:r>
      <w:r w:rsidRPr="00BC0D2A">
        <w:rPr>
          <w:rFonts w:eastAsia="Arial"/>
          <w:sz w:val="22"/>
          <w:szCs w:val="22"/>
          <w:lang w:val="en-GB"/>
        </w:rPr>
        <w:t>), if necessary. Without this assumption, the model would overestimate the number of patients on conventional therapy alone, reaching nearly 80% within a few years.</w:t>
      </w:r>
    </w:p>
    <w:p w14:paraId="1523DDD2" w14:textId="77777777" w:rsidR="00510C14" w:rsidRPr="00BC0D2A" w:rsidRDefault="00194D72" w:rsidP="00510C14">
      <w:pPr>
        <w:pStyle w:val="Numberedlevel3text"/>
        <w:numPr>
          <w:ilvl w:val="0"/>
          <w:numId w:val="20"/>
        </w:numPr>
        <w:spacing w:before="240" w:after="0" w:line="240" w:lineRule="auto"/>
        <w:ind w:left="0"/>
        <w:jc w:val="both"/>
        <w:rPr>
          <w:rFonts w:eastAsia="Arial"/>
          <w:sz w:val="22"/>
          <w:szCs w:val="22"/>
          <w:lang w:val="en-GB"/>
        </w:rPr>
      </w:pPr>
      <w:r w:rsidRPr="00BC0D2A">
        <w:rPr>
          <w:rFonts w:eastAsia="Arial"/>
          <w:sz w:val="22"/>
          <w:szCs w:val="22"/>
          <w:lang w:val="en-GB"/>
        </w:rPr>
        <w:t xml:space="preserve">Patients stopping efgartigimod follow current clinical practice, with 43.8% on maintenance IVIg. To account for those not responding to IVIg, an additional 6% was assigned to plasma exchange. As a result, 49.9% of patients after efgartigimod are on some form of escalation therapy (i.e. IVIg or </w:t>
      </w:r>
      <w:r w:rsidR="00E11AF3" w:rsidRPr="00BC0D2A">
        <w:rPr>
          <w:rFonts w:eastAsia="Arial"/>
          <w:sz w:val="22"/>
          <w:szCs w:val="22"/>
          <w:lang w:val="en-GB"/>
        </w:rPr>
        <w:t>plasma exchange</w:t>
      </w:r>
      <w:r w:rsidRPr="00BC0D2A">
        <w:rPr>
          <w:rFonts w:eastAsia="Arial"/>
          <w:sz w:val="22"/>
          <w:szCs w:val="22"/>
          <w:lang w:val="en-GB"/>
        </w:rPr>
        <w:t>), compared to 43.8% in the standard model.</w:t>
      </w:r>
    </w:p>
    <w:p w14:paraId="1C0181CE" w14:textId="77777777" w:rsidR="00510C14" w:rsidRPr="00BC0D2A" w:rsidRDefault="00510C14" w:rsidP="00510C14">
      <w:pPr>
        <w:pStyle w:val="Numberedlevel3text"/>
        <w:numPr>
          <w:ilvl w:val="0"/>
          <w:numId w:val="22"/>
        </w:numPr>
        <w:spacing w:after="0" w:line="240" w:lineRule="auto"/>
        <w:ind w:left="0"/>
        <w:jc w:val="both"/>
        <w:rPr>
          <w:sz w:val="22"/>
          <w:szCs w:val="22"/>
          <w:lang w:val="en-GB"/>
        </w:rPr>
      </w:pPr>
    </w:p>
    <w:p w14:paraId="00DD7E60" w14:textId="77777777" w:rsidR="00510C14" w:rsidRPr="00BC0D2A" w:rsidRDefault="00194D72" w:rsidP="00510C14">
      <w:pPr>
        <w:pStyle w:val="Numberedlevel3text"/>
        <w:numPr>
          <w:ilvl w:val="0"/>
          <w:numId w:val="22"/>
        </w:numPr>
        <w:spacing w:after="0" w:line="240" w:lineRule="auto"/>
        <w:ind w:left="0"/>
        <w:jc w:val="both"/>
        <w:rPr>
          <w:sz w:val="22"/>
          <w:szCs w:val="22"/>
          <w:lang w:val="en-GB"/>
        </w:rPr>
      </w:pPr>
      <w:r w:rsidRPr="00BC0D2A">
        <w:rPr>
          <w:sz w:val="22"/>
          <w:szCs w:val="22"/>
          <w:lang w:val="en-GB"/>
        </w:rPr>
        <w:t>It is important to acknowledge that at the start of this submission process the company excluded plasma exchange as part of established clinical management. This was a simplifying assumption in the absence of clear data and pre-dated the subsequent EAMS data which demonstrates utilisation of plasma exchange in the target refractory population. It is also reflected in the fact that IVIG and plasma exchange were considered to have comparable efficacy from the limited literature available, and cost estimates in a similar range.</w:t>
      </w:r>
    </w:p>
    <w:p w14:paraId="4C45E7BD" w14:textId="77777777" w:rsidR="00510C14" w:rsidRPr="00BC0D2A" w:rsidRDefault="00510C14" w:rsidP="00510C14">
      <w:pPr>
        <w:pStyle w:val="Numberedlevel3text"/>
        <w:numPr>
          <w:ilvl w:val="0"/>
          <w:numId w:val="22"/>
        </w:numPr>
        <w:spacing w:after="0" w:line="240" w:lineRule="auto"/>
        <w:ind w:left="0"/>
        <w:jc w:val="both"/>
        <w:rPr>
          <w:rFonts w:eastAsia="Arial"/>
          <w:color w:val="333333"/>
          <w:sz w:val="22"/>
          <w:szCs w:val="22"/>
          <w:lang w:val="en-GB"/>
        </w:rPr>
      </w:pPr>
    </w:p>
    <w:p w14:paraId="30D826B6" w14:textId="77777777" w:rsidR="00510C14" w:rsidRPr="00BC0D2A" w:rsidRDefault="00194D72" w:rsidP="00510C14">
      <w:pPr>
        <w:pStyle w:val="Numberedlevel3text"/>
        <w:numPr>
          <w:ilvl w:val="0"/>
          <w:numId w:val="22"/>
        </w:numPr>
        <w:spacing w:after="0" w:line="240" w:lineRule="auto"/>
        <w:ind w:left="0"/>
        <w:jc w:val="both"/>
        <w:rPr>
          <w:rFonts w:eastAsia="Arial"/>
          <w:sz w:val="22"/>
          <w:szCs w:val="22"/>
          <w:lang w:val="en-GB"/>
        </w:rPr>
      </w:pPr>
      <w:r w:rsidRPr="00BC0D2A">
        <w:rPr>
          <w:sz w:val="22"/>
          <w:szCs w:val="22"/>
          <w:lang w:val="en-GB"/>
        </w:rPr>
        <w:t xml:space="preserve">At that early stage of the appraisal process treatment sequencing was not being considered however the Appraisal Committee changed this approach at ACM3. As a result of this change, in considering potential sequential treatments following IVIg discontinuation, it is necessary to include plasma exchange in the model as it is the only available alternative in practice and so the company assigned a proportion of these patients to go on to receive plasma exchange.  </w:t>
      </w:r>
      <w:r w:rsidRPr="00BC0D2A">
        <w:rPr>
          <w:sz w:val="22"/>
          <w:szCs w:val="22"/>
          <w:lang w:val="en-GB"/>
        </w:rPr>
        <w:lastRenderedPageBreak/>
        <w:t>The Appraisal Committee confirms in Section 3.15 of the FDG that “</w:t>
      </w:r>
      <w:r w:rsidRPr="00BC0D2A">
        <w:rPr>
          <w:i/>
          <w:iCs/>
          <w:sz w:val="22"/>
          <w:szCs w:val="22"/>
          <w:lang w:val="en-GB"/>
        </w:rPr>
        <w:t>The committee agreed with</w:t>
      </w:r>
      <w:r w:rsidRPr="00BC0D2A">
        <w:rPr>
          <w:rFonts w:eastAsia="Arial"/>
          <w:i/>
          <w:iCs/>
          <w:sz w:val="22"/>
          <w:szCs w:val="22"/>
          <w:lang w:val="en-GB"/>
        </w:rPr>
        <w:t xml:space="preserve"> the clinical experts that plasma exchange was part of the treatment pathway for </w:t>
      </w:r>
      <w:proofErr w:type="spellStart"/>
      <w:r w:rsidRPr="00BC0D2A">
        <w:rPr>
          <w:rFonts w:eastAsia="Arial"/>
          <w:i/>
          <w:iCs/>
          <w:sz w:val="22"/>
          <w:szCs w:val="22"/>
          <w:lang w:val="en-GB"/>
        </w:rPr>
        <w:t>gMG</w:t>
      </w:r>
      <w:proofErr w:type="spellEnd"/>
      <w:r w:rsidRPr="00BC0D2A">
        <w:rPr>
          <w:rFonts w:eastAsia="Arial"/>
          <w:sz w:val="22"/>
          <w:szCs w:val="22"/>
          <w:lang w:val="en-GB"/>
        </w:rPr>
        <w:t xml:space="preserve">”. Failure to include plasma exchange introduces a substantial imbalance to the analysis and assumes an unrealistic proportion of patients post-IVIg would be maintained on standard of care alone, something not supported or substantiated by clinical experts at any point in the appraisal process, or the corresponding available </w:t>
      </w:r>
      <w:proofErr w:type="gramStart"/>
      <w:r w:rsidRPr="00BC0D2A">
        <w:rPr>
          <w:rFonts w:eastAsia="Arial"/>
          <w:sz w:val="22"/>
          <w:szCs w:val="22"/>
          <w:lang w:val="en-GB"/>
        </w:rPr>
        <w:t>real world</w:t>
      </w:r>
      <w:proofErr w:type="gramEnd"/>
      <w:r w:rsidRPr="00BC0D2A">
        <w:rPr>
          <w:rFonts w:eastAsia="Arial"/>
          <w:sz w:val="22"/>
          <w:szCs w:val="22"/>
          <w:lang w:val="en-GB"/>
        </w:rPr>
        <w:t xml:space="preserve"> evidence.</w:t>
      </w:r>
    </w:p>
    <w:p w14:paraId="6F51EC61" w14:textId="77777777" w:rsidR="00510C14" w:rsidRPr="00BC0D2A" w:rsidRDefault="00510C14" w:rsidP="00510C14">
      <w:pPr>
        <w:pStyle w:val="Numberedlevel3text"/>
        <w:numPr>
          <w:ilvl w:val="0"/>
          <w:numId w:val="22"/>
        </w:numPr>
        <w:spacing w:after="0" w:line="240" w:lineRule="auto"/>
        <w:ind w:left="0"/>
        <w:jc w:val="both"/>
        <w:rPr>
          <w:rFonts w:eastAsia="Arial"/>
          <w:color w:val="333333"/>
          <w:sz w:val="22"/>
          <w:szCs w:val="22"/>
          <w:lang w:val="en-GB"/>
        </w:rPr>
      </w:pPr>
    </w:p>
    <w:p w14:paraId="34E64465"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rFonts w:eastAsia="Arial"/>
          <w:sz w:val="22"/>
          <w:szCs w:val="22"/>
          <w:lang w:val="en-GB"/>
        </w:rPr>
        <w:t xml:space="preserve">It is therefore </w:t>
      </w:r>
      <w:r w:rsidRPr="00BC0D2A">
        <w:rPr>
          <w:sz w:val="22"/>
          <w:szCs w:val="22"/>
          <w:lang w:val="en-GB"/>
        </w:rPr>
        <w:t>unreasonable to omit a treatment that is accepted as usual treatment from the model – based on the incorrect conclusion that the company’s modelled approach was more biased – where that conclusion is due to a misunderstanding of the modelled treatment pathway. Doing so disregards a clearly relevant and material consideration. The company did provide an updated model based on the EAG’s comments that was most reflective of clinical practice, alongside expert validation, to NICE prior to ACM 4 but these were not shared with the Appraisal Committee in advance of ACM 4, as explained in Ground 1(a).3 above.</w:t>
      </w:r>
    </w:p>
    <w:p w14:paraId="00DA939D"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5C5D94FF" w14:textId="77777777" w:rsidR="00510C14" w:rsidRPr="00BC0D2A" w:rsidRDefault="00194D72" w:rsidP="00510C14">
      <w:pPr>
        <w:pStyle w:val="Numberedlevel3text"/>
        <w:numPr>
          <w:ilvl w:val="0"/>
          <w:numId w:val="0"/>
        </w:numPr>
        <w:spacing w:after="0" w:line="240" w:lineRule="auto"/>
        <w:jc w:val="both"/>
        <w:rPr>
          <w:bCs w:val="0"/>
          <w:sz w:val="22"/>
          <w:szCs w:val="22"/>
          <w:lang w:val="en-GB"/>
        </w:rPr>
      </w:pPr>
      <w:r w:rsidRPr="00BC0D2A">
        <w:rPr>
          <w:sz w:val="22"/>
          <w:szCs w:val="22"/>
          <w:lang w:val="en-GB"/>
        </w:rPr>
        <w:t>The impact</w:t>
      </w:r>
      <w:r w:rsidRPr="00BC0D2A">
        <w:rPr>
          <w:bCs w:val="0"/>
          <w:sz w:val="22"/>
          <w:szCs w:val="22"/>
          <w:lang w:val="en-GB"/>
        </w:rPr>
        <w:t xml:space="preserve"> of the </w:t>
      </w:r>
      <w:r w:rsidRPr="00BC0D2A">
        <w:rPr>
          <w:sz w:val="22"/>
          <w:szCs w:val="22"/>
          <w:lang w:val="en-GB"/>
        </w:rPr>
        <w:t>Appraisal Committee’s decision to</w:t>
      </w:r>
      <w:r w:rsidRPr="00BC0D2A">
        <w:rPr>
          <w:bCs w:val="0"/>
          <w:sz w:val="22"/>
          <w:szCs w:val="22"/>
          <w:lang w:val="en-GB"/>
        </w:rPr>
        <w:t xml:space="preserve"> </w:t>
      </w:r>
      <w:r w:rsidRPr="00BC0D2A">
        <w:rPr>
          <w:sz w:val="22"/>
          <w:szCs w:val="22"/>
          <w:lang w:val="en-GB"/>
        </w:rPr>
        <w:t>exclude</w:t>
      </w:r>
      <w:r w:rsidRPr="00BC0D2A">
        <w:rPr>
          <w:bCs w:val="0"/>
          <w:sz w:val="22"/>
          <w:szCs w:val="22"/>
          <w:lang w:val="en-GB"/>
        </w:rPr>
        <w:t xml:space="preserve"> </w:t>
      </w:r>
      <w:r w:rsidRPr="00BC0D2A">
        <w:rPr>
          <w:sz w:val="22"/>
          <w:szCs w:val="22"/>
          <w:lang w:val="en-GB"/>
        </w:rPr>
        <w:t>plasma exchange</w:t>
      </w:r>
      <w:r w:rsidRPr="00BC0D2A">
        <w:rPr>
          <w:bCs w:val="0"/>
          <w:sz w:val="22"/>
          <w:szCs w:val="22"/>
          <w:lang w:val="en-GB"/>
        </w:rPr>
        <w:t xml:space="preserve"> </w:t>
      </w:r>
      <w:r w:rsidRPr="00BC0D2A">
        <w:rPr>
          <w:sz w:val="22"/>
          <w:szCs w:val="22"/>
          <w:lang w:val="en-GB"/>
        </w:rPr>
        <w:t>from the model is</w:t>
      </w:r>
      <w:r w:rsidRPr="00BC0D2A">
        <w:rPr>
          <w:bCs w:val="0"/>
          <w:sz w:val="22"/>
          <w:szCs w:val="22"/>
          <w:lang w:val="en-GB"/>
        </w:rPr>
        <w:t xml:space="preserve"> a material increase in the </w:t>
      </w:r>
      <w:r w:rsidRPr="00BC0D2A">
        <w:rPr>
          <w:sz w:val="22"/>
          <w:szCs w:val="22"/>
          <w:lang w:val="en-GB"/>
        </w:rPr>
        <w:t>Appraisal Committee’s</w:t>
      </w:r>
      <w:r w:rsidRPr="00BC0D2A">
        <w:rPr>
          <w:bCs w:val="0"/>
          <w:sz w:val="22"/>
          <w:szCs w:val="22"/>
          <w:lang w:val="en-GB"/>
        </w:rPr>
        <w:t xml:space="preserve"> calculated ICER.</w:t>
      </w:r>
    </w:p>
    <w:p w14:paraId="0D29E5DD"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1B640B75" w14:textId="77777777" w:rsidR="00510C14" w:rsidRPr="00BC0D2A" w:rsidRDefault="00194D72" w:rsidP="00510C14">
      <w:pPr>
        <w:pStyle w:val="Numberedlevel3text"/>
        <w:numPr>
          <w:ilvl w:val="0"/>
          <w:numId w:val="0"/>
        </w:numPr>
        <w:spacing w:after="0" w:line="240" w:lineRule="auto"/>
        <w:jc w:val="both"/>
        <w:rPr>
          <w:b/>
          <w:i/>
          <w:lang w:val="en-GB"/>
        </w:rPr>
      </w:pPr>
      <w:r w:rsidRPr="00BC0D2A">
        <w:rPr>
          <w:sz w:val="22"/>
          <w:szCs w:val="22"/>
          <w:lang w:val="en-GB"/>
        </w:rPr>
        <w:t xml:space="preserve">In the </w:t>
      </w:r>
      <w:proofErr w:type="spellStart"/>
      <w:r w:rsidRPr="00BC0D2A">
        <w:rPr>
          <w:sz w:val="22"/>
          <w:szCs w:val="22"/>
          <w:lang w:val="en-GB"/>
        </w:rPr>
        <w:t>zilucoplan</w:t>
      </w:r>
      <w:proofErr w:type="spellEnd"/>
      <w:r w:rsidRPr="00BC0D2A">
        <w:rPr>
          <w:sz w:val="22"/>
          <w:szCs w:val="22"/>
          <w:lang w:val="en-GB"/>
        </w:rPr>
        <w:t xml:space="preserve"> appraisal referred to in Ground 1(a).4 above, Appraisal Committee B has included plasma exchange in the model as a component of the treatment mix.  There is no reasonable basis for taking a different approach here.</w:t>
      </w:r>
    </w:p>
    <w:p w14:paraId="68183582" w14:textId="77777777" w:rsidR="00510C14" w:rsidRPr="00BC0D2A" w:rsidRDefault="00510C14" w:rsidP="00510C14">
      <w:pPr>
        <w:pStyle w:val="Numberedlevel3text"/>
        <w:numPr>
          <w:ilvl w:val="0"/>
          <w:numId w:val="0"/>
        </w:numPr>
        <w:spacing w:after="0" w:line="240" w:lineRule="auto"/>
        <w:jc w:val="both"/>
        <w:rPr>
          <w:b/>
          <w:i/>
          <w:iCs/>
          <w:sz w:val="22"/>
          <w:szCs w:val="22"/>
          <w:lang w:val="en-GB" w:eastAsia="en-GB"/>
        </w:rPr>
      </w:pPr>
    </w:p>
    <w:p w14:paraId="03C9AA4D" w14:textId="77777777" w:rsidR="00510C14" w:rsidRPr="00BC0D2A" w:rsidRDefault="00194D72" w:rsidP="00510C14">
      <w:pPr>
        <w:pStyle w:val="Numberedlevel3text"/>
        <w:numPr>
          <w:ilvl w:val="0"/>
          <w:numId w:val="0"/>
        </w:numPr>
        <w:spacing w:after="0" w:line="240" w:lineRule="auto"/>
        <w:jc w:val="both"/>
        <w:rPr>
          <w:b/>
          <w:iCs/>
          <w:lang w:val="en-GB"/>
        </w:rPr>
      </w:pPr>
      <w:r w:rsidRPr="00BC0D2A">
        <w:rPr>
          <w:b/>
          <w:iCs/>
          <w:sz w:val="22"/>
          <w:szCs w:val="22"/>
          <w:lang w:val="en-GB" w:eastAsia="en-GB"/>
        </w:rPr>
        <w:t xml:space="preserve">2.3 </w:t>
      </w:r>
      <w:r w:rsidRPr="00BC0D2A">
        <w:rPr>
          <w:b/>
          <w:iCs/>
          <w:lang w:val="en-GB" w:eastAsia="en-GB"/>
        </w:rPr>
        <w:t>The Appraisal Committee’s conclusion to disconnect the source of assumptions for efficacy and dosing and use s</w:t>
      </w:r>
      <w:r w:rsidRPr="00BC0D2A">
        <w:rPr>
          <w:b/>
          <w:iCs/>
          <w:lang w:val="en-GB"/>
        </w:rPr>
        <w:t>eparate sources is unreasonable.</w:t>
      </w:r>
    </w:p>
    <w:p w14:paraId="6A96F8ED"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3CD89BB3"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bCs w:val="0"/>
          <w:sz w:val="22"/>
          <w:szCs w:val="22"/>
          <w:lang w:val="en-GB"/>
        </w:rPr>
        <w:t xml:space="preserve">In </w:t>
      </w:r>
      <w:r w:rsidRPr="00BC0D2A">
        <w:rPr>
          <w:sz w:val="22"/>
          <w:szCs w:val="22"/>
          <w:lang w:val="en-GB"/>
        </w:rPr>
        <w:t>Section 3.11 of the</w:t>
      </w:r>
      <w:r w:rsidRPr="00BC0D2A">
        <w:rPr>
          <w:bCs w:val="0"/>
          <w:sz w:val="22"/>
          <w:szCs w:val="22"/>
          <w:lang w:val="en-GB"/>
        </w:rPr>
        <w:t xml:space="preserve"> FDG, </w:t>
      </w:r>
      <w:r w:rsidRPr="00BC0D2A">
        <w:rPr>
          <w:sz w:val="22"/>
          <w:szCs w:val="22"/>
          <w:lang w:val="en-GB"/>
        </w:rPr>
        <w:t>the Appraisal Committee concludes that “</w:t>
      </w:r>
      <w:r w:rsidRPr="00BC0D2A">
        <w:rPr>
          <w:i/>
          <w:sz w:val="22"/>
          <w:szCs w:val="22"/>
          <w:lang w:val="en-GB"/>
        </w:rPr>
        <w:t>the clinical evidence from ADAPT could be generalised to the proposed target population but other model inputs should be based on EAMS data, such as baseline MG-ADL scores and dosing frequency of efgartigimod (see section 3.22) as this more closely represented the population likely to have efgartigimod in the NHS</w:t>
      </w:r>
      <w:r w:rsidRPr="00BC0D2A">
        <w:rPr>
          <w:sz w:val="22"/>
          <w:szCs w:val="22"/>
          <w:lang w:val="en-GB"/>
        </w:rPr>
        <w:t xml:space="preserve">”. Section </w:t>
      </w:r>
      <w:r w:rsidR="00E11AF3" w:rsidRPr="00BC0D2A">
        <w:rPr>
          <w:sz w:val="22"/>
          <w:szCs w:val="22"/>
          <w:lang w:val="en-GB"/>
        </w:rPr>
        <w:t>3</w:t>
      </w:r>
      <w:r w:rsidRPr="00BC0D2A">
        <w:rPr>
          <w:sz w:val="22"/>
          <w:szCs w:val="22"/>
          <w:lang w:val="en-GB"/>
        </w:rPr>
        <w:t xml:space="preserve">.22 </w:t>
      </w:r>
      <w:r w:rsidR="00E11AF3" w:rsidRPr="00BC0D2A">
        <w:rPr>
          <w:sz w:val="22"/>
          <w:szCs w:val="22"/>
          <w:lang w:val="en-GB"/>
        </w:rPr>
        <w:t xml:space="preserve">of the FDG </w:t>
      </w:r>
      <w:r w:rsidRPr="00BC0D2A">
        <w:rPr>
          <w:sz w:val="22"/>
          <w:szCs w:val="22"/>
          <w:lang w:val="en-GB"/>
        </w:rPr>
        <w:t>confirms that “</w:t>
      </w:r>
      <w:r w:rsidRPr="00BC0D2A">
        <w:rPr>
          <w:i/>
          <w:sz w:val="22"/>
          <w:szCs w:val="22"/>
          <w:lang w:val="en-GB"/>
        </w:rPr>
        <w:t>The committee concluded that dosing of efgartigimod should be based on EAMS data</w:t>
      </w:r>
      <w:r w:rsidRPr="00BC0D2A">
        <w:rPr>
          <w:sz w:val="22"/>
          <w:szCs w:val="22"/>
          <w:lang w:val="en-GB"/>
        </w:rPr>
        <w:t>”.</w:t>
      </w:r>
      <w:r w:rsidRPr="00BC0D2A">
        <w:rPr>
          <w:bCs w:val="0"/>
          <w:sz w:val="22"/>
          <w:szCs w:val="22"/>
          <w:lang w:val="en-GB"/>
        </w:rPr>
        <w:t xml:space="preserve"> </w:t>
      </w:r>
      <w:r w:rsidRPr="00BC0D2A">
        <w:rPr>
          <w:sz w:val="22"/>
          <w:szCs w:val="22"/>
          <w:lang w:val="en-GB"/>
        </w:rPr>
        <w:t>The Appraisal Committee’s conclusion to base dosing on a different data source than efficacy is unreasonable based on the evidence submitted for the reasons given below.</w:t>
      </w:r>
    </w:p>
    <w:p w14:paraId="5CDA08AD"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338BCF35"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Following ACM 1, the Appraisal Committee questioned whether the results from the ADAPT trial were generalisable to the target patient population, which aligned with the inclusion criteria for the EAMS programme. The company presented data at ACM 2 demonstrating that data from ADAPT is generalisable to the target patient population, irrespective of baseline disease activity and prior lines of </w:t>
      </w:r>
      <w:proofErr w:type="gramStart"/>
      <w:r w:rsidRPr="00BC0D2A">
        <w:rPr>
          <w:sz w:val="22"/>
          <w:szCs w:val="22"/>
          <w:lang w:val="en-GB"/>
        </w:rPr>
        <w:t>therapy, and</w:t>
      </w:r>
      <w:proofErr w:type="gramEnd"/>
      <w:r w:rsidRPr="00BC0D2A">
        <w:rPr>
          <w:sz w:val="22"/>
          <w:szCs w:val="22"/>
          <w:lang w:val="en-GB"/>
        </w:rPr>
        <w:t xml:space="preserve"> showing generalisability of outcomes to a population designated as refractory.  The Appraisal Committee concluded in Section 3.11 of the </w:t>
      </w:r>
      <w:proofErr w:type="gramStart"/>
      <w:r w:rsidRPr="00BC0D2A">
        <w:rPr>
          <w:sz w:val="22"/>
          <w:szCs w:val="22"/>
          <w:lang w:val="en-GB"/>
        </w:rPr>
        <w:t>FDG  that</w:t>
      </w:r>
      <w:proofErr w:type="gramEnd"/>
      <w:r w:rsidRPr="00BC0D2A">
        <w:rPr>
          <w:sz w:val="22"/>
          <w:szCs w:val="22"/>
          <w:lang w:val="en-GB"/>
        </w:rPr>
        <w:t xml:space="preserve"> the clinical evidence from ADAPT clinical data is generalisable to the target patient population, including those patients that were in the EAMS programme.</w:t>
      </w:r>
    </w:p>
    <w:p w14:paraId="1598EF7C"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2728299C"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At ACM4 the Appraisal Committee then said that dosing assumptions in the model should be applied based on the EAMS dosing schedule, while clinical efficacy data from ADAPT could be retained. Section 3.11 of the FDG discusses the generalisability of the EAMS and ADAPT </w:t>
      </w:r>
      <w:proofErr w:type="gramStart"/>
      <w:r w:rsidRPr="00BC0D2A">
        <w:rPr>
          <w:sz w:val="22"/>
          <w:szCs w:val="22"/>
          <w:lang w:val="en-GB"/>
        </w:rPr>
        <w:t>sources, but</w:t>
      </w:r>
      <w:proofErr w:type="gramEnd"/>
      <w:r w:rsidRPr="00BC0D2A">
        <w:rPr>
          <w:sz w:val="22"/>
          <w:szCs w:val="22"/>
          <w:lang w:val="en-GB"/>
        </w:rPr>
        <w:t xml:space="preserve"> does not provide a clear explanation as to why the Appraisal Committee has rejected the ADAPT trial data in relation to dosing, but has accepted it as appropriate for efficacy. </w:t>
      </w:r>
    </w:p>
    <w:p w14:paraId="4AD11D0A"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5353DA87"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ADAPT and ADAPT+ data (which provided long follow up and includes evidence from 14 treatment cycles) used in the company’s model is randomised clinical trial data generated under a Phase 3 study protocol designed to establish dose-response relationships and demonstrate how specific doses impact both efficacy and safety.  Real-world data, such as </w:t>
      </w:r>
      <w:r w:rsidRPr="00BC0D2A">
        <w:rPr>
          <w:sz w:val="22"/>
          <w:szCs w:val="22"/>
          <w:lang w:val="en-GB"/>
        </w:rPr>
        <w:lastRenderedPageBreak/>
        <w:t xml:space="preserve">EAMS, is valuable for understanding clinical practice, but it should not take precedence over controlled clinical trials when determining dosing and efficacy. </w:t>
      </w:r>
    </w:p>
    <w:p w14:paraId="52F35B56"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5D03DA77"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clinical efficacy outcomes from ADAPT are directly associated with the dosing schedule in ADAPT; separating the data sources for dosing and efficacy within the model lacks scientific rationale and is irrational.  The Appraisal Committee has not provided adequate justification for doing so.  Both clinical efficacy and dosing should be derived from the ADAPT clinical trial, in line with the approach to considering sources of evidence stated in NICE’s Manual at 3.3. </w:t>
      </w:r>
    </w:p>
    <w:p w14:paraId="77E0FA78"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0CF5B55F" w14:textId="77777777" w:rsidR="00510C14" w:rsidRPr="00BC0D2A" w:rsidRDefault="00194D72" w:rsidP="00510C14">
      <w:pPr>
        <w:pStyle w:val="Numberedlevel3text"/>
        <w:numPr>
          <w:ilvl w:val="0"/>
          <w:numId w:val="0"/>
        </w:numPr>
        <w:spacing w:after="0" w:line="240" w:lineRule="auto"/>
        <w:jc w:val="both"/>
        <w:rPr>
          <w:bCs w:val="0"/>
          <w:sz w:val="22"/>
          <w:szCs w:val="22"/>
          <w:lang w:val="en-GB"/>
        </w:rPr>
      </w:pPr>
      <w:r w:rsidRPr="00BC0D2A">
        <w:rPr>
          <w:sz w:val="22"/>
          <w:szCs w:val="22"/>
          <w:lang w:val="en-GB"/>
        </w:rPr>
        <w:t>The Appraisal Committee’s conclusion to base efficacy on ADAPT data and dosing on EAMS data is not justified and is therefore unreasonable and materially impacts the calculated ICER.</w:t>
      </w:r>
    </w:p>
    <w:p w14:paraId="493BC704" w14:textId="77777777" w:rsidR="00510C14" w:rsidRPr="00BC0D2A" w:rsidRDefault="00510C14" w:rsidP="00510C14">
      <w:pPr>
        <w:pStyle w:val="Numberedlevel3text"/>
        <w:tabs>
          <w:tab w:val="clear" w:pos="360"/>
        </w:tabs>
        <w:spacing w:after="0" w:line="240" w:lineRule="auto"/>
        <w:jc w:val="both"/>
        <w:rPr>
          <w:bCs w:val="0"/>
          <w:sz w:val="22"/>
          <w:szCs w:val="22"/>
          <w:lang w:val="en-GB"/>
        </w:rPr>
      </w:pPr>
    </w:p>
    <w:p w14:paraId="154EC590" w14:textId="77777777" w:rsidR="00510C14" w:rsidRPr="00BC0D2A" w:rsidRDefault="00194D72" w:rsidP="00510C14">
      <w:pPr>
        <w:pStyle w:val="Numberedlevel3text"/>
        <w:numPr>
          <w:ilvl w:val="0"/>
          <w:numId w:val="0"/>
        </w:numPr>
        <w:spacing w:after="0" w:line="240" w:lineRule="auto"/>
        <w:jc w:val="both"/>
        <w:rPr>
          <w:sz w:val="22"/>
          <w:szCs w:val="22"/>
          <w:lang w:val="en-GB" w:eastAsia="en-GB"/>
        </w:rPr>
      </w:pPr>
      <w:r w:rsidRPr="00BC0D2A">
        <w:rPr>
          <w:b/>
          <w:sz w:val="22"/>
          <w:szCs w:val="22"/>
          <w:lang w:val="en-GB" w:eastAsia="en-GB"/>
        </w:rPr>
        <w:t xml:space="preserve">2.4 </w:t>
      </w:r>
      <w:r w:rsidRPr="00BC0D2A">
        <w:rPr>
          <w:b/>
          <w:lang w:val="en-GB" w:eastAsia="en-GB"/>
        </w:rPr>
        <w:t>The Appraisal Committee’s conclusion to d</w:t>
      </w:r>
      <w:r w:rsidRPr="00BC0D2A">
        <w:rPr>
          <w:b/>
          <w:lang w:val="en-GB"/>
        </w:rPr>
        <w:t>isregard data provided on time on treatment for maintenance IVIg and instead apply the time on treatment of efgartigimod to maintenance IVIg without any explanation or supporting evidence is unreasonable.</w:t>
      </w:r>
    </w:p>
    <w:p w14:paraId="09FDE860" w14:textId="77777777" w:rsidR="00510C14" w:rsidRPr="00BC0D2A" w:rsidRDefault="00510C14" w:rsidP="00510C14">
      <w:pPr>
        <w:pStyle w:val="Numberedlevel3text"/>
        <w:tabs>
          <w:tab w:val="clear" w:pos="360"/>
        </w:tabs>
        <w:spacing w:after="0" w:line="240" w:lineRule="auto"/>
        <w:jc w:val="both"/>
        <w:rPr>
          <w:sz w:val="22"/>
          <w:szCs w:val="22"/>
          <w:u w:val="single"/>
          <w:lang w:val="en-GB" w:eastAsia="en-GB"/>
        </w:rPr>
      </w:pPr>
    </w:p>
    <w:p w14:paraId="6CC87427" w14:textId="77777777" w:rsidR="00510C14" w:rsidRPr="00BC0D2A" w:rsidRDefault="00194D72" w:rsidP="00510C14">
      <w:pPr>
        <w:pStyle w:val="Numberedlevel3text"/>
        <w:numPr>
          <w:ilvl w:val="0"/>
          <w:numId w:val="0"/>
        </w:numPr>
        <w:spacing w:after="0" w:line="240" w:lineRule="auto"/>
        <w:jc w:val="both"/>
        <w:rPr>
          <w:bCs w:val="0"/>
          <w:sz w:val="22"/>
          <w:szCs w:val="22"/>
          <w:lang w:val="en-GB"/>
        </w:rPr>
      </w:pPr>
      <w:r w:rsidRPr="00BC0D2A">
        <w:rPr>
          <w:bCs w:val="0"/>
          <w:sz w:val="22"/>
          <w:szCs w:val="22"/>
          <w:lang w:val="en-GB" w:eastAsia="en-GB"/>
        </w:rPr>
        <w:t>T</w:t>
      </w:r>
      <w:r w:rsidRPr="00BC0D2A">
        <w:rPr>
          <w:bCs w:val="0"/>
          <w:sz w:val="22"/>
          <w:szCs w:val="22"/>
          <w:lang w:val="en-GB"/>
        </w:rPr>
        <w:t xml:space="preserve">he FDG </w:t>
      </w:r>
      <w:r w:rsidRPr="00BC0D2A">
        <w:rPr>
          <w:sz w:val="22"/>
          <w:szCs w:val="22"/>
          <w:lang w:val="en-GB"/>
        </w:rPr>
        <w:t>states at sections 3.8 and 3.25 that the Appraisal Committee’s preferred assumption is equal time on treatment (“</w:t>
      </w:r>
      <w:proofErr w:type="spellStart"/>
      <w:r w:rsidRPr="00BC0D2A">
        <w:rPr>
          <w:b/>
          <w:sz w:val="22"/>
          <w:szCs w:val="22"/>
          <w:lang w:val="en-GB"/>
        </w:rPr>
        <w:t>ToT</w:t>
      </w:r>
      <w:proofErr w:type="spellEnd"/>
      <w:r w:rsidRPr="00BC0D2A">
        <w:rPr>
          <w:sz w:val="22"/>
          <w:szCs w:val="22"/>
          <w:lang w:val="en-GB"/>
        </w:rPr>
        <w:t xml:space="preserve">”) for IVIg and </w:t>
      </w:r>
      <w:proofErr w:type="gramStart"/>
      <w:r w:rsidRPr="00BC0D2A">
        <w:rPr>
          <w:sz w:val="22"/>
          <w:szCs w:val="22"/>
          <w:lang w:val="en-GB"/>
        </w:rPr>
        <w:t>efgartigimod, and</w:t>
      </w:r>
      <w:proofErr w:type="gramEnd"/>
      <w:r w:rsidRPr="00BC0D2A">
        <w:rPr>
          <w:sz w:val="22"/>
          <w:szCs w:val="22"/>
          <w:lang w:val="en-GB"/>
        </w:rPr>
        <w:t xml:space="preserve"> describes this conclusion as highly uncertain.</w:t>
      </w:r>
      <w:r w:rsidRPr="00BC0D2A">
        <w:rPr>
          <w:bCs w:val="0"/>
          <w:sz w:val="22"/>
          <w:szCs w:val="22"/>
          <w:lang w:val="en-GB"/>
        </w:rPr>
        <w:t xml:space="preserve"> </w:t>
      </w:r>
      <w:r w:rsidRPr="00BC0D2A">
        <w:rPr>
          <w:sz w:val="22"/>
          <w:szCs w:val="22"/>
          <w:lang w:val="en-GB"/>
        </w:rPr>
        <w:t>Both the Appraisal Committee’s decision on this</w:t>
      </w:r>
      <w:r w:rsidRPr="00BC0D2A">
        <w:rPr>
          <w:bCs w:val="0"/>
          <w:sz w:val="22"/>
          <w:szCs w:val="22"/>
          <w:lang w:val="en-GB"/>
        </w:rPr>
        <w:t xml:space="preserve"> </w:t>
      </w:r>
      <w:r w:rsidRPr="00BC0D2A">
        <w:rPr>
          <w:sz w:val="22"/>
          <w:szCs w:val="22"/>
          <w:lang w:val="en-GB"/>
        </w:rPr>
        <w:t>assumption</w:t>
      </w:r>
      <w:r w:rsidRPr="00BC0D2A">
        <w:rPr>
          <w:bCs w:val="0"/>
          <w:sz w:val="22"/>
          <w:szCs w:val="22"/>
          <w:lang w:val="en-GB"/>
        </w:rPr>
        <w:t xml:space="preserve"> </w:t>
      </w:r>
      <w:r w:rsidRPr="00BC0D2A">
        <w:rPr>
          <w:sz w:val="22"/>
          <w:szCs w:val="22"/>
          <w:lang w:val="en-GB"/>
        </w:rPr>
        <w:t xml:space="preserve">and its description of the position as highly uncertain </w:t>
      </w:r>
      <w:r w:rsidRPr="00BC0D2A">
        <w:rPr>
          <w:bCs w:val="0"/>
          <w:sz w:val="22"/>
          <w:szCs w:val="22"/>
          <w:lang w:val="en-GB"/>
        </w:rPr>
        <w:t xml:space="preserve">is not </w:t>
      </w:r>
      <w:r w:rsidRPr="00BC0D2A">
        <w:rPr>
          <w:sz w:val="22"/>
          <w:szCs w:val="22"/>
          <w:lang w:val="en-GB"/>
        </w:rPr>
        <w:t>reasonable based on</w:t>
      </w:r>
      <w:r w:rsidRPr="00BC0D2A">
        <w:rPr>
          <w:bCs w:val="0"/>
          <w:sz w:val="22"/>
          <w:szCs w:val="22"/>
          <w:lang w:val="en-GB"/>
        </w:rPr>
        <w:t xml:space="preserve"> the evidence </w:t>
      </w:r>
      <w:r w:rsidRPr="00BC0D2A">
        <w:rPr>
          <w:sz w:val="22"/>
          <w:szCs w:val="22"/>
          <w:lang w:val="en-GB"/>
        </w:rPr>
        <w:t xml:space="preserve">submitted. </w:t>
      </w:r>
    </w:p>
    <w:p w14:paraId="611CEEBB" w14:textId="77777777" w:rsidR="00510C14" w:rsidRPr="00BC0D2A" w:rsidRDefault="00510C14" w:rsidP="00510C14">
      <w:pPr>
        <w:pStyle w:val="Numberedlevel3text"/>
        <w:tabs>
          <w:tab w:val="clear" w:pos="360"/>
        </w:tabs>
        <w:spacing w:after="0" w:line="240" w:lineRule="auto"/>
        <w:jc w:val="both"/>
        <w:rPr>
          <w:bCs w:val="0"/>
          <w:sz w:val="22"/>
          <w:szCs w:val="22"/>
          <w:lang w:val="en-GB"/>
        </w:rPr>
      </w:pPr>
    </w:p>
    <w:p w14:paraId="2DFF71CC" w14:textId="77777777" w:rsidR="00510C14" w:rsidRPr="00BC0D2A" w:rsidRDefault="00194D72" w:rsidP="00510C14">
      <w:pPr>
        <w:pStyle w:val="Numberedlevel3text"/>
        <w:numPr>
          <w:ilvl w:val="0"/>
          <w:numId w:val="0"/>
        </w:numPr>
        <w:spacing w:after="0" w:line="240" w:lineRule="auto"/>
        <w:jc w:val="both"/>
        <w:rPr>
          <w:bCs w:val="0"/>
          <w:sz w:val="22"/>
          <w:szCs w:val="22"/>
          <w:lang w:val="en-GB"/>
        </w:rPr>
      </w:pPr>
      <w:r w:rsidRPr="00BC0D2A">
        <w:rPr>
          <w:bCs w:val="0"/>
          <w:sz w:val="22"/>
          <w:szCs w:val="22"/>
          <w:lang w:val="en-GB"/>
        </w:rPr>
        <w:t xml:space="preserve">The </w:t>
      </w:r>
      <w:r w:rsidRPr="00BC0D2A">
        <w:rPr>
          <w:sz w:val="22"/>
          <w:szCs w:val="22"/>
          <w:lang w:val="en-GB"/>
        </w:rPr>
        <w:t>company</w:t>
      </w:r>
      <w:r w:rsidRPr="00BC0D2A">
        <w:rPr>
          <w:bCs w:val="0"/>
          <w:sz w:val="22"/>
          <w:szCs w:val="22"/>
          <w:lang w:val="en-GB"/>
        </w:rPr>
        <w:t xml:space="preserve"> submitted evidence for </w:t>
      </w:r>
      <w:proofErr w:type="spellStart"/>
      <w:r w:rsidRPr="00BC0D2A">
        <w:rPr>
          <w:bCs w:val="0"/>
          <w:sz w:val="22"/>
          <w:szCs w:val="22"/>
          <w:lang w:val="en-GB"/>
        </w:rPr>
        <w:t>ToT</w:t>
      </w:r>
      <w:proofErr w:type="spellEnd"/>
      <w:r w:rsidRPr="00BC0D2A">
        <w:rPr>
          <w:bCs w:val="0"/>
          <w:sz w:val="22"/>
          <w:szCs w:val="22"/>
          <w:lang w:val="en-GB"/>
        </w:rPr>
        <w:t xml:space="preserve"> for efgartigimod </w:t>
      </w:r>
      <w:r w:rsidRPr="00BC0D2A">
        <w:rPr>
          <w:sz w:val="22"/>
          <w:szCs w:val="22"/>
          <w:lang w:val="en-GB"/>
        </w:rPr>
        <w:t>based on extrapolation of the most robust evidence available, being data</w:t>
      </w:r>
      <w:r w:rsidRPr="00BC0D2A">
        <w:rPr>
          <w:bCs w:val="0"/>
          <w:sz w:val="22"/>
          <w:szCs w:val="22"/>
          <w:lang w:val="en-GB"/>
        </w:rPr>
        <w:t xml:space="preserve"> </w:t>
      </w:r>
      <w:r w:rsidRPr="00BC0D2A">
        <w:rPr>
          <w:sz w:val="22"/>
          <w:szCs w:val="22"/>
          <w:lang w:val="en-GB"/>
        </w:rPr>
        <w:t xml:space="preserve">from </w:t>
      </w:r>
      <w:r w:rsidRPr="00BC0D2A">
        <w:rPr>
          <w:bCs w:val="0"/>
          <w:sz w:val="22"/>
          <w:szCs w:val="22"/>
          <w:lang w:val="en-GB"/>
        </w:rPr>
        <w:t xml:space="preserve">the ADAPT trial </w:t>
      </w:r>
      <w:r w:rsidRPr="00BC0D2A">
        <w:rPr>
          <w:sz w:val="22"/>
          <w:szCs w:val="22"/>
          <w:lang w:val="en-GB"/>
        </w:rPr>
        <w:t xml:space="preserve">for efgartigimod </w:t>
      </w:r>
      <w:r w:rsidRPr="00BC0D2A">
        <w:rPr>
          <w:bCs w:val="0"/>
          <w:sz w:val="22"/>
          <w:szCs w:val="22"/>
          <w:lang w:val="en-GB"/>
        </w:rPr>
        <w:t xml:space="preserve">and </w:t>
      </w:r>
      <w:r w:rsidRPr="00BC0D2A">
        <w:rPr>
          <w:sz w:val="22"/>
          <w:szCs w:val="22"/>
          <w:lang w:val="en-GB"/>
        </w:rPr>
        <w:t>available</w:t>
      </w:r>
      <w:r w:rsidRPr="00BC0D2A">
        <w:rPr>
          <w:bCs w:val="0"/>
          <w:sz w:val="22"/>
          <w:szCs w:val="22"/>
          <w:lang w:val="en-GB"/>
        </w:rPr>
        <w:t xml:space="preserve"> </w:t>
      </w:r>
      <w:r w:rsidRPr="00BC0D2A">
        <w:rPr>
          <w:sz w:val="22"/>
          <w:szCs w:val="22"/>
          <w:lang w:val="en-GB"/>
        </w:rPr>
        <w:t>literature for IVIg. The company used the same method to extrapolate beyond available data for efgartigimod and maintenance IVIg to avoid biasing the outcomes and the EAG agreed with the method used, which was in accordance with NICE methods. This evidence</w:t>
      </w:r>
      <w:r w:rsidRPr="00BC0D2A">
        <w:rPr>
          <w:bCs w:val="0"/>
          <w:sz w:val="22"/>
          <w:szCs w:val="22"/>
          <w:lang w:val="en-GB"/>
        </w:rPr>
        <w:t xml:space="preserve"> shows a shorter </w:t>
      </w:r>
      <w:proofErr w:type="spellStart"/>
      <w:r w:rsidRPr="00BC0D2A">
        <w:rPr>
          <w:bCs w:val="0"/>
          <w:sz w:val="22"/>
          <w:szCs w:val="22"/>
          <w:lang w:val="en-GB"/>
        </w:rPr>
        <w:t>ToT</w:t>
      </w:r>
      <w:proofErr w:type="spellEnd"/>
      <w:r w:rsidRPr="00BC0D2A">
        <w:rPr>
          <w:bCs w:val="0"/>
          <w:sz w:val="22"/>
          <w:szCs w:val="22"/>
          <w:lang w:val="en-GB"/>
        </w:rPr>
        <w:t xml:space="preserve"> for efgartigimod</w:t>
      </w:r>
      <w:r w:rsidRPr="00BC0D2A">
        <w:rPr>
          <w:sz w:val="22"/>
          <w:szCs w:val="22"/>
          <w:lang w:val="en-GB"/>
        </w:rPr>
        <w:t xml:space="preserve"> than</w:t>
      </w:r>
      <w:r w:rsidRPr="00BC0D2A">
        <w:rPr>
          <w:bCs w:val="0"/>
          <w:sz w:val="22"/>
          <w:szCs w:val="22"/>
          <w:lang w:val="en-GB"/>
        </w:rPr>
        <w:t xml:space="preserve"> for IVIg</w:t>
      </w:r>
      <w:r w:rsidRPr="00BC0D2A">
        <w:rPr>
          <w:sz w:val="22"/>
          <w:szCs w:val="22"/>
          <w:lang w:val="en-GB"/>
        </w:rPr>
        <w:t>.</w:t>
      </w:r>
      <w:r w:rsidRPr="00BC0D2A">
        <w:rPr>
          <w:bCs w:val="0"/>
          <w:sz w:val="22"/>
          <w:szCs w:val="22"/>
          <w:lang w:val="en-GB"/>
        </w:rPr>
        <w:t xml:space="preserve"> This </w:t>
      </w:r>
      <w:r w:rsidRPr="00BC0D2A">
        <w:rPr>
          <w:sz w:val="22"/>
          <w:szCs w:val="22"/>
          <w:lang w:val="en-GB"/>
        </w:rPr>
        <w:t>data</w:t>
      </w:r>
      <w:r w:rsidRPr="00BC0D2A">
        <w:rPr>
          <w:bCs w:val="0"/>
          <w:sz w:val="22"/>
          <w:szCs w:val="22"/>
          <w:lang w:val="en-GB"/>
        </w:rPr>
        <w:t xml:space="preserve"> was requested by NICE and validated with clinicians and initially accepted by the </w:t>
      </w:r>
      <w:r w:rsidRPr="00BC0D2A">
        <w:rPr>
          <w:sz w:val="22"/>
          <w:szCs w:val="22"/>
          <w:lang w:val="en-GB"/>
        </w:rPr>
        <w:t xml:space="preserve">Appraisal Committee. </w:t>
      </w:r>
    </w:p>
    <w:p w14:paraId="3BBD6E3C"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6D3AC671"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Despite following approved NICE methods, the Appraisal Committee then rejected this data at ACM 3 and instead applied </w:t>
      </w:r>
      <w:proofErr w:type="spellStart"/>
      <w:r w:rsidRPr="00BC0D2A">
        <w:rPr>
          <w:sz w:val="22"/>
          <w:szCs w:val="22"/>
          <w:lang w:val="en-GB"/>
        </w:rPr>
        <w:t>ToT</w:t>
      </w:r>
      <w:proofErr w:type="spellEnd"/>
      <w:r w:rsidRPr="00BC0D2A">
        <w:rPr>
          <w:sz w:val="22"/>
          <w:szCs w:val="22"/>
          <w:lang w:val="en-GB"/>
        </w:rPr>
        <w:t xml:space="preserve"> for efgartigimod to IVIg, without any supporting data or clinical opinion.  This is clearly unreasonable </w:t>
      </w:r>
      <w:proofErr w:type="gramStart"/>
      <w:r w:rsidRPr="00BC0D2A">
        <w:rPr>
          <w:sz w:val="22"/>
          <w:szCs w:val="22"/>
          <w:lang w:val="en-GB"/>
        </w:rPr>
        <w:t>in light of</w:t>
      </w:r>
      <w:proofErr w:type="gramEnd"/>
      <w:r w:rsidRPr="00BC0D2A">
        <w:rPr>
          <w:sz w:val="22"/>
          <w:szCs w:val="22"/>
          <w:lang w:val="en-GB"/>
        </w:rPr>
        <w:t xml:space="preserve"> the robust evidence provided.</w:t>
      </w:r>
    </w:p>
    <w:p w14:paraId="02DBC44E"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4406A380"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explanation given in Section 3.8 is that the Appraisal Committee decided that estimated </w:t>
      </w:r>
      <w:proofErr w:type="spellStart"/>
      <w:r w:rsidRPr="00BC0D2A">
        <w:rPr>
          <w:sz w:val="22"/>
          <w:szCs w:val="22"/>
          <w:lang w:val="en-GB"/>
        </w:rPr>
        <w:t>ToT</w:t>
      </w:r>
      <w:proofErr w:type="spellEnd"/>
      <w:r w:rsidRPr="00BC0D2A">
        <w:rPr>
          <w:sz w:val="22"/>
          <w:szCs w:val="22"/>
          <w:lang w:val="en-GB"/>
        </w:rPr>
        <w:t xml:space="preserve"> for IVIg being higher than for efgartigimod “</w:t>
      </w:r>
      <w:r w:rsidRPr="00BC0D2A">
        <w:rPr>
          <w:i/>
          <w:iCs/>
          <w:sz w:val="22"/>
          <w:szCs w:val="22"/>
          <w:lang w:val="en-GB"/>
        </w:rPr>
        <w:t>lacked face validity</w:t>
      </w:r>
      <w:r w:rsidRPr="00BC0D2A">
        <w:rPr>
          <w:sz w:val="22"/>
          <w:szCs w:val="22"/>
          <w:lang w:val="en-GB"/>
        </w:rPr>
        <w:t xml:space="preserve">” given the easier administration and improved clinical benefit associated with efgartigimod.  As noted in Section 3.8 of the FDG, the company explained that </w:t>
      </w:r>
      <w:proofErr w:type="spellStart"/>
      <w:r w:rsidRPr="00BC0D2A">
        <w:rPr>
          <w:sz w:val="22"/>
          <w:szCs w:val="22"/>
          <w:lang w:val="en-GB"/>
        </w:rPr>
        <w:t>ToT</w:t>
      </w:r>
      <w:proofErr w:type="spellEnd"/>
      <w:r w:rsidRPr="00BC0D2A">
        <w:rPr>
          <w:sz w:val="22"/>
          <w:szCs w:val="22"/>
          <w:lang w:val="en-GB"/>
        </w:rPr>
        <w:t xml:space="preserve"> for IVIg may be longer because treatment options are limited after stopping IVIg, whereas people could have IVIg after stopping efgartigimod. This point was also noted by a NICE technical team member in ACM 2. During ACM 3, clinicians also confirmed that </w:t>
      </w:r>
      <w:proofErr w:type="spellStart"/>
      <w:r w:rsidRPr="00BC0D2A">
        <w:rPr>
          <w:sz w:val="22"/>
          <w:szCs w:val="22"/>
          <w:lang w:val="en-GB"/>
        </w:rPr>
        <w:t>ToT</w:t>
      </w:r>
      <w:proofErr w:type="spellEnd"/>
      <w:r w:rsidRPr="00BC0D2A">
        <w:rPr>
          <w:sz w:val="22"/>
          <w:szCs w:val="22"/>
          <w:lang w:val="en-GB"/>
        </w:rPr>
        <w:t xml:space="preserve"> of IVIg would likely be longer than efgartigimod, if no other treatment options exist.</w:t>
      </w:r>
    </w:p>
    <w:p w14:paraId="4DBB4410"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242EED23" w14:textId="77777777" w:rsidR="00510C14" w:rsidRPr="00BC0D2A" w:rsidRDefault="00194D72" w:rsidP="00510C14">
      <w:pPr>
        <w:pStyle w:val="Numberedlevel3text"/>
        <w:numPr>
          <w:ilvl w:val="0"/>
          <w:numId w:val="0"/>
        </w:numPr>
        <w:spacing w:after="0" w:line="240" w:lineRule="auto"/>
        <w:jc w:val="both"/>
        <w:rPr>
          <w:rFonts w:eastAsia="Arial"/>
          <w:color w:val="000000" w:themeColor="text1"/>
          <w:sz w:val="22"/>
          <w:szCs w:val="22"/>
          <w:lang w:val="en-GB"/>
        </w:rPr>
      </w:pPr>
      <w:r w:rsidRPr="00BC0D2A">
        <w:rPr>
          <w:rFonts w:eastAsia="Arial"/>
          <w:sz w:val="22"/>
          <w:szCs w:val="22"/>
          <w:lang w:val="en-GB"/>
        </w:rPr>
        <w:t>The Appraisal Committee’s approach</w:t>
      </w:r>
      <w:r w:rsidRPr="00BC0D2A">
        <w:rPr>
          <w:rFonts w:eastAsia="Arial"/>
          <w:color w:val="000000" w:themeColor="text1"/>
          <w:sz w:val="22"/>
          <w:szCs w:val="22"/>
          <w:lang w:val="en-GB"/>
        </w:rPr>
        <w:t xml:space="preserve"> when coupled with its preference for not applying any treatment after IVIg discontinuation, goes against clinical validity, since it leads to a large proportion of ECM arm treated with only conventional therapy (considering that the ECM arm has already over 50% of the cohort always only on conventional therapy).</w:t>
      </w:r>
    </w:p>
    <w:p w14:paraId="374C0A98"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7B3F2981"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lastRenderedPageBreak/>
        <w:t xml:space="preserve">In response to the Appraisal Committee’s continued preference, while the company’s position remained that evidence from the literature is more appropriate for IVIg, to move forward the company provided an updated approach to the Appraisal Committee that derived </w:t>
      </w:r>
      <w:proofErr w:type="spellStart"/>
      <w:r w:rsidRPr="00BC0D2A">
        <w:rPr>
          <w:sz w:val="22"/>
          <w:szCs w:val="22"/>
          <w:lang w:val="en-GB"/>
        </w:rPr>
        <w:t>ToT</w:t>
      </w:r>
      <w:proofErr w:type="spellEnd"/>
      <w:r w:rsidRPr="00BC0D2A">
        <w:rPr>
          <w:sz w:val="22"/>
          <w:szCs w:val="22"/>
          <w:lang w:val="en-GB"/>
        </w:rPr>
        <w:t xml:space="preserve"> for IVIg from efgartigimod discontinuation data. This updated approach differentiated between discontinuation events in patients with controlled disease (i.e. MG-ADL&lt;5) and other events </w:t>
      </w:r>
      <w:proofErr w:type="gramStart"/>
      <w:r w:rsidRPr="00BC0D2A">
        <w:rPr>
          <w:sz w:val="22"/>
          <w:szCs w:val="22"/>
          <w:lang w:val="en-GB"/>
        </w:rPr>
        <w:t>in order to</w:t>
      </w:r>
      <w:proofErr w:type="gramEnd"/>
      <w:r w:rsidRPr="00BC0D2A">
        <w:rPr>
          <w:sz w:val="22"/>
          <w:szCs w:val="22"/>
          <w:lang w:val="en-GB"/>
        </w:rPr>
        <w:t xml:space="preserve"> make the model more clinically plausible. </w:t>
      </w:r>
    </w:p>
    <w:p w14:paraId="41283439"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3E683A03"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In Section 3.8 of the FDG, the Appraisal Committee rejected the company’s updated approach and stated that it was based on a very small number of people who had stopped efgartigimod treatment with an MG-ADL score of less than 5 and that the length of follow up was short for these people, concluding that “</w:t>
      </w:r>
      <w:r w:rsidRPr="00BC0D2A">
        <w:rPr>
          <w:i/>
          <w:iCs/>
          <w:sz w:val="22"/>
          <w:szCs w:val="22"/>
          <w:lang w:val="en-GB"/>
        </w:rPr>
        <w:t>The committee decided that the statements from the clinical and patient experts also suggested that the company’s analysis including censoring was implausible</w:t>
      </w:r>
      <w:r w:rsidRPr="00BC0D2A">
        <w:rPr>
          <w:sz w:val="22"/>
          <w:szCs w:val="22"/>
          <w:lang w:val="en-GB"/>
        </w:rPr>
        <w:t>”.</w:t>
      </w:r>
    </w:p>
    <w:p w14:paraId="3F864D9F" w14:textId="77777777" w:rsidR="00510C14" w:rsidRPr="00BC0D2A" w:rsidRDefault="00510C14" w:rsidP="00510C14">
      <w:pPr>
        <w:pStyle w:val="Numberedlevel3text"/>
        <w:tabs>
          <w:tab w:val="clear" w:pos="360"/>
        </w:tabs>
        <w:spacing w:after="0" w:line="240" w:lineRule="auto"/>
        <w:jc w:val="both"/>
        <w:rPr>
          <w:sz w:val="22"/>
          <w:szCs w:val="22"/>
          <w:lang w:val="en-GB"/>
        </w:rPr>
      </w:pPr>
    </w:p>
    <w:p w14:paraId="1E5CA002"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This conclusion of implausibility does not reflect the evidence from clinical experts provided during the committee meetings, where they agreed that, in general, patients with MG-ADL&lt;5 would not receive escalation therapy (i.e. IVIg) and so should be “censored” from the analysis.  This was also supported in the expert elicitation provided by the company prior to ACM 4 but which was not considered by the Appraisal Committee</w:t>
      </w:r>
      <w:r w:rsidR="00A81097" w:rsidRPr="00BC0D2A">
        <w:rPr>
          <w:sz w:val="22"/>
          <w:szCs w:val="22"/>
          <w:lang w:val="en-GB"/>
        </w:rPr>
        <w:t>, as explained in Ground 1(a).3 above</w:t>
      </w:r>
      <w:r w:rsidRPr="00BC0D2A">
        <w:rPr>
          <w:sz w:val="22"/>
          <w:szCs w:val="22"/>
          <w:lang w:val="en-GB"/>
        </w:rPr>
        <w:t xml:space="preserve">.  </w:t>
      </w:r>
    </w:p>
    <w:p w14:paraId="62733EFF" w14:textId="77777777" w:rsidR="00510C14" w:rsidRPr="00BC0D2A" w:rsidRDefault="00510C14" w:rsidP="00510C14">
      <w:pPr>
        <w:pStyle w:val="Numberedlevel3text"/>
        <w:tabs>
          <w:tab w:val="clear" w:pos="360"/>
        </w:tabs>
        <w:spacing w:after="0" w:line="240" w:lineRule="auto"/>
        <w:jc w:val="both"/>
        <w:rPr>
          <w:bCs w:val="0"/>
          <w:sz w:val="22"/>
          <w:szCs w:val="22"/>
          <w:lang w:val="en-GB"/>
        </w:rPr>
      </w:pPr>
    </w:p>
    <w:p w14:paraId="7A44A768" w14:textId="77777777" w:rsidR="00510C14" w:rsidRPr="00BC0D2A" w:rsidRDefault="00194D72" w:rsidP="00510C14">
      <w:pPr>
        <w:pStyle w:val="Numberedlevel3text"/>
        <w:numPr>
          <w:ilvl w:val="0"/>
          <w:numId w:val="0"/>
        </w:numPr>
        <w:spacing w:after="0" w:line="240" w:lineRule="auto"/>
        <w:jc w:val="both"/>
        <w:rPr>
          <w:bCs w:val="0"/>
          <w:sz w:val="22"/>
          <w:szCs w:val="22"/>
          <w:lang w:val="en-GB"/>
        </w:rPr>
      </w:pPr>
      <w:r w:rsidRPr="00BC0D2A">
        <w:rPr>
          <w:bCs w:val="0"/>
          <w:sz w:val="22"/>
          <w:szCs w:val="22"/>
          <w:lang w:val="en-GB" w:eastAsia="en-GB"/>
        </w:rPr>
        <w:t>T</w:t>
      </w:r>
      <w:r w:rsidRPr="00BC0D2A">
        <w:rPr>
          <w:bCs w:val="0"/>
          <w:sz w:val="22"/>
          <w:szCs w:val="22"/>
          <w:lang w:val="en-GB"/>
        </w:rPr>
        <w:t xml:space="preserve">he </w:t>
      </w:r>
      <w:r w:rsidRPr="00BC0D2A">
        <w:rPr>
          <w:sz w:val="22"/>
          <w:szCs w:val="22"/>
          <w:lang w:val="en-GB"/>
        </w:rPr>
        <w:t>Appraisal</w:t>
      </w:r>
      <w:r w:rsidRPr="00BC0D2A">
        <w:rPr>
          <w:bCs w:val="0"/>
          <w:sz w:val="22"/>
          <w:szCs w:val="22"/>
          <w:lang w:val="en-GB"/>
        </w:rPr>
        <w:t xml:space="preserve"> Committee’s position that </w:t>
      </w:r>
      <w:proofErr w:type="spellStart"/>
      <w:r w:rsidRPr="00BC0D2A">
        <w:rPr>
          <w:bCs w:val="0"/>
          <w:sz w:val="22"/>
          <w:szCs w:val="22"/>
          <w:lang w:val="en-GB"/>
        </w:rPr>
        <w:t>ToT</w:t>
      </w:r>
      <w:proofErr w:type="spellEnd"/>
      <w:r w:rsidRPr="00BC0D2A">
        <w:rPr>
          <w:bCs w:val="0"/>
          <w:sz w:val="22"/>
          <w:szCs w:val="22"/>
          <w:lang w:val="en-GB"/>
        </w:rPr>
        <w:t xml:space="preserve"> </w:t>
      </w:r>
      <w:r w:rsidRPr="00BC0D2A">
        <w:rPr>
          <w:sz w:val="22"/>
          <w:szCs w:val="22"/>
          <w:lang w:val="en-GB"/>
        </w:rPr>
        <w:t>of IVIg should</w:t>
      </w:r>
      <w:r w:rsidRPr="00BC0D2A">
        <w:rPr>
          <w:bCs w:val="0"/>
          <w:sz w:val="22"/>
          <w:szCs w:val="22"/>
          <w:lang w:val="en-GB"/>
        </w:rPr>
        <w:t xml:space="preserve"> be equal </w:t>
      </w:r>
      <w:r w:rsidRPr="00BC0D2A">
        <w:rPr>
          <w:sz w:val="22"/>
          <w:szCs w:val="22"/>
          <w:lang w:val="en-GB"/>
        </w:rPr>
        <w:t>to</w:t>
      </w:r>
      <w:r w:rsidRPr="00BC0D2A">
        <w:rPr>
          <w:bCs w:val="0"/>
          <w:sz w:val="22"/>
          <w:szCs w:val="22"/>
          <w:lang w:val="en-GB"/>
        </w:rPr>
        <w:t xml:space="preserve"> efgartigimod is </w:t>
      </w:r>
      <w:r w:rsidRPr="00BC0D2A">
        <w:rPr>
          <w:sz w:val="22"/>
          <w:szCs w:val="22"/>
          <w:lang w:val="en-GB"/>
        </w:rPr>
        <w:t>therefore unreasonable based on evidence provided</w:t>
      </w:r>
      <w:r w:rsidRPr="00BC0D2A">
        <w:rPr>
          <w:bCs w:val="0"/>
          <w:sz w:val="22"/>
          <w:szCs w:val="22"/>
          <w:lang w:val="en-GB"/>
        </w:rPr>
        <w:t xml:space="preserve">. The impact of the </w:t>
      </w:r>
      <w:r w:rsidRPr="00BC0D2A">
        <w:rPr>
          <w:sz w:val="22"/>
          <w:szCs w:val="22"/>
          <w:lang w:val="en-GB"/>
        </w:rPr>
        <w:t xml:space="preserve">Appraisal Committee’s </w:t>
      </w:r>
      <w:r w:rsidRPr="00BC0D2A">
        <w:rPr>
          <w:bCs w:val="0"/>
          <w:sz w:val="22"/>
          <w:szCs w:val="22"/>
          <w:lang w:val="en-GB"/>
        </w:rPr>
        <w:t xml:space="preserve">approach to </w:t>
      </w:r>
      <w:proofErr w:type="spellStart"/>
      <w:r w:rsidRPr="00BC0D2A">
        <w:rPr>
          <w:bCs w:val="0"/>
          <w:sz w:val="22"/>
          <w:szCs w:val="22"/>
          <w:lang w:val="en-GB"/>
        </w:rPr>
        <w:t>ToT</w:t>
      </w:r>
      <w:proofErr w:type="spellEnd"/>
      <w:r w:rsidRPr="00BC0D2A">
        <w:rPr>
          <w:bCs w:val="0"/>
          <w:sz w:val="22"/>
          <w:szCs w:val="22"/>
          <w:lang w:val="en-GB"/>
        </w:rPr>
        <w:t xml:space="preserve"> is a material increase in the </w:t>
      </w:r>
      <w:r w:rsidRPr="00BC0D2A">
        <w:rPr>
          <w:sz w:val="22"/>
          <w:szCs w:val="22"/>
          <w:lang w:val="en-GB"/>
        </w:rPr>
        <w:t xml:space="preserve">Appraisal </w:t>
      </w:r>
      <w:r w:rsidRPr="00BC0D2A">
        <w:rPr>
          <w:bCs w:val="0"/>
          <w:sz w:val="22"/>
          <w:szCs w:val="22"/>
          <w:lang w:val="en-GB"/>
        </w:rPr>
        <w:t>Committee’s calculated ICER.</w:t>
      </w:r>
    </w:p>
    <w:p w14:paraId="36D73AC4" w14:textId="77777777" w:rsidR="00510C14" w:rsidRPr="00BC0D2A" w:rsidRDefault="00510C14" w:rsidP="00510C14">
      <w:pPr>
        <w:pStyle w:val="Numberedlevel3text"/>
        <w:tabs>
          <w:tab w:val="clear" w:pos="360"/>
        </w:tabs>
        <w:spacing w:after="0" w:line="240" w:lineRule="auto"/>
        <w:jc w:val="both"/>
        <w:rPr>
          <w:bCs w:val="0"/>
          <w:lang w:val="en-GB"/>
        </w:rPr>
      </w:pPr>
    </w:p>
    <w:p w14:paraId="79F63FF3" w14:textId="77777777" w:rsidR="00510C14" w:rsidRPr="00BC0D2A" w:rsidRDefault="00194D72" w:rsidP="00510C14">
      <w:pPr>
        <w:pStyle w:val="Numberedlevel3text"/>
        <w:numPr>
          <w:ilvl w:val="0"/>
          <w:numId w:val="0"/>
        </w:numPr>
        <w:spacing w:after="0" w:line="240" w:lineRule="auto"/>
        <w:jc w:val="both"/>
        <w:rPr>
          <w:b/>
          <w:lang w:val="en-GB"/>
        </w:rPr>
      </w:pPr>
      <w:r w:rsidRPr="00BC0D2A">
        <w:rPr>
          <w:b/>
          <w:sz w:val="22"/>
          <w:szCs w:val="22"/>
          <w:lang w:val="en-GB" w:eastAsia="en-GB"/>
        </w:rPr>
        <w:t xml:space="preserve">2.5 </w:t>
      </w:r>
      <w:r w:rsidRPr="00BC0D2A">
        <w:rPr>
          <w:b/>
          <w:lang w:val="en-GB"/>
        </w:rPr>
        <w:t xml:space="preserve">The Appraisal Committee’s conclusion on IVIg response rate is unreasonable </w:t>
      </w:r>
      <w:proofErr w:type="gramStart"/>
      <w:r w:rsidRPr="00BC0D2A">
        <w:rPr>
          <w:b/>
          <w:lang w:val="en-GB"/>
        </w:rPr>
        <w:t>in light of</w:t>
      </w:r>
      <w:proofErr w:type="gramEnd"/>
      <w:r w:rsidRPr="00BC0D2A">
        <w:rPr>
          <w:b/>
          <w:lang w:val="en-GB"/>
        </w:rPr>
        <w:t xml:space="preserve"> the published literature and expert elicitation evidence submitted.</w:t>
      </w:r>
    </w:p>
    <w:p w14:paraId="770049CE" w14:textId="77777777" w:rsidR="00510C14" w:rsidRPr="00BC0D2A" w:rsidRDefault="00510C14" w:rsidP="00510C14">
      <w:pPr>
        <w:pStyle w:val="Numberedlevel3text"/>
        <w:tabs>
          <w:tab w:val="clear" w:pos="360"/>
        </w:tabs>
        <w:spacing w:after="0" w:line="240" w:lineRule="auto"/>
        <w:jc w:val="both"/>
        <w:rPr>
          <w:b/>
          <w:lang w:val="en-GB"/>
        </w:rPr>
      </w:pPr>
    </w:p>
    <w:p w14:paraId="611C5FD7"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Appraisal Committee concludes in Sections 3.8 of the FDG that </w:t>
      </w:r>
      <w:r w:rsidRPr="00BC0D2A">
        <w:rPr>
          <w:i/>
          <w:iCs/>
          <w:sz w:val="22"/>
          <w:szCs w:val="22"/>
          <w:lang w:val="en-GB"/>
        </w:rPr>
        <w:t>“</w:t>
      </w:r>
      <w:r w:rsidRPr="00BC0D2A">
        <w:rPr>
          <w:i/>
          <w:sz w:val="22"/>
          <w:szCs w:val="22"/>
          <w:lang w:val="en-GB"/>
        </w:rPr>
        <w:t>a 70% response rate</w:t>
      </w:r>
      <w:r w:rsidRPr="00BC0D2A">
        <w:rPr>
          <w:i/>
          <w:iCs/>
          <w:sz w:val="22"/>
          <w:szCs w:val="22"/>
          <w:lang w:val="en-GB"/>
        </w:rPr>
        <w:t xml:space="preserve"> for IVIg... was the most appropriate base case assumption for IVIg in the model, although this was highly uncertain</w:t>
      </w:r>
      <w:r w:rsidRPr="00BC0D2A">
        <w:rPr>
          <w:sz w:val="22"/>
          <w:szCs w:val="22"/>
          <w:lang w:val="en-GB"/>
        </w:rPr>
        <w:t xml:space="preserve">”. </w:t>
      </w:r>
    </w:p>
    <w:p w14:paraId="1895ACA0"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410C30B8"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Rather than base this conclusion on the company</w:t>
      </w:r>
      <w:r w:rsidR="00A81097" w:rsidRPr="00BC0D2A">
        <w:rPr>
          <w:sz w:val="22"/>
          <w:szCs w:val="22"/>
          <w:lang w:val="en-GB"/>
        </w:rPr>
        <w:t>’s</w:t>
      </w:r>
      <w:r w:rsidRPr="00BC0D2A">
        <w:rPr>
          <w:sz w:val="22"/>
          <w:szCs w:val="22"/>
          <w:lang w:val="en-GB"/>
        </w:rPr>
        <w:t xml:space="preserve"> submission of evidence collected from the literature (Hellmann et al. 2014 and Bril et al. 2023) – and subsequently validated from clinicians via structured interview – which showed an 80.5% response rate for IVIg, the Appraisal Committee has instead taken a single clinical expert’s opinion provided in the fourth committee meeting (and not from clinical expert</w:t>
      </w:r>
      <w:r w:rsidRPr="00BC0D2A">
        <w:rPr>
          <w:sz w:val="22"/>
          <w:szCs w:val="22"/>
          <w:u w:val="single"/>
          <w:lang w:val="en-GB"/>
        </w:rPr>
        <w:t>s</w:t>
      </w:r>
      <w:r w:rsidRPr="00BC0D2A">
        <w:rPr>
          <w:sz w:val="22"/>
          <w:szCs w:val="22"/>
          <w:lang w:val="en-GB"/>
        </w:rPr>
        <w:t xml:space="preserve"> as stated in Section 3.8 the FDG)  as the basis of the 70% response rate. </w:t>
      </w:r>
    </w:p>
    <w:p w14:paraId="0BB5DE56" w14:textId="77777777" w:rsidR="00510C14" w:rsidRPr="00BC0D2A" w:rsidRDefault="00510C14" w:rsidP="00510C14">
      <w:pPr>
        <w:pStyle w:val="Numberedlevel3text"/>
        <w:numPr>
          <w:ilvl w:val="0"/>
          <w:numId w:val="0"/>
        </w:numPr>
        <w:spacing w:after="0" w:line="240" w:lineRule="auto"/>
        <w:jc w:val="both"/>
        <w:rPr>
          <w:sz w:val="22"/>
          <w:szCs w:val="22"/>
          <w:lang w:val="en-GB"/>
        </w:rPr>
      </w:pPr>
    </w:p>
    <w:p w14:paraId="5B1F3466"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 xml:space="preserve">The Appraisal Committee has disregarded the company’s evidence provided in detail in response to Draft Guidance 2 – which are more robust sources than an expert opinion – </w:t>
      </w:r>
      <w:proofErr w:type="gramStart"/>
      <w:r w:rsidRPr="00BC0D2A">
        <w:rPr>
          <w:sz w:val="22"/>
          <w:szCs w:val="22"/>
          <w:lang w:val="en-GB"/>
        </w:rPr>
        <w:t>and also</w:t>
      </w:r>
      <w:proofErr w:type="gramEnd"/>
      <w:r w:rsidRPr="00BC0D2A">
        <w:rPr>
          <w:sz w:val="22"/>
          <w:szCs w:val="22"/>
          <w:lang w:val="en-GB"/>
        </w:rPr>
        <w:t xml:space="preserve"> the EAG’s position. This is inconsistent with the approach to considering sources of evidence stated in Section 3.3 of NICE’s Methods and plainly unreasonable </w:t>
      </w:r>
      <w:proofErr w:type="gramStart"/>
      <w:r w:rsidRPr="00BC0D2A">
        <w:rPr>
          <w:sz w:val="22"/>
          <w:szCs w:val="22"/>
          <w:lang w:val="en-GB"/>
        </w:rPr>
        <w:t>in light of</w:t>
      </w:r>
      <w:proofErr w:type="gramEnd"/>
      <w:r w:rsidRPr="00BC0D2A">
        <w:rPr>
          <w:sz w:val="22"/>
          <w:szCs w:val="22"/>
          <w:lang w:val="en-GB"/>
        </w:rPr>
        <w:t xml:space="preserve"> the evidence provided.</w:t>
      </w:r>
    </w:p>
    <w:p w14:paraId="572A1EDF" w14:textId="77777777" w:rsidR="00510C14" w:rsidRPr="00BC0D2A" w:rsidRDefault="00510C14" w:rsidP="00510C14">
      <w:pPr>
        <w:pStyle w:val="Numberedlevel3text"/>
        <w:numPr>
          <w:ilvl w:val="0"/>
          <w:numId w:val="0"/>
        </w:numPr>
        <w:spacing w:after="0" w:line="240" w:lineRule="auto"/>
        <w:jc w:val="both"/>
        <w:rPr>
          <w:sz w:val="22"/>
          <w:szCs w:val="22"/>
          <w:lang w:val="en-GB" w:eastAsia="en-GB"/>
        </w:rPr>
      </w:pPr>
    </w:p>
    <w:p w14:paraId="05EF277C" w14:textId="77777777" w:rsidR="00510C14" w:rsidRPr="00BC0D2A" w:rsidRDefault="00194D72" w:rsidP="00510C14">
      <w:pPr>
        <w:pStyle w:val="Numberedlevel3text"/>
        <w:numPr>
          <w:ilvl w:val="0"/>
          <w:numId w:val="0"/>
        </w:numPr>
        <w:spacing w:after="0" w:line="240" w:lineRule="auto"/>
        <w:jc w:val="both"/>
        <w:rPr>
          <w:sz w:val="22"/>
          <w:szCs w:val="22"/>
          <w:lang w:val="en-GB"/>
        </w:rPr>
      </w:pPr>
      <w:r w:rsidRPr="00BC0D2A">
        <w:rPr>
          <w:sz w:val="22"/>
          <w:szCs w:val="22"/>
          <w:lang w:val="en-GB"/>
        </w:rPr>
        <w:t>The impact of the Appraisal Committee’s conclusion on IVIg use is a material increase in the calculated ICER.</w:t>
      </w:r>
    </w:p>
    <w:p w14:paraId="42CA64B0" w14:textId="77777777" w:rsidR="00A81097" w:rsidRPr="00BC0D2A" w:rsidRDefault="00194D72">
      <w:pPr>
        <w:spacing w:line="240" w:lineRule="auto"/>
        <w:jc w:val="left"/>
        <w:rPr>
          <w:rFonts w:ascii="Arial" w:eastAsia="Times New Roman" w:hAnsi="Arial" w:cs="Arial"/>
          <w:b/>
          <w:bCs/>
          <w:i/>
          <w:iCs/>
          <w:sz w:val="24"/>
          <w:szCs w:val="24"/>
          <w:lang w:val="en-GB" w:eastAsia="x-none"/>
        </w:rPr>
      </w:pPr>
      <w:r w:rsidRPr="00BC0D2A">
        <w:rPr>
          <w:rFonts w:cs="Arial"/>
          <w:sz w:val="24"/>
          <w:szCs w:val="24"/>
          <w:lang w:val="en-GB"/>
        </w:rPr>
        <w:br w:type="page"/>
      </w:r>
    </w:p>
    <w:p w14:paraId="698586F5" w14:textId="77777777" w:rsidR="00510C14" w:rsidRPr="00BC0D2A" w:rsidRDefault="00194D72" w:rsidP="00510C14">
      <w:pPr>
        <w:pStyle w:val="Heading2"/>
        <w:spacing w:after="0"/>
        <w:jc w:val="both"/>
        <w:rPr>
          <w:rFonts w:cs="Arial"/>
          <w:sz w:val="24"/>
          <w:szCs w:val="24"/>
          <w:lang w:val="en-GB"/>
        </w:rPr>
      </w:pPr>
      <w:r w:rsidRPr="00BC0D2A">
        <w:rPr>
          <w:rFonts w:cs="Arial"/>
          <w:sz w:val="24"/>
          <w:szCs w:val="24"/>
          <w:lang w:val="en-GB"/>
        </w:rPr>
        <w:lastRenderedPageBreak/>
        <w:t>Conclusion</w:t>
      </w:r>
    </w:p>
    <w:p w14:paraId="429748BC" w14:textId="77777777" w:rsidR="00510C14" w:rsidRPr="00BC0D2A" w:rsidRDefault="00194D72" w:rsidP="00510C14">
      <w:pPr>
        <w:pStyle w:val="Heading2"/>
        <w:jc w:val="both"/>
        <w:rPr>
          <w:rFonts w:cs="Arial"/>
          <w:b w:val="0"/>
          <w:bCs w:val="0"/>
          <w:i w:val="0"/>
          <w:iCs w:val="0"/>
          <w:sz w:val="22"/>
          <w:szCs w:val="22"/>
          <w:lang w:val="en-GB"/>
        </w:rPr>
      </w:pPr>
      <w:r w:rsidRPr="00BC0D2A">
        <w:rPr>
          <w:rFonts w:cs="Arial"/>
          <w:b w:val="0"/>
          <w:bCs w:val="0"/>
          <w:i w:val="0"/>
          <w:iCs w:val="0"/>
          <w:sz w:val="22"/>
          <w:szCs w:val="22"/>
          <w:lang w:val="en-GB"/>
        </w:rPr>
        <w:t>As explained above, the legal and technical robustness of this appraisal decision has been undermined by:</w:t>
      </w:r>
    </w:p>
    <w:p w14:paraId="40CE2512" w14:textId="77777777" w:rsidR="00510C14" w:rsidRPr="00BC0D2A" w:rsidRDefault="00194D72" w:rsidP="00510C14">
      <w:pPr>
        <w:pStyle w:val="Heading2"/>
        <w:numPr>
          <w:ilvl w:val="0"/>
          <w:numId w:val="42"/>
        </w:numPr>
        <w:jc w:val="both"/>
        <w:rPr>
          <w:rFonts w:cs="Arial"/>
          <w:b w:val="0"/>
          <w:bCs w:val="0"/>
          <w:i w:val="0"/>
          <w:iCs w:val="0"/>
          <w:sz w:val="22"/>
          <w:szCs w:val="22"/>
          <w:lang w:val="en-GB"/>
        </w:rPr>
      </w:pPr>
      <w:r w:rsidRPr="00BC0D2A">
        <w:rPr>
          <w:rFonts w:cs="Arial"/>
          <w:b w:val="0"/>
          <w:bCs w:val="0"/>
          <w:i w:val="0"/>
          <w:iCs w:val="0"/>
          <w:sz w:val="22"/>
          <w:szCs w:val="22"/>
          <w:lang w:val="en-GB"/>
        </w:rPr>
        <w:t xml:space="preserve">significant procedural unfairness, which has resulted in the company and other stakeholders not having a fair opportunity to make intelligent representations on matters that have been or should have been </w:t>
      </w:r>
      <w:proofErr w:type="gramStart"/>
      <w:r w:rsidRPr="00BC0D2A">
        <w:rPr>
          <w:rFonts w:cs="Arial"/>
          <w:b w:val="0"/>
          <w:bCs w:val="0"/>
          <w:i w:val="0"/>
          <w:iCs w:val="0"/>
          <w:sz w:val="22"/>
          <w:szCs w:val="22"/>
          <w:lang w:val="en-GB"/>
        </w:rPr>
        <w:t>taken into account</w:t>
      </w:r>
      <w:proofErr w:type="gramEnd"/>
      <w:r w:rsidRPr="00BC0D2A">
        <w:rPr>
          <w:rFonts w:cs="Arial"/>
          <w:b w:val="0"/>
          <w:bCs w:val="0"/>
          <w:i w:val="0"/>
          <w:iCs w:val="0"/>
          <w:sz w:val="22"/>
          <w:szCs w:val="22"/>
          <w:lang w:val="en-GB"/>
        </w:rPr>
        <w:t xml:space="preserve"> by the Appraisal Committee in producing the FDG; and</w:t>
      </w:r>
    </w:p>
    <w:p w14:paraId="3F70F609" w14:textId="77777777" w:rsidR="00510C14" w:rsidRPr="00BC0D2A" w:rsidRDefault="00194D72" w:rsidP="00510C14">
      <w:pPr>
        <w:pStyle w:val="Heading2"/>
        <w:numPr>
          <w:ilvl w:val="0"/>
          <w:numId w:val="42"/>
        </w:numPr>
        <w:jc w:val="both"/>
        <w:rPr>
          <w:rFonts w:cs="Arial"/>
          <w:b w:val="0"/>
          <w:bCs w:val="0"/>
          <w:i w:val="0"/>
          <w:iCs w:val="0"/>
          <w:sz w:val="22"/>
          <w:szCs w:val="22"/>
          <w:lang w:val="en-GB"/>
        </w:rPr>
      </w:pPr>
      <w:r w:rsidRPr="00BC0D2A">
        <w:rPr>
          <w:rFonts w:cs="Arial"/>
          <w:b w:val="0"/>
          <w:bCs w:val="0"/>
          <w:i w:val="0"/>
          <w:iCs w:val="0"/>
          <w:sz w:val="22"/>
          <w:szCs w:val="22"/>
          <w:lang w:val="en-GB"/>
        </w:rPr>
        <w:t xml:space="preserve">the Appraisal Committee reaching unreasonable conclusions </w:t>
      </w:r>
      <w:proofErr w:type="gramStart"/>
      <w:r w:rsidRPr="00BC0D2A">
        <w:rPr>
          <w:rFonts w:cs="Arial"/>
          <w:b w:val="0"/>
          <w:bCs w:val="0"/>
          <w:i w:val="0"/>
          <w:iCs w:val="0"/>
          <w:sz w:val="22"/>
          <w:szCs w:val="22"/>
          <w:lang w:val="en-GB"/>
        </w:rPr>
        <w:t>in light of</w:t>
      </w:r>
      <w:proofErr w:type="gramEnd"/>
      <w:r w:rsidRPr="00BC0D2A">
        <w:rPr>
          <w:rFonts w:cs="Arial"/>
          <w:b w:val="0"/>
          <w:bCs w:val="0"/>
          <w:i w:val="0"/>
          <w:iCs w:val="0"/>
          <w:sz w:val="22"/>
          <w:szCs w:val="22"/>
          <w:lang w:val="en-GB"/>
        </w:rPr>
        <w:t xml:space="preserve"> the evidence provided in relation to </w:t>
      </w:r>
      <w:proofErr w:type="gramStart"/>
      <w:r w:rsidRPr="00BC0D2A">
        <w:rPr>
          <w:rFonts w:cs="Arial"/>
          <w:b w:val="0"/>
          <w:bCs w:val="0"/>
          <w:i w:val="0"/>
          <w:iCs w:val="0"/>
          <w:sz w:val="22"/>
          <w:szCs w:val="22"/>
          <w:lang w:val="en-GB"/>
        </w:rPr>
        <w:t>a number of</w:t>
      </w:r>
      <w:proofErr w:type="gramEnd"/>
      <w:r w:rsidRPr="00BC0D2A">
        <w:rPr>
          <w:rFonts w:cs="Arial"/>
          <w:b w:val="0"/>
          <w:bCs w:val="0"/>
          <w:i w:val="0"/>
          <w:iCs w:val="0"/>
          <w:sz w:val="22"/>
          <w:szCs w:val="22"/>
          <w:lang w:val="en-GB"/>
        </w:rPr>
        <w:t xml:space="preserve"> key assumptions that adversely impact the ICER and render the FDG unreasonable.</w:t>
      </w:r>
    </w:p>
    <w:p w14:paraId="6B9B9095" w14:textId="77777777" w:rsidR="00510C14" w:rsidRPr="00BC0D2A" w:rsidRDefault="00194D72" w:rsidP="00510C14">
      <w:pPr>
        <w:pStyle w:val="Paragraph"/>
        <w:numPr>
          <w:ilvl w:val="0"/>
          <w:numId w:val="0"/>
        </w:numPr>
        <w:jc w:val="both"/>
        <w:rPr>
          <w:rFonts w:cs="Arial"/>
          <w:sz w:val="22"/>
          <w:szCs w:val="22"/>
          <w:lang w:eastAsia="en-US"/>
        </w:rPr>
      </w:pPr>
      <w:r w:rsidRPr="00BC0D2A">
        <w:rPr>
          <w:rFonts w:cs="Arial"/>
          <w:sz w:val="22"/>
          <w:szCs w:val="22"/>
          <w:lang w:eastAsia="en-US"/>
        </w:rPr>
        <w:t>Together this has resulted in a very significantly higher ICER than should have resulted from modelling and ultimately in a negative outcome in the FDG.</w:t>
      </w:r>
    </w:p>
    <w:p w14:paraId="4A0691C0" w14:textId="77777777" w:rsidR="00510C14" w:rsidRPr="00BC0D2A" w:rsidRDefault="00194D72" w:rsidP="00510C14">
      <w:pPr>
        <w:pStyle w:val="Heading2"/>
        <w:jc w:val="both"/>
        <w:rPr>
          <w:rFonts w:cs="Arial"/>
          <w:i w:val="0"/>
          <w:iCs w:val="0"/>
          <w:color w:val="0E0E0E"/>
          <w:sz w:val="24"/>
          <w:szCs w:val="24"/>
          <w:u w:val="single"/>
          <w:lang w:val="en-GB"/>
        </w:rPr>
      </w:pPr>
      <w:r w:rsidRPr="00BC0D2A">
        <w:rPr>
          <w:rFonts w:cs="Arial"/>
          <w:i w:val="0"/>
          <w:iCs w:val="0"/>
          <w:color w:val="0E0E0E"/>
          <w:sz w:val="24"/>
          <w:szCs w:val="24"/>
          <w:u w:val="single"/>
          <w:lang w:val="en-GB"/>
        </w:rPr>
        <w:t>Hearing of this Appeal</w:t>
      </w:r>
    </w:p>
    <w:p w14:paraId="791242B2" w14:textId="77777777" w:rsidR="00510C14" w:rsidRPr="00BC0D2A" w:rsidRDefault="00194D72" w:rsidP="00510C14">
      <w:pPr>
        <w:pStyle w:val="Paragraph"/>
        <w:numPr>
          <w:ilvl w:val="0"/>
          <w:numId w:val="0"/>
        </w:numPr>
        <w:spacing w:before="0" w:after="0" w:line="360" w:lineRule="auto"/>
        <w:rPr>
          <w:rFonts w:cs="Arial"/>
          <w:sz w:val="22"/>
          <w:szCs w:val="22"/>
        </w:rPr>
      </w:pPr>
      <w:r w:rsidRPr="00BC0D2A">
        <w:rPr>
          <w:rFonts w:cs="Arial"/>
          <w:sz w:val="22"/>
          <w:szCs w:val="22"/>
        </w:rPr>
        <w:t>The company requests that this appeal proceeds as an oral appeal.</w:t>
      </w:r>
    </w:p>
    <w:p w14:paraId="4C959F99" w14:textId="77777777" w:rsidR="00510C14" w:rsidRPr="00BC0D2A" w:rsidRDefault="00194D72" w:rsidP="00510C14">
      <w:pPr>
        <w:pStyle w:val="Heading2"/>
        <w:jc w:val="both"/>
        <w:rPr>
          <w:rFonts w:cs="Arial"/>
          <w:i w:val="0"/>
          <w:iCs w:val="0"/>
          <w:color w:val="0E0E0E"/>
          <w:sz w:val="24"/>
          <w:szCs w:val="24"/>
          <w:u w:val="single"/>
          <w:lang w:val="en-GB"/>
        </w:rPr>
      </w:pPr>
      <w:r w:rsidRPr="00BC0D2A">
        <w:rPr>
          <w:rFonts w:cs="Arial"/>
          <w:i w:val="0"/>
          <w:iCs w:val="0"/>
          <w:color w:val="0E0E0E"/>
          <w:sz w:val="24"/>
          <w:szCs w:val="24"/>
          <w:u w:val="single"/>
          <w:lang w:val="en-GB"/>
        </w:rPr>
        <w:t>Requested Outcome following this Appeal</w:t>
      </w:r>
    </w:p>
    <w:p w14:paraId="23189104" w14:textId="77777777" w:rsidR="00510C14" w:rsidRPr="00BC0D2A" w:rsidRDefault="00194D72" w:rsidP="00510C14">
      <w:pPr>
        <w:jc w:val="both"/>
        <w:rPr>
          <w:rFonts w:ascii="Arial" w:hAnsi="Arial" w:cs="Arial"/>
          <w:sz w:val="22"/>
          <w:lang w:val="en-GB"/>
        </w:rPr>
      </w:pPr>
      <w:r w:rsidRPr="00BC0D2A">
        <w:rPr>
          <w:rFonts w:ascii="Arial" w:hAnsi="Arial" w:cs="Arial"/>
          <w:sz w:val="22"/>
          <w:lang w:val="en-GB"/>
        </w:rPr>
        <w:t xml:space="preserve">The company requests that the Appeal Panel returns this appraisal to the Appraisal Committee to take all reasonable steps to address the points above including providing the company with a fair opportunity to consider and respond fully to the Appraisal Committee prior to production of final draft guidance.  </w:t>
      </w:r>
    </w:p>
    <w:p w14:paraId="00801788" w14:textId="77777777" w:rsidR="00510C14" w:rsidRPr="00BC0D2A" w:rsidRDefault="00510C14" w:rsidP="00510C14">
      <w:pPr>
        <w:pStyle w:val="Paragraph"/>
        <w:numPr>
          <w:ilvl w:val="0"/>
          <w:numId w:val="0"/>
        </w:numPr>
        <w:spacing w:before="0" w:after="0" w:line="360" w:lineRule="auto"/>
        <w:rPr>
          <w:rFonts w:cs="Arial"/>
          <w:sz w:val="22"/>
          <w:szCs w:val="22"/>
        </w:rPr>
      </w:pPr>
    </w:p>
    <w:p w14:paraId="4D135E0C" w14:textId="77777777" w:rsidR="0081623C" w:rsidRPr="00BC0D2A" w:rsidRDefault="00194D72" w:rsidP="0081623C">
      <w:pPr>
        <w:jc w:val="left"/>
        <w:rPr>
          <w:rFonts w:ascii="Arial" w:hAnsi="Arial" w:cs="Arial"/>
          <w:sz w:val="22"/>
          <w:lang w:val="en-GB"/>
        </w:rPr>
      </w:pPr>
      <w:r w:rsidRPr="00BC0D2A">
        <w:rPr>
          <w:rFonts w:ascii="Arial" w:hAnsi="Arial" w:cs="Arial"/>
          <w:sz w:val="22"/>
          <w:lang w:val="en-GB"/>
        </w:rPr>
        <w:t>Yours sincerely,</w:t>
      </w:r>
    </w:p>
    <w:p w14:paraId="7B0BE18D" w14:textId="77777777" w:rsidR="0081623C" w:rsidRPr="00BC0D2A" w:rsidRDefault="0081623C" w:rsidP="0081623C">
      <w:pPr>
        <w:jc w:val="left"/>
        <w:rPr>
          <w:rFonts w:ascii="Arial" w:hAnsi="Arial" w:cs="Arial"/>
          <w:lang w:val="en-GB"/>
        </w:rPr>
      </w:pPr>
    </w:p>
    <w:p w14:paraId="11D8D8CF" w14:textId="05E7DAF1" w:rsidR="0081623C" w:rsidRPr="002C46E9" w:rsidRDefault="002C46E9" w:rsidP="0081623C">
      <w:pPr>
        <w:jc w:val="left"/>
        <w:rPr>
          <w:rFonts w:ascii="Arial" w:hAnsi="Arial" w:cs="Arial"/>
          <w:sz w:val="72"/>
          <w:szCs w:val="72"/>
          <w:lang w:val="en-GB"/>
        </w:rPr>
      </w:pPr>
      <w:r w:rsidRPr="002C46E9">
        <w:rPr>
          <w:rFonts w:ascii="Arial" w:hAnsi="Arial" w:cs="Arial"/>
          <w:noProof/>
          <w:sz w:val="72"/>
          <w:szCs w:val="72"/>
          <w:highlight w:val="black"/>
          <w:lang w:val="en-GB"/>
        </w:rPr>
        <w:t>XXXXXXX</w:t>
      </w:r>
    </w:p>
    <w:p w14:paraId="470236F8" w14:textId="77777777" w:rsidR="00C227D7" w:rsidRPr="00BC0D2A" w:rsidRDefault="00C227D7" w:rsidP="00C227D7">
      <w:pPr>
        <w:jc w:val="left"/>
        <w:rPr>
          <w:rFonts w:ascii="Arial" w:hAnsi="Arial" w:cs="Arial"/>
          <w:color w:val="404040" w:themeColor="text1" w:themeTint="BF"/>
          <w:szCs w:val="20"/>
          <w:lang w:val="en-GB"/>
        </w:rPr>
      </w:pPr>
    </w:p>
    <w:p w14:paraId="3B03A3A8" w14:textId="13221887" w:rsidR="0081623C" w:rsidRPr="002C46E9" w:rsidRDefault="002C46E9" w:rsidP="00C227D7">
      <w:pPr>
        <w:jc w:val="left"/>
        <w:rPr>
          <w:rFonts w:ascii="Arial" w:hAnsi="Arial" w:cs="Arial"/>
          <w:sz w:val="22"/>
          <w:lang w:val="en-GB"/>
        </w:rPr>
      </w:pPr>
      <w:r w:rsidRPr="002C46E9">
        <w:rPr>
          <w:rFonts w:ascii="Arial" w:hAnsi="Arial" w:cs="Arial"/>
          <w:sz w:val="22"/>
          <w:highlight w:val="black"/>
          <w:lang w:val="en-GB"/>
        </w:rPr>
        <w:t>XXXXXXXXXXXXXX</w:t>
      </w:r>
    </w:p>
    <w:p w14:paraId="15AA3C86" w14:textId="77777777" w:rsidR="0081623C" w:rsidRPr="00BC0D2A" w:rsidRDefault="00194D72" w:rsidP="7678A61A">
      <w:pPr>
        <w:jc w:val="left"/>
        <w:rPr>
          <w:rFonts w:ascii="Arial" w:hAnsi="Arial" w:cs="Arial"/>
          <w:color w:val="404040" w:themeColor="text1" w:themeTint="BF"/>
          <w:sz w:val="22"/>
          <w:lang w:val="en-GB"/>
        </w:rPr>
      </w:pPr>
      <w:r w:rsidRPr="00BC0D2A">
        <w:rPr>
          <w:rFonts w:ascii="Arial" w:hAnsi="Arial" w:cs="Arial"/>
          <w:color w:val="404040" w:themeColor="text1" w:themeTint="BF"/>
          <w:sz w:val="22"/>
          <w:lang w:val="en-GB"/>
        </w:rPr>
        <w:t>General Manager, argenx UK &amp; Ireland</w:t>
      </w:r>
    </w:p>
    <w:p w14:paraId="3EE0A803" w14:textId="77777777" w:rsidR="00510C14" w:rsidRPr="00BC0D2A" w:rsidRDefault="00194D72" w:rsidP="7678A61A">
      <w:pPr>
        <w:jc w:val="left"/>
        <w:rPr>
          <w:rFonts w:ascii="Arial" w:hAnsi="Arial" w:cs="Arial"/>
          <w:color w:val="404040" w:themeColor="text1" w:themeTint="BF"/>
          <w:sz w:val="22"/>
          <w:lang w:val="en-GB"/>
        </w:rPr>
      </w:pPr>
      <w:r w:rsidRPr="00BC0D2A">
        <w:rPr>
          <w:rFonts w:ascii="Arial" w:hAnsi="Arial" w:cs="Arial"/>
          <w:color w:val="404040" w:themeColor="text1" w:themeTint="BF"/>
          <w:sz w:val="22"/>
          <w:lang w:val="en-GB"/>
        </w:rPr>
        <w:t>argenx UK Limited</w:t>
      </w:r>
    </w:p>
    <w:p w14:paraId="4B9A51EE" w14:textId="77777777" w:rsidR="008B1294" w:rsidRPr="00BC0D2A" w:rsidRDefault="008B1294" w:rsidP="00497F35">
      <w:pPr>
        <w:tabs>
          <w:tab w:val="left" w:pos="6680"/>
        </w:tabs>
        <w:jc w:val="both"/>
        <w:rPr>
          <w:rFonts w:ascii="Arial" w:hAnsi="Arial" w:cs="Arial"/>
          <w:sz w:val="18"/>
          <w:szCs w:val="18"/>
          <w:lang w:val="en-GB"/>
        </w:rPr>
      </w:pPr>
    </w:p>
    <w:sectPr w:rsidR="008B1294" w:rsidRPr="00BC0D2A" w:rsidSect="00D925C5">
      <w:headerReference w:type="default" r:id="rId12"/>
      <w:footerReference w:type="even" r:id="rId13"/>
      <w:footerReference w:type="default" r:id="rId14"/>
      <w:pgSz w:w="11900" w:h="16840" w:code="9"/>
      <w:pgMar w:top="1417" w:right="1417" w:bottom="1417" w:left="1417" w:header="993"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BFF0" w14:textId="77777777" w:rsidR="00521B6D" w:rsidRDefault="00521B6D">
      <w:pPr>
        <w:spacing w:line="240" w:lineRule="auto"/>
      </w:pPr>
      <w:r>
        <w:separator/>
      </w:r>
    </w:p>
  </w:endnote>
  <w:endnote w:type="continuationSeparator" w:id="0">
    <w:p w14:paraId="3E500279" w14:textId="77777777" w:rsidR="00521B6D" w:rsidRDefault="00521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imes New Roman"/>
    <w:charset w:val="00"/>
    <w:family w:val="auto"/>
    <w:pitch w:val="variable"/>
    <w:sig w:usb0="800000AF" w:usb1="5000204A" w:usb2="00000000" w:usb3="00000000" w:csb0="0000009B"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64"/>
      <w:gridCol w:w="8702"/>
    </w:tblGrid>
    <w:tr w:rsidR="00DF2204" w14:paraId="4CD61A86" w14:textId="77777777" w:rsidTr="005B72D8">
      <w:tc>
        <w:tcPr>
          <w:tcW w:w="201" w:type="pct"/>
          <w:tcBorders>
            <w:bottom w:val="nil"/>
            <w:right w:val="single" w:sz="4" w:space="0" w:color="BFBFBF"/>
          </w:tcBorders>
        </w:tcPr>
        <w:p w14:paraId="6581DEBD" w14:textId="77777777" w:rsidR="005B72D8" w:rsidRPr="00653BC9" w:rsidRDefault="00194D72">
          <w:pPr>
            <w:spacing w:line="240" w:lineRule="auto"/>
            <w:rPr>
              <w:rFonts w:ascii="Calibri" w:hAnsi="Calibri"/>
              <w:b/>
              <w:color w:val="595959"/>
              <w:sz w:val="24"/>
              <w:szCs w:val="24"/>
            </w:rPr>
          </w:pPr>
          <w:r w:rsidRPr="00653BC9">
            <w:rPr>
              <w:rFonts w:ascii="Calibri" w:hAnsi="Calibri"/>
              <w:b/>
              <w:color w:val="595959"/>
              <w:sz w:val="24"/>
              <w:szCs w:val="24"/>
            </w:rPr>
            <w:fldChar w:fldCharType="begin"/>
          </w:r>
          <w:r w:rsidRPr="00653BC9">
            <w:rPr>
              <w:rFonts w:ascii="Calibri" w:hAnsi="Calibri"/>
              <w:b/>
              <w:color w:val="595959"/>
              <w:sz w:val="24"/>
              <w:szCs w:val="24"/>
            </w:rPr>
            <w:instrText>PAGE   \* MERGEFORMAT</w:instrText>
          </w:r>
          <w:r w:rsidRPr="00653BC9">
            <w:rPr>
              <w:rFonts w:ascii="Calibri" w:hAnsi="Calibri"/>
              <w:b/>
              <w:color w:val="595959"/>
              <w:sz w:val="24"/>
              <w:szCs w:val="24"/>
            </w:rPr>
            <w:fldChar w:fldCharType="separate"/>
          </w:r>
          <w:r w:rsidR="00B92B42" w:rsidRPr="00B92B42">
            <w:rPr>
              <w:rFonts w:ascii="Calibri" w:hAnsi="Calibri"/>
              <w:b/>
              <w:noProof/>
              <w:color w:val="595959"/>
              <w:sz w:val="24"/>
              <w:szCs w:val="24"/>
              <w:lang w:val="nl-NL"/>
            </w:rPr>
            <w:t>16</w:t>
          </w:r>
          <w:r w:rsidRPr="00653BC9">
            <w:rPr>
              <w:rFonts w:ascii="Calibri" w:hAnsi="Calibri"/>
              <w:b/>
              <w:color w:val="595959"/>
              <w:sz w:val="24"/>
              <w:szCs w:val="24"/>
            </w:rPr>
            <w:fldChar w:fldCharType="end"/>
          </w:r>
        </w:p>
      </w:tc>
      <w:tc>
        <w:tcPr>
          <w:tcW w:w="4799" w:type="pct"/>
          <w:tcBorders>
            <w:left w:val="single" w:sz="4" w:space="0" w:color="BFBFBF"/>
            <w:bottom w:val="nil"/>
          </w:tcBorders>
        </w:tcPr>
        <w:p w14:paraId="424ADB91" w14:textId="77777777" w:rsidR="005B72D8" w:rsidRPr="00653BC9" w:rsidRDefault="005B72D8">
          <w:pPr>
            <w:spacing w:line="240" w:lineRule="auto"/>
            <w:rPr>
              <w:rFonts w:ascii="Calibri" w:hAnsi="Calibri"/>
              <w:color w:val="595959"/>
              <w:sz w:val="24"/>
              <w:szCs w:val="24"/>
            </w:rPr>
          </w:pPr>
        </w:p>
      </w:tc>
    </w:tr>
  </w:tbl>
  <w:p w14:paraId="4CC46025" w14:textId="77777777" w:rsidR="005B72D8" w:rsidRDefault="005B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744"/>
      <w:gridCol w:w="1620"/>
      <w:gridCol w:w="1710"/>
      <w:gridCol w:w="2401"/>
    </w:tblGrid>
    <w:tr w:rsidR="00DF2204" w14:paraId="131D3C4F" w14:textId="77777777" w:rsidTr="00EE58CC">
      <w:tc>
        <w:tcPr>
          <w:tcW w:w="1581" w:type="dxa"/>
          <w:vMerge w:val="restart"/>
        </w:tcPr>
        <w:p w14:paraId="0C2174DA" w14:textId="77777777" w:rsidR="00BE489F" w:rsidRPr="00B92B42" w:rsidRDefault="00194D72" w:rsidP="00BE489F">
          <w:pPr>
            <w:pStyle w:val="BasicParagraph"/>
            <w:suppressAutoHyphens/>
            <w:spacing w:line="276" w:lineRule="auto"/>
            <w:rPr>
              <w:rFonts w:asciiTheme="minorHAnsi" w:hAnsiTheme="minorHAnsi" w:cstheme="minorHAnsi"/>
            </w:rPr>
          </w:pPr>
          <w:r w:rsidRPr="00B92B42">
            <w:rPr>
              <w:rFonts w:asciiTheme="minorHAnsi" w:hAnsiTheme="minorHAnsi" w:cstheme="minorHAnsi"/>
              <w:noProof/>
              <w:lang w:val="en-GB" w:eastAsia="zh-CN"/>
            </w:rPr>
            <w:drawing>
              <wp:inline distT="0" distB="0" distL="0" distR="0" wp14:anchorId="554258D8" wp14:editId="6D5730D4">
                <wp:extent cx="832513" cy="910869"/>
                <wp:effectExtent l="0" t="0" r="5715" b="3810"/>
                <wp:docPr id="3" name="Picture 3" descr="C:\Users\Jay\AppData\Local\Microsoft\Windows\INetCache\Content.Word\Together_We_Dis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40399" name="Picture 19" descr="C:\Users\Jay\AppData\Local\Microsoft\Windows\INetCache\Content.Word\Together_We_Discov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326" cy="953335"/>
                        </a:xfrm>
                        <a:prstGeom prst="rect">
                          <a:avLst/>
                        </a:prstGeom>
                        <a:noFill/>
                        <a:ln>
                          <a:noFill/>
                        </a:ln>
                      </pic:spPr>
                    </pic:pic>
                  </a:graphicData>
                </a:graphic>
              </wp:inline>
            </w:drawing>
          </w:r>
        </w:p>
      </w:tc>
      <w:tc>
        <w:tcPr>
          <w:tcW w:w="1744" w:type="dxa"/>
        </w:tcPr>
        <w:p w14:paraId="7A8C752E" w14:textId="77777777" w:rsidR="00BE489F" w:rsidRPr="00592171" w:rsidRDefault="00194D72" w:rsidP="00BE489F">
          <w:pPr>
            <w:pStyle w:val="Pa0"/>
            <w:spacing w:line="276" w:lineRule="auto"/>
            <w:rPr>
              <w:rFonts w:asciiTheme="minorHAnsi" w:hAnsiTheme="minorHAnsi" w:cstheme="minorHAnsi"/>
              <w:color w:val="7F7F7F" w:themeColor="text1" w:themeTint="80"/>
              <w:sz w:val="13"/>
              <w:szCs w:val="13"/>
              <w:lang w:val="en-US"/>
            </w:rPr>
          </w:pPr>
          <w:r>
            <w:rPr>
              <w:rStyle w:val="A0"/>
              <w:rFonts w:asciiTheme="minorHAnsi" w:hAnsiTheme="minorHAnsi" w:cstheme="minorHAnsi"/>
              <w:b/>
              <w:bCs/>
              <w:color w:val="7F7F7F" w:themeColor="text1" w:themeTint="80"/>
              <w:lang w:val="en-US"/>
            </w:rPr>
            <w:br/>
          </w:r>
          <w:r w:rsidRPr="007A770A">
            <w:rPr>
              <w:rStyle w:val="A0"/>
              <w:rFonts w:asciiTheme="minorHAnsi" w:hAnsiTheme="minorHAnsi" w:cstheme="minorHAnsi"/>
              <w:b/>
              <w:bCs/>
              <w:color w:val="7F7F7F" w:themeColor="text1" w:themeTint="80"/>
              <w:lang w:val="en-US"/>
            </w:rPr>
            <w:br/>
          </w:r>
          <w:r w:rsidRPr="00B15EC3">
            <w:rPr>
              <w:rStyle w:val="A0"/>
              <w:rFonts w:asciiTheme="minorHAnsi" w:hAnsiTheme="minorHAnsi" w:cstheme="minorHAnsi"/>
              <w:b/>
              <w:bCs/>
              <w:color w:val="7F7F7F" w:themeColor="text1" w:themeTint="80"/>
              <w:lang w:val="en-US"/>
            </w:rPr>
            <w:t xml:space="preserve">argenx </w:t>
          </w:r>
          <w:r>
            <w:rPr>
              <w:rStyle w:val="A0"/>
              <w:rFonts w:asciiTheme="minorHAnsi" w:hAnsiTheme="minorHAnsi" w:cstheme="minorHAnsi"/>
              <w:b/>
              <w:bCs/>
              <w:color w:val="7F7F7F" w:themeColor="text1" w:themeTint="80"/>
              <w:lang w:val="en-US"/>
            </w:rPr>
            <w:t>U</w:t>
          </w:r>
          <w:r w:rsidRPr="00592171">
            <w:rPr>
              <w:rStyle w:val="A0"/>
              <w:rFonts w:asciiTheme="minorHAnsi" w:hAnsiTheme="minorHAnsi" w:cstheme="minorHAnsi"/>
              <w:b/>
              <w:bCs/>
              <w:color w:val="7F7F7F" w:themeColor="text1" w:themeTint="80"/>
              <w:lang w:val="en-US"/>
            </w:rPr>
            <w:t>K LTD</w:t>
          </w:r>
          <w:r>
            <w:rPr>
              <w:rStyle w:val="A0"/>
              <w:b/>
              <w:bCs/>
            </w:rPr>
            <w:t xml:space="preserve"> </w:t>
          </w:r>
        </w:p>
        <w:p w14:paraId="7978696F" w14:textId="77777777" w:rsidR="00BE489F" w:rsidRPr="00592171" w:rsidRDefault="00194D72" w:rsidP="00BE489F">
          <w:pPr>
            <w:pStyle w:val="Pa0"/>
            <w:spacing w:line="276" w:lineRule="auto"/>
            <w:rPr>
              <w:rFonts w:asciiTheme="minorHAnsi" w:hAnsiTheme="minorHAnsi" w:cstheme="minorHAnsi"/>
              <w:color w:val="7F7F7F" w:themeColor="text1" w:themeTint="80"/>
              <w:sz w:val="13"/>
              <w:szCs w:val="13"/>
              <w:lang w:val="en-US"/>
            </w:rPr>
          </w:pPr>
          <w:r w:rsidRPr="00592171">
            <w:rPr>
              <w:rFonts w:asciiTheme="minorHAnsi" w:hAnsiTheme="minorHAnsi" w:cstheme="minorHAnsi"/>
              <w:color w:val="7F7F7F" w:themeColor="text1" w:themeTint="80"/>
              <w:sz w:val="13"/>
              <w:szCs w:val="13"/>
              <w:lang w:val="en-US"/>
            </w:rPr>
            <w:t>Chalfont Park House</w:t>
          </w:r>
        </w:p>
        <w:p w14:paraId="1B71ADC1" w14:textId="77777777" w:rsidR="00BE489F" w:rsidRPr="00592171" w:rsidRDefault="00194D72" w:rsidP="00BE489F">
          <w:pPr>
            <w:pStyle w:val="Pa0"/>
            <w:spacing w:line="276" w:lineRule="auto"/>
            <w:rPr>
              <w:rFonts w:asciiTheme="minorHAnsi" w:hAnsiTheme="minorHAnsi" w:cstheme="minorHAnsi"/>
              <w:color w:val="7F7F7F" w:themeColor="text1" w:themeTint="80"/>
              <w:sz w:val="13"/>
              <w:szCs w:val="13"/>
              <w:lang w:val="en-US"/>
            </w:rPr>
          </w:pPr>
          <w:r w:rsidRPr="00592171">
            <w:rPr>
              <w:rFonts w:asciiTheme="minorHAnsi" w:hAnsiTheme="minorHAnsi" w:cstheme="minorHAnsi"/>
              <w:color w:val="7F7F7F" w:themeColor="text1" w:themeTint="80"/>
              <w:sz w:val="13"/>
              <w:szCs w:val="13"/>
              <w:lang w:val="en-US"/>
            </w:rPr>
            <w:t>Chalfont Park Building 1</w:t>
          </w:r>
        </w:p>
        <w:p w14:paraId="73238446" w14:textId="77777777" w:rsidR="00BE489F" w:rsidRPr="00592171" w:rsidRDefault="00194D72" w:rsidP="00BE489F">
          <w:pPr>
            <w:pStyle w:val="Pa0"/>
            <w:spacing w:line="276" w:lineRule="auto"/>
            <w:rPr>
              <w:rFonts w:asciiTheme="minorHAnsi" w:hAnsiTheme="minorHAnsi" w:cstheme="minorHAnsi"/>
              <w:color w:val="7F7F7F" w:themeColor="text1" w:themeTint="80"/>
              <w:sz w:val="13"/>
              <w:szCs w:val="13"/>
              <w:lang w:val="en-US"/>
            </w:rPr>
          </w:pPr>
          <w:r w:rsidRPr="00592171">
            <w:rPr>
              <w:rFonts w:asciiTheme="minorHAnsi" w:hAnsiTheme="minorHAnsi" w:cstheme="minorHAnsi"/>
              <w:color w:val="7F7F7F" w:themeColor="text1" w:themeTint="80"/>
              <w:sz w:val="13"/>
              <w:szCs w:val="13"/>
              <w:lang w:val="en-US"/>
            </w:rPr>
            <w:t>Gerrards Cross</w:t>
          </w:r>
        </w:p>
        <w:p w14:paraId="3496765A" w14:textId="77777777" w:rsidR="00BE489F" w:rsidRPr="00592171" w:rsidRDefault="00194D72" w:rsidP="00BE489F">
          <w:pPr>
            <w:pStyle w:val="Pa0"/>
            <w:spacing w:line="276" w:lineRule="auto"/>
            <w:rPr>
              <w:rFonts w:asciiTheme="minorHAnsi" w:hAnsiTheme="minorHAnsi" w:cstheme="minorHAnsi"/>
              <w:color w:val="7F7F7F" w:themeColor="text1" w:themeTint="80"/>
              <w:sz w:val="13"/>
              <w:szCs w:val="13"/>
              <w:lang w:val="en-US"/>
            </w:rPr>
          </w:pPr>
          <w:r w:rsidRPr="00592171">
            <w:rPr>
              <w:rFonts w:asciiTheme="minorHAnsi" w:hAnsiTheme="minorHAnsi" w:cstheme="minorHAnsi"/>
              <w:color w:val="7F7F7F" w:themeColor="text1" w:themeTint="80"/>
              <w:sz w:val="13"/>
              <w:szCs w:val="13"/>
              <w:lang w:val="en-US"/>
            </w:rPr>
            <w:t>Buckinghamshire</w:t>
          </w:r>
        </w:p>
        <w:p w14:paraId="0B473D87" w14:textId="77777777" w:rsidR="00BE489F" w:rsidRPr="00C227D7" w:rsidRDefault="00194D72" w:rsidP="00BE489F">
          <w:pPr>
            <w:pStyle w:val="Pa0"/>
            <w:spacing w:line="276" w:lineRule="auto"/>
            <w:rPr>
              <w:rFonts w:asciiTheme="minorHAnsi" w:hAnsiTheme="minorHAnsi" w:cstheme="minorHAnsi"/>
              <w:color w:val="7F7F7F" w:themeColor="text1" w:themeTint="80"/>
              <w:sz w:val="13"/>
              <w:szCs w:val="13"/>
              <w:lang w:val="nl-NL"/>
            </w:rPr>
          </w:pPr>
          <w:r w:rsidRPr="00592171">
            <w:rPr>
              <w:rFonts w:asciiTheme="minorHAnsi" w:hAnsiTheme="minorHAnsi" w:cstheme="minorHAnsi"/>
              <w:color w:val="7F7F7F" w:themeColor="text1" w:themeTint="80"/>
              <w:sz w:val="13"/>
              <w:szCs w:val="13"/>
              <w:lang w:val="en-US"/>
            </w:rPr>
            <w:t>SL9 0BG</w:t>
          </w:r>
        </w:p>
      </w:tc>
      <w:tc>
        <w:tcPr>
          <w:tcW w:w="1620" w:type="dxa"/>
        </w:tcPr>
        <w:p w14:paraId="47102DEC" w14:textId="77777777" w:rsidR="00BE489F" w:rsidRPr="007A770A" w:rsidRDefault="00194D72" w:rsidP="00BE489F">
          <w:pPr>
            <w:pStyle w:val="BasicParagraph"/>
            <w:suppressAutoHyphens/>
            <w:spacing w:line="276" w:lineRule="auto"/>
            <w:rPr>
              <w:rFonts w:asciiTheme="minorHAnsi" w:hAnsiTheme="minorHAnsi" w:cstheme="minorHAnsi"/>
              <w:color w:val="7F7F7F" w:themeColor="text1" w:themeTint="80"/>
              <w:sz w:val="13"/>
              <w:szCs w:val="13"/>
            </w:rPr>
          </w:pPr>
          <w:r w:rsidRPr="00C227D7">
            <w:rPr>
              <w:rFonts w:asciiTheme="minorHAnsi" w:hAnsiTheme="minorHAnsi" w:cstheme="minorHAnsi"/>
              <w:b/>
              <w:bCs/>
              <w:color w:val="7F7F7F" w:themeColor="text1" w:themeTint="80"/>
              <w:sz w:val="13"/>
              <w:szCs w:val="13"/>
              <w:lang w:val="nl-NL"/>
            </w:rPr>
            <w:br/>
          </w:r>
          <w:r w:rsidRPr="00C227D7">
            <w:rPr>
              <w:rFonts w:asciiTheme="minorHAnsi" w:hAnsiTheme="minorHAnsi" w:cstheme="minorHAnsi"/>
              <w:b/>
              <w:bCs/>
              <w:color w:val="7F7F7F" w:themeColor="text1" w:themeTint="80"/>
              <w:sz w:val="13"/>
              <w:szCs w:val="13"/>
              <w:lang w:val="nl-NL"/>
            </w:rPr>
            <w:br/>
          </w:r>
        </w:p>
        <w:p w14:paraId="52BE9452" w14:textId="77777777" w:rsidR="00BE489F" w:rsidRPr="007A770A" w:rsidRDefault="00BE489F" w:rsidP="00BE489F">
          <w:pPr>
            <w:pStyle w:val="Pa0"/>
            <w:spacing w:line="276" w:lineRule="auto"/>
            <w:rPr>
              <w:rStyle w:val="A0"/>
              <w:rFonts w:asciiTheme="minorHAnsi" w:hAnsiTheme="minorHAnsi" w:cstheme="minorHAnsi"/>
              <w:b/>
              <w:bCs/>
              <w:color w:val="7F7F7F" w:themeColor="text1" w:themeTint="80"/>
              <w:lang w:val="en-US"/>
            </w:rPr>
          </w:pPr>
        </w:p>
      </w:tc>
      <w:tc>
        <w:tcPr>
          <w:tcW w:w="1710" w:type="dxa"/>
        </w:tcPr>
        <w:p w14:paraId="744CE29B" w14:textId="77777777" w:rsidR="00BE489F" w:rsidRPr="007A770A" w:rsidRDefault="00194D72" w:rsidP="00BE489F">
          <w:pPr>
            <w:pStyle w:val="Pa0"/>
            <w:spacing w:line="276" w:lineRule="auto"/>
            <w:rPr>
              <w:rFonts w:asciiTheme="minorHAnsi" w:hAnsiTheme="minorHAnsi" w:cstheme="minorHAnsi"/>
              <w:b/>
              <w:bCs/>
              <w:color w:val="7F7F7F" w:themeColor="text1" w:themeTint="80"/>
              <w:sz w:val="13"/>
              <w:szCs w:val="13"/>
            </w:rPr>
          </w:pPr>
          <w:r>
            <w:rPr>
              <w:rStyle w:val="A0"/>
              <w:rFonts w:asciiTheme="minorHAnsi" w:hAnsiTheme="minorHAnsi" w:cstheme="minorHAnsi"/>
              <w:b/>
              <w:bCs/>
              <w:color w:val="7F7F7F" w:themeColor="text1" w:themeTint="80"/>
            </w:rPr>
            <w:br/>
          </w:r>
          <w:r>
            <w:rPr>
              <w:rStyle w:val="A0"/>
              <w:rFonts w:asciiTheme="minorHAnsi" w:hAnsiTheme="minorHAnsi" w:cstheme="minorHAnsi"/>
              <w:b/>
              <w:bCs/>
              <w:color w:val="7F7F7F" w:themeColor="text1" w:themeTint="80"/>
            </w:rPr>
            <w:br/>
          </w:r>
        </w:p>
        <w:p w14:paraId="449E45D3" w14:textId="77777777" w:rsidR="00BE489F" w:rsidRPr="007A770A" w:rsidRDefault="00BE489F" w:rsidP="00BE489F">
          <w:pPr>
            <w:pStyle w:val="BasicParagraph"/>
            <w:suppressAutoHyphens/>
            <w:spacing w:line="276" w:lineRule="auto"/>
            <w:rPr>
              <w:rFonts w:asciiTheme="minorHAnsi" w:hAnsiTheme="minorHAnsi" w:cstheme="minorHAnsi"/>
              <w:b/>
              <w:bCs/>
              <w:color w:val="7F7F7F" w:themeColor="text1" w:themeTint="80"/>
              <w:sz w:val="13"/>
              <w:szCs w:val="13"/>
              <w:lang w:val="en-GB"/>
            </w:rPr>
          </w:pPr>
        </w:p>
      </w:tc>
      <w:tc>
        <w:tcPr>
          <w:tcW w:w="2401" w:type="dxa"/>
        </w:tcPr>
        <w:p w14:paraId="06E990B0" w14:textId="77777777" w:rsidR="00BE489F" w:rsidRPr="007A770A" w:rsidRDefault="00194D72" w:rsidP="00BE489F">
          <w:pPr>
            <w:pStyle w:val="Pa0"/>
            <w:spacing w:line="276" w:lineRule="auto"/>
            <w:rPr>
              <w:rFonts w:asciiTheme="minorHAnsi" w:hAnsiTheme="minorHAnsi" w:cstheme="minorHAnsi"/>
              <w:b/>
              <w:bCs/>
              <w:color w:val="7F7F7F" w:themeColor="text1" w:themeTint="80"/>
              <w:sz w:val="13"/>
              <w:szCs w:val="13"/>
            </w:rPr>
          </w:pPr>
          <w:r>
            <w:rPr>
              <w:rStyle w:val="A0"/>
              <w:rFonts w:asciiTheme="minorHAnsi" w:hAnsiTheme="minorHAnsi" w:cstheme="minorHAnsi"/>
              <w:b/>
              <w:bCs/>
              <w:color w:val="7F7F7F" w:themeColor="text1" w:themeTint="80"/>
            </w:rPr>
            <w:br/>
          </w:r>
        </w:p>
        <w:p w14:paraId="49606C08" w14:textId="77777777" w:rsidR="00BE489F" w:rsidRPr="007A770A" w:rsidRDefault="00BE489F" w:rsidP="00BE489F">
          <w:pPr>
            <w:pStyle w:val="BasicParagraph"/>
            <w:suppressAutoHyphens/>
            <w:spacing w:line="276" w:lineRule="auto"/>
            <w:rPr>
              <w:rFonts w:asciiTheme="minorHAnsi" w:hAnsiTheme="minorHAnsi" w:cstheme="minorHAnsi"/>
              <w:b/>
              <w:bCs/>
              <w:color w:val="7F7F7F" w:themeColor="text1" w:themeTint="80"/>
              <w:sz w:val="13"/>
              <w:szCs w:val="13"/>
              <w:lang w:val="en-GB"/>
            </w:rPr>
          </w:pPr>
        </w:p>
      </w:tc>
    </w:tr>
    <w:tr w:rsidR="00DF2204" w14:paraId="5C85DDAC" w14:textId="77777777" w:rsidTr="00EE58CC">
      <w:tc>
        <w:tcPr>
          <w:tcW w:w="1581" w:type="dxa"/>
          <w:vMerge/>
        </w:tcPr>
        <w:p w14:paraId="639F6E86" w14:textId="77777777" w:rsidR="007A770A" w:rsidRPr="007A770A" w:rsidRDefault="007A770A" w:rsidP="00B92B42">
          <w:pPr>
            <w:pStyle w:val="BasicParagraph"/>
            <w:suppressAutoHyphens/>
            <w:spacing w:line="276" w:lineRule="auto"/>
            <w:rPr>
              <w:rFonts w:asciiTheme="minorHAnsi" w:hAnsiTheme="minorHAnsi" w:cstheme="minorHAnsi"/>
              <w:noProof/>
              <w:lang w:val="en-GB" w:eastAsia="zh-CN"/>
            </w:rPr>
          </w:pPr>
        </w:p>
      </w:tc>
      <w:tc>
        <w:tcPr>
          <w:tcW w:w="7475" w:type="dxa"/>
          <w:gridSpan w:val="4"/>
        </w:tcPr>
        <w:p w14:paraId="766003FC" w14:textId="77777777" w:rsidR="007A770A" w:rsidRPr="001C3FBE" w:rsidRDefault="00194D72" w:rsidP="001C3FBE">
          <w:pPr>
            <w:pStyle w:val="BasicParagraph"/>
            <w:suppressAutoHyphens/>
            <w:rPr>
              <w:rFonts w:ascii="Calibri" w:hAnsi="Calibri" w:cs="Calibri"/>
              <w:color w:val="7F7F7F" w:themeColor="text1" w:themeTint="80"/>
              <w:sz w:val="13"/>
              <w:szCs w:val="13"/>
            </w:rPr>
          </w:pPr>
          <w:r w:rsidRPr="009054DA">
            <w:rPr>
              <w:rFonts w:ascii="Calibri" w:hAnsi="Calibri" w:cs="Calibri"/>
              <w:color w:val="91C453"/>
              <w:sz w:val="13"/>
              <w:szCs w:val="13"/>
            </w:rPr>
            <w:t>info@argenx.com     www.argenx.com</w:t>
          </w:r>
        </w:p>
      </w:tc>
    </w:tr>
  </w:tbl>
  <w:p w14:paraId="1695E488" w14:textId="77777777" w:rsidR="005B72D8" w:rsidRPr="001C3FBE" w:rsidRDefault="005B72D8" w:rsidP="001C3FBE">
    <w:pPr>
      <w:pStyle w:val="BasicParagraph"/>
      <w:suppressAutoHyphens/>
      <w:rPr>
        <w:rFonts w:ascii="Calibri" w:hAnsi="Calibri" w:cs="Calibri"/>
        <w:color w:val="304447"/>
        <w:sz w:val="13"/>
        <w:szCs w:val="13"/>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A932" w14:textId="77777777" w:rsidR="00521B6D" w:rsidRDefault="00521B6D">
      <w:pPr>
        <w:spacing w:line="240" w:lineRule="auto"/>
      </w:pPr>
      <w:r>
        <w:separator/>
      </w:r>
    </w:p>
  </w:footnote>
  <w:footnote w:type="continuationSeparator" w:id="0">
    <w:p w14:paraId="3F736E3A" w14:textId="77777777" w:rsidR="00521B6D" w:rsidRDefault="00521B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B771" w14:textId="77777777" w:rsidR="005B72D8" w:rsidRDefault="00194D72" w:rsidP="00BA7966">
    <w:pPr>
      <w:pStyle w:val="Header"/>
      <w:jc w:val="left"/>
    </w:pPr>
    <w:r>
      <w:object w:dxaOrig="15840" w:dyaOrig="4320" w14:anchorId="45B89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32.3pt">
          <v:imagedata r:id="rId1" o:title=""/>
        </v:shape>
        <o:OLEObject Type="Embed" ProgID="Unknown" ShapeID="_x0000_i1025" DrawAspect="Content" ObjectID="_1807598336" r:id="rId2"/>
      </w:object>
    </w:r>
  </w:p>
  <w:p w14:paraId="13FE204D" w14:textId="77777777" w:rsidR="00510C14" w:rsidRDefault="00510C14" w:rsidP="00BA7966">
    <w:pPr>
      <w:pStyle w:val="Header"/>
      <w:jc w:val="left"/>
    </w:pPr>
  </w:p>
  <w:p w14:paraId="1729F0EF" w14:textId="77777777" w:rsidR="00510C14" w:rsidRDefault="00510C14" w:rsidP="00BA796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F3E"/>
    <w:multiLevelType w:val="hybridMultilevel"/>
    <w:tmpl w:val="FFFFFFFF"/>
    <w:lvl w:ilvl="0" w:tplc="B32061B8">
      <w:start w:val="1"/>
      <w:numFmt w:val="decimal"/>
      <w:lvlText w:val=""/>
      <w:lvlJc w:val="left"/>
      <w:pPr>
        <w:ind w:left="720" w:hanging="360"/>
      </w:pPr>
    </w:lvl>
    <w:lvl w:ilvl="1" w:tplc="3FECD66A">
      <w:start w:val="1"/>
      <w:numFmt w:val="lowerLetter"/>
      <w:lvlText w:val="%2."/>
      <w:lvlJc w:val="left"/>
      <w:pPr>
        <w:ind w:left="1440" w:hanging="360"/>
      </w:pPr>
    </w:lvl>
    <w:lvl w:ilvl="2" w:tplc="34B2207E">
      <w:start w:val="1"/>
      <w:numFmt w:val="lowerRoman"/>
      <w:lvlText w:val="%3."/>
      <w:lvlJc w:val="right"/>
      <w:pPr>
        <w:ind w:left="2160" w:hanging="180"/>
      </w:pPr>
    </w:lvl>
    <w:lvl w:ilvl="3" w:tplc="E2B4C3B4">
      <w:start w:val="1"/>
      <w:numFmt w:val="decimal"/>
      <w:lvlText w:val="%4."/>
      <w:lvlJc w:val="left"/>
      <w:pPr>
        <w:ind w:left="2880" w:hanging="360"/>
      </w:pPr>
    </w:lvl>
    <w:lvl w:ilvl="4" w:tplc="7FE02E96">
      <w:start w:val="1"/>
      <w:numFmt w:val="lowerLetter"/>
      <w:lvlText w:val="%5."/>
      <w:lvlJc w:val="left"/>
      <w:pPr>
        <w:ind w:left="3600" w:hanging="360"/>
      </w:pPr>
    </w:lvl>
    <w:lvl w:ilvl="5" w:tplc="9020B77A">
      <w:start w:val="1"/>
      <w:numFmt w:val="lowerRoman"/>
      <w:lvlText w:val="%6."/>
      <w:lvlJc w:val="right"/>
      <w:pPr>
        <w:ind w:left="4320" w:hanging="180"/>
      </w:pPr>
    </w:lvl>
    <w:lvl w:ilvl="6" w:tplc="40FC4DFA">
      <w:start w:val="1"/>
      <w:numFmt w:val="decimal"/>
      <w:lvlText w:val="%7."/>
      <w:lvlJc w:val="left"/>
      <w:pPr>
        <w:ind w:left="5040" w:hanging="360"/>
      </w:pPr>
    </w:lvl>
    <w:lvl w:ilvl="7" w:tplc="E26612F2">
      <w:start w:val="1"/>
      <w:numFmt w:val="lowerLetter"/>
      <w:lvlText w:val="%8."/>
      <w:lvlJc w:val="left"/>
      <w:pPr>
        <w:ind w:left="5760" w:hanging="360"/>
      </w:pPr>
    </w:lvl>
    <w:lvl w:ilvl="8" w:tplc="2608582A">
      <w:start w:val="1"/>
      <w:numFmt w:val="lowerRoman"/>
      <w:lvlText w:val="%9."/>
      <w:lvlJc w:val="right"/>
      <w:pPr>
        <w:ind w:left="6480" w:hanging="180"/>
      </w:pPr>
    </w:lvl>
  </w:abstractNum>
  <w:abstractNum w:abstractNumId="1" w15:restartNumberingAfterBreak="0">
    <w:nsid w:val="01AA4346"/>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 w15:restartNumberingAfterBreak="0">
    <w:nsid w:val="02F100A9"/>
    <w:multiLevelType w:val="hybridMultilevel"/>
    <w:tmpl w:val="0AAEF308"/>
    <w:lvl w:ilvl="0" w:tplc="346A1914">
      <w:start w:val="1"/>
      <w:numFmt w:val="bullet"/>
      <w:lvlText w:val=""/>
      <w:lvlJc w:val="left"/>
      <w:pPr>
        <w:ind w:left="840" w:hanging="360"/>
      </w:pPr>
      <w:rPr>
        <w:rFonts w:ascii="Symbol" w:hAnsi="Symbol" w:hint="default"/>
      </w:rPr>
    </w:lvl>
    <w:lvl w:ilvl="1" w:tplc="904417BC" w:tentative="1">
      <w:start w:val="1"/>
      <w:numFmt w:val="bullet"/>
      <w:lvlText w:val="o"/>
      <w:lvlJc w:val="left"/>
      <w:pPr>
        <w:ind w:left="1560" w:hanging="360"/>
      </w:pPr>
      <w:rPr>
        <w:rFonts w:ascii="Courier New" w:hAnsi="Courier New" w:cs="Courier New" w:hint="default"/>
      </w:rPr>
    </w:lvl>
    <w:lvl w:ilvl="2" w:tplc="D68078D8" w:tentative="1">
      <w:start w:val="1"/>
      <w:numFmt w:val="bullet"/>
      <w:lvlText w:val=""/>
      <w:lvlJc w:val="left"/>
      <w:pPr>
        <w:ind w:left="2280" w:hanging="360"/>
      </w:pPr>
      <w:rPr>
        <w:rFonts w:ascii="Wingdings" w:hAnsi="Wingdings" w:hint="default"/>
      </w:rPr>
    </w:lvl>
    <w:lvl w:ilvl="3" w:tplc="86B2BCC0" w:tentative="1">
      <w:start w:val="1"/>
      <w:numFmt w:val="bullet"/>
      <w:lvlText w:val=""/>
      <w:lvlJc w:val="left"/>
      <w:pPr>
        <w:ind w:left="3000" w:hanging="360"/>
      </w:pPr>
      <w:rPr>
        <w:rFonts w:ascii="Symbol" w:hAnsi="Symbol" w:hint="default"/>
      </w:rPr>
    </w:lvl>
    <w:lvl w:ilvl="4" w:tplc="AAEA74F2" w:tentative="1">
      <w:start w:val="1"/>
      <w:numFmt w:val="bullet"/>
      <w:lvlText w:val="o"/>
      <w:lvlJc w:val="left"/>
      <w:pPr>
        <w:ind w:left="3720" w:hanging="360"/>
      </w:pPr>
      <w:rPr>
        <w:rFonts w:ascii="Courier New" w:hAnsi="Courier New" w:cs="Courier New" w:hint="default"/>
      </w:rPr>
    </w:lvl>
    <w:lvl w:ilvl="5" w:tplc="EFD2CCE4" w:tentative="1">
      <w:start w:val="1"/>
      <w:numFmt w:val="bullet"/>
      <w:lvlText w:val=""/>
      <w:lvlJc w:val="left"/>
      <w:pPr>
        <w:ind w:left="4440" w:hanging="360"/>
      </w:pPr>
      <w:rPr>
        <w:rFonts w:ascii="Wingdings" w:hAnsi="Wingdings" w:hint="default"/>
      </w:rPr>
    </w:lvl>
    <w:lvl w:ilvl="6" w:tplc="DE283CFA" w:tentative="1">
      <w:start w:val="1"/>
      <w:numFmt w:val="bullet"/>
      <w:lvlText w:val=""/>
      <w:lvlJc w:val="left"/>
      <w:pPr>
        <w:ind w:left="5160" w:hanging="360"/>
      </w:pPr>
      <w:rPr>
        <w:rFonts w:ascii="Symbol" w:hAnsi="Symbol" w:hint="default"/>
      </w:rPr>
    </w:lvl>
    <w:lvl w:ilvl="7" w:tplc="96C0B27E" w:tentative="1">
      <w:start w:val="1"/>
      <w:numFmt w:val="bullet"/>
      <w:lvlText w:val="o"/>
      <w:lvlJc w:val="left"/>
      <w:pPr>
        <w:ind w:left="5880" w:hanging="360"/>
      </w:pPr>
      <w:rPr>
        <w:rFonts w:ascii="Courier New" w:hAnsi="Courier New" w:cs="Courier New" w:hint="default"/>
      </w:rPr>
    </w:lvl>
    <w:lvl w:ilvl="8" w:tplc="0DB660A0" w:tentative="1">
      <w:start w:val="1"/>
      <w:numFmt w:val="bullet"/>
      <w:lvlText w:val=""/>
      <w:lvlJc w:val="left"/>
      <w:pPr>
        <w:ind w:left="6600" w:hanging="360"/>
      </w:pPr>
      <w:rPr>
        <w:rFonts w:ascii="Wingdings" w:hAnsi="Wingdings" w:hint="default"/>
      </w:rPr>
    </w:lvl>
  </w:abstractNum>
  <w:abstractNum w:abstractNumId="4" w15:restartNumberingAfterBreak="0">
    <w:nsid w:val="05638426"/>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776B2A"/>
    <w:multiLevelType w:val="hybridMultilevel"/>
    <w:tmpl w:val="BFDE5240"/>
    <w:lvl w:ilvl="0" w:tplc="E536EA08">
      <w:start w:val="1"/>
      <w:numFmt w:val="decimal"/>
      <w:lvlText w:val="%1."/>
      <w:lvlJc w:val="left"/>
      <w:pPr>
        <w:ind w:left="720" w:hanging="360"/>
      </w:pPr>
      <w:rPr>
        <w:rFonts w:hint="default"/>
      </w:rPr>
    </w:lvl>
    <w:lvl w:ilvl="1" w:tplc="DA36E680" w:tentative="1">
      <w:start w:val="1"/>
      <w:numFmt w:val="lowerLetter"/>
      <w:lvlText w:val="%2."/>
      <w:lvlJc w:val="left"/>
      <w:pPr>
        <w:ind w:left="1440" w:hanging="360"/>
      </w:pPr>
    </w:lvl>
    <w:lvl w:ilvl="2" w:tplc="646AD4D2" w:tentative="1">
      <w:start w:val="1"/>
      <w:numFmt w:val="lowerRoman"/>
      <w:lvlText w:val="%3."/>
      <w:lvlJc w:val="right"/>
      <w:pPr>
        <w:ind w:left="2160" w:hanging="180"/>
      </w:pPr>
    </w:lvl>
    <w:lvl w:ilvl="3" w:tplc="FCBA0C3C" w:tentative="1">
      <w:start w:val="1"/>
      <w:numFmt w:val="decimal"/>
      <w:lvlText w:val="%4."/>
      <w:lvlJc w:val="left"/>
      <w:pPr>
        <w:ind w:left="2880" w:hanging="360"/>
      </w:pPr>
    </w:lvl>
    <w:lvl w:ilvl="4" w:tplc="B5E24318" w:tentative="1">
      <w:start w:val="1"/>
      <w:numFmt w:val="lowerLetter"/>
      <w:lvlText w:val="%5."/>
      <w:lvlJc w:val="left"/>
      <w:pPr>
        <w:ind w:left="3600" w:hanging="360"/>
      </w:pPr>
    </w:lvl>
    <w:lvl w:ilvl="5" w:tplc="7A5230C6" w:tentative="1">
      <w:start w:val="1"/>
      <w:numFmt w:val="lowerRoman"/>
      <w:lvlText w:val="%6."/>
      <w:lvlJc w:val="right"/>
      <w:pPr>
        <w:ind w:left="4320" w:hanging="180"/>
      </w:pPr>
    </w:lvl>
    <w:lvl w:ilvl="6" w:tplc="810E9CB6" w:tentative="1">
      <w:start w:val="1"/>
      <w:numFmt w:val="decimal"/>
      <w:lvlText w:val="%7."/>
      <w:lvlJc w:val="left"/>
      <w:pPr>
        <w:ind w:left="5040" w:hanging="360"/>
      </w:pPr>
    </w:lvl>
    <w:lvl w:ilvl="7" w:tplc="A0544E74" w:tentative="1">
      <w:start w:val="1"/>
      <w:numFmt w:val="lowerLetter"/>
      <w:lvlText w:val="%8."/>
      <w:lvlJc w:val="left"/>
      <w:pPr>
        <w:ind w:left="5760" w:hanging="360"/>
      </w:pPr>
    </w:lvl>
    <w:lvl w:ilvl="8" w:tplc="37E25776" w:tentative="1">
      <w:start w:val="1"/>
      <w:numFmt w:val="lowerRoman"/>
      <w:lvlText w:val="%9."/>
      <w:lvlJc w:val="right"/>
      <w:pPr>
        <w:ind w:left="6480" w:hanging="180"/>
      </w:pPr>
    </w:lvl>
  </w:abstractNum>
  <w:abstractNum w:abstractNumId="6" w15:restartNumberingAfterBreak="0">
    <w:nsid w:val="0E1327D3"/>
    <w:multiLevelType w:val="hybridMultilevel"/>
    <w:tmpl w:val="6FEAFDA4"/>
    <w:lvl w:ilvl="0" w:tplc="97369AFA">
      <w:start w:val="16"/>
      <w:numFmt w:val="bullet"/>
      <w:lvlText w:val="-"/>
      <w:lvlJc w:val="left"/>
      <w:pPr>
        <w:ind w:left="720" w:hanging="360"/>
      </w:pPr>
      <w:rPr>
        <w:rFonts w:ascii="Calibri" w:hAnsi="Calibri" w:hint="default"/>
      </w:rPr>
    </w:lvl>
    <w:lvl w:ilvl="1" w:tplc="E98099B8">
      <w:start w:val="1"/>
      <w:numFmt w:val="bullet"/>
      <w:lvlText w:val="o"/>
      <w:lvlJc w:val="left"/>
      <w:pPr>
        <w:ind w:left="1440" w:hanging="360"/>
      </w:pPr>
      <w:rPr>
        <w:rFonts w:ascii="Courier New" w:hAnsi="Courier New" w:hint="default"/>
      </w:rPr>
    </w:lvl>
    <w:lvl w:ilvl="2" w:tplc="98FA42D8">
      <w:start w:val="1"/>
      <w:numFmt w:val="bullet"/>
      <w:lvlText w:val=""/>
      <w:lvlJc w:val="left"/>
      <w:pPr>
        <w:ind w:left="2160" w:hanging="360"/>
      </w:pPr>
      <w:rPr>
        <w:rFonts w:ascii="Wingdings" w:hAnsi="Wingdings" w:hint="default"/>
      </w:rPr>
    </w:lvl>
    <w:lvl w:ilvl="3" w:tplc="ABAC7526">
      <w:start w:val="1"/>
      <w:numFmt w:val="bullet"/>
      <w:lvlText w:val=""/>
      <w:lvlJc w:val="left"/>
      <w:pPr>
        <w:ind w:left="2880" w:hanging="360"/>
      </w:pPr>
      <w:rPr>
        <w:rFonts w:ascii="Symbol" w:hAnsi="Symbol" w:hint="default"/>
      </w:rPr>
    </w:lvl>
    <w:lvl w:ilvl="4" w:tplc="907424B0">
      <w:start w:val="1"/>
      <w:numFmt w:val="bullet"/>
      <w:lvlText w:val="o"/>
      <w:lvlJc w:val="left"/>
      <w:pPr>
        <w:ind w:left="3600" w:hanging="360"/>
      </w:pPr>
      <w:rPr>
        <w:rFonts w:ascii="Courier New" w:hAnsi="Courier New" w:hint="default"/>
      </w:rPr>
    </w:lvl>
    <w:lvl w:ilvl="5" w:tplc="BE5AF2B8">
      <w:start w:val="1"/>
      <w:numFmt w:val="bullet"/>
      <w:lvlText w:val=""/>
      <w:lvlJc w:val="left"/>
      <w:pPr>
        <w:ind w:left="4320" w:hanging="360"/>
      </w:pPr>
      <w:rPr>
        <w:rFonts w:ascii="Wingdings" w:hAnsi="Wingdings" w:hint="default"/>
      </w:rPr>
    </w:lvl>
    <w:lvl w:ilvl="6" w:tplc="23DE7832">
      <w:start w:val="1"/>
      <w:numFmt w:val="bullet"/>
      <w:lvlText w:val=""/>
      <w:lvlJc w:val="left"/>
      <w:pPr>
        <w:ind w:left="5040" w:hanging="360"/>
      </w:pPr>
      <w:rPr>
        <w:rFonts w:ascii="Symbol" w:hAnsi="Symbol" w:hint="default"/>
      </w:rPr>
    </w:lvl>
    <w:lvl w:ilvl="7" w:tplc="9860FF12">
      <w:start w:val="1"/>
      <w:numFmt w:val="bullet"/>
      <w:lvlText w:val="o"/>
      <w:lvlJc w:val="left"/>
      <w:pPr>
        <w:ind w:left="5760" w:hanging="360"/>
      </w:pPr>
      <w:rPr>
        <w:rFonts w:ascii="Courier New" w:hAnsi="Courier New" w:hint="default"/>
      </w:rPr>
    </w:lvl>
    <w:lvl w:ilvl="8" w:tplc="02E67F42">
      <w:start w:val="1"/>
      <w:numFmt w:val="bullet"/>
      <w:lvlText w:val=""/>
      <w:lvlJc w:val="left"/>
      <w:pPr>
        <w:ind w:left="6480" w:hanging="360"/>
      </w:pPr>
      <w:rPr>
        <w:rFonts w:ascii="Wingdings" w:hAnsi="Wingdings" w:hint="default"/>
      </w:rPr>
    </w:lvl>
  </w:abstractNum>
  <w:abstractNum w:abstractNumId="7" w15:restartNumberingAfterBreak="0">
    <w:nsid w:val="144293DA"/>
    <w:multiLevelType w:val="hybridMultilevel"/>
    <w:tmpl w:val="FFFFFFFF"/>
    <w:lvl w:ilvl="0" w:tplc="BDFE28DE">
      <w:start w:val="1"/>
      <w:numFmt w:val="decimal"/>
      <w:lvlText w:val=""/>
      <w:lvlJc w:val="left"/>
      <w:pPr>
        <w:ind w:left="720" w:hanging="360"/>
      </w:pPr>
    </w:lvl>
    <w:lvl w:ilvl="1" w:tplc="16F8AF64">
      <w:start w:val="1"/>
      <w:numFmt w:val="lowerLetter"/>
      <w:lvlText w:val="%2."/>
      <w:lvlJc w:val="left"/>
      <w:pPr>
        <w:ind w:left="1440" w:hanging="360"/>
      </w:pPr>
    </w:lvl>
    <w:lvl w:ilvl="2" w:tplc="14DCAFE8">
      <w:start w:val="1"/>
      <w:numFmt w:val="lowerRoman"/>
      <w:lvlText w:val="%3."/>
      <w:lvlJc w:val="right"/>
      <w:pPr>
        <w:ind w:left="2160" w:hanging="180"/>
      </w:pPr>
    </w:lvl>
    <w:lvl w:ilvl="3" w:tplc="D28603E8">
      <w:start w:val="1"/>
      <w:numFmt w:val="decimal"/>
      <w:lvlText w:val="%4."/>
      <w:lvlJc w:val="left"/>
      <w:pPr>
        <w:ind w:left="2880" w:hanging="360"/>
      </w:pPr>
    </w:lvl>
    <w:lvl w:ilvl="4" w:tplc="4582F2E0">
      <w:start w:val="1"/>
      <w:numFmt w:val="lowerLetter"/>
      <w:lvlText w:val="%5."/>
      <w:lvlJc w:val="left"/>
      <w:pPr>
        <w:ind w:left="3600" w:hanging="360"/>
      </w:pPr>
    </w:lvl>
    <w:lvl w:ilvl="5" w:tplc="026AD638">
      <w:start w:val="1"/>
      <w:numFmt w:val="lowerRoman"/>
      <w:lvlText w:val="%6."/>
      <w:lvlJc w:val="right"/>
      <w:pPr>
        <w:ind w:left="4320" w:hanging="180"/>
      </w:pPr>
    </w:lvl>
    <w:lvl w:ilvl="6" w:tplc="A2E476A2">
      <w:start w:val="1"/>
      <w:numFmt w:val="decimal"/>
      <w:lvlText w:val="%7."/>
      <w:lvlJc w:val="left"/>
      <w:pPr>
        <w:ind w:left="5040" w:hanging="360"/>
      </w:pPr>
    </w:lvl>
    <w:lvl w:ilvl="7" w:tplc="B582D3B6">
      <w:start w:val="1"/>
      <w:numFmt w:val="lowerLetter"/>
      <w:lvlText w:val="%8."/>
      <w:lvlJc w:val="left"/>
      <w:pPr>
        <w:ind w:left="5760" w:hanging="360"/>
      </w:pPr>
    </w:lvl>
    <w:lvl w:ilvl="8" w:tplc="AC2E09E6">
      <w:start w:val="1"/>
      <w:numFmt w:val="lowerRoman"/>
      <w:lvlText w:val="%9."/>
      <w:lvlJc w:val="right"/>
      <w:pPr>
        <w:ind w:left="6480" w:hanging="180"/>
      </w:pPr>
    </w:lvl>
  </w:abstractNum>
  <w:abstractNum w:abstractNumId="8" w15:restartNumberingAfterBreak="0">
    <w:nsid w:val="15D553A7"/>
    <w:multiLevelType w:val="hybridMultilevel"/>
    <w:tmpl w:val="BFDE5240"/>
    <w:lvl w:ilvl="0" w:tplc="7C86A5BE">
      <w:start w:val="1"/>
      <w:numFmt w:val="decimal"/>
      <w:lvlText w:val="%1."/>
      <w:lvlJc w:val="left"/>
      <w:pPr>
        <w:ind w:left="720" w:hanging="360"/>
      </w:pPr>
      <w:rPr>
        <w:rFonts w:hint="default"/>
      </w:rPr>
    </w:lvl>
    <w:lvl w:ilvl="1" w:tplc="DAC086CA" w:tentative="1">
      <w:start w:val="1"/>
      <w:numFmt w:val="lowerLetter"/>
      <w:lvlText w:val="%2."/>
      <w:lvlJc w:val="left"/>
      <w:pPr>
        <w:ind w:left="1440" w:hanging="360"/>
      </w:pPr>
    </w:lvl>
    <w:lvl w:ilvl="2" w:tplc="6C183B76" w:tentative="1">
      <w:start w:val="1"/>
      <w:numFmt w:val="lowerRoman"/>
      <w:lvlText w:val="%3."/>
      <w:lvlJc w:val="right"/>
      <w:pPr>
        <w:ind w:left="2160" w:hanging="180"/>
      </w:pPr>
    </w:lvl>
    <w:lvl w:ilvl="3" w:tplc="7526C48A" w:tentative="1">
      <w:start w:val="1"/>
      <w:numFmt w:val="decimal"/>
      <w:lvlText w:val="%4."/>
      <w:lvlJc w:val="left"/>
      <w:pPr>
        <w:ind w:left="2880" w:hanging="360"/>
      </w:pPr>
    </w:lvl>
    <w:lvl w:ilvl="4" w:tplc="9E6E8CAA" w:tentative="1">
      <w:start w:val="1"/>
      <w:numFmt w:val="lowerLetter"/>
      <w:lvlText w:val="%5."/>
      <w:lvlJc w:val="left"/>
      <w:pPr>
        <w:ind w:left="3600" w:hanging="360"/>
      </w:pPr>
    </w:lvl>
    <w:lvl w:ilvl="5" w:tplc="CAA00CA6" w:tentative="1">
      <w:start w:val="1"/>
      <w:numFmt w:val="lowerRoman"/>
      <w:lvlText w:val="%6."/>
      <w:lvlJc w:val="right"/>
      <w:pPr>
        <w:ind w:left="4320" w:hanging="180"/>
      </w:pPr>
    </w:lvl>
    <w:lvl w:ilvl="6" w:tplc="82B6DE72" w:tentative="1">
      <w:start w:val="1"/>
      <w:numFmt w:val="decimal"/>
      <w:lvlText w:val="%7."/>
      <w:lvlJc w:val="left"/>
      <w:pPr>
        <w:ind w:left="5040" w:hanging="360"/>
      </w:pPr>
    </w:lvl>
    <w:lvl w:ilvl="7" w:tplc="55AE572A" w:tentative="1">
      <w:start w:val="1"/>
      <w:numFmt w:val="lowerLetter"/>
      <w:lvlText w:val="%8."/>
      <w:lvlJc w:val="left"/>
      <w:pPr>
        <w:ind w:left="5760" w:hanging="360"/>
      </w:pPr>
    </w:lvl>
    <w:lvl w:ilvl="8" w:tplc="72243E42" w:tentative="1">
      <w:start w:val="1"/>
      <w:numFmt w:val="lowerRoman"/>
      <w:lvlText w:val="%9."/>
      <w:lvlJc w:val="right"/>
      <w:pPr>
        <w:ind w:left="6480" w:hanging="180"/>
      </w:pPr>
    </w:lvl>
  </w:abstractNum>
  <w:abstractNum w:abstractNumId="9" w15:restartNumberingAfterBreak="0">
    <w:nsid w:val="16821E78"/>
    <w:multiLevelType w:val="hybridMultilevel"/>
    <w:tmpl w:val="BFDE5240"/>
    <w:lvl w:ilvl="0" w:tplc="589CEE54">
      <w:start w:val="1"/>
      <w:numFmt w:val="decimal"/>
      <w:lvlText w:val="%1."/>
      <w:lvlJc w:val="left"/>
      <w:pPr>
        <w:ind w:left="720" w:hanging="360"/>
      </w:pPr>
      <w:rPr>
        <w:rFonts w:hint="default"/>
      </w:rPr>
    </w:lvl>
    <w:lvl w:ilvl="1" w:tplc="B2FAC51E" w:tentative="1">
      <w:start w:val="1"/>
      <w:numFmt w:val="lowerLetter"/>
      <w:lvlText w:val="%2."/>
      <w:lvlJc w:val="left"/>
      <w:pPr>
        <w:ind w:left="1440" w:hanging="360"/>
      </w:pPr>
    </w:lvl>
    <w:lvl w:ilvl="2" w:tplc="B8AC3DA0" w:tentative="1">
      <w:start w:val="1"/>
      <w:numFmt w:val="lowerRoman"/>
      <w:lvlText w:val="%3."/>
      <w:lvlJc w:val="right"/>
      <w:pPr>
        <w:ind w:left="2160" w:hanging="180"/>
      </w:pPr>
    </w:lvl>
    <w:lvl w:ilvl="3" w:tplc="B67C234A" w:tentative="1">
      <w:start w:val="1"/>
      <w:numFmt w:val="decimal"/>
      <w:lvlText w:val="%4."/>
      <w:lvlJc w:val="left"/>
      <w:pPr>
        <w:ind w:left="2880" w:hanging="360"/>
      </w:pPr>
    </w:lvl>
    <w:lvl w:ilvl="4" w:tplc="4EB03E86" w:tentative="1">
      <w:start w:val="1"/>
      <w:numFmt w:val="lowerLetter"/>
      <w:lvlText w:val="%5."/>
      <w:lvlJc w:val="left"/>
      <w:pPr>
        <w:ind w:left="3600" w:hanging="360"/>
      </w:pPr>
    </w:lvl>
    <w:lvl w:ilvl="5" w:tplc="F09E8D54" w:tentative="1">
      <w:start w:val="1"/>
      <w:numFmt w:val="lowerRoman"/>
      <w:lvlText w:val="%6."/>
      <w:lvlJc w:val="right"/>
      <w:pPr>
        <w:ind w:left="4320" w:hanging="180"/>
      </w:pPr>
    </w:lvl>
    <w:lvl w:ilvl="6" w:tplc="443E5D8A" w:tentative="1">
      <w:start w:val="1"/>
      <w:numFmt w:val="decimal"/>
      <w:lvlText w:val="%7."/>
      <w:lvlJc w:val="left"/>
      <w:pPr>
        <w:ind w:left="5040" w:hanging="360"/>
      </w:pPr>
    </w:lvl>
    <w:lvl w:ilvl="7" w:tplc="02B2B214" w:tentative="1">
      <w:start w:val="1"/>
      <w:numFmt w:val="lowerLetter"/>
      <w:lvlText w:val="%8."/>
      <w:lvlJc w:val="left"/>
      <w:pPr>
        <w:ind w:left="5760" w:hanging="360"/>
      </w:pPr>
    </w:lvl>
    <w:lvl w:ilvl="8" w:tplc="3D02C7E8" w:tentative="1">
      <w:start w:val="1"/>
      <w:numFmt w:val="lowerRoman"/>
      <w:lvlText w:val="%9."/>
      <w:lvlJc w:val="right"/>
      <w:pPr>
        <w:ind w:left="6480" w:hanging="180"/>
      </w:pPr>
    </w:lvl>
  </w:abstractNum>
  <w:abstractNum w:abstractNumId="10" w15:restartNumberingAfterBreak="0">
    <w:nsid w:val="18C44934"/>
    <w:multiLevelType w:val="hybridMultilevel"/>
    <w:tmpl w:val="46A6B2B6"/>
    <w:lvl w:ilvl="0" w:tplc="05169D98">
      <w:start w:val="1"/>
      <w:numFmt w:val="decimal"/>
      <w:lvlText w:val="%1."/>
      <w:lvlJc w:val="left"/>
      <w:pPr>
        <w:ind w:left="1020" w:hanging="360"/>
      </w:pPr>
    </w:lvl>
    <w:lvl w:ilvl="1" w:tplc="7E96C85E">
      <w:start w:val="1"/>
      <w:numFmt w:val="decimal"/>
      <w:lvlText w:val="%2."/>
      <w:lvlJc w:val="left"/>
      <w:pPr>
        <w:ind w:left="1020" w:hanging="360"/>
      </w:pPr>
    </w:lvl>
    <w:lvl w:ilvl="2" w:tplc="7BBEB9F0">
      <w:start w:val="1"/>
      <w:numFmt w:val="decimal"/>
      <w:lvlText w:val="%3."/>
      <w:lvlJc w:val="left"/>
      <w:pPr>
        <w:ind w:left="1020" w:hanging="360"/>
      </w:pPr>
    </w:lvl>
    <w:lvl w:ilvl="3" w:tplc="CAAA9790">
      <w:start w:val="1"/>
      <w:numFmt w:val="decimal"/>
      <w:lvlText w:val="%4."/>
      <w:lvlJc w:val="left"/>
      <w:pPr>
        <w:ind w:left="1020" w:hanging="360"/>
      </w:pPr>
    </w:lvl>
    <w:lvl w:ilvl="4" w:tplc="E35E429E">
      <w:start w:val="1"/>
      <w:numFmt w:val="decimal"/>
      <w:lvlText w:val="%5."/>
      <w:lvlJc w:val="left"/>
      <w:pPr>
        <w:ind w:left="1020" w:hanging="360"/>
      </w:pPr>
    </w:lvl>
    <w:lvl w:ilvl="5" w:tplc="1F1280E0">
      <w:start w:val="1"/>
      <w:numFmt w:val="decimal"/>
      <w:lvlText w:val="%6."/>
      <w:lvlJc w:val="left"/>
      <w:pPr>
        <w:ind w:left="1020" w:hanging="360"/>
      </w:pPr>
    </w:lvl>
    <w:lvl w:ilvl="6" w:tplc="B428F378">
      <w:start w:val="1"/>
      <w:numFmt w:val="decimal"/>
      <w:lvlText w:val="%7."/>
      <w:lvlJc w:val="left"/>
      <w:pPr>
        <w:ind w:left="1020" w:hanging="360"/>
      </w:pPr>
    </w:lvl>
    <w:lvl w:ilvl="7" w:tplc="C54C8068">
      <w:start w:val="1"/>
      <w:numFmt w:val="decimal"/>
      <w:lvlText w:val="%8."/>
      <w:lvlJc w:val="left"/>
      <w:pPr>
        <w:ind w:left="1020" w:hanging="360"/>
      </w:pPr>
    </w:lvl>
    <w:lvl w:ilvl="8" w:tplc="895AB434">
      <w:start w:val="1"/>
      <w:numFmt w:val="decimal"/>
      <w:lvlText w:val="%9."/>
      <w:lvlJc w:val="left"/>
      <w:pPr>
        <w:ind w:left="1020" w:hanging="360"/>
      </w:pPr>
    </w:lvl>
  </w:abstractNum>
  <w:abstractNum w:abstractNumId="11" w15:restartNumberingAfterBreak="0">
    <w:nsid w:val="1FCC1A9F"/>
    <w:multiLevelType w:val="hybridMultilevel"/>
    <w:tmpl w:val="BFDE5240"/>
    <w:lvl w:ilvl="0" w:tplc="8D209B7C">
      <w:start w:val="1"/>
      <w:numFmt w:val="decimal"/>
      <w:lvlText w:val="%1."/>
      <w:lvlJc w:val="left"/>
      <w:pPr>
        <w:ind w:left="720" w:hanging="360"/>
      </w:pPr>
      <w:rPr>
        <w:rFonts w:hint="default"/>
      </w:rPr>
    </w:lvl>
    <w:lvl w:ilvl="1" w:tplc="6CF2199C" w:tentative="1">
      <w:start w:val="1"/>
      <w:numFmt w:val="lowerLetter"/>
      <w:lvlText w:val="%2."/>
      <w:lvlJc w:val="left"/>
      <w:pPr>
        <w:ind w:left="1440" w:hanging="360"/>
      </w:pPr>
    </w:lvl>
    <w:lvl w:ilvl="2" w:tplc="F0BC1E44" w:tentative="1">
      <w:start w:val="1"/>
      <w:numFmt w:val="lowerRoman"/>
      <w:lvlText w:val="%3."/>
      <w:lvlJc w:val="right"/>
      <w:pPr>
        <w:ind w:left="2160" w:hanging="180"/>
      </w:pPr>
    </w:lvl>
    <w:lvl w:ilvl="3" w:tplc="71B0DF94" w:tentative="1">
      <w:start w:val="1"/>
      <w:numFmt w:val="decimal"/>
      <w:lvlText w:val="%4."/>
      <w:lvlJc w:val="left"/>
      <w:pPr>
        <w:ind w:left="2880" w:hanging="360"/>
      </w:pPr>
    </w:lvl>
    <w:lvl w:ilvl="4" w:tplc="F306CAA0" w:tentative="1">
      <w:start w:val="1"/>
      <w:numFmt w:val="lowerLetter"/>
      <w:lvlText w:val="%5."/>
      <w:lvlJc w:val="left"/>
      <w:pPr>
        <w:ind w:left="3600" w:hanging="360"/>
      </w:pPr>
    </w:lvl>
    <w:lvl w:ilvl="5" w:tplc="134A59DC" w:tentative="1">
      <w:start w:val="1"/>
      <w:numFmt w:val="lowerRoman"/>
      <w:lvlText w:val="%6."/>
      <w:lvlJc w:val="right"/>
      <w:pPr>
        <w:ind w:left="4320" w:hanging="180"/>
      </w:pPr>
    </w:lvl>
    <w:lvl w:ilvl="6" w:tplc="D4F68C04" w:tentative="1">
      <w:start w:val="1"/>
      <w:numFmt w:val="decimal"/>
      <w:lvlText w:val="%7."/>
      <w:lvlJc w:val="left"/>
      <w:pPr>
        <w:ind w:left="5040" w:hanging="360"/>
      </w:pPr>
    </w:lvl>
    <w:lvl w:ilvl="7" w:tplc="0B9EF034" w:tentative="1">
      <w:start w:val="1"/>
      <w:numFmt w:val="lowerLetter"/>
      <w:lvlText w:val="%8."/>
      <w:lvlJc w:val="left"/>
      <w:pPr>
        <w:ind w:left="5760" w:hanging="360"/>
      </w:pPr>
    </w:lvl>
    <w:lvl w:ilvl="8" w:tplc="B4A48468" w:tentative="1">
      <w:start w:val="1"/>
      <w:numFmt w:val="lowerRoman"/>
      <w:lvlText w:val="%9."/>
      <w:lvlJc w:val="right"/>
      <w:pPr>
        <w:ind w:left="6480" w:hanging="180"/>
      </w:pPr>
    </w:lvl>
  </w:abstractNum>
  <w:abstractNum w:abstractNumId="12" w15:restartNumberingAfterBreak="0">
    <w:nsid w:val="22072F75"/>
    <w:multiLevelType w:val="hybridMultilevel"/>
    <w:tmpl w:val="BFDE5240"/>
    <w:lvl w:ilvl="0" w:tplc="0816B6A4">
      <w:start w:val="1"/>
      <w:numFmt w:val="decimal"/>
      <w:lvlText w:val="%1."/>
      <w:lvlJc w:val="left"/>
      <w:pPr>
        <w:ind w:left="720" w:hanging="360"/>
      </w:pPr>
      <w:rPr>
        <w:rFonts w:hint="default"/>
      </w:rPr>
    </w:lvl>
    <w:lvl w:ilvl="1" w:tplc="5BBEF3CE" w:tentative="1">
      <w:start w:val="1"/>
      <w:numFmt w:val="lowerLetter"/>
      <w:lvlText w:val="%2."/>
      <w:lvlJc w:val="left"/>
      <w:pPr>
        <w:ind w:left="1440" w:hanging="360"/>
      </w:pPr>
    </w:lvl>
    <w:lvl w:ilvl="2" w:tplc="DA0A44BC" w:tentative="1">
      <w:start w:val="1"/>
      <w:numFmt w:val="lowerRoman"/>
      <w:lvlText w:val="%3."/>
      <w:lvlJc w:val="right"/>
      <w:pPr>
        <w:ind w:left="2160" w:hanging="180"/>
      </w:pPr>
    </w:lvl>
    <w:lvl w:ilvl="3" w:tplc="44D63AC4" w:tentative="1">
      <w:start w:val="1"/>
      <w:numFmt w:val="decimal"/>
      <w:lvlText w:val="%4."/>
      <w:lvlJc w:val="left"/>
      <w:pPr>
        <w:ind w:left="2880" w:hanging="360"/>
      </w:pPr>
    </w:lvl>
    <w:lvl w:ilvl="4" w:tplc="EAE626A4" w:tentative="1">
      <w:start w:val="1"/>
      <w:numFmt w:val="lowerLetter"/>
      <w:lvlText w:val="%5."/>
      <w:lvlJc w:val="left"/>
      <w:pPr>
        <w:ind w:left="3600" w:hanging="360"/>
      </w:pPr>
    </w:lvl>
    <w:lvl w:ilvl="5" w:tplc="B46C373C" w:tentative="1">
      <w:start w:val="1"/>
      <w:numFmt w:val="lowerRoman"/>
      <w:lvlText w:val="%6."/>
      <w:lvlJc w:val="right"/>
      <w:pPr>
        <w:ind w:left="4320" w:hanging="180"/>
      </w:pPr>
    </w:lvl>
    <w:lvl w:ilvl="6" w:tplc="64E4FD94" w:tentative="1">
      <w:start w:val="1"/>
      <w:numFmt w:val="decimal"/>
      <w:lvlText w:val="%7."/>
      <w:lvlJc w:val="left"/>
      <w:pPr>
        <w:ind w:left="5040" w:hanging="360"/>
      </w:pPr>
    </w:lvl>
    <w:lvl w:ilvl="7" w:tplc="DCB22C80" w:tentative="1">
      <w:start w:val="1"/>
      <w:numFmt w:val="lowerLetter"/>
      <w:lvlText w:val="%8."/>
      <w:lvlJc w:val="left"/>
      <w:pPr>
        <w:ind w:left="5760" w:hanging="360"/>
      </w:pPr>
    </w:lvl>
    <w:lvl w:ilvl="8" w:tplc="A8008BFA" w:tentative="1">
      <w:start w:val="1"/>
      <w:numFmt w:val="lowerRoman"/>
      <w:lvlText w:val="%9."/>
      <w:lvlJc w:val="right"/>
      <w:pPr>
        <w:ind w:left="6480" w:hanging="180"/>
      </w:pPr>
    </w:lvl>
  </w:abstractNum>
  <w:abstractNum w:abstractNumId="13" w15:restartNumberingAfterBreak="0">
    <w:nsid w:val="22E853F9"/>
    <w:multiLevelType w:val="hybridMultilevel"/>
    <w:tmpl w:val="D94A8EF0"/>
    <w:lvl w:ilvl="0" w:tplc="3B7EAEAA">
      <w:start w:val="1"/>
      <w:numFmt w:val="bullet"/>
      <w:pStyle w:val="Subbullets"/>
      <w:lvlText w:val="­"/>
      <w:lvlJc w:val="left"/>
      <w:pPr>
        <w:ind w:left="1588" w:hanging="454"/>
      </w:pPr>
      <w:rPr>
        <w:rFonts w:ascii="Courier New" w:hAnsi="Courier New" w:hint="default"/>
      </w:rPr>
    </w:lvl>
    <w:lvl w:ilvl="1" w:tplc="61DCC766" w:tentative="1">
      <w:start w:val="1"/>
      <w:numFmt w:val="bullet"/>
      <w:lvlText w:val="o"/>
      <w:lvlJc w:val="left"/>
      <w:pPr>
        <w:ind w:left="1440" w:hanging="360"/>
      </w:pPr>
      <w:rPr>
        <w:rFonts w:ascii="Courier New" w:hAnsi="Courier New" w:hint="default"/>
      </w:rPr>
    </w:lvl>
    <w:lvl w:ilvl="2" w:tplc="40149550" w:tentative="1">
      <w:start w:val="1"/>
      <w:numFmt w:val="bullet"/>
      <w:lvlText w:val=""/>
      <w:lvlJc w:val="left"/>
      <w:pPr>
        <w:ind w:left="2160" w:hanging="360"/>
      </w:pPr>
      <w:rPr>
        <w:rFonts w:ascii="Wingdings" w:hAnsi="Wingdings" w:hint="default"/>
      </w:rPr>
    </w:lvl>
    <w:lvl w:ilvl="3" w:tplc="C50008AC" w:tentative="1">
      <w:start w:val="1"/>
      <w:numFmt w:val="bullet"/>
      <w:lvlText w:val=""/>
      <w:lvlJc w:val="left"/>
      <w:pPr>
        <w:ind w:left="2880" w:hanging="360"/>
      </w:pPr>
      <w:rPr>
        <w:rFonts w:ascii="Symbol" w:hAnsi="Symbol" w:hint="default"/>
      </w:rPr>
    </w:lvl>
    <w:lvl w:ilvl="4" w:tplc="EB4A105A" w:tentative="1">
      <w:start w:val="1"/>
      <w:numFmt w:val="bullet"/>
      <w:lvlText w:val="o"/>
      <w:lvlJc w:val="left"/>
      <w:pPr>
        <w:ind w:left="3600" w:hanging="360"/>
      </w:pPr>
      <w:rPr>
        <w:rFonts w:ascii="Courier New" w:hAnsi="Courier New" w:hint="default"/>
      </w:rPr>
    </w:lvl>
    <w:lvl w:ilvl="5" w:tplc="B8925BCA" w:tentative="1">
      <w:start w:val="1"/>
      <w:numFmt w:val="bullet"/>
      <w:lvlText w:val=""/>
      <w:lvlJc w:val="left"/>
      <w:pPr>
        <w:ind w:left="4320" w:hanging="360"/>
      </w:pPr>
      <w:rPr>
        <w:rFonts w:ascii="Wingdings" w:hAnsi="Wingdings" w:hint="default"/>
      </w:rPr>
    </w:lvl>
    <w:lvl w:ilvl="6" w:tplc="E228DC74" w:tentative="1">
      <w:start w:val="1"/>
      <w:numFmt w:val="bullet"/>
      <w:lvlText w:val=""/>
      <w:lvlJc w:val="left"/>
      <w:pPr>
        <w:ind w:left="5040" w:hanging="360"/>
      </w:pPr>
      <w:rPr>
        <w:rFonts w:ascii="Symbol" w:hAnsi="Symbol" w:hint="default"/>
      </w:rPr>
    </w:lvl>
    <w:lvl w:ilvl="7" w:tplc="D506D79E" w:tentative="1">
      <w:start w:val="1"/>
      <w:numFmt w:val="bullet"/>
      <w:lvlText w:val="o"/>
      <w:lvlJc w:val="left"/>
      <w:pPr>
        <w:ind w:left="5760" w:hanging="360"/>
      </w:pPr>
      <w:rPr>
        <w:rFonts w:ascii="Courier New" w:hAnsi="Courier New" w:hint="default"/>
      </w:rPr>
    </w:lvl>
    <w:lvl w:ilvl="8" w:tplc="616A8B9A" w:tentative="1">
      <w:start w:val="1"/>
      <w:numFmt w:val="bullet"/>
      <w:lvlText w:val=""/>
      <w:lvlJc w:val="left"/>
      <w:pPr>
        <w:ind w:left="6480" w:hanging="360"/>
      </w:pPr>
      <w:rPr>
        <w:rFonts w:ascii="Wingdings" w:hAnsi="Wingdings" w:hint="default"/>
      </w:rPr>
    </w:lvl>
  </w:abstractNum>
  <w:abstractNum w:abstractNumId="14" w15:restartNumberingAfterBreak="0">
    <w:nsid w:val="2378791F"/>
    <w:multiLevelType w:val="hybridMultilevel"/>
    <w:tmpl w:val="D5D26F2C"/>
    <w:lvl w:ilvl="0" w:tplc="382C6AEC">
      <w:start w:val="1"/>
      <w:numFmt w:val="bullet"/>
      <w:lvlText w:val=""/>
      <w:lvlJc w:val="left"/>
      <w:pPr>
        <w:ind w:left="720" w:hanging="360"/>
      </w:pPr>
      <w:rPr>
        <w:rFonts w:ascii="Symbol" w:hAnsi="Symbol" w:hint="default"/>
      </w:rPr>
    </w:lvl>
    <w:lvl w:ilvl="1" w:tplc="69FA0990" w:tentative="1">
      <w:start w:val="1"/>
      <w:numFmt w:val="bullet"/>
      <w:lvlText w:val="o"/>
      <w:lvlJc w:val="left"/>
      <w:pPr>
        <w:ind w:left="1440" w:hanging="360"/>
      </w:pPr>
      <w:rPr>
        <w:rFonts w:ascii="Courier New" w:hAnsi="Courier New" w:hint="default"/>
      </w:rPr>
    </w:lvl>
    <w:lvl w:ilvl="2" w:tplc="4A38DC70" w:tentative="1">
      <w:start w:val="1"/>
      <w:numFmt w:val="bullet"/>
      <w:lvlText w:val=""/>
      <w:lvlJc w:val="left"/>
      <w:pPr>
        <w:ind w:left="2160" w:hanging="360"/>
      </w:pPr>
      <w:rPr>
        <w:rFonts w:ascii="Wingdings" w:hAnsi="Wingdings" w:hint="default"/>
      </w:rPr>
    </w:lvl>
    <w:lvl w:ilvl="3" w:tplc="3866157C" w:tentative="1">
      <w:start w:val="1"/>
      <w:numFmt w:val="bullet"/>
      <w:lvlText w:val=""/>
      <w:lvlJc w:val="left"/>
      <w:pPr>
        <w:ind w:left="2880" w:hanging="360"/>
      </w:pPr>
      <w:rPr>
        <w:rFonts w:ascii="Symbol" w:hAnsi="Symbol" w:hint="default"/>
      </w:rPr>
    </w:lvl>
    <w:lvl w:ilvl="4" w:tplc="BC9054CC" w:tentative="1">
      <w:start w:val="1"/>
      <w:numFmt w:val="bullet"/>
      <w:lvlText w:val="o"/>
      <w:lvlJc w:val="left"/>
      <w:pPr>
        <w:ind w:left="3600" w:hanging="360"/>
      </w:pPr>
      <w:rPr>
        <w:rFonts w:ascii="Courier New" w:hAnsi="Courier New" w:hint="default"/>
      </w:rPr>
    </w:lvl>
    <w:lvl w:ilvl="5" w:tplc="A58ED0E8" w:tentative="1">
      <w:start w:val="1"/>
      <w:numFmt w:val="bullet"/>
      <w:lvlText w:val=""/>
      <w:lvlJc w:val="left"/>
      <w:pPr>
        <w:ind w:left="4320" w:hanging="360"/>
      </w:pPr>
      <w:rPr>
        <w:rFonts w:ascii="Wingdings" w:hAnsi="Wingdings" w:hint="default"/>
      </w:rPr>
    </w:lvl>
    <w:lvl w:ilvl="6" w:tplc="EDCA141A" w:tentative="1">
      <w:start w:val="1"/>
      <w:numFmt w:val="bullet"/>
      <w:lvlText w:val=""/>
      <w:lvlJc w:val="left"/>
      <w:pPr>
        <w:ind w:left="5040" w:hanging="360"/>
      </w:pPr>
      <w:rPr>
        <w:rFonts w:ascii="Symbol" w:hAnsi="Symbol" w:hint="default"/>
      </w:rPr>
    </w:lvl>
    <w:lvl w:ilvl="7" w:tplc="76C28334" w:tentative="1">
      <w:start w:val="1"/>
      <w:numFmt w:val="bullet"/>
      <w:lvlText w:val="o"/>
      <w:lvlJc w:val="left"/>
      <w:pPr>
        <w:ind w:left="5760" w:hanging="360"/>
      </w:pPr>
      <w:rPr>
        <w:rFonts w:ascii="Courier New" w:hAnsi="Courier New" w:hint="default"/>
      </w:rPr>
    </w:lvl>
    <w:lvl w:ilvl="8" w:tplc="FF54D07C" w:tentative="1">
      <w:start w:val="1"/>
      <w:numFmt w:val="bullet"/>
      <w:lvlText w:val=""/>
      <w:lvlJc w:val="left"/>
      <w:pPr>
        <w:ind w:left="6480" w:hanging="360"/>
      </w:pPr>
      <w:rPr>
        <w:rFonts w:ascii="Wingdings" w:hAnsi="Wingdings" w:hint="default"/>
      </w:rPr>
    </w:lvl>
  </w:abstractNum>
  <w:abstractNum w:abstractNumId="15" w15:restartNumberingAfterBreak="0">
    <w:nsid w:val="271A4519"/>
    <w:multiLevelType w:val="hybridMultilevel"/>
    <w:tmpl w:val="0D26B0A0"/>
    <w:lvl w:ilvl="0" w:tplc="E1703F0E">
      <w:start w:val="1"/>
      <w:numFmt w:val="decimal"/>
      <w:lvlText w:val="%1."/>
      <w:lvlJc w:val="left"/>
      <w:pPr>
        <w:ind w:left="1020" w:hanging="360"/>
      </w:pPr>
    </w:lvl>
    <w:lvl w:ilvl="1" w:tplc="711E1A2E">
      <w:start w:val="1"/>
      <w:numFmt w:val="decimal"/>
      <w:lvlText w:val="%2."/>
      <w:lvlJc w:val="left"/>
      <w:pPr>
        <w:ind w:left="1020" w:hanging="360"/>
      </w:pPr>
    </w:lvl>
    <w:lvl w:ilvl="2" w:tplc="C5562978">
      <w:start w:val="1"/>
      <w:numFmt w:val="decimal"/>
      <w:lvlText w:val="%3."/>
      <w:lvlJc w:val="left"/>
      <w:pPr>
        <w:ind w:left="1020" w:hanging="360"/>
      </w:pPr>
    </w:lvl>
    <w:lvl w:ilvl="3" w:tplc="5DCE2A12">
      <w:start w:val="1"/>
      <w:numFmt w:val="decimal"/>
      <w:lvlText w:val="%4."/>
      <w:lvlJc w:val="left"/>
      <w:pPr>
        <w:ind w:left="1020" w:hanging="360"/>
      </w:pPr>
    </w:lvl>
    <w:lvl w:ilvl="4" w:tplc="489E6A8E">
      <w:start w:val="1"/>
      <w:numFmt w:val="decimal"/>
      <w:lvlText w:val="%5."/>
      <w:lvlJc w:val="left"/>
      <w:pPr>
        <w:ind w:left="1020" w:hanging="360"/>
      </w:pPr>
    </w:lvl>
    <w:lvl w:ilvl="5" w:tplc="52944F7A">
      <w:start w:val="1"/>
      <w:numFmt w:val="decimal"/>
      <w:lvlText w:val="%6."/>
      <w:lvlJc w:val="left"/>
      <w:pPr>
        <w:ind w:left="1020" w:hanging="360"/>
      </w:pPr>
    </w:lvl>
    <w:lvl w:ilvl="6" w:tplc="81B21BD6">
      <w:start w:val="1"/>
      <w:numFmt w:val="decimal"/>
      <w:lvlText w:val="%7."/>
      <w:lvlJc w:val="left"/>
      <w:pPr>
        <w:ind w:left="1020" w:hanging="360"/>
      </w:pPr>
    </w:lvl>
    <w:lvl w:ilvl="7" w:tplc="4BC2CFE4">
      <w:start w:val="1"/>
      <w:numFmt w:val="decimal"/>
      <w:lvlText w:val="%8."/>
      <w:lvlJc w:val="left"/>
      <w:pPr>
        <w:ind w:left="1020" w:hanging="360"/>
      </w:pPr>
    </w:lvl>
    <w:lvl w:ilvl="8" w:tplc="F92CC17C">
      <w:start w:val="1"/>
      <w:numFmt w:val="decimal"/>
      <w:lvlText w:val="%9."/>
      <w:lvlJc w:val="left"/>
      <w:pPr>
        <w:ind w:left="1020" w:hanging="360"/>
      </w:pPr>
    </w:lvl>
  </w:abstractNum>
  <w:abstractNum w:abstractNumId="16" w15:restartNumberingAfterBreak="0">
    <w:nsid w:val="2889B929"/>
    <w:multiLevelType w:val="hybridMultilevel"/>
    <w:tmpl w:val="FFFFFFFF"/>
    <w:lvl w:ilvl="0" w:tplc="8AF2DE82">
      <w:start w:val="1"/>
      <w:numFmt w:val="decimal"/>
      <w:lvlText w:val="•"/>
      <w:lvlJc w:val="left"/>
      <w:pPr>
        <w:ind w:left="720" w:hanging="360"/>
      </w:pPr>
    </w:lvl>
    <w:lvl w:ilvl="1" w:tplc="B1102438">
      <w:start w:val="1"/>
      <w:numFmt w:val="lowerLetter"/>
      <w:lvlText w:val="%2."/>
      <w:lvlJc w:val="left"/>
      <w:pPr>
        <w:ind w:left="1440" w:hanging="360"/>
      </w:pPr>
    </w:lvl>
    <w:lvl w:ilvl="2" w:tplc="E7BC9D74">
      <w:start w:val="1"/>
      <w:numFmt w:val="lowerRoman"/>
      <w:lvlText w:val="%3."/>
      <w:lvlJc w:val="right"/>
      <w:pPr>
        <w:ind w:left="2160" w:hanging="180"/>
      </w:pPr>
    </w:lvl>
    <w:lvl w:ilvl="3" w:tplc="1180A9AC">
      <w:start w:val="1"/>
      <w:numFmt w:val="decimal"/>
      <w:lvlText w:val="%4."/>
      <w:lvlJc w:val="left"/>
      <w:pPr>
        <w:ind w:left="2880" w:hanging="360"/>
      </w:pPr>
    </w:lvl>
    <w:lvl w:ilvl="4" w:tplc="C1101C86">
      <w:start w:val="1"/>
      <w:numFmt w:val="lowerLetter"/>
      <w:lvlText w:val="%5."/>
      <w:lvlJc w:val="left"/>
      <w:pPr>
        <w:ind w:left="3600" w:hanging="360"/>
      </w:pPr>
    </w:lvl>
    <w:lvl w:ilvl="5" w:tplc="AF085E5E">
      <w:start w:val="1"/>
      <w:numFmt w:val="lowerRoman"/>
      <w:lvlText w:val="%6."/>
      <w:lvlJc w:val="right"/>
      <w:pPr>
        <w:ind w:left="4320" w:hanging="180"/>
      </w:pPr>
    </w:lvl>
    <w:lvl w:ilvl="6" w:tplc="AA8C4E46">
      <w:start w:val="1"/>
      <w:numFmt w:val="decimal"/>
      <w:lvlText w:val="%7."/>
      <w:lvlJc w:val="left"/>
      <w:pPr>
        <w:ind w:left="5040" w:hanging="360"/>
      </w:pPr>
    </w:lvl>
    <w:lvl w:ilvl="7" w:tplc="6C381678">
      <w:start w:val="1"/>
      <w:numFmt w:val="lowerLetter"/>
      <w:lvlText w:val="%8."/>
      <w:lvlJc w:val="left"/>
      <w:pPr>
        <w:ind w:left="5760" w:hanging="360"/>
      </w:pPr>
    </w:lvl>
    <w:lvl w:ilvl="8" w:tplc="4E5CA37E">
      <w:start w:val="1"/>
      <w:numFmt w:val="lowerRoman"/>
      <w:lvlText w:val="%9."/>
      <w:lvlJc w:val="right"/>
      <w:pPr>
        <w:ind w:left="6480" w:hanging="180"/>
      </w:pPr>
    </w:lvl>
  </w:abstractNum>
  <w:abstractNum w:abstractNumId="17" w15:restartNumberingAfterBreak="0">
    <w:nsid w:val="2C8F2A1D"/>
    <w:multiLevelType w:val="hybridMultilevel"/>
    <w:tmpl w:val="BFDE5240"/>
    <w:lvl w:ilvl="0" w:tplc="3C24AB34">
      <w:start w:val="1"/>
      <w:numFmt w:val="decimal"/>
      <w:lvlText w:val="%1."/>
      <w:lvlJc w:val="left"/>
      <w:pPr>
        <w:ind w:left="720" w:hanging="360"/>
      </w:pPr>
      <w:rPr>
        <w:rFonts w:hint="default"/>
      </w:rPr>
    </w:lvl>
    <w:lvl w:ilvl="1" w:tplc="6F4416E2" w:tentative="1">
      <w:start w:val="1"/>
      <w:numFmt w:val="lowerLetter"/>
      <w:lvlText w:val="%2."/>
      <w:lvlJc w:val="left"/>
      <w:pPr>
        <w:ind w:left="1440" w:hanging="360"/>
      </w:pPr>
    </w:lvl>
    <w:lvl w:ilvl="2" w:tplc="3FD06776" w:tentative="1">
      <w:start w:val="1"/>
      <w:numFmt w:val="lowerRoman"/>
      <w:lvlText w:val="%3."/>
      <w:lvlJc w:val="right"/>
      <w:pPr>
        <w:ind w:left="2160" w:hanging="180"/>
      </w:pPr>
    </w:lvl>
    <w:lvl w:ilvl="3" w:tplc="9A54304E" w:tentative="1">
      <w:start w:val="1"/>
      <w:numFmt w:val="decimal"/>
      <w:lvlText w:val="%4."/>
      <w:lvlJc w:val="left"/>
      <w:pPr>
        <w:ind w:left="2880" w:hanging="360"/>
      </w:pPr>
    </w:lvl>
    <w:lvl w:ilvl="4" w:tplc="6C103CFC" w:tentative="1">
      <w:start w:val="1"/>
      <w:numFmt w:val="lowerLetter"/>
      <w:lvlText w:val="%5."/>
      <w:lvlJc w:val="left"/>
      <w:pPr>
        <w:ind w:left="3600" w:hanging="360"/>
      </w:pPr>
    </w:lvl>
    <w:lvl w:ilvl="5" w:tplc="01CEA658" w:tentative="1">
      <w:start w:val="1"/>
      <w:numFmt w:val="lowerRoman"/>
      <w:lvlText w:val="%6."/>
      <w:lvlJc w:val="right"/>
      <w:pPr>
        <w:ind w:left="4320" w:hanging="180"/>
      </w:pPr>
    </w:lvl>
    <w:lvl w:ilvl="6" w:tplc="02524D24" w:tentative="1">
      <w:start w:val="1"/>
      <w:numFmt w:val="decimal"/>
      <w:lvlText w:val="%7."/>
      <w:lvlJc w:val="left"/>
      <w:pPr>
        <w:ind w:left="5040" w:hanging="360"/>
      </w:pPr>
    </w:lvl>
    <w:lvl w:ilvl="7" w:tplc="ECD0A52E" w:tentative="1">
      <w:start w:val="1"/>
      <w:numFmt w:val="lowerLetter"/>
      <w:lvlText w:val="%8."/>
      <w:lvlJc w:val="left"/>
      <w:pPr>
        <w:ind w:left="5760" w:hanging="360"/>
      </w:pPr>
    </w:lvl>
    <w:lvl w:ilvl="8" w:tplc="4A843850" w:tentative="1">
      <w:start w:val="1"/>
      <w:numFmt w:val="lowerRoman"/>
      <w:lvlText w:val="%9."/>
      <w:lvlJc w:val="right"/>
      <w:pPr>
        <w:ind w:left="6480" w:hanging="180"/>
      </w:pPr>
    </w:lvl>
  </w:abstractNum>
  <w:abstractNum w:abstractNumId="18" w15:restartNumberingAfterBreak="0">
    <w:nsid w:val="2D4EE758"/>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DA2B1"/>
    <w:multiLevelType w:val="hybridMultilevel"/>
    <w:tmpl w:val="FFFFFFFF"/>
    <w:lvl w:ilvl="0" w:tplc="8ED03038">
      <w:start w:val="1"/>
      <w:numFmt w:val="decimal"/>
      <w:lvlText w:val=""/>
      <w:lvlJc w:val="left"/>
      <w:pPr>
        <w:ind w:left="720" w:hanging="360"/>
      </w:pPr>
    </w:lvl>
    <w:lvl w:ilvl="1" w:tplc="30E2A25A">
      <w:start w:val="1"/>
      <w:numFmt w:val="lowerLetter"/>
      <w:lvlText w:val="%2."/>
      <w:lvlJc w:val="left"/>
      <w:pPr>
        <w:ind w:left="1440" w:hanging="360"/>
      </w:pPr>
    </w:lvl>
    <w:lvl w:ilvl="2" w:tplc="EF9268B6">
      <w:start w:val="1"/>
      <w:numFmt w:val="lowerRoman"/>
      <w:lvlText w:val="%3."/>
      <w:lvlJc w:val="right"/>
      <w:pPr>
        <w:ind w:left="2160" w:hanging="180"/>
      </w:pPr>
    </w:lvl>
    <w:lvl w:ilvl="3" w:tplc="9174772C">
      <w:start w:val="1"/>
      <w:numFmt w:val="decimal"/>
      <w:lvlText w:val="%4."/>
      <w:lvlJc w:val="left"/>
      <w:pPr>
        <w:ind w:left="2880" w:hanging="360"/>
      </w:pPr>
    </w:lvl>
    <w:lvl w:ilvl="4" w:tplc="46742E3C">
      <w:start w:val="1"/>
      <w:numFmt w:val="lowerLetter"/>
      <w:lvlText w:val="%5."/>
      <w:lvlJc w:val="left"/>
      <w:pPr>
        <w:ind w:left="3600" w:hanging="360"/>
      </w:pPr>
    </w:lvl>
    <w:lvl w:ilvl="5" w:tplc="FE9A0EC8">
      <w:start w:val="1"/>
      <w:numFmt w:val="lowerRoman"/>
      <w:lvlText w:val="%6."/>
      <w:lvlJc w:val="right"/>
      <w:pPr>
        <w:ind w:left="4320" w:hanging="180"/>
      </w:pPr>
    </w:lvl>
    <w:lvl w:ilvl="6" w:tplc="87D436BA">
      <w:start w:val="1"/>
      <w:numFmt w:val="decimal"/>
      <w:lvlText w:val="%7."/>
      <w:lvlJc w:val="left"/>
      <w:pPr>
        <w:ind w:left="5040" w:hanging="360"/>
      </w:pPr>
    </w:lvl>
    <w:lvl w:ilvl="7" w:tplc="CE7CED3A">
      <w:start w:val="1"/>
      <w:numFmt w:val="lowerLetter"/>
      <w:lvlText w:val="%8."/>
      <w:lvlJc w:val="left"/>
      <w:pPr>
        <w:ind w:left="5760" w:hanging="360"/>
      </w:pPr>
    </w:lvl>
    <w:lvl w:ilvl="8" w:tplc="75F6E884">
      <w:start w:val="1"/>
      <w:numFmt w:val="lowerRoman"/>
      <w:lvlText w:val="%9."/>
      <w:lvlJc w:val="right"/>
      <w:pPr>
        <w:ind w:left="6480" w:hanging="180"/>
      </w:pPr>
    </w:lvl>
  </w:abstractNum>
  <w:abstractNum w:abstractNumId="20" w15:restartNumberingAfterBreak="0">
    <w:nsid w:val="34B987FB"/>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8C0891"/>
    <w:multiLevelType w:val="hybridMultilevel"/>
    <w:tmpl w:val="BD725664"/>
    <w:lvl w:ilvl="0" w:tplc="D5A6FC4E">
      <w:start w:val="1"/>
      <w:numFmt w:val="bullet"/>
      <w:lvlText w:val=""/>
      <w:lvlJc w:val="left"/>
      <w:pPr>
        <w:ind w:left="720" w:hanging="360"/>
      </w:pPr>
      <w:rPr>
        <w:rFonts w:ascii="Symbol" w:hAnsi="Symbol" w:hint="default"/>
      </w:rPr>
    </w:lvl>
    <w:lvl w:ilvl="1" w:tplc="C3589DD6" w:tentative="1">
      <w:start w:val="1"/>
      <w:numFmt w:val="bullet"/>
      <w:lvlText w:val="o"/>
      <w:lvlJc w:val="left"/>
      <w:pPr>
        <w:ind w:left="1440" w:hanging="360"/>
      </w:pPr>
      <w:rPr>
        <w:rFonts w:ascii="Courier New" w:hAnsi="Courier New" w:hint="default"/>
      </w:rPr>
    </w:lvl>
    <w:lvl w:ilvl="2" w:tplc="C6202CD6" w:tentative="1">
      <w:start w:val="1"/>
      <w:numFmt w:val="bullet"/>
      <w:lvlText w:val=""/>
      <w:lvlJc w:val="left"/>
      <w:pPr>
        <w:ind w:left="2160" w:hanging="360"/>
      </w:pPr>
      <w:rPr>
        <w:rFonts w:ascii="Wingdings" w:hAnsi="Wingdings" w:hint="default"/>
      </w:rPr>
    </w:lvl>
    <w:lvl w:ilvl="3" w:tplc="54D4DEA6" w:tentative="1">
      <w:start w:val="1"/>
      <w:numFmt w:val="bullet"/>
      <w:lvlText w:val=""/>
      <w:lvlJc w:val="left"/>
      <w:pPr>
        <w:ind w:left="2880" w:hanging="360"/>
      </w:pPr>
      <w:rPr>
        <w:rFonts w:ascii="Symbol" w:hAnsi="Symbol" w:hint="default"/>
      </w:rPr>
    </w:lvl>
    <w:lvl w:ilvl="4" w:tplc="31644CF2" w:tentative="1">
      <w:start w:val="1"/>
      <w:numFmt w:val="bullet"/>
      <w:lvlText w:val="o"/>
      <w:lvlJc w:val="left"/>
      <w:pPr>
        <w:ind w:left="3600" w:hanging="360"/>
      </w:pPr>
      <w:rPr>
        <w:rFonts w:ascii="Courier New" w:hAnsi="Courier New" w:hint="default"/>
      </w:rPr>
    </w:lvl>
    <w:lvl w:ilvl="5" w:tplc="5E30C074" w:tentative="1">
      <w:start w:val="1"/>
      <w:numFmt w:val="bullet"/>
      <w:lvlText w:val=""/>
      <w:lvlJc w:val="left"/>
      <w:pPr>
        <w:ind w:left="4320" w:hanging="360"/>
      </w:pPr>
      <w:rPr>
        <w:rFonts w:ascii="Wingdings" w:hAnsi="Wingdings" w:hint="default"/>
      </w:rPr>
    </w:lvl>
    <w:lvl w:ilvl="6" w:tplc="BFA0179C" w:tentative="1">
      <w:start w:val="1"/>
      <w:numFmt w:val="bullet"/>
      <w:lvlText w:val=""/>
      <w:lvlJc w:val="left"/>
      <w:pPr>
        <w:ind w:left="5040" w:hanging="360"/>
      </w:pPr>
      <w:rPr>
        <w:rFonts w:ascii="Symbol" w:hAnsi="Symbol" w:hint="default"/>
      </w:rPr>
    </w:lvl>
    <w:lvl w:ilvl="7" w:tplc="37E0EC4C" w:tentative="1">
      <w:start w:val="1"/>
      <w:numFmt w:val="bullet"/>
      <w:lvlText w:val="o"/>
      <w:lvlJc w:val="left"/>
      <w:pPr>
        <w:ind w:left="5760" w:hanging="360"/>
      </w:pPr>
      <w:rPr>
        <w:rFonts w:ascii="Courier New" w:hAnsi="Courier New" w:hint="default"/>
      </w:rPr>
    </w:lvl>
    <w:lvl w:ilvl="8" w:tplc="C442A43C" w:tentative="1">
      <w:start w:val="1"/>
      <w:numFmt w:val="bullet"/>
      <w:lvlText w:val=""/>
      <w:lvlJc w:val="left"/>
      <w:pPr>
        <w:ind w:left="6480" w:hanging="360"/>
      </w:pPr>
      <w:rPr>
        <w:rFonts w:ascii="Wingdings" w:hAnsi="Wingdings" w:hint="default"/>
      </w:rPr>
    </w:lvl>
  </w:abstractNum>
  <w:abstractNum w:abstractNumId="22" w15:restartNumberingAfterBreak="0">
    <w:nsid w:val="37356CB3"/>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BF665A"/>
    <w:multiLevelType w:val="hybridMultilevel"/>
    <w:tmpl w:val="8BFCBBAC"/>
    <w:lvl w:ilvl="0" w:tplc="5740C6B8">
      <w:start w:val="1"/>
      <w:numFmt w:val="decimal"/>
      <w:lvlText w:val="%1."/>
      <w:lvlJc w:val="left"/>
      <w:pPr>
        <w:ind w:left="1020" w:hanging="360"/>
      </w:pPr>
    </w:lvl>
    <w:lvl w:ilvl="1" w:tplc="250CB3CA">
      <w:start w:val="1"/>
      <w:numFmt w:val="decimal"/>
      <w:lvlText w:val="%2."/>
      <w:lvlJc w:val="left"/>
      <w:pPr>
        <w:ind w:left="1020" w:hanging="360"/>
      </w:pPr>
    </w:lvl>
    <w:lvl w:ilvl="2" w:tplc="E92E1C6C">
      <w:start w:val="1"/>
      <w:numFmt w:val="decimal"/>
      <w:lvlText w:val="%3."/>
      <w:lvlJc w:val="left"/>
      <w:pPr>
        <w:ind w:left="1020" w:hanging="360"/>
      </w:pPr>
    </w:lvl>
    <w:lvl w:ilvl="3" w:tplc="C6BC9A4E">
      <w:start w:val="1"/>
      <w:numFmt w:val="decimal"/>
      <w:lvlText w:val="%4."/>
      <w:lvlJc w:val="left"/>
      <w:pPr>
        <w:ind w:left="1020" w:hanging="360"/>
      </w:pPr>
    </w:lvl>
    <w:lvl w:ilvl="4" w:tplc="13AE7C36">
      <w:start w:val="1"/>
      <w:numFmt w:val="decimal"/>
      <w:lvlText w:val="%5."/>
      <w:lvlJc w:val="left"/>
      <w:pPr>
        <w:ind w:left="1020" w:hanging="360"/>
      </w:pPr>
    </w:lvl>
    <w:lvl w:ilvl="5" w:tplc="C7A4857E">
      <w:start w:val="1"/>
      <w:numFmt w:val="decimal"/>
      <w:lvlText w:val="%6."/>
      <w:lvlJc w:val="left"/>
      <w:pPr>
        <w:ind w:left="1020" w:hanging="360"/>
      </w:pPr>
    </w:lvl>
    <w:lvl w:ilvl="6" w:tplc="A7DAD514">
      <w:start w:val="1"/>
      <w:numFmt w:val="decimal"/>
      <w:lvlText w:val="%7."/>
      <w:lvlJc w:val="left"/>
      <w:pPr>
        <w:ind w:left="1020" w:hanging="360"/>
      </w:pPr>
    </w:lvl>
    <w:lvl w:ilvl="7" w:tplc="E15643F8">
      <w:start w:val="1"/>
      <w:numFmt w:val="decimal"/>
      <w:lvlText w:val="%8."/>
      <w:lvlJc w:val="left"/>
      <w:pPr>
        <w:ind w:left="1020" w:hanging="360"/>
      </w:pPr>
    </w:lvl>
    <w:lvl w:ilvl="8" w:tplc="DD3840CA">
      <w:start w:val="1"/>
      <w:numFmt w:val="decimal"/>
      <w:lvlText w:val="%9."/>
      <w:lvlJc w:val="left"/>
      <w:pPr>
        <w:ind w:left="1020" w:hanging="360"/>
      </w:pPr>
    </w:lvl>
  </w:abstractNum>
  <w:abstractNum w:abstractNumId="24" w15:restartNumberingAfterBreak="0">
    <w:nsid w:val="3F9E48AD"/>
    <w:multiLevelType w:val="hybridMultilevel"/>
    <w:tmpl w:val="BFDE5240"/>
    <w:lvl w:ilvl="0" w:tplc="E048B848">
      <w:start w:val="1"/>
      <w:numFmt w:val="decimal"/>
      <w:lvlText w:val="%1."/>
      <w:lvlJc w:val="left"/>
      <w:pPr>
        <w:ind w:left="720" w:hanging="360"/>
      </w:pPr>
      <w:rPr>
        <w:rFonts w:hint="default"/>
      </w:rPr>
    </w:lvl>
    <w:lvl w:ilvl="1" w:tplc="4CD63666" w:tentative="1">
      <w:start w:val="1"/>
      <w:numFmt w:val="lowerLetter"/>
      <w:lvlText w:val="%2."/>
      <w:lvlJc w:val="left"/>
      <w:pPr>
        <w:ind w:left="1440" w:hanging="360"/>
      </w:pPr>
    </w:lvl>
    <w:lvl w:ilvl="2" w:tplc="3FF4EBE8" w:tentative="1">
      <w:start w:val="1"/>
      <w:numFmt w:val="lowerRoman"/>
      <w:lvlText w:val="%3."/>
      <w:lvlJc w:val="right"/>
      <w:pPr>
        <w:ind w:left="2160" w:hanging="180"/>
      </w:pPr>
    </w:lvl>
    <w:lvl w:ilvl="3" w:tplc="BC70AEEA" w:tentative="1">
      <w:start w:val="1"/>
      <w:numFmt w:val="decimal"/>
      <w:lvlText w:val="%4."/>
      <w:lvlJc w:val="left"/>
      <w:pPr>
        <w:ind w:left="2880" w:hanging="360"/>
      </w:pPr>
    </w:lvl>
    <w:lvl w:ilvl="4" w:tplc="C7385F66" w:tentative="1">
      <w:start w:val="1"/>
      <w:numFmt w:val="lowerLetter"/>
      <w:lvlText w:val="%5."/>
      <w:lvlJc w:val="left"/>
      <w:pPr>
        <w:ind w:left="3600" w:hanging="360"/>
      </w:pPr>
    </w:lvl>
    <w:lvl w:ilvl="5" w:tplc="3814A934" w:tentative="1">
      <w:start w:val="1"/>
      <w:numFmt w:val="lowerRoman"/>
      <w:lvlText w:val="%6."/>
      <w:lvlJc w:val="right"/>
      <w:pPr>
        <w:ind w:left="4320" w:hanging="180"/>
      </w:pPr>
    </w:lvl>
    <w:lvl w:ilvl="6" w:tplc="DC46244E" w:tentative="1">
      <w:start w:val="1"/>
      <w:numFmt w:val="decimal"/>
      <w:lvlText w:val="%7."/>
      <w:lvlJc w:val="left"/>
      <w:pPr>
        <w:ind w:left="5040" w:hanging="360"/>
      </w:pPr>
    </w:lvl>
    <w:lvl w:ilvl="7" w:tplc="08667B00" w:tentative="1">
      <w:start w:val="1"/>
      <w:numFmt w:val="lowerLetter"/>
      <w:lvlText w:val="%8."/>
      <w:lvlJc w:val="left"/>
      <w:pPr>
        <w:ind w:left="5760" w:hanging="360"/>
      </w:pPr>
    </w:lvl>
    <w:lvl w:ilvl="8" w:tplc="1046CF5C" w:tentative="1">
      <w:start w:val="1"/>
      <w:numFmt w:val="lowerRoman"/>
      <w:lvlText w:val="%9."/>
      <w:lvlJc w:val="right"/>
      <w:pPr>
        <w:ind w:left="6480" w:hanging="180"/>
      </w:pPr>
    </w:lvl>
  </w:abstractNum>
  <w:abstractNum w:abstractNumId="25" w15:restartNumberingAfterBreak="0">
    <w:nsid w:val="408456EA"/>
    <w:multiLevelType w:val="hybridMultilevel"/>
    <w:tmpl w:val="15582548"/>
    <w:lvl w:ilvl="0" w:tplc="083C4C2A">
      <w:start w:val="1"/>
      <w:numFmt w:val="bullet"/>
      <w:lvlText w:val=""/>
      <w:lvlJc w:val="left"/>
      <w:pPr>
        <w:ind w:left="780" w:hanging="360"/>
      </w:pPr>
      <w:rPr>
        <w:rFonts w:ascii="Symbol" w:hAnsi="Symbol" w:hint="default"/>
      </w:rPr>
    </w:lvl>
    <w:lvl w:ilvl="1" w:tplc="52FA9A06" w:tentative="1">
      <w:start w:val="1"/>
      <w:numFmt w:val="bullet"/>
      <w:lvlText w:val="o"/>
      <w:lvlJc w:val="left"/>
      <w:pPr>
        <w:ind w:left="1500" w:hanging="360"/>
      </w:pPr>
      <w:rPr>
        <w:rFonts w:ascii="Courier New" w:hAnsi="Courier New" w:cs="Courier New" w:hint="default"/>
      </w:rPr>
    </w:lvl>
    <w:lvl w:ilvl="2" w:tplc="69C05358" w:tentative="1">
      <w:start w:val="1"/>
      <w:numFmt w:val="bullet"/>
      <w:lvlText w:val=""/>
      <w:lvlJc w:val="left"/>
      <w:pPr>
        <w:ind w:left="2220" w:hanging="360"/>
      </w:pPr>
      <w:rPr>
        <w:rFonts w:ascii="Wingdings" w:hAnsi="Wingdings" w:hint="default"/>
      </w:rPr>
    </w:lvl>
    <w:lvl w:ilvl="3" w:tplc="E53246E6" w:tentative="1">
      <w:start w:val="1"/>
      <w:numFmt w:val="bullet"/>
      <w:lvlText w:val=""/>
      <w:lvlJc w:val="left"/>
      <w:pPr>
        <w:ind w:left="2940" w:hanging="360"/>
      </w:pPr>
      <w:rPr>
        <w:rFonts w:ascii="Symbol" w:hAnsi="Symbol" w:hint="default"/>
      </w:rPr>
    </w:lvl>
    <w:lvl w:ilvl="4" w:tplc="46F45190" w:tentative="1">
      <w:start w:val="1"/>
      <w:numFmt w:val="bullet"/>
      <w:lvlText w:val="o"/>
      <w:lvlJc w:val="left"/>
      <w:pPr>
        <w:ind w:left="3660" w:hanging="360"/>
      </w:pPr>
      <w:rPr>
        <w:rFonts w:ascii="Courier New" w:hAnsi="Courier New" w:cs="Courier New" w:hint="default"/>
      </w:rPr>
    </w:lvl>
    <w:lvl w:ilvl="5" w:tplc="5DA63A02" w:tentative="1">
      <w:start w:val="1"/>
      <w:numFmt w:val="bullet"/>
      <w:lvlText w:val=""/>
      <w:lvlJc w:val="left"/>
      <w:pPr>
        <w:ind w:left="4380" w:hanging="360"/>
      </w:pPr>
      <w:rPr>
        <w:rFonts w:ascii="Wingdings" w:hAnsi="Wingdings" w:hint="default"/>
      </w:rPr>
    </w:lvl>
    <w:lvl w:ilvl="6" w:tplc="AC1E8518" w:tentative="1">
      <w:start w:val="1"/>
      <w:numFmt w:val="bullet"/>
      <w:lvlText w:val=""/>
      <w:lvlJc w:val="left"/>
      <w:pPr>
        <w:ind w:left="5100" w:hanging="360"/>
      </w:pPr>
      <w:rPr>
        <w:rFonts w:ascii="Symbol" w:hAnsi="Symbol" w:hint="default"/>
      </w:rPr>
    </w:lvl>
    <w:lvl w:ilvl="7" w:tplc="6EC2A606" w:tentative="1">
      <w:start w:val="1"/>
      <w:numFmt w:val="bullet"/>
      <w:lvlText w:val="o"/>
      <w:lvlJc w:val="left"/>
      <w:pPr>
        <w:ind w:left="5820" w:hanging="360"/>
      </w:pPr>
      <w:rPr>
        <w:rFonts w:ascii="Courier New" w:hAnsi="Courier New" w:cs="Courier New" w:hint="default"/>
      </w:rPr>
    </w:lvl>
    <w:lvl w:ilvl="8" w:tplc="BD0E7C46" w:tentative="1">
      <w:start w:val="1"/>
      <w:numFmt w:val="bullet"/>
      <w:lvlText w:val=""/>
      <w:lvlJc w:val="left"/>
      <w:pPr>
        <w:ind w:left="6540" w:hanging="360"/>
      </w:pPr>
      <w:rPr>
        <w:rFonts w:ascii="Wingdings" w:hAnsi="Wingdings" w:hint="default"/>
      </w:rPr>
    </w:lvl>
  </w:abstractNum>
  <w:abstractNum w:abstractNumId="26" w15:restartNumberingAfterBreak="0">
    <w:nsid w:val="40FE46DE"/>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495AD6"/>
    <w:multiLevelType w:val="hybridMultilevel"/>
    <w:tmpl w:val="FFFFFFFF"/>
    <w:lvl w:ilvl="0" w:tplc="30D83C40">
      <w:start w:val="1"/>
      <w:numFmt w:val="bullet"/>
      <w:lvlText w:val=""/>
      <w:lvlJc w:val="left"/>
      <w:pPr>
        <w:ind w:left="720" w:hanging="360"/>
      </w:pPr>
      <w:rPr>
        <w:rFonts w:ascii="Symbol" w:hAnsi="Symbol" w:hint="default"/>
      </w:rPr>
    </w:lvl>
    <w:lvl w:ilvl="1" w:tplc="AED0E16A">
      <w:start w:val="1"/>
      <w:numFmt w:val="bullet"/>
      <w:lvlText w:val="o"/>
      <w:lvlJc w:val="left"/>
      <w:pPr>
        <w:ind w:left="1440" w:hanging="360"/>
      </w:pPr>
      <w:rPr>
        <w:rFonts w:ascii="Courier New" w:hAnsi="Courier New" w:hint="default"/>
      </w:rPr>
    </w:lvl>
    <w:lvl w:ilvl="2" w:tplc="3702B95A">
      <w:start w:val="1"/>
      <w:numFmt w:val="bullet"/>
      <w:lvlText w:val=""/>
      <w:lvlJc w:val="left"/>
      <w:pPr>
        <w:ind w:left="2160" w:hanging="360"/>
      </w:pPr>
      <w:rPr>
        <w:rFonts w:ascii="Wingdings" w:hAnsi="Wingdings" w:hint="default"/>
      </w:rPr>
    </w:lvl>
    <w:lvl w:ilvl="3" w:tplc="678A92CE">
      <w:start w:val="1"/>
      <w:numFmt w:val="bullet"/>
      <w:lvlText w:val=""/>
      <w:lvlJc w:val="left"/>
      <w:pPr>
        <w:ind w:left="2880" w:hanging="360"/>
      </w:pPr>
      <w:rPr>
        <w:rFonts w:ascii="Symbol" w:hAnsi="Symbol" w:hint="default"/>
      </w:rPr>
    </w:lvl>
    <w:lvl w:ilvl="4" w:tplc="8F94B292">
      <w:start w:val="1"/>
      <w:numFmt w:val="bullet"/>
      <w:lvlText w:val="o"/>
      <w:lvlJc w:val="left"/>
      <w:pPr>
        <w:ind w:left="3600" w:hanging="360"/>
      </w:pPr>
      <w:rPr>
        <w:rFonts w:ascii="Courier New" w:hAnsi="Courier New" w:hint="default"/>
      </w:rPr>
    </w:lvl>
    <w:lvl w:ilvl="5" w:tplc="0FBCDDF8">
      <w:start w:val="1"/>
      <w:numFmt w:val="bullet"/>
      <w:lvlText w:val=""/>
      <w:lvlJc w:val="left"/>
      <w:pPr>
        <w:ind w:left="4320" w:hanging="360"/>
      </w:pPr>
      <w:rPr>
        <w:rFonts w:ascii="Wingdings" w:hAnsi="Wingdings" w:hint="default"/>
      </w:rPr>
    </w:lvl>
    <w:lvl w:ilvl="6" w:tplc="1EBC5F8E">
      <w:start w:val="1"/>
      <w:numFmt w:val="bullet"/>
      <w:lvlText w:val=""/>
      <w:lvlJc w:val="left"/>
      <w:pPr>
        <w:ind w:left="5040" w:hanging="360"/>
      </w:pPr>
      <w:rPr>
        <w:rFonts w:ascii="Symbol" w:hAnsi="Symbol" w:hint="default"/>
      </w:rPr>
    </w:lvl>
    <w:lvl w:ilvl="7" w:tplc="433A78EC">
      <w:start w:val="1"/>
      <w:numFmt w:val="bullet"/>
      <w:lvlText w:val="o"/>
      <w:lvlJc w:val="left"/>
      <w:pPr>
        <w:ind w:left="5760" w:hanging="360"/>
      </w:pPr>
      <w:rPr>
        <w:rFonts w:ascii="Courier New" w:hAnsi="Courier New" w:hint="default"/>
      </w:rPr>
    </w:lvl>
    <w:lvl w:ilvl="8" w:tplc="814CE65E">
      <w:start w:val="1"/>
      <w:numFmt w:val="bullet"/>
      <w:lvlText w:val=""/>
      <w:lvlJc w:val="left"/>
      <w:pPr>
        <w:ind w:left="6480" w:hanging="360"/>
      </w:pPr>
      <w:rPr>
        <w:rFonts w:ascii="Wingdings" w:hAnsi="Wingdings" w:hint="default"/>
      </w:rPr>
    </w:lvl>
  </w:abstractNum>
  <w:abstractNum w:abstractNumId="28" w15:restartNumberingAfterBreak="0">
    <w:nsid w:val="4A908B3E"/>
    <w:multiLevelType w:val="multilevel"/>
    <w:tmpl w:val="FFFFFFFF"/>
    <w:lvl w:ilvl="0">
      <w:numFmt w:val="decimal"/>
      <w:pStyle w:val="Numberedheading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25C368"/>
    <w:multiLevelType w:val="hybridMultilevel"/>
    <w:tmpl w:val="FFFFFFFF"/>
    <w:lvl w:ilvl="0" w:tplc="1D1AE0DC">
      <w:start w:val="1"/>
      <w:numFmt w:val="decimal"/>
      <w:lvlText w:val="%1."/>
      <w:lvlJc w:val="left"/>
      <w:pPr>
        <w:ind w:left="720" w:hanging="360"/>
      </w:pPr>
    </w:lvl>
    <w:lvl w:ilvl="1" w:tplc="0C28DAC6">
      <w:start w:val="1"/>
      <w:numFmt w:val="lowerLetter"/>
      <w:lvlText w:val="%2."/>
      <w:lvlJc w:val="left"/>
      <w:pPr>
        <w:ind w:left="1440" w:hanging="360"/>
      </w:pPr>
    </w:lvl>
    <w:lvl w:ilvl="2" w:tplc="9A58C326">
      <w:start w:val="1"/>
      <w:numFmt w:val="lowerRoman"/>
      <w:lvlText w:val="%3."/>
      <w:lvlJc w:val="right"/>
      <w:pPr>
        <w:ind w:left="2160" w:hanging="180"/>
      </w:pPr>
    </w:lvl>
    <w:lvl w:ilvl="3" w:tplc="0D04A478">
      <w:start w:val="1"/>
      <w:numFmt w:val="decimal"/>
      <w:lvlText w:val="%4."/>
      <w:lvlJc w:val="left"/>
      <w:pPr>
        <w:ind w:left="2880" w:hanging="360"/>
      </w:pPr>
    </w:lvl>
    <w:lvl w:ilvl="4" w:tplc="1AC091C4">
      <w:start w:val="1"/>
      <w:numFmt w:val="lowerLetter"/>
      <w:lvlText w:val="%5."/>
      <w:lvlJc w:val="left"/>
      <w:pPr>
        <w:ind w:left="3600" w:hanging="360"/>
      </w:pPr>
    </w:lvl>
    <w:lvl w:ilvl="5" w:tplc="A3A4757E">
      <w:start w:val="1"/>
      <w:numFmt w:val="lowerRoman"/>
      <w:lvlText w:val="%6."/>
      <w:lvlJc w:val="right"/>
      <w:pPr>
        <w:ind w:left="4320" w:hanging="180"/>
      </w:pPr>
    </w:lvl>
    <w:lvl w:ilvl="6" w:tplc="E08E3752">
      <w:start w:val="1"/>
      <w:numFmt w:val="decimal"/>
      <w:lvlText w:val="%7."/>
      <w:lvlJc w:val="left"/>
      <w:pPr>
        <w:ind w:left="5040" w:hanging="360"/>
      </w:pPr>
    </w:lvl>
    <w:lvl w:ilvl="7" w:tplc="9E84D4A0">
      <w:start w:val="1"/>
      <w:numFmt w:val="lowerLetter"/>
      <w:lvlText w:val="%8."/>
      <w:lvlJc w:val="left"/>
      <w:pPr>
        <w:ind w:left="5760" w:hanging="360"/>
      </w:pPr>
    </w:lvl>
    <w:lvl w:ilvl="8" w:tplc="84262E40">
      <w:start w:val="1"/>
      <w:numFmt w:val="lowerRoman"/>
      <w:lvlText w:val="%9."/>
      <w:lvlJc w:val="right"/>
      <w:pPr>
        <w:ind w:left="6480" w:hanging="180"/>
      </w:pPr>
    </w:lvl>
  </w:abstractNum>
  <w:abstractNum w:abstractNumId="30" w15:restartNumberingAfterBreak="0">
    <w:nsid w:val="51BD0DA6"/>
    <w:multiLevelType w:val="hybridMultilevel"/>
    <w:tmpl w:val="942E4AAC"/>
    <w:lvl w:ilvl="0" w:tplc="8D86CCDA">
      <w:start w:val="1"/>
      <w:numFmt w:val="bullet"/>
      <w:lvlText w:val=""/>
      <w:lvlJc w:val="left"/>
      <w:pPr>
        <w:ind w:left="720" w:hanging="360"/>
      </w:pPr>
      <w:rPr>
        <w:rFonts w:ascii="Symbol" w:hAnsi="Symbol" w:hint="default"/>
      </w:rPr>
    </w:lvl>
    <w:lvl w:ilvl="1" w:tplc="4D866638" w:tentative="1">
      <w:start w:val="1"/>
      <w:numFmt w:val="bullet"/>
      <w:lvlText w:val="o"/>
      <w:lvlJc w:val="left"/>
      <w:pPr>
        <w:ind w:left="1440" w:hanging="360"/>
      </w:pPr>
      <w:rPr>
        <w:rFonts w:ascii="Courier New" w:hAnsi="Courier New" w:cs="Courier New" w:hint="default"/>
      </w:rPr>
    </w:lvl>
    <w:lvl w:ilvl="2" w:tplc="D5E07760" w:tentative="1">
      <w:start w:val="1"/>
      <w:numFmt w:val="bullet"/>
      <w:lvlText w:val=""/>
      <w:lvlJc w:val="left"/>
      <w:pPr>
        <w:ind w:left="2160" w:hanging="360"/>
      </w:pPr>
      <w:rPr>
        <w:rFonts w:ascii="Wingdings" w:hAnsi="Wingdings" w:hint="default"/>
      </w:rPr>
    </w:lvl>
    <w:lvl w:ilvl="3" w:tplc="1AF4640C" w:tentative="1">
      <w:start w:val="1"/>
      <w:numFmt w:val="bullet"/>
      <w:lvlText w:val=""/>
      <w:lvlJc w:val="left"/>
      <w:pPr>
        <w:ind w:left="2880" w:hanging="360"/>
      </w:pPr>
      <w:rPr>
        <w:rFonts w:ascii="Symbol" w:hAnsi="Symbol" w:hint="default"/>
      </w:rPr>
    </w:lvl>
    <w:lvl w:ilvl="4" w:tplc="7A9C20FA" w:tentative="1">
      <w:start w:val="1"/>
      <w:numFmt w:val="bullet"/>
      <w:lvlText w:val="o"/>
      <w:lvlJc w:val="left"/>
      <w:pPr>
        <w:ind w:left="3600" w:hanging="360"/>
      </w:pPr>
      <w:rPr>
        <w:rFonts w:ascii="Courier New" w:hAnsi="Courier New" w:cs="Courier New" w:hint="default"/>
      </w:rPr>
    </w:lvl>
    <w:lvl w:ilvl="5" w:tplc="6D00186E" w:tentative="1">
      <w:start w:val="1"/>
      <w:numFmt w:val="bullet"/>
      <w:lvlText w:val=""/>
      <w:lvlJc w:val="left"/>
      <w:pPr>
        <w:ind w:left="4320" w:hanging="360"/>
      </w:pPr>
      <w:rPr>
        <w:rFonts w:ascii="Wingdings" w:hAnsi="Wingdings" w:hint="default"/>
      </w:rPr>
    </w:lvl>
    <w:lvl w:ilvl="6" w:tplc="B8CE4EB4" w:tentative="1">
      <w:start w:val="1"/>
      <w:numFmt w:val="bullet"/>
      <w:lvlText w:val=""/>
      <w:lvlJc w:val="left"/>
      <w:pPr>
        <w:ind w:left="5040" w:hanging="360"/>
      </w:pPr>
      <w:rPr>
        <w:rFonts w:ascii="Symbol" w:hAnsi="Symbol" w:hint="default"/>
      </w:rPr>
    </w:lvl>
    <w:lvl w:ilvl="7" w:tplc="C736046E" w:tentative="1">
      <w:start w:val="1"/>
      <w:numFmt w:val="bullet"/>
      <w:lvlText w:val="o"/>
      <w:lvlJc w:val="left"/>
      <w:pPr>
        <w:ind w:left="5760" w:hanging="360"/>
      </w:pPr>
      <w:rPr>
        <w:rFonts w:ascii="Courier New" w:hAnsi="Courier New" w:cs="Courier New" w:hint="default"/>
      </w:rPr>
    </w:lvl>
    <w:lvl w:ilvl="8" w:tplc="556A1664" w:tentative="1">
      <w:start w:val="1"/>
      <w:numFmt w:val="bullet"/>
      <w:lvlText w:val=""/>
      <w:lvlJc w:val="left"/>
      <w:pPr>
        <w:ind w:left="6480" w:hanging="360"/>
      </w:pPr>
      <w:rPr>
        <w:rFonts w:ascii="Wingdings" w:hAnsi="Wingdings" w:hint="default"/>
      </w:rPr>
    </w:lvl>
  </w:abstractNum>
  <w:abstractNum w:abstractNumId="31" w15:restartNumberingAfterBreak="0">
    <w:nsid w:val="554621F2"/>
    <w:multiLevelType w:val="hybridMultilevel"/>
    <w:tmpl w:val="245E7C4C"/>
    <w:lvl w:ilvl="0" w:tplc="93A815F0">
      <w:numFmt w:val="bullet"/>
      <w:lvlText w:val="-"/>
      <w:lvlJc w:val="left"/>
      <w:pPr>
        <w:ind w:left="720" w:hanging="360"/>
      </w:pPr>
      <w:rPr>
        <w:rFonts w:ascii="Arial" w:hAnsi="Arial" w:hint="default"/>
      </w:rPr>
    </w:lvl>
    <w:lvl w:ilvl="1" w:tplc="F11EC800" w:tentative="1">
      <w:start w:val="1"/>
      <w:numFmt w:val="bullet"/>
      <w:lvlText w:val="o"/>
      <w:lvlJc w:val="left"/>
      <w:pPr>
        <w:ind w:left="1440" w:hanging="360"/>
      </w:pPr>
      <w:rPr>
        <w:rFonts w:ascii="Courier New" w:hAnsi="Courier New" w:hint="default"/>
      </w:rPr>
    </w:lvl>
    <w:lvl w:ilvl="2" w:tplc="29C4AB5A" w:tentative="1">
      <w:start w:val="1"/>
      <w:numFmt w:val="bullet"/>
      <w:lvlText w:val=""/>
      <w:lvlJc w:val="left"/>
      <w:pPr>
        <w:ind w:left="2160" w:hanging="360"/>
      </w:pPr>
      <w:rPr>
        <w:rFonts w:ascii="Wingdings" w:hAnsi="Wingdings" w:hint="default"/>
      </w:rPr>
    </w:lvl>
    <w:lvl w:ilvl="3" w:tplc="0AF00172" w:tentative="1">
      <w:start w:val="1"/>
      <w:numFmt w:val="bullet"/>
      <w:lvlText w:val=""/>
      <w:lvlJc w:val="left"/>
      <w:pPr>
        <w:ind w:left="2880" w:hanging="360"/>
      </w:pPr>
      <w:rPr>
        <w:rFonts w:ascii="Symbol" w:hAnsi="Symbol" w:hint="default"/>
      </w:rPr>
    </w:lvl>
    <w:lvl w:ilvl="4" w:tplc="E640B81A" w:tentative="1">
      <w:start w:val="1"/>
      <w:numFmt w:val="bullet"/>
      <w:lvlText w:val="o"/>
      <w:lvlJc w:val="left"/>
      <w:pPr>
        <w:ind w:left="3600" w:hanging="360"/>
      </w:pPr>
      <w:rPr>
        <w:rFonts w:ascii="Courier New" w:hAnsi="Courier New" w:hint="default"/>
      </w:rPr>
    </w:lvl>
    <w:lvl w:ilvl="5" w:tplc="76D43DDC" w:tentative="1">
      <w:start w:val="1"/>
      <w:numFmt w:val="bullet"/>
      <w:lvlText w:val=""/>
      <w:lvlJc w:val="left"/>
      <w:pPr>
        <w:ind w:left="4320" w:hanging="360"/>
      </w:pPr>
      <w:rPr>
        <w:rFonts w:ascii="Wingdings" w:hAnsi="Wingdings" w:hint="default"/>
      </w:rPr>
    </w:lvl>
    <w:lvl w:ilvl="6" w:tplc="B4B626D8" w:tentative="1">
      <w:start w:val="1"/>
      <w:numFmt w:val="bullet"/>
      <w:lvlText w:val=""/>
      <w:lvlJc w:val="left"/>
      <w:pPr>
        <w:ind w:left="5040" w:hanging="360"/>
      </w:pPr>
      <w:rPr>
        <w:rFonts w:ascii="Symbol" w:hAnsi="Symbol" w:hint="default"/>
      </w:rPr>
    </w:lvl>
    <w:lvl w:ilvl="7" w:tplc="B9E2BE44" w:tentative="1">
      <w:start w:val="1"/>
      <w:numFmt w:val="bullet"/>
      <w:lvlText w:val="o"/>
      <w:lvlJc w:val="left"/>
      <w:pPr>
        <w:ind w:left="5760" w:hanging="360"/>
      </w:pPr>
      <w:rPr>
        <w:rFonts w:ascii="Courier New" w:hAnsi="Courier New" w:hint="default"/>
      </w:rPr>
    </w:lvl>
    <w:lvl w:ilvl="8" w:tplc="CD224E3E" w:tentative="1">
      <w:start w:val="1"/>
      <w:numFmt w:val="bullet"/>
      <w:lvlText w:val=""/>
      <w:lvlJc w:val="left"/>
      <w:pPr>
        <w:ind w:left="6480" w:hanging="360"/>
      </w:pPr>
      <w:rPr>
        <w:rFonts w:ascii="Wingdings" w:hAnsi="Wingdings" w:hint="default"/>
      </w:rPr>
    </w:lvl>
  </w:abstractNum>
  <w:abstractNum w:abstractNumId="32" w15:restartNumberingAfterBreak="0">
    <w:nsid w:val="59C93D14"/>
    <w:multiLevelType w:val="hybridMultilevel"/>
    <w:tmpl w:val="4A20F9FA"/>
    <w:lvl w:ilvl="0" w:tplc="6778C0EA">
      <w:start w:val="1"/>
      <w:numFmt w:val="decimal"/>
      <w:pStyle w:val="Paragraph"/>
      <w:lvlText w:val="%1."/>
      <w:lvlJc w:val="left"/>
      <w:pPr>
        <w:ind w:left="851" w:hanging="851"/>
      </w:pPr>
      <w:rPr>
        <w:rFonts w:hint="default"/>
      </w:rPr>
    </w:lvl>
    <w:lvl w:ilvl="1" w:tplc="567AF50A" w:tentative="1">
      <w:start w:val="1"/>
      <w:numFmt w:val="lowerLetter"/>
      <w:lvlText w:val="%2."/>
      <w:lvlJc w:val="left"/>
      <w:pPr>
        <w:ind w:left="1440" w:hanging="360"/>
      </w:pPr>
    </w:lvl>
    <w:lvl w:ilvl="2" w:tplc="395CEEEC" w:tentative="1">
      <w:start w:val="1"/>
      <w:numFmt w:val="lowerRoman"/>
      <w:lvlText w:val="%3."/>
      <w:lvlJc w:val="right"/>
      <w:pPr>
        <w:ind w:left="2160" w:hanging="180"/>
      </w:pPr>
    </w:lvl>
    <w:lvl w:ilvl="3" w:tplc="62A6EDC4" w:tentative="1">
      <w:start w:val="1"/>
      <w:numFmt w:val="decimal"/>
      <w:lvlText w:val="%4."/>
      <w:lvlJc w:val="left"/>
      <w:pPr>
        <w:ind w:left="2880" w:hanging="360"/>
      </w:pPr>
    </w:lvl>
    <w:lvl w:ilvl="4" w:tplc="340AF0F8" w:tentative="1">
      <w:start w:val="1"/>
      <w:numFmt w:val="lowerLetter"/>
      <w:lvlText w:val="%5."/>
      <w:lvlJc w:val="left"/>
      <w:pPr>
        <w:ind w:left="3600" w:hanging="360"/>
      </w:pPr>
    </w:lvl>
    <w:lvl w:ilvl="5" w:tplc="EB58195C" w:tentative="1">
      <w:start w:val="1"/>
      <w:numFmt w:val="lowerRoman"/>
      <w:lvlText w:val="%6."/>
      <w:lvlJc w:val="right"/>
      <w:pPr>
        <w:ind w:left="4320" w:hanging="180"/>
      </w:pPr>
    </w:lvl>
    <w:lvl w:ilvl="6" w:tplc="2068BEE8" w:tentative="1">
      <w:start w:val="1"/>
      <w:numFmt w:val="decimal"/>
      <w:lvlText w:val="%7."/>
      <w:lvlJc w:val="left"/>
      <w:pPr>
        <w:ind w:left="5040" w:hanging="360"/>
      </w:pPr>
    </w:lvl>
    <w:lvl w:ilvl="7" w:tplc="73F01996" w:tentative="1">
      <w:start w:val="1"/>
      <w:numFmt w:val="lowerLetter"/>
      <w:lvlText w:val="%8."/>
      <w:lvlJc w:val="left"/>
      <w:pPr>
        <w:ind w:left="5760" w:hanging="360"/>
      </w:pPr>
    </w:lvl>
    <w:lvl w:ilvl="8" w:tplc="DEAE640E" w:tentative="1">
      <w:start w:val="1"/>
      <w:numFmt w:val="lowerRoman"/>
      <w:lvlText w:val="%9."/>
      <w:lvlJc w:val="right"/>
      <w:pPr>
        <w:ind w:left="6480" w:hanging="180"/>
      </w:pPr>
    </w:lvl>
  </w:abstractNum>
  <w:abstractNum w:abstractNumId="33" w15:restartNumberingAfterBreak="0">
    <w:nsid w:val="5A03F0EF"/>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69244E"/>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848F44"/>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E9AA3"/>
    <w:multiLevelType w:val="multilevel"/>
    <w:tmpl w:val="FFFFFFFF"/>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6F2189"/>
    <w:multiLevelType w:val="hybridMultilevel"/>
    <w:tmpl w:val="DD246504"/>
    <w:lvl w:ilvl="0" w:tplc="5D8EAD32">
      <w:start w:val="1"/>
      <w:numFmt w:val="bullet"/>
      <w:pStyle w:val="Bullets"/>
      <w:lvlText w:val=""/>
      <w:lvlJc w:val="left"/>
      <w:pPr>
        <w:ind w:left="1134" w:hanging="454"/>
      </w:pPr>
      <w:rPr>
        <w:rFonts w:ascii="Symbol" w:hAnsi="Symbol" w:hint="default"/>
      </w:rPr>
    </w:lvl>
    <w:lvl w:ilvl="1" w:tplc="E6F6FC68" w:tentative="1">
      <w:start w:val="1"/>
      <w:numFmt w:val="bullet"/>
      <w:lvlText w:val="o"/>
      <w:lvlJc w:val="left"/>
      <w:pPr>
        <w:ind w:left="1440" w:hanging="360"/>
      </w:pPr>
      <w:rPr>
        <w:rFonts w:ascii="Courier New" w:hAnsi="Courier New" w:hint="default"/>
      </w:rPr>
    </w:lvl>
    <w:lvl w:ilvl="2" w:tplc="EAC671D6" w:tentative="1">
      <w:start w:val="1"/>
      <w:numFmt w:val="bullet"/>
      <w:lvlText w:val=""/>
      <w:lvlJc w:val="left"/>
      <w:pPr>
        <w:ind w:left="2160" w:hanging="360"/>
      </w:pPr>
      <w:rPr>
        <w:rFonts w:ascii="Wingdings" w:hAnsi="Wingdings" w:hint="default"/>
      </w:rPr>
    </w:lvl>
    <w:lvl w:ilvl="3" w:tplc="B5702B20" w:tentative="1">
      <w:start w:val="1"/>
      <w:numFmt w:val="bullet"/>
      <w:lvlText w:val=""/>
      <w:lvlJc w:val="left"/>
      <w:pPr>
        <w:ind w:left="2880" w:hanging="360"/>
      </w:pPr>
      <w:rPr>
        <w:rFonts w:ascii="Symbol" w:hAnsi="Symbol" w:hint="default"/>
      </w:rPr>
    </w:lvl>
    <w:lvl w:ilvl="4" w:tplc="ECD65664" w:tentative="1">
      <w:start w:val="1"/>
      <w:numFmt w:val="bullet"/>
      <w:lvlText w:val="o"/>
      <w:lvlJc w:val="left"/>
      <w:pPr>
        <w:ind w:left="3600" w:hanging="360"/>
      </w:pPr>
      <w:rPr>
        <w:rFonts w:ascii="Courier New" w:hAnsi="Courier New" w:hint="default"/>
      </w:rPr>
    </w:lvl>
    <w:lvl w:ilvl="5" w:tplc="B25C2732" w:tentative="1">
      <w:start w:val="1"/>
      <w:numFmt w:val="bullet"/>
      <w:lvlText w:val=""/>
      <w:lvlJc w:val="left"/>
      <w:pPr>
        <w:ind w:left="4320" w:hanging="360"/>
      </w:pPr>
      <w:rPr>
        <w:rFonts w:ascii="Wingdings" w:hAnsi="Wingdings" w:hint="default"/>
      </w:rPr>
    </w:lvl>
    <w:lvl w:ilvl="6" w:tplc="0E2AB012" w:tentative="1">
      <w:start w:val="1"/>
      <w:numFmt w:val="bullet"/>
      <w:lvlText w:val=""/>
      <w:lvlJc w:val="left"/>
      <w:pPr>
        <w:ind w:left="5040" w:hanging="360"/>
      </w:pPr>
      <w:rPr>
        <w:rFonts w:ascii="Symbol" w:hAnsi="Symbol" w:hint="default"/>
      </w:rPr>
    </w:lvl>
    <w:lvl w:ilvl="7" w:tplc="3166A5C0" w:tentative="1">
      <w:start w:val="1"/>
      <w:numFmt w:val="bullet"/>
      <w:lvlText w:val="o"/>
      <w:lvlJc w:val="left"/>
      <w:pPr>
        <w:ind w:left="5760" w:hanging="360"/>
      </w:pPr>
      <w:rPr>
        <w:rFonts w:ascii="Courier New" w:hAnsi="Courier New" w:hint="default"/>
      </w:rPr>
    </w:lvl>
    <w:lvl w:ilvl="8" w:tplc="64E05AA8" w:tentative="1">
      <w:start w:val="1"/>
      <w:numFmt w:val="bullet"/>
      <w:lvlText w:val=""/>
      <w:lvlJc w:val="left"/>
      <w:pPr>
        <w:ind w:left="6480" w:hanging="360"/>
      </w:pPr>
      <w:rPr>
        <w:rFonts w:ascii="Wingdings" w:hAnsi="Wingdings" w:hint="default"/>
      </w:rPr>
    </w:lvl>
  </w:abstractNum>
  <w:abstractNum w:abstractNumId="38" w15:restartNumberingAfterBreak="0">
    <w:nsid w:val="6D192EBD"/>
    <w:multiLevelType w:val="multilevel"/>
    <w:tmpl w:val="904E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CB0C3B"/>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B3F07"/>
    <w:multiLevelType w:val="hybridMultilevel"/>
    <w:tmpl w:val="BFDE5240"/>
    <w:lvl w:ilvl="0" w:tplc="45927BC0">
      <w:start w:val="1"/>
      <w:numFmt w:val="decimal"/>
      <w:lvlText w:val="%1."/>
      <w:lvlJc w:val="left"/>
      <w:pPr>
        <w:ind w:left="720" w:hanging="360"/>
      </w:pPr>
      <w:rPr>
        <w:rFonts w:hint="default"/>
      </w:rPr>
    </w:lvl>
    <w:lvl w:ilvl="1" w:tplc="D0AC1588" w:tentative="1">
      <w:start w:val="1"/>
      <w:numFmt w:val="lowerLetter"/>
      <w:lvlText w:val="%2."/>
      <w:lvlJc w:val="left"/>
      <w:pPr>
        <w:ind w:left="1440" w:hanging="360"/>
      </w:pPr>
    </w:lvl>
    <w:lvl w:ilvl="2" w:tplc="7130AD60" w:tentative="1">
      <w:start w:val="1"/>
      <w:numFmt w:val="lowerRoman"/>
      <w:lvlText w:val="%3."/>
      <w:lvlJc w:val="right"/>
      <w:pPr>
        <w:ind w:left="2160" w:hanging="180"/>
      </w:pPr>
    </w:lvl>
    <w:lvl w:ilvl="3" w:tplc="AA9C99D2" w:tentative="1">
      <w:start w:val="1"/>
      <w:numFmt w:val="decimal"/>
      <w:lvlText w:val="%4."/>
      <w:lvlJc w:val="left"/>
      <w:pPr>
        <w:ind w:left="2880" w:hanging="360"/>
      </w:pPr>
    </w:lvl>
    <w:lvl w:ilvl="4" w:tplc="75FCB152" w:tentative="1">
      <w:start w:val="1"/>
      <w:numFmt w:val="lowerLetter"/>
      <w:lvlText w:val="%5."/>
      <w:lvlJc w:val="left"/>
      <w:pPr>
        <w:ind w:left="3600" w:hanging="360"/>
      </w:pPr>
    </w:lvl>
    <w:lvl w:ilvl="5" w:tplc="0D20D004" w:tentative="1">
      <w:start w:val="1"/>
      <w:numFmt w:val="lowerRoman"/>
      <w:lvlText w:val="%6."/>
      <w:lvlJc w:val="right"/>
      <w:pPr>
        <w:ind w:left="4320" w:hanging="180"/>
      </w:pPr>
    </w:lvl>
    <w:lvl w:ilvl="6" w:tplc="E5D4A928" w:tentative="1">
      <w:start w:val="1"/>
      <w:numFmt w:val="decimal"/>
      <w:lvlText w:val="%7."/>
      <w:lvlJc w:val="left"/>
      <w:pPr>
        <w:ind w:left="5040" w:hanging="360"/>
      </w:pPr>
    </w:lvl>
    <w:lvl w:ilvl="7" w:tplc="15CC8726" w:tentative="1">
      <w:start w:val="1"/>
      <w:numFmt w:val="lowerLetter"/>
      <w:lvlText w:val="%8."/>
      <w:lvlJc w:val="left"/>
      <w:pPr>
        <w:ind w:left="5760" w:hanging="360"/>
      </w:pPr>
    </w:lvl>
    <w:lvl w:ilvl="8" w:tplc="2848D6BC" w:tentative="1">
      <w:start w:val="1"/>
      <w:numFmt w:val="lowerRoman"/>
      <w:lvlText w:val="%9."/>
      <w:lvlJc w:val="right"/>
      <w:pPr>
        <w:ind w:left="6480" w:hanging="180"/>
      </w:pPr>
    </w:lvl>
  </w:abstractNum>
  <w:abstractNum w:abstractNumId="41" w15:restartNumberingAfterBreak="0">
    <w:nsid w:val="74498D01"/>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39515"/>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6874EF"/>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ED7238"/>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78CF60"/>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2149026">
    <w:abstractNumId w:val="38"/>
  </w:num>
  <w:num w:numId="2" w16cid:durableId="201017864">
    <w:abstractNumId w:val="32"/>
  </w:num>
  <w:num w:numId="3" w16cid:durableId="1662124601">
    <w:abstractNumId w:val="37"/>
  </w:num>
  <w:num w:numId="4" w16cid:durableId="114758961">
    <w:abstractNumId w:val="13"/>
  </w:num>
  <w:num w:numId="5" w16cid:durableId="706762390">
    <w:abstractNumId w:val="2"/>
  </w:num>
  <w:num w:numId="6" w16cid:durableId="364062225">
    <w:abstractNumId w:val="14"/>
  </w:num>
  <w:num w:numId="7" w16cid:durableId="762409243">
    <w:abstractNumId w:val="12"/>
  </w:num>
  <w:num w:numId="8" w16cid:durableId="593318704">
    <w:abstractNumId w:val="21"/>
  </w:num>
  <w:num w:numId="9" w16cid:durableId="164977901">
    <w:abstractNumId w:val="11"/>
  </w:num>
  <w:num w:numId="10" w16cid:durableId="625505134">
    <w:abstractNumId w:val="31"/>
  </w:num>
  <w:num w:numId="11" w16cid:durableId="1633249751">
    <w:abstractNumId w:val="6"/>
  </w:num>
  <w:num w:numId="12" w16cid:durableId="1921213016">
    <w:abstractNumId w:val="5"/>
  </w:num>
  <w:num w:numId="13" w16cid:durableId="2060006663">
    <w:abstractNumId w:val="24"/>
  </w:num>
  <w:num w:numId="14" w16cid:durableId="1412971138">
    <w:abstractNumId w:val="8"/>
  </w:num>
  <w:num w:numId="15" w16cid:durableId="502012986">
    <w:abstractNumId w:val="9"/>
  </w:num>
  <w:num w:numId="16" w16cid:durableId="657419380">
    <w:abstractNumId w:val="40"/>
  </w:num>
  <w:num w:numId="17" w16cid:durableId="1227449675">
    <w:abstractNumId w:val="17"/>
  </w:num>
  <w:num w:numId="18" w16cid:durableId="1826310516">
    <w:abstractNumId w:val="35"/>
  </w:num>
  <w:num w:numId="19" w16cid:durableId="590505575">
    <w:abstractNumId w:val="22"/>
  </w:num>
  <w:num w:numId="20" w16cid:durableId="941957309">
    <w:abstractNumId w:val="36"/>
  </w:num>
  <w:num w:numId="21" w16cid:durableId="235864160">
    <w:abstractNumId w:val="26"/>
  </w:num>
  <w:num w:numId="22" w16cid:durableId="460923715">
    <w:abstractNumId w:val="1"/>
  </w:num>
  <w:num w:numId="23" w16cid:durableId="1971206628">
    <w:abstractNumId w:val="23"/>
  </w:num>
  <w:num w:numId="24" w16cid:durableId="787547709">
    <w:abstractNumId w:val="10"/>
  </w:num>
  <w:num w:numId="25" w16cid:durableId="1204362706">
    <w:abstractNumId w:val="15"/>
  </w:num>
  <w:num w:numId="26" w16cid:durableId="1814591303">
    <w:abstractNumId w:val="39"/>
  </w:num>
  <w:num w:numId="27" w16cid:durableId="184443682">
    <w:abstractNumId w:val="43"/>
  </w:num>
  <w:num w:numId="28" w16cid:durableId="1073158220">
    <w:abstractNumId w:val="45"/>
  </w:num>
  <w:num w:numId="29" w16cid:durableId="645547220">
    <w:abstractNumId w:val="29"/>
  </w:num>
  <w:num w:numId="30" w16cid:durableId="1295673137">
    <w:abstractNumId w:val="41"/>
  </w:num>
  <w:num w:numId="31" w16cid:durableId="245385453">
    <w:abstractNumId w:val="16"/>
  </w:num>
  <w:num w:numId="32" w16cid:durableId="237903885">
    <w:abstractNumId w:val="34"/>
  </w:num>
  <w:num w:numId="33" w16cid:durableId="43871642">
    <w:abstractNumId w:val="20"/>
  </w:num>
  <w:num w:numId="34" w16cid:durableId="449588930">
    <w:abstractNumId w:val="44"/>
  </w:num>
  <w:num w:numId="35" w16cid:durableId="302543552">
    <w:abstractNumId w:val="19"/>
  </w:num>
  <w:num w:numId="36" w16cid:durableId="369888290">
    <w:abstractNumId w:val="7"/>
  </w:num>
  <w:num w:numId="37" w16cid:durableId="1276904685">
    <w:abstractNumId w:val="0"/>
  </w:num>
  <w:num w:numId="38" w16cid:durableId="1377389130">
    <w:abstractNumId w:val="42"/>
  </w:num>
  <w:num w:numId="39" w16cid:durableId="192499977">
    <w:abstractNumId w:val="25"/>
  </w:num>
  <w:num w:numId="40" w16cid:durableId="738748671">
    <w:abstractNumId w:val="3"/>
  </w:num>
  <w:num w:numId="41" w16cid:durableId="346836359">
    <w:abstractNumId w:val="30"/>
  </w:num>
  <w:num w:numId="42" w16cid:durableId="840661866">
    <w:abstractNumId w:val="27"/>
  </w:num>
  <w:num w:numId="43" w16cid:durableId="1740982518">
    <w:abstractNumId w:val="18"/>
  </w:num>
  <w:num w:numId="44" w16cid:durableId="252321570">
    <w:abstractNumId w:val="28"/>
  </w:num>
  <w:num w:numId="45" w16cid:durableId="1622102609">
    <w:abstractNumId w:val="33"/>
  </w:num>
  <w:num w:numId="46" w16cid:durableId="146538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02"/>
    <w:rsid w:val="00001C79"/>
    <w:rsid w:val="000140D9"/>
    <w:rsid w:val="000336FE"/>
    <w:rsid w:val="00051763"/>
    <w:rsid w:val="000D60DE"/>
    <w:rsid w:val="001745BD"/>
    <w:rsid w:val="00180C6D"/>
    <w:rsid w:val="00194D72"/>
    <w:rsid w:val="001C3FBE"/>
    <w:rsid w:val="00220569"/>
    <w:rsid w:val="002563B6"/>
    <w:rsid w:val="002615C7"/>
    <w:rsid w:val="0029599D"/>
    <w:rsid w:val="002B5722"/>
    <w:rsid w:val="002C46E9"/>
    <w:rsid w:val="00310228"/>
    <w:rsid w:val="00313DFF"/>
    <w:rsid w:val="0031656B"/>
    <w:rsid w:val="003B7329"/>
    <w:rsid w:val="003D3F0E"/>
    <w:rsid w:val="003F65F3"/>
    <w:rsid w:val="00497F35"/>
    <w:rsid w:val="004E164B"/>
    <w:rsid w:val="00507814"/>
    <w:rsid w:val="00510C14"/>
    <w:rsid w:val="00521B6D"/>
    <w:rsid w:val="00527A25"/>
    <w:rsid w:val="0055778B"/>
    <w:rsid w:val="00592171"/>
    <w:rsid w:val="005934CF"/>
    <w:rsid w:val="005B4C85"/>
    <w:rsid w:val="005B72D8"/>
    <w:rsid w:val="005C3515"/>
    <w:rsid w:val="005C4613"/>
    <w:rsid w:val="00626EAC"/>
    <w:rsid w:val="0065147D"/>
    <w:rsid w:val="00653BC9"/>
    <w:rsid w:val="0066252F"/>
    <w:rsid w:val="00666158"/>
    <w:rsid w:val="006E324B"/>
    <w:rsid w:val="00711064"/>
    <w:rsid w:val="007419B5"/>
    <w:rsid w:val="00751E00"/>
    <w:rsid w:val="00766626"/>
    <w:rsid w:val="007A770A"/>
    <w:rsid w:val="007B5E90"/>
    <w:rsid w:val="007E5477"/>
    <w:rsid w:val="007E7FDF"/>
    <w:rsid w:val="00813085"/>
    <w:rsid w:val="00816235"/>
    <w:rsid w:val="0081623C"/>
    <w:rsid w:val="00880C52"/>
    <w:rsid w:val="008B1294"/>
    <w:rsid w:val="008D028D"/>
    <w:rsid w:val="008D39B0"/>
    <w:rsid w:val="008E2059"/>
    <w:rsid w:val="009054DA"/>
    <w:rsid w:val="00944148"/>
    <w:rsid w:val="009F6C69"/>
    <w:rsid w:val="00A81097"/>
    <w:rsid w:val="00A95768"/>
    <w:rsid w:val="00AE2038"/>
    <w:rsid w:val="00AF5262"/>
    <w:rsid w:val="00B016A4"/>
    <w:rsid w:val="00B036C5"/>
    <w:rsid w:val="00B15EC3"/>
    <w:rsid w:val="00B228CA"/>
    <w:rsid w:val="00B764C8"/>
    <w:rsid w:val="00B92B42"/>
    <w:rsid w:val="00BA7966"/>
    <w:rsid w:val="00BC0D2A"/>
    <w:rsid w:val="00BE489F"/>
    <w:rsid w:val="00C03D67"/>
    <w:rsid w:val="00C05FE9"/>
    <w:rsid w:val="00C20D2B"/>
    <w:rsid w:val="00C227D7"/>
    <w:rsid w:val="00C32AD1"/>
    <w:rsid w:val="00C42287"/>
    <w:rsid w:val="00CA67D3"/>
    <w:rsid w:val="00D20D02"/>
    <w:rsid w:val="00D53058"/>
    <w:rsid w:val="00D925C5"/>
    <w:rsid w:val="00DC6A89"/>
    <w:rsid w:val="00DF2204"/>
    <w:rsid w:val="00E11AF3"/>
    <w:rsid w:val="00E477BB"/>
    <w:rsid w:val="00EA239D"/>
    <w:rsid w:val="00EE58CC"/>
    <w:rsid w:val="00F13723"/>
    <w:rsid w:val="00F477B9"/>
    <w:rsid w:val="00F57F08"/>
    <w:rsid w:val="00F9448B"/>
    <w:rsid w:val="00FE2DB6"/>
    <w:rsid w:val="00FE5F73"/>
    <w:rsid w:val="0741240A"/>
    <w:rsid w:val="1EBCFC12"/>
    <w:rsid w:val="25BC7D01"/>
    <w:rsid w:val="4651E969"/>
    <w:rsid w:val="5BE19EC7"/>
    <w:rsid w:val="5F58DC32"/>
    <w:rsid w:val="7678A61A"/>
  </w:rsids>
  <m:mathPr>
    <m:mathFont m:val="Cambria Math"/>
    <m:brkBin m:val="before"/>
    <m:brkBinSub m:val="--"/>
    <m:smallFrac m:val="0"/>
    <m:dispDef/>
    <m:lMargin m:val="0"/>
    <m:rMargin m:val="0"/>
    <m:defJc m:val="centerGroup"/>
    <m:wrapIndent m:val="1440"/>
    <m:intLim m:val="subSup"/>
    <m:naryLim m:val="undOvr"/>
  </m:mathPr>
  <w:themeFontLang w:val="nl-B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1B336"/>
  <w14:defaultImageDpi w14:val="330"/>
  <w15:chartTrackingRefBased/>
  <w15:docId w15:val="{AE468A95-E536-4775-A8E7-5F9F440F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edentials2"/>
    <w:qFormat/>
    <w:rsid w:val="00527A25"/>
    <w:pPr>
      <w:spacing w:line="276" w:lineRule="auto"/>
      <w:jc w:val="right"/>
    </w:pPr>
    <w:rPr>
      <w:rFonts w:ascii="Avenir Book" w:eastAsia="Cambria" w:hAnsi="Avenir Book"/>
      <w:szCs w:val="22"/>
      <w:lang w:eastAsia="en-US"/>
    </w:rPr>
  </w:style>
  <w:style w:type="paragraph" w:styleId="Heading1">
    <w:name w:val="heading 1"/>
    <w:basedOn w:val="Normal"/>
    <w:next w:val="Paragraph"/>
    <w:link w:val="Heading1Char"/>
    <w:uiPriority w:val="1"/>
    <w:qFormat/>
    <w:rsid w:val="00510C14"/>
    <w:pPr>
      <w:keepNext/>
      <w:spacing w:before="240" w:after="120" w:line="240" w:lineRule="auto"/>
      <w:jc w:val="left"/>
      <w:outlineLvl w:val="0"/>
    </w:pPr>
    <w:rPr>
      <w:rFonts w:ascii="Arial" w:eastAsia="Times New Roman" w:hAnsi="Arial"/>
      <w:b/>
      <w:bCs/>
      <w:kern w:val="32"/>
      <w:sz w:val="28"/>
      <w:szCs w:val="32"/>
      <w:lang w:val="x-none" w:eastAsia="x-none"/>
    </w:rPr>
  </w:style>
  <w:style w:type="paragraph" w:styleId="Heading2">
    <w:name w:val="heading 2"/>
    <w:basedOn w:val="Normal"/>
    <w:next w:val="Paragraph"/>
    <w:link w:val="Heading2Char"/>
    <w:uiPriority w:val="2"/>
    <w:qFormat/>
    <w:rsid w:val="00510C14"/>
    <w:pPr>
      <w:keepNext/>
      <w:spacing w:before="240" w:after="60" w:line="240" w:lineRule="auto"/>
      <w:jc w:val="left"/>
      <w:outlineLvl w:val="1"/>
    </w:pPr>
    <w:rPr>
      <w:rFonts w:ascii="Arial" w:eastAsia="Times New Roman" w:hAnsi="Arial"/>
      <w:b/>
      <w:bCs/>
      <w:i/>
      <w:iCs/>
      <w:sz w:val="28"/>
      <w:szCs w:val="28"/>
      <w:lang w:val="x-none" w:eastAsia="x-none"/>
    </w:rPr>
  </w:style>
  <w:style w:type="paragraph" w:styleId="Heading3">
    <w:name w:val="heading 3"/>
    <w:basedOn w:val="Normal"/>
    <w:next w:val="Paragraph"/>
    <w:link w:val="Heading3Char"/>
    <w:uiPriority w:val="3"/>
    <w:qFormat/>
    <w:rsid w:val="00510C14"/>
    <w:pPr>
      <w:keepNext/>
      <w:spacing w:before="240" w:after="60" w:line="240" w:lineRule="auto"/>
      <w:jc w:val="left"/>
      <w:outlineLvl w:val="2"/>
    </w:pPr>
    <w:rPr>
      <w:rFonts w:ascii="Arial" w:eastAsia="Times New Roman" w:hAnsi="Arial"/>
      <w:b/>
      <w:bCs/>
      <w:sz w:val="24"/>
      <w:szCs w:val="26"/>
      <w:lang w:val="x-none" w:eastAsia="x-none"/>
    </w:rPr>
  </w:style>
  <w:style w:type="paragraph" w:styleId="Heading4">
    <w:name w:val="heading 4"/>
    <w:basedOn w:val="Normal"/>
    <w:next w:val="Normal"/>
    <w:link w:val="Heading4Char"/>
    <w:qFormat/>
    <w:rsid w:val="00510C14"/>
    <w:pPr>
      <w:keepNext/>
      <w:spacing w:before="240" w:after="60" w:line="240" w:lineRule="auto"/>
      <w:jc w:val="left"/>
      <w:outlineLvl w:val="3"/>
    </w:pPr>
    <w:rPr>
      <w:rFonts w:ascii="Arial" w:eastAsia="Times New Roman" w:hAnsi="Arial"/>
      <w:b/>
      <w:bCs/>
      <w:i/>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527A25"/>
    <w:pPr>
      <w:spacing w:before="240" w:after="240"/>
      <w:ind w:right="2835"/>
    </w:pPr>
    <w:rPr>
      <w:rFonts w:ascii="Avenir Book" w:eastAsia="Cambria" w:hAnsi="Avenir Book"/>
      <w:szCs w:val="22"/>
      <w:lang w:eastAsia="en-US"/>
    </w:rPr>
  </w:style>
  <w:style w:type="paragraph" w:styleId="BalloonText">
    <w:name w:val="Balloon Text"/>
    <w:basedOn w:val="Normal"/>
    <w:link w:val="BalloonTextChar"/>
    <w:semiHidden/>
    <w:unhideWhenUsed/>
    <w:rsid w:val="00DC6A89"/>
    <w:pPr>
      <w:spacing w:line="240" w:lineRule="auto"/>
    </w:pPr>
    <w:rPr>
      <w:rFonts w:ascii="Lucida Grande" w:hAnsi="Lucida Grande" w:cs="Lucida Grande"/>
      <w:sz w:val="18"/>
      <w:szCs w:val="18"/>
    </w:rPr>
  </w:style>
  <w:style w:type="character" w:customStyle="1" w:styleId="BalloonTextChar">
    <w:name w:val="Balloon Text Char"/>
    <w:link w:val="BalloonText"/>
    <w:semiHidden/>
    <w:rsid w:val="00DC6A89"/>
    <w:rPr>
      <w:rFonts w:ascii="Lucida Grande" w:eastAsia="Cambria" w:hAnsi="Lucida Grande" w:cs="Lucida Grande"/>
      <w:sz w:val="18"/>
      <w:szCs w:val="18"/>
      <w:lang w:val="nl-BE" w:eastAsia="en-US"/>
    </w:rPr>
  </w:style>
  <w:style w:type="paragraph" w:styleId="Header">
    <w:name w:val="header"/>
    <w:basedOn w:val="Normal"/>
    <w:link w:val="HeaderChar"/>
    <w:uiPriority w:val="99"/>
    <w:unhideWhenUsed/>
    <w:rsid w:val="005B72D8"/>
    <w:pPr>
      <w:tabs>
        <w:tab w:val="center" w:pos="4703"/>
        <w:tab w:val="right" w:pos="9406"/>
      </w:tabs>
      <w:spacing w:line="240" w:lineRule="auto"/>
    </w:pPr>
  </w:style>
  <w:style w:type="character" w:customStyle="1" w:styleId="HeaderChar">
    <w:name w:val="Header Char"/>
    <w:link w:val="Header"/>
    <w:uiPriority w:val="99"/>
    <w:rsid w:val="005B72D8"/>
    <w:rPr>
      <w:rFonts w:ascii="Avenir Book" w:eastAsia="Cambria" w:hAnsi="Avenir Book"/>
      <w:sz w:val="20"/>
      <w:szCs w:val="22"/>
      <w:lang w:val="nl-BE" w:eastAsia="en-US"/>
    </w:rPr>
  </w:style>
  <w:style w:type="paragraph" w:styleId="Footer">
    <w:name w:val="footer"/>
    <w:basedOn w:val="Normal"/>
    <w:link w:val="FooterChar"/>
    <w:uiPriority w:val="99"/>
    <w:unhideWhenUsed/>
    <w:rsid w:val="005B72D8"/>
    <w:pPr>
      <w:tabs>
        <w:tab w:val="center" w:pos="4703"/>
        <w:tab w:val="right" w:pos="9406"/>
      </w:tabs>
      <w:spacing w:line="240" w:lineRule="auto"/>
    </w:pPr>
  </w:style>
  <w:style w:type="character" w:customStyle="1" w:styleId="FooterChar">
    <w:name w:val="Footer Char"/>
    <w:link w:val="Footer"/>
    <w:uiPriority w:val="99"/>
    <w:rsid w:val="005B72D8"/>
    <w:rPr>
      <w:rFonts w:ascii="Avenir Book" w:eastAsia="Cambria" w:hAnsi="Avenir Book"/>
      <w:sz w:val="20"/>
      <w:szCs w:val="22"/>
      <w:lang w:val="nl-BE" w:eastAsia="en-US"/>
    </w:rPr>
  </w:style>
  <w:style w:type="paragraph" w:customStyle="1" w:styleId="BasicParagraph">
    <w:name w:val="[Basic Paragraph]"/>
    <w:basedOn w:val="Normal"/>
    <w:uiPriority w:val="99"/>
    <w:rsid w:val="00B92B42"/>
    <w:pPr>
      <w:autoSpaceDE w:val="0"/>
      <w:autoSpaceDN w:val="0"/>
      <w:adjustRightInd w:val="0"/>
      <w:spacing w:line="288" w:lineRule="auto"/>
      <w:jc w:val="left"/>
      <w:textAlignment w:val="center"/>
    </w:pPr>
    <w:rPr>
      <w:rFonts w:ascii="Minion Pro" w:eastAsia="MS Mincho" w:hAnsi="Minion Pro" w:cs="Minion Pro"/>
      <w:color w:val="000000"/>
      <w:sz w:val="24"/>
      <w:szCs w:val="24"/>
      <w:lang w:val="en-US" w:eastAsia="nl-BE" w:bidi="he-IL"/>
    </w:rPr>
  </w:style>
  <w:style w:type="table" w:styleId="TableGrid">
    <w:name w:val="Table Grid"/>
    <w:basedOn w:val="TableNormal"/>
    <w:rsid w:val="00B92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B92B42"/>
    <w:pPr>
      <w:autoSpaceDE w:val="0"/>
      <w:autoSpaceDN w:val="0"/>
      <w:adjustRightInd w:val="0"/>
      <w:spacing w:line="241" w:lineRule="atLeast"/>
      <w:jc w:val="left"/>
    </w:pPr>
    <w:rPr>
      <w:rFonts w:ascii="Calibri" w:eastAsia="MS Mincho" w:hAnsi="Calibri" w:cs="Calibri"/>
      <w:sz w:val="24"/>
      <w:szCs w:val="24"/>
      <w:lang w:val="en-GB" w:eastAsia="nl-BE" w:bidi="he-IL"/>
    </w:rPr>
  </w:style>
  <w:style w:type="character" w:customStyle="1" w:styleId="A0">
    <w:name w:val="A0"/>
    <w:uiPriority w:val="99"/>
    <w:rsid w:val="00B92B42"/>
    <w:rPr>
      <w:color w:val="979494"/>
      <w:sz w:val="13"/>
      <w:szCs w:val="13"/>
    </w:rPr>
  </w:style>
  <w:style w:type="character" w:styleId="PlaceholderText">
    <w:name w:val="Placeholder Text"/>
    <w:basedOn w:val="DefaultParagraphFont"/>
    <w:uiPriority w:val="99"/>
    <w:semiHidden/>
    <w:rsid w:val="0081623C"/>
    <w:rPr>
      <w:color w:val="808080"/>
    </w:rPr>
  </w:style>
  <w:style w:type="character" w:customStyle="1" w:styleId="w8qarf">
    <w:name w:val="w8qarf"/>
    <w:basedOn w:val="DefaultParagraphFont"/>
    <w:rsid w:val="00FE5F73"/>
  </w:style>
  <w:style w:type="character" w:customStyle="1" w:styleId="lrzxr">
    <w:name w:val="lrzxr"/>
    <w:basedOn w:val="DefaultParagraphFont"/>
    <w:rsid w:val="00FE5F73"/>
  </w:style>
  <w:style w:type="character" w:customStyle="1" w:styleId="Heading1Char">
    <w:name w:val="Heading 1 Char"/>
    <w:basedOn w:val="DefaultParagraphFont"/>
    <w:link w:val="Heading1"/>
    <w:uiPriority w:val="1"/>
    <w:rsid w:val="00510C14"/>
    <w:rPr>
      <w:rFonts w:ascii="Arial" w:eastAsia="Times New Roman" w:hAnsi="Arial"/>
      <w:b/>
      <w:bCs/>
      <w:kern w:val="32"/>
      <w:sz w:val="28"/>
      <w:szCs w:val="32"/>
      <w:lang w:val="x-none" w:eastAsia="x-none"/>
    </w:rPr>
  </w:style>
  <w:style w:type="character" w:customStyle="1" w:styleId="Heading2Char">
    <w:name w:val="Heading 2 Char"/>
    <w:basedOn w:val="DefaultParagraphFont"/>
    <w:link w:val="Heading2"/>
    <w:uiPriority w:val="2"/>
    <w:rsid w:val="00510C14"/>
    <w:rPr>
      <w:rFonts w:ascii="Arial" w:eastAsia="Times New Roman" w:hAnsi="Arial"/>
      <w:b/>
      <w:bCs/>
      <w:i/>
      <w:iCs/>
      <w:sz w:val="28"/>
      <w:szCs w:val="28"/>
      <w:lang w:val="x-none" w:eastAsia="x-none"/>
    </w:rPr>
  </w:style>
  <w:style w:type="character" w:customStyle="1" w:styleId="Heading3Char">
    <w:name w:val="Heading 3 Char"/>
    <w:basedOn w:val="DefaultParagraphFont"/>
    <w:link w:val="Heading3"/>
    <w:uiPriority w:val="3"/>
    <w:rsid w:val="00510C14"/>
    <w:rPr>
      <w:rFonts w:ascii="Arial" w:eastAsia="Times New Roman" w:hAnsi="Arial"/>
      <w:b/>
      <w:bCs/>
      <w:sz w:val="24"/>
      <w:szCs w:val="26"/>
      <w:lang w:val="x-none" w:eastAsia="x-none"/>
    </w:rPr>
  </w:style>
  <w:style w:type="character" w:customStyle="1" w:styleId="Heading4Char">
    <w:name w:val="Heading 4 Char"/>
    <w:basedOn w:val="DefaultParagraphFont"/>
    <w:link w:val="Heading4"/>
    <w:rsid w:val="00510C14"/>
    <w:rPr>
      <w:rFonts w:ascii="Arial" w:eastAsia="Times New Roman" w:hAnsi="Arial"/>
      <w:b/>
      <w:bCs/>
      <w:i/>
      <w:sz w:val="24"/>
      <w:szCs w:val="28"/>
      <w:lang w:val="x-none" w:eastAsia="x-none"/>
    </w:rPr>
  </w:style>
  <w:style w:type="paragraph" w:customStyle="1" w:styleId="Paragraph">
    <w:name w:val="Paragraph"/>
    <w:basedOn w:val="Normal"/>
    <w:uiPriority w:val="4"/>
    <w:qFormat/>
    <w:rsid w:val="00510C14"/>
    <w:pPr>
      <w:numPr>
        <w:numId w:val="2"/>
      </w:numPr>
      <w:spacing w:before="240" w:after="240"/>
      <w:jc w:val="left"/>
    </w:pPr>
    <w:rPr>
      <w:rFonts w:ascii="Arial" w:eastAsia="Times New Roman" w:hAnsi="Arial"/>
      <w:sz w:val="24"/>
      <w:szCs w:val="24"/>
      <w:lang w:val="en-GB" w:eastAsia="en-GB"/>
    </w:rPr>
  </w:style>
  <w:style w:type="paragraph" w:styleId="Title">
    <w:name w:val="Title"/>
    <w:basedOn w:val="Normal"/>
    <w:next w:val="Heading1"/>
    <w:link w:val="TitleChar"/>
    <w:qFormat/>
    <w:rsid w:val="00510C14"/>
    <w:pPr>
      <w:spacing w:before="240" w:after="24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rsid w:val="00510C14"/>
    <w:rPr>
      <w:rFonts w:ascii="Arial" w:eastAsia="Times New Roman" w:hAnsi="Arial"/>
      <w:b/>
      <w:bCs/>
      <w:kern w:val="28"/>
      <w:sz w:val="32"/>
      <w:szCs w:val="32"/>
      <w:lang w:val="x-none" w:eastAsia="x-none"/>
    </w:rPr>
  </w:style>
  <w:style w:type="paragraph" w:customStyle="1" w:styleId="Bullets">
    <w:name w:val="Bullets"/>
    <w:basedOn w:val="Normal"/>
    <w:uiPriority w:val="5"/>
    <w:qFormat/>
    <w:rsid w:val="00510C14"/>
    <w:pPr>
      <w:numPr>
        <w:numId w:val="3"/>
      </w:numPr>
      <w:jc w:val="left"/>
    </w:pPr>
    <w:rPr>
      <w:rFonts w:ascii="Arial" w:eastAsia="Times New Roman" w:hAnsi="Arial"/>
      <w:sz w:val="24"/>
      <w:szCs w:val="24"/>
      <w:lang w:val="en-GB" w:eastAsia="en-GB"/>
    </w:rPr>
  </w:style>
  <w:style w:type="paragraph" w:customStyle="1" w:styleId="Subbullets">
    <w:name w:val="Sub bullets"/>
    <w:basedOn w:val="Normal"/>
    <w:uiPriority w:val="6"/>
    <w:qFormat/>
    <w:rsid w:val="00510C14"/>
    <w:pPr>
      <w:numPr>
        <w:numId w:val="4"/>
      </w:numPr>
      <w:jc w:val="left"/>
    </w:pPr>
    <w:rPr>
      <w:rFonts w:ascii="Arial" w:eastAsia="Times New Roman" w:hAnsi="Arial"/>
      <w:sz w:val="24"/>
      <w:szCs w:val="24"/>
      <w:lang w:val="en-GB" w:eastAsia="en-GB"/>
    </w:rPr>
  </w:style>
  <w:style w:type="paragraph" w:customStyle="1" w:styleId="Paragraphnonumbers">
    <w:name w:val="Paragraph no numbers"/>
    <w:basedOn w:val="Normal"/>
    <w:uiPriority w:val="99"/>
    <w:qFormat/>
    <w:rsid w:val="00510C14"/>
    <w:pPr>
      <w:spacing w:before="240" w:after="240"/>
      <w:jc w:val="left"/>
    </w:pPr>
    <w:rPr>
      <w:rFonts w:ascii="Arial" w:eastAsia="Times New Roman" w:hAnsi="Arial"/>
      <w:sz w:val="24"/>
      <w:szCs w:val="24"/>
      <w:lang w:val="en-GB" w:eastAsia="en-GB"/>
    </w:rPr>
  </w:style>
  <w:style w:type="paragraph" w:styleId="TOAHeading">
    <w:name w:val="toa heading"/>
    <w:basedOn w:val="Normal"/>
    <w:next w:val="Normal"/>
    <w:semiHidden/>
    <w:rsid w:val="00510C14"/>
    <w:pPr>
      <w:spacing w:before="120" w:line="240" w:lineRule="auto"/>
      <w:jc w:val="left"/>
    </w:pPr>
    <w:rPr>
      <w:rFonts w:ascii="Arial" w:eastAsia="Times New Roman" w:hAnsi="Arial"/>
      <w:b/>
      <w:bCs/>
      <w:sz w:val="24"/>
      <w:szCs w:val="24"/>
      <w:lang w:val="en-GB" w:eastAsia="en-GB"/>
    </w:rPr>
  </w:style>
  <w:style w:type="paragraph" w:styleId="TOC1">
    <w:name w:val="toc 1"/>
    <w:basedOn w:val="Normal"/>
    <w:next w:val="Normal"/>
    <w:autoRedefine/>
    <w:semiHidden/>
    <w:rsid w:val="00510C14"/>
    <w:pPr>
      <w:spacing w:line="240" w:lineRule="auto"/>
      <w:jc w:val="left"/>
    </w:pPr>
    <w:rPr>
      <w:rFonts w:ascii="Arial" w:eastAsia="Times New Roman" w:hAnsi="Arial"/>
      <w:sz w:val="24"/>
      <w:szCs w:val="24"/>
      <w:lang w:val="en-GB" w:eastAsia="en-GB"/>
    </w:rPr>
  </w:style>
  <w:style w:type="paragraph" w:styleId="TOC2">
    <w:name w:val="toc 2"/>
    <w:basedOn w:val="Normal"/>
    <w:next w:val="Normal"/>
    <w:autoRedefine/>
    <w:semiHidden/>
    <w:rsid w:val="00510C14"/>
    <w:pPr>
      <w:spacing w:line="240" w:lineRule="auto"/>
      <w:ind w:left="240"/>
      <w:jc w:val="left"/>
    </w:pPr>
    <w:rPr>
      <w:rFonts w:ascii="Arial" w:eastAsia="Times New Roman" w:hAnsi="Arial"/>
      <w:sz w:val="24"/>
      <w:szCs w:val="24"/>
      <w:lang w:val="en-GB" w:eastAsia="en-GB"/>
    </w:rPr>
  </w:style>
  <w:style w:type="paragraph" w:styleId="TOC3">
    <w:name w:val="toc 3"/>
    <w:basedOn w:val="Normal"/>
    <w:next w:val="Normal"/>
    <w:autoRedefine/>
    <w:semiHidden/>
    <w:rsid w:val="00510C14"/>
    <w:pPr>
      <w:spacing w:line="240" w:lineRule="auto"/>
      <w:ind w:left="480"/>
      <w:jc w:val="left"/>
    </w:pPr>
    <w:rPr>
      <w:rFonts w:ascii="Arial" w:eastAsia="Times New Roman" w:hAnsi="Arial"/>
      <w:sz w:val="24"/>
      <w:szCs w:val="24"/>
      <w:lang w:val="en-GB" w:eastAsia="en-GB"/>
    </w:rPr>
  </w:style>
  <w:style w:type="paragraph" w:styleId="TOC4">
    <w:name w:val="toc 4"/>
    <w:basedOn w:val="Normal"/>
    <w:next w:val="Normal"/>
    <w:autoRedefine/>
    <w:semiHidden/>
    <w:rsid w:val="00510C14"/>
    <w:pPr>
      <w:spacing w:line="240" w:lineRule="auto"/>
      <w:ind w:left="720"/>
      <w:jc w:val="left"/>
    </w:pPr>
    <w:rPr>
      <w:rFonts w:ascii="Arial" w:eastAsia="Times New Roman" w:hAnsi="Arial"/>
      <w:sz w:val="24"/>
      <w:szCs w:val="24"/>
      <w:lang w:val="en-GB" w:eastAsia="en-GB"/>
    </w:rPr>
  </w:style>
  <w:style w:type="paragraph" w:customStyle="1" w:styleId="NICEnormal">
    <w:name w:val="NICE normal"/>
    <w:link w:val="NICEnormalChar"/>
    <w:rsid w:val="00510C14"/>
    <w:pPr>
      <w:spacing w:after="240" w:line="360" w:lineRule="auto"/>
    </w:pPr>
    <w:rPr>
      <w:rFonts w:ascii="Arial" w:eastAsia="Times New Roman" w:hAnsi="Arial"/>
      <w:sz w:val="24"/>
      <w:szCs w:val="24"/>
      <w:lang w:val="en-GB" w:eastAsia="en-US"/>
    </w:rPr>
  </w:style>
  <w:style w:type="paragraph" w:customStyle="1" w:styleId="NICEnormalindented">
    <w:name w:val="NICE normal indented"/>
    <w:basedOn w:val="NICEnormal"/>
    <w:rsid w:val="00510C14"/>
    <w:pPr>
      <w:tabs>
        <w:tab w:val="left" w:pos="1134"/>
      </w:tabs>
      <w:ind w:left="1134"/>
    </w:pPr>
  </w:style>
  <w:style w:type="character" w:customStyle="1" w:styleId="NICEnormalChar">
    <w:name w:val="NICE normal Char"/>
    <w:link w:val="NICEnormal"/>
    <w:locked/>
    <w:rsid w:val="00510C14"/>
    <w:rPr>
      <w:rFonts w:ascii="Arial" w:eastAsia="Times New Roman" w:hAnsi="Arial"/>
      <w:sz w:val="24"/>
      <w:szCs w:val="24"/>
      <w:lang w:val="en-GB" w:eastAsia="en-US"/>
    </w:rPr>
  </w:style>
  <w:style w:type="paragraph" w:customStyle="1" w:styleId="Numberedheading1">
    <w:name w:val="Numbered heading 1"/>
    <w:basedOn w:val="Heading1"/>
    <w:rsid w:val="00510C14"/>
    <w:pPr>
      <w:numPr>
        <w:numId w:val="5"/>
      </w:numPr>
      <w:tabs>
        <w:tab w:val="num" w:pos="360"/>
      </w:tabs>
      <w:spacing w:line="360" w:lineRule="auto"/>
    </w:pPr>
    <w:rPr>
      <w:rFonts w:cs="Arial"/>
      <w:sz w:val="32"/>
      <w:szCs w:val="24"/>
      <w:lang w:eastAsia="en-US"/>
    </w:rPr>
  </w:style>
  <w:style w:type="paragraph" w:customStyle="1" w:styleId="Numberedheading2">
    <w:name w:val="Numbered heading 2"/>
    <w:basedOn w:val="Heading2"/>
    <w:next w:val="Normal"/>
    <w:rsid w:val="00510C14"/>
    <w:pPr>
      <w:numPr>
        <w:ilvl w:val="1"/>
        <w:numId w:val="5"/>
      </w:numPr>
      <w:tabs>
        <w:tab w:val="clear" w:pos="1134"/>
        <w:tab w:val="num" w:pos="360"/>
      </w:tabs>
      <w:spacing w:line="360" w:lineRule="auto"/>
    </w:pPr>
    <w:rPr>
      <w:rFonts w:cs="Arial"/>
      <w:lang w:eastAsia="en-US"/>
    </w:rPr>
  </w:style>
  <w:style w:type="paragraph" w:customStyle="1" w:styleId="Numberedheading3">
    <w:name w:val="Numbered heading 3"/>
    <w:basedOn w:val="Heading3"/>
    <w:next w:val="Normal"/>
    <w:rsid w:val="00510C14"/>
    <w:pPr>
      <w:numPr>
        <w:numId w:val="44"/>
      </w:numPr>
      <w:tabs>
        <w:tab w:val="num" w:pos="360"/>
      </w:tabs>
      <w:spacing w:line="360" w:lineRule="auto"/>
    </w:pPr>
    <w:rPr>
      <w:rFonts w:cs="Arial"/>
      <w:sz w:val="26"/>
      <w:szCs w:val="24"/>
      <w:lang w:eastAsia="en-US"/>
    </w:rPr>
  </w:style>
  <w:style w:type="paragraph" w:customStyle="1" w:styleId="Numberedlevel4text">
    <w:name w:val="Numbered level 4 text"/>
    <w:basedOn w:val="Normal"/>
    <w:next w:val="Normal"/>
    <w:rsid w:val="00510C14"/>
    <w:pPr>
      <w:numPr>
        <w:ilvl w:val="3"/>
        <w:numId w:val="5"/>
      </w:numPr>
      <w:tabs>
        <w:tab w:val="clear" w:pos="1134"/>
        <w:tab w:val="num" w:pos="360"/>
      </w:tabs>
      <w:spacing w:after="240" w:line="360" w:lineRule="auto"/>
      <w:jc w:val="left"/>
    </w:pPr>
    <w:rPr>
      <w:rFonts w:ascii="Arial" w:eastAsia="Times New Roman" w:hAnsi="Arial"/>
      <w:sz w:val="24"/>
      <w:szCs w:val="24"/>
      <w:lang w:val="en-GB"/>
    </w:rPr>
  </w:style>
  <w:style w:type="paragraph" w:customStyle="1" w:styleId="Numberedlevel3text">
    <w:name w:val="Numbered level 3 text"/>
    <w:basedOn w:val="Numberedheading3"/>
    <w:qFormat/>
    <w:rsid w:val="00510C14"/>
    <w:pPr>
      <w:keepNext w:val="0"/>
      <w:spacing w:before="0" w:after="240"/>
    </w:pPr>
    <w:rPr>
      <w:b w:val="0"/>
      <w:sz w:val="24"/>
    </w:rPr>
  </w:style>
  <w:style w:type="character" w:styleId="CommentReference">
    <w:name w:val="annotation reference"/>
    <w:uiPriority w:val="99"/>
    <w:semiHidden/>
    <w:rsid w:val="00510C14"/>
    <w:rPr>
      <w:sz w:val="16"/>
      <w:szCs w:val="16"/>
    </w:rPr>
  </w:style>
  <w:style w:type="paragraph" w:styleId="CommentText">
    <w:name w:val="annotation text"/>
    <w:basedOn w:val="Normal"/>
    <w:link w:val="CommentTextChar"/>
    <w:uiPriority w:val="99"/>
    <w:rsid w:val="00510C14"/>
    <w:pPr>
      <w:spacing w:line="240" w:lineRule="auto"/>
      <w:jc w:val="left"/>
    </w:pPr>
    <w:rPr>
      <w:rFonts w:ascii="Times New Roman" w:eastAsia="Times New Roman" w:hAnsi="Times New Roman"/>
      <w:szCs w:val="20"/>
      <w:lang w:val="en-GB" w:eastAsia="en-GB"/>
    </w:rPr>
  </w:style>
  <w:style w:type="character" w:customStyle="1" w:styleId="CommentTextChar">
    <w:name w:val="Comment Text Char"/>
    <w:basedOn w:val="DefaultParagraphFont"/>
    <w:link w:val="CommentText"/>
    <w:uiPriority w:val="99"/>
    <w:rsid w:val="00510C14"/>
    <w:rPr>
      <w:rFonts w:ascii="Times New Roman" w:eastAsia="Times New Roman" w:hAnsi="Times New Roman"/>
      <w:lang w:val="en-GB" w:eastAsia="en-GB"/>
    </w:rPr>
  </w:style>
  <w:style w:type="paragraph" w:styleId="CommentSubject">
    <w:name w:val="annotation subject"/>
    <w:basedOn w:val="CommentText"/>
    <w:next w:val="CommentText"/>
    <w:link w:val="CommentSubjectChar"/>
    <w:semiHidden/>
    <w:rsid w:val="00510C14"/>
    <w:rPr>
      <w:b/>
      <w:bCs/>
    </w:rPr>
  </w:style>
  <w:style w:type="character" w:customStyle="1" w:styleId="CommentSubjectChar">
    <w:name w:val="Comment Subject Char"/>
    <w:basedOn w:val="CommentTextChar"/>
    <w:link w:val="CommentSubject"/>
    <w:semiHidden/>
    <w:rsid w:val="00510C14"/>
    <w:rPr>
      <w:rFonts w:ascii="Times New Roman" w:eastAsia="Times New Roman" w:hAnsi="Times New Roman"/>
      <w:b/>
      <w:bCs/>
      <w:lang w:val="en-GB" w:eastAsia="en-GB"/>
    </w:rPr>
  </w:style>
  <w:style w:type="character" w:styleId="Hyperlink">
    <w:name w:val="Hyperlink"/>
    <w:semiHidden/>
    <w:rsid w:val="00510C14"/>
    <w:rPr>
      <w:color w:val="0563C1"/>
      <w:u w:val="single"/>
    </w:rPr>
  </w:style>
  <w:style w:type="character" w:customStyle="1" w:styleId="UnresolvedMention1">
    <w:name w:val="Unresolved Mention1"/>
    <w:uiPriority w:val="99"/>
    <w:semiHidden/>
    <w:unhideWhenUsed/>
    <w:rsid w:val="00510C14"/>
    <w:rPr>
      <w:color w:val="605E5C"/>
      <w:shd w:val="clear" w:color="auto" w:fill="E1DFDD"/>
    </w:rPr>
  </w:style>
  <w:style w:type="paragraph" w:styleId="Revision">
    <w:name w:val="Revision"/>
    <w:hidden/>
    <w:uiPriority w:val="99"/>
    <w:semiHidden/>
    <w:rsid w:val="00510C14"/>
    <w:rPr>
      <w:rFonts w:ascii="Times New Roman" w:eastAsia="Times New Roman" w:hAnsi="Times New Roman"/>
      <w:sz w:val="24"/>
      <w:szCs w:val="24"/>
      <w:lang w:val="en-GB" w:eastAsia="en-GB"/>
    </w:rPr>
  </w:style>
  <w:style w:type="paragraph" w:styleId="BodyText">
    <w:name w:val="Body Text"/>
    <w:basedOn w:val="Normal"/>
    <w:link w:val="BodyTextChar"/>
    <w:qFormat/>
    <w:rsid w:val="00510C14"/>
    <w:pPr>
      <w:spacing w:after="240" w:line="24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510C14"/>
    <w:rPr>
      <w:rFonts w:ascii="Times New Roman" w:eastAsia="Times New Roman" w:hAnsi="Times New Roman"/>
      <w:sz w:val="24"/>
      <w:szCs w:val="24"/>
      <w:lang w:val="en-GB" w:eastAsia="en-US"/>
    </w:rPr>
  </w:style>
  <w:style w:type="paragraph" w:styleId="ListParagraph">
    <w:name w:val="List Paragraph"/>
    <w:basedOn w:val="Normal"/>
    <w:uiPriority w:val="34"/>
    <w:qFormat/>
    <w:rsid w:val="00510C14"/>
    <w:pPr>
      <w:spacing w:after="160" w:line="259" w:lineRule="auto"/>
      <w:ind w:left="720"/>
      <w:contextualSpacing/>
      <w:jc w:val="left"/>
    </w:pPr>
    <w:rPr>
      <w:rFonts w:asciiTheme="minorHAnsi" w:eastAsiaTheme="minorHAnsi" w:hAnsiTheme="minorHAnsi" w:cstheme="minorBidi"/>
      <w:sz w:val="22"/>
      <w:lang w:val="en-GB"/>
    </w:rPr>
  </w:style>
  <w:style w:type="paragraph" w:customStyle="1" w:styleId="Default">
    <w:name w:val="Default"/>
    <w:rsid w:val="00510C14"/>
    <w:pPr>
      <w:autoSpaceDE w:val="0"/>
      <w:autoSpaceDN w:val="0"/>
      <w:adjustRightInd w:val="0"/>
    </w:pPr>
    <w:rPr>
      <w:rFonts w:ascii="Arial" w:eastAsia="Times New Roman" w:hAnsi="Arial" w:cs="Arial"/>
      <w:color w:val="000000"/>
      <w:sz w:val="24"/>
      <w:szCs w:val="24"/>
      <w:lang w:val="en-GB" w:eastAsia="en-GB"/>
    </w:rPr>
  </w:style>
  <w:style w:type="character" w:customStyle="1" w:styleId="cf01">
    <w:name w:val="cf01"/>
    <w:basedOn w:val="DefaultParagraphFont"/>
    <w:rsid w:val="00510C14"/>
    <w:rPr>
      <w:rFonts w:ascii="Segoe UI" w:hAnsi="Segoe UI" w:cs="Segoe UI" w:hint="default"/>
      <w:sz w:val="18"/>
      <w:szCs w:val="18"/>
    </w:rPr>
  </w:style>
  <w:style w:type="character" w:customStyle="1" w:styleId="Mention1">
    <w:name w:val="Mention1"/>
    <w:basedOn w:val="DefaultParagraphFont"/>
    <w:rsid w:val="00510C14"/>
    <w:rPr>
      <w:color w:val="2B579A"/>
      <w:shd w:val="clear" w:color="auto" w:fill="E1DFDD"/>
    </w:rPr>
  </w:style>
  <w:style w:type="paragraph" w:styleId="FootnoteText">
    <w:name w:val="footnote text"/>
    <w:basedOn w:val="Normal"/>
    <w:link w:val="FootnoteTextChar"/>
    <w:uiPriority w:val="99"/>
    <w:semiHidden/>
    <w:unhideWhenUsed/>
    <w:rsid w:val="00510C14"/>
    <w:pPr>
      <w:spacing w:line="240" w:lineRule="auto"/>
      <w:jc w:val="left"/>
    </w:pPr>
    <w:rPr>
      <w:rFonts w:ascii="Times New Roman" w:eastAsia="Times New Roman" w:hAnsi="Times New Roman"/>
      <w:szCs w:val="20"/>
      <w:lang w:val="en-GB" w:eastAsia="en-GB"/>
    </w:rPr>
  </w:style>
  <w:style w:type="character" w:customStyle="1" w:styleId="FootnoteTextChar">
    <w:name w:val="Footnote Text Char"/>
    <w:basedOn w:val="DefaultParagraphFont"/>
    <w:link w:val="FootnoteText"/>
    <w:uiPriority w:val="99"/>
    <w:semiHidden/>
    <w:rsid w:val="00510C14"/>
    <w:rPr>
      <w:rFonts w:ascii="Times New Roman" w:eastAsia="Times New Roman" w:hAnsi="Times New Roman"/>
      <w:lang w:val="en-GB" w:eastAsia="en-GB"/>
    </w:rPr>
  </w:style>
  <w:style w:type="character" w:styleId="FootnoteReference">
    <w:name w:val="footnote reference"/>
    <w:basedOn w:val="DefaultParagraphFont"/>
    <w:uiPriority w:val="99"/>
    <w:semiHidden/>
    <w:unhideWhenUsed/>
    <w:rsid w:val="00510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elgiacco\Documents\My%20Received%20Files\Argenx_091_Brief_June%20201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06277-7A33-4D01-B62B-F7679EB46774}">
  <ds:schemaRefs>
    <ds:schemaRef ds:uri="http://schemas.openxmlformats.org/officeDocument/2006/bibliography"/>
  </ds:schemaRefs>
</ds:datastoreItem>
</file>

<file path=customXml/itemProps2.xml><?xml version="1.0" encoding="utf-8"?>
<ds:datastoreItem xmlns:ds="http://schemas.openxmlformats.org/officeDocument/2006/customXml" ds:itemID="{0CD3DFB5-1F5F-4CB8-A975-E070A5218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3F7DD-ECB6-4803-B5F4-CD9D2323FE92}">
  <ds:schemaRefs>
    <ds:schemaRef ds:uri="http://schemas.microsoft.com/sharepoint/v3/contenttype/forms"/>
  </ds:schemaRefs>
</ds:datastoreItem>
</file>

<file path=customXml/itemProps4.xml><?xml version="1.0" encoding="utf-8"?>
<ds:datastoreItem xmlns:ds="http://schemas.openxmlformats.org/officeDocument/2006/customXml" ds:itemID="{2DDFA95B-F84D-4B94-8608-2ABEA48B0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Argenx_091_Brief_June 2018</Template>
  <TotalTime>3</TotalTime>
  <Pages>15</Pages>
  <Words>6775</Words>
  <Characters>38622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Leah Murphy</cp:lastModifiedBy>
  <cp:revision>3</cp:revision>
  <dcterms:created xsi:type="dcterms:W3CDTF">2025-02-10T08:40:00Z</dcterms:created>
  <dcterms:modified xsi:type="dcterms:W3CDTF">2025-05-01T08:53:00Z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2025-02-10T08:40:10Z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ab2c7360-4adb-4ba4-9e4e-9dc40e710c3c</vt:lpwstr>
  </property>
  <property fmtid="{D5CDD505-2E9C-101B-9397-08002B2CF9AE}" pid="9" name="MSIP_Label_c69d85d5-6d9e-4305-a294-1f636ec0f2d6_ContentBits">
    <vt:lpwstr>0</vt:lpwstr>
  </property>
</Properties>
</file>