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7D24" w14:textId="3756D51B" w:rsidR="00593F3D" w:rsidRPr="0043022B" w:rsidRDefault="00593F3D" w:rsidP="00593F3D">
      <w:pPr>
        <w:rPr>
          <w:rStyle w:val="Hyperlink"/>
          <w:rFonts w:ascii="Arial" w:hAnsi="Arial" w:cs="Arial"/>
          <w:color w:val="auto"/>
          <w:sz w:val="20"/>
          <w:szCs w:val="20"/>
          <w:u w:val="none"/>
        </w:rPr>
      </w:pPr>
      <w:r w:rsidRPr="2DC912BF">
        <w:rPr>
          <w:rFonts w:ascii="Arial" w:hAnsi="Arial" w:cs="Arial"/>
          <w:sz w:val="20"/>
          <w:szCs w:val="20"/>
        </w:rPr>
        <w:t>Sent by e-mail only:</w:t>
      </w:r>
      <w:r w:rsidRPr="00C541F6">
        <w:rPr>
          <w:rFonts w:ascii="Arial" w:hAnsi="Arial" w:cs="Arial"/>
          <w:sz w:val="20"/>
          <w:szCs w:val="20"/>
        </w:rPr>
        <w:t xml:space="preserve"> </w:t>
      </w:r>
      <w:r w:rsidR="00C541F6" w:rsidRPr="00C541F6">
        <w:rPr>
          <w:rFonts w:ascii="Arial" w:eastAsia="Arial" w:hAnsi="Arial" w:cs="Arial"/>
          <w:sz w:val="19"/>
          <w:szCs w:val="19"/>
          <w:highlight w:val="black"/>
        </w:rPr>
        <w:t>XXXXXXXXXXXXXXXXXXXXXXXXXXXXXX</w:t>
      </w:r>
      <w:r w:rsidR="5FECD5CC" w:rsidRPr="00C541F6">
        <w:rPr>
          <w:rFonts w:ascii="Arial" w:eastAsia="Arial" w:hAnsi="Arial" w:cs="Arial"/>
          <w:sz w:val="19"/>
          <w:szCs w:val="19"/>
        </w:rPr>
        <w:t xml:space="preserve"> </w:t>
      </w:r>
      <w:r w:rsidR="00BC7BE7" w:rsidRPr="00C541F6">
        <w:rPr>
          <w:rFonts w:ascii="Arial" w:hAnsi="Arial" w:cs="Arial"/>
          <w:sz w:val="20"/>
          <w:szCs w:val="20"/>
        </w:rPr>
        <w:t xml:space="preserve"> </w:t>
      </w:r>
      <w:r w:rsidR="006628FF" w:rsidRPr="00C541F6">
        <w:rPr>
          <w:rFonts w:ascii="Arial" w:hAnsi="Arial" w:cs="Arial"/>
          <w:sz w:val="20"/>
          <w:szCs w:val="20"/>
        </w:rPr>
        <w:t xml:space="preserve"> </w:t>
      </w:r>
    </w:p>
    <w:p w14:paraId="20D07099" w14:textId="03900375" w:rsidR="006C1D0D" w:rsidRDefault="00BB16DB" w:rsidP="00FB56C9">
      <w:pPr>
        <w:spacing w:after="0" w:line="240" w:lineRule="auto"/>
        <w:jc w:val="both"/>
        <w:rPr>
          <w:rFonts w:ascii="Arial" w:hAnsi="Arial" w:cs="Arial"/>
          <w:sz w:val="20"/>
          <w:szCs w:val="20"/>
        </w:rPr>
      </w:pPr>
      <w:r w:rsidRPr="00BB16DB">
        <w:rPr>
          <w:rFonts w:ascii="Arial" w:hAnsi="Arial" w:cs="Arial"/>
          <w:sz w:val="20"/>
          <w:szCs w:val="20"/>
        </w:rPr>
        <w:t xml:space="preserve">FAO </w:t>
      </w:r>
      <w:r w:rsidR="00C541F6" w:rsidRPr="00C541F6">
        <w:rPr>
          <w:rFonts w:ascii="Arial" w:hAnsi="Arial" w:cs="Arial"/>
          <w:sz w:val="20"/>
          <w:szCs w:val="20"/>
          <w:highlight w:val="black"/>
        </w:rPr>
        <w:t>XXXXXXXXXXXXXXXXX</w:t>
      </w:r>
    </w:p>
    <w:p w14:paraId="177A0A7B" w14:textId="77777777" w:rsidR="006C1D0D" w:rsidRDefault="006C1D0D" w:rsidP="00FB56C9">
      <w:pPr>
        <w:spacing w:after="0" w:line="240" w:lineRule="auto"/>
        <w:jc w:val="both"/>
        <w:rPr>
          <w:rFonts w:ascii="Arial" w:hAnsi="Arial" w:cs="Arial"/>
          <w:sz w:val="20"/>
          <w:szCs w:val="20"/>
        </w:rPr>
      </w:pPr>
      <w:r>
        <w:rPr>
          <w:rFonts w:ascii="Arial" w:hAnsi="Arial" w:cs="Arial"/>
          <w:sz w:val="20"/>
          <w:szCs w:val="20"/>
        </w:rPr>
        <w:t>The College</w:t>
      </w:r>
    </w:p>
    <w:p w14:paraId="77D24998" w14:textId="0F3C98B7" w:rsidR="006C1D0D" w:rsidRDefault="006C1D0D" w:rsidP="00FB56C9">
      <w:pPr>
        <w:spacing w:after="0" w:line="240" w:lineRule="auto"/>
        <w:jc w:val="both"/>
        <w:rPr>
          <w:rFonts w:ascii="Arial" w:hAnsi="Arial" w:cs="Arial"/>
          <w:sz w:val="20"/>
          <w:szCs w:val="20"/>
        </w:rPr>
      </w:pPr>
      <w:r>
        <w:rPr>
          <w:rFonts w:ascii="Arial" w:hAnsi="Arial" w:cs="Arial"/>
          <w:sz w:val="20"/>
          <w:szCs w:val="20"/>
        </w:rPr>
        <w:t>College Business Centre</w:t>
      </w:r>
    </w:p>
    <w:p w14:paraId="007A657F" w14:textId="77777777" w:rsidR="006C1D0D" w:rsidRDefault="006C1D0D" w:rsidP="00FB56C9">
      <w:pPr>
        <w:spacing w:after="0" w:line="240" w:lineRule="auto"/>
        <w:jc w:val="both"/>
        <w:rPr>
          <w:rFonts w:ascii="Arial" w:hAnsi="Arial" w:cs="Arial"/>
          <w:sz w:val="20"/>
          <w:szCs w:val="20"/>
        </w:rPr>
      </w:pPr>
      <w:r>
        <w:rPr>
          <w:rFonts w:ascii="Arial" w:hAnsi="Arial" w:cs="Arial"/>
          <w:sz w:val="20"/>
          <w:szCs w:val="20"/>
        </w:rPr>
        <w:t>The College Business Centre</w:t>
      </w:r>
    </w:p>
    <w:p w14:paraId="4697AE89" w14:textId="77777777" w:rsidR="006C1D0D" w:rsidRDefault="006C1D0D" w:rsidP="00FB56C9">
      <w:pPr>
        <w:spacing w:after="0" w:line="240" w:lineRule="auto"/>
        <w:jc w:val="both"/>
        <w:rPr>
          <w:rFonts w:ascii="Arial" w:hAnsi="Arial" w:cs="Arial"/>
          <w:sz w:val="20"/>
          <w:szCs w:val="20"/>
        </w:rPr>
      </w:pPr>
      <w:r>
        <w:rPr>
          <w:rFonts w:ascii="Arial" w:hAnsi="Arial" w:cs="Arial"/>
          <w:sz w:val="20"/>
          <w:szCs w:val="20"/>
        </w:rPr>
        <w:t>Uttoxeter New Road</w:t>
      </w:r>
    </w:p>
    <w:p w14:paraId="6E405B93" w14:textId="77777777" w:rsidR="006C1D0D" w:rsidRDefault="006C1D0D" w:rsidP="00FB56C9">
      <w:pPr>
        <w:spacing w:after="0" w:line="240" w:lineRule="auto"/>
        <w:jc w:val="both"/>
        <w:rPr>
          <w:rFonts w:ascii="Arial" w:hAnsi="Arial" w:cs="Arial"/>
          <w:sz w:val="20"/>
          <w:szCs w:val="20"/>
        </w:rPr>
      </w:pPr>
      <w:r>
        <w:rPr>
          <w:rFonts w:ascii="Arial" w:hAnsi="Arial" w:cs="Arial"/>
          <w:sz w:val="20"/>
          <w:szCs w:val="20"/>
        </w:rPr>
        <w:t>Derby</w:t>
      </w:r>
    </w:p>
    <w:p w14:paraId="416EAEE6" w14:textId="77777777" w:rsidR="006C1D0D" w:rsidRDefault="006C1D0D" w:rsidP="00FB56C9">
      <w:pPr>
        <w:spacing w:after="0" w:line="240" w:lineRule="auto"/>
        <w:jc w:val="both"/>
        <w:rPr>
          <w:rFonts w:ascii="Arial" w:hAnsi="Arial" w:cs="Arial"/>
          <w:sz w:val="20"/>
          <w:szCs w:val="20"/>
        </w:rPr>
      </w:pPr>
      <w:r>
        <w:rPr>
          <w:rFonts w:ascii="Arial" w:hAnsi="Arial" w:cs="Arial"/>
          <w:sz w:val="20"/>
          <w:szCs w:val="20"/>
        </w:rPr>
        <w:t>DE22 3WZ</w:t>
      </w:r>
    </w:p>
    <w:p w14:paraId="799D8680" w14:textId="77777777" w:rsidR="00F24B1D" w:rsidRPr="0043022B" w:rsidRDefault="00F24B1D">
      <w:pPr>
        <w:rPr>
          <w:rFonts w:ascii="Arial" w:hAnsi="Arial" w:cs="Arial"/>
          <w:sz w:val="20"/>
          <w:szCs w:val="20"/>
        </w:rPr>
      </w:pPr>
    </w:p>
    <w:p w14:paraId="04E6623B" w14:textId="2A543066" w:rsidR="00B737D4" w:rsidRPr="0043022B" w:rsidRDefault="006C1D0D" w:rsidP="00B737D4">
      <w:pPr>
        <w:rPr>
          <w:rFonts w:ascii="Arial" w:hAnsi="Arial" w:cs="Arial"/>
          <w:sz w:val="20"/>
          <w:szCs w:val="20"/>
        </w:rPr>
      </w:pPr>
      <w:r w:rsidRPr="00AD44AC">
        <w:rPr>
          <w:rFonts w:ascii="Arial" w:hAnsi="Arial" w:cs="Arial"/>
          <w:sz w:val="20"/>
          <w:szCs w:val="20"/>
        </w:rPr>
        <w:t>07 March</w:t>
      </w:r>
      <w:r w:rsidR="00FB56C9" w:rsidRPr="00AD44AC">
        <w:rPr>
          <w:rFonts w:ascii="Arial" w:hAnsi="Arial" w:cs="Arial"/>
          <w:sz w:val="20"/>
          <w:szCs w:val="20"/>
        </w:rPr>
        <w:t xml:space="preserve"> 202</w:t>
      </w:r>
      <w:r w:rsidRPr="00AD44AC">
        <w:rPr>
          <w:rFonts w:ascii="Arial" w:hAnsi="Arial" w:cs="Arial"/>
          <w:sz w:val="20"/>
          <w:szCs w:val="20"/>
        </w:rPr>
        <w:t>5</w:t>
      </w:r>
    </w:p>
    <w:p w14:paraId="15532A62" w14:textId="77777777" w:rsidR="00B737D4" w:rsidRPr="0043022B" w:rsidRDefault="00B737D4" w:rsidP="00B737D4">
      <w:pPr>
        <w:rPr>
          <w:rStyle w:val="Hyperlink"/>
          <w:rFonts w:ascii="Arial" w:hAnsi="Arial" w:cs="Arial"/>
          <w:sz w:val="20"/>
          <w:szCs w:val="20"/>
        </w:rPr>
      </w:pPr>
    </w:p>
    <w:p w14:paraId="47BE397A" w14:textId="3BFCCF13" w:rsidR="00F24B1D" w:rsidRPr="0043022B" w:rsidRDefault="00F24B1D" w:rsidP="00F24B1D">
      <w:pPr>
        <w:ind w:left="426" w:right="468" w:hanging="426"/>
        <w:jc w:val="both"/>
        <w:rPr>
          <w:rFonts w:ascii="Arial" w:hAnsi="Arial" w:cs="Arial"/>
          <w:noProof/>
          <w:spacing w:val="-3"/>
          <w:sz w:val="20"/>
          <w:szCs w:val="20"/>
          <w:lang w:eastAsia="en-GB"/>
        </w:rPr>
      </w:pPr>
      <w:bookmarkStart w:id="0" w:name="deartext"/>
      <w:r w:rsidRPr="0043022B">
        <w:rPr>
          <w:rFonts w:ascii="Arial" w:hAnsi="Arial" w:cs="Arial"/>
          <w:sz w:val="20"/>
          <w:szCs w:val="20"/>
        </w:rPr>
        <w:t>Dear</w:t>
      </w:r>
      <w:bookmarkEnd w:id="0"/>
      <w:r w:rsidRPr="0043022B">
        <w:rPr>
          <w:rFonts w:ascii="Arial" w:hAnsi="Arial" w:cs="Arial"/>
          <w:sz w:val="20"/>
          <w:szCs w:val="20"/>
        </w:rPr>
        <w:t xml:space="preserve"> </w:t>
      </w:r>
      <w:bookmarkStart w:id="1" w:name="Sal"/>
      <w:bookmarkEnd w:id="1"/>
      <w:r w:rsidR="00C541F6" w:rsidRPr="00C541F6">
        <w:rPr>
          <w:rFonts w:ascii="Arial" w:hAnsi="Arial" w:cs="Arial"/>
          <w:sz w:val="20"/>
          <w:szCs w:val="20"/>
          <w:highlight w:val="black"/>
        </w:rPr>
        <w:t>XXXXXXXXXXX</w:t>
      </w:r>
    </w:p>
    <w:p w14:paraId="67AFD44F" w14:textId="7A745CBB" w:rsidR="00F24B1D" w:rsidRPr="00FB56C9" w:rsidRDefault="00F24B1D" w:rsidP="00FB56C9">
      <w:pPr>
        <w:ind w:left="426" w:right="468" w:hanging="426"/>
        <w:jc w:val="both"/>
        <w:rPr>
          <w:rFonts w:ascii="Arial" w:hAnsi="Arial" w:cs="Arial"/>
          <w:b/>
          <w:sz w:val="20"/>
          <w:szCs w:val="20"/>
        </w:rPr>
      </w:pPr>
      <w:r w:rsidRPr="00FB56C9">
        <w:rPr>
          <w:rFonts w:ascii="Arial" w:hAnsi="Arial" w:cs="Arial"/>
          <w:noProof/>
          <w:color w:val="333333"/>
          <w:sz w:val="18"/>
          <w:szCs w:val="18"/>
          <w:lang w:eastAsia="en-GB"/>
        </w:rPr>
        <mc:AlternateContent>
          <mc:Choice Requires="wps">
            <w:drawing>
              <wp:anchor distT="4294967294" distB="4294967294" distL="114300" distR="114300" simplePos="0" relativeHeight="251659264" behindDoc="0" locked="0" layoutInCell="1" allowOverlap="1" wp14:anchorId="0D351047" wp14:editId="64D85384">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377437E7">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432FF0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BLpbv8oBAACBAwAADgAA&#10;AAAAAAAAAAAAAAAuAgAAZHJzL2Uyb0RvYy54bWxQSwECLQAUAAYACAAAACEA2X1V2eAAAAALAQAA&#10;DwAAAAAAAAAAAAAAAAAkBAAAZHJzL2Rvd25yZXYueG1sUEsFBgAAAAAEAAQA8wAAADEFAAAAAA==&#10;">
                <o:lock v:ext="edit" shapetype="f"/>
              </v:line>
            </w:pict>
          </mc:Fallback>
        </mc:AlternateContent>
      </w:r>
      <w:r w:rsidR="00FB56C9" w:rsidRPr="00FB56C9">
        <w:rPr>
          <w:rFonts w:ascii="Arial" w:hAnsi="Arial" w:cs="Arial"/>
          <w:noProof/>
          <w:sz w:val="20"/>
          <w:szCs w:val="20"/>
          <w:lang w:eastAsia="en-GB"/>
        </w:rPr>
        <mc:AlternateContent>
          <mc:Choice Requires="wps">
            <w:drawing>
              <wp:anchor distT="4294967294" distB="4294967294" distL="114300" distR="114300" simplePos="0" relativeHeight="251661312" behindDoc="0" locked="0" layoutInCell="1" allowOverlap="1" wp14:anchorId="7C364055" wp14:editId="484F0852">
                <wp:simplePos x="0" y="0"/>
                <wp:positionH relativeFrom="column">
                  <wp:posOffset>-805815</wp:posOffset>
                </wp:positionH>
                <wp:positionV relativeFrom="paragraph">
                  <wp:posOffset>255270</wp:posOffset>
                </wp:positionV>
                <wp:extent cx="81915" cy="0"/>
                <wp:effectExtent l="0" t="0" r="32385" b="19050"/>
                <wp:wrapNone/>
                <wp:docPr id="1958503529" name="Straight Connector 19585035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0DFCA3F6">
              <v:line id="Straight Connector 1958503529"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70F3B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o:lock v:ext="edit" shapetype="f"/>
              </v:line>
            </w:pict>
          </mc:Fallback>
        </mc:AlternateContent>
      </w:r>
      <w:r w:rsidR="00FB56C9" w:rsidRPr="00FB56C9">
        <w:rPr>
          <w:rFonts w:ascii="Arial" w:hAnsi="Arial" w:cs="Arial"/>
          <w:b/>
          <w:spacing w:val="-3"/>
          <w:sz w:val="20"/>
          <w:szCs w:val="20"/>
        </w:rPr>
        <w:t xml:space="preserve">Re: </w:t>
      </w:r>
      <w:r w:rsidR="00FB56C9" w:rsidRPr="00FB56C9">
        <w:rPr>
          <w:rFonts w:ascii="Arial" w:hAnsi="Arial" w:cs="Arial"/>
          <w:b/>
          <w:sz w:val="20"/>
          <w:szCs w:val="20"/>
        </w:rPr>
        <w:t>Final Draft Guidance for efgartigimod for treating generalised myasthenia gravis [ID4003]</w:t>
      </w:r>
    </w:p>
    <w:p w14:paraId="645F333C" w14:textId="2D23D137" w:rsidR="00DB178D" w:rsidRPr="00DB178D" w:rsidRDefault="00DB178D" w:rsidP="00DB178D">
      <w:pPr>
        <w:spacing w:before="240" w:after="240"/>
        <w:jc w:val="both"/>
        <w:rPr>
          <w:rFonts w:ascii="Arial" w:eastAsia="Times New Roman" w:hAnsi="Arial" w:cs="Arial"/>
          <w:sz w:val="20"/>
          <w:szCs w:val="20"/>
        </w:rPr>
      </w:pPr>
      <w:r w:rsidRPr="00DB178D">
        <w:rPr>
          <w:rFonts w:ascii="Arial" w:eastAsia="Times New Roman" w:hAnsi="Arial" w:cs="Arial"/>
          <w:sz w:val="20"/>
          <w:szCs w:val="20"/>
        </w:rPr>
        <w:t>Thank you for your letter responding to my initial scrutiny views</w:t>
      </w:r>
      <w:r w:rsidR="00A16318">
        <w:rPr>
          <w:rFonts w:ascii="Arial" w:eastAsia="Times New Roman" w:hAnsi="Arial" w:cs="Arial"/>
          <w:sz w:val="20"/>
          <w:szCs w:val="20"/>
        </w:rPr>
        <w:t xml:space="preserve"> ("</w:t>
      </w:r>
      <w:r w:rsidR="00A16318" w:rsidRPr="00A16318">
        <w:rPr>
          <w:rFonts w:ascii="Arial" w:eastAsia="Times New Roman" w:hAnsi="Arial" w:cs="Arial"/>
          <w:b/>
          <w:bCs/>
          <w:sz w:val="20"/>
          <w:szCs w:val="20"/>
        </w:rPr>
        <w:t>Response to Initial Scrutiny Letter</w:t>
      </w:r>
      <w:r w:rsidR="00A16318">
        <w:rPr>
          <w:rFonts w:ascii="Arial" w:eastAsia="Times New Roman" w:hAnsi="Arial" w:cs="Arial"/>
          <w:sz w:val="20"/>
          <w:szCs w:val="20"/>
        </w:rPr>
        <w:t>")</w:t>
      </w:r>
      <w:r w:rsidRPr="00DB178D">
        <w:rPr>
          <w:rFonts w:ascii="Arial" w:eastAsia="Times New Roman" w:hAnsi="Arial" w:cs="Arial"/>
          <w:sz w:val="20"/>
          <w:szCs w:val="20"/>
        </w:rPr>
        <w:t>.  This is my final decision on initial scrutiny.</w:t>
      </w:r>
    </w:p>
    <w:p w14:paraId="55B1D5E2" w14:textId="28FD5E0E" w:rsidR="00DB178D" w:rsidRDefault="00DB178D" w:rsidP="00DB178D">
      <w:pPr>
        <w:spacing w:before="240" w:after="240"/>
        <w:jc w:val="both"/>
        <w:rPr>
          <w:rFonts w:ascii="Arial" w:eastAsia="Times New Roman" w:hAnsi="Arial" w:cs="Arial"/>
          <w:sz w:val="20"/>
          <w:szCs w:val="20"/>
        </w:rPr>
      </w:pPr>
      <w:r w:rsidRPr="00DB178D">
        <w:rPr>
          <w:rFonts w:ascii="Arial" w:eastAsia="Times New Roman" w:hAnsi="Arial" w:cs="Arial"/>
          <w:sz w:val="20"/>
          <w:szCs w:val="20"/>
        </w:rPr>
        <w:t xml:space="preserve">I </w:t>
      </w:r>
      <w:r w:rsidR="00BB16DB">
        <w:rPr>
          <w:rFonts w:ascii="Arial" w:eastAsia="Times New Roman" w:hAnsi="Arial" w:cs="Arial"/>
          <w:sz w:val="20"/>
          <w:szCs w:val="20"/>
        </w:rPr>
        <w:t>assess each of your points in turn.</w:t>
      </w:r>
    </w:p>
    <w:p w14:paraId="4710A553" w14:textId="308FE8CA" w:rsidR="00DB178D" w:rsidRPr="00243EF5" w:rsidRDefault="00DB178D" w:rsidP="00DB178D">
      <w:pPr>
        <w:pStyle w:val="Paragraph"/>
        <w:numPr>
          <w:ilvl w:val="0"/>
          <w:numId w:val="0"/>
        </w:numPr>
        <w:spacing w:before="120"/>
        <w:jc w:val="both"/>
        <w:rPr>
          <w:rFonts w:cs="Arial"/>
          <w:b/>
          <w:i/>
          <w:sz w:val="20"/>
          <w:szCs w:val="20"/>
        </w:rPr>
      </w:pPr>
      <w:r w:rsidRPr="00243EF5">
        <w:rPr>
          <w:rFonts w:cs="Arial"/>
          <w:b/>
          <w:i/>
          <w:sz w:val="20"/>
          <w:szCs w:val="20"/>
        </w:rPr>
        <w:t>Ground 2:</w:t>
      </w:r>
      <w:r w:rsidRPr="00243EF5">
        <w:rPr>
          <w:rFonts w:cs="Arial"/>
          <w:i/>
          <w:sz w:val="20"/>
          <w:szCs w:val="20"/>
        </w:rPr>
        <w:t xml:space="preserve"> </w:t>
      </w:r>
      <w:r w:rsidRPr="00243EF5">
        <w:rPr>
          <w:rFonts w:cs="Arial"/>
          <w:b/>
          <w:i/>
          <w:sz w:val="20"/>
          <w:szCs w:val="20"/>
        </w:rPr>
        <w:t>the recommendation is unreasonable in the light of the evidence submitted to NICE</w:t>
      </w:r>
    </w:p>
    <w:p w14:paraId="0DC4F2D6" w14:textId="77777777" w:rsidR="006C1D0D" w:rsidRDefault="00BB16DB" w:rsidP="00D770E0">
      <w:pPr>
        <w:spacing w:before="120" w:after="240"/>
        <w:rPr>
          <w:rFonts w:ascii="Arial" w:hAnsi="Arial" w:cs="Arial"/>
          <w:b/>
          <w:sz w:val="20"/>
          <w:szCs w:val="20"/>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2.1:</w:t>
      </w:r>
      <w:r w:rsidR="00F56A5D">
        <w:rPr>
          <w:rFonts w:ascii="Arial" w:hAnsi="Arial" w:cs="Arial"/>
          <w:b/>
          <w:sz w:val="20"/>
          <w:szCs w:val="20"/>
          <w:u w:val="single"/>
        </w:rPr>
        <w:t xml:space="preserve"> </w:t>
      </w:r>
      <w:r w:rsidR="006C1D0D">
        <w:rPr>
          <w:rFonts w:ascii="Arial" w:hAnsi="Arial" w:cs="Arial"/>
          <w:b/>
          <w:sz w:val="20"/>
          <w:szCs w:val="20"/>
          <w:u w:val="single"/>
        </w:rPr>
        <w:t xml:space="preserve">The </w:t>
      </w:r>
      <w:proofErr w:type="gramStart"/>
      <w:r w:rsidR="006C1D0D">
        <w:rPr>
          <w:rFonts w:ascii="Arial" w:hAnsi="Arial" w:cs="Arial"/>
          <w:b/>
          <w:sz w:val="20"/>
          <w:szCs w:val="20"/>
          <w:u w:val="single"/>
        </w:rPr>
        <w:t>real world</w:t>
      </w:r>
      <w:proofErr w:type="gramEnd"/>
      <w:r w:rsidR="006C1D0D">
        <w:rPr>
          <w:rFonts w:ascii="Arial" w:hAnsi="Arial" w:cs="Arial"/>
          <w:b/>
          <w:sz w:val="20"/>
          <w:szCs w:val="20"/>
          <w:u w:val="single"/>
        </w:rPr>
        <w:t xml:space="preserve"> evidence of the efficacy of efgartigimod in the proposed treatment population has not been adequately considered. </w:t>
      </w:r>
    </w:p>
    <w:p w14:paraId="0C284160" w14:textId="7FDD0C0C" w:rsidR="00171400" w:rsidRDefault="00A27CD0" w:rsidP="00D770E0">
      <w:pPr>
        <w:spacing w:before="120" w:after="240"/>
        <w:rPr>
          <w:rFonts w:ascii="Arial" w:hAnsi="Arial" w:cs="Arial"/>
          <w:bCs/>
          <w:sz w:val="20"/>
          <w:szCs w:val="20"/>
        </w:rPr>
      </w:pPr>
      <w:r>
        <w:rPr>
          <w:rFonts w:ascii="Arial" w:hAnsi="Arial" w:cs="Arial"/>
          <w:bCs/>
          <w:sz w:val="20"/>
          <w:szCs w:val="20"/>
        </w:rPr>
        <w:t xml:space="preserve">I have considered your clarification in your </w:t>
      </w:r>
      <w:r w:rsidR="00B038F1">
        <w:rPr>
          <w:rFonts w:ascii="Arial" w:hAnsi="Arial" w:cs="Arial"/>
          <w:bCs/>
          <w:sz w:val="20"/>
          <w:szCs w:val="20"/>
        </w:rPr>
        <w:t xml:space="preserve">Response to Initial Scrutiny Letter. </w:t>
      </w:r>
      <w:r>
        <w:rPr>
          <w:rFonts w:ascii="Arial" w:hAnsi="Arial" w:cs="Arial"/>
          <w:bCs/>
          <w:sz w:val="20"/>
          <w:szCs w:val="20"/>
        </w:rPr>
        <w:t xml:space="preserve">You explain </w:t>
      </w:r>
      <w:r w:rsidR="00171400">
        <w:rPr>
          <w:rFonts w:ascii="Arial" w:hAnsi="Arial" w:cs="Arial"/>
          <w:bCs/>
          <w:sz w:val="20"/>
          <w:szCs w:val="20"/>
        </w:rPr>
        <w:t>that</w:t>
      </w:r>
      <w:r w:rsidR="004C557D">
        <w:rPr>
          <w:rFonts w:ascii="Arial" w:hAnsi="Arial" w:cs="Arial"/>
          <w:bCs/>
          <w:sz w:val="20"/>
          <w:szCs w:val="20"/>
        </w:rPr>
        <w:t xml:space="preserve"> the data underlying some of</w:t>
      </w:r>
      <w:r w:rsidR="00171400">
        <w:rPr>
          <w:rFonts w:ascii="Arial" w:hAnsi="Arial" w:cs="Arial"/>
          <w:bCs/>
          <w:sz w:val="20"/>
          <w:szCs w:val="20"/>
        </w:rPr>
        <w:t xml:space="preserve"> the additional sources you identified in your Appeal Letter were referenced during committee meetings by both clinical experts. You also describe how other sources of real-world evidence were put to the </w:t>
      </w:r>
      <w:r w:rsidR="00B038F1">
        <w:rPr>
          <w:rFonts w:ascii="Arial" w:hAnsi="Arial" w:cs="Arial"/>
          <w:bCs/>
          <w:sz w:val="20"/>
          <w:szCs w:val="20"/>
        </w:rPr>
        <w:t>C</w:t>
      </w:r>
      <w:r w:rsidR="00171400">
        <w:rPr>
          <w:rFonts w:ascii="Arial" w:hAnsi="Arial" w:cs="Arial"/>
          <w:bCs/>
          <w:sz w:val="20"/>
          <w:szCs w:val="20"/>
        </w:rPr>
        <w:t>ommittee in written responses to the draft guidance and initial consultation.</w:t>
      </w:r>
    </w:p>
    <w:p w14:paraId="3FAFCA74" w14:textId="15A97691" w:rsidR="00171400" w:rsidRDefault="00A27CD0" w:rsidP="00D770E0">
      <w:pPr>
        <w:spacing w:before="120" w:after="240"/>
        <w:rPr>
          <w:rFonts w:ascii="Arial" w:hAnsi="Arial" w:cs="Arial"/>
          <w:bCs/>
          <w:i/>
          <w:iCs/>
          <w:sz w:val="20"/>
          <w:szCs w:val="20"/>
        </w:rPr>
      </w:pPr>
      <w:r>
        <w:rPr>
          <w:rFonts w:ascii="Arial" w:hAnsi="Arial" w:cs="Arial"/>
          <w:bCs/>
          <w:sz w:val="20"/>
          <w:szCs w:val="20"/>
        </w:rPr>
        <w:t xml:space="preserve">I am reminded </w:t>
      </w:r>
      <w:r w:rsidR="00171400">
        <w:rPr>
          <w:rFonts w:ascii="Arial" w:hAnsi="Arial" w:cs="Arial"/>
          <w:bCs/>
          <w:sz w:val="20"/>
          <w:szCs w:val="20"/>
        </w:rPr>
        <w:t>by</w:t>
      </w:r>
      <w:r>
        <w:rPr>
          <w:rFonts w:ascii="Arial" w:hAnsi="Arial" w:cs="Arial"/>
          <w:bCs/>
          <w:sz w:val="20"/>
          <w:szCs w:val="20"/>
        </w:rPr>
        <w:t xml:space="preserve"> the </w:t>
      </w:r>
      <w:r w:rsidR="00171400">
        <w:rPr>
          <w:rFonts w:ascii="Arial" w:hAnsi="Arial" w:cs="Arial"/>
          <w:bCs/>
          <w:sz w:val="20"/>
          <w:szCs w:val="20"/>
        </w:rPr>
        <w:t>Guide to the technology appraisal and highly specialise</w:t>
      </w:r>
      <w:r w:rsidR="00B038F1">
        <w:rPr>
          <w:rFonts w:ascii="Arial" w:hAnsi="Arial" w:cs="Arial"/>
          <w:bCs/>
          <w:sz w:val="20"/>
          <w:szCs w:val="20"/>
        </w:rPr>
        <w:t>d</w:t>
      </w:r>
      <w:r w:rsidR="00171400">
        <w:rPr>
          <w:rFonts w:ascii="Arial" w:hAnsi="Arial" w:cs="Arial"/>
          <w:bCs/>
          <w:sz w:val="20"/>
          <w:szCs w:val="20"/>
        </w:rPr>
        <w:t xml:space="preserve"> technologies appeal process (PMG41) (paragraph 4.3) that an appeal on this ground can only succeed if the Committee's conclusion "</w:t>
      </w:r>
      <w:r w:rsidR="00171400">
        <w:rPr>
          <w:rFonts w:ascii="Arial" w:hAnsi="Arial" w:cs="Arial"/>
          <w:bCs/>
          <w:i/>
          <w:iCs/>
          <w:sz w:val="20"/>
          <w:szCs w:val="20"/>
        </w:rPr>
        <w:t xml:space="preserve">cannot reasonably be justified from the evidence …" </w:t>
      </w:r>
      <w:r w:rsidR="00E32421">
        <w:rPr>
          <w:rFonts w:ascii="Arial" w:hAnsi="Arial" w:cs="Arial"/>
          <w:bCs/>
          <w:sz w:val="20"/>
          <w:szCs w:val="20"/>
        </w:rPr>
        <w:t>or in other words,</w:t>
      </w:r>
      <w:r w:rsidR="00171400" w:rsidRPr="00171400">
        <w:rPr>
          <w:rFonts w:ascii="Arial" w:hAnsi="Arial" w:cs="Arial"/>
          <w:bCs/>
          <w:sz w:val="20"/>
          <w:szCs w:val="20"/>
        </w:rPr>
        <w:t xml:space="preserve"> i</w:t>
      </w:r>
      <w:r w:rsidR="00171400">
        <w:rPr>
          <w:rFonts w:ascii="Arial" w:hAnsi="Arial" w:cs="Arial"/>
          <w:bCs/>
          <w:i/>
          <w:iCs/>
          <w:sz w:val="20"/>
          <w:szCs w:val="20"/>
        </w:rPr>
        <w:t xml:space="preserve">s "obviously and unarguably wrong, illogical, or 'does not add up'". </w:t>
      </w:r>
    </w:p>
    <w:p w14:paraId="2B157AFE" w14:textId="12B75D02" w:rsidR="00B038F1" w:rsidRDefault="004C557D" w:rsidP="00D770E0">
      <w:pPr>
        <w:spacing w:before="120" w:after="240"/>
        <w:rPr>
          <w:rFonts w:ascii="Arial" w:hAnsi="Arial" w:cs="Arial"/>
          <w:bCs/>
          <w:sz w:val="20"/>
          <w:szCs w:val="20"/>
        </w:rPr>
      </w:pPr>
      <w:r>
        <w:rPr>
          <w:rFonts w:ascii="Arial" w:hAnsi="Arial" w:cs="Arial"/>
          <w:bCs/>
          <w:sz w:val="20"/>
          <w:szCs w:val="20"/>
        </w:rPr>
        <w:t xml:space="preserve">I have </w:t>
      </w:r>
      <w:proofErr w:type="gramStart"/>
      <w:r>
        <w:rPr>
          <w:rFonts w:ascii="Arial" w:hAnsi="Arial" w:cs="Arial"/>
          <w:bCs/>
          <w:sz w:val="20"/>
          <w:szCs w:val="20"/>
        </w:rPr>
        <w:t>taken into account</w:t>
      </w:r>
      <w:proofErr w:type="gramEnd"/>
      <w:r>
        <w:rPr>
          <w:rFonts w:ascii="Arial" w:hAnsi="Arial" w:cs="Arial"/>
          <w:bCs/>
          <w:sz w:val="20"/>
          <w:szCs w:val="20"/>
        </w:rPr>
        <w:t xml:space="preserve"> the real-world evidence considered by the Committee in reaching its decision as explained in the FDG</w:t>
      </w:r>
      <w:r w:rsidR="00851143">
        <w:rPr>
          <w:rFonts w:ascii="Arial" w:hAnsi="Arial" w:cs="Arial"/>
          <w:bCs/>
          <w:sz w:val="20"/>
          <w:szCs w:val="20"/>
        </w:rPr>
        <w:t>, and the real-world evidence put before it in response to initial consultation and consultation on draft guidance. I note</w:t>
      </w:r>
      <w:r w:rsidR="00A23B79">
        <w:rPr>
          <w:rFonts w:ascii="Arial" w:hAnsi="Arial" w:cs="Arial"/>
          <w:bCs/>
          <w:sz w:val="20"/>
          <w:szCs w:val="20"/>
        </w:rPr>
        <w:t xml:space="preserve"> from the sources set out at paragraph 3.11 of the FDG</w:t>
      </w:r>
      <w:r w:rsidR="00851143">
        <w:rPr>
          <w:rFonts w:ascii="Arial" w:hAnsi="Arial" w:cs="Arial"/>
          <w:bCs/>
          <w:sz w:val="20"/>
          <w:szCs w:val="20"/>
        </w:rPr>
        <w:t xml:space="preserve"> that EAMS</w:t>
      </w:r>
      <w:r w:rsidR="00490460">
        <w:rPr>
          <w:rFonts w:ascii="Arial" w:hAnsi="Arial" w:cs="Arial"/>
          <w:bCs/>
          <w:sz w:val="20"/>
          <w:szCs w:val="20"/>
        </w:rPr>
        <w:t xml:space="preserve"> and EAMS+ data </w:t>
      </w:r>
      <w:r w:rsidR="00851143">
        <w:rPr>
          <w:rFonts w:ascii="Arial" w:hAnsi="Arial" w:cs="Arial"/>
          <w:bCs/>
          <w:sz w:val="20"/>
          <w:szCs w:val="20"/>
        </w:rPr>
        <w:t>are also sources of real-world evidence</w:t>
      </w:r>
      <w:r w:rsidR="00A23B79">
        <w:rPr>
          <w:rFonts w:ascii="Arial" w:hAnsi="Arial" w:cs="Arial"/>
          <w:bCs/>
          <w:sz w:val="20"/>
          <w:szCs w:val="20"/>
        </w:rPr>
        <w:t xml:space="preserve"> considered by the Committee.</w:t>
      </w:r>
      <w:r w:rsidR="00851143">
        <w:rPr>
          <w:rFonts w:ascii="Arial" w:hAnsi="Arial" w:cs="Arial"/>
          <w:bCs/>
          <w:sz w:val="20"/>
          <w:szCs w:val="20"/>
        </w:rPr>
        <w:t xml:space="preserve"> </w:t>
      </w:r>
    </w:p>
    <w:p w14:paraId="63A36BD8" w14:textId="797D7661" w:rsidR="00851143" w:rsidRDefault="00B038F1" w:rsidP="00D770E0">
      <w:pPr>
        <w:spacing w:before="120" w:after="240"/>
        <w:rPr>
          <w:rFonts w:ascii="Arial" w:hAnsi="Arial" w:cs="Arial"/>
          <w:bCs/>
          <w:sz w:val="20"/>
          <w:szCs w:val="20"/>
        </w:rPr>
      </w:pPr>
      <w:r>
        <w:rPr>
          <w:rFonts w:ascii="Arial" w:hAnsi="Arial" w:cs="Arial"/>
          <w:bCs/>
          <w:sz w:val="20"/>
          <w:szCs w:val="20"/>
        </w:rPr>
        <w:t>I am persuaded that t</w:t>
      </w:r>
      <w:r w:rsidR="00851143">
        <w:rPr>
          <w:rFonts w:ascii="Arial" w:hAnsi="Arial" w:cs="Arial"/>
          <w:bCs/>
          <w:sz w:val="20"/>
          <w:szCs w:val="20"/>
        </w:rPr>
        <w:t xml:space="preserve">he Committee has explained this in the FDG, and it is clear on the face of the FDG that real-world evidence has been </w:t>
      </w:r>
      <w:proofErr w:type="gramStart"/>
      <w:r w:rsidR="00851143">
        <w:rPr>
          <w:rFonts w:ascii="Arial" w:hAnsi="Arial" w:cs="Arial"/>
          <w:bCs/>
          <w:sz w:val="20"/>
          <w:szCs w:val="20"/>
        </w:rPr>
        <w:t>taken into account</w:t>
      </w:r>
      <w:proofErr w:type="gramEnd"/>
      <w:r w:rsidR="00851143">
        <w:rPr>
          <w:rFonts w:ascii="Arial" w:hAnsi="Arial" w:cs="Arial"/>
          <w:bCs/>
          <w:sz w:val="20"/>
          <w:szCs w:val="20"/>
        </w:rPr>
        <w:t xml:space="preserve"> in the Committee's decision making. </w:t>
      </w:r>
    </w:p>
    <w:p w14:paraId="41215D35" w14:textId="7FC87B51" w:rsidR="004C557D" w:rsidRDefault="004C557D" w:rsidP="00D770E0">
      <w:pPr>
        <w:spacing w:before="120" w:after="240"/>
        <w:rPr>
          <w:rFonts w:ascii="Arial" w:hAnsi="Arial" w:cs="Arial"/>
          <w:bCs/>
          <w:sz w:val="20"/>
          <w:szCs w:val="20"/>
        </w:rPr>
      </w:pPr>
      <w:r>
        <w:rPr>
          <w:rFonts w:ascii="Arial" w:hAnsi="Arial" w:cs="Arial"/>
          <w:bCs/>
          <w:sz w:val="20"/>
          <w:szCs w:val="20"/>
        </w:rPr>
        <w:lastRenderedPageBreak/>
        <w:t>It is not clear how those additional sources of real-world evidence</w:t>
      </w:r>
      <w:r w:rsidR="00851143">
        <w:rPr>
          <w:rFonts w:ascii="Arial" w:hAnsi="Arial" w:cs="Arial"/>
          <w:bCs/>
          <w:sz w:val="20"/>
          <w:szCs w:val="20"/>
        </w:rPr>
        <w:t xml:space="preserve"> adduced in your letters</w:t>
      </w:r>
      <w:r>
        <w:rPr>
          <w:rFonts w:ascii="Arial" w:hAnsi="Arial" w:cs="Arial"/>
          <w:bCs/>
          <w:sz w:val="20"/>
          <w:szCs w:val="20"/>
        </w:rPr>
        <w:t xml:space="preserve"> would have impacted or influenced the Committee's decision making</w:t>
      </w:r>
      <w:r w:rsidR="00851143">
        <w:rPr>
          <w:rFonts w:ascii="Arial" w:hAnsi="Arial" w:cs="Arial"/>
          <w:bCs/>
          <w:sz w:val="20"/>
          <w:szCs w:val="20"/>
        </w:rPr>
        <w:t xml:space="preserve">. </w:t>
      </w:r>
    </w:p>
    <w:p w14:paraId="489B3425" w14:textId="32DC1BC0" w:rsidR="004C557D" w:rsidRDefault="004C557D" w:rsidP="00D770E0">
      <w:pPr>
        <w:spacing w:before="120" w:after="240"/>
        <w:rPr>
          <w:rFonts w:ascii="Arial" w:hAnsi="Arial" w:cs="Arial"/>
          <w:bCs/>
          <w:sz w:val="20"/>
          <w:szCs w:val="20"/>
        </w:rPr>
      </w:pPr>
      <w:r>
        <w:rPr>
          <w:rFonts w:ascii="Arial" w:hAnsi="Arial" w:cs="Arial"/>
          <w:bCs/>
          <w:sz w:val="20"/>
          <w:szCs w:val="20"/>
        </w:rPr>
        <w:t>For those reasons, I do not consider the Committee's conclusion to be "</w:t>
      </w:r>
      <w:r w:rsidRPr="004C557D">
        <w:rPr>
          <w:rFonts w:ascii="Arial" w:hAnsi="Arial" w:cs="Arial"/>
          <w:bCs/>
          <w:i/>
          <w:iCs/>
          <w:sz w:val="20"/>
          <w:szCs w:val="20"/>
        </w:rPr>
        <w:t>obviously and unarguably wrong, illogical, or 'does not add up'</w:t>
      </w:r>
      <w:r>
        <w:rPr>
          <w:rFonts w:ascii="Arial" w:hAnsi="Arial" w:cs="Arial"/>
          <w:bCs/>
          <w:sz w:val="20"/>
          <w:szCs w:val="20"/>
        </w:rPr>
        <w:t>" based on the real-world evidence it has relied on in the FDG.</w:t>
      </w:r>
    </w:p>
    <w:p w14:paraId="6CFA1A4E" w14:textId="56C5BBC0" w:rsidR="00851143" w:rsidRDefault="00851143" w:rsidP="00D770E0">
      <w:pPr>
        <w:spacing w:before="120" w:after="240"/>
        <w:rPr>
          <w:rFonts w:ascii="Arial" w:hAnsi="Arial" w:cs="Arial"/>
          <w:bCs/>
          <w:sz w:val="20"/>
          <w:szCs w:val="20"/>
        </w:rPr>
      </w:pPr>
      <w:r>
        <w:rPr>
          <w:rFonts w:ascii="Arial" w:hAnsi="Arial" w:cs="Arial"/>
          <w:bCs/>
          <w:sz w:val="20"/>
          <w:szCs w:val="20"/>
        </w:rPr>
        <w:t xml:space="preserve">Consequently, I </w:t>
      </w:r>
      <w:r w:rsidR="00E32421">
        <w:rPr>
          <w:rFonts w:ascii="Arial" w:hAnsi="Arial" w:cs="Arial"/>
          <w:bCs/>
          <w:sz w:val="20"/>
          <w:szCs w:val="20"/>
        </w:rPr>
        <w:t>will not</w:t>
      </w:r>
      <w:r>
        <w:rPr>
          <w:rFonts w:ascii="Arial" w:hAnsi="Arial" w:cs="Arial"/>
          <w:bCs/>
          <w:sz w:val="20"/>
          <w:szCs w:val="20"/>
        </w:rPr>
        <w:t xml:space="preserve"> refer this appeal point to the appeal panel. </w:t>
      </w:r>
    </w:p>
    <w:p w14:paraId="54ADF3C0" w14:textId="6AF39476" w:rsidR="00BB16DB" w:rsidRDefault="00BB16DB" w:rsidP="00BB16DB">
      <w:pPr>
        <w:spacing w:before="120" w:after="240"/>
        <w:rPr>
          <w:rFonts w:ascii="Arial" w:hAnsi="Arial" w:cs="Arial"/>
          <w:b/>
          <w:sz w:val="20"/>
          <w:szCs w:val="20"/>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w:t>
      </w:r>
      <w:r w:rsidR="00F56A5D">
        <w:rPr>
          <w:rFonts w:ascii="Arial" w:hAnsi="Arial" w:cs="Arial"/>
          <w:b/>
          <w:sz w:val="20"/>
          <w:szCs w:val="20"/>
          <w:u w:val="single"/>
        </w:rPr>
        <w:t xml:space="preserve">2.2: </w:t>
      </w:r>
      <w:r w:rsidR="006C1D0D">
        <w:rPr>
          <w:rFonts w:ascii="Arial" w:hAnsi="Arial" w:cs="Arial"/>
          <w:b/>
          <w:sz w:val="20"/>
          <w:szCs w:val="20"/>
          <w:u w:val="single"/>
        </w:rPr>
        <w:t xml:space="preserve">The equity of access to, and risks associated with, alternative treatments were not adequately considered. </w:t>
      </w:r>
    </w:p>
    <w:p w14:paraId="7AA3BDD2" w14:textId="373333A2" w:rsidR="00851143" w:rsidRDefault="00D813A9" w:rsidP="00BB16DB">
      <w:pPr>
        <w:spacing w:before="120" w:after="240"/>
        <w:rPr>
          <w:rFonts w:ascii="Arial" w:hAnsi="Arial" w:cs="Arial"/>
          <w:bCs/>
          <w:sz w:val="20"/>
          <w:szCs w:val="20"/>
        </w:rPr>
      </w:pPr>
      <w:r>
        <w:rPr>
          <w:rFonts w:ascii="Arial" w:hAnsi="Arial" w:cs="Arial"/>
          <w:bCs/>
          <w:sz w:val="20"/>
          <w:szCs w:val="20"/>
        </w:rPr>
        <w:t xml:space="preserve">Having considered your additional analysis, I remain of the view that this </w:t>
      </w:r>
      <w:r w:rsidR="00C20F1F">
        <w:rPr>
          <w:rFonts w:ascii="Arial" w:hAnsi="Arial" w:cs="Arial"/>
          <w:bCs/>
          <w:sz w:val="20"/>
          <w:szCs w:val="20"/>
        </w:rPr>
        <w:t xml:space="preserve">appeal point should not proceed to an oral hearing. </w:t>
      </w:r>
      <w:r>
        <w:rPr>
          <w:rFonts w:ascii="Arial" w:hAnsi="Arial" w:cs="Arial"/>
          <w:bCs/>
          <w:sz w:val="20"/>
          <w:szCs w:val="20"/>
        </w:rPr>
        <w:t xml:space="preserve">I am satisfied that the Committee has considered equity of access for IVIg and </w:t>
      </w:r>
      <w:proofErr w:type="spellStart"/>
      <w:r>
        <w:rPr>
          <w:rFonts w:ascii="Arial" w:hAnsi="Arial" w:cs="Arial"/>
          <w:bCs/>
          <w:sz w:val="20"/>
          <w:szCs w:val="20"/>
        </w:rPr>
        <w:t>PLEx</w:t>
      </w:r>
      <w:proofErr w:type="spellEnd"/>
      <w:r>
        <w:rPr>
          <w:rFonts w:ascii="Arial" w:hAnsi="Arial" w:cs="Arial"/>
          <w:bCs/>
          <w:sz w:val="20"/>
          <w:szCs w:val="20"/>
        </w:rPr>
        <w:t xml:space="preserve"> in detail in the FDG, including</w:t>
      </w:r>
      <w:r w:rsidR="00C20F1F">
        <w:rPr>
          <w:rFonts w:ascii="Arial" w:hAnsi="Arial" w:cs="Arial"/>
          <w:bCs/>
          <w:sz w:val="20"/>
          <w:szCs w:val="20"/>
        </w:rPr>
        <w:t xml:space="preserve"> explicitly</w:t>
      </w:r>
      <w:r>
        <w:rPr>
          <w:rFonts w:ascii="Arial" w:hAnsi="Arial" w:cs="Arial"/>
          <w:bCs/>
          <w:sz w:val="20"/>
          <w:szCs w:val="20"/>
        </w:rPr>
        <w:t xml:space="preserve"> as an uncaptured benefit in its decision about an acceptable ICER threshold. </w:t>
      </w:r>
    </w:p>
    <w:p w14:paraId="31572A49" w14:textId="2BD241BB" w:rsidR="00D813A9" w:rsidRDefault="00D813A9" w:rsidP="00BB16DB">
      <w:pPr>
        <w:spacing w:before="120" w:after="240"/>
        <w:rPr>
          <w:rFonts w:ascii="Arial" w:hAnsi="Arial" w:cs="Arial"/>
          <w:bCs/>
          <w:sz w:val="20"/>
          <w:szCs w:val="20"/>
        </w:rPr>
      </w:pPr>
      <w:r>
        <w:rPr>
          <w:rFonts w:ascii="Arial" w:hAnsi="Arial" w:cs="Arial"/>
          <w:bCs/>
          <w:sz w:val="20"/>
          <w:szCs w:val="20"/>
        </w:rPr>
        <w:t xml:space="preserve">I am not persuaded that the Committee's conclusions could arguably be said to be unreasonable </w:t>
      </w:r>
      <w:proofErr w:type="gramStart"/>
      <w:r>
        <w:rPr>
          <w:rFonts w:ascii="Arial" w:hAnsi="Arial" w:cs="Arial"/>
          <w:bCs/>
          <w:sz w:val="20"/>
          <w:szCs w:val="20"/>
        </w:rPr>
        <w:t>in light of</w:t>
      </w:r>
      <w:proofErr w:type="gramEnd"/>
      <w:r>
        <w:rPr>
          <w:rFonts w:ascii="Arial" w:hAnsi="Arial" w:cs="Arial"/>
          <w:bCs/>
          <w:sz w:val="20"/>
          <w:szCs w:val="20"/>
        </w:rPr>
        <w:t xml:space="preserve"> its consideration of the equity of access, and as a result will not refer this appeal point to the appeal panel. </w:t>
      </w:r>
    </w:p>
    <w:p w14:paraId="14ADC3AE" w14:textId="1C3BB9C2" w:rsidR="00C20F1F" w:rsidRPr="001C12FB" w:rsidRDefault="00C20F1F" w:rsidP="00C20F1F">
      <w:pPr>
        <w:pStyle w:val="BodyText"/>
        <w:jc w:val="both"/>
        <w:rPr>
          <w:rFonts w:cs="Arial"/>
          <w:b/>
          <w:bCs/>
          <w:color w:val="auto"/>
        </w:rPr>
      </w:pPr>
      <w:r w:rsidRPr="00C20F1F">
        <w:rPr>
          <w:rFonts w:cs="Arial"/>
          <w:b/>
          <w:bCs/>
          <w:color w:val="auto"/>
          <w:u w:val="single"/>
        </w:rPr>
        <w:t xml:space="preserve">New Appeal Point 2.3: In circumstances where expert clinical input suggested that the current clinical guidelines for </w:t>
      </w:r>
      <w:proofErr w:type="spellStart"/>
      <w:r w:rsidRPr="00C20F1F">
        <w:rPr>
          <w:rFonts w:cs="Arial"/>
          <w:b/>
          <w:bCs/>
          <w:color w:val="auto"/>
          <w:u w:val="single"/>
        </w:rPr>
        <w:t>gMG</w:t>
      </w:r>
      <w:proofErr w:type="spellEnd"/>
      <w:r w:rsidRPr="00C20F1F">
        <w:rPr>
          <w:rFonts w:cs="Arial"/>
          <w:b/>
          <w:bCs/>
          <w:color w:val="auto"/>
          <w:u w:val="single"/>
        </w:rPr>
        <w:t xml:space="preserve"> are out of date and not reflective of the care pathway in practice, it was unreasonable for the committee to prefer the clinical guideline over the expert clinical input.</w:t>
      </w:r>
    </w:p>
    <w:p w14:paraId="51905358" w14:textId="63A98D96" w:rsidR="00C20F1F" w:rsidRPr="00C20F1F" w:rsidRDefault="00C20F1F" w:rsidP="00BB16DB">
      <w:pPr>
        <w:spacing w:before="120" w:after="240"/>
        <w:rPr>
          <w:rFonts w:ascii="Arial" w:hAnsi="Arial" w:cs="Arial"/>
          <w:bCs/>
          <w:sz w:val="20"/>
          <w:szCs w:val="20"/>
        </w:rPr>
      </w:pPr>
      <w:r>
        <w:rPr>
          <w:rFonts w:ascii="Arial" w:hAnsi="Arial" w:cs="Arial"/>
          <w:bCs/>
          <w:sz w:val="20"/>
          <w:szCs w:val="20"/>
        </w:rPr>
        <w:t xml:space="preserve">I confirm that this appeal </w:t>
      </w:r>
      <w:proofErr w:type="gramStart"/>
      <w:r>
        <w:rPr>
          <w:rFonts w:ascii="Arial" w:hAnsi="Arial" w:cs="Arial"/>
          <w:bCs/>
          <w:sz w:val="20"/>
          <w:szCs w:val="20"/>
        </w:rPr>
        <w:t>point</w:t>
      </w:r>
      <w:proofErr w:type="gramEnd"/>
      <w:r>
        <w:rPr>
          <w:rFonts w:ascii="Arial" w:hAnsi="Arial" w:cs="Arial"/>
          <w:bCs/>
          <w:sz w:val="20"/>
          <w:szCs w:val="20"/>
        </w:rPr>
        <w:t xml:space="preserve"> (being a combination of original appeal points 2.3 and 2.4) will be referred to the Appeal Panel. </w:t>
      </w:r>
    </w:p>
    <w:p w14:paraId="6B139B2A" w14:textId="0CC2C600" w:rsidR="00BB16DB" w:rsidRDefault="00BB16DB" w:rsidP="00BB16DB">
      <w:pPr>
        <w:spacing w:before="120" w:after="240"/>
        <w:rPr>
          <w:rFonts w:ascii="Arial" w:hAnsi="Arial" w:cs="Arial"/>
          <w:b/>
          <w:sz w:val="20"/>
          <w:szCs w:val="20"/>
          <w:u w:val="single"/>
        </w:rPr>
      </w:pPr>
      <w:r w:rsidRPr="00BB16DB">
        <w:rPr>
          <w:rFonts w:ascii="Arial" w:hAnsi="Arial" w:cs="Arial"/>
          <w:b/>
          <w:sz w:val="20"/>
          <w:szCs w:val="20"/>
          <w:u w:val="single"/>
        </w:rPr>
        <w:t xml:space="preserve">Appeal </w:t>
      </w:r>
      <w:proofErr w:type="gramStart"/>
      <w:r w:rsidRPr="00BB16DB">
        <w:rPr>
          <w:rFonts w:ascii="Arial" w:hAnsi="Arial" w:cs="Arial"/>
          <w:b/>
          <w:sz w:val="20"/>
          <w:szCs w:val="20"/>
          <w:u w:val="single"/>
        </w:rPr>
        <w:t>point</w:t>
      </w:r>
      <w:proofErr w:type="gramEnd"/>
      <w:r w:rsidRPr="00BB16DB">
        <w:rPr>
          <w:rFonts w:ascii="Arial" w:hAnsi="Arial" w:cs="Arial"/>
          <w:b/>
          <w:sz w:val="20"/>
          <w:szCs w:val="20"/>
          <w:u w:val="single"/>
        </w:rPr>
        <w:t xml:space="preserve"> 2.</w:t>
      </w:r>
      <w:r>
        <w:rPr>
          <w:rFonts w:ascii="Arial" w:hAnsi="Arial" w:cs="Arial"/>
          <w:b/>
          <w:sz w:val="20"/>
          <w:szCs w:val="20"/>
          <w:u w:val="single"/>
        </w:rPr>
        <w:t>5</w:t>
      </w:r>
      <w:r w:rsidRPr="00BB16DB">
        <w:rPr>
          <w:rFonts w:ascii="Arial" w:hAnsi="Arial" w:cs="Arial"/>
          <w:b/>
          <w:sz w:val="20"/>
          <w:szCs w:val="20"/>
          <w:u w:val="single"/>
        </w:rPr>
        <w:t xml:space="preserve">: </w:t>
      </w:r>
      <w:r w:rsidR="006C1D0D">
        <w:rPr>
          <w:rFonts w:ascii="Arial" w:hAnsi="Arial" w:cs="Arial"/>
          <w:b/>
          <w:sz w:val="20"/>
          <w:szCs w:val="20"/>
          <w:u w:val="single"/>
        </w:rPr>
        <w:t>There has been insufficient consideration of evidence provided by patients and caregivers</w:t>
      </w:r>
      <w:r w:rsidR="00F56A5D">
        <w:rPr>
          <w:rFonts w:ascii="Arial" w:hAnsi="Arial" w:cs="Arial"/>
          <w:b/>
          <w:sz w:val="20"/>
          <w:szCs w:val="20"/>
          <w:u w:val="single"/>
        </w:rPr>
        <w:t xml:space="preserve"> </w:t>
      </w:r>
    </w:p>
    <w:p w14:paraId="22BEF345" w14:textId="584D7E7C" w:rsidR="00CB6B08" w:rsidRDefault="00C20F1F" w:rsidP="00BB16DB">
      <w:pPr>
        <w:spacing w:before="120" w:after="240"/>
        <w:rPr>
          <w:rFonts w:ascii="Arial" w:hAnsi="Arial" w:cs="Arial"/>
          <w:bCs/>
          <w:sz w:val="20"/>
          <w:szCs w:val="20"/>
        </w:rPr>
      </w:pPr>
      <w:r>
        <w:rPr>
          <w:rFonts w:ascii="Arial" w:hAnsi="Arial" w:cs="Arial"/>
          <w:bCs/>
          <w:sz w:val="20"/>
          <w:szCs w:val="20"/>
        </w:rPr>
        <w:t xml:space="preserve">I have considered in detail your arguments that the Committee gave insufficient consideration of evidence provided by patients and </w:t>
      </w:r>
      <w:r w:rsidR="000A714D">
        <w:rPr>
          <w:rFonts w:ascii="Arial" w:hAnsi="Arial" w:cs="Arial"/>
          <w:bCs/>
          <w:sz w:val="20"/>
          <w:szCs w:val="20"/>
        </w:rPr>
        <w:t xml:space="preserve">caregivers. NICE guidance relies on the </w:t>
      </w:r>
      <w:proofErr w:type="gramStart"/>
      <w:r w:rsidR="000A714D">
        <w:rPr>
          <w:rFonts w:ascii="Arial" w:hAnsi="Arial" w:cs="Arial"/>
          <w:bCs/>
          <w:sz w:val="20"/>
          <w:szCs w:val="20"/>
        </w:rPr>
        <w:t>real life</w:t>
      </w:r>
      <w:proofErr w:type="gramEnd"/>
      <w:r w:rsidR="000A714D">
        <w:rPr>
          <w:rFonts w:ascii="Arial" w:hAnsi="Arial" w:cs="Arial"/>
          <w:bCs/>
          <w:sz w:val="20"/>
          <w:szCs w:val="20"/>
        </w:rPr>
        <w:t xml:space="preserve"> experiences of people who use health and social care services. Our </w:t>
      </w:r>
      <w:hyperlink r:id="rId12" w:history="1">
        <w:r w:rsidR="000A714D" w:rsidRPr="000A714D">
          <w:rPr>
            <w:rStyle w:val="Hyperlink"/>
            <w:rFonts w:ascii="Arial" w:hAnsi="Arial" w:cs="Arial"/>
            <w:bCs/>
            <w:sz w:val="20"/>
            <w:szCs w:val="20"/>
          </w:rPr>
          <w:t xml:space="preserve">Patient and Public Involvement Policy </w:t>
        </w:r>
        <w:r w:rsidRPr="000A714D">
          <w:rPr>
            <w:rStyle w:val="Hyperlink"/>
            <w:rFonts w:ascii="Arial" w:hAnsi="Arial" w:cs="Arial"/>
            <w:bCs/>
            <w:sz w:val="20"/>
            <w:szCs w:val="20"/>
          </w:rPr>
          <w:t xml:space="preserve"> </w:t>
        </w:r>
      </w:hyperlink>
      <w:r w:rsidR="000A714D">
        <w:rPr>
          <w:rFonts w:ascii="Arial" w:hAnsi="Arial" w:cs="Arial"/>
          <w:bCs/>
          <w:sz w:val="20"/>
          <w:szCs w:val="20"/>
        </w:rPr>
        <w:t xml:space="preserve">outlines our commitment to public involvement, and sets out the breadth of opportunities for patients and caregivers to engage in the appraisal process. </w:t>
      </w:r>
    </w:p>
    <w:p w14:paraId="6520153E" w14:textId="7AA8D828" w:rsidR="000A714D" w:rsidRDefault="000A714D" w:rsidP="00BB16DB">
      <w:pPr>
        <w:spacing w:before="120" w:after="240"/>
        <w:rPr>
          <w:rFonts w:ascii="Arial" w:hAnsi="Arial" w:cs="Arial"/>
          <w:bCs/>
          <w:sz w:val="20"/>
          <w:szCs w:val="20"/>
        </w:rPr>
      </w:pPr>
      <w:r>
        <w:rPr>
          <w:rFonts w:ascii="Arial" w:hAnsi="Arial" w:cs="Arial"/>
          <w:bCs/>
          <w:sz w:val="20"/>
          <w:szCs w:val="20"/>
        </w:rPr>
        <w:t xml:space="preserve">While recognising the inherent difficulties faced by patients living with </w:t>
      </w:r>
      <w:proofErr w:type="spellStart"/>
      <w:r>
        <w:rPr>
          <w:rFonts w:ascii="Arial" w:hAnsi="Arial" w:cs="Arial"/>
          <w:bCs/>
          <w:sz w:val="20"/>
          <w:szCs w:val="20"/>
        </w:rPr>
        <w:t>gMG</w:t>
      </w:r>
      <w:proofErr w:type="spellEnd"/>
      <w:r>
        <w:rPr>
          <w:rFonts w:ascii="Arial" w:hAnsi="Arial" w:cs="Arial"/>
          <w:bCs/>
          <w:sz w:val="20"/>
          <w:szCs w:val="20"/>
        </w:rPr>
        <w:t xml:space="preserve">, I remain of the view that there was ample opportunity in this appraisal process for patients and caregivers to participate in </w:t>
      </w:r>
      <w:proofErr w:type="gramStart"/>
      <w:r>
        <w:rPr>
          <w:rFonts w:ascii="Arial" w:hAnsi="Arial" w:cs="Arial"/>
          <w:bCs/>
          <w:sz w:val="20"/>
          <w:szCs w:val="20"/>
        </w:rPr>
        <w:t>a number of</w:t>
      </w:r>
      <w:proofErr w:type="gramEnd"/>
      <w:r>
        <w:rPr>
          <w:rFonts w:ascii="Arial" w:hAnsi="Arial" w:cs="Arial"/>
          <w:bCs/>
          <w:sz w:val="20"/>
          <w:szCs w:val="20"/>
        </w:rPr>
        <w:t xml:space="preserve"> different ways. I attribute </w:t>
      </w:r>
      <w:proofErr w:type="gramStart"/>
      <w:r>
        <w:rPr>
          <w:rFonts w:ascii="Arial" w:hAnsi="Arial" w:cs="Arial"/>
          <w:bCs/>
          <w:sz w:val="20"/>
          <w:szCs w:val="20"/>
        </w:rPr>
        <w:t>particular weight</w:t>
      </w:r>
      <w:proofErr w:type="gramEnd"/>
      <w:r>
        <w:rPr>
          <w:rFonts w:ascii="Arial" w:hAnsi="Arial" w:cs="Arial"/>
          <w:bCs/>
          <w:sz w:val="20"/>
          <w:szCs w:val="20"/>
        </w:rPr>
        <w:t xml:space="preserve"> to the fact that there were four committee meetings in this technology appraisal process (which is greater than usual for single technology appraisals), as well as the opportunity to participate in writing. </w:t>
      </w:r>
    </w:p>
    <w:p w14:paraId="5CCC2537" w14:textId="4A654531" w:rsidR="00877C39" w:rsidRDefault="00877C39" w:rsidP="00BB16DB">
      <w:pPr>
        <w:spacing w:before="120" w:after="240"/>
        <w:rPr>
          <w:rFonts w:ascii="Arial" w:hAnsi="Arial" w:cs="Arial"/>
          <w:bCs/>
          <w:sz w:val="20"/>
          <w:szCs w:val="20"/>
        </w:rPr>
      </w:pPr>
      <w:r>
        <w:rPr>
          <w:rFonts w:ascii="Arial" w:hAnsi="Arial" w:cs="Arial"/>
          <w:bCs/>
          <w:sz w:val="20"/>
          <w:szCs w:val="20"/>
        </w:rPr>
        <w:t>In conducting Committee meetings, Committee chairs must ensure that a</w:t>
      </w:r>
      <w:r w:rsidR="00B038F1">
        <w:rPr>
          <w:rFonts w:ascii="Arial" w:hAnsi="Arial" w:cs="Arial"/>
          <w:bCs/>
          <w:sz w:val="20"/>
          <w:szCs w:val="20"/>
        </w:rPr>
        <w:t xml:space="preserve"> diverse</w:t>
      </w:r>
      <w:r>
        <w:rPr>
          <w:rFonts w:ascii="Arial" w:hAnsi="Arial" w:cs="Arial"/>
          <w:bCs/>
          <w:sz w:val="20"/>
          <w:szCs w:val="20"/>
        </w:rPr>
        <w:t xml:space="preserve"> range of evidence is presented and discussed at committee meetings. This necessarily means having to strike a balance between evidence from the Company, the EAG, patient and clinical experts and other stakeholders. It is also recognised in the Manual that all evidence (not just that adduced in committee meetings) is </w:t>
      </w:r>
      <w:proofErr w:type="gramStart"/>
      <w:r>
        <w:rPr>
          <w:rFonts w:ascii="Arial" w:hAnsi="Arial" w:cs="Arial"/>
          <w:bCs/>
          <w:sz w:val="20"/>
          <w:szCs w:val="20"/>
        </w:rPr>
        <w:t>taken into account</w:t>
      </w:r>
      <w:proofErr w:type="gramEnd"/>
      <w:r>
        <w:rPr>
          <w:rFonts w:ascii="Arial" w:hAnsi="Arial" w:cs="Arial"/>
          <w:bCs/>
          <w:sz w:val="20"/>
          <w:szCs w:val="20"/>
        </w:rPr>
        <w:t xml:space="preserve"> by the Committee in its decision making. </w:t>
      </w:r>
    </w:p>
    <w:p w14:paraId="4F5F3DD7" w14:textId="77777777" w:rsidR="00287DB7" w:rsidRDefault="00877C39" w:rsidP="00BB16DB">
      <w:pPr>
        <w:spacing w:before="120" w:after="240"/>
        <w:rPr>
          <w:rFonts w:ascii="Arial" w:hAnsi="Arial" w:cs="Arial"/>
          <w:bCs/>
          <w:sz w:val="20"/>
          <w:szCs w:val="20"/>
        </w:rPr>
      </w:pPr>
      <w:r>
        <w:rPr>
          <w:rFonts w:ascii="Arial" w:hAnsi="Arial" w:cs="Arial"/>
          <w:bCs/>
          <w:sz w:val="20"/>
          <w:szCs w:val="20"/>
        </w:rPr>
        <w:t xml:space="preserve">Taking all the above into account, I do not consider this to be a valid appeal </w:t>
      </w:r>
      <w:proofErr w:type="gramStart"/>
      <w:r>
        <w:rPr>
          <w:rFonts w:ascii="Arial" w:hAnsi="Arial" w:cs="Arial"/>
          <w:bCs/>
          <w:sz w:val="20"/>
          <w:szCs w:val="20"/>
        </w:rPr>
        <w:t>point, and</w:t>
      </w:r>
      <w:proofErr w:type="gramEnd"/>
      <w:r>
        <w:rPr>
          <w:rFonts w:ascii="Arial" w:hAnsi="Arial" w:cs="Arial"/>
          <w:bCs/>
          <w:sz w:val="20"/>
          <w:szCs w:val="20"/>
        </w:rPr>
        <w:t xml:space="preserve"> will not refer it to the Appeal Panel. </w:t>
      </w:r>
    </w:p>
    <w:p w14:paraId="27053961" w14:textId="3E05F98B" w:rsidR="00877C39" w:rsidRDefault="00877C39" w:rsidP="00BB16DB">
      <w:pPr>
        <w:spacing w:before="120" w:after="240"/>
        <w:rPr>
          <w:rFonts w:ascii="Arial" w:hAnsi="Arial" w:cs="Arial"/>
          <w:bCs/>
          <w:sz w:val="20"/>
          <w:szCs w:val="20"/>
        </w:rPr>
      </w:pPr>
      <w:r>
        <w:rPr>
          <w:rFonts w:ascii="Arial" w:hAnsi="Arial" w:cs="Arial"/>
          <w:bCs/>
          <w:sz w:val="20"/>
          <w:szCs w:val="20"/>
        </w:rPr>
        <w:t xml:space="preserve">I will, however, ensure that </w:t>
      </w:r>
      <w:r w:rsidR="00287DB7">
        <w:rPr>
          <w:rFonts w:ascii="Arial" w:hAnsi="Arial" w:cs="Arial"/>
          <w:bCs/>
          <w:sz w:val="20"/>
          <w:szCs w:val="20"/>
        </w:rPr>
        <w:t xml:space="preserve">your views are fed back to the technology appraisal chairs and </w:t>
      </w:r>
      <w:r w:rsidR="00E32421">
        <w:rPr>
          <w:rFonts w:ascii="Arial" w:hAnsi="Arial" w:cs="Arial"/>
          <w:bCs/>
          <w:sz w:val="20"/>
          <w:szCs w:val="20"/>
        </w:rPr>
        <w:t>incorporated into their ongoing training</w:t>
      </w:r>
      <w:r w:rsidR="00287DB7">
        <w:rPr>
          <w:rFonts w:ascii="Arial" w:hAnsi="Arial" w:cs="Arial"/>
          <w:bCs/>
          <w:sz w:val="20"/>
          <w:szCs w:val="20"/>
        </w:rPr>
        <w:t>.</w:t>
      </w:r>
    </w:p>
    <w:p w14:paraId="04E4B91E" w14:textId="77777777" w:rsidR="00877C39" w:rsidRPr="008A5FC3" w:rsidRDefault="00877C39" w:rsidP="00BB16DB">
      <w:pPr>
        <w:spacing w:before="120" w:after="240"/>
        <w:rPr>
          <w:rFonts w:ascii="Arial" w:hAnsi="Arial" w:cs="Arial"/>
          <w:bCs/>
          <w:sz w:val="20"/>
          <w:szCs w:val="20"/>
        </w:rPr>
      </w:pPr>
    </w:p>
    <w:p w14:paraId="2AADAF28" w14:textId="77777777" w:rsidR="005A7A7D" w:rsidRPr="00771051" w:rsidRDefault="005A7A7D" w:rsidP="005A7A7D">
      <w:pPr>
        <w:spacing w:before="120" w:after="240"/>
        <w:jc w:val="both"/>
        <w:rPr>
          <w:rFonts w:ascii="Arial" w:eastAsia="Times New Roman" w:hAnsi="Arial" w:cs="Arial"/>
          <w:sz w:val="20"/>
          <w:szCs w:val="20"/>
          <w:u w:val="single"/>
        </w:rPr>
      </w:pPr>
      <w:r w:rsidRPr="00771051">
        <w:rPr>
          <w:rFonts w:ascii="Arial" w:eastAsia="Times New Roman" w:hAnsi="Arial" w:cs="Arial"/>
          <w:sz w:val="20"/>
          <w:szCs w:val="20"/>
          <w:u w:val="single"/>
        </w:rPr>
        <w:t>Conclusion</w:t>
      </w:r>
    </w:p>
    <w:p w14:paraId="04DE40CF" w14:textId="22155E5D" w:rsidR="0044509C" w:rsidRPr="00287DB7" w:rsidRDefault="005A7A7D" w:rsidP="00287DB7">
      <w:pPr>
        <w:spacing w:before="120" w:after="240"/>
        <w:jc w:val="both"/>
        <w:rPr>
          <w:rFonts w:ascii="Arial" w:eastAsia="Times New Roman" w:hAnsi="Arial" w:cs="Arial"/>
          <w:sz w:val="20"/>
          <w:szCs w:val="20"/>
        </w:rPr>
      </w:pPr>
      <w:proofErr w:type="gramStart"/>
      <w:r w:rsidRPr="00771051">
        <w:rPr>
          <w:rFonts w:ascii="Arial" w:eastAsia="Times New Roman" w:hAnsi="Arial" w:cs="Arial"/>
          <w:sz w:val="20"/>
          <w:szCs w:val="20"/>
        </w:rPr>
        <w:t>Therefore</w:t>
      </w:r>
      <w:proofErr w:type="gramEnd"/>
      <w:r w:rsidRPr="00771051">
        <w:rPr>
          <w:rFonts w:ascii="Arial" w:eastAsia="Times New Roman" w:hAnsi="Arial" w:cs="Arial"/>
          <w:sz w:val="20"/>
          <w:szCs w:val="20"/>
        </w:rPr>
        <w:t xml:space="preserve"> the valid appeal point</w:t>
      </w:r>
      <w:r w:rsidR="00287DB7">
        <w:rPr>
          <w:rFonts w:ascii="Arial" w:eastAsia="Times New Roman" w:hAnsi="Arial" w:cs="Arial"/>
          <w:sz w:val="20"/>
          <w:szCs w:val="20"/>
        </w:rPr>
        <w:t xml:space="preserve"> is</w:t>
      </w:r>
      <w:r w:rsidRPr="00771051">
        <w:rPr>
          <w:rFonts w:ascii="Arial" w:eastAsia="Times New Roman" w:hAnsi="Arial" w:cs="Arial"/>
          <w:sz w:val="20"/>
          <w:szCs w:val="20"/>
        </w:rPr>
        <w:t>:</w:t>
      </w:r>
    </w:p>
    <w:p w14:paraId="6F7E3CE3" w14:textId="046375B5" w:rsidR="00287DB7" w:rsidRPr="001C12FB" w:rsidRDefault="00287DB7" w:rsidP="00287DB7">
      <w:pPr>
        <w:pStyle w:val="BodyText"/>
        <w:numPr>
          <w:ilvl w:val="0"/>
          <w:numId w:val="14"/>
        </w:numPr>
        <w:jc w:val="both"/>
        <w:rPr>
          <w:rFonts w:cs="Arial"/>
          <w:b/>
          <w:bCs/>
          <w:color w:val="auto"/>
        </w:rPr>
      </w:pPr>
      <w:r w:rsidRPr="00C20F1F">
        <w:rPr>
          <w:rFonts w:cs="Arial"/>
          <w:b/>
          <w:bCs/>
          <w:color w:val="auto"/>
          <w:u w:val="single"/>
        </w:rPr>
        <w:t xml:space="preserve">Appeal Point 2.3: </w:t>
      </w:r>
      <w:r w:rsidRPr="00287DB7">
        <w:rPr>
          <w:rFonts w:cs="Arial"/>
          <w:color w:val="auto"/>
        </w:rPr>
        <w:t xml:space="preserve">In circumstances where expert clinical input suggested that the current clinical guidelines for </w:t>
      </w:r>
      <w:proofErr w:type="spellStart"/>
      <w:r w:rsidRPr="00287DB7">
        <w:rPr>
          <w:rFonts w:cs="Arial"/>
          <w:color w:val="auto"/>
        </w:rPr>
        <w:t>gMG</w:t>
      </w:r>
      <w:proofErr w:type="spellEnd"/>
      <w:r w:rsidRPr="00287DB7">
        <w:rPr>
          <w:rFonts w:cs="Arial"/>
          <w:color w:val="auto"/>
        </w:rPr>
        <w:t xml:space="preserve"> are out of date and not reflective of the care pathway in practice, it was unreasonable for the committee to prefer the clinical guideline over the expert clinical input. [original appeal </w:t>
      </w:r>
      <w:proofErr w:type="gramStart"/>
      <w:r w:rsidRPr="00287DB7">
        <w:rPr>
          <w:rFonts w:cs="Arial"/>
          <w:color w:val="auto"/>
        </w:rPr>
        <w:t>point</w:t>
      </w:r>
      <w:proofErr w:type="gramEnd"/>
      <w:r w:rsidRPr="00287DB7">
        <w:rPr>
          <w:rFonts w:cs="Arial"/>
          <w:color w:val="auto"/>
        </w:rPr>
        <w:t xml:space="preserve"> 2.3 and 2.4]</w:t>
      </w:r>
    </w:p>
    <w:p w14:paraId="5CCF2CB3" w14:textId="77777777" w:rsidR="005A7A7D" w:rsidRDefault="005A7A7D" w:rsidP="005A7A7D">
      <w:pPr>
        <w:spacing w:before="120" w:after="240"/>
        <w:jc w:val="both"/>
        <w:rPr>
          <w:rFonts w:ascii="Arial" w:eastAsia="Times New Roman" w:hAnsi="Arial" w:cs="Arial"/>
          <w:sz w:val="20"/>
          <w:szCs w:val="20"/>
        </w:rPr>
      </w:pPr>
      <w:r w:rsidRPr="00771051">
        <w:rPr>
          <w:rFonts w:ascii="Arial" w:eastAsia="Times New Roman" w:hAnsi="Arial" w:cs="Arial"/>
          <w:sz w:val="20"/>
          <w:szCs w:val="20"/>
        </w:rPr>
        <w:t xml:space="preserve">NICE will be in contact with you regarding the administration of the appeal, which will be held orally. </w:t>
      </w:r>
    </w:p>
    <w:p w14:paraId="52FF4F49" w14:textId="4DED17F1" w:rsidR="00355A99" w:rsidRDefault="00355A99" w:rsidP="005A7A7D">
      <w:pPr>
        <w:spacing w:before="120" w:after="240"/>
        <w:jc w:val="both"/>
        <w:rPr>
          <w:rFonts w:ascii="Arial" w:eastAsia="Times New Roman" w:hAnsi="Arial" w:cs="Arial"/>
          <w:sz w:val="20"/>
          <w:szCs w:val="20"/>
        </w:rPr>
      </w:pPr>
      <w:r>
        <w:rPr>
          <w:rFonts w:ascii="Arial" w:eastAsia="Times New Roman" w:hAnsi="Arial" w:cs="Arial"/>
          <w:sz w:val="20"/>
          <w:szCs w:val="20"/>
        </w:rPr>
        <w:t xml:space="preserve">Thank you for your comments and engagement in the appeals process. </w:t>
      </w:r>
    </w:p>
    <w:p w14:paraId="27A1A8F0" w14:textId="77777777" w:rsidR="00355A99" w:rsidRPr="00355A99" w:rsidRDefault="00355A99" w:rsidP="005A7A7D">
      <w:pPr>
        <w:spacing w:before="120" w:after="240"/>
        <w:jc w:val="both"/>
        <w:rPr>
          <w:rFonts w:ascii="Arial" w:eastAsia="Times New Roman" w:hAnsi="Arial" w:cs="Arial"/>
          <w:sz w:val="20"/>
          <w:szCs w:val="20"/>
        </w:rPr>
      </w:pPr>
    </w:p>
    <w:p w14:paraId="21218F1A" w14:textId="77777777" w:rsidR="00FB56C9" w:rsidRPr="00FB56C9" w:rsidRDefault="00FB56C9" w:rsidP="00FB56C9">
      <w:pPr>
        <w:spacing w:line="360" w:lineRule="auto"/>
        <w:rPr>
          <w:rFonts w:ascii="Arial" w:eastAsia="Times New Roman" w:hAnsi="Arial" w:cs="Arial"/>
          <w:sz w:val="20"/>
          <w:szCs w:val="20"/>
        </w:rPr>
      </w:pPr>
      <w:r w:rsidRPr="2DC912BF">
        <w:rPr>
          <w:rFonts w:ascii="Arial" w:eastAsia="Times New Roman" w:hAnsi="Arial" w:cs="Arial"/>
          <w:sz w:val="20"/>
          <w:szCs w:val="20"/>
        </w:rPr>
        <w:t>Yours sincerely</w:t>
      </w:r>
    </w:p>
    <w:p w14:paraId="1F7BA001" w14:textId="1B53F2E4" w:rsidR="00FB56C9" w:rsidRPr="00C541F6" w:rsidRDefault="00C541F6" w:rsidP="00FB56C9">
      <w:pPr>
        <w:spacing w:line="360" w:lineRule="auto"/>
        <w:rPr>
          <w:sz w:val="72"/>
          <w:szCs w:val="72"/>
        </w:rPr>
      </w:pPr>
      <w:r w:rsidRPr="00C541F6">
        <w:rPr>
          <w:noProof/>
          <w:sz w:val="72"/>
          <w:szCs w:val="72"/>
          <w:highlight w:val="black"/>
        </w:rPr>
        <w:t>XXXXXXX</w:t>
      </w:r>
    </w:p>
    <w:p w14:paraId="64B60BBF" w14:textId="77777777" w:rsidR="00FB56C9" w:rsidRPr="00FB56C9" w:rsidRDefault="00FB56C9" w:rsidP="00FB56C9">
      <w:pPr>
        <w:spacing w:line="360" w:lineRule="auto"/>
        <w:rPr>
          <w:rFonts w:ascii="Arial" w:eastAsia="Times New Roman" w:hAnsi="Arial" w:cs="Arial"/>
          <w:sz w:val="20"/>
          <w:szCs w:val="20"/>
        </w:rPr>
      </w:pPr>
      <w:r w:rsidRPr="00FB56C9">
        <w:rPr>
          <w:rFonts w:ascii="Arial" w:eastAsia="Times New Roman" w:hAnsi="Arial" w:cs="Arial"/>
          <w:sz w:val="20"/>
          <w:szCs w:val="20"/>
        </w:rPr>
        <w:t xml:space="preserve">Sharmila </w:t>
      </w:r>
      <w:proofErr w:type="spellStart"/>
      <w:r w:rsidRPr="00FB56C9">
        <w:rPr>
          <w:rFonts w:ascii="Arial" w:eastAsia="Times New Roman" w:hAnsi="Arial" w:cs="Arial"/>
          <w:sz w:val="20"/>
          <w:szCs w:val="20"/>
        </w:rPr>
        <w:t>Nebhrajani</w:t>
      </w:r>
      <w:proofErr w:type="spellEnd"/>
      <w:r w:rsidRPr="00FB56C9">
        <w:rPr>
          <w:rFonts w:ascii="Arial" w:eastAsia="Times New Roman" w:hAnsi="Arial" w:cs="Arial"/>
          <w:sz w:val="20"/>
          <w:szCs w:val="20"/>
        </w:rPr>
        <w:t xml:space="preserve"> OBE</w:t>
      </w:r>
    </w:p>
    <w:p w14:paraId="36ED7FDF" w14:textId="77777777" w:rsidR="00FB56C9" w:rsidRPr="00FB56C9" w:rsidRDefault="00FB56C9" w:rsidP="00FB56C9">
      <w:pPr>
        <w:spacing w:line="360" w:lineRule="auto"/>
        <w:rPr>
          <w:rFonts w:ascii="Arial" w:eastAsia="Times New Roman" w:hAnsi="Arial" w:cs="Arial"/>
          <w:sz w:val="20"/>
          <w:szCs w:val="20"/>
        </w:rPr>
      </w:pPr>
      <w:r w:rsidRPr="00FB56C9">
        <w:rPr>
          <w:rFonts w:ascii="Arial" w:eastAsia="Times New Roman" w:hAnsi="Arial" w:cs="Arial"/>
          <w:sz w:val="20"/>
          <w:szCs w:val="20"/>
        </w:rPr>
        <w:t>Chairman</w:t>
      </w:r>
    </w:p>
    <w:p w14:paraId="03E7BAFA" w14:textId="504F4D8D" w:rsidR="000B36E1" w:rsidRPr="0043022B" w:rsidRDefault="00FB56C9" w:rsidP="00FB56C9">
      <w:pPr>
        <w:spacing w:line="360" w:lineRule="auto"/>
        <w:rPr>
          <w:rFonts w:ascii="Arial" w:hAnsi="Arial" w:cs="Arial"/>
          <w:sz w:val="20"/>
          <w:szCs w:val="20"/>
        </w:rPr>
      </w:pPr>
      <w:r w:rsidRPr="00FB56C9">
        <w:rPr>
          <w:rFonts w:ascii="Arial" w:eastAsia="Times New Roman" w:hAnsi="Arial" w:cs="Arial"/>
          <w:sz w:val="20"/>
          <w:szCs w:val="20"/>
        </w:rPr>
        <w:t>National Institute for Health and Care Excellence</w:t>
      </w:r>
    </w:p>
    <w:sectPr w:rsidR="000B36E1" w:rsidRPr="0043022B" w:rsidSect="000B36E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1B2D4" w14:textId="77777777" w:rsidR="00D43C5C" w:rsidRDefault="00D43C5C" w:rsidP="000B352B">
      <w:pPr>
        <w:spacing w:after="0" w:line="240" w:lineRule="auto"/>
      </w:pPr>
      <w:r>
        <w:separator/>
      </w:r>
    </w:p>
  </w:endnote>
  <w:endnote w:type="continuationSeparator" w:id="0">
    <w:p w14:paraId="05F8C610" w14:textId="77777777" w:rsidR="00D43C5C" w:rsidRDefault="00D43C5C"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58B5" w14:textId="77777777" w:rsidR="00BB16DB" w:rsidRDefault="00BB16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323D" w14:textId="1CEBF2EA"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2B6A0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907F" w14:textId="77777777" w:rsidR="00D43C5C" w:rsidRDefault="00D43C5C" w:rsidP="000B352B">
      <w:pPr>
        <w:spacing w:after="0" w:line="240" w:lineRule="auto"/>
      </w:pPr>
      <w:r>
        <w:separator/>
      </w:r>
    </w:p>
  </w:footnote>
  <w:footnote w:type="continuationSeparator" w:id="0">
    <w:p w14:paraId="31E0A164" w14:textId="77777777" w:rsidR="00D43C5C" w:rsidRDefault="00D43C5C"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8101" w14:textId="77777777" w:rsidR="00BB16DB" w:rsidRDefault="00BB16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B329C"/>
    <w:multiLevelType w:val="hybridMultilevel"/>
    <w:tmpl w:val="B0FA187C"/>
    <w:lvl w:ilvl="0" w:tplc="B26EA208">
      <w:numFmt w:val="bullet"/>
      <w:lvlText w:val="•"/>
      <w:lvlJc w:val="left"/>
      <w:pPr>
        <w:ind w:left="1080" w:hanging="72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4" w15:restartNumberingAfterBreak="0">
    <w:nsid w:val="342F1D0C"/>
    <w:multiLevelType w:val="hybridMultilevel"/>
    <w:tmpl w:val="79C26A16"/>
    <w:lvl w:ilvl="0" w:tplc="B0DA353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F461914"/>
    <w:multiLevelType w:val="hybridMultilevel"/>
    <w:tmpl w:val="B69CEE2C"/>
    <w:lvl w:ilvl="0" w:tplc="B26EA208">
      <w:numFmt w:val="bullet"/>
      <w:lvlText w:val="•"/>
      <w:lvlJc w:val="left"/>
      <w:pPr>
        <w:ind w:left="1080" w:hanging="72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A516F7"/>
    <w:multiLevelType w:val="hybridMultilevel"/>
    <w:tmpl w:val="D8E8B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8241A"/>
    <w:multiLevelType w:val="hybridMultilevel"/>
    <w:tmpl w:val="120E2742"/>
    <w:lvl w:ilvl="0" w:tplc="08090001">
      <w:start w:val="1"/>
      <w:numFmt w:val="bullet"/>
      <w:lvlText w:val=""/>
      <w:lvlJc w:val="left"/>
      <w:pPr>
        <w:ind w:left="1080" w:hanging="72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E42DB3"/>
    <w:multiLevelType w:val="hybridMultilevel"/>
    <w:tmpl w:val="4538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1A545E2"/>
    <w:multiLevelType w:val="hybridMultilevel"/>
    <w:tmpl w:val="9028B44C"/>
    <w:lvl w:ilvl="0" w:tplc="A6907310">
      <w:start w:val="1"/>
      <w:numFmt w:val="lowerRoman"/>
      <w:lvlText w:val="(%1)"/>
      <w:lvlJc w:val="left"/>
      <w:pPr>
        <w:ind w:left="330" w:hanging="720"/>
      </w:pPr>
      <w:rPr>
        <w:rFonts w:hint="default"/>
      </w:rPr>
    </w:lvl>
    <w:lvl w:ilvl="1" w:tplc="08090019" w:tentative="1">
      <w:start w:val="1"/>
      <w:numFmt w:val="lowerLetter"/>
      <w:lvlText w:val="%2."/>
      <w:lvlJc w:val="left"/>
      <w:pPr>
        <w:ind w:left="690" w:hanging="360"/>
      </w:pPr>
    </w:lvl>
    <w:lvl w:ilvl="2" w:tplc="0809001B" w:tentative="1">
      <w:start w:val="1"/>
      <w:numFmt w:val="lowerRoman"/>
      <w:lvlText w:val="%3."/>
      <w:lvlJc w:val="right"/>
      <w:pPr>
        <w:ind w:left="1410" w:hanging="180"/>
      </w:pPr>
    </w:lvl>
    <w:lvl w:ilvl="3" w:tplc="0809000F" w:tentative="1">
      <w:start w:val="1"/>
      <w:numFmt w:val="decimal"/>
      <w:lvlText w:val="%4."/>
      <w:lvlJc w:val="left"/>
      <w:pPr>
        <w:ind w:left="2130" w:hanging="360"/>
      </w:pPr>
    </w:lvl>
    <w:lvl w:ilvl="4" w:tplc="08090019" w:tentative="1">
      <w:start w:val="1"/>
      <w:numFmt w:val="lowerLetter"/>
      <w:lvlText w:val="%5."/>
      <w:lvlJc w:val="left"/>
      <w:pPr>
        <w:ind w:left="2850" w:hanging="360"/>
      </w:pPr>
    </w:lvl>
    <w:lvl w:ilvl="5" w:tplc="0809001B" w:tentative="1">
      <w:start w:val="1"/>
      <w:numFmt w:val="lowerRoman"/>
      <w:lvlText w:val="%6."/>
      <w:lvlJc w:val="right"/>
      <w:pPr>
        <w:ind w:left="3570" w:hanging="180"/>
      </w:pPr>
    </w:lvl>
    <w:lvl w:ilvl="6" w:tplc="0809000F" w:tentative="1">
      <w:start w:val="1"/>
      <w:numFmt w:val="decimal"/>
      <w:lvlText w:val="%7."/>
      <w:lvlJc w:val="left"/>
      <w:pPr>
        <w:ind w:left="4290" w:hanging="360"/>
      </w:pPr>
    </w:lvl>
    <w:lvl w:ilvl="7" w:tplc="08090019" w:tentative="1">
      <w:start w:val="1"/>
      <w:numFmt w:val="lowerLetter"/>
      <w:lvlText w:val="%8."/>
      <w:lvlJc w:val="left"/>
      <w:pPr>
        <w:ind w:left="5010" w:hanging="360"/>
      </w:pPr>
    </w:lvl>
    <w:lvl w:ilvl="8" w:tplc="0809001B" w:tentative="1">
      <w:start w:val="1"/>
      <w:numFmt w:val="lowerRoman"/>
      <w:lvlText w:val="%9."/>
      <w:lvlJc w:val="right"/>
      <w:pPr>
        <w:ind w:left="5730" w:hanging="180"/>
      </w:pPr>
    </w:lvl>
  </w:abstractNum>
  <w:abstractNum w:abstractNumId="11" w15:restartNumberingAfterBreak="0">
    <w:nsid w:val="742D3DD1"/>
    <w:multiLevelType w:val="hybridMultilevel"/>
    <w:tmpl w:val="896A2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285F82"/>
    <w:multiLevelType w:val="hybridMultilevel"/>
    <w:tmpl w:val="6E8A3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081330">
    <w:abstractNumId w:val="1"/>
  </w:num>
  <w:num w:numId="2" w16cid:durableId="1239897750">
    <w:abstractNumId w:val="9"/>
  </w:num>
  <w:num w:numId="3" w16cid:durableId="724110161">
    <w:abstractNumId w:val="3"/>
  </w:num>
  <w:num w:numId="4" w16cid:durableId="99180155">
    <w:abstractNumId w:val="10"/>
  </w:num>
  <w:num w:numId="5" w16cid:durableId="1481845086">
    <w:abstractNumId w:val="0"/>
  </w:num>
  <w:num w:numId="6" w16cid:durableId="423919277">
    <w:abstractNumId w:val="4"/>
  </w:num>
  <w:num w:numId="7" w16cid:durableId="20083576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3738768">
    <w:abstractNumId w:val="8"/>
  </w:num>
  <w:num w:numId="9" w16cid:durableId="1504122631">
    <w:abstractNumId w:val="11"/>
  </w:num>
  <w:num w:numId="10" w16cid:durableId="972366391">
    <w:abstractNumId w:val="6"/>
  </w:num>
  <w:num w:numId="11" w16cid:durableId="1301037509">
    <w:abstractNumId w:val="5"/>
  </w:num>
  <w:num w:numId="12" w16cid:durableId="582641357">
    <w:abstractNumId w:val="2"/>
  </w:num>
  <w:num w:numId="13" w16cid:durableId="1023289489">
    <w:abstractNumId w:val="7"/>
  </w:num>
  <w:num w:numId="14" w16cid:durableId="1701008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2121"/>
    <w:rsid w:val="0003729F"/>
    <w:rsid w:val="000468DC"/>
    <w:rsid w:val="000641E7"/>
    <w:rsid w:val="00085181"/>
    <w:rsid w:val="000A714D"/>
    <w:rsid w:val="000B104A"/>
    <w:rsid w:val="000B352B"/>
    <w:rsid w:val="000B36E1"/>
    <w:rsid w:val="00133EFE"/>
    <w:rsid w:val="00144F73"/>
    <w:rsid w:val="0014732A"/>
    <w:rsid w:val="00171400"/>
    <w:rsid w:val="00176AA4"/>
    <w:rsid w:val="001D0EE4"/>
    <w:rsid w:val="001D5BD2"/>
    <w:rsid w:val="001E0317"/>
    <w:rsid w:val="001F3962"/>
    <w:rsid w:val="001F3F1E"/>
    <w:rsid w:val="00207606"/>
    <w:rsid w:val="0022689E"/>
    <w:rsid w:val="00287DB7"/>
    <w:rsid w:val="002B6A0D"/>
    <w:rsid w:val="002E7E90"/>
    <w:rsid w:val="00320722"/>
    <w:rsid w:val="00321B75"/>
    <w:rsid w:val="003404CC"/>
    <w:rsid w:val="00355A99"/>
    <w:rsid w:val="00371B99"/>
    <w:rsid w:val="003936B7"/>
    <w:rsid w:val="003A3E2E"/>
    <w:rsid w:val="003A79BD"/>
    <w:rsid w:val="003B2535"/>
    <w:rsid w:val="003C4208"/>
    <w:rsid w:val="003D614E"/>
    <w:rsid w:val="003F6C0E"/>
    <w:rsid w:val="0040409D"/>
    <w:rsid w:val="004215D9"/>
    <w:rsid w:val="00427E93"/>
    <w:rsid w:val="0043022B"/>
    <w:rsid w:val="0044509C"/>
    <w:rsid w:val="00453738"/>
    <w:rsid w:val="00453774"/>
    <w:rsid w:val="004731E7"/>
    <w:rsid w:val="00480405"/>
    <w:rsid w:val="00490460"/>
    <w:rsid w:val="00490CDB"/>
    <w:rsid w:val="00493D2F"/>
    <w:rsid w:val="004C2D22"/>
    <w:rsid w:val="004C557D"/>
    <w:rsid w:val="004E4493"/>
    <w:rsid w:val="004F29D7"/>
    <w:rsid w:val="004F39B0"/>
    <w:rsid w:val="00545445"/>
    <w:rsid w:val="00553447"/>
    <w:rsid w:val="005535E4"/>
    <w:rsid w:val="00593F3D"/>
    <w:rsid w:val="005A42E5"/>
    <w:rsid w:val="005A7A7D"/>
    <w:rsid w:val="005B078B"/>
    <w:rsid w:val="005C388B"/>
    <w:rsid w:val="005C7480"/>
    <w:rsid w:val="005E0434"/>
    <w:rsid w:val="005E2A58"/>
    <w:rsid w:val="00623E0C"/>
    <w:rsid w:val="00641CEB"/>
    <w:rsid w:val="006628FF"/>
    <w:rsid w:val="00671EF3"/>
    <w:rsid w:val="0069376C"/>
    <w:rsid w:val="006C1D0D"/>
    <w:rsid w:val="006D0C62"/>
    <w:rsid w:val="006F031D"/>
    <w:rsid w:val="007214A9"/>
    <w:rsid w:val="0072577F"/>
    <w:rsid w:val="00732227"/>
    <w:rsid w:val="0079326E"/>
    <w:rsid w:val="00796AF5"/>
    <w:rsid w:val="007B36FA"/>
    <w:rsid w:val="007C64C6"/>
    <w:rsid w:val="007D4914"/>
    <w:rsid w:val="00851143"/>
    <w:rsid w:val="00866617"/>
    <w:rsid w:val="00877C39"/>
    <w:rsid w:val="008803A0"/>
    <w:rsid w:val="008A5FC3"/>
    <w:rsid w:val="008C081A"/>
    <w:rsid w:val="008E4AE4"/>
    <w:rsid w:val="008F058D"/>
    <w:rsid w:val="00961369"/>
    <w:rsid w:val="009A01FD"/>
    <w:rsid w:val="009D5866"/>
    <w:rsid w:val="009E2F15"/>
    <w:rsid w:val="009E5151"/>
    <w:rsid w:val="009F0476"/>
    <w:rsid w:val="00A0226C"/>
    <w:rsid w:val="00A16318"/>
    <w:rsid w:val="00A23B79"/>
    <w:rsid w:val="00A27CD0"/>
    <w:rsid w:val="00A27E0C"/>
    <w:rsid w:val="00A440CC"/>
    <w:rsid w:val="00A57456"/>
    <w:rsid w:val="00A67211"/>
    <w:rsid w:val="00A84AF4"/>
    <w:rsid w:val="00AD3112"/>
    <w:rsid w:val="00AD44AC"/>
    <w:rsid w:val="00AD7658"/>
    <w:rsid w:val="00AE303D"/>
    <w:rsid w:val="00AE670F"/>
    <w:rsid w:val="00B038F1"/>
    <w:rsid w:val="00B24360"/>
    <w:rsid w:val="00B32B71"/>
    <w:rsid w:val="00B737D4"/>
    <w:rsid w:val="00BB16DB"/>
    <w:rsid w:val="00BC7BE7"/>
    <w:rsid w:val="00C20F1F"/>
    <w:rsid w:val="00C34F29"/>
    <w:rsid w:val="00C40503"/>
    <w:rsid w:val="00C541F6"/>
    <w:rsid w:val="00C85906"/>
    <w:rsid w:val="00C96687"/>
    <w:rsid w:val="00CB4563"/>
    <w:rsid w:val="00CB6B08"/>
    <w:rsid w:val="00CE085C"/>
    <w:rsid w:val="00D22D3F"/>
    <w:rsid w:val="00D2302E"/>
    <w:rsid w:val="00D37DEC"/>
    <w:rsid w:val="00D43C5C"/>
    <w:rsid w:val="00D755E3"/>
    <w:rsid w:val="00D770E0"/>
    <w:rsid w:val="00D813A9"/>
    <w:rsid w:val="00D87135"/>
    <w:rsid w:val="00DB178D"/>
    <w:rsid w:val="00DD43C2"/>
    <w:rsid w:val="00E03263"/>
    <w:rsid w:val="00E32421"/>
    <w:rsid w:val="00E32EAE"/>
    <w:rsid w:val="00E467E2"/>
    <w:rsid w:val="00E47E81"/>
    <w:rsid w:val="00E60FCF"/>
    <w:rsid w:val="00E622D7"/>
    <w:rsid w:val="00E67BD1"/>
    <w:rsid w:val="00E70F23"/>
    <w:rsid w:val="00E7772A"/>
    <w:rsid w:val="00EA3919"/>
    <w:rsid w:val="00EE6553"/>
    <w:rsid w:val="00F04994"/>
    <w:rsid w:val="00F10012"/>
    <w:rsid w:val="00F1265E"/>
    <w:rsid w:val="00F233EA"/>
    <w:rsid w:val="00F24B1D"/>
    <w:rsid w:val="00F43135"/>
    <w:rsid w:val="00F47A04"/>
    <w:rsid w:val="00F56A5D"/>
    <w:rsid w:val="00F70A40"/>
    <w:rsid w:val="00FA392D"/>
    <w:rsid w:val="00FB225B"/>
    <w:rsid w:val="00FB33B3"/>
    <w:rsid w:val="00FB56C9"/>
    <w:rsid w:val="00FC0EF1"/>
    <w:rsid w:val="00FE3296"/>
    <w:rsid w:val="1D9632BA"/>
    <w:rsid w:val="2DC912BF"/>
    <w:rsid w:val="43A540B6"/>
    <w:rsid w:val="5FECD5CC"/>
    <w:rsid w:val="699EA8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customStyle="1" w:styleId="UnresolvedMention1">
    <w:name w:val="Unresolved Mention1"/>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 w:type="character" w:styleId="CommentReference">
    <w:name w:val="annotation reference"/>
    <w:basedOn w:val="DefaultParagraphFont"/>
    <w:uiPriority w:val="99"/>
    <w:semiHidden/>
    <w:unhideWhenUsed/>
    <w:rsid w:val="00E467E2"/>
    <w:rPr>
      <w:sz w:val="16"/>
      <w:szCs w:val="16"/>
    </w:rPr>
  </w:style>
  <w:style w:type="paragraph" w:styleId="CommentText">
    <w:name w:val="annotation text"/>
    <w:basedOn w:val="Normal"/>
    <w:link w:val="CommentTextChar"/>
    <w:uiPriority w:val="99"/>
    <w:unhideWhenUsed/>
    <w:rsid w:val="00E467E2"/>
    <w:pPr>
      <w:spacing w:line="240" w:lineRule="auto"/>
    </w:pPr>
    <w:rPr>
      <w:sz w:val="20"/>
      <w:szCs w:val="20"/>
    </w:rPr>
  </w:style>
  <w:style w:type="character" w:customStyle="1" w:styleId="CommentTextChar">
    <w:name w:val="Comment Text Char"/>
    <w:basedOn w:val="DefaultParagraphFont"/>
    <w:link w:val="CommentText"/>
    <w:uiPriority w:val="99"/>
    <w:rsid w:val="00E467E2"/>
    <w:rPr>
      <w:lang w:eastAsia="en-US"/>
    </w:rPr>
  </w:style>
  <w:style w:type="paragraph" w:styleId="CommentSubject">
    <w:name w:val="annotation subject"/>
    <w:basedOn w:val="CommentText"/>
    <w:next w:val="CommentText"/>
    <w:link w:val="CommentSubjectChar"/>
    <w:uiPriority w:val="99"/>
    <w:semiHidden/>
    <w:unhideWhenUsed/>
    <w:rsid w:val="00E467E2"/>
    <w:rPr>
      <w:b/>
      <w:bCs/>
    </w:rPr>
  </w:style>
  <w:style w:type="character" w:customStyle="1" w:styleId="CommentSubjectChar">
    <w:name w:val="Comment Subject Char"/>
    <w:basedOn w:val="CommentTextChar"/>
    <w:link w:val="CommentSubject"/>
    <w:uiPriority w:val="99"/>
    <w:semiHidden/>
    <w:rsid w:val="00E467E2"/>
    <w:rPr>
      <w:b/>
      <w:bCs/>
      <w:lang w:eastAsia="en-US"/>
    </w:rPr>
  </w:style>
  <w:style w:type="paragraph" w:styleId="Revision">
    <w:name w:val="Revision"/>
    <w:hidden/>
    <w:uiPriority w:val="99"/>
    <w:semiHidden/>
    <w:rsid w:val="00F70A40"/>
    <w:rPr>
      <w:sz w:val="22"/>
      <w:szCs w:val="22"/>
      <w:lang w:eastAsia="en-US"/>
    </w:rPr>
  </w:style>
  <w:style w:type="paragraph" w:styleId="BodyText">
    <w:name w:val="Body Text"/>
    <w:basedOn w:val="Normal"/>
    <w:link w:val="BodyTextChar"/>
    <w:rsid w:val="00671EF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671EF3"/>
    <w:rPr>
      <w:rFonts w:ascii="Arial" w:eastAsia="Times New Roman" w:hAnsi="Arial"/>
      <w:color w:val="333333"/>
      <w:lang w:eastAsia="en-US"/>
    </w:rPr>
  </w:style>
  <w:style w:type="character" w:styleId="UnresolvedMention">
    <w:name w:val="Unresolved Mention"/>
    <w:basedOn w:val="DefaultParagraphFont"/>
    <w:uiPriority w:val="99"/>
    <w:semiHidden/>
    <w:unhideWhenUsed/>
    <w:rsid w:val="000A7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7571">
      <w:bodyDiv w:val="1"/>
      <w:marLeft w:val="0"/>
      <w:marRight w:val="0"/>
      <w:marTop w:val="0"/>
      <w:marBottom w:val="0"/>
      <w:divBdr>
        <w:top w:val="none" w:sz="0" w:space="0" w:color="auto"/>
        <w:left w:val="none" w:sz="0" w:space="0" w:color="auto"/>
        <w:bottom w:val="none" w:sz="0" w:space="0" w:color="auto"/>
        <w:right w:val="none" w:sz="0" w:space="0" w:color="auto"/>
      </w:divBdr>
    </w:div>
    <w:div w:id="429393891">
      <w:bodyDiv w:val="1"/>
      <w:marLeft w:val="0"/>
      <w:marRight w:val="0"/>
      <w:marTop w:val="0"/>
      <w:marBottom w:val="0"/>
      <w:divBdr>
        <w:top w:val="none" w:sz="0" w:space="0" w:color="auto"/>
        <w:left w:val="none" w:sz="0" w:space="0" w:color="auto"/>
        <w:bottom w:val="none" w:sz="0" w:space="0" w:color="auto"/>
        <w:right w:val="none" w:sz="0" w:space="0" w:color="auto"/>
      </w:divBdr>
    </w:div>
    <w:div w:id="862284590">
      <w:bodyDiv w:val="1"/>
      <w:marLeft w:val="0"/>
      <w:marRight w:val="0"/>
      <w:marTop w:val="0"/>
      <w:marBottom w:val="0"/>
      <w:divBdr>
        <w:top w:val="none" w:sz="0" w:space="0" w:color="auto"/>
        <w:left w:val="none" w:sz="0" w:space="0" w:color="auto"/>
        <w:bottom w:val="none" w:sz="0" w:space="0" w:color="auto"/>
        <w:right w:val="none" w:sz="0" w:space="0" w:color="auto"/>
      </w:divBdr>
    </w:div>
    <w:div w:id="1069428360">
      <w:bodyDiv w:val="1"/>
      <w:marLeft w:val="0"/>
      <w:marRight w:val="0"/>
      <w:marTop w:val="0"/>
      <w:marBottom w:val="0"/>
      <w:divBdr>
        <w:top w:val="none" w:sz="0" w:space="0" w:color="auto"/>
        <w:left w:val="none" w:sz="0" w:space="0" w:color="auto"/>
        <w:bottom w:val="none" w:sz="0" w:space="0" w:color="auto"/>
        <w:right w:val="none" w:sz="0" w:space="0" w:color="auto"/>
      </w:divBdr>
    </w:div>
    <w:div w:id="1076708101">
      <w:bodyDiv w:val="1"/>
      <w:marLeft w:val="0"/>
      <w:marRight w:val="0"/>
      <w:marTop w:val="0"/>
      <w:marBottom w:val="0"/>
      <w:divBdr>
        <w:top w:val="none" w:sz="0" w:space="0" w:color="auto"/>
        <w:left w:val="none" w:sz="0" w:space="0" w:color="auto"/>
        <w:bottom w:val="none" w:sz="0" w:space="0" w:color="auto"/>
        <w:right w:val="none" w:sz="0" w:space="0" w:color="auto"/>
      </w:divBdr>
    </w:div>
    <w:div w:id="1169326003">
      <w:bodyDiv w:val="1"/>
      <w:marLeft w:val="0"/>
      <w:marRight w:val="0"/>
      <w:marTop w:val="0"/>
      <w:marBottom w:val="0"/>
      <w:divBdr>
        <w:top w:val="none" w:sz="0" w:space="0" w:color="auto"/>
        <w:left w:val="none" w:sz="0" w:space="0" w:color="auto"/>
        <w:bottom w:val="none" w:sz="0" w:space="0" w:color="auto"/>
        <w:right w:val="none" w:sz="0" w:space="0" w:color="auto"/>
      </w:divBdr>
    </w:div>
    <w:div w:id="1740320705">
      <w:bodyDiv w:val="1"/>
      <w:marLeft w:val="0"/>
      <w:marRight w:val="0"/>
      <w:marTop w:val="0"/>
      <w:marBottom w:val="0"/>
      <w:divBdr>
        <w:top w:val="none" w:sz="0" w:space="0" w:color="auto"/>
        <w:left w:val="none" w:sz="0" w:space="0" w:color="auto"/>
        <w:bottom w:val="none" w:sz="0" w:space="0" w:color="auto"/>
        <w:right w:val="none" w:sz="0" w:space="0" w:color="auto"/>
      </w:divBdr>
    </w:div>
    <w:div w:id="213051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about/nice-communities/nice-and-the-public/public-involvement/patient-and-public-involvement-poli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roperties xmlns="http://www.imanage.com/work/xmlschema">
  <documentid>Active1!160075669.1</documentid>
  <senderid>AWNE</senderid>
  <senderemail>AEDWARDS@DACBEACHCROFT.COM</senderemail>
  <lastmodified>2025-03-07T13:40:00.0000000+00:00</lastmodified>
  <database>Active1</database>
</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261F5-7443-4011-BEFD-A56A57456AFE}">
  <ds:schemaRefs>
    <ds:schemaRef ds:uri="http://schemas.openxmlformats.org/officeDocument/2006/bibliography"/>
  </ds:schemaRefs>
</ds:datastoreItem>
</file>

<file path=customXml/itemProps2.xml><?xml version="1.0" encoding="utf-8"?>
<ds:datastoreItem xmlns:ds="http://schemas.openxmlformats.org/officeDocument/2006/customXml" ds:itemID="{B1864058-326F-47B9-9E2D-60BB18C000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12D355-9D9C-44CE-B5FA-6AEBF53F7E4E}">
  <ds:schemaRefs>
    <ds:schemaRef ds:uri="http://schemas.openxmlformats.org/officeDocument/2006/bibliography"/>
    <ds:schemaRef ds:uri="http://www.imanage.com/work/xmlschema"/>
  </ds:schemaRefs>
</ds:datastoreItem>
</file>

<file path=customXml/itemProps4.xml><?xml version="1.0" encoding="utf-8"?>
<ds:datastoreItem xmlns:ds="http://schemas.openxmlformats.org/officeDocument/2006/customXml" ds:itemID="{452BE311-5701-4A26-A93E-88EA7EA76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F01DB-1E74-410A-B311-7C98EDBBE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2</TotalTime>
  <Pages>3</Pages>
  <Words>918</Words>
  <Characters>5238</Characters>
  <Application>Microsoft Office Word</Application>
  <DocSecurity>0</DocSecurity>
  <Lines>43</Lines>
  <Paragraphs>12</Paragraphs>
  <ScaleCrop>false</ScaleCrop>
  <Company>NICE</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Leah Murphy</cp:lastModifiedBy>
  <cp:revision>18</cp:revision>
  <cp:lastPrinted>2017-02-13T09:51:00Z</cp:lastPrinted>
  <dcterms:created xsi:type="dcterms:W3CDTF">2025-03-07T14:15:00Z</dcterms:created>
  <dcterms:modified xsi:type="dcterms:W3CDTF">2025-05-01T08:41:00Z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2025-03-07T14:15:02Z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76be2b99-bc91-45ab-8a82-1a09aee55c0c</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ies>
</file>