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02DA" w14:textId="1CA92CA1" w:rsidR="007E14CA" w:rsidRDefault="00BD1642" w:rsidP="007E14CA">
      <w:pPr>
        <w:pStyle w:val="Paragraph"/>
        <w:numPr>
          <w:ilvl w:val="0"/>
          <w:numId w:val="0"/>
        </w:numPr>
        <w:spacing w:before="0" w:after="0" w:line="360" w:lineRule="auto"/>
        <w:rPr>
          <w:rFonts w:cs="Arial"/>
          <w:color w:val="000000" w:themeColor="text1"/>
          <w:sz w:val="20"/>
          <w:szCs w:val="20"/>
        </w:rPr>
      </w:pPr>
      <w:r>
        <w:rPr>
          <w:rFonts w:cs="Arial"/>
          <w:color w:val="000000" w:themeColor="text1"/>
          <w:sz w:val="20"/>
          <w:szCs w:val="20"/>
        </w:rPr>
        <w:t>Ms Sharmila Nebhrajani OBE</w:t>
      </w:r>
    </w:p>
    <w:p w14:paraId="20CF78BC" w14:textId="37395DB5" w:rsidR="007E14CA" w:rsidRDefault="00BD1642" w:rsidP="007E14CA">
      <w:pPr>
        <w:pStyle w:val="Paragraph"/>
        <w:numPr>
          <w:ilvl w:val="0"/>
          <w:numId w:val="0"/>
        </w:numPr>
        <w:spacing w:before="0" w:after="0" w:line="360" w:lineRule="auto"/>
        <w:rPr>
          <w:rFonts w:cs="Arial"/>
          <w:color w:val="000000" w:themeColor="text1"/>
          <w:sz w:val="20"/>
          <w:szCs w:val="20"/>
        </w:rPr>
      </w:pPr>
      <w:r>
        <w:rPr>
          <w:rFonts w:cs="Arial"/>
          <w:color w:val="000000" w:themeColor="text1"/>
          <w:sz w:val="20"/>
          <w:szCs w:val="20"/>
        </w:rPr>
        <w:t>Chairman</w:t>
      </w:r>
    </w:p>
    <w:p w14:paraId="03F6D53E" w14:textId="4DB5C5B8" w:rsidR="007E14CA" w:rsidRPr="007E14CA" w:rsidRDefault="00BD1642" w:rsidP="007E14CA">
      <w:pPr>
        <w:pStyle w:val="Paragraph"/>
        <w:numPr>
          <w:ilvl w:val="0"/>
          <w:numId w:val="0"/>
        </w:numPr>
        <w:spacing w:before="0" w:after="0" w:line="360" w:lineRule="auto"/>
        <w:rPr>
          <w:rFonts w:cs="Arial"/>
          <w:color w:val="000000" w:themeColor="text1"/>
          <w:sz w:val="20"/>
          <w:szCs w:val="20"/>
        </w:rPr>
      </w:pPr>
      <w:r w:rsidRPr="007E14CA">
        <w:rPr>
          <w:rFonts w:cs="Arial"/>
          <w:color w:val="000000" w:themeColor="text1"/>
          <w:sz w:val="20"/>
          <w:szCs w:val="20"/>
        </w:rPr>
        <w:t>National Institute for Health and Care Excellence</w:t>
      </w:r>
    </w:p>
    <w:p w14:paraId="2F5F6A51" w14:textId="77777777" w:rsidR="007E14CA" w:rsidRPr="007E14CA" w:rsidRDefault="00BD1642" w:rsidP="007E14CA">
      <w:pPr>
        <w:pStyle w:val="Paragraph"/>
        <w:numPr>
          <w:ilvl w:val="0"/>
          <w:numId w:val="0"/>
        </w:numPr>
        <w:spacing w:before="0" w:after="0" w:line="360" w:lineRule="auto"/>
        <w:rPr>
          <w:rFonts w:cs="Arial"/>
          <w:color w:val="000000" w:themeColor="text1"/>
          <w:sz w:val="20"/>
          <w:szCs w:val="20"/>
        </w:rPr>
      </w:pPr>
      <w:r w:rsidRPr="007E14CA">
        <w:rPr>
          <w:rFonts w:cs="Arial"/>
          <w:color w:val="000000" w:themeColor="text1"/>
          <w:sz w:val="20"/>
          <w:szCs w:val="20"/>
        </w:rPr>
        <w:t>2</w:t>
      </w:r>
      <w:r w:rsidRPr="007E14CA">
        <w:rPr>
          <w:rFonts w:cs="Arial"/>
          <w:color w:val="000000" w:themeColor="text1"/>
          <w:sz w:val="20"/>
          <w:szCs w:val="20"/>
          <w:vertAlign w:val="superscript"/>
        </w:rPr>
        <w:t>nd</w:t>
      </w:r>
      <w:r w:rsidRPr="007E14CA">
        <w:rPr>
          <w:rFonts w:cs="Arial"/>
          <w:color w:val="000000" w:themeColor="text1"/>
          <w:sz w:val="20"/>
          <w:szCs w:val="20"/>
        </w:rPr>
        <w:t xml:space="preserve"> Floor</w:t>
      </w:r>
    </w:p>
    <w:p w14:paraId="7A7E6124" w14:textId="77777777" w:rsidR="007E14CA" w:rsidRPr="007E14CA" w:rsidRDefault="00BD1642" w:rsidP="007E14CA">
      <w:pPr>
        <w:pStyle w:val="Paragraph"/>
        <w:numPr>
          <w:ilvl w:val="0"/>
          <w:numId w:val="0"/>
        </w:numPr>
        <w:spacing w:before="0" w:after="0" w:line="360" w:lineRule="auto"/>
        <w:rPr>
          <w:rFonts w:cs="Arial"/>
          <w:color w:val="000000" w:themeColor="text1"/>
          <w:sz w:val="20"/>
          <w:szCs w:val="20"/>
        </w:rPr>
      </w:pPr>
      <w:r w:rsidRPr="007E14CA">
        <w:rPr>
          <w:rFonts w:cs="Arial"/>
          <w:color w:val="000000" w:themeColor="text1"/>
          <w:sz w:val="20"/>
          <w:szCs w:val="20"/>
        </w:rPr>
        <w:t>2 Redman Place</w:t>
      </w:r>
    </w:p>
    <w:p w14:paraId="5D61995D" w14:textId="77777777" w:rsidR="007E14CA" w:rsidRPr="007E14CA" w:rsidRDefault="00BD1642" w:rsidP="007E14CA">
      <w:pPr>
        <w:pStyle w:val="Paragraph"/>
        <w:numPr>
          <w:ilvl w:val="0"/>
          <w:numId w:val="0"/>
        </w:numPr>
        <w:spacing w:before="0" w:after="0" w:line="360" w:lineRule="auto"/>
        <w:rPr>
          <w:rFonts w:cs="Arial"/>
          <w:color w:val="000000" w:themeColor="text1"/>
          <w:sz w:val="20"/>
          <w:szCs w:val="20"/>
        </w:rPr>
      </w:pPr>
      <w:r w:rsidRPr="007E14CA">
        <w:rPr>
          <w:rFonts w:cs="Arial"/>
          <w:color w:val="000000" w:themeColor="text1"/>
          <w:sz w:val="20"/>
          <w:szCs w:val="20"/>
        </w:rPr>
        <w:t>London E20 1JQ</w:t>
      </w:r>
    </w:p>
    <w:p w14:paraId="233A0C46" w14:textId="77777777" w:rsidR="007E14CA" w:rsidRDefault="007E14CA" w:rsidP="006D7CFC">
      <w:pPr>
        <w:pStyle w:val="xmsonormal"/>
        <w:shd w:val="clear" w:color="auto" w:fill="FFFFFF"/>
        <w:spacing w:before="0" w:beforeAutospacing="0" w:after="0" w:afterAutospacing="0"/>
        <w:rPr>
          <w:rFonts w:ascii="Arial" w:hAnsi="Arial" w:cs="Arial"/>
          <w:sz w:val="20"/>
          <w:szCs w:val="20"/>
          <w:bdr w:val="none" w:sz="0" w:space="0" w:color="auto" w:frame="1"/>
        </w:rPr>
      </w:pPr>
    </w:p>
    <w:p w14:paraId="5CC95F54" w14:textId="77777777" w:rsidR="007E14CA" w:rsidRDefault="007E14CA" w:rsidP="006D7CFC">
      <w:pPr>
        <w:pStyle w:val="xmsonormal"/>
        <w:shd w:val="clear" w:color="auto" w:fill="FFFFFF"/>
        <w:spacing w:before="0" w:beforeAutospacing="0" w:after="0" w:afterAutospacing="0"/>
        <w:rPr>
          <w:rFonts w:ascii="Arial" w:hAnsi="Arial" w:cs="Arial"/>
          <w:sz w:val="20"/>
          <w:szCs w:val="20"/>
          <w:bdr w:val="none" w:sz="0" w:space="0" w:color="auto" w:frame="1"/>
        </w:rPr>
      </w:pPr>
    </w:p>
    <w:p w14:paraId="23335955" w14:textId="77777777" w:rsidR="007E14CA" w:rsidRDefault="007E14CA" w:rsidP="006D7CFC">
      <w:pPr>
        <w:pStyle w:val="xmsonormal"/>
        <w:shd w:val="clear" w:color="auto" w:fill="FFFFFF"/>
        <w:spacing w:before="0" w:beforeAutospacing="0" w:after="0" w:afterAutospacing="0"/>
        <w:rPr>
          <w:rFonts w:ascii="Arial" w:hAnsi="Arial" w:cs="Arial"/>
          <w:sz w:val="20"/>
          <w:szCs w:val="20"/>
          <w:bdr w:val="none" w:sz="0" w:space="0" w:color="auto" w:frame="1"/>
        </w:rPr>
      </w:pPr>
    </w:p>
    <w:p w14:paraId="371535BD" w14:textId="1CBEFC16" w:rsidR="006D7CFC" w:rsidRPr="007E14CA" w:rsidRDefault="00BD1642" w:rsidP="006D7CFC">
      <w:pPr>
        <w:pStyle w:val="xmsonormal"/>
        <w:shd w:val="clear" w:color="auto" w:fill="FFFFFF"/>
        <w:spacing w:before="0" w:beforeAutospacing="0" w:after="0" w:afterAutospacing="0"/>
        <w:rPr>
          <w:rFonts w:ascii="Arial" w:hAnsi="Arial" w:cs="Arial"/>
          <w:sz w:val="20"/>
          <w:szCs w:val="20"/>
        </w:rPr>
      </w:pPr>
      <w:r w:rsidRPr="007E14CA">
        <w:rPr>
          <w:rFonts w:ascii="Arial" w:hAnsi="Arial" w:cs="Arial"/>
          <w:sz w:val="20"/>
          <w:szCs w:val="20"/>
          <w:bdr w:val="none" w:sz="0" w:space="0" w:color="auto" w:frame="1"/>
        </w:rPr>
        <w:t xml:space="preserve">Dear Ms </w:t>
      </w:r>
      <w:proofErr w:type="spellStart"/>
      <w:r w:rsidRPr="007E14CA">
        <w:rPr>
          <w:rFonts w:ascii="Arial" w:hAnsi="Arial" w:cs="Arial"/>
          <w:sz w:val="20"/>
          <w:szCs w:val="20"/>
          <w:bdr w:val="none" w:sz="0" w:space="0" w:color="auto" w:frame="1"/>
        </w:rPr>
        <w:t>Nebhrajani</w:t>
      </w:r>
      <w:proofErr w:type="spellEnd"/>
      <w:r>
        <w:rPr>
          <w:rFonts w:ascii="Arial" w:hAnsi="Arial" w:cs="Arial"/>
          <w:sz w:val="20"/>
          <w:szCs w:val="20"/>
          <w:bdr w:val="none" w:sz="0" w:space="0" w:color="auto" w:frame="1"/>
        </w:rPr>
        <w:t>,</w:t>
      </w:r>
    </w:p>
    <w:p w14:paraId="43BB7657" w14:textId="77777777" w:rsidR="006D7CFC" w:rsidRPr="007E14CA" w:rsidRDefault="00BD1642" w:rsidP="006D7CFC">
      <w:pPr>
        <w:pStyle w:val="xmsonormal"/>
        <w:shd w:val="clear" w:color="auto" w:fill="FFFFFF"/>
        <w:spacing w:before="0" w:beforeAutospacing="0" w:after="0" w:afterAutospacing="0"/>
        <w:rPr>
          <w:rFonts w:ascii="Arial" w:hAnsi="Arial" w:cs="Arial"/>
          <w:sz w:val="20"/>
          <w:szCs w:val="20"/>
        </w:rPr>
      </w:pPr>
      <w:r w:rsidRPr="007E14CA">
        <w:rPr>
          <w:rFonts w:ascii="Arial" w:hAnsi="Arial" w:cs="Arial"/>
          <w:sz w:val="20"/>
          <w:szCs w:val="20"/>
          <w:bdr w:val="none" w:sz="0" w:space="0" w:color="auto" w:frame="1"/>
        </w:rPr>
        <w:t> </w:t>
      </w:r>
    </w:p>
    <w:p w14:paraId="09B7C9EA" w14:textId="77777777" w:rsidR="006D7CFC" w:rsidRPr="007E14CA" w:rsidRDefault="00BD1642" w:rsidP="006D7CFC">
      <w:pPr>
        <w:pStyle w:val="xmsonormal"/>
        <w:shd w:val="clear" w:color="auto" w:fill="FFFFFF"/>
        <w:spacing w:before="0" w:beforeAutospacing="0" w:after="0" w:afterAutospacing="0"/>
        <w:rPr>
          <w:rFonts w:ascii="Arial" w:hAnsi="Arial" w:cs="Arial"/>
          <w:sz w:val="20"/>
          <w:szCs w:val="20"/>
        </w:rPr>
      </w:pPr>
      <w:r w:rsidRPr="007E14CA">
        <w:rPr>
          <w:rFonts w:ascii="Arial" w:hAnsi="Arial" w:cs="Arial"/>
          <w:sz w:val="20"/>
          <w:szCs w:val="20"/>
          <w:bdr w:val="none" w:sz="0" w:space="0" w:color="auto" w:frame="1"/>
        </w:rPr>
        <w:t>Thank you for your letter of 14 February 2025, summarising your initial scrutiny of our appeal letter of 6 February 2025.</w:t>
      </w:r>
    </w:p>
    <w:p w14:paraId="6AC9D578" w14:textId="77777777" w:rsidR="006D7CFC" w:rsidRPr="007E14CA" w:rsidRDefault="00BD1642" w:rsidP="006D7CFC">
      <w:pPr>
        <w:pStyle w:val="xmsonormal"/>
        <w:shd w:val="clear" w:color="auto" w:fill="FFFFFF"/>
        <w:spacing w:before="0" w:beforeAutospacing="0" w:after="0" w:afterAutospacing="0"/>
        <w:rPr>
          <w:rFonts w:ascii="Arial" w:hAnsi="Arial" w:cs="Arial"/>
          <w:sz w:val="20"/>
          <w:szCs w:val="20"/>
        </w:rPr>
      </w:pPr>
      <w:r w:rsidRPr="007E14CA">
        <w:rPr>
          <w:rFonts w:ascii="Arial" w:hAnsi="Arial" w:cs="Arial"/>
          <w:sz w:val="20"/>
          <w:szCs w:val="20"/>
          <w:bdr w:val="none" w:sz="0" w:space="0" w:color="auto" w:frame="1"/>
        </w:rPr>
        <w:t> </w:t>
      </w:r>
    </w:p>
    <w:p w14:paraId="5C0F5706" w14:textId="6133E35F" w:rsidR="006D7CFC" w:rsidRPr="007E14CA" w:rsidRDefault="00BD1642" w:rsidP="006D7CFC">
      <w:pPr>
        <w:pStyle w:val="xmsonormal"/>
        <w:shd w:val="clear" w:color="auto" w:fill="FFFFFF"/>
        <w:spacing w:before="0" w:beforeAutospacing="0" w:after="0" w:afterAutospacing="0"/>
        <w:rPr>
          <w:rFonts w:ascii="Arial" w:hAnsi="Arial" w:cs="Arial"/>
          <w:sz w:val="20"/>
          <w:szCs w:val="20"/>
        </w:rPr>
      </w:pPr>
      <w:r w:rsidRPr="007E14CA">
        <w:rPr>
          <w:rFonts w:ascii="Arial" w:hAnsi="Arial" w:cs="Arial"/>
          <w:sz w:val="20"/>
          <w:szCs w:val="20"/>
          <w:bdr w:val="none" w:sz="0" w:space="0" w:color="auto" w:frame="1"/>
        </w:rPr>
        <w:t>In response</w:t>
      </w:r>
      <w:r w:rsidR="003347D0" w:rsidRPr="007E14CA">
        <w:rPr>
          <w:rFonts w:ascii="Arial" w:hAnsi="Arial" w:cs="Arial"/>
          <w:sz w:val="20"/>
          <w:szCs w:val="20"/>
          <w:bdr w:val="none" w:sz="0" w:space="0" w:color="auto" w:frame="1"/>
        </w:rPr>
        <w:t xml:space="preserve"> we</w:t>
      </w:r>
      <w:r w:rsidRPr="007E14CA">
        <w:rPr>
          <w:rFonts w:ascii="Arial" w:hAnsi="Arial" w:cs="Arial"/>
          <w:sz w:val="20"/>
          <w:szCs w:val="20"/>
          <w:bdr w:val="none" w:sz="0" w:space="0" w:color="auto" w:frame="1"/>
        </w:rPr>
        <w:t xml:space="preserve"> </w:t>
      </w:r>
      <w:r w:rsidR="00B54949">
        <w:rPr>
          <w:rFonts w:ascii="Arial" w:hAnsi="Arial" w:cs="Arial"/>
          <w:sz w:val="20"/>
          <w:szCs w:val="20"/>
          <w:bdr w:val="none" w:sz="0" w:space="0" w:color="auto" w:frame="1"/>
        </w:rPr>
        <w:t>sh</w:t>
      </w:r>
      <w:r w:rsidRPr="007E14CA">
        <w:rPr>
          <w:rFonts w:ascii="Arial" w:hAnsi="Arial" w:cs="Arial"/>
          <w:sz w:val="20"/>
          <w:szCs w:val="20"/>
          <w:bdr w:val="none" w:sz="0" w:space="0" w:color="auto" w:frame="1"/>
        </w:rPr>
        <w:t>ould like to make the following points:</w:t>
      </w:r>
    </w:p>
    <w:p w14:paraId="538A79E3" w14:textId="77777777" w:rsidR="006D7CFC" w:rsidRPr="007E14CA" w:rsidRDefault="00BD1642" w:rsidP="006D7CFC">
      <w:pPr>
        <w:pStyle w:val="xmsonormal"/>
        <w:shd w:val="clear" w:color="auto" w:fill="FFFFFF"/>
        <w:spacing w:before="0" w:beforeAutospacing="0" w:after="0" w:afterAutospacing="0"/>
        <w:rPr>
          <w:rFonts w:ascii="Arial" w:hAnsi="Arial" w:cs="Arial"/>
          <w:sz w:val="20"/>
          <w:szCs w:val="20"/>
        </w:rPr>
      </w:pPr>
      <w:r w:rsidRPr="007E14CA">
        <w:rPr>
          <w:rFonts w:ascii="Arial" w:hAnsi="Arial" w:cs="Arial"/>
          <w:sz w:val="20"/>
          <w:szCs w:val="20"/>
          <w:bdr w:val="none" w:sz="0" w:space="0" w:color="auto" w:frame="1"/>
        </w:rPr>
        <w:t> </w:t>
      </w:r>
    </w:p>
    <w:p w14:paraId="0272EB36" w14:textId="77777777" w:rsidR="006D7CFC" w:rsidRPr="007E14CA" w:rsidRDefault="00BD1642" w:rsidP="006D7CFC">
      <w:pPr>
        <w:pStyle w:val="xmsonormal"/>
        <w:shd w:val="clear" w:color="auto" w:fill="FFFFFF"/>
        <w:spacing w:before="0" w:beforeAutospacing="0" w:after="0" w:afterAutospacing="0" w:line="253" w:lineRule="atLeast"/>
        <w:jc w:val="both"/>
        <w:rPr>
          <w:rFonts w:ascii="Arial" w:hAnsi="Arial" w:cs="Arial"/>
          <w:sz w:val="20"/>
          <w:szCs w:val="20"/>
        </w:rPr>
      </w:pPr>
      <w:r w:rsidRPr="007E14CA">
        <w:rPr>
          <w:rFonts w:ascii="Arial" w:hAnsi="Arial" w:cs="Arial"/>
          <w:b/>
          <w:bCs/>
          <w:i/>
          <w:iCs/>
          <w:sz w:val="20"/>
          <w:szCs w:val="20"/>
          <w:bdr w:val="none" w:sz="0" w:space="0" w:color="auto" w:frame="1"/>
        </w:rPr>
        <w:t>Ground 2: the recommendation is unreasonable in the light of the evidence submitted to NICE</w:t>
      </w:r>
    </w:p>
    <w:p w14:paraId="1EECFE3E" w14:textId="4C7A96B3" w:rsidR="006D7CFC" w:rsidRPr="007E14CA" w:rsidRDefault="00BD1642" w:rsidP="006D7CFC">
      <w:pPr>
        <w:pStyle w:val="xparagraph"/>
        <w:shd w:val="clear" w:color="auto" w:fill="FFFFFF"/>
        <w:spacing w:before="240" w:beforeAutospacing="0" w:after="240" w:afterAutospacing="0" w:line="276" w:lineRule="atLeast"/>
        <w:jc w:val="both"/>
        <w:rPr>
          <w:rFonts w:ascii="Arial" w:hAnsi="Arial" w:cs="Arial"/>
          <w:b/>
          <w:bCs/>
          <w:sz w:val="20"/>
          <w:szCs w:val="20"/>
          <w:u w:val="single"/>
        </w:rPr>
      </w:pPr>
      <w:r w:rsidRPr="007E14CA">
        <w:rPr>
          <w:rFonts w:ascii="Arial" w:hAnsi="Arial" w:cs="Arial"/>
          <w:b/>
          <w:bCs/>
          <w:sz w:val="20"/>
          <w:szCs w:val="20"/>
          <w:u w:val="single"/>
        </w:rPr>
        <w:t>Appeal point 2.1: The real world evidence of the efficacy of efgartigimod in the proposed treatment population has not been adequately considered.</w:t>
      </w:r>
    </w:p>
    <w:p w14:paraId="57B937CD" w14:textId="2138B6DA" w:rsidR="0048145B" w:rsidRPr="00C7680A" w:rsidRDefault="00BD1642" w:rsidP="006D7CFC">
      <w:pPr>
        <w:pStyle w:val="xmsobodytext"/>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Thank you for considering our comments regarding this important point. Efgartigimod is a new treatment and real</w:t>
      </w:r>
      <w:r w:rsidR="002647AF" w:rsidRPr="00C7680A">
        <w:rPr>
          <w:rFonts w:ascii="Arial" w:hAnsi="Arial" w:cs="Arial"/>
          <w:sz w:val="20"/>
          <w:szCs w:val="20"/>
        </w:rPr>
        <w:t>-</w:t>
      </w:r>
      <w:r w:rsidRPr="00C7680A">
        <w:rPr>
          <w:rFonts w:ascii="Arial" w:hAnsi="Arial" w:cs="Arial"/>
          <w:sz w:val="20"/>
          <w:szCs w:val="20"/>
        </w:rPr>
        <w:t xml:space="preserve">world evidence must </w:t>
      </w:r>
      <w:r w:rsidR="00DB6C6A" w:rsidRPr="00C7680A">
        <w:rPr>
          <w:rFonts w:ascii="Arial" w:hAnsi="Arial" w:cs="Arial"/>
          <w:sz w:val="20"/>
          <w:szCs w:val="20"/>
        </w:rPr>
        <w:t xml:space="preserve">surely </w:t>
      </w:r>
      <w:r w:rsidRPr="00C7680A">
        <w:rPr>
          <w:rFonts w:ascii="Arial" w:hAnsi="Arial" w:cs="Arial"/>
          <w:sz w:val="20"/>
          <w:szCs w:val="20"/>
        </w:rPr>
        <w:t>be considered. We remain con</w:t>
      </w:r>
      <w:r w:rsidR="002647AF" w:rsidRPr="00C7680A">
        <w:rPr>
          <w:rFonts w:ascii="Arial" w:hAnsi="Arial" w:cs="Arial"/>
          <w:sz w:val="20"/>
          <w:szCs w:val="20"/>
        </w:rPr>
        <w:t>vinc</w:t>
      </w:r>
      <w:r w:rsidRPr="00C7680A">
        <w:rPr>
          <w:rFonts w:ascii="Arial" w:hAnsi="Arial" w:cs="Arial"/>
          <w:sz w:val="20"/>
          <w:szCs w:val="20"/>
        </w:rPr>
        <w:t xml:space="preserve">ed that </w:t>
      </w:r>
      <w:r w:rsidR="002647AF" w:rsidRPr="00C7680A">
        <w:rPr>
          <w:rFonts w:ascii="Arial" w:hAnsi="Arial" w:cs="Arial"/>
          <w:sz w:val="20"/>
          <w:szCs w:val="20"/>
        </w:rPr>
        <w:t>this</w:t>
      </w:r>
      <w:r w:rsidRPr="00C7680A">
        <w:rPr>
          <w:rFonts w:ascii="Arial" w:hAnsi="Arial" w:cs="Arial"/>
          <w:sz w:val="20"/>
          <w:szCs w:val="20"/>
        </w:rPr>
        <w:t xml:space="preserve"> evidence</w:t>
      </w:r>
      <w:r w:rsidR="002647AF" w:rsidRPr="00C7680A">
        <w:rPr>
          <w:rFonts w:ascii="Arial" w:hAnsi="Arial" w:cs="Arial"/>
          <w:sz w:val="20"/>
          <w:szCs w:val="20"/>
        </w:rPr>
        <w:t>, which has - indeed - been</w:t>
      </w:r>
      <w:r w:rsidR="00DB6C6A" w:rsidRPr="00C7680A">
        <w:rPr>
          <w:rFonts w:ascii="Arial" w:hAnsi="Arial" w:cs="Arial"/>
          <w:sz w:val="20"/>
          <w:szCs w:val="20"/>
        </w:rPr>
        <w:t xml:space="preserve"> </w:t>
      </w:r>
      <w:r w:rsidRPr="00C7680A">
        <w:rPr>
          <w:rFonts w:ascii="Arial" w:hAnsi="Arial" w:cs="Arial"/>
          <w:sz w:val="20"/>
          <w:szCs w:val="20"/>
        </w:rPr>
        <w:t xml:space="preserve">presented to the </w:t>
      </w:r>
      <w:r w:rsidR="002647AF" w:rsidRPr="00C7680A">
        <w:rPr>
          <w:rFonts w:ascii="Arial" w:hAnsi="Arial" w:cs="Arial"/>
          <w:sz w:val="20"/>
          <w:szCs w:val="20"/>
        </w:rPr>
        <w:t>C</w:t>
      </w:r>
      <w:r w:rsidRPr="00C7680A">
        <w:rPr>
          <w:rFonts w:ascii="Arial" w:hAnsi="Arial" w:cs="Arial"/>
          <w:sz w:val="20"/>
          <w:szCs w:val="20"/>
        </w:rPr>
        <w:t>ommittee</w:t>
      </w:r>
      <w:r w:rsidR="002647AF" w:rsidRPr="00C7680A">
        <w:rPr>
          <w:rFonts w:ascii="Arial" w:hAnsi="Arial" w:cs="Arial"/>
          <w:sz w:val="20"/>
          <w:szCs w:val="20"/>
        </w:rPr>
        <w:t xml:space="preserve">, </w:t>
      </w:r>
      <w:r w:rsidRPr="00C7680A">
        <w:rPr>
          <w:rFonts w:ascii="Arial" w:hAnsi="Arial" w:cs="Arial"/>
          <w:sz w:val="20"/>
          <w:szCs w:val="20"/>
        </w:rPr>
        <w:t xml:space="preserve">was not </w:t>
      </w:r>
      <w:r w:rsidR="00D1532B" w:rsidRPr="00C7680A">
        <w:rPr>
          <w:rFonts w:ascii="Arial" w:hAnsi="Arial" w:cs="Arial"/>
          <w:sz w:val="20"/>
          <w:szCs w:val="20"/>
        </w:rPr>
        <w:t xml:space="preserve">given due consideration. </w:t>
      </w:r>
    </w:p>
    <w:p w14:paraId="779EAA61" w14:textId="77777777" w:rsidR="00D1532B" w:rsidRPr="00C7680A" w:rsidRDefault="00D1532B" w:rsidP="006D7CFC">
      <w:pPr>
        <w:pStyle w:val="xmsobodytext"/>
        <w:shd w:val="clear" w:color="auto" w:fill="FFFFFF"/>
        <w:spacing w:before="0" w:beforeAutospacing="0" w:after="0" w:afterAutospacing="0" w:line="240" w:lineRule="atLeast"/>
        <w:jc w:val="both"/>
        <w:rPr>
          <w:rFonts w:ascii="Arial" w:hAnsi="Arial" w:cs="Arial"/>
          <w:sz w:val="20"/>
          <w:szCs w:val="20"/>
        </w:rPr>
      </w:pPr>
    </w:p>
    <w:p w14:paraId="710E0E69" w14:textId="1285AAA3" w:rsidR="006D7CFC" w:rsidRPr="00C7680A" w:rsidRDefault="00BD1642" w:rsidP="006D7CFC">
      <w:pPr>
        <w:pStyle w:val="xmsobodytext"/>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Specifically, we</w:t>
      </w:r>
      <w:r w:rsidR="0048145B" w:rsidRPr="00C7680A">
        <w:rPr>
          <w:rFonts w:ascii="Arial" w:hAnsi="Arial" w:cs="Arial"/>
          <w:sz w:val="20"/>
          <w:szCs w:val="20"/>
        </w:rPr>
        <w:t xml:space="preserve"> highlight the following points:</w:t>
      </w:r>
    </w:p>
    <w:p w14:paraId="434BCC94" w14:textId="77777777" w:rsidR="006D7CFC" w:rsidRPr="00C7680A" w:rsidRDefault="006D7CFC" w:rsidP="006D7CFC">
      <w:pPr>
        <w:pStyle w:val="xmsobodytext"/>
        <w:shd w:val="clear" w:color="auto" w:fill="FFFFFF"/>
        <w:spacing w:before="0" w:beforeAutospacing="0" w:after="0" w:afterAutospacing="0" w:line="240" w:lineRule="atLeast"/>
        <w:ind w:left="720"/>
        <w:jc w:val="both"/>
        <w:rPr>
          <w:rFonts w:ascii="Arial" w:hAnsi="Arial" w:cs="Arial"/>
          <w:sz w:val="20"/>
          <w:szCs w:val="20"/>
        </w:rPr>
      </w:pPr>
    </w:p>
    <w:p w14:paraId="4DF41C1C" w14:textId="2B3BD6F9" w:rsidR="006D7CFC" w:rsidRPr="00C7680A" w:rsidRDefault="00BD1642" w:rsidP="006D7CFC">
      <w:pPr>
        <w:pStyle w:val="xmsobodytext"/>
        <w:numPr>
          <w:ilvl w:val="0"/>
          <w:numId w:val="1"/>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bdr w:val="none" w:sz="0" w:space="0" w:color="auto" w:frame="1"/>
        </w:rPr>
        <w:t>We accept that the paper by Moniz Dionisio J et al, J Neurol Psychiatry, 2025 – “A retrospective review of 48 patients who were treated with efgartigimod under the UK Early Access to Medicine Scheme” was not published in final form until 2025. However, the real</w:t>
      </w:r>
      <w:r w:rsidR="002647AF" w:rsidRPr="00C7680A">
        <w:rPr>
          <w:rFonts w:ascii="Arial" w:hAnsi="Arial" w:cs="Arial"/>
          <w:sz w:val="20"/>
          <w:szCs w:val="20"/>
          <w:bdr w:val="none" w:sz="0" w:space="0" w:color="auto" w:frame="1"/>
        </w:rPr>
        <w:t>-</w:t>
      </w:r>
      <w:r w:rsidRPr="00C7680A">
        <w:rPr>
          <w:rFonts w:ascii="Arial" w:hAnsi="Arial" w:cs="Arial"/>
          <w:sz w:val="20"/>
          <w:szCs w:val="20"/>
          <w:bdr w:val="none" w:sz="0" w:space="0" w:color="auto" w:frame="1"/>
        </w:rPr>
        <w:t>world data outlined in this pa</w:t>
      </w:r>
      <w:r w:rsidR="006C599C" w:rsidRPr="00C7680A">
        <w:rPr>
          <w:rFonts w:ascii="Arial" w:hAnsi="Arial" w:cs="Arial"/>
          <w:sz w:val="20"/>
          <w:szCs w:val="20"/>
          <w:bdr w:val="none" w:sz="0" w:space="0" w:color="auto" w:frame="1"/>
        </w:rPr>
        <w:t>p</w:t>
      </w:r>
      <w:r w:rsidRPr="00C7680A">
        <w:rPr>
          <w:rFonts w:ascii="Arial" w:hAnsi="Arial" w:cs="Arial"/>
          <w:sz w:val="20"/>
          <w:szCs w:val="20"/>
          <w:bdr w:val="none" w:sz="0" w:space="0" w:color="auto" w:frame="1"/>
        </w:rPr>
        <w:t>er were referenced in comments during the ACM meetings by both clinical experts.</w:t>
      </w:r>
    </w:p>
    <w:p w14:paraId="28E74FEA" w14:textId="2193326B" w:rsidR="006D7CFC" w:rsidRPr="00C7680A" w:rsidRDefault="00BD1642" w:rsidP="006D7CFC">
      <w:pPr>
        <w:pStyle w:val="xmsobodytext"/>
        <w:numPr>
          <w:ilvl w:val="0"/>
          <w:numId w:val="1"/>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bdr w:val="none" w:sz="0" w:space="0" w:color="auto" w:frame="1"/>
        </w:rPr>
        <w:t>Moreover, the article was deposited on med</w:t>
      </w:r>
      <w:r w:rsidR="00DB6C6A" w:rsidRPr="00C7680A">
        <w:rPr>
          <w:rFonts w:ascii="Arial" w:hAnsi="Arial" w:cs="Arial"/>
          <w:sz w:val="20"/>
          <w:szCs w:val="20"/>
          <w:bdr w:val="none" w:sz="0" w:space="0" w:color="auto" w:frame="1"/>
        </w:rPr>
        <w:t>R</w:t>
      </w:r>
      <w:r w:rsidRPr="00C7680A">
        <w:rPr>
          <w:rFonts w:ascii="Arial" w:hAnsi="Arial" w:cs="Arial"/>
          <w:sz w:val="20"/>
          <w:szCs w:val="20"/>
          <w:bdr w:val="none" w:sz="0" w:space="0" w:color="auto" w:frame="1"/>
        </w:rPr>
        <w:t>xiv (</w:t>
      </w:r>
      <w:hyperlink r:id="rId8" w:history="1">
        <w:r w:rsidR="006D7CFC" w:rsidRPr="00C7680A">
          <w:rPr>
            <w:rStyle w:val="Hyperlink"/>
            <w:rFonts w:ascii="Arial" w:hAnsi="Arial" w:cs="Arial"/>
            <w:color w:val="auto"/>
            <w:sz w:val="20"/>
            <w:szCs w:val="20"/>
          </w:rPr>
          <w:t>Efgartigimod efficacy and safety in refractory Myasthenia Gravis - UK’s first real-world experience | medRxiv</w:t>
        </w:r>
      </w:hyperlink>
      <w:r w:rsidRPr="00C7680A">
        <w:rPr>
          <w:rFonts w:ascii="Arial" w:hAnsi="Arial" w:cs="Arial"/>
          <w:sz w:val="20"/>
          <w:szCs w:val="20"/>
        </w:rPr>
        <w:t>)</w:t>
      </w:r>
      <w:r w:rsidRPr="00C7680A">
        <w:rPr>
          <w:rFonts w:ascii="Arial" w:hAnsi="Arial" w:cs="Arial"/>
          <w:sz w:val="20"/>
          <w:szCs w:val="20"/>
          <w:bdr w:val="none" w:sz="0" w:space="0" w:color="auto" w:frame="1"/>
        </w:rPr>
        <w:t xml:space="preserve"> on the 1</w:t>
      </w:r>
      <w:r w:rsidRPr="00C7680A">
        <w:rPr>
          <w:rFonts w:ascii="Arial" w:hAnsi="Arial" w:cs="Arial"/>
          <w:sz w:val="20"/>
          <w:szCs w:val="20"/>
          <w:bdr w:val="none" w:sz="0" w:space="0" w:color="auto" w:frame="1"/>
          <w:vertAlign w:val="superscript"/>
        </w:rPr>
        <w:t>st</w:t>
      </w:r>
      <w:r w:rsidRPr="00C7680A">
        <w:rPr>
          <w:rFonts w:ascii="Arial" w:hAnsi="Arial" w:cs="Arial"/>
          <w:sz w:val="20"/>
          <w:szCs w:val="20"/>
          <w:bdr w:val="none" w:sz="0" w:space="0" w:color="auto" w:frame="1"/>
        </w:rPr>
        <w:t xml:space="preserve"> February  2024 and referenced in the submission from </w:t>
      </w:r>
      <w:r w:rsidR="00722723" w:rsidRPr="00722723">
        <w:rPr>
          <w:rFonts w:ascii="Arial" w:hAnsi="Arial" w:cs="Arial"/>
          <w:color w:val="000000" w:themeColor="text1"/>
          <w:sz w:val="20"/>
          <w:szCs w:val="20"/>
          <w:highlight w:val="black"/>
          <w:bdr w:val="none" w:sz="0" w:space="0" w:color="auto" w:frame="1"/>
        </w:rPr>
        <w:t>XXXXXXXXXXX</w:t>
      </w:r>
      <w:r w:rsidRPr="00C7680A">
        <w:rPr>
          <w:rFonts w:ascii="Arial" w:hAnsi="Arial" w:cs="Arial"/>
          <w:sz w:val="20"/>
          <w:szCs w:val="20"/>
          <w:bdr w:val="none" w:sz="0" w:space="0" w:color="auto" w:frame="1"/>
        </w:rPr>
        <w:t xml:space="preserve"> in her response to the Draft </w:t>
      </w:r>
      <w:r w:rsidR="00DB6C6A" w:rsidRPr="00C7680A">
        <w:rPr>
          <w:rFonts w:ascii="Arial" w:hAnsi="Arial" w:cs="Arial"/>
          <w:sz w:val="20"/>
          <w:szCs w:val="20"/>
          <w:bdr w:val="none" w:sz="0" w:space="0" w:color="auto" w:frame="1"/>
        </w:rPr>
        <w:t>G</w:t>
      </w:r>
      <w:r w:rsidRPr="00C7680A">
        <w:rPr>
          <w:rFonts w:ascii="Arial" w:hAnsi="Arial" w:cs="Arial"/>
          <w:sz w:val="20"/>
          <w:szCs w:val="20"/>
          <w:bdr w:val="none" w:sz="0" w:space="0" w:color="auto" w:frame="1"/>
        </w:rPr>
        <w:t>uidance comments form. The purpose of having it available in this format was so</w:t>
      </w:r>
      <w:r w:rsidR="00DB6C6A" w:rsidRPr="00C7680A">
        <w:rPr>
          <w:rFonts w:ascii="Arial" w:hAnsi="Arial" w:cs="Arial"/>
          <w:sz w:val="20"/>
          <w:szCs w:val="20"/>
          <w:bdr w:val="none" w:sz="0" w:space="0" w:color="auto" w:frame="1"/>
        </w:rPr>
        <w:t xml:space="preserve"> that</w:t>
      </w:r>
      <w:r w:rsidRPr="00C7680A">
        <w:rPr>
          <w:rFonts w:ascii="Arial" w:hAnsi="Arial" w:cs="Arial"/>
          <w:sz w:val="20"/>
          <w:szCs w:val="20"/>
          <w:bdr w:val="none" w:sz="0" w:space="0" w:color="auto" w:frame="1"/>
        </w:rPr>
        <w:t xml:space="preserve"> it was widely available to all stakeholders</w:t>
      </w:r>
      <w:r w:rsidR="00DB6C6A" w:rsidRPr="00C7680A">
        <w:rPr>
          <w:rFonts w:ascii="Arial" w:hAnsi="Arial" w:cs="Arial"/>
          <w:sz w:val="20"/>
          <w:szCs w:val="20"/>
          <w:bdr w:val="none" w:sz="0" w:space="0" w:color="auto" w:frame="1"/>
        </w:rPr>
        <w:t>, as it is regarded by the clinical community as a seminal piece of evidence</w:t>
      </w:r>
      <w:r w:rsidR="00566C4D" w:rsidRPr="00C7680A">
        <w:rPr>
          <w:rFonts w:ascii="Arial" w:hAnsi="Arial" w:cs="Arial"/>
          <w:sz w:val="20"/>
          <w:szCs w:val="20"/>
          <w:bdr w:val="none" w:sz="0" w:space="0" w:color="auto" w:frame="1"/>
        </w:rPr>
        <w:t>.</w:t>
      </w:r>
      <w:r w:rsidRPr="00C7680A">
        <w:rPr>
          <w:rFonts w:ascii="Arial" w:hAnsi="Arial" w:cs="Arial"/>
          <w:sz w:val="20"/>
          <w:szCs w:val="20"/>
          <w:bdr w:val="none" w:sz="0" w:space="0" w:color="auto" w:frame="1"/>
        </w:rPr>
        <w:t xml:space="preserve"> </w:t>
      </w:r>
    </w:p>
    <w:p w14:paraId="4CF19382" w14:textId="57C8EDD2" w:rsidR="0048145B" w:rsidRPr="00C7680A" w:rsidRDefault="00BD1642" w:rsidP="0048145B">
      <w:pPr>
        <w:pStyle w:val="xmsobodytext"/>
        <w:numPr>
          <w:ilvl w:val="0"/>
          <w:numId w:val="1"/>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bdr w:val="none" w:sz="0" w:space="0" w:color="auto" w:frame="1"/>
        </w:rPr>
        <w:t>In addition, written comments highlighting these data were submitted by at least two respondents</w:t>
      </w:r>
      <w:r w:rsidR="00566C4D" w:rsidRPr="00C7680A">
        <w:rPr>
          <w:rFonts w:ascii="Arial" w:hAnsi="Arial" w:cs="Arial"/>
          <w:sz w:val="20"/>
          <w:szCs w:val="20"/>
          <w:bdr w:val="none" w:sz="0" w:space="0" w:color="auto" w:frame="1"/>
        </w:rPr>
        <w:t>,</w:t>
      </w:r>
      <w:r w:rsidRPr="00C7680A">
        <w:rPr>
          <w:rFonts w:ascii="Arial" w:hAnsi="Arial" w:cs="Arial"/>
          <w:sz w:val="20"/>
          <w:szCs w:val="20"/>
          <w:bdr w:val="none" w:sz="0" w:space="0" w:color="auto" w:frame="1"/>
        </w:rPr>
        <w:t xml:space="preserve"> in response to the initial consultation. These include</w:t>
      </w:r>
      <w:r w:rsidR="003347D0" w:rsidRPr="00C7680A">
        <w:rPr>
          <w:rFonts w:ascii="Arial" w:hAnsi="Arial" w:cs="Arial"/>
          <w:sz w:val="20"/>
          <w:szCs w:val="20"/>
          <w:bdr w:val="none" w:sz="0" w:space="0" w:color="auto" w:frame="1"/>
        </w:rPr>
        <w:t xml:space="preserve">, for example, </w:t>
      </w:r>
      <w:r w:rsidRPr="00C7680A">
        <w:rPr>
          <w:rFonts w:ascii="Arial" w:hAnsi="Arial" w:cs="Arial"/>
          <w:sz w:val="20"/>
          <w:szCs w:val="20"/>
          <w:bdr w:val="none" w:sz="0" w:space="0" w:color="auto" w:frame="1"/>
        </w:rPr>
        <w:t xml:space="preserve">the </w:t>
      </w:r>
      <w:r w:rsidR="00566C4D" w:rsidRPr="00C7680A">
        <w:rPr>
          <w:rFonts w:ascii="Arial" w:hAnsi="Arial" w:cs="Arial"/>
          <w:sz w:val="20"/>
          <w:szCs w:val="20"/>
          <w:bdr w:val="none" w:sz="0" w:space="0" w:color="auto" w:frame="1"/>
        </w:rPr>
        <w:t>c</w:t>
      </w:r>
      <w:r w:rsidRPr="00C7680A">
        <w:rPr>
          <w:rFonts w:ascii="Arial" w:hAnsi="Arial" w:cs="Arial"/>
          <w:sz w:val="20"/>
          <w:szCs w:val="20"/>
          <w:bdr w:val="none" w:sz="0" w:space="0" w:color="auto" w:frame="1"/>
        </w:rPr>
        <w:t xml:space="preserve">linical expert statement and technical engagement response form submitted by </w:t>
      </w:r>
      <w:r w:rsidR="00C8350E" w:rsidRPr="00C8350E">
        <w:rPr>
          <w:rFonts w:ascii="Arial" w:hAnsi="Arial" w:cs="Arial"/>
          <w:sz w:val="20"/>
          <w:szCs w:val="20"/>
          <w:highlight w:val="black"/>
          <w:bdr w:val="none" w:sz="0" w:space="0" w:color="auto" w:frame="1"/>
        </w:rPr>
        <w:t>XXXXXXXXXXX</w:t>
      </w:r>
      <w:r w:rsidR="00566C4D" w:rsidRPr="00C7680A">
        <w:rPr>
          <w:rFonts w:ascii="Arial" w:hAnsi="Arial" w:cs="Arial"/>
          <w:sz w:val="20"/>
          <w:szCs w:val="20"/>
          <w:bdr w:val="none" w:sz="0" w:space="0" w:color="auto" w:frame="1"/>
        </w:rPr>
        <w:t>,</w:t>
      </w:r>
      <w:r w:rsidRPr="00C7680A">
        <w:rPr>
          <w:rFonts w:ascii="Arial" w:hAnsi="Arial" w:cs="Arial"/>
          <w:sz w:val="20"/>
          <w:szCs w:val="20"/>
          <w:bdr w:val="none" w:sz="0" w:space="0" w:color="auto" w:frame="1"/>
        </w:rPr>
        <w:t xml:space="preserve"> as well as the Draft </w:t>
      </w:r>
      <w:r w:rsidR="00566C4D" w:rsidRPr="00C7680A">
        <w:rPr>
          <w:rFonts w:ascii="Arial" w:hAnsi="Arial" w:cs="Arial"/>
          <w:sz w:val="20"/>
          <w:szCs w:val="20"/>
          <w:bdr w:val="none" w:sz="0" w:space="0" w:color="auto" w:frame="1"/>
        </w:rPr>
        <w:t>G</w:t>
      </w:r>
      <w:r w:rsidRPr="00C7680A">
        <w:rPr>
          <w:rFonts w:ascii="Arial" w:hAnsi="Arial" w:cs="Arial"/>
          <w:sz w:val="20"/>
          <w:szCs w:val="20"/>
          <w:bdr w:val="none" w:sz="0" w:space="0" w:color="auto" w:frame="1"/>
        </w:rPr>
        <w:t>uidance comments form submitted in response to the second ACM.</w:t>
      </w:r>
    </w:p>
    <w:p w14:paraId="6AB4B159" w14:textId="77777777" w:rsidR="0048145B" w:rsidRPr="00C7680A" w:rsidRDefault="0048145B" w:rsidP="00D1532B">
      <w:pPr>
        <w:pStyle w:val="xmsobodytext"/>
        <w:shd w:val="clear" w:color="auto" w:fill="FFFFFF"/>
        <w:spacing w:before="0" w:beforeAutospacing="0" w:after="0" w:afterAutospacing="0" w:line="240" w:lineRule="atLeast"/>
        <w:ind w:left="720"/>
        <w:jc w:val="both"/>
        <w:rPr>
          <w:rFonts w:ascii="Arial" w:hAnsi="Arial" w:cs="Arial"/>
          <w:sz w:val="20"/>
          <w:szCs w:val="20"/>
        </w:rPr>
      </w:pPr>
    </w:p>
    <w:p w14:paraId="31049C58" w14:textId="37E27925" w:rsidR="0048145B" w:rsidRPr="00C7680A" w:rsidRDefault="00BD1642" w:rsidP="00D1532B">
      <w:pPr>
        <w:pStyle w:val="xmsobodytext"/>
        <w:shd w:val="clear" w:color="auto" w:fill="FFFFFF"/>
        <w:spacing w:before="0" w:beforeAutospacing="0" w:after="0" w:afterAutospacing="0" w:line="240" w:lineRule="atLeast"/>
        <w:ind w:left="360"/>
        <w:jc w:val="both"/>
        <w:rPr>
          <w:rFonts w:ascii="Arial" w:hAnsi="Arial" w:cs="Arial"/>
          <w:sz w:val="20"/>
          <w:szCs w:val="20"/>
        </w:rPr>
      </w:pPr>
      <w:r w:rsidRPr="00C7680A">
        <w:rPr>
          <w:rFonts w:ascii="Arial" w:hAnsi="Arial" w:cs="Arial"/>
          <w:sz w:val="20"/>
          <w:szCs w:val="20"/>
        </w:rPr>
        <w:t xml:space="preserve">With regard to the evidence considered in the </w:t>
      </w:r>
      <w:r w:rsidR="00566C4D" w:rsidRPr="00C7680A">
        <w:rPr>
          <w:rFonts w:ascii="Arial" w:hAnsi="Arial" w:cs="Arial"/>
          <w:sz w:val="20"/>
          <w:szCs w:val="20"/>
        </w:rPr>
        <w:t>final draft guidance (</w:t>
      </w:r>
      <w:r w:rsidRPr="00C7680A">
        <w:rPr>
          <w:rFonts w:ascii="Arial" w:hAnsi="Arial" w:cs="Arial"/>
          <w:sz w:val="20"/>
          <w:szCs w:val="20"/>
        </w:rPr>
        <w:t>FDG</w:t>
      </w:r>
      <w:r w:rsidR="00566C4D" w:rsidRPr="00C7680A">
        <w:rPr>
          <w:rFonts w:ascii="Arial" w:hAnsi="Arial" w:cs="Arial"/>
          <w:sz w:val="20"/>
          <w:szCs w:val="20"/>
        </w:rPr>
        <w:t>)</w:t>
      </w:r>
      <w:r w:rsidRPr="00C7680A">
        <w:rPr>
          <w:rFonts w:ascii="Arial" w:hAnsi="Arial" w:cs="Arial"/>
          <w:sz w:val="20"/>
          <w:szCs w:val="20"/>
        </w:rPr>
        <w:t>, the real world evidence in paragraph 3.16 refers to MyRealWorld MG, a study that aimed to explore the impact of MG in terms of treatments, side effects, co-morbidities</w:t>
      </w:r>
      <w:r w:rsidR="00566C4D" w:rsidRPr="00C7680A">
        <w:rPr>
          <w:rFonts w:ascii="Arial" w:hAnsi="Arial" w:cs="Arial"/>
          <w:sz w:val="20"/>
          <w:szCs w:val="20"/>
        </w:rPr>
        <w:t>,</w:t>
      </w:r>
      <w:r w:rsidRPr="00C7680A">
        <w:rPr>
          <w:rFonts w:ascii="Arial" w:hAnsi="Arial" w:cs="Arial"/>
          <w:sz w:val="20"/>
          <w:szCs w:val="20"/>
        </w:rPr>
        <w:t xml:space="preserve"> etc</w:t>
      </w:r>
      <w:r w:rsidR="002647AF" w:rsidRPr="00C7680A">
        <w:rPr>
          <w:rFonts w:ascii="Arial" w:hAnsi="Arial" w:cs="Arial"/>
          <w:sz w:val="20"/>
          <w:szCs w:val="20"/>
        </w:rPr>
        <w:t>,</w:t>
      </w:r>
      <w:r w:rsidRPr="00C7680A">
        <w:rPr>
          <w:rFonts w:ascii="Arial" w:hAnsi="Arial" w:cs="Arial"/>
          <w:sz w:val="20"/>
          <w:szCs w:val="20"/>
        </w:rPr>
        <w:t xml:space="preserve"> from a patient perspective, rather than a ‘real world’ study on the efficacy of the drug. </w:t>
      </w:r>
      <w:r w:rsidR="00845A07" w:rsidRPr="00C7680A">
        <w:rPr>
          <w:rFonts w:ascii="Arial" w:hAnsi="Arial" w:cs="Arial"/>
          <w:sz w:val="20"/>
          <w:szCs w:val="20"/>
        </w:rPr>
        <w:t xml:space="preserve"> In paragraph 3.13, there is reference to additional analysis of the ADAPT and</w:t>
      </w:r>
      <w:r w:rsidR="006C599C" w:rsidRPr="00C7680A">
        <w:rPr>
          <w:rFonts w:ascii="Arial" w:hAnsi="Arial" w:cs="Arial"/>
          <w:sz w:val="20"/>
          <w:szCs w:val="20"/>
        </w:rPr>
        <w:t xml:space="preserve"> </w:t>
      </w:r>
      <w:r w:rsidR="00845A07" w:rsidRPr="00C7680A">
        <w:rPr>
          <w:rFonts w:ascii="Arial" w:hAnsi="Arial" w:cs="Arial"/>
          <w:sz w:val="20"/>
          <w:szCs w:val="20"/>
        </w:rPr>
        <w:t xml:space="preserve">ADAPT+ data, real world evidence from the US and evidence on efgartigimod in other indications. </w:t>
      </w:r>
      <w:r w:rsidR="006C599C" w:rsidRPr="00C7680A">
        <w:rPr>
          <w:rFonts w:ascii="Arial" w:hAnsi="Arial" w:cs="Arial"/>
          <w:sz w:val="20"/>
          <w:szCs w:val="20"/>
        </w:rPr>
        <w:t>However,</w:t>
      </w:r>
      <w:r w:rsidR="00845A07" w:rsidRPr="00C7680A">
        <w:rPr>
          <w:rFonts w:ascii="Arial" w:hAnsi="Arial" w:cs="Arial"/>
          <w:sz w:val="20"/>
          <w:szCs w:val="20"/>
        </w:rPr>
        <w:t xml:space="preserve"> this was in reference to a residual treatment effect after stopping efgartigimod permanently</w:t>
      </w:r>
      <w:r w:rsidR="002647AF" w:rsidRPr="00C7680A">
        <w:rPr>
          <w:rFonts w:ascii="Arial" w:hAnsi="Arial" w:cs="Arial"/>
          <w:sz w:val="20"/>
          <w:szCs w:val="20"/>
        </w:rPr>
        <w:t>,</w:t>
      </w:r>
      <w:r w:rsidR="00845A07" w:rsidRPr="00C7680A">
        <w:rPr>
          <w:rFonts w:ascii="Arial" w:hAnsi="Arial" w:cs="Arial"/>
          <w:sz w:val="20"/>
          <w:szCs w:val="20"/>
        </w:rPr>
        <w:t xml:space="preserve"> rather than real world evidence of the efficacy and utility of the drug. </w:t>
      </w:r>
    </w:p>
    <w:p w14:paraId="0FBF8A4C" w14:textId="77777777" w:rsidR="00566C4D" w:rsidRPr="00C7680A" w:rsidRDefault="00566C4D" w:rsidP="00D1532B">
      <w:pPr>
        <w:pStyle w:val="xmsobodytext"/>
        <w:shd w:val="clear" w:color="auto" w:fill="FFFFFF"/>
        <w:spacing w:before="0" w:beforeAutospacing="0" w:after="0" w:afterAutospacing="0" w:line="240" w:lineRule="atLeast"/>
        <w:ind w:left="360"/>
        <w:jc w:val="both"/>
        <w:rPr>
          <w:rFonts w:ascii="Arial" w:hAnsi="Arial" w:cs="Arial"/>
          <w:sz w:val="20"/>
          <w:szCs w:val="20"/>
        </w:rPr>
      </w:pPr>
    </w:p>
    <w:p w14:paraId="150462F1" w14:textId="3CDEA9B9" w:rsidR="0048145B" w:rsidRPr="00C7680A" w:rsidRDefault="00BD1642" w:rsidP="00566C4D">
      <w:pPr>
        <w:pStyle w:val="xmsobodytext"/>
        <w:shd w:val="clear" w:color="auto" w:fill="FFFFFF"/>
        <w:spacing w:before="0" w:beforeAutospacing="0" w:after="0" w:afterAutospacing="0" w:line="240" w:lineRule="atLeast"/>
        <w:ind w:left="360"/>
        <w:jc w:val="both"/>
        <w:rPr>
          <w:rFonts w:ascii="Arial" w:hAnsi="Arial" w:cs="Arial"/>
          <w:sz w:val="20"/>
          <w:szCs w:val="20"/>
        </w:rPr>
      </w:pPr>
      <w:r w:rsidRPr="00C7680A">
        <w:rPr>
          <w:rFonts w:ascii="Arial" w:hAnsi="Arial" w:cs="Arial"/>
          <w:sz w:val="20"/>
          <w:szCs w:val="20"/>
        </w:rPr>
        <w:t>If these pieces of evidence were, indeed, considered by the Committee, this is unclear from the FDG, as are any reasons for it being disregarded.</w:t>
      </w:r>
    </w:p>
    <w:p w14:paraId="04552B94" w14:textId="77777777" w:rsidR="002647AF" w:rsidRPr="00C7680A" w:rsidRDefault="002647AF" w:rsidP="00566C4D">
      <w:pPr>
        <w:pStyle w:val="xmsobodytext"/>
        <w:shd w:val="clear" w:color="auto" w:fill="FFFFFF"/>
        <w:spacing w:before="0" w:beforeAutospacing="0" w:after="0" w:afterAutospacing="0" w:line="240" w:lineRule="atLeast"/>
        <w:ind w:left="360"/>
        <w:jc w:val="both"/>
        <w:rPr>
          <w:rFonts w:ascii="Arial" w:hAnsi="Arial" w:cs="Arial"/>
          <w:sz w:val="20"/>
          <w:szCs w:val="20"/>
        </w:rPr>
      </w:pPr>
    </w:p>
    <w:p w14:paraId="348B41CC" w14:textId="19FF4F7D" w:rsidR="006D7CFC" w:rsidRPr="00C7680A" w:rsidRDefault="00BD1642" w:rsidP="006D7CFC">
      <w:pPr>
        <w:pStyle w:val="xmsobodytext"/>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b/>
          <w:bCs/>
          <w:sz w:val="20"/>
          <w:szCs w:val="20"/>
          <w:u w:val="single"/>
          <w:bdr w:val="none" w:sz="0" w:space="0" w:color="auto" w:frame="1"/>
        </w:rPr>
        <w:lastRenderedPageBreak/>
        <w:t>Appeal point 2.2: The equity of access to, and risks associated with</w:t>
      </w:r>
      <w:r w:rsidR="00566C4D" w:rsidRPr="00C7680A">
        <w:rPr>
          <w:rFonts w:ascii="Arial" w:hAnsi="Arial" w:cs="Arial"/>
          <w:b/>
          <w:bCs/>
          <w:sz w:val="20"/>
          <w:szCs w:val="20"/>
          <w:u w:val="single"/>
          <w:bdr w:val="none" w:sz="0" w:space="0" w:color="auto" w:frame="1"/>
        </w:rPr>
        <w:t>,</w:t>
      </w:r>
      <w:r w:rsidRPr="00C7680A">
        <w:rPr>
          <w:rFonts w:ascii="Arial" w:hAnsi="Arial" w:cs="Arial"/>
          <w:b/>
          <w:bCs/>
          <w:sz w:val="20"/>
          <w:szCs w:val="20"/>
          <w:u w:val="single"/>
          <w:bdr w:val="none" w:sz="0" w:space="0" w:color="auto" w:frame="1"/>
        </w:rPr>
        <w:t xml:space="preserve"> alternative treatments were not adequately considered.</w:t>
      </w:r>
    </w:p>
    <w:p w14:paraId="5D68061A" w14:textId="1EC166F1" w:rsidR="006D7CFC" w:rsidRPr="00C7680A" w:rsidRDefault="00BD1642" w:rsidP="006D7CFC">
      <w:pPr>
        <w:pStyle w:val="xmsobodytext"/>
        <w:numPr>
          <w:ilvl w:val="0"/>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bdr w:val="none" w:sz="0" w:space="0" w:color="auto" w:frame="1"/>
        </w:rPr>
        <w:t>A</w:t>
      </w:r>
      <w:r w:rsidR="00845A07" w:rsidRPr="00C7680A">
        <w:rPr>
          <w:rFonts w:ascii="Arial" w:hAnsi="Arial" w:cs="Arial"/>
          <w:sz w:val="20"/>
          <w:szCs w:val="20"/>
          <w:bdr w:val="none" w:sz="0" w:space="0" w:color="auto" w:frame="1"/>
        </w:rPr>
        <w:t>lthough alternatives to efgartigiomd such as IVIg and PLE</w:t>
      </w:r>
      <w:r w:rsidRPr="00C7680A">
        <w:rPr>
          <w:rFonts w:ascii="Arial" w:hAnsi="Arial" w:cs="Arial"/>
          <w:sz w:val="20"/>
          <w:szCs w:val="20"/>
          <w:bdr w:val="none" w:sz="0" w:space="0" w:color="auto" w:frame="1"/>
        </w:rPr>
        <w:t>x</w:t>
      </w:r>
      <w:r w:rsidR="00845A07" w:rsidRPr="00C7680A">
        <w:rPr>
          <w:rFonts w:ascii="Arial" w:hAnsi="Arial" w:cs="Arial"/>
          <w:sz w:val="20"/>
          <w:szCs w:val="20"/>
          <w:bdr w:val="none" w:sz="0" w:space="0" w:color="auto" w:frame="1"/>
        </w:rPr>
        <w:t xml:space="preserve"> were referenced</w:t>
      </w:r>
      <w:r w:rsidRPr="00C7680A">
        <w:rPr>
          <w:rFonts w:ascii="Arial" w:hAnsi="Arial" w:cs="Arial"/>
          <w:sz w:val="20"/>
          <w:szCs w:val="20"/>
          <w:bdr w:val="none" w:sz="0" w:space="0" w:color="auto" w:frame="1"/>
        </w:rPr>
        <w:t xml:space="preserve"> in the FDG</w:t>
      </w:r>
      <w:r w:rsidR="00845A07" w:rsidRPr="00C7680A">
        <w:rPr>
          <w:rFonts w:ascii="Arial" w:hAnsi="Arial" w:cs="Arial"/>
          <w:sz w:val="20"/>
          <w:szCs w:val="20"/>
          <w:bdr w:val="none" w:sz="0" w:space="0" w:color="auto" w:frame="1"/>
        </w:rPr>
        <w:t>,</w:t>
      </w:r>
      <w:r w:rsidR="006C599C" w:rsidRPr="00C7680A">
        <w:rPr>
          <w:rFonts w:ascii="Arial" w:hAnsi="Arial" w:cs="Arial"/>
          <w:sz w:val="20"/>
          <w:szCs w:val="20"/>
          <w:bdr w:val="none" w:sz="0" w:space="0" w:color="auto" w:frame="1"/>
        </w:rPr>
        <w:t xml:space="preserve"> </w:t>
      </w:r>
      <w:r w:rsidRPr="00C7680A">
        <w:rPr>
          <w:rFonts w:ascii="Arial" w:hAnsi="Arial" w:cs="Arial"/>
          <w:sz w:val="20"/>
          <w:szCs w:val="20"/>
          <w:bdr w:val="none" w:sz="0" w:space="0" w:color="auto" w:frame="1"/>
        </w:rPr>
        <w:t>equity of access to treatment with intravenous immunoglobulin (IVIg) and plasma exchange (PLEx) was clearly not fully considered</w:t>
      </w:r>
      <w:r w:rsidR="00845A07" w:rsidRPr="00C7680A">
        <w:rPr>
          <w:rFonts w:ascii="Arial" w:hAnsi="Arial" w:cs="Arial"/>
          <w:sz w:val="20"/>
          <w:szCs w:val="20"/>
          <w:bdr w:val="none" w:sz="0" w:space="0" w:color="auto" w:frame="1"/>
        </w:rPr>
        <w:t xml:space="preserve">, nor is it </w:t>
      </w:r>
      <w:r w:rsidR="002647AF" w:rsidRPr="00C7680A">
        <w:rPr>
          <w:rFonts w:ascii="Arial" w:hAnsi="Arial" w:cs="Arial"/>
          <w:sz w:val="20"/>
          <w:szCs w:val="20"/>
          <w:bdr w:val="none" w:sz="0" w:space="0" w:color="auto" w:frame="1"/>
        </w:rPr>
        <w:t>obvious</w:t>
      </w:r>
      <w:r w:rsidR="00845A07" w:rsidRPr="00C7680A">
        <w:rPr>
          <w:rFonts w:ascii="Arial" w:hAnsi="Arial" w:cs="Arial"/>
          <w:sz w:val="20"/>
          <w:szCs w:val="20"/>
          <w:bdr w:val="none" w:sz="0" w:space="0" w:color="auto" w:frame="1"/>
        </w:rPr>
        <w:t xml:space="preserve"> how much weight was given to this important issue</w:t>
      </w:r>
      <w:r w:rsidRPr="00C7680A">
        <w:rPr>
          <w:rFonts w:ascii="Arial" w:hAnsi="Arial" w:cs="Arial"/>
          <w:sz w:val="20"/>
          <w:szCs w:val="20"/>
          <w:bdr w:val="none" w:sz="0" w:space="0" w:color="auto" w:frame="1"/>
        </w:rPr>
        <w:t>. We say this because clinicians are aware that this is a crucial factor influencing treatment choices, so it merited extensive discussion both in Committee and in the final guidance.</w:t>
      </w:r>
      <w:r w:rsidR="00845A07" w:rsidRPr="00C7680A">
        <w:rPr>
          <w:rFonts w:ascii="Arial" w:hAnsi="Arial" w:cs="Arial"/>
          <w:sz w:val="20"/>
          <w:szCs w:val="20"/>
          <w:bdr w:val="none" w:sz="0" w:space="0" w:color="auto" w:frame="1"/>
        </w:rPr>
        <w:t xml:space="preserve"> </w:t>
      </w:r>
      <w:r w:rsidRPr="00C7680A">
        <w:rPr>
          <w:rFonts w:ascii="Arial" w:hAnsi="Arial" w:cs="Arial"/>
          <w:sz w:val="20"/>
          <w:szCs w:val="20"/>
          <w:bdr w:val="none" w:sz="0" w:space="0" w:color="auto" w:frame="1"/>
        </w:rPr>
        <w:t xml:space="preserve">IVIg is not readily available in all areas and access is tightly controlled via national commissioning guidelines. PLEx is usually only available in large hospitals. It may also require central venous access for the treatment to be conducted. There are thrombotic risks associated with both treatments, </w:t>
      </w:r>
      <w:r w:rsidR="002647AF" w:rsidRPr="00C7680A">
        <w:rPr>
          <w:rFonts w:ascii="Arial" w:hAnsi="Arial" w:cs="Arial"/>
          <w:sz w:val="20"/>
          <w:szCs w:val="20"/>
          <w:bdr w:val="none" w:sz="0" w:space="0" w:color="auto" w:frame="1"/>
        </w:rPr>
        <w:t>as well as</w:t>
      </w:r>
      <w:r w:rsidRPr="00C7680A">
        <w:rPr>
          <w:rFonts w:ascii="Arial" w:hAnsi="Arial" w:cs="Arial"/>
          <w:sz w:val="20"/>
          <w:szCs w:val="20"/>
          <w:bdr w:val="none" w:sz="0" w:space="0" w:color="auto" w:frame="1"/>
        </w:rPr>
        <w:t xml:space="preserve"> vascular risks that may result from PLEx.</w:t>
      </w:r>
      <w:r w:rsidR="00845A07" w:rsidRPr="00C7680A">
        <w:rPr>
          <w:rFonts w:ascii="Arial" w:hAnsi="Arial" w:cs="Arial"/>
          <w:sz w:val="20"/>
          <w:szCs w:val="20"/>
          <w:bdr w:val="none" w:sz="0" w:space="0" w:color="auto" w:frame="1"/>
        </w:rPr>
        <w:t xml:space="preserve"> </w:t>
      </w:r>
    </w:p>
    <w:p w14:paraId="7ABEE8DC" w14:textId="12100A09" w:rsidR="00845A07" w:rsidRPr="00C7680A" w:rsidRDefault="00BD1642" w:rsidP="006D7CFC">
      <w:pPr>
        <w:pStyle w:val="xmsobodytext"/>
        <w:numPr>
          <w:ilvl w:val="0"/>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 xml:space="preserve">Regarding the references to alternative treatments in the FDG, we </w:t>
      </w:r>
      <w:r w:rsidR="00566C4D" w:rsidRPr="00C7680A">
        <w:rPr>
          <w:rFonts w:ascii="Arial" w:hAnsi="Arial" w:cs="Arial"/>
          <w:sz w:val="20"/>
          <w:szCs w:val="20"/>
        </w:rPr>
        <w:t>sh</w:t>
      </w:r>
      <w:r w:rsidRPr="00C7680A">
        <w:rPr>
          <w:rFonts w:ascii="Arial" w:hAnsi="Arial" w:cs="Arial"/>
          <w:sz w:val="20"/>
          <w:szCs w:val="20"/>
        </w:rPr>
        <w:t>ould like to make the following points</w:t>
      </w:r>
      <w:r w:rsidR="00566C4D" w:rsidRPr="00C7680A">
        <w:rPr>
          <w:rFonts w:ascii="Arial" w:hAnsi="Arial" w:cs="Arial"/>
          <w:sz w:val="20"/>
          <w:szCs w:val="20"/>
        </w:rPr>
        <w:t>:</w:t>
      </w:r>
    </w:p>
    <w:p w14:paraId="08F842D3" w14:textId="71D59CAA" w:rsidR="00845A07" w:rsidRPr="00C7680A" w:rsidRDefault="00BD1642" w:rsidP="00845A07">
      <w:pPr>
        <w:pStyle w:val="xmsobodytext"/>
        <w:numPr>
          <w:ilvl w:val="1"/>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3.2 refers to NHS Commissioning Criteria for IVIg but</w:t>
      </w:r>
      <w:r w:rsidR="002647AF" w:rsidRPr="00C7680A">
        <w:rPr>
          <w:rFonts w:ascii="Arial" w:hAnsi="Arial" w:cs="Arial"/>
          <w:sz w:val="20"/>
          <w:szCs w:val="20"/>
        </w:rPr>
        <w:t>,</w:t>
      </w:r>
      <w:r w:rsidRPr="00C7680A">
        <w:rPr>
          <w:rFonts w:ascii="Arial" w:hAnsi="Arial" w:cs="Arial"/>
          <w:sz w:val="20"/>
          <w:szCs w:val="20"/>
        </w:rPr>
        <w:t xml:space="preserve"> as mentioned above, these are </w:t>
      </w:r>
      <w:r w:rsidR="002647AF" w:rsidRPr="00C7680A">
        <w:rPr>
          <w:rFonts w:ascii="Arial" w:hAnsi="Arial" w:cs="Arial"/>
          <w:sz w:val="20"/>
          <w:szCs w:val="20"/>
        </w:rPr>
        <w:t>highl</w:t>
      </w:r>
      <w:r w:rsidRPr="00C7680A">
        <w:rPr>
          <w:rFonts w:ascii="Arial" w:hAnsi="Arial" w:cs="Arial"/>
          <w:sz w:val="20"/>
          <w:szCs w:val="20"/>
        </w:rPr>
        <w:t>y restrictive and</w:t>
      </w:r>
      <w:r w:rsidR="002647AF" w:rsidRPr="00C7680A">
        <w:rPr>
          <w:rFonts w:ascii="Arial" w:hAnsi="Arial" w:cs="Arial"/>
          <w:sz w:val="20"/>
          <w:szCs w:val="20"/>
        </w:rPr>
        <w:t>,</w:t>
      </w:r>
      <w:r w:rsidRPr="00C7680A">
        <w:rPr>
          <w:rFonts w:ascii="Arial" w:hAnsi="Arial" w:cs="Arial"/>
          <w:sz w:val="20"/>
          <w:szCs w:val="20"/>
        </w:rPr>
        <w:t xml:space="preserve"> neither the ability to access IVIg</w:t>
      </w:r>
      <w:r w:rsidR="002647AF" w:rsidRPr="00C7680A">
        <w:rPr>
          <w:rFonts w:ascii="Arial" w:hAnsi="Arial" w:cs="Arial"/>
          <w:sz w:val="20"/>
          <w:szCs w:val="20"/>
        </w:rPr>
        <w:t>,</w:t>
      </w:r>
      <w:r w:rsidRPr="00C7680A">
        <w:rPr>
          <w:rFonts w:ascii="Arial" w:hAnsi="Arial" w:cs="Arial"/>
          <w:sz w:val="20"/>
          <w:szCs w:val="20"/>
        </w:rPr>
        <w:t xml:space="preserve"> nor the risks associated with it</w:t>
      </w:r>
      <w:r w:rsidR="002647AF" w:rsidRPr="00C7680A">
        <w:rPr>
          <w:rFonts w:ascii="Arial" w:hAnsi="Arial" w:cs="Arial"/>
          <w:sz w:val="20"/>
          <w:szCs w:val="20"/>
        </w:rPr>
        <w:t>,</w:t>
      </w:r>
      <w:r w:rsidRPr="00C7680A">
        <w:rPr>
          <w:rFonts w:ascii="Arial" w:hAnsi="Arial" w:cs="Arial"/>
          <w:sz w:val="20"/>
          <w:szCs w:val="20"/>
        </w:rPr>
        <w:t xml:space="preserve"> are mentioned here</w:t>
      </w:r>
      <w:r w:rsidR="00566C4D" w:rsidRPr="00C7680A">
        <w:rPr>
          <w:rFonts w:ascii="Arial" w:hAnsi="Arial" w:cs="Arial"/>
          <w:sz w:val="20"/>
          <w:szCs w:val="20"/>
        </w:rPr>
        <w:t>.</w:t>
      </w:r>
    </w:p>
    <w:p w14:paraId="372858B8" w14:textId="39FC6C2A" w:rsidR="00845A07" w:rsidRPr="00C7680A" w:rsidRDefault="00BD1642" w:rsidP="00845A07">
      <w:pPr>
        <w:pStyle w:val="xmsobodytext"/>
        <w:numPr>
          <w:ilvl w:val="1"/>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3.5 refers to the proportion of patients estimated to be on regular IVIg. These numbers are lower than expected due to the inability to access IVIg</w:t>
      </w:r>
      <w:r w:rsidR="00566C4D" w:rsidRPr="00C7680A">
        <w:rPr>
          <w:rFonts w:ascii="Arial" w:hAnsi="Arial" w:cs="Arial"/>
          <w:sz w:val="20"/>
          <w:szCs w:val="20"/>
        </w:rPr>
        <w:t>.</w:t>
      </w:r>
      <w:r w:rsidRPr="00C7680A">
        <w:rPr>
          <w:rFonts w:ascii="Arial" w:hAnsi="Arial" w:cs="Arial"/>
          <w:sz w:val="20"/>
          <w:szCs w:val="20"/>
        </w:rPr>
        <w:t xml:space="preserve"> </w:t>
      </w:r>
    </w:p>
    <w:p w14:paraId="21E049EF" w14:textId="23CE6B4A" w:rsidR="00845A07" w:rsidRPr="00C7680A" w:rsidRDefault="00BD1642" w:rsidP="00845A07">
      <w:pPr>
        <w:pStyle w:val="xmsobodytext"/>
        <w:numPr>
          <w:ilvl w:val="1"/>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3.6</w:t>
      </w:r>
      <w:r w:rsidR="00566C4D" w:rsidRPr="00C7680A">
        <w:rPr>
          <w:rFonts w:ascii="Arial" w:hAnsi="Arial" w:cs="Arial"/>
          <w:sz w:val="20"/>
          <w:szCs w:val="20"/>
        </w:rPr>
        <w:t xml:space="preserve"> </w:t>
      </w:r>
      <w:r w:rsidRPr="00C7680A">
        <w:rPr>
          <w:rFonts w:ascii="Arial" w:hAnsi="Arial" w:cs="Arial"/>
          <w:sz w:val="20"/>
          <w:szCs w:val="20"/>
        </w:rPr>
        <w:t xml:space="preserve">refers to </w:t>
      </w:r>
      <w:r w:rsidR="005A7524" w:rsidRPr="00C7680A">
        <w:rPr>
          <w:rFonts w:ascii="Arial" w:hAnsi="Arial" w:cs="Arial"/>
          <w:sz w:val="20"/>
          <w:szCs w:val="20"/>
        </w:rPr>
        <w:t xml:space="preserve">a Delphi panel regarding IVIg use in which the respondents were asked to assume there were no issues regarding access to IVIg. It does refer to the proportion of patients highlighted in the real world study who received IVIg, and mentions patient experts who were unable to access IVIg. </w:t>
      </w:r>
      <w:r w:rsidR="00566C4D" w:rsidRPr="00C7680A">
        <w:rPr>
          <w:rFonts w:ascii="Arial" w:hAnsi="Arial" w:cs="Arial"/>
          <w:sz w:val="20"/>
          <w:szCs w:val="20"/>
        </w:rPr>
        <w:t>T</w:t>
      </w:r>
      <w:r w:rsidR="005A7524" w:rsidRPr="00C7680A">
        <w:rPr>
          <w:rFonts w:ascii="Arial" w:hAnsi="Arial" w:cs="Arial"/>
          <w:sz w:val="20"/>
          <w:szCs w:val="20"/>
        </w:rPr>
        <w:t>here is</w:t>
      </w:r>
      <w:r w:rsidR="00566C4D" w:rsidRPr="00C7680A">
        <w:rPr>
          <w:rFonts w:ascii="Arial" w:hAnsi="Arial" w:cs="Arial"/>
          <w:sz w:val="20"/>
          <w:szCs w:val="20"/>
        </w:rPr>
        <w:t>, however,</w:t>
      </w:r>
      <w:r w:rsidR="005A7524" w:rsidRPr="00C7680A">
        <w:rPr>
          <w:rFonts w:ascii="Arial" w:hAnsi="Arial" w:cs="Arial"/>
          <w:sz w:val="20"/>
          <w:szCs w:val="20"/>
        </w:rPr>
        <w:t xml:space="preserve"> little information about the impact </w:t>
      </w:r>
      <w:r w:rsidR="00566C4D" w:rsidRPr="00C7680A">
        <w:rPr>
          <w:rFonts w:ascii="Arial" w:hAnsi="Arial" w:cs="Arial"/>
          <w:sz w:val="20"/>
          <w:szCs w:val="20"/>
        </w:rPr>
        <w:t xml:space="preserve">that </w:t>
      </w:r>
      <w:r w:rsidR="005A7524" w:rsidRPr="00C7680A">
        <w:rPr>
          <w:rFonts w:ascii="Arial" w:hAnsi="Arial" w:cs="Arial"/>
          <w:sz w:val="20"/>
          <w:szCs w:val="20"/>
        </w:rPr>
        <w:t>this has on patients</w:t>
      </w:r>
      <w:r w:rsidR="00566C4D" w:rsidRPr="00C7680A">
        <w:rPr>
          <w:rFonts w:ascii="Arial" w:hAnsi="Arial" w:cs="Arial"/>
          <w:sz w:val="20"/>
          <w:szCs w:val="20"/>
        </w:rPr>
        <w:t>’</w:t>
      </w:r>
      <w:r w:rsidR="005A7524" w:rsidRPr="00C7680A">
        <w:rPr>
          <w:rFonts w:ascii="Arial" w:hAnsi="Arial" w:cs="Arial"/>
          <w:sz w:val="20"/>
          <w:szCs w:val="20"/>
        </w:rPr>
        <w:t xml:space="preserve"> health and no information </w:t>
      </w:r>
      <w:r w:rsidR="00566C4D" w:rsidRPr="00C7680A">
        <w:rPr>
          <w:rFonts w:ascii="Arial" w:hAnsi="Arial" w:cs="Arial"/>
          <w:sz w:val="20"/>
          <w:szCs w:val="20"/>
        </w:rPr>
        <w:t xml:space="preserve">is provided </w:t>
      </w:r>
      <w:r w:rsidR="005A7524" w:rsidRPr="00C7680A">
        <w:rPr>
          <w:rFonts w:ascii="Arial" w:hAnsi="Arial" w:cs="Arial"/>
          <w:sz w:val="20"/>
          <w:szCs w:val="20"/>
        </w:rPr>
        <w:t>about the risks</w:t>
      </w:r>
      <w:r w:rsidR="00566C4D" w:rsidRPr="00C7680A">
        <w:rPr>
          <w:rFonts w:ascii="Arial" w:hAnsi="Arial" w:cs="Arial"/>
          <w:sz w:val="20"/>
          <w:szCs w:val="20"/>
        </w:rPr>
        <w:t xml:space="preserve"> associated with</w:t>
      </w:r>
      <w:r w:rsidR="005A7524" w:rsidRPr="00C7680A">
        <w:rPr>
          <w:rFonts w:ascii="Arial" w:hAnsi="Arial" w:cs="Arial"/>
          <w:sz w:val="20"/>
          <w:szCs w:val="20"/>
        </w:rPr>
        <w:t xml:space="preserve"> IVIg</w:t>
      </w:r>
      <w:r w:rsidR="00566C4D" w:rsidRPr="00C7680A">
        <w:rPr>
          <w:rFonts w:ascii="Arial" w:hAnsi="Arial" w:cs="Arial"/>
          <w:sz w:val="20"/>
          <w:szCs w:val="20"/>
        </w:rPr>
        <w:t>.</w:t>
      </w:r>
      <w:r w:rsidR="005A7524" w:rsidRPr="00C7680A">
        <w:rPr>
          <w:rFonts w:ascii="Arial" w:hAnsi="Arial" w:cs="Arial"/>
          <w:sz w:val="20"/>
          <w:szCs w:val="20"/>
        </w:rPr>
        <w:t xml:space="preserve"> </w:t>
      </w:r>
    </w:p>
    <w:p w14:paraId="34812D6B" w14:textId="40F6BC2A" w:rsidR="005A7524" w:rsidRPr="00C7680A" w:rsidRDefault="00BD1642" w:rsidP="00845A07">
      <w:pPr>
        <w:pStyle w:val="xmsobodytext"/>
        <w:numPr>
          <w:ilvl w:val="1"/>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3.24 I cannot see mention of IVIg in this paragraph</w:t>
      </w:r>
    </w:p>
    <w:p w14:paraId="5AB8224F" w14:textId="6773606D" w:rsidR="00D1532B" w:rsidRPr="00C7680A" w:rsidRDefault="00BD1642" w:rsidP="005A7524">
      <w:pPr>
        <w:pStyle w:val="xmsobodytext"/>
        <w:numPr>
          <w:ilvl w:val="1"/>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3.26 This paragraph highlights that the proximity to a specialist centre may impact a patient</w:t>
      </w:r>
      <w:r w:rsidR="00566C4D" w:rsidRPr="00C7680A">
        <w:rPr>
          <w:rFonts w:ascii="Arial" w:hAnsi="Arial" w:cs="Arial"/>
          <w:sz w:val="20"/>
          <w:szCs w:val="20"/>
        </w:rPr>
        <w:t>’</w:t>
      </w:r>
      <w:r w:rsidRPr="00C7680A">
        <w:rPr>
          <w:rFonts w:ascii="Arial" w:hAnsi="Arial" w:cs="Arial"/>
          <w:sz w:val="20"/>
          <w:szCs w:val="20"/>
        </w:rPr>
        <w:t>s ability to access Efgartigimod. This is also true for IVIg and PLE</w:t>
      </w:r>
      <w:r w:rsidR="00566C4D" w:rsidRPr="00C7680A">
        <w:rPr>
          <w:rFonts w:ascii="Arial" w:hAnsi="Arial" w:cs="Arial"/>
          <w:sz w:val="20"/>
          <w:szCs w:val="20"/>
        </w:rPr>
        <w:t>x</w:t>
      </w:r>
      <w:r w:rsidR="00211CAE" w:rsidRPr="00C7680A">
        <w:rPr>
          <w:rFonts w:ascii="Arial" w:hAnsi="Arial" w:cs="Arial"/>
          <w:sz w:val="20"/>
          <w:szCs w:val="20"/>
        </w:rPr>
        <w:t>,</w:t>
      </w:r>
      <w:r w:rsidRPr="00C7680A">
        <w:rPr>
          <w:rFonts w:ascii="Arial" w:hAnsi="Arial" w:cs="Arial"/>
          <w:sz w:val="20"/>
          <w:szCs w:val="20"/>
        </w:rPr>
        <w:t xml:space="preserve"> but this point is not made in this paragraph</w:t>
      </w:r>
      <w:r w:rsidR="00816C24" w:rsidRPr="00C7680A">
        <w:rPr>
          <w:rFonts w:ascii="Arial" w:hAnsi="Arial" w:cs="Arial"/>
          <w:sz w:val="20"/>
          <w:szCs w:val="20"/>
        </w:rPr>
        <w:t>, and in fact was confirmed by patient testimony referred to in myaware and MDUK’s response to the second draft guidance (</w:t>
      </w:r>
      <w:r w:rsidR="00816C24" w:rsidRPr="00C7680A">
        <w:rPr>
          <w:rFonts w:ascii="Arial" w:hAnsi="Arial" w:cs="Arial"/>
          <w:b/>
          <w:bCs/>
          <w:sz w:val="20"/>
          <w:szCs w:val="20"/>
        </w:rPr>
        <w:t>comment number 3</w:t>
      </w:r>
      <w:r w:rsidR="00816C24" w:rsidRPr="00C7680A">
        <w:rPr>
          <w:rFonts w:ascii="Arial" w:hAnsi="Arial" w:cs="Arial"/>
          <w:sz w:val="20"/>
          <w:szCs w:val="20"/>
        </w:rPr>
        <w:t>)</w:t>
      </w:r>
      <w:r w:rsidRPr="00C7680A">
        <w:rPr>
          <w:rFonts w:ascii="Arial" w:hAnsi="Arial" w:cs="Arial"/>
          <w:sz w:val="20"/>
          <w:szCs w:val="20"/>
        </w:rPr>
        <w:t>.</w:t>
      </w:r>
    </w:p>
    <w:p w14:paraId="281C93D7" w14:textId="4D7DAC41" w:rsidR="00D1532B" w:rsidRPr="00C7680A" w:rsidRDefault="00BD1642" w:rsidP="007E14CA">
      <w:pPr>
        <w:pStyle w:val="xmsobodytext"/>
        <w:numPr>
          <w:ilvl w:val="1"/>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3.27 We accept that</w:t>
      </w:r>
      <w:r w:rsidR="00211CAE" w:rsidRPr="00C7680A">
        <w:rPr>
          <w:rFonts w:ascii="Arial" w:hAnsi="Arial" w:cs="Arial"/>
          <w:sz w:val="20"/>
          <w:szCs w:val="20"/>
        </w:rPr>
        <w:t>,</w:t>
      </w:r>
      <w:r w:rsidRPr="00C7680A">
        <w:rPr>
          <w:rFonts w:ascii="Arial" w:hAnsi="Arial" w:cs="Arial"/>
          <w:sz w:val="20"/>
          <w:szCs w:val="20"/>
        </w:rPr>
        <w:t xml:space="preserve"> in this paragraph</w:t>
      </w:r>
      <w:r w:rsidR="00211CAE" w:rsidRPr="00C7680A">
        <w:rPr>
          <w:rFonts w:ascii="Arial" w:hAnsi="Arial" w:cs="Arial"/>
          <w:sz w:val="20"/>
          <w:szCs w:val="20"/>
        </w:rPr>
        <w:t>,</w:t>
      </w:r>
      <w:r w:rsidRPr="00C7680A">
        <w:rPr>
          <w:rFonts w:ascii="Arial" w:hAnsi="Arial" w:cs="Arial"/>
          <w:sz w:val="20"/>
          <w:szCs w:val="20"/>
        </w:rPr>
        <w:t xml:space="preserve"> reference is made to home care treatment with Efgartigimod</w:t>
      </w:r>
      <w:r w:rsidR="00211CAE" w:rsidRPr="00C7680A">
        <w:rPr>
          <w:rFonts w:ascii="Arial" w:hAnsi="Arial" w:cs="Arial"/>
          <w:sz w:val="20"/>
          <w:szCs w:val="20"/>
        </w:rPr>
        <w:t>,</w:t>
      </w:r>
      <w:r w:rsidRPr="00C7680A">
        <w:rPr>
          <w:rFonts w:ascii="Arial" w:hAnsi="Arial" w:cs="Arial"/>
          <w:sz w:val="20"/>
          <w:szCs w:val="20"/>
        </w:rPr>
        <w:t xml:space="preserve"> which is not possible with PLE</w:t>
      </w:r>
      <w:r w:rsidR="00566C4D" w:rsidRPr="00C7680A">
        <w:rPr>
          <w:rFonts w:ascii="Arial" w:hAnsi="Arial" w:cs="Arial"/>
          <w:sz w:val="20"/>
          <w:szCs w:val="20"/>
        </w:rPr>
        <w:t>x</w:t>
      </w:r>
      <w:r w:rsidRPr="00C7680A">
        <w:rPr>
          <w:rFonts w:ascii="Arial" w:hAnsi="Arial" w:cs="Arial"/>
          <w:sz w:val="20"/>
          <w:szCs w:val="20"/>
        </w:rPr>
        <w:t xml:space="preserve"> or IVIg – however</w:t>
      </w:r>
      <w:r w:rsidR="00211CAE" w:rsidRPr="00C7680A">
        <w:rPr>
          <w:rFonts w:ascii="Arial" w:hAnsi="Arial" w:cs="Arial"/>
          <w:sz w:val="20"/>
          <w:szCs w:val="20"/>
        </w:rPr>
        <w:t>,</w:t>
      </w:r>
      <w:r w:rsidRPr="00C7680A">
        <w:rPr>
          <w:rFonts w:ascii="Arial" w:hAnsi="Arial" w:cs="Arial"/>
          <w:sz w:val="20"/>
          <w:szCs w:val="20"/>
        </w:rPr>
        <w:t xml:space="preserve"> it is not clear how much weight was given to </w:t>
      </w:r>
      <w:r w:rsidR="00211CAE" w:rsidRPr="00C7680A">
        <w:rPr>
          <w:rFonts w:ascii="Arial" w:hAnsi="Arial" w:cs="Arial"/>
          <w:sz w:val="20"/>
          <w:szCs w:val="20"/>
        </w:rPr>
        <w:t xml:space="preserve">this </w:t>
      </w:r>
      <w:r w:rsidR="002647AF" w:rsidRPr="00C7680A">
        <w:rPr>
          <w:rFonts w:ascii="Arial" w:hAnsi="Arial" w:cs="Arial"/>
          <w:sz w:val="20"/>
          <w:szCs w:val="20"/>
        </w:rPr>
        <w:t xml:space="preserve">important </w:t>
      </w:r>
      <w:r w:rsidR="00211CAE" w:rsidRPr="00C7680A">
        <w:rPr>
          <w:rFonts w:ascii="Arial" w:hAnsi="Arial" w:cs="Arial"/>
          <w:sz w:val="20"/>
          <w:szCs w:val="20"/>
        </w:rPr>
        <w:t>benefit of the new</w:t>
      </w:r>
      <w:r w:rsidRPr="00C7680A">
        <w:rPr>
          <w:rFonts w:ascii="Arial" w:hAnsi="Arial" w:cs="Arial"/>
          <w:sz w:val="20"/>
          <w:szCs w:val="20"/>
        </w:rPr>
        <w:t xml:space="preserve"> treatment</w:t>
      </w:r>
      <w:r w:rsidR="00211CAE" w:rsidRPr="00C7680A">
        <w:rPr>
          <w:rFonts w:ascii="Arial" w:hAnsi="Arial" w:cs="Arial"/>
          <w:sz w:val="20"/>
          <w:szCs w:val="20"/>
        </w:rPr>
        <w:t>.</w:t>
      </w:r>
    </w:p>
    <w:p w14:paraId="6B60616A" w14:textId="3A6EE141" w:rsidR="005A7524" w:rsidRPr="00C7680A" w:rsidRDefault="00BD1642" w:rsidP="00D1532B">
      <w:pPr>
        <w:pStyle w:val="xmsobodytext"/>
        <w:numPr>
          <w:ilvl w:val="1"/>
          <w:numId w:val="2"/>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rPr>
        <w:t xml:space="preserve">Discussion of plasma exchange is mostly restricted to modelling </w:t>
      </w:r>
      <w:r w:rsidR="00D1532B" w:rsidRPr="00C7680A">
        <w:rPr>
          <w:rFonts w:ascii="Arial" w:hAnsi="Arial" w:cs="Arial"/>
          <w:sz w:val="20"/>
          <w:szCs w:val="20"/>
        </w:rPr>
        <w:t>data provided by the company</w:t>
      </w:r>
      <w:r w:rsidR="00211CAE" w:rsidRPr="00C7680A">
        <w:rPr>
          <w:rFonts w:ascii="Arial" w:hAnsi="Arial" w:cs="Arial"/>
          <w:sz w:val="20"/>
          <w:szCs w:val="20"/>
        </w:rPr>
        <w:t>,</w:t>
      </w:r>
      <w:r w:rsidR="00D1532B" w:rsidRPr="00C7680A">
        <w:rPr>
          <w:rFonts w:ascii="Arial" w:hAnsi="Arial" w:cs="Arial"/>
          <w:sz w:val="20"/>
          <w:szCs w:val="20"/>
        </w:rPr>
        <w:t xml:space="preserve"> despite the clinical experts highlighting the use of plasma exchange at different committee meetings. The costs and risks of vascular access for PLE</w:t>
      </w:r>
      <w:r w:rsidR="00566C4D" w:rsidRPr="00C7680A">
        <w:rPr>
          <w:rFonts w:ascii="Arial" w:hAnsi="Arial" w:cs="Arial"/>
          <w:sz w:val="20"/>
          <w:szCs w:val="20"/>
        </w:rPr>
        <w:t>x</w:t>
      </w:r>
      <w:r w:rsidR="00D1532B" w:rsidRPr="00C7680A">
        <w:rPr>
          <w:rFonts w:ascii="Arial" w:hAnsi="Arial" w:cs="Arial"/>
          <w:sz w:val="20"/>
          <w:szCs w:val="20"/>
        </w:rPr>
        <w:t xml:space="preserve"> are not discusse</w:t>
      </w:r>
      <w:r w:rsidR="00816C24" w:rsidRPr="00C7680A">
        <w:rPr>
          <w:rFonts w:ascii="Arial" w:hAnsi="Arial" w:cs="Arial"/>
          <w:sz w:val="20"/>
          <w:szCs w:val="20"/>
        </w:rPr>
        <w:t>d</w:t>
      </w:r>
      <w:r w:rsidR="00D1532B" w:rsidRPr="00C7680A">
        <w:rPr>
          <w:rFonts w:ascii="Arial" w:hAnsi="Arial" w:cs="Arial"/>
          <w:sz w:val="20"/>
          <w:szCs w:val="20"/>
        </w:rPr>
        <w:t>.</w:t>
      </w:r>
    </w:p>
    <w:p w14:paraId="1D4D577D" w14:textId="77777777" w:rsidR="007E14CA" w:rsidRPr="00C7680A" w:rsidRDefault="007E14CA" w:rsidP="007E14CA">
      <w:pPr>
        <w:pStyle w:val="xmsobodytext"/>
        <w:shd w:val="clear" w:color="auto" w:fill="FFFFFF"/>
        <w:spacing w:before="0" w:beforeAutospacing="0" w:after="0" w:afterAutospacing="0" w:line="240" w:lineRule="atLeast"/>
        <w:jc w:val="both"/>
        <w:rPr>
          <w:rFonts w:ascii="Arial" w:hAnsi="Arial" w:cs="Arial"/>
          <w:sz w:val="20"/>
          <w:szCs w:val="20"/>
        </w:rPr>
      </w:pPr>
    </w:p>
    <w:p w14:paraId="6B861631" w14:textId="77777777" w:rsidR="00D1532B" w:rsidRPr="00C7680A" w:rsidRDefault="00D1532B" w:rsidP="007E14CA">
      <w:pPr>
        <w:pStyle w:val="xmsobodytext"/>
        <w:shd w:val="clear" w:color="auto" w:fill="FFFFFF"/>
        <w:spacing w:before="0" w:beforeAutospacing="0" w:after="0" w:afterAutospacing="0" w:line="240" w:lineRule="atLeast"/>
        <w:ind w:left="1440"/>
        <w:jc w:val="both"/>
        <w:rPr>
          <w:rFonts w:ascii="Arial" w:hAnsi="Arial" w:cs="Arial"/>
          <w:sz w:val="20"/>
          <w:szCs w:val="20"/>
        </w:rPr>
      </w:pPr>
    </w:p>
    <w:p w14:paraId="120E4B37" w14:textId="77777777" w:rsidR="006D7CFC" w:rsidRPr="00C7680A" w:rsidRDefault="00BD1642" w:rsidP="006D7CFC">
      <w:pPr>
        <w:pStyle w:val="xparagraph"/>
        <w:shd w:val="clear" w:color="auto" w:fill="FFFFFF"/>
        <w:spacing w:before="0" w:beforeAutospacing="0" w:after="0" w:afterAutospacing="0" w:line="276" w:lineRule="atLeast"/>
        <w:jc w:val="both"/>
        <w:rPr>
          <w:rFonts w:ascii="Arial" w:hAnsi="Arial" w:cs="Arial"/>
          <w:sz w:val="20"/>
          <w:szCs w:val="20"/>
        </w:rPr>
      </w:pPr>
      <w:r w:rsidRPr="00C7680A">
        <w:rPr>
          <w:rFonts w:ascii="Arial" w:hAnsi="Arial" w:cs="Arial"/>
          <w:b/>
          <w:bCs/>
          <w:sz w:val="20"/>
          <w:szCs w:val="20"/>
          <w:u w:val="single"/>
          <w:bdr w:val="none" w:sz="0" w:space="0" w:color="auto" w:frame="1"/>
        </w:rPr>
        <w:t>Appeal point 2.3: There has not been adequate consideration of the UK MIG SIG plan to ensure judicious use of targeted treatment.</w:t>
      </w:r>
    </w:p>
    <w:p w14:paraId="496848BC" w14:textId="77777777" w:rsidR="006D7CFC" w:rsidRPr="00C7680A" w:rsidRDefault="00BD1642" w:rsidP="006D7CFC">
      <w:pPr>
        <w:pStyle w:val="xparagraph"/>
        <w:shd w:val="clear" w:color="auto" w:fill="FFFFFF"/>
        <w:spacing w:before="0" w:beforeAutospacing="0" w:after="0" w:afterAutospacing="0" w:line="276" w:lineRule="atLeast"/>
        <w:jc w:val="both"/>
        <w:rPr>
          <w:rFonts w:ascii="Arial" w:hAnsi="Arial" w:cs="Arial"/>
          <w:sz w:val="20"/>
          <w:szCs w:val="20"/>
        </w:rPr>
      </w:pPr>
      <w:r w:rsidRPr="00C7680A">
        <w:rPr>
          <w:rFonts w:ascii="Arial" w:hAnsi="Arial" w:cs="Arial"/>
          <w:b/>
          <w:bCs/>
          <w:sz w:val="20"/>
          <w:szCs w:val="20"/>
          <w:u w:val="single"/>
          <w:bdr w:val="none" w:sz="0" w:space="0" w:color="auto" w:frame="1"/>
        </w:rPr>
        <w:t>Appeal point 2.4: There has been a lack of consideration of the evidence provided by experts in NICE committee meetings and in responses to previous draft reports.</w:t>
      </w:r>
    </w:p>
    <w:p w14:paraId="40BB2046" w14:textId="668AF563" w:rsidR="006D7CFC" w:rsidRPr="00C7680A" w:rsidRDefault="00BD1642" w:rsidP="006D7CFC">
      <w:pPr>
        <w:pStyle w:val="xmsobodytext"/>
        <w:numPr>
          <w:ilvl w:val="0"/>
          <w:numId w:val="3"/>
        </w:numPr>
        <w:shd w:val="clear" w:color="auto" w:fill="FFFFFF"/>
        <w:spacing w:before="0" w:beforeAutospacing="0" w:after="0" w:afterAutospacing="0" w:line="240" w:lineRule="atLeast"/>
        <w:jc w:val="both"/>
        <w:rPr>
          <w:rFonts w:ascii="Arial" w:hAnsi="Arial" w:cs="Arial"/>
          <w:sz w:val="20"/>
          <w:szCs w:val="20"/>
        </w:rPr>
      </w:pPr>
      <w:r w:rsidRPr="00C7680A">
        <w:rPr>
          <w:rFonts w:ascii="Arial" w:hAnsi="Arial" w:cs="Arial"/>
          <w:sz w:val="20"/>
          <w:szCs w:val="20"/>
          <w:bdr w:val="none" w:sz="0" w:space="0" w:color="auto" w:frame="1"/>
        </w:rPr>
        <w:t>Thank you for accepting these points for further discussion in the appeal panel hearing.</w:t>
      </w:r>
      <w:r w:rsidR="00D1532B" w:rsidRPr="00C7680A">
        <w:rPr>
          <w:rFonts w:ascii="Arial" w:hAnsi="Arial" w:cs="Arial"/>
          <w:sz w:val="20"/>
          <w:szCs w:val="20"/>
          <w:bdr w:val="none" w:sz="0" w:space="0" w:color="auto" w:frame="1"/>
        </w:rPr>
        <w:t xml:space="preserve"> We are happy for them to be considered together</w:t>
      </w:r>
      <w:r w:rsidR="00DB6C6A" w:rsidRPr="00C7680A">
        <w:rPr>
          <w:rFonts w:ascii="Arial" w:hAnsi="Arial" w:cs="Arial"/>
          <w:sz w:val="20"/>
          <w:szCs w:val="20"/>
          <w:bdr w:val="none" w:sz="0" w:space="0" w:color="auto" w:frame="1"/>
        </w:rPr>
        <w:t>.</w:t>
      </w:r>
      <w:r w:rsidR="00D1532B" w:rsidRPr="00C7680A">
        <w:rPr>
          <w:rFonts w:ascii="Arial" w:hAnsi="Arial" w:cs="Arial"/>
          <w:sz w:val="20"/>
          <w:szCs w:val="20"/>
          <w:bdr w:val="none" w:sz="0" w:space="0" w:color="auto" w:frame="1"/>
        </w:rPr>
        <w:t xml:space="preserve"> </w:t>
      </w:r>
    </w:p>
    <w:p w14:paraId="65D1FE4F" w14:textId="77777777" w:rsidR="00D1532B" w:rsidRPr="00C7680A" w:rsidRDefault="00D1532B" w:rsidP="00D1532B">
      <w:pPr>
        <w:pStyle w:val="xmsobodytext"/>
        <w:shd w:val="clear" w:color="auto" w:fill="FFFFFF"/>
        <w:spacing w:before="0" w:beforeAutospacing="0" w:after="0" w:afterAutospacing="0" w:line="240" w:lineRule="atLeast"/>
        <w:jc w:val="both"/>
        <w:rPr>
          <w:rFonts w:ascii="Arial" w:hAnsi="Arial" w:cs="Arial"/>
          <w:sz w:val="20"/>
          <w:szCs w:val="20"/>
        </w:rPr>
      </w:pPr>
    </w:p>
    <w:p w14:paraId="44161795" w14:textId="77777777" w:rsidR="00D1532B" w:rsidRPr="00C7680A" w:rsidRDefault="00D1532B" w:rsidP="00D1532B">
      <w:pPr>
        <w:pStyle w:val="xmsobodytext"/>
        <w:shd w:val="clear" w:color="auto" w:fill="FFFFFF"/>
        <w:spacing w:before="0" w:beforeAutospacing="0" w:after="0" w:afterAutospacing="0" w:line="240" w:lineRule="atLeast"/>
        <w:jc w:val="both"/>
        <w:rPr>
          <w:rFonts w:ascii="Arial" w:hAnsi="Arial" w:cs="Arial"/>
          <w:sz w:val="20"/>
          <w:szCs w:val="20"/>
        </w:rPr>
      </w:pPr>
    </w:p>
    <w:p w14:paraId="1E9384C6" w14:textId="77777777" w:rsidR="00D1532B" w:rsidRPr="00C7680A" w:rsidRDefault="00BD1642" w:rsidP="00211CAE">
      <w:pPr>
        <w:pStyle w:val="BodyText"/>
        <w:spacing w:line="240" w:lineRule="auto"/>
        <w:jc w:val="both"/>
        <w:rPr>
          <w:rFonts w:cs="Arial"/>
          <w:b/>
          <w:bCs/>
          <w:color w:val="auto"/>
          <w:u w:val="single"/>
        </w:rPr>
      </w:pPr>
      <w:r w:rsidRPr="00C7680A">
        <w:rPr>
          <w:rFonts w:cs="Arial"/>
          <w:b/>
          <w:bCs/>
          <w:color w:val="auto"/>
          <w:u w:val="single"/>
        </w:rPr>
        <w:t xml:space="preserve">Appeal point 2.5: There has been insufficient consideration of evidence provided by patients and caregivers. </w:t>
      </w:r>
    </w:p>
    <w:p w14:paraId="67579C97" w14:textId="54B465A1" w:rsidR="007E14CA" w:rsidRPr="00C7680A" w:rsidRDefault="00BD1642" w:rsidP="00211CAE">
      <w:pPr>
        <w:pStyle w:val="BodyText"/>
        <w:spacing w:line="240" w:lineRule="auto"/>
        <w:jc w:val="both"/>
        <w:rPr>
          <w:rFonts w:cs="Arial"/>
          <w:bCs/>
          <w:color w:val="auto"/>
        </w:rPr>
      </w:pPr>
      <w:r w:rsidRPr="00C7680A">
        <w:rPr>
          <w:rFonts w:cs="Arial"/>
          <w:bCs/>
          <w:color w:val="auto"/>
        </w:rPr>
        <w:t>Thank you for your comments regarding this. This was the first NICE technology appraisal for a n</w:t>
      </w:r>
      <w:r w:rsidR="00DB6C6A" w:rsidRPr="00C7680A">
        <w:rPr>
          <w:rFonts w:cs="Arial"/>
          <w:bCs/>
          <w:color w:val="auto"/>
        </w:rPr>
        <w:t>ovel</w:t>
      </w:r>
      <w:r w:rsidRPr="00C7680A">
        <w:rPr>
          <w:rFonts w:cs="Arial"/>
          <w:bCs/>
          <w:color w:val="auto"/>
        </w:rPr>
        <w:t xml:space="preserve"> treatment for gMG. Both clinicians and patients with MG </w:t>
      </w:r>
      <w:r w:rsidR="00211CAE" w:rsidRPr="00C7680A">
        <w:rPr>
          <w:rFonts w:cs="Arial"/>
          <w:bCs/>
          <w:color w:val="auto"/>
        </w:rPr>
        <w:t>we</w:t>
      </w:r>
      <w:r w:rsidRPr="00C7680A">
        <w:rPr>
          <w:rFonts w:cs="Arial"/>
          <w:bCs/>
          <w:color w:val="auto"/>
        </w:rPr>
        <w:t>re new to this process and have commented that</w:t>
      </w:r>
      <w:r w:rsidR="00211CAE" w:rsidRPr="00C7680A">
        <w:rPr>
          <w:rFonts w:cs="Arial"/>
          <w:bCs/>
          <w:color w:val="auto"/>
        </w:rPr>
        <w:t>,</w:t>
      </w:r>
      <w:r w:rsidRPr="00C7680A">
        <w:rPr>
          <w:rFonts w:cs="Arial"/>
          <w:bCs/>
          <w:color w:val="auto"/>
        </w:rPr>
        <w:t xml:space="preserve"> although they were invited to the meeting and were asked questions, they </w:t>
      </w:r>
      <w:r w:rsidR="00DB6C6A" w:rsidRPr="00C7680A">
        <w:rPr>
          <w:rFonts w:cs="Arial"/>
          <w:bCs/>
          <w:color w:val="auto"/>
        </w:rPr>
        <w:t xml:space="preserve">strongly </w:t>
      </w:r>
      <w:r w:rsidRPr="00C7680A">
        <w:rPr>
          <w:rFonts w:cs="Arial"/>
          <w:bCs/>
          <w:color w:val="auto"/>
        </w:rPr>
        <w:t xml:space="preserve">felt </w:t>
      </w:r>
      <w:r w:rsidR="00211CAE" w:rsidRPr="00C7680A">
        <w:rPr>
          <w:rFonts w:cs="Arial"/>
          <w:bCs/>
          <w:color w:val="auto"/>
        </w:rPr>
        <w:t>that the whole tone of the meeting did not encourage</w:t>
      </w:r>
      <w:r w:rsidRPr="00C7680A">
        <w:rPr>
          <w:rFonts w:cs="Arial"/>
          <w:bCs/>
          <w:color w:val="auto"/>
        </w:rPr>
        <w:t xml:space="preserve"> </w:t>
      </w:r>
      <w:r w:rsidR="00211CAE" w:rsidRPr="00C7680A">
        <w:rPr>
          <w:rFonts w:cs="Arial"/>
          <w:bCs/>
          <w:color w:val="auto"/>
        </w:rPr>
        <w:t>them</w:t>
      </w:r>
      <w:r w:rsidRPr="00C7680A">
        <w:rPr>
          <w:rFonts w:cs="Arial"/>
          <w:bCs/>
          <w:color w:val="auto"/>
        </w:rPr>
        <w:t xml:space="preserve"> to elaborate on important points, provide additional information or clarify points from earlier in the discussion. Rather</w:t>
      </w:r>
      <w:r w:rsidR="002647AF" w:rsidRPr="00C7680A">
        <w:rPr>
          <w:rFonts w:cs="Arial"/>
          <w:bCs/>
          <w:color w:val="auto"/>
        </w:rPr>
        <w:t>,</w:t>
      </w:r>
      <w:r w:rsidRPr="00C7680A">
        <w:rPr>
          <w:rFonts w:cs="Arial"/>
          <w:bCs/>
          <w:color w:val="auto"/>
        </w:rPr>
        <w:t xml:space="preserve"> they have said that they felt limited </w:t>
      </w:r>
      <w:r w:rsidR="00DB6C6A" w:rsidRPr="00C7680A">
        <w:rPr>
          <w:rFonts w:cs="Arial"/>
          <w:bCs/>
          <w:color w:val="auto"/>
        </w:rPr>
        <w:t xml:space="preserve">to </w:t>
      </w:r>
      <w:r w:rsidRPr="00C7680A">
        <w:rPr>
          <w:rFonts w:cs="Arial"/>
          <w:bCs/>
          <w:color w:val="auto"/>
        </w:rPr>
        <w:t>answering very specific questions</w:t>
      </w:r>
      <w:r w:rsidR="007B25A9" w:rsidRPr="00C7680A">
        <w:rPr>
          <w:rFonts w:cs="Arial"/>
          <w:bCs/>
          <w:color w:val="auto"/>
        </w:rPr>
        <w:t xml:space="preserve"> and then briefly</w:t>
      </w:r>
      <w:r w:rsidRPr="00C7680A">
        <w:rPr>
          <w:rFonts w:cs="Arial"/>
          <w:bCs/>
          <w:color w:val="auto"/>
        </w:rPr>
        <w:t xml:space="preserve">. I was a proxy patient expert for committee meeting 3 and 4 </w:t>
      </w:r>
      <w:r w:rsidR="002647AF" w:rsidRPr="00C7680A">
        <w:rPr>
          <w:rFonts w:cs="Arial"/>
          <w:bCs/>
          <w:color w:val="auto"/>
        </w:rPr>
        <w:t xml:space="preserve">- </w:t>
      </w:r>
      <w:r w:rsidRPr="00C7680A">
        <w:rPr>
          <w:rFonts w:cs="Arial"/>
          <w:bCs/>
          <w:color w:val="auto"/>
        </w:rPr>
        <w:t xml:space="preserve">after myaware’s nominated patient expert experienced a severe exacerbation of their </w:t>
      </w:r>
      <w:r w:rsidRPr="00C7680A">
        <w:rPr>
          <w:rFonts w:cs="Arial"/>
          <w:bCs/>
          <w:color w:val="auto"/>
        </w:rPr>
        <w:lastRenderedPageBreak/>
        <w:t>myasthenia and was unable to take part. I can therefore confirm that it</w:t>
      </w:r>
      <w:r w:rsidR="00211CAE" w:rsidRPr="00C7680A">
        <w:rPr>
          <w:rFonts w:cs="Arial"/>
          <w:bCs/>
          <w:color w:val="auto"/>
        </w:rPr>
        <w:t xml:space="preserve"> certainly did</w:t>
      </w:r>
      <w:r w:rsidRPr="00C7680A">
        <w:rPr>
          <w:rFonts w:cs="Arial"/>
          <w:bCs/>
          <w:color w:val="auto"/>
        </w:rPr>
        <w:t xml:space="preserve"> feel that patients </w:t>
      </w:r>
      <w:r w:rsidR="00211CAE" w:rsidRPr="00C7680A">
        <w:rPr>
          <w:rFonts w:cs="Arial"/>
          <w:bCs/>
          <w:color w:val="auto"/>
        </w:rPr>
        <w:t>we</w:t>
      </w:r>
      <w:r w:rsidRPr="00C7680A">
        <w:rPr>
          <w:rFonts w:cs="Arial"/>
          <w:bCs/>
          <w:color w:val="auto"/>
        </w:rPr>
        <w:t xml:space="preserve">re approached to comment on very few points </w:t>
      </w:r>
      <w:r w:rsidR="00211CAE" w:rsidRPr="00C7680A">
        <w:rPr>
          <w:rFonts w:cs="Arial"/>
          <w:bCs/>
          <w:color w:val="auto"/>
        </w:rPr>
        <w:t>in</w:t>
      </w:r>
      <w:r w:rsidRPr="00C7680A">
        <w:rPr>
          <w:rFonts w:cs="Arial"/>
          <w:bCs/>
          <w:color w:val="auto"/>
        </w:rPr>
        <w:t xml:space="preserve"> the discussion</w:t>
      </w:r>
      <w:r w:rsidR="00211CAE" w:rsidRPr="00C7680A">
        <w:rPr>
          <w:rFonts w:cs="Arial"/>
          <w:bCs/>
          <w:color w:val="auto"/>
        </w:rPr>
        <w:t>. T</w:t>
      </w:r>
      <w:r w:rsidRPr="00C7680A">
        <w:rPr>
          <w:rFonts w:cs="Arial"/>
          <w:bCs/>
          <w:color w:val="auto"/>
        </w:rPr>
        <w:t xml:space="preserve">he environment </w:t>
      </w:r>
      <w:r w:rsidR="007B25A9" w:rsidRPr="00C7680A">
        <w:rPr>
          <w:rFonts w:cs="Arial"/>
          <w:bCs/>
          <w:color w:val="auto"/>
        </w:rPr>
        <w:t>at</w:t>
      </w:r>
      <w:r w:rsidRPr="00C7680A">
        <w:rPr>
          <w:rFonts w:cs="Arial"/>
          <w:bCs/>
          <w:color w:val="auto"/>
        </w:rPr>
        <w:t xml:space="preserve"> th</w:t>
      </w:r>
      <w:r w:rsidR="00211CAE" w:rsidRPr="00C7680A">
        <w:rPr>
          <w:rFonts w:cs="Arial"/>
          <w:bCs/>
          <w:color w:val="auto"/>
        </w:rPr>
        <w:t>ose particular</w:t>
      </w:r>
      <w:r w:rsidRPr="00C7680A">
        <w:rPr>
          <w:rFonts w:cs="Arial"/>
          <w:bCs/>
          <w:color w:val="auto"/>
        </w:rPr>
        <w:t xml:space="preserve"> committee meetings</w:t>
      </w:r>
      <w:r w:rsidR="00211CAE" w:rsidRPr="00C7680A">
        <w:rPr>
          <w:rFonts w:cs="Arial"/>
          <w:bCs/>
          <w:color w:val="auto"/>
        </w:rPr>
        <w:t xml:space="preserve">, in contrast to </w:t>
      </w:r>
      <w:r w:rsidR="002647AF" w:rsidRPr="00C7680A">
        <w:rPr>
          <w:rFonts w:cs="Arial"/>
          <w:bCs/>
          <w:color w:val="auto"/>
        </w:rPr>
        <w:t xml:space="preserve">meetings </w:t>
      </w:r>
      <w:r w:rsidR="00211CAE" w:rsidRPr="00C7680A">
        <w:rPr>
          <w:rFonts w:cs="Arial"/>
          <w:bCs/>
          <w:color w:val="auto"/>
        </w:rPr>
        <w:t>that NICE has held</w:t>
      </w:r>
      <w:r w:rsidR="002647AF" w:rsidRPr="00C7680A">
        <w:rPr>
          <w:rFonts w:cs="Arial"/>
          <w:bCs/>
          <w:color w:val="auto"/>
        </w:rPr>
        <w:t xml:space="preserve"> on some other topics</w:t>
      </w:r>
      <w:r w:rsidR="00211CAE" w:rsidRPr="00C7680A">
        <w:rPr>
          <w:rFonts w:cs="Arial"/>
          <w:bCs/>
          <w:color w:val="auto"/>
        </w:rPr>
        <w:t>, did</w:t>
      </w:r>
      <w:r w:rsidRPr="00C7680A">
        <w:rPr>
          <w:rFonts w:cs="Arial"/>
          <w:bCs/>
          <w:color w:val="auto"/>
        </w:rPr>
        <w:t xml:space="preserve"> not lend itself to encourag</w:t>
      </w:r>
      <w:r w:rsidR="007B25A9" w:rsidRPr="00C7680A">
        <w:rPr>
          <w:rFonts w:cs="Arial"/>
          <w:bCs/>
          <w:color w:val="auto"/>
        </w:rPr>
        <w:t>ing</w:t>
      </w:r>
      <w:r w:rsidRPr="00C7680A">
        <w:rPr>
          <w:rFonts w:cs="Arial"/>
          <w:bCs/>
          <w:color w:val="auto"/>
        </w:rPr>
        <w:t xml:space="preserve"> open discussion from patients. In a disease such as myasthenia, the patient perspective is particularly valuable, considering th</w:t>
      </w:r>
      <w:r w:rsidR="00211CAE" w:rsidRPr="00C7680A">
        <w:rPr>
          <w:rFonts w:cs="Arial"/>
          <w:bCs/>
          <w:color w:val="auto"/>
        </w:rPr>
        <w:t>at</w:t>
      </w:r>
      <w:r w:rsidRPr="00C7680A">
        <w:rPr>
          <w:rFonts w:cs="Arial"/>
          <w:bCs/>
          <w:color w:val="auto"/>
        </w:rPr>
        <w:t xml:space="preserve"> new groun</w:t>
      </w:r>
      <w:r w:rsidR="00211CAE" w:rsidRPr="00C7680A">
        <w:rPr>
          <w:rFonts w:cs="Arial"/>
          <w:bCs/>
          <w:color w:val="auto"/>
        </w:rPr>
        <w:t>d</w:t>
      </w:r>
      <w:r w:rsidRPr="00C7680A">
        <w:rPr>
          <w:rFonts w:cs="Arial"/>
          <w:bCs/>
          <w:color w:val="auto"/>
        </w:rPr>
        <w:t xml:space="preserve"> is being broken </w:t>
      </w:r>
      <w:r w:rsidR="00211CAE" w:rsidRPr="00C7680A">
        <w:rPr>
          <w:rFonts w:cs="Arial"/>
          <w:bCs/>
          <w:color w:val="auto"/>
        </w:rPr>
        <w:t>with this</w:t>
      </w:r>
      <w:r w:rsidRPr="00C7680A">
        <w:rPr>
          <w:rFonts w:cs="Arial"/>
          <w:bCs/>
          <w:color w:val="auto"/>
        </w:rPr>
        <w:t xml:space="preserve"> novel therapeutic</w:t>
      </w:r>
      <w:r w:rsidR="00211CAE" w:rsidRPr="00C7680A">
        <w:rPr>
          <w:rFonts w:cs="Arial"/>
          <w:bCs/>
          <w:color w:val="auto"/>
        </w:rPr>
        <w:t xml:space="preserve"> and the limited understanding that there is of the disease generally</w:t>
      </w:r>
      <w:r w:rsidRPr="00C7680A">
        <w:rPr>
          <w:rFonts w:cs="Arial"/>
          <w:bCs/>
          <w:color w:val="auto"/>
        </w:rPr>
        <w:t>.</w:t>
      </w:r>
    </w:p>
    <w:p w14:paraId="090565D5" w14:textId="59FFF6CB" w:rsidR="007E14CA" w:rsidRPr="00C7680A" w:rsidRDefault="00BD1642" w:rsidP="00211CAE">
      <w:pPr>
        <w:pStyle w:val="BodyText"/>
        <w:spacing w:line="240" w:lineRule="auto"/>
        <w:jc w:val="both"/>
        <w:rPr>
          <w:rFonts w:cs="Arial"/>
          <w:color w:val="auto"/>
          <w:bdr w:val="none" w:sz="0" w:space="0" w:color="auto" w:frame="1"/>
        </w:rPr>
      </w:pPr>
      <w:r w:rsidRPr="00C7680A">
        <w:rPr>
          <w:rFonts w:cs="Arial"/>
          <w:color w:val="auto"/>
          <w:bdr w:val="none" w:sz="0" w:space="0" w:color="auto" w:frame="1"/>
        </w:rPr>
        <w:t>Thank you for considering the further points that I have made above</w:t>
      </w:r>
      <w:r w:rsidR="002647AF" w:rsidRPr="00C7680A">
        <w:rPr>
          <w:rFonts w:cs="Arial"/>
          <w:color w:val="auto"/>
          <w:bdr w:val="none" w:sz="0" w:space="0" w:color="auto" w:frame="1"/>
        </w:rPr>
        <w:t xml:space="preserve">, which I hope will </w:t>
      </w:r>
      <w:r w:rsidR="00147350" w:rsidRPr="00C7680A">
        <w:rPr>
          <w:rFonts w:cs="Arial"/>
          <w:color w:val="auto"/>
          <w:bdr w:val="none" w:sz="0" w:space="0" w:color="auto" w:frame="1"/>
        </w:rPr>
        <w:t>give you confidence to refer these to the appeal panel</w:t>
      </w:r>
      <w:r w:rsidRPr="00C7680A">
        <w:rPr>
          <w:rFonts w:cs="Arial"/>
          <w:color w:val="auto"/>
          <w:bdr w:val="none" w:sz="0" w:space="0" w:color="auto" w:frame="1"/>
        </w:rPr>
        <w:t>. I look forward to hearing from you in due course.</w:t>
      </w:r>
    </w:p>
    <w:p w14:paraId="70E272BD" w14:textId="0F7FCDFA" w:rsidR="007E14CA" w:rsidRPr="00C7680A" w:rsidRDefault="00BD1642" w:rsidP="007E14CA">
      <w:pPr>
        <w:pStyle w:val="BodyText"/>
        <w:jc w:val="both"/>
        <w:rPr>
          <w:rFonts w:cs="Arial"/>
          <w:bCs/>
          <w:color w:val="auto"/>
        </w:rPr>
      </w:pPr>
      <w:r w:rsidRPr="00C7680A">
        <w:rPr>
          <w:rFonts w:cs="Arial"/>
          <w:bCs/>
          <w:color w:val="auto"/>
        </w:rPr>
        <w:t>Yours sincerely,</w:t>
      </w:r>
    </w:p>
    <w:p w14:paraId="308F5299" w14:textId="111A56AC" w:rsidR="00211CAE" w:rsidRPr="00B12680" w:rsidRDefault="00B12680" w:rsidP="007E14CA">
      <w:pPr>
        <w:pStyle w:val="BodyText"/>
        <w:jc w:val="both"/>
        <w:rPr>
          <w:rFonts w:cs="Arial"/>
          <w:bCs/>
          <w:color w:val="auto"/>
          <w:sz w:val="48"/>
          <w:szCs w:val="48"/>
        </w:rPr>
      </w:pPr>
      <w:r w:rsidRPr="00B12680">
        <w:rPr>
          <w:rFonts w:cs="Arial"/>
          <w:bCs/>
          <w:noProof/>
          <w:color w:val="auto"/>
          <w:sz w:val="48"/>
          <w:szCs w:val="48"/>
          <w:highlight w:val="black"/>
        </w:rPr>
        <w:t>XXXXXXXXX</w:t>
      </w:r>
    </w:p>
    <w:p w14:paraId="69D0AEAA" w14:textId="484A4C47" w:rsidR="007E14CA" w:rsidRPr="007E14CA" w:rsidRDefault="009E1556" w:rsidP="007E14CA">
      <w:pPr>
        <w:pStyle w:val="BodyText"/>
        <w:jc w:val="both"/>
        <w:rPr>
          <w:rFonts w:cs="Arial"/>
          <w:bCs/>
          <w:color w:val="auto"/>
        </w:rPr>
      </w:pPr>
      <w:r w:rsidRPr="009E1556">
        <w:rPr>
          <w:rFonts w:cs="Arial"/>
          <w:bCs/>
          <w:color w:val="auto"/>
          <w:highlight w:val="black"/>
        </w:rPr>
        <w:t>XXXXXXXXXXXXXXXXXX</w:t>
      </w:r>
      <w:r w:rsidR="00BD1642" w:rsidRPr="00C7680A">
        <w:rPr>
          <w:rFonts w:cs="Arial"/>
          <w:bCs/>
          <w:color w:val="auto"/>
        </w:rPr>
        <w:t xml:space="preserve">, </w:t>
      </w:r>
      <w:proofErr w:type="spellStart"/>
      <w:r w:rsidR="00BD1642" w:rsidRPr="00C7680A">
        <w:rPr>
          <w:rFonts w:cs="Arial"/>
          <w:bCs/>
          <w:color w:val="auto"/>
        </w:rPr>
        <w:t>myaware</w:t>
      </w:r>
      <w:proofErr w:type="spellEnd"/>
    </w:p>
    <w:sectPr w:rsidR="007E14CA" w:rsidRPr="007E1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0E33"/>
    <w:multiLevelType w:val="multilevel"/>
    <w:tmpl w:val="C4A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481D75"/>
    <w:multiLevelType w:val="multilevel"/>
    <w:tmpl w:val="9612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77D5A"/>
    <w:multiLevelType w:val="hybridMultilevel"/>
    <w:tmpl w:val="558A12CC"/>
    <w:lvl w:ilvl="0" w:tplc="DB88AFB6">
      <w:start w:val="1"/>
      <w:numFmt w:val="bullet"/>
      <w:lvlText w:val=""/>
      <w:lvlJc w:val="left"/>
      <w:pPr>
        <w:ind w:left="720" w:hanging="360"/>
      </w:pPr>
      <w:rPr>
        <w:rFonts w:ascii="Symbol" w:hAnsi="Symbol" w:hint="default"/>
      </w:rPr>
    </w:lvl>
    <w:lvl w:ilvl="1" w:tplc="6142842C" w:tentative="1">
      <w:start w:val="1"/>
      <w:numFmt w:val="bullet"/>
      <w:lvlText w:val="o"/>
      <w:lvlJc w:val="left"/>
      <w:pPr>
        <w:ind w:left="1440" w:hanging="360"/>
      </w:pPr>
      <w:rPr>
        <w:rFonts w:ascii="Courier New" w:hAnsi="Courier New" w:cs="Courier New" w:hint="default"/>
      </w:rPr>
    </w:lvl>
    <w:lvl w:ilvl="2" w:tplc="1BF630CC" w:tentative="1">
      <w:start w:val="1"/>
      <w:numFmt w:val="bullet"/>
      <w:lvlText w:val=""/>
      <w:lvlJc w:val="left"/>
      <w:pPr>
        <w:ind w:left="2160" w:hanging="360"/>
      </w:pPr>
      <w:rPr>
        <w:rFonts w:ascii="Wingdings" w:hAnsi="Wingdings" w:hint="default"/>
      </w:rPr>
    </w:lvl>
    <w:lvl w:ilvl="3" w:tplc="84FAD53A" w:tentative="1">
      <w:start w:val="1"/>
      <w:numFmt w:val="bullet"/>
      <w:lvlText w:val=""/>
      <w:lvlJc w:val="left"/>
      <w:pPr>
        <w:ind w:left="2880" w:hanging="360"/>
      </w:pPr>
      <w:rPr>
        <w:rFonts w:ascii="Symbol" w:hAnsi="Symbol" w:hint="default"/>
      </w:rPr>
    </w:lvl>
    <w:lvl w:ilvl="4" w:tplc="BF8E1B44" w:tentative="1">
      <w:start w:val="1"/>
      <w:numFmt w:val="bullet"/>
      <w:lvlText w:val="o"/>
      <w:lvlJc w:val="left"/>
      <w:pPr>
        <w:ind w:left="3600" w:hanging="360"/>
      </w:pPr>
      <w:rPr>
        <w:rFonts w:ascii="Courier New" w:hAnsi="Courier New" w:cs="Courier New" w:hint="default"/>
      </w:rPr>
    </w:lvl>
    <w:lvl w:ilvl="5" w:tplc="77D46EDC" w:tentative="1">
      <w:start w:val="1"/>
      <w:numFmt w:val="bullet"/>
      <w:lvlText w:val=""/>
      <w:lvlJc w:val="left"/>
      <w:pPr>
        <w:ind w:left="4320" w:hanging="360"/>
      </w:pPr>
      <w:rPr>
        <w:rFonts w:ascii="Wingdings" w:hAnsi="Wingdings" w:hint="default"/>
      </w:rPr>
    </w:lvl>
    <w:lvl w:ilvl="6" w:tplc="8014DCB8" w:tentative="1">
      <w:start w:val="1"/>
      <w:numFmt w:val="bullet"/>
      <w:lvlText w:val=""/>
      <w:lvlJc w:val="left"/>
      <w:pPr>
        <w:ind w:left="5040" w:hanging="360"/>
      </w:pPr>
      <w:rPr>
        <w:rFonts w:ascii="Symbol" w:hAnsi="Symbol" w:hint="default"/>
      </w:rPr>
    </w:lvl>
    <w:lvl w:ilvl="7" w:tplc="1A94DE8A" w:tentative="1">
      <w:start w:val="1"/>
      <w:numFmt w:val="bullet"/>
      <w:lvlText w:val="o"/>
      <w:lvlJc w:val="left"/>
      <w:pPr>
        <w:ind w:left="5760" w:hanging="360"/>
      </w:pPr>
      <w:rPr>
        <w:rFonts w:ascii="Courier New" w:hAnsi="Courier New" w:cs="Courier New" w:hint="default"/>
      </w:rPr>
    </w:lvl>
    <w:lvl w:ilvl="8" w:tplc="0C44C92A" w:tentative="1">
      <w:start w:val="1"/>
      <w:numFmt w:val="bullet"/>
      <w:lvlText w:val=""/>
      <w:lvlJc w:val="left"/>
      <w:pPr>
        <w:ind w:left="6480" w:hanging="360"/>
      </w:pPr>
      <w:rPr>
        <w:rFonts w:ascii="Wingdings" w:hAnsi="Wingdings" w:hint="default"/>
      </w:rPr>
    </w:lvl>
  </w:abstractNum>
  <w:abstractNum w:abstractNumId="3" w15:restartNumberingAfterBreak="0">
    <w:nsid w:val="4A1E29D4"/>
    <w:multiLevelType w:val="hybridMultilevel"/>
    <w:tmpl w:val="B358D638"/>
    <w:lvl w:ilvl="0" w:tplc="9C5283E6">
      <w:start w:val="1"/>
      <w:numFmt w:val="bullet"/>
      <w:lvlText w:val=""/>
      <w:lvlJc w:val="left"/>
      <w:pPr>
        <w:ind w:left="720" w:hanging="360"/>
      </w:pPr>
      <w:rPr>
        <w:rFonts w:ascii="Symbol" w:hAnsi="Symbol" w:hint="default"/>
      </w:rPr>
    </w:lvl>
    <w:lvl w:ilvl="1" w:tplc="9852E940" w:tentative="1">
      <w:start w:val="1"/>
      <w:numFmt w:val="bullet"/>
      <w:lvlText w:val="o"/>
      <w:lvlJc w:val="left"/>
      <w:pPr>
        <w:ind w:left="1440" w:hanging="360"/>
      </w:pPr>
      <w:rPr>
        <w:rFonts w:ascii="Courier New" w:hAnsi="Courier New" w:cs="Courier New" w:hint="default"/>
      </w:rPr>
    </w:lvl>
    <w:lvl w:ilvl="2" w:tplc="F44498DE" w:tentative="1">
      <w:start w:val="1"/>
      <w:numFmt w:val="bullet"/>
      <w:lvlText w:val=""/>
      <w:lvlJc w:val="left"/>
      <w:pPr>
        <w:ind w:left="2160" w:hanging="360"/>
      </w:pPr>
      <w:rPr>
        <w:rFonts w:ascii="Wingdings" w:hAnsi="Wingdings" w:hint="default"/>
      </w:rPr>
    </w:lvl>
    <w:lvl w:ilvl="3" w:tplc="2340D778" w:tentative="1">
      <w:start w:val="1"/>
      <w:numFmt w:val="bullet"/>
      <w:lvlText w:val=""/>
      <w:lvlJc w:val="left"/>
      <w:pPr>
        <w:ind w:left="2880" w:hanging="360"/>
      </w:pPr>
      <w:rPr>
        <w:rFonts w:ascii="Symbol" w:hAnsi="Symbol" w:hint="default"/>
      </w:rPr>
    </w:lvl>
    <w:lvl w:ilvl="4" w:tplc="B8E6CDBA" w:tentative="1">
      <w:start w:val="1"/>
      <w:numFmt w:val="bullet"/>
      <w:lvlText w:val="o"/>
      <w:lvlJc w:val="left"/>
      <w:pPr>
        <w:ind w:left="3600" w:hanging="360"/>
      </w:pPr>
      <w:rPr>
        <w:rFonts w:ascii="Courier New" w:hAnsi="Courier New" w:cs="Courier New" w:hint="default"/>
      </w:rPr>
    </w:lvl>
    <w:lvl w:ilvl="5" w:tplc="119AA5E4" w:tentative="1">
      <w:start w:val="1"/>
      <w:numFmt w:val="bullet"/>
      <w:lvlText w:val=""/>
      <w:lvlJc w:val="left"/>
      <w:pPr>
        <w:ind w:left="4320" w:hanging="360"/>
      </w:pPr>
      <w:rPr>
        <w:rFonts w:ascii="Wingdings" w:hAnsi="Wingdings" w:hint="default"/>
      </w:rPr>
    </w:lvl>
    <w:lvl w:ilvl="6" w:tplc="C35AD600" w:tentative="1">
      <w:start w:val="1"/>
      <w:numFmt w:val="bullet"/>
      <w:lvlText w:val=""/>
      <w:lvlJc w:val="left"/>
      <w:pPr>
        <w:ind w:left="5040" w:hanging="360"/>
      </w:pPr>
      <w:rPr>
        <w:rFonts w:ascii="Symbol" w:hAnsi="Symbol" w:hint="default"/>
      </w:rPr>
    </w:lvl>
    <w:lvl w:ilvl="7" w:tplc="68FADE6C" w:tentative="1">
      <w:start w:val="1"/>
      <w:numFmt w:val="bullet"/>
      <w:lvlText w:val="o"/>
      <w:lvlJc w:val="left"/>
      <w:pPr>
        <w:ind w:left="5760" w:hanging="360"/>
      </w:pPr>
      <w:rPr>
        <w:rFonts w:ascii="Courier New" w:hAnsi="Courier New" w:cs="Courier New" w:hint="default"/>
      </w:rPr>
    </w:lvl>
    <w:lvl w:ilvl="8" w:tplc="8FA2D35E" w:tentative="1">
      <w:start w:val="1"/>
      <w:numFmt w:val="bullet"/>
      <w:lvlText w:val=""/>
      <w:lvlJc w:val="left"/>
      <w:pPr>
        <w:ind w:left="6480" w:hanging="360"/>
      </w:pPr>
      <w:rPr>
        <w:rFonts w:ascii="Wingdings" w:hAnsi="Wingdings" w:hint="default"/>
      </w:rPr>
    </w:lvl>
  </w:abstractNum>
  <w:abstractNum w:abstractNumId="4" w15:restartNumberingAfterBreak="0">
    <w:nsid w:val="588A66A6"/>
    <w:multiLevelType w:val="hybridMultilevel"/>
    <w:tmpl w:val="926E2324"/>
    <w:lvl w:ilvl="0" w:tplc="FE2A3896">
      <w:start w:val="1"/>
      <w:numFmt w:val="bullet"/>
      <w:lvlText w:val=""/>
      <w:lvlJc w:val="left"/>
      <w:pPr>
        <w:ind w:left="720" w:hanging="360"/>
      </w:pPr>
      <w:rPr>
        <w:rFonts w:ascii="Symbol" w:hAnsi="Symbol" w:hint="default"/>
      </w:rPr>
    </w:lvl>
    <w:lvl w:ilvl="1" w:tplc="3D7E8002" w:tentative="1">
      <w:start w:val="1"/>
      <w:numFmt w:val="bullet"/>
      <w:lvlText w:val="o"/>
      <w:lvlJc w:val="left"/>
      <w:pPr>
        <w:ind w:left="1440" w:hanging="360"/>
      </w:pPr>
      <w:rPr>
        <w:rFonts w:ascii="Courier New" w:hAnsi="Courier New" w:cs="Courier New" w:hint="default"/>
      </w:rPr>
    </w:lvl>
    <w:lvl w:ilvl="2" w:tplc="610EE092" w:tentative="1">
      <w:start w:val="1"/>
      <w:numFmt w:val="bullet"/>
      <w:lvlText w:val=""/>
      <w:lvlJc w:val="left"/>
      <w:pPr>
        <w:ind w:left="2160" w:hanging="360"/>
      </w:pPr>
      <w:rPr>
        <w:rFonts w:ascii="Wingdings" w:hAnsi="Wingdings" w:hint="default"/>
      </w:rPr>
    </w:lvl>
    <w:lvl w:ilvl="3" w:tplc="C2B4215E" w:tentative="1">
      <w:start w:val="1"/>
      <w:numFmt w:val="bullet"/>
      <w:lvlText w:val=""/>
      <w:lvlJc w:val="left"/>
      <w:pPr>
        <w:ind w:left="2880" w:hanging="360"/>
      </w:pPr>
      <w:rPr>
        <w:rFonts w:ascii="Symbol" w:hAnsi="Symbol" w:hint="default"/>
      </w:rPr>
    </w:lvl>
    <w:lvl w:ilvl="4" w:tplc="63507EE2" w:tentative="1">
      <w:start w:val="1"/>
      <w:numFmt w:val="bullet"/>
      <w:lvlText w:val="o"/>
      <w:lvlJc w:val="left"/>
      <w:pPr>
        <w:ind w:left="3600" w:hanging="360"/>
      </w:pPr>
      <w:rPr>
        <w:rFonts w:ascii="Courier New" w:hAnsi="Courier New" w:cs="Courier New" w:hint="default"/>
      </w:rPr>
    </w:lvl>
    <w:lvl w:ilvl="5" w:tplc="335226B8" w:tentative="1">
      <w:start w:val="1"/>
      <w:numFmt w:val="bullet"/>
      <w:lvlText w:val=""/>
      <w:lvlJc w:val="left"/>
      <w:pPr>
        <w:ind w:left="4320" w:hanging="360"/>
      </w:pPr>
      <w:rPr>
        <w:rFonts w:ascii="Wingdings" w:hAnsi="Wingdings" w:hint="default"/>
      </w:rPr>
    </w:lvl>
    <w:lvl w:ilvl="6" w:tplc="C4742340" w:tentative="1">
      <w:start w:val="1"/>
      <w:numFmt w:val="bullet"/>
      <w:lvlText w:val=""/>
      <w:lvlJc w:val="left"/>
      <w:pPr>
        <w:ind w:left="5040" w:hanging="360"/>
      </w:pPr>
      <w:rPr>
        <w:rFonts w:ascii="Symbol" w:hAnsi="Symbol" w:hint="default"/>
      </w:rPr>
    </w:lvl>
    <w:lvl w:ilvl="7" w:tplc="B2FAAF74" w:tentative="1">
      <w:start w:val="1"/>
      <w:numFmt w:val="bullet"/>
      <w:lvlText w:val="o"/>
      <w:lvlJc w:val="left"/>
      <w:pPr>
        <w:ind w:left="5760" w:hanging="360"/>
      </w:pPr>
      <w:rPr>
        <w:rFonts w:ascii="Courier New" w:hAnsi="Courier New" w:cs="Courier New" w:hint="default"/>
      </w:rPr>
    </w:lvl>
    <w:lvl w:ilvl="8" w:tplc="9ECA1DAE" w:tentative="1">
      <w:start w:val="1"/>
      <w:numFmt w:val="bullet"/>
      <w:lvlText w:val=""/>
      <w:lvlJc w:val="left"/>
      <w:pPr>
        <w:ind w:left="6480" w:hanging="360"/>
      </w:pPr>
      <w:rPr>
        <w:rFonts w:ascii="Wingdings" w:hAnsi="Wingdings" w:hint="default"/>
      </w:rPr>
    </w:lvl>
  </w:abstractNum>
  <w:abstractNum w:abstractNumId="5" w15:restartNumberingAfterBreak="0">
    <w:nsid w:val="59C93D14"/>
    <w:multiLevelType w:val="hybridMultilevel"/>
    <w:tmpl w:val="4A20F9FA"/>
    <w:lvl w:ilvl="0" w:tplc="02E8C1AA">
      <w:start w:val="1"/>
      <w:numFmt w:val="decimal"/>
      <w:pStyle w:val="Paragraph"/>
      <w:lvlText w:val="%1."/>
      <w:lvlJc w:val="left"/>
      <w:pPr>
        <w:ind w:left="851" w:hanging="851"/>
      </w:pPr>
      <w:rPr>
        <w:rFonts w:hint="default"/>
      </w:rPr>
    </w:lvl>
    <w:lvl w:ilvl="1" w:tplc="1BD651DA" w:tentative="1">
      <w:start w:val="1"/>
      <w:numFmt w:val="lowerLetter"/>
      <w:lvlText w:val="%2."/>
      <w:lvlJc w:val="left"/>
      <w:pPr>
        <w:ind w:left="1440" w:hanging="360"/>
      </w:pPr>
    </w:lvl>
    <w:lvl w:ilvl="2" w:tplc="7428AA9A" w:tentative="1">
      <w:start w:val="1"/>
      <w:numFmt w:val="lowerRoman"/>
      <w:lvlText w:val="%3."/>
      <w:lvlJc w:val="right"/>
      <w:pPr>
        <w:ind w:left="2160" w:hanging="180"/>
      </w:pPr>
    </w:lvl>
    <w:lvl w:ilvl="3" w:tplc="568005F4" w:tentative="1">
      <w:start w:val="1"/>
      <w:numFmt w:val="decimal"/>
      <w:lvlText w:val="%4."/>
      <w:lvlJc w:val="left"/>
      <w:pPr>
        <w:ind w:left="2880" w:hanging="360"/>
      </w:pPr>
    </w:lvl>
    <w:lvl w:ilvl="4" w:tplc="D29E7E82" w:tentative="1">
      <w:start w:val="1"/>
      <w:numFmt w:val="lowerLetter"/>
      <w:lvlText w:val="%5."/>
      <w:lvlJc w:val="left"/>
      <w:pPr>
        <w:ind w:left="3600" w:hanging="360"/>
      </w:pPr>
    </w:lvl>
    <w:lvl w:ilvl="5" w:tplc="A2A880D6" w:tentative="1">
      <w:start w:val="1"/>
      <w:numFmt w:val="lowerRoman"/>
      <w:lvlText w:val="%6."/>
      <w:lvlJc w:val="right"/>
      <w:pPr>
        <w:ind w:left="4320" w:hanging="180"/>
      </w:pPr>
    </w:lvl>
    <w:lvl w:ilvl="6" w:tplc="123E249E" w:tentative="1">
      <w:start w:val="1"/>
      <w:numFmt w:val="decimal"/>
      <w:lvlText w:val="%7."/>
      <w:lvlJc w:val="left"/>
      <w:pPr>
        <w:ind w:left="5040" w:hanging="360"/>
      </w:pPr>
    </w:lvl>
    <w:lvl w:ilvl="7" w:tplc="1440210E" w:tentative="1">
      <w:start w:val="1"/>
      <w:numFmt w:val="lowerLetter"/>
      <w:lvlText w:val="%8."/>
      <w:lvlJc w:val="left"/>
      <w:pPr>
        <w:ind w:left="5760" w:hanging="360"/>
      </w:pPr>
    </w:lvl>
    <w:lvl w:ilvl="8" w:tplc="66CAE0D8" w:tentative="1">
      <w:start w:val="1"/>
      <w:numFmt w:val="lowerRoman"/>
      <w:lvlText w:val="%9."/>
      <w:lvlJc w:val="right"/>
      <w:pPr>
        <w:ind w:left="6480" w:hanging="180"/>
      </w:pPr>
    </w:lvl>
  </w:abstractNum>
  <w:abstractNum w:abstractNumId="6" w15:restartNumberingAfterBreak="0">
    <w:nsid w:val="7DE33F4A"/>
    <w:multiLevelType w:val="multilevel"/>
    <w:tmpl w:val="85CA1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7212775">
    <w:abstractNumId w:val="0"/>
  </w:num>
  <w:num w:numId="2" w16cid:durableId="1914317752">
    <w:abstractNumId w:val="6"/>
  </w:num>
  <w:num w:numId="3" w16cid:durableId="1913537172">
    <w:abstractNumId w:val="1"/>
  </w:num>
  <w:num w:numId="4" w16cid:durableId="273175910">
    <w:abstractNumId w:val="4"/>
  </w:num>
  <w:num w:numId="5" w16cid:durableId="1501895382">
    <w:abstractNumId w:val="2"/>
  </w:num>
  <w:num w:numId="6" w16cid:durableId="1621033920">
    <w:abstractNumId w:val="3"/>
  </w:num>
  <w:num w:numId="7" w16cid:durableId="81270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DD10016-7E53-4A35-8A5C-01D6C6141A17}"/>
    <w:docVar w:name="dgnword-eventsink" w:val="2035587086160"/>
  </w:docVars>
  <w:rsids>
    <w:rsidRoot w:val="006D7CFC"/>
    <w:rsid w:val="00063B7E"/>
    <w:rsid w:val="00147350"/>
    <w:rsid w:val="00211CAE"/>
    <w:rsid w:val="002647AF"/>
    <w:rsid w:val="003347D0"/>
    <w:rsid w:val="0048145B"/>
    <w:rsid w:val="00481D2F"/>
    <w:rsid w:val="00566C4D"/>
    <w:rsid w:val="005A7524"/>
    <w:rsid w:val="00643BDE"/>
    <w:rsid w:val="006C599C"/>
    <w:rsid w:val="006D7CFC"/>
    <w:rsid w:val="00722723"/>
    <w:rsid w:val="007B25A9"/>
    <w:rsid w:val="007E14CA"/>
    <w:rsid w:val="00816C24"/>
    <w:rsid w:val="00845A07"/>
    <w:rsid w:val="00933756"/>
    <w:rsid w:val="009E1556"/>
    <w:rsid w:val="00B12680"/>
    <w:rsid w:val="00B54949"/>
    <w:rsid w:val="00BD1642"/>
    <w:rsid w:val="00C7680A"/>
    <w:rsid w:val="00C8350E"/>
    <w:rsid w:val="00CF3C94"/>
    <w:rsid w:val="00D1532B"/>
    <w:rsid w:val="00DB6C6A"/>
    <w:rsid w:val="00E31BF1"/>
    <w:rsid w:val="00EC7A9D"/>
    <w:rsid w:val="00FC010A"/>
    <w:rsid w:val="3BC0AD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9D8F"/>
  <w15:chartTrackingRefBased/>
  <w15:docId w15:val="{3D562B08-D944-4ACC-8BE7-BBB174F7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D7C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paragraph">
    <w:name w:val="x_paragraph"/>
    <w:basedOn w:val="Normal"/>
    <w:rsid w:val="006D7C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bodytext">
    <w:name w:val="x_msobodytext"/>
    <w:basedOn w:val="Normal"/>
    <w:rsid w:val="006D7C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D7CFC"/>
    <w:pPr>
      <w:spacing w:after="0" w:line="240" w:lineRule="auto"/>
    </w:pPr>
  </w:style>
  <w:style w:type="paragraph" w:styleId="BalloonText">
    <w:name w:val="Balloon Text"/>
    <w:basedOn w:val="Normal"/>
    <w:link w:val="BalloonTextChar"/>
    <w:uiPriority w:val="99"/>
    <w:semiHidden/>
    <w:unhideWhenUsed/>
    <w:rsid w:val="006D7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CFC"/>
    <w:rPr>
      <w:rFonts w:ascii="Segoe UI" w:hAnsi="Segoe UI" w:cs="Segoe UI"/>
      <w:sz w:val="18"/>
      <w:szCs w:val="18"/>
    </w:rPr>
  </w:style>
  <w:style w:type="character" w:styleId="Hyperlink">
    <w:name w:val="Hyperlink"/>
    <w:basedOn w:val="DefaultParagraphFont"/>
    <w:uiPriority w:val="99"/>
    <w:semiHidden/>
    <w:unhideWhenUsed/>
    <w:rsid w:val="0048145B"/>
    <w:rPr>
      <w:color w:val="0000FF"/>
      <w:u w:val="single"/>
    </w:rPr>
  </w:style>
  <w:style w:type="paragraph" w:styleId="BodyText">
    <w:name w:val="Body Text"/>
    <w:basedOn w:val="Normal"/>
    <w:link w:val="BodyTextChar"/>
    <w:rsid w:val="00D1532B"/>
    <w:pPr>
      <w:spacing w:after="200" w:line="288" w:lineRule="auto"/>
    </w:pPr>
    <w:rPr>
      <w:rFonts w:ascii="Arial" w:eastAsia="Times New Roman" w:hAnsi="Arial" w:cs="Times New Roman"/>
      <w:color w:val="333333"/>
      <w:sz w:val="20"/>
      <w:szCs w:val="20"/>
    </w:rPr>
  </w:style>
  <w:style w:type="character" w:customStyle="1" w:styleId="BodyTextChar">
    <w:name w:val="Body Text Char"/>
    <w:basedOn w:val="DefaultParagraphFont"/>
    <w:link w:val="BodyText"/>
    <w:rsid w:val="00D1532B"/>
    <w:rPr>
      <w:rFonts w:ascii="Arial" w:eastAsia="Times New Roman" w:hAnsi="Arial" w:cs="Times New Roman"/>
      <w:color w:val="333333"/>
      <w:sz w:val="20"/>
      <w:szCs w:val="20"/>
    </w:rPr>
  </w:style>
  <w:style w:type="paragraph" w:customStyle="1" w:styleId="Paragraph">
    <w:name w:val="Paragraph"/>
    <w:basedOn w:val="Normal"/>
    <w:uiPriority w:val="4"/>
    <w:qFormat/>
    <w:rsid w:val="007E14CA"/>
    <w:pPr>
      <w:numPr>
        <w:numId w:val="7"/>
      </w:numPr>
      <w:spacing w:before="240" w:after="240" w:line="276"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s://www.medrxiv.org/content/10.1101/2024.01.31.24302082v1___.bXQtcHJvZC1jcC1ldXcyLTE6bXlhd2FyZTpjOm86NTlkMGUyNDU4ZWE1MjQxYmNlYWM1ODg2YWY1OTk1MzQ6NjozZGI3OjljYjA0NjljOTNiNTVmY2RkZWZhOWFjYjk3MmI4NDdlZGEwYTA4NTllMjYxMGJkYTdlMTZhMzk2YTVhMmRhYmI6cDpUOk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263A5-DF8B-48DD-99BE-71DF1E089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35442-0464-4DDC-9DD4-4060BC14174F}">
  <ds:schemaRefs>
    <ds:schemaRef ds:uri="http://schemas.microsoft.com/sharepoint/v3/contenttype/forms"/>
  </ds:schemaRefs>
</ds:datastoreItem>
</file>

<file path=customXml/itemProps3.xml><?xml version="1.0" encoding="utf-8"?>
<ds:datastoreItem xmlns:ds="http://schemas.openxmlformats.org/officeDocument/2006/customXml" ds:itemID="{3D5FEBED-A8C7-44AF-BDD2-7F650A1EFCBD}">
  <ds:schemaRefs>
    <ds:schemaRef ds:uri="http://schemas.microsoft.com/office/2006/metadata/properties"/>
    <ds:schemaRef ds:uri="http://schemas.microsoft.com/office/infopath/2007/PartnerControls"/>
    <ds:schemaRef ds:uri="638cd6c9-b19c-4b21-b72e-d41d0ffaa4aa"/>
    <ds:schemaRef ds:uri="4f271dff-b4a7-468c-aaa1-8c90a5f1ede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1210</Words>
  <Characters>6897</Characters>
  <Application>Microsoft Office Word</Application>
  <DocSecurity>0</DocSecurity>
  <Lines>57</Lines>
  <Paragraphs>16</Paragraphs>
  <ScaleCrop>false</ScaleCrop>
  <Company>Guy's and St. Thomas' NHS Foundation Trust</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Spillane Jennifer</dc:creator>
  <cp:lastModifiedBy>Leah Murphy</cp:lastModifiedBy>
  <cp:revision>9</cp:revision>
  <dcterms:created xsi:type="dcterms:W3CDTF">2025-03-07T15:17:00Z</dcterms:created>
  <dcterms:modified xsi:type="dcterms:W3CDTF">2025-05-01T08:22:00Z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MSIP_Label_c69d85d5-6d9e-4305-a294-1f636ec0f2d6_Enabled">
    <vt:lpwstr>true</vt:lpwstr>
  </property>
  <property fmtid="{D5CDD505-2E9C-101B-9397-08002B2CF9AE}" pid="5" name="MSIP_Label_c69d85d5-6d9e-4305-a294-1f636ec0f2d6_SetDate">
    <vt:lpwstr>2025-03-07T15:17:43Z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1f0922de-2041-439b-a9ea-6d31fe6cbdb9</vt:lpwstr>
  </property>
  <property fmtid="{D5CDD505-2E9C-101B-9397-08002B2CF9AE}" pid="10" name="MSIP_Label_c69d85d5-6d9e-4305-a294-1f636ec0f2d6_ContentBits">
    <vt:lpwstr>0</vt:lpwstr>
  </property>
  <property fmtid="{D5CDD505-2E9C-101B-9397-08002B2CF9AE}" pid="11" name="MSIP_Label_c69d85d5-6d9e-4305-a294-1f636ec0f2d6_Tag">
    <vt:lpwstr>10, 3, 0, 2</vt:lpwstr>
  </property>
</Properties>
</file>