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1A4" w14:textId="60A81DF7" w:rsidR="0004302C" w:rsidRPr="0043022B" w:rsidRDefault="0004302C" w:rsidP="0004302C">
      <w:pPr>
        <w:rPr>
          <w:rStyle w:val="Hyperlink"/>
          <w:rFonts w:cs="Arial"/>
          <w:color w:val="auto"/>
        </w:rPr>
      </w:pPr>
      <w:r w:rsidRPr="0043022B">
        <w:rPr>
          <w:rFonts w:cs="Arial"/>
        </w:rPr>
        <w:t xml:space="preserve">Sent by e-mail </w:t>
      </w:r>
      <w:proofErr w:type="spellStart"/>
      <w:proofErr w:type="gramStart"/>
      <w:r w:rsidRPr="0043022B">
        <w:rPr>
          <w:rFonts w:cs="Arial"/>
        </w:rPr>
        <w:t>only:</w:t>
      </w:r>
      <w:r w:rsidR="0063153F" w:rsidRPr="0063153F">
        <w:rPr>
          <w:rFonts w:cs="Arial"/>
          <w:highlight w:val="black"/>
        </w:rPr>
        <w:t>xxxxxxxxxxxxxxxxxxxx</w:t>
      </w:r>
      <w:proofErr w:type="spellEnd"/>
      <w:proofErr w:type="gramEnd"/>
    </w:p>
    <w:p w14:paraId="52AF9A60" w14:textId="0861399F" w:rsidR="0004302C" w:rsidRPr="0043022B" w:rsidRDefault="0004302C" w:rsidP="0004302C">
      <w:pPr>
        <w:spacing w:after="0" w:line="240" w:lineRule="auto"/>
        <w:jc w:val="both"/>
        <w:rPr>
          <w:rFonts w:cs="Arial"/>
        </w:rPr>
      </w:pPr>
      <w:r w:rsidRPr="0043022B">
        <w:rPr>
          <w:rFonts w:cs="Arial"/>
        </w:rPr>
        <w:t xml:space="preserve">FAO </w:t>
      </w:r>
      <w:proofErr w:type="spellStart"/>
      <w:r w:rsidR="0063153F" w:rsidRPr="0063153F">
        <w:rPr>
          <w:rFonts w:cs="Arial"/>
          <w:highlight w:val="black"/>
        </w:rPr>
        <w:t>xxxxxxxxxxxxxxxxxxx</w:t>
      </w:r>
      <w:proofErr w:type="spellEnd"/>
    </w:p>
    <w:p w14:paraId="35C240FF" w14:textId="0E0DB61F" w:rsidR="0004302C" w:rsidRDefault="0089309B" w:rsidP="0004302C">
      <w:pPr>
        <w:spacing w:after="0" w:line="240" w:lineRule="auto"/>
        <w:jc w:val="both"/>
        <w:rPr>
          <w:rFonts w:cs="Arial"/>
        </w:rPr>
      </w:pPr>
      <w:proofErr w:type="spellStart"/>
      <w:r>
        <w:rPr>
          <w:rFonts w:cs="Arial"/>
        </w:rPr>
        <w:t>Argenx</w:t>
      </w:r>
      <w:proofErr w:type="spellEnd"/>
      <w:r>
        <w:rPr>
          <w:rFonts w:cs="Arial"/>
        </w:rPr>
        <w:t xml:space="preserve"> UK Ltd</w:t>
      </w:r>
    </w:p>
    <w:p w14:paraId="7637BBDD" w14:textId="00A4DF90" w:rsidR="0089309B" w:rsidRDefault="0089309B" w:rsidP="0004302C">
      <w:pPr>
        <w:spacing w:after="0" w:line="240" w:lineRule="auto"/>
        <w:jc w:val="both"/>
        <w:rPr>
          <w:rFonts w:cs="Arial"/>
        </w:rPr>
      </w:pPr>
      <w:r>
        <w:rPr>
          <w:rFonts w:cs="Arial"/>
        </w:rPr>
        <w:t>Chalfont Park House</w:t>
      </w:r>
    </w:p>
    <w:p w14:paraId="28D47255" w14:textId="104A9418" w:rsidR="0089309B" w:rsidRDefault="0089309B" w:rsidP="0004302C">
      <w:pPr>
        <w:spacing w:after="0" w:line="240" w:lineRule="auto"/>
        <w:jc w:val="both"/>
        <w:rPr>
          <w:rFonts w:cs="Arial"/>
        </w:rPr>
      </w:pPr>
      <w:r>
        <w:rPr>
          <w:rFonts w:cs="Arial"/>
        </w:rPr>
        <w:t xml:space="preserve">Chalfont Park Building 1 </w:t>
      </w:r>
    </w:p>
    <w:p w14:paraId="2A9A74D8" w14:textId="02078AA9" w:rsidR="0089309B" w:rsidRDefault="0089309B" w:rsidP="0004302C">
      <w:pPr>
        <w:spacing w:after="0" w:line="240" w:lineRule="auto"/>
        <w:jc w:val="both"/>
        <w:rPr>
          <w:rFonts w:cs="Arial"/>
        </w:rPr>
      </w:pPr>
      <w:r>
        <w:rPr>
          <w:rFonts w:cs="Arial"/>
        </w:rPr>
        <w:t>Gerrards Cross</w:t>
      </w:r>
    </w:p>
    <w:p w14:paraId="391202D2" w14:textId="3C265ADF" w:rsidR="0089309B" w:rsidRDefault="0089309B" w:rsidP="0004302C">
      <w:pPr>
        <w:spacing w:after="0" w:line="240" w:lineRule="auto"/>
        <w:jc w:val="both"/>
        <w:rPr>
          <w:rFonts w:cs="Arial"/>
        </w:rPr>
      </w:pPr>
      <w:r>
        <w:rPr>
          <w:rFonts w:cs="Arial"/>
        </w:rPr>
        <w:t xml:space="preserve">Buckinghamshire </w:t>
      </w:r>
    </w:p>
    <w:p w14:paraId="706E42E0" w14:textId="0B4E5B69" w:rsidR="0004302C" w:rsidRPr="0043022B" w:rsidRDefault="0089309B" w:rsidP="0004302C">
      <w:pPr>
        <w:rPr>
          <w:rFonts w:cs="Arial"/>
        </w:rPr>
      </w:pPr>
      <w:r>
        <w:rPr>
          <w:rFonts w:cs="Arial"/>
        </w:rPr>
        <w:t>SL9 0BG</w:t>
      </w:r>
    </w:p>
    <w:p w14:paraId="51088EB9" w14:textId="3357C2A0" w:rsidR="0004302C" w:rsidRPr="0043022B" w:rsidRDefault="0089309B" w:rsidP="0004302C">
      <w:pPr>
        <w:rPr>
          <w:rFonts w:cs="Arial"/>
        </w:rPr>
      </w:pPr>
      <w:r w:rsidRPr="007870BB">
        <w:rPr>
          <w:rFonts w:cs="Arial"/>
        </w:rPr>
        <w:t>14</w:t>
      </w:r>
      <w:r>
        <w:rPr>
          <w:rFonts w:cs="Arial"/>
        </w:rPr>
        <w:t xml:space="preserve"> February 2025</w:t>
      </w:r>
    </w:p>
    <w:p w14:paraId="50583914" w14:textId="77777777" w:rsidR="0004302C" w:rsidRPr="0043022B" w:rsidRDefault="0004302C" w:rsidP="0004302C">
      <w:pPr>
        <w:rPr>
          <w:rStyle w:val="Hyperlink"/>
          <w:rFonts w:cs="Arial"/>
        </w:rPr>
      </w:pPr>
    </w:p>
    <w:p w14:paraId="6392A75B" w14:textId="2D4C6788" w:rsidR="0004302C" w:rsidRPr="0043022B" w:rsidRDefault="0004302C" w:rsidP="0004302C">
      <w:pPr>
        <w:ind w:left="426" w:right="468" w:hanging="426"/>
        <w:jc w:val="both"/>
        <w:rPr>
          <w:rFonts w:cs="Arial"/>
          <w:noProof/>
          <w:spacing w:val="-3"/>
          <w:lang w:eastAsia="en-GB"/>
        </w:rPr>
      </w:pPr>
      <w:bookmarkStart w:id="0" w:name="deartext"/>
      <w:r w:rsidRPr="0043022B">
        <w:rPr>
          <w:rFonts w:cs="Arial"/>
        </w:rPr>
        <w:t>Dear</w:t>
      </w:r>
      <w:bookmarkEnd w:id="0"/>
      <w:r w:rsidRPr="0043022B">
        <w:rPr>
          <w:rFonts w:cs="Arial"/>
        </w:rPr>
        <w:t xml:space="preserve"> </w:t>
      </w:r>
      <w:bookmarkStart w:id="1" w:name="Sal"/>
      <w:bookmarkEnd w:id="1"/>
      <w:proofErr w:type="spellStart"/>
      <w:r w:rsidR="0063153F" w:rsidRPr="009C257E">
        <w:rPr>
          <w:rFonts w:cs="Arial"/>
          <w:highlight w:val="black"/>
        </w:rPr>
        <w:t>xxxxxxxxxxxx</w:t>
      </w:r>
      <w:proofErr w:type="spellEnd"/>
      <w:r w:rsidR="0089309B">
        <w:rPr>
          <w:rFonts w:cs="Arial"/>
        </w:rPr>
        <w:t xml:space="preserve"> </w:t>
      </w:r>
    </w:p>
    <w:p w14:paraId="5E0F0EBD" w14:textId="77777777" w:rsidR="0089309B" w:rsidRPr="0043022B" w:rsidRDefault="0089309B" w:rsidP="0089309B">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02B54A39" wp14:editId="7FED0CD9">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82DC83"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43022B">
        <w:rPr>
          <w:rFonts w:cs="Arial"/>
          <w:b/>
          <w:spacing w:val="-3"/>
        </w:rPr>
        <w:t xml:space="preserve">Re: </w:t>
      </w:r>
      <w:r w:rsidRPr="0043022B">
        <w:rPr>
          <w:rFonts w:cs="Arial"/>
          <w:b/>
        </w:rPr>
        <w:t xml:space="preserve">Final </w:t>
      </w:r>
      <w:r>
        <w:rPr>
          <w:rFonts w:cs="Arial"/>
          <w:b/>
        </w:rPr>
        <w:t>Draft Guidance for efgartigimod for treating generalised myasthenia gravis [ID4003]</w:t>
      </w:r>
      <w:r w:rsidRPr="0043022B">
        <w:rPr>
          <w:rFonts w:cs="Arial"/>
          <w:b/>
        </w:rPr>
        <w:t xml:space="preserve"> </w:t>
      </w:r>
    </w:p>
    <w:p w14:paraId="7414DC3E" w14:textId="56A91F5C" w:rsidR="00003026" w:rsidRPr="00DD7697" w:rsidRDefault="000223BD" w:rsidP="00413F89">
      <w:pPr>
        <w:jc w:val="both"/>
        <w:rPr>
          <w:rFonts w:cs="Arial"/>
          <w:color w:val="auto"/>
        </w:rPr>
      </w:pPr>
      <w:r w:rsidRPr="00DD7697">
        <w:rPr>
          <w:rFonts w:cs="Arial"/>
          <w:color w:val="auto"/>
        </w:rPr>
        <w:t xml:space="preserve">Thank you for your letter of </w:t>
      </w:r>
      <w:r w:rsidR="0089309B">
        <w:rPr>
          <w:rFonts w:cs="Arial"/>
          <w:color w:val="auto"/>
        </w:rPr>
        <w:t>7 February 2025</w:t>
      </w:r>
      <w:r w:rsidRPr="00DD7697">
        <w:rPr>
          <w:rFonts w:cs="Arial"/>
          <w:color w:val="auto"/>
        </w:rPr>
        <w:t xml:space="preserve">, </w:t>
      </w:r>
      <w:r w:rsidR="0089309B" w:rsidRPr="00DD7697">
        <w:rPr>
          <w:rFonts w:cs="Arial"/>
          <w:color w:val="auto"/>
        </w:rPr>
        <w:t xml:space="preserve">lodging an appeal against the above Final </w:t>
      </w:r>
      <w:r w:rsidR="0089309B">
        <w:rPr>
          <w:rFonts w:cs="Arial"/>
          <w:color w:val="auto"/>
        </w:rPr>
        <w:t>Draft Guidance</w:t>
      </w:r>
      <w:r w:rsidR="0089309B" w:rsidRPr="00DD7697">
        <w:rPr>
          <w:rFonts w:cs="Arial"/>
          <w:color w:val="auto"/>
        </w:rPr>
        <w:t xml:space="preserve"> (FD</w:t>
      </w:r>
      <w:r w:rsidR="0089309B">
        <w:rPr>
          <w:rFonts w:cs="Arial"/>
          <w:color w:val="auto"/>
        </w:rPr>
        <w:t>G</w:t>
      </w:r>
      <w:r w:rsidR="0089309B" w:rsidRPr="00DD7697">
        <w:rPr>
          <w:rFonts w:cs="Arial"/>
          <w:color w:val="auto"/>
        </w:rPr>
        <w:t xml:space="preserve">).  </w:t>
      </w:r>
      <w:r w:rsidR="001C5C79" w:rsidRPr="001C5C79">
        <w:rPr>
          <w:rFonts w:cs="Arial"/>
          <w:color w:val="auto"/>
        </w:rPr>
        <w:t>Dr Chakravarty is temporarily unavailable and so in accordance with paragraph 3.1 of NICE's Guide to the technology appraisal and highly specialised technologies appeal process, I am conducting initial scrutiny on this occasion</w:t>
      </w:r>
      <w:r w:rsidR="001C5C79">
        <w:rPr>
          <w:rFonts w:cs="Arial"/>
          <w:color w:val="auto"/>
        </w:rPr>
        <w:t>.</w:t>
      </w:r>
    </w:p>
    <w:p w14:paraId="5F523C58" w14:textId="77777777" w:rsidR="00C70019" w:rsidRPr="00DD7697" w:rsidRDefault="00C70019" w:rsidP="00634104">
      <w:pPr>
        <w:spacing w:line="276" w:lineRule="auto"/>
        <w:jc w:val="both"/>
        <w:rPr>
          <w:rFonts w:cs="Arial"/>
          <w:color w:val="auto"/>
        </w:rPr>
      </w:pPr>
      <w:r w:rsidRPr="00DD7697">
        <w:rPr>
          <w:rFonts w:cs="Arial"/>
          <w:color w:val="auto"/>
          <w:u w:val="single"/>
        </w:rPr>
        <w:t>Introduction</w:t>
      </w:r>
      <w:r w:rsidRPr="00DD7697">
        <w:rPr>
          <w:rFonts w:cs="Arial"/>
          <w:color w:val="auto"/>
        </w:rPr>
        <w:t xml:space="preserve"> </w:t>
      </w:r>
    </w:p>
    <w:p w14:paraId="70E1E5B1" w14:textId="2DBAE3FD" w:rsidR="00C70019" w:rsidRPr="00DD7697" w:rsidRDefault="00C70019" w:rsidP="00634104">
      <w:pPr>
        <w:spacing w:line="276" w:lineRule="auto"/>
        <w:jc w:val="both"/>
        <w:rPr>
          <w:rFonts w:cs="Arial"/>
          <w:color w:val="auto"/>
        </w:rPr>
      </w:pPr>
      <w:r w:rsidRPr="00DD7697">
        <w:rPr>
          <w:rFonts w:cs="Arial"/>
          <w:color w:val="auto"/>
        </w:rPr>
        <w:t xml:space="preserve">The Institute's appeal procedures provide for an initial scrutiny of points that an appellant wishes to raise, to </w:t>
      </w:r>
      <w:r w:rsidR="006B6C22" w:rsidRPr="00DD7697">
        <w:rPr>
          <w:rFonts w:cs="Arial"/>
          <w:color w:val="auto"/>
        </w:rPr>
        <w:t>provide an initial view on whether</w:t>
      </w:r>
      <w:r w:rsidRPr="00DD7697">
        <w:rPr>
          <w:rFonts w:cs="Arial"/>
          <w:color w:val="auto"/>
        </w:rPr>
        <w:t xml:space="preserve"> they are within the permitted grounds of appeal ("valid")</w:t>
      </w:r>
      <w:r w:rsidR="006B6C22" w:rsidRPr="00DD7697">
        <w:rPr>
          <w:rFonts w:cs="Arial"/>
          <w:color w:val="auto"/>
        </w:rPr>
        <w:t xml:space="preserve"> and are at least arguable</w:t>
      </w:r>
      <w:r w:rsidRPr="00DD7697">
        <w:rPr>
          <w:rFonts w:cs="Arial"/>
          <w:color w:val="auto"/>
        </w:rPr>
        <w:t xml:space="preserve">. The permitted grounds of appeal are: </w:t>
      </w:r>
    </w:p>
    <w:p w14:paraId="25359C75" w14:textId="77777777" w:rsidR="00C70019" w:rsidRPr="00DD7697" w:rsidRDefault="00C70019" w:rsidP="00634104">
      <w:pPr>
        <w:numPr>
          <w:ilvl w:val="0"/>
          <w:numId w:val="2"/>
        </w:numPr>
        <w:shd w:val="clear" w:color="auto" w:fill="FFFFFF"/>
        <w:spacing w:before="240" w:after="240" w:line="276" w:lineRule="auto"/>
        <w:jc w:val="both"/>
        <w:rPr>
          <w:rFonts w:cs="Arial"/>
          <w:color w:val="auto"/>
        </w:rPr>
      </w:pPr>
      <w:r w:rsidRPr="00DD7697">
        <w:rPr>
          <w:rFonts w:cs="Arial"/>
          <w:color w:val="auto"/>
        </w:rPr>
        <w:t xml:space="preserve">1(a) NICE has failed to act fairly, or </w:t>
      </w:r>
    </w:p>
    <w:p w14:paraId="14BFF060" w14:textId="77777777" w:rsidR="00C70019" w:rsidRPr="00DD7697" w:rsidRDefault="00C70019" w:rsidP="00634104">
      <w:pPr>
        <w:numPr>
          <w:ilvl w:val="0"/>
          <w:numId w:val="2"/>
        </w:numPr>
        <w:shd w:val="clear" w:color="auto" w:fill="FFFFFF"/>
        <w:spacing w:before="240" w:after="240" w:line="276" w:lineRule="auto"/>
        <w:jc w:val="both"/>
        <w:rPr>
          <w:rFonts w:cs="Arial"/>
          <w:color w:val="auto"/>
        </w:rPr>
      </w:pPr>
      <w:r w:rsidRPr="00DD7697">
        <w:rPr>
          <w:rFonts w:cs="Arial"/>
          <w:color w:val="auto"/>
        </w:rPr>
        <w:t xml:space="preserve">1(b) NICE has exceeded </w:t>
      </w:r>
      <w:proofErr w:type="gramStart"/>
      <w:r w:rsidRPr="00DD7697">
        <w:rPr>
          <w:rFonts w:cs="Arial"/>
          <w:color w:val="auto"/>
        </w:rPr>
        <w:t>powers;</w:t>
      </w:r>
      <w:proofErr w:type="gramEnd"/>
    </w:p>
    <w:p w14:paraId="22754B60" w14:textId="77777777" w:rsidR="00C70019" w:rsidRPr="00DD7697" w:rsidRDefault="00C70019" w:rsidP="00634104">
      <w:pPr>
        <w:numPr>
          <w:ilvl w:val="0"/>
          <w:numId w:val="2"/>
        </w:numPr>
        <w:shd w:val="clear" w:color="auto" w:fill="FFFFFF"/>
        <w:spacing w:before="240" w:after="240" w:line="276" w:lineRule="auto"/>
        <w:jc w:val="both"/>
        <w:rPr>
          <w:rFonts w:cs="Arial"/>
          <w:color w:val="auto"/>
        </w:rPr>
      </w:pPr>
      <w:r w:rsidRPr="00DD7697">
        <w:rPr>
          <w:rFonts w:cs="Arial"/>
          <w:color w:val="auto"/>
        </w:rPr>
        <w:t>(2) the recommendation is unreasonable in the light of the evidence submitted to NICE</w:t>
      </w:r>
      <w:r w:rsidR="006347AD" w:rsidRPr="00DD7697">
        <w:rPr>
          <w:rFonts w:cs="Arial"/>
          <w:color w:val="auto"/>
        </w:rPr>
        <w:t>.</w:t>
      </w:r>
    </w:p>
    <w:p w14:paraId="08D953B5" w14:textId="25297E74" w:rsidR="00C70019" w:rsidRPr="00DD7697" w:rsidRDefault="00C70019" w:rsidP="00634104">
      <w:pPr>
        <w:spacing w:line="276" w:lineRule="auto"/>
        <w:jc w:val="both"/>
        <w:rPr>
          <w:rFonts w:cs="Arial"/>
          <w:color w:val="auto"/>
        </w:rPr>
      </w:pPr>
      <w:r w:rsidRPr="00DD7697">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DD7697">
        <w:rPr>
          <w:rFonts w:cs="Arial"/>
          <w:color w:val="auto"/>
        </w:rPr>
        <w:t>, are arguable, and</w:t>
      </w:r>
      <w:r w:rsidRPr="00DD7697">
        <w:rPr>
          <w:rFonts w:cs="Arial"/>
          <w:color w:val="auto"/>
        </w:rPr>
        <w:t xml:space="preserve"> fall within any one of the grounds will your appeal be referred to the Appeal Panel. </w:t>
      </w:r>
    </w:p>
    <w:p w14:paraId="146CF237" w14:textId="77777777" w:rsidR="00C70019" w:rsidRPr="00DD7697" w:rsidRDefault="00C70019" w:rsidP="00634104">
      <w:pPr>
        <w:spacing w:line="276" w:lineRule="auto"/>
        <w:jc w:val="both"/>
        <w:rPr>
          <w:rFonts w:cs="Arial"/>
          <w:color w:val="auto"/>
        </w:rPr>
      </w:pPr>
      <w:r w:rsidRPr="00DD7697">
        <w:rPr>
          <w:rFonts w:cs="Arial"/>
          <w:color w:val="auto"/>
        </w:rPr>
        <w:t xml:space="preserve">You </w:t>
      </w:r>
      <w:proofErr w:type="gramStart"/>
      <w:r w:rsidRPr="00DD7697">
        <w:rPr>
          <w:rFonts w:cs="Arial"/>
          <w:color w:val="auto"/>
        </w:rPr>
        <w:t>have the opportunity to</w:t>
      </w:r>
      <w:proofErr w:type="gramEnd"/>
      <w:r w:rsidRPr="00DD7697">
        <w:rPr>
          <w:rFonts w:cs="Arial"/>
          <w:color w:val="auto"/>
        </w:rPr>
        <w:t xml:space="preserve"> comment on this letter </w:t>
      </w:r>
      <w:proofErr w:type="gramStart"/>
      <w:r w:rsidRPr="00DD7697">
        <w:rPr>
          <w:rFonts w:cs="Arial"/>
          <w:color w:val="auto"/>
        </w:rPr>
        <w:t>in order to</w:t>
      </w:r>
      <w:proofErr w:type="gramEnd"/>
      <w:r w:rsidRPr="00DD7697">
        <w:rPr>
          <w:rFonts w:cs="Arial"/>
          <w:color w:val="auto"/>
        </w:rPr>
        <w:t xml:space="preserve"> elaborate on or clarify any of the points raised before I will make my final decision as to whether each appeal point should be referred on to the Appeal Panel. </w:t>
      </w:r>
    </w:p>
    <w:p w14:paraId="3294E8F2" w14:textId="77777777" w:rsidR="00C70019" w:rsidRPr="00DD7697" w:rsidRDefault="00C70019" w:rsidP="00634104">
      <w:pPr>
        <w:spacing w:line="276" w:lineRule="auto"/>
        <w:jc w:val="both"/>
        <w:rPr>
          <w:rFonts w:cs="Arial"/>
          <w:color w:val="auto"/>
          <w:u w:val="single"/>
        </w:rPr>
      </w:pPr>
      <w:r w:rsidRPr="00DD7697">
        <w:rPr>
          <w:rFonts w:cs="Arial"/>
          <w:color w:val="auto"/>
          <w:u w:val="single"/>
        </w:rPr>
        <w:t>Initial View</w:t>
      </w:r>
    </w:p>
    <w:p w14:paraId="15B951E6" w14:textId="4A8D7BE4" w:rsidR="00262058" w:rsidRDefault="00BB43EC" w:rsidP="00634104">
      <w:pPr>
        <w:spacing w:line="276" w:lineRule="auto"/>
        <w:jc w:val="both"/>
        <w:rPr>
          <w:rFonts w:cs="Arial"/>
          <w:color w:val="auto"/>
        </w:rPr>
      </w:pPr>
      <w:r w:rsidRPr="00DD7697">
        <w:rPr>
          <w:rFonts w:cs="Arial"/>
          <w:color w:val="auto"/>
        </w:rPr>
        <w:t>I</w:t>
      </w:r>
      <w:r w:rsidR="00C70019" w:rsidRPr="00DD7697">
        <w:rPr>
          <w:rFonts w:cs="Arial"/>
          <w:color w:val="auto"/>
        </w:rPr>
        <w:t xml:space="preserve"> assess each of your </w:t>
      </w:r>
      <w:r w:rsidR="00B36320" w:rsidRPr="00DD7697">
        <w:rPr>
          <w:rFonts w:cs="Arial"/>
          <w:color w:val="auto"/>
        </w:rPr>
        <w:t xml:space="preserve">points </w:t>
      </w:r>
      <w:r w:rsidR="00C70019" w:rsidRPr="00DD7697">
        <w:rPr>
          <w:rFonts w:cs="Arial"/>
          <w:color w:val="auto"/>
        </w:rPr>
        <w:t xml:space="preserve">in turn.  </w:t>
      </w:r>
    </w:p>
    <w:p w14:paraId="7ADCDE98" w14:textId="77777777" w:rsidR="00E87F1E" w:rsidRPr="00961369" w:rsidRDefault="00E87F1E" w:rsidP="00634104">
      <w:pPr>
        <w:spacing w:before="120" w:after="0" w:line="276" w:lineRule="auto"/>
        <w:rPr>
          <w:rFonts w:cs="Arial"/>
          <w:b/>
          <w:i/>
          <w:lang w:eastAsia="en-GB"/>
        </w:rPr>
      </w:pPr>
      <w:r w:rsidRPr="00961369">
        <w:rPr>
          <w:rFonts w:cs="Arial"/>
          <w:b/>
          <w:i/>
          <w:lang w:eastAsia="en-GB"/>
        </w:rPr>
        <w:lastRenderedPageBreak/>
        <w:t>Ground 1(a): In making the assessment that preceded the recommendation, NICE has failed to act fairly</w:t>
      </w:r>
    </w:p>
    <w:p w14:paraId="4DA05162" w14:textId="67A081ED" w:rsidR="00B11119" w:rsidRDefault="00B62869" w:rsidP="00634104">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.1</w:t>
      </w:r>
      <w:r w:rsidR="007A7F07">
        <w:rPr>
          <w:rFonts w:cs="Arial"/>
          <w:b/>
          <w:color w:val="auto"/>
          <w:u w:val="single"/>
        </w:rPr>
        <w:t xml:space="preserve">: </w:t>
      </w:r>
      <w:r w:rsidR="0089309B">
        <w:rPr>
          <w:rFonts w:cs="Arial"/>
          <w:b/>
          <w:color w:val="auto"/>
          <w:u w:val="single"/>
        </w:rPr>
        <w:t xml:space="preserve">It was procedurally unfair to have introduced a change of approach in the FDG as to how the Appraisal Committee considers efgartigimod in the treatment pathway at a very late stage without any explanation or opportunity to respond. </w:t>
      </w:r>
    </w:p>
    <w:p w14:paraId="3414EC27" w14:textId="7A7845DA" w:rsidR="00080F5C" w:rsidRDefault="009772AD" w:rsidP="00634104">
      <w:pPr>
        <w:pStyle w:val="BodyText"/>
        <w:spacing w:line="276" w:lineRule="auto"/>
        <w:jc w:val="both"/>
        <w:rPr>
          <w:rFonts w:cs="Arial"/>
          <w:color w:val="auto"/>
        </w:rPr>
      </w:pPr>
      <w:r>
        <w:rPr>
          <w:rFonts w:cs="Arial"/>
          <w:color w:val="auto"/>
        </w:rPr>
        <w:t xml:space="preserve">I understand your appeal point to be based on </w:t>
      </w:r>
      <w:r w:rsidR="00080F5C">
        <w:rPr>
          <w:rFonts w:cs="Arial"/>
          <w:color w:val="auto"/>
        </w:rPr>
        <w:t xml:space="preserve">a purported change of approach by the committee after ACM4 in relation to where it considered efgartigimod in the treatment pathway.  </w:t>
      </w:r>
    </w:p>
    <w:p w14:paraId="0C16A783" w14:textId="40A1917E" w:rsidR="00E87F1E" w:rsidRDefault="00080F5C" w:rsidP="00634104">
      <w:pPr>
        <w:pStyle w:val="BodyText"/>
        <w:spacing w:line="276" w:lineRule="auto"/>
        <w:jc w:val="both"/>
        <w:rPr>
          <w:rFonts w:cs="Arial"/>
          <w:color w:val="auto"/>
        </w:rPr>
      </w:pPr>
      <w:r>
        <w:rPr>
          <w:rFonts w:cs="Arial"/>
          <w:color w:val="auto"/>
        </w:rPr>
        <w:t>T</w:t>
      </w:r>
      <w:r w:rsidR="008D5DB6">
        <w:rPr>
          <w:rFonts w:cs="Arial"/>
          <w:color w:val="auto"/>
        </w:rPr>
        <w:t>he indication of efgartigimod considered by the panel remained consistently as "</w:t>
      </w:r>
      <w:r w:rsidR="008D5DB6" w:rsidRPr="008D5DB6">
        <w:rPr>
          <w:rFonts w:cs="Arial"/>
          <w:i/>
          <w:iCs/>
          <w:color w:val="auto"/>
        </w:rPr>
        <w:t>an add-on to standard therapy for the treatment of adult patients with generalised Myasthenia Gravis ("</w:t>
      </w:r>
      <w:proofErr w:type="spellStart"/>
      <w:r w:rsidR="008D5DB6" w:rsidRPr="008D5DB6">
        <w:rPr>
          <w:rFonts w:cs="Arial"/>
          <w:i/>
          <w:iCs/>
          <w:color w:val="auto"/>
        </w:rPr>
        <w:t>gMG</w:t>
      </w:r>
      <w:proofErr w:type="spellEnd"/>
      <w:r w:rsidR="008D5DB6" w:rsidRPr="008D5DB6">
        <w:rPr>
          <w:rFonts w:cs="Arial"/>
          <w:i/>
          <w:iCs/>
          <w:color w:val="auto"/>
        </w:rPr>
        <w:t>") who are anti-acetylcholine receptor (</w:t>
      </w:r>
      <w:proofErr w:type="spellStart"/>
      <w:r w:rsidR="008D5DB6" w:rsidRPr="008D5DB6">
        <w:rPr>
          <w:rFonts w:cs="Arial"/>
          <w:i/>
          <w:iCs/>
          <w:color w:val="auto"/>
        </w:rPr>
        <w:t>AChR</w:t>
      </w:r>
      <w:proofErr w:type="spellEnd"/>
      <w:r w:rsidR="008D5DB6" w:rsidRPr="008D5DB6">
        <w:rPr>
          <w:rFonts w:cs="Arial"/>
          <w:i/>
          <w:iCs/>
          <w:color w:val="auto"/>
        </w:rPr>
        <w:t>) antibody positive</w:t>
      </w:r>
      <w:r w:rsidR="008D5DB6">
        <w:rPr>
          <w:rFonts w:cs="Arial"/>
          <w:color w:val="auto"/>
        </w:rPr>
        <w:t xml:space="preserve">" in the First, Second and Final Draft Guidance. </w:t>
      </w:r>
    </w:p>
    <w:p w14:paraId="7A132A39" w14:textId="73276081" w:rsidR="0078490D" w:rsidRDefault="008D5DB6" w:rsidP="00634104">
      <w:pPr>
        <w:pStyle w:val="BodyText"/>
        <w:spacing w:line="276" w:lineRule="auto"/>
        <w:jc w:val="both"/>
        <w:rPr>
          <w:rFonts w:cs="Arial"/>
          <w:color w:val="auto"/>
        </w:rPr>
      </w:pPr>
      <w:r>
        <w:rPr>
          <w:rFonts w:cs="Arial"/>
          <w:color w:val="auto"/>
        </w:rPr>
        <w:t xml:space="preserve">The Company submitted (Figure 10 at page 40 of the </w:t>
      </w:r>
      <w:hyperlink r:id="rId12" w:history="1">
        <w:r w:rsidRPr="008D5DB6">
          <w:rPr>
            <w:rStyle w:val="Hyperlink"/>
            <w:rFonts w:cs="Arial"/>
          </w:rPr>
          <w:t>Committee Papers for ACM1</w:t>
        </w:r>
      </w:hyperlink>
      <w:r>
        <w:rPr>
          <w:rFonts w:cs="Arial"/>
          <w:color w:val="auto"/>
        </w:rPr>
        <w:t xml:space="preserve">) that efgartigimod be used as an add-on </w:t>
      </w:r>
      <w:r w:rsidRPr="00080F5C">
        <w:rPr>
          <w:rFonts w:cs="Arial"/>
          <w:b/>
          <w:bCs/>
          <w:color w:val="auto"/>
          <w:u w:val="single"/>
        </w:rPr>
        <w:t>or replacement</w:t>
      </w:r>
      <w:r>
        <w:rPr>
          <w:rFonts w:cs="Arial"/>
          <w:color w:val="auto"/>
        </w:rPr>
        <w:t xml:space="preserve"> to other treatments for those not responsive to </w:t>
      </w:r>
      <w:r w:rsidR="00B8052B">
        <w:rPr>
          <w:rFonts w:cs="Arial"/>
          <w:color w:val="auto"/>
        </w:rPr>
        <w:t xml:space="preserve">pyridostigmine and corticosteroids. </w:t>
      </w:r>
      <w:r w:rsidR="00080F5C">
        <w:rPr>
          <w:rFonts w:cs="Arial"/>
          <w:color w:val="auto"/>
        </w:rPr>
        <w:t>However, t</w:t>
      </w:r>
      <w:r w:rsidR="0078490D">
        <w:rPr>
          <w:rFonts w:cs="Arial"/>
          <w:color w:val="auto"/>
        </w:rPr>
        <w:t xml:space="preserve">he First, Second and Final Draft Guidance contain no substantive differences in respect of the Treatment / Target Population at paragraphs 3.3, 3.3 and 3.4 respectively which explain the proposed use of efgartigimod in the pathway. </w:t>
      </w:r>
      <w:r w:rsidR="00B8052B">
        <w:rPr>
          <w:rFonts w:cs="Arial"/>
          <w:color w:val="auto"/>
        </w:rPr>
        <w:t xml:space="preserve"> </w:t>
      </w:r>
    </w:p>
    <w:p w14:paraId="000A3F5D" w14:textId="2136D3BC" w:rsidR="0078490D" w:rsidRDefault="0078490D" w:rsidP="00634104">
      <w:pPr>
        <w:pStyle w:val="BodyText"/>
        <w:spacing w:line="276" w:lineRule="auto"/>
        <w:jc w:val="both"/>
        <w:rPr>
          <w:rFonts w:cs="Arial"/>
          <w:color w:val="auto"/>
        </w:rPr>
      </w:pPr>
      <w:r>
        <w:rPr>
          <w:rFonts w:cs="Arial"/>
          <w:color w:val="auto"/>
        </w:rPr>
        <w:t xml:space="preserve">Your letter asserts that it was procedurally unfair for the committee to have introduced a change </w:t>
      </w:r>
      <w:r w:rsidR="00F75344">
        <w:rPr>
          <w:rFonts w:cs="Arial"/>
          <w:color w:val="auto"/>
        </w:rPr>
        <w:t xml:space="preserve">of </w:t>
      </w:r>
      <w:r>
        <w:rPr>
          <w:rFonts w:cs="Arial"/>
          <w:color w:val="auto"/>
        </w:rPr>
        <w:t>approach in the FDG at a late stage. On the face of First, Second and Final Draft Guidance, there is no suggestion that the committee did change its view in relation to the positioning of efgarti</w:t>
      </w:r>
      <w:r w:rsidR="009772AD">
        <w:rPr>
          <w:rFonts w:cs="Arial"/>
          <w:color w:val="auto"/>
        </w:rPr>
        <w:t>gimod in the treatment pathway.</w:t>
      </w:r>
    </w:p>
    <w:p w14:paraId="67EFC027" w14:textId="5F2396BF" w:rsidR="009772AD" w:rsidRPr="0078490D" w:rsidRDefault="0045126F" w:rsidP="00634104">
      <w:pPr>
        <w:pStyle w:val="BodyText"/>
        <w:spacing w:line="276" w:lineRule="auto"/>
        <w:jc w:val="both"/>
        <w:rPr>
          <w:rFonts w:cs="Arial"/>
          <w:color w:val="auto"/>
        </w:rPr>
      </w:pPr>
      <w:r>
        <w:rPr>
          <w:rFonts w:cs="Arial"/>
          <w:color w:val="auto"/>
        </w:rPr>
        <w:t xml:space="preserve">On that basis, I am not currently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Panel.  However, </w:t>
      </w:r>
      <w:r w:rsidR="009772AD" w:rsidRPr="0045126F">
        <w:rPr>
          <w:rFonts w:cs="Arial"/>
          <w:color w:val="auto"/>
        </w:rPr>
        <w:t xml:space="preserve">I would welcome explanation by the Company of </w:t>
      </w:r>
      <w:r w:rsidR="009772AD" w:rsidRPr="0045126F">
        <w:rPr>
          <w:rFonts w:cs="Arial"/>
          <w:color w:val="auto"/>
          <w:u w:val="single"/>
        </w:rPr>
        <w:t>how</w:t>
      </w:r>
      <w:r w:rsidR="009772AD" w:rsidRPr="0045126F">
        <w:rPr>
          <w:rFonts w:cs="Arial"/>
          <w:color w:val="auto"/>
        </w:rPr>
        <w:t xml:space="preserve"> </w:t>
      </w:r>
      <w:r w:rsidR="00F577EE" w:rsidRPr="0045126F">
        <w:rPr>
          <w:rFonts w:cs="Arial"/>
          <w:color w:val="auto"/>
        </w:rPr>
        <w:t xml:space="preserve">it considers </w:t>
      </w:r>
      <w:r w:rsidR="009772AD" w:rsidRPr="0045126F">
        <w:rPr>
          <w:rFonts w:cs="Arial"/>
          <w:color w:val="auto"/>
        </w:rPr>
        <w:t>the committee changed its approach to the positioning of efgartigimod in the treatment pathway following ACM4</w:t>
      </w:r>
      <w:r>
        <w:rPr>
          <w:rFonts w:cs="Arial"/>
          <w:color w:val="auto"/>
        </w:rPr>
        <w:t>, by reference to the Committee's published materials.</w:t>
      </w:r>
    </w:p>
    <w:p w14:paraId="08F597D2" w14:textId="248F431A" w:rsidR="0089309B" w:rsidRDefault="0089309B" w:rsidP="00634104">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2: NICE's handling of the appraisal process relating to a Chair's offer and subsequent fourth Appraisal Committee Meeting was unfair.  </w:t>
      </w:r>
    </w:p>
    <w:p w14:paraId="17C8A9CD" w14:textId="6AED1BBF" w:rsidR="005F5253" w:rsidRDefault="005F5253" w:rsidP="00634104">
      <w:pPr>
        <w:pStyle w:val="BodyText"/>
        <w:spacing w:line="276" w:lineRule="auto"/>
        <w:jc w:val="both"/>
        <w:rPr>
          <w:rFonts w:cs="Arial"/>
          <w:color w:val="auto"/>
        </w:rPr>
      </w:pPr>
      <w:r>
        <w:rPr>
          <w:rFonts w:cs="Arial"/>
          <w:color w:val="auto"/>
        </w:rPr>
        <w:t>I understand this appeal point to comprise three separate points</w:t>
      </w:r>
      <w:r w:rsidR="00F1026C">
        <w:rPr>
          <w:rFonts w:cs="Arial"/>
          <w:color w:val="auto"/>
        </w:rPr>
        <w:t>, which I address in turn below</w:t>
      </w:r>
      <w:r>
        <w:rPr>
          <w:rFonts w:cs="Arial"/>
          <w:color w:val="auto"/>
        </w:rPr>
        <w:t xml:space="preserve">: </w:t>
      </w:r>
    </w:p>
    <w:p w14:paraId="2CDC7155" w14:textId="5FD221EC" w:rsidR="005F5253" w:rsidRPr="00F1026C" w:rsidRDefault="005F5253" w:rsidP="00634104">
      <w:pPr>
        <w:pStyle w:val="BodyText"/>
        <w:numPr>
          <w:ilvl w:val="0"/>
          <w:numId w:val="34"/>
        </w:numPr>
        <w:spacing w:line="276" w:lineRule="auto"/>
        <w:jc w:val="both"/>
        <w:rPr>
          <w:rFonts w:cs="Arial"/>
        </w:rPr>
      </w:pPr>
      <w:r>
        <w:rPr>
          <w:rFonts w:cs="Arial"/>
          <w:color w:val="auto"/>
        </w:rPr>
        <w:t xml:space="preserve">That it was </w:t>
      </w:r>
      <w:r w:rsidR="0045126F">
        <w:rPr>
          <w:rFonts w:cs="Arial"/>
          <w:color w:val="auto"/>
        </w:rPr>
        <w:t xml:space="preserve">procedurally </w:t>
      </w:r>
      <w:r>
        <w:rPr>
          <w:rFonts w:cs="Arial"/>
          <w:color w:val="auto"/>
        </w:rPr>
        <w:t xml:space="preserve">unfair for the committee to decide to hold a fourth committee meeting instead of publishing the FDG after the third committee meeting. </w:t>
      </w:r>
    </w:p>
    <w:p w14:paraId="44028140" w14:textId="74024BC0" w:rsidR="005725F0" w:rsidRDefault="00F1026C" w:rsidP="00696AD4">
      <w:pPr>
        <w:pStyle w:val="BodyText"/>
        <w:spacing w:line="276" w:lineRule="auto"/>
        <w:ind w:left="720"/>
        <w:jc w:val="both"/>
        <w:rPr>
          <w:rFonts w:cs="Arial"/>
          <w:color w:val="auto"/>
        </w:rPr>
      </w:pPr>
      <w:r>
        <w:rPr>
          <w:rFonts w:cs="Arial"/>
          <w:color w:val="auto"/>
        </w:rPr>
        <w:t xml:space="preserve">I am </w:t>
      </w:r>
      <w:r w:rsidR="00DA2FEC">
        <w:rPr>
          <w:rFonts w:cs="Arial"/>
          <w:color w:val="auto"/>
        </w:rPr>
        <w:t xml:space="preserve">provisionally </w:t>
      </w:r>
      <w:r>
        <w:rPr>
          <w:rFonts w:cs="Arial"/>
          <w:color w:val="auto"/>
        </w:rPr>
        <w:t xml:space="preserve">minded </w:t>
      </w:r>
      <w:proofErr w:type="gramStart"/>
      <w:r>
        <w:rPr>
          <w:rFonts w:cs="Arial"/>
          <w:color w:val="auto"/>
        </w:rPr>
        <w:t>to refer</w:t>
      </w:r>
      <w:proofErr w:type="gramEnd"/>
      <w:r>
        <w:rPr>
          <w:rFonts w:cs="Arial"/>
          <w:color w:val="auto"/>
        </w:rPr>
        <w:t xml:space="preserve"> this point to the appeal panel</w:t>
      </w:r>
      <w:r w:rsidR="005725F0">
        <w:rPr>
          <w:rFonts w:cs="Arial"/>
          <w:color w:val="auto"/>
        </w:rPr>
        <w:t>, subject to my request for clarification below</w:t>
      </w:r>
      <w:r w:rsidR="00DA2FEC">
        <w:rPr>
          <w:rFonts w:cs="Arial"/>
          <w:color w:val="auto"/>
        </w:rPr>
        <w:t xml:space="preserve">. </w:t>
      </w:r>
    </w:p>
    <w:p w14:paraId="2D88CA17" w14:textId="26039256" w:rsidR="005725F0" w:rsidRDefault="0098792D" w:rsidP="00696AD4">
      <w:pPr>
        <w:pStyle w:val="BodyText"/>
        <w:spacing w:line="276" w:lineRule="auto"/>
        <w:ind w:left="720"/>
        <w:jc w:val="both"/>
        <w:rPr>
          <w:rFonts w:cs="Arial"/>
          <w:color w:val="auto"/>
        </w:rPr>
      </w:pPr>
      <w:r>
        <w:rPr>
          <w:rFonts w:cs="Arial"/>
          <w:color w:val="auto"/>
        </w:rPr>
        <w:t>P</w:t>
      </w:r>
      <w:r w:rsidR="00DA2FEC">
        <w:rPr>
          <w:rFonts w:cs="Arial"/>
          <w:color w:val="auto"/>
        </w:rPr>
        <w:t xml:space="preserve">aragraphs 5.8.60 and 5.8.61 </w:t>
      </w:r>
      <w:r>
        <w:rPr>
          <w:rFonts w:cs="Arial"/>
          <w:color w:val="auto"/>
        </w:rPr>
        <w:t xml:space="preserve">of the Manual confer a discretion on the Committee as to </w:t>
      </w:r>
      <w:proofErr w:type="gramStart"/>
      <w:r>
        <w:rPr>
          <w:rFonts w:cs="Arial"/>
          <w:color w:val="auto"/>
        </w:rPr>
        <w:t>whether or not</w:t>
      </w:r>
      <w:proofErr w:type="gramEnd"/>
      <w:r>
        <w:rPr>
          <w:rFonts w:cs="Arial"/>
          <w:color w:val="auto"/>
        </w:rPr>
        <w:t xml:space="preserve"> to hold a further committee meeting following receipt of an </w:t>
      </w:r>
      <w:r w:rsidR="00DA2FEC">
        <w:rPr>
          <w:rFonts w:cs="Arial"/>
          <w:color w:val="auto"/>
        </w:rPr>
        <w:t>updated commercial offer or new analysis using the Committee's preferred assumptions</w:t>
      </w:r>
      <w:r w:rsidR="00DA2FEC" w:rsidRPr="008D5210">
        <w:rPr>
          <w:rFonts w:cs="Arial"/>
          <w:color w:val="auto"/>
        </w:rPr>
        <w:t>.</w:t>
      </w:r>
      <w:r w:rsidR="005725F0">
        <w:rPr>
          <w:rFonts w:cs="Arial"/>
          <w:color w:val="auto"/>
        </w:rPr>
        <w:t xml:space="preserve">  Given the above, I would not usually anticipate that a decision to hold a further committee meeting could arguably be said to be procedurally unfair.</w:t>
      </w:r>
      <w:r w:rsidR="00DA2FEC" w:rsidRPr="008D5210">
        <w:rPr>
          <w:rFonts w:cs="Arial"/>
          <w:color w:val="auto"/>
        </w:rPr>
        <w:t xml:space="preserve"> </w:t>
      </w:r>
    </w:p>
    <w:p w14:paraId="671BD29C" w14:textId="0A5C3C50" w:rsidR="00F1026C" w:rsidRPr="005F5253" w:rsidRDefault="005725F0" w:rsidP="00696AD4">
      <w:pPr>
        <w:pStyle w:val="BodyText"/>
        <w:spacing w:line="276" w:lineRule="auto"/>
        <w:ind w:left="720"/>
        <w:jc w:val="both"/>
        <w:rPr>
          <w:rFonts w:cs="Arial"/>
        </w:rPr>
      </w:pPr>
      <w:r>
        <w:rPr>
          <w:rFonts w:cs="Arial"/>
          <w:color w:val="auto"/>
        </w:rPr>
        <w:t>In this case, h</w:t>
      </w:r>
      <w:r w:rsidR="00DA2FEC" w:rsidRPr="008D5210">
        <w:rPr>
          <w:rFonts w:cs="Arial"/>
          <w:color w:val="auto"/>
        </w:rPr>
        <w:t xml:space="preserve">owever, I understand the Company's </w:t>
      </w:r>
      <w:r>
        <w:rPr>
          <w:rFonts w:cs="Arial"/>
          <w:color w:val="auto"/>
        </w:rPr>
        <w:t>position to be that it</w:t>
      </w:r>
      <w:r w:rsidR="00DA2FEC" w:rsidRPr="008D5210">
        <w:rPr>
          <w:rFonts w:cs="Arial"/>
          <w:color w:val="auto"/>
        </w:rPr>
        <w:t xml:space="preserve"> reli</w:t>
      </w:r>
      <w:r>
        <w:rPr>
          <w:rFonts w:cs="Arial"/>
          <w:color w:val="auto"/>
        </w:rPr>
        <w:t>ed</w:t>
      </w:r>
      <w:r w:rsidR="00DA2FEC" w:rsidRPr="008D5210">
        <w:rPr>
          <w:rFonts w:cs="Arial"/>
          <w:color w:val="auto"/>
        </w:rPr>
        <w:t xml:space="preserve"> on </w:t>
      </w:r>
      <w:r>
        <w:rPr>
          <w:rFonts w:cs="Arial"/>
          <w:color w:val="auto"/>
        </w:rPr>
        <w:t xml:space="preserve">a clear statement from the Committee </w:t>
      </w:r>
      <w:r w:rsidR="00DA2FEC" w:rsidRPr="008D5210">
        <w:rPr>
          <w:rFonts w:cs="Arial"/>
          <w:color w:val="auto"/>
        </w:rPr>
        <w:t xml:space="preserve">that it would </w:t>
      </w:r>
      <w:r w:rsidR="00DA2FEC" w:rsidRPr="005725F0">
        <w:rPr>
          <w:rFonts w:cs="Arial"/>
          <w:color w:val="auto"/>
          <w:u w:val="single"/>
        </w:rPr>
        <w:t>not</w:t>
      </w:r>
      <w:r w:rsidR="00DA2FEC" w:rsidRPr="008D5210">
        <w:rPr>
          <w:rFonts w:cs="Arial"/>
          <w:color w:val="auto"/>
        </w:rPr>
        <w:t xml:space="preserve"> convene a fourth committee meeting</w:t>
      </w:r>
      <w:r>
        <w:rPr>
          <w:rFonts w:cs="Arial"/>
          <w:color w:val="auto"/>
        </w:rPr>
        <w:t>, and that a fourth committee was subsequently convened without inviting any further input from the Company</w:t>
      </w:r>
      <w:r w:rsidR="00DA2FEC" w:rsidRPr="008D5210">
        <w:rPr>
          <w:rFonts w:cs="Arial"/>
          <w:color w:val="auto"/>
        </w:rPr>
        <w:t>.</w:t>
      </w:r>
      <w:r w:rsidR="00DA2FEC">
        <w:rPr>
          <w:rFonts w:cs="Arial"/>
          <w:color w:val="auto"/>
        </w:rPr>
        <w:t xml:space="preserve">  </w:t>
      </w:r>
      <w:r w:rsidR="00DA2FEC" w:rsidRPr="008D5210">
        <w:rPr>
          <w:rFonts w:cs="Arial"/>
          <w:color w:val="auto"/>
        </w:rPr>
        <w:t>I</w:t>
      </w:r>
      <w:r w:rsidR="00DA2FEC">
        <w:rPr>
          <w:rFonts w:cs="Arial"/>
          <w:color w:val="auto"/>
        </w:rPr>
        <w:t xml:space="preserve"> invite you to confirm whether </w:t>
      </w:r>
      <w:r>
        <w:rPr>
          <w:rFonts w:cs="Arial"/>
          <w:color w:val="auto"/>
        </w:rPr>
        <w:t xml:space="preserve">I have understood the Company's position </w:t>
      </w:r>
      <w:proofErr w:type="gramStart"/>
      <w:r>
        <w:rPr>
          <w:rFonts w:cs="Arial"/>
          <w:color w:val="auto"/>
        </w:rPr>
        <w:t>correctly</w:t>
      </w:r>
      <w:r w:rsidR="002E4087">
        <w:rPr>
          <w:rFonts w:cs="Arial"/>
          <w:color w:val="auto"/>
        </w:rPr>
        <w:t>, and</w:t>
      </w:r>
      <w:proofErr w:type="gramEnd"/>
      <w:r w:rsidR="002E4087">
        <w:rPr>
          <w:rFonts w:cs="Arial"/>
          <w:color w:val="auto"/>
        </w:rPr>
        <w:t xml:space="preserve"> confirm where and in what form that clear statement from the Committee was made to the Company. </w:t>
      </w:r>
    </w:p>
    <w:p w14:paraId="4A14ADF5" w14:textId="36E1E270" w:rsidR="005F5253" w:rsidRPr="00F1026C" w:rsidRDefault="005F5253" w:rsidP="00634104">
      <w:pPr>
        <w:pStyle w:val="BodyText"/>
        <w:numPr>
          <w:ilvl w:val="0"/>
          <w:numId w:val="34"/>
        </w:numPr>
        <w:spacing w:line="276" w:lineRule="auto"/>
        <w:jc w:val="both"/>
        <w:rPr>
          <w:rFonts w:cs="Arial"/>
        </w:rPr>
      </w:pPr>
      <w:r>
        <w:rPr>
          <w:rFonts w:cs="Arial"/>
          <w:color w:val="auto"/>
        </w:rPr>
        <w:lastRenderedPageBreak/>
        <w:t xml:space="preserve">That it was </w:t>
      </w:r>
      <w:r w:rsidR="0045126F">
        <w:rPr>
          <w:rFonts w:cs="Arial"/>
          <w:color w:val="auto"/>
        </w:rPr>
        <w:t xml:space="preserve">procedurally </w:t>
      </w:r>
      <w:r>
        <w:rPr>
          <w:rFonts w:cs="Arial"/>
          <w:color w:val="auto"/>
        </w:rPr>
        <w:t xml:space="preserve">unfair for the committee to change the fourth committee meeting from being a private committee meeting to being a public committee meeting. </w:t>
      </w:r>
    </w:p>
    <w:p w14:paraId="55423528" w14:textId="54CF5249" w:rsidR="005725F0" w:rsidRPr="005F5253" w:rsidRDefault="00F1026C" w:rsidP="00634104">
      <w:pPr>
        <w:pStyle w:val="BodyText"/>
        <w:spacing w:line="276" w:lineRule="auto"/>
        <w:ind w:left="720"/>
        <w:jc w:val="both"/>
        <w:rPr>
          <w:rFonts w:cs="Arial"/>
        </w:rPr>
      </w:pPr>
      <w:r>
        <w:rPr>
          <w:rFonts w:cs="Arial"/>
          <w:color w:val="auto"/>
        </w:rPr>
        <w:t xml:space="preserve">I am minded </w:t>
      </w:r>
      <w:proofErr w:type="gramStart"/>
      <w:r>
        <w:rPr>
          <w:rFonts w:cs="Arial"/>
          <w:color w:val="auto"/>
        </w:rPr>
        <w:t>to refer</w:t>
      </w:r>
      <w:proofErr w:type="gramEnd"/>
      <w:r>
        <w:rPr>
          <w:rFonts w:cs="Arial"/>
          <w:color w:val="auto"/>
        </w:rPr>
        <w:t xml:space="preserve"> this point to the appeal panel</w:t>
      </w:r>
      <w:r w:rsidR="0098792D">
        <w:rPr>
          <w:rFonts w:cs="Arial"/>
          <w:color w:val="auto"/>
        </w:rPr>
        <w:t>, which I anticipate the Panel may wish to consider together with the first point above</w:t>
      </w:r>
      <w:r w:rsidR="00C96C5F">
        <w:rPr>
          <w:rFonts w:cs="Arial"/>
          <w:color w:val="auto"/>
        </w:rPr>
        <w:t xml:space="preserve">. </w:t>
      </w:r>
    </w:p>
    <w:p w14:paraId="429C5667" w14:textId="2EAB3988" w:rsidR="005F5253" w:rsidRPr="00C96C5F" w:rsidRDefault="005F5253" w:rsidP="005725F0">
      <w:pPr>
        <w:pStyle w:val="BodyText"/>
        <w:numPr>
          <w:ilvl w:val="0"/>
          <w:numId w:val="34"/>
        </w:numPr>
        <w:spacing w:line="276" w:lineRule="auto"/>
        <w:jc w:val="both"/>
        <w:rPr>
          <w:rFonts w:cs="Arial"/>
        </w:rPr>
      </w:pPr>
      <w:r>
        <w:rPr>
          <w:rFonts w:cs="Arial"/>
          <w:color w:val="auto"/>
        </w:rPr>
        <w:t xml:space="preserve">That it was unfair for NICE to have refused to share the company's response to the EAG critique and updated analysis with the committee </w:t>
      </w:r>
      <w:proofErr w:type="gramStart"/>
      <w:r>
        <w:rPr>
          <w:rFonts w:cs="Arial"/>
          <w:color w:val="auto"/>
        </w:rPr>
        <w:t>on the basis of</w:t>
      </w:r>
      <w:proofErr w:type="gramEnd"/>
      <w:r>
        <w:rPr>
          <w:rFonts w:cs="Arial"/>
          <w:color w:val="auto"/>
        </w:rPr>
        <w:t xml:space="preserve"> there being insufficient time. </w:t>
      </w:r>
      <w:r w:rsidR="0089309B" w:rsidRPr="004D7379">
        <w:rPr>
          <w:rFonts w:cs="Arial"/>
          <w:color w:val="auto"/>
        </w:rPr>
        <w:t xml:space="preserve"> </w:t>
      </w:r>
    </w:p>
    <w:p w14:paraId="19934BE5" w14:textId="0A6D0AC4" w:rsidR="0045126F" w:rsidRDefault="0045126F" w:rsidP="00C96C5F">
      <w:pPr>
        <w:pStyle w:val="BodyText"/>
        <w:ind w:left="720"/>
        <w:jc w:val="both"/>
        <w:rPr>
          <w:rFonts w:cs="Arial"/>
          <w:color w:val="auto"/>
        </w:rPr>
      </w:pPr>
      <w:r>
        <w:rPr>
          <w:rFonts w:cs="Arial"/>
          <w:color w:val="auto"/>
        </w:rPr>
        <w:t xml:space="preserve">I am not currently minded </w:t>
      </w:r>
      <w:proofErr w:type="gramStart"/>
      <w:r>
        <w:rPr>
          <w:rFonts w:cs="Arial"/>
          <w:color w:val="auto"/>
        </w:rPr>
        <w:t>to refer</w:t>
      </w:r>
      <w:proofErr w:type="gramEnd"/>
      <w:r>
        <w:rPr>
          <w:rFonts w:cs="Arial"/>
          <w:color w:val="auto"/>
        </w:rPr>
        <w:t xml:space="preserve"> this point to the appeal panel, on the basis that the Committee may regulate its own procedure in accordance with the Manual and is entitled to (and indeed must) set and maintain a timetable for the process that ensures a timely conclusion.  I not</w:t>
      </w:r>
      <w:r w:rsidR="00F75344">
        <w:rPr>
          <w:rFonts w:cs="Arial"/>
          <w:color w:val="auto"/>
        </w:rPr>
        <w:t xml:space="preserve">e </w:t>
      </w:r>
      <w:r>
        <w:rPr>
          <w:rFonts w:cs="Arial"/>
          <w:color w:val="auto"/>
        </w:rPr>
        <w:t xml:space="preserve">that in this case in particular, the process was extended to include four committee meetings.  However, </w:t>
      </w:r>
      <w:proofErr w:type="gramStart"/>
      <w:r>
        <w:rPr>
          <w:rFonts w:cs="Arial"/>
          <w:color w:val="auto"/>
        </w:rPr>
        <w:t>i</w:t>
      </w:r>
      <w:r w:rsidR="00C96C5F">
        <w:rPr>
          <w:rFonts w:cs="Arial"/>
          <w:color w:val="auto"/>
        </w:rPr>
        <w:t>n order to</w:t>
      </w:r>
      <w:proofErr w:type="gramEnd"/>
      <w:r w:rsidR="00C96C5F">
        <w:rPr>
          <w:rFonts w:cs="Arial"/>
          <w:color w:val="auto"/>
        </w:rPr>
        <w:t xml:space="preserve"> understand </w:t>
      </w:r>
      <w:r>
        <w:rPr>
          <w:rFonts w:cs="Arial"/>
          <w:color w:val="auto"/>
        </w:rPr>
        <w:t xml:space="preserve">further </w:t>
      </w:r>
      <w:r w:rsidR="00C96C5F">
        <w:rPr>
          <w:rFonts w:cs="Arial"/>
          <w:color w:val="auto"/>
        </w:rPr>
        <w:t>whether this is a valid appeal point, please explain</w:t>
      </w:r>
      <w:r>
        <w:rPr>
          <w:rFonts w:cs="Arial"/>
          <w:color w:val="auto"/>
        </w:rPr>
        <w:t>:</w:t>
      </w:r>
    </w:p>
    <w:p w14:paraId="7920074C" w14:textId="20A68214" w:rsidR="0045126F" w:rsidRPr="00FD1F0A" w:rsidRDefault="0045126F" w:rsidP="00634104">
      <w:pPr>
        <w:pStyle w:val="BodyText"/>
        <w:numPr>
          <w:ilvl w:val="0"/>
          <w:numId w:val="36"/>
        </w:numPr>
        <w:spacing w:line="276" w:lineRule="auto"/>
        <w:jc w:val="both"/>
        <w:rPr>
          <w:rFonts w:cs="Arial"/>
        </w:rPr>
      </w:pPr>
      <w:r>
        <w:rPr>
          <w:rFonts w:cs="Arial"/>
          <w:color w:val="auto"/>
        </w:rPr>
        <w:t xml:space="preserve">Whether the Committee gave an indication in advance to the Company that further responses to the EAG critique would not be considered, and any reasons </w:t>
      </w:r>
      <w:proofErr w:type="gramStart"/>
      <w:r>
        <w:rPr>
          <w:rFonts w:cs="Arial"/>
          <w:color w:val="auto"/>
        </w:rPr>
        <w:t>given;</w:t>
      </w:r>
      <w:proofErr w:type="gramEnd"/>
    </w:p>
    <w:p w14:paraId="798BB3D2" w14:textId="6D578A41" w:rsidR="0045126F" w:rsidRPr="00FD1F0A" w:rsidRDefault="00C96C5F" w:rsidP="00634104">
      <w:pPr>
        <w:pStyle w:val="BodyText"/>
        <w:numPr>
          <w:ilvl w:val="0"/>
          <w:numId w:val="36"/>
        </w:numPr>
        <w:spacing w:line="276" w:lineRule="auto"/>
        <w:jc w:val="both"/>
        <w:rPr>
          <w:rFonts w:cs="Arial"/>
        </w:rPr>
      </w:pPr>
      <w:r>
        <w:rPr>
          <w:rFonts w:cs="Arial"/>
          <w:color w:val="auto"/>
        </w:rPr>
        <w:t>when the Company provided its response to the EAG critique and updated analysis to NICE ahead of the fourth committee meeting</w:t>
      </w:r>
      <w:r w:rsidR="0045126F">
        <w:rPr>
          <w:rFonts w:cs="Arial"/>
          <w:color w:val="auto"/>
        </w:rPr>
        <w:t>;</w:t>
      </w:r>
      <w:r>
        <w:rPr>
          <w:rFonts w:cs="Arial"/>
          <w:color w:val="auto"/>
        </w:rPr>
        <w:t xml:space="preserve"> and </w:t>
      </w:r>
    </w:p>
    <w:p w14:paraId="04E7DCCC" w14:textId="0A437C05" w:rsidR="00C96C5F" w:rsidRPr="005F5253" w:rsidRDefault="0045126F" w:rsidP="00634104">
      <w:pPr>
        <w:pStyle w:val="BodyText"/>
        <w:numPr>
          <w:ilvl w:val="0"/>
          <w:numId w:val="36"/>
        </w:numPr>
        <w:spacing w:line="276" w:lineRule="auto"/>
        <w:jc w:val="both"/>
        <w:rPr>
          <w:rFonts w:cs="Arial"/>
        </w:rPr>
      </w:pPr>
      <w:r>
        <w:rPr>
          <w:rFonts w:cs="Arial"/>
          <w:color w:val="auto"/>
        </w:rPr>
        <w:t>w</w:t>
      </w:r>
      <w:r w:rsidR="00C96C5F">
        <w:rPr>
          <w:rFonts w:cs="Arial"/>
          <w:color w:val="auto"/>
        </w:rPr>
        <w:t xml:space="preserve">hen </w:t>
      </w:r>
      <w:r>
        <w:rPr>
          <w:rFonts w:cs="Arial"/>
          <w:color w:val="auto"/>
        </w:rPr>
        <w:t>the Committee</w:t>
      </w:r>
      <w:r w:rsidR="00C96C5F">
        <w:rPr>
          <w:rFonts w:cs="Arial"/>
          <w:color w:val="auto"/>
        </w:rPr>
        <w:t xml:space="preserve"> informed </w:t>
      </w:r>
      <w:r>
        <w:rPr>
          <w:rFonts w:cs="Arial"/>
          <w:color w:val="auto"/>
        </w:rPr>
        <w:t xml:space="preserve">the Company </w:t>
      </w:r>
      <w:r w:rsidR="00C96C5F">
        <w:rPr>
          <w:rFonts w:cs="Arial"/>
          <w:color w:val="auto"/>
        </w:rPr>
        <w:t xml:space="preserve">that it would be unable to share this with the committee ahead of the fourth committee meeting. </w:t>
      </w:r>
    </w:p>
    <w:p w14:paraId="0D30C47F" w14:textId="5E188A4F" w:rsidR="0089309B" w:rsidRDefault="0089309B" w:rsidP="00634104">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3: The failure to provide draft guidance for consultation prior to the fourth Appraisal Committee meeting was unfair.  </w:t>
      </w:r>
    </w:p>
    <w:p w14:paraId="22EEF276" w14:textId="102A3B28" w:rsidR="0089309B" w:rsidRPr="00EB0C85" w:rsidRDefault="0089309B" w:rsidP="00634104">
      <w:pPr>
        <w:pStyle w:val="BodyText"/>
        <w:spacing w:line="276" w:lineRule="auto"/>
        <w:jc w:val="both"/>
        <w:rPr>
          <w:rFonts w:cs="Arial"/>
        </w:rPr>
      </w:pPr>
      <w:r w:rsidRPr="004D7379">
        <w:rPr>
          <w:rFonts w:cs="Arial"/>
          <w:color w:val="auto"/>
        </w:rPr>
        <w:t>I am not</w:t>
      </w:r>
      <w:r w:rsidRPr="00DD7697">
        <w:rPr>
          <w:rFonts w:cs="Arial"/>
          <w:color w:val="auto"/>
        </w:rPr>
        <w:t xml:space="preserve"> minded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w:t>
      </w:r>
      <w:r w:rsidR="00C96C5F">
        <w:rPr>
          <w:rFonts w:cs="Arial"/>
          <w:color w:val="auto"/>
        </w:rPr>
        <w:t xml:space="preserve"> appeal panel. </w:t>
      </w:r>
      <w:r>
        <w:rPr>
          <w:rFonts w:cs="Arial"/>
        </w:rPr>
        <w:t>That is becau</w:t>
      </w:r>
      <w:r w:rsidR="00C96C5F">
        <w:rPr>
          <w:rFonts w:cs="Arial"/>
        </w:rPr>
        <w:t xml:space="preserve">se </w:t>
      </w:r>
      <w:hyperlink r:id="rId13" w:history="1">
        <w:r w:rsidR="00C96C5F" w:rsidRPr="00C96C5F">
          <w:rPr>
            <w:rStyle w:val="Hyperlink"/>
            <w:rFonts w:cs="Arial"/>
          </w:rPr>
          <w:t>paragraph 5.8.1 of the Manual</w:t>
        </w:r>
      </w:hyperlink>
      <w:r w:rsidR="00C96C5F">
        <w:rPr>
          <w:rFonts w:cs="Arial"/>
        </w:rPr>
        <w:t xml:space="preserve"> </w:t>
      </w:r>
      <w:r w:rsidR="00EB0C85">
        <w:rPr>
          <w:rFonts w:cs="Arial"/>
        </w:rPr>
        <w:t xml:space="preserve">sets out the 4 </w:t>
      </w:r>
      <w:r w:rsidR="00EB0C85" w:rsidRPr="00EB0C85">
        <w:rPr>
          <w:rFonts w:cs="Arial"/>
        </w:rPr>
        <w:t>possible</w:t>
      </w:r>
      <w:r w:rsidR="00EB0C85">
        <w:rPr>
          <w:rFonts w:cs="Arial"/>
        </w:rPr>
        <w:t xml:space="preserve"> stages of the evaluation process. This includes "</w:t>
      </w:r>
      <w:r w:rsidR="00EB0C85">
        <w:rPr>
          <w:rFonts w:cs="Arial"/>
          <w:i/>
          <w:iCs/>
        </w:rPr>
        <w:t xml:space="preserve">development of, and consultation on, the draft guidance </w:t>
      </w:r>
      <w:r w:rsidR="00EB0C85" w:rsidRPr="00EB0C85">
        <w:rPr>
          <w:rFonts w:cs="Arial"/>
          <w:i/>
          <w:iCs/>
          <w:u w:val="single"/>
        </w:rPr>
        <w:t>(if needed)</w:t>
      </w:r>
      <w:r w:rsidR="00EB0C85">
        <w:rPr>
          <w:rFonts w:cs="Arial"/>
          <w:i/>
          <w:iCs/>
        </w:rPr>
        <w:t xml:space="preserve">" </w:t>
      </w:r>
      <w:r w:rsidR="00EB0C85">
        <w:rPr>
          <w:rFonts w:cs="Arial"/>
        </w:rPr>
        <w:t xml:space="preserve">(emphasis added). </w:t>
      </w:r>
    </w:p>
    <w:p w14:paraId="566DC76F" w14:textId="508BACED" w:rsidR="00EB0C85" w:rsidRDefault="00EB0C85" w:rsidP="00634104">
      <w:pPr>
        <w:pStyle w:val="BodyText"/>
        <w:spacing w:line="276" w:lineRule="auto"/>
        <w:jc w:val="both"/>
        <w:rPr>
          <w:rFonts w:cs="Arial"/>
        </w:rPr>
      </w:pPr>
      <w:r>
        <w:rPr>
          <w:rFonts w:cs="Arial"/>
        </w:rPr>
        <w:t xml:space="preserve">I am persuaded that during this evaluation, the committee afforded the stakeholders </w:t>
      </w:r>
      <w:r w:rsidR="0045126F">
        <w:rPr>
          <w:rFonts w:cs="Arial"/>
        </w:rPr>
        <w:t xml:space="preserve">adequate </w:t>
      </w:r>
      <w:r>
        <w:rPr>
          <w:rFonts w:cs="Arial"/>
        </w:rPr>
        <w:t xml:space="preserve">opportunity to participate in the formulation of and response to draft guidance. It is unusual for a Single Technology Appraisal to convene four committee meetings as part of its evaluation process. </w:t>
      </w:r>
      <w:r w:rsidR="0096250F">
        <w:rPr>
          <w:rFonts w:cs="Arial"/>
        </w:rPr>
        <w:t xml:space="preserve">Doing so allowed the committee meaningfully </w:t>
      </w:r>
      <w:r w:rsidR="009C220B">
        <w:rPr>
          <w:rFonts w:cs="Arial"/>
        </w:rPr>
        <w:t xml:space="preserve">to </w:t>
      </w:r>
      <w:proofErr w:type="gramStart"/>
      <w:r w:rsidR="0096250F">
        <w:rPr>
          <w:rFonts w:cs="Arial"/>
        </w:rPr>
        <w:t>take into account</w:t>
      </w:r>
      <w:proofErr w:type="gramEnd"/>
      <w:r w:rsidR="0096250F">
        <w:rPr>
          <w:rFonts w:cs="Arial"/>
        </w:rPr>
        <w:t xml:space="preserve"> stakeholders' input at various points throughout the evaluation process. </w:t>
      </w:r>
    </w:p>
    <w:p w14:paraId="152C4C44" w14:textId="4AECA67D" w:rsidR="00EB0C85" w:rsidRPr="00EB0C85" w:rsidRDefault="00EB0C85" w:rsidP="00634104">
      <w:pPr>
        <w:pStyle w:val="BodyText"/>
        <w:spacing w:line="276" w:lineRule="auto"/>
        <w:jc w:val="both"/>
        <w:rPr>
          <w:rFonts w:cs="Arial"/>
        </w:rPr>
      </w:pPr>
      <w:r>
        <w:rPr>
          <w:rFonts w:cs="Arial"/>
        </w:rPr>
        <w:t>You assert in your letter that failure to provide draft guidance for consultation "</w:t>
      </w:r>
      <w:r>
        <w:rPr>
          <w:rFonts w:cs="Arial"/>
          <w:i/>
          <w:iCs/>
        </w:rPr>
        <w:t xml:space="preserve">denied the company and all stakeholders a fair opportunity to make intelligent representations in advance of ACM4". </w:t>
      </w:r>
      <w:r>
        <w:rPr>
          <w:rFonts w:cs="Arial"/>
        </w:rPr>
        <w:t xml:space="preserve">I am persuaded that the two previous iterations of draft guidance for consultation (and subsequent committee meetings) afforded stakeholders a fair opportunity to make intelligent representations throughout the evaluation process. </w:t>
      </w:r>
    </w:p>
    <w:p w14:paraId="09C64DD2" w14:textId="4E62A7F5" w:rsidR="00EB0C85" w:rsidRDefault="00EB0C85" w:rsidP="00634104">
      <w:pPr>
        <w:pStyle w:val="BodyText"/>
        <w:spacing w:line="276" w:lineRule="auto"/>
        <w:jc w:val="both"/>
        <w:rPr>
          <w:rFonts w:cs="Arial"/>
        </w:rPr>
      </w:pPr>
      <w:r>
        <w:rPr>
          <w:rFonts w:cs="Arial"/>
        </w:rPr>
        <w:t xml:space="preserve">Because of the reasons above, I am not minded </w:t>
      </w:r>
      <w:proofErr w:type="gramStart"/>
      <w:r>
        <w:rPr>
          <w:rFonts w:cs="Arial"/>
        </w:rPr>
        <w:t>to refer</w:t>
      </w:r>
      <w:proofErr w:type="gramEnd"/>
      <w:r>
        <w:rPr>
          <w:rFonts w:cs="Arial"/>
        </w:rPr>
        <w:t xml:space="preserve"> this appeal </w:t>
      </w:r>
      <w:proofErr w:type="gramStart"/>
      <w:r>
        <w:rPr>
          <w:rFonts w:cs="Arial"/>
        </w:rPr>
        <w:t>point</w:t>
      </w:r>
      <w:proofErr w:type="gramEnd"/>
      <w:r>
        <w:rPr>
          <w:rFonts w:cs="Arial"/>
        </w:rPr>
        <w:t xml:space="preserve"> to the appeal panel. </w:t>
      </w:r>
    </w:p>
    <w:p w14:paraId="43D866CB" w14:textId="4D6BEC71" w:rsidR="0089309B" w:rsidRDefault="0089309B" w:rsidP="00634104">
      <w:pPr>
        <w:spacing w:before="240" w:after="240" w:line="276" w:lineRule="auto"/>
        <w:jc w:val="both"/>
        <w:rPr>
          <w:rFonts w:cs="Arial"/>
          <w:b/>
          <w:color w:val="auto"/>
          <w:u w:val="single"/>
        </w:rPr>
      </w:pPr>
      <w:r w:rsidRPr="00DD7697">
        <w:rPr>
          <w:rFonts w:cs="Arial"/>
          <w:b/>
          <w:color w:val="auto"/>
          <w:u w:val="single"/>
        </w:rPr>
        <w:t xml:space="preserve">Appeal </w:t>
      </w:r>
      <w:proofErr w:type="gramStart"/>
      <w:r w:rsidRPr="00DD7697">
        <w:rPr>
          <w:rFonts w:cs="Arial"/>
          <w:b/>
          <w:color w:val="auto"/>
          <w:u w:val="single"/>
        </w:rPr>
        <w:t>point</w:t>
      </w:r>
      <w:proofErr w:type="gramEnd"/>
      <w:r w:rsidRPr="00DD7697">
        <w:rPr>
          <w:rFonts w:cs="Arial"/>
          <w:b/>
          <w:color w:val="auto"/>
          <w:u w:val="single"/>
        </w:rPr>
        <w:t xml:space="preserve"> </w:t>
      </w:r>
      <w:r>
        <w:rPr>
          <w:rFonts w:cs="Arial"/>
          <w:b/>
          <w:color w:val="auto"/>
          <w:u w:val="single"/>
        </w:rPr>
        <w:t>1(a)</w:t>
      </w:r>
      <w:r w:rsidRPr="006F5822">
        <w:rPr>
          <w:rFonts w:cs="Arial"/>
          <w:b/>
          <w:color w:val="auto"/>
          <w:u w:val="single"/>
        </w:rPr>
        <w:t>.</w:t>
      </w:r>
      <w:r>
        <w:rPr>
          <w:rFonts w:cs="Arial"/>
          <w:b/>
          <w:color w:val="auto"/>
          <w:u w:val="single"/>
        </w:rPr>
        <w:t xml:space="preserve">4: The Appraisal Committee's approach to </w:t>
      </w:r>
      <w:proofErr w:type="gramStart"/>
      <w:r>
        <w:rPr>
          <w:rFonts w:cs="Arial"/>
          <w:b/>
          <w:color w:val="auto"/>
          <w:u w:val="single"/>
        </w:rPr>
        <w:t>a number of</w:t>
      </w:r>
      <w:proofErr w:type="gramEnd"/>
      <w:r>
        <w:rPr>
          <w:rFonts w:cs="Arial"/>
          <w:b/>
          <w:color w:val="auto"/>
          <w:u w:val="single"/>
        </w:rPr>
        <w:t xml:space="preserve"> points in this appraisal is inconsistent with the approach taken in the appraisal of </w:t>
      </w:r>
      <w:proofErr w:type="spellStart"/>
      <w:r>
        <w:rPr>
          <w:rFonts w:cs="Arial"/>
          <w:b/>
          <w:color w:val="auto"/>
          <w:u w:val="single"/>
        </w:rPr>
        <w:t>zilucoplan</w:t>
      </w:r>
      <w:proofErr w:type="spellEnd"/>
      <w:r>
        <w:rPr>
          <w:rFonts w:cs="Arial"/>
          <w:b/>
          <w:color w:val="auto"/>
          <w:u w:val="single"/>
        </w:rPr>
        <w:t xml:space="preserve"> for the same indication and thus unfair.  </w:t>
      </w:r>
    </w:p>
    <w:p w14:paraId="64B656D6" w14:textId="01BC9E5F" w:rsidR="00C638BF" w:rsidRDefault="0089309B" w:rsidP="00634104">
      <w:pPr>
        <w:pStyle w:val="BodyText"/>
        <w:spacing w:line="276" w:lineRule="auto"/>
        <w:jc w:val="both"/>
        <w:rPr>
          <w:rFonts w:cs="Arial"/>
          <w:color w:val="auto"/>
        </w:rPr>
      </w:pPr>
      <w:r w:rsidRPr="00DD7697">
        <w:rPr>
          <w:rFonts w:cs="Arial"/>
          <w:color w:val="auto"/>
        </w:rPr>
        <w:t xml:space="preserve">I </w:t>
      </w:r>
      <w:r w:rsidRPr="004D7379">
        <w:rPr>
          <w:rFonts w:cs="Arial"/>
          <w:color w:val="auto"/>
        </w:rPr>
        <w:t>am not 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Appeal Panel</w:t>
      </w:r>
      <w:r w:rsidR="0096250F">
        <w:rPr>
          <w:rFonts w:cs="Arial"/>
          <w:color w:val="auto"/>
        </w:rPr>
        <w:t>.</w:t>
      </w:r>
    </w:p>
    <w:p w14:paraId="73561B08" w14:textId="23A7EC67" w:rsidR="00D9223A" w:rsidRDefault="00D9223A" w:rsidP="00634104">
      <w:pPr>
        <w:pStyle w:val="BodyText"/>
        <w:spacing w:line="276" w:lineRule="auto"/>
        <w:jc w:val="both"/>
        <w:rPr>
          <w:rFonts w:cs="Arial"/>
          <w:color w:val="auto"/>
        </w:rPr>
      </w:pPr>
      <w:r>
        <w:rPr>
          <w:rFonts w:cs="Arial"/>
          <w:color w:val="auto"/>
        </w:rPr>
        <w:t>You state in your letter that "</w:t>
      </w:r>
      <w:r w:rsidRPr="00D9223A">
        <w:rPr>
          <w:rFonts w:cs="Arial"/>
          <w:i/>
          <w:iCs/>
          <w:color w:val="auto"/>
        </w:rPr>
        <w:t>Two different appraisal committees therefore should not arrive at very different conclusions on key points impacting the ICER in appraisals for the same indication, treatment, pathway and position in therapy. To do so without providing adequate reasons is procedurally unfair</w:t>
      </w:r>
      <w:r>
        <w:rPr>
          <w:rFonts w:cs="Arial"/>
          <w:color w:val="auto"/>
        </w:rPr>
        <w:t xml:space="preserve">". </w:t>
      </w:r>
    </w:p>
    <w:p w14:paraId="5926984A" w14:textId="1516FBA2" w:rsidR="001064B4" w:rsidRPr="001064B4" w:rsidRDefault="008159CD" w:rsidP="00634104">
      <w:pPr>
        <w:pStyle w:val="BodyText"/>
        <w:spacing w:line="276" w:lineRule="auto"/>
        <w:jc w:val="both"/>
        <w:rPr>
          <w:rFonts w:cs="Arial"/>
          <w:color w:val="auto"/>
        </w:rPr>
      </w:pPr>
      <w:r>
        <w:rPr>
          <w:rFonts w:cs="Arial"/>
          <w:color w:val="auto"/>
        </w:rPr>
        <w:lastRenderedPageBreak/>
        <w:t>The a</w:t>
      </w:r>
      <w:r w:rsidR="001064B4">
        <w:rPr>
          <w:rFonts w:cs="Arial"/>
          <w:color w:val="auto"/>
        </w:rPr>
        <w:t xml:space="preserve">ppraisal committee evaluating </w:t>
      </w:r>
      <w:proofErr w:type="spellStart"/>
      <w:r w:rsidR="001064B4">
        <w:rPr>
          <w:rFonts w:cs="Arial"/>
          <w:color w:val="auto"/>
        </w:rPr>
        <w:t>zilucoplan</w:t>
      </w:r>
      <w:proofErr w:type="spellEnd"/>
      <w:r w:rsidR="001064B4">
        <w:rPr>
          <w:rFonts w:cs="Arial"/>
          <w:color w:val="auto"/>
        </w:rPr>
        <w:t xml:space="preserve"> tor treating antibody-positive </w:t>
      </w:r>
      <w:proofErr w:type="spellStart"/>
      <w:r w:rsidR="001064B4">
        <w:rPr>
          <w:rFonts w:cs="Arial"/>
          <w:color w:val="auto"/>
        </w:rPr>
        <w:t>gMG</w:t>
      </w:r>
      <w:proofErr w:type="spellEnd"/>
      <w:r w:rsidR="001064B4">
        <w:rPr>
          <w:rFonts w:cs="Arial"/>
          <w:color w:val="auto"/>
        </w:rPr>
        <w:t xml:space="preserve"> ha</w:t>
      </w:r>
      <w:r>
        <w:rPr>
          <w:rFonts w:cs="Arial"/>
          <w:color w:val="auto"/>
        </w:rPr>
        <w:t>s</w:t>
      </w:r>
      <w:r w:rsidR="001064B4">
        <w:rPr>
          <w:rFonts w:cs="Arial"/>
          <w:color w:val="auto"/>
        </w:rPr>
        <w:t xml:space="preserve"> not yet produced a FDG for </w:t>
      </w:r>
      <w:proofErr w:type="spellStart"/>
      <w:r w:rsidR="001064B4">
        <w:rPr>
          <w:rFonts w:cs="Arial"/>
          <w:color w:val="auto"/>
        </w:rPr>
        <w:t>zilucoplan</w:t>
      </w:r>
      <w:proofErr w:type="spellEnd"/>
      <w:r w:rsidR="001064B4">
        <w:rPr>
          <w:rFonts w:cs="Arial"/>
          <w:color w:val="auto"/>
        </w:rPr>
        <w:t>, and so ha</w:t>
      </w:r>
      <w:r>
        <w:rPr>
          <w:rFonts w:cs="Arial"/>
          <w:color w:val="auto"/>
        </w:rPr>
        <w:t>s</w:t>
      </w:r>
      <w:r w:rsidR="001064B4">
        <w:rPr>
          <w:rFonts w:cs="Arial"/>
          <w:color w:val="auto"/>
        </w:rPr>
        <w:t xml:space="preserve"> not arrived at any conclusion</w:t>
      </w:r>
      <w:r>
        <w:rPr>
          <w:rFonts w:cs="Arial"/>
          <w:color w:val="auto"/>
        </w:rPr>
        <w:t>s</w:t>
      </w:r>
      <w:r w:rsidR="001064B4">
        <w:rPr>
          <w:rFonts w:cs="Arial"/>
          <w:color w:val="auto"/>
        </w:rPr>
        <w:t xml:space="preserve"> in respect of the</w:t>
      </w:r>
      <w:r w:rsidR="00F30A9D">
        <w:rPr>
          <w:rFonts w:cs="Arial"/>
          <w:color w:val="auto"/>
        </w:rPr>
        <w:t xml:space="preserve"> acceptable </w:t>
      </w:r>
      <w:r w:rsidR="001064B4">
        <w:rPr>
          <w:rFonts w:cs="Arial"/>
          <w:color w:val="auto"/>
        </w:rPr>
        <w:t xml:space="preserve">ICER for </w:t>
      </w:r>
      <w:proofErr w:type="spellStart"/>
      <w:r w:rsidR="001064B4">
        <w:rPr>
          <w:rFonts w:cs="Arial"/>
          <w:color w:val="auto"/>
        </w:rPr>
        <w:t>zilucoplan</w:t>
      </w:r>
      <w:proofErr w:type="spellEnd"/>
      <w:r w:rsidR="001064B4">
        <w:rPr>
          <w:rFonts w:cs="Arial"/>
          <w:color w:val="auto"/>
        </w:rPr>
        <w:t>.</w:t>
      </w:r>
      <w:r>
        <w:rPr>
          <w:rFonts w:cs="Arial"/>
          <w:color w:val="auto"/>
        </w:rPr>
        <w:t xml:space="preserve">  It is accordingly premature to say that any conclusions reached by the Committee in relation to efgartigimod are unfair on the specific basis of failure to meet any heightened duty to give reasons arising from the Committee reaching a different conclusion from another committee considering the same or an analogous issue.  It remains open to you to argue that the Committee's conclusions in this case are unreasonable (or indeed, unfair) on their own account. </w:t>
      </w:r>
    </w:p>
    <w:p w14:paraId="25FB955A" w14:textId="1792B647" w:rsidR="00B62869" w:rsidRPr="007A7F07" w:rsidRDefault="007A7F07" w:rsidP="00634104">
      <w:pPr>
        <w:spacing w:before="240" w:after="240" w:line="276" w:lineRule="auto"/>
        <w:jc w:val="both"/>
        <w:rPr>
          <w:rFonts w:cs="Arial"/>
          <w:b/>
          <w:i/>
          <w:color w:val="auto"/>
        </w:rPr>
      </w:pPr>
      <w:r>
        <w:rPr>
          <w:rFonts w:cs="Arial"/>
          <w:b/>
          <w:i/>
          <w:color w:val="auto"/>
        </w:rPr>
        <w:t>G</w:t>
      </w:r>
      <w:r w:rsidR="00491045" w:rsidRPr="00E87F1E">
        <w:rPr>
          <w:rFonts w:cs="Arial"/>
          <w:b/>
          <w:i/>
          <w:color w:val="auto"/>
        </w:rPr>
        <w:t xml:space="preserve">round 2: </w:t>
      </w:r>
      <w:r w:rsidR="00B62869" w:rsidRPr="00E87F1E">
        <w:rPr>
          <w:rFonts w:cs="Arial"/>
          <w:b/>
          <w:i/>
          <w:color w:val="auto"/>
        </w:rPr>
        <w:t>the recommendation is unreasonable in the light of the evidence submitted to NIC</w:t>
      </w:r>
      <w:r w:rsidR="00997016">
        <w:rPr>
          <w:rFonts w:cs="Arial"/>
          <w:b/>
          <w:i/>
          <w:color w:val="auto"/>
        </w:rPr>
        <w:t>E</w:t>
      </w:r>
    </w:p>
    <w:p w14:paraId="41564A14" w14:textId="760E08AF" w:rsidR="00491045" w:rsidRPr="007A7F07" w:rsidRDefault="00B62869" w:rsidP="00634104">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2.1: </w:t>
      </w:r>
      <w:r w:rsidR="0089309B">
        <w:rPr>
          <w:rFonts w:cs="Arial"/>
          <w:b/>
          <w:sz w:val="20"/>
          <w:szCs w:val="20"/>
          <w:u w:val="single"/>
        </w:rPr>
        <w:t xml:space="preserve">The Appraisal Committee's conclusion that efgartigimod is only an additional treatment in the existing treatment pathway is unreasonable. </w:t>
      </w:r>
    </w:p>
    <w:p w14:paraId="2AC7D2F6" w14:textId="2BCB7DFB" w:rsidR="00623213" w:rsidRDefault="00491045" w:rsidP="00634104">
      <w:pPr>
        <w:pStyle w:val="BodyText"/>
        <w:spacing w:line="276" w:lineRule="auto"/>
        <w:jc w:val="both"/>
        <w:rPr>
          <w:rFonts w:cs="Arial"/>
          <w:color w:val="auto"/>
        </w:rPr>
      </w:pPr>
      <w:r w:rsidRPr="004D7379">
        <w:rPr>
          <w:rFonts w:cs="Arial"/>
          <w:color w:val="auto"/>
        </w:rPr>
        <w:t>I am</w:t>
      </w:r>
      <w:r w:rsidR="004D7379" w:rsidRPr="004D7379">
        <w:rPr>
          <w:rFonts w:cs="Arial"/>
          <w:color w:val="auto"/>
        </w:rPr>
        <w:t xml:space="preserve"> </w:t>
      </w:r>
      <w:r w:rsidRPr="004D7379">
        <w:rPr>
          <w:rFonts w:cs="Arial"/>
          <w:color w:val="auto"/>
        </w:rPr>
        <w:t>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w:t>
      </w:r>
      <w:r w:rsidR="00F51BE9">
        <w:rPr>
          <w:rFonts w:cs="Arial"/>
          <w:color w:val="auto"/>
        </w:rPr>
        <w:t>a</w:t>
      </w:r>
      <w:r w:rsidRPr="00DD7697">
        <w:rPr>
          <w:rFonts w:cs="Arial"/>
          <w:color w:val="auto"/>
        </w:rPr>
        <w:t xml:space="preserve">ppeal </w:t>
      </w:r>
      <w:r w:rsidR="00F51BE9">
        <w:rPr>
          <w:rFonts w:cs="Arial"/>
          <w:color w:val="auto"/>
        </w:rPr>
        <w:t>p</w:t>
      </w:r>
      <w:r w:rsidRPr="00DD7697">
        <w:rPr>
          <w:rFonts w:cs="Arial"/>
          <w:color w:val="auto"/>
        </w:rPr>
        <w:t>anel</w:t>
      </w:r>
      <w:r w:rsidR="00E9460F">
        <w:rPr>
          <w:rFonts w:cs="Arial"/>
          <w:color w:val="auto"/>
        </w:rPr>
        <w:t>.</w:t>
      </w:r>
    </w:p>
    <w:p w14:paraId="4744CEED" w14:textId="59E0ECE3" w:rsidR="009648EB" w:rsidRDefault="009648EB" w:rsidP="00634104">
      <w:pPr>
        <w:pStyle w:val="BodyText"/>
        <w:spacing w:line="276" w:lineRule="auto"/>
        <w:jc w:val="both"/>
        <w:rPr>
          <w:rFonts w:cs="Arial"/>
          <w:color w:val="auto"/>
        </w:rPr>
      </w:pPr>
      <w:r>
        <w:rPr>
          <w:rFonts w:cs="Arial"/>
          <w:color w:val="auto"/>
        </w:rPr>
        <w:t>I note that your letter explains that the Company's target population was narrowed in response to the First Draft Guidance and the appraisal committee's request. The FDG provides that "</w:t>
      </w:r>
      <w:r w:rsidRPr="009648EB">
        <w:rPr>
          <w:rFonts w:cs="Arial"/>
          <w:i/>
          <w:iCs/>
          <w:color w:val="auto"/>
        </w:rPr>
        <w:t xml:space="preserve">the committee concluded that the company's target population description broadly </w:t>
      </w:r>
      <w:proofErr w:type="gramStart"/>
      <w:r w:rsidRPr="009648EB">
        <w:rPr>
          <w:rFonts w:cs="Arial"/>
          <w:i/>
          <w:iCs/>
          <w:color w:val="auto"/>
        </w:rPr>
        <w:t>describe</w:t>
      </w:r>
      <w:proofErr w:type="gramEnd"/>
      <w:r w:rsidRPr="009648EB">
        <w:rPr>
          <w:rFonts w:cs="Arial"/>
          <w:i/>
          <w:iCs/>
          <w:color w:val="auto"/>
        </w:rPr>
        <w:t xml:space="preserve"> the most suitable population to have </w:t>
      </w:r>
      <w:r w:rsidRPr="009648EB">
        <w:rPr>
          <w:rFonts w:cs="Arial"/>
          <w:i/>
          <w:iCs/>
          <w:color w:val="auto"/>
          <w:u w:val="single"/>
        </w:rPr>
        <w:t>add-on treatment</w:t>
      </w:r>
      <w:r w:rsidRPr="009648EB">
        <w:rPr>
          <w:rFonts w:cs="Arial"/>
          <w:i/>
          <w:iCs/>
          <w:color w:val="auto"/>
        </w:rPr>
        <w:t xml:space="preserve"> with efgartigimod</w:t>
      </w:r>
      <w:r>
        <w:rPr>
          <w:rFonts w:cs="Arial"/>
          <w:color w:val="auto"/>
        </w:rPr>
        <w:t>" (emphasis added) before going on to conclude that "</w:t>
      </w:r>
      <w:r>
        <w:rPr>
          <w:rFonts w:cs="Arial"/>
          <w:i/>
          <w:iCs/>
          <w:color w:val="auto"/>
        </w:rPr>
        <w:t>it would evaluate efgartigimod in the population proposed by the company"</w:t>
      </w:r>
      <w:r>
        <w:rPr>
          <w:rFonts w:cs="Arial"/>
          <w:color w:val="auto"/>
        </w:rPr>
        <w:t>.</w:t>
      </w:r>
    </w:p>
    <w:p w14:paraId="1931AEC6" w14:textId="7887B873" w:rsidR="009648EB" w:rsidRDefault="009648EB" w:rsidP="00634104">
      <w:pPr>
        <w:pStyle w:val="BodyText"/>
        <w:spacing w:line="276" w:lineRule="auto"/>
        <w:jc w:val="both"/>
        <w:rPr>
          <w:rFonts w:cs="Arial"/>
          <w:color w:val="auto"/>
        </w:rPr>
      </w:pPr>
      <w:r>
        <w:rPr>
          <w:rFonts w:cs="Arial"/>
          <w:color w:val="auto"/>
        </w:rPr>
        <w:t xml:space="preserve">The Company may wish to explain whether the target population was amended again </w:t>
      </w:r>
      <w:proofErr w:type="gramStart"/>
      <w:r>
        <w:rPr>
          <w:rFonts w:cs="Arial"/>
          <w:color w:val="auto"/>
        </w:rPr>
        <w:t>in light of</w:t>
      </w:r>
      <w:proofErr w:type="gramEnd"/>
      <w:r>
        <w:rPr>
          <w:rFonts w:cs="Arial"/>
          <w:color w:val="auto"/>
        </w:rPr>
        <w:t xml:space="preserve"> any subsequent draft guidance and/or committee meeting. </w:t>
      </w:r>
      <w:r w:rsidR="00F51BE9">
        <w:rPr>
          <w:rFonts w:cs="Arial"/>
          <w:color w:val="auto"/>
        </w:rPr>
        <w:t>The Company may also consider providing detail of the impact on the ICER of treating efgartigimod as an additional treatment in the existing treatment pathway rather as an alternative.</w:t>
      </w:r>
    </w:p>
    <w:p w14:paraId="4CB540D4" w14:textId="5CA4DCA0" w:rsidR="009648EB" w:rsidRDefault="00997016" w:rsidP="00634104">
      <w:pPr>
        <w:pStyle w:val="BodyText"/>
        <w:spacing w:line="276" w:lineRule="auto"/>
        <w:jc w:val="both"/>
        <w:rPr>
          <w:rFonts w:cs="Arial"/>
        </w:rPr>
      </w:pPr>
      <w:r>
        <w:rPr>
          <w:rFonts w:cs="Arial"/>
          <w:color w:val="auto"/>
        </w:rPr>
        <w:t>I anticipate that t</w:t>
      </w:r>
      <w:r w:rsidR="00F51BE9">
        <w:rPr>
          <w:rFonts w:cs="Arial"/>
          <w:color w:val="auto"/>
        </w:rPr>
        <w:t xml:space="preserve">he appeal panel </w:t>
      </w:r>
      <w:r>
        <w:rPr>
          <w:rFonts w:cs="Arial"/>
          <w:color w:val="auto"/>
        </w:rPr>
        <w:t xml:space="preserve">will </w:t>
      </w:r>
      <w:r w:rsidR="00F51BE9">
        <w:rPr>
          <w:rFonts w:cs="Arial"/>
          <w:color w:val="auto"/>
        </w:rPr>
        <w:t>wish to explore</w:t>
      </w:r>
      <w:r>
        <w:rPr>
          <w:rFonts w:cs="Arial"/>
          <w:color w:val="auto"/>
        </w:rPr>
        <w:t xml:space="preserve"> in particular the statement in your letter that "</w:t>
      </w:r>
      <w:r>
        <w:rPr>
          <w:rFonts w:cs="Arial"/>
          <w:i/>
          <w:iCs/>
          <w:color w:val="auto"/>
        </w:rPr>
        <w:t>It is inconsistent and unreasonable for the Appraisal Committee to confirm acceptance of the company's proposed population but at the same time conclude in the FDG that efgartigimod is only for use in addition to maintenance IVIg and plasma exchange, which is inconsistent with the proposed population.</w:t>
      </w:r>
      <w:r>
        <w:rPr>
          <w:rFonts w:cs="Arial"/>
          <w:color w:val="auto"/>
        </w:rPr>
        <w:t>"</w:t>
      </w:r>
    </w:p>
    <w:p w14:paraId="5E985F4E" w14:textId="78D6FEC3" w:rsidR="0089309B" w:rsidRPr="007A7F07" w:rsidRDefault="0089309B" w:rsidP="00634104">
      <w:pPr>
        <w:pStyle w:val="Paragraph"/>
        <w:numPr>
          <w:ilvl w:val="0"/>
          <w:numId w:val="0"/>
        </w:numPr>
        <w:jc w:val="both"/>
        <w:rPr>
          <w:rFonts w:cs="Arial"/>
          <w:b/>
          <w:u w:val="single"/>
        </w:rPr>
      </w:pPr>
      <w:r w:rsidRPr="007A7F07">
        <w:rPr>
          <w:rFonts w:cs="Arial"/>
          <w:b/>
          <w:sz w:val="20"/>
          <w:szCs w:val="20"/>
          <w:u w:val="single"/>
        </w:rPr>
        <w:t xml:space="preserve">Appeal </w:t>
      </w:r>
      <w:proofErr w:type="gramStart"/>
      <w:r w:rsidRPr="007A7F07">
        <w:rPr>
          <w:rFonts w:cs="Arial"/>
          <w:b/>
          <w:sz w:val="20"/>
          <w:szCs w:val="20"/>
          <w:u w:val="single"/>
        </w:rPr>
        <w:t>point</w:t>
      </w:r>
      <w:proofErr w:type="gramEnd"/>
      <w:r w:rsidRPr="007A7F07">
        <w:rPr>
          <w:rFonts w:cs="Arial"/>
          <w:b/>
          <w:sz w:val="20"/>
          <w:szCs w:val="20"/>
          <w:u w:val="single"/>
        </w:rPr>
        <w:t xml:space="preserve"> 2.</w:t>
      </w:r>
      <w:r>
        <w:rPr>
          <w:rFonts w:cs="Arial"/>
          <w:b/>
          <w:sz w:val="20"/>
          <w:szCs w:val="20"/>
          <w:u w:val="single"/>
        </w:rPr>
        <w:t>2</w:t>
      </w:r>
      <w:r w:rsidRPr="007A7F07">
        <w:rPr>
          <w:rFonts w:cs="Arial"/>
          <w:b/>
          <w:sz w:val="20"/>
          <w:szCs w:val="20"/>
          <w:u w:val="single"/>
        </w:rPr>
        <w:t xml:space="preserve">: </w:t>
      </w:r>
      <w:r>
        <w:rPr>
          <w:rFonts w:cs="Arial"/>
          <w:b/>
          <w:sz w:val="20"/>
          <w:szCs w:val="20"/>
          <w:u w:val="single"/>
        </w:rPr>
        <w:t xml:space="preserve">The Appraisal Committee's conclusion that plasma exchange should be excluded from modelling of the treatment pathway despite being an established part of usual treatment is unreasonable. </w:t>
      </w:r>
    </w:p>
    <w:p w14:paraId="61D6341B" w14:textId="528BDDC7" w:rsidR="00696AD4" w:rsidRDefault="0089309B" w:rsidP="00634104">
      <w:pPr>
        <w:pStyle w:val="BodyText"/>
        <w:spacing w:line="276" w:lineRule="auto"/>
        <w:jc w:val="both"/>
        <w:rPr>
          <w:rFonts w:cs="Arial"/>
          <w:color w:val="auto"/>
        </w:rPr>
      </w:pPr>
      <w:r w:rsidRPr="004D7379">
        <w:rPr>
          <w:rFonts w:cs="Arial"/>
          <w:color w:val="auto"/>
        </w:rPr>
        <w:t>I am</w:t>
      </w:r>
      <w:r w:rsidR="004D7379" w:rsidRPr="004D7379">
        <w:rPr>
          <w:rFonts w:cs="Arial"/>
          <w:color w:val="auto"/>
        </w:rPr>
        <w:t xml:space="preserve"> </w:t>
      </w:r>
      <w:r w:rsidRPr="004D7379">
        <w:rPr>
          <w:rFonts w:cs="Arial"/>
          <w:color w:val="auto"/>
        </w:rPr>
        <w:t>minded</w:t>
      </w:r>
      <w:r w:rsidRPr="00DD7697">
        <w:rPr>
          <w:rFonts w:cs="Arial"/>
          <w:color w:val="auto"/>
        </w:rPr>
        <w:t xml:space="preserve"> </w:t>
      </w:r>
      <w:proofErr w:type="gramStart"/>
      <w:r w:rsidRPr="00DD7697">
        <w:rPr>
          <w:rFonts w:cs="Arial"/>
          <w:color w:val="auto"/>
        </w:rPr>
        <w:t>to refer</w:t>
      </w:r>
      <w:proofErr w:type="gramEnd"/>
      <w:r w:rsidRPr="00DD7697">
        <w:rPr>
          <w:rFonts w:cs="Arial"/>
          <w:color w:val="auto"/>
        </w:rPr>
        <w:t xml:space="preserve"> this appeal </w:t>
      </w:r>
      <w:proofErr w:type="gramStart"/>
      <w:r w:rsidRPr="00DD7697">
        <w:rPr>
          <w:rFonts w:cs="Arial"/>
          <w:color w:val="auto"/>
        </w:rPr>
        <w:t>point</w:t>
      </w:r>
      <w:proofErr w:type="gramEnd"/>
      <w:r w:rsidRPr="00DD7697">
        <w:rPr>
          <w:rFonts w:cs="Arial"/>
          <w:color w:val="auto"/>
        </w:rPr>
        <w:t xml:space="preserve"> to the </w:t>
      </w:r>
      <w:r w:rsidR="00F51BE9">
        <w:rPr>
          <w:rFonts w:cs="Arial"/>
          <w:color w:val="auto"/>
        </w:rPr>
        <w:t>a</w:t>
      </w:r>
      <w:r w:rsidRPr="00DD7697">
        <w:rPr>
          <w:rFonts w:cs="Arial"/>
          <w:color w:val="auto"/>
        </w:rPr>
        <w:t xml:space="preserve">ppeal </w:t>
      </w:r>
      <w:r w:rsidR="00F51BE9">
        <w:rPr>
          <w:rFonts w:cs="Arial"/>
          <w:color w:val="auto"/>
        </w:rPr>
        <w:t>p</w:t>
      </w:r>
      <w:r w:rsidRPr="00DD7697">
        <w:rPr>
          <w:rFonts w:cs="Arial"/>
          <w:color w:val="auto"/>
        </w:rPr>
        <w:t>anel</w:t>
      </w:r>
      <w:r w:rsidR="005725F0">
        <w:rPr>
          <w:rFonts w:cs="Arial"/>
          <w:color w:val="auto"/>
        </w:rPr>
        <w:t>.</w:t>
      </w:r>
      <w:r w:rsidR="00696AD4">
        <w:rPr>
          <w:rFonts w:cs="Arial"/>
          <w:color w:val="auto"/>
        </w:rPr>
        <w:t xml:space="preserve"> </w:t>
      </w:r>
    </w:p>
    <w:p w14:paraId="7D911E85" w14:textId="36341673" w:rsidR="00C931BD" w:rsidRDefault="00696AD4" w:rsidP="00634104">
      <w:pPr>
        <w:pStyle w:val="BodyText"/>
        <w:spacing w:line="276" w:lineRule="auto"/>
        <w:jc w:val="both"/>
        <w:rPr>
          <w:rFonts w:cs="Arial"/>
          <w:color w:val="auto"/>
        </w:rPr>
      </w:pPr>
      <w:r>
        <w:rPr>
          <w:rFonts w:cs="Arial"/>
          <w:color w:val="auto"/>
        </w:rPr>
        <w:t xml:space="preserve">I note that the Committee's exclusion of plasma exchange from the modelling of the treatment pathway leaves IVIg </w:t>
      </w:r>
      <w:r w:rsidR="00C931BD">
        <w:rPr>
          <w:rFonts w:cs="Arial"/>
          <w:color w:val="auto"/>
        </w:rPr>
        <w:t xml:space="preserve">as the only option </w:t>
      </w:r>
      <w:r>
        <w:rPr>
          <w:rFonts w:cs="Arial"/>
          <w:color w:val="auto"/>
        </w:rPr>
        <w:t xml:space="preserve">post-discontinuation of efgartigimod. </w:t>
      </w:r>
      <w:r w:rsidR="0098792D">
        <w:rPr>
          <w:rFonts w:cs="Arial"/>
          <w:color w:val="auto"/>
        </w:rPr>
        <w:t>I understand t</w:t>
      </w:r>
      <w:r>
        <w:rPr>
          <w:rFonts w:cs="Arial"/>
          <w:color w:val="auto"/>
        </w:rPr>
        <w:t>h</w:t>
      </w:r>
      <w:r w:rsidR="005725F0">
        <w:rPr>
          <w:rFonts w:cs="Arial"/>
          <w:color w:val="auto"/>
        </w:rPr>
        <w:t xml:space="preserve">e Company's position </w:t>
      </w:r>
      <w:r w:rsidR="0098792D">
        <w:rPr>
          <w:rFonts w:cs="Arial"/>
          <w:color w:val="auto"/>
        </w:rPr>
        <w:t>to be</w:t>
      </w:r>
      <w:r w:rsidR="005725F0">
        <w:rPr>
          <w:rFonts w:cs="Arial"/>
          <w:color w:val="auto"/>
        </w:rPr>
        <w:t xml:space="preserve"> that th</w:t>
      </w:r>
      <w:r>
        <w:rPr>
          <w:rFonts w:cs="Arial"/>
          <w:color w:val="auto"/>
        </w:rPr>
        <w:t>is has a material impact on the ICER</w:t>
      </w:r>
      <w:r w:rsidR="00C931BD">
        <w:rPr>
          <w:rFonts w:cs="Arial"/>
          <w:color w:val="auto"/>
        </w:rPr>
        <w:t>, was not</w:t>
      </w:r>
      <w:r>
        <w:rPr>
          <w:rFonts w:cs="Arial"/>
          <w:color w:val="auto"/>
        </w:rPr>
        <w:t xml:space="preserve"> supported by clinical expert input in the fourth committee meeting</w:t>
      </w:r>
      <w:r w:rsidR="00C931BD">
        <w:rPr>
          <w:rFonts w:cs="Arial"/>
          <w:color w:val="auto"/>
        </w:rPr>
        <w:t xml:space="preserve"> and </w:t>
      </w:r>
      <w:r w:rsidR="0098792D">
        <w:rPr>
          <w:rFonts w:cs="Arial"/>
          <w:color w:val="auto"/>
        </w:rPr>
        <w:t xml:space="preserve">is </w:t>
      </w:r>
      <w:r w:rsidR="00C931BD">
        <w:rPr>
          <w:rFonts w:cs="Arial"/>
          <w:color w:val="auto"/>
        </w:rPr>
        <w:t>not supported by real-world clinical practice in England.</w:t>
      </w:r>
      <w:r w:rsidR="005725F0">
        <w:rPr>
          <w:rFonts w:cs="Arial"/>
          <w:color w:val="auto"/>
        </w:rPr>
        <w:t xml:space="preserve"> </w:t>
      </w:r>
    </w:p>
    <w:p w14:paraId="4FE92F34" w14:textId="52FD722A" w:rsidR="009648EB" w:rsidRDefault="00696AD4" w:rsidP="00634104">
      <w:pPr>
        <w:pStyle w:val="BodyText"/>
        <w:spacing w:line="276" w:lineRule="auto"/>
        <w:jc w:val="both"/>
        <w:rPr>
          <w:rFonts w:cs="Arial"/>
          <w:color w:val="auto"/>
        </w:rPr>
      </w:pPr>
      <w:r>
        <w:rPr>
          <w:rFonts w:cs="Arial"/>
          <w:color w:val="auto"/>
        </w:rPr>
        <w:t xml:space="preserve">For those reasons, I am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14:paraId="7EFDE207" w14:textId="77777777" w:rsidR="00926089" w:rsidRPr="00EB4AA1" w:rsidRDefault="00926089" w:rsidP="00634104">
      <w:pPr>
        <w:pStyle w:val="Paragraph"/>
        <w:numPr>
          <w:ilvl w:val="0"/>
          <w:numId w:val="0"/>
        </w:numPr>
        <w:jc w:val="both"/>
        <w:rPr>
          <w:rFonts w:cs="Arial"/>
          <w:b/>
          <w:u w:val="single"/>
        </w:rPr>
      </w:pPr>
      <w:r w:rsidRPr="00EB4AA1">
        <w:rPr>
          <w:rFonts w:cs="Arial"/>
          <w:b/>
          <w:sz w:val="20"/>
          <w:szCs w:val="20"/>
          <w:u w:val="single"/>
        </w:rPr>
        <w:t xml:space="preserve">Appeal </w:t>
      </w:r>
      <w:proofErr w:type="gramStart"/>
      <w:r w:rsidRPr="00EB4AA1">
        <w:rPr>
          <w:rFonts w:cs="Arial"/>
          <w:b/>
          <w:sz w:val="20"/>
          <w:szCs w:val="20"/>
          <w:u w:val="single"/>
        </w:rPr>
        <w:t>point</w:t>
      </w:r>
      <w:proofErr w:type="gramEnd"/>
      <w:r w:rsidRPr="00EB4AA1">
        <w:rPr>
          <w:rFonts w:cs="Arial"/>
          <w:b/>
          <w:sz w:val="20"/>
          <w:szCs w:val="20"/>
          <w:u w:val="single"/>
        </w:rPr>
        <w:t xml:space="preserve"> 2.3: The Appraisal Committee's conclusion to disconnect the source of assumptions for efficacy and dosing and use separate sources is unreasonable.  </w:t>
      </w:r>
    </w:p>
    <w:p w14:paraId="6CD5156F" w14:textId="751CC966" w:rsidR="00926089" w:rsidRDefault="00926089" w:rsidP="00634104">
      <w:pPr>
        <w:pStyle w:val="BodyText"/>
        <w:spacing w:line="276" w:lineRule="auto"/>
        <w:rPr>
          <w:rFonts w:cs="Arial"/>
        </w:rPr>
      </w:pPr>
      <w:r>
        <w:rPr>
          <w:rFonts w:cs="Arial"/>
        </w:rPr>
        <w:t xml:space="preserve">In summary, I understand your appeal point to be that the Committee's </w:t>
      </w:r>
      <w:r w:rsidR="0098792D">
        <w:rPr>
          <w:rFonts w:cs="Arial"/>
        </w:rPr>
        <w:t xml:space="preserve">decision </w:t>
      </w:r>
      <w:r>
        <w:rPr>
          <w:rFonts w:cs="Arial"/>
        </w:rPr>
        <w:t xml:space="preserve">to base its conclusions regarding efficacy on ADAPT data and its conclusions regarding dosing on EAMS data was not justified, unreasonable and has had a material impact on the ICER. </w:t>
      </w:r>
    </w:p>
    <w:p w14:paraId="45A43CEF" w14:textId="77777777" w:rsidR="00926089" w:rsidRDefault="00926089" w:rsidP="00634104">
      <w:pPr>
        <w:pStyle w:val="BodyText"/>
        <w:spacing w:line="276" w:lineRule="auto"/>
        <w:rPr>
          <w:rFonts w:cs="Arial"/>
        </w:rPr>
      </w:pPr>
      <w:r>
        <w:rPr>
          <w:rFonts w:cs="Arial"/>
        </w:rPr>
        <w:lastRenderedPageBreak/>
        <w:t xml:space="preserve">In considering this appeal point, I note that the Committee has given a detailed explanation in the FDG of the factors that it has </w:t>
      </w:r>
      <w:proofErr w:type="gramStart"/>
      <w:r>
        <w:rPr>
          <w:rFonts w:cs="Arial"/>
        </w:rPr>
        <w:t>taken into account</w:t>
      </w:r>
      <w:proofErr w:type="gramEnd"/>
      <w:r>
        <w:rPr>
          <w:rFonts w:cs="Arial"/>
        </w:rPr>
        <w:t xml:space="preserve"> in concluding that the dosing of efgartigimod should be based on EAMS data. </w:t>
      </w:r>
    </w:p>
    <w:p w14:paraId="48C26F2C" w14:textId="77777777" w:rsidR="00926089" w:rsidRDefault="00926089" w:rsidP="00634104">
      <w:pPr>
        <w:pStyle w:val="BodyText"/>
        <w:spacing w:line="276" w:lineRule="auto"/>
        <w:rPr>
          <w:rFonts w:cs="Arial"/>
        </w:rPr>
      </w:pPr>
      <w:r w:rsidRPr="00EB4AA1">
        <w:rPr>
          <w:rFonts w:cs="Arial"/>
        </w:rPr>
        <w:t xml:space="preserve">I am </w:t>
      </w:r>
      <w:r>
        <w:rPr>
          <w:rFonts w:cs="Arial"/>
        </w:rPr>
        <w:t xml:space="preserve">provisionally </w:t>
      </w:r>
      <w:r w:rsidRPr="00EB4AA1">
        <w:rPr>
          <w:rFonts w:cs="Arial"/>
        </w:rPr>
        <w:t xml:space="preserve">minded </w:t>
      </w:r>
      <w:proofErr w:type="gramStart"/>
      <w:r w:rsidRPr="00EB4AA1">
        <w:rPr>
          <w:rFonts w:cs="Arial"/>
        </w:rPr>
        <w:t>to refer</w:t>
      </w:r>
      <w:proofErr w:type="gramEnd"/>
      <w:r w:rsidRPr="00EB4AA1">
        <w:rPr>
          <w:rFonts w:cs="Arial"/>
        </w:rPr>
        <w:t xml:space="preserve"> this appeal </w:t>
      </w:r>
      <w:proofErr w:type="gramStart"/>
      <w:r w:rsidRPr="00EB4AA1">
        <w:rPr>
          <w:rFonts w:cs="Arial"/>
        </w:rPr>
        <w:t>point</w:t>
      </w:r>
      <w:proofErr w:type="gramEnd"/>
      <w:r w:rsidRPr="00EB4AA1">
        <w:rPr>
          <w:rFonts w:cs="Arial"/>
        </w:rPr>
        <w:t xml:space="preserve"> to the </w:t>
      </w:r>
      <w:r>
        <w:rPr>
          <w:rFonts w:cs="Arial"/>
        </w:rPr>
        <w:t>Appeal P</w:t>
      </w:r>
      <w:r w:rsidRPr="00EB4AA1">
        <w:rPr>
          <w:rFonts w:cs="Arial"/>
        </w:rPr>
        <w:t>anel</w:t>
      </w:r>
      <w:r>
        <w:rPr>
          <w:rFonts w:cs="Arial"/>
        </w:rPr>
        <w:t xml:space="preserve">. </w:t>
      </w:r>
      <w:proofErr w:type="gramStart"/>
      <w:r>
        <w:rPr>
          <w:rFonts w:cs="Arial"/>
        </w:rPr>
        <w:t>However</w:t>
      </w:r>
      <w:proofErr w:type="gramEnd"/>
      <w:r>
        <w:rPr>
          <w:rFonts w:cs="Arial"/>
        </w:rPr>
        <w:t xml:space="preserve"> </w:t>
      </w:r>
      <w:proofErr w:type="gramStart"/>
      <w:r>
        <w:rPr>
          <w:rFonts w:cs="Arial"/>
        </w:rPr>
        <w:t>in order to</w:t>
      </w:r>
      <w:proofErr w:type="gramEnd"/>
      <w:r>
        <w:rPr>
          <w:rFonts w:cs="Arial"/>
        </w:rPr>
        <w:t xml:space="preserve"> assess properly whether the Committee's decision to disconnect the source of assumptions for efficacy and dosing was unreasonable, the Company should explain: </w:t>
      </w:r>
    </w:p>
    <w:p w14:paraId="662FB65C" w14:textId="77777777" w:rsidR="00926089" w:rsidRDefault="00926089" w:rsidP="00634104">
      <w:pPr>
        <w:pStyle w:val="BodyText"/>
        <w:widowControl w:val="0"/>
        <w:numPr>
          <w:ilvl w:val="0"/>
          <w:numId w:val="38"/>
        </w:numPr>
        <w:spacing w:after="120" w:line="276" w:lineRule="auto"/>
        <w:jc w:val="both"/>
        <w:rPr>
          <w:rFonts w:cs="Arial"/>
        </w:rPr>
      </w:pPr>
      <w:r>
        <w:rPr>
          <w:rFonts w:cs="Arial"/>
        </w:rPr>
        <w:t>Why it considers that the only reasonable course for the Committee to take was to base dosing and efficacy on the same data source, rather than disconnect the sources in circumstances where the evidence suggests that the dosing schedule in EAMS was more generalisable to the population in NHS practice, and</w:t>
      </w:r>
    </w:p>
    <w:p w14:paraId="4F73DD49" w14:textId="0780951A" w:rsidR="00926089" w:rsidRPr="002C4736" w:rsidRDefault="00926089" w:rsidP="00634104">
      <w:pPr>
        <w:pStyle w:val="BodyText"/>
        <w:widowControl w:val="0"/>
        <w:numPr>
          <w:ilvl w:val="0"/>
          <w:numId w:val="38"/>
        </w:numPr>
        <w:spacing w:after="120" w:line="276" w:lineRule="auto"/>
        <w:jc w:val="both"/>
        <w:rPr>
          <w:rFonts w:cs="Arial"/>
        </w:rPr>
      </w:pPr>
      <w:r>
        <w:rPr>
          <w:rFonts w:cs="Arial"/>
        </w:rPr>
        <w:t xml:space="preserve">Its understanding of the impact of the EAMS population having a significantly higher MG-ADL baseline score on dosing and consequently the ICER. </w:t>
      </w:r>
    </w:p>
    <w:p w14:paraId="2AFD08A5" w14:textId="77777777" w:rsidR="00926089" w:rsidRPr="00EB4AA1" w:rsidRDefault="00926089" w:rsidP="00634104">
      <w:pPr>
        <w:pStyle w:val="Paragraph"/>
        <w:numPr>
          <w:ilvl w:val="0"/>
          <w:numId w:val="0"/>
        </w:numPr>
        <w:jc w:val="both"/>
        <w:rPr>
          <w:rFonts w:cs="Arial"/>
          <w:b/>
          <w:sz w:val="20"/>
          <w:szCs w:val="20"/>
          <w:u w:val="single"/>
        </w:rPr>
      </w:pPr>
      <w:r w:rsidRPr="00EB4AA1">
        <w:rPr>
          <w:rFonts w:cs="Arial"/>
          <w:b/>
          <w:sz w:val="20"/>
          <w:szCs w:val="20"/>
          <w:u w:val="single"/>
        </w:rPr>
        <w:t xml:space="preserve">Appeal </w:t>
      </w:r>
      <w:proofErr w:type="gramStart"/>
      <w:r w:rsidRPr="00EB4AA1">
        <w:rPr>
          <w:rFonts w:cs="Arial"/>
          <w:b/>
          <w:sz w:val="20"/>
          <w:szCs w:val="20"/>
          <w:u w:val="single"/>
        </w:rPr>
        <w:t>point</w:t>
      </w:r>
      <w:proofErr w:type="gramEnd"/>
      <w:r w:rsidRPr="00EB4AA1">
        <w:rPr>
          <w:rFonts w:cs="Arial"/>
          <w:b/>
          <w:sz w:val="20"/>
          <w:szCs w:val="20"/>
          <w:u w:val="single"/>
        </w:rPr>
        <w:t xml:space="preserve"> 2.4:  The Appraisal Committee's conclusion to disregard data provided on time on treatment for maintenance IVIg and instead apply the time on treatment of efgartigimod to maintenance IVIg without any explanation or supporting evidence is unreasonable.  </w:t>
      </w:r>
    </w:p>
    <w:p w14:paraId="48417496" w14:textId="77777777" w:rsidR="00926089" w:rsidRDefault="00926089" w:rsidP="00634104">
      <w:pPr>
        <w:pStyle w:val="BodyText"/>
        <w:spacing w:line="276" w:lineRule="auto"/>
        <w:rPr>
          <w:rFonts w:cs="Arial"/>
        </w:rPr>
      </w:pPr>
      <w:r w:rsidRPr="00EB4AA1">
        <w:rPr>
          <w:rFonts w:cs="Arial"/>
        </w:rPr>
        <w:t xml:space="preserve">I am not minded </w:t>
      </w:r>
      <w:proofErr w:type="gramStart"/>
      <w:r w:rsidRPr="00EB4AA1">
        <w:rPr>
          <w:rFonts w:cs="Arial"/>
        </w:rPr>
        <w:t>to refer</w:t>
      </w:r>
      <w:proofErr w:type="gramEnd"/>
      <w:r w:rsidRPr="00EB4AA1">
        <w:rPr>
          <w:rFonts w:cs="Arial"/>
        </w:rPr>
        <w:t xml:space="preserve"> this appeal </w:t>
      </w:r>
      <w:proofErr w:type="gramStart"/>
      <w:r w:rsidRPr="00EB4AA1">
        <w:rPr>
          <w:rFonts w:cs="Arial"/>
        </w:rPr>
        <w:t>point</w:t>
      </w:r>
      <w:proofErr w:type="gramEnd"/>
      <w:r w:rsidRPr="00EB4AA1">
        <w:rPr>
          <w:rFonts w:cs="Arial"/>
        </w:rPr>
        <w:t xml:space="preserve"> to the </w:t>
      </w:r>
      <w:r>
        <w:rPr>
          <w:rFonts w:cs="Arial"/>
        </w:rPr>
        <w:t>A</w:t>
      </w:r>
      <w:r w:rsidRPr="00EB4AA1">
        <w:rPr>
          <w:rFonts w:cs="Arial"/>
        </w:rPr>
        <w:t xml:space="preserve">ppeal </w:t>
      </w:r>
      <w:r>
        <w:rPr>
          <w:rFonts w:cs="Arial"/>
        </w:rPr>
        <w:t>P</w:t>
      </w:r>
      <w:r w:rsidRPr="00EB4AA1">
        <w:rPr>
          <w:rFonts w:cs="Arial"/>
        </w:rPr>
        <w:t xml:space="preserve">anel.  </w:t>
      </w:r>
      <w:r>
        <w:rPr>
          <w:rFonts w:cs="Arial"/>
        </w:rPr>
        <w:t xml:space="preserve">This is because I consider the committee has adequately explained its reasoning and the sources of evidence that it has </w:t>
      </w:r>
      <w:proofErr w:type="gramStart"/>
      <w:r>
        <w:rPr>
          <w:rFonts w:cs="Arial"/>
        </w:rPr>
        <w:t>taken into account</w:t>
      </w:r>
      <w:proofErr w:type="gramEnd"/>
      <w:r>
        <w:rPr>
          <w:rFonts w:cs="Arial"/>
        </w:rPr>
        <w:t xml:space="preserve"> in reaching this conclusion in the FDG, and it is not arguable that the conclusions cannot reasonably be justified from the evidence considered. At paragraph 3.8 of the FDG, </w:t>
      </w:r>
    </w:p>
    <w:p w14:paraId="122285BF" w14:textId="77777777" w:rsidR="00926089" w:rsidRDefault="00926089" w:rsidP="00634104">
      <w:pPr>
        <w:pStyle w:val="BodyText"/>
        <w:widowControl w:val="0"/>
        <w:numPr>
          <w:ilvl w:val="0"/>
          <w:numId w:val="37"/>
        </w:numPr>
        <w:spacing w:after="120" w:line="276" w:lineRule="auto"/>
        <w:jc w:val="both"/>
        <w:rPr>
          <w:rFonts w:cs="Arial"/>
        </w:rPr>
      </w:pPr>
      <w:r>
        <w:rPr>
          <w:rFonts w:cs="Arial"/>
        </w:rPr>
        <w:t xml:space="preserve">the committee explain that the clinical experts explained that they would expect time on treatment for IVIg and efgartigimod to be similar, </w:t>
      </w:r>
    </w:p>
    <w:p w14:paraId="5171AF67" w14:textId="77777777" w:rsidR="00926089" w:rsidRDefault="00926089" w:rsidP="00634104">
      <w:pPr>
        <w:pStyle w:val="BodyText"/>
        <w:widowControl w:val="0"/>
        <w:numPr>
          <w:ilvl w:val="0"/>
          <w:numId w:val="37"/>
        </w:numPr>
        <w:spacing w:after="120" w:line="276" w:lineRule="auto"/>
        <w:jc w:val="both"/>
        <w:rPr>
          <w:rFonts w:cs="Arial"/>
        </w:rPr>
      </w:pPr>
      <w:r>
        <w:rPr>
          <w:rFonts w:cs="Arial"/>
        </w:rPr>
        <w:t xml:space="preserve">the committee considered that the statements from the clinical and patient experts also suggested that the Company's analysis including censoring was implausible, </w:t>
      </w:r>
    </w:p>
    <w:p w14:paraId="1162D30B" w14:textId="77777777" w:rsidR="00926089" w:rsidRDefault="00926089" w:rsidP="00634104">
      <w:pPr>
        <w:pStyle w:val="BodyText"/>
        <w:widowControl w:val="0"/>
        <w:numPr>
          <w:ilvl w:val="0"/>
          <w:numId w:val="37"/>
        </w:numPr>
        <w:spacing w:after="120" w:line="276" w:lineRule="auto"/>
        <w:jc w:val="both"/>
        <w:rPr>
          <w:rFonts w:cs="Arial"/>
        </w:rPr>
      </w:pPr>
      <w:r>
        <w:rPr>
          <w:rFonts w:cs="Arial"/>
        </w:rPr>
        <w:t xml:space="preserve">the committee considered that IVIg inputs in the model had a substantial impact on cost-effectiveness, which created very high uncertainty in the cost-effectiveness results. </w:t>
      </w:r>
    </w:p>
    <w:p w14:paraId="1747118F" w14:textId="77777777" w:rsidR="00926089" w:rsidRDefault="00926089" w:rsidP="00634104">
      <w:pPr>
        <w:pStyle w:val="BodyText"/>
        <w:spacing w:line="276" w:lineRule="auto"/>
        <w:rPr>
          <w:rFonts w:cs="Arial"/>
        </w:rPr>
      </w:pPr>
      <w:r>
        <w:rPr>
          <w:rFonts w:cs="Arial"/>
        </w:rPr>
        <w:t xml:space="preserve">As set out at </w:t>
      </w:r>
      <w:hyperlink r:id="rId14" w:history="1">
        <w:r w:rsidRPr="0062316E">
          <w:rPr>
            <w:rStyle w:val="Hyperlink"/>
            <w:rFonts w:cs="Arial"/>
          </w:rPr>
          <w:t>paragraph 6.2.7 of the Manual</w:t>
        </w:r>
      </w:hyperlink>
      <w:r>
        <w:rPr>
          <w:rFonts w:cs="Arial"/>
        </w:rPr>
        <w:t xml:space="preserve">, the Committee's decisions on clinical effectiveness take into account the uncertainty generated by the evidence and differences between the evidence submitted for regulatory approval and that relating to effectiveness in clinical practice. </w:t>
      </w:r>
    </w:p>
    <w:p w14:paraId="1C795625" w14:textId="77777777" w:rsidR="00926089" w:rsidRDefault="00926089" w:rsidP="00634104">
      <w:pPr>
        <w:pStyle w:val="BodyText"/>
        <w:spacing w:line="276" w:lineRule="auto"/>
        <w:rPr>
          <w:rFonts w:cs="Arial"/>
        </w:rPr>
      </w:pPr>
      <w:r>
        <w:rPr>
          <w:rFonts w:cs="Arial"/>
        </w:rPr>
        <w:t xml:space="preserve">I am persuaded that it was not arguably unreasonable for the Committee to disregard data provided on time on treatment for maintenance IVIg for three reasons. </w:t>
      </w:r>
    </w:p>
    <w:p w14:paraId="75EA8FF2" w14:textId="77777777" w:rsidR="00926089" w:rsidRDefault="00926089" w:rsidP="00634104">
      <w:pPr>
        <w:pStyle w:val="BodyText"/>
        <w:spacing w:line="276" w:lineRule="auto"/>
        <w:rPr>
          <w:rFonts w:cs="Arial"/>
        </w:rPr>
      </w:pPr>
      <w:r>
        <w:rPr>
          <w:rFonts w:cs="Arial"/>
        </w:rPr>
        <w:t xml:space="preserve">First, it was reasonable under the provisions of the Manual for the Committee to give weight to the high uncertainty in the cost-effectiveness results created by the IVIg inputs in the model. </w:t>
      </w:r>
    </w:p>
    <w:p w14:paraId="42A13432" w14:textId="77777777" w:rsidR="00926089" w:rsidRDefault="00926089" w:rsidP="00634104">
      <w:pPr>
        <w:pStyle w:val="BodyText"/>
        <w:spacing w:line="276" w:lineRule="auto"/>
        <w:rPr>
          <w:rFonts w:cs="Arial"/>
        </w:rPr>
      </w:pPr>
      <w:r>
        <w:rPr>
          <w:rFonts w:cs="Arial"/>
        </w:rPr>
        <w:t xml:space="preserve">Secondly, the analysis produced by the Company for the fourth Committee meeting which extrapolated time on treatment for IVIg from the efgartigimod data resulted in a time on treatment for IVIg that was significantly longer than for efgartigimod. This analysis necessarily relied on censoring the people who stopped with an MG-ADL score less than 5 – which was (a) considered by clinical and patient experts to be implausible; and (b) had a high impact on the ICER. </w:t>
      </w:r>
    </w:p>
    <w:p w14:paraId="3D5C309D" w14:textId="77777777" w:rsidR="00926089" w:rsidRDefault="00926089" w:rsidP="00634104">
      <w:pPr>
        <w:pStyle w:val="BodyText"/>
        <w:spacing w:line="276" w:lineRule="auto"/>
        <w:rPr>
          <w:rFonts w:cs="Arial"/>
        </w:rPr>
      </w:pPr>
      <w:r>
        <w:rPr>
          <w:rFonts w:cs="Arial"/>
        </w:rPr>
        <w:t xml:space="preserve">Thirdly, the EAG considered that evidence for IVIg time on treatment to be poor. </w:t>
      </w:r>
    </w:p>
    <w:p w14:paraId="14C1D7B2" w14:textId="77777777" w:rsidR="00926089" w:rsidRPr="00EB4AA1" w:rsidRDefault="00926089" w:rsidP="00634104">
      <w:pPr>
        <w:pStyle w:val="BodyText"/>
        <w:spacing w:line="276" w:lineRule="auto"/>
        <w:rPr>
          <w:rFonts w:cs="Arial"/>
        </w:rPr>
      </w:pPr>
      <w:r>
        <w:rPr>
          <w:rFonts w:cs="Arial"/>
        </w:rPr>
        <w:t xml:space="preserve">I consider the above to have been appropriately </w:t>
      </w:r>
      <w:proofErr w:type="gramStart"/>
      <w:r>
        <w:rPr>
          <w:rFonts w:cs="Arial"/>
        </w:rPr>
        <w:t>taken into account</w:t>
      </w:r>
      <w:proofErr w:type="gramEnd"/>
      <w:r>
        <w:rPr>
          <w:rFonts w:cs="Arial"/>
        </w:rPr>
        <w:t xml:space="preserve"> in the committee's decision making, adequately explained in the FDG, and therefore do not consider this to be valid appeal point. </w:t>
      </w:r>
    </w:p>
    <w:p w14:paraId="6B7C8747" w14:textId="77777777" w:rsidR="00926089" w:rsidRPr="00EB4AA1" w:rsidRDefault="00926089" w:rsidP="00634104">
      <w:pPr>
        <w:pStyle w:val="Paragraph"/>
        <w:numPr>
          <w:ilvl w:val="0"/>
          <w:numId w:val="0"/>
        </w:numPr>
        <w:jc w:val="both"/>
        <w:rPr>
          <w:rFonts w:cs="Arial"/>
          <w:b/>
          <w:u w:val="single"/>
        </w:rPr>
      </w:pPr>
      <w:r w:rsidRPr="00EB4AA1">
        <w:rPr>
          <w:rFonts w:cs="Arial"/>
          <w:b/>
          <w:sz w:val="20"/>
          <w:szCs w:val="20"/>
          <w:u w:val="single"/>
        </w:rPr>
        <w:lastRenderedPageBreak/>
        <w:t xml:space="preserve">Appeal </w:t>
      </w:r>
      <w:proofErr w:type="gramStart"/>
      <w:r w:rsidRPr="00EB4AA1">
        <w:rPr>
          <w:rFonts w:cs="Arial"/>
          <w:b/>
          <w:sz w:val="20"/>
          <w:szCs w:val="20"/>
          <w:u w:val="single"/>
        </w:rPr>
        <w:t>point</w:t>
      </w:r>
      <w:proofErr w:type="gramEnd"/>
      <w:r w:rsidRPr="00EB4AA1">
        <w:rPr>
          <w:rFonts w:cs="Arial"/>
          <w:b/>
          <w:sz w:val="20"/>
          <w:szCs w:val="20"/>
          <w:u w:val="single"/>
        </w:rPr>
        <w:t xml:space="preserve"> 2.5: The Appraisal Committee's conclusion on IVIg response rate in patients who discontinue efgartigimod is unreasonable </w:t>
      </w:r>
      <w:proofErr w:type="gramStart"/>
      <w:r w:rsidRPr="00EB4AA1">
        <w:rPr>
          <w:rFonts w:cs="Arial"/>
          <w:b/>
          <w:sz w:val="20"/>
          <w:szCs w:val="20"/>
          <w:u w:val="single"/>
        </w:rPr>
        <w:t>in light of</w:t>
      </w:r>
      <w:proofErr w:type="gramEnd"/>
      <w:r w:rsidRPr="00EB4AA1">
        <w:rPr>
          <w:rFonts w:cs="Arial"/>
          <w:b/>
          <w:sz w:val="20"/>
          <w:szCs w:val="20"/>
          <w:u w:val="single"/>
        </w:rPr>
        <w:t xml:space="preserve"> the published literature and expert elicitation evidence submitted.  </w:t>
      </w:r>
    </w:p>
    <w:p w14:paraId="523C0F02" w14:textId="5760A1EE" w:rsidR="005725F0" w:rsidRDefault="00926089" w:rsidP="0035246F">
      <w:pPr>
        <w:pStyle w:val="BodyText"/>
        <w:spacing w:line="276" w:lineRule="auto"/>
        <w:rPr>
          <w:rFonts w:cs="Arial"/>
        </w:rPr>
      </w:pPr>
      <w:r w:rsidRPr="00EB4AA1">
        <w:rPr>
          <w:rFonts w:cs="Arial"/>
        </w:rPr>
        <w:t xml:space="preserve">I am minded </w:t>
      </w:r>
      <w:proofErr w:type="gramStart"/>
      <w:r w:rsidRPr="00EB4AA1">
        <w:rPr>
          <w:rFonts w:cs="Arial"/>
        </w:rPr>
        <w:t>to refer</w:t>
      </w:r>
      <w:proofErr w:type="gramEnd"/>
      <w:r w:rsidRPr="00EB4AA1">
        <w:rPr>
          <w:rFonts w:cs="Arial"/>
        </w:rPr>
        <w:t xml:space="preserve"> this appeal </w:t>
      </w:r>
      <w:proofErr w:type="gramStart"/>
      <w:r w:rsidRPr="00EB4AA1">
        <w:rPr>
          <w:rFonts w:cs="Arial"/>
        </w:rPr>
        <w:t>point</w:t>
      </w:r>
      <w:proofErr w:type="gramEnd"/>
      <w:r w:rsidRPr="00EB4AA1">
        <w:rPr>
          <w:rFonts w:cs="Arial"/>
        </w:rPr>
        <w:t xml:space="preserve"> to the </w:t>
      </w:r>
      <w:r>
        <w:rPr>
          <w:rFonts w:cs="Arial"/>
        </w:rPr>
        <w:t>a</w:t>
      </w:r>
      <w:r w:rsidRPr="00EB4AA1">
        <w:rPr>
          <w:rFonts w:cs="Arial"/>
        </w:rPr>
        <w:t xml:space="preserve">ppeal </w:t>
      </w:r>
      <w:r>
        <w:rPr>
          <w:rFonts w:cs="Arial"/>
        </w:rPr>
        <w:t>P</w:t>
      </w:r>
      <w:r w:rsidRPr="00EB4AA1">
        <w:rPr>
          <w:rFonts w:cs="Arial"/>
        </w:rPr>
        <w:t>anel</w:t>
      </w:r>
      <w:r>
        <w:rPr>
          <w:rFonts w:cs="Arial"/>
        </w:rPr>
        <w:t>.</w:t>
      </w:r>
      <w:r w:rsidR="00C931BD">
        <w:rPr>
          <w:rFonts w:cs="Arial"/>
        </w:rPr>
        <w:t xml:space="preserve"> I </w:t>
      </w:r>
      <w:r w:rsidR="005725F0">
        <w:rPr>
          <w:rFonts w:cs="Arial"/>
        </w:rPr>
        <w:t>understand</w:t>
      </w:r>
      <w:r w:rsidR="00C931BD">
        <w:rPr>
          <w:rFonts w:cs="Arial"/>
        </w:rPr>
        <w:t xml:space="preserve"> </w:t>
      </w:r>
      <w:r w:rsidR="005725F0">
        <w:rPr>
          <w:rFonts w:cs="Arial"/>
        </w:rPr>
        <w:t>the Company's position to be:</w:t>
      </w:r>
    </w:p>
    <w:p w14:paraId="5EA4DB03" w14:textId="3B9D3329" w:rsidR="005725F0" w:rsidRDefault="00C931BD" w:rsidP="005725F0">
      <w:pPr>
        <w:pStyle w:val="BodyText"/>
        <w:numPr>
          <w:ilvl w:val="0"/>
          <w:numId w:val="39"/>
        </w:numPr>
        <w:spacing w:line="276" w:lineRule="auto"/>
        <w:rPr>
          <w:rFonts w:cs="Arial"/>
        </w:rPr>
      </w:pPr>
      <w:r>
        <w:rPr>
          <w:rFonts w:cs="Arial"/>
        </w:rPr>
        <w:t>that the Company and EAG were aligned o</w:t>
      </w:r>
      <w:r w:rsidR="0021322C">
        <w:rPr>
          <w:rFonts w:cs="Arial"/>
        </w:rPr>
        <w:t>n</w:t>
      </w:r>
      <w:r>
        <w:rPr>
          <w:rFonts w:cs="Arial"/>
        </w:rPr>
        <w:t xml:space="preserve"> a base case IVIg response rate of 80.5%</w:t>
      </w:r>
      <w:r w:rsidR="005725F0">
        <w:rPr>
          <w:rFonts w:cs="Arial"/>
        </w:rPr>
        <w:t xml:space="preserve">, and </w:t>
      </w:r>
    </w:p>
    <w:p w14:paraId="1A952AA9" w14:textId="0435E8F0" w:rsidR="005725F0" w:rsidRDefault="00C931BD" w:rsidP="005725F0">
      <w:pPr>
        <w:pStyle w:val="BodyText"/>
        <w:numPr>
          <w:ilvl w:val="0"/>
          <w:numId w:val="39"/>
        </w:numPr>
        <w:spacing w:line="276" w:lineRule="auto"/>
        <w:rPr>
          <w:rFonts w:cs="Arial"/>
        </w:rPr>
      </w:pPr>
      <w:r>
        <w:rPr>
          <w:rFonts w:cs="Arial"/>
        </w:rPr>
        <w:t>that the Committee ha</w:t>
      </w:r>
      <w:r w:rsidR="005725F0">
        <w:rPr>
          <w:rFonts w:cs="Arial"/>
        </w:rPr>
        <w:t>s</w:t>
      </w:r>
      <w:r>
        <w:rPr>
          <w:rFonts w:cs="Arial"/>
        </w:rPr>
        <w:t xml:space="preserve"> not referred to the Company or EAGs greater response rate in the FDG (only the 70% response rate based on clinical expert input), </w:t>
      </w:r>
    </w:p>
    <w:p w14:paraId="7F193F4B" w14:textId="0A41D501" w:rsidR="00C931BD" w:rsidRDefault="00C931BD" w:rsidP="008D5210">
      <w:pPr>
        <w:pStyle w:val="BodyText"/>
        <w:numPr>
          <w:ilvl w:val="0"/>
          <w:numId w:val="39"/>
        </w:numPr>
        <w:spacing w:line="276" w:lineRule="auto"/>
        <w:rPr>
          <w:rFonts w:cs="Arial"/>
        </w:rPr>
      </w:pPr>
      <w:r>
        <w:rPr>
          <w:rFonts w:cs="Arial"/>
        </w:rPr>
        <w:t xml:space="preserve">nor has it explained why (contrary to the hierarchy of preferred sources in the Manual) it has relied on clinical expert input over the Company and EAG evidence. </w:t>
      </w:r>
    </w:p>
    <w:p w14:paraId="7DE5D26C" w14:textId="41EFC718" w:rsidR="00926089" w:rsidRPr="0035246F" w:rsidRDefault="00C931BD" w:rsidP="0035246F">
      <w:pPr>
        <w:pStyle w:val="BodyText"/>
        <w:spacing w:line="276" w:lineRule="auto"/>
        <w:rPr>
          <w:rFonts w:cs="Arial"/>
        </w:rPr>
      </w:pPr>
      <w:r>
        <w:rPr>
          <w:rFonts w:cs="Arial"/>
        </w:rPr>
        <w:t xml:space="preserve">As this has a material impact on the ICER, I am minded </w:t>
      </w:r>
      <w:proofErr w:type="gramStart"/>
      <w:r>
        <w:rPr>
          <w:rFonts w:cs="Arial"/>
        </w:rPr>
        <w:t>to refer</w:t>
      </w:r>
      <w:proofErr w:type="gramEnd"/>
      <w:r>
        <w:rPr>
          <w:rFonts w:cs="Arial"/>
        </w:rPr>
        <w:t xml:space="preserve"> this appeal </w:t>
      </w:r>
      <w:proofErr w:type="gramStart"/>
      <w:r>
        <w:rPr>
          <w:rFonts w:cs="Arial"/>
        </w:rPr>
        <w:t>point</w:t>
      </w:r>
      <w:proofErr w:type="gramEnd"/>
      <w:r>
        <w:rPr>
          <w:rFonts w:cs="Arial"/>
        </w:rPr>
        <w:t xml:space="preserve"> to the Appeal Panel. </w:t>
      </w:r>
    </w:p>
    <w:p w14:paraId="4AE6A487" w14:textId="222BA35B" w:rsidR="007E4EDC" w:rsidRPr="00DD7697" w:rsidRDefault="007E4EDC" w:rsidP="00634104">
      <w:pPr>
        <w:pStyle w:val="Paragraph"/>
        <w:numPr>
          <w:ilvl w:val="0"/>
          <w:numId w:val="0"/>
        </w:numPr>
        <w:jc w:val="both"/>
        <w:rPr>
          <w:rFonts w:cs="Arial"/>
          <w:sz w:val="20"/>
          <w:szCs w:val="20"/>
          <w:u w:val="single"/>
          <w:lang w:eastAsia="en-US"/>
        </w:rPr>
      </w:pPr>
      <w:r w:rsidRPr="00DD7697">
        <w:rPr>
          <w:rFonts w:cs="Arial"/>
          <w:sz w:val="20"/>
          <w:szCs w:val="20"/>
          <w:u w:val="single"/>
          <w:lang w:eastAsia="en-US"/>
        </w:rPr>
        <w:t xml:space="preserve">Conclusion </w:t>
      </w:r>
      <w:r w:rsidR="00060610">
        <w:rPr>
          <w:rFonts w:cs="Arial"/>
          <w:sz w:val="20"/>
          <w:szCs w:val="20"/>
          <w:u w:val="single"/>
          <w:lang w:eastAsia="en-US"/>
        </w:rPr>
        <w:t xml:space="preserve"> </w:t>
      </w:r>
    </w:p>
    <w:p w14:paraId="259A7A09" w14:textId="77777777" w:rsidR="00613CE8" w:rsidRPr="003327D3" w:rsidRDefault="00613CE8" w:rsidP="00634104">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The above sets out above my initial views on </w:t>
      </w:r>
      <w:proofErr w:type="gramStart"/>
      <w:r w:rsidRPr="003327D3">
        <w:rPr>
          <w:rFonts w:cs="Arial"/>
          <w:sz w:val="20"/>
          <w:szCs w:val="20"/>
          <w:lang w:eastAsia="en-US"/>
        </w:rPr>
        <w:t>all of</w:t>
      </w:r>
      <w:proofErr w:type="gramEnd"/>
      <w:r w:rsidRPr="003327D3">
        <w:rPr>
          <w:rFonts w:cs="Arial"/>
          <w:sz w:val="20"/>
          <w:szCs w:val="20"/>
          <w:lang w:eastAsia="en-US"/>
        </w:rPr>
        <w:t xml:space="preserve"> your appeal points.</w:t>
      </w:r>
    </w:p>
    <w:p w14:paraId="324863C4" w14:textId="42EDC1BD" w:rsidR="00613CE8" w:rsidRPr="003327D3" w:rsidRDefault="00613CE8" w:rsidP="00634104">
      <w:pPr>
        <w:pStyle w:val="Paragraph"/>
        <w:numPr>
          <w:ilvl w:val="0"/>
          <w:numId w:val="0"/>
        </w:numPr>
        <w:spacing w:before="120"/>
        <w:jc w:val="both"/>
        <w:rPr>
          <w:rFonts w:cs="Arial"/>
          <w:sz w:val="20"/>
          <w:szCs w:val="20"/>
          <w:lang w:eastAsia="en-US"/>
        </w:rPr>
      </w:pPr>
      <w:r w:rsidRPr="003327D3">
        <w:rPr>
          <w:rFonts w:cs="Arial"/>
          <w:sz w:val="20"/>
          <w:szCs w:val="20"/>
          <w:lang w:eastAsia="en-US"/>
        </w:rPr>
        <w:t xml:space="preserve">In respect of your points which I am not minded </w:t>
      </w:r>
      <w:proofErr w:type="gramStart"/>
      <w:r w:rsidRPr="003327D3">
        <w:rPr>
          <w:rFonts w:cs="Arial"/>
          <w:sz w:val="20"/>
          <w:szCs w:val="20"/>
          <w:lang w:eastAsia="en-US"/>
        </w:rPr>
        <w:t>to refer</w:t>
      </w:r>
      <w:proofErr w:type="gramEnd"/>
      <w:r w:rsidRPr="003327D3">
        <w:rPr>
          <w:rFonts w:cs="Arial"/>
          <w:sz w:val="20"/>
          <w:szCs w:val="20"/>
          <w:lang w:eastAsia="en-US"/>
        </w:rPr>
        <w:t xml:space="preserve"> on you are entitled to submit further clarification and/or evidence to me within the next 10 working days</w:t>
      </w:r>
      <w:r w:rsidR="007870BB">
        <w:rPr>
          <w:rFonts w:cs="Arial"/>
          <w:sz w:val="20"/>
          <w:szCs w:val="20"/>
          <w:lang w:eastAsia="en-US"/>
        </w:rPr>
        <w:t xml:space="preserve"> </w:t>
      </w:r>
      <w:r w:rsidR="007870BB" w:rsidRPr="007870BB">
        <w:rPr>
          <w:rFonts w:cs="Arial"/>
          <w:sz w:val="20"/>
          <w:szCs w:val="20"/>
          <w:lang w:eastAsia="en-US"/>
        </w:rPr>
        <w:t>(by 5pm on 28 February 2025),</w:t>
      </w:r>
      <w:r w:rsidRPr="003327D3">
        <w:rPr>
          <w:rFonts w:cs="Arial"/>
          <w:sz w:val="20"/>
          <w:szCs w:val="20"/>
          <w:lang w:eastAsia="en-US"/>
        </w:rPr>
        <w:t xml:space="preserve"> and I will then give a final decision on the points to put before an appeal panel.  Responses must deal only with requested clarifications, or arguments or comments about the lead </w:t>
      </w:r>
      <w:r w:rsidRPr="009C7662">
        <w:rPr>
          <w:rFonts w:cs="Arial"/>
          <w:sz w:val="20"/>
          <w:szCs w:val="20"/>
          <w:lang w:eastAsia="en-US"/>
        </w:rPr>
        <w:t>non-executive director for appeals' initial view that an appeal point is not valid. For the points I am already content to refer on, an oral appeal will be held which is likely to be held remotel</w:t>
      </w:r>
      <w:r w:rsidR="003C3233">
        <w:rPr>
          <w:rFonts w:cs="Arial"/>
          <w:sz w:val="20"/>
          <w:szCs w:val="20"/>
          <w:lang w:eastAsia="en-US"/>
        </w:rPr>
        <w:t>y</w:t>
      </w:r>
      <w:r w:rsidRPr="009C7662">
        <w:rPr>
          <w:rFonts w:cs="Arial"/>
          <w:sz w:val="20"/>
          <w:szCs w:val="20"/>
          <w:lang w:eastAsia="en-US"/>
        </w:rPr>
        <w:t>.</w:t>
      </w:r>
    </w:p>
    <w:p w14:paraId="1E282E65" w14:textId="78A1B9B2" w:rsidR="00613CE8" w:rsidRPr="003327D3" w:rsidRDefault="00613CE8" w:rsidP="00634104">
      <w:pPr>
        <w:pStyle w:val="Paragraph"/>
        <w:numPr>
          <w:ilvl w:val="0"/>
          <w:numId w:val="0"/>
        </w:numPr>
        <w:spacing w:before="120"/>
        <w:jc w:val="both"/>
        <w:rPr>
          <w:rFonts w:cs="Arial"/>
          <w:sz w:val="20"/>
          <w:szCs w:val="20"/>
        </w:rPr>
      </w:pPr>
      <w:r w:rsidRPr="003327D3">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3327D3">
        <w:rPr>
          <w:rFonts w:cs="Arial"/>
          <w:sz w:val="20"/>
          <w:szCs w:val="20"/>
          <w:lang w:eastAsia="en-US"/>
        </w:rPr>
        <w:t>information</w:t>
      </w:r>
      <w:proofErr w:type="gramEnd"/>
      <w:r w:rsidRPr="003327D3">
        <w:rPr>
          <w:rFonts w:cs="Arial"/>
          <w:sz w:val="20"/>
          <w:szCs w:val="20"/>
        </w:rPr>
        <w:t xml:space="preserve"> please ensure you have provided a version with this information redacted by </w:t>
      </w:r>
      <w:r w:rsidR="007870BB">
        <w:rPr>
          <w:rFonts w:cs="Arial"/>
          <w:sz w:val="20"/>
          <w:szCs w:val="20"/>
        </w:rPr>
        <w:t>7 March 2025</w:t>
      </w:r>
    </w:p>
    <w:p w14:paraId="0688AA84" w14:textId="66A795A0" w:rsidR="00613CE8" w:rsidRPr="003327D3" w:rsidRDefault="00613CE8" w:rsidP="00634104">
      <w:pPr>
        <w:pStyle w:val="Paragraph"/>
        <w:numPr>
          <w:ilvl w:val="0"/>
          <w:numId w:val="0"/>
        </w:numPr>
        <w:spacing w:before="120"/>
        <w:jc w:val="both"/>
        <w:rPr>
          <w:rFonts w:cs="Arial"/>
          <w:sz w:val="20"/>
          <w:szCs w:val="20"/>
        </w:rPr>
      </w:pPr>
      <w:r w:rsidRPr="003327D3">
        <w:rPr>
          <w:rFonts w:cs="Arial"/>
          <w:sz w:val="20"/>
          <w:szCs w:val="20"/>
        </w:rPr>
        <w:t xml:space="preserve">Ordinarily appeals are conducted </w:t>
      </w:r>
      <w:proofErr w:type="gramStart"/>
      <w:r w:rsidRPr="003327D3">
        <w:rPr>
          <w:rFonts w:cs="Arial"/>
          <w:sz w:val="20"/>
          <w:szCs w:val="20"/>
        </w:rPr>
        <w:t>on the basis of</w:t>
      </w:r>
      <w:proofErr w:type="gramEnd"/>
      <w:r w:rsidRPr="003327D3">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7870BB" w:rsidRPr="007870BB">
        <w:rPr>
          <w:rFonts w:cs="Arial"/>
          <w:sz w:val="20"/>
          <w:szCs w:val="20"/>
        </w:rPr>
        <w:t>5pm on 28 February 2025</w:t>
      </w:r>
      <w:r w:rsidRPr="003327D3">
        <w:rPr>
          <w:rFonts w:cs="Arial"/>
          <w:sz w:val="20"/>
          <w:szCs w:val="20"/>
        </w:rPr>
        <w:t>.  Please note that the appeal panel cannot accept papers that are tabled late or ad hoc, as this affects the preparation of the panel and other parties for the appeal.</w:t>
      </w:r>
    </w:p>
    <w:p w14:paraId="77A7AE6C" w14:textId="2C8EFC1C" w:rsidR="007870BB" w:rsidRPr="00DD7697" w:rsidRDefault="00613CE8" w:rsidP="007870BB">
      <w:pPr>
        <w:spacing w:line="276" w:lineRule="auto"/>
        <w:jc w:val="both"/>
        <w:rPr>
          <w:rFonts w:cs="Arial"/>
          <w:color w:val="auto"/>
        </w:rPr>
      </w:pPr>
      <w:r w:rsidRPr="003327D3">
        <w:rPr>
          <w:rFonts w:cs="Arial"/>
          <w:color w:val="auto"/>
        </w:rPr>
        <w:t>Yours sincerely</w:t>
      </w:r>
    </w:p>
    <w:p w14:paraId="1B861863" w14:textId="77777777" w:rsidR="004F78EB" w:rsidRDefault="004F78EB" w:rsidP="004F78EB">
      <w:pPr>
        <w:spacing w:line="360" w:lineRule="auto"/>
        <w:jc w:val="both"/>
        <w:rPr>
          <w:rFonts w:cs="Arial"/>
          <w:color w:val="auto"/>
        </w:rPr>
      </w:pPr>
      <w:r>
        <w:rPr>
          <w:rFonts w:cs="Arial"/>
          <w:color w:val="auto"/>
        </w:rPr>
        <w:t>Sharmila Nebhrajani OBE</w:t>
      </w:r>
    </w:p>
    <w:p w14:paraId="2103DE57" w14:textId="34E27044" w:rsidR="007870BB" w:rsidRPr="00EA29FD" w:rsidRDefault="00EA29FD" w:rsidP="004F78EB">
      <w:pPr>
        <w:spacing w:line="360" w:lineRule="auto"/>
        <w:jc w:val="both"/>
        <w:rPr>
          <w:rFonts w:cs="Arial"/>
          <w:color w:val="000000" w:themeColor="text1"/>
          <w:sz w:val="44"/>
          <w:szCs w:val="44"/>
        </w:rPr>
      </w:pPr>
      <w:r w:rsidRPr="00EA29FD">
        <w:rPr>
          <w:noProof/>
          <w:color w:val="000000" w:themeColor="text1"/>
          <w:sz w:val="44"/>
          <w:szCs w:val="44"/>
          <w:highlight w:val="black"/>
        </w:rPr>
        <w:t>xxxxxxxxxxxxx</w:t>
      </w:r>
    </w:p>
    <w:p w14:paraId="02625214" w14:textId="17C11DA9" w:rsidR="004F78EB" w:rsidRPr="00DD7697" w:rsidRDefault="004F78EB" w:rsidP="004F78EB">
      <w:pPr>
        <w:spacing w:line="360" w:lineRule="auto"/>
        <w:jc w:val="both"/>
        <w:rPr>
          <w:rFonts w:cs="Arial"/>
          <w:color w:val="auto"/>
        </w:rPr>
      </w:pPr>
      <w:r>
        <w:rPr>
          <w:rFonts w:cs="Arial"/>
          <w:color w:val="auto"/>
        </w:rPr>
        <w:t>Chair</w:t>
      </w:r>
      <w:r w:rsidR="00731CDE">
        <w:rPr>
          <w:rFonts w:cs="Arial"/>
          <w:color w:val="auto"/>
        </w:rPr>
        <w:t>man</w:t>
      </w:r>
    </w:p>
    <w:p w14:paraId="10F38104" w14:textId="77777777" w:rsidR="004F78EB" w:rsidRPr="00DD7697" w:rsidRDefault="004F78EB" w:rsidP="004F78EB">
      <w:pPr>
        <w:spacing w:line="360" w:lineRule="auto"/>
        <w:jc w:val="both"/>
        <w:rPr>
          <w:rFonts w:cs="Arial"/>
          <w:color w:val="auto"/>
        </w:rPr>
      </w:pPr>
      <w:r w:rsidRPr="00DD7697">
        <w:rPr>
          <w:rFonts w:cs="Arial"/>
          <w:color w:val="auto"/>
        </w:rPr>
        <w:t>National Institute for Health and Care Excellence</w:t>
      </w:r>
    </w:p>
    <w:sectPr w:rsidR="004F78EB" w:rsidRPr="00DD7697" w:rsidSect="001D244F">
      <w:headerReference w:type="even" r:id="rId15"/>
      <w:headerReference w:type="default" r:id="rId16"/>
      <w:footerReference w:type="even" r:id="rId17"/>
      <w:footerReference w:type="default" r:id="rId18"/>
      <w:headerReference w:type="first" r:id="rId19"/>
      <w:footerReference w:type="first" r:id="rId20"/>
      <w:pgSz w:w="11907" w:h="16840"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96BA" w14:textId="77777777" w:rsidR="00C94A65" w:rsidRDefault="00C94A65">
      <w:r>
        <w:separator/>
      </w:r>
    </w:p>
  </w:endnote>
  <w:endnote w:type="continuationSeparator" w:id="0">
    <w:p w14:paraId="437A37F3" w14:textId="77777777" w:rsidR="00C94A65" w:rsidRDefault="00C9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AF69" w14:textId="77777777" w:rsidR="0089309B" w:rsidRDefault="00893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7120" w14:textId="77777777" w:rsidR="00C94A65" w:rsidRDefault="00C94A65">
      <w:r>
        <w:separator/>
      </w:r>
    </w:p>
  </w:footnote>
  <w:footnote w:type="continuationSeparator" w:id="0">
    <w:p w14:paraId="67B99F96" w14:textId="77777777" w:rsidR="00C94A65" w:rsidRDefault="00C9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63F8" w14:textId="77777777" w:rsidR="0089309B" w:rsidRDefault="00893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FA20" w14:textId="77777777" w:rsidR="0089309B" w:rsidRDefault="00893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04CF234F"/>
    <w:multiLevelType w:val="hybridMultilevel"/>
    <w:tmpl w:val="E4E49A84"/>
    <w:lvl w:ilvl="0" w:tplc="054CB2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83B56"/>
    <w:multiLevelType w:val="hybridMultilevel"/>
    <w:tmpl w:val="B822A54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241C5"/>
    <w:multiLevelType w:val="hybridMultilevel"/>
    <w:tmpl w:val="B8A62A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9721271"/>
    <w:multiLevelType w:val="hybridMultilevel"/>
    <w:tmpl w:val="4C803DEA"/>
    <w:lvl w:ilvl="0" w:tplc="C30C259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AB04C6"/>
    <w:multiLevelType w:val="hybridMultilevel"/>
    <w:tmpl w:val="B2CCD930"/>
    <w:lvl w:ilvl="0" w:tplc="B79201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21"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11736"/>
    <w:multiLevelType w:val="hybridMultilevel"/>
    <w:tmpl w:val="B822A546"/>
    <w:lvl w:ilvl="0" w:tplc="054CB21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6"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8"/>
  </w:num>
  <w:num w:numId="3" w16cid:durableId="735858711">
    <w:abstractNumId w:val="24"/>
  </w:num>
  <w:num w:numId="4" w16cid:durableId="791437817">
    <w:abstractNumId w:val="24"/>
  </w:num>
  <w:num w:numId="5" w16cid:durableId="589656231">
    <w:abstractNumId w:val="25"/>
  </w:num>
  <w:num w:numId="6" w16cid:durableId="1033071542">
    <w:abstractNumId w:val="0"/>
  </w:num>
  <w:num w:numId="7" w16cid:durableId="692002320">
    <w:abstractNumId w:val="24"/>
  </w:num>
  <w:num w:numId="8" w16cid:durableId="893390988">
    <w:abstractNumId w:val="24"/>
  </w:num>
  <w:num w:numId="9" w16cid:durableId="1036344506">
    <w:abstractNumId w:val="24"/>
  </w:num>
  <w:num w:numId="10" w16cid:durableId="1081758715">
    <w:abstractNumId w:val="18"/>
  </w:num>
  <w:num w:numId="11" w16cid:durableId="1324700156">
    <w:abstractNumId w:val="5"/>
  </w:num>
  <w:num w:numId="12" w16cid:durableId="297996532">
    <w:abstractNumId w:val="17"/>
  </w:num>
  <w:num w:numId="13" w16cid:durableId="1315715874">
    <w:abstractNumId w:val="19"/>
  </w:num>
  <w:num w:numId="14" w16cid:durableId="1234002226">
    <w:abstractNumId w:val="23"/>
  </w:num>
  <w:num w:numId="15" w16cid:durableId="682052213">
    <w:abstractNumId w:val="13"/>
  </w:num>
  <w:num w:numId="16" w16cid:durableId="1741825062">
    <w:abstractNumId w:val="21"/>
  </w:num>
  <w:num w:numId="17" w16cid:durableId="1644236023">
    <w:abstractNumId w:val="28"/>
  </w:num>
  <w:num w:numId="18" w16cid:durableId="530655038">
    <w:abstractNumId w:val="7"/>
  </w:num>
  <w:num w:numId="19" w16cid:durableId="2126733805">
    <w:abstractNumId w:val="26"/>
  </w:num>
  <w:num w:numId="20" w16cid:durableId="621762274">
    <w:abstractNumId w:val="14"/>
  </w:num>
  <w:num w:numId="21" w16cid:durableId="170607788">
    <w:abstractNumId w:val="9"/>
  </w:num>
  <w:num w:numId="22" w16cid:durableId="460727966">
    <w:abstractNumId w:val="29"/>
  </w:num>
  <w:num w:numId="23" w16cid:durableId="2105420001">
    <w:abstractNumId w:val="1"/>
  </w:num>
  <w:num w:numId="24" w16cid:durableId="2048407580">
    <w:abstractNumId w:val="20"/>
  </w:num>
  <w:num w:numId="25" w16cid:durableId="1798986414">
    <w:abstractNumId w:val="11"/>
  </w:num>
  <w:num w:numId="26" w16cid:durableId="1415205502">
    <w:abstractNumId w:val="27"/>
  </w:num>
  <w:num w:numId="27" w16cid:durableId="368603691">
    <w:abstractNumId w:val="10"/>
  </w:num>
  <w:num w:numId="28" w16cid:durableId="217009139">
    <w:abstractNumId w:val="24"/>
  </w:num>
  <w:num w:numId="29" w16cid:durableId="1991011021">
    <w:abstractNumId w:val="24"/>
  </w:num>
  <w:num w:numId="30" w16cid:durableId="840006877">
    <w:abstractNumId w:val="12"/>
  </w:num>
  <w:num w:numId="31" w16cid:durableId="324751170">
    <w:abstractNumId w:val="24"/>
  </w:num>
  <w:num w:numId="32" w16cid:durableId="1909340188">
    <w:abstractNumId w:val="24"/>
  </w:num>
  <w:num w:numId="33" w16cid:durableId="334496126">
    <w:abstractNumId w:val="30"/>
  </w:num>
  <w:num w:numId="34" w16cid:durableId="1909875918">
    <w:abstractNumId w:val="22"/>
  </w:num>
  <w:num w:numId="35" w16cid:durableId="148130782">
    <w:abstractNumId w:val="4"/>
  </w:num>
  <w:num w:numId="36" w16cid:durableId="990252405">
    <w:abstractNumId w:val="15"/>
  </w:num>
  <w:num w:numId="37" w16cid:durableId="2052067809">
    <w:abstractNumId w:val="6"/>
  </w:num>
  <w:num w:numId="38" w16cid:durableId="790712531">
    <w:abstractNumId w:val="3"/>
  </w:num>
  <w:num w:numId="39" w16cid:durableId="41189770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35CE0"/>
    <w:rsid w:val="00036D22"/>
    <w:rsid w:val="0004302C"/>
    <w:rsid w:val="00047383"/>
    <w:rsid w:val="00052894"/>
    <w:rsid w:val="000532DA"/>
    <w:rsid w:val="00056CD2"/>
    <w:rsid w:val="00060610"/>
    <w:rsid w:val="0006785D"/>
    <w:rsid w:val="0007095A"/>
    <w:rsid w:val="000709E5"/>
    <w:rsid w:val="00080F5C"/>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3523"/>
    <w:rsid w:val="000F6BB5"/>
    <w:rsid w:val="00102F59"/>
    <w:rsid w:val="001064B4"/>
    <w:rsid w:val="00106505"/>
    <w:rsid w:val="00107520"/>
    <w:rsid w:val="00111749"/>
    <w:rsid w:val="00116523"/>
    <w:rsid w:val="00120071"/>
    <w:rsid w:val="00120FFA"/>
    <w:rsid w:val="001232BE"/>
    <w:rsid w:val="00123922"/>
    <w:rsid w:val="00123B83"/>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3458"/>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5C79"/>
    <w:rsid w:val="001C655B"/>
    <w:rsid w:val="001D161F"/>
    <w:rsid w:val="001D244F"/>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322C"/>
    <w:rsid w:val="00217D5F"/>
    <w:rsid w:val="00220DE8"/>
    <w:rsid w:val="002216BB"/>
    <w:rsid w:val="00223EBE"/>
    <w:rsid w:val="00232FF4"/>
    <w:rsid w:val="00236351"/>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254E"/>
    <w:rsid w:val="002A4E90"/>
    <w:rsid w:val="002B21D4"/>
    <w:rsid w:val="002C14B2"/>
    <w:rsid w:val="002C3E42"/>
    <w:rsid w:val="002C4202"/>
    <w:rsid w:val="002C5356"/>
    <w:rsid w:val="002D2F52"/>
    <w:rsid w:val="002D412A"/>
    <w:rsid w:val="002D4715"/>
    <w:rsid w:val="002E322A"/>
    <w:rsid w:val="002E4087"/>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5C26"/>
    <w:rsid w:val="0033740C"/>
    <w:rsid w:val="00343CE3"/>
    <w:rsid w:val="00345918"/>
    <w:rsid w:val="003478F6"/>
    <w:rsid w:val="00351496"/>
    <w:rsid w:val="0035246F"/>
    <w:rsid w:val="003627D7"/>
    <w:rsid w:val="0036323C"/>
    <w:rsid w:val="00371C6B"/>
    <w:rsid w:val="00376613"/>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3233"/>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4E76"/>
    <w:rsid w:val="004309B6"/>
    <w:rsid w:val="00431B23"/>
    <w:rsid w:val="00434670"/>
    <w:rsid w:val="00436264"/>
    <w:rsid w:val="00444494"/>
    <w:rsid w:val="004445BE"/>
    <w:rsid w:val="0045126F"/>
    <w:rsid w:val="00453E92"/>
    <w:rsid w:val="0045574A"/>
    <w:rsid w:val="00456D3B"/>
    <w:rsid w:val="00465F46"/>
    <w:rsid w:val="004768DE"/>
    <w:rsid w:val="00476A37"/>
    <w:rsid w:val="00481D88"/>
    <w:rsid w:val="00491045"/>
    <w:rsid w:val="00491E3A"/>
    <w:rsid w:val="0049446F"/>
    <w:rsid w:val="0049578D"/>
    <w:rsid w:val="00495F5C"/>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379"/>
    <w:rsid w:val="004D7840"/>
    <w:rsid w:val="004E5E43"/>
    <w:rsid w:val="004F1061"/>
    <w:rsid w:val="004F44BE"/>
    <w:rsid w:val="004F531C"/>
    <w:rsid w:val="004F78EB"/>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25F0"/>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E0186"/>
    <w:rsid w:val="005E20D0"/>
    <w:rsid w:val="005E339C"/>
    <w:rsid w:val="005E70E7"/>
    <w:rsid w:val="005E7923"/>
    <w:rsid w:val="005E7DAF"/>
    <w:rsid w:val="005F5253"/>
    <w:rsid w:val="005F6045"/>
    <w:rsid w:val="005F75A8"/>
    <w:rsid w:val="005F7C6F"/>
    <w:rsid w:val="00601168"/>
    <w:rsid w:val="0060170A"/>
    <w:rsid w:val="0060349F"/>
    <w:rsid w:val="006053B6"/>
    <w:rsid w:val="00605766"/>
    <w:rsid w:val="00613CE8"/>
    <w:rsid w:val="00620070"/>
    <w:rsid w:val="00621C42"/>
    <w:rsid w:val="00623213"/>
    <w:rsid w:val="006273E6"/>
    <w:rsid w:val="00627B61"/>
    <w:rsid w:val="00627E80"/>
    <w:rsid w:val="0063072C"/>
    <w:rsid w:val="00631165"/>
    <w:rsid w:val="0063153F"/>
    <w:rsid w:val="006339CA"/>
    <w:rsid w:val="00634104"/>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6AD4"/>
    <w:rsid w:val="00697B78"/>
    <w:rsid w:val="006A7179"/>
    <w:rsid w:val="006B04FF"/>
    <w:rsid w:val="006B1F0D"/>
    <w:rsid w:val="006B225B"/>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5DFE"/>
    <w:rsid w:val="00726B3B"/>
    <w:rsid w:val="00726F5A"/>
    <w:rsid w:val="00730789"/>
    <w:rsid w:val="00731CDE"/>
    <w:rsid w:val="00732580"/>
    <w:rsid w:val="00732B6F"/>
    <w:rsid w:val="00732C0C"/>
    <w:rsid w:val="007353F9"/>
    <w:rsid w:val="007405AA"/>
    <w:rsid w:val="00743499"/>
    <w:rsid w:val="00750A27"/>
    <w:rsid w:val="00750BB6"/>
    <w:rsid w:val="0075253A"/>
    <w:rsid w:val="00754E19"/>
    <w:rsid w:val="0075598D"/>
    <w:rsid w:val="00755AA9"/>
    <w:rsid w:val="00763715"/>
    <w:rsid w:val="007778CF"/>
    <w:rsid w:val="00777DAC"/>
    <w:rsid w:val="00780FBA"/>
    <w:rsid w:val="0078157F"/>
    <w:rsid w:val="007822FB"/>
    <w:rsid w:val="007833CB"/>
    <w:rsid w:val="0078490D"/>
    <w:rsid w:val="00784CF9"/>
    <w:rsid w:val="007870BB"/>
    <w:rsid w:val="007A0E5C"/>
    <w:rsid w:val="007A1D39"/>
    <w:rsid w:val="007A7F07"/>
    <w:rsid w:val="007B275D"/>
    <w:rsid w:val="007B303B"/>
    <w:rsid w:val="007B3B1C"/>
    <w:rsid w:val="007B5AA3"/>
    <w:rsid w:val="007C0D4C"/>
    <w:rsid w:val="007C57A8"/>
    <w:rsid w:val="007D2528"/>
    <w:rsid w:val="007D5DFF"/>
    <w:rsid w:val="007D7791"/>
    <w:rsid w:val="007D7C74"/>
    <w:rsid w:val="007E32CB"/>
    <w:rsid w:val="007E48AD"/>
    <w:rsid w:val="007E4EDC"/>
    <w:rsid w:val="007E5E4B"/>
    <w:rsid w:val="007E7499"/>
    <w:rsid w:val="007F1C02"/>
    <w:rsid w:val="007F2E45"/>
    <w:rsid w:val="007F31DE"/>
    <w:rsid w:val="007F4051"/>
    <w:rsid w:val="007F426B"/>
    <w:rsid w:val="007F4A9D"/>
    <w:rsid w:val="008033ED"/>
    <w:rsid w:val="0080651B"/>
    <w:rsid w:val="008077F7"/>
    <w:rsid w:val="00810794"/>
    <w:rsid w:val="00811421"/>
    <w:rsid w:val="008116A7"/>
    <w:rsid w:val="00812477"/>
    <w:rsid w:val="00813221"/>
    <w:rsid w:val="00814189"/>
    <w:rsid w:val="00814DEB"/>
    <w:rsid w:val="00814FE4"/>
    <w:rsid w:val="008159CD"/>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63B3"/>
    <w:rsid w:val="008765DE"/>
    <w:rsid w:val="008847CD"/>
    <w:rsid w:val="00891B24"/>
    <w:rsid w:val="0089309B"/>
    <w:rsid w:val="008A302A"/>
    <w:rsid w:val="008A3EEE"/>
    <w:rsid w:val="008A51D9"/>
    <w:rsid w:val="008A708E"/>
    <w:rsid w:val="008A77E3"/>
    <w:rsid w:val="008B17F4"/>
    <w:rsid w:val="008B29A5"/>
    <w:rsid w:val="008B3C53"/>
    <w:rsid w:val="008B3D16"/>
    <w:rsid w:val="008C114C"/>
    <w:rsid w:val="008C27DA"/>
    <w:rsid w:val="008C522A"/>
    <w:rsid w:val="008D3115"/>
    <w:rsid w:val="008D5210"/>
    <w:rsid w:val="008D5DB6"/>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26089"/>
    <w:rsid w:val="00930029"/>
    <w:rsid w:val="00930425"/>
    <w:rsid w:val="0093112A"/>
    <w:rsid w:val="00931172"/>
    <w:rsid w:val="009324E9"/>
    <w:rsid w:val="00933199"/>
    <w:rsid w:val="00936354"/>
    <w:rsid w:val="009376A0"/>
    <w:rsid w:val="00940811"/>
    <w:rsid w:val="00942F13"/>
    <w:rsid w:val="0094600E"/>
    <w:rsid w:val="00951D67"/>
    <w:rsid w:val="00956D5A"/>
    <w:rsid w:val="0096250F"/>
    <w:rsid w:val="009648EB"/>
    <w:rsid w:val="00965082"/>
    <w:rsid w:val="00966D6A"/>
    <w:rsid w:val="00973C62"/>
    <w:rsid w:val="009742BF"/>
    <w:rsid w:val="00976F99"/>
    <w:rsid w:val="009772AD"/>
    <w:rsid w:val="0098532A"/>
    <w:rsid w:val="00986A5A"/>
    <w:rsid w:val="0098792D"/>
    <w:rsid w:val="00990C9A"/>
    <w:rsid w:val="00993784"/>
    <w:rsid w:val="00993EDE"/>
    <w:rsid w:val="009949CD"/>
    <w:rsid w:val="009955EE"/>
    <w:rsid w:val="00995ABD"/>
    <w:rsid w:val="0099628E"/>
    <w:rsid w:val="00996EAC"/>
    <w:rsid w:val="00997016"/>
    <w:rsid w:val="009971A0"/>
    <w:rsid w:val="009A1A7D"/>
    <w:rsid w:val="009A23B7"/>
    <w:rsid w:val="009A621C"/>
    <w:rsid w:val="009A7C87"/>
    <w:rsid w:val="009B2917"/>
    <w:rsid w:val="009B299F"/>
    <w:rsid w:val="009C220B"/>
    <w:rsid w:val="009C257E"/>
    <w:rsid w:val="009C2A6F"/>
    <w:rsid w:val="009C40F0"/>
    <w:rsid w:val="009C7662"/>
    <w:rsid w:val="009D1532"/>
    <w:rsid w:val="009D4D95"/>
    <w:rsid w:val="009E1606"/>
    <w:rsid w:val="009E1E8C"/>
    <w:rsid w:val="009E22E6"/>
    <w:rsid w:val="009E28B2"/>
    <w:rsid w:val="009E314A"/>
    <w:rsid w:val="009E63ED"/>
    <w:rsid w:val="009E67A1"/>
    <w:rsid w:val="009E7DFB"/>
    <w:rsid w:val="009F0F43"/>
    <w:rsid w:val="009F2088"/>
    <w:rsid w:val="009F7B3C"/>
    <w:rsid w:val="009F7FE4"/>
    <w:rsid w:val="00A03ABC"/>
    <w:rsid w:val="00A0770B"/>
    <w:rsid w:val="00A078BF"/>
    <w:rsid w:val="00A10A1F"/>
    <w:rsid w:val="00A201EF"/>
    <w:rsid w:val="00A215F6"/>
    <w:rsid w:val="00A23060"/>
    <w:rsid w:val="00A236B3"/>
    <w:rsid w:val="00A25FCD"/>
    <w:rsid w:val="00A32BCB"/>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71685"/>
    <w:rsid w:val="00A74DFC"/>
    <w:rsid w:val="00A750E9"/>
    <w:rsid w:val="00A75BC8"/>
    <w:rsid w:val="00A760B9"/>
    <w:rsid w:val="00A76765"/>
    <w:rsid w:val="00A80603"/>
    <w:rsid w:val="00A87143"/>
    <w:rsid w:val="00A879C0"/>
    <w:rsid w:val="00A87CC1"/>
    <w:rsid w:val="00A95771"/>
    <w:rsid w:val="00A96044"/>
    <w:rsid w:val="00A9793D"/>
    <w:rsid w:val="00AA07E3"/>
    <w:rsid w:val="00AA0FC2"/>
    <w:rsid w:val="00AA12CA"/>
    <w:rsid w:val="00AA2694"/>
    <w:rsid w:val="00AA4E7F"/>
    <w:rsid w:val="00AB16DA"/>
    <w:rsid w:val="00AB36CF"/>
    <w:rsid w:val="00AC320B"/>
    <w:rsid w:val="00AC3CAE"/>
    <w:rsid w:val="00AC61E2"/>
    <w:rsid w:val="00AC67D3"/>
    <w:rsid w:val="00AC6A97"/>
    <w:rsid w:val="00AD1760"/>
    <w:rsid w:val="00AD210E"/>
    <w:rsid w:val="00AD6B6B"/>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5DE3"/>
    <w:rsid w:val="00B2538A"/>
    <w:rsid w:val="00B32249"/>
    <w:rsid w:val="00B332C7"/>
    <w:rsid w:val="00B36320"/>
    <w:rsid w:val="00B37654"/>
    <w:rsid w:val="00B40DA1"/>
    <w:rsid w:val="00B46004"/>
    <w:rsid w:val="00B4629A"/>
    <w:rsid w:val="00B60AF4"/>
    <w:rsid w:val="00B62757"/>
    <w:rsid w:val="00B62869"/>
    <w:rsid w:val="00B65B79"/>
    <w:rsid w:val="00B67A28"/>
    <w:rsid w:val="00B7076F"/>
    <w:rsid w:val="00B71887"/>
    <w:rsid w:val="00B7333D"/>
    <w:rsid w:val="00B8052B"/>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5750"/>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2049A"/>
    <w:rsid w:val="00C204DE"/>
    <w:rsid w:val="00C214C1"/>
    <w:rsid w:val="00C26381"/>
    <w:rsid w:val="00C32256"/>
    <w:rsid w:val="00C34C6E"/>
    <w:rsid w:val="00C3791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18D1"/>
    <w:rsid w:val="00C821E5"/>
    <w:rsid w:val="00C9104F"/>
    <w:rsid w:val="00C92F2A"/>
    <w:rsid w:val="00C931BD"/>
    <w:rsid w:val="00C9408E"/>
    <w:rsid w:val="00C94A65"/>
    <w:rsid w:val="00C96C5F"/>
    <w:rsid w:val="00CA270F"/>
    <w:rsid w:val="00CA554E"/>
    <w:rsid w:val="00CB4BB7"/>
    <w:rsid w:val="00CB4C80"/>
    <w:rsid w:val="00CB7FD7"/>
    <w:rsid w:val="00CC1355"/>
    <w:rsid w:val="00CC2B62"/>
    <w:rsid w:val="00CC4BC2"/>
    <w:rsid w:val="00CC5A2C"/>
    <w:rsid w:val="00CD0242"/>
    <w:rsid w:val="00CD1D19"/>
    <w:rsid w:val="00CD2F35"/>
    <w:rsid w:val="00CD6C88"/>
    <w:rsid w:val="00CE4390"/>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50409"/>
    <w:rsid w:val="00D50626"/>
    <w:rsid w:val="00D60DCA"/>
    <w:rsid w:val="00D622DA"/>
    <w:rsid w:val="00D70D75"/>
    <w:rsid w:val="00D7181B"/>
    <w:rsid w:val="00D72C12"/>
    <w:rsid w:val="00D751F7"/>
    <w:rsid w:val="00D759C6"/>
    <w:rsid w:val="00D800C5"/>
    <w:rsid w:val="00D81B09"/>
    <w:rsid w:val="00D83A27"/>
    <w:rsid w:val="00D84024"/>
    <w:rsid w:val="00D9223A"/>
    <w:rsid w:val="00D95A0F"/>
    <w:rsid w:val="00DA2FEC"/>
    <w:rsid w:val="00DA35E1"/>
    <w:rsid w:val="00DA623F"/>
    <w:rsid w:val="00DC0168"/>
    <w:rsid w:val="00DC0286"/>
    <w:rsid w:val="00DC03BB"/>
    <w:rsid w:val="00DC3C9A"/>
    <w:rsid w:val="00DC669A"/>
    <w:rsid w:val="00DD2465"/>
    <w:rsid w:val="00DD5E1F"/>
    <w:rsid w:val="00DD73C1"/>
    <w:rsid w:val="00DD7697"/>
    <w:rsid w:val="00DE1FEB"/>
    <w:rsid w:val="00DE4223"/>
    <w:rsid w:val="00DE52A4"/>
    <w:rsid w:val="00DF654A"/>
    <w:rsid w:val="00DF782D"/>
    <w:rsid w:val="00DF79CC"/>
    <w:rsid w:val="00E10345"/>
    <w:rsid w:val="00E10819"/>
    <w:rsid w:val="00E10C0E"/>
    <w:rsid w:val="00E11762"/>
    <w:rsid w:val="00E140BF"/>
    <w:rsid w:val="00E15CAE"/>
    <w:rsid w:val="00E16BC6"/>
    <w:rsid w:val="00E1774B"/>
    <w:rsid w:val="00E20DF8"/>
    <w:rsid w:val="00E27656"/>
    <w:rsid w:val="00E308B8"/>
    <w:rsid w:val="00E4124D"/>
    <w:rsid w:val="00E44353"/>
    <w:rsid w:val="00E45413"/>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9460F"/>
    <w:rsid w:val="00EA155E"/>
    <w:rsid w:val="00EA1D7B"/>
    <w:rsid w:val="00EA29FD"/>
    <w:rsid w:val="00EA440D"/>
    <w:rsid w:val="00EA725B"/>
    <w:rsid w:val="00EA7953"/>
    <w:rsid w:val="00EB0C85"/>
    <w:rsid w:val="00EB4615"/>
    <w:rsid w:val="00EB7F04"/>
    <w:rsid w:val="00EC1824"/>
    <w:rsid w:val="00EC2D3C"/>
    <w:rsid w:val="00EC73B3"/>
    <w:rsid w:val="00ED0C09"/>
    <w:rsid w:val="00ED268C"/>
    <w:rsid w:val="00ED66BC"/>
    <w:rsid w:val="00EE03EE"/>
    <w:rsid w:val="00EE42AF"/>
    <w:rsid w:val="00EE5403"/>
    <w:rsid w:val="00EE5D52"/>
    <w:rsid w:val="00EF043B"/>
    <w:rsid w:val="00EF237E"/>
    <w:rsid w:val="00EF23DF"/>
    <w:rsid w:val="00EF2575"/>
    <w:rsid w:val="00F06FA3"/>
    <w:rsid w:val="00F0780D"/>
    <w:rsid w:val="00F1026C"/>
    <w:rsid w:val="00F16D65"/>
    <w:rsid w:val="00F17B83"/>
    <w:rsid w:val="00F20551"/>
    <w:rsid w:val="00F20790"/>
    <w:rsid w:val="00F2351B"/>
    <w:rsid w:val="00F30A9D"/>
    <w:rsid w:val="00F32B29"/>
    <w:rsid w:val="00F41597"/>
    <w:rsid w:val="00F4296D"/>
    <w:rsid w:val="00F46396"/>
    <w:rsid w:val="00F51BE9"/>
    <w:rsid w:val="00F53B8A"/>
    <w:rsid w:val="00F53FDC"/>
    <w:rsid w:val="00F55118"/>
    <w:rsid w:val="00F551AD"/>
    <w:rsid w:val="00F56E8C"/>
    <w:rsid w:val="00F577EE"/>
    <w:rsid w:val="00F61308"/>
    <w:rsid w:val="00F61547"/>
    <w:rsid w:val="00F619F6"/>
    <w:rsid w:val="00F625A9"/>
    <w:rsid w:val="00F673F0"/>
    <w:rsid w:val="00F7163B"/>
    <w:rsid w:val="00F721F0"/>
    <w:rsid w:val="00F7476C"/>
    <w:rsid w:val="00F75344"/>
    <w:rsid w:val="00F76D5B"/>
    <w:rsid w:val="00F83300"/>
    <w:rsid w:val="00F868B9"/>
    <w:rsid w:val="00F8796D"/>
    <w:rsid w:val="00F912B1"/>
    <w:rsid w:val="00F91942"/>
    <w:rsid w:val="00F93B0E"/>
    <w:rsid w:val="00F93BEE"/>
    <w:rsid w:val="00F948D4"/>
    <w:rsid w:val="00F94A49"/>
    <w:rsid w:val="00F96B9C"/>
    <w:rsid w:val="00F97147"/>
    <w:rsid w:val="00FA0AF2"/>
    <w:rsid w:val="00FA6626"/>
    <w:rsid w:val="00FB033D"/>
    <w:rsid w:val="00FB0DAB"/>
    <w:rsid w:val="00FB2903"/>
    <w:rsid w:val="00FB3AE9"/>
    <w:rsid w:val="00FB79C9"/>
    <w:rsid w:val="00FC0076"/>
    <w:rsid w:val="00FC1156"/>
    <w:rsid w:val="00FC342C"/>
    <w:rsid w:val="00FD13E3"/>
    <w:rsid w:val="00FD1F0A"/>
    <w:rsid w:val="00FD5516"/>
    <w:rsid w:val="00FD6D44"/>
    <w:rsid w:val="00FD72D9"/>
    <w:rsid w:val="00FD7366"/>
    <w:rsid w:val="00FE7C65"/>
    <w:rsid w:val="00FF2267"/>
    <w:rsid w:val="00FF4009"/>
    <w:rsid w:val="00FF4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process/pmg36/resources/nice-health-technology-evaluations-the-manual-pdf-722867792447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nice.org.uk/guidance/gid-ta10986/documents/committee-papers-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e.org.uk/process/pmg36/resources/nice-health-technology-evaluations-the-manual-pdf-72286779244741"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roperties xmlns="http://www.imanage.com/work/xmlschema">
  <documentid>Active1!159734721.4</documentid>
  <senderid>AWNE</senderid>
  <senderemail>AEDWARDS@DACBEACHCROFT.COM</senderemail>
  <lastmodified>2025-02-14T12:42:00.0000000+00:00</lastmodified>
  <database>Active1</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A9F8E-AE9C-4A89-AD9A-B3B3F50D08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B9E263-377E-49D8-8148-7B9F96AE1A03}">
  <ds:schemaRefs>
    <ds:schemaRef ds:uri="http://www.imanage.com/work/xmlschema"/>
  </ds:schemaRefs>
</ds:datastoreItem>
</file>

<file path=customXml/itemProps3.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4.xml><?xml version="1.0" encoding="utf-8"?>
<ds:datastoreItem xmlns:ds="http://schemas.openxmlformats.org/officeDocument/2006/customXml" ds:itemID="{C2D6FC69-BECB-4F66-99CD-A7AB9F6B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49F26-0B47-4B9E-86EA-848D5A3A9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2905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Titmus, Scott</dc:creator>
  <cp:lastModifiedBy>Leah Murphy</cp:lastModifiedBy>
  <cp:revision>8</cp:revision>
  <dcterms:created xsi:type="dcterms:W3CDTF">2025-02-14T14:52:00Z</dcterms:created>
  <dcterms:modified xsi:type="dcterms:W3CDTF">2025-05-01T08:37:00Z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2025-02-14T14:52:21Z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36c9a76d-e510-4a91-99ce-62836051d40a</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