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2B19" w:rsidR="00CC79EF" w:rsidP="00A959F6" w:rsidRDefault="00CC79EF" w14:paraId="1EA86C89" w14:textId="77777777">
      <w:pPr>
        <w:pStyle w:val="Title"/>
      </w:pPr>
      <w:r w:rsidRPr="00AA2B19">
        <w:t>NATIONAL INSTITUTE FOR HEALTH AND C</w:t>
      </w:r>
      <w:r>
        <w:t>ARE</w:t>
      </w:r>
      <w:r w:rsidRPr="00AA2B19">
        <w:t xml:space="preserve"> EXCELLENCE</w:t>
      </w:r>
    </w:p>
    <w:p w:rsidRPr="00AA2B19" w:rsidR="00CC79EF" w:rsidP="00A959F6" w:rsidRDefault="00CC79EF" w14:paraId="3E588F26" w14:textId="16C7FA77">
      <w:pPr>
        <w:pStyle w:val="Title"/>
      </w:pPr>
      <w:r w:rsidRPr="002E4BC9">
        <w:t xml:space="preserve">SINGLE TECHNOLOGY </w:t>
      </w:r>
      <w:r w:rsidRPr="00AA2B19">
        <w:t>APPRAISAL</w:t>
      </w:r>
    </w:p>
    <w:p w:rsidRPr="00AA2B19" w:rsidR="00CC79EF" w:rsidP="00A959F6" w:rsidRDefault="00CC79EF" w14:paraId="6678744D" w14:textId="77777777">
      <w:pPr>
        <w:pStyle w:val="Title"/>
      </w:pPr>
      <w:r w:rsidRPr="00AA2B19">
        <w:t>APPEAL HEARING</w:t>
      </w:r>
    </w:p>
    <w:p w:rsidRPr="00AA2B19" w:rsidR="00CC79EF" w:rsidP="00CC79EF" w:rsidRDefault="00CC79EF" w14:paraId="3612A376" w14:textId="77777777">
      <w:pPr>
        <w:jc w:val="center"/>
        <w:rPr>
          <w:rFonts w:ascii="Arial" w:hAnsi="Arial" w:cs="Arial"/>
          <w:sz w:val="24"/>
          <w:szCs w:val="24"/>
        </w:rPr>
      </w:pPr>
    </w:p>
    <w:p w:rsidR="002E4BC9" w:rsidP="00A959F6" w:rsidRDefault="00CC79EF" w14:paraId="1F0C1482" w14:textId="77777777">
      <w:pPr>
        <w:pStyle w:val="Heading1"/>
      </w:pPr>
      <w:r w:rsidRPr="00AA2B19">
        <w:t xml:space="preserve">Advice on </w:t>
      </w:r>
      <w:r w:rsidR="002E4BC9">
        <w:t>Cemiplimab with platinum-based chemotherapy for untreated advanced non-small-cell lung cancer [ID3949]</w:t>
      </w:r>
    </w:p>
    <w:p w:rsidRPr="00A959F6" w:rsidR="00CC79EF" w:rsidP="00A959F6" w:rsidRDefault="00A959F6" w14:paraId="505460D7" w14:textId="04BC4C58">
      <w:pPr>
        <w:pStyle w:val="Heading1"/>
      </w:pPr>
      <w:r w:rsidRPr="00A959F6">
        <w:t>D</w:t>
      </w:r>
      <w:r w:rsidRPr="00A959F6" w:rsidR="00CC79EF">
        <w:t>ecision</w:t>
      </w:r>
      <w:r w:rsidRPr="00CC79EF" w:rsidR="00CC79EF">
        <w:rPr>
          <w:sz w:val="24"/>
          <w:szCs w:val="24"/>
        </w:rPr>
        <w:t xml:space="preserve"> </w:t>
      </w:r>
      <w:r w:rsidRPr="00A959F6" w:rsidR="00CC79EF">
        <w:t xml:space="preserve">of the </w:t>
      </w:r>
      <w:r w:rsidR="00363E3C">
        <w:t>Appeal P</w:t>
      </w:r>
      <w:r w:rsidRPr="00A959F6" w:rsidR="00CC79EF">
        <w:t>anel</w:t>
      </w:r>
    </w:p>
    <w:p w:rsidRPr="00CC79EF" w:rsidR="00CC79EF" w:rsidP="00A959F6" w:rsidRDefault="00CC79EF" w14:paraId="29F04EAC" w14:textId="77777777">
      <w:pPr>
        <w:pStyle w:val="Heading2"/>
      </w:pPr>
      <w:r w:rsidRPr="00CC79EF">
        <w:t>Introduction</w:t>
      </w:r>
    </w:p>
    <w:p w:rsidRPr="00B93E19" w:rsidR="00CC79EF" w:rsidP="00CC79EF" w:rsidRDefault="00CC79EF" w14:paraId="39F4448E" w14:textId="27E900C8">
      <w:pPr>
        <w:pStyle w:val="Paragraph"/>
        <w:rPr>
          <w:sz w:val="24"/>
          <w:szCs w:val="24"/>
        </w:rPr>
      </w:pPr>
      <w:r w:rsidRPr="00B93E19">
        <w:rPr>
          <w:sz w:val="24"/>
          <w:szCs w:val="24"/>
        </w:rPr>
        <w:t xml:space="preserve">An appeal panel was </w:t>
      </w:r>
      <w:r w:rsidRPr="002E4BC9">
        <w:rPr>
          <w:sz w:val="24"/>
          <w:szCs w:val="24"/>
        </w:rPr>
        <w:t xml:space="preserve">convened on </w:t>
      </w:r>
      <w:r w:rsidRPr="002E4BC9" w:rsidR="002E4BC9">
        <w:rPr>
          <w:sz w:val="24"/>
          <w:szCs w:val="24"/>
        </w:rPr>
        <w:t>3 September 2025</w:t>
      </w:r>
      <w:r w:rsidRPr="002E4BC9">
        <w:rPr>
          <w:sz w:val="24"/>
          <w:szCs w:val="24"/>
        </w:rPr>
        <w:t xml:space="preserve"> to consider an appeal against NICE’s final </w:t>
      </w:r>
      <w:r w:rsidRPr="002E4BC9" w:rsidR="002E4BC9">
        <w:rPr>
          <w:sz w:val="24"/>
          <w:szCs w:val="24"/>
        </w:rPr>
        <w:t>draft guidance</w:t>
      </w:r>
      <w:r w:rsidR="0082206D">
        <w:rPr>
          <w:sz w:val="24"/>
          <w:szCs w:val="24"/>
        </w:rPr>
        <w:t xml:space="preserve"> </w:t>
      </w:r>
      <w:r w:rsidR="003C14DF">
        <w:rPr>
          <w:sz w:val="24"/>
          <w:szCs w:val="24"/>
        </w:rPr>
        <w:t>("FDG")</w:t>
      </w:r>
      <w:r w:rsidRPr="002E4BC9">
        <w:rPr>
          <w:sz w:val="24"/>
          <w:szCs w:val="24"/>
        </w:rPr>
        <w:t xml:space="preserve">, to the NHS, on </w:t>
      </w:r>
      <w:r w:rsidR="009C3D10">
        <w:rPr>
          <w:sz w:val="24"/>
          <w:szCs w:val="24"/>
        </w:rPr>
        <w:t>c</w:t>
      </w:r>
      <w:r w:rsidRPr="002E4BC9" w:rsidR="002E4BC9">
        <w:rPr>
          <w:sz w:val="24"/>
          <w:szCs w:val="24"/>
        </w:rPr>
        <w:t xml:space="preserve">emiplimab with </w:t>
      </w:r>
      <w:proofErr w:type="gramStart"/>
      <w:r w:rsidRPr="002E4BC9" w:rsidR="002E4BC9">
        <w:rPr>
          <w:sz w:val="24"/>
          <w:szCs w:val="24"/>
        </w:rPr>
        <w:t>platinum based</w:t>
      </w:r>
      <w:proofErr w:type="gramEnd"/>
      <w:r w:rsidRPr="002E4BC9" w:rsidR="002E4BC9">
        <w:rPr>
          <w:sz w:val="24"/>
          <w:szCs w:val="24"/>
        </w:rPr>
        <w:t xml:space="preserve"> chemotherapy for untreated </w:t>
      </w:r>
      <w:r w:rsidR="00A845EA">
        <w:rPr>
          <w:sz w:val="24"/>
          <w:szCs w:val="24"/>
        </w:rPr>
        <w:t xml:space="preserve">advanced </w:t>
      </w:r>
      <w:r w:rsidRPr="002E4BC9" w:rsidR="002E4BC9">
        <w:rPr>
          <w:sz w:val="24"/>
          <w:szCs w:val="24"/>
        </w:rPr>
        <w:t xml:space="preserve">non-small-cell lung cancer. </w:t>
      </w:r>
    </w:p>
    <w:p w:rsidR="002E4BC9" w:rsidP="00CC79EF" w:rsidRDefault="00CC79EF" w14:paraId="2294DE9A" w14:textId="66B83FB9">
      <w:pPr>
        <w:pStyle w:val="Paragraph"/>
        <w:rPr>
          <w:sz w:val="24"/>
          <w:szCs w:val="24"/>
        </w:rPr>
      </w:pPr>
      <w:r w:rsidRPr="00B93E19">
        <w:rPr>
          <w:sz w:val="24"/>
          <w:szCs w:val="24"/>
        </w:rPr>
        <w:t xml:space="preserve">The </w:t>
      </w:r>
      <w:r w:rsidR="003856BB">
        <w:rPr>
          <w:sz w:val="24"/>
          <w:szCs w:val="24"/>
        </w:rPr>
        <w:t>a</w:t>
      </w:r>
      <w:r w:rsidRPr="00B93E19">
        <w:rPr>
          <w:sz w:val="24"/>
          <w:szCs w:val="24"/>
        </w:rPr>
        <w:t xml:space="preserve">ppeal </w:t>
      </w:r>
      <w:r w:rsidR="003856BB">
        <w:rPr>
          <w:sz w:val="24"/>
          <w:szCs w:val="24"/>
        </w:rPr>
        <w:t>p</w:t>
      </w:r>
      <w:r w:rsidRPr="00B93E19">
        <w:rPr>
          <w:sz w:val="24"/>
          <w:szCs w:val="24"/>
        </w:rPr>
        <w:t>anel consisted of</w:t>
      </w:r>
      <w:r w:rsidR="000259B8">
        <w:rPr>
          <w:sz w:val="24"/>
          <w:szCs w:val="24"/>
        </w:rPr>
        <w:t>:</w:t>
      </w:r>
      <w:r w:rsidR="00CA2931">
        <w:rPr>
          <w:sz w:val="24"/>
          <w:szCs w:val="24"/>
        </w:rPr>
        <w:t xml:space="preserve"> </w:t>
      </w:r>
    </w:p>
    <w:tbl>
      <w:tblPr>
        <w:tblStyle w:val="TableGrid"/>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0"/>
        <w:gridCol w:w="3787"/>
      </w:tblGrid>
      <w:tr w:rsidR="002E4BC9" w:rsidTr="00B964DA" w14:paraId="0F83BD0F" w14:textId="77777777">
        <w:tc>
          <w:tcPr>
            <w:tcW w:w="3800" w:type="dxa"/>
          </w:tcPr>
          <w:p w:rsidR="002E4BC9" w:rsidP="002E4BC9" w:rsidRDefault="00917DDC" w14:paraId="4180251A" w14:textId="23E4BFBE">
            <w:pPr>
              <w:pStyle w:val="Paragraph"/>
              <w:numPr>
                <w:ilvl w:val="0"/>
                <w:numId w:val="25"/>
              </w:numPr>
              <w:rPr>
                <w:sz w:val="24"/>
                <w:szCs w:val="24"/>
              </w:rPr>
            </w:pPr>
            <w:r>
              <w:rPr>
                <w:sz w:val="24"/>
                <w:szCs w:val="24"/>
              </w:rPr>
              <w:t xml:space="preserve">Professor </w:t>
            </w:r>
            <w:r w:rsidR="002E4BC9">
              <w:rPr>
                <w:sz w:val="24"/>
                <w:szCs w:val="24"/>
              </w:rPr>
              <w:t>Jon Cohen</w:t>
            </w:r>
          </w:p>
        </w:tc>
        <w:tc>
          <w:tcPr>
            <w:tcW w:w="3787" w:type="dxa"/>
          </w:tcPr>
          <w:p w:rsidR="002E4BC9" w:rsidP="002E4BC9" w:rsidRDefault="002E4BC9" w14:paraId="6C1C29FD" w14:textId="6F00954D">
            <w:pPr>
              <w:pStyle w:val="Paragraph"/>
              <w:numPr>
                <w:ilvl w:val="0"/>
                <w:numId w:val="0"/>
              </w:numPr>
              <w:rPr>
                <w:sz w:val="24"/>
                <w:szCs w:val="24"/>
              </w:rPr>
            </w:pPr>
            <w:r>
              <w:rPr>
                <w:sz w:val="24"/>
                <w:szCs w:val="24"/>
              </w:rPr>
              <w:t xml:space="preserve">Chair </w:t>
            </w:r>
          </w:p>
        </w:tc>
      </w:tr>
      <w:tr w:rsidR="002E4BC9" w:rsidTr="00B964DA" w14:paraId="49B460D3" w14:textId="77777777">
        <w:tc>
          <w:tcPr>
            <w:tcW w:w="3800" w:type="dxa"/>
          </w:tcPr>
          <w:p w:rsidR="002E4BC9" w:rsidP="002E4BC9" w:rsidRDefault="00E26AD6" w14:paraId="01CEF52B" w14:textId="22B5861D">
            <w:pPr>
              <w:pStyle w:val="Paragraph"/>
              <w:numPr>
                <w:ilvl w:val="0"/>
                <w:numId w:val="25"/>
              </w:numPr>
              <w:rPr>
                <w:sz w:val="24"/>
                <w:szCs w:val="24"/>
              </w:rPr>
            </w:pPr>
            <w:r>
              <w:rPr>
                <w:sz w:val="24"/>
                <w:szCs w:val="24"/>
              </w:rPr>
              <w:t xml:space="preserve">Professor </w:t>
            </w:r>
            <w:r w:rsidR="002E4BC9">
              <w:rPr>
                <w:sz w:val="24"/>
                <w:szCs w:val="24"/>
              </w:rPr>
              <w:t>Bee Wee</w:t>
            </w:r>
          </w:p>
        </w:tc>
        <w:tc>
          <w:tcPr>
            <w:tcW w:w="3787" w:type="dxa"/>
          </w:tcPr>
          <w:p w:rsidR="002E4BC9" w:rsidP="002E4BC9" w:rsidRDefault="002E4BC9" w14:paraId="7BA024E5" w14:textId="68BFB16D">
            <w:pPr>
              <w:pStyle w:val="Paragraph"/>
              <w:numPr>
                <w:ilvl w:val="0"/>
                <w:numId w:val="0"/>
              </w:numPr>
              <w:rPr>
                <w:sz w:val="24"/>
                <w:szCs w:val="24"/>
              </w:rPr>
            </w:pPr>
            <w:r>
              <w:rPr>
                <w:sz w:val="24"/>
                <w:szCs w:val="24"/>
              </w:rPr>
              <w:t xml:space="preserve">NICE </w:t>
            </w:r>
            <w:r w:rsidR="003856BB">
              <w:rPr>
                <w:sz w:val="24"/>
                <w:szCs w:val="24"/>
              </w:rPr>
              <w:t>n</w:t>
            </w:r>
            <w:r>
              <w:rPr>
                <w:sz w:val="24"/>
                <w:szCs w:val="24"/>
              </w:rPr>
              <w:t>on-</w:t>
            </w:r>
            <w:r w:rsidR="003856BB">
              <w:rPr>
                <w:sz w:val="24"/>
                <w:szCs w:val="24"/>
              </w:rPr>
              <w:t>e</w:t>
            </w:r>
            <w:r>
              <w:rPr>
                <w:sz w:val="24"/>
                <w:szCs w:val="24"/>
              </w:rPr>
              <w:t xml:space="preserve">xecutive </w:t>
            </w:r>
            <w:r w:rsidR="003856BB">
              <w:rPr>
                <w:sz w:val="24"/>
                <w:szCs w:val="24"/>
              </w:rPr>
              <w:t>d</w:t>
            </w:r>
            <w:r>
              <w:rPr>
                <w:sz w:val="24"/>
                <w:szCs w:val="24"/>
              </w:rPr>
              <w:t>irector</w:t>
            </w:r>
          </w:p>
        </w:tc>
      </w:tr>
      <w:tr w:rsidR="002E4BC9" w:rsidTr="00B964DA" w14:paraId="702B4214" w14:textId="77777777">
        <w:tc>
          <w:tcPr>
            <w:tcW w:w="3800" w:type="dxa"/>
          </w:tcPr>
          <w:p w:rsidR="002E4BC9" w:rsidP="002E4BC9" w:rsidRDefault="002E4BC9" w14:paraId="4BF89C86" w14:textId="64EF2838">
            <w:pPr>
              <w:pStyle w:val="Paragraph"/>
              <w:numPr>
                <w:ilvl w:val="0"/>
                <w:numId w:val="25"/>
              </w:numPr>
              <w:rPr>
                <w:sz w:val="24"/>
                <w:szCs w:val="24"/>
              </w:rPr>
            </w:pPr>
            <w:r>
              <w:rPr>
                <w:sz w:val="24"/>
                <w:szCs w:val="24"/>
              </w:rPr>
              <w:t>Adrian Griffin</w:t>
            </w:r>
          </w:p>
        </w:tc>
        <w:tc>
          <w:tcPr>
            <w:tcW w:w="3787" w:type="dxa"/>
          </w:tcPr>
          <w:p w:rsidR="002E4BC9" w:rsidP="002E4BC9" w:rsidRDefault="002E4BC9" w14:paraId="1B99A3BD" w14:textId="3C2BA355">
            <w:pPr>
              <w:pStyle w:val="Paragraph"/>
              <w:numPr>
                <w:ilvl w:val="0"/>
                <w:numId w:val="0"/>
              </w:numPr>
              <w:rPr>
                <w:sz w:val="24"/>
                <w:szCs w:val="24"/>
              </w:rPr>
            </w:pPr>
            <w:r>
              <w:rPr>
                <w:sz w:val="24"/>
                <w:szCs w:val="24"/>
              </w:rPr>
              <w:t xml:space="preserve">Industry </w:t>
            </w:r>
            <w:r w:rsidR="003856BB">
              <w:rPr>
                <w:sz w:val="24"/>
                <w:szCs w:val="24"/>
              </w:rPr>
              <w:t>r</w:t>
            </w:r>
            <w:r>
              <w:rPr>
                <w:sz w:val="24"/>
                <w:szCs w:val="24"/>
              </w:rPr>
              <w:t>epresentative</w:t>
            </w:r>
          </w:p>
        </w:tc>
      </w:tr>
      <w:tr w:rsidR="002E4BC9" w:rsidTr="00B964DA" w14:paraId="33976D2B" w14:textId="77777777">
        <w:tc>
          <w:tcPr>
            <w:tcW w:w="3800" w:type="dxa"/>
          </w:tcPr>
          <w:p w:rsidR="002E4BC9" w:rsidP="002E4BC9" w:rsidRDefault="002E4BC9" w14:paraId="759D8AE9" w14:textId="2E774289">
            <w:pPr>
              <w:pStyle w:val="Paragraph"/>
              <w:numPr>
                <w:ilvl w:val="0"/>
                <w:numId w:val="25"/>
              </w:numPr>
              <w:rPr>
                <w:sz w:val="24"/>
                <w:szCs w:val="24"/>
              </w:rPr>
            </w:pPr>
            <w:r>
              <w:rPr>
                <w:sz w:val="24"/>
                <w:szCs w:val="24"/>
              </w:rPr>
              <w:t>Chris Rao</w:t>
            </w:r>
          </w:p>
        </w:tc>
        <w:tc>
          <w:tcPr>
            <w:tcW w:w="3787" w:type="dxa"/>
          </w:tcPr>
          <w:p w:rsidR="002E4BC9" w:rsidP="002E4BC9" w:rsidRDefault="002E4BC9" w14:paraId="37E6FD7D" w14:textId="3EF87AFD">
            <w:pPr>
              <w:pStyle w:val="Paragraph"/>
              <w:numPr>
                <w:ilvl w:val="0"/>
                <w:numId w:val="0"/>
              </w:numPr>
              <w:rPr>
                <w:sz w:val="24"/>
                <w:szCs w:val="24"/>
              </w:rPr>
            </w:pPr>
            <w:r>
              <w:rPr>
                <w:sz w:val="24"/>
                <w:szCs w:val="24"/>
              </w:rPr>
              <w:t xml:space="preserve">Health </w:t>
            </w:r>
            <w:r w:rsidR="003856BB">
              <w:rPr>
                <w:sz w:val="24"/>
                <w:szCs w:val="24"/>
              </w:rPr>
              <w:t>s</w:t>
            </w:r>
            <w:r>
              <w:rPr>
                <w:sz w:val="24"/>
                <w:szCs w:val="24"/>
              </w:rPr>
              <w:t xml:space="preserve">ervice </w:t>
            </w:r>
            <w:r w:rsidR="003856BB">
              <w:rPr>
                <w:sz w:val="24"/>
                <w:szCs w:val="24"/>
              </w:rPr>
              <w:t>r</w:t>
            </w:r>
            <w:r>
              <w:rPr>
                <w:sz w:val="24"/>
                <w:szCs w:val="24"/>
              </w:rPr>
              <w:t>epresentative</w:t>
            </w:r>
          </w:p>
        </w:tc>
      </w:tr>
      <w:tr w:rsidR="002E4BC9" w:rsidTr="00B964DA" w14:paraId="2360E0DE" w14:textId="77777777">
        <w:tc>
          <w:tcPr>
            <w:tcW w:w="3800" w:type="dxa"/>
          </w:tcPr>
          <w:p w:rsidR="002E4BC9" w:rsidP="002E4BC9" w:rsidRDefault="002E4BC9" w14:paraId="7DBA15DF" w14:textId="65D50353">
            <w:pPr>
              <w:pStyle w:val="Paragraph"/>
              <w:numPr>
                <w:ilvl w:val="0"/>
                <w:numId w:val="25"/>
              </w:numPr>
              <w:rPr>
                <w:sz w:val="24"/>
                <w:szCs w:val="24"/>
              </w:rPr>
            </w:pPr>
            <w:r>
              <w:rPr>
                <w:sz w:val="24"/>
                <w:szCs w:val="24"/>
              </w:rPr>
              <w:t>David Chandler</w:t>
            </w:r>
          </w:p>
        </w:tc>
        <w:tc>
          <w:tcPr>
            <w:tcW w:w="3787" w:type="dxa"/>
          </w:tcPr>
          <w:p w:rsidR="002E4BC9" w:rsidP="002E4BC9" w:rsidRDefault="002E4BC9" w14:paraId="66E61282" w14:textId="34FA0CF5">
            <w:pPr>
              <w:pStyle w:val="Paragraph"/>
              <w:numPr>
                <w:ilvl w:val="0"/>
                <w:numId w:val="0"/>
              </w:numPr>
              <w:rPr>
                <w:sz w:val="24"/>
                <w:szCs w:val="24"/>
              </w:rPr>
            </w:pPr>
            <w:r>
              <w:rPr>
                <w:sz w:val="24"/>
                <w:szCs w:val="24"/>
              </w:rPr>
              <w:t xml:space="preserve">Lay </w:t>
            </w:r>
            <w:r w:rsidR="003856BB">
              <w:rPr>
                <w:sz w:val="24"/>
                <w:szCs w:val="24"/>
              </w:rPr>
              <w:t>r</w:t>
            </w:r>
            <w:r>
              <w:rPr>
                <w:sz w:val="24"/>
                <w:szCs w:val="24"/>
              </w:rPr>
              <w:t>epresentative</w:t>
            </w:r>
          </w:p>
        </w:tc>
      </w:tr>
    </w:tbl>
    <w:p w:rsidR="002E4BC9" w:rsidP="002E4BC9" w:rsidRDefault="002E4BC9" w14:paraId="7B654C40" w14:textId="77777777">
      <w:pPr>
        <w:pStyle w:val="Paragraph"/>
        <w:numPr>
          <w:ilvl w:val="0"/>
          <w:numId w:val="0"/>
        </w:numPr>
        <w:ind w:left="709"/>
        <w:rPr>
          <w:sz w:val="24"/>
          <w:szCs w:val="24"/>
        </w:rPr>
      </w:pPr>
    </w:p>
    <w:p w:rsidRPr="002E4BC9" w:rsidR="00CC79EF" w:rsidRDefault="00CC79EF" w14:paraId="00CB7AB0" w14:textId="3E6E7E78">
      <w:pPr>
        <w:pStyle w:val="Paragraph"/>
        <w:rPr>
          <w:sz w:val="24"/>
          <w:szCs w:val="24"/>
        </w:rPr>
      </w:pPr>
      <w:r w:rsidRPr="002E4BC9">
        <w:rPr>
          <w:sz w:val="24"/>
          <w:szCs w:val="24"/>
        </w:rPr>
        <w:lastRenderedPageBreak/>
        <w:t xml:space="preserve">None of the members of the </w:t>
      </w:r>
      <w:r w:rsidR="003856BB">
        <w:rPr>
          <w:sz w:val="24"/>
          <w:szCs w:val="24"/>
        </w:rPr>
        <w:t>a</w:t>
      </w:r>
      <w:r w:rsidRPr="002E4BC9">
        <w:rPr>
          <w:sz w:val="24"/>
          <w:szCs w:val="24"/>
        </w:rPr>
        <w:t xml:space="preserve">ppeal </w:t>
      </w:r>
      <w:r w:rsidR="003856BB">
        <w:rPr>
          <w:sz w:val="24"/>
          <w:szCs w:val="24"/>
        </w:rPr>
        <w:t>p</w:t>
      </w:r>
      <w:r w:rsidRPr="002E4BC9">
        <w:rPr>
          <w:sz w:val="24"/>
          <w:szCs w:val="24"/>
        </w:rPr>
        <w:t xml:space="preserve">anel had any competing interest to declare. </w:t>
      </w:r>
    </w:p>
    <w:p w:rsidRPr="002E4BC9" w:rsidR="00CC79EF" w:rsidRDefault="00CC79EF" w14:paraId="08E13CFD" w14:textId="49161073">
      <w:pPr>
        <w:pStyle w:val="Paragraph"/>
        <w:spacing w:after="0" w:line="240" w:lineRule="auto"/>
        <w:rPr>
          <w:rFonts w:cs="Arial"/>
          <w:sz w:val="24"/>
          <w:szCs w:val="24"/>
        </w:rPr>
      </w:pPr>
      <w:r w:rsidRPr="002E4BC9">
        <w:rPr>
          <w:sz w:val="24"/>
          <w:szCs w:val="24"/>
        </w:rPr>
        <w:t xml:space="preserve">The </w:t>
      </w:r>
      <w:r w:rsidR="003856BB">
        <w:rPr>
          <w:sz w:val="24"/>
          <w:szCs w:val="24"/>
        </w:rPr>
        <w:t>p</w:t>
      </w:r>
      <w:r w:rsidR="003C14DF">
        <w:rPr>
          <w:sz w:val="24"/>
          <w:szCs w:val="24"/>
        </w:rPr>
        <w:t>anel</w:t>
      </w:r>
      <w:r w:rsidRPr="002E4BC9">
        <w:rPr>
          <w:sz w:val="24"/>
          <w:szCs w:val="24"/>
        </w:rPr>
        <w:t xml:space="preserve"> considered</w:t>
      </w:r>
      <w:r w:rsidRPr="002E4BC9" w:rsidR="002E4BC9">
        <w:rPr>
          <w:sz w:val="24"/>
          <w:szCs w:val="24"/>
        </w:rPr>
        <w:t xml:space="preserve"> an</w:t>
      </w:r>
      <w:r w:rsidRPr="002E4BC9">
        <w:rPr>
          <w:sz w:val="24"/>
          <w:szCs w:val="24"/>
        </w:rPr>
        <w:t xml:space="preserve"> appeal submitted by</w:t>
      </w:r>
      <w:r w:rsidRPr="002E4BC9" w:rsidR="002E4BC9">
        <w:rPr>
          <w:sz w:val="24"/>
          <w:szCs w:val="24"/>
        </w:rPr>
        <w:t xml:space="preserve"> Regeneron ("the </w:t>
      </w:r>
      <w:r w:rsidR="003856BB">
        <w:rPr>
          <w:sz w:val="24"/>
          <w:szCs w:val="24"/>
        </w:rPr>
        <w:t>c</w:t>
      </w:r>
      <w:r w:rsidRPr="002E4BC9" w:rsidR="002E4BC9">
        <w:rPr>
          <w:sz w:val="24"/>
          <w:szCs w:val="24"/>
        </w:rPr>
        <w:t xml:space="preserve">ompany"). </w:t>
      </w:r>
      <w:r w:rsidRPr="002E4BC9">
        <w:rPr>
          <w:sz w:val="24"/>
          <w:szCs w:val="24"/>
        </w:rPr>
        <w:t xml:space="preserve"> </w:t>
      </w:r>
    </w:p>
    <w:p w:rsidRPr="002E4BC9" w:rsidR="00CC79EF" w:rsidP="00CC79EF" w:rsidRDefault="0004218D" w14:paraId="43ED659A" w14:textId="3A248702">
      <w:pPr>
        <w:pStyle w:val="Paragraph"/>
        <w:rPr>
          <w:sz w:val="24"/>
          <w:szCs w:val="24"/>
        </w:rPr>
      </w:pPr>
      <w:r>
        <w:rPr>
          <w:sz w:val="24"/>
          <w:szCs w:val="24"/>
        </w:rPr>
        <w:t>Regeneron</w:t>
      </w:r>
      <w:r w:rsidRPr="002E4BC9" w:rsidR="002E4BC9">
        <w:rPr>
          <w:sz w:val="24"/>
          <w:szCs w:val="24"/>
        </w:rPr>
        <w:t xml:space="preserve"> was </w:t>
      </w:r>
      <w:r w:rsidRPr="002E4BC9" w:rsidR="00CC79EF">
        <w:rPr>
          <w:sz w:val="24"/>
          <w:szCs w:val="24"/>
        </w:rPr>
        <w:t xml:space="preserve">represented by: </w:t>
      </w:r>
    </w:p>
    <w:tbl>
      <w:tblPr>
        <w:tblStyle w:val="TableGrid"/>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8"/>
        <w:gridCol w:w="3779"/>
      </w:tblGrid>
      <w:tr w:rsidR="002E4BC9" w:rsidTr="00B964DA" w14:paraId="4B099E6B" w14:textId="77777777">
        <w:tc>
          <w:tcPr>
            <w:tcW w:w="3808" w:type="dxa"/>
          </w:tcPr>
          <w:p w:rsidR="002E4BC9" w:rsidP="002E4BC9" w:rsidRDefault="002E4BC9" w14:paraId="4BDF758B" w14:textId="177D0A98">
            <w:pPr>
              <w:pStyle w:val="Paragraph"/>
              <w:numPr>
                <w:ilvl w:val="0"/>
                <w:numId w:val="25"/>
              </w:numPr>
              <w:rPr>
                <w:sz w:val="24"/>
                <w:szCs w:val="24"/>
              </w:rPr>
            </w:pPr>
            <w:r>
              <w:rPr>
                <w:sz w:val="24"/>
                <w:szCs w:val="24"/>
              </w:rPr>
              <w:t>Alan Kane</w:t>
            </w:r>
          </w:p>
        </w:tc>
        <w:tc>
          <w:tcPr>
            <w:tcW w:w="3779" w:type="dxa"/>
          </w:tcPr>
          <w:p w:rsidR="002E4BC9" w:rsidP="002E4BC9" w:rsidRDefault="002E4BC9" w14:paraId="56AD224C" w14:textId="54EC44F3">
            <w:pPr>
              <w:pStyle w:val="Paragraph"/>
              <w:numPr>
                <w:ilvl w:val="0"/>
                <w:numId w:val="0"/>
              </w:numPr>
              <w:rPr>
                <w:sz w:val="24"/>
                <w:szCs w:val="24"/>
              </w:rPr>
            </w:pPr>
            <w:r>
              <w:rPr>
                <w:sz w:val="24"/>
                <w:szCs w:val="24"/>
              </w:rPr>
              <w:t>Market Access Lead</w:t>
            </w:r>
          </w:p>
        </w:tc>
      </w:tr>
      <w:tr w:rsidR="002E4BC9" w:rsidTr="00B964DA" w14:paraId="36312BB4" w14:textId="77777777">
        <w:tc>
          <w:tcPr>
            <w:tcW w:w="3808" w:type="dxa"/>
          </w:tcPr>
          <w:p w:rsidR="002E4BC9" w:rsidP="002E4BC9" w:rsidRDefault="002E4BC9" w14:paraId="4B0F3C6C" w14:textId="46AE4A4A">
            <w:pPr>
              <w:pStyle w:val="Paragraph"/>
              <w:numPr>
                <w:ilvl w:val="0"/>
                <w:numId w:val="25"/>
              </w:numPr>
              <w:rPr>
                <w:sz w:val="24"/>
                <w:szCs w:val="24"/>
              </w:rPr>
            </w:pPr>
            <w:r>
              <w:rPr>
                <w:sz w:val="24"/>
                <w:szCs w:val="24"/>
              </w:rPr>
              <w:t>James Cann</w:t>
            </w:r>
          </w:p>
        </w:tc>
        <w:tc>
          <w:tcPr>
            <w:tcW w:w="3779" w:type="dxa"/>
          </w:tcPr>
          <w:p w:rsidR="002E4BC9" w:rsidP="002E4BC9" w:rsidRDefault="002E4BC9" w14:paraId="228DD500" w14:textId="58EE4533">
            <w:pPr>
              <w:pStyle w:val="Paragraph"/>
              <w:numPr>
                <w:ilvl w:val="0"/>
                <w:numId w:val="0"/>
              </w:numPr>
              <w:rPr>
                <w:sz w:val="24"/>
                <w:szCs w:val="24"/>
              </w:rPr>
            </w:pPr>
            <w:r>
              <w:rPr>
                <w:sz w:val="24"/>
                <w:szCs w:val="24"/>
              </w:rPr>
              <w:t>Senior Manager Market Access</w:t>
            </w:r>
          </w:p>
        </w:tc>
      </w:tr>
      <w:tr w:rsidR="002E4BC9" w:rsidTr="00B964DA" w14:paraId="4DC0DFD6" w14:textId="77777777">
        <w:tc>
          <w:tcPr>
            <w:tcW w:w="3808" w:type="dxa"/>
          </w:tcPr>
          <w:p w:rsidR="002E4BC9" w:rsidP="002E4BC9" w:rsidRDefault="00AB567F" w14:paraId="33A96E91" w14:textId="1A7ACD04">
            <w:pPr>
              <w:pStyle w:val="Paragraph"/>
              <w:numPr>
                <w:ilvl w:val="0"/>
                <w:numId w:val="25"/>
              </w:numPr>
              <w:rPr>
                <w:sz w:val="24"/>
                <w:szCs w:val="24"/>
              </w:rPr>
            </w:pPr>
            <w:r>
              <w:rPr>
                <w:sz w:val="24"/>
                <w:szCs w:val="24"/>
              </w:rPr>
              <w:t xml:space="preserve">Dr </w:t>
            </w:r>
            <w:r w:rsidR="002E4BC9">
              <w:rPr>
                <w:sz w:val="24"/>
                <w:szCs w:val="24"/>
              </w:rPr>
              <w:t>Vanessa Buchanan</w:t>
            </w:r>
          </w:p>
        </w:tc>
        <w:tc>
          <w:tcPr>
            <w:tcW w:w="3779" w:type="dxa"/>
          </w:tcPr>
          <w:p w:rsidR="002E4BC9" w:rsidP="002E4BC9" w:rsidRDefault="002E4BC9" w14:paraId="0603758A" w14:textId="55447A8D">
            <w:pPr>
              <w:pStyle w:val="Paragraph"/>
              <w:numPr>
                <w:ilvl w:val="0"/>
                <w:numId w:val="0"/>
              </w:numPr>
              <w:rPr>
                <w:sz w:val="24"/>
                <w:szCs w:val="24"/>
              </w:rPr>
            </w:pPr>
            <w:r>
              <w:rPr>
                <w:sz w:val="24"/>
                <w:szCs w:val="24"/>
              </w:rPr>
              <w:t>Health Economist</w:t>
            </w:r>
          </w:p>
        </w:tc>
      </w:tr>
      <w:tr w:rsidR="002E4BC9" w:rsidTr="00B964DA" w14:paraId="2C2A172E" w14:textId="77777777">
        <w:tc>
          <w:tcPr>
            <w:tcW w:w="3808" w:type="dxa"/>
          </w:tcPr>
          <w:p w:rsidR="002E4BC9" w:rsidP="002E4BC9" w:rsidRDefault="00EF7BE3" w14:paraId="1BF652C2" w14:textId="4B2BD498">
            <w:pPr>
              <w:pStyle w:val="Paragraph"/>
              <w:numPr>
                <w:ilvl w:val="0"/>
                <w:numId w:val="25"/>
              </w:numPr>
              <w:rPr>
                <w:sz w:val="24"/>
                <w:szCs w:val="24"/>
              </w:rPr>
            </w:pPr>
            <w:r>
              <w:rPr>
                <w:sz w:val="24"/>
                <w:szCs w:val="24"/>
              </w:rPr>
              <w:t xml:space="preserve">Dr </w:t>
            </w:r>
            <w:r w:rsidR="002E4BC9">
              <w:rPr>
                <w:sz w:val="24"/>
                <w:szCs w:val="24"/>
              </w:rPr>
              <w:t>Shobhit Baijal</w:t>
            </w:r>
          </w:p>
        </w:tc>
        <w:tc>
          <w:tcPr>
            <w:tcW w:w="3779" w:type="dxa"/>
          </w:tcPr>
          <w:p w:rsidR="002E4BC9" w:rsidP="002E4BC9" w:rsidRDefault="002E4BC9" w14:paraId="53D1A169" w14:textId="1510FBA5">
            <w:pPr>
              <w:pStyle w:val="Paragraph"/>
              <w:numPr>
                <w:ilvl w:val="0"/>
                <w:numId w:val="0"/>
              </w:numPr>
              <w:rPr>
                <w:sz w:val="24"/>
                <w:szCs w:val="24"/>
              </w:rPr>
            </w:pPr>
            <w:r>
              <w:rPr>
                <w:sz w:val="24"/>
                <w:szCs w:val="24"/>
              </w:rPr>
              <w:t>Consultant Medical Oncologist</w:t>
            </w:r>
          </w:p>
        </w:tc>
      </w:tr>
      <w:tr w:rsidR="002E4BC9" w:rsidTr="00B964DA" w14:paraId="6E5514EC" w14:textId="77777777">
        <w:tc>
          <w:tcPr>
            <w:tcW w:w="3808" w:type="dxa"/>
          </w:tcPr>
          <w:p w:rsidR="002E4BC9" w:rsidP="002E4BC9" w:rsidRDefault="002E4BC9" w14:paraId="587ED302" w14:textId="5FE4AC5F">
            <w:pPr>
              <w:pStyle w:val="Paragraph"/>
              <w:numPr>
                <w:ilvl w:val="0"/>
                <w:numId w:val="25"/>
              </w:numPr>
              <w:rPr>
                <w:sz w:val="24"/>
                <w:szCs w:val="24"/>
              </w:rPr>
            </w:pPr>
            <w:r>
              <w:rPr>
                <w:sz w:val="24"/>
                <w:szCs w:val="24"/>
              </w:rPr>
              <w:t>Grant Castle</w:t>
            </w:r>
          </w:p>
        </w:tc>
        <w:tc>
          <w:tcPr>
            <w:tcW w:w="3779" w:type="dxa"/>
          </w:tcPr>
          <w:p w:rsidR="002E4BC9" w:rsidP="002E4BC9" w:rsidRDefault="002E4BC9" w14:paraId="1471D716" w14:textId="62B58FE0">
            <w:pPr>
              <w:pStyle w:val="Paragraph"/>
              <w:numPr>
                <w:ilvl w:val="0"/>
                <w:numId w:val="0"/>
              </w:numPr>
              <w:rPr>
                <w:sz w:val="24"/>
                <w:szCs w:val="24"/>
              </w:rPr>
            </w:pPr>
            <w:r>
              <w:rPr>
                <w:sz w:val="24"/>
                <w:szCs w:val="24"/>
              </w:rPr>
              <w:t>Legal Representative</w:t>
            </w:r>
          </w:p>
        </w:tc>
      </w:tr>
    </w:tbl>
    <w:p w:rsidR="00CC79EF" w:rsidP="00CC79EF" w:rsidRDefault="00CC79EF" w14:paraId="3DAD1F11" w14:textId="1B2639D4">
      <w:pPr>
        <w:pStyle w:val="Paragraph"/>
        <w:rPr>
          <w:sz w:val="24"/>
          <w:szCs w:val="24"/>
        </w:rPr>
      </w:pPr>
      <w:r w:rsidRPr="00B93E19">
        <w:rPr>
          <w:sz w:val="24"/>
          <w:szCs w:val="24"/>
        </w:rPr>
        <w:t xml:space="preserve">In addition, the following individuals involved in the appraisal were present and available to answer questions from the </w:t>
      </w:r>
      <w:r w:rsidR="00875A46">
        <w:rPr>
          <w:sz w:val="24"/>
          <w:szCs w:val="24"/>
        </w:rPr>
        <w:t>a</w:t>
      </w:r>
      <w:r w:rsidRPr="00B93E19">
        <w:rPr>
          <w:sz w:val="24"/>
          <w:szCs w:val="24"/>
        </w:rPr>
        <w:t xml:space="preserve">ppeal </w:t>
      </w:r>
      <w:r w:rsidR="00875A46">
        <w:rPr>
          <w:sz w:val="24"/>
          <w:szCs w:val="24"/>
        </w:rPr>
        <w:t>p</w:t>
      </w:r>
      <w:r w:rsidRPr="00B93E19">
        <w:rPr>
          <w:sz w:val="24"/>
          <w:szCs w:val="24"/>
        </w:rPr>
        <w:t>anel:</w:t>
      </w:r>
    </w:p>
    <w:tbl>
      <w:tblPr>
        <w:tblStyle w:val="TableGrid"/>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85"/>
        <w:gridCol w:w="3712"/>
      </w:tblGrid>
      <w:tr w:rsidR="00B964DA" w:rsidTr="009C3D10" w14:paraId="5B70CD73" w14:textId="77777777">
        <w:tc>
          <w:tcPr>
            <w:tcW w:w="4148" w:type="dxa"/>
          </w:tcPr>
          <w:p w:rsidR="002E4BC9" w:rsidP="00B964DA" w:rsidRDefault="00F557AD" w14:paraId="46B24E77" w14:textId="72D0F39B">
            <w:pPr>
              <w:pStyle w:val="Paragraph"/>
              <w:numPr>
                <w:ilvl w:val="0"/>
                <w:numId w:val="25"/>
              </w:numPr>
              <w:rPr>
                <w:sz w:val="24"/>
                <w:szCs w:val="24"/>
              </w:rPr>
            </w:pPr>
            <w:r>
              <w:rPr>
                <w:sz w:val="24"/>
                <w:szCs w:val="24"/>
              </w:rPr>
              <w:t xml:space="preserve">Dr </w:t>
            </w:r>
            <w:r w:rsidR="00B964DA">
              <w:rPr>
                <w:sz w:val="24"/>
                <w:szCs w:val="24"/>
              </w:rPr>
              <w:t>Raju Reddy</w:t>
            </w:r>
          </w:p>
        </w:tc>
        <w:tc>
          <w:tcPr>
            <w:tcW w:w="4148" w:type="dxa"/>
          </w:tcPr>
          <w:p w:rsidR="002E4BC9" w:rsidP="002E4BC9" w:rsidRDefault="00B964DA" w14:paraId="41790991" w14:textId="70F457F9">
            <w:pPr>
              <w:pStyle w:val="Paragraph"/>
              <w:numPr>
                <w:ilvl w:val="0"/>
                <w:numId w:val="0"/>
              </w:numPr>
              <w:rPr>
                <w:sz w:val="24"/>
                <w:szCs w:val="24"/>
              </w:rPr>
            </w:pPr>
            <w:r>
              <w:rPr>
                <w:sz w:val="24"/>
                <w:szCs w:val="24"/>
              </w:rPr>
              <w:t xml:space="preserve">Technology Appraisal Committee D Chair </w:t>
            </w:r>
          </w:p>
        </w:tc>
      </w:tr>
      <w:tr w:rsidR="00B964DA" w:rsidTr="009C3D10" w14:paraId="2E1E2A89" w14:textId="77777777">
        <w:tc>
          <w:tcPr>
            <w:tcW w:w="4148" w:type="dxa"/>
          </w:tcPr>
          <w:p w:rsidR="002E4BC9" w:rsidP="00B964DA" w:rsidRDefault="00B964DA" w14:paraId="1186A373" w14:textId="7351F43E">
            <w:pPr>
              <w:pStyle w:val="Paragraph"/>
              <w:numPr>
                <w:ilvl w:val="0"/>
                <w:numId w:val="25"/>
              </w:numPr>
              <w:rPr>
                <w:sz w:val="24"/>
                <w:szCs w:val="24"/>
              </w:rPr>
            </w:pPr>
            <w:r>
              <w:rPr>
                <w:sz w:val="24"/>
                <w:szCs w:val="24"/>
              </w:rPr>
              <w:t>Helen Knight</w:t>
            </w:r>
          </w:p>
        </w:tc>
        <w:tc>
          <w:tcPr>
            <w:tcW w:w="4148" w:type="dxa"/>
          </w:tcPr>
          <w:p w:rsidR="002E4BC9" w:rsidP="002E4BC9" w:rsidRDefault="00B964DA" w14:paraId="7539311D" w14:textId="3130D874">
            <w:pPr>
              <w:pStyle w:val="Paragraph"/>
              <w:numPr>
                <w:ilvl w:val="0"/>
                <w:numId w:val="0"/>
              </w:numPr>
              <w:rPr>
                <w:sz w:val="24"/>
                <w:szCs w:val="24"/>
              </w:rPr>
            </w:pPr>
            <w:r>
              <w:rPr>
                <w:sz w:val="24"/>
                <w:szCs w:val="24"/>
              </w:rPr>
              <w:t>Director of Medicines Evaluation</w:t>
            </w:r>
            <w:r w:rsidR="00C96031">
              <w:rPr>
                <w:sz w:val="24"/>
                <w:szCs w:val="24"/>
              </w:rPr>
              <w:t>, NICE</w:t>
            </w:r>
          </w:p>
        </w:tc>
      </w:tr>
      <w:tr w:rsidR="00B964DA" w:rsidTr="009C3D10" w14:paraId="0261172A" w14:textId="77777777">
        <w:tc>
          <w:tcPr>
            <w:tcW w:w="4148" w:type="dxa"/>
          </w:tcPr>
          <w:p w:rsidR="002E4BC9" w:rsidP="00B964DA" w:rsidRDefault="00B964DA" w14:paraId="56528D21" w14:textId="2008F79F">
            <w:pPr>
              <w:pStyle w:val="Paragraph"/>
              <w:numPr>
                <w:ilvl w:val="0"/>
                <w:numId w:val="25"/>
              </w:numPr>
              <w:rPr>
                <w:sz w:val="24"/>
                <w:szCs w:val="24"/>
              </w:rPr>
            </w:pPr>
            <w:r>
              <w:rPr>
                <w:sz w:val="24"/>
                <w:szCs w:val="24"/>
              </w:rPr>
              <w:t>Ross Dent</w:t>
            </w:r>
          </w:p>
        </w:tc>
        <w:tc>
          <w:tcPr>
            <w:tcW w:w="4148" w:type="dxa"/>
          </w:tcPr>
          <w:p w:rsidR="002E4BC9" w:rsidP="002E4BC9" w:rsidRDefault="00B964DA" w14:paraId="37FD1024" w14:textId="1BD653AD">
            <w:pPr>
              <w:pStyle w:val="Paragraph"/>
              <w:numPr>
                <w:ilvl w:val="0"/>
                <w:numId w:val="0"/>
              </w:numPr>
              <w:rPr>
                <w:sz w:val="24"/>
                <w:szCs w:val="24"/>
              </w:rPr>
            </w:pPr>
            <w:r>
              <w:rPr>
                <w:sz w:val="24"/>
                <w:szCs w:val="24"/>
              </w:rPr>
              <w:t>Associate Director</w:t>
            </w:r>
            <w:r w:rsidR="00C96031">
              <w:rPr>
                <w:sz w:val="24"/>
                <w:szCs w:val="24"/>
              </w:rPr>
              <w:t>, NICE</w:t>
            </w:r>
          </w:p>
        </w:tc>
      </w:tr>
      <w:tr w:rsidR="00B964DA" w:rsidTr="009C3D10" w14:paraId="7DF11783" w14:textId="77777777">
        <w:tc>
          <w:tcPr>
            <w:tcW w:w="4148" w:type="dxa"/>
          </w:tcPr>
          <w:p w:rsidR="00B964DA" w:rsidP="00B964DA" w:rsidRDefault="00B964DA" w14:paraId="52658B4F" w14:textId="03931884">
            <w:pPr>
              <w:pStyle w:val="Paragraph"/>
              <w:numPr>
                <w:ilvl w:val="0"/>
                <w:numId w:val="25"/>
              </w:numPr>
              <w:rPr>
                <w:sz w:val="24"/>
                <w:szCs w:val="24"/>
              </w:rPr>
            </w:pPr>
            <w:r>
              <w:rPr>
                <w:sz w:val="24"/>
                <w:szCs w:val="24"/>
              </w:rPr>
              <w:t>Rachel Williams</w:t>
            </w:r>
          </w:p>
        </w:tc>
        <w:tc>
          <w:tcPr>
            <w:tcW w:w="4148" w:type="dxa"/>
          </w:tcPr>
          <w:p w:rsidR="00B964DA" w:rsidP="002E4BC9" w:rsidRDefault="228C1338" w14:paraId="1C9E3F5A" w14:textId="14A6374D">
            <w:pPr>
              <w:pStyle w:val="Paragraph"/>
              <w:numPr>
                <w:ilvl w:val="0"/>
                <w:numId w:val="0"/>
              </w:numPr>
              <w:rPr>
                <w:sz w:val="24"/>
                <w:szCs w:val="24"/>
              </w:rPr>
            </w:pPr>
            <w:r w:rsidRPr="24B90130">
              <w:rPr>
                <w:sz w:val="24"/>
                <w:szCs w:val="24"/>
              </w:rPr>
              <w:t>Health Technology Assessment Adviser</w:t>
            </w:r>
            <w:r w:rsidR="00C96031">
              <w:rPr>
                <w:sz w:val="24"/>
                <w:szCs w:val="24"/>
              </w:rPr>
              <w:t>, NICE</w:t>
            </w:r>
          </w:p>
        </w:tc>
      </w:tr>
      <w:tr w:rsidR="00B964DA" w:rsidTr="009C3D10" w14:paraId="325A6661" w14:textId="77777777">
        <w:tc>
          <w:tcPr>
            <w:tcW w:w="4148" w:type="dxa"/>
          </w:tcPr>
          <w:p w:rsidR="00B964DA" w:rsidP="00B964DA" w:rsidRDefault="00B964DA" w14:paraId="4DEEA48B" w14:textId="085F39A3">
            <w:pPr>
              <w:pStyle w:val="Paragraph"/>
              <w:numPr>
                <w:ilvl w:val="0"/>
                <w:numId w:val="25"/>
              </w:numPr>
              <w:rPr>
                <w:sz w:val="24"/>
                <w:szCs w:val="24"/>
              </w:rPr>
            </w:pPr>
            <w:r>
              <w:rPr>
                <w:sz w:val="24"/>
                <w:szCs w:val="24"/>
              </w:rPr>
              <w:t>Giles Monnickendam</w:t>
            </w:r>
          </w:p>
        </w:tc>
        <w:tc>
          <w:tcPr>
            <w:tcW w:w="4148" w:type="dxa"/>
          </w:tcPr>
          <w:p w:rsidR="00B964DA" w:rsidP="002E4BC9" w:rsidRDefault="00B964DA" w14:paraId="572B4747" w14:textId="7CD1F2ED">
            <w:pPr>
              <w:pStyle w:val="Paragraph"/>
              <w:numPr>
                <w:ilvl w:val="0"/>
                <w:numId w:val="0"/>
              </w:numPr>
              <w:rPr>
                <w:sz w:val="24"/>
                <w:szCs w:val="24"/>
              </w:rPr>
            </w:pPr>
            <w:r>
              <w:rPr>
                <w:sz w:val="24"/>
                <w:szCs w:val="24"/>
              </w:rPr>
              <w:t>T</w:t>
            </w:r>
            <w:r w:rsidR="000259B8">
              <w:rPr>
                <w:sz w:val="24"/>
                <w:szCs w:val="24"/>
              </w:rPr>
              <w:t xml:space="preserve">echnology </w:t>
            </w:r>
            <w:r>
              <w:rPr>
                <w:sz w:val="24"/>
                <w:szCs w:val="24"/>
              </w:rPr>
              <w:t>A</w:t>
            </w:r>
            <w:r w:rsidR="000259B8">
              <w:rPr>
                <w:sz w:val="24"/>
                <w:szCs w:val="24"/>
              </w:rPr>
              <w:t xml:space="preserve">ppraisal </w:t>
            </w:r>
            <w:r>
              <w:rPr>
                <w:sz w:val="24"/>
                <w:szCs w:val="24"/>
              </w:rPr>
              <w:t>C</w:t>
            </w:r>
            <w:r w:rsidR="000259B8">
              <w:rPr>
                <w:sz w:val="24"/>
                <w:szCs w:val="24"/>
              </w:rPr>
              <w:t>ommittee</w:t>
            </w:r>
            <w:r>
              <w:rPr>
                <w:sz w:val="24"/>
                <w:szCs w:val="24"/>
              </w:rPr>
              <w:t xml:space="preserve"> D Member</w:t>
            </w:r>
          </w:p>
        </w:tc>
      </w:tr>
    </w:tbl>
    <w:p w:rsidRPr="00B93E19" w:rsidR="00CC79EF" w:rsidP="00CC79EF" w:rsidRDefault="00CC79EF" w14:paraId="15A23D07" w14:textId="5E4E6E72">
      <w:pPr>
        <w:pStyle w:val="Paragraph"/>
        <w:rPr>
          <w:sz w:val="24"/>
          <w:szCs w:val="24"/>
        </w:rPr>
      </w:pPr>
      <w:r w:rsidRPr="00B93E19">
        <w:rPr>
          <w:sz w:val="24"/>
          <w:szCs w:val="24"/>
        </w:rPr>
        <w:t xml:space="preserve">The </w:t>
      </w:r>
      <w:r w:rsidR="003856BB">
        <w:rPr>
          <w:sz w:val="24"/>
          <w:szCs w:val="24"/>
        </w:rPr>
        <w:t>a</w:t>
      </w:r>
      <w:r w:rsidRPr="00B93E19">
        <w:rPr>
          <w:sz w:val="24"/>
          <w:szCs w:val="24"/>
        </w:rPr>
        <w:t>ppeal</w:t>
      </w:r>
      <w:r w:rsidR="003856BB">
        <w:rPr>
          <w:sz w:val="24"/>
          <w:szCs w:val="24"/>
        </w:rPr>
        <w:t xml:space="preserve"> p</w:t>
      </w:r>
      <w:r w:rsidRPr="00B93E19">
        <w:rPr>
          <w:sz w:val="24"/>
          <w:szCs w:val="24"/>
        </w:rPr>
        <w:t>anel’s legal adviser</w:t>
      </w:r>
      <w:r w:rsidR="00B964DA">
        <w:rPr>
          <w:sz w:val="24"/>
          <w:szCs w:val="24"/>
        </w:rPr>
        <w:t xml:space="preserve">, Alistair Robertson (Partner, DAC Beachcroft LLP), </w:t>
      </w:r>
      <w:r w:rsidRPr="00B93E19">
        <w:rPr>
          <w:sz w:val="24"/>
          <w:szCs w:val="24"/>
        </w:rPr>
        <w:t>was also present.</w:t>
      </w:r>
    </w:p>
    <w:p w:rsidRPr="00B93E19" w:rsidR="00CC79EF" w:rsidP="00CC79EF" w:rsidRDefault="00CC79EF" w14:paraId="41DD00A2" w14:textId="304897D6">
      <w:pPr>
        <w:pStyle w:val="Paragraph"/>
        <w:rPr>
          <w:sz w:val="24"/>
          <w:szCs w:val="24"/>
        </w:rPr>
      </w:pPr>
      <w:r w:rsidRPr="00B93E19">
        <w:rPr>
          <w:sz w:val="24"/>
          <w:szCs w:val="24"/>
        </w:rPr>
        <w:t xml:space="preserve">Under NICE’s appeal procedures, members of the public are admitted </w:t>
      </w:r>
      <w:proofErr w:type="gramStart"/>
      <w:r w:rsidRPr="00B93E19">
        <w:rPr>
          <w:sz w:val="24"/>
          <w:szCs w:val="24"/>
        </w:rPr>
        <w:t>to observe</w:t>
      </w:r>
      <w:proofErr w:type="gramEnd"/>
      <w:r w:rsidRPr="00B93E19">
        <w:rPr>
          <w:sz w:val="24"/>
          <w:szCs w:val="24"/>
        </w:rPr>
        <w:t xml:space="preserve"> appeal hearings and several members of the public and NICE staff observed the proceedings which were held via Zoom.</w:t>
      </w:r>
    </w:p>
    <w:p w:rsidRPr="00B93E19" w:rsidR="00CC79EF" w:rsidP="00CC79EF" w:rsidRDefault="00CC79EF" w14:paraId="0908AF93" w14:textId="47DB64AE">
      <w:pPr>
        <w:pStyle w:val="Paragraph"/>
        <w:rPr>
          <w:b/>
          <w:sz w:val="24"/>
          <w:szCs w:val="24"/>
        </w:rPr>
      </w:pPr>
      <w:r w:rsidRPr="00B93E19">
        <w:rPr>
          <w:sz w:val="24"/>
          <w:szCs w:val="24"/>
        </w:rPr>
        <w:t>There are two grounds under which an appeal can be lodged:</w:t>
      </w:r>
    </w:p>
    <w:p w:rsidRPr="00B93E19" w:rsidR="00CC79EF" w:rsidP="00DC36AC" w:rsidRDefault="00CC79EF" w14:paraId="3C1CBC24" w14:textId="2249EB22">
      <w:pPr>
        <w:pStyle w:val="Paragraphnonumbers"/>
        <w:ind w:left="709"/>
        <w:rPr>
          <w:sz w:val="24"/>
          <w:szCs w:val="24"/>
        </w:rPr>
      </w:pPr>
      <w:r w:rsidRPr="00DC36AC">
        <w:rPr>
          <w:b/>
          <w:sz w:val="24"/>
          <w:szCs w:val="24"/>
        </w:rPr>
        <w:t>Ground One:</w:t>
      </w:r>
      <w:r w:rsidRPr="00B93E19">
        <w:rPr>
          <w:sz w:val="24"/>
          <w:szCs w:val="24"/>
        </w:rPr>
        <w:t xml:space="preserve"> In making the assessment that preceded the recommendation, NICE has:</w:t>
      </w:r>
    </w:p>
    <w:p w:rsidRPr="00B93E19" w:rsidR="00CC79EF" w:rsidP="00DC36AC" w:rsidRDefault="00CC79EF" w14:paraId="6BF9CE65" w14:textId="77777777">
      <w:pPr>
        <w:pStyle w:val="Paragraphnonumbers"/>
        <w:ind w:left="709"/>
        <w:rPr>
          <w:rFonts w:eastAsiaTheme="minorHAnsi"/>
          <w:sz w:val="24"/>
          <w:szCs w:val="24"/>
        </w:rPr>
      </w:pPr>
      <w:r w:rsidRPr="00B93E19">
        <w:rPr>
          <w:rFonts w:eastAsiaTheme="minorHAnsi"/>
          <w:sz w:val="24"/>
          <w:szCs w:val="24"/>
        </w:rPr>
        <w:t xml:space="preserve">(a) Failed to act fairly; and/or </w:t>
      </w:r>
    </w:p>
    <w:p w:rsidRPr="00B93E19" w:rsidR="00CC79EF" w:rsidP="00DC36AC" w:rsidRDefault="00CC79EF" w14:paraId="696FF392" w14:textId="77777777">
      <w:pPr>
        <w:pStyle w:val="Paragraphnonumbers"/>
        <w:ind w:left="709"/>
        <w:rPr>
          <w:rFonts w:eastAsiaTheme="minorHAnsi"/>
          <w:sz w:val="24"/>
          <w:szCs w:val="24"/>
        </w:rPr>
      </w:pPr>
      <w:r w:rsidRPr="00B93E19">
        <w:rPr>
          <w:rFonts w:eastAsiaTheme="minorHAnsi"/>
          <w:sz w:val="24"/>
          <w:szCs w:val="24"/>
        </w:rPr>
        <w:t xml:space="preserve">(b) Exceeded its powers. </w:t>
      </w:r>
    </w:p>
    <w:p w:rsidRPr="00B93E19" w:rsidR="00CC79EF" w:rsidP="00DC36AC" w:rsidRDefault="00CC79EF" w14:paraId="06E0240D" w14:textId="77777777">
      <w:pPr>
        <w:pStyle w:val="Paragraphnonumbers"/>
        <w:ind w:left="709"/>
        <w:rPr>
          <w:rFonts w:eastAsiaTheme="minorHAnsi"/>
          <w:sz w:val="24"/>
          <w:szCs w:val="24"/>
        </w:rPr>
      </w:pPr>
      <w:r w:rsidRPr="00DC36AC">
        <w:rPr>
          <w:rFonts w:eastAsiaTheme="minorHAnsi"/>
          <w:b/>
          <w:sz w:val="24"/>
          <w:szCs w:val="24"/>
        </w:rPr>
        <w:t>Ground Two:</w:t>
      </w:r>
      <w:r w:rsidRPr="00B93E19">
        <w:rPr>
          <w:rFonts w:eastAsiaTheme="minorHAnsi"/>
          <w:sz w:val="24"/>
          <w:szCs w:val="24"/>
        </w:rPr>
        <w:t xml:space="preserve"> The recommendation is unreasonable </w:t>
      </w:r>
      <w:proofErr w:type="gramStart"/>
      <w:r w:rsidRPr="00B93E19">
        <w:rPr>
          <w:rFonts w:eastAsiaTheme="minorHAnsi"/>
          <w:sz w:val="24"/>
          <w:szCs w:val="24"/>
        </w:rPr>
        <w:t>in light of</w:t>
      </w:r>
      <w:proofErr w:type="gramEnd"/>
      <w:r w:rsidRPr="00B93E19">
        <w:rPr>
          <w:rFonts w:eastAsiaTheme="minorHAnsi"/>
          <w:sz w:val="24"/>
          <w:szCs w:val="24"/>
        </w:rPr>
        <w:t xml:space="preserve"> the evidence submitted to NICE. </w:t>
      </w:r>
    </w:p>
    <w:p w:rsidRPr="00A82DD0" w:rsidR="00CC79EF" w:rsidP="00CC79EF" w:rsidRDefault="0088441D" w14:paraId="6A935EEC" w14:textId="6EC89CF3">
      <w:pPr>
        <w:pStyle w:val="Paragraph"/>
        <w:rPr>
          <w:sz w:val="24"/>
          <w:szCs w:val="24"/>
        </w:rPr>
      </w:pPr>
      <w:r>
        <w:rPr>
          <w:sz w:val="24"/>
          <w:szCs w:val="24"/>
        </w:rPr>
        <w:t xml:space="preserve">Dr Mark Chakravarty, NICE </w:t>
      </w:r>
      <w:r w:rsidR="003856BB">
        <w:rPr>
          <w:sz w:val="24"/>
          <w:szCs w:val="24"/>
        </w:rPr>
        <w:t>l</w:t>
      </w:r>
      <w:r>
        <w:rPr>
          <w:sz w:val="24"/>
          <w:szCs w:val="24"/>
        </w:rPr>
        <w:t>ead non-executive director for appeals,</w:t>
      </w:r>
      <w:r w:rsidRPr="00B93E19">
        <w:rPr>
          <w:sz w:val="24"/>
          <w:szCs w:val="24"/>
        </w:rPr>
        <w:t xml:space="preserve"> </w:t>
      </w:r>
      <w:r w:rsidRPr="00B93E19" w:rsidR="00CC79EF">
        <w:rPr>
          <w:sz w:val="24"/>
          <w:szCs w:val="24"/>
        </w:rPr>
        <w:t xml:space="preserve">in preliminary </w:t>
      </w:r>
      <w:r w:rsidRPr="00A82DD0" w:rsidR="00CC79EF">
        <w:rPr>
          <w:sz w:val="24"/>
          <w:szCs w:val="24"/>
        </w:rPr>
        <w:t xml:space="preserve">correspondence had confirmed that: </w:t>
      </w:r>
      <w:r w:rsidRPr="00A82DD0" w:rsidR="00CC79EF">
        <w:rPr>
          <w:sz w:val="24"/>
          <w:szCs w:val="24"/>
        </w:rPr>
        <w:tab/>
      </w:r>
    </w:p>
    <w:p w:rsidRPr="00A82DD0" w:rsidR="00A82DD0" w:rsidP="00A82DD0" w:rsidRDefault="0004218D" w14:paraId="3225B5D8" w14:textId="0705FE8D">
      <w:pPr>
        <w:pStyle w:val="Bullets"/>
        <w:rPr>
          <w:b/>
          <w:sz w:val="24"/>
          <w:szCs w:val="24"/>
        </w:rPr>
      </w:pPr>
      <w:r>
        <w:rPr>
          <w:sz w:val="24"/>
          <w:szCs w:val="24"/>
        </w:rPr>
        <w:t>Regeneron</w:t>
      </w:r>
      <w:r w:rsidRPr="00A82DD0" w:rsidR="00CC79EF">
        <w:rPr>
          <w:sz w:val="24"/>
          <w:szCs w:val="24"/>
        </w:rPr>
        <w:t xml:space="preserve"> had potentially valid grounds of appeal as follows</w:t>
      </w:r>
      <w:r w:rsidRPr="00A82DD0" w:rsidR="00A82DD0">
        <w:rPr>
          <w:sz w:val="24"/>
          <w:szCs w:val="24"/>
        </w:rPr>
        <w:t xml:space="preserve"> (listed in the order </w:t>
      </w:r>
      <w:r w:rsidR="00A82DD0">
        <w:rPr>
          <w:sz w:val="24"/>
          <w:szCs w:val="24"/>
        </w:rPr>
        <w:t xml:space="preserve">in which they were considered by the </w:t>
      </w:r>
      <w:r w:rsidR="003856BB">
        <w:rPr>
          <w:sz w:val="24"/>
          <w:szCs w:val="24"/>
        </w:rPr>
        <w:t>a</w:t>
      </w:r>
      <w:r w:rsidR="00A82DD0">
        <w:rPr>
          <w:sz w:val="24"/>
          <w:szCs w:val="24"/>
        </w:rPr>
        <w:t xml:space="preserve">ppeal </w:t>
      </w:r>
      <w:r w:rsidR="003856BB">
        <w:rPr>
          <w:sz w:val="24"/>
          <w:szCs w:val="24"/>
        </w:rPr>
        <w:t>p</w:t>
      </w:r>
      <w:r w:rsidR="00A82DD0">
        <w:rPr>
          <w:sz w:val="24"/>
          <w:szCs w:val="24"/>
        </w:rPr>
        <w:t>anel in the hearing):</w:t>
      </w:r>
    </w:p>
    <w:p w:rsidRPr="006065EB" w:rsidR="006065EB" w:rsidP="006065EB" w:rsidRDefault="000420F1" w14:paraId="7026D6B8" w14:textId="44DCC4CF">
      <w:pPr>
        <w:pStyle w:val="Bullets"/>
        <w:rPr>
          <w:sz w:val="24"/>
          <w:szCs w:val="24"/>
        </w:rPr>
      </w:pPr>
      <w:r>
        <w:rPr>
          <w:b/>
          <w:bCs/>
          <w:sz w:val="24"/>
          <w:szCs w:val="24"/>
        </w:rPr>
        <w:t xml:space="preserve">Point </w:t>
      </w:r>
      <w:r w:rsidRPr="006065EB" w:rsidR="006065EB">
        <w:rPr>
          <w:b/>
          <w:bCs/>
          <w:sz w:val="24"/>
          <w:szCs w:val="24"/>
        </w:rPr>
        <w:t>1</w:t>
      </w:r>
      <w:r w:rsidR="006065EB">
        <w:rPr>
          <w:b/>
          <w:bCs/>
          <w:sz w:val="24"/>
          <w:szCs w:val="24"/>
        </w:rPr>
        <w:t>(</w:t>
      </w:r>
      <w:r w:rsidRPr="006065EB" w:rsidR="006065EB">
        <w:rPr>
          <w:b/>
          <w:bCs/>
          <w:sz w:val="24"/>
          <w:szCs w:val="24"/>
        </w:rPr>
        <w:t>a</w:t>
      </w:r>
      <w:r w:rsidR="006065EB">
        <w:rPr>
          <w:b/>
          <w:bCs/>
          <w:sz w:val="24"/>
          <w:szCs w:val="24"/>
        </w:rPr>
        <w:t>)</w:t>
      </w:r>
      <w:r w:rsidRPr="006065EB" w:rsidR="006065EB">
        <w:rPr>
          <w:b/>
          <w:bCs/>
          <w:sz w:val="24"/>
          <w:szCs w:val="24"/>
        </w:rPr>
        <w:t xml:space="preserve">1 </w:t>
      </w:r>
      <w:r w:rsidRPr="006065EB" w:rsidR="002B61F2">
        <w:rPr>
          <w:b/>
          <w:bCs/>
          <w:sz w:val="24"/>
          <w:szCs w:val="24"/>
        </w:rPr>
        <w:t>-</w:t>
      </w:r>
      <w:r w:rsidRPr="006065EB" w:rsidR="006065EB">
        <w:rPr>
          <w:b/>
          <w:bCs/>
          <w:sz w:val="24"/>
          <w:szCs w:val="24"/>
        </w:rPr>
        <w:t xml:space="preserve"> </w:t>
      </w:r>
      <w:r w:rsidRPr="006065EB" w:rsidR="006065EB">
        <w:rPr>
          <w:sz w:val="24"/>
          <w:szCs w:val="24"/>
        </w:rPr>
        <w:t xml:space="preserve">In making materially different evidential requirements in this appraisal versus TA705, NICE has undermined principles of procedural consistency and fairness and introduced an approach that biases against cemiplimab. </w:t>
      </w:r>
    </w:p>
    <w:p w:rsidRPr="006065EB" w:rsidR="006065EB" w:rsidP="006065EB" w:rsidRDefault="000420F1" w14:paraId="1D084E93" w14:textId="309B8735">
      <w:pPr>
        <w:pStyle w:val="Bullets"/>
        <w:rPr>
          <w:sz w:val="24"/>
          <w:szCs w:val="24"/>
        </w:rPr>
      </w:pPr>
      <w:r>
        <w:rPr>
          <w:b/>
          <w:bCs/>
          <w:sz w:val="24"/>
          <w:szCs w:val="24"/>
        </w:rPr>
        <w:t>Point</w:t>
      </w:r>
      <w:r w:rsidR="006065EB">
        <w:rPr>
          <w:b/>
          <w:bCs/>
          <w:sz w:val="24"/>
          <w:szCs w:val="24"/>
        </w:rPr>
        <w:t xml:space="preserve"> </w:t>
      </w:r>
      <w:r w:rsidRPr="006065EB" w:rsidR="006065EB">
        <w:rPr>
          <w:b/>
          <w:bCs/>
          <w:sz w:val="24"/>
          <w:szCs w:val="24"/>
        </w:rPr>
        <w:t>2.1</w:t>
      </w:r>
      <w:r w:rsidRPr="006065EB" w:rsidR="006065EB">
        <w:rPr>
          <w:sz w:val="24"/>
          <w:szCs w:val="24"/>
        </w:rPr>
        <w:t xml:space="preserve"> </w:t>
      </w:r>
      <w:r w:rsidRPr="006065EB" w:rsidR="002B61F2">
        <w:rPr>
          <w:b/>
          <w:bCs/>
          <w:sz w:val="24"/>
          <w:szCs w:val="24"/>
        </w:rPr>
        <w:t>-</w:t>
      </w:r>
      <w:r w:rsidRPr="006065EB" w:rsidR="006065EB">
        <w:rPr>
          <w:b/>
          <w:bCs/>
          <w:sz w:val="24"/>
          <w:szCs w:val="24"/>
        </w:rPr>
        <w:t xml:space="preserve"> </w:t>
      </w:r>
      <w:r w:rsidRPr="006065EB" w:rsidR="006065EB">
        <w:rPr>
          <w:sz w:val="24"/>
          <w:szCs w:val="24"/>
        </w:rPr>
        <w:t xml:space="preserve">the </w:t>
      </w:r>
      <w:r w:rsidR="003856BB">
        <w:rPr>
          <w:sz w:val="24"/>
          <w:szCs w:val="24"/>
        </w:rPr>
        <w:t>a</w:t>
      </w:r>
      <w:r w:rsidRPr="006065EB" w:rsidR="006065EB">
        <w:rPr>
          <w:sz w:val="24"/>
          <w:szCs w:val="24"/>
        </w:rPr>
        <w:t xml:space="preserve">ppraisal </w:t>
      </w:r>
      <w:r w:rsidR="003856BB">
        <w:rPr>
          <w:sz w:val="24"/>
          <w:szCs w:val="24"/>
        </w:rPr>
        <w:t>c</w:t>
      </w:r>
      <w:r w:rsidRPr="006065EB" w:rsidR="006065EB">
        <w:rPr>
          <w:sz w:val="24"/>
          <w:szCs w:val="24"/>
        </w:rPr>
        <w:t>ommittee's insistence upon a Markov model is unreasonable based on the evidence before it</w:t>
      </w:r>
      <w:r w:rsidR="000259B8">
        <w:rPr>
          <w:sz w:val="24"/>
          <w:szCs w:val="24"/>
        </w:rPr>
        <w:t>.</w:t>
      </w:r>
    </w:p>
    <w:p w:rsidRPr="006065EB" w:rsidR="006065EB" w:rsidP="006065EB" w:rsidRDefault="000420F1" w14:paraId="62BB2F72" w14:textId="1FD73F6A">
      <w:pPr>
        <w:pStyle w:val="Bullets"/>
        <w:rPr>
          <w:sz w:val="24"/>
          <w:szCs w:val="24"/>
        </w:rPr>
      </w:pPr>
      <w:r>
        <w:rPr>
          <w:b/>
          <w:bCs/>
          <w:sz w:val="24"/>
          <w:szCs w:val="24"/>
        </w:rPr>
        <w:t>Point</w:t>
      </w:r>
      <w:r w:rsidR="006065EB">
        <w:rPr>
          <w:b/>
          <w:bCs/>
          <w:sz w:val="24"/>
          <w:szCs w:val="24"/>
        </w:rPr>
        <w:t xml:space="preserve"> </w:t>
      </w:r>
      <w:r w:rsidRPr="006065EB" w:rsidR="006065EB">
        <w:rPr>
          <w:b/>
          <w:bCs/>
          <w:sz w:val="24"/>
          <w:szCs w:val="24"/>
        </w:rPr>
        <w:t xml:space="preserve">1(a)2 </w:t>
      </w:r>
      <w:r w:rsidRPr="006065EB" w:rsidR="002B61F2">
        <w:rPr>
          <w:b/>
          <w:bCs/>
          <w:sz w:val="24"/>
          <w:szCs w:val="24"/>
        </w:rPr>
        <w:t>-</w:t>
      </w:r>
      <w:r w:rsidRPr="006065EB" w:rsidR="006065EB">
        <w:rPr>
          <w:sz w:val="24"/>
          <w:szCs w:val="24"/>
        </w:rPr>
        <w:t xml:space="preserve"> the </w:t>
      </w:r>
      <w:r w:rsidR="003856BB">
        <w:rPr>
          <w:sz w:val="24"/>
          <w:szCs w:val="24"/>
        </w:rPr>
        <w:t>a</w:t>
      </w:r>
      <w:r w:rsidRPr="006065EB" w:rsidR="006065EB">
        <w:rPr>
          <w:sz w:val="24"/>
          <w:szCs w:val="24"/>
        </w:rPr>
        <w:t xml:space="preserve">ppraisal </w:t>
      </w:r>
      <w:r w:rsidR="003856BB">
        <w:rPr>
          <w:sz w:val="24"/>
          <w:szCs w:val="24"/>
        </w:rPr>
        <w:t>c</w:t>
      </w:r>
      <w:r w:rsidRPr="006065EB" w:rsidR="006065EB">
        <w:rPr>
          <w:sz w:val="24"/>
          <w:szCs w:val="24"/>
        </w:rPr>
        <w:t xml:space="preserve">ommittee failed to consider adequately material evidence regarding </w:t>
      </w:r>
      <w:r w:rsidR="00A845EA">
        <w:rPr>
          <w:sz w:val="24"/>
          <w:szCs w:val="24"/>
        </w:rPr>
        <w:t>progression free survival (</w:t>
      </w:r>
      <w:r w:rsidRPr="006065EB" w:rsidR="006065EB">
        <w:rPr>
          <w:sz w:val="24"/>
          <w:szCs w:val="24"/>
        </w:rPr>
        <w:t>PFS</w:t>
      </w:r>
      <w:r w:rsidR="00A845EA">
        <w:rPr>
          <w:sz w:val="24"/>
          <w:szCs w:val="24"/>
        </w:rPr>
        <w:t>)</w:t>
      </w:r>
      <w:r w:rsidRPr="006065EB" w:rsidR="006065EB">
        <w:rPr>
          <w:sz w:val="24"/>
          <w:szCs w:val="24"/>
        </w:rPr>
        <w:t xml:space="preserve"> provided by </w:t>
      </w:r>
      <w:r w:rsidR="001E1E4E">
        <w:rPr>
          <w:sz w:val="24"/>
          <w:szCs w:val="24"/>
        </w:rPr>
        <w:t xml:space="preserve">the </w:t>
      </w:r>
      <w:r w:rsidR="003856BB">
        <w:rPr>
          <w:sz w:val="24"/>
          <w:szCs w:val="24"/>
        </w:rPr>
        <w:t>c</w:t>
      </w:r>
      <w:r w:rsidR="001E1E4E">
        <w:rPr>
          <w:sz w:val="24"/>
          <w:szCs w:val="24"/>
        </w:rPr>
        <w:t>ompany</w:t>
      </w:r>
      <w:r w:rsidRPr="006065EB" w:rsidR="006065EB">
        <w:rPr>
          <w:sz w:val="24"/>
          <w:szCs w:val="24"/>
        </w:rPr>
        <w:t xml:space="preserve">. Public bodies are required to </w:t>
      </w:r>
      <w:proofErr w:type="gramStart"/>
      <w:r w:rsidRPr="006065EB" w:rsidR="006065EB">
        <w:rPr>
          <w:sz w:val="24"/>
          <w:szCs w:val="24"/>
        </w:rPr>
        <w:t>give proper consideration to</w:t>
      </w:r>
      <w:proofErr w:type="gramEnd"/>
      <w:r w:rsidRPr="006065EB" w:rsidR="006065EB">
        <w:rPr>
          <w:sz w:val="24"/>
          <w:szCs w:val="24"/>
        </w:rPr>
        <w:t xml:space="preserve"> stakeholder submissions and, where relevant, to justify any decision to not accept them. The </w:t>
      </w:r>
      <w:r w:rsidR="003856BB">
        <w:rPr>
          <w:sz w:val="24"/>
          <w:szCs w:val="24"/>
        </w:rPr>
        <w:t>a</w:t>
      </w:r>
      <w:r w:rsidRPr="006065EB" w:rsidR="006065EB">
        <w:rPr>
          <w:sz w:val="24"/>
          <w:szCs w:val="24"/>
        </w:rPr>
        <w:t xml:space="preserve">ppraisal </w:t>
      </w:r>
      <w:r w:rsidR="003856BB">
        <w:rPr>
          <w:sz w:val="24"/>
          <w:szCs w:val="24"/>
        </w:rPr>
        <w:t>c</w:t>
      </w:r>
      <w:r w:rsidRPr="006065EB" w:rsidR="006065EB">
        <w:rPr>
          <w:sz w:val="24"/>
          <w:szCs w:val="24"/>
        </w:rPr>
        <w:t xml:space="preserve">ommittee’s failure to do so was procedurally unfair and prejudiced </w:t>
      </w:r>
      <w:r w:rsidR="001E1E4E">
        <w:rPr>
          <w:sz w:val="24"/>
          <w:szCs w:val="24"/>
        </w:rPr>
        <w:t>the Company</w:t>
      </w:r>
      <w:r w:rsidRPr="006065EB" w:rsidR="006065EB">
        <w:rPr>
          <w:sz w:val="24"/>
          <w:szCs w:val="24"/>
        </w:rPr>
        <w:t xml:space="preserve"> and its product.</w:t>
      </w:r>
    </w:p>
    <w:p w:rsidRPr="006065EB" w:rsidR="006065EB" w:rsidP="006065EB" w:rsidRDefault="000420F1" w14:paraId="421824A5" w14:textId="637386D3">
      <w:pPr>
        <w:pStyle w:val="Bullets"/>
        <w:rPr>
          <w:b/>
          <w:bCs/>
          <w:sz w:val="24"/>
          <w:szCs w:val="24"/>
        </w:rPr>
      </w:pPr>
      <w:r>
        <w:rPr>
          <w:b/>
          <w:bCs/>
          <w:sz w:val="24"/>
          <w:szCs w:val="24"/>
        </w:rPr>
        <w:t>Point</w:t>
      </w:r>
      <w:r w:rsidR="006065EB">
        <w:rPr>
          <w:b/>
          <w:bCs/>
          <w:sz w:val="24"/>
          <w:szCs w:val="24"/>
        </w:rPr>
        <w:t xml:space="preserve"> </w:t>
      </w:r>
      <w:r w:rsidRPr="006065EB" w:rsidR="006065EB">
        <w:rPr>
          <w:b/>
          <w:bCs/>
          <w:sz w:val="24"/>
          <w:szCs w:val="24"/>
        </w:rPr>
        <w:t xml:space="preserve">2.6 - </w:t>
      </w:r>
      <w:r w:rsidRPr="006065EB" w:rsidR="006065EB">
        <w:rPr>
          <w:sz w:val="24"/>
          <w:szCs w:val="24"/>
        </w:rPr>
        <w:t xml:space="preserve">The </w:t>
      </w:r>
      <w:r w:rsidR="003856BB">
        <w:rPr>
          <w:sz w:val="24"/>
          <w:szCs w:val="24"/>
        </w:rPr>
        <w:t>a</w:t>
      </w:r>
      <w:r w:rsidRPr="006065EB" w:rsidR="006065EB">
        <w:rPr>
          <w:sz w:val="24"/>
          <w:szCs w:val="24"/>
        </w:rPr>
        <w:t xml:space="preserve">ppraisal </w:t>
      </w:r>
      <w:r w:rsidR="003856BB">
        <w:rPr>
          <w:sz w:val="24"/>
          <w:szCs w:val="24"/>
        </w:rPr>
        <w:t>c</w:t>
      </w:r>
      <w:r w:rsidRPr="006065EB" w:rsidR="006065EB">
        <w:rPr>
          <w:sz w:val="24"/>
          <w:szCs w:val="24"/>
        </w:rPr>
        <w:t xml:space="preserve">ommittee’s conclusions on the comparative effectiveness evidence are unreasonable </w:t>
      </w:r>
      <w:proofErr w:type="gramStart"/>
      <w:r w:rsidRPr="006065EB" w:rsidR="006065EB">
        <w:rPr>
          <w:sz w:val="24"/>
          <w:szCs w:val="24"/>
        </w:rPr>
        <w:t>in light of</w:t>
      </w:r>
      <w:proofErr w:type="gramEnd"/>
      <w:r w:rsidRPr="006065EB" w:rsidR="006065EB">
        <w:rPr>
          <w:sz w:val="24"/>
          <w:szCs w:val="24"/>
        </w:rPr>
        <w:t xml:space="preserve"> the evidence submitted.</w:t>
      </w:r>
    </w:p>
    <w:p w:rsidRPr="006065EB" w:rsidR="006065EB" w:rsidP="006065EB" w:rsidRDefault="000420F1" w14:paraId="3342ADED" w14:textId="7C69CB15">
      <w:pPr>
        <w:pStyle w:val="Bullets"/>
        <w:rPr>
          <w:b/>
          <w:bCs/>
          <w:sz w:val="24"/>
          <w:szCs w:val="24"/>
        </w:rPr>
      </w:pPr>
      <w:r>
        <w:rPr>
          <w:b/>
          <w:bCs/>
          <w:sz w:val="24"/>
          <w:szCs w:val="24"/>
        </w:rPr>
        <w:t>Point</w:t>
      </w:r>
      <w:r w:rsidR="006065EB">
        <w:rPr>
          <w:b/>
          <w:bCs/>
          <w:sz w:val="24"/>
          <w:szCs w:val="24"/>
        </w:rPr>
        <w:t xml:space="preserve"> </w:t>
      </w:r>
      <w:r w:rsidRPr="006065EB" w:rsidR="006065EB">
        <w:rPr>
          <w:b/>
          <w:bCs/>
          <w:sz w:val="24"/>
          <w:szCs w:val="24"/>
        </w:rPr>
        <w:t xml:space="preserve">2.2 - </w:t>
      </w:r>
      <w:r w:rsidRPr="006065EB" w:rsidR="006065EB">
        <w:rPr>
          <w:sz w:val="24"/>
          <w:szCs w:val="24"/>
        </w:rPr>
        <w:t xml:space="preserve">The </w:t>
      </w:r>
      <w:r w:rsidR="003856BB">
        <w:rPr>
          <w:sz w:val="24"/>
          <w:szCs w:val="24"/>
        </w:rPr>
        <w:t>c</w:t>
      </w:r>
      <w:r w:rsidRPr="006065EB" w:rsidR="006065EB">
        <w:rPr>
          <w:sz w:val="24"/>
          <w:szCs w:val="24"/>
        </w:rPr>
        <w:t xml:space="preserve">ommittee’s requested approach for modelling time on treatment/time to treatment discontinuation is internally inconsistent, biased and unreasonable </w:t>
      </w:r>
      <w:proofErr w:type="gramStart"/>
      <w:r w:rsidRPr="006065EB" w:rsidR="006065EB">
        <w:rPr>
          <w:sz w:val="24"/>
          <w:szCs w:val="24"/>
        </w:rPr>
        <w:t>in light of</w:t>
      </w:r>
      <w:proofErr w:type="gramEnd"/>
      <w:r w:rsidRPr="006065EB" w:rsidR="006065EB">
        <w:rPr>
          <w:sz w:val="24"/>
          <w:szCs w:val="24"/>
        </w:rPr>
        <w:t xml:space="preserve"> the evidence before it.</w:t>
      </w:r>
    </w:p>
    <w:p w:rsidRPr="006065EB" w:rsidR="006065EB" w:rsidP="006065EB" w:rsidRDefault="000420F1" w14:paraId="20172ABA" w14:textId="24FA827D">
      <w:pPr>
        <w:pStyle w:val="Bullets"/>
        <w:rPr>
          <w:sz w:val="24"/>
          <w:szCs w:val="24"/>
        </w:rPr>
      </w:pPr>
      <w:r>
        <w:rPr>
          <w:b/>
          <w:bCs/>
          <w:sz w:val="24"/>
          <w:szCs w:val="24"/>
        </w:rPr>
        <w:t>Point</w:t>
      </w:r>
      <w:r w:rsidR="006065EB">
        <w:rPr>
          <w:b/>
          <w:bCs/>
          <w:sz w:val="24"/>
          <w:szCs w:val="24"/>
        </w:rPr>
        <w:t xml:space="preserve"> </w:t>
      </w:r>
      <w:r w:rsidRPr="006065EB" w:rsidR="006065EB">
        <w:rPr>
          <w:b/>
          <w:bCs/>
          <w:sz w:val="24"/>
          <w:szCs w:val="24"/>
        </w:rPr>
        <w:t xml:space="preserve">2.4 - </w:t>
      </w:r>
      <w:r w:rsidRPr="006065EB" w:rsidR="006065EB">
        <w:rPr>
          <w:sz w:val="24"/>
          <w:szCs w:val="24"/>
        </w:rPr>
        <w:t xml:space="preserve">The </w:t>
      </w:r>
      <w:r w:rsidR="003856BB">
        <w:rPr>
          <w:sz w:val="24"/>
          <w:szCs w:val="24"/>
        </w:rPr>
        <w:t>c</w:t>
      </w:r>
      <w:r w:rsidRPr="006065EB" w:rsidR="006065EB">
        <w:rPr>
          <w:sz w:val="24"/>
          <w:szCs w:val="24"/>
        </w:rPr>
        <w:t>ommittee's conclusion that the evidence for clinical similarity was not robust enough for a cost-comparison analysis is unreasonable</w:t>
      </w:r>
    </w:p>
    <w:p w:rsidRPr="00A82DD0" w:rsidR="00CC79EF" w:rsidP="00CC79EF" w:rsidRDefault="002F7231" w14:paraId="33485FF7" w14:textId="43159E6C">
      <w:pPr>
        <w:pStyle w:val="Paragraph"/>
        <w:rPr>
          <w:sz w:val="24"/>
          <w:szCs w:val="24"/>
        </w:rPr>
      </w:pPr>
      <w:r w:rsidRPr="00A82DD0">
        <w:rPr>
          <w:sz w:val="24"/>
          <w:szCs w:val="24"/>
        </w:rPr>
        <w:t xml:space="preserve">The numbering of appeal points in this document reflects those that were used during the hearing. The text of this document does not represent a verbatim account of the proceedings nor a documentation of the order of events that took place but rather, provides </w:t>
      </w:r>
      <w:proofErr w:type="gramStart"/>
      <w:r w:rsidRPr="00A82DD0">
        <w:rPr>
          <w:sz w:val="24"/>
          <w:szCs w:val="24"/>
        </w:rPr>
        <w:t>a brief summary</w:t>
      </w:r>
      <w:proofErr w:type="gramEnd"/>
      <w:r w:rsidRPr="00A82DD0">
        <w:rPr>
          <w:sz w:val="24"/>
          <w:szCs w:val="24"/>
        </w:rPr>
        <w:t xml:space="preserve"> of the </w:t>
      </w:r>
      <w:r w:rsidR="003856BB">
        <w:rPr>
          <w:sz w:val="24"/>
          <w:szCs w:val="24"/>
        </w:rPr>
        <w:t>a</w:t>
      </w:r>
      <w:r w:rsidRPr="00A82DD0">
        <w:rPr>
          <w:sz w:val="24"/>
          <w:szCs w:val="24"/>
        </w:rPr>
        <w:t xml:space="preserve">ppellant and </w:t>
      </w:r>
      <w:r w:rsidR="003856BB">
        <w:rPr>
          <w:sz w:val="24"/>
          <w:szCs w:val="24"/>
        </w:rPr>
        <w:t>c</w:t>
      </w:r>
      <w:r w:rsidRPr="00A82DD0">
        <w:rPr>
          <w:sz w:val="24"/>
          <w:szCs w:val="24"/>
        </w:rPr>
        <w:t xml:space="preserve">ommittee submissions for the points that were discussed relevant to the decisions of the </w:t>
      </w:r>
      <w:r w:rsidR="003856BB">
        <w:rPr>
          <w:sz w:val="24"/>
          <w:szCs w:val="24"/>
        </w:rPr>
        <w:t>a</w:t>
      </w:r>
      <w:r w:rsidR="00CA3C12">
        <w:rPr>
          <w:sz w:val="24"/>
          <w:szCs w:val="24"/>
        </w:rPr>
        <w:t xml:space="preserve">ppeal </w:t>
      </w:r>
      <w:r w:rsidR="003856BB">
        <w:rPr>
          <w:sz w:val="24"/>
          <w:szCs w:val="24"/>
        </w:rPr>
        <w:t>p</w:t>
      </w:r>
      <w:r w:rsidR="00CA3C12">
        <w:rPr>
          <w:sz w:val="24"/>
          <w:szCs w:val="24"/>
        </w:rPr>
        <w:t>anel</w:t>
      </w:r>
      <w:r w:rsidRPr="00A82DD0">
        <w:rPr>
          <w:sz w:val="24"/>
          <w:szCs w:val="24"/>
        </w:rPr>
        <w:t>. </w:t>
      </w:r>
    </w:p>
    <w:p w:rsidRPr="006055FE" w:rsidR="006055FE" w:rsidP="00CC79EF" w:rsidRDefault="00CC79EF" w14:paraId="78167CE4" w14:textId="19ABC3D2">
      <w:pPr>
        <w:pStyle w:val="Paragraph"/>
        <w:rPr>
          <w:color w:val="FF0000"/>
          <w:sz w:val="24"/>
          <w:szCs w:val="24"/>
        </w:rPr>
      </w:pPr>
      <w:r w:rsidRPr="00B93E19">
        <w:rPr>
          <w:sz w:val="24"/>
          <w:szCs w:val="24"/>
        </w:rPr>
        <w:t xml:space="preserve">Before the </w:t>
      </w:r>
      <w:r w:rsidR="003856BB">
        <w:rPr>
          <w:sz w:val="24"/>
          <w:szCs w:val="24"/>
        </w:rPr>
        <w:t>a</w:t>
      </w:r>
      <w:r w:rsidRPr="00B93E19">
        <w:rPr>
          <w:sz w:val="24"/>
          <w:szCs w:val="24"/>
        </w:rPr>
        <w:t xml:space="preserve">ppeal </w:t>
      </w:r>
      <w:r w:rsidR="003856BB">
        <w:rPr>
          <w:sz w:val="24"/>
          <w:szCs w:val="24"/>
        </w:rPr>
        <w:t>p</w:t>
      </w:r>
      <w:r w:rsidRPr="00B93E19">
        <w:rPr>
          <w:sz w:val="24"/>
          <w:szCs w:val="24"/>
        </w:rPr>
        <w:t>anel inquired into the detailed complaints</w:t>
      </w:r>
      <w:r w:rsidR="00D80901">
        <w:rPr>
          <w:sz w:val="24"/>
          <w:szCs w:val="24"/>
        </w:rPr>
        <w:t>,</w:t>
      </w:r>
      <w:r w:rsidRPr="00B93E19">
        <w:rPr>
          <w:sz w:val="24"/>
          <w:szCs w:val="24"/>
        </w:rPr>
        <w:t xml:space="preserve"> the following made a preliminary statement: </w:t>
      </w:r>
      <w:r w:rsidR="006055FE">
        <w:rPr>
          <w:sz w:val="24"/>
          <w:szCs w:val="24"/>
        </w:rPr>
        <w:t xml:space="preserve">Grant Castle on behalf of </w:t>
      </w:r>
      <w:r w:rsidR="00D82386">
        <w:rPr>
          <w:sz w:val="24"/>
          <w:szCs w:val="24"/>
        </w:rPr>
        <w:t>Regeneron</w:t>
      </w:r>
      <w:r w:rsidR="006055FE">
        <w:rPr>
          <w:sz w:val="24"/>
          <w:szCs w:val="24"/>
        </w:rPr>
        <w:t xml:space="preserve"> and </w:t>
      </w:r>
      <w:r w:rsidR="00551A53">
        <w:rPr>
          <w:sz w:val="24"/>
          <w:szCs w:val="24"/>
        </w:rPr>
        <w:t xml:space="preserve">Dr </w:t>
      </w:r>
      <w:r w:rsidR="006055FE">
        <w:rPr>
          <w:sz w:val="24"/>
          <w:szCs w:val="24"/>
        </w:rPr>
        <w:t xml:space="preserve">Raju Reddy on behalf of </w:t>
      </w:r>
      <w:r w:rsidR="00551A53">
        <w:rPr>
          <w:sz w:val="24"/>
          <w:szCs w:val="24"/>
        </w:rPr>
        <w:t>NICE</w:t>
      </w:r>
      <w:r w:rsidR="006055FE">
        <w:rPr>
          <w:sz w:val="24"/>
          <w:szCs w:val="24"/>
        </w:rPr>
        <w:t xml:space="preserve">. </w:t>
      </w:r>
    </w:p>
    <w:p w:rsidRPr="00B93E19" w:rsidR="00CC79EF" w:rsidP="00A959F6" w:rsidRDefault="00CC79EF" w14:paraId="6B19229B" w14:textId="1B296AB6">
      <w:pPr>
        <w:pStyle w:val="Heading2"/>
      </w:pPr>
      <w:r w:rsidRPr="00B93E19">
        <w:t>Appeal Ground 1a: In making the assessment that preceded the recommendation, NICE has failed to act fairly</w:t>
      </w:r>
    </w:p>
    <w:p w:rsidRPr="00DE2024" w:rsidR="006055FE" w:rsidP="002F626E" w:rsidRDefault="006055FE" w14:paraId="3C28E651" w14:textId="78893ECA">
      <w:pPr>
        <w:pStyle w:val="Heading3"/>
      </w:pPr>
      <w:r w:rsidRPr="00DE2024">
        <w:t xml:space="preserve">Appeal </w:t>
      </w:r>
      <w:proofErr w:type="gramStart"/>
      <w:r w:rsidR="001C6B3D">
        <w:t>point</w:t>
      </w:r>
      <w:proofErr w:type="gramEnd"/>
      <w:r w:rsidRPr="00403CC5" w:rsidR="001C6B3D">
        <w:t xml:space="preserve"> </w:t>
      </w:r>
      <w:r w:rsidRPr="00403CC5">
        <w:t xml:space="preserve">1(a)1 – </w:t>
      </w:r>
      <w:r w:rsidRPr="00DE2024">
        <w:t xml:space="preserve">In making materially different evidential requirements in this appraisal versus TA705, NICE has undermined principles of procedural consistency and fairness and introduced an approach that biases against cemiplimab. </w:t>
      </w:r>
    </w:p>
    <w:p w:rsidR="009C3D10" w:rsidP="00CC79EF" w:rsidRDefault="00B93D2A" w14:paraId="25B9864A" w14:textId="03A9F559">
      <w:pPr>
        <w:pStyle w:val="Paragraph"/>
        <w:rPr>
          <w:sz w:val="24"/>
          <w:szCs w:val="24"/>
        </w:rPr>
      </w:pPr>
      <w:r>
        <w:rPr>
          <w:sz w:val="24"/>
          <w:szCs w:val="24"/>
        </w:rPr>
        <w:t xml:space="preserve">Grant Castle, for </w:t>
      </w:r>
      <w:r w:rsidR="001C6B3D">
        <w:rPr>
          <w:sz w:val="24"/>
          <w:szCs w:val="24"/>
        </w:rPr>
        <w:t>Regeneron</w:t>
      </w:r>
      <w:r>
        <w:rPr>
          <w:sz w:val="24"/>
          <w:szCs w:val="24"/>
        </w:rPr>
        <w:t xml:space="preserve">, introduced this appeal point by noting that although NICE appeal decisions are not bound by precedent, public law principles </w:t>
      </w:r>
      <w:r w:rsidR="00C42272">
        <w:rPr>
          <w:sz w:val="24"/>
          <w:szCs w:val="24"/>
        </w:rPr>
        <w:t xml:space="preserve">convey a general duty on NICE to </w:t>
      </w:r>
      <w:r>
        <w:rPr>
          <w:sz w:val="24"/>
          <w:szCs w:val="24"/>
        </w:rPr>
        <w:t xml:space="preserve">have due regard to the need for consistency between its decisions </w:t>
      </w:r>
      <w:r w:rsidR="00C42272">
        <w:rPr>
          <w:sz w:val="24"/>
          <w:szCs w:val="24"/>
        </w:rPr>
        <w:t>absent good reason not to</w:t>
      </w:r>
      <w:r>
        <w:rPr>
          <w:sz w:val="24"/>
          <w:szCs w:val="24"/>
        </w:rPr>
        <w:t xml:space="preserve">. He </w:t>
      </w:r>
      <w:r w:rsidR="002B61F2">
        <w:rPr>
          <w:sz w:val="24"/>
          <w:szCs w:val="24"/>
        </w:rPr>
        <w:t>explained</w:t>
      </w:r>
      <w:r>
        <w:rPr>
          <w:sz w:val="24"/>
          <w:szCs w:val="24"/>
        </w:rPr>
        <w:t xml:space="preserve"> </w:t>
      </w:r>
      <w:r w:rsidR="00D305A4">
        <w:rPr>
          <w:sz w:val="24"/>
          <w:szCs w:val="24"/>
        </w:rPr>
        <w:t>Regeneron</w:t>
      </w:r>
      <w:r>
        <w:rPr>
          <w:sz w:val="24"/>
          <w:szCs w:val="24"/>
        </w:rPr>
        <w:t xml:space="preserve">'s </w:t>
      </w:r>
      <w:r w:rsidR="002B61F2">
        <w:rPr>
          <w:sz w:val="24"/>
          <w:szCs w:val="24"/>
        </w:rPr>
        <w:t>position</w:t>
      </w:r>
      <w:r>
        <w:rPr>
          <w:sz w:val="24"/>
          <w:szCs w:val="24"/>
        </w:rPr>
        <w:t xml:space="preserve"> that different conclusions in similar appraisals should be supported by clear and cogent justification. Grant Castle </w:t>
      </w:r>
      <w:proofErr w:type="gramStart"/>
      <w:r>
        <w:rPr>
          <w:sz w:val="24"/>
          <w:szCs w:val="24"/>
        </w:rPr>
        <w:t>made reference</w:t>
      </w:r>
      <w:proofErr w:type="gramEnd"/>
      <w:r>
        <w:rPr>
          <w:sz w:val="24"/>
          <w:szCs w:val="24"/>
        </w:rPr>
        <w:t xml:space="preserve"> to 17 other appraisals carried out </w:t>
      </w:r>
      <w:r w:rsidR="00C42272">
        <w:rPr>
          <w:sz w:val="24"/>
          <w:szCs w:val="24"/>
        </w:rPr>
        <w:t>by NICE of treatments for non-</w:t>
      </w:r>
      <w:r w:rsidR="00F66559">
        <w:rPr>
          <w:sz w:val="24"/>
          <w:szCs w:val="24"/>
        </w:rPr>
        <w:t>small-cell l</w:t>
      </w:r>
      <w:r w:rsidR="00C42272">
        <w:rPr>
          <w:sz w:val="24"/>
          <w:szCs w:val="24"/>
        </w:rPr>
        <w:t xml:space="preserve">ung cancer, and that </w:t>
      </w:r>
      <w:r w:rsidR="00D305A4">
        <w:rPr>
          <w:sz w:val="24"/>
          <w:szCs w:val="24"/>
        </w:rPr>
        <w:t>Regeneron</w:t>
      </w:r>
      <w:r w:rsidR="00C42272">
        <w:rPr>
          <w:sz w:val="24"/>
          <w:szCs w:val="24"/>
        </w:rPr>
        <w:t xml:space="preserve"> consider</w:t>
      </w:r>
      <w:r w:rsidR="006F415D">
        <w:rPr>
          <w:sz w:val="24"/>
          <w:szCs w:val="24"/>
        </w:rPr>
        <w:t>ed</w:t>
      </w:r>
      <w:r w:rsidR="00C42272">
        <w:rPr>
          <w:sz w:val="24"/>
          <w:szCs w:val="24"/>
        </w:rPr>
        <w:t xml:space="preserve"> th</w:t>
      </w:r>
      <w:r w:rsidR="009C30D1">
        <w:rPr>
          <w:sz w:val="24"/>
          <w:szCs w:val="24"/>
        </w:rPr>
        <w:t xml:space="preserve">at established approaches and </w:t>
      </w:r>
      <w:r w:rsidR="00C42272">
        <w:rPr>
          <w:sz w:val="24"/>
          <w:szCs w:val="24"/>
        </w:rPr>
        <w:t>margins of discretion</w:t>
      </w:r>
      <w:r w:rsidR="009C30D1">
        <w:rPr>
          <w:sz w:val="24"/>
          <w:szCs w:val="24"/>
        </w:rPr>
        <w:t xml:space="preserve"> have emerged, particularly to manage evidential uncertainties.  He continued that a Markov model was not required in any of those other</w:t>
      </w:r>
      <w:r w:rsidR="00C42272">
        <w:rPr>
          <w:sz w:val="24"/>
          <w:szCs w:val="24"/>
        </w:rPr>
        <w:t xml:space="preserve"> appraisal</w:t>
      </w:r>
      <w:r w:rsidR="009C30D1">
        <w:rPr>
          <w:sz w:val="24"/>
          <w:szCs w:val="24"/>
        </w:rPr>
        <w:t>s</w:t>
      </w:r>
      <w:r w:rsidR="00C42272">
        <w:rPr>
          <w:sz w:val="24"/>
          <w:szCs w:val="24"/>
        </w:rPr>
        <w:t xml:space="preserve">. </w:t>
      </w:r>
    </w:p>
    <w:p w:rsidR="00962F9B" w:rsidP="00CC79EF" w:rsidRDefault="00C42272" w14:paraId="6FD135A6" w14:textId="1EA13A44">
      <w:pPr>
        <w:pStyle w:val="Paragraph"/>
        <w:rPr>
          <w:sz w:val="24"/>
          <w:szCs w:val="24"/>
        </w:rPr>
      </w:pPr>
      <w:r>
        <w:rPr>
          <w:sz w:val="24"/>
          <w:szCs w:val="24"/>
        </w:rPr>
        <w:t xml:space="preserve">Comparing appraisal TA705 (atezolizumab monotherapy for untreated advanced non-small-cell lung cancer) and the appraisal of cemiplimab, Grant Castle expressed </w:t>
      </w:r>
      <w:r w:rsidR="005264BA">
        <w:rPr>
          <w:sz w:val="24"/>
          <w:szCs w:val="24"/>
        </w:rPr>
        <w:t>Regeneron</w:t>
      </w:r>
      <w:r>
        <w:rPr>
          <w:sz w:val="24"/>
          <w:szCs w:val="24"/>
        </w:rPr>
        <w:t xml:space="preserve">'s view that </w:t>
      </w:r>
      <w:r w:rsidDel="005264BA">
        <w:rPr>
          <w:sz w:val="24"/>
          <w:szCs w:val="24"/>
        </w:rPr>
        <w:t xml:space="preserve">the </w:t>
      </w:r>
      <w:r w:rsidR="003856BB">
        <w:rPr>
          <w:sz w:val="24"/>
          <w:szCs w:val="24"/>
        </w:rPr>
        <w:t>c</w:t>
      </w:r>
      <w:r>
        <w:rPr>
          <w:sz w:val="24"/>
          <w:szCs w:val="24"/>
        </w:rPr>
        <w:t>ommittee had applied a more onerous standard in assessing</w:t>
      </w:r>
      <w:r w:rsidR="00962F9B">
        <w:rPr>
          <w:sz w:val="24"/>
          <w:szCs w:val="24"/>
        </w:rPr>
        <w:t xml:space="preserve"> cemiplimab compared to atezolizumab. He noted that the technologies in both appraisals were compared against </w:t>
      </w:r>
      <w:r w:rsidR="002665F2">
        <w:rPr>
          <w:sz w:val="24"/>
          <w:szCs w:val="24"/>
        </w:rPr>
        <w:t xml:space="preserve">the same comparator </w:t>
      </w:r>
      <w:r w:rsidR="00962F9B">
        <w:rPr>
          <w:sz w:val="24"/>
          <w:szCs w:val="24"/>
        </w:rPr>
        <w:t xml:space="preserve">and adopted similar approaches to evidence and modelling. </w:t>
      </w:r>
    </w:p>
    <w:p w:rsidR="00962F9B" w:rsidP="00CC79EF" w:rsidRDefault="006F415D" w14:paraId="5F2D8513" w14:textId="2D9886FE">
      <w:pPr>
        <w:pStyle w:val="Paragraph"/>
        <w:rPr>
          <w:sz w:val="24"/>
          <w:szCs w:val="24"/>
        </w:rPr>
      </w:pPr>
      <w:r>
        <w:rPr>
          <w:sz w:val="24"/>
          <w:szCs w:val="24"/>
        </w:rPr>
        <w:t>It was the</w:t>
      </w:r>
      <w:r w:rsidR="00962F9B">
        <w:rPr>
          <w:sz w:val="24"/>
          <w:szCs w:val="24"/>
        </w:rPr>
        <w:t xml:space="preserve"> </w:t>
      </w:r>
      <w:r w:rsidR="00617675">
        <w:rPr>
          <w:sz w:val="24"/>
          <w:szCs w:val="24"/>
        </w:rPr>
        <w:t xml:space="preserve">Regeneron's </w:t>
      </w:r>
      <w:r w:rsidR="00962F9B">
        <w:rPr>
          <w:sz w:val="24"/>
          <w:szCs w:val="24"/>
        </w:rPr>
        <w:t xml:space="preserve">view that </w:t>
      </w:r>
      <w:r w:rsidDel="00617675" w:rsidR="00962F9B">
        <w:rPr>
          <w:sz w:val="24"/>
          <w:szCs w:val="24"/>
        </w:rPr>
        <w:t xml:space="preserve">the </w:t>
      </w:r>
      <w:r w:rsidR="003856BB">
        <w:rPr>
          <w:sz w:val="24"/>
          <w:szCs w:val="24"/>
        </w:rPr>
        <w:t>c</w:t>
      </w:r>
      <w:r w:rsidR="00962F9B">
        <w:rPr>
          <w:sz w:val="24"/>
          <w:szCs w:val="24"/>
        </w:rPr>
        <w:t>ommittee seemed to require statistic</w:t>
      </w:r>
      <w:r w:rsidR="00985013">
        <w:rPr>
          <w:sz w:val="24"/>
          <w:szCs w:val="24"/>
        </w:rPr>
        <w:t>al</w:t>
      </w:r>
      <w:r w:rsidR="00962F9B">
        <w:rPr>
          <w:sz w:val="24"/>
          <w:szCs w:val="24"/>
        </w:rPr>
        <w:t xml:space="preserve"> evidence to demonstrate clinical non-inferiority. This, Grant Castle contended, was a higher threshold than was set in the appraisal of atezolizumab and was an unjustified departure of approach. </w:t>
      </w:r>
      <w:r w:rsidR="00617675">
        <w:rPr>
          <w:sz w:val="24"/>
          <w:szCs w:val="24"/>
        </w:rPr>
        <w:t>Regeneron</w:t>
      </w:r>
      <w:r w:rsidR="00962F9B">
        <w:rPr>
          <w:sz w:val="24"/>
          <w:szCs w:val="24"/>
        </w:rPr>
        <w:t xml:space="preserve"> considered the appraisal of atezolizumab to have adopted a proportionate and justified approach to its assessment of the evidence, not </w:t>
      </w:r>
      <w:r w:rsidR="00A845EA">
        <w:rPr>
          <w:sz w:val="24"/>
          <w:szCs w:val="24"/>
        </w:rPr>
        <w:t>least</w:t>
      </w:r>
      <w:r w:rsidR="00962F9B">
        <w:rPr>
          <w:sz w:val="24"/>
          <w:szCs w:val="24"/>
        </w:rPr>
        <w:t xml:space="preserve"> by attaching significant weight to the views of clinical experts to resolve uncertainty. </w:t>
      </w:r>
    </w:p>
    <w:p w:rsidR="00962F9B" w:rsidP="00CC79EF" w:rsidRDefault="006F415D" w14:paraId="7DD128AF" w14:textId="5C15822D">
      <w:pPr>
        <w:pStyle w:val="Paragraph"/>
        <w:rPr>
          <w:sz w:val="24"/>
          <w:szCs w:val="24"/>
        </w:rPr>
      </w:pPr>
      <w:r>
        <w:rPr>
          <w:sz w:val="24"/>
          <w:szCs w:val="24"/>
        </w:rPr>
        <w:t>In c</w:t>
      </w:r>
      <w:r w:rsidR="00962F9B">
        <w:rPr>
          <w:sz w:val="24"/>
          <w:szCs w:val="24"/>
        </w:rPr>
        <w:t>oncluding his introduction, Grant Castle asked the</w:t>
      </w:r>
      <w:r w:rsidR="00363E3C">
        <w:rPr>
          <w:sz w:val="24"/>
          <w:szCs w:val="24"/>
        </w:rPr>
        <w:t xml:space="preserve"> </w:t>
      </w:r>
      <w:r w:rsidR="003856BB">
        <w:rPr>
          <w:sz w:val="24"/>
          <w:szCs w:val="24"/>
        </w:rPr>
        <w:t>p</w:t>
      </w:r>
      <w:r w:rsidR="00962F9B">
        <w:rPr>
          <w:sz w:val="24"/>
          <w:szCs w:val="24"/>
        </w:rPr>
        <w:t xml:space="preserve">anel to consider whether the differences in appraising atezolizumab and cemiplimab were sufficiently justified </w:t>
      </w:r>
      <w:proofErr w:type="gramStart"/>
      <w:r w:rsidR="00962F9B">
        <w:rPr>
          <w:sz w:val="24"/>
          <w:szCs w:val="24"/>
        </w:rPr>
        <w:t>in light of</w:t>
      </w:r>
      <w:proofErr w:type="gramEnd"/>
      <w:r w:rsidR="00962F9B">
        <w:rPr>
          <w:sz w:val="24"/>
          <w:szCs w:val="24"/>
        </w:rPr>
        <w:t xml:space="preserve"> the evidence before it </w:t>
      </w:r>
      <w:proofErr w:type="gramStart"/>
      <w:r w:rsidR="00962F9B">
        <w:rPr>
          <w:sz w:val="24"/>
          <w:szCs w:val="24"/>
        </w:rPr>
        <w:t>so as to</w:t>
      </w:r>
      <w:proofErr w:type="gramEnd"/>
      <w:r w:rsidR="00962F9B">
        <w:rPr>
          <w:sz w:val="24"/>
          <w:szCs w:val="24"/>
        </w:rPr>
        <w:t xml:space="preserve"> override the </w:t>
      </w:r>
      <w:r w:rsidR="003856BB">
        <w:rPr>
          <w:sz w:val="24"/>
          <w:szCs w:val="24"/>
        </w:rPr>
        <w:t>c</w:t>
      </w:r>
      <w:r w:rsidR="00962F9B">
        <w:rPr>
          <w:sz w:val="24"/>
          <w:szCs w:val="24"/>
        </w:rPr>
        <w:t xml:space="preserve">ommittee's duty to act consistently. If not, </w:t>
      </w:r>
      <w:r w:rsidR="00A83D66">
        <w:rPr>
          <w:sz w:val="24"/>
          <w:szCs w:val="24"/>
        </w:rPr>
        <w:t>Regeneron</w:t>
      </w:r>
      <w:r w:rsidR="00962F9B">
        <w:rPr>
          <w:sz w:val="24"/>
          <w:szCs w:val="24"/>
        </w:rPr>
        <w:t xml:space="preserve"> consider</w:t>
      </w:r>
      <w:r>
        <w:rPr>
          <w:sz w:val="24"/>
          <w:szCs w:val="24"/>
        </w:rPr>
        <w:t>ed</w:t>
      </w:r>
      <w:r w:rsidR="00962F9B">
        <w:rPr>
          <w:sz w:val="24"/>
          <w:szCs w:val="24"/>
        </w:rPr>
        <w:t xml:space="preserve"> this to constitute procedural unfairness. </w:t>
      </w:r>
    </w:p>
    <w:p w:rsidR="00962F9B" w:rsidP="00CC79EF" w:rsidRDefault="00760B2B" w14:paraId="1C4FE0F6" w14:textId="5F91D1FE">
      <w:pPr>
        <w:pStyle w:val="Paragraph"/>
        <w:rPr>
          <w:sz w:val="24"/>
          <w:szCs w:val="24"/>
        </w:rPr>
      </w:pPr>
      <w:r>
        <w:rPr>
          <w:sz w:val="24"/>
          <w:szCs w:val="24"/>
        </w:rPr>
        <w:t xml:space="preserve">Ross Dent, </w:t>
      </w:r>
      <w:r w:rsidR="004434FB">
        <w:rPr>
          <w:sz w:val="24"/>
          <w:szCs w:val="24"/>
        </w:rPr>
        <w:t>for</w:t>
      </w:r>
      <w:r>
        <w:rPr>
          <w:sz w:val="24"/>
          <w:szCs w:val="24"/>
        </w:rPr>
        <w:t xml:space="preserve"> NICE, explained that the appraisal of atezolizumab did not form a substantial part of the discussion between </w:t>
      </w:r>
      <w:r w:rsidR="004434FB">
        <w:rPr>
          <w:sz w:val="24"/>
          <w:szCs w:val="24"/>
        </w:rPr>
        <w:t>NICE</w:t>
      </w:r>
      <w:r>
        <w:rPr>
          <w:sz w:val="24"/>
          <w:szCs w:val="24"/>
        </w:rPr>
        <w:t xml:space="preserve"> and </w:t>
      </w:r>
      <w:r w:rsidR="004434FB">
        <w:rPr>
          <w:sz w:val="24"/>
          <w:szCs w:val="24"/>
        </w:rPr>
        <w:t>Regeneron</w:t>
      </w:r>
      <w:r>
        <w:rPr>
          <w:sz w:val="24"/>
          <w:szCs w:val="24"/>
        </w:rPr>
        <w:t xml:space="preserve"> during the appraisal. He noted that </w:t>
      </w:r>
      <w:r w:rsidR="004434FB">
        <w:rPr>
          <w:sz w:val="24"/>
          <w:szCs w:val="24"/>
        </w:rPr>
        <w:t>Regeneron</w:t>
      </w:r>
      <w:r>
        <w:rPr>
          <w:sz w:val="24"/>
          <w:szCs w:val="24"/>
        </w:rPr>
        <w:t xml:space="preserve"> had mentioned the appraisal of atezolizumab in its response to draft </w:t>
      </w:r>
      <w:proofErr w:type="gramStart"/>
      <w:r>
        <w:rPr>
          <w:sz w:val="24"/>
          <w:szCs w:val="24"/>
        </w:rPr>
        <w:t>guidance, but</w:t>
      </w:r>
      <w:proofErr w:type="gramEnd"/>
      <w:r>
        <w:rPr>
          <w:sz w:val="24"/>
          <w:szCs w:val="24"/>
        </w:rPr>
        <w:t xml:space="preserve"> had not elaborated further on why </w:t>
      </w:r>
      <w:r w:rsidR="00985013">
        <w:rPr>
          <w:sz w:val="24"/>
          <w:szCs w:val="24"/>
        </w:rPr>
        <w:t xml:space="preserve">it considered that </w:t>
      </w:r>
      <w:r>
        <w:rPr>
          <w:sz w:val="24"/>
          <w:szCs w:val="24"/>
        </w:rPr>
        <w:t xml:space="preserve">the circumstances in the cemiplimab appraisal were so </w:t>
      </w:r>
      <w:proofErr w:type="gramStart"/>
      <w:r>
        <w:rPr>
          <w:sz w:val="24"/>
          <w:szCs w:val="24"/>
        </w:rPr>
        <w:t>similar to</w:t>
      </w:r>
      <w:proofErr w:type="gramEnd"/>
      <w:r>
        <w:rPr>
          <w:sz w:val="24"/>
          <w:szCs w:val="24"/>
        </w:rPr>
        <w:t xml:space="preserve"> the atezolizumab appraisal</w:t>
      </w:r>
      <w:r w:rsidR="00985013">
        <w:rPr>
          <w:sz w:val="24"/>
          <w:szCs w:val="24"/>
        </w:rPr>
        <w:t xml:space="preserve"> that the </w:t>
      </w:r>
      <w:r w:rsidR="003856BB">
        <w:rPr>
          <w:sz w:val="24"/>
          <w:szCs w:val="24"/>
        </w:rPr>
        <w:t>c</w:t>
      </w:r>
      <w:r w:rsidR="00675A64">
        <w:rPr>
          <w:sz w:val="24"/>
          <w:szCs w:val="24"/>
        </w:rPr>
        <w:t xml:space="preserve">ommittee </w:t>
      </w:r>
      <w:r w:rsidR="00985013">
        <w:rPr>
          <w:sz w:val="24"/>
          <w:szCs w:val="24"/>
        </w:rPr>
        <w:t>should take the same approach</w:t>
      </w:r>
      <w:r>
        <w:rPr>
          <w:sz w:val="24"/>
          <w:szCs w:val="24"/>
        </w:rPr>
        <w:t xml:space="preserve">. He explained that </w:t>
      </w:r>
      <w:r w:rsidR="00985013">
        <w:rPr>
          <w:sz w:val="24"/>
          <w:szCs w:val="24"/>
        </w:rPr>
        <w:t>in any event</w:t>
      </w:r>
      <w:r w:rsidR="006F415D">
        <w:rPr>
          <w:sz w:val="24"/>
          <w:szCs w:val="24"/>
        </w:rPr>
        <w:t>,</w:t>
      </w:r>
      <w:r w:rsidR="00985013">
        <w:rPr>
          <w:sz w:val="24"/>
          <w:szCs w:val="24"/>
        </w:rPr>
        <w:t xml:space="preserve"> </w:t>
      </w:r>
      <w:r w:rsidDel="007552ED" w:rsidR="00985013">
        <w:rPr>
          <w:sz w:val="24"/>
          <w:szCs w:val="24"/>
        </w:rPr>
        <w:t xml:space="preserve">the </w:t>
      </w:r>
      <w:r w:rsidR="003856BB">
        <w:rPr>
          <w:sz w:val="24"/>
          <w:szCs w:val="24"/>
        </w:rPr>
        <w:t>c</w:t>
      </w:r>
      <w:r w:rsidR="00985013">
        <w:rPr>
          <w:sz w:val="24"/>
          <w:szCs w:val="24"/>
        </w:rPr>
        <w:t>ommittee addressed the issue in</w:t>
      </w:r>
      <w:r>
        <w:rPr>
          <w:sz w:val="24"/>
          <w:szCs w:val="24"/>
        </w:rPr>
        <w:t xml:space="preserve"> section 3.8 of the </w:t>
      </w:r>
      <w:r w:rsidR="003C14DF">
        <w:rPr>
          <w:sz w:val="24"/>
          <w:szCs w:val="24"/>
        </w:rPr>
        <w:t>FDG</w:t>
      </w:r>
      <w:r>
        <w:rPr>
          <w:sz w:val="24"/>
          <w:szCs w:val="24"/>
        </w:rPr>
        <w:t xml:space="preserve">, and that the </w:t>
      </w:r>
      <w:r w:rsidR="003856BB">
        <w:rPr>
          <w:sz w:val="24"/>
          <w:szCs w:val="24"/>
        </w:rPr>
        <w:t>c</w:t>
      </w:r>
      <w:r>
        <w:rPr>
          <w:sz w:val="24"/>
          <w:szCs w:val="24"/>
        </w:rPr>
        <w:t xml:space="preserve">ommittee considered the </w:t>
      </w:r>
      <w:r w:rsidR="00985013">
        <w:rPr>
          <w:sz w:val="24"/>
          <w:szCs w:val="24"/>
        </w:rPr>
        <w:t xml:space="preserve">detail given </w:t>
      </w:r>
      <w:r>
        <w:rPr>
          <w:sz w:val="24"/>
          <w:szCs w:val="24"/>
        </w:rPr>
        <w:t xml:space="preserve">in the </w:t>
      </w:r>
      <w:r w:rsidR="003C14DF">
        <w:rPr>
          <w:sz w:val="24"/>
          <w:szCs w:val="24"/>
        </w:rPr>
        <w:t>FDG</w:t>
      </w:r>
      <w:r>
        <w:rPr>
          <w:sz w:val="24"/>
          <w:szCs w:val="24"/>
        </w:rPr>
        <w:t xml:space="preserve"> to be commensurate </w:t>
      </w:r>
      <w:r w:rsidR="00985013">
        <w:rPr>
          <w:sz w:val="24"/>
          <w:szCs w:val="24"/>
        </w:rPr>
        <w:t>with</w:t>
      </w:r>
      <w:r>
        <w:rPr>
          <w:sz w:val="24"/>
          <w:szCs w:val="24"/>
        </w:rPr>
        <w:t xml:space="preserve"> the weight attributed to it by </w:t>
      </w:r>
      <w:r w:rsidR="007552ED">
        <w:rPr>
          <w:sz w:val="24"/>
          <w:szCs w:val="24"/>
        </w:rPr>
        <w:t>Regeneron</w:t>
      </w:r>
      <w:r>
        <w:rPr>
          <w:sz w:val="24"/>
          <w:szCs w:val="24"/>
        </w:rPr>
        <w:t xml:space="preserve"> in its response to draft guidance. </w:t>
      </w:r>
    </w:p>
    <w:p w:rsidR="00760B2B" w:rsidP="00CC79EF" w:rsidRDefault="00760B2B" w14:paraId="4D70C25C" w14:textId="76C38EBB">
      <w:pPr>
        <w:pStyle w:val="Paragraph"/>
        <w:rPr>
          <w:sz w:val="24"/>
          <w:szCs w:val="24"/>
        </w:rPr>
      </w:pPr>
      <w:r>
        <w:rPr>
          <w:sz w:val="24"/>
          <w:szCs w:val="24"/>
        </w:rPr>
        <w:t xml:space="preserve">Drawing two key distinctions between the appraisals of atezolizumab and cemiplimab, Ross Dent highlighted the following: </w:t>
      </w:r>
    </w:p>
    <w:p w:rsidR="00760B2B" w:rsidP="00760B2B" w:rsidRDefault="00760B2B" w14:paraId="21DEB539" w14:textId="77A12ACD">
      <w:pPr>
        <w:pStyle w:val="Paragraph"/>
        <w:numPr>
          <w:ilvl w:val="1"/>
          <w:numId w:val="1"/>
        </w:numPr>
        <w:rPr>
          <w:sz w:val="24"/>
          <w:szCs w:val="24"/>
        </w:rPr>
      </w:pPr>
      <w:r>
        <w:rPr>
          <w:sz w:val="24"/>
          <w:szCs w:val="24"/>
        </w:rPr>
        <w:t xml:space="preserve">First, that the appraisal of atezolizumab concluded four years ago. Since then, the </w:t>
      </w:r>
      <w:r w:rsidR="003C14DF">
        <w:rPr>
          <w:sz w:val="24"/>
          <w:szCs w:val="24"/>
        </w:rPr>
        <w:t>H</w:t>
      </w:r>
      <w:r w:rsidR="00985013">
        <w:rPr>
          <w:sz w:val="24"/>
          <w:szCs w:val="24"/>
        </w:rPr>
        <w:t xml:space="preserve">ealth </w:t>
      </w:r>
      <w:r w:rsidR="003C14DF">
        <w:rPr>
          <w:sz w:val="24"/>
          <w:szCs w:val="24"/>
        </w:rPr>
        <w:t>T</w:t>
      </w:r>
      <w:r w:rsidR="00985013">
        <w:rPr>
          <w:sz w:val="24"/>
          <w:szCs w:val="24"/>
        </w:rPr>
        <w:t xml:space="preserve">echnology </w:t>
      </w:r>
      <w:r w:rsidR="003C14DF">
        <w:rPr>
          <w:sz w:val="24"/>
          <w:szCs w:val="24"/>
        </w:rPr>
        <w:t>E</w:t>
      </w:r>
      <w:r w:rsidR="00985013">
        <w:rPr>
          <w:sz w:val="24"/>
          <w:szCs w:val="24"/>
        </w:rPr>
        <w:t xml:space="preserve">valuations </w:t>
      </w:r>
      <w:r w:rsidR="003C14DF">
        <w:rPr>
          <w:sz w:val="24"/>
          <w:szCs w:val="24"/>
        </w:rPr>
        <w:t>M</w:t>
      </w:r>
      <w:r>
        <w:rPr>
          <w:sz w:val="24"/>
          <w:szCs w:val="24"/>
        </w:rPr>
        <w:t>anual ("the Manual") ha</w:t>
      </w:r>
      <w:r w:rsidR="006F415D">
        <w:rPr>
          <w:sz w:val="24"/>
          <w:szCs w:val="24"/>
        </w:rPr>
        <w:t>d</w:t>
      </w:r>
      <w:r>
        <w:rPr>
          <w:sz w:val="24"/>
          <w:szCs w:val="24"/>
        </w:rPr>
        <w:t xml:space="preserve"> been </w:t>
      </w:r>
      <w:r w:rsidR="00985013">
        <w:rPr>
          <w:sz w:val="24"/>
          <w:szCs w:val="24"/>
        </w:rPr>
        <w:t>introduced (in 2022) replacing the previous guide to the methods of technology appraisal (which had been in place since 2013) ("the 2013 Methods Guide")</w:t>
      </w:r>
      <w:r>
        <w:rPr>
          <w:sz w:val="24"/>
          <w:szCs w:val="24"/>
        </w:rPr>
        <w:t xml:space="preserve">. He explained that in the </w:t>
      </w:r>
      <w:r w:rsidR="00985013">
        <w:rPr>
          <w:sz w:val="24"/>
          <w:szCs w:val="24"/>
        </w:rPr>
        <w:t>2013 Methods Guide</w:t>
      </w:r>
      <w:r>
        <w:rPr>
          <w:sz w:val="24"/>
          <w:szCs w:val="24"/>
        </w:rPr>
        <w:t xml:space="preserve">, there was little detail as to how a </w:t>
      </w:r>
      <w:r w:rsidR="00464323">
        <w:rPr>
          <w:sz w:val="24"/>
          <w:szCs w:val="24"/>
        </w:rPr>
        <w:t>c</w:t>
      </w:r>
      <w:r>
        <w:rPr>
          <w:sz w:val="24"/>
          <w:szCs w:val="24"/>
        </w:rPr>
        <w:t>ommittee was expected to approach similarity</w:t>
      </w:r>
      <w:r w:rsidR="00985013">
        <w:rPr>
          <w:sz w:val="24"/>
          <w:szCs w:val="24"/>
        </w:rPr>
        <w:t xml:space="preserve"> of health benefits</w:t>
      </w:r>
      <w:r>
        <w:rPr>
          <w:sz w:val="24"/>
          <w:szCs w:val="24"/>
        </w:rPr>
        <w:t xml:space="preserve">. The Manual, on the other hand, provides that </w:t>
      </w:r>
      <w:r w:rsidR="0079157E">
        <w:rPr>
          <w:sz w:val="24"/>
          <w:szCs w:val="24"/>
        </w:rPr>
        <w:t>"</w:t>
      </w:r>
      <w:r w:rsidR="0079157E">
        <w:rPr>
          <w:i/>
          <w:iCs/>
          <w:sz w:val="24"/>
          <w:szCs w:val="24"/>
        </w:rPr>
        <w:t>ideally, a non-inferiority or equivalence study with appropriate non-inferiority margins should be presented"</w:t>
      </w:r>
      <w:r w:rsidR="0079157E">
        <w:rPr>
          <w:sz w:val="24"/>
          <w:szCs w:val="24"/>
        </w:rPr>
        <w:t>.</w:t>
      </w:r>
      <w:r w:rsidR="0079157E">
        <w:rPr>
          <w:rStyle w:val="FootnoteReference"/>
          <w:sz w:val="24"/>
          <w:szCs w:val="24"/>
        </w:rPr>
        <w:footnoteReference w:id="1"/>
      </w:r>
      <w:r w:rsidR="0079157E">
        <w:rPr>
          <w:sz w:val="24"/>
          <w:szCs w:val="24"/>
        </w:rPr>
        <w:t xml:space="preserve"> </w:t>
      </w:r>
      <w:r w:rsidR="00650CEC">
        <w:rPr>
          <w:sz w:val="24"/>
          <w:szCs w:val="24"/>
        </w:rPr>
        <w:t>Regeneron</w:t>
      </w:r>
      <w:r w:rsidR="0079157E">
        <w:rPr>
          <w:sz w:val="24"/>
          <w:szCs w:val="24"/>
        </w:rPr>
        <w:t xml:space="preserve"> did not provide a non-inferiority study or evidence demonstrating non-inferiority. </w:t>
      </w:r>
    </w:p>
    <w:p w:rsidRPr="007C1B7B" w:rsidR="0079157E" w:rsidP="00760B2B" w:rsidRDefault="0079157E" w14:paraId="15D18282" w14:textId="28D3DC9B">
      <w:pPr>
        <w:pStyle w:val="Paragraph"/>
        <w:numPr>
          <w:ilvl w:val="1"/>
          <w:numId w:val="1"/>
        </w:numPr>
        <w:rPr>
          <w:sz w:val="24"/>
          <w:szCs w:val="24"/>
        </w:rPr>
      </w:pPr>
      <w:r>
        <w:rPr>
          <w:sz w:val="24"/>
          <w:szCs w:val="24"/>
        </w:rPr>
        <w:t xml:space="preserve">Secondly, </w:t>
      </w:r>
      <w:r w:rsidR="00650CEC">
        <w:rPr>
          <w:sz w:val="24"/>
          <w:szCs w:val="24"/>
        </w:rPr>
        <w:t xml:space="preserve">Ross Dent </w:t>
      </w:r>
      <w:r w:rsidR="00985013">
        <w:rPr>
          <w:sz w:val="24"/>
          <w:szCs w:val="24"/>
        </w:rPr>
        <w:t xml:space="preserve">explained that </w:t>
      </w:r>
      <w:r>
        <w:rPr>
          <w:sz w:val="24"/>
          <w:szCs w:val="24"/>
        </w:rPr>
        <w:t xml:space="preserve">the value propositions </w:t>
      </w:r>
      <w:r w:rsidR="00985013">
        <w:rPr>
          <w:sz w:val="24"/>
          <w:szCs w:val="24"/>
        </w:rPr>
        <w:t xml:space="preserve">proposed by the manufacturers of </w:t>
      </w:r>
      <w:r>
        <w:rPr>
          <w:sz w:val="24"/>
          <w:szCs w:val="24"/>
        </w:rPr>
        <w:t xml:space="preserve">atezolizumab and cemiplimab </w:t>
      </w:r>
      <w:r w:rsidR="006F415D">
        <w:rPr>
          <w:sz w:val="24"/>
          <w:szCs w:val="24"/>
        </w:rPr>
        <w:t xml:space="preserve">were </w:t>
      </w:r>
      <w:r>
        <w:rPr>
          <w:sz w:val="24"/>
          <w:szCs w:val="24"/>
        </w:rPr>
        <w:t xml:space="preserve">different. In the atezolizumab appraisal, although the </w:t>
      </w:r>
      <w:r w:rsidR="006F2CEA">
        <w:rPr>
          <w:sz w:val="24"/>
          <w:szCs w:val="24"/>
        </w:rPr>
        <w:t>c</w:t>
      </w:r>
      <w:r>
        <w:rPr>
          <w:sz w:val="24"/>
          <w:szCs w:val="24"/>
        </w:rPr>
        <w:t xml:space="preserve">ommittee noted that the network </w:t>
      </w:r>
      <w:r w:rsidR="00A845EA">
        <w:rPr>
          <w:sz w:val="24"/>
          <w:szCs w:val="24"/>
        </w:rPr>
        <w:t>meta-analyses</w:t>
      </w:r>
      <w:r>
        <w:rPr>
          <w:sz w:val="24"/>
          <w:szCs w:val="24"/>
        </w:rPr>
        <w:t xml:space="preserve"> showed non-significant differences in treatment effects, </w:t>
      </w:r>
      <w:r w:rsidR="008641EA">
        <w:rPr>
          <w:sz w:val="24"/>
          <w:szCs w:val="24"/>
        </w:rPr>
        <w:t xml:space="preserve">Roche </w:t>
      </w:r>
      <w:r w:rsidR="00A845EA">
        <w:rPr>
          <w:sz w:val="24"/>
          <w:szCs w:val="24"/>
        </w:rPr>
        <w:t>in that case</w:t>
      </w:r>
      <w:r>
        <w:rPr>
          <w:sz w:val="24"/>
          <w:szCs w:val="24"/>
        </w:rPr>
        <w:t xml:space="preserve"> then went on to take a conservative modelling approach to </w:t>
      </w:r>
      <w:r w:rsidR="00687F7C">
        <w:rPr>
          <w:sz w:val="24"/>
          <w:szCs w:val="24"/>
        </w:rPr>
        <w:t>Quality Adjusted Life Year (“</w:t>
      </w:r>
      <w:r>
        <w:rPr>
          <w:sz w:val="24"/>
          <w:szCs w:val="24"/>
        </w:rPr>
        <w:t>QALY</w:t>
      </w:r>
      <w:r w:rsidR="00687F7C">
        <w:rPr>
          <w:sz w:val="24"/>
          <w:szCs w:val="24"/>
        </w:rPr>
        <w:t>”)</w:t>
      </w:r>
      <w:r>
        <w:rPr>
          <w:sz w:val="24"/>
          <w:szCs w:val="24"/>
        </w:rPr>
        <w:t xml:space="preserve"> loss and cost savings, which reassured </w:t>
      </w:r>
      <w:r w:rsidR="001746F2">
        <w:rPr>
          <w:sz w:val="24"/>
          <w:szCs w:val="24"/>
        </w:rPr>
        <w:t xml:space="preserve">that </w:t>
      </w:r>
      <w:r w:rsidR="00D73149">
        <w:rPr>
          <w:sz w:val="24"/>
          <w:szCs w:val="24"/>
        </w:rPr>
        <w:t xml:space="preserve">the </w:t>
      </w:r>
      <w:r w:rsidR="000971FD">
        <w:rPr>
          <w:sz w:val="24"/>
          <w:szCs w:val="24"/>
        </w:rPr>
        <w:t>c</w:t>
      </w:r>
      <w:r>
        <w:rPr>
          <w:sz w:val="24"/>
          <w:szCs w:val="24"/>
        </w:rPr>
        <w:t xml:space="preserve">ommittee that atezolizumab was likely to be cost-effective. In the appraisal of cemiplimab, the </w:t>
      </w:r>
      <w:r w:rsidR="003856BB">
        <w:rPr>
          <w:sz w:val="24"/>
          <w:szCs w:val="24"/>
        </w:rPr>
        <w:t>c</w:t>
      </w:r>
      <w:r>
        <w:rPr>
          <w:sz w:val="24"/>
          <w:szCs w:val="24"/>
        </w:rPr>
        <w:t xml:space="preserve">ommittee concluded that there </w:t>
      </w:r>
      <w:r w:rsidRPr="007C1B7B">
        <w:rPr>
          <w:sz w:val="24"/>
          <w:szCs w:val="24"/>
        </w:rPr>
        <w:t xml:space="preserve">was more uncertainty. Although some of the scenarios provided by </w:t>
      </w:r>
      <w:r w:rsidR="00366458">
        <w:rPr>
          <w:sz w:val="24"/>
          <w:szCs w:val="24"/>
        </w:rPr>
        <w:t>Regeneron</w:t>
      </w:r>
      <w:r w:rsidRPr="007C1B7B">
        <w:rPr>
          <w:sz w:val="24"/>
          <w:szCs w:val="24"/>
        </w:rPr>
        <w:t xml:space="preserve"> showed equivalent QALYs, at no point did </w:t>
      </w:r>
      <w:r w:rsidR="00366458">
        <w:rPr>
          <w:sz w:val="24"/>
          <w:szCs w:val="24"/>
        </w:rPr>
        <w:t>Regeneron</w:t>
      </w:r>
      <w:r w:rsidRPr="007C1B7B">
        <w:rPr>
          <w:sz w:val="24"/>
          <w:szCs w:val="24"/>
        </w:rPr>
        <w:t xml:space="preserve"> submit any QALY loss analysis</w:t>
      </w:r>
      <w:r w:rsidR="005B70E9">
        <w:rPr>
          <w:sz w:val="24"/>
          <w:szCs w:val="24"/>
        </w:rPr>
        <w:t xml:space="preserve"> or any analysis that showed cemiplimab to be </w:t>
      </w:r>
      <w:proofErr w:type="gramStart"/>
      <w:r w:rsidR="005B70E9">
        <w:rPr>
          <w:sz w:val="24"/>
          <w:szCs w:val="24"/>
        </w:rPr>
        <w:t>cost-saving</w:t>
      </w:r>
      <w:proofErr w:type="gramEnd"/>
      <w:r w:rsidRPr="007C1B7B">
        <w:rPr>
          <w:sz w:val="24"/>
          <w:szCs w:val="24"/>
        </w:rPr>
        <w:t xml:space="preserve">. </w:t>
      </w:r>
    </w:p>
    <w:p w:rsidRPr="007C1B7B" w:rsidR="0079157E" w:rsidP="0079157E" w:rsidRDefault="00366458" w14:paraId="51E9100E" w14:textId="0AD76943">
      <w:pPr>
        <w:pStyle w:val="Paragraph"/>
        <w:rPr>
          <w:sz w:val="24"/>
          <w:szCs w:val="24"/>
        </w:rPr>
      </w:pPr>
      <w:r w:rsidRPr="4A8D039D">
        <w:rPr>
          <w:sz w:val="24"/>
          <w:szCs w:val="24"/>
        </w:rPr>
        <w:t xml:space="preserve">Dr </w:t>
      </w:r>
      <w:r w:rsidRPr="4A8D039D" w:rsidR="0079157E">
        <w:rPr>
          <w:sz w:val="24"/>
          <w:szCs w:val="24"/>
        </w:rPr>
        <w:t xml:space="preserve">Vanessa Buchanan, for </w:t>
      </w:r>
      <w:r w:rsidRPr="4A8D039D">
        <w:rPr>
          <w:sz w:val="24"/>
          <w:szCs w:val="24"/>
        </w:rPr>
        <w:t>Regeneron</w:t>
      </w:r>
      <w:r w:rsidRPr="4A8D039D" w:rsidR="0079157E">
        <w:rPr>
          <w:sz w:val="24"/>
          <w:szCs w:val="24"/>
        </w:rPr>
        <w:t xml:space="preserve">, explained that </w:t>
      </w:r>
      <w:r w:rsidRPr="4A8D039D" w:rsidR="003D7911">
        <w:rPr>
          <w:sz w:val="24"/>
          <w:szCs w:val="24"/>
        </w:rPr>
        <w:t>Regeneron</w:t>
      </w:r>
      <w:r w:rsidRPr="4A8D039D" w:rsidR="0079157E">
        <w:rPr>
          <w:sz w:val="24"/>
          <w:szCs w:val="24"/>
        </w:rPr>
        <w:t xml:space="preserve"> had </w:t>
      </w:r>
      <w:r w:rsidRPr="4A8D039D" w:rsidR="005B70E9">
        <w:rPr>
          <w:sz w:val="24"/>
          <w:szCs w:val="24"/>
        </w:rPr>
        <w:t>not begun the evaluation with the aim of demonstrating a QALY</w:t>
      </w:r>
      <w:r w:rsidRPr="4A8D039D" w:rsidR="001746F2">
        <w:rPr>
          <w:sz w:val="24"/>
          <w:szCs w:val="24"/>
        </w:rPr>
        <w:t xml:space="preserve"> </w:t>
      </w:r>
      <w:r w:rsidRPr="4A8D039D" w:rsidR="005B70E9">
        <w:rPr>
          <w:sz w:val="24"/>
          <w:szCs w:val="24"/>
        </w:rPr>
        <w:t xml:space="preserve">gain. </w:t>
      </w:r>
      <w:r w:rsidRPr="4A8D039D" w:rsidR="000255CE">
        <w:rPr>
          <w:sz w:val="24"/>
          <w:szCs w:val="24"/>
        </w:rPr>
        <w:t>Regeneron</w:t>
      </w:r>
      <w:r w:rsidRPr="4A8D039D" w:rsidR="005B70E9">
        <w:rPr>
          <w:sz w:val="24"/>
          <w:szCs w:val="24"/>
        </w:rPr>
        <w:t xml:space="preserve"> </w:t>
      </w:r>
      <w:r w:rsidRPr="4A8D039D" w:rsidR="0079157E">
        <w:rPr>
          <w:sz w:val="24"/>
          <w:szCs w:val="24"/>
        </w:rPr>
        <w:t xml:space="preserve">provided a cost comparison analysis in its </w:t>
      </w:r>
      <w:r w:rsidRPr="4A8D039D" w:rsidR="001746F2">
        <w:rPr>
          <w:sz w:val="24"/>
          <w:szCs w:val="24"/>
        </w:rPr>
        <w:t>submission and</w:t>
      </w:r>
      <w:r w:rsidRPr="4A8D039D" w:rsidR="005B70E9">
        <w:rPr>
          <w:sz w:val="24"/>
          <w:szCs w:val="24"/>
        </w:rPr>
        <w:t xml:space="preserve"> signalled clearly that the cost</w:t>
      </w:r>
      <w:r w:rsidRPr="4A8D039D" w:rsidR="008800B2">
        <w:rPr>
          <w:sz w:val="24"/>
          <w:szCs w:val="24"/>
        </w:rPr>
        <w:t xml:space="preserve"> </w:t>
      </w:r>
      <w:r w:rsidRPr="4A8D039D" w:rsidR="692B94CD">
        <w:rPr>
          <w:sz w:val="24"/>
          <w:szCs w:val="24"/>
        </w:rPr>
        <w:t>utility (or cost per QALY)</w:t>
      </w:r>
      <w:r w:rsidRPr="4A8D039D" w:rsidR="008800B2">
        <w:rPr>
          <w:sz w:val="24"/>
          <w:szCs w:val="24"/>
        </w:rPr>
        <w:t xml:space="preserve"> </w:t>
      </w:r>
      <w:r w:rsidRPr="4A8D039D" w:rsidR="005B70E9">
        <w:rPr>
          <w:sz w:val="24"/>
          <w:szCs w:val="24"/>
        </w:rPr>
        <w:t xml:space="preserve">analysis it submitted was only included because it was required by the Manual and in line with the scope of the evaluation. </w:t>
      </w:r>
      <w:r w:rsidRPr="4A8D039D" w:rsidR="0079157E">
        <w:rPr>
          <w:sz w:val="24"/>
          <w:szCs w:val="24"/>
        </w:rPr>
        <w:t xml:space="preserve">She </w:t>
      </w:r>
      <w:r w:rsidRPr="4A8D039D" w:rsidR="001746F2">
        <w:rPr>
          <w:sz w:val="24"/>
          <w:szCs w:val="24"/>
        </w:rPr>
        <w:t>said</w:t>
      </w:r>
      <w:r w:rsidRPr="4A8D039D" w:rsidR="0079157E">
        <w:rPr>
          <w:sz w:val="24"/>
          <w:szCs w:val="24"/>
        </w:rPr>
        <w:t xml:space="preserve"> that a QALY loss was modelled in the atezolizumab appraisal as there was QALY loss to be modelled. Conversely, there were no data available for cemiplimab that generated a QALY loss. The overall survival (</w:t>
      </w:r>
      <w:r w:rsidRPr="4A8D039D" w:rsidR="000971FD">
        <w:rPr>
          <w:sz w:val="24"/>
          <w:szCs w:val="24"/>
        </w:rPr>
        <w:t>"</w:t>
      </w:r>
      <w:r w:rsidRPr="4A8D039D" w:rsidR="0079157E">
        <w:rPr>
          <w:sz w:val="24"/>
          <w:szCs w:val="24"/>
        </w:rPr>
        <w:t>OS</w:t>
      </w:r>
      <w:r w:rsidRPr="4A8D039D" w:rsidR="000971FD">
        <w:rPr>
          <w:sz w:val="24"/>
          <w:szCs w:val="24"/>
        </w:rPr>
        <w:t>"</w:t>
      </w:r>
      <w:r w:rsidRPr="4A8D039D" w:rsidR="0079157E">
        <w:rPr>
          <w:sz w:val="24"/>
          <w:szCs w:val="24"/>
        </w:rPr>
        <w:t xml:space="preserve">) estimates were always in favour of cemiplimab which in turn generated only QALY gains in the cost utility analysis. </w:t>
      </w:r>
    </w:p>
    <w:p w:rsidRPr="007C1B7B" w:rsidR="007C1B7B" w:rsidP="0079157E" w:rsidRDefault="007C1B7B" w14:paraId="1443D098" w14:textId="5884B9CA">
      <w:pPr>
        <w:pStyle w:val="Paragraph"/>
        <w:rPr>
          <w:sz w:val="24"/>
          <w:szCs w:val="24"/>
        </w:rPr>
      </w:pPr>
      <w:r w:rsidRPr="007C1B7B">
        <w:rPr>
          <w:sz w:val="24"/>
          <w:szCs w:val="24"/>
        </w:rPr>
        <w:t xml:space="preserve">In response to Ross Dent's explanation that the Manual had developed, </w:t>
      </w:r>
      <w:r w:rsidR="000255CE">
        <w:rPr>
          <w:sz w:val="24"/>
          <w:szCs w:val="24"/>
        </w:rPr>
        <w:t>Dr</w:t>
      </w:r>
      <w:r w:rsidRPr="007C1B7B" w:rsidR="000255CE">
        <w:rPr>
          <w:sz w:val="24"/>
          <w:szCs w:val="24"/>
        </w:rPr>
        <w:t xml:space="preserve"> </w:t>
      </w:r>
      <w:r w:rsidRPr="007C1B7B">
        <w:rPr>
          <w:sz w:val="24"/>
          <w:szCs w:val="24"/>
        </w:rPr>
        <w:t xml:space="preserve">Buchanan acknowledged the change but noted that </w:t>
      </w:r>
      <w:proofErr w:type="gramStart"/>
      <w:r w:rsidRPr="007C1B7B">
        <w:rPr>
          <w:sz w:val="24"/>
          <w:szCs w:val="24"/>
        </w:rPr>
        <w:t>a number of</w:t>
      </w:r>
      <w:proofErr w:type="gramEnd"/>
      <w:r w:rsidRPr="007C1B7B">
        <w:rPr>
          <w:sz w:val="24"/>
          <w:szCs w:val="24"/>
        </w:rPr>
        <w:t xml:space="preserve"> cost comparison evaluations </w:t>
      </w:r>
      <w:r w:rsidR="006F415D">
        <w:rPr>
          <w:sz w:val="24"/>
          <w:szCs w:val="24"/>
        </w:rPr>
        <w:t>had</w:t>
      </w:r>
      <w:r w:rsidRPr="007C1B7B" w:rsidR="006F415D">
        <w:rPr>
          <w:sz w:val="24"/>
          <w:szCs w:val="24"/>
        </w:rPr>
        <w:t xml:space="preserve"> </w:t>
      </w:r>
      <w:r w:rsidRPr="007C1B7B">
        <w:rPr>
          <w:sz w:val="24"/>
          <w:szCs w:val="24"/>
        </w:rPr>
        <w:t>taken place since the change relying on network meta</w:t>
      </w:r>
      <w:r w:rsidR="005B70E9">
        <w:rPr>
          <w:sz w:val="24"/>
          <w:szCs w:val="24"/>
        </w:rPr>
        <w:t>-</w:t>
      </w:r>
      <w:r w:rsidRPr="007C1B7B">
        <w:rPr>
          <w:sz w:val="24"/>
          <w:szCs w:val="24"/>
        </w:rPr>
        <w:t>analyses, and that it would have been impossible to similarly model clinical similarity through those network meta</w:t>
      </w:r>
      <w:r w:rsidR="005B70E9">
        <w:rPr>
          <w:sz w:val="24"/>
          <w:szCs w:val="24"/>
        </w:rPr>
        <w:t>-</w:t>
      </w:r>
      <w:r w:rsidRPr="007C1B7B">
        <w:rPr>
          <w:sz w:val="24"/>
          <w:szCs w:val="24"/>
        </w:rPr>
        <w:t xml:space="preserve">analyses. </w:t>
      </w:r>
    </w:p>
    <w:p w:rsidR="005B3B15" w:rsidP="0079157E" w:rsidRDefault="007C1B7B" w14:paraId="210139FA" w14:textId="55A085CC">
      <w:pPr>
        <w:pStyle w:val="Paragraph"/>
        <w:rPr>
          <w:sz w:val="24"/>
          <w:szCs w:val="24"/>
        </w:rPr>
      </w:pPr>
      <w:r w:rsidRPr="007C1B7B">
        <w:rPr>
          <w:sz w:val="24"/>
          <w:szCs w:val="24"/>
        </w:rPr>
        <w:t>The</w:t>
      </w:r>
      <w:r w:rsidR="00363E3C">
        <w:rPr>
          <w:sz w:val="24"/>
          <w:szCs w:val="24"/>
        </w:rPr>
        <w:t xml:space="preserve"> </w:t>
      </w:r>
      <w:r w:rsidRPr="007C1B7B">
        <w:rPr>
          <w:sz w:val="24"/>
          <w:szCs w:val="24"/>
        </w:rPr>
        <w:t xml:space="preserve">Panel </w:t>
      </w:r>
      <w:r w:rsidR="005B3B15">
        <w:rPr>
          <w:sz w:val="24"/>
          <w:szCs w:val="24"/>
        </w:rPr>
        <w:t xml:space="preserve">highlighted that there were two different issues in dispute forming this appeal point. First, that there </w:t>
      </w:r>
      <w:r w:rsidR="006F415D">
        <w:rPr>
          <w:sz w:val="24"/>
          <w:szCs w:val="24"/>
        </w:rPr>
        <w:t>was</w:t>
      </w:r>
      <w:r w:rsidR="005B3B15">
        <w:rPr>
          <w:sz w:val="24"/>
          <w:szCs w:val="24"/>
        </w:rPr>
        <w:t xml:space="preserve"> a difference of opinion between </w:t>
      </w:r>
      <w:r w:rsidR="005B7CC7">
        <w:rPr>
          <w:sz w:val="24"/>
          <w:szCs w:val="24"/>
        </w:rPr>
        <w:t>NICE</w:t>
      </w:r>
      <w:r w:rsidR="005B3B15">
        <w:rPr>
          <w:sz w:val="24"/>
          <w:szCs w:val="24"/>
        </w:rPr>
        <w:t xml:space="preserve"> and </w:t>
      </w:r>
      <w:r w:rsidR="005B7CC7">
        <w:rPr>
          <w:sz w:val="24"/>
          <w:szCs w:val="24"/>
        </w:rPr>
        <w:t>Regeneron</w:t>
      </w:r>
      <w:r w:rsidR="005B3B15">
        <w:rPr>
          <w:sz w:val="24"/>
          <w:szCs w:val="24"/>
        </w:rPr>
        <w:t xml:space="preserve"> as to </w:t>
      </w:r>
      <w:r w:rsidR="005B70E9">
        <w:rPr>
          <w:sz w:val="24"/>
          <w:szCs w:val="24"/>
        </w:rPr>
        <w:t xml:space="preserve">the extent to which </w:t>
      </w:r>
      <w:r w:rsidR="005B3B15">
        <w:rPr>
          <w:sz w:val="24"/>
          <w:szCs w:val="24"/>
        </w:rPr>
        <w:t>there is similarity between the appraisal</w:t>
      </w:r>
      <w:r w:rsidR="005B70E9">
        <w:rPr>
          <w:sz w:val="24"/>
          <w:szCs w:val="24"/>
        </w:rPr>
        <w:t>s</w:t>
      </w:r>
      <w:r w:rsidR="005B3B15">
        <w:rPr>
          <w:sz w:val="24"/>
          <w:szCs w:val="24"/>
        </w:rPr>
        <w:t xml:space="preserve"> of atezolizumab and cemiplimab. Secondly, whether the criteria or standards use</w:t>
      </w:r>
      <w:r w:rsidR="00521FFC">
        <w:rPr>
          <w:sz w:val="24"/>
          <w:szCs w:val="24"/>
        </w:rPr>
        <w:t>d</w:t>
      </w:r>
      <w:r w:rsidR="005B3B15">
        <w:rPr>
          <w:sz w:val="24"/>
          <w:szCs w:val="24"/>
        </w:rPr>
        <w:t xml:space="preserve"> to assess the analysis in both appraisals were meaningfully different. The Panel asked </w:t>
      </w:r>
      <w:r w:rsidR="005B7CC7">
        <w:rPr>
          <w:sz w:val="24"/>
          <w:szCs w:val="24"/>
        </w:rPr>
        <w:t xml:space="preserve">NICE </w:t>
      </w:r>
      <w:r w:rsidR="005B3B15">
        <w:rPr>
          <w:sz w:val="24"/>
          <w:szCs w:val="24"/>
        </w:rPr>
        <w:t xml:space="preserve">to elaborate on why it considered the two appraisals to have been meaningfully different. </w:t>
      </w:r>
    </w:p>
    <w:p w:rsidR="005B3B15" w:rsidP="0079157E" w:rsidRDefault="00B24FE6" w14:paraId="75DADD7E" w14:textId="2F326C9C">
      <w:pPr>
        <w:pStyle w:val="Paragraph"/>
        <w:rPr>
          <w:sz w:val="24"/>
          <w:szCs w:val="24"/>
        </w:rPr>
      </w:pPr>
      <w:r>
        <w:rPr>
          <w:sz w:val="24"/>
          <w:szCs w:val="24"/>
        </w:rPr>
        <w:t xml:space="preserve">Dr </w:t>
      </w:r>
      <w:r w:rsidR="005B3B15">
        <w:rPr>
          <w:sz w:val="24"/>
          <w:szCs w:val="24"/>
        </w:rPr>
        <w:t>Raju Reddy</w:t>
      </w:r>
      <w:r w:rsidR="00B914F1">
        <w:rPr>
          <w:sz w:val="24"/>
          <w:szCs w:val="24"/>
        </w:rPr>
        <w:t>,</w:t>
      </w:r>
      <w:r w:rsidR="005B3B15">
        <w:rPr>
          <w:sz w:val="24"/>
          <w:szCs w:val="24"/>
        </w:rPr>
        <w:t xml:space="preserve"> </w:t>
      </w:r>
      <w:r w:rsidR="00E13C02">
        <w:rPr>
          <w:sz w:val="24"/>
          <w:szCs w:val="24"/>
        </w:rPr>
        <w:t>for</w:t>
      </w:r>
      <w:r w:rsidR="00B914F1">
        <w:rPr>
          <w:sz w:val="24"/>
          <w:szCs w:val="24"/>
        </w:rPr>
        <w:t xml:space="preserve"> </w:t>
      </w:r>
      <w:r>
        <w:rPr>
          <w:sz w:val="24"/>
          <w:szCs w:val="24"/>
        </w:rPr>
        <w:t>NICE</w:t>
      </w:r>
      <w:r w:rsidR="00B914F1">
        <w:rPr>
          <w:sz w:val="24"/>
          <w:szCs w:val="24"/>
        </w:rPr>
        <w:t>,</w:t>
      </w:r>
      <w:r w:rsidR="005B3B15">
        <w:rPr>
          <w:sz w:val="24"/>
          <w:szCs w:val="24"/>
        </w:rPr>
        <w:t xml:space="preserve"> stated that </w:t>
      </w:r>
      <w:r>
        <w:rPr>
          <w:sz w:val="24"/>
          <w:szCs w:val="24"/>
        </w:rPr>
        <w:t>Regeneron</w:t>
      </w:r>
      <w:r w:rsidR="005B3B15">
        <w:rPr>
          <w:sz w:val="24"/>
          <w:szCs w:val="24"/>
        </w:rPr>
        <w:t xml:space="preserve"> had mentioned cost comparison a few times. He provided NICE's criteria for cost comparison analysis, which is that the technology is "</w:t>
      </w:r>
      <w:r w:rsidRPr="005B3B15" w:rsidR="005B3B15">
        <w:rPr>
          <w:i/>
          <w:iCs/>
          <w:sz w:val="24"/>
          <w:szCs w:val="24"/>
        </w:rPr>
        <w:t>likely to provide similar or greater health benefits at a similar or lower cost than the relevant comparators</w:t>
      </w:r>
      <w:r w:rsidR="005B3B15">
        <w:rPr>
          <w:sz w:val="24"/>
          <w:szCs w:val="24"/>
        </w:rPr>
        <w:t>".</w:t>
      </w:r>
      <w:r w:rsidR="005B3B15">
        <w:rPr>
          <w:rStyle w:val="FootnoteReference"/>
          <w:sz w:val="24"/>
          <w:szCs w:val="24"/>
        </w:rPr>
        <w:footnoteReference w:id="2"/>
      </w:r>
      <w:r w:rsidR="005B3B15">
        <w:rPr>
          <w:sz w:val="24"/>
          <w:szCs w:val="24"/>
        </w:rPr>
        <w:t xml:space="preserve"> </w:t>
      </w:r>
      <w:r w:rsidR="00282C5E">
        <w:rPr>
          <w:sz w:val="24"/>
          <w:szCs w:val="24"/>
        </w:rPr>
        <w:t xml:space="preserve">He reminded the Panel that cemiplimab was not scoped as a cost comparison analysis, and at no stage did </w:t>
      </w:r>
      <w:r w:rsidR="001A200A">
        <w:rPr>
          <w:sz w:val="24"/>
          <w:szCs w:val="24"/>
        </w:rPr>
        <w:t>Regeneron</w:t>
      </w:r>
      <w:r w:rsidR="00282C5E">
        <w:rPr>
          <w:sz w:val="24"/>
          <w:szCs w:val="24"/>
        </w:rPr>
        <w:t xml:space="preserve"> put forward a value proposition eligible for cost comparison. </w:t>
      </w:r>
    </w:p>
    <w:p w:rsidR="00A645F2" w:rsidP="0079157E" w:rsidRDefault="00A645F2" w14:paraId="6FD08831" w14:textId="41942480">
      <w:pPr>
        <w:pStyle w:val="Paragraph"/>
        <w:rPr>
          <w:sz w:val="24"/>
          <w:szCs w:val="24"/>
        </w:rPr>
      </w:pPr>
      <w:r>
        <w:rPr>
          <w:sz w:val="24"/>
          <w:szCs w:val="24"/>
        </w:rPr>
        <w:t xml:space="preserve">Alan Kane, </w:t>
      </w:r>
      <w:r w:rsidR="001A200A">
        <w:rPr>
          <w:sz w:val="24"/>
          <w:szCs w:val="24"/>
        </w:rPr>
        <w:t>for Regeneron</w:t>
      </w:r>
      <w:r>
        <w:rPr>
          <w:sz w:val="24"/>
          <w:szCs w:val="24"/>
        </w:rPr>
        <w:t xml:space="preserve">, explained that </w:t>
      </w:r>
      <w:r w:rsidR="001A200A">
        <w:rPr>
          <w:sz w:val="24"/>
          <w:szCs w:val="24"/>
        </w:rPr>
        <w:t>Regeneron</w:t>
      </w:r>
      <w:r>
        <w:rPr>
          <w:sz w:val="24"/>
          <w:szCs w:val="24"/>
        </w:rPr>
        <w:t xml:space="preserve"> </w:t>
      </w:r>
      <w:r w:rsidR="00521FFC">
        <w:rPr>
          <w:sz w:val="24"/>
          <w:szCs w:val="24"/>
        </w:rPr>
        <w:t>acknowledged</w:t>
      </w:r>
      <w:r>
        <w:rPr>
          <w:sz w:val="24"/>
          <w:szCs w:val="24"/>
        </w:rPr>
        <w:t xml:space="preserve"> that th</w:t>
      </w:r>
      <w:r w:rsidR="00521FFC">
        <w:rPr>
          <w:sz w:val="24"/>
          <w:szCs w:val="24"/>
        </w:rPr>
        <w:t xml:space="preserve">e evaluation </w:t>
      </w:r>
      <w:r>
        <w:rPr>
          <w:sz w:val="24"/>
          <w:szCs w:val="24"/>
        </w:rPr>
        <w:t xml:space="preserve">was scoped as cost utility, but that </w:t>
      </w:r>
      <w:r w:rsidR="001A200A">
        <w:rPr>
          <w:sz w:val="24"/>
          <w:szCs w:val="24"/>
        </w:rPr>
        <w:t>Regeneron</w:t>
      </w:r>
      <w:r>
        <w:rPr>
          <w:sz w:val="24"/>
          <w:szCs w:val="24"/>
        </w:rPr>
        <w:t xml:space="preserve"> was advised by the NICE team to put forward cost-comparison information to supplement the cost utility analysis. </w:t>
      </w:r>
    </w:p>
    <w:p w:rsidR="00A645F2" w:rsidP="0079157E" w:rsidRDefault="001A200A" w14:paraId="71C145D8" w14:textId="2D6D9810">
      <w:pPr>
        <w:pStyle w:val="Paragraph"/>
        <w:rPr>
          <w:sz w:val="24"/>
          <w:szCs w:val="24"/>
        </w:rPr>
      </w:pPr>
      <w:r>
        <w:rPr>
          <w:sz w:val="24"/>
          <w:szCs w:val="24"/>
        </w:rPr>
        <w:t xml:space="preserve">Dr </w:t>
      </w:r>
      <w:r w:rsidR="00A645F2">
        <w:rPr>
          <w:sz w:val="24"/>
          <w:szCs w:val="24"/>
        </w:rPr>
        <w:t xml:space="preserve">Buchanan disagreed with the characterisation that cost-comparison analysis was a small part of </w:t>
      </w:r>
      <w:r>
        <w:rPr>
          <w:sz w:val="24"/>
          <w:szCs w:val="24"/>
        </w:rPr>
        <w:t>Regeneron</w:t>
      </w:r>
      <w:r w:rsidR="00A645F2">
        <w:rPr>
          <w:sz w:val="24"/>
          <w:szCs w:val="24"/>
        </w:rPr>
        <w:t xml:space="preserve">'s </w:t>
      </w:r>
      <w:proofErr w:type="gramStart"/>
      <w:r w:rsidR="00A645F2">
        <w:rPr>
          <w:sz w:val="24"/>
          <w:szCs w:val="24"/>
        </w:rPr>
        <w:t>submission,</w:t>
      </w:r>
      <w:r w:rsidR="00A53062">
        <w:rPr>
          <w:sz w:val="24"/>
          <w:szCs w:val="24"/>
        </w:rPr>
        <w:t xml:space="preserve"> and</w:t>
      </w:r>
      <w:proofErr w:type="gramEnd"/>
      <w:r w:rsidR="00A645F2">
        <w:rPr>
          <w:sz w:val="24"/>
          <w:szCs w:val="24"/>
        </w:rPr>
        <w:t xml:space="preserve"> instead describ</w:t>
      </w:r>
      <w:r w:rsidR="00A53062">
        <w:rPr>
          <w:sz w:val="24"/>
          <w:szCs w:val="24"/>
        </w:rPr>
        <w:t>ed</w:t>
      </w:r>
      <w:r w:rsidR="00A645F2">
        <w:rPr>
          <w:sz w:val="24"/>
          <w:szCs w:val="24"/>
        </w:rPr>
        <w:t xml:space="preserve"> it as existing within the cost utility model and in </w:t>
      </w:r>
      <w:proofErr w:type="gramStart"/>
      <w:r w:rsidR="00A645F2">
        <w:rPr>
          <w:sz w:val="24"/>
          <w:szCs w:val="24"/>
        </w:rPr>
        <w:t>all of</w:t>
      </w:r>
      <w:proofErr w:type="gramEnd"/>
      <w:r w:rsidR="00A645F2">
        <w:rPr>
          <w:sz w:val="24"/>
          <w:szCs w:val="24"/>
        </w:rPr>
        <w:t xml:space="preserve"> the sensitivity analyses. She also added that the </w:t>
      </w:r>
      <w:r w:rsidR="003856BB">
        <w:rPr>
          <w:sz w:val="24"/>
          <w:szCs w:val="24"/>
        </w:rPr>
        <w:t>c</w:t>
      </w:r>
      <w:r w:rsidR="00B62F1A">
        <w:rPr>
          <w:sz w:val="24"/>
          <w:szCs w:val="24"/>
        </w:rPr>
        <w:t xml:space="preserve">ommittee </w:t>
      </w:r>
      <w:r w:rsidR="00A645F2">
        <w:rPr>
          <w:sz w:val="24"/>
          <w:szCs w:val="24"/>
        </w:rPr>
        <w:t xml:space="preserve">had adopted a different approach to bias against atezolizumab and bias against cemiplimab in their respective appraisals. </w:t>
      </w:r>
      <w:r w:rsidR="00521FFC">
        <w:rPr>
          <w:sz w:val="24"/>
          <w:szCs w:val="24"/>
        </w:rPr>
        <w:t xml:space="preserve">She said that </w:t>
      </w:r>
      <w:r w:rsidRPr="00521FFC" w:rsidR="00521FFC">
        <w:rPr>
          <w:sz w:val="24"/>
          <w:szCs w:val="24"/>
        </w:rPr>
        <w:t>biases against atezolizumab in TA705 were very openly acknowledged and used by the committee in that appraisal to give atezo</w:t>
      </w:r>
      <w:r w:rsidR="00521FFC">
        <w:rPr>
          <w:sz w:val="24"/>
          <w:szCs w:val="24"/>
        </w:rPr>
        <w:t>lizumab</w:t>
      </w:r>
      <w:r w:rsidRPr="00521FFC" w:rsidR="00521FFC">
        <w:rPr>
          <w:sz w:val="24"/>
          <w:szCs w:val="24"/>
        </w:rPr>
        <w:t xml:space="preserve"> the benefit of the doubt, whereas the biases against cemiplimab were barely acknowledged or completely ignored.</w:t>
      </w:r>
    </w:p>
    <w:p w:rsidRPr="001746F2" w:rsidR="007C1B7B" w:rsidP="001746F2" w:rsidRDefault="001A200A" w14:paraId="7333B4BC" w14:textId="315C0703">
      <w:pPr>
        <w:pStyle w:val="Paragraph"/>
        <w:rPr>
          <w:sz w:val="24"/>
          <w:szCs w:val="24"/>
        </w:rPr>
      </w:pPr>
      <w:r>
        <w:rPr>
          <w:sz w:val="24"/>
          <w:szCs w:val="24"/>
        </w:rPr>
        <w:t xml:space="preserve">Dr </w:t>
      </w:r>
      <w:r w:rsidR="00E62CF3">
        <w:rPr>
          <w:sz w:val="24"/>
          <w:szCs w:val="24"/>
        </w:rPr>
        <w:t>Buchanan described that the worsening hazard ratios over time for</w:t>
      </w:r>
      <w:r w:rsidR="001746F2">
        <w:rPr>
          <w:sz w:val="24"/>
          <w:szCs w:val="24"/>
        </w:rPr>
        <w:t xml:space="preserve"> </w:t>
      </w:r>
      <w:r w:rsidR="00E62CF3">
        <w:rPr>
          <w:sz w:val="24"/>
          <w:szCs w:val="24"/>
        </w:rPr>
        <w:t>PFS and OS in the atezolizumab modelling were a</w:t>
      </w:r>
      <w:r w:rsidR="00494B56">
        <w:rPr>
          <w:sz w:val="24"/>
          <w:szCs w:val="24"/>
        </w:rPr>
        <w:t>ttributed</w:t>
      </w:r>
      <w:r w:rsidR="00E62CF3">
        <w:rPr>
          <w:sz w:val="24"/>
          <w:szCs w:val="24"/>
        </w:rPr>
        <w:t xml:space="preserve"> to biases against atezolizumab in favour of pembrolizumab plus chemotherapy as a comparator. In contrast, </w:t>
      </w:r>
      <w:r w:rsidR="00494B56">
        <w:rPr>
          <w:sz w:val="24"/>
          <w:szCs w:val="24"/>
        </w:rPr>
        <w:t xml:space="preserve">in the current evaluation </w:t>
      </w:r>
      <w:r w:rsidR="00E62CF3">
        <w:rPr>
          <w:sz w:val="24"/>
          <w:szCs w:val="24"/>
        </w:rPr>
        <w:t xml:space="preserve">the PFS hazard ratios for cemiplimab improved over time. She noted that there </w:t>
      </w:r>
      <w:r w:rsidR="00170BF8">
        <w:rPr>
          <w:sz w:val="24"/>
          <w:szCs w:val="24"/>
        </w:rPr>
        <w:t>was</w:t>
      </w:r>
      <w:r w:rsidR="00E62CF3">
        <w:rPr>
          <w:sz w:val="24"/>
          <w:szCs w:val="24"/>
        </w:rPr>
        <w:t xml:space="preserve"> no acknowledgment in the </w:t>
      </w:r>
      <w:r w:rsidR="003C14DF">
        <w:rPr>
          <w:sz w:val="24"/>
          <w:szCs w:val="24"/>
        </w:rPr>
        <w:t>FDG</w:t>
      </w:r>
      <w:r w:rsidR="00E62CF3">
        <w:rPr>
          <w:sz w:val="24"/>
          <w:szCs w:val="24"/>
        </w:rPr>
        <w:t xml:space="preserve"> of the effect of modifiers that could have biased the network </w:t>
      </w:r>
      <w:r w:rsidR="001746F2">
        <w:rPr>
          <w:sz w:val="24"/>
          <w:szCs w:val="24"/>
        </w:rPr>
        <w:t>meta-analyses</w:t>
      </w:r>
      <w:r w:rsidR="00E62CF3">
        <w:rPr>
          <w:sz w:val="24"/>
          <w:szCs w:val="24"/>
        </w:rPr>
        <w:t xml:space="preserve"> results in favour of pembrolizumab. Instead, the guidance focusse</w:t>
      </w:r>
      <w:r w:rsidR="00170BF8">
        <w:rPr>
          <w:sz w:val="24"/>
          <w:szCs w:val="24"/>
        </w:rPr>
        <w:t>d</w:t>
      </w:r>
      <w:r w:rsidR="00E62CF3">
        <w:rPr>
          <w:sz w:val="24"/>
          <w:szCs w:val="24"/>
        </w:rPr>
        <w:t xml:space="preserve"> entirely on the shortcomings of the matching-adjusted indirect comparison (</w:t>
      </w:r>
      <w:r w:rsidR="000971FD">
        <w:rPr>
          <w:sz w:val="24"/>
          <w:szCs w:val="24"/>
        </w:rPr>
        <w:t>"</w:t>
      </w:r>
      <w:r w:rsidRPr="00DE682B" w:rsidR="00E62CF3">
        <w:rPr>
          <w:sz w:val="24"/>
          <w:szCs w:val="24"/>
        </w:rPr>
        <w:t>MAIC</w:t>
      </w:r>
      <w:r w:rsidR="000971FD">
        <w:rPr>
          <w:sz w:val="24"/>
          <w:szCs w:val="24"/>
        </w:rPr>
        <w:t>"</w:t>
      </w:r>
      <w:r w:rsidR="001746F2">
        <w:rPr>
          <w:sz w:val="24"/>
          <w:szCs w:val="24"/>
        </w:rPr>
        <w:t>)</w:t>
      </w:r>
      <w:r w:rsidRPr="001746F2" w:rsidR="00494B56">
        <w:rPr>
          <w:sz w:val="24"/>
          <w:szCs w:val="24"/>
        </w:rPr>
        <w:t xml:space="preserve"> provided by </w:t>
      </w:r>
      <w:r w:rsidR="00537653">
        <w:rPr>
          <w:sz w:val="24"/>
          <w:szCs w:val="24"/>
        </w:rPr>
        <w:t>Regeneron</w:t>
      </w:r>
      <w:r w:rsidRPr="001746F2" w:rsidR="00E62CF3">
        <w:rPr>
          <w:sz w:val="24"/>
          <w:szCs w:val="24"/>
        </w:rPr>
        <w:t xml:space="preserve">. </w:t>
      </w:r>
      <w:r w:rsidRPr="001746F2" w:rsidR="00494B56">
        <w:rPr>
          <w:sz w:val="24"/>
          <w:szCs w:val="24"/>
        </w:rPr>
        <w:t xml:space="preserve">She said that </w:t>
      </w:r>
      <w:r w:rsidR="00537653">
        <w:rPr>
          <w:sz w:val="24"/>
          <w:szCs w:val="24"/>
        </w:rPr>
        <w:t>Regeneron</w:t>
      </w:r>
      <w:r w:rsidRPr="001746F2" w:rsidR="00494B56">
        <w:rPr>
          <w:sz w:val="24"/>
          <w:szCs w:val="24"/>
        </w:rPr>
        <w:t xml:space="preserve"> made c</w:t>
      </w:r>
      <w:r w:rsidRPr="001746F2" w:rsidR="00A2256B">
        <w:rPr>
          <w:sz w:val="24"/>
          <w:szCs w:val="24"/>
        </w:rPr>
        <w:t xml:space="preserve">onservative assumptions for time-on-treatment for pembrolizumab, which generated c.30% lower time-on-treatment for pembrolizumab plus chemotherapy versus cemiplimab. She described that </w:t>
      </w:r>
      <w:r w:rsidR="00277A45">
        <w:rPr>
          <w:sz w:val="24"/>
          <w:szCs w:val="24"/>
        </w:rPr>
        <w:t>NICE</w:t>
      </w:r>
      <w:r w:rsidRPr="001746F2" w:rsidR="00A2256B">
        <w:rPr>
          <w:sz w:val="24"/>
          <w:szCs w:val="24"/>
        </w:rPr>
        <w:t xml:space="preserve"> had made no mention of the high use of post-progression treatment for those on pembrolizumab (22%) compared to c.3% for those on cemiplimab in the EMPOWER-Lung 3 trial. </w:t>
      </w:r>
    </w:p>
    <w:p w:rsidR="00A2256B" w:rsidP="0079157E" w:rsidRDefault="00A2256B" w14:paraId="079F13C2" w14:textId="19ABD5B2">
      <w:pPr>
        <w:pStyle w:val="Paragraph"/>
        <w:rPr>
          <w:sz w:val="24"/>
          <w:szCs w:val="24"/>
        </w:rPr>
      </w:pPr>
      <w:r>
        <w:rPr>
          <w:sz w:val="24"/>
          <w:szCs w:val="24"/>
        </w:rPr>
        <w:t xml:space="preserve">The </w:t>
      </w:r>
      <w:r w:rsidR="003856BB">
        <w:rPr>
          <w:sz w:val="24"/>
          <w:szCs w:val="24"/>
        </w:rPr>
        <w:t>p</w:t>
      </w:r>
      <w:r>
        <w:rPr>
          <w:sz w:val="24"/>
          <w:szCs w:val="24"/>
        </w:rPr>
        <w:t xml:space="preserve">anel asked </w:t>
      </w:r>
      <w:r w:rsidR="00277A45">
        <w:rPr>
          <w:sz w:val="24"/>
          <w:szCs w:val="24"/>
        </w:rPr>
        <w:t>Regeneron</w:t>
      </w:r>
      <w:r>
        <w:rPr>
          <w:sz w:val="24"/>
          <w:szCs w:val="24"/>
        </w:rPr>
        <w:t xml:space="preserve"> to respond to </w:t>
      </w:r>
      <w:r w:rsidR="00277A45">
        <w:rPr>
          <w:sz w:val="24"/>
          <w:szCs w:val="24"/>
        </w:rPr>
        <w:t>NICE</w:t>
      </w:r>
      <w:r>
        <w:rPr>
          <w:sz w:val="24"/>
          <w:szCs w:val="24"/>
        </w:rPr>
        <w:t xml:space="preserve">'s earlier statement, that </w:t>
      </w:r>
      <w:r w:rsidRPr="00494B56" w:rsidR="00494B56">
        <w:rPr>
          <w:sz w:val="24"/>
          <w:szCs w:val="24"/>
        </w:rPr>
        <w:t xml:space="preserve">because the </w:t>
      </w:r>
      <w:r w:rsidR="00494B56">
        <w:rPr>
          <w:sz w:val="24"/>
          <w:szCs w:val="24"/>
        </w:rPr>
        <w:t xml:space="preserve">atezolizumab and cemiplimab </w:t>
      </w:r>
      <w:r w:rsidRPr="00494B56" w:rsidR="00494B56">
        <w:rPr>
          <w:sz w:val="24"/>
          <w:szCs w:val="24"/>
        </w:rPr>
        <w:t>appraisals were held at different times and in different clinical context</w:t>
      </w:r>
      <w:r w:rsidR="00494B56">
        <w:rPr>
          <w:sz w:val="24"/>
          <w:szCs w:val="24"/>
        </w:rPr>
        <w:t>s</w:t>
      </w:r>
      <w:r w:rsidRPr="00494B56" w:rsidR="00494B56">
        <w:rPr>
          <w:sz w:val="24"/>
          <w:szCs w:val="24"/>
        </w:rPr>
        <w:t xml:space="preserve">, </w:t>
      </w:r>
      <w:r w:rsidR="00494B56">
        <w:rPr>
          <w:sz w:val="24"/>
          <w:szCs w:val="24"/>
        </w:rPr>
        <w:t xml:space="preserve">it </w:t>
      </w:r>
      <w:r w:rsidR="00025F20">
        <w:rPr>
          <w:sz w:val="24"/>
          <w:szCs w:val="24"/>
        </w:rPr>
        <w:t>was</w:t>
      </w:r>
      <w:r w:rsidR="00494B56">
        <w:rPr>
          <w:sz w:val="24"/>
          <w:szCs w:val="24"/>
        </w:rPr>
        <w:t xml:space="preserve"> more difficult to establish that </w:t>
      </w:r>
      <w:r w:rsidRPr="00494B56" w:rsidR="00494B56">
        <w:rPr>
          <w:sz w:val="24"/>
          <w:szCs w:val="24"/>
        </w:rPr>
        <w:t>they should be handled in the same way</w:t>
      </w:r>
      <w:r>
        <w:rPr>
          <w:sz w:val="24"/>
          <w:szCs w:val="24"/>
        </w:rPr>
        <w:t xml:space="preserve">. </w:t>
      </w:r>
    </w:p>
    <w:p w:rsidR="00A2256B" w:rsidP="0079157E" w:rsidRDefault="00A2256B" w14:paraId="05FF1725" w14:textId="2842475A">
      <w:pPr>
        <w:pStyle w:val="Paragraph"/>
        <w:rPr>
          <w:sz w:val="24"/>
          <w:szCs w:val="24"/>
        </w:rPr>
      </w:pPr>
      <w:r>
        <w:rPr>
          <w:sz w:val="24"/>
          <w:szCs w:val="24"/>
        </w:rPr>
        <w:t xml:space="preserve">Grant Castle </w:t>
      </w:r>
      <w:r w:rsidR="00494B56">
        <w:rPr>
          <w:sz w:val="24"/>
          <w:szCs w:val="24"/>
        </w:rPr>
        <w:t>said</w:t>
      </w:r>
      <w:r>
        <w:rPr>
          <w:sz w:val="24"/>
          <w:szCs w:val="24"/>
        </w:rPr>
        <w:t xml:space="preserve"> that</w:t>
      </w:r>
      <w:r w:rsidR="006960EE">
        <w:rPr>
          <w:sz w:val="24"/>
          <w:szCs w:val="24"/>
        </w:rPr>
        <w:t xml:space="preserve"> although</w:t>
      </w:r>
      <w:r>
        <w:rPr>
          <w:sz w:val="24"/>
          <w:szCs w:val="24"/>
        </w:rPr>
        <w:t xml:space="preserve"> the Manual </w:t>
      </w:r>
      <w:r w:rsidR="006960EE">
        <w:rPr>
          <w:sz w:val="24"/>
          <w:szCs w:val="24"/>
        </w:rPr>
        <w:t xml:space="preserve">ideally </w:t>
      </w:r>
      <w:r>
        <w:rPr>
          <w:sz w:val="24"/>
          <w:szCs w:val="24"/>
        </w:rPr>
        <w:t xml:space="preserve">requires a non-inferiority study, it does not mandate one. He also noted that in </w:t>
      </w:r>
      <w:r w:rsidR="00F66559">
        <w:rPr>
          <w:sz w:val="24"/>
          <w:szCs w:val="24"/>
        </w:rPr>
        <w:t>non-small-cell lung</w:t>
      </w:r>
      <w:r>
        <w:rPr>
          <w:sz w:val="24"/>
          <w:szCs w:val="24"/>
        </w:rPr>
        <w:t xml:space="preserve"> cancer cases a non-inferiority study </w:t>
      </w:r>
      <w:r w:rsidR="00025F20">
        <w:rPr>
          <w:sz w:val="24"/>
          <w:szCs w:val="24"/>
        </w:rPr>
        <w:t>was</w:t>
      </w:r>
      <w:r>
        <w:rPr>
          <w:sz w:val="24"/>
          <w:szCs w:val="24"/>
        </w:rPr>
        <w:t xml:space="preserve"> not plausible. </w:t>
      </w:r>
      <w:r w:rsidR="00277A45">
        <w:rPr>
          <w:sz w:val="24"/>
          <w:szCs w:val="24"/>
        </w:rPr>
        <w:t xml:space="preserve">Dr </w:t>
      </w:r>
      <w:r>
        <w:rPr>
          <w:sz w:val="24"/>
          <w:szCs w:val="24"/>
        </w:rPr>
        <w:t>Buchanan, responding to the same point, expressed the view that other appraisals have adopted cost comparison methods with no better evidence than was available here – and that none of those products could have produced a point estimate of 1 in any network meta</w:t>
      </w:r>
      <w:r w:rsidR="00494B56">
        <w:rPr>
          <w:sz w:val="24"/>
          <w:szCs w:val="24"/>
        </w:rPr>
        <w:t>-</w:t>
      </w:r>
      <w:r>
        <w:rPr>
          <w:sz w:val="24"/>
          <w:szCs w:val="24"/>
        </w:rPr>
        <w:t xml:space="preserve">analyses either. </w:t>
      </w:r>
    </w:p>
    <w:p w:rsidR="00A2256B" w:rsidP="0079157E" w:rsidRDefault="00A2256B" w14:paraId="4D53A83B" w14:textId="705F8984">
      <w:pPr>
        <w:pStyle w:val="Paragraph"/>
        <w:rPr>
          <w:sz w:val="24"/>
          <w:szCs w:val="24"/>
        </w:rPr>
      </w:pPr>
      <w:r>
        <w:rPr>
          <w:sz w:val="24"/>
          <w:szCs w:val="24"/>
        </w:rPr>
        <w:t xml:space="preserve">Ross Dent responded to Grant Castle's critique that the Manual "ideally" required a non-inferiority study. He explained that where a randomised control trial </w:t>
      </w:r>
      <w:r w:rsidR="00025F20">
        <w:rPr>
          <w:sz w:val="24"/>
          <w:szCs w:val="24"/>
        </w:rPr>
        <w:t>was</w:t>
      </w:r>
      <w:r>
        <w:rPr>
          <w:sz w:val="24"/>
          <w:szCs w:val="24"/>
        </w:rPr>
        <w:t xml:space="preserve"> not possible, the alternative methods deployed should be rigorous and transparent – and that the </w:t>
      </w:r>
      <w:r w:rsidR="003856BB">
        <w:rPr>
          <w:sz w:val="24"/>
          <w:szCs w:val="24"/>
        </w:rPr>
        <w:t>c</w:t>
      </w:r>
      <w:r>
        <w:rPr>
          <w:sz w:val="24"/>
          <w:szCs w:val="24"/>
        </w:rPr>
        <w:t xml:space="preserve">ommittee had not been persuaded that this was the case on the face of the evidence before it. </w:t>
      </w:r>
    </w:p>
    <w:p w:rsidR="00180E30" w:rsidP="00180E30" w:rsidRDefault="00180E30" w14:paraId="6A82EE11" w14:textId="6BBE6FEA">
      <w:pPr>
        <w:pStyle w:val="Paragraph"/>
        <w:rPr>
          <w:sz w:val="24"/>
          <w:szCs w:val="24"/>
        </w:rPr>
      </w:pPr>
      <w:r>
        <w:rPr>
          <w:sz w:val="24"/>
          <w:szCs w:val="24"/>
        </w:rPr>
        <w:t xml:space="preserve">Giles Monnickendam, for </w:t>
      </w:r>
      <w:r w:rsidR="00A870DB">
        <w:rPr>
          <w:sz w:val="24"/>
          <w:szCs w:val="24"/>
        </w:rPr>
        <w:t>NICE</w:t>
      </w:r>
      <w:r>
        <w:rPr>
          <w:sz w:val="24"/>
          <w:szCs w:val="24"/>
        </w:rPr>
        <w:t xml:space="preserve">, explained </w:t>
      </w:r>
      <w:r w:rsidR="00494B56">
        <w:rPr>
          <w:sz w:val="24"/>
          <w:szCs w:val="24"/>
        </w:rPr>
        <w:t>that he was the</w:t>
      </w:r>
      <w:r>
        <w:rPr>
          <w:sz w:val="24"/>
          <w:szCs w:val="24"/>
        </w:rPr>
        <w:t xml:space="preserve"> cost-effectiveness lead on both the atezolizumab and cemiplimab appraisals. He </w:t>
      </w:r>
      <w:r w:rsidR="00494B56">
        <w:rPr>
          <w:sz w:val="24"/>
          <w:szCs w:val="24"/>
        </w:rPr>
        <w:t xml:space="preserve">said </w:t>
      </w:r>
      <w:r>
        <w:rPr>
          <w:sz w:val="24"/>
          <w:szCs w:val="24"/>
        </w:rPr>
        <w:t xml:space="preserve">that in the atezolizumab appraisal the </w:t>
      </w:r>
      <w:r w:rsidR="00D73149">
        <w:rPr>
          <w:sz w:val="24"/>
          <w:szCs w:val="24"/>
        </w:rPr>
        <w:t>c</w:t>
      </w:r>
      <w:r>
        <w:rPr>
          <w:sz w:val="24"/>
          <w:szCs w:val="24"/>
        </w:rPr>
        <w:t>ommittee was reluctant to state any firm conclusion about the clinical effectiveness of the treatment, but that there was enough information to enable the</w:t>
      </w:r>
      <w:r w:rsidR="009771B3">
        <w:rPr>
          <w:sz w:val="24"/>
          <w:szCs w:val="24"/>
        </w:rPr>
        <w:t xml:space="preserve"> </w:t>
      </w:r>
      <w:r w:rsidR="003856BB">
        <w:rPr>
          <w:sz w:val="24"/>
          <w:szCs w:val="24"/>
        </w:rPr>
        <w:t>c</w:t>
      </w:r>
      <w:r>
        <w:rPr>
          <w:sz w:val="24"/>
          <w:szCs w:val="24"/>
        </w:rPr>
        <w:t xml:space="preserve">ommittee to reach the conclusion in that appraisal that atezolizumab was likely to be cost effective in the NHS. He did not consider there to have been a radically different approach between the two appraisals. He described that the </w:t>
      </w:r>
      <w:r w:rsidR="003856BB">
        <w:rPr>
          <w:sz w:val="24"/>
          <w:szCs w:val="24"/>
        </w:rPr>
        <w:t>c</w:t>
      </w:r>
      <w:r>
        <w:rPr>
          <w:sz w:val="24"/>
          <w:szCs w:val="24"/>
        </w:rPr>
        <w:t xml:space="preserve">ommittee had struggled with the same issues in both appraisals – but that the big difference was in the quality of the indirect treatment comparisons submitted in both. In the appraisal of atezolizumab, the three clinical trials underlying the indirect treatment comparison took place at a similar time, and the patient population had similar baseline characteristics, and similar trial designs. The indirect treatment </w:t>
      </w:r>
      <w:r w:rsidR="003B4694">
        <w:rPr>
          <w:sz w:val="24"/>
          <w:szCs w:val="24"/>
        </w:rPr>
        <w:t xml:space="preserve">comparisons </w:t>
      </w:r>
      <w:r>
        <w:rPr>
          <w:sz w:val="24"/>
          <w:szCs w:val="24"/>
        </w:rPr>
        <w:t>put forward for cemiplimab w</w:t>
      </w:r>
      <w:r w:rsidR="003B4694">
        <w:rPr>
          <w:sz w:val="24"/>
          <w:szCs w:val="24"/>
        </w:rPr>
        <w:t>ere</w:t>
      </w:r>
      <w:r>
        <w:rPr>
          <w:sz w:val="24"/>
          <w:szCs w:val="24"/>
        </w:rPr>
        <w:t xml:space="preserve"> very different. He explained that there was a </w:t>
      </w:r>
      <w:proofErr w:type="gramStart"/>
      <w:r>
        <w:rPr>
          <w:sz w:val="24"/>
          <w:szCs w:val="24"/>
        </w:rPr>
        <w:t>3-4 year</w:t>
      </w:r>
      <w:proofErr w:type="gramEnd"/>
      <w:r>
        <w:rPr>
          <w:sz w:val="24"/>
          <w:szCs w:val="24"/>
        </w:rPr>
        <w:t xml:space="preserve"> gap between the EMPOWER-Lung 3 study and the studies in the indirect treatment comparison – which led to big differences in the studies and large differences in the patient population involved in them. As a result, the </w:t>
      </w:r>
      <w:r w:rsidR="00ED2E13">
        <w:rPr>
          <w:sz w:val="24"/>
          <w:szCs w:val="24"/>
        </w:rPr>
        <w:t>c</w:t>
      </w:r>
      <w:r>
        <w:rPr>
          <w:sz w:val="24"/>
          <w:szCs w:val="24"/>
        </w:rPr>
        <w:t>ommittee concluded that there w</w:t>
      </w:r>
      <w:r w:rsidR="003B4694">
        <w:rPr>
          <w:sz w:val="24"/>
          <w:szCs w:val="24"/>
        </w:rPr>
        <w:t>ere</w:t>
      </w:r>
      <w:r>
        <w:rPr>
          <w:sz w:val="24"/>
          <w:szCs w:val="24"/>
        </w:rPr>
        <w:t xml:space="preserve"> different levels of quality and therefore uncertainty in both indirect treatment comparison</w:t>
      </w:r>
      <w:r w:rsidR="006960EE">
        <w:rPr>
          <w:sz w:val="24"/>
          <w:szCs w:val="24"/>
        </w:rPr>
        <w:t>s</w:t>
      </w:r>
      <w:r>
        <w:rPr>
          <w:sz w:val="24"/>
          <w:szCs w:val="24"/>
        </w:rPr>
        <w:t xml:space="preserve">, which coloured the </w:t>
      </w:r>
      <w:r w:rsidR="00ED2E13">
        <w:rPr>
          <w:sz w:val="24"/>
          <w:szCs w:val="24"/>
        </w:rPr>
        <w:t>c</w:t>
      </w:r>
      <w:r>
        <w:rPr>
          <w:sz w:val="24"/>
          <w:szCs w:val="24"/>
        </w:rPr>
        <w:t xml:space="preserve">ommittee's evaluation of that analysis. </w:t>
      </w:r>
    </w:p>
    <w:p w:rsidR="00180E30" w:rsidP="00180E30" w:rsidRDefault="00A870DB" w14:paraId="5CE7F133" w14:textId="54C7DE0A">
      <w:pPr>
        <w:pStyle w:val="Paragraph"/>
        <w:rPr>
          <w:sz w:val="24"/>
          <w:szCs w:val="24"/>
        </w:rPr>
      </w:pPr>
      <w:r>
        <w:rPr>
          <w:sz w:val="24"/>
          <w:szCs w:val="24"/>
        </w:rPr>
        <w:t xml:space="preserve">Dr </w:t>
      </w:r>
      <w:r w:rsidR="00180E30">
        <w:rPr>
          <w:sz w:val="24"/>
          <w:szCs w:val="24"/>
        </w:rPr>
        <w:t xml:space="preserve">Vanessa Buchanan argued that the passage of time between trials and the different patient populations was an inherent consequence of heterogeneity which </w:t>
      </w:r>
      <w:r w:rsidR="00025F20">
        <w:rPr>
          <w:sz w:val="24"/>
          <w:szCs w:val="24"/>
        </w:rPr>
        <w:t>was</w:t>
      </w:r>
      <w:r w:rsidR="00180E30">
        <w:rPr>
          <w:sz w:val="24"/>
          <w:szCs w:val="24"/>
        </w:rPr>
        <w:t xml:space="preserve"> expected in network </w:t>
      </w:r>
      <w:r w:rsidR="006960EE">
        <w:rPr>
          <w:sz w:val="24"/>
          <w:szCs w:val="24"/>
        </w:rPr>
        <w:t>meta-analyses</w:t>
      </w:r>
      <w:r w:rsidR="00180E30">
        <w:rPr>
          <w:sz w:val="24"/>
          <w:szCs w:val="24"/>
        </w:rPr>
        <w:t xml:space="preserve">. </w:t>
      </w:r>
      <w:r w:rsidR="00B35654">
        <w:rPr>
          <w:sz w:val="24"/>
          <w:szCs w:val="24"/>
        </w:rPr>
        <w:t>Regeneron</w:t>
      </w:r>
      <w:r w:rsidR="00180E30">
        <w:rPr>
          <w:sz w:val="24"/>
          <w:szCs w:val="24"/>
        </w:rPr>
        <w:t xml:space="preserve"> sought to resolve that by producing the MAICs – but that the differences in point estimates are due to the heterogenous nature of the condition. She noted that there </w:t>
      </w:r>
      <w:r w:rsidR="00025F20">
        <w:rPr>
          <w:sz w:val="24"/>
          <w:szCs w:val="24"/>
        </w:rPr>
        <w:t>was</w:t>
      </w:r>
      <w:r w:rsidR="00180E30">
        <w:rPr>
          <w:sz w:val="24"/>
          <w:szCs w:val="24"/>
        </w:rPr>
        <w:t xml:space="preserve"> no way of resolving heterogeneity, which underscores the importance of attaching weight to clinical expert input</w:t>
      </w:r>
      <w:r w:rsidR="003B4694">
        <w:rPr>
          <w:sz w:val="24"/>
          <w:szCs w:val="24"/>
        </w:rPr>
        <w:t xml:space="preserve">, which she characterised </w:t>
      </w:r>
      <w:r w:rsidR="00025F20">
        <w:rPr>
          <w:sz w:val="24"/>
          <w:szCs w:val="24"/>
        </w:rPr>
        <w:t>by</w:t>
      </w:r>
      <w:r w:rsidR="003B4694">
        <w:rPr>
          <w:sz w:val="24"/>
          <w:szCs w:val="24"/>
        </w:rPr>
        <w:t xml:space="preserve"> saying that the products </w:t>
      </w:r>
      <w:r w:rsidR="00025F20">
        <w:rPr>
          <w:sz w:val="24"/>
          <w:szCs w:val="24"/>
        </w:rPr>
        <w:t>were</w:t>
      </w:r>
      <w:r w:rsidR="003B4694">
        <w:rPr>
          <w:sz w:val="24"/>
          <w:szCs w:val="24"/>
        </w:rPr>
        <w:t xml:space="preserve"> essentially the same or very similar to each other</w:t>
      </w:r>
      <w:r w:rsidR="00180E30">
        <w:rPr>
          <w:sz w:val="24"/>
          <w:szCs w:val="24"/>
        </w:rPr>
        <w:t xml:space="preserve">.  </w:t>
      </w:r>
    </w:p>
    <w:p w:rsidRPr="004C2CCA" w:rsidR="004C2CCA" w:rsidP="004C2CCA" w:rsidRDefault="00180E30" w14:paraId="75E04A17" w14:textId="73D4D8A7">
      <w:pPr>
        <w:pStyle w:val="Paragraph"/>
        <w:rPr>
          <w:sz w:val="24"/>
          <w:szCs w:val="24"/>
        </w:rPr>
      </w:pPr>
      <w:r>
        <w:rPr>
          <w:sz w:val="24"/>
          <w:szCs w:val="24"/>
        </w:rPr>
        <w:t xml:space="preserve">Grant Castle concluded for </w:t>
      </w:r>
      <w:r w:rsidR="00767F12">
        <w:rPr>
          <w:sz w:val="24"/>
          <w:szCs w:val="24"/>
        </w:rPr>
        <w:t>Regeneron</w:t>
      </w:r>
      <w:r>
        <w:rPr>
          <w:sz w:val="24"/>
          <w:szCs w:val="24"/>
        </w:rPr>
        <w:t xml:space="preserve">. He </w:t>
      </w:r>
      <w:proofErr w:type="gramStart"/>
      <w:r>
        <w:rPr>
          <w:sz w:val="24"/>
          <w:szCs w:val="24"/>
        </w:rPr>
        <w:t>referred back</w:t>
      </w:r>
      <w:proofErr w:type="gramEnd"/>
      <w:r>
        <w:rPr>
          <w:sz w:val="24"/>
          <w:szCs w:val="24"/>
        </w:rPr>
        <w:t xml:space="preserve"> to </w:t>
      </w:r>
      <w:r w:rsidR="00767F12">
        <w:rPr>
          <w:sz w:val="24"/>
          <w:szCs w:val="24"/>
        </w:rPr>
        <w:t>NICE</w:t>
      </w:r>
      <w:r>
        <w:rPr>
          <w:sz w:val="24"/>
          <w:szCs w:val="24"/>
        </w:rPr>
        <w:t xml:space="preserve">'s comment that </w:t>
      </w:r>
      <w:r w:rsidR="00767F12">
        <w:rPr>
          <w:sz w:val="24"/>
          <w:szCs w:val="24"/>
        </w:rPr>
        <w:t>Regeneron</w:t>
      </w:r>
      <w:r>
        <w:rPr>
          <w:sz w:val="24"/>
          <w:szCs w:val="24"/>
        </w:rPr>
        <w:t xml:space="preserve"> had not emphasised to NICE the similarities between the appraisals and the subsequent need for consistency. He expressed the view that it </w:t>
      </w:r>
      <w:r w:rsidR="00025F20">
        <w:rPr>
          <w:sz w:val="24"/>
          <w:szCs w:val="24"/>
        </w:rPr>
        <w:t>was</w:t>
      </w:r>
      <w:r>
        <w:rPr>
          <w:sz w:val="24"/>
          <w:szCs w:val="24"/>
        </w:rPr>
        <w:t xml:space="preserve"> not for </w:t>
      </w:r>
      <w:r w:rsidR="00767F12">
        <w:rPr>
          <w:sz w:val="24"/>
          <w:szCs w:val="24"/>
        </w:rPr>
        <w:t>Regeneron</w:t>
      </w:r>
      <w:r>
        <w:rPr>
          <w:sz w:val="24"/>
          <w:szCs w:val="24"/>
        </w:rPr>
        <w:t xml:space="preserve"> to remind NICE of its duty to act with consistency absent clear, cogent reason not to. Finally, he did not conside</w:t>
      </w:r>
      <w:r w:rsidR="004C2CCA">
        <w:rPr>
          <w:sz w:val="24"/>
          <w:szCs w:val="24"/>
        </w:rPr>
        <w:t xml:space="preserve">r there to be significance in the passage of time between the trials and the fact that the Manual had been updated since the appraisal of atezolizumab. He queried whether it </w:t>
      </w:r>
      <w:r w:rsidR="00025F20">
        <w:rPr>
          <w:sz w:val="24"/>
          <w:szCs w:val="24"/>
        </w:rPr>
        <w:t>was,</w:t>
      </w:r>
      <w:r w:rsidR="004C2CCA">
        <w:rPr>
          <w:sz w:val="24"/>
          <w:szCs w:val="24"/>
        </w:rPr>
        <w:t xml:space="preserve"> in any event</w:t>
      </w:r>
      <w:r w:rsidR="00025F20">
        <w:rPr>
          <w:sz w:val="24"/>
          <w:szCs w:val="24"/>
        </w:rPr>
        <w:t>,</w:t>
      </w:r>
      <w:r w:rsidR="004C2CCA">
        <w:rPr>
          <w:sz w:val="24"/>
          <w:szCs w:val="24"/>
        </w:rPr>
        <w:t xml:space="preserve"> appropriate to ask in one appraisal whether products were clinically similar, and in the other appraisal to require a non-inferiority threshold.</w:t>
      </w:r>
    </w:p>
    <w:p w:rsidRPr="00B93E19" w:rsidR="00CC79EF" w:rsidP="00CC79EF" w:rsidRDefault="00CC79EF" w14:paraId="782382EB" w14:textId="1286D006">
      <w:pPr>
        <w:pStyle w:val="Paragraph"/>
        <w:rPr>
          <w:sz w:val="24"/>
          <w:szCs w:val="24"/>
        </w:rPr>
      </w:pPr>
      <w:r w:rsidRPr="00B93E19">
        <w:rPr>
          <w:sz w:val="24"/>
          <w:szCs w:val="24"/>
        </w:rPr>
        <w:t xml:space="preserve">The </w:t>
      </w:r>
      <w:r w:rsidR="00FF61AE">
        <w:rPr>
          <w:sz w:val="24"/>
          <w:szCs w:val="24"/>
        </w:rPr>
        <w:t>p</w:t>
      </w:r>
      <w:r w:rsidR="004C2CCA">
        <w:rPr>
          <w:sz w:val="24"/>
          <w:szCs w:val="24"/>
        </w:rPr>
        <w:t xml:space="preserve">anel </w:t>
      </w:r>
      <w:r w:rsidRPr="00B93E19">
        <w:rPr>
          <w:sz w:val="24"/>
          <w:szCs w:val="24"/>
        </w:rPr>
        <w:t>concluded as follows</w:t>
      </w:r>
      <w:r w:rsidR="004C2CCA">
        <w:rPr>
          <w:sz w:val="24"/>
          <w:szCs w:val="24"/>
        </w:rPr>
        <w:t>.</w:t>
      </w:r>
      <w:r w:rsidRPr="00B93E19">
        <w:rPr>
          <w:sz w:val="24"/>
          <w:szCs w:val="24"/>
        </w:rPr>
        <w:t xml:space="preserve"> </w:t>
      </w:r>
    </w:p>
    <w:p w:rsidRPr="00E905A4" w:rsidR="00E905A4" w:rsidP="00E905A4" w:rsidRDefault="00AE4206" w14:paraId="0D6D0AEE" w14:textId="5039134B">
      <w:pPr>
        <w:pStyle w:val="Paragraph"/>
        <w:rPr>
          <w:sz w:val="24"/>
          <w:szCs w:val="24"/>
        </w:rPr>
      </w:pPr>
      <w:r>
        <w:rPr>
          <w:sz w:val="24"/>
          <w:szCs w:val="24"/>
        </w:rPr>
        <w:t>Regeneron</w:t>
      </w:r>
      <w:r w:rsidRPr="00E905A4" w:rsidR="004004AA">
        <w:rPr>
          <w:sz w:val="24"/>
          <w:szCs w:val="24"/>
        </w:rPr>
        <w:t xml:space="preserve"> argue</w:t>
      </w:r>
      <w:r w:rsidR="004004AA">
        <w:rPr>
          <w:sz w:val="24"/>
          <w:szCs w:val="24"/>
        </w:rPr>
        <w:t>d</w:t>
      </w:r>
      <w:r w:rsidRPr="00E905A4" w:rsidR="004004AA">
        <w:rPr>
          <w:sz w:val="24"/>
          <w:szCs w:val="24"/>
        </w:rPr>
        <w:t xml:space="preserve"> </w:t>
      </w:r>
      <w:r w:rsidRPr="00E905A4" w:rsidR="00E905A4">
        <w:rPr>
          <w:sz w:val="24"/>
          <w:szCs w:val="24"/>
        </w:rPr>
        <w:t xml:space="preserve">that </w:t>
      </w:r>
      <w:r w:rsidRPr="00E905A4" w:rsidDel="005114AF" w:rsidR="00E905A4">
        <w:rPr>
          <w:sz w:val="24"/>
          <w:szCs w:val="24"/>
        </w:rPr>
        <w:t xml:space="preserve">the </w:t>
      </w:r>
      <w:r w:rsidR="00475873">
        <w:rPr>
          <w:sz w:val="24"/>
          <w:szCs w:val="24"/>
        </w:rPr>
        <w:t>c</w:t>
      </w:r>
      <w:r w:rsidRPr="00E905A4" w:rsidR="00E905A4">
        <w:rPr>
          <w:sz w:val="24"/>
          <w:szCs w:val="24"/>
        </w:rPr>
        <w:t xml:space="preserve">ommittee applied a materially different evidential standard in this appraisal compared to TA705, and that this constituted procedural unfairness. Specifically, </w:t>
      </w:r>
      <w:r w:rsidR="005114AF">
        <w:rPr>
          <w:sz w:val="24"/>
          <w:szCs w:val="24"/>
        </w:rPr>
        <w:t>Regeneron</w:t>
      </w:r>
      <w:r w:rsidRPr="00E905A4" w:rsidR="00E905A4">
        <w:rPr>
          <w:sz w:val="24"/>
          <w:szCs w:val="24"/>
        </w:rPr>
        <w:t xml:space="preserve"> contend</w:t>
      </w:r>
      <w:r w:rsidR="00025F20">
        <w:rPr>
          <w:sz w:val="24"/>
          <w:szCs w:val="24"/>
        </w:rPr>
        <w:t>ed</w:t>
      </w:r>
      <w:r w:rsidRPr="00E905A4" w:rsidR="00E905A4">
        <w:rPr>
          <w:sz w:val="24"/>
          <w:szCs w:val="24"/>
        </w:rPr>
        <w:t xml:space="preserve"> that </w:t>
      </w:r>
      <w:r w:rsidR="00475873">
        <w:rPr>
          <w:sz w:val="24"/>
          <w:szCs w:val="24"/>
        </w:rPr>
        <w:t>the committee</w:t>
      </w:r>
      <w:r w:rsidRPr="00E905A4" w:rsidR="00E905A4">
        <w:rPr>
          <w:sz w:val="24"/>
          <w:szCs w:val="24"/>
        </w:rPr>
        <w:t xml:space="preserve"> required statistical evidence of non-inferiority or equivalence in this appraisal, whereas in TA705 </w:t>
      </w:r>
      <w:r w:rsidR="00475873">
        <w:rPr>
          <w:sz w:val="24"/>
          <w:szCs w:val="24"/>
        </w:rPr>
        <w:t xml:space="preserve">the </w:t>
      </w:r>
      <w:proofErr w:type="spellStart"/>
      <w:r w:rsidR="00475873">
        <w:rPr>
          <w:sz w:val="24"/>
          <w:szCs w:val="24"/>
        </w:rPr>
        <w:t>committtee</w:t>
      </w:r>
      <w:proofErr w:type="spellEnd"/>
      <w:r w:rsidRPr="00E905A4" w:rsidR="00E905A4">
        <w:rPr>
          <w:sz w:val="24"/>
          <w:szCs w:val="24"/>
        </w:rPr>
        <w:t xml:space="preserve"> accepted clinical similarity based on non-significant differences and expert opinion.</w:t>
      </w:r>
    </w:p>
    <w:p w:rsidRPr="00E905A4" w:rsidR="00E905A4" w:rsidP="00E905A4" w:rsidRDefault="00E905A4" w14:paraId="2B48F560" w14:textId="087B62FE">
      <w:pPr>
        <w:pStyle w:val="Paragraph"/>
        <w:rPr>
          <w:sz w:val="24"/>
          <w:szCs w:val="24"/>
        </w:rPr>
      </w:pPr>
      <w:r w:rsidRPr="228E9B71">
        <w:rPr>
          <w:sz w:val="24"/>
          <w:szCs w:val="24"/>
        </w:rPr>
        <w:t>The</w:t>
      </w:r>
      <w:r w:rsidRPr="228E9B71" w:rsidR="00363E3C">
        <w:rPr>
          <w:sz w:val="24"/>
          <w:szCs w:val="24"/>
        </w:rPr>
        <w:t xml:space="preserve"> </w:t>
      </w:r>
      <w:r w:rsidRPr="228E9B71" w:rsidR="00C8366E">
        <w:rPr>
          <w:sz w:val="24"/>
          <w:szCs w:val="24"/>
        </w:rPr>
        <w:t>p</w:t>
      </w:r>
      <w:r w:rsidRPr="228E9B71">
        <w:rPr>
          <w:sz w:val="24"/>
          <w:szCs w:val="24"/>
        </w:rPr>
        <w:t>anel acknowledge</w:t>
      </w:r>
      <w:r w:rsidRPr="228E9B71" w:rsidR="00025F20">
        <w:rPr>
          <w:sz w:val="24"/>
          <w:szCs w:val="24"/>
        </w:rPr>
        <w:t>d</w:t>
      </w:r>
      <w:r w:rsidRPr="228E9B71">
        <w:rPr>
          <w:sz w:val="24"/>
          <w:szCs w:val="24"/>
        </w:rPr>
        <w:t xml:space="preserve"> that NICE </w:t>
      </w:r>
      <w:r w:rsidRPr="228E9B71" w:rsidR="002E37BA">
        <w:rPr>
          <w:sz w:val="24"/>
          <w:szCs w:val="24"/>
        </w:rPr>
        <w:t>a</w:t>
      </w:r>
      <w:r w:rsidRPr="228E9B71">
        <w:rPr>
          <w:sz w:val="24"/>
          <w:szCs w:val="24"/>
        </w:rPr>
        <w:t xml:space="preserve">ppraisal </w:t>
      </w:r>
      <w:r w:rsidRPr="228E9B71" w:rsidR="002E37BA">
        <w:rPr>
          <w:sz w:val="24"/>
          <w:szCs w:val="24"/>
        </w:rPr>
        <w:t>c</w:t>
      </w:r>
      <w:r w:rsidRPr="228E9B71">
        <w:rPr>
          <w:sz w:val="24"/>
          <w:szCs w:val="24"/>
        </w:rPr>
        <w:t>ommittees are not bound by precedent. However, as established in previous appeal decisions, such as TA692, where the subject matter of two appraisals is sufficiently similar, a meaningful expectation of consistency arises. In such cases, substantial changes in approach must be clearly justified.</w:t>
      </w:r>
    </w:p>
    <w:p w:rsidRPr="00E905A4" w:rsidR="00E905A4" w:rsidP="00E905A4" w:rsidRDefault="00E905A4" w14:paraId="28FA1E19" w14:textId="636D4588">
      <w:pPr>
        <w:pStyle w:val="Paragraph"/>
        <w:rPr>
          <w:sz w:val="24"/>
          <w:szCs w:val="24"/>
        </w:rPr>
      </w:pPr>
      <w:r w:rsidRPr="00E905A4">
        <w:rPr>
          <w:sz w:val="24"/>
          <w:szCs w:val="24"/>
        </w:rPr>
        <w:t>In this instance, the</w:t>
      </w:r>
      <w:r w:rsidR="00363E3C">
        <w:rPr>
          <w:sz w:val="24"/>
          <w:szCs w:val="24"/>
        </w:rPr>
        <w:t xml:space="preserve"> </w:t>
      </w:r>
      <w:r w:rsidR="00FF61AE">
        <w:rPr>
          <w:sz w:val="24"/>
          <w:szCs w:val="24"/>
        </w:rPr>
        <w:t>p</w:t>
      </w:r>
      <w:r w:rsidRPr="00E905A4">
        <w:rPr>
          <w:sz w:val="24"/>
          <w:szCs w:val="24"/>
        </w:rPr>
        <w:t>anel accept</w:t>
      </w:r>
      <w:r w:rsidR="00025F20">
        <w:rPr>
          <w:sz w:val="24"/>
          <w:szCs w:val="24"/>
        </w:rPr>
        <w:t>ed</w:t>
      </w:r>
      <w:r w:rsidRPr="00E905A4">
        <w:rPr>
          <w:sz w:val="24"/>
          <w:szCs w:val="24"/>
        </w:rPr>
        <w:t xml:space="preserve"> that the technologies appraised in TA705</w:t>
      </w:r>
      <w:r w:rsidR="004004AA">
        <w:rPr>
          <w:sz w:val="24"/>
          <w:szCs w:val="24"/>
        </w:rPr>
        <w:t xml:space="preserve"> (atezolizumab)</w:t>
      </w:r>
      <w:r w:rsidRPr="00E905A4">
        <w:rPr>
          <w:sz w:val="24"/>
          <w:szCs w:val="24"/>
        </w:rPr>
        <w:t xml:space="preserve"> and ID3949 </w:t>
      </w:r>
      <w:r w:rsidR="004004AA">
        <w:rPr>
          <w:sz w:val="24"/>
          <w:szCs w:val="24"/>
        </w:rPr>
        <w:t xml:space="preserve">(cemiplimab) </w:t>
      </w:r>
      <w:r w:rsidRPr="00E905A4">
        <w:rPr>
          <w:sz w:val="24"/>
          <w:szCs w:val="24"/>
        </w:rPr>
        <w:t xml:space="preserve">share similarities: both </w:t>
      </w:r>
      <w:r w:rsidR="00025F20">
        <w:rPr>
          <w:sz w:val="24"/>
          <w:szCs w:val="24"/>
        </w:rPr>
        <w:t>were</w:t>
      </w:r>
      <w:r w:rsidRPr="00E905A4">
        <w:rPr>
          <w:sz w:val="24"/>
          <w:szCs w:val="24"/>
        </w:rPr>
        <w:t xml:space="preserve"> PD-(L)1 inhibitors used in the same indication, compared against the same standard of care, and assessed by the same </w:t>
      </w:r>
      <w:r w:rsidR="002E37BA">
        <w:rPr>
          <w:sz w:val="24"/>
          <w:szCs w:val="24"/>
        </w:rPr>
        <w:t>appraisal</w:t>
      </w:r>
      <w:r w:rsidRPr="00E905A4">
        <w:rPr>
          <w:sz w:val="24"/>
          <w:szCs w:val="24"/>
        </w:rPr>
        <w:t xml:space="preserve"> </w:t>
      </w:r>
      <w:r w:rsidR="002E37BA">
        <w:rPr>
          <w:sz w:val="24"/>
          <w:szCs w:val="24"/>
        </w:rPr>
        <w:t>c</w:t>
      </w:r>
      <w:r w:rsidRPr="00E905A4">
        <w:rPr>
          <w:sz w:val="24"/>
          <w:szCs w:val="24"/>
        </w:rPr>
        <w:t>ommittee. However, the</w:t>
      </w:r>
      <w:r w:rsidR="00363E3C">
        <w:rPr>
          <w:sz w:val="24"/>
          <w:szCs w:val="24"/>
        </w:rPr>
        <w:t xml:space="preserve"> </w:t>
      </w:r>
      <w:r w:rsidR="00FF61AE">
        <w:rPr>
          <w:sz w:val="24"/>
          <w:szCs w:val="24"/>
        </w:rPr>
        <w:t>p</w:t>
      </w:r>
      <w:r w:rsidRPr="00E905A4">
        <w:rPr>
          <w:sz w:val="24"/>
          <w:szCs w:val="24"/>
        </w:rPr>
        <w:t>anel d</w:t>
      </w:r>
      <w:r w:rsidR="00025F20">
        <w:rPr>
          <w:sz w:val="24"/>
          <w:szCs w:val="24"/>
        </w:rPr>
        <w:t>id</w:t>
      </w:r>
      <w:r w:rsidRPr="00E905A4">
        <w:rPr>
          <w:sz w:val="24"/>
          <w:szCs w:val="24"/>
        </w:rPr>
        <w:t xml:space="preserve"> not consider that the approach adopted in ID3949 was radically different from TA705.</w:t>
      </w:r>
    </w:p>
    <w:p w:rsidRPr="00E905A4" w:rsidR="00E905A4" w:rsidP="00E905A4" w:rsidRDefault="00B37266" w14:paraId="1E615DBB" w14:textId="22635B69">
      <w:pPr>
        <w:pStyle w:val="Paragraph"/>
        <w:rPr>
          <w:sz w:val="24"/>
          <w:szCs w:val="24"/>
        </w:rPr>
      </w:pPr>
      <w:r w:rsidRPr="00B37266">
        <w:rPr>
          <w:sz w:val="24"/>
          <w:szCs w:val="24"/>
        </w:rPr>
        <w:t>The committee considered the modelling approach in TA705 at section 3.8 of the FDG. Ross Dent also added that since TA705, the methods guide was replaced by the Manual and that the evidential context had evolved</w:t>
      </w:r>
      <w:r w:rsidRPr="00E905A4" w:rsidR="00E905A4">
        <w:rPr>
          <w:sz w:val="24"/>
          <w:szCs w:val="24"/>
        </w:rPr>
        <w:t xml:space="preserve">. </w:t>
      </w:r>
      <w:r w:rsidRPr="00E905A4" w:rsidDel="00012309" w:rsidR="00E905A4">
        <w:rPr>
          <w:sz w:val="24"/>
          <w:szCs w:val="24"/>
        </w:rPr>
        <w:t xml:space="preserve">The </w:t>
      </w:r>
      <w:r w:rsidR="00FF61AE">
        <w:rPr>
          <w:sz w:val="24"/>
          <w:szCs w:val="24"/>
        </w:rPr>
        <w:t>c</w:t>
      </w:r>
      <w:r w:rsidRPr="00E905A4" w:rsidR="00FF61AE">
        <w:rPr>
          <w:sz w:val="24"/>
          <w:szCs w:val="24"/>
        </w:rPr>
        <w:t>ommittee</w:t>
      </w:r>
      <w:r w:rsidRPr="00E905A4" w:rsidR="00E905A4">
        <w:rPr>
          <w:sz w:val="24"/>
          <w:szCs w:val="24"/>
        </w:rPr>
        <w:t xml:space="preserve"> noted that the manufacturer in TA705 accepted uncertainty and modelled a QALY loss with cost savings, whereas </w:t>
      </w:r>
      <w:r w:rsidR="00012309">
        <w:rPr>
          <w:sz w:val="24"/>
          <w:szCs w:val="24"/>
        </w:rPr>
        <w:t>Regeneron</w:t>
      </w:r>
      <w:r w:rsidRPr="00E905A4" w:rsidR="00E905A4">
        <w:rPr>
          <w:sz w:val="24"/>
          <w:szCs w:val="24"/>
        </w:rPr>
        <w:t xml:space="preserve"> consistently modelled a QALY gain at a higher cost. </w:t>
      </w:r>
      <w:r w:rsidRPr="00E905A4" w:rsidDel="00012309" w:rsidR="00E905A4">
        <w:rPr>
          <w:sz w:val="24"/>
          <w:szCs w:val="24"/>
        </w:rPr>
        <w:t xml:space="preserve">The </w:t>
      </w:r>
      <w:r w:rsidR="00FF61AE">
        <w:rPr>
          <w:sz w:val="24"/>
          <w:szCs w:val="24"/>
        </w:rPr>
        <w:t>c</w:t>
      </w:r>
      <w:r w:rsidRPr="00E905A4" w:rsidR="00FF61AE">
        <w:rPr>
          <w:sz w:val="24"/>
          <w:szCs w:val="24"/>
        </w:rPr>
        <w:t>ommittee</w:t>
      </w:r>
      <w:r w:rsidRPr="00E905A4" w:rsidR="00E905A4">
        <w:rPr>
          <w:sz w:val="24"/>
          <w:szCs w:val="24"/>
        </w:rPr>
        <w:t xml:space="preserve"> also highlighted differences in trial design, population characteristics, and the timing of the trials, which contributed to greater uncertainty in the indirect comparisons.</w:t>
      </w:r>
    </w:p>
    <w:p w:rsidRPr="00E905A4" w:rsidR="00E905A4" w:rsidP="00E905A4" w:rsidRDefault="00E905A4" w14:paraId="18558EB3" w14:textId="0076AEB5">
      <w:pPr>
        <w:pStyle w:val="Paragraph"/>
        <w:rPr>
          <w:sz w:val="24"/>
          <w:szCs w:val="24"/>
        </w:rPr>
      </w:pPr>
      <w:r w:rsidRPr="00E905A4">
        <w:rPr>
          <w:sz w:val="24"/>
          <w:szCs w:val="24"/>
        </w:rPr>
        <w:t xml:space="preserve">The </w:t>
      </w:r>
      <w:r w:rsidR="00FF61AE">
        <w:rPr>
          <w:sz w:val="24"/>
          <w:szCs w:val="24"/>
        </w:rPr>
        <w:t>p</w:t>
      </w:r>
      <w:r w:rsidRPr="00E905A4">
        <w:rPr>
          <w:sz w:val="24"/>
          <w:szCs w:val="24"/>
        </w:rPr>
        <w:t>anel f</w:t>
      </w:r>
      <w:r w:rsidR="00025F20">
        <w:rPr>
          <w:sz w:val="24"/>
          <w:szCs w:val="24"/>
        </w:rPr>
        <w:t>ound</w:t>
      </w:r>
      <w:r w:rsidRPr="00E905A4">
        <w:rPr>
          <w:sz w:val="24"/>
          <w:szCs w:val="24"/>
        </w:rPr>
        <w:t xml:space="preserve"> that these explanations, while not extensive, are sufficient to justify the </w:t>
      </w:r>
      <w:r w:rsidR="00FF61AE">
        <w:rPr>
          <w:sz w:val="24"/>
          <w:szCs w:val="24"/>
        </w:rPr>
        <w:t>c</w:t>
      </w:r>
      <w:r w:rsidRPr="00E905A4" w:rsidDel="007E1876">
        <w:rPr>
          <w:sz w:val="24"/>
          <w:szCs w:val="24"/>
        </w:rPr>
        <w:t xml:space="preserve">ommittee’s </w:t>
      </w:r>
      <w:r w:rsidRPr="00E905A4">
        <w:rPr>
          <w:sz w:val="24"/>
          <w:szCs w:val="24"/>
        </w:rPr>
        <w:t xml:space="preserve">approach. </w:t>
      </w:r>
      <w:r w:rsidR="00670AED">
        <w:rPr>
          <w:sz w:val="24"/>
          <w:szCs w:val="24"/>
        </w:rPr>
        <w:t xml:space="preserve">The </w:t>
      </w:r>
      <w:r w:rsidR="00FF61AE">
        <w:rPr>
          <w:sz w:val="24"/>
          <w:szCs w:val="24"/>
        </w:rPr>
        <w:t>p</w:t>
      </w:r>
      <w:r w:rsidR="00670AED">
        <w:rPr>
          <w:sz w:val="24"/>
          <w:szCs w:val="24"/>
        </w:rPr>
        <w:t>anel noted</w:t>
      </w:r>
      <w:r w:rsidRPr="00E905A4">
        <w:rPr>
          <w:sz w:val="24"/>
          <w:szCs w:val="24"/>
        </w:rPr>
        <w:t xml:space="preserve"> that </w:t>
      </w:r>
      <w:r w:rsidRPr="00E905A4" w:rsidDel="007E1876">
        <w:rPr>
          <w:sz w:val="24"/>
          <w:szCs w:val="24"/>
        </w:rPr>
        <w:t xml:space="preserve">the </w:t>
      </w:r>
      <w:r w:rsidR="00FF61AE">
        <w:rPr>
          <w:sz w:val="24"/>
          <w:szCs w:val="24"/>
        </w:rPr>
        <w:t>c</w:t>
      </w:r>
      <w:r w:rsidRPr="00E905A4" w:rsidDel="007E1876">
        <w:rPr>
          <w:sz w:val="24"/>
          <w:szCs w:val="24"/>
        </w:rPr>
        <w:t>ommittee</w:t>
      </w:r>
      <w:r w:rsidRPr="00E905A4">
        <w:rPr>
          <w:sz w:val="24"/>
          <w:szCs w:val="24"/>
        </w:rPr>
        <w:t xml:space="preserve"> did not reject the possibility of clinical similarity </w:t>
      </w:r>
      <w:proofErr w:type="gramStart"/>
      <w:r w:rsidRPr="00E905A4">
        <w:rPr>
          <w:sz w:val="24"/>
          <w:szCs w:val="24"/>
        </w:rPr>
        <w:t>outright, but</w:t>
      </w:r>
      <w:proofErr w:type="gramEnd"/>
      <w:r w:rsidRPr="00E905A4">
        <w:rPr>
          <w:sz w:val="24"/>
          <w:szCs w:val="24"/>
        </w:rPr>
        <w:t xml:space="preserve"> rather concluded that the evidence presented did not meet the threshold required to proceed with a cost-comparison analysis. This </w:t>
      </w:r>
      <w:r w:rsidR="00025F20">
        <w:rPr>
          <w:sz w:val="24"/>
          <w:szCs w:val="24"/>
        </w:rPr>
        <w:t>was</w:t>
      </w:r>
      <w:r w:rsidRPr="00E905A4">
        <w:rPr>
          <w:sz w:val="24"/>
          <w:szCs w:val="24"/>
        </w:rPr>
        <w:t xml:space="preserve"> a judg</w:t>
      </w:r>
      <w:r w:rsidR="00E16092">
        <w:rPr>
          <w:sz w:val="24"/>
          <w:szCs w:val="24"/>
        </w:rPr>
        <w:t>e</w:t>
      </w:r>
      <w:r w:rsidRPr="00E905A4">
        <w:rPr>
          <w:sz w:val="24"/>
          <w:szCs w:val="24"/>
        </w:rPr>
        <w:t xml:space="preserve">ment within the </w:t>
      </w:r>
      <w:r w:rsidR="00FF61AE">
        <w:rPr>
          <w:sz w:val="24"/>
          <w:szCs w:val="24"/>
        </w:rPr>
        <w:t>c</w:t>
      </w:r>
      <w:r w:rsidRPr="00E905A4">
        <w:rPr>
          <w:sz w:val="24"/>
          <w:szCs w:val="24"/>
        </w:rPr>
        <w:t>ommittee’s</w:t>
      </w:r>
      <w:r w:rsidRPr="00E905A4" w:rsidR="00EA4DE2">
        <w:rPr>
          <w:sz w:val="24"/>
          <w:szCs w:val="24"/>
        </w:rPr>
        <w:t xml:space="preserve"> </w:t>
      </w:r>
      <w:r w:rsidRPr="00E905A4">
        <w:rPr>
          <w:sz w:val="24"/>
          <w:szCs w:val="24"/>
        </w:rPr>
        <w:t>discretion, and the</w:t>
      </w:r>
      <w:r w:rsidR="002E37BA">
        <w:rPr>
          <w:sz w:val="24"/>
          <w:szCs w:val="24"/>
        </w:rPr>
        <w:t xml:space="preserve"> </w:t>
      </w:r>
      <w:r w:rsidR="00FF61AE">
        <w:rPr>
          <w:sz w:val="24"/>
          <w:szCs w:val="24"/>
        </w:rPr>
        <w:t>p</w:t>
      </w:r>
      <w:r w:rsidRPr="00E905A4">
        <w:rPr>
          <w:sz w:val="24"/>
          <w:szCs w:val="24"/>
        </w:rPr>
        <w:t xml:space="preserve">anel </w:t>
      </w:r>
      <w:r w:rsidR="00025F20">
        <w:rPr>
          <w:sz w:val="24"/>
          <w:szCs w:val="24"/>
        </w:rPr>
        <w:t>did</w:t>
      </w:r>
      <w:r w:rsidRPr="00E905A4" w:rsidR="00025F20">
        <w:rPr>
          <w:sz w:val="24"/>
          <w:szCs w:val="24"/>
        </w:rPr>
        <w:t xml:space="preserve"> </w:t>
      </w:r>
      <w:r w:rsidRPr="00E905A4">
        <w:rPr>
          <w:sz w:val="24"/>
          <w:szCs w:val="24"/>
        </w:rPr>
        <w:t>not find it procedurally unfair.</w:t>
      </w:r>
    </w:p>
    <w:p w:rsidRPr="00E905A4" w:rsidR="00E905A4" w:rsidP="00E905A4" w:rsidRDefault="00670AED" w14:paraId="2550329C" w14:textId="77EA7447">
      <w:pPr>
        <w:pStyle w:val="Paragraph"/>
        <w:rPr>
          <w:sz w:val="24"/>
          <w:szCs w:val="24"/>
        </w:rPr>
      </w:pPr>
      <w:r>
        <w:rPr>
          <w:sz w:val="24"/>
          <w:szCs w:val="24"/>
        </w:rPr>
        <w:t xml:space="preserve">The </w:t>
      </w:r>
      <w:r w:rsidR="00FF61AE">
        <w:rPr>
          <w:sz w:val="24"/>
          <w:szCs w:val="24"/>
        </w:rPr>
        <w:t>p</w:t>
      </w:r>
      <w:r>
        <w:rPr>
          <w:sz w:val="24"/>
          <w:szCs w:val="24"/>
        </w:rPr>
        <w:t>anel</w:t>
      </w:r>
      <w:r w:rsidRPr="00E905A4" w:rsidR="00E905A4">
        <w:rPr>
          <w:sz w:val="24"/>
          <w:szCs w:val="24"/>
        </w:rPr>
        <w:t xml:space="preserve"> </w:t>
      </w:r>
      <w:r>
        <w:rPr>
          <w:sz w:val="24"/>
          <w:szCs w:val="24"/>
        </w:rPr>
        <w:t>also noted</w:t>
      </w:r>
      <w:r w:rsidRPr="00E905A4" w:rsidR="00E905A4">
        <w:rPr>
          <w:sz w:val="24"/>
          <w:szCs w:val="24"/>
        </w:rPr>
        <w:t xml:space="preserve"> that the </w:t>
      </w:r>
      <w:r w:rsidR="007A7546">
        <w:rPr>
          <w:sz w:val="24"/>
          <w:szCs w:val="24"/>
        </w:rPr>
        <w:t>c</w:t>
      </w:r>
      <w:r w:rsidRPr="00E905A4" w:rsidR="00E905A4">
        <w:rPr>
          <w:sz w:val="24"/>
          <w:szCs w:val="24"/>
        </w:rPr>
        <w:t>ommittee’s</w:t>
      </w:r>
      <w:r w:rsidRPr="00E905A4" w:rsidR="00EA4DE2">
        <w:rPr>
          <w:sz w:val="24"/>
          <w:szCs w:val="24"/>
        </w:rPr>
        <w:t xml:space="preserve"> </w:t>
      </w:r>
      <w:r w:rsidRPr="00E905A4" w:rsidR="00E905A4">
        <w:rPr>
          <w:sz w:val="24"/>
          <w:szCs w:val="24"/>
        </w:rPr>
        <w:t xml:space="preserve">approach was consistent with the updated </w:t>
      </w:r>
      <w:r w:rsidR="00E16092">
        <w:rPr>
          <w:sz w:val="24"/>
          <w:szCs w:val="24"/>
        </w:rPr>
        <w:t>Manual</w:t>
      </w:r>
      <w:r w:rsidRPr="00E905A4" w:rsidR="00E905A4">
        <w:rPr>
          <w:sz w:val="24"/>
          <w:szCs w:val="24"/>
        </w:rPr>
        <w:t>, which states that non-inferiority or equivalence studies are preferred, but that indirect comparisons may be considered where R</w:t>
      </w:r>
      <w:r w:rsidR="00BD58BB">
        <w:rPr>
          <w:sz w:val="24"/>
          <w:szCs w:val="24"/>
        </w:rPr>
        <w:t xml:space="preserve">andomised </w:t>
      </w:r>
      <w:r w:rsidRPr="00E905A4" w:rsidR="00E905A4">
        <w:rPr>
          <w:sz w:val="24"/>
          <w:szCs w:val="24"/>
        </w:rPr>
        <w:t>C</w:t>
      </w:r>
      <w:r w:rsidR="00BD58BB">
        <w:rPr>
          <w:sz w:val="24"/>
          <w:szCs w:val="24"/>
        </w:rPr>
        <w:t xml:space="preserve">ontrol </w:t>
      </w:r>
      <w:r w:rsidRPr="00E905A4" w:rsidR="00E905A4">
        <w:rPr>
          <w:sz w:val="24"/>
          <w:szCs w:val="24"/>
        </w:rPr>
        <w:t>T</w:t>
      </w:r>
      <w:r w:rsidR="00BD58BB">
        <w:rPr>
          <w:sz w:val="24"/>
          <w:szCs w:val="24"/>
        </w:rPr>
        <w:t>rial</w:t>
      </w:r>
      <w:r w:rsidRPr="00E905A4" w:rsidR="00E905A4">
        <w:rPr>
          <w:sz w:val="24"/>
          <w:szCs w:val="24"/>
        </w:rPr>
        <w:t xml:space="preserve"> data are not available. </w:t>
      </w:r>
      <w:r w:rsidRPr="00E905A4" w:rsidDel="00FF178B" w:rsidR="00E905A4">
        <w:rPr>
          <w:sz w:val="24"/>
          <w:szCs w:val="24"/>
        </w:rPr>
        <w:t xml:space="preserve">The </w:t>
      </w:r>
      <w:r w:rsidR="007A7546">
        <w:rPr>
          <w:sz w:val="24"/>
          <w:szCs w:val="24"/>
        </w:rPr>
        <w:t>c</w:t>
      </w:r>
      <w:r w:rsidRPr="00E905A4" w:rsidDel="00FF178B" w:rsidR="00E905A4">
        <w:rPr>
          <w:sz w:val="24"/>
          <w:szCs w:val="24"/>
        </w:rPr>
        <w:t>ommittee</w:t>
      </w:r>
      <w:r w:rsidRPr="00E905A4" w:rsidR="00E905A4">
        <w:rPr>
          <w:sz w:val="24"/>
          <w:szCs w:val="24"/>
        </w:rPr>
        <w:t xml:space="preserve">’s request for more robust evidence was therefore not inconsistent with </w:t>
      </w:r>
      <w:r w:rsidR="00E16092">
        <w:rPr>
          <w:sz w:val="24"/>
          <w:szCs w:val="24"/>
        </w:rPr>
        <w:t>the Manual</w:t>
      </w:r>
      <w:r w:rsidRPr="00E905A4" w:rsidR="00E905A4">
        <w:rPr>
          <w:sz w:val="24"/>
          <w:szCs w:val="24"/>
        </w:rPr>
        <w:t>.</w:t>
      </w:r>
    </w:p>
    <w:p w:rsidRPr="00E905A4" w:rsidR="00CC79EF" w:rsidP="00E905A4" w:rsidRDefault="00E905A4" w14:paraId="7E746115" w14:textId="67D0AE00">
      <w:pPr>
        <w:pStyle w:val="Paragraph"/>
        <w:rPr>
          <w:sz w:val="24"/>
          <w:szCs w:val="24"/>
        </w:rPr>
      </w:pPr>
      <w:r w:rsidRPr="00E905A4">
        <w:rPr>
          <w:sz w:val="24"/>
          <w:szCs w:val="24"/>
        </w:rPr>
        <w:t xml:space="preserve">Finally, the </w:t>
      </w:r>
      <w:r w:rsidR="007A7546">
        <w:rPr>
          <w:sz w:val="24"/>
          <w:szCs w:val="24"/>
        </w:rPr>
        <w:t>p</w:t>
      </w:r>
      <w:r w:rsidRPr="00E905A4">
        <w:rPr>
          <w:sz w:val="24"/>
          <w:szCs w:val="24"/>
        </w:rPr>
        <w:t>anel accept</w:t>
      </w:r>
      <w:r w:rsidR="00D73149">
        <w:rPr>
          <w:sz w:val="24"/>
          <w:szCs w:val="24"/>
        </w:rPr>
        <w:t>ed</w:t>
      </w:r>
      <w:r w:rsidRPr="00E905A4">
        <w:rPr>
          <w:sz w:val="24"/>
          <w:szCs w:val="24"/>
        </w:rPr>
        <w:t xml:space="preserve"> </w:t>
      </w:r>
      <w:r w:rsidRPr="00E905A4" w:rsidDel="00EA524C">
        <w:rPr>
          <w:sz w:val="24"/>
          <w:szCs w:val="24"/>
        </w:rPr>
        <w:t xml:space="preserve">the </w:t>
      </w:r>
      <w:r w:rsidR="007A7546">
        <w:rPr>
          <w:sz w:val="24"/>
          <w:szCs w:val="24"/>
        </w:rPr>
        <w:t>c</w:t>
      </w:r>
      <w:r w:rsidRPr="00E905A4" w:rsidDel="00EA524C">
        <w:rPr>
          <w:sz w:val="24"/>
          <w:szCs w:val="24"/>
        </w:rPr>
        <w:t>ommittee</w:t>
      </w:r>
      <w:r w:rsidRPr="00E905A4">
        <w:rPr>
          <w:sz w:val="24"/>
          <w:szCs w:val="24"/>
        </w:rPr>
        <w:t xml:space="preserve">’s argument that clinical practice and academic literature had evolved between the two appraisals, justifying an evolution in evidential expectations. The </w:t>
      </w:r>
      <w:r w:rsidR="007A7546">
        <w:rPr>
          <w:sz w:val="24"/>
          <w:szCs w:val="24"/>
        </w:rPr>
        <w:t>p</w:t>
      </w:r>
      <w:r w:rsidRPr="00E905A4">
        <w:rPr>
          <w:sz w:val="24"/>
          <w:szCs w:val="24"/>
        </w:rPr>
        <w:t xml:space="preserve">anel </w:t>
      </w:r>
      <w:r w:rsidR="00025F20">
        <w:rPr>
          <w:sz w:val="24"/>
          <w:szCs w:val="24"/>
        </w:rPr>
        <w:t>did</w:t>
      </w:r>
      <w:r w:rsidRPr="00E905A4" w:rsidR="00025F20">
        <w:rPr>
          <w:sz w:val="24"/>
          <w:szCs w:val="24"/>
        </w:rPr>
        <w:t xml:space="preserve"> </w:t>
      </w:r>
      <w:r w:rsidRPr="00E905A4">
        <w:rPr>
          <w:sz w:val="24"/>
          <w:szCs w:val="24"/>
        </w:rPr>
        <w:t>not consider this to be a radical departure, but rather a reasonable adaptation to changing standards</w:t>
      </w:r>
      <w:r w:rsidR="004B23C8">
        <w:rPr>
          <w:sz w:val="24"/>
          <w:szCs w:val="24"/>
        </w:rPr>
        <w:t>.</w:t>
      </w:r>
    </w:p>
    <w:p w:rsidRPr="00E905A4" w:rsidR="00CC79EF" w:rsidP="00CC79EF" w:rsidRDefault="00CC79EF" w14:paraId="687FC2D1" w14:textId="24817311">
      <w:pPr>
        <w:pStyle w:val="Paragraph"/>
        <w:rPr>
          <w:sz w:val="24"/>
          <w:szCs w:val="24"/>
        </w:rPr>
      </w:pPr>
      <w:r w:rsidRPr="00E905A4">
        <w:rPr>
          <w:sz w:val="24"/>
          <w:szCs w:val="24"/>
        </w:rPr>
        <w:t xml:space="preserve">The </w:t>
      </w:r>
      <w:r w:rsidR="007A7546">
        <w:rPr>
          <w:sz w:val="24"/>
          <w:szCs w:val="24"/>
        </w:rPr>
        <w:t>p</w:t>
      </w:r>
      <w:r w:rsidR="00E16092">
        <w:rPr>
          <w:sz w:val="24"/>
          <w:szCs w:val="24"/>
        </w:rPr>
        <w:t>anel</w:t>
      </w:r>
      <w:r w:rsidRPr="00E905A4">
        <w:rPr>
          <w:sz w:val="24"/>
          <w:szCs w:val="24"/>
        </w:rPr>
        <w:t xml:space="preserve"> therefore dismissed the appeal on this point.</w:t>
      </w:r>
    </w:p>
    <w:p w:rsidR="00660535" w:rsidP="007E1381" w:rsidRDefault="006055FE" w14:paraId="0AAA3695" w14:textId="052AC6B7">
      <w:pPr>
        <w:pStyle w:val="Heading3"/>
      </w:pPr>
      <w:r>
        <w:t xml:space="preserve">Appeal </w:t>
      </w:r>
      <w:proofErr w:type="gramStart"/>
      <w:r w:rsidR="005858B6">
        <w:t>point</w:t>
      </w:r>
      <w:proofErr w:type="gramEnd"/>
      <w:r w:rsidRPr="006055FE">
        <w:t xml:space="preserve"> 1(a)2 – the </w:t>
      </w:r>
      <w:r w:rsidR="00D13B42">
        <w:t>a</w:t>
      </w:r>
      <w:r w:rsidRPr="006055FE">
        <w:t xml:space="preserve">ppraisal </w:t>
      </w:r>
      <w:r w:rsidR="00D13B42">
        <w:t>c</w:t>
      </w:r>
      <w:r w:rsidRPr="006055FE">
        <w:t>ommittee failed to consider adequately material evidence regarding PFS provided by Regeneron.</w:t>
      </w:r>
    </w:p>
    <w:p w:rsidRPr="00670AED" w:rsidR="006055FE" w:rsidP="00660535" w:rsidRDefault="006055FE" w14:paraId="52640414" w14:textId="683F79A7">
      <w:pPr>
        <w:pStyle w:val="Paragraph"/>
        <w:rPr>
          <w:color w:val="000000" w:themeColor="text1"/>
          <w:sz w:val="24"/>
          <w:szCs w:val="24"/>
        </w:rPr>
      </w:pPr>
      <w:r w:rsidRPr="00670AED">
        <w:rPr>
          <w:color w:val="000000" w:themeColor="text1"/>
          <w:sz w:val="24"/>
          <w:szCs w:val="24"/>
        </w:rPr>
        <w:t xml:space="preserve">Public bodies are required to </w:t>
      </w:r>
      <w:proofErr w:type="gramStart"/>
      <w:r w:rsidRPr="00670AED">
        <w:rPr>
          <w:color w:val="000000" w:themeColor="text1"/>
          <w:sz w:val="24"/>
          <w:szCs w:val="24"/>
        </w:rPr>
        <w:t>give proper consideration to</w:t>
      </w:r>
      <w:proofErr w:type="gramEnd"/>
      <w:r w:rsidRPr="00670AED">
        <w:rPr>
          <w:color w:val="000000" w:themeColor="text1"/>
          <w:sz w:val="24"/>
          <w:szCs w:val="24"/>
        </w:rPr>
        <w:t xml:space="preserve"> stakeholder submissions and, where relevant, to justify any decision to not accept them. </w:t>
      </w:r>
      <w:r w:rsidRPr="00670AED" w:rsidDel="00953D39">
        <w:rPr>
          <w:color w:val="000000" w:themeColor="text1"/>
          <w:sz w:val="24"/>
          <w:szCs w:val="24"/>
        </w:rPr>
        <w:t xml:space="preserve">The </w:t>
      </w:r>
      <w:r w:rsidR="002B6BDF">
        <w:rPr>
          <w:color w:val="000000" w:themeColor="text1"/>
          <w:sz w:val="24"/>
          <w:szCs w:val="24"/>
        </w:rPr>
        <w:t>c</w:t>
      </w:r>
      <w:r w:rsidRPr="00670AED" w:rsidDel="00953D39">
        <w:rPr>
          <w:color w:val="000000" w:themeColor="text1"/>
          <w:sz w:val="24"/>
          <w:szCs w:val="24"/>
        </w:rPr>
        <w:t>ommittee</w:t>
      </w:r>
      <w:r w:rsidRPr="00670AED">
        <w:rPr>
          <w:color w:val="000000" w:themeColor="text1"/>
          <w:sz w:val="24"/>
          <w:szCs w:val="24"/>
        </w:rPr>
        <w:t xml:space="preserve">’s failure to do so was procedurally unfair and prejudiced </w:t>
      </w:r>
      <w:r w:rsidR="00953D39">
        <w:rPr>
          <w:color w:val="000000" w:themeColor="text1"/>
          <w:sz w:val="24"/>
          <w:szCs w:val="24"/>
        </w:rPr>
        <w:t>Regeneron</w:t>
      </w:r>
      <w:r w:rsidRPr="00670AED">
        <w:rPr>
          <w:color w:val="000000" w:themeColor="text1"/>
          <w:sz w:val="24"/>
          <w:szCs w:val="24"/>
        </w:rPr>
        <w:t xml:space="preserve"> and its product.</w:t>
      </w:r>
    </w:p>
    <w:p w:rsidR="00CC79EF" w:rsidP="00B93E19" w:rsidRDefault="00FF65B4" w14:paraId="58E96BBF" w14:textId="2C54F08D">
      <w:pPr>
        <w:pStyle w:val="Paragraph"/>
        <w:rPr>
          <w:color w:val="000000" w:themeColor="text1"/>
          <w:sz w:val="24"/>
          <w:szCs w:val="24"/>
        </w:rPr>
      </w:pPr>
      <w:r>
        <w:rPr>
          <w:color w:val="000000" w:themeColor="text1"/>
          <w:sz w:val="24"/>
          <w:szCs w:val="24"/>
        </w:rPr>
        <w:t>Grant Castle</w:t>
      </w:r>
      <w:r w:rsidR="00953D39">
        <w:rPr>
          <w:color w:val="000000" w:themeColor="text1"/>
          <w:sz w:val="24"/>
          <w:szCs w:val="24"/>
        </w:rPr>
        <w:t>, for Regeneron</w:t>
      </w:r>
      <w:r w:rsidR="000334EB">
        <w:rPr>
          <w:color w:val="000000" w:themeColor="text1"/>
          <w:sz w:val="24"/>
          <w:szCs w:val="24"/>
        </w:rPr>
        <w:t xml:space="preserve">, </w:t>
      </w:r>
      <w:r w:rsidR="0073240C">
        <w:rPr>
          <w:color w:val="000000" w:themeColor="text1"/>
          <w:sz w:val="24"/>
          <w:szCs w:val="24"/>
        </w:rPr>
        <w:t>said</w:t>
      </w:r>
      <w:r>
        <w:rPr>
          <w:color w:val="000000" w:themeColor="text1"/>
          <w:sz w:val="24"/>
          <w:szCs w:val="24"/>
        </w:rPr>
        <w:t xml:space="preserve"> that NICE is duty bound to review all evidence submitted to it and to give adequate an</w:t>
      </w:r>
      <w:r w:rsidR="003B4694">
        <w:rPr>
          <w:color w:val="000000" w:themeColor="text1"/>
          <w:sz w:val="24"/>
          <w:szCs w:val="24"/>
        </w:rPr>
        <w:t>d</w:t>
      </w:r>
      <w:r>
        <w:rPr>
          <w:color w:val="000000" w:themeColor="text1"/>
          <w:sz w:val="24"/>
          <w:szCs w:val="24"/>
        </w:rPr>
        <w:t xml:space="preserve"> intelligent consideration of that evidence. Failure to do so would constitute procedural unfairness. He acknowledged that </w:t>
      </w:r>
      <w:r w:rsidR="00035DCF">
        <w:rPr>
          <w:color w:val="000000" w:themeColor="text1"/>
          <w:sz w:val="24"/>
          <w:szCs w:val="24"/>
        </w:rPr>
        <w:t>NICE</w:t>
      </w:r>
      <w:r>
        <w:rPr>
          <w:color w:val="000000" w:themeColor="text1"/>
          <w:sz w:val="24"/>
          <w:szCs w:val="24"/>
        </w:rPr>
        <w:t xml:space="preserve"> had not requested MAIC, but that </w:t>
      </w:r>
      <w:r w:rsidR="0073240C">
        <w:rPr>
          <w:color w:val="000000" w:themeColor="text1"/>
          <w:sz w:val="24"/>
          <w:szCs w:val="24"/>
        </w:rPr>
        <w:t>nevertheless</w:t>
      </w:r>
      <w:r>
        <w:rPr>
          <w:color w:val="000000" w:themeColor="text1"/>
          <w:sz w:val="24"/>
          <w:szCs w:val="24"/>
        </w:rPr>
        <w:t xml:space="preserve"> it warranted consideration as it had clear evidential value and</w:t>
      </w:r>
      <w:r w:rsidR="0073240C">
        <w:rPr>
          <w:color w:val="000000" w:themeColor="text1"/>
          <w:sz w:val="24"/>
          <w:szCs w:val="24"/>
        </w:rPr>
        <w:t xml:space="preserve"> meaningfully</w:t>
      </w:r>
      <w:r>
        <w:rPr>
          <w:color w:val="000000" w:themeColor="text1"/>
          <w:sz w:val="24"/>
          <w:szCs w:val="24"/>
        </w:rPr>
        <w:t xml:space="preserve"> addressed the </w:t>
      </w:r>
      <w:r w:rsidR="002B6BDF">
        <w:rPr>
          <w:color w:val="000000" w:themeColor="text1"/>
          <w:sz w:val="24"/>
          <w:szCs w:val="24"/>
        </w:rPr>
        <w:t>c</w:t>
      </w:r>
      <w:r>
        <w:rPr>
          <w:color w:val="000000" w:themeColor="text1"/>
          <w:sz w:val="24"/>
          <w:szCs w:val="24"/>
        </w:rPr>
        <w:t xml:space="preserve">ommittee's concerns with the network </w:t>
      </w:r>
      <w:r w:rsidR="00792F15">
        <w:rPr>
          <w:color w:val="000000" w:themeColor="text1"/>
          <w:sz w:val="24"/>
          <w:szCs w:val="24"/>
        </w:rPr>
        <w:t>meta-analysis</w:t>
      </w:r>
      <w:r>
        <w:rPr>
          <w:color w:val="000000" w:themeColor="text1"/>
          <w:sz w:val="24"/>
          <w:szCs w:val="24"/>
        </w:rPr>
        <w:t xml:space="preserve">. </w:t>
      </w:r>
      <w:r w:rsidR="0073240C">
        <w:rPr>
          <w:color w:val="000000" w:themeColor="text1"/>
          <w:sz w:val="24"/>
          <w:szCs w:val="24"/>
        </w:rPr>
        <w:t>T</w:t>
      </w:r>
      <w:r>
        <w:rPr>
          <w:color w:val="000000" w:themeColor="text1"/>
          <w:sz w:val="24"/>
          <w:szCs w:val="24"/>
        </w:rPr>
        <w:t xml:space="preserve">he </w:t>
      </w:r>
      <w:r w:rsidR="002B6BDF">
        <w:rPr>
          <w:color w:val="000000" w:themeColor="text1"/>
          <w:sz w:val="24"/>
          <w:szCs w:val="24"/>
        </w:rPr>
        <w:t>c</w:t>
      </w:r>
      <w:r>
        <w:rPr>
          <w:color w:val="000000" w:themeColor="text1"/>
          <w:sz w:val="24"/>
          <w:szCs w:val="24"/>
        </w:rPr>
        <w:t xml:space="preserve">ommittee </w:t>
      </w:r>
      <w:r w:rsidR="0073240C">
        <w:rPr>
          <w:color w:val="000000" w:themeColor="text1"/>
          <w:sz w:val="24"/>
          <w:szCs w:val="24"/>
        </w:rPr>
        <w:t>concluded that the MAIC results were highly</w:t>
      </w:r>
      <w:r>
        <w:rPr>
          <w:color w:val="000000" w:themeColor="text1"/>
          <w:sz w:val="24"/>
          <w:szCs w:val="24"/>
        </w:rPr>
        <w:t xml:space="preserve"> uncertain and </w:t>
      </w:r>
      <w:r w:rsidR="0073240C">
        <w:rPr>
          <w:color w:val="000000" w:themeColor="text1"/>
          <w:sz w:val="24"/>
          <w:szCs w:val="24"/>
        </w:rPr>
        <w:t xml:space="preserve">not </w:t>
      </w:r>
      <w:r>
        <w:rPr>
          <w:color w:val="000000" w:themeColor="text1"/>
          <w:sz w:val="24"/>
          <w:szCs w:val="24"/>
        </w:rPr>
        <w:t xml:space="preserve">suitable for decision making. Such a sweeping dismissal requires clear and robust justification. In his view, the </w:t>
      </w:r>
      <w:r w:rsidR="002B6BDF">
        <w:rPr>
          <w:color w:val="000000" w:themeColor="text1"/>
          <w:sz w:val="24"/>
          <w:szCs w:val="24"/>
        </w:rPr>
        <w:t>c</w:t>
      </w:r>
      <w:r>
        <w:rPr>
          <w:color w:val="000000" w:themeColor="text1"/>
          <w:sz w:val="24"/>
          <w:szCs w:val="24"/>
        </w:rPr>
        <w:t xml:space="preserve">ommittee's blanket dismissal of the MAIC seemed to have been based on the </w:t>
      </w:r>
      <w:r w:rsidR="002B6BDF">
        <w:rPr>
          <w:color w:val="000000" w:themeColor="text1"/>
          <w:sz w:val="24"/>
          <w:szCs w:val="24"/>
        </w:rPr>
        <w:t>c</w:t>
      </w:r>
      <w:r>
        <w:rPr>
          <w:color w:val="000000" w:themeColor="text1"/>
          <w:sz w:val="24"/>
          <w:szCs w:val="24"/>
        </w:rPr>
        <w:t xml:space="preserve">ommittee's insistence on a model which generated QALY losses. </w:t>
      </w:r>
      <w:r w:rsidR="009F1BC7">
        <w:rPr>
          <w:color w:val="000000" w:themeColor="text1"/>
          <w:sz w:val="24"/>
          <w:szCs w:val="24"/>
        </w:rPr>
        <w:t xml:space="preserve">Grant Castle concluded with </w:t>
      </w:r>
      <w:r w:rsidR="00571BC2">
        <w:rPr>
          <w:color w:val="000000" w:themeColor="text1"/>
          <w:sz w:val="24"/>
          <w:szCs w:val="24"/>
        </w:rPr>
        <w:t>Regeneron</w:t>
      </w:r>
      <w:r w:rsidR="009F1BC7">
        <w:rPr>
          <w:color w:val="000000" w:themeColor="text1"/>
          <w:sz w:val="24"/>
          <w:szCs w:val="24"/>
        </w:rPr>
        <w:t xml:space="preserve">'s view that having not received its preferred Markov model, the </w:t>
      </w:r>
      <w:r w:rsidR="000269A3">
        <w:rPr>
          <w:color w:val="000000" w:themeColor="text1"/>
          <w:sz w:val="24"/>
          <w:szCs w:val="24"/>
        </w:rPr>
        <w:t>c</w:t>
      </w:r>
      <w:r w:rsidR="009F1BC7">
        <w:rPr>
          <w:color w:val="000000" w:themeColor="text1"/>
          <w:sz w:val="24"/>
          <w:szCs w:val="24"/>
        </w:rPr>
        <w:t xml:space="preserve">ommittee had shut its mind to reasonable alternatives. </w:t>
      </w:r>
    </w:p>
    <w:p w:rsidR="009F1BC7" w:rsidP="00B93E19" w:rsidRDefault="00571BC2" w14:paraId="3128491D" w14:textId="1641D34B">
      <w:pPr>
        <w:pStyle w:val="Paragraph"/>
        <w:rPr>
          <w:color w:val="000000" w:themeColor="text1"/>
          <w:sz w:val="24"/>
          <w:szCs w:val="24"/>
        </w:rPr>
      </w:pPr>
      <w:r>
        <w:rPr>
          <w:color w:val="000000" w:themeColor="text1"/>
          <w:sz w:val="24"/>
          <w:szCs w:val="24"/>
        </w:rPr>
        <w:t xml:space="preserve">Dr </w:t>
      </w:r>
      <w:r w:rsidR="009F1BC7">
        <w:rPr>
          <w:color w:val="000000" w:themeColor="text1"/>
          <w:sz w:val="24"/>
          <w:szCs w:val="24"/>
        </w:rPr>
        <w:t>Raju Reddy</w:t>
      </w:r>
      <w:r>
        <w:rPr>
          <w:color w:val="000000" w:themeColor="text1"/>
          <w:sz w:val="24"/>
          <w:szCs w:val="24"/>
        </w:rPr>
        <w:t>, for NICE</w:t>
      </w:r>
      <w:r w:rsidR="000269A3">
        <w:rPr>
          <w:color w:val="000000" w:themeColor="text1"/>
          <w:sz w:val="24"/>
          <w:szCs w:val="24"/>
        </w:rPr>
        <w:t>,</w:t>
      </w:r>
      <w:r w:rsidR="009F1BC7">
        <w:rPr>
          <w:color w:val="000000" w:themeColor="text1"/>
          <w:sz w:val="24"/>
          <w:szCs w:val="24"/>
        </w:rPr>
        <w:t xml:space="preserve"> disagreed with the characterisation that </w:t>
      </w:r>
      <w:r>
        <w:rPr>
          <w:color w:val="000000" w:themeColor="text1"/>
          <w:sz w:val="24"/>
          <w:szCs w:val="24"/>
        </w:rPr>
        <w:t>NICE</w:t>
      </w:r>
      <w:r w:rsidR="009F1BC7">
        <w:rPr>
          <w:color w:val="000000" w:themeColor="text1"/>
          <w:sz w:val="24"/>
          <w:szCs w:val="24"/>
        </w:rPr>
        <w:t xml:space="preserve"> had shut its mind to any analysis. He </w:t>
      </w:r>
      <w:r w:rsidR="0073240C">
        <w:rPr>
          <w:color w:val="000000" w:themeColor="text1"/>
          <w:sz w:val="24"/>
          <w:szCs w:val="24"/>
        </w:rPr>
        <w:t xml:space="preserve">noted that a lot </w:t>
      </w:r>
      <w:r w:rsidR="00792F15">
        <w:rPr>
          <w:color w:val="000000" w:themeColor="text1"/>
          <w:sz w:val="24"/>
          <w:szCs w:val="24"/>
        </w:rPr>
        <w:t xml:space="preserve">of </w:t>
      </w:r>
      <w:r w:rsidR="000269A3">
        <w:rPr>
          <w:color w:val="000000" w:themeColor="text1"/>
          <w:sz w:val="24"/>
          <w:szCs w:val="24"/>
        </w:rPr>
        <w:t>c</w:t>
      </w:r>
      <w:r w:rsidR="00660535">
        <w:rPr>
          <w:color w:val="000000" w:themeColor="text1"/>
          <w:sz w:val="24"/>
          <w:szCs w:val="24"/>
        </w:rPr>
        <w:t xml:space="preserve">ommittee </w:t>
      </w:r>
      <w:r w:rsidR="009F1BC7">
        <w:rPr>
          <w:color w:val="000000" w:themeColor="text1"/>
          <w:sz w:val="24"/>
          <w:szCs w:val="24"/>
        </w:rPr>
        <w:t>discuss</w:t>
      </w:r>
      <w:r w:rsidR="0073240C">
        <w:rPr>
          <w:color w:val="000000" w:themeColor="text1"/>
          <w:sz w:val="24"/>
          <w:szCs w:val="24"/>
        </w:rPr>
        <w:t xml:space="preserve">ion takes place in the confidential second part of the </w:t>
      </w:r>
      <w:r w:rsidR="000269A3">
        <w:rPr>
          <w:color w:val="000000" w:themeColor="text1"/>
          <w:sz w:val="24"/>
          <w:szCs w:val="24"/>
        </w:rPr>
        <w:t>c</w:t>
      </w:r>
      <w:r w:rsidR="0073240C">
        <w:rPr>
          <w:color w:val="000000" w:themeColor="text1"/>
          <w:sz w:val="24"/>
          <w:szCs w:val="24"/>
        </w:rPr>
        <w:t>ommittee meeting, because of confidential data in the analyses that cannot be discussed in the open</w:t>
      </w:r>
      <w:r w:rsidR="00403CC5">
        <w:rPr>
          <w:color w:val="000000" w:themeColor="text1"/>
          <w:sz w:val="24"/>
          <w:szCs w:val="24"/>
        </w:rPr>
        <w:t xml:space="preserve"> first part of the </w:t>
      </w:r>
      <w:r w:rsidR="000269A3">
        <w:rPr>
          <w:color w:val="000000" w:themeColor="text1"/>
          <w:sz w:val="24"/>
          <w:szCs w:val="24"/>
        </w:rPr>
        <w:t>c</w:t>
      </w:r>
      <w:r w:rsidR="00403CC5">
        <w:rPr>
          <w:color w:val="000000" w:themeColor="text1"/>
          <w:sz w:val="24"/>
          <w:szCs w:val="24"/>
        </w:rPr>
        <w:t>ommittee meeting</w:t>
      </w:r>
      <w:r w:rsidR="009F1BC7">
        <w:rPr>
          <w:color w:val="000000" w:themeColor="text1"/>
          <w:sz w:val="24"/>
          <w:szCs w:val="24"/>
        </w:rPr>
        <w:t xml:space="preserve">. He explained that the </w:t>
      </w:r>
      <w:r w:rsidR="000269A3">
        <w:rPr>
          <w:color w:val="000000" w:themeColor="text1"/>
          <w:sz w:val="24"/>
          <w:szCs w:val="24"/>
        </w:rPr>
        <w:t>c</w:t>
      </w:r>
      <w:r w:rsidR="009F1BC7">
        <w:rPr>
          <w:color w:val="000000" w:themeColor="text1"/>
          <w:sz w:val="24"/>
          <w:szCs w:val="24"/>
        </w:rPr>
        <w:t xml:space="preserve">ommittee was clear in both draft and </w:t>
      </w:r>
      <w:r w:rsidR="003C14DF">
        <w:rPr>
          <w:color w:val="000000" w:themeColor="text1"/>
          <w:sz w:val="24"/>
          <w:szCs w:val="24"/>
        </w:rPr>
        <w:t xml:space="preserve">FDG </w:t>
      </w:r>
      <w:r w:rsidR="009F1BC7">
        <w:rPr>
          <w:color w:val="000000" w:themeColor="text1"/>
          <w:sz w:val="24"/>
          <w:szCs w:val="24"/>
        </w:rPr>
        <w:t xml:space="preserve">that its concern arose from the representation of OS in the indirect treatment comparison because of the cross-over issues with pembrolizumab. Sections 3.6 and 3.7 of the </w:t>
      </w:r>
      <w:r w:rsidR="003C14DF">
        <w:rPr>
          <w:color w:val="000000" w:themeColor="text1"/>
          <w:sz w:val="24"/>
          <w:szCs w:val="24"/>
        </w:rPr>
        <w:t>FDG</w:t>
      </w:r>
      <w:r w:rsidR="009F1BC7">
        <w:rPr>
          <w:color w:val="000000" w:themeColor="text1"/>
          <w:sz w:val="24"/>
          <w:szCs w:val="24"/>
        </w:rPr>
        <w:t xml:space="preserve"> set out these concerns. He noted that </w:t>
      </w:r>
      <w:r w:rsidR="00530704">
        <w:rPr>
          <w:color w:val="000000" w:themeColor="text1"/>
          <w:sz w:val="24"/>
          <w:szCs w:val="24"/>
        </w:rPr>
        <w:t>Regeneron</w:t>
      </w:r>
      <w:r w:rsidR="009F1BC7">
        <w:rPr>
          <w:color w:val="000000" w:themeColor="text1"/>
          <w:sz w:val="24"/>
          <w:szCs w:val="24"/>
        </w:rPr>
        <w:t xml:space="preserve"> had not provided a Markov model, and that the MAIC analyses provided instead did not reduce the uncertainty. He assured </w:t>
      </w:r>
      <w:r>
        <w:rPr>
          <w:color w:val="000000" w:themeColor="text1"/>
          <w:sz w:val="24"/>
          <w:szCs w:val="24"/>
        </w:rPr>
        <w:t>Regeneron</w:t>
      </w:r>
      <w:r w:rsidR="009F1BC7">
        <w:rPr>
          <w:color w:val="000000" w:themeColor="text1"/>
          <w:sz w:val="24"/>
          <w:szCs w:val="24"/>
        </w:rPr>
        <w:t xml:space="preserve"> that the </w:t>
      </w:r>
      <w:r w:rsidR="000269A3">
        <w:rPr>
          <w:color w:val="000000" w:themeColor="text1"/>
          <w:sz w:val="24"/>
          <w:szCs w:val="24"/>
        </w:rPr>
        <w:t>c</w:t>
      </w:r>
      <w:r w:rsidR="009F1BC7">
        <w:rPr>
          <w:color w:val="000000" w:themeColor="text1"/>
          <w:sz w:val="24"/>
          <w:szCs w:val="24"/>
        </w:rPr>
        <w:t xml:space="preserve">ommittee had adequately considered all the evidence before it, including the PFS evidence which was submitted in response to the draft guidance consultation. That was reviewed by the </w:t>
      </w:r>
      <w:r w:rsidR="002E37BA">
        <w:rPr>
          <w:color w:val="000000" w:themeColor="text1"/>
          <w:sz w:val="24"/>
          <w:szCs w:val="24"/>
        </w:rPr>
        <w:t>E</w:t>
      </w:r>
      <w:r w:rsidR="009F1BC7">
        <w:rPr>
          <w:color w:val="000000" w:themeColor="text1"/>
          <w:sz w:val="24"/>
          <w:szCs w:val="24"/>
        </w:rPr>
        <w:t xml:space="preserve">xternal </w:t>
      </w:r>
      <w:r w:rsidR="002E37BA">
        <w:rPr>
          <w:color w:val="000000" w:themeColor="text1"/>
          <w:sz w:val="24"/>
          <w:szCs w:val="24"/>
        </w:rPr>
        <w:t>A</w:t>
      </w:r>
      <w:r w:rsidR="009F1BC7">
        <w:rPr>
          <w:color w:val="000000" w:themeColor="text1"/>
          <w:sz w:val="24"/>
          <w:szCs w:val="24"/>
        </w:rPr>
        <w:t xml:space="preserve">ssessment </w:t>
      </w:r>
      <w:r w:rsidR="002E37BA">
        <w:rPr>
          <w:color w:val="000000" w:themeColor="text1"/>
          <w:sz w:val="24"/>
          <w:szCs w:val="24"/>
        </w:rPr>
        <w:t>G</w:t>
      </w:r>
      <w:r w:rsidR="009F1BC7">
        <w:rPr>
          <w:color w:val="000000" w:themeColor="text1"/>
          <w:sz w:val="24"/>
          <w:szCs w:val="24"/>
        </w:rPr>
        <w:t xml:space="preserve">roup ("EAG") and was presented in the second committee meeting. The new indirect treatment comparisons were considered by the </w:t>
      </w:r>
      <w:proofErr w:type="gramStart"/>
      <w:r w:rsidR="000269A3">
        <w:rPr>
          <w:color w:val="000000" w:themeColor="text1"/>
          <w:sz w:val="24"/>
          <w:szCs w:val="24"/>
        </w:rPr>
        <w:t>c</w:t>
      </w:r>
      <w:r w:rsidR="009F1BC7">
        <w:rPr>
          <w:color w:val="000000" w:themeColor="text1"/>
          <w:sz w:val="24"/>
          <w:szCs w:val="24"/>
        </w:rPr>
        <w:t>ommittee, but</w:t>
      </w:r>
      <w:proofErr w:type="gramEnd"/>
      <w:r w:rsidR="009F1BC7">
        <w:rPr>
          <w:color w:val="000000" w:themeColor="text1"/>
          <w:sz w:val="24"/>
          <w:szCs w:val="24"/>
        </w:rPr>
        <w:t xml:space="preserve"> had their own drawbacks. Instead of resolving the uncertainty, the new evidence increased the uncertainty</w:t>
      </w:r>
      <w:r w:rsidR="00C83260">
        <w:rPr>
          <w:color w:val="000000" w:themeColor="text1"/>
          <w:sz w:val="24"/>
          <w:szCs w:val="24"/>
        </w:rPr>
        <w:t>;</w:t>
      </w:r>
      <w:r w:rsidR="009F1BC7">
        <w:rPr>
          <w:color w:val="000000" w:themeColor="text1"/>
          <w:sz w:val="24"/>
          <w:szCs w:val="24"/>
        </w:rPr>
        <w:t xml:space="preserve"> the survival benefit in the new analysis was three times higher than in the original analysis. He noted that all of this is explained in the </w:t>
      </w:r>
      <w:r w:rsidR="003C14DF">
        <w:rPr>
          <w:color w:val="000000" w:themeColor="text1"/>
          <w:sz w:val="24"/>
          <w:szCs w:val="24"/>
        </w:rPr>
        <w:t>FDG</w:t>
      </w:r>
      <w:r w:rsidR="009F1BC7">
        <w:rPr>
          <w:color w:val="000000" w:themeColor="text1"/>
          <w:sz w:val="24"/>
          <w:szCs w:val="24"/>
        </w:rPr>
        <w:t xml:space="preserve">, leading ultimately to the </w:t>
      </w:r>
      <w:r w:rsidR="000269A3">
        <w:rPr>
          <w:color w:val="000000" w:themeColor="text1"/>
          <w:sz w:val="24"/>
          <w:szCs w:val="24"/>
        </w:rPr>
        <w:t>c</w:t>
      </w:r>
      <w:r w:rsidR="009F1BC7">
        <w:rPr>
          <w:color w:val="000000" w:themeColor="text1"/>
          <w:sz w:val="24"/>
          <w:szCs w:val="24"/>
        </w:rPr>
        <w:t xml:space="preserve">ommittee's conclusion that the result of the network analyses </w:t>
      </w:r>
      <w:proofErr w:type="gramStart"/>
      <w:r w:rsidR="009F1BC7">
        <w:rPr>
          <w:color w:val="000000" w:themeColor="text1"/>
          <w:sz w:val="24"/>
          <w:szCs w:val="24"/>
        </w:rPr>
        <w:t>were</w:t>
      </w:r>
      <w:proofErr w:type="gramEnd"/>
      <w:r w:rsidR="009F1BC7">
        <w:rPr>
          <w:color w:val="000000" w:themeColor="text1"/>
          <w:sz w:val="24"/>
          <w:szCs w:val="24"/>
        </w:rPr>
        <w:t xml:space="preserve"> highly uncertain. </w:t>
      </w:r>
    </w:p>
    <w:p w:rsidR="009F1BC7" w:rsidP="00B93E19" w:rsidRDefault="009F1BC7" w14:paraId="153E840E" w14:textId="33F01AB9">
      <w:pPr>
        <w:pStyle w:val="Paragraph"/>
        <w:rPr>
          <w:color w:val="000000" w:themeColor="text1"/>
          <w:sz w:val="24"/>
          <w:szCs w:val="24"/>
        </w:rPr>
      </w:pPr>
      <w:r>
        <w:rPr>
          <w:color w:val="000000" w:themeColor="text1"/>
          <w:sz w:val="24"/>
          <w:szCs w:val="24"/>
        </w:rPr>
        <w:t>The</w:t>
      </w:r>
      <w:r w:rsidR="0015078D">
        <w:rPr>
          <w:color w:val="000000" w:themeColor="text1"/>
          <w:sz w:val="24"/>
          <w:szCs w:val="24"/>
        </w:rPr>
        <w:t xml:space="preserve"> panel</w:t>
      </w:r>
      <w:r>
        <w:rPr>
          <w:color w:val="000000" w:themeColor="text1"/>
          <w:sz w:val="24"/>
          <w:szCs w:val="24"/>
        </w:rPr>
        <w:t xml:space="preserve"> highlighted that the EAG considered </w:t>
      </w:r>
      <w:r w:rsidR="001018F5">
        <w:rPr>
          <w:color w:val="000000" w:themeColor="text1"/>
          <w:sz w:val="24"/>
          <w:szCs w:val="24"/>
        </w:rPr>
        <w:t>Regeneron</w:t>
      </w:r>
      <w:r>
        <w:rPr>
          <w:color w:val="000000" w:themeColor="text1"/>
          <w:sz w:val="24"/>
          <w:szCs w:val="24"/>
        </w:rPr>
        <w:t xml:space="preserve">'s initial approach to modelling the cross-over effects to be appropriate. The </w:t>
      </w:r>
      <w:r w:rsidRPr="24B90130" w:rsidR="003F0878">
        <w:rPr>
          <w:color w:val="000000" w:themeColor="text1"/>
          <w:sz w:val="24"/>
          <w:szCs w:val="24"/>
        </w:rPr>
        <w:t>c</w:t>
      </w:r>
      <w:r>
        <w:rPr>
          <w:color w:val="000000" w:themeColor="text1"/>
          <w:sz w:val="24"/>
          <w:szCs w:val="24"/>
        </w:rPr>
        <w:t>ommittee acknowledged</w:t>
      </w:r>
      <w:r w:rsidR="00C83260">
        <w:rPr>
          <w:color w:val="000000" w:themeColor="text1"/>
          <w:sz w:val="24"/>
          <w:szCs w:val="24"/>
        </w:rPr>
        <w:t>, and said, that</w:t>
      </w:r>
      <w:r>
        <w:rPr>
          <w:color w:val="000000" w:themeColor="text1"/>
          <w:sz w:val="24"/>
          <w:szCs w:val="24"/>
        </w:rPr>
        <w:t xml:space="preserve"> this was an example of the </w:t>
      </w:r>
      <w:r w:rsidRPr="24B90130" w:rsidR="003F0878">
        <w:rPr>
          <w:color w:val="000000" w:themeColor="text1"/>
          <w:sz w:val="24"/>
          <w:szCs w:val="24"/>
        </w:rPr>
        <w:t>c</w:t>
      </w:r>
      <w:r>
        <w:rPr>
          <w:color w:val="000000" w:themeColor="text1"/>
          <w:sz w:val="24"/>
          <w:szCs w:val="24"/>
        </w:rPr>
        <w:t xml:space="preserve">ommittee disagreeing with the EAG's view. </w:t>
      </w:r>
    </w:p>
    <w:p w:rsidR="009F1BC7" w:rsidP="00B93E19" w:rsidRDefault="00FD6925" w14:paraId="376D471F" w14:textId="06D8B43F">
      <w:pPr>
        <w:pStyle w:val="Paragraph"/>
        <w:rPr>
          <w:color w:val="000000" w:themeColor="text1"/>
          <w:sz w:val="24"/>
          <w:szCs w:val="24"/>
        </w:rPr>
      </w:pPr>
      <w:r>
        <w:rPr>
          <w:color w:val="000000" w:themeColor="text1"/>
          <w:sz w:val="24"/>
          <w:szCs w:val="24"/>
        </w:rPr>
        <w:t xml:space="preserve">Dr </w:t>
      </w:r>
      <w:r w:rsidR="009F1BC7">
        <w:rPr>
          <w:color w:val="000000" w:themeColor="text1"/>
          <w:sz w:val="24"/>
          <w:szCs w:val="24"/>
        </w:rPr>
        <w:t xml:space="preserve">Vanessa Buchanan, for </w:t>
      </w:r>
      <w:r>
        <w:rPr>
          <w:color w:val="000000" w:themeColor="text1"/>
          <w:sz w:val="24"/>
          <w:szCs w:val="24"/>
        </w:rPr>
        <w:t>Regeneron</w:t>
      </w:r>
      <w:r w:rsidR="00D40055">
        <w:rPr>
          <w:color w:val="000000" w:themeColor="text1"/>
          <w:sz w:val="24"/>
          <w:szCs w:val="24"/>
        </w:rPr>
        <w:t>,</w:t>
      </w:r>
      <w:r w:rsidR="009F1BC7">
        <w:rPr>
          <w:color w:val="000000" w:themeColor="text1"/>
          <w:sz w:val="24"/>
          <w:szCs w:val="24"/>
        </w:rPr>
        <w:t xml:space="preserve"> described that in her experience the only time a </w:t>
      </w:r>
      <w:r w:rsidR="00464323">
        <w:rPr>
          <w:color w:val="000000" w:themeColor="text1"/>
          <w:sz w:val="24"/>
          <w:szCs w:val="24"/>
        </w:rPr>
        <w:t>c</w:t>
      </w:r>
      <w:r w:rsidR="009F1BC7">
        <w:rPr>
          <w:color w:val="000000" w:themeColor="text1"/>
          <w:sz w:val="24"/>
          <w:szCs w:val="24"/>
        </w:rPr>
        <w:t xml:space="preserve">ommittee will reject PFS data is where they are unanchored, where there are small sample sizes or where the effect modifiers are unsupported. She noted that only two issues relevant to the PFS MAIC were raised in the </w:t>
      </w:r>
      <w:r w:rsidR="003C14DF">
        <w:rPr>
          <w:color w:val="000000" w:themeColor="text1"/>
          <w:sz w:val="24"/>
          <w:szCs w:val="24"/>
        </w:rPr>
        <w:t>FDG</w:t>
      </w:r>
      <w:r w:rsidR="009F1BC7">
        <w:rPr>
          <w:color w:val="000000" w:themeColor="text1"/>
          <w:sz w:val="24"/>
          <w:szCs w:val="24"/>
        </w:rPr>
        <w:t xml:space="preserve"> – the first relating to generalisability of EMPOWER-Lung 3 data, and the second that the MAIC increased the incremental QALYs. </w:t>
      </w:r>
    </w:p>
    <w:p w:rsidR="009F1BC7" w:rsidP="00B93E19" w:rsidRDefault="005202E7" w14:paraId="515B2324" w14:textId="544A0FB2">
      <w:pPr>
        <w:pStyle w:val="Paragraph"/>
        <w:rPr>
          <w:color w:val="000000" w:themeColor="text1"/>
          <w:sz w:val="24"/>
          <w:szCs w:val="24"/>
        </w:rPr>
      </w:pPr>
      <w:r>
        <w:rPr>
          <w:color w:val="000000" w:themeColor="text1"/>
          <w:sz w:val="24"/>
          <w:szCs w:val="24"/>
        </w:rPr>
        <w:t xml:space="preserve">Dr Buchanan </w:t>
      </w:r>
      <w:r w:rsidR="009F1BC7">
        <w:rPr>
          <w:color w:val="000000" w:themeColor="text1"/>
          <w:sz w:val="24"/>
          <w:szCs w:val="24"/>
        </w:rPr>
        <w:t xml:space="preserve">noted that NICE has in the past considered pembrolizumab studies to be generalisable to UK practice and so it was unclear to </w:t>
      </w:r>
      <w:r>
        <w:rPr>
          <w:color w:val="000000" w:themeColor="text1"/>
          <w:sz w:val="24"/>
          <w:szCs w:val="24"/>
        </w:rPr>
        <w:t>Regeneron</w:t>
      </w:r>
      <w:r w:rsidR="009F1BC7">
        <w:rPr>
          <w:color w:val="000000" w:themeColor="text1"/>
          <w:sz w:val="24"/>
          <w:szCs w:val="24"/>
        </w:rPr>
        <w:t xml:space="preserve"> why the same approach was not adopted in this appraisal. </w:t>
      </w:r>
    </w:p>
    <w:p w:rsidR="009F1BC7" w:rsidP="00B93E19" w:rsidRDefault="009D72E1" w14:paraId="067F73C2" w14:textId="36F44AD4">
      <w:pPr>
        <w:pStyle w:val="Paragraph"/>
        <w:rPr>
          <w:color w:val="000000" w:themeColor="text1"/>
          <w:sz w:val="24"/>
          <w:szCs w:val="24"/>
        </w:rPr>
      </w:pPr>
      <w:r>
        <w:rPr>
          <w:color w:val="000000" w:themeColor="text1"/>
          <w:sz w:val="24"/>
          <w:szCs w:val="24"/>
        </w:rPr>
        <w:t>Dr</w:t>
      </w:r>
      <w:r w:rsidR="009F1BC7">
        <w:rPr>
          <w:color w:val="000000" w:themeColor="text1"/>
          <w:sz w:val="24"/>
          <w:szCs w:val="24"/>
        </w:rPr>
        <w:t xml:space="preserve"> Buchanan explained that it is possible to overcome the generalisability concern by applying the inverse hazard ratio from the MAICs to generate the pembrolizumab data – and that this had been adopted in another appraisal. </w:t>
      </w:r>
    </w:p>
    <w:p w:rsidR="009F1BC7" w:rsidP="00B93E19" w:rsidRDefault="009F1BC7" w14:paraId="2810CE61" w14:textId="24DF2554">
      <w:pPr>
        <w:pStyle w:val="Paragraph"/>
        <w:rPr>
          <w:color w:val="000000" w:themeColor="text1"/>
          <w:sz w:val="24"/>
          <w:szCs w:val="24"/>
        </w:rPr>
      </w:pPr>
      <w:r>
        <w:rPr>
          <w:color w:val="000000" w:themeColor="text1"/>
          <w:sz w:val="24"/>
          <w:szCs w:val="24"/>
        </w:rPr>
        <w:t xml:space="preserve">In respect of the MAIC resulting in an increase in incremental QALYs, </w:t>
      </w:r>
      <w:r w:rsidR="009D72E1">
        <w:rPr>
          <w:color w:val="000000" w:themeColor="text1"/>
          <w:sz w:val="24"/>
          <w:szCs w:val="24"/>
        </w:rPr>
        <w:t xml:space="preserve">Dr </w:t>
      </w:r>
      <w:r>
        <w:rPr>
          <w:color w:val="000000" w:themeColor="text1"/>
          <w:sz w:val="24"/>
          <w:szCs w:val="24"/>
        </w:rPr>
        <w:t xml:space="preserve">Buchanan explained that the effect modifiers present biased the hazard ratios against cemiplimab, and that the result of correcting that bias is a QALY gain. </w:t>
      </w:r>
      <w:r w:rsidR="009D72E1">
        <w:rPr>
          <w:color w:val="000000" w:themeColor="text1"/>
          <w:sz w:val="24"/>
          <w:szCs w:val="24"/>
        </w:rPr>
        <w:t>Regeneron</w:t>
      </w:r>
      <w:r>
        <w:rPr>
          <w:color w:val="000000" w:themeColor="text1"/>
          <w:sz w:val="24"/>
          <w:szCs w:val="24"/>
        </w:rPr>
        <w:t xml:space="preserve"> considered the evidence relating to PFS in the MAIC to have been ignored in the model. </w:t>
      </w:r>
    </w:p>
    <w:p w:rsidR="009F1BC7" w:rsidP="00B93E19" w:rsidRDefault="009D72E1" w14:paraId="5308D629" w14:textId="06B63A84">
      <w:pPr>
        <w:pStyle w:val="Paragraph"/>
        <w:rPr>
          <w:color w:val="000000" w:themeColor="text1"/>
          <w:sz w:val="24"/>
          <w:szCs w:val="24"/>
        </w:rPr>
      </w:pPr>
      <w:r>
        <w:rPr>
          <w:color w:val="000000" w:themeColor="text1"/>
          <w:sz w:val="24"/>
          <w:szCs w:val="24"/>
        </w:rPr>
        <w:t xml:space="preserve">Dr </w:t>
      </w:r>
      <w:r w:rsidR="009F1BC7">
        <w:rPr>
          <w:color w:val="000000" w:themeColor="text1"/>
          <w:sz w:val="24"/>
          <w:szCs w:val="24"/>
        </w:rPr>
        <w:t xml:space="preserve">Raju Reddy noted that the </w:t>
      </w:r>
      <w:r w:rsidR="00D40055">
        <w:rPr>
          <w:color w:val="000000" w:themeColor="text1"/>
          <w:sz w:val="24"/>
          <w:szCs w:val="24"/>
        </w:rPr>
        <w:t>c</w:t>
      </w:r>
      <w:r w:rsidR="009F1BC7">
        <w:rPr>
          <w:color w:val="000000" w:themeColor="text1"/>
          <w:sz w:val="24"/>
          <w:szCs w:val="24"/>
        </w:rPr>
        <w:t xml:space="preserve">ommittee's uncertainty largely related to the OS, not the PFS. </w:t>
      </w:r>
    </w:p>
    <w:p w:rsidR="009F1BC7" w:rsidP="00B93E19" w:rsidRDefault="009F1BC7" w14:paraId="33EABE14" w14:textId="70DA29C9">
      <w:pPr>
        <w:pStyle w:val="Paragraph"/>
        <w:rPr>
          <w:color w:val="000000" w:themeColor="text1"/>
          <w:sz w:val="24"/>
          <w:szCs w:val="24"/>
        </w:rPr>
      </w:pPr>
      <w:r>
        <w:rPr>
          <w:color w:val="000000" w:themeColor="text1"/>
          <w:sz w:val="24"/>
          <w:szCs w:val="24"/>
        </w:rPr>
        <w:t>Giles Monnickendam</w:t>
      </w:r>
      <w:r w:rsidR="009D72E1">
        <w:rPr>
          <w:color w:val="000000" w:themeColor="text1"/>
          <w:sz w:val="24"/>
          <w:szCs w:val="24"/>
        </w:rPr>
        <w:t>, for NICE</w:t>
      </w:r>
      <w:r w:rsidR="00984868">
        <w:rPr>
          <w:color w:val="000000" w:themeColor="text1"/>
          <w:sz w:val="24"/>
          <w:szCs w:val="24"/>
        </w:rPr>
        <w:t>,</w:t>
      </w:r>
      <w:r>
        <w:rPr>
          <w:color w:val="000000" w:themeColor="text1"/>
          <w:sz w:val="24"/>
          <w:szCs w:val="24"/>
        </w:rPr>
        <w:t xml:space="preserve"> explained that there was </w:t>
      </w:r>
      <w:r w:rsidR="007F78E1">
        <w:rPr>
          <w:color w:val="000000" w:themeColor="text1"/>
          <w:sz w:val="24"/>
          <w:szCs w:val="24"/>
        </w:rPr>
        <w:t xml:space="preserve">particular </w:t>
      </w:r>
      <w:r>
        <w:rPr>
          <w:color w:val="000000" w:themeColor="text1"/>
          <w:sz w:val="24"/>
          <w:szCs w:val="24"/>
        </w:rPr>
        <w:t xml:space="preserve">focus on the OS because that is what drives the QALY which drives the </w:t>
      </w:r>
      <w:r w:rsidR="00E915F3">
        <w:rPr>
          <w:color w:val="000000" w:themeColor="text1"/>
          <w:sz w:val="24"/>
          <w:szCs w:val="24"/>
        </w:rPr>
        <w:t>Incremental Cost Effectiveness Ratio (</w:t>
      </w:r>
      <w:r w:rsidR="000A5B0D">
        <w:rPr>
          <w:color w:val="000000" w:themeColor="text1"/>
          <w:sz w:val="24"/>
          <w:szCs w:val="24"/>
        </w:rPr>
        <w:t>“</w:t>
      </w:r>
      <w:r>
        <w:rPr>
          <w:color w:val="000000" w:themeColor="text1"/>
          <w:sz w:val="24"/>
          <w:szCs w:val="24"/>
        </w:rPr>
        <w:t>ICER</w:t>
      </w:r>
      <w:r w:rsidR="000A5B0D">
        <w:rPr>
          <w:color w:val="000000" w:themeColor="text1"/>
          <w:sz w:val="24"/>
          <w:szCs w:val="24"/>
        </w:rPr>
        <w:t>”</w:t>
      </w:r>
      <w:r w:rsidR="00E915F3">
        <w:rPr>
          <w:color w:val="000000" w:themeColor="text1"/>
          <w:sz w:val="24"/>
          <w:szCs w:val="24"/>
        </w:rPr>
        <w:t>)</w:t>
      </w:r>
      <w:r w:rsidR="007F78E1">
        <w:rPr>
          <w:color w:val="000000" w:themeColor="text1"/>
          <w:sz w:val="24"/>
          <w:szCs w:val="24"/>
        </w:rPr>
        <w:t>, and that is where they saw the biggest uncertainty</w:t>
      </w:r>
      <w:r>
        <w:rPr>
          <w:color w:val="000000" w:themeColor="text1"/>
          <w:sz w:val="24"/>
          <w:szCs w:val="24"/>
        </w:rPr>
        <w:t xml:space="preserve">. He noted that the </w:t>
      </w:r>
      <w:r w:rsidR="00984868">
        <w:rPr>
          <w:color w:val="000000" w:themeColor="text1"/>
          <w:sz w:val="24"/>
          <w:szCs w:val="24"/>
        </w:rPr>
        <w:t>c</w:t>
      </w:r>
      <w:r>
        <w:rPr>
          <w:color w:val="000000" w:themeColor="text1"/>
          <w:sz w:val="24"/>
          <w:szCs w:val="24"/>
        </w:rPr>
        <w:t xml:space="preserve">ommittee was interested in both PFS and OS results in the </w:t>
      </w:r>
      <w:r w:rsidR="007F78E1">
        <w:rPr>
          <w:color w:val="000000" w:themeColor="text1"/>
          <w:sz w:val="24"/>
          <w:szCs w:val="24"/>
        </w:rPr>
        <w:t>indirect treatment comparison</w:t>
      </w:r>
      <w:r>
        <w:rPr>
          <w:color w:val="000000" w:themeColor="text1"/>
          <w:sz w:val="24"/>
          <w:szCs w:val="24"/>
        </w:rPr>
        <w:t xml:space="preserve">, </w:t>
      </w:r>
      <w:proofErr w:type="gramStart"/>
      <w:r>
        <w:rPr>
          <w:color w:val="000000" w:themeColor="text1"/>
          <w:sz w:val="24"/>
          <w:szCs w:val="24"/>
        </w:rPr>
        <w:t xml:space="preserve">and </w:t>
      </w:r>
      <w:r w:rsidR="007F78E1">
        <w:rPr>
          <w:color w:val="000000" w:themeColor="text1"/>
          <w:sz w:val="24"/>
          <w:szCs w:val="24"/>
        </w:rPr>
        <w:t>also</w:t>
      </w:r>
      <w:proofErr w:type="gramEnd"/>
      <w:r w:rsidR="007F78E1">
        <w:rPr>
          <w:color w:val="000000" w:themeColor="text1"/>
          <w:sz w:val="24"/>
          <w:szCs w:val="24"/>
        </w:rPr>
        <w:t xml:space="preserve"> </w:t>
      </w:r>
      <w:r>
        <w:rPr>
          <w:color w:val="000000" w:themeColor="text1"/>
          <w:sz w:val="24"/>
          <w:szCs w:val="24"/>
        </w:rPr>
        <w:t>the consistency between those results.</w:t>
      </w:r>
      <w:r w:rsidR="00F66559">
        <w:rPr>
          <w:color w:val="000000" w:themeColor="text1"/>
          <w:sz w:val="24"/>
          <w:szCs w:val="24"/>
        </w:rPr>
        <w:t xml:space="preserve"> That was because the </w:t>
      </w:r>
      <w:r w:rsidR="00984868">
        <w:rPr>
          <w:color w:val="000000" w:themeColor="text1"/>
          <w:sz w:val="24"/>
          <w:szCs w:val="24"/>
        </w:rPr>
        <w:t>c</w:t>
      </w:r>
      <w:r w:rsidR="00F66559">
        <w:rPr>
          <w:color w:val="000000" w:themeColor="text1"/>
          <w:sz w:val="24"/>
          <w:szCs w:val="24"/>
        </w:rPr>
        <w:t xml:space="preserve">ommittee had previously expressed concern about the divergence of PFS and OS data in the previous network </w:t>
      </w:r>
      <w:r w:rsidR="00792F15">
        <w:rPr>
          <w:color w:val="000000" w:themeColor="text1"/>
          <w:sz w:val="24"/>
          <w:szCs w:val="24"/>
        </w:rPr>
        <w:t>meta-analyses</w:t>
      </w:r>
      <w:r w:rsidR="00F66559">
        <w:rPr>
          <w:color w:val="000000" w:themeColor="text1"/>
          <w:sz w:val="24"/>
          <w:szCs w:val="24"/>
        </w:rPr>
        <w:t xml:space="preserve">, and so the </w:t>
      </w:r>
      <w:r w:rsidR="00984868">
        <w:rPr>
          <w:color w:val="000000" w:themeColor="text1"/>
          <w:sz w:val="24"/>
          <w:szCs w:val="24"/>
        </w:rPr>
        <w:t>c</w:t>
      </w:r>
      <w:r w:rsidR="00F66559">
        <w:rPr>
          <w:color w:val="000000" w:themeColor="text1"/>
          <w:sz w:val="24"/>
          <w:szCs w:val="24"/>
        </w:rPr>
        <w:t xml:space="preserve">ommittee reviewed the </w:t>
      </w:r>
      <w:r w:rsidR="007F78E1">
        <w:rPr>
          <w:color w:val="000000" w:themeColor="text1"/>
          <w:sz w:val="24"/>
          <w:szCs w:val="24"/>
        </w:rPr>
        <w:t>indirect treatment comparison carefully in that regard</w:t>
      </w:r>
      <w:r w:rsidR="00F66559">
        <w:rPr>
          <w:color w:val="000000" w:themeColor="text1"/>
          <w:sz w:val="24"/>
          <w:szCs w:val="24"/>
        </w:rPr>
        <w:t>.</w:t>
      </w:r>
      <w:r>
        <w:rPr>
          <w:color w:val="000000" w:themeColor="text1"/>
          <w:sz w:val="24"/>
          <w:szCs w:val="24"/>
        </w:rPr>
        <w:t xml:space="preserve"> The </w:t>
      </w:r>
      <w:r w:rsidR="00984868">
        <w:rPr>
          <w:color w:val="000000" w:themeColor="text1"/>
          <w:sz w:val="24"/>
          <w:szCs w:val="24"/>
        </w:rPr>
        <w:t>c</w:t>
      </w:r>
      <w:r>
        <w:rPr>
          <w:color w:val="000000" w:themeColor="text1"/>
          <w:sz w:val="24"/>
          <w:szCs w:val="24"/>
        </w:rPr>
        <w:t xml:space="preserve">ommittee had looked carefully through all the new </w:t>
      </w:r>
      <w:r w:rsidR="00792F15">
        <w:rPr>
          <w:color w:val="000000" w:themeColor="text1"/>
          <w:sz w:val="24"/>
          <w:szCs w:val="24"/>
        </w:rPr>
        <w:t>data and</w:t>
      </w:r>
      <w:r>
        <w:rPr>
          <w:color w:val="000000" w:themeColor="text1"/>
          <w:sz w:val="24"/>
          <w:szCs w:val="24"/>
        </w:rPr>
        <w:t xml:space="preserve"> continued to see important inconsistencies</w:t>
      </w:r>
      <w:r w:rsidR="00F66559">
        <w:rPr>
          <w:color w:val="000000" w:themeColor="text1"/>
          <w:sz w:val="24"/>
          <w:szCs w:val="24"/>
        </w:rPr>
        <w:t xml:space="preserve"> and what the </w:t>
      </w:r>
      <w:r w:rsidR="00984868">
        <w:rPr>
          <w:color w:val="000000" w:themeColor="text1"/>
          <w:sz w:val="24"/>
          <w:szCs w:val="24"/>
        </w:rPr>
        <w:t>c</w:t>
      </w:r>
      <w:r w:rsidR="00F66559">
        <w:rPr>
          <w:color w:val="000000" w:themeColor="text1"/>
          <w:sz w:val="24"/>
          <w:szCs w:val="24"/>
        </w:rPr>
        <w:t xml:space="preserve">ommittee considered to be implausible results. </w:t>
      </w:r>
    </w:p>
    <w:p w:rsidRPr="000603FB" w:rsidR="00F66559" w:rsidP="00B93E19" w:rsidRDefault="00F66559" w14:paraId="20B3D1B2" w14:textId="500D1875">
      <w:pPr>
        <w:pStyle w:val="Paragraph"/>
        <w:rPr>
          <w:sz w:val="24"/>
          <w:szCs w:val="24"/>
        </w:rPr>
      </w:pPr>
      <w:r w:rsidRPr="000603FB">
        <w:rPr>
          <w:sz w:val="24"/>
          <w:szCs w:val="24"/>
        </w:rPr>
        <w:t xml:space="preserve">Giles Monnickendam also noted that the comparison in the MAIC was incomplete. He concluded that the Committee was interested in </w:t>
      </w:r>
      <w:r w:rsidRPr="000603FB" w:rsidR="007F78E1">
        <w:rPr>
          <w:sz w:val="24"/>
          <w:szCs w:val="24"/>
        </w:rPr>
        <w:t xml:space="preserve">both </w:t>
      </w:r>
      <w:r w:rsidRPr="000603FB">
        <w:rPr>
          <w:sz w:val="24"/>
          <w:szCs w:val="24"/>
        </w:rPr>
        <w:t xml:space="preserve">PFS and OS, and whether there was plausible consistency between them. </w:t>
      </w:r>
    </w:p>
    <w:p w:rsidRPr="000603FB" w:rsidR="00F66559" w:rsidP="00F66559" w:rsidRDefault="00F66559" w14:paraId="2869FF99" w14:textId="74871DBE">
      <w:pPr>
        <w:pStyle w:val="Paragraph"/>
        <w:rPr>
          <w:sz w:val="24"/>
          <w:szCs w:val="24"/>
        </w:rPr>
      </w:pPr>
      <w:r w:rsidRPr="000603FB">
        <w:rPr>
          <w:sz w:val="24"/>
          <w:szCs w:val="24"/>
        </w:rPr>
        <w:t xml:space="preserve">The </w:t>
      </w:r>
      <w:r w:rsidR="00984868">
        <w:rPr>
          <w:sz w:val="24"/>
          <w:szCs w:val="24"/>
        </w:rPr>
        <w:t>a</w:t>
      </w:r>
      <w:r w:rsidR="00E16092">
        <w:rPr>
          <w:sz w:val="24"/>
          <w:szCs w:val="24"/>
        </w:rPr>
        <w:t xml:space="preserve">ppeal </w:t>
      </w:r>
      <w:r w:rsidR="00984868">
        <w:rPr>
          <w:sz w:val="24"/>
          <w:szCs w:val="24"/>
        </w:rPr>
        <w:t>p</w:t>
      </w:r>
      <w:r w:rsidR="00E16092">
        <w:rPr>
          <w:sz w:val="24"/>
          <w:szCs w:val="24"/>
        </w:rPr>
        <w:t>anel</w:t>
      </w:r>
      <w:r w:rsidRPr="000603FB">
        <w:rPr>
          <w:sz w:val="24"/>
          <w:szCs w:val="24"/>
        </w:rPr>
        <w:t xml:space="preserve"> concluded as follows</w:t>
      </w:r>
      <w:r w:rsidR="00792F15">
        <w:rPr>
          <w:sz w:val="24"/>
          <w:szCs w:val="24"/>
        </w:rPr>
        <w:t>.</w:t>
      </w:r>
    </w:p>
    <w:p w:rsidRPr="000603FB" w:rsidR="00BB1604" w:rsidP="00BB1604" w:rsidRDefault="00A8519C" w14:paraId="5D8843F0" w14:textId="33FE3998">
      <w:pPr>
        <w:pStyle w:val="Paragraph"/>
        <w:rPr>
          <w:sz w:val="24"/>
          <w:szCs w:val="24"/>
        </w:rPr>
      </w:pPr>
      <w:r>
        <w:rPr>
          <w:sz w:val="24"/>
          <w:szCs w:val="24"/>
        </w:rPr>
        <w:t>Regeneron</w:t>
      </w:r>
      <w:r w:rsidRPr="000603FB" w:rsidR="00E16092">
        <w:rPr>
          <w:sz w:val="24"/>
          <w:szCs w:val="24"/>
        </w:rPr>
        <w:t xml:space="preserve"> </w:t>
      </w:r>
      <w:r w:rsidRPr="000603FB" w:rsidR="00BB1604">
        <w:rPr>
          <w:sz w:val="24"/>
          <w:szCs w:val="24"/>
        </w:rPr>
        <w:t>contend</w:t>
      </w:r>
      <w:r w:rsidR="00670AED">
        <w:rPr>
          <w:sz w:val="24"/>
          <w:szCs w:val="24"/>
        </w:rPr>
        <w:t>ed</w:t>
      </w:r>
      <w:r w:rsidRPr="000603FB" w:rsidR="00BB1604">
        <w:rPr>
          <w:sz w:val="24"/>
          <w:szCs w:val="24"/>
        </w:rPr>
        <w:t xml:space="preserve"> that the </w:t>
      </w:r>
      <w:r w:rsidR="00984868">
        <w:rPr>
          <w:sz w:val="24"/>
          <w:szCs w:val="24"/>
        </w:rPr>
        <w:t>c</w:t>
      </w:r>
      <w:r w:rsidRPr="000603FB" w:rsidR="00BB1604">
        <w:rPr>
          <w:sz w:val="24"/>
          <w:szCs w:val="24"/>
        </w:rPr>
        <w:t xml:space="preserve">ommittee failed to adequately consider </w:t>
      </w:r>
      <w:proofErr w:type="gramStart"/>
      <w:r w:rsidRPr="000603FB" w:rsidR="00BB1604">
        <w:rPr>
          <w:sz w:val="24"/>
          <w:szCs w:val="24"/>
        </w:rPr>
        <w:t>its</w:t>
      </w:r>
      <w:proofErr w:type="gramEnd"/>
      <w:r w:rsidRPr="000603FB" w:rsidR="00BB1604">
        <w:rPr>
          <w:sz w:val="24"/>
          <w:szCs w:val="24"/>
        </w:rPr>
        <w:t xml:space="preserve"> submitted evidence, particularly the </w:t>
      </w:r>
      <w:r w:rsidR="00E16092">
        <w:rPr>
          <w:sz w:val="24"/>
          <w:szCs w:val="24"/>
        </w:rPr>
        <w:t>MAIC</w:t>
      </w:r>
      <w:r w:rsidRPr="000603FB" w:rsidR="00BB1604">
        <w:rPr>
          <w:sz w:val="24"/>
          <w:szCs w:val="24"/>
        </w:rPr>
        <w:t xml:space="preserve"> between </w:t>
      </w:r>
      <w:proofErr w:type="spellStart"/>
      <w:r w:rsidRPr="000603FB" w:rsidR="00BB1604">
        <w:rPr>
          <w:sz w:val="24"/>
          <w:szCs w:val="24"/>
        </w:rPr>
        <w:t>cemiplimab</w:t>
      </w:r>
      <w:proofErr w:type="spellEnd"/>
      <w:r w:rsidRPr="000603FB" w:rsidR="00BB1604">
        <w:rPr>
          <w:sz w:val="24"/>
          <w:szCs w:val="24"/>
        </w:rPr>
        <w:t xml:space="preserve"> and </w:t>
      </w:r>
      <w:r w:rsidR="00B37266">
        <w:rPr>
          <w:sz w:val="24"/>
          <w:szCs w:val="24"/>
        </w:rPr>
        <w:t>pembrolizumab</w:t>
      </w:r>
      <w:r w:rsidRPr="000603FB" w:rsidR="00BB1604">
        <w:rPr>
          <w:sz w:val="24"/>
          <w:szCs w:val="24"/>
        </w:rPr>
        <w:t xml:space="preserve">. </w:t>
      </w:r>
      <w:r>
        <w:rPr>
          <w:sz w:val="24"/>
          <w:szCs w:val="24"/>
        </w:rPr>
        <w:t>Regeneron</w:t>
      </w:r>
      <w:r w:rsidRPr="000603FB" w:rsidR="00BB1604">
        <w:rPr>
          <w:sz w:val="24"/>
          <w:szCs w:val="24"/>
        </w:rPr>
        <w:t xml:space="preserve"> argue</w:t>
      </w:r>
      <w:r w:rsidR="00670AED">
        <w:rPr>
          <w:sz w:val="24"/>
          <w:szCs w:val="24"/>
        </w:rPr>
        <w:t>d</w:t>
      </w:r>
      <w:r w:rsidRPr="000603FB" w:rsidR="00BB1604">
        <w:rPr>
          <w:sz w:val="24"/>
          <w:szCs w:val="24"/>
        </w:rPr>
        <w:t xml:space="preserve"> that this omission constitutes procedural unfairness.</w:t>
      </w:r>
    </w:p>
    <w:p w:rsidRPr="000603FB" w:rsidR="00BB1604" w:rsidP="00BB1604" w:rsidRDefault="00A56DEC" w14:paraId="412C6740" w14:textId="7066C4AF">
      <w:pPr>
        <w:pStyle w:val="Paragraph"/>
        <w:rPr>
          <w:sz w:val="24"/>
          <w:szCs w:val="24"/>
        </w:rPr>
      </w:pPr>
      <w:r w:rsidRPr="000603FB">
        <w:rPr>
          <w:sz w:val="24"/>
          <w:szCs w:val="24"/>
        </w:rPr>
        <w:t xml:space="preserve">The </w:t>
      </w:r>
      <w:r w:rsidR="005467CA">
        <w:rPr>
          <w:sz w:val="24"/>
          <w:szCs w:val="24"/>
        </w:rPr>
        <w:t>p</w:t>
      </w:r>
      <w:r w:rsidRPr="000603FB">
        <w:rPr>
          <w:sz w:val="24"/>
          <w:szCs w:val="24"/>
        </w:rPr>
        <w:t xml:space="preserve">anel </w:t>
      </w:r>
      <w:r w:rsidRPr="000603FB" w:rsidR="00C66092">
        <w:rPr>
          <w:sz w:val="24"/>
          <w:szCs w:val="24"/>
        </w:rPr>
        <w:t>f</w:t>
      </w:r>
      <w:r w:rsidR="00C66092">
        <w:rPr>
          <w:sz w:val="24"/>
          <w:szCs w:val="24"/>
        </w:rPr>
        <w:t>ound</w:t>
      </w:r>
      <w:r w:rsidRPr="000603FB" w:rsidR="00C66092">
        <w:rPr>
          <w:sz w:val="24"/>
          <w:szCs w:val="24"/>
        </w:rPr>
        <w:t xml:space="preserve"> </w:t>
      </w:r>
      <w:r w:rsidRPr="000603FB" w:rsidR="00BB1604">
        <w:rPr>
          <w:sz w:val="24"/>
          <w:szCs w:val="24"/>
        </w:rPr>
        <w:t xml:space="preserve">that the </w:t>
      </w:r>
      <w:r w:rsidR="005467CA">
        <w:rPr>
          <w:sz w:val="24"/>
          <w:szCs w:val="24"/>
        </w:rPr>
        <w:t>c</w:t>
      </w:r>
      <w:r w:rsidRPr="000603FB" w:rsidR="00BB1604">
        <w:rPr>
          <w:sz w:val="24"/>
          <w:szCs w:val="24"/>
        </w:rPr>
        <w:t xml:space="preserve">ommittee did, in fact, engage substantively with </w:t>
      </w:r>
      <w:r w:rsidR="00A15397">
        <w:rPr>
          <w:sz w:val="24"/>
          <w:szCs w:val="24"/>
        </w:rPr>
        <w:t>Regeneron</w:t>
      </w:r>
      <w:r w:rsidRPr="000603FB" w:rsidR="00E16092">
        <w:rPr>
          <w:sz w:val="24"/>
          <w:szCs w:val="24"/>
        </w:rPr>
        <w:t xml:space="preserve">’s </w:t>
      </w:r>
      <w:r w:rsidRPr="000603FB" w:rsidR="00BB1604">
        <w:rPr>
          <w:sz w:val="24"/>
          <w:szCs w:val="24"/>
        </w:rPr>
        <w:t>evidence, including the MAIC. This is clearly documented in multiple sections of the FDG:</w:t>
      </w:r>
    </w:p>
    <w:p w:rsidRPr="000603FB" w:rsidR="00BB1604" w:rsidP="00A56DEC" w:rsidRDefault="00BB1604" w14:paraId="5F81D63E" w14:textId="1DC4112F">
      <w:pPr>
        <w:pStyle w:val="Paragraph"/>
        <w:numPr>
          <w:ilvl w:val="1"/>
          <w:numId w:val="1"/>
        </w:numPr>
        <w:rPr>
          <w:sz w:val="24"/>
          <w:szCs w:val="24"/>
        </w:rPr>
      </w:pPr>
      <w:r w:rsidRPr="000603FB">
        <w:rPr>
          <w:sz w:val="24"/>
          <w:szCs w:val="24"/>
        </w:rPr>
        <w:t xml:space="preserve">Section 3.7 outlines the </w:t>
      </w:r>
      <w:r w:rsidR="005467CA">
        <w:rPr>
          <w:sz w:val="24"/>
          <w:szCs w:val="24"/>
        </w:rPr>
        <w:t>c</w:t>
      </w:r>
      <w:r w:rsidRPr="000603FB">
        <w:rPr>
          <w:sz w:val="24"/>
          <w:szCs w:val="24"/>
        </w:rPr>
        <w:t>ommittee’s consideration of the indirect comparison methodology and its limitations, including the challenges of comparing across trials with differing populations and endpoints.</w:t>
      </w:r>
    </w:p>
    <w:p w:rsidRPr="000603FB" w:rsidR="00BB1604" w:rsidP="00A56DEC" w:rsidRDefault="00BB1604" w14:paraId="1304FA1E" w14:textId="326C5843">
      <w:pPr>
        <w:pStyle w:val="Paragraph"/>
        <w:numPr>
          <w:ilvl w:val="1"/>
          <w:numId w:val="1"/>
        </w:numPr>
        <w:rPr>
          <w:sz w:val="24"/>
          <w:szCs w:val="24"/>
        </w:rPr>
      </w:pPr>
      <w:r w:rsidRPr="000603FB">
        <w:rPr>
          <w:sz w:val="24"/>
          <w:szCs w:val="24"/>
        </w:rPr>
        <w:t xml:space="preserve">Section 3.8 discusses the </w:t>
      </w:r>
      <w:r w:rsidR="005467CA">
        <w:rPr>
          <w:sz w:val="24"/>
          <w:szCs w:val="24"/>
        </w:rPr>
        <w:t>c</w:t>
      </w:r>
      <w:r w:rsidRPr="000603FB">
        <w:rPr>
          <w:sz w:val="24"/>
          <w:szCs w:val="24"/>
        </w:rPr>
        <w:t>ommittee’s deliberation on whether the evidence was sufficient to support a cost-comparison approach, noting the absence of formal non-inferiority or equivalence data and the implications of modelling a QALY gain at increased cost.</w:t>
      </w:r>
    </w:p>
    <w:p w:rsidRPr="000603FB" w:rsidR="00BB1604" w:rsidP="00A56DEC" w:rsidRDefault="00BB1604" w14:paraId="40FC1276" w14:textId="2DB97E06">
      <w:pPr>
        <w:pStyle w:val="Paragraph"/>
        <w:numPr>
          <w:ilvl w:val="1"/>
          <w:numId w:val="1"/>
        </w:numPr>
        <w:rPr>
          <w:sz w:val="24"/>
          <w:szCs w:val="24"/>
        </w:rPr>
      </w:pPr>
      <w:r w:rsidRPr="000603FB">
        <w:rPr>
          <w:sz w:val="24"/>
          <w:szCs w:val="24"/>
        </w:rPr>
        <w:t xml:space="preserve">Section 3.7 specifically addresses the MAIC, summarising the </w:t>
      </w:r>
      <w:r w:rsidR="005467CA">
        <w:rPr>
          <w:sz w:val="24"/>
          <w:szCs w:val="24"/>
        </w:rPr>
        <w:t>c</w:t>
      </w:r>
      <w:r w:rsidRPr="000603FB">
        <w:rPr>
          <w:sz w:val="24"/>
          <w:szCs w:val="24"/>
        </w:rPr>
        <w:t>ommittee’s concerns about residual confounding, the robustness of the adjustment, and the clinical plausibility of the results.</w:t>
      </w:r>
    </w:p>
    <w:p w:rsidRPr="000603FB" w:rsidR="00BB1604" w:rsidP="00BB1604" w:rsidRDefault="00BB1604" w14:paraId="215D103C" w14:textId="35A55384">
      <w:pPr>
        <w:pStyle w:val="Paragraph"/>
        <w:rPr>
          <w:sz w:val="24"/>
          <w:szCs w:val="24"/>
        </w:rPr>
      </w:pPr>
      <w:r w:rsidRPr="000603FB">
        <w:rPr>
          <w:sz w:val="24"/>
          <w:szCs w:val="24"/>
        </w:rPr>
        <w:t xml:space="preserve">In addition, the slides from </w:t>
      </w:r>
      <w:r w:rsidR="00E42067">
        <w:rPr>
          <w:sz w:val="24"/>
          <w:szCs w:val="24"/>
        </w:rPr>
        <w:t>the</w:t>
      </w:r>
      <w:r w:rsidRPr="000603FB" w:rsidR="00E42067">
        <w:rPr>
          <w:sz w:val="24"/>
          <w:szCs w:val="24"/>
        </w:rPr>
        <w:t xml:space="preserve"> </w:t>
      </w:r>
      <w:r w:rsidR="00C66092">
        <w:rPr>
          <w:sz w:val="24"/>
          <w:szCs w:val="24"/>
        </w:rPr>
        <w:t>second committee meeting</w:t>
      </w:r>
      <w:r w:rsidRPr="000603FB">
        <w:rPr>
          <w:sz w:val="24"/>
          <w:szCs w:val="24"/>
        </w:rPr>
        <w:t xml:space="preserve"> show</w:t>
      </w:r>
      <w:r w:rsidR="0023137E">
        <w:rPr>
          <w:sz w:val="24"/>
          <w:szCs w:val="24"/>
        </w:rPr>
        <w:t>ed</w:t>
      </w:r>
      <w:r w:rsidRPr="000603FB">
        <w:rPr>
          <w:sz w:val="24"/>
          <w:szCs w:val="24"/>
        </w:rPr>
        <w:t xml:space="preserve"> that the MAIC was a focal point of discussion. The </w:t>
      </w:r>
      <w:r w:rsidR="005467CA">
        <w:rPr>
          <w:sz w:val="24"/>
          <w:szCs w:val="24"/>
        </w:rPr>
        <w:t>c</w:t>
      </w:r>
      <w:r w:rsidRPr="000603FB">
        <w:rPr>
          <w:sz w:val="24"/>
          <w:szCs w:val="24"/>
        </w:rPr>
        <w:t>ommittee reviewed the methodology, assumptions, and outcomes in detail, and considered expert clinical input on the comparability of cemiplimab and atezolizumab.</w:t>
      </w:r>
    </w:p>
    <w:p w:rsidRPr="000603FB" w:rsidR="00BB1604" w:rsidP="00BB1604" w:rsidRDefault="00BB1604" w14:paraId="0A449FB2" w14:textId="076AC11A">
      <w:pPr>
        <w:pStyle w:val="Paragraph"/>
        <w:rPr>
          <w:sz w:val="24"/>
          <w:szCs w:val="24"/>
        </w:rPr>
      </w:pPr>
      <w:r w:rsidRPr="000603FB">
        <w:rPr>
          <w:sz w:val="24"/>
          <w:szCs w:val="24"/>
        </w:rPr>
        <w:t xml:space="preserve">The </w:t>
      </w:r>
      <w:r w:rsidR="005467CA">
        <w:rPr>
          <w:sz w:val="24"/>
          <w:szCs w:val="24"/>
        </w:rPr>
        <w:t>p</w:t>
      </w:r>
      <w:r w:rsidRPr="000603FB">
        <w:rPr>
          <w:sz w:val="24"/>
          <w:szCs w:val="24"/>
        </w:rPr>
        <w:t>anel conclude</w:t>
      </w:r>
      <w:r w:rsidR="005A2B05">
        <w:rPr>
          <w:sz w:val="24"/>
          <w:szCs w:val="24"/>
        </w:rPr>
        <w:t>d</w:t>
      </w:r>
      <w:r w:rsidRPr="000603FB">
        <w:rPr>
          <w:sz w:val="24"/>
          <w:szCs w:val="24"/>
        </w:rPr>
        <w:t xml:space="preserve"> that the </w:t>
      </w:r>
      <w:r w:rsidR="005467CA">
        <w:rPr>
          <w:sz w:val="24"/>
          <w:szCs w:val="24"/>
        </w:rPr>
        <w:t>c</w:t>
      </w:r>
      <w:r w:rsidRPr="000603FB">
        <w:rPr>
          <w:sz w:val="24"/>
          <w:szCs w:val="24"/>
        </w:rPr>
        <w:t xml:space="preserve">ommittee did not disregard or fail to consider the evidence. Rather, it assessed the MAIC and other submissions in line with </w:t>
      </w:r>
      <w:r w:rsidR="00E16092">
        <w:rPr>
          <w:sz w:val="24"/>
          <w:szCs w:val="24"/>
        </w:rPr>
        <w:t>the Manual</w:t>
      </w:r>
      <w:r w:rsidRPr="000603FB">
        <w:rPr>
          <w:sz w:val="24"/>
          <w:szCs w:val="24"/>
        </w:rPr>
        <w:t xml:space="preserve"> and made a reasoned judg</w:t>
      </w:r>
      <w:r w:rsidR="00F468FA">
        <w:rPr>
          <w:sz w:val="24"/>
          <w:szCs w:val="24"/>
        </w:rPr>
        <w:t>e</w:t>
      </w:r>
      <w:r w:rsidRPr="000603FB">
        <w:rPr>
          <w:sz w:val="24"/>
          <w:szCs w:val="24"/>
        </w:rPr>
        <w:t xml:space="preserve">ment about their adequacy for decision-making. The fact that the </w:t>
      </w:r>
      <w:r w:rsidR="005467CA">
        <w:rPr>
          <w:sz w:val="24"/>
          <w:szCs w:val="24"/>
        </w:rPr>
        <w:t>c</w:t>
      </w:r>
      <w:r w:rsidRPr="000603FB">
        <w:rPr>
          <w:sz w:val="24"/>
          <w:szCs w:val="24"/>
        </w:rPr>
        <w:t>ommittee did not accept the MAIC as sufficient to support a cost-comparison does not imply procedural unfairness.</w:t>
      </w:r>
    </w:p>
    <w:p w:rsidRPr="00F66559" w:rsidR="00F66559" w:rsidP="00F66559" w:rsidRDefault="00F66559" w14:paraId="2E7DBA8A" w14:textId="3739F1D9">
      <w:pPr>
        <w:pStyle w:val="Paragraph"/>
        <w:rPr>
          <w:sz w:val="24"/>
          <w:szCs w:val="24"/>
        </w:rPr>
      </w:pPr>
      <w:r w:rsidRPr="00B93E19">
        <w:rPr>
          <w:sz w:val="24"/>
          <w:szCs w:val="24"/>
        </w:rPr>
        <w:t xml:space="preserve">The </w:t>
      </w:r>
      <w:r w:rsidR="005467CA">
        <w:rPr>
          <w:sz w:val="24"/>
          <w:szCs w:val="24"/>
        </w:rPr>
        <w:t>p</w:t>
      </w:r>
      <w:r w:rsidR="00E16092">
        <w:rPr>
          <w:sz w:val="24"/>
          <w:szCs w:val="24"/>
        </w:rPr>
        <w:t>anel</w:t>
      </w:r>
      <w:r w:rsidRPr="00B93E19">
        <w:rPr>
          <w:sz w:val="24"/>
          <w:szCs w:val="24"/>
        </w:rPr>
        <w:t xml:space="preserve"> </w:t>
      </w:r>
      <w:r w:rsidRPr="004B23C8">
        <w:rPr>
          <w:sz w:val="24"/>
          <w:szCs w:val="24"/>
        </w:rPr>
        <w:t>therefore dismissed the appeal on this point</w:t>
      </w:r>
    </w:p>
    <w:p w:rsidR="00F66559" w:rsidP="00F66559" w:rsidRDefault="00CC79EF" w14:paraId="74F34A52" w14:textId="77777777">
      <w:pPr>
        <w:pStyle w:val="Heading2"/>
      </w:pPr>
      <w:r w:rsidRPr="00B93E19">
        <w:t>Appeal Ground 2: The recommendation is unreasonable in the light of the evidence submitted to NICE.</w:t>
      </w:r>
    </w:p>
    <w:p w:rsidRPr="00F66559" w:rsidR="009C3D10" w:rsidP="000A5B0D" w:rsidRDefault="00612C50" w14:paraId="3E94677B" w14:textId="4B6A5CB4">
      <w:pPr>
        <w:pStyle w:val="Heading3"/>
        <w:rPr>
          <w:b w:val="0"/>
        </w:rPr>
      </w:pPr>
      <w:r>
        <w:t xml:space="preserve">Appeal </w:t>
      </w:r>
      <w:proofErr w:type="gramStart"/>
      <w:r>
        <w:t>point</w:t>
      </w:r>
      <w:proofErr w:type="gramEnd"/>
      <w:r w:rsidRPr="00F66559">
        <w:t xml:space="preserve"> </w:t>
      </w:r>
      <w:r w:rsidRPr="00F66559" w:rsidR="009C3D10">
        <w:t xml:space="preserve">2.1 – the </w:t>
      </w:r>
      <w:r w:rsidR="0074571B">
        <w:t>a</w:t>
      </w:r>
      <w:r w:rsidRPr="00F66559" w:rsidR="009C3D10">
        <w:t xml:space="preserve">ppraisal </w:t>
      </w:r>
      <w:r w:rsidR="0074571B">
        <w:t>c</w:t>
      </w:r>
      <w:r w:rsidRPr="00F66559" w:rsidR="009C3D10">
        <w:t>ommittee's insistence upon a Markov model is unreasonable based on the evidence before it.</w:t>
      </w:r>
    </w:p>
    <w:p w:rsidR="009A08F0" w:rsidP="00B93E19" w:rsidRDefault="00612C50" w14:paraId="034B9E23" w14:textId="2596E465">
      <w:pPr>
        <w:pStyle w:val="Paragraph"/>
        <w:rPr>
          <w:color w:val="000000" w:themeColor="text1"/>
          <w:sz w:val="24"/>
          <w:szCs w:val="24"/>
        </w:rPr>
      </w:pPr>
      <w:r>
        <w:rPr>
          <w:color w:val="000000" w:themeColor="text1"/>
          <w:sz w:val="24"/>
          <w:szCs w:val="24"/>
        </w:rPr>
        <w:t xml:space="preserve">Dr </w:t>
      </w:r>
      <w:r w:rsidR="007F78E1">
        <w:rPr>
          <w:color w:val="000000" w:themeColor="text1"/>
          <w:sz w:val="24"/>
          <w:szCs w:val="24"/>
        </w:rPr>
        <w:t>Vanessa Buchanan</w:t>
      </w:r>
      <w:r w:rsidR="0074571B">
        <w:rPr>
          <w:color w:val="000000" w:themeColor="text1"/>
          <w:sz w:val="24"/>
          <w:szCs w:val="24"/>
        </w:rPr>
        <w:t>,</w:t>
      </w:r>
      <w:r w:rsidRPr="00F66559" w:rsidR="00F66559">
        <w:rPr>
          <w:color w:val="000000" w:themeColor="text1"/>
          <w:sz w:val="24"/>
          <w:szCs w:val="24"/>
        </w:rPr>
        <w:t xml:space="preserve"> </w:t>
      </w:r>
      <w:r>
        <w:rPr>
          <w:color w:val="000000" w:themeColor="text1"/>
          <w:sz w:val="24"/>
          <w:szCs w:val="24"/>
        </w:rPr>
        <w:t>for Regeneron</w:t>
      </w:r>
      <w:r w:rsidR="0074571B">
        <w:rPr>
          <w:color w:val="000000" w:themeColor="text1"/>
          <w:sz w:val="24"/>
          <w:szCs w:val="24"/>
        </w:rPr>
        <w:t>,</w:t>
      </w:r>
      <w:r w:rsidR="00F66559">
        <w:rPr>
          <w:color w:val="000000" w:themeColor="text1"/>
          <w:sz w:val="24"/>
          <w:szCs w:val="24"/>
        </w:rPr>
        <w:t xml:space="preserve"> explained that although it is the prerogative of the </w:t>
      </w:r>
      <w:r w:rsidR="0074571B">
        <w:rPr>
          <w:color w:val="000000" w:themeColor="text1"/>
          <w:sz w:val="24"/>
          <w:szCs w:val="24"/>
        </w:rPr>
        <w:t>c</w:t>
      </w:r>
      <w:r w:rsidR="00F66559">
        <w:rPr>
          <w:color w:val="000000" w:themeColor="text1"/>
          <w:sz w:val="24"/>
          <w:szCs w:val="24"/>
        </w:rPr>
        <w:t>ommittee to request analys</w:t>
      </w:r>
      <w:r w:rsidR="00792F15">
        <w:rPr>
          <w:color w:val="000000" w:themeColor="text1"/>
          <w:sz w:val="24"/>
          <w:szCs w:val="24"/>
        </w:rPr>
        <w:t>es</w:t>
      </w:r>
      <w:r w:rsidR="00F66559">
        <w:rPr>
          <w:color w:val="000000" w:themeColor="text1"/>
          <w:sz w:val="24"/>
          <w:szCs w:val="24"/>
        </w:rPr>
        <w:t xml:space="preserve">, such requests must be justified. The request for a Markov model was non-standard, and such request had not been made in any of the other 17 appraisals of treatments for non-small-cell lung cancer. </w:t>
      </w:r>
      <w:r w:rsidR="00403CC5">
        <w:rPr>
          <w:color w:val="000000" w:themeColor="text1"/>
          <w:sz w:val="24"/>
          <w:szCs w:val="24"/>
        </w:rPr>
        <w:t>She</w:t>
      </w:r>
      <w:r w:rsidR="00F66559">
        <w:rPr>
          <w:color w:val="000000" w:themeColor="text1"/>
          <w:sz w:val="24"/>
          <w:szCs w:val="24"/>
        </w:rPr>
        <w:t xml:space="preserve"> then listed the reasons why </w:t>
      </w:r>
      <w:r>
        <w:rPr>
          <w:color w:val="000000" w:themeColor="text1"/>
          <w:sz w:val="24"/>
          <w:szCs w:val="24"/>
        </w:rPr>
        <w:t>Regeneron</w:t>
      </w:r>
      <w:r w:rsidR="00F66559">
        <w:rPr>
          <w:color w:val="000000" w:themeColor="text1"/>
          <w:sz w:val="24"/>
          <w:szCs w:val="24"/>
        </w:rPr>
        <w:t xml:space="preserve"> considers that it was no</w:t>
      </w:r>
      <w:r w:rsidR="007F78E1">
        <w:rPr>
          <w:color w:val="000000" w:themeColor="text1"/>
          <w:sz w:val="24"/>
          <w:szCs w:val="24"/>
        </w:rPr>
        <w:t>t</w:t>
      </w:r>
      <w:r w:rsidR="00F66559">
        <w:rPr>
          <w:color w:val="000000" w:themeColor="text1"/>
          <w:sz w:val="24"/>
          <w:szCs w:val="24"/>
        </w:rPr>
        <w:t xml:space="preserve"> justified for the </w:t>
      </w:r>
      <w:r w:rsidR="0074571B">
        <w:rPr>
          <w:color w:val="000000" w:themeColor="text1"/>
          <w:sz w:val="24"/>
          <w:szCs w:val="24"/>
        </w:rPr>
        <w:t>c</w:t>
      </w:r>
      <w:r w:rsidR="00F66559">
        <w:rPr>
          <w:color w:val="000000" w:themeColor="text1"/>
          <w:sz w:val="24"/>
          <w:szCs w:val="24"/>
        </w:rPr>
        <w:t xml:space="preserve">ommittee to have requested the Markov model. </w:t>
      </w:r>
    </w:p>
    <w:p w:rsidR="00F66559" w:rsidP="00DE682B" w:rsidRDefault="00F66559" w14:paraId="3087D8E2" w14:textId="75130AA0">
      <w:pPr>
        <w:pStyle w:val="Paragraph"/>
        <w:numPr>
          <w:ilvl w:val="1"/>
          <w:numId w:val="1"/>
        </w:numPr>
        <w:rPr>
          <w:color w:val="000000" w:themeColor="text1"/>
          <w:sz w:val="24"/>
          <w:szCs w:val="24"/>
        </w:rPr>
      </w:pPr>
      <w:r>
        <w:rPr>
          <w:color w:val="000000" w:themeColor="text1"/>
          <w:sz w:val="24"/>
          <w:szCs w:val="24"/>
        </w:rPr>
        <w:t xml:space="preserve">First, that it was </w:t>
      </w:r>
      <w:r w:rsidR="009A08F0">
        <w:rPr>
          <w:color w:val="000000" w:themeColor="text1"/>
          <w:sz w:val="24"/>
          <w:szCs w:val="24"/>
        </w:rPr>
        <w:t xml:space="preserve">unnecessary. </w:t>
      </w:r>
      <w:r w:rsidR="007F78E1">
        <w:rPr>
          <w:color w:val="000000" w:themeColor="text1"/>
          <w:sz w:val="24"/>
          <w:szCs w:val="24"/>
        </w:rPr>
        <w:t>Sh</w:t>
      </w:r>
      <w:r w:rsidR="009A08F0">
        <w:rPr>
          <w:color w:val="000000" w:themeColor="text1"/>
          <w:sz w:val="24"/>
          <w:szCs w:val="24"/>
        </w:rPr>
        <w:t>e explained that the differences in the partition arms presented by</w:t>
      </w:r>
      <w:r w:rsidR="00612C50">
        <w:rPr>
          <w:color w:val="000000" w:themeColor="text1"/>
          <w:sz w:val="24"/>
          <w:szCs w:val="24"/>
        </w:rPr>
        <w:t xml:space="preserve"> Regeneron</w:t>
      </w:r>
      <w:r w:rsidR="009A08F0">
        <w:rPr>
          <w:color w:val="000000" w:themeColor="text1"/>
          <w:sz w:val="24"/>
          <w:szCs w:val="24"/>
        </w:rPr>
        <w:t xml:space="preserve"> were very small</w:t>
      </w:r>
      <w:r w:rsidR="00792F15">
        <w:rPr>
          <w:color w:val="000000" w:themeColor="text1"/>
          <w:sz w:val="24"/>
          <w:szCs w:val="24"/>
        </w:rPr>
        <w:t xml:space="preserve"> and </w:t>
      </w:r>
      <w:r w:rsidR="007F78E1">
        <w:rPr>
          <w:color w:val="000000" w:themeColor="text1"/>
          <w:sz w:val="24"/>
          <w:szCs w:val="24"/>
        </w:rPr>
        <w:t>the aspects that the Markov model could have clarified could be and were addressed by other types of analyses and flexibilities within the existing model structure</w:t>
      </w:r>
      <w:r w:rsidR="009A08F0">
        <w:rPr>
          <w:color w:val="000000" w:themeColor="text1"/>
          <w:sz w:val="24"/>
          <w:szCs w:val="24"/>
        </w:rPr>
        <w:t>.</w:t>
      </w:r>
    </w:p>
    <w:p w:rsidR="009A08F0" w:rsidP="00DE682B" w:rsidRDefault="009A08F0" w14:paraId="39EF3930" w14:textId="6F07EDD5">
      <w:pPr>
        <w:pStyle w:val="Paragraph"/>
        <w:numPr>
          <w:ilvl w:val="1"/>
          <w:numId w:val="1"/>
        </w:numPr>
        <w:rPr>
          <w:color w:val="000000" w:themeColor="text1"/>
          <w:sz w:val="24"/>
          <w:szCs w:val="24"/>
        </w:rPr>
      </w:pPr>
      <w:r>
        <w:rPr>
          <w:color w:val="000000" w:themeColor="text1"/>
          <w:sz w:val="24"/>
          <w:szCs w:val="24"/>
        </w:rPr>
        <w:t xml:space="preserve">Secondly, that a Markov model was unlikely to have resolved the uncertainties that the </w:t>
      </w:r>
      <w:r w:rsidR="0074571B">
        <w:rPr>
          <w:color w:val="000000" w:themeColor="text1"/>
          <w:sz w:val="24"/>
          <w:szCs w:val="24"/>
        </w:rPr>
        <w:t>c</w:t>
      </w:r>
      <w:r>
        <w:rPr>
          <w:color w:val="000000" w:themeColor="text1"/>
          <w:sz w:val="24"/>
          <w:szCs w:val="24"/>
        </w:rPr>
        <w:t xml:space="preserve">ommittee sought to address. </w:t>
      </w:r>
    </w:p>
    <w:p w:rsidR="009A08F0" w:rsidP="00DE682B" w:rsidRDefault="009A08F0" w14:paraId="0844BAA9" w14:textId="44BECA3C">
      <w:pPr>
        <w:pStyle w:val="Paragraph"/>
        <w:numPr>
          <w:ilvl w:val="1"/>
          <w:numId w:val="1"/>
        </w:numPr>
        <w:rPr>
          <w:color w:val="000000" w:themeColor="text1"/>
          <w:sz w:val="24"/>
          <w:szCs w:val="24"/>
        </w:rPr>
      </w:pPr>
      <w:r>
        <w:rPr>
          <w:color w:val="000000" w:themeColor="text1"/>
          <w:sz w:val="24"/>
          <w:szCs w:val="24"/>
        </w:rPr>
        <w:t xml:space="preserve">Thirdly, that the insistence was illogical </w:t>
      </w:r>
      <w:proofErr w:type="gramStart"/>
      <w:r>
        <w:rPr>
          <w:color w:val="000000" w:themeColor="text1"/>
          <w:sz w:val="24"/>
          <w:szCs w:val="24"/>
        </w:rPr>
        <w:t>in light of</w:t>
      </w:r>
      <w:proofErr w:type="gramEnd"/>
      <w:r>
        <w:rPr>
          <w:color w:val="000000" w:themeColor="text1"/>
          <w:sz w:val="24"/>
          <w:szCs w:val="24"/>
        </w:rPr>
        <w:t xml:space="preserve"> the PFS evidence available to the </w:t>
      </w:r>
      <w:r w:rsidR="0074571B">
        <w:rPr>
          <w:color w:val="000000" w:themeColor="text1"/>
          <w:sz w:val="24"/>
          <w:szCs w:val="24"/>
        </w:rPr>
        <w:t>c</w:t>
      </w:r>
      <w:r>
        <w:rPr>
          <w:color w:val="000000" w:themeColor="text1"/>
          <w:sz w:val="24"/>
          <w:szCs w:val="24"/>
        </w:rPr>
        <w:t xml:space="preserve">ommittee which clearly indicated </w:t>
      </w:r>
      <w:r w:rsidR="007F78E1">
        <w:rPr>
          <w:color w:val="000000" w:themeColor="text1"/>
          <w:sz w:val="24"/>
          <w:szCs w:val="24"/>
        </w:rPr>
        <w:t xml:space="preserve">that pembrolizumab and cemiplimab produce </w:t>
      </w:r>
      <w:r>
        <w:rPr>
          <w:color w:val="000000" w:themeColor="text1"/>
          <w:sz w:val="24"/>
          <w:szCs w:val="24"/>
        </w:rPr>
        <w:t xml:space="preserve">similar PFS. </w:t>
      </w:r>
    </w:p>
    <w:p w:rsidR="009A08F0" w:rsidP="00DE682B" w:rsidRDefault="009A08F0" w14:paraId="75F861CC" w14:textId="5BA518CD">
      <w:pPr>
        <w:pStyle w:val="Paragraph"/>
        <w:numPr>
          <w:ilvl w:val="1"/>
          <w:numId w:val="1"/>
        </w:numPr>
        <w:rPr>
          <w:color w:val="000000" w:themeColor="text1"/>
          <w:sz w:val="24"/>
          <w:szCs w:val="24"/>
        </w:rPr>
      </w:pPr>
      <w:r>
        <w:rPr>
          <w:color w:val="000000" w:themeColor="text1"/>
          <w:sz w:val="24"/>
          <w:szCs w:val="24"/>
        </w:rPr>
        <w:t xml:space="preserve">Fourthly, that OS data were already provided in the MAIC scenario. </w:t>
      </w:r>
    </w:p>
    <w:p w:rsidR="009A08F0" w:rsidP="00B93E19" w:rsidRDefault="009A08F0" w14:paraId="30A5F419" w14:textId="5A715A1E">
      <w:pPr>
        <w:pStyle w:val="Paragraph"/>
        <w:rPr>
          <w:color w:val="000000" w:themeColor="text1"/>
          <w:sz w:val="24"/>
          <w:szCs w:val="24"/>
        </w:rPr>
      </w:pPr>
      <w:r>
        <w:rPr>
          <w:color w:val="000000" w:themeColor="text1"/>
          <w:sz w:val="24"/>
          <w:szCs w:val="24"/>
        </w:rPr>
        <w:t xml:space="preserve">Taking all the above together, a Markov model was redundant. The request for a Markov </w:t>
      </w:r>
      <w:r w:rsidR="00AA3A8C">
        <w:rPr>
          <w:color w:val="000000" w:themeColor="text1"/>
          <w:sz w:val="24"/>
          <w:szCs w:val="24"/>
        </w:rPr>
        <w:t xml:space="preserve">model </w:t>
      </w:r>
      <w:r>
        <w:rPr>
          <w:color w:val="000000" w:themeColor="text1"/>
          <w:sz w:val="24"/>
          <w:szCs w:val="24"/>
        </w:rPr>
        <w:t xml:space="preserve">assuming equal post-progression survival </w:t>
      </w:r>
      <w:r w:rsidR="00CA3C12">
        <w:rPr>
          <w:color w:val="000000" w:themeColor="text1"/>
          <w:sz w:val="24"/>
          <w:szCs w:val="24"/>
        </w:rPr>
        <w:t xml:space="preserve">("PPS") </w:t>
      </w:r>
      <w:r>
        <w:rPr>
          <w:color w:val="000000" w:themeColor="text1"/>
          <w:sz w:val="24"/>
          <w:szCs w:val="24"/>
        </w:rPr>
        <w:t xml:space="preserve">assumes a perfect </w:t>
      </w:r>
      <w:r w:rsidR="005E02CC">
        <w:rPr>
          <w:color w:val="000000" w:themeColor="text1"/>
          <w:sz w:val="24"/>
          <w:szCs w:val="24"/>
        </w:rPr>
        <w:t xml:space="preserve">or near </w:t>
      </w:r>
      <w:r>
        <w:rPr>
          <w:color w:val="000000" w:themeColor="text1"/>
          <w:sz w:val="24"/>
          <w:szCs w:val="24"/>
        </w:rPr>
        <w:t xml:space="preserve">surrogate </w:t>
      </w:r>
      <w:r w:rsidR="005E02CC">
        <w:rPr>
          <w:color w:val="000000" w:themeColor="text1"/>
          <w:sz w:val="24"/>
          <w:szCs w:val="24"/>
        </w:rPr>
        <w:t>relationship</w:t>
      </w:r>
      <w:r>
        <w:rPr>
          <w:color w:val="000000" w:themeColor="text1"/>
          <w:sz w:val="24"/>
          <w:szCs w:val="24"/>
        </w:rPr>
        <w:t xml:space="preserve"> between PFS and OS. </w:t>
      </w:r>
      <w:r w:rsidR="005E02CC">
        <w:rPr>
          <w:color w:val="000000" w:themeColor="text1"/>
          <w:sz w:val="24"/>
          <w:szCs w:val="24"/>
        </w:rPr>
        <w:t xml:space="preserve">The basis for that assumption is not clear and in </w:t>
      </w:r>
      <w:r w:rsidR="00F27741">
        <w:rPr>
          <w:color w:val="000000" w:themeColor="text1"/>
          <w:sz w:val="24"/>
          <w:szCs w:val="24"/>
        </w:rPr>
        <w:t>Regeneron</w:t>
      </w:r>
      <w:r w:rsidR="005E02CC">
        <w:rPr>
          <w:color w:val="000000" w:themeColor="text1"/>
          <w:sz w:val="24"/>
          <w:szCs w:val="24"/>
        </w:rPr>
        <w:t xml:space="preserve">'s view, unjustified, versus using the actual </w:t>
      </w:r>
      <w:r>
        <w:rPr>
          <w:color w:val="000000" w:themeColor="text1"/>
          <w:sz w:val="24"/>
          <w:szCs w:val="24"/>
        </w:rPr>
        <w:t>PFS and OS data available</w:t>
      </w:r>
      <w:r w:rsidR="005E02CC">
        <w:rPr>
          <w:color w:val="000000" w:themeColor="text1"/>
          <w:sz w:val="24"/>
          <w:szCs w:val="24"/>
        </w:rPr>
        <w:t xml:space="preserve"> for both cemiplimab and the comparator</w:t>
      </w:r>
      <w:r>
        <w:rPr>
          <w:color w:val="000000" w:themeColor="text1"/>
          <w:sz w:val="24"/>
          <w:szCs w:val="24"/>
        </w:rPr>
        <w:t xml:space="preserve">. </w:t>
      </w:r>
    </w:p>
    <w:p w:rsidR="009A08F0" w:rsidP="00B93E19" w:rsidRDefault="001E061A" w14:paraId="1E506E6F" w14:textId="51945D95">
      <w:pPr>
        <w:pStyle w:val="Paragraph"/>
        <w:rPr>
          <w:color w:val="000000" w:themeColor="text1"/>
          <w:sz w:val="24"/>
          <w:szCs w:val="24"/>
        </w:rPr>
      </w:pPr>
      <w:r>
        <w:rPr>
          <w:color w:val="000000" w:themeColor="text1"/>
          <w:sz w:val="24"/>
          <w:szCs w:val="24"/>
        </w:rPr>
        <w:t xml:space="preserve">Dr </w:t>
      </w:r>
      <w:r w:rsidR="00AA3A8C">
        <w:rPr>
          <w:color w:val="000000" w:themeColor="text1"/>
          <w:sz w:val="24"/>
          <w:szCs w:val="24"/>
        </w:rPr>
        <w:t>Vanessa Buchanan</w:t>
      </w:r>
      <w:r w:rsidR="009A08F0">
        <w:rPr>
          <w:color w:val="000000" w:themeColor="text1"/>
          <w:sz w:val="24"/>
          <w:szCs w:val="24"/>
        </w:rPr>
        <w:t xml:space="preserve"> noted that the </w:t>
      </w:r>
      <w:r w:rsidR="003C14DF">
        <w:rPr>
          <w:color w:val="000000" w:themeColor="text1"/>
          <w:sz w:val="24"/>
          <w:szCs w:val="24"/>
        </w:rPr>
        <w:t>FDG</w:t>
      </w:r>
      <w:r w:rsidR="009A08F0">
        <w:rPr>
          <w:color w:val="000000" w:themeColor="text1"/>
          <w:sz w:val="24"/>
          <w:szCs w:val="24"/>
        </w:rPr>
        <w:t xml:space="preserve"> refers to </w:t>
      </w:r>
      <w:r>
        <w:rPr>
          <w:color w:val="000000" w:themeColor="text1"/>
          <w:sz w:val="24"/>
          <w:szCs w:val="24"/>
        </w:rPr>
        <w:t>Regeneron</w:t>
      </w:r>
      <w:r w:rsidR="009A08F0">
        <w:rPr>
          <w:color w:val="000000" w:themeColor="text1"/>
          <w:sz w:val="24"/>
          <w:szCs w:val="24"/>
        </w:rPr>
        <w:t xml:space="preserve">'s failure to provide a Markov model five times – and that this insistence is considered by </w:t>
      </w:r>
      <w:r>
        <w:rPr>
          <w:color w:val="000000" w:themeColor="text1"/>
          <w:sz w:val="24"/>
          <w:szCs w:val="24"/>
        </w:rPr>
        <w:t>Regeneron</w:t>
      </w:r>
      <w:r w:rsidR="009A08F0">
        <w:rPr>
          <w:color w:val="000000" w:themeColor="text1"/>
          <w:sz w:val="24"/>
          <w:szCs w:val="24"/>
        </w:rPr>
        <w:t xml:space="preserve"> to be both illogical and unjustified. </w:t>
      </w:r>
    </w:p>
    <w:p w:rsidR="009A08F0" w:rsidP="00B93E19" w:rsidRDefault="001E061A" w14:paraId="6116B766" w14:textId="75F1300A">
      <w:pPr>
        <w:pStyle w:val="Paragraph"/>
        <w:rPr>
          <w:color w:val="000000" w:themeColor="text1"/>
          <w:sz w:val="24"/>
          <w:szCs w:val="24"/>
        </w:rPr>
      </w:pPr>
      <w:r>
        <w:rPr>
          <w:color w:val="000000" w:themeColor="text1"/>
          <w:sz w:val="24"/>
          <w:szCs w:val="24"/>
        </w:rPr>
        <w:t xml:space="preserve">Dr </w:t>
      </w:r>
      <w:r w:rsidR="009A08F0">
        <w:rPr>
          <w:color w:val="000000" w:themeColor="text1"/>
          <w:sz w:val="24"/>
          <w:szCs w:val="24"/>
        </w:rPr>
        <w:t xml:space="preserve">Raju Reddy, for </w:t>
      </w:r>
      <w:r>
        <w:rPr>
          <w:color w:val="000000" w:themeColor="text1"/>
          <w:sz w:val="24"/>
          <w:szCs w:val="24"/>
        </w:rPr>
        <w:t>NICE</w:t>
      </w:r>
      <w:r w:rsidR="009A08F0">
        <w:rPr>
          <w:color w:val="000000" w:themeColor="text1"/>
          <w:sz w:val="24"/>
          <w:szCs w:val="24"/>
        </w:rPr>
        <w:t xml:space="preserve">, explained that the </w:t>
      </w:r>
      <w:r w:rsidR="00A34CD2">
        <w:rPr>
          <w:color w:val="000000" w:themeColor="text1"/>
          <w:sz w:val="24"/>
          <w:szCs w:val="24"/>
        </w:rPr>
        <w:t>c</w:t>
      </w:r>
      <w:r w:rsidR="009A08F0">
        <w:rPr>
          <w:color w:val="000000" w:themeColor="text1"/>
          <w:sz w:val="24"/>
          <w:szCs w:val="24"/>
        </w:rPr>
        <w:t xml:space="preserve">ommittee had asked for </w:t>
      </w:r>
      <w:r w:rsidR="00AA3A8C">
        <w:rPr>
          <w:color w:val="000000" w:themeColor="text1"/>
          <w:sz w:val="24"/>
          <w:szCs w:val="24"/>
        </w:rPr>
        <w:t>a</w:t>
      </w:r>
      <w:r w:rsidR="009A08F0">
        <w:rPr>
          <w:color w:val="000000" w:themeColor="text1"/>
          <w:sz w:val="24"/>
          <w:szCs w:val="24"/>
        </w:rPr>
        <w:t xml:space="preserve"> Markov model to explore uncertainty. That is why, at section 3.8 of the </w:t>
      </w:r>
      <w:r w:rsidR="003C14DF">
        <w:rPr>
          <w:color w:val="000000" w:themeColor="text1"/>
          <w:sz w:val="24"/>
          <w:szCs w:val="24"/>
        </w:rPr>
        <w:t>FDG</w:t>
      </w:r>
      <w:r w:rsidR="009A08F0">
        <w:rPr>
          <w:color w:val="000000" w:themeColor="text1"/>
          <w:sz w:val="24"/>
          <w:szCs w:val="24"/>
        </w:rPr>
        <w:t xml:space="preserve">, the </w:t>
      </w:r>
      <w:r w:rsidR="00A34CD2">
        <w:rPr>
          <w:color w:val="000000" w:themeColor="text1"/>
          <w:sz w:val="24"/>
          <w:szCs w:val="24"/>
        </w:rPr>
        <w:t>c</w:t>
      </w:r>
      <w:r w:rsidR="009A08F0">
        <w:rPr>
          <w:color w:val="000000" w:themeColor="text1"/>
          <w:sz w:val="24"/>
          <w:szCs w:val="24"/>
        </w:rPr>
        <w:t xml:space="preserve">ommittee explained that </w:t>
      </w:r>
      <w:r w:rsidR="00A15397">
        <w:rPr>
          <w:color w:val="000000" w:themeColor="text1"/>
          <w:sz w:val="24"/>
          <w:szCs w:val="24"/>
        </w:rPr>
        <w:t>Regeneron</w:t>
      </w:r>
      <w:r w:rsidR="009A08F0">
        <w:rPr>
          <w:color w:val="000000" w:themeColor="text1"/>
          <w:sz w:val="24"/>
          <w:szCs w:val="24"/>
        </w:rPr>
        <w:t xml:space="preserve"> had provide</w:t>
      </w:r>
      <w:r w:rsidR="00792F15">
        <w:rPr>
          <w:color w:val="000000" w:themeColor="text1"/>
          <w:sz w:val="24"/>
          <w:szCs w:val="24"/>
        </w:rPr>
        <w:t>d</w:t>
      </w:r>
      <w:r w:rsidR="009A08F0">
        <w:rPr>
          <w:color w:val="000000" w:themeColor="text1"/>
          <w:sz w:val="24"/>
          <w:szCs w:val="24"/>
        </w:rPr>
        <w:t xml:space="preserve"> new indirect treatment comparison data to try and address the uncertainty, and </w:t>
      </w:r>
      <w:r w:rsidR="00AA3A8C">
        <w:rPr>
          <w:color w:val="000000" w:themeColor="text1"/>
          <w:sz w:val="24"/>
          <w:szCs w:val="24"/>
        </w:rPr>
        <w:t xml:space="preserve">he confirmed </w:t>
      </w:r>
      <w:r w:rsidR="009A08F0">
        <w:rPr>
          <w:color w:val="000000" w:themeColor="text1"/>
          <w:sz w:val="24"/>
          <w:szCs w:val="24"/>
        </w:rPr>
        <w:t xml:space="preserve">that it was within </w:t>
      </w:r>
      <w:r w:rsidR="005A7123">
        <w:rPr>
          <w:color w:val="000000" w:themeColor="text1"/>
          <w:sz w:val="24"/>
          <w:szCs w:val="24"/>
        </w:rPr>
        <w:t>Regeneron</w:t>
      </w:r>
      <w:r w:rsidR="009A08F0">
        <w:rPr>
          <w:color w:val="000000" w:themeColor="text1"/>
          <w:sz w:val="24"/>
          <w:szCs w:val="24"/>
        </w:rPr>
        <w:t xml:space="preserve">'s prerogative to do so. </w:t>
      </w:r>
    </w:p>
    <w:p w:rsidR="00F66559" w:rsidP="00671FB1" w:rsidRDefault="002C0101" w14:paraId="35757382" w14:textId="731E8D0F">
      <w:pPr>
        <w:pStyle w:val="Paragraph"/>
        <w:rPr>
          <w:color w:val="000000" w:themeColor="text1"/>
          <w:sz w:val="24"/>
          <w:szCs w:val="24"/>
        </w:rPr>
      </w:pPr>
      <w:r>
        <w:rPr>
          <w:color w:val="000000" w:themeColor="text1"/>
          <w:sz w:val="24"/>
          <w:szCs w:val="24"/>
        </w:rPr>
        <w:t xml:space="preserve">The Committee noted Regeneron's comment that Markov models are more suited to situations where the OS data are immature. </w:t>
      </w:r>
      <w:proofErr w:type="gramStart"/>
      <w:r>
        <w:rPr>
          <w:color w:val="000000" w:themeColor="text1"/>
          <w:sz w:val="24"/>
          <w:szCs w:val="24"/>
        </w:rPr>
        <w:t>However</w:t>
      </w:r>
      <w:proofErr w:type="gramEnd"/>
      <w:r>
        <w:rPr>
          <w:color w:val="000000" w:themeColor="text1"/>
          <w:sz w:val="24"/>
          <w:szCs w:val="24"/>
        </w:rPr>
        <w:t xml:space="preserve"> on reviewing the indirect treatment comparison data which sought to be </w:t>
      </w:r>
      <w:proofErr w:type="spellStart"/>
      <w:proofErr w:type="gramStart"/>
      <w:r>
        <w:rPr>
          <w:color w:val="000000" w:themeColor="text1"/>
          <w:sz w:val="24"/>
          <w:szCs w:val="24"/>
        </w:rPr>
        <w:t>a</w:t>
      </w:r>
      <w:proofErr w:type="spellEnd"/>
      <w:proofErr w:type="gramEnd"/>
      <w:r>
        <w:rPr>
          <w:color w:val="000000" w:themeColor="text1"/>
          <w:sz w:val="24"/>
          <w:szCs w:val="24"/>
        </w:rPr>
        <w:t xml:space="preserve"> alternative mechanism to address uncertainty, the Committee </w:t>
      </w:r>
      <w:proofErr w:type="gramStart"/>
      <w:r>
        <w:rPr>
          <w:color w:val="000000" w:themeColor="text1"/>
          <w:sz w:val="24"/>
          <w:szCs w:val="24"/>
        </w:rPr>
        <w:t>came to the conclusion</w:t>
      </w:r>
      <w:proofErr w:type="gramEnd"/>
      <w:r>
        <w:rPr>
          <w:color w:val="000000" w:themeColor="text1"/>
          <w:sz w:val="24"/>
          <w:szCs w:val="24"/>
        </w:rPr>
        <w:t xml:space="preserve"> that it did not address its concerns.</w:t>
      </w:r>
      <w:r w:rsidR="009A08F0">
        <w:rPr>
          <w:color w:val="000000" w:themeColor="text1"/>
          <w:sz w:val="24"/>
          <w:szCs w:val="24"/>
        </w:rPr>
        <w:t xml:space="preserve"> </w:t>
      </w:r>
      <w:proofErr w:type="gramStart"/>
      <w:r w:rsidR="009A08F0">
        <w:rPr>
          <w:color w:val="000000" w:themeColor="text1"/>
          <w:sz w:val="24"/>
          <w:szCs w:val="24"/>
        </w:rPr>
        <w:t>So</w:t>
      </w:r>
      <w:proofErr w:type="gramEnd"/>
      <w:r w:rsidR="009A08F0">
        <w:rPr>
          <w:color w:val="000000" w:themeColor="text1"/>
          <w:sz w:val="24"/>
          <w:szCs w:val="24"/>
        </w:rPr>
        <w:t xml:space="preserve"> although the </w:t>
      </w:r>
      <w:r w:rsidR="00A34CD2">
        <w:rPr>
          <w:color w:val="000000" w:themeColor="text1"/>
          <w:sz w:val="24"/>
          <w:szCs w:val="24"/>
        </w:rPr>
        <w:t>c</w:t>
      </w:r>
      <w:r w:rsidR="009A08F0">
        <w:rPr>
          <w:color w:val="000000" w:themeColor="text1"/>
          <w:sz w:val="24"/>
          <w:szCs w:val="24"/>
        </w:rPr>
        <w:t xml:space="preserve">ommittee was open to alternative options other than a Markov model (and indeed considered such alternatives as were submitted by </w:t>
      </w:r>
      <w:r w:rsidR="005A7123">
        <w:rPr>
          <w:color w:val="000000" w:themeColor="text1"/>
          <w:sz w:val="24"/>
          <w:szCs w:val="24"/>
        </w:rPr>
        <w:t>Regeneron</w:t>
      </w:r>
      <w:r w:rsidR="009A08F0">
        <w:rPr>
          <w:color w:val="000000" w:themeColor="text1"/>
          <w:sz w:val="24"/>
          <w:szCs w:val="24"/>
        </w:rPr>
        <w:t xml:space="preserve">), </w:t>
      </w:r>
      <w:r w:rsidR="005A7123">
        <w:rPr>
          <w:color w:val="000000" w:themeColor="text1"/>
          <w:sz w:val="24"/>
          <w:szCs w:val="24"/>
        </w:rPr>
        <w:t>Regeneron</w:t>
      </w:r>
      <w:r w:rsidR="009A08F0">
        <w:rPr>
          <w:color w:val="000000" w:themeColor="text1"/>
          <w:sz w:val="24"/>
          <w:szCs w:val="24"/>
        </w:rPr>
        <w:t xml:space="preserve"> did not present an alternative that enabled the </w:t>
      </w:r>
      <w:r w:rsidR="00A34CD2">
        <w:rPr>
          <w:color w:val="000000" w:themeColor="text1"/>
          <w:sz w:val="24"/>
          <w:szCs w:val="24"/>
        </w:rPr>
        <w:t>c</w:t>
      </w:r>
      <w:r w:rsidR="009A08F0">
        <w:rPr>
          <w:color w:val="000000" w:themeColor="text1"/>
          <w:sz w:val="24"/>
          <w:szCs w:val="24"/>
        </w:rPr>
        <w:t xml:space="preserve">ommittee to address the uncertainties. </w:t>
      </w:r>
      <w:r w:rsidR="00912558">
        <w:rPr>
          <w:color w:val="000000" w:themeColor="text1"/>
          <w:sz w:val="24"/>
          <w:szCs w:val="24"/>
        </w:rPr>
        <w:t xml:space="preserve">Dr </w:t>
      </w:r>
      <w:r w:rsidR="009A08F0">
        <w:rPr>
          <w:color w:val="000000" w:themeColor="text1"/>
          <w:sz w:val="24"/>
          <w:szCs w:val="24"/>
        </w:rPr>
        <w:t>Reddy also noted that in another appraisal, TA909 (</w:t>
      </w:r>
      <w:proofErr w:type="spellStart"/>
      <w:r w:rsidR="009A08F0">
        <w:rPr>
          <w:color w:val="000000" w:themeColor="text1"/>
          <w:sz w:val="24"/>
          <w:szCs w:val="24"/>
        </w:rPr>
        <w:t>lorlatinib</w:t>
      </w:r>
      <w:proofErr w:type="spellEnd"/>
      <w:r w:rsidR="009A08F0">
        <w:rPr>
          <w:color w:val="000000" w:themeColor="text1"/>
          <w:sz w:val="24"/>
          <w:szCs w:val="24"/>
        </w:rPr>
        <w:t xml:space="preserve"> for untreated ALK-positive advanced non-small-cell lung cancer), a Markov model was accepted – and that therefore it is incorrect to suggest that no Markov model had been used in other non-small-cell lung cancer appraisals.</w:t>
      </w:r>
    </w:p>
    <w:p w:rsidR="002C0101" w:rsidP="00792F15" w:rsidRDefault="00671FB1" w14:paraId="2044D2B2" w14:textId="77777777">
      <w:pPr>
        <w:pStyle w:val="Paragraph"/>
        <w:rPr>
          <w:color w:val="000000" w:themeColor="text1"/>
          <w:sz w:val="24"/>
          <w:szCs w:val="24"/>
        </w:rPr>
      </w:pPr>
      <w:r>
        <w:rPr>
          <w:color w:val="000000" w:themeColor="text1"/>
          <w:sz w:val="24"/>
          <w:szCs w:val="24"/>
        </w:rPr>
        <w:t>The</w:t>
      </w:r>
      <w:r w:rsidR="00363E3C">
        <w:rPr>
          <w:color w:val="000000" w:themeColor="text1"/>
          <w:sz w:val="24"/>
          <w:szCs w:val="24"/>
        </w:rPr>
        <w:t xml:space="preserve"> </w:t>
      </w:r>
      <w:r w:rsidR="00A34CD2">
        <w:rPr>
          <w:color w:val="000000" w:themeColor="text1"/>
          <w:sz w:val="24"/>
          <w:szCs w:val="24"/>
        </w:rPr>
        <w:t>p</w:t>
      </w:r>
      <w:r>
        <w:rPr>
          <w:color w:val="000000" w:themeColor="text1"/>
          <w:sz w:val="24"/>
          <w:szCs w:val="24"/>
        </w:rPr>
        <w:t xml:space="preserve">anel summarised what it considered to be the position, </w:t>
      </w:r>
      <w:r w:rsidR="002C0101">
        <w:rPr>
          <w:color w:val="000000" w:themeColor="text1"/>
          <w:sz w:val="24"/>
          <w:szCs w:val="24"/>
        </w:rPr>
        <w:t xml:space="preserve">namely: </w:t>
      </w:r>
    </w:p>
    <w:p w:rsidR="002C0101" w:rsidP="002C0101" w:rsidRDefault="00671FB1" w14:paraId="0AE7AB70" w14:textId="02666E1B">
      <w:pPr>
        <w:pStyle w:val="Paragraph"/>
        <w:numPr>
          <w:ilvl w:val="1"/>
          <w:numId w:val="1"/>
        </w:numPr>
        <w:rPr>
          <w:color w:val="000000" w:themeColor="text1"/>
          <w:sz w:val="24"/>
          <w:szCs w:val="24"/>
        </w:rPr>
      </w:pPr>
      <w:r>
        <w:rPr>
          <w:color w:val="000000" w:themeColor="text1"/>
          <w:sz w:val="24"/>
          <w:szCs w:val="24"/>
        </w:rPr>
        <w:t xml:space="preserve">that </w:t>
      </w:r>
      <w:r w:rsidR="00D90711">
        <w:rPr>
          <w:color w:val="000000" w:themeColor="text1"/>
          <w:sz w:val="24"/>
          <w:szCs w:val="24"/>
        </w:rPr>
        <w:t>Regeneron</w:t>
      </w:r>
      <w:r>
        <w:rPr>
          <w:color w:val="000000" w:themeColor="text1"/>
          <w:sz w:val="24"/>
          <w:szCs w:val="24"/>
        </w:rPr>
        <w:t xml:space="preserve"> had put forward a partitioned survival model (</w:t>
      </w:r>
      <w:r w:rsidR="00CA3C12">
        <w:rPr>
          <w:color w:val="000000" w:themeColor="text1"/>
          <w:sz w:val="24"/>
          <w:szCs w:val="24"/>
        </w:rPr>
        <w:t>"</w:t>
      </w:r>
      <w:r w:rsidRPr="00DE682B">
        <w:rPr>
          <w:color w:val="000000" w:themeColor="text1"/>
          <w:sz w:val="24"/>
          <w:szCs w:val="24"/>
        </w:rPr>
        <w:t>PSM</w:t>
      </w:r>
      <w:r w:rsidR="00CA3C12">
        <w:rPr>
          <w:color w:val="000000" w:themeColor="text1"/>
          <w:sz w:val="24"/>
          <w:szCs w:val="24"/>
        </w:rPr>
        <w:t>"</w:t>
      </w:r>
      <w:r w:rsidRPr="00DE682B">
        <w:rPr>
          <w:color w:val="000000" w:themeColor="text1"/>
          <w:sz w:val="24"/>
          <w:szCs w:val="24"/>
        </w:rPr>
        <w:t>)</w:t>
      </w:r>
      <w:r w:rsidRPr="00792F15">
        <w:rPr>
          <w:color w:val="000000" w:themeColor="text1"/>
          <w:sz w:val="24"/>
          <w:szCs w:val="24"/>
        </w:rPr>
        <w:t xml:space="preserve"> based on the network </w:t>
      </w:r>
      <w:r w:rsidRPr="00792F15" w:rsidR="00554432">
        <w:rPr>
          <w:color w:val="000000" w:themeColor="text1"/>
          <w:sz w:val="24"/>
          <w:szCs w:val="24"/>
        </w:rPr>
        <w:t>meta-analyses</w:t>
      </w:r>
      <w:r w:rsidRPr="00792F15">
        <w:rPr>
          <w:color w:val="000000" w:themeColor="text1"/>
          <w:sz w:val="24"/>
          <w:szCs w:val="24"/>
        </w:rPr>
        <w:t xml:space="preserve">. </w:t>
      </w:r>
      <w:r w:rsidR="00050F99">
        <w:rPr>
          <w:color w:val="000000" w:themeColor="text1"/>
          <w:sz w:val="24"/>
          <w:szCs w:val="24"/>
        </w:rPr>
        <w:t>Regeneron</w:t>
      </w:r>
      <w:r w:rsidRPr="00792F15">
        <w:rPr>
          <w:color w:val="000000" w:themeColor="text1"/>
          <w:sz w:val="24"/>
          <w:szCs w:val="24"/>
        </w:rPr>
        <w:t xml:space="preserve"> acknowledged the limitations of the network </w:t>
      </w:r>
      <w:r w:rsidRPr="00792F15" w:rsidR="00554432">
        <w:rPr>
          <w:color w:val="000000" w:themeColor="text1"/>
          <w:sz w:val="24"/>
          <w:szCs w:val="24"/>
        </w:rPr>
        <w:t>meta-</w:t>
      </w:r>
      <w:proofErr w:type="gramStart"/>
      <w:r w:rsidRPr="00792F15" w:rsidR="00554432">
        <w:rPr>
          <w:color w:val="000000" w:themeColor="text1"/>
          <w:sz w:val="24"/>
          <w:szCs w:val="24"/>
        </w:rPr>
        <w:t>analyses</w:t>
      </w:r>
      <w:r w:rsidRPr="00792F15">
        <w:rPr>
          <w:color w:val="000000" w:themeColor="text1"/>
          <w:sz w:val="24"/>
          <w:szCs w:val="24"/>
        </w:rPr>
        <w:t>,</w:t>
      </w:r>
      <w:r w:rsidR="002C0101">
        <w:rPr>
          <w:color w:val="000000" w:themeColor="text1"/>
          <w:sz w:val="24"/>
          <w:szCs w:val="24"/>
        </w:rPr>
        <w:t xml:space="preserve"> but</w:t>
      </w:r>
      <w:proofErr w:type="gramEnd"/>
      <w:r w:rsidR="002C0101">
        <w:rPr>
          <w:color w:val="000000" w:themeColor="text1"/>
          <w:sz w:val="24"/>
          <w:szCs w:val="24"/>
        </w:rPr>
        <w:t xml:space="preserve"> pointed out </w:t>
      </w:r>
      <w:r w:rsidRPr="00792F15">
        <w:rPr>
          <w:color w:val="000000" w:themeColor="text1"/>
          <w:sz w:val="24"/>
          <w:szCs w:val="24"/>
        </w:rPr>
        <w:t xml:space="preserve">that the EAG thought that the approach to deal with </w:t>
      </w:r>
      <w:r w:rsidR="00554432">
        <w:rPr>
          <w:color w:val="000000" w:themeColor="text1"/>
          <w:sz w:val="24"/>
          <w:szCs w:val="24"/>
        </w:rPr>
        <w:t>these</w:t>
      </w:r>
      <w:r w:rsidRPr="00792F15">
        <w:rPr>
          <w:color w:val="000000" w:themeColor="text1"/>
          <w:sz w:val="24"/>
          <w:szCs w:val="24"/>
        </w:rPr>
        <w:t xml:space="preserve"> unavoidable problems was appropriate. </w:t>
      </w:r>
    </w:p>
    <w:p w:rsidR="002C0101" w:rsidP="002C0101" w:rsidRDefault="00671FB1" w14:paraId="36EBDCF9" w14:textId="21591897">
      <w:pPr>
        <w:pStyle w:val="Paragraph"/>
        <w:numPr>
          <w:ilvl w:val="1"/>
          <w:numId w:val="1"/>
        </w:numPr>
        <w:rPr>
          <w:color w:val="000000" w:themeColor="text1"/>
          <w:sz w:val="24"/>
          <w:szCs w:val="24"/>
        </w:rPr>
      </w:pPr>
      <w:r w:rsidRPr="00792F15">
        <w:rPr>
          <w:color w:val="000000" w:themeColor="text1"/>
          <w:sz w:val="24"/>
          <w:szCs w:val="24"/>
        </w:rPr>
        <w:t xml:space="preserve">The </w:t>
      </w:r>
      <w:r w:rsidR="002C0101">
        <w:rPr>
          <w:color w:val="000000" w:themeColor="text1"/>
          <w:sz w:val="24"/>
          <w:szCs w:val="24"/>
        </w:rPr>
        <w:t>C</w:t>
      </w:r>
      <w:r w:rsidRPr="00792F15" w:rsidR="002C0101">
        <w:rPr>
          <w:color w:val="000000" w:themeColor="text1"/>
          <w:sz w:val="24"/>
          <w:szCs w:val="24"/>
        </w:rPr>
        <w:t xml:space="preserve">ommittee </w:t>
      </w:r>
      <w:r w:rsidRPr="00792F15">
        <w:rPr>
          <w:color w:val="000000" w:themeColor="text1"/>
          <w:sz w:val="24"/>
          <w:szCs w:val="24"/>
        </w:rPr>
        <w:t>considered the network</w:t>
      </w:r>
      <w:r w:rsidR="00554432">
        <w:rPr>
          <w:color w:val="000000" w:themeColor="text1"/>
          <w:sz w:val="24"/>
          <w:szCs w:val="24"/>
        </w:rPr>
        <w:t xml:space="preserve"> </w:t>
      </w:r>
      <w:r w:rsidRPr="00792F15">
        <w:rPr>
          <w:color w:val="000000" w:themeColor="text1"/>
          <w:sz w:val="24"/>
          <w:szCs w:val="24"/>
        </w:rPr>
        <w:t>meta</w:t>
      </w:r>
      <w:r w:rsidR="00554432">
        <w:rPr>
          <w:color w:val="000000" w:themeColor="text1"/>
          <w:sz w:val="24"/>
          <w:szCs w:val="24"/>
        </w:rPr>
        <w:t>-</w:t>
      </w:r>
      <w:r w:rsidRPr="00792F15">
        <w:rPr>
          <w:color w:val="000000" w:themeColor="text1"/>
          <w:sz w:val="24"/>
          <w:szCs w:val="24"/>
        </w:rPr>
        <w:t xml:space="preserve">analyses to be highly uncertain, and that the apparent benefit of cemiplimab was related to the OS. </w:t>
      </w:r>
    </w:p>
    <w:p w:rsidR="002C0101" w:rsidP="002C0101" w:rsidRDefault="00671FB1" w14:paraId="5CF84066" w14:textId="73910B5E">
      <w:pPr>
        <w:pStyle w:val="Paragraph"/>
        <w:numPr>
          <w:ilvl w:val="1"/>
          <w:numId w:val="1"/>
        </w:numPr>
        <w:rPr>
          <w:color w:val="000000" w:themeColor="text1"/>
          <w:sz w:val="24"/>
          <w:szCs w:val="24"/>
        </w:rPr>
      </w:pPr>
      <w:r w:rsidRPr="00792F15">
        <w:rPr>
          <w:color w:val="000000" w:themeColor="text1"/>
          <w:sz w:val="24"/>
          <w:szCs w:val="24"/>
        </w:rPr>
        <w:t xml:space="preserve">As a result, the </w:t>
      </w:r>
      <w:r w:rsidR="002C0101">
        <w:rPr>
          <w:color w:val="000000" w:themeColor="text1"/>
          <w:sz w:val="24"/>
          <w:szCs w:val="24"/>
        </w:rPr>
        <w:t>C</w:t>
      </w:r>
      <w:r w:rsidRPr="00792F15" w:rsidR="002C0101">
        <w:rPr>
          <w:color w:val="000000" w:themeColor="text1"/>
          <w:sz w:val="24"/>
          <w:szCs w:val="24"/>
        </w:rPr>
        <w:t xml:space="preserve">ommittee </w:t>
      </w:r>
      <w:r w:rsidRPr="00792F15">
        <w:rPr>
          <w:color w:val="000000" w:themeColor="text1"/>
          <w:sz w:val="24"/>
          <w:szCs w:val="24"/>
        </w:rPr>
        <w:t>considered the PSM to be unreliabl</w:t>
      </w:r>
      <w:r w:rsidR="00554432">
        <w:rPr>
          <w:color w:val="000000" w:themeColor="text1"/>
          <w:sz w:val="24"/>
          <w:szCs w:val="24"/>
        </w:rPr>
        <w:t xml:space="preserve">e </w:t>
      </w:r>
      <w:r w:rsidRPr="00792F15">
        <w:rPr>
          <w:color w:val="000000" w:themeColor="text1"/>
          <w:sz w:val="24"/>
          <w:szCs w:val="24"/>
        </w:rPr>
        <w:t xml:space="preserve">and therefore asked for a Markov model. </w:t>
      </w:r>
    </w:p>
    <w:p w:rsidR="00671FB1" w:rsidP="00671FB1" w:rsidRDefault="002C0101" w14:paraId="0D587699" w14:textId="5CC80F4A">
      <w:pPr>
        <w:pStyle w:val="Paragraph"/>
        <w:rPr>
          <w:color w:val="000000" w:themeColor="text1"/>
          <w:sz w:val="24"/>
          <w:szCs w:val="24"/>
        </w:rPr>
      </w:pPr>
      <w:r>
        <w:rPr>
          <w:color w:val="000000" w:themeColor="text1"/>
          <w:sz w:val="24"/>
          <w:szCs w:val="24"/>
        </w:rPr>
        <w:t xml:space="preserve">The Appeal Panel asked NICE whether it agreed with that description. </w:t>
      </w:r>
      <w:r w:rsidR="00050F99">
        <w:rPr>
          <w:color w:val="000000" w:themeColor="text1"/>
          <w:sz w:val="24"/>
          <w:szCs w:val="24"/>
        </w:rPr>
        <w:t xml:space="preserve">Dr </w:t>
      </w:r>
      <w:r w:rsidR="00671FB1">
        <w:rPr>
          <w:color w:val="000000" w:themeColor="text1"/>
          <w:sz w:val="24"/>
          <w:szCs w:val="24"/>
        </w:rPr>
        <w:t xml:space="preserve">Raju Reddy agreed that this was correct. </w:t>
      </w:r>
      <w:r>
        <w:rPr>
          <w:color w:val="000000" w:themeColor="text1"/>
          <w:sz w:val="24"/>
          <w:szCs w:val="24"/>
        </w:rPr>
        <w:t>He also commented that the Committee were aware of the EAG's views, but that this was an example of where the Committee took a different view. The Appeal Panel acknowledged that</w:t>
      </w:r>
      <w:r w:rsidR="00671FB1">
        <w:rPr>
          <w:color w:val="000000" w:themeColor="text1"/>
          <w:sz w:val="24"/>
          <w:szCs w:val="24"/>
        </w:rPr>
        <w:t xml:space="preserve"> </w:t>
      </w:r>
      <w:r w:rsidR="00050F99">
        <w:rPr>
          <w:color w:val="000000" w:themeColor="text1"/>
          <w:sz w:val="24"/>
          <w:szCs w:val="24"/>
        </w:rPr>
        <w:t>Regeneron</w:t>
      </w:r>
      <w:r w:rsidR="00671FB1">
        <w:rPr>
          <w:color w:val="000000" w:themeColor="text1"/>
          <w:sz w:val="24"/>
          <w:szCs w:val="24"/>
        </w:rPr>
        <w:t xml:space="preserve"> </w:t>
      </w:r>
      <w:r>
        <w:rPr>
          <w:color w:val="000000" w:themeColor="text1"/>
          <w:sz w:val="24"/>
          <w:szCs w:val="24"/>
        </w:rPr>
        <w:t>disagreed</w:t>
      </w:r>
      <w:r w:rsidR="00671FB1">
        <w:rPr>
          <w:color w:val="000000" w:themeColor="text1"/>
          <w:sz w:val="24"/>
          <w:szCs w:val="24"/>
        </w:rPr>
        <w:t xml:space="preserve"> with that argument, because failing to link the PFS and OS gives rise to the incorrect conclusion that the PSM is unreliable.</w:t>
      </w:r>
    </w:p>
    <w:p w:rsidR="002C0101" w:rsidP="00671FB1" w:rsidRDefault="002C0101" w14:paraId="0E084904" w14:textId="4E9AE71B">
      <w:pPr>
        <w:pStyle w:val="Paragraph"/>
        <w:rPr>
          <w:color w:val="000000" w:themeColor="text1"/>
          <w:sz w:val="24"/>
          <w:szCs w:val="24"/>
        </w:rPr>
      </w:pPr>
      <w:r>
        <w:rPr>
          <w:color w:val="000000" w:themeColor="text1"/>
          <w:sz w:val="24"/>
          <w:szCs w:val="24"/>
        </w:rPr>
        <w:t>Dr Reddy also noted that in another appraisal, TA909 (</w:t>
      </w:r>
      <w:proofErr w:type="spellStart"/>
      <w:r>
        <w:rPr>
          <w:color w:val="000000" w:themeColor="text1"/>
          <w:sz w:val="24"/>
          <w:szCs w:val="24"/>
        </w:rPr>
        <w:t>lorlatinib</w:t>
      </w:r>
      <w:proofErr w:type="spellEnd"/>
      <w:r>
        <w:rPr>
          <w:color w:val="000000" w:themeColor="text1"/>
          <w:sz w:val="24"/>
          <w:szCs w:val="24"/>
        </w:rPr>
        <w:t xml:space="preserve"> for untreated ALK-positive advanced non-small-cell lung cancer), a Markov model was accepted – and that therefore it is incorrect to suggest that no Markov model had been used in other non-small-cell lung cancer appraisals. </w:t>
      </w:r>
    </w:p>
    <w:p w:rsidR="00671FB1" w:rsidP="00671FB1" w:rsidRDefault="00671FB1" w14:paraId="77E64AA6" w14:textId="166FA22B">
      <w:pPr>
        <w:pStyle w:val="Paragraph"/>
        <w:rPr>
          <w:color w:val="000000" w:themeColor="text1"/>
          <w:sz w:val="24"/>
          <w:szCs w:val="24"/>
        </w:rPr>
      </w:pPr>
      <w:r>
        <w:rPr>
          <w:color w:val="000000" w:themeColor="text1"/>
          <w:sz w:val="24"/>
          <w:szCs w:val="24"/>
        </w:rPr>
        <w:t>Giles Monnickendam</w:t>
      </w:r>
      <w:r w:rsidR="00EB7001">
        <w:rPr>
          <w:color w:val="000000" w:themeColor="text1"/>
          <w:sz w:val="24"/>
          <w:szCs w:val="24"/>
        </w:rPr>
        <w:t>, for NICE</w:t>
      </w:r>
      <w:r w:rsidR="003D62C7">
        <w:rPr>
          <w:color w:val="000000" w:themeColor="text1"/>
          <w:sz w:val="24"/>
          <w:szCs w:val="24"/>
        </w:rPr>
        <w:t>,</w:t>
      </w:r>
      <w:r>
        <w:rPr>
          <w:color w:val="000000" w:themeColor="text1"/>
          <w:sz w:val="24"/>
          <w:szCs w:val="24"/>
        </w:rPr>
        <w:t xml:space="preserve"> described the high level of uncertainty in the network </w:t>
      </w:r>
      <w:r w:rsidR="00554432">
        <w:rPr>
          <w:color w:val="000000" w:themeColor="text1"/>
          <w:sz w:val="24"/>
          <w:szCs w:val="24"/>
        </w:rPr>
        <w:t>meta-analyses</w:t>
      </w:r>
      <w:r>
        <w:rPr>
          <w:color w:val="000000" w:themeColor="text1"/>
          <w:sz w:val="24"/>
          <w:szCs w:val="24"/>
        </w:rPr>
        <w:t>. He explained that although there was uncertainty for PFS and OS data, the most important uncertainty was that relating to the OS as it is the biggest driver for the QALY and therefore</w:t>
      </w:r>
      <w:r w:rsidR="00AA3A8C">
        <w:rPr>
          <w:color w:val="000000" w:themeColor="text1"/>
          <w:sz w:val="24"/>
          <w:szCs w:val="24"/>
        </w:rPr>
        <w:t xml:space="preserve"> has</w:t>
      </w:r>
      <w:r>
        <w:rPr>
          <w:color w:val="000000" w:themeColor="text1"/>
          <w:sz w:val="24"/>
          <w:szCs w:val="24"/>
        </w:rPr>
        <w:t xml:space="preserve"> the biggest impact on the ICER. He noted that the </w:t>
      </w:r>
      <w:r w:rsidR="00F57EA6">
        <w:rPr>
          <w:color w:val="000000" w:themeColor="text1"/>
          <w:sz w:val="24"/>
          <w:szCs w:val="24"/>
        </w:rPr>
        <w:t>c</w:t>
      </w:r>
      <w:r>
        <w:rPr>
          <w:color w:val="000000" w:themeColor="text1"/>
          <w:sz w:val="24"/>
          <w:szCs w:val="24"/>
        </w:rPr>
        <w:t xml:space="preserve">ommittee did not consider </w:t>
      </w:r>
      <w:r w:rsidR="00EB7001">
        <w:rPr>
          <w:color w:val="000000" w:themeColor="text1"/>
          <w:sz w:val="24"/>
          <w:szCs w:val="24"/>
        </w:rPr>
        <w:t>Regeneron</w:t>
      </w:r>
      <w:r>
        <w:rPr>
          <w:color w:val="000000" w:themeColor="text1"/>
          <w:sz w:val="24"/>
          <w:szCs w:val="24"/>
        </w:rPr>
        <w:t xml:space="preserve"> could improve on its indirect treatment comparison, nor could it adjust for the cross-over. Although the uncertainty in the OS was perhaps unresolvable</w:t>
      </w:r>
      <w:r w:rsidR="00E42067">
        <w:rPr>
          <w:color w:val="000000" w:themeColor="text1"/>
          <w:sz w:val="24"/>
          <w:szCs w:val="24"/>
        </w:rPr>
        <w:t>,</w:t>
      </w:r>
      <w:r>
        <w:rPr>
          <w:color w:val="000000" w:themeColor="text1"/>
          <w:sz w:val="24"/>
          <w:szCs w:val="24"/>
        </w:rPr>
        <w:t xml:space="preserve"> one way to </w:t>
      </w:r>
      <w:r w:rsidR="00A83B78">
        <w:rPr>
          <w:color w:val="000000" w:themeColor="text1"/>
          <w:sz w:val="24"/>
          <w:szCs w:val="24"/>
        </w:rPr>
        <w:t xml:space="preserve">mitigate that is to adopt a modelling approach that relies on PFS instead. Causal modelling is linking the OS to the PFS (which is what a Markov model does). He explained that the Committee had greater confidence in the PFS data than the OS – and because of that, the </w:t>
      </w:r>
      <w:r w:rsidR="00F57EA6">
        <w:rPr>
          <w:color w:val="000000" w:themeColor="text1"/>
          <w:sz w:val="24"/>
          <w:szCs w:val="24"/>
        </w:rPr>
        <w:t>c</w:t>
      </w:r>
      <w:r w:rsidR="00A83B78">
        <w:rPr>
          <w:color w:val="000000" w:themeColor="text1"/>
          <w:sz w:val="24"/>
          <w:szCs w:val="24"/>
        </w:rPr>
        <w:t xml:space="preserve">ommittee considered that a state transition model </w:t>
      </w:r>
      <w:r w:rsidR="00554432">
        <w:rPr>
          <w:color w:val="000000" w:themeColor="text1"/>
          <w:sz w:val="24"/>
          <w:szCs w:val="24"/>
        </w:rPr>
        <w:t xml:space="preserve">(such as a Markov model) </w:t>
      </w:r>
      <w:r w:rsidR="00A83B78">
        <w:rPr>
          <w:color w:val="000000" w:themeColor="text1"/>
          <w:sz w:val="24"/>
          <w:szCs w:val="24"/>
        </w:rPr>
        <w:t>may have been usefu</w:t>
      </w:r>
      <w:r w:rsidR="00554432">
        <w:rPr>
          <w:color w:val="000000" w:themeColor="text1"/>
          <w:sz w:val="24"/>
          <w:szCs w:val="24"/>
        </w:rPr>
        <w:t xml:space="preserve">l, </w:t>
      </w:r>
      <w:r w:rsidR="00A83B78">
        <w:rPr>
          <w:color w:val="000000" w:themeColor="text1"/>
          <w:sz w:val="24"/>
          <w:szCs w:val="24"/>
        </w:rPr>
        <w:t xml:space="preserve">and is often used, for example, in appraising adjuvant therapies. </w:t>
      </w:r>
    </w:p>
    <w:p w:rsidR="00A83B78" w:rsidP="00671FB1" w:rsidRDefault="00A83B78" w14:paraId="2A5F2279" w14:textId="35D7C92F">
      <w:pPr>
        <w:pStyle w:val="Paragraph"/>
        <w:rPr>
          <w:color w:val="000000" w:themeColor="text1"/>
          <w:sz w:val="24"/>
          <w:szCs w:val="24"/>
        </w:rPr>
      </w:pPr>
      <w:r>
        <w:rPr>
          <w:color w:val="000000" w:themeColor="text1"/>
          <w:sz w:val="24"/>
          <w:szCs w:val="24"/>
        </w:rPr>
        <w:t xml:space="preserve">The </w:t>
      </w:r>
      <w:r w:rsidR="00F57EA6">
        <w:rPr>
          <w:color w:val="000000" w:themeColor="text1"/>
          <w:sz w:val="24"/>
          <w:szCs w:val="24"/>
        </w:rPr>
        <w:t>p</w:t>
      </w:r>
      <w:r>
        <w:rPr>
          <w:color w:val="000000" w:themeColor="text1"/>
          <w:sz w:val="24"/>
          <w:szCs w:val="24"/>
        </w:rPr>
        <w:t xml:space="preserve">anel asked whether the </w:t>
      </w:r>
      <w:r w:rsidR="00F57EA6">
        <w:rPr>
          <w:color w:val="000000" w:themeColor="text1"/>
          <w:sz w:val="24"/>
          <w:szCs w:val="24"/>
        </w:rPr>
        <w:t>c</w:t>
      </w:r>
      <w:r>
        <w:rPr>
          <w:color w:val="000000" w:themeColor="text1"/>
          <w:sz w:val="24"/>
          <w:szCs w:val="24"/>
        </w:rPr>
        <w:t>ommittee considered it reasonable to assume that the</w:t>
      </w:r>
      <w:r w:rsidR="00CA3C12">
        <w:rPr>
          <w:color w:val="000000" w:themeColor="text1"/>
          <w:sz w:val="24"/>
          <w:szCs w:val="24"/>
        </w:rPr>
        <w:t xml:space="preserve"> PPS</w:t>
      </w:r>
      <w:r>
        <w:rPr>
          <w:color w:val="000000" w:themeColor="text1"/>
          <w:sz w:val="24"/>
          <w:szCs w:val="24"/>
        </w:rPr>
        <w:t xml:space="preserve"> in both arms would be the same between both regimens (i.e. the comparator and cemiplimab). Giles Monnickendam confirmed that he considered it reasonable to assume that PPS would be similar.</w:t>
      </w:r>
    </w:p>
    <w:p w:rsidR="00A83B78" w:rsidP="00671FB1" w:rsidRDefault="00A83B78" w14:paraId="15392A29" w14:textId="552EA32C">
      <w:pPr>
        <w:pStyle w:val="Paragraph"/>
        <w:rPr>
          <w:color w:val="000000" w:themeColor="text1"/>
          <w:sz w:val="24"/>
          <w:szCs w:val="24"/>
        </w:rPr>
      </w:pPr>
      <w:r>
        <w:rPr>
          <w:color w:val="000000" w:themeColor="text1"/>
          <w:sz w:val="24"/>
          <w:szCs w:val="24"/>
        </w:rPr>
        <w:t>The</w:t>
      </w:r>
      <w:r w:rsidR="00131578">
        <w:rPr>
          <w:color w:val="000000" w:themeColor="text1"/>
          <w:sz w:val="24"/>
          <w:szCs w:val="24"/>
        </w:rPr>
        <w:t xml:space="preserve"> </w:t>
      </w:r>
      <w:r w:rsidR="00F57EA6">
        <w:rPr>
          <w:color w:val="000000" w:themeColor="text1"/>
          <w:sz w:val="24"/>
          <w:szCs w:val="24"/>
        </w:rPr>
        <w:t>p</w:t>
      </w:r>
      <w:r>
        <w:rPr>
          <w:color w:val="000000" w:themeColor="text1"/>
          <w:sz w:val="24"/>
          <w:szCs w:val="24"/>
        </w:rPr>
        <w:t xml:space="preserve">anel then turned to ask </w:t>
      </w:r>
      <w:r w:rsidR="00771F59">
        <w:rPr>
          <w:color w:val="000000" w:themeColor="text1"/>
          <w:sz w:val="24"/>
          <w:szCs w:val="24"/>
        </w:rPr>
        <w:t>Regeneron</w:t>
      </w:r>
      <w:r w:rsidR="00554432">
        <w:rPr>
          <w:color w:val="000000" w:themeColor="text1"/>
          <w:sz w:val="24"/>
          <w:szCs w:val="24"/>
        </w:rPr>
        <w:t xml:space="preserve"> </w:t>
      </w:r>
      <w:r>
        <w:rPr>
          <w:color w:val="000000" w:themeColor="text1"/>
          <w:sz w:val="24"/>
          <w:szCs w:val="24"/>
        </w:rPr>
        <w:t xml:space="preserve">whether it considered that link to be tenable. The </w:t>
      </w:r>
      <w:r w:rsidR="00F57EA6">
        <w:rPr>
          <w:color w:val="000000" w:themeColor="text1"/>
          <w:sz w:val="24"/>
          <w:szCs w:val="24"/>
        </w:rPr>
        <w:t>p</w:t>
      </w:r>
      <w:r>
        <w:rPr>
          <w:color w:val="000000" w:themeColor="text1"/>
          <w:sz w:val="24"/>
          <w:szCs w:val="24"/>
        </w:rPr>
        <w:t xml:space="preserve">anel noted that the survival curves for both are highly similar (PFS/OS) and that PPS could reasonably be assumed to be the same in cemiplimab and comparator. </w:t>
      </w:r>
    </w:p>
    <w:p w:rsidR="00A83B78" w:rsidP="00671FB1" w:rsidRDefault="00394B64" w14:paraId="226BE522" w14:textId="49B5C7A0">
      <w:pPr>
        <w:pStyle w:val="Paragraph"/>
        <w:rPr>
          <w:color w:val="000000" w:themeColor="text1"/>
          <w:sz w:val="24"/>
          <w:szCs w:val="24"/>
        </w:rPr>
      </w:pPr>
      <w:r>
        <w:rPr>
          <w:color w:val="000000" w:themeColor="text1"/>
          <w:sz w:val="24"/>
          <w:szCs w:val="24"/>
        </w:rPr>
        <w:t xml:space="preserve">Dr </w:t>
      </w:r>
      <w:r w:rsidR="00A83B78">
        <w:rPr>
          <w:color w:val="000000" w:themeColor="text1"/>
          <w:sz w:val="24"/>
          <w:szCs w:val="24"/>
        </w:rPr>
        <w:t xml:space="preserve">Vanessa Buchanan explained the work required to generate a Markov model, and that </w:t>
      </w:r>
      <w:r>
        <w:rPr>
          <w:color w:val="000000" w:themeColor="text1"/>
          <w:sz w:val="24"/>
          <w:szCs w:val="24"/>
        </w:rPr>
        <w:t>Regeneron</w:t>
      </w:r>
      <w:r w:rsidR="00A83B78">
        <w:rPr>
          <w:color w:val="000000" w:themeColor="text1"/>
          <w:sz w:val="24"/>
          <w:szCs w:val="24"/>
        </w:rPr>
        <w:t xml:space="preserve"> did not consider th</w:t>
      </w:r>
      <w:r w:rsidR="007F00B1">
        <w:rPr>
          <w:color w:val="000000" w:themeColor="text1"/>
          <w:sz w:val="24"/>
          <w:szCs w:val="24"/>
        </w:rPr>
        <w:t>at this would</w:t>
      </w:r>
      <w:r w:rsidR="00A83B78">
        <w:rPr>
          <w:color w:val="000000" w:themeColor="text1"/>
          <w:sz w:val="24"/>
          <w:szCs w:val="24"/>
        </w:rPr>
        <w:t xml:space="preserve"> have resolved the uncertainty. She acknowledged the difficulties with OS/PPS</w:t>
      </w:r>
      <w:r w:rsidR="00E42067">
        <w:rPr>
          <w:color w:val="000000" w:themeColor="text1"/>
          <w:sz w:val="24"/>
          <w:szCs w:val="24"/>
        </w:rPr>
        <w:t>,</w:t>
      </w:r>
      <w:r w:rsidR="00A83B78">
        <w:rPr>
          <w:color w:val="000000" w:themeColor="text1"/>
          <w:sz w:val="24"/>
          <w:szCs w:val="24"/>
        </w:rPr>
        <w:t xml:space="preserve"> but that </w:t>
      </w:r>
      <w:r>
        <w:rPr>
          <w:color w:val="000000" w:themeColor="text1"/>
          <w:sz w:val="24"/>
          <w:szCs w:val="24"/>
        </w:rPr>
        <w:t>Regeneron</w:t>
      </w:r>
      <w:r w:rsidR="00A83B78">
        <w:rPr>
          <w:color w:val="000000" w:themeColor="text1"/>
          <w:sz w:val="24"/>
          <w:szCs w:val="24"/>
        </w:rPr>
        <w:t xml:space="preserve"> considered a Markov to be redundant because </w:t>
      </w:r>
      <w:r>
        <w:rPr>
          <w:color w:val="000000" w:themeColor="text1"/>
          <w:sz w:val="24"/>
          <w:szCs w:val="24"/>
        </w:rPr>
        <w:t>Regeneron</w:t>
      </w:r>
      <w:r w:rsidR="00A83B78">
        <w:rPr>
          <w:color w:val="000000" w:themeColor="text1"/>
          <w:sz w:val="24"/>
          <w:szCs w:val="24"/>
        </w:rPr>
        <w:t xml:space="preserve"> had instead flipped the PFS point estimates in the MAIC. Putting the same in a Markov </w:t>
      </w:r>
      <w:r w:rsidR="00AA3A8C">
        <w:rPr>
          <w:color w:val="000000" w:themeColor="text1"/>
          <w:sz w:val="24"/>
          <w:szCs w:val="24"/>
        </w:rPr>
        <w:t xml:space="preserve">model </w:t>
      </w:r>
      <w:r w:rsidR="00A83B78">
        <w:rPr>
          <w:color w:val="000000" w:themeColor="text1"/>
          <w:sz w:val="24"/>
          <w:szCs w:val="24"/>
        </w:rPr>
        <w:t xml:space="preserve">would create a QALY gain, and </w:t>
      </w:r>
      <w:r>
        <w:rPr>
          <w:color w:val="000000" w:themeColor="text1"/>
          <w:sz w:val="24"/>
          <w:szCs w:val="24"/>
        </w:rPr>
        <w:t>Regeneron</w:t>
      </w:r>
      <w:r w:rsidR="00A83B78">
        <w:rPr>
          <w:color w:val="000000" w:themeColor="text1"/>
          <w:sz w:val="24"/>
          <w:szCs w:val="24"/>
        </w:rPr>
        <w:t xml:space="preserve"> </w:t>
      </w:r>
      <w:r w:rsidR="007F00B1">
        <w:rPr>
          <w:color w:val="000000" w:themeColor="text1"/>
          <w:sz w:val="24"/>
          <w:szCs w:val="24"/>
        </w:rPr>
        <w:t xml:space="preserve">was of the view that the Committee would only have been satisfied by a model that showed </w:t>
      </w:r>
      <w:r w:rsidR="00A83B78">
        <w:rPr>
          <w:color w:val="000000" w:themeColor="text1"/>
          <w:sz w:val="24"/>
          <w:szCs w:val="24"/>
        </w:rPr>
        <w:t xml:space="preserve">a QALY loss. </w:t>
      </w:r>
    </w:p>
    <w:p w:rsidR="009E6530" w:rsidP="00671FB1" w:rsidRDefault="009E6530" w14:paraId="4C18C7FC" w14:textId="2713CF1F">
      <w:pPr>
        <w:pStyle w:val="Paragraph"/>
        <w:rPr>
          <w:color w:val="000000" w:themeColor="text1"/>
          <w:sz w:val="24"/>
          <w:szCs w:val="24"/>
        </w:rPr>
      </w:pPr>
      <w:r>
        <w:rPr>
          <w:color w:val="000000" w:themeColor="text1"/>
          <w:sz w:val="24"/>
          <w:szCs w:val="24"/>
        </w:rPr>
        <w:t>The</w:t>
      </w:r>
      <w:r w:rsidR="00131578">
        <w:rPr>
          <w:color w:val="000000" w:themeColor="text1"/>
          <w:sz w:val="24"/>
          <w:szCs w:val="24"/>
        </w:rPr>
        <w:t xml:space="preserve"> </w:t>
      </w:r>
      <w:r w:rsidR="00B63102">
        <w:rPr>
          <w:color w:val="000000" w:themeColor="text1"/>
          <w:sz w:val="24"/>
          <w:szCs w:val="24"/>
        </w:rPr>
        <w:t>p</w:t>
      </w:r>
      <w:r>
        <w:rPr>
          <w:color w:val="000000" w:themeColor="text1"/>
          <w:sz w:val="24"/>
          <w:szCs w:val="24"/>
        </w:rPr>
        <w:t xml:space="preserve">anel noted that </w:t>
      </w:r>
      <w:r w:rsidR="00CC3183">
        <w:rPr>
          <w:color w:val="000000" w:themeColor="text1"/>
          <w:sz w:val="24"/>
          <w:szCs w:val="24"/>
        </w:rPr>
        <w:t>Regeneron</w:t>
      </w:r>
      <w:r>
        <w:rPr>
          <w:color w:val="000000" w:themeColor="text1"/>
          <w:sz w:val="24"/>
          <w:szCs w:val="24"/>
        </w:rPr>
        <w:t xml:space="preserve"> state</w:t>
      </w:r>
      <w:r w:rsidR="00131578">
        <w:rPr>
          <w:color w:val="000000" w:themeColor="text1"/>
          <w:sz w:val="24"/>
          <w:szCs w:val="24"/>
        </w:rPr>
        <w:t>d</w:t>
      </w:r>
      <w:r>
        <w:rPr>
          <w:color w:val="000000" w:themeColor="text1"/>
          <w:sz w:val="24"/>
          <w:szCs w:val="24"/>
        </w:rPr>
        <w:t xml:space="preserve"> the link between PFS and OS to be </w:t>
      </w:r>
      <w:proofErr w:type="gramStart"/>
      <w:r>
        <w:rPr>
          <w:color w:val="000000" w:themeColor="text1"/>
          <w:sz w:val="24"/>
          <w:szCs w:val="24"/>
        </w:rPr>
        <w:t>unsupported, but</w:t>
      </w:r>
      <w:proofErr w:type="gramEnd"/>
      <w:r>
        <w:rPr>
          <w:color w:val="000000" w:themeColor="text1"/>
          <w:sz w:val="24"/>
          <w:szCs w:val="24"/>
        </w:rPr>
        <w:t xml:space="preserve"> pointed to information presented by </w:t>
      </w:r>
      <w:r w:rsidR="00CC3183">
        <w:rPr>
          <w:color w:val="000000" w:themeColor="text1"/>
          <w:sz w:val="24"/>
          <w:szCs w:val="24"/>
        </w:rPr>
        <w:t>Regeneron</w:t>
      </w:r>
      <w:r>
        <w:rPr>
          <w:color w:val="000000" w:themeColor="text1"/>
          <w:sz w:val="24"/>
          <w:szCs w:val="24"/>
        </w:rPr>
        <w:t xml:space="preserve"> during the appraisal</w:t>
      </w:r>
      <w:r w:rsidR="00E42067">
        <w:rPr>
          <w:color w:val="000000" w:themeColor="text1"/>
          <w:sz w:val="24"/>
          <w:szCs w:val="24"/>
        </w:rPr>
        <w:t>,</w:t>
      </w:r>
      <w:r>
        <w:rPr>
          <w:color w:val="000000" w:themeColor="text1"/>
          <w:sz w:val="24"/>
          <w:szCs w:val="24"/>
        </w:rPr>
        <w:t xml:space="preserve"> which suggested that this was not an unreasonable assumption to make. </w:t>
      </w:r>
    </w:p>
    <w:p w:rsidR="009E6530" w:rsidP="00671FB1" w:rsidRDefault="006E5EA0" w14:paraId="06571173" w14:textId="3AB906F3">
      <w:pPr>
        <w:pStyle w:val="Paragraph"/>
        <w:rPr>
          <w:color w:val="000000" w:themeColor="text1"/>
          <w:sz w:val="24"/>
          <w:szCs w:val="24"/>
        </w:rPr>
      </w:pPr>
      <w:r>
        <w:rPr>
          <w:color w:val="000000" w:themeColor="text1"/>
          <w:sz w:val="24"/>
          <w:szCs w:val="24"/>
        </w:rPr>
        <w:t xml:space="preserve">Dr </w:t>
      </w:r>
      <w:r w:rsidR="009E6530">
        <w:rPr>
          <w:color w:val="000000" w:themeColor="text1"/>
          <w:sz w:val="24"/>
          <w:szCs w:val="24"/>
        </w:rPr>
        <w:t xml:space="preserve">Vanessa Buchanan described this </w:t>
      </w:r>
      <w:r w:rsidR="00EA05E0">
        <w:rPr>
          <w:color w:val="000000" w:themeColor="text1"/>
          <w:sz w:val="24"/>
          <w:szCs w:val="24"/>
        </w:rPr>
        <w:t xml:space="preserve">information referred to by the </w:t>
      </w:r>
      <w:r w:rsidR="00B63102">
        <w:rPr>
          <w:color w:val="000000" w:themeColor="text1"/>
          <w:sz w:val="24"/>
          <w:szCs w:val="24"/>
        </w:rPr>
        <w:t>p</w:t>
      </w:r>
      <w:r w:rsidR="00EA05E0">
        <w:rPr>
          <w:color w:val="000000" w:themeColor="text1"/>
          <w:sz w:val="24"/>
          <w:szCs w:val="24"/>
        </w:rPr>
        <w:t xml:space="preserve">anel </w:t>
      </w:r>
      <w:r w:rsidR="009E6530">
        <w:rPr>
          <w:color w:val="000000" w:themeColor="text1"/>
          <w:sz w:val="24"/>
          <w:szCs w:val="24"/>
        </w:rPr>
        <w:t xml:space="preserve">as having been a simple overlay of the curves, but </w:t>
      </w:r>
      <w:r w:rsidR="00EA05E0">
        <w:rPr>
          <w:color w:val="000000" w:themeColor="text1"/>
          <w:sz w:val="24"/>
          <w:szCs w:val="24"/>
        </w:rPr>
        <w:t>the</w:t>
      </w:r>
      <w:r w:rsidR="009E6530">
        <w:rPr>
          <w:color w:val="000000" w:themeColor="text1"/>
          <w:sz w:val="24"/>
          <w:szCs w:val="24"/>
        </w:rPr>
        <w:t xml:space="preserve"> full relationship between PFS and OS cannot be </w:t>
      </w:r>
      <w:r w:rsidR="00EA05E0">
        <w:rPr>
          <w:color w:val="000000" w:themeColor="text1"/>
          <w:sz w:val="24"/>
          <w:szCs w:val="24"/>
        </w:rPr>
        <w:t>known</w:t>
      </w:r>
      <w:r w:rsidR="009E6530">
        <w:rPr>
          <w:color w:val="000000" w:themeColor="text1"/>
          <w:sz w:val="24"/>
          <w:szCs w:val="24"/>
        </w:rPr>
        <w:t xml:space="preserve"> without inputting those data into a Markov model – and so it is not possible to conclude with any certainty whether that surrogate relationship exists. </w:t>
      </w:r>
    </w:p>
    <w:p w:rsidR="009E6530" w:rsidP="00671FB1" w:rsidRDefault="00EA05E0" w14:paraId="7B4919EB" w14:textId="268FA903">
      <w:pPr>
        <w:pStyle w:val="Paragraph"/>
        <w:rPr>
          <w:color w:val="000000" w:themeColor="text1"/>
          <w:sz w:val="24"/>
          <w:szCs w:val="24"/>
        </w:rPr>
      </w:pPr>
      <w:r>
        <w:rPr>
          <w:color w:val="000000" w:themeColor="text1"/>
          <w:sz w:val="24"/>
          <w:szCs w:val="24"/>
        </w:rPr>
        <w:t>Giles Monnickendam explained that what the</w:t>
      </w:r>
      <w:r w:rsidR="00825B36">
        <w:rPr>
          <w:color w:val="000000" w:themeColor="text1"/>
          <w:sz w:val="24"/>
          <w:szCs w:val="24"/>
        </w:rPr>
        <w:t xml:space="preserve"> </w:t>
      </w:r>
      <w:r w:rsidR="00B63102">
        <w:rPr>
          <w:color w:val="000000" w:themeColor="text1"/>
          <w:sz w:val="24"/>
          <w:szCs w:val="24"/>
        </w:rPr>
        <w:t>c</w:t>
      </w:r>
      <w:r w:rsidR="00825B36">
        <w:rPr>
          <w:color w:val="000000" w:themeColor="text1"/>
          <w:sz w:val="24"/>
          <w:szCs w:val="24"/>
        </w:rPr>
        <w:t>ommittee</w:t>
      </w:r>
      <w:r>
        <w:rPr>
          <w:color w:val="000000" w:themeColor="text1"/>
          <w:sz w:val="24"/>
          <w:szCs w:val="24"/>
        </w:rPr>
        <w:t xml:space="preserve"> </w:t>
      </w:r>
      <w:r w:rsidR="00825B36">
        <w:rPr>
          <w:color w:val="000000" w:themeColor="text1"/>
          <w:sz w:val="24"/>
          <w:szCs w:val="24"/>
        </w:rPr>
        <w:t xml:space="preserve">had hoped for in </w:t>
      </w:r>
      <w:r>
        <w:rPr>
          <w:color w:val="000000" w:themeColor="text1"/>
          <w:sz w:val="24"/>
          <w:szCs w:val="24"/>
        </w:rPr>
        <w:t xml:space="preserve">in a Markov model was a framework in which it could have explored the </w:t>
      </w:r>
      <w:r w:rsidR="00294E45">
        <w:rPr>
          <w:color w:val="000000" w:themeColor="text1"/>
          <w:sz w:val="24"/>
          <w:szCs w:val="24"/>
        </w:rPr>
        <w:t>range of outcomes and assumptions</w:t>
      </w:r>
      <w:r>
        <w:rPr>
          <w:color w:val="000000" w:themeColor="text1"/>
          <w:sz w:val="24"/>
          <w:szCs w:val="24"/>
        </w:rPr>
        <w:t xml:space="preserve">, as it would have provided sufficient flexibility to understand the uncertainty better. He explained that the </w:t>
      </w:r>
      <w:r w:rsidR="00B63102">
        <w:rPr>
          <w:color w:val="000000" w:themeColor="text1"/>
          <w:sz w:val="24"/>
          <w:szCs w:val="24"/>
        </w:rPr>
        <w:t>c</w:t>
      </w:r>
      <w:r>
        <w:rPr>
          <w:color w:val="000000" w:themeColor="text1"/>
          <w:sz w:val="24"/>
          <w:szCs w:val="24"/>
        </w:rPr>
        <w:t xml:space="preserve">ommittee had not reached any firm conclusions as to the cost or clinical effectiveness of cemiplimab, and that the Markov model would have allowed the </w:t>
      </w:r>
      <w:r w:rsidR="00B63102">
        <w:rPr>
          <w:color w:val="000000" w:themeColor="text1"/>
          <w:sz w:val="24"/>
          <w:szCs w:val="24"/>
        </w:rPr>
        <w:t>c</w:t>
      </w:r>
      <w:r>
        <w:rPr>
          <w:color w:val="000000" w:themeColor="text1"/>
          <w:sz w:val="24"/>
          <w:szCs w:val="24"/>
        </w:rPr>
        <w:t xml:space="preserve">ommittee to explore the range of plausible outcomes. That is what the </w:t>
      </w:r>
      <w:r w:rsidR="00B63102">
        <w:rPr>
          <w:color w:val="000000" w:themeColor="text1"/>
          <w:sz w:val="24"/>
          <w:szCs w:val="24"/>
        </w:rPr>
        <w:t>c</w:t>
      </w:r>
      <w:r>
        <w:rPr>
          <w:color w:val="000000" w:themeColor="text1"/>
          <w:sz w:val="24"/>
          <w:szCs w:val="24"/>
        </w:rPr>
        <w:t xml:space="preserve">ommittee was looking for, and not a QALY loss as </w:t>
      </w:r>
      <w:r w:rsidR="006E5EA0">
        <w:rPr>
          <w:color w:val="000000" w:themeColor="text1"/>
          <w:sz w:val="24"/>
          <w:szCs w:val="24"/>
        </w:rPr>
        <w:t xml:space="preserve">Dr </w:t>
      </w:r>
      <w:r>
        <w:rPr>
          <w:color w:val="000000" w:themeColor="text1"/>
          <w:sz w:val="24"/>
          <w:szCs w:val="24"/>
        </w:rPr>
        <w:t>Vanessa Buchanan had suggested.</w:t>
      </w:r>
      <w:r w:rsidR="00294E45">
        <w:rPr>
          <w:color w:val="000000" w:themeColor="text1"/>
          <w:sz w:val="24"/>
          <w:szCs w:val="24"/>
        </w:rPr>
        <w:t xml:space="preserve"> </w:t>
      </w:r>
      <w:r w:rsidR="00CC5208">
        <w:rPr>
          <w:color w:val="000000" w:themeColor="text1"/>
          <w:sz w:val="24"/>
          <w:szCs w:val="24"/>
        </w:rPr>
        <w:t xml:space="preserve">He explained that the </w:t>
      </w:r>
      <w:r w:rsidR="00B63102">
        <w:rPr>
          <w:color w:val="000000" w:themeColor="text1"/>
          <w:sz w:val="24"/>
          <w:szCs w:val="24"/>
        </w:rPr>
        <w:t>c</w:t>
      </w:r>
      <w:r w:rsidR="00CC5208">
        <w:rPr>
          <w:color w:val="000000" w:themeColor="text1"/>
          <w:sz w:val="24"/>
          <w:szCs w:val="24"/>
        </w:rPr>
        <w:t xml:space="preserve">ommittee had accepted that there was uncertainty which required a more pragmatic approach to modelling. He did not consider that more statistical analysis would resolve that uncertainty. </w:t>
      </w:r>
      <w:r w:rsidR="00294E45">
        <w:rPr>
          <w:color w:val="000000" w:themeColor="text1"/>
          <w:sz w:val="24"/>
          <w:szCs w:val="24"/>
        </w:rPr>
        <w:t xml:space="preserve"> </w:t>
      </w:r>
      <w:r w:rsidR="006E5EA0">
        <w:rPr>
          <w:color w:val="000000" w:themeColor="text1"/>
          <w:sz w:val="24"/>
          <w:szCs w:val="24"/>
        </w:rPr>
        <w:t xml:space="preserve">Dr </w:t>
      </w:r>
      <w:r w:rsidR="00CC5208">
        <w:rPr>
          <w:color w:val="000000" w:themeColor="text1"/>
          <w:sz w:val="24"/>
          <w:szCs w:val="24"/>
        </w:rPr>
        <w:t xml:space="preserve">Raju Reddy noted that section 3.7 of the </w:t>
      </w:r>
      <w:r w:rsidR="003C14DF">
        <w:rPr>
          <w:color w:val="000000" w:themeColor="text1"/>
          <w:sz w:val="24"/>
          <w:szCs w:val="24"/>
        </w:rPr>
        <w:t>FDG</w:t>
      </w:r>
      <w:r w:rsidR="00CC5208">
        <w:rPr>
          <w:color w:val="000000" w:themeColor="text1"/>
          <w:sz w:val="24"/>
          <w:szCs w:val="24"/>
        </w:rPr>
        <w:t xml:space="preserve"> describes what Giles Monnickendam had explained. </w:t>
      </w:r>
    </w:p>
    <w:p w:rsidR="00CC5208" w:rsidP="00671FB1" w:rsidRDefault="00CC5208" w14:paraId="64AC2E3A" w14:textId="59ED8EE7">
      <w:pPr>
        <w:pStyle w:val="Paragraph"/>
        <w:rPr>
          <w:color w:val="000000" w:themeColor="text1"/>
          <w:sz w:val="24"/>
          <w:szCs w:val="24"/>
        </w:rPr>
      </w:pPr>
      <w:r>
        <w:rPr>
          <w:color w:val="000000" w:themeColor="text1"/>
          <w:sz w:val="24"/>
          <w:szCs w:val="24"/>
        </w:rPr>
        <w:t xml:space="preserve">The </w:t>
      </w:r>
      <w:r w:rsidR="00271D6F">
        <w:rPr>
          <w:color w:val="000000" w:themeColor="text1"/>
          <w:sz w:val="24"/>
          <w:szCs w:val="24"/>
        </w:rPr>
        <w:t>p</w:t>
      </w:r>
      <w:r>
        <w:rPr>
          <w:color w:val="000000" w:themeColor="text1"/>
          <w:sz w:val="24"/>
          <w:szCs w:val="24"/>
        </w:rPr>
        <w:t xml:space="preserve">anel referred to </w:t>
      </w:r>
      <w:r w:rsidR="006E5EA0">
        <w:rPr>
          <w:color w:val="000000" w:themeColor="text1"/>
          <w:sz w:val="24"/>
          <w:szCs w:val="24"/>
        </w:rPr>
        <w:t>Regeneron</w:t>
      </w:r>
      <w:r w:rsidR="006072D5">
        <w:rPr>
          <w:color w:val="000000" w:themeColor="text1"/>
          <w:sz w:val="24"/>
          <w:szCs w:val="24"/>
        </w:rPr>
        <w:t xml:space="preserve">'s response to the EAG's critique in which it acknowledged the </w:t>
      </w:r>
      <w:r w:rsidR="00271D6F">
        <w:rPr>
          <w:color w:val="000000" w:themeColor="text1"/>
          <w:sz w:val="24"/>
          <w:szCs w:val="24"/>
        </w:rPr>
        <w:t>c</w:t>
      </w:r>
      <w:r w:rsidR="006072D5">
        <w:rPr>
          <w:color w:val="000000" w:themeColor="text1"/>
          <w:sz w:val="24"/>
          <w:szCs w:val="24"/>
        </w:rPr>
        <w:t xml:space="preserve">ommittee's </w:t>
      </w:r>
      <w:proofErr w:type="gramStart"/>
      <w:r w:rsidR="006072D5">
        <w:rPr>
          <w:color w:val="000000" w:themeColor="text1"/>
          <w:sz w:val="24"/>
          <w:szCs w:val="24"/>
        </w:rPr>
        <w:t>concerns</w:t>
      </w:r>
      <w:r w:rsidR="00E42067">
        <w:rPr>
          <w:color w:val="000000" w:themeColor="text1"/>
          <w:sz w:val="24"/>
          <w:szCs w:val="24"/>
        </w:rPr>
        <w:t>,</w:t>
      </w:r>
      <w:r w:rsidR="006072D5">
        <w:rPr>
          <w:color w:val="000000" w:themeColor="text1"/>
          <w:sz w:val="24"/>
          <w:szCs w:val="24"/>
        </w:rPr>
        <w:t xml:space="preserve"> but</w:t>
      </w:r>
      <w:proofErr w:type="gramEnd"/>
      <w:r w:rsidR="006072D5">
        <w:rPr>
          <w:color w:val="000000" w:themeColor="text1"/>
          <w:sz w:val="24"/>
          <w:szCs w:val="24"/>
        </w:rPr>
        <w:t xml:space="preserve"> explained that </w:t>
      </w:r>
      <w:r w:rsidR="006E5EA0">
        <w:rPr>
          <w:color w:val="000000" w:themeColor="text1"/>
          <w:sz w:val="24"/>
          <w:szCs w:val="24"/>
        </w:rPr>
        <w:t>Regeneron</w:t>
      </w:r>
      <w:r w:rsidR="006072D5">
        <w:rPr>
          <w:color w:val="000000" w:themeColor="text1"/>
          <w:sz w:val="24"/>
          <w:szCs w:val="24"/>
        </w:rPr>
        <w:t xml:space="preserve"> could not produce a Markov model in the time available to it. The</w:t>
      </w:r>
      <w:r w:rsidR="001B4641">
        <w:rPr>
          <w:color w:val="000000" w:themeColor="text1"/>
          <w:sz w:val="24"/>
          <w:szCs w:val="24"/>
        </w:rPr>
        <w:t xml:space="preserve"> </w:t>
      </w:r>
      <w:r w:rsidR="00271D6F">
        <w:rPr>
          <w:color w:val="000000" w:themeColor="text1"/>
          <w:sz w:val="24"/>
          <w:szCs w:val="24"/>
        </w:rPr>
        <w:t>p</w:t>
      </w:r>
      <w:r w:rsidR="006072D5">
        <w:rPr>
          <w:color w:val="000000" w:themeColor="text1"/>
          <w:sz w:val="24"/>
          <w:szCs w:val="24"/>
        </w:rPr>
        <w:t xml:space="preserve">anel noted that this implied that </w:t>
      </w:r>
      <w:r w:rsidR="006E5EA0">
        <w:rPr>
          <w:color w:val="000000" w:themeColor="text1"/>
          <w:sz w:val="24"/>
          <w:szCs w:val="24"/>
        </w:rPr>
        <w:t>Regeneron</w:t>
      </w:r>
      <w:r w:rsidR="006072D5">
        <w:rPr>
          <w:color w:val="000000" w:themeColor="text1"/>
          <w:sz w:val="24"/>
          <w:szCs w:val="24"/>
        </w:rPr>
        <w:t xml:space="preserve"> recognised the </w:t>
      </w:r>
      <w:r w:rsidR="00271D6F">
        <w:rPr>
          <w:color w:val="000000" w:themeColor="text1"/>
          <w:sz w:val="24"/>
          <w:szCs w:val="24"/>
        </w:rPr>
        <w:t>c</w:t>
      </w:r>
      <w:r w:rsidR="006072D5">
        <w:rPr>
          <w:color w:val="000000" w:themeColor="text1"/>
          <w:sz w:val="24"/>
          <w:szCs w:val="24"/>
        </w:rPr>
        <w:t>ommittee's legitimate questions that gave rise to a Markov model, but that doing so was simply not practical.</w:t>
      </w:r>
      <w:r w:rsidR="006E5EA0">
        <w:rPr>
          <w:color w:val="000000" w:themeColor="text1"/>
          <w:sz w:val="24"/>
          <w:szCs w:val="24"/>
        </w:rPr>
        <w:t xml:space="preserve"> Dr</w:t>
      </w:r>
      <w:r w:rsidR="006072D5">
        <w:rPr>
          <w:color w:val="000000" w:themeColor="text1"/>
          <w:sz w:val="24"/>
          <w:szCs w:val="24"/>
        </w:rPr>
        <w:t xml:space="preserve"> Vanessa Buchanan disagreed with this characterisation, explaining that the alternative analysis </w:t>
      </w:r>
      <w:r w:rsidR="006E5EA0">
        <w:rPr>
          <w:color w:val="000000" w:themeColor="text1"/>
          <w:sz w:val="24"/>
          <w:szCs w:val="24"/>
        </w:rPr>
        <w:t>Regeneron</w:t>
      </w:r>
      <w:r w:rsidR="006072D5">
        <w:rPr>
          <w:color w:val="000000" w:themeColor="text1"/>
          <w:sz w:val="24"/>
          <w:szCs w:val="24"/>
        </w:rPr>
        <w:t xml:space="preserve"> had provided</w:t>
      </w:r>
      <w:r w:rsidR="00554432">
        <w:rPr>
          <w:color w:val="000000" w:themeColor="text1"/>
          <w:sz w:val="24"/>
          <w:szCs w:val="24"/>
        </w:rPr>
        <w:t xml:space="preserve"> was sufficient to address</w:t>
      </w:r>
      <w:r w:rsidR="006072D5">
        <w:rPr>
          <w:color w:val="000000" w:themeColor="text1"/>
          <w:sz w:val="24"/>
          <w:szCs w:val="24"/>
        </w:rPr>
        <w:t xml:space="preserve"> the information sought by the </w:t>
      </w:r>
      <w:r w:rsidR="00271D6F">
        <w:rPr>
          <w:color w:val="000000" w:themeColor="text1"/>
          <w:sz w:val="24"/>
          <w:szCs w:val="24"/>
        </w:rPr>
        <w:t>c</w:t>
      </w:r>
      <w:r w:rsidR="006072D5">
        <w:rPr>
          <w:color w:val="000000" w:themeColor="text1"/>
          <w:sz w:val="24"/>
          <w:szCs w:val="24"/>
        </w:rPr>
        <w:t xml:space="preserve">ommittee through a Markov model. She explained the difficulties in modelling the data in a Markov model. </w:t>
      </w:r>
    </w:p>
    <w:p w:rsidR="006072D5" w:rsidP="00671FB1" w:rsidRDefault="006072D5" w14:paraId="3C6C5AD3" w14:textId="1EC0C212">
      <w:pPr>
        <w:pStyle w:val="Paragraph"/>
        <w:rPr>
          <w:color w:val="000000" w:themeColor="text1"/>
          <w:sz w:val="24"/>
          <w:szCs w:val="24"/>
        </w:rPr>
      </w:pPr>
      <w:r>
        <w:rPr>
          <w:color w:val="000000" w:themeColor="text1"/>
          <w:sz w:val="24"/>
          <w:szCs w:val="24"/>
        </w:rPr>
        <w:t xml:space="preserve">Giles Monnickendam reiterated that the Markov model would not have provided the </w:t>
      </w:r>
      <w:r w:rsidR="00271D6F">
        <w:rPr>
          <w:color w:val="000000" w:themeColor="text1"/>
          <w:sz w:val="24"/>
          <w:szCs w:val="24"/>
        </w:rPr>
        <w:t>c</w:t>
      </w:r>
      <w:r>
        <w:rPr>
          <w:color w:val="000000" w:themeColor="text1"/>
          <w:sz w:val="24"/>
          <w:szCs w:val="24"/>
        </w:rPr>
        <w:t xml:space="preserve">ommittee </w:t>
      </w:r>
      <w:r w:rsidR="003144F3">
        <w:rPr>
          <w:color w:val="000000" w:themeColor="text1"/>
          <w:sz w:val="24"/>
          <w:szCs w:val="24"/>
        </w:rPr>
        <w:t>with</w:t>
      </w:r>
      <w:r>
        <w:rPr>
          <w:color w:val="000000" w:themeColor="text1"/>
          <w:sz w:val="24"/>
          <w:szCs w:val="24"/>
        </w:rPr>
        <w:t xml:space="preserve"> definitive answers on clinical effectiveness</w:t>
      </w:r>
      <w:r w:rsidR="00554432">
        <w:rPr>
          <w:color w:val="000000" w:themeColor="text1"/>
          <w:sz w:val="24"/>
          <w:szCs w:val="24"/>
        </w:rPr>
        <w:t xml:space="preserve"> </w:t>
      </w:r>
      <w:r>
        <w:rPr>
          <w:color w:val="000000" w:themeColor="text1"/>
          <w:sz w:val="24"/>
          <w:szCs w:val="24"/>
        </w:rPr>
        <w:t xml:space="preserve">but instead would have provided a framework in which the </w:t>
      </w:r>
      <w:r w:rsidR="00271D6F">
        <w:rPr>
          <w:color w:val="000000" w:themeColor="text1"/>
          <w:sz w:val="24"/>
          <w:szCs w:val="24"/>
        </w:rPr>
        <w:t>co</w:t>
      </w:r>
      <w:r>
        <w:rPr>
          <w:color w:val="000000" w:themeColor="text1"/>
          <w:sz w:val="24"/>
          <w:szCs w:val="24"/>
        </w:rPr>
        <w:t xml:space="preserve">mmittee could better explore the uncertainty relating to clinical effectiveness and the impact it had on the ICER. In a </w:t>
      </w:r>
      <w:r w:rsidR="00613BDF">
        <w:rPr>
          <w:color w:val="000000" w:themeColor="text1"/>
          <w:sz w:val="24"/>
          <w:szCs w:val="24"/>
        </w:rPr>
        <w:t xml:space="preserve">PSM </w:t>
      </w:r>
      <w:r>
        <w:rPr>
          <w:color w:val="000000" w:themeColor="text1"/>
          <w:sz w:val="24"/>
          <w:szCs w:val="24"/>
        </w:rPr>
        <w:t>there are no dependencies</w:t>
      </w:r>
      <w:r w:rsidR="00E42067">
        <w:rPr>
          <w:color w:val="000000" w:themeColor="text1"/>
          <w:sz w:val="24"/>
          <w:szCs w:val="24"/>
        </w:rPr>
        <w:t>,</w:t>
      </w:r>
      <w:r>
        <w:rPr>
          <w:color w:val="000000" w:themeColor="text1"/>
          <w:sz w:val="24"/>
          <w:szCs w:val="24"/>
        </w:rPr>
        <w:t xml:space="preserve"> whereas in the Markov model</w:t>
      </w:r>
      <w:r w:rsidR="00554432">
        <w:rPr>
          <w:color w:val="000000" w:themeColor="text1"/>
          <w:sz w:val="24"/>
          <w:szCs w:val="24"/>
        </w:rPr>
        <w:t xml:space="preserve"> </w:t>
      </w:r>
      <w:r>
        <w:rPr>
          <w:color w:val="000000" w:themeColor="text1"/>
          <w:sz w:val="24"/>
          <w:szCs w:val="24"/>
        </w:rPr>
        <w:t xml:space="preserve">the connected data points would have allowed </w:t>
      </w:r>
      <w:r w:rsidR="003144F3">
        <w:rPr>
          <w:color w:val="000000" w:themeColor="text1"/>
          <w:sz w:val="24"/>
          <w:szCs w:val="24"/>
        </w:rPr>
        <w:t xml:space="preserve">the </w:t>
      </w:r>
      <w:r w:rsidR="00E90D45">
        <w:rPr>
          <w:color w:val="000000" w:themeColor="text1"/>
          <w:sz w:val="24"/>
          <w:szCs w:val="24"/>
        </w:rPr>
        <w:t>c</w:t>
      </w:r>
      <w:r w:rsidR="003144F3">
        <w:rPr>
          <w:color w:val="000000" w:themeColor="text1"/>
          <w:sz w:val="24"/>
          <w:szCs w:val="24"/>
        </w:rPr>
        <w:t xml:space="preserve">ommittee </w:t>
      </w:r>
      <w:r>
        <w:rPr>
          <w:color w:val="000000" w:themeColor="text1"/>
          <w:sz w:val="24"/>
          <w:szCs w:val="24"/>
        </w:rPr>
        <w:t>to better understand the ICER notwithstanding the uncertainty</w:t>
      </w:r>
      <w:r w:rsidR="0049703A">
        <w:rPr>
          <w:color w:val="000000" w:themeColor="text1"/>
          <w:sz w:val="24"/>
          <w:szCs w:val="24"/>
        </w:rPr>
        <w:t>. F</w:t>
      </w:r>
      <w:r>
        <w:rPr>
          <w:color w:val="000000" w:themeColor="text1"/>
          <w:sz w:val="24"/>
          <w:szCs w:val="24"/>
        </w:rPr>
        <w:t>or example</w:t>
      </w:r>
      <w:r w:rsidR="0049703A">
        <w:rPr>
          <w:color w:val="000000" w:themeColor="text1"/>
          <w:sz w:val="24"/>
          <w:szCs w:val="24"/>
        </w:rPr>
        <w:t>,</w:t>
      </w:r>
      <w:r>
        <w:rPr>
          <w:color w:val="000000" w:themeColor="text1"/>
          <w:sz w:val="24"/>
          <w:szCs w:val="24"/>
        </w:rPr>
        <w:t xml:space="preserve"> the uncertainty relating to the validity of the OS data might not have fed through to the final ICER as it w</w:t>
      </w:r>
      <w:r w:rsidR="003144F3">
        <w:rPr>
          <w:color w:val="000000" w:themeColor="text1"/>
          <w:sz w:val="24"/>
          <w:szCs w:val="24"/>
        </w:rPr>
        <w:t xml:space="preserve">ould have been </w:t>
      </w:r>
      <w:r>
        <w:rPr>
          <w:color w:val="000000" w:themeColor="text1"/>
          <w:sz w:val="24"/>
          <w:szCs w:val="24"/>
        </w:rPr>
        <w:t>possible to explore the impact on the ICER through other data points (for example linking PFS/OS and time-on-treatment). It is that dynamic that could have been explored by a Markov model that cannot be explored through a P</w:t>
      </w:r>
      <w:r w:rsidR="00613BDF">
        <w:rPr>
          <w:color w:val="000000" w:themeColor="text1"/>
          <w:sz w:val="24"/>
          <w:szCs w:val="24"/>
        </w:rPr>
        <w:t>SM</w:t>
      </w:r>
      <w:r>
        <w:rPr>
          <w:color w:val="000000" w:themeColor="text1"/>
          <w:sz w:val="24"/>
          <w:szCs w:val="24"/>
        </w:rPr>
        <w:t xml:space="preserve">. </w:t>
      </w:r>
    </w:p>
    <w:p w:rsidR="004C03B3" w:rsidP="004C03B3" w:rsidRDefault="00E93C6E" w14:paraId="6E542628" w14:textId="2B3D30F7">
      <w:pPr>
        <w:pStyle w:val="Paragraph"/>
        <w:rPr>
          <w:color w:val="000000" w:themeColor="text1"/>
          <w:sz w:val="24"/>
          <w:szCs w:val="24"/>
        </w:rPr>
      </w:pPr>
      <w:r>
        <w:rPr>
          <w:color w:val="000000" w:themeColor="text1"/>
          <w:sz w:val="24"/>
          <w:szCs w:val="24"/>
        </w:rPr>
        <w:t xml:space="preserve">Dr </w:t>
      </w:r>
      <w:r w:rsidR="004C03B3">
        <w:rPr>
          <w:color w:val="000000" w:themeColor="text1"/>
          <w:sz w:val="24"/>
          <w:szCs w:val="24"/>
        </w:rPr>
        <w:t xml:space="preserve">Raju Reddy reassured </w:t>
      </w:r>
      <w:r>
        <w:rPr>
          <w:color w:val="000000" w:themeColor="text1"/>
          <w:sz w:val="24"/>
          <w:szCs w:val="24"/>
        </w:rPr>
        <w:t>Regeneron</w:t>
      </w:r>
      <w:r w:rsidR="004C03B3">
        <w:rPr>
          <w:color w:val="000000" w:themeColor="text1"/>
          <w:sz w:val="24"/>
          <w:szCs w:val="24"/>
        </w:rPr>
        <w:t xml:space="preserve"> that it had considered all its analys</w:t>
      </w:r>
      <w:r w:rsidR="0049703A">
        <w:rPr>
          <w:color w:val="000000" w:themeColor="text1"/>
          <w:sz w:val="24"/>
          <w:szCs w:val="24"/>
        </w:rPr>
        <w:t>e</w:t>
      </w:r>
      <w:r w:rsidR="004C03B3">
        <w:rPr>
          <w:color w:val="000000" w:themeColor="text1"/>
          <w:sz w:val="24"/>
          <w:szCs w:val="24"/>
        </w:rPr>
        <w:t xml:space="preserve">s, despite not having been provided with a Markov model. He agreed with Giles </w:t>
      </w:r>
      <w:r w:rsidR="00DE682B">
        <w:rPr>
          <w:color w:val="000000" w:themeColor="text1"/>
          <w:sz w:val="24"/>
          <w:szCs w:val="24"/>
        </w:rPr>
        <w:t>Monnickendam</w:t>
      </w:r>
      <w:r w:rsidR="004C03B3">
        <w:rPr>
          <w:color w:val="000000" w:themeColor="text1"/>
          <w:sz w:val="24"/>
          <w:szCs w:val="24"/>
        </w:rPr>
        <w:t xml:space="preserve"> explaining that what the </w:t>
      </w:r>
      <w:r w:rsidR="00E90D45">
        <w:rPr>
          <w:color w:val="000000" w:themeColor="text1"/>
          <w:sz w:val="24"/>
          <w:szCs w:val="24"/>
        </w:rPr>
        <w:t>c</w:t>
      </w:r>
      <w:r w:rsidR="004C03B3">
        <w:rPr>
          <w:color w:val="000000" w:themeColor="text1"/>
          <w:sz w:val="24"/>
          <w:szCs w:val="24"/>
        </w:rPr>
        <w:t>om</w:t>
      </w:r>
      <w:r w:rsidR="003144F3">
        <w:rPr>
          <w:color w:val="000000" w:themeColor="text1"/>
          <w:sz w:val="24"/>
          <w:szCs w:val="24"/>
        </w:rPr>
        <w:t>mittee</w:t>
      </w:r>
      <w:r w:rsidR="004C03B3">
        <w:rPr>
          <w:color w:val="000000" w:themeColor="text1"/>
          <w:sz w:val="24"/>
          <w:szCs w:val="24"/>
        </w:rPr>
        <w:t xml:space="preserve"> wanted to see was how different models compare with </w:t>
      </w:r>
      <w:proofErr w:type="gramStart"/>
      <w:r w:rsidR="004C03B3">
        <w:rPr>
          <w:color w:val="000000" w:themeColor="text1"/>
          <w:sz w:val="24"/>
          <w:szCs w:val="24"/>
        </w:rPr>
        <w:t>each other, and</w:t>
      </w:r>
      <w:proofErr w:type="gramEnd"/>
      <w:r w:rsidR="004C03B3">
        <w:rPr>
          <w:color w:val="000000" w:themeColor="text1"/>
          <w:sz w:val="24"/>
          <w:szCs w:val="24"/>
        </w:rPr>
        <w:t xml:space="preserve"> use that comparison to consider the uncertainty. He referred the</w:t>
      </w:r>
      <w:r w:rsidR="001B4641">
        <w:rPr>
          <w:color w:val="000000" w:themeColor="text1"/>
          <w:sz w:val="24"/>
          <w:szCs w:val="24"/>
        </w:rPr>
        <w:t xml:space="preserve"> </w:t>
      </w:r>
      <w:r w:rsidR="00E90D45">
        <w:rPr>
          <w:color w:val="000000" w:themeColor="text1"/>
          <w:sz w:val="24"/>
          <w:szCs w:val="24"/>
        </w:rPr>
        <w:t>a</w:t>
      </w:r>
      <w:r w:rsidR="001B4641">
        <w:rPr>
          <w:color w:val="000000" w:themeColor="text1"/>
          <w:sz w:val="24"/>
          <w:szCs w:val="24"/>
        </w:rPr>
        <w:t>ppeal</w:t>
      </w:r>
      <w:r w:rsidR="004C03B3">
        <w:rPr>
          <w:color w:val="000000" w:themeColor="text1"/>
          <w:sz w:val="24"/>
          <w:szCs w:val="24"/>
        </w:rPr>
        <w:t xml:space="preserve"> </w:t>
      </w:r>
      <w:r w:rsidR="00E90D45">
        <w:rPr>
          <w:color w:val="000000" w:themeColor="text1"/>
          <w:sz w:val="24"/>
          <w:szCs w:val="24"/>
        </w:rPr>
        <w:t>p</w:t>
      </w:r>
      <w:r w:rsidR="003144F3">
        <w:rPr>
          <w:color w:val="000000" w:themeColor="text1"/>
          <w:sz w:val="24"/>
          <w:szCs w:val="24"/>
        </w:rPr>
        <w:t xml:space="preserve">anel </w:t>
      </w:r>
      <w:r w:rsidR="004C03B3">
        <w:rPr>
          <w:color w:val="000000" w:themeColor="text1"/>
          <w:sz w:val="24"/>
          <w:szCs w:val="24"/>
        </w:rPr>
        <w:t xml:space="preserve">to section 3.7 of the </w:t>
      </w:r>
      <w:r w:rsidR="003C14DF">
        <w:rPr>
          <w:color w:val="000000" w:themeColor="text1"/>
          <w:sz w:val="24"/>
          <w:szCs w:val="24"/>
        </w:rPr>
        <w:t>FDG</w:t>
      </w:r>
      <w:r w:rsidR="004C03B3">
        <w:rPr>
          <w:color w:val="000000" w:themeColor="text1"/>
          <w:sz w:val="24"/>
          <w:szCs w:val="24"/>
        </w:rPr>
        <w:t xml:space="preserve"> which explains the </w:t>
      </w:r>
      <w:r w:rsidR="00E90D45">
        <w:rPr>
          <w:color w:val="000000" w:themeColor="text1"/>
          <w:sz w:val="24"/>
          <w:szCs w:val="24"/>
        </w:rPr>
        <w:t>c</w:t>
      </w:r>
      <w:r w:rsidR="004C03B3">
        <w:rPr>
          <w:color w:val="000000" w:themeColor="text1"/>
          <w:sz w:val="24"/>
          <w:szCs w:val="24"/>
        </w:rPr>
        <w:t xml:space="preserve">ommittee's consideration of the MAIC. </w:t>
      </w:r>
    </w:p>
    <w:p w:rsidR="004C03B3" w:rsidP="004C03B3" w:rsidRDefault="00E93C6E" w14:paraId="45A1631D" w14:textId="3F0EAF0A">
      <w:pPr>
        <w:pStyle w:val="Paragraph"/>
        <w:rPr>
          <w:color w:val="000000" w:themeColor="text1"/>
          <w:sz w:val="24"/>
          <w:szCs w:val="24"/>
        </w:rPr>
      </w:pPr>
      <w:r>
        <w:rPr>
          <w:color w:val="000000" w:themeColor="text1"/>
          <w:sz w:val="24"/>
          <w:szCs w:val="24"/>
        </w:rPr>
        <w:t xml:space="preserve">Dr </w:t>
      </w:r>
      <w:r w:rsidR="004C03B3">
        <w:rPr>
          <w:color w:val="000000" w:themeColor="text1"/>
          <w:sz w:val="24"/>
          <w:szCs w:val="24"/>
        </w:rPr>
        <w:t xml:space="preserve">Vanessa Buchanan argued that the PFS differences were so small that they were better addressed in a MAIC than a Markov model. Giles Monnickendam acknowledged that the PFS differences were small, but that they were not inconsequential to the ICER. </w:t>
      </w:r>
    </w:p>
    <w:p w:rsidR="004C03B3" w:rsidP="004C03B3" w:rsidRDefault="004C03B3" w14:paraId="7719C30E" w14:textId="389CFE57">
      <w:pPr>
        <w:pStyle w:val="Paragraph"/>
        <w:rPr>
          <w:color w:val="000000" w:themeColor="text1"/>
          <w:sz w:val="24"/>
          <w:szCs w:val="24"/>
        </w:rPr>
      </w:pPr>
      <w:r>
        <w:rPr>
          <w:color w:val="000000" w:themeColor="text1"/>
          <w:sz w:val="24"/>
          <w:szCs w:val="24"/>
        </w:rPr>
        <w:t xml:space="preserve">Concluding this appeal point for </w:t>
      </w:r>
      <w:r w:rsidR="00316D21">
        <w:rPr>
          <w:color w:val="000000" w:themeColor="text1"/>
          <w:sz w:val="24"/>
          <w:szCs w:val="24"/>
        </w:rPr>
        <w:t>NICE</w:t>
      </w:r>
      <w:r>
        <w:rPr>
          <w:color w:val="000000" w:themeColor="text1"/>
          <w:sz w:val="24"/>
          <w:szCs w:val="24"/>
        </w:rPr>
        <w:t xml:space="preserve">, </w:t>
      </w:r>
      <w:r w:rsidR="00613BDF">
        <w:rPr>
          <w:color w:val="000000" w:themeColor="text1"/>
          <w:sz w:val="24"/>
          <w:szCs w:val="24"/>
        </w:rPr>
        <w:t>Rache</w:t>
      </w:r>
      <w:r w:rsidR="00B37266">
        <w:rPr>
          <w:color w:val="000000" w:themeColor="text1"/>
          <w:sz w:val="24"/>
          <w:szCs w:val="24"/>
        </w:rPr>
        <w:t>l</w:t>
      </w:r>
      <w:r w:rsidR="00613BDF">
        <w:rPr>
          <w:color w:val="000000" w:themeColor="text1"/>
          <w:sz w:val="24"/>
          <w:szCs w:val="24"/>
        </w:rPr>
        <w:t xml:space="preserve"> Williams</w:t>
      </w:r>
      <w:r>
        <w:rPr>
          <w:color w:val="000000" w:themeColor="text1"/>
          <w:sz w:val="24"/>
          <w:szCs w:val="24"/>
        </w:rPr>
        <w:t xml:space="preserve"> referred to section 6.2.28 of the Manual, which notes that the "</w:t>
      </w:r>
      <w:r>
        <w:rPr>
          <w:i/>
          <w:iCs/>
          <w:color w:val="000000" w:themeColor="text1"/>
          <w:sz w:val="24"/>
          <w:szCs w:val="24"/>
        </w:rPr>
        <w:t xml:space="preserve">committee's decision on cost effectiveness or cost savings are influenced by …. </w:t>
      </w:r>
      <w:r w:rsidR="0049703A">
        <w:rPr>
          <w:i/>
          <w:iCs/>
          <w:color w:val="000000" w:themeColor="text1"/>
          <w:sz w:val="24"/>
          <w:szCs w:val="24"/>
        </w:rPr>
        <w:t>t</w:t>
      </w:r>
      <w:r>
        <w:rPr>
          <w:i/>
          <w:iCs/>
          <w:color w:val="000000" w:themeColor="text1"/>
          <w:sz w:val="24"/>
          <w:szCs w:val="24"/>
        </w:rPr>
        <w:t xml:space="preserve">he robustness and appropriateness of the structure of the economic models. In particular, the committee considers carefully whether the model reflects the decision problem at hand and the uncertainties around the assumptions on which the model structure is based". </w:t>
      </w:r>
      <w:r w:rsidR="00613BDF">
        <w:rPr>
          <w:color w:val="000000" w:themeColor="text1"/>
          <w:sz w:val="24"/>
          <w:szCs w:val="24"/>
        </w:rPr>
        <w:t>Sh</w:t>
      </w:r>
      <w:r>
        <w:rPr>
          <w:color w:val="000000" w:themeColor="text1"/>
          <w:sz w:val="24"/>
          <w:szCs w:val="24"/>
        </w:rPr>
        <w:t xml:space="preserve">e noted that it is within that context that the </w:t>
      </w:r>
      <w:r w:rsidR="008D73F9">
        <w:rPr>
          <w:color w:val="000000" w:themeColor="text1"/>
          <w:sz w:val="24"/>
          <w:szCs w:val="24"/>
        </w:rPr>
        <w:t>c</w:t>
      </w:r>
      <w:r>
        <w:rPr>
          <w:color w:val="000000" w:themeColor="text1"/>
          <w:sz w:val="24"/>
          <w:szCs w:val="24"/>
        </w:rPr>
        <w:t xml:space="preserve">ommittee considered it reasonable to request a Markov model to explore the uncertainties. </w:t>
      </w:r>
    </w:p>
    <w:p w:rsidRPr="00D57547" w:rsidR="009C3D10" w:rsidP="009C3D10" w:rsidRDefault="009C3D10" w14:paraId="0255CBA8" w14:textId="2B385D6D">
      <w:pPr>
        <w:pStyle w:val="Paragraph"/>
        <w:rPr>
          <w:sz w:val="24"/>
          <w:szCs w:val="24"/>
        </w:rPr>
      </w:pPr>
      <w:r w:rsidRPr="00B93E19">
        <w:rPr>
          <w:sz w:val="24"/>
          <w:szCs w:val="24"/>
        </w:rPr>
        <w:t xml:space="preserve">The </w:t>
      </w:r>
      <w:r w:rsidR="008D73F9">
        <w:rPr>
          <w:sz w:val="24"/>
          <w:szCs w:val="24"/>
        </w:rPr>
        <w:t>a</w:t>
      </w:r>
      <w:r w:rsidR="00E16092">
        <w:rPr>
          <w:sz w:val="24"/>
          <w:szCs w:val="24"/>
        </w:rPr>
        <w:t xml:space="preserve">ppeal </w:t>
      </w:r>
      <w:r w:rsidR="008D73F9">
        <w:rPr>
          <w:sz w:val="24"/>
          <w:szCs w:val="24"/>
        </w:rPr>
        <w:t>p</w:t>
      </w:r>
      <w:r w:rsidR="00E16092">
        <w:rPr>
          <w:sz w:val="24"/>
          <w:szCs w:val="24"/>
        </w:rPr>
        <w:t>anel</w:t>
      </w:r>
      <w:r w:rsidRPr="00B93E19">
        <w:rPr>
          <w:sz w:val="24"/>
          <w:szCs w:val="24"/>
        </w:rPr>
        <w:t xml:space="preserve"> concluded as follows</w:t>
      </w:r>
      <w:r w:rsidR="008D73F9">
        <w:rPr>
          <w:sz w:val="24"/>
          <w:szCs w:val="24"/>
        </w:rPr>
        <w:t>.</w:t>
      </w:r>
      <w:r w:rsidRPr="00B93E19">
        <w:rPr>
          <w:sz w:val="24"/>
          <w:szCs w:val="24"/>
        </w:rPr>
        <w:t xml:space="preserve"> </w:t>
      </w:r>
    </w:p>
    <w:p w:rsidRPr="00D57547" w:rsidR="000748C9" w:rsidP="000748C9" w:rsidRDefault="00316D21" w14:paraId="5490EB3F" w14:textId="36ED7FAA">
      <w:pPr>
        <w:pStyle w:val="Paragraph"/>
        <w:rPr>
          <w:sz w:val="24"/>
          <w:szCs w:val="24"/>
        </w:rPr>
      </w:pPr>
      <w:r>
        <w:rPr>
          <w:sz w:val="24"/>
          <w:szCs w:val="24"/>
        </w:rPr>
        <w:t>Regeneron</w:t>
      </w:r>
      <w:r w:rsidRPr="00D57547" w:rsidR="00F036EC">
        <w:rPr>
          <w:sz w:val="24"/>
          <w:szCs w:val="24"/>
        </w:rPr>
        <w:t xml:space="preserve"> </w:t>
      </w:r>
      <w:r w:rsidRPr="00D57547" w:rsidR="000748C9">
        <w:rPr>
          <w:sz w:val="24"/>
          <w:szCs w:val="24"/>
        </w:rPr>
        <w:t>argue</w:t>
      </w:r>
      <w:r w:rsidR="0023137E">
        <w:rPr>
          <w:sz w:val="24"/>
          <w:szCs w:val="24"/>
        </w:rPr>
        <w:t>d</w:t>
      </w:r>
      <w:r w:rsidRPr="00D57547" w:rsidR="000748C9">
        <w:rPr>
          <w:sz w:val="24"/>
          <w:szCs w:val="24"/>
        </w:rPr>
        <w:t xml:space="preserve"> that the </w:t>
      </w:r>
      <w:r w:rsidR="008D73F9">
        <w:rPr>
          <w:sz w:val="24"/>
          <w:szCs w:val="24"/>
        </w:rPr>
        <w:t>c</w:t>
      </w:r>
      <w:r w:rsidRPr="00D57547" w:rsidR="000748C9">
        <w:rPr>
          <w:sz w:val="24"/>
          <w:szCs w:val="24"/>
        </w:rPr>
        <w:t xml:space="preserve">ommittee’s request for a state transition (Markov) model was unreasonable given the accepted use of partitioned survival models (PSMs) in prior </w:t>
      </w:r>
      <w:r w:rsidRPr="00D57547" w:rsidR="002E58A0">
        <w:rPr>
          <w:sz w:val="24"/>
          <w:szCs w:val="24"/>
        </w:rPr>
        <w:t xml:space="preserve">non-small cell lung </w:t>
      </w:r>
      <w:r w:rsidRPr="00D57547" w:rsidR="00D57547">
        <w:rPr>
          <w:sz w:val="24"/>
          <w:szCs w:val="24"/>
        </w:rPr>
        <w:t>cancer appraisals</w:t>
      </w:r>
      <w:r w:rsidRPr="00D57547" w:rsidR="000748C9">
        <w:rPr>
          <w:sz w:val="24"/>
          <w:szCs w:val="24"/>
        </w:rPr>
        <w:t xml:space="preserve">, the acknowledged limitations of state transition modelling without individual patient data (IPD), and </w:t>
      </w:r>
      <w:r>
        <w:rPr>
          <w:sz w:val="24"/>
          <w:szCs w:val="24"/>
        </w:rPr>
        <w:t>Regeneron</w:t>
      </w:r>
      <w:r w:rsidRPr="00D57547" w:rsidR="000748C9">
        <w:rPr>
          <w:sz w:val="24"/>
          <w:szCs w:val="24"/>
        </w:rPr>
        <w:t>’s view that the request rested on unsupported assumptions (including equal post progression survival).</w:t>
      </w:r>
    </w:p>
    <w:p w:rsidRPr="00D57547" w:rsidR="000748C9" w:rsidP="003B7C47" w:rsidRDefault="000748C9" w14:paraId="79EF7174" w14:textId="089FDDAB">
      <w:pPr>
        <w:pStyle w:val="Paragraph"/>
        <w:rPr>
          <w:sz w:val="24"/>
          <w:szCs w:val="24"/>
        </w:rPr>
      </w:pPr>
      <w:r w:rsidRPr="00D57547">
        <w:rPr>
          <w:sz w:val="24"/>
          <w:szCs w:val="24"/>
        </w:rPr>
        <w:t xml:space="preserve">The </w:t>
      </w:r>
      <w:r w:rsidR="000937FC">
        <w:rPr>
          <w:sz w:val="24"/>
          <w:szCs w:val="24"/>
        </w:rPr>
        <w:t>p</w:t>
      </w:r>
      <w:r w:rsidRPr="00D57547">
        <w:rPr>
          <w:sz w:val="24"/>
          <w:szCs w:val="24"/>
        </w:rPr>
        <w:t>anel</w:t>
      </w:r>
      <w:r w:rsidRPr="00D57547" w:rsidR="004F7418">
        <w:rPr>
          <w:sz w:val="24"/>
          <w:szCs w:val="24"/>
        </w:rPr>
        <w:t xml:space="preserve"> found that </w:t>
      </w:r>
      <w:r w:rsidRPr="00D57547" w:rsidR="00CA2BDD">
        <w:rPr>
          <w:sz w:val="24"/>
          <w:szCs w:val="24"/>
        </w:rPr>
        <w:t>t</w:t>
      </w:r>
      <w:r w:rsidRPr="00D57547">
        <w:rPr>
          <w:sz w:val="24"/>
          <w:szCs w:val="24"/>
        </w:rPr>
        <w:t xml:space="preserve">he </w:t>
      </w:r>
      <w:r w:rsidR="000937FC">
        <w:rPr>
          <w:sz w:val="24"/>
          <w:szCs w:val="24"/>
        </w:rPr>
        <w:t>c</w:t>
      </w:r>
      <w:r w:rsidRPr="00D57547">
        <w:rPr>
          <w:sz w:val="24"/>
          <w:szCs w:val="24"/>
        </w:rPr>
        <w:t>ommittee provided clear reasons for requesting a Markov model. It identified material uncertainty in the indirect treatment comparisons</w:t>
      </w:r>
      <w:r w:rsidR="00F036EC">
        <w:rPr>
          <w:sz w:val="24"/>
          <w:szCs w:val="24"/>
        </w:rPr>
        <w:t>,</w:t>
      </w:r>
      <w:r w:rsidRPr="00D57547">
        <w:rPr>
          <w:sz w:val="24"/>
          <w:szCs w:val="24"/>
        </w:rPr>
        <w:t xml:space="preserve"> particularly for OS due to treatment crossover and heterogeneity between trials. Because </w:t>
      </w:r>
      <w:r w:rsidR="00365523">
        <w:rPr>
          <w:sz w:val="24"/>
          <w:szCs w:val="24"/>
        </w:rPr>
        <w:t>Regeneron</w:t>
      </w:r>
      <w:r w:rsidRPr="00D57547">
        <w:rPr>
          <w:sz w:val="24"/>
          <w:szCs w:val="24"/>
        </w:rPr>
        <w:t xml:space="preserve">’s PSM necessarily propagates the (uncertain) OS hazard ratios into QALY estimates, the </w:t>
      </w:r>
      <w:r w:rsidR="000937FC">
        <w:rPr>
          <w:sz w:val="24"/>
          <w:szCs w:val="24"/>
        </w:rPr>
        <w:t>c</w:t>
      </w:r>
      <w:r w:rsidRPr="00D57547">
        <w:rPr>
          <w:sz w:val="24"/>
          <w:szCs w:val="24"/>
        </w:rPr>
        <w:t>ommittee asked for a PFS driven state transition framework that could (a) place greater weight on the less confounded PFS evidence, (b) explore equal or similar post progression survival (PPS) as a reasonable scenario reflecting NHS practice after progression, and (c) transparently test the impact of alternative structural assumptions on the ICER. These reasons are set out in the FDG and reflected in the</w:t>
      </w:r>
      <w:r w:rsidR="00B80589">
        <w:rPr>
          <w:sz w:val="24"/>
          <w:szCs w:val="24"/>
        </w:rPr>
        <w:t xml:space="preserve"> materials for the second appraisal committee meeting</w:t>
      </w:r>
      <w:r w:rsidRPr="00D57547">
        <w:rPr>
          <w:sz w:val="24"/>
          <w:szCs w:val="24"/>
        </w:rPr>
        <w:t xml:space="preserve"> (FDG sections 3.7, 3.8, 3.13–3.14, 3.17).</w:t>
      </w:r>
    </w:p>
    <w:p w:rsidRPr="00D57547" w:rsidR="000748C9" w:rsidP="000748C9" w:rsidRDefault="000748C9" w14:paraId="71E06FDD" w14:textId="0B678544">
      <w:pPr>
        <w:pStyle w:val="Paragraph"/>
        <w:rPr>
          <w:sz w:val="24"/>
          <w:szCs w:val="24"/>
        </w:rPr>
      </w:pPr>
      <w:r w:rsidRPr="00D57547">
        <w:rPr>
          <w:sz w:val="24"/>
          <w:szCs w:val="24"/>
        </w:rPr>
        <w:t>The</w:t>
      </w:r>
      <w:r w:rsidRPr="00B625C9" w:rsidR="00B625C9">
        <w:rPr>
          <w:color w:val="000000" w:themeColor="text1"/>
          <w:sz w:val="24"/>
          <w:szCs w:val="24"/>
        </w:rPr>
        <w:t xml:space="preserve"> </w:t>
      </w:r>
      <w:r w:rsidR="00B82FCB">
        <w:rPr>
          <w:sz w:val="24"/>
          <w:szCs w:val="24"/>
        </w:rPr>
        <w:t>p</w:t>
      </w:r>
      <w:r w:rsidRPr="00D57547" w:rsidR="00F036EC">
        <w:rPr>
          <w:sz w:val="24"/>
          <w:szCs w:val="24"/>
        </w:rPr>
        <w:t xml:space="preserve">anel </w:t>
      </w:r>
      <w:r w:rsidRPr="00D57547" w:rsidR="00372C34">
        <w:rPr>
          <w:sz w:val="24"/>
          <w:szCs w:val="24"/>
        </w:rPr>
        <w:t>considered the</w:t>
      </w:r>
      <w:r w:rsidRPr="00D57547">
        <w:rPr>
          <w:sz w:val="24"/>
          <w:szCs w:val="24"/>
        </w:rPr>
        <w:t xml:space="preserve"> request </w:t>
      </w:r>
      <w:r w:rsidRPr="00D57547" w:rsidR="00372C34">
        <w:rPr>
          <w:sz w:val="24"/>
          <w:szCs w:val="24"/>
        </w:rPr>
        <w:t>to be</w:t>
      </w:r>
      <w:r w:rsidRPr="00D57547">
        <w:rPr>
          <w:sz w:val="24"/>
          <w:szCs w:val="24"/>
        </w:rPr>
        <w:t xml:space="preserve"> consistent with NICE technical guidance and practice. NICE’s Decision Support Unit Technical Support Document on PSMs recommends using state transition modelling alongside PSMs to verify plausibility and address extrapolation uncertainty when </w:t>
      </w:r>
      <w:r w:rsidR="00EA0675">
        <w:rPr>
          <w:sz w:val="24"/>
          <w:szCs w:val="24"/>
        </w:rPr>
        <w:t>indirect treatment comparisons</w:t>
      </w:r>
      <w:r w:rsidRPr="00D57547">
        <w:rPr>
          <w:sz w:val="24"/>
          <w:szCs w:val="24"/>
        </w:rPr>
        <w:t xml:space="preserve">/OS evidence is limited or confounded. The </w:t>
      </w:r>
      <w:r w:rsidR="00B82FCB">
        <w:rPr>
          <w:sz w:val="24"/>
          <w:szCs w:val="24"/>
        </w:rPr>
        <w:t>c</w:t>
      </w:r>
      <w:r w:rsidRPr="00D57547">
        <w:rPr>
          <w:sz w:val="24"/>
          <w:szCs w:val="24"/>
        </w:rPr>
        <w:t xml:space="preserve">ommittee also cited a recent lung cancer appraisal (TA909) where a state transition approach was sought and accepted for decision making when OS evidence was </w:t>
      </w:r>
      <w:r w:rsidRPr="00D57547" w:rsidR="00DE19A2">
        <w:rPr>
          <w:sz w:val="24"/>
          <w:szCs w:val="24"/>
        </w:rPr>
        <w:t>uncertain</w:t>
      </w:r>
      <w:r w:rsidRPr="00D57547">
        <w:rPr>
          <w:sz w:val="24"/>
          <w:szCs w:val="24"/>
        </w:rPr>
        <w:t>. In this context, asking for a Markov model to interrogate the key uncertainty is a recognised, reasonable step, not a departure from standards.</w:t>
      </w:r>
    </w:p>
    <w:p w:rsidRPr="00D57547" w:rsidR="000748C9" w:rsidP="000748C9" w:rsidRDefault="000748C9" w14:paraId="4A3073E3" w14:textId="4B2B0843">
      <w:pPr>
        <w:pStyle w:val="Paragraph"/>
        <w:rPr>
          <w:sz w:val="24"/>
          <w:szCs w:val="24"/>
        </w:rPr>
      </w:pPr>
      <w:r w:rsidRPr="00D57547">
        <w:rPr>
          <w:sz w:val="24"/>
          <w:szCs w:val="24"/>
        </w:rPr>
        <w:t>The</w:t>
      </w:r>
      <w:r w:rsidRPr="00D57547" w:rsidR="003D1CBA">
        <w:rPr>
          <w:sz w:val="24"/>
          <w:szCs w:val="24"/>
        </w:rPr>
        <w:t xml:space="preserve"> </w:t>
      </w:r>
      <w:r w:rsidR="00B82FCB">
        <w:rPr>
          <w:sz w:val="24"/>
          <w:szCs w:val="24"/>
        </w:rPr>
        <w:t>p</w:t>
      </w:r>
      <w:r w:rsidRPr="00D57547" w:rsidR="00F036EC">
        <w:rPr>
          <w:sz w:val="24"/>
          <w:szCs w:val="24"/>
        </w:rPr>
        <w:t xml:space="preserve">anel </w:t>
      </w:r>
      <w:r w:rsidRPr="00D57547" w:rsidR="003D1CBA">
        <w:rPr>
          <w:sz w:val="24"/>
          <w:szCs w:val="24"/>
        </w:rPr>
        <w:t>found that the</w:t>
      </w:r>
      <w:r w:rsidRPr="00D57547">
        <w:rPr>
          <w:sz w:val="24"/>
          <w:szCs w:val="24"/>
        </w:rPr>
        <w:t xml:space="preserve"> </w:t>
      </w:r>
      <w:r w:rsidR="00B82FCB">
        <w:rPr>
          <w:sz w:val="24"/>
          <w:szCs w:val="24"/>
        </w:rPr>
        <w:t>c</w:t>
      </w:r>
      <w:r w:rsidRPr="00D57547" w:rsidR="00F036EC">
        <w:rPr>
          <w:sz w:val="24"/>
          <w:szCs w:val="24"/>
        </w:rPr>
        <w:t xml:space="preserve">ommittee </w:t>
      </w:r>
      <w:r w:rsidRPr="00D57547">
        <w:rPr>
          <w:sz w:val="24"/>
          <w:szCs w:val="24"/>
        </w:rPr>
        <w:t xml:space="preserve">did not act dogmatically or close its mind to alternatives. It considered </w:t>
      </w:r>
      <w:r w:rsidR="007C6E53">
        <w:rPr>
          <w:sz w:val="24"/>
          <w:szCs w:val="24"/>
        </w:rPr>
        <w:t>Regeneron</w:t>
      </w:r>
      <w:r w:rsidRPr="00D57547" w:rsidR="00F036EC">
        <w:rPr>
          <w:sz w:val="24"/>
          <w:szCs w:val="24"/>
        </w:rPr>
        <w:t xml:space="preserve">’s </w:t>
      </w:r>
      <w:r w:rsidRPr="00D57547">
        <w:rPr>
          <w:sz w:val="24"/>
          <w:szCs w:val="24"/>
        </w:rPr>
        <w:t xml:space="preserve">alternative analyses (including MAICs and scenarios) and set out why these did not sufficiently resolve the principal uncertainty around OS, internal consistency between PFS and OS, and the implications for cost effectiveness. The </w:t>
      </w:r>
      <w:r w:rsidR="00B82FCB">
        <w:rPr>
          <w:sz w:val="24"/>
          <w:szCs w:val="24"/>
        </w:rPr>
        <w:t>c</w:t>
      </w:r>
      <w:r w:rsidRPr="00D57547">
        <w:rPr>
          <w:sz w:val="24"/>
          <w:szCs w:val="24"/>
        </w:rPr>
        <w:t xml:space="preserve">ommittee explicitly left room for the </w:t>
      </w:r>
      <w:r w:rsidR="00B82FCB">
        <w:rPr>
          <w:sz w:val="24"/>
          <w:szCs w:val="24"/>
        </w:rPr>
        <w:t>c</w:t>
      </w:r>
      <w:r w:rsidRPr="00D57547" w:rsidR="00F036EC">
        <w:rPr>
          <w:sz w:val="24"/>
          <w:szCs w:val="24"/>
        </w:rPr>
        <w:t xml:space="preserve">ompany </w:t>
      </w:r>
      <w:r w:rsidRPr="00D57547">
        <w:rPr>
          <w:sz w:val="24"/>
          <w:szCs w:val="24"/>
        </w:rPr>
        <w:t xml:space="preserve">to explore different PPS assumptions within a state transition structure and did not prescribe a single specification. </w:t>
      </w:r>
      <w:r w:rsidR="007C6E53">
        <w:rPr>
          <w:sz w:val="24"/>
          <w:szCs w:val="24"/>
        </w:rPr>
        <w:t>Regeneron</w:t>
      </w:r>
      <w:r w:rsidR="00F036EC">
        <w:rPr>
          <w:sz w:val="24"/>
          <w:szCs w:val="24"/>
        </w:rPr>
        <w:t xml:space="preserve"> </w:t>
      </w:r>
      <w:r w:rsidRPr="00D57547">
        <w:rPr>
          <w:sz w:val="24"/>
          <w:szCs w:val="24"/>
        </w:rPr>
        <w:t>chose not to provide the requested model; that choice does not render the request itself unreasonable.</w:t>
      </w:r>
    </w:p>
    <w:p w:rsidRPr="00D57547" w:rsidR="000748C9" w:rsidP="000748C9" w:rsidRDefault="000748C9" w14:paraId="3FDA9605" w14:textId="609EF133">
      <w:pPr>
        <w:pStyle w:val="Paragraph"/>
        <w:rPr>
          <w:sz w:val="24"/>
          <w:szCs w:val="24"/>
        </w:rPr>
      </w:pPr>
      <w:r w:rsidRPr="00D57547">
        <w:rPr>
          <w:sz w:val="24"/>
          <w:szCs w:val="24"/>
        </w:rPr>
        <w:t>The</w:t>
      </w:r>
      <w:r w:rsidRPr="00D57547" w:rsidR="001B3ED5">
        <w:rPr>
          <w:sz w:val="24"/>
          <w:szCs w:val="24"/>
        </w:rPr>
        <w:t xml:space="preserve"> </w:t>
      </w:r>
      <w:r w:rsidR="00B82FCB">
        <w:rPr>
          <w:sz w:val="24"/>
          <w:szCs w:val="24"/>
        </w:rPr>
        <w:t>p</w:t>
      </w:r>
      <w:r w:rsidR="00C66092">
        <w:rPr>
          <w:sz w:val="24"/>
          <w:szCs w:val="24"/>
        </w:rPr>
        <w:t xml:space="preserve">anel </w:t>
      </w:r>
      <w:r w:rsidRPr="00D57547" w:rsidR="001B3ED5">
        <w:rPr>
          <w:sz w:val="24"/>
          <w:szCs w:val="24"/>
        </w:rPr>
        <w:t xml:space="preserve">determined that </w:t>
      </w:r>
      <w:r w:rsidR="007C6E53">
        <w:rPr>
          <w:sz w:val="24"/>
          <w:szCs w:val="24"/>
        </w:rPr>
        <w:t>Regeneron</w:t>
      </w:r>
      <w:r w:rsidRPr="00D57547">
        <w:rPr>
          <w:sz w:val="24"/>
          <w:szCs w:val="24"/>
        </w:rPr>
        <w:t>’s feasibility concerns d</w:t>
      </w:r>
      <w:r w:rsidR="001B4641">
        <w:rPr>
          <w:sz w:val="24"/>
          <w:szCs w:val="24"/>
        </w:rPr>
        <w:t>id</w:t>
      </w:r>
      <w:r w:rsidRPr="00D57547">
        <w:rPr>
          <w:sz w:val="24"/>
          <w:szCs w:val="24"/>
        </w:rPr>
        <w:t xml:space="preserve"> not make the request unreasonable. </w:t>
      </w:r>
      <w:r w:rsidR="007C6E53">
        <w:rPr>
          <w:sz w:val="24"/>
          <w:szCs w:val="24"/>
        </w:rPr>
        <w:t>Regeneron</w:t>
      </w:r>
      <w:r w:rsidRPr="00D57547" w:rsidR="00F036EC">
        <w:rPr>
          <w:sz w:val="24"/>
          <w:szCs w:val="24"/>
        </w:rPr>
        <w:t xml:space="preserve"> </w:t>
      </w:r>
      <w:r w:rsidRPr="00D57547">
        <w:rPr>
          <w:sz w:val="24"/>
          <w:szCs w:val="24"/>
        </w:rPr>
        <w:t xml:space="preserve">stated it could not develop a Markov model in the available time; it did not demonstrate that such modelling was infeasible in principle from the data available, nor did it seek additional time. Reasonableness turns on whether the request “adds up” given the evidential problem the </w:t>
      </w:r>
      <w:r w:rsidR="004370E1">
        <w:rPr>
          <w:sz w:val="24"/>
          <w:szCs w:val="24"/>
        </w:rPr>
        <w:t>c</w:t>
      </w:r>
      <w:r w:rsidRPr="00D57547">
        <w:rPr>
          <w:sz w:val="24"/>
          <w:szCs w:val="24"/>
        </w:rPr>
        <w:t>ommittee was trying to resolve. Here, the request squarely targeted the most consequential uncertainty (OS) and sought a standard, accepted method to explore it.</w:t>
      </w:r>
    </w:p>
    <w:p w:rsidRPr="00D57547" w:rsidR="000748C9" w:rsidP="000748C9" w:rsidRDefault="000748C9" w14:paraId="3FBA0D64" w14:textId="1EDF56C7">
      <w:pPr>
        <w:pStyle w:val="Paragraph"/>
        <w:rPr>
          <w:sz w:val="24"/>
          <w:szCs w:val="24"/>
        </w:rPr>
      </w:pPr>
      <w:r w:rsidRPr="00D57547">
        <w:rPr>
          <w:sz w:val="24"/>
          <w:szCs w:val="24"/>
        </w:rPr>
        <w:t xml:space="preserve">The </w:t>
      </w:r>
      <w:r w:rsidR="004370E1">
        <w:rPr>
          <w:color w:val="000000" w:themeColor="text1"/>
          <w:sz w:val="24"/>
          <w:szCs w:val="24"/>
        </w:rPr>
        <w:t>a</w:t>
      </w:r>
      <w:r w:rsidR="001B4641">
        <w:rPr>
          <w:color w:val="000000" w:themeColor="text1"/>
          <w:sz w:val="24"/>
          <w:szCs w:val="24"/>
        </w:rPr>
        <w:t xml:space="preserve">ppeal </w:t>
      </w:r>
      <w:r w:rsidR="004370E1">
        <w:rPr>
          <w:color w:val="000000" w:themeColor="text1"/>
          <w:sz w:val="24"/>
          <w:szCs w:val="24"/>
        </w:rPr>
        <w:t>p</w:t>
      </w:r>
      <w:r w:rsidR="001B4641">
        <w:rPr>
          <w:color w:val="000000" w:themeColor="text1"/>
          <w:sz w:val="24"/>
          <w:szCs w:val="24"/>
        </w:rPr>
        <w:t xml:space="preserve">anel </w:t>
      </w:r>
      <w:r w:rsidRPr="00D57547">
        <w:rPr>
          <w:sz w:val="24"/>
          <w:szCs w:val="24"/>
        </w:rPr>
        <w:t xml:space="preserve">is satisfied the </w:t>
      </w:r>
      <w:r w:rsidR="004370E1">
        <w:rPr>
          <w:sz w:val="24"/>
          <w:szCs w:val="24"/>
        </w:rPr>
        <w:t>c</w:t>
      </w:r>
      <w:r w:rsidRPr="00D57547" w:rsidR="007C4A83">
        <w:rPr>
          <w:sz w:val="24"/>
          <w:szCs w:val="24"/>
        </w:rPr>
        <w:t xml:space="preserve">ommittee’s </w:t>
      </w:r>
      <w:r w:rsidRPr="00D57547">
        <w:rPr>
          <w:sz w:val="24"/>
          <w:szCs w:val="24"/>
        </w:rPr>
        <w:t xml:space="preserve">explanation “adds up.” The FDG explains (i) why OS from the </w:t>
      </w:r>
      <w:r w:rsidR="00EA0675">
        <w:rPr>
          <w:sz w:val="24"/>
          <w:szCs w:val="24"/>
        </w:rPr>
        <w:t>indirect treatment comparisons</w:t>
      </w:r>
      <w:r w:rsidRPr="00D57547" w:rsidDel="00EA0675" w:rsidR="00EA0675">
        <w:rPr>
          <w:sz w:val="24"/>
          <w:szCs w:val="24"/>
        </w:rPr>
        <w:t xml:space="preserve"> </w:t>
      </w:r>
      <w:r w:rsidRPr="00D57547">
        <w:rPr>
          <w:sz w:val="24"/>
          <w:szCs w:val="24"/>
        </w:rPr>
        <w:t>was considered particularly uncertain, (ii) why a PFS anchored state transition framework could better test plausible PPS and survival dynamics, and (iii) why the alternative analyses provided did not resolve the core uncertainty</w:t>
      </w:r>
      <w:r w:rsidR="004F2240">
        <w:rPr>
          <w:sz w:val="24"/>
          <w:szCs w:val="24"/>
        </w:rPr>
        <w:t xml:space="preserve"> (FDG paragraphs 3.6, 3.7. 3.8)</w:t>
      </w:r>
      <w:r w:rsidRPr="00D57547">
        <w:rPr>
          <w:sz w:val="24"/>
          <w:szCs w:val="24"/>
        </w:rPr>
        <w:t xml:space="preserve">. This is a coherent evidential chain and falls within the </w:t>
      </w:r>
      <w:r w:rsidR="00900793">
        <w:rPr>
          <w:sz w:val="24"/>
          <w:szCs w:val="24"/>
        </w:rPr>
        <w:t>c</w:t>
      </w:r>
      <w:r w:rsidRPr="00D57547">
        <w:rPr>
          <w:sz w:val="24"/>
          <w:szCs w:val="24"/>
        </w:rPr>
        <w:t>ommittee’s evaluative discretion.</w:t>
      </w:r>
    </w:p>
    <w:p w:rsidRPr="00D57547" w:rsidR="000748C9" w:rsidP="000748C9" w:rsidRDefault="000748C9" w14:paraId="5FA08B6B" w14:textId="000CABC2">
      <w:pPr>
        <w:pStyle w:val="Paragraph"/>
        <w:rPr>
          <w:sz w:val="24"/>
          <w:szCs w:val="24"/>
        </w:rPr>
      </w:pPr>
      <w:r w:rsidRPr="00D57547">
        <w:rPr>
          <w:sz w:val="24"/>
          <w:szCs w:val="24"/>
        </w:rPr>
        <w:t xml:space="preserve">Accordingly, the </w:t>
      </w:r>
      <w:r w:rsidR="00900793">
        <w:rPr>
          <w:color w:val="000000" w:themeColor="text1"/>
          <w:sz w:val="24"/>
          <w:szCs w:val="24"/>
        </w:rPr>
        <w:t>p</w:t>
      </w:r>
      <w:r w:rsidR="0023137E">
        <w:rPr>
          <w:color w:val="000000" w:themeColor="text1"/>
          <w:sz w:val="24"/>
          <w:szCs w:val="24"/>
        </w:rPr>
        <w:t>anel</w:t>
      </w:r>
      <w:r w:rsidR="001B4641">
        <w:rPr>
          <w:color w:val="000000" w:themeColor="text1"/>
          <w:sz w:val="24"/>
          <w:szCs w:val="24"/>
        </w:rPr>
        <w:t xml:space="preserve"> </w:t>
      </w:r>
      <w:r w:rsidRPr="00D57547">
        <w:rPr>
          <w:sz w:val="24"/>
          <w:szCs w:val="24"/>
        </w:rPr>
        <w:t>conclude</w:t>
      </w:r>
      <w:r w:rsidR="00EA0675">
        <w:rPr>
          <w:sz w:val="24"/>
          <w:szCs w:val="24"/>
        </w:rPr>
        <w:t>d</w:t>
      </w:r>
      <w:r w:rsidRPr="00D57547">
        <w:rPr>
          <w:sz w:val="24"/>
          <w:szCs w:val="24"/>
        </w:rPr>
        <w:t xml:space="preserve"> that the </w:t>
      </w:r>
      <w:r w:rsidR="00900793">
        <w:rPr>
          <w:sz w:val="24"/>
          <w:szCs w:val="24"/>
        </w:rPr>
        <w:t>c</w:t>
      </w:r>
      <w:r w:rsidRPr="00D57547">
        <w:rPr>
          <w:sz w:val="24"/>
          <w:szCs w:val="24"/>
        </w:rPr>
        <w:t xml:space="preserve">ommittee’s request for a Markov model was reasonable </w:t>
      </w:r>
      <w:proofErr w:type="gramStart"/>
      <w:r w:rsidRPr="00D57547">
        <w:rPr>
          <w:sz w:val="24"/>
          <w:szCs w:val="24"/>
        </w:rPr>
        <w:t>in light of</w:t>
      </w:r>
      <w:proofErr w:type="gramEnd"/>
      <w:r w:rsidRPr="00D57547">
        <w:rPr>
          <w:sz w:val="24"/>
          <w:szCs w:val="24"/>
        </w:rPr>
        <w:t xml:space="preserve"> the evidence, </w:t>
      </w:r>
      <w:r w:rsidR="00F468FA">
        <w:rPr>
          <w:sz w:val="24"/>
          <w:szCs w:val="24"/>
        </w:rPr>
        <w:t>Manual</w:t>
      </w:r>
      <w:r w:rsidRPr="00D57547">
        <w:rPr>
          <w:sz w:val="24"/>
          <w:szCs w:val="24"/>
        </w:rPr>
        <w:t>, and pre</w:t>
      </w:r>
      <w:r w:rsidR="00F468FA">
        <w:rPr>
          <w:sz w:val="24"/>
          <w:szCs w:val="24"/>
        </w:rPr>
        <w:t>vious practi</w:t>
      </w:r>
      <w:r w:rsidR="00613BDF">
        <w:rPr>
          <w:sz w:val="24"/>
          <w:szCs w:val="24"/>
        </w:rPr>
        <w:t>c</w:t>
      </w:r>
      <w:r w:rsidR="00F468FA">
        <w:rPr>
          <w:sz w:val="24"/>
          <w:szCs w:val="24"/>
        </w:rPr>
        <w:t>e</w:t>
      </w:r>
      <w:r w:rsidRPr="00D57547">
        <w:rPr>
          <w:sz w:val="24"/>
          <w:szCs w:val="24"/>
        </w:rPr>
        <w:t xml:space="preserve">. The fact that previous </w:t>
      </w:r>
      <w:r w:rsidRPr="00D57547" w:rsidR="00D57547">
        <w:rPr>
          <w:sz w:val="24"/>
          <w:szCs w:val="24"/>
        </w:rPr>
        <w:t xml:space="preserve">non-small cell lung cancer </w:t>
      </w:r>
      <w:r w:rsidRPr="00D57547">
        <w:rPr>
          <w:sz w:val="24"/>
          <w:szCs w:val="24"/>
        </w:rPr>
        <w:t xml:space="preserve">appraisals have used PSMs does not preclude a </w:t>
      </w:r>
      <w:r w:rsidR="00EA0675">
        <w:rPr>
          <w:sz w:val="24"/>
          <w:szCs w:val="24"/>
        </w:rPr>
        <w:t>c</w:t>
      </w:r>
      <w:r w:rsidRPr="00D57547">
        <w:rPr>
          <w:sz w:val="24"/>
          <w:szCs w:val="24"/>
        </w:rPr>
        <w:t>ommittee from requesting a state transition model where the pattern and sources of uncertainty make it appropriate to do so.</w:t>
      </w:r>
    </w:p>
    <w:p w:rsidRPr="00D57547" w:rsidR="009C3D10" w:rsidP="009C3D10" w:rsidRDefault="009C3D10" w14:paraId="19BEE325" w14:textId="6BE06458">
      <w:pPr>
        <w:pStyle w:val="Paragraph"/>
        <w:rPr>
          <w:sz w:val="24"/>
          <w:szCs w:val="24"/>
        </w:rPr>
      </w:pPr>
      <w:r w:rsidRPr="00D57547">
        <w:rPr>
          <w:sz w:val="24"/>
          <w:szCs w:val="24"/>
        </w:rPr>
        <w:t xml:space="preserve">The </w:t>
      </w:r>
      <w:r w:rsidR="00900793">
        <w:rPr>
          <w:sz w:val="24"/>
          <w:szCs w:val="24"/>
        </w:rPr>
        <w:t>a</w:t>
      </w:r>
      <w:r w:rsidR="007C4A83">
        <w:rPr>
          <w:sz w:val="24"/>
          <w:szCs w:val="24"/>
        </w:rPr>
        <w:t xml:space="preserve">ppeal </w:t>
      </w:r>
      <w:r w:rsidR="00900793">
        <w:rPr>
          <w:sz w:val="24"/>
          <w:szCs w:val="24"/>
        </w:rPr>
        <w:t>p</w:t>
      </w:r>
      <w:r w:rsidR="007C4A83">
        <w:rPr>
          <w:sz w:val="24"/>
          <w:szCs w:val="24"/>
        </w:rPr>
        <w:t>anel</w:t>
      </w:r>
      <w:r w:rsidRPr="00D57547">
        <w:rPr>
          <w:sz w:val="24"/>
          <w:szCs w:val="24"/>
        </w:rPr>
        <w:t xml:space="preserve"> therefore dismissed the appeal on this point.</w:t>
      </w:r>
    </w:p>
    <w:p w:rsidR="009C3D10" w:rsidP="000A5B0D" w:rsidRDefault="000D6031" w14:paraId="678AEDC2" w14:textId="12806724">
      <w:pPr>
        <w:pStyle w:val="Heading3"/>
      </w:pPr>
      <w:r>
        <w:t xml:space="preserve">Appeal </w:t>
      </w:r>
      <w:proofErr w:type="gramStart"/>
      <w:r>
        <w:t>point</w:t>
      </w:r>
      <w:proofErr w:type="gramEnd"/>
      <w:r>
        <w:t xml:space="preserve"> </w:t>
      </w:r>
      <w:r w:rsidRPr="006065EB" w:rsidR="009C3D10">
        <w:t xml:space="preserve">2.2 - The </w:t>
      </w:r>
      <w:r w:rsidR="00900793">
        <w:t>c</w:t>
      </w:r>
      <w:r w:rsidRPr="006065EB" w:rsidR="009C3D10">
        <w:t xml:space="preserve">ommittee’s requested approach for modelling time on treatment/time to treatment discontinuation is internally inconsistent, biased and unreasonable </w:t>
      </w:r>
      <w:proofErr w:type="gramStart"/>
      <w:r w:rsidRPr="006065EB" w:rsidR="009C3D10">
        <w:t>in light of</w:t>
      </w:r>
      <w:proofErr w:type="gramEnd"/>
      <w:r w:rsidRPr="006065EB" w:rsidR="009C3D10">
        <w:t xml:space="preserve"> the evidence before it.</w:t>
      </w:r>
    </w:p>
    <w:p w:rsidR="00904D38" w:rsidP="00904D38" w:rsidRDefault="000D6031" w14:paraId="791901D8" w14:textId="2D396EF2">
      <w:pPr>
        <w:pStyle w:val="Paragraph"/>
        <w:rPr>
          <w:sz w:val="24"/>
          <w:szCs w:val="24"/>
        </w:rPr>
      </w:pPr>
      <w:r>
        <w:rPr>
          <w:sz w:val="24"/>
          <w:szCs w:val="24"/>
        </w:rPr>
        <w:t xml:space="preserve">Dr </w:t>
      </w:r>
      <w:r w:rsidR="004726F0">
        <w:rPr>
          <w:sz w:val="24"/>
          <w:szCs w:val="24"/>
        </w:rPr>
        <w:t>Vanessa Buchanan</w:t>
      </w:r>
      <w:r>
        <w:rPr>
          <w:sz w:val="24"/>
          <w:szCs w:val="24"/>
        </w:rPr>
        <w:t>, for Regeneron</w:t>
      </w:r>
      <w:r w:rsidR="00EA495C">
        <w:rPr>
          <w:sz w:val="24"/>
          <w:szCs w:val="24"/>
        </w:rPr>
        <w:t>,</w:t>
      </w:r>
      <w:r w:rsidR="004726F0">
        <w:rPr>
          <w:sz w:val="24"/>
          <w:szCs w:val="24"/>
        </w:rPr>
        <w:t xml:space="preserve"> </w:t>
      </w:r>
      <w:r w:rsidR="00147F8F">
        <w:rPr>
          <w:sz w:val="24"/>
          <w:szCs w:val="24"/>
        </w:rPr>
        <w:t xml:space="preserve">explained that the Committee preferred the ratio method to calculate time-on-treatment for pembrolizumab rather than assuming time-on-treatment was equal to PFS. She described that </w:t>
      </w:r>
      <w:r>
        <w:rPr>
          <w:sz w:val="24"/>
          <w:szCs w:val="24"/>
        </w:rPr>
        <w:t>Regeneron</w:t>
      </w:r>
      <w:r w:rsidR="00147F8F">
        <w:rPr>
          <w:sz w:val="24"/>
          <w:szCs w:val="24"/>
        </w:rPr>
        <w:t xml:space="preserve"> in its view gave valid reasons why it was not appropriate to do so. The Kaplan Meier data were not available for pembrolizumab, which would result in a conservative approach by adopting the ratio method. The Kaplan Meier plots for cemiplimab time-on-treatment side by side with PFS had been provided in </w:t>
      </w:r>
      <w:r w:rsidR="00751CA6">
        <w:rPr>
          <w:sz w:val="24"/>
          <w:szCs w:val="24"/>
        </w:rPr>
        <w:t>Regeneron</w:t>
      </w:r>
      <w:r w:rsidR="00147F8F">
        <w:rPr>
          <w:sz w:val="24"/>
          <w:szCs w:val="24"/>
        </w:rPr>
        <w:t xml:space="preserve">'s submission. </w:t>
      </w:r>
      <w:r w:rsidR="004F2240">
        <w:rPr>
          <w:sz w:val="24"/>
          <w:szCs w:val="24"/>
        </w:rPr>
        <w:t>She said that h</w:t>
      </w:r>
      <w:r w:rsidR="00904D38">
        <w:rPr>
          <w:sz w:val="24"/>
          <w:szCs w:val="24"/>
        </w:rPr>
        <w:t xml:space="preserve">ad the </w:t>
      </w:r>
      <w:r w:rsidR="003650DB">
        <w:rPr>
          <w:sz w:val="24"/>
          <w:szCs w:val="24"/>
        </w:rPr>
        <w:t>c</w:t>
      </w:r>
      <w:r w:rsidR="00904D38">
        <w:rPr>
          <w:sz w:val="24"/>
          <w:szCs w:val="24"/>
        </w:rPr>
        <w:t>ommittee given it proper scrutiny</w:t>
      </w:r>
      <w:r w:rsidR="004F2240">
        <w:rPr>
          <w:sz w:val="24"/>
          <w:szCs w:val="24"/>
        </w:rPr>
        <w:t xml:space="preserve"> </w:t>
      </w:r>
      <w:r w:rsidR="00904D38">
        <w:rPr>
          <w:sz w:val="24"/>
          <w:szCs w:val="24"/>
        </w:rPr>
        <w:t xml:space="preserve">it would have been clear that the ratio approach for cemiplimab time-on-treatment was suitable as the separation between the curves only happened after 4 months. The </w:t>
      </w:r>
      <w:r w:rsidR="003650DB">
        <w:rPr>
          <w:sz w:val="24"/>
          <w:szCs w:val="24"/>
        </w:rPr>
        <w:t>c</w:t>
      </w:r>
      <w:r w:rsidR="00904D38">
        <w:rPr>
          <w:sz w:val="24"/>
          <w:szCs w:val="24"/>
        </w:rPr>
        <w:t xml:space="preserve">ommittee had an entrenched </w:t>
      </w:r>
      <w:proofErr w:type="gramStart"/>
      <w:r w:rsidR="00904D38">
        <w:rPr>
          <w:sz w:val="24"/>
          <w:szCs w:val="24"/>
        </w:rPr>
        <w:t>view</w:t>
      </w:r>
      <w:proofErr w:type="gramEnd"/>
      <w:r w:rsidR="00904D38">
        <w:rPr>
          <w:sz w:val="24"/>
          <w:szCs w:val="24"/>
        </w:rPr>
        <w:t xml:space="preserve"> and it failed to properly consider alternatives. By assuming a shorter cemiplimab time-on-treatment (compared to pembrolizumab), while assuming equal PPS, this breaks the link that the </w:t>
      </w:r>
      <w:r w:rsidR="003650DB">
        <w:rPr>
          <w:sz w:val="24"/>
          <w:szCs w:val="24"/>
        </w:rPr>
        <w:t>c</w:t>
      </w:r>
      <w:r w:rsidR="00904D38">
        <w:rPr>
          <w:sz w:val="24"/>
          <w:szCs w:val="24"/>
        </w:rPr>
        <w:t>ommittee was concerned about in the first place</w:t>
      </w:r>
      <w:r w:rsidR="004F2240">
        <w:rPr>
          <w:sz w:val="24"/>
          <w:szCs w:val="24"/>
        </w:rPr>
        <w:t xml:space="preserve">, </w:t>
      </w:r>
      <w:r w:rsidR="00904D38">
        <w:rPr>
          <w:sz w:val="24"/>
          <w:szCs w:val="24"/>
        </w:rPr>
        <w:t>which creates implausible inconsistency.</w:t>
      </w:r>
    </w:p>
    <w:p w:rsidR="00BD6D53" w:rsidP="00BD6D53" w:rsidRDefault="00751CA6" w14:paraId="7D5FE5D9" w14:textId="52D2DD31">
      <w:pPr>
        <w:pStyle w:val="Paragraph"/>
        <w:rPr>
          <w:sz w:val="24"/>
          <w:szCs w:val="24"/>
        </w:rPr>
      </w:pPr>
      <w:r>
        <w:rPr>
          <w:sz w:val="24"/>
          <w:szCs w:val="24"/>
        </w:rPr>
        <w:t xml:space="preserve">Dr </w:t>
      </w:r>
      <w:r w:rsidR="00904D38">
        <w:rPr>
          <w:sz w:val="24"/>
          <w:szCs w:val="24"/>
        </w:rPr>
        <w:t xml:space="preserve">Raju Reddy, for </w:t>
      </w:r>
      <w:r>
        <w:rPr>
          <w:sz w:val="24"/>
          <w:szCs w:val="24"/>
        </w:rPr>
        <w:t>NICE</w:t>
      </w:r>
      <w:r w:rsidR="00904D38">
        <w:rPr>
          <w:sz w:val="24"/>
          <w:szCs w:val="24"/>
        </w:rPr>
        <w:t xml:space="preserve">, explained that time-on-treatment from a trial should be used to model the cost of the drug and the benefits accrual – both PFS and OS. </w:t>
      </w:r>
      <w:r w:rsidR="004F2240">
        <w:rPr>
          <w:sz w:val="24"/>
          <w:szCs w:val="24"/>
        </w:rPr>
        <w:t>He noted that t</w:t>
      </w:r>
      <w:r w:rsidR="00904D38">
        <w:rPr>
          <w:sz w:val="24"/>
          <w:szCs w:val="24"/>
        </w:rPr>
        <w:t>he treatment exposure to cemiplimab in the EMPOWER-Lung 3 trial</w:t>
      </w:r>
      <w:r w:rsidR="004F2240">
        <w:rPr>
          <w:sz w:val="24"/>
          <w:szCs w:val="24"/>
        </w:rPr>
        <w:t xml:space="preserve"> </w:t>
      </w:r>
      <w:r w:rsidR="00904D38">
        <w:rPr>
          <w:sz w:val="24"/>
          <w:szCs w:val="24"/>
        </w:rPr>
        <w:t xml:space="preserve">was much larger than for pembrolizumab in the KEYNOTE trials. </w:t>
      </w:r>
      <w:r w:rsidR="00BD6D53">
        <w:rPr>
          <w:sz w:val="24"/>
          <w:szCs w:val="24"/>
        </w:rPr>
        <w:t>Given</w:t>
      </w:r>
      <w:r w:rsidR="00904D38">
        <w:rPr>
          <w:sz w:val="24"/>
          <w:szCs w:val="24"/>
        </w:rPr>
        <w:t xml:space="preserve"> the impact is unknown, the </w:t>
      </w:r>
      <w:r w:rsidR="00DD39D0">
        <w:rPr>
          <w:sz w:val="24"/>
          <w:szCs w:val="24"/>
        </w:rPr>
        <w:t>c</w:t>
      </w:r>
      <w:r w:rsidR="00904D38">
        <w:rPr>
          <w:sz w:val="24"/>
          <w:szCs w:val="24"/>
        </w:rPr>
        <w:t>ommittee considered it reasonable</w:t>
      </w:r>
      <w:r w:rsidR="00BD6D53">
        <w:rPr>
          <w:sz w:val="24"/>
          <w:szCs w:val="24"/>
        </w:rPr>
        <w:t xml:space="preserve"> that this</w:t>
      </w:r>
      <w:r w:rsidR="00904D38">
        <w:rPr>
          <w:sz w:val="24"/>
          <w:szCs w:val="24"/>
        </w:rPr>
        <w:t xml:space="preserve"> would impact the generalisability of the outcome. </w:t>
      </w:r>
      <w:r w:rsidR="00BD6D53">
        <w:rPr>
          <w:sz w:val="24"/>
          <w:szCs w:val="24"/>
        </w:rPr>
        <w:t xml:space="preserve">He noted that the </w:t>
      </w:r>
      <w:r w:rsidR="00DD39D0">
        <w:rPr>
          <w:sz w:val="24"/>
          <w:szCs w:val="24"/>
        </w:rPr>
        <w:t>c</w:t>
      </w:r>
      <w:r w:rsidR="00BD6D53">
        <w:rPr>
          <w:sz w:val="24"/>
          <w:szCs w:val="24"/>
        </w:rPr>
        <w:t xml:space="preserve">ommittee </w:t>
      </w:r>
      <w:proofErr w:type="gramStart"/>
      <w:r w:rsidR="00BD6D53">
        <w:rPr>
          <w:sz w:val="24"/>
          <w:szCs w:val="24"/>
        </w:rPr>
        <w:t xml:space="preserve">was not </w:t>
      </w:r>
      <w:r w:rsidR="004F2240">
        <w:rPr>
          <w:sz w:val="24"/>
          <w:szCs w:val="24"/>
        </w:rPr>
        <w:t>able</w:t>
      </w:r>
      <w:r w:rsidR="00BD6D53">
        <w:rPr>
          <w:sz w:val="24"/>
          <w:szCs w:val="24"/>
        </w:rPr>
        <w:t xml:space="preserve"> to</w:t>
      </w:r>
      <w:proofErr w:type="gramEnd"/>
      <w:r w:rsidR="00BD6D53">
        <w:rPr>
          <w:sz w:val="24"/>
          <w:szCs w:val="24"/>
        </w:rPr>
        <w:t xml:space="preserve"> </w:t>
      </w:r>
      <w:proofErr w:type="gramStart"/>
      <w:r w:rsidR="00BD6D53">
        <w:rPr>
          <w:sz w:val="24"/>
          <w:szCs w:val="24"/>
        </w:rPr>
        <w:t>compare and contrast</w:t>
      </w:r>
      <w:proofErr w:type="gramEnd"/>
      <w:r w:rsidR="00BD6D53">
        <w:rPr>
          <w:sz w:val="24"/>
          <w:szCs w:val="24"/>
        </w:rPr>
        <w:t xml:space="preserve"> the two approaches as these data were not provided or modelled by </w:t>
      </w:r>
      <w:r w:rsidR="00D23FBA">
        <w:rPr>
          <w:sz w:val="24"/>
          <w:szCs w:val="24"/>
        </w:rPr>
        <w:t>Regeneron</w:t>
      </w:r>
      <w:r w:rsidR="00BD6D53">
        <w:rPr>
          <w:sz w:val="24"/>
          <w:szCs w:val="24"/>
        </w:rPr>
        <w:t xml:space="preserve">. </w:t>
      </w:r>
      <w:r w:rsidR="004F2240">
        <w:rPr>
          <w:sz w:val="24"/>
          <w:szCs w:val="24"/>
        </w:rPr>
        <w:t>He explained that a</w:t>
      </w:r>
      <w:r w:rsidR="00BD6D53">
        <w:rPr>
          <w:sz w:val="24"/>
          <w:szCs w:val="24"/>
        </w:rPr>
        <w:t xml:space="preserve"> different appraisal committee</w:t>
      </w:r>
      <w:r w:rsidR="004F2240">
        <w:rPr>
          <w:sz w:val="24"/>
          <w:szCs w:val="24"/>
        </w:rPr>
        <w:t xml:space="preserve"> </w:t>
      </w:r>
      <w:r w:rsidR="00BD6D53">
        <w:rPr>
          <w:sz w:val="24"/>
          <w:szCs w:val="24"/>
        </w:rPr>
        <w:t>ha</w:t>
      </w:r>
      <w:r w:rsidR="00EA0675">
        <w:rPr>
          <w:sz w:val="24"/>
          <w:szCs w:val="24"/>
        </w:rPr>
        <w:t>d</w:t>
      </w:r>
      <w:r w:rsidR="00BD6D53">
        <w:rPr>
          <w:sz w:val="24"/>
          <w:szCs w:val="24"/>
        </w:rPr>
        <w:t xml:space="preserve"> previously requested flexible models on post-hoc trial data where the ratio of PFS vs time-on-treatment was considered suitable for decision making. </w:t>
      </w:r>
    </w:p>
    <w:p w:rsidR="00BD6D53" w:rsidP="00BD6D53" w:rsidRDefault="00BD6D53" w14:paraId="53BCE774" w14:textId="02F720F0">
      <w:pPr>
        <w:pStyle w:val="Paragraph"/>
        <w:rPr>
          <w:sz w:val="24"/>
          <w:szCs w:val="24"/>
        </w:rPr>
      </w:pPr>
      <w:r>
        <w:rPr>
          <w:sz w:val="24"/>
          <w:szCs w:val="24"/>
        </w:rPr>
        <w:t xml:space="preserve">The </w:t>
      </w:r>
      <w:r w:rsidR="00DD39D0">
        <w:rPr>
          <w:sz w:val="24"/>
          <w:szCs w:val="24"/>
        </w:rPr>
        <w:t>p</w:t>
      </w:r>
      <w:r>
        <w:rPr>
          <w:sz w:val="24"/>
          <w:szCs w:val="24"/>
        </w:rPr>
        <w:t>anel asked</w:t>
      </w:r>
      <w:r w:rsidR="00D23FBA">
        <w:rPr>
          <w:sz w:val="24"/>
          <w:szCs w:val="24"/>
        </w:rPr>
        <w:t xml:space="preserve"> NICE</w:t>
      </w:r>
      <w:r>
        <w:rPr>
          <w:sz w:val="24"/>
          <w:szCs w:val="24"/>
        </w:rPr>
        <w:t xml:space="preserve"> to confirm whether its view was that it was necessary to use two different methods to assess time-on-treatment</w:t>
      </w:r>
      <w:r w:rsidR="00686BA5">
        <w:rPr>
          <w:sz w:val="24"/>
          <w:szCs w:val="24"/>
        </w:rPr>
        <w:t xml:space="preserve"> and the effect of time on treatment for the two different drugs</w:t>
      </w:r>
      <w:r>
        <w:rPr>
          <w:sz w:val="24"/>
          <w:szCs w:val="24"/>
        </w:rPr>
        <w:t xml:space="preserve">. </w:t>
      </w:r>
      <w:r w:rsidR="00D23FBA">
        <w:rPr>
          <w:sz w:val="24"/>
          <w:szCs w:val="24"/>
        </w:rPr>
        <w:t xml:space="preserve">Dr </w:t>
      </w:r>
      <w:r>
        <w:rPr>
          <w:sz w:val="24"/>
          <w:szCs w:val="24"/>
        </w:rPr>
        <w:t xml:space="preserve">Raju Reddy agreed with this </w:t>
      </w:r>
      <w:proofErr w:type="gramStart"/>
      <w:r>
        <w:rPr>
          <w:sz w:val="24"/>
          <w:szCs w:val="24"/>
        </w:rPr>
        <w:t>statement, and</w:t>
      </w:r>
      <w:proofErr w:type="gramEnd"/>
      <w:r>
        <w:rPr>
          <w:sz w:val="24"/>
          <w:szCs w:val="24"/>
        </w:rPr>
        <w:t xml:space="preserve"> </w:t>
      </w:r>
      <w:r w:rsidR="005A6A53">
        <w:rPr>
          <w:sz w:val="24"/>
          <w:szCs w:val="24"/>
        </w:rPr>
        <w:t xml:space="preserve">said </w:t>
      </w:r>
      <w:r>
        <w:rPr>
          <w:sz w:val="24"/>
          <w:szCs w:val="24"/>
        </w:rPr>
        <w:t xml:space="preserve">that the </w:t>
      </w:r>
      <w:r w:rsidR="00DD39D0">
        <w:rPr>
          <w:sz w:val="24"/>
          <w:szCs w:val="24"/>
        </w:rPr>
        <w:t xml:space="preserve">committee </w:t>
      </w:r>
      <w:r>
        <w:rPr>
          <w:sz w:val="24"/>
          <w:szCs w:val="24"/>
        </w:rPr>
        <w:t>can only work from the evidence before it</w:t>
      </w:r>
      <w:r w:rsidR="00EA0675">
        <w:rPr>
          <w:sz w:val="24"/>
          <w:szCs w:val="24"/>
        </w:rPr>
        <w:t>;</w:t>
      </w:r>
      <w:r>
        <w:rPr>
          <w:sz w:val="24"/>
          <w:szCs w:val="24"/>
        </w:rPr>
        <w:t xml:space="preserve"> there is often no perfect data set and so it is </w:t>
      </w:r>
      <w:r w:rsidR="00686BA5">
        <w:rPr>
          <w:sz w:val="24"/>
          <w:szCs w:val="24"/>
        </w:rPr>
        <w:t xml:space="preserve">always for the </w:t>
      </w:r>
      <w:r w:rsidR="00DD39D0">
        <w:rPr>
          <w:sz w:val="24"/>
          <w:szCs w:val="24"/>
        </w:rPr>
        <w:t>c</w:t>
      </w:r>
      <w:r w:rsidR="00686BA5">
        <w:rPr>
          <w:sz w:val="24"/>
          <w:szCs w:val="24"/>
        </w:rPr>
        <w:t>ommittee to arrive at a judgement on the</w:t>
      </w:r>
      <w:r>
        <w:rPr>
          <w:sz w:val="24"/>
          <w:szCs w:val="24"/>
        </w:rPr>
        <w:t xml:space="preserve"> balance of probabilities</w:t>
      </w:r>
      <w:r w:rsidR="00686BA5">
        <w:rPr>
          <w:sz w:val="24"/>
          <w:szCs w:val="24"/>
        </w:rPr>
        <w:t>, in a pragmatic way,</w:t>
      </w:r>
      <w:r>
        <w:rPr>
          <w:sz w:val="24"/>
          <w:szCs w:val="24"/>
        </w:rPr>
        <w:t xml:space="preserve"> to resolve the uncertainties. </w:t>
      </w:r>
    </w:p>
    <w:p w:rsidR="00BD6D53" w:rsidP="00BD6D53" w:rsidRDefault="00BD6D53" w14:paraId="4FC7DDA9" w14:textId="4650BFA5">
      <w:pPr>
        <w:pStyle w:val="Paragraph"/>
        <w:rPr>
          <w:sz w:val="24"/>
          <w:szCs w:val="24"/>
        </w:rPr>
      </w:pPr>
      <w:r>
        <w:rPr>
          <w:sz w:val="24"/>
          <w:szCs w:val="24"/>
        </w:rPr>
        <w:t>Giles Monnickendam</w:t>
      </w:r>
      <w:r w:rsidR="00D23FBA">
        <w:rPr>
          <w:sz w:val="24"/>
          <w:szCs w:val="24"/>
        </w:rPr>
        <w:t>, for NICE</w:t>
      </w:r>
      <w:r w:rsidR="00DD39D0">
        <w:rPr>
          <w:sz w:val="24"/>
          <w:szCs w:val="24"/>
        </w:rPr>
        <w:t>,</w:t>
      </w:r>
      <w:r>
        <w:rPr>
          <w:sz w:val="24"/>
          <w:szCs w:val="24"/>
        </w:rPr>
        <w:t xml:space="preserve"> explained in detail the </w:t>
      </w:r>
      <w:r w:rsidR="001474E7">
        <w:rPr>
          <w:sz w:val="24"/>
          <w:szCs w:val="24"/>
        </w:rPr>
        <w:t>c</w:t>
      </w:r>
      <w:r>
        <w:rPr>
          <w:sz w:val="24"/>
          <w:szCs w:val="24"/>
        </w:rPr>
        <w:t xml:space="preserve">ommittee's view as to the appropriateness of adopting the ratio method. He explained that the </w:t>
      </w:r>
      <w:r w:rsidR="001474E7">
        <w:rPr>
          <w:sz w:val="24"/>
          <w:szCs w:val="24"/>
        </w:rPr>
        <w:t>c</w:t>
      </w:r>
      <w:r>
        <w:rPr>
          <w:sz w:val="24"/>
          <w:szCs w:val="24"/>
        </w:rPr>
        <w:t xml:space="preserve">ommittee was clear that it did not consider it appropriate to use PFS as equal to time-on-treatment in either model. The question for the </w:t>
      </w:r>
      <w:r w:rsidR="001474E7">
        <w:rPr>
          <w:sz w:val="24"/>
          <w:szCs w:val="24"/>
        </w:rPr>
        <w:t>c</w:t>
      </w:r>
      <w:r>
        <w:rPr>
          <w:sz w:val="24"/>
          <w:szCs w:val="24"/>
        </w:rPr>
        <w:t xml:space="preserve">ommittee was whether to use the ratio method in both arms, or to use the ratio method in one arm and model the Kaplan Meier curve in the other arm. </w:t>
      </w:r>
      <w:r w:rsidRPr="0023137E">
        <w:rPr>
          <w:sz w:val="24"/>
          <w:szCs w:val="24"/>
        </w:rPr>
        <w:t xml:space="preserve">The </w:t>
      </w:r>
      <w:r w:rsidR="001474E7">
        <w:rPr>
          <w:sz w:val="24"/>
          <w:szCs w:val="24"/>
        </w:rPr>
        <w:t>c</w:t>
      </w:r>
      <w:r w:rsidRPr="0023137E">
        <w:rPr>
          <w:sz w:val="24"/>
          <w:szCs w:val="24"/>
        </w:rPr>
        <w:t xml:space="preserve">ommittee </w:t>
      </w:r>
      <w:r w:rsidRPr="0023137E" w:rsidR="0019294B">
        <w:rPr>
          <w:sz w:val="24"/>
          <w:szCs w:val="24"/>
        </w:rPr>
        <w:t xml:space="preserve">considered the </w:t>
      </w:r>
      <w:proofErr w:type="gramStart"/>
      <w:r w:rsidRPr="0023137E" w:rsidR="0019294B">
        <w:rPr>
          <w:sz w:val="24"/>
          <w:szCs w:val="24"/>
        </w:rPr>
        <w:t>options</w:t>
      </w:r>
      <w:r w:rsidRPr="0023137E">
        <w:rPr>
          <w:sz w:val="24"/>
          <w:szCs w:val="24"/>
        </w:rPr>
        <w:t>, and</w:t>
      </w:r>
      <w:proofErr w:type="gramEnd"/>
      <w:r w:rsidRPr="0023137E">
        <w:rPr>
          <w:sz w:val="24"/>
          <w:szCs w:val="24"/>
        </w:rPr>
        <w:t xml:space="preserve"> considered it to be a marginal decision. The </w:t>
      </w:r>
      <w:r w:rsidR="001474E7">
        <w:rPr>
          <w:sz w:val="24"/>
          <w:szCs w:val="24"/>
        </w:rPr>
        <w:t>c</w:t>
      </w:r>
      <w:r w:rsidRPr="0023137E">
        <w:rPr>
          <w:sz w:val="24"/>
          <w:szCs w:val="24"/>
        </w:rPr>
        <w:t xml:space="preserve">ommittee ultimately preferred to use </w:t>
      </w:r>
      <w:r w:rsidRPr="0023137E" w:rsidR="0019294B">
        <w:rPr>
          <w:sz w:val="24"/>
          <w:szCs w:val="24"/>
        </w:rPr>
        <w:t>the Kaplan Meier data for one arm</w:t>
      </w:r>
      <w:r w:rsidRPr="0023137E">
        <w:rPr>
          <w:sz w:val="24"/>
          <w:szCs w:val="24"/>
        </w:rPr>
        <w:t>. That</w:t>
      </w:r>
      <w:r>
        <w:rPr>
          <w:sz w:val="24"/>
          <w:szCs w:val="24"/>
        </w:rPr>
        <w:t xml:space="preserve"> is because the </w:t>
      </w:r>
      <w:r w:rsidR="001474E7">
        <w:rPr>
          <w:sz w:val="24"/>
          <w:szCs w:val="24"/>
        </w:rPr>
        <w:t>c</w:t>
      </w:r>
      <w:r>
        <w:rPr>
          <w:sz w:val="24"/>
          <w:szCs w:val="24"/>
        </w:rPr>
        <w:t xml:space="preserve">ommittee wanted to be able to analyse the data itself. He acknowledged </w:t>
      </w:r>
      <w:r w:rsidR="001474E7">
        <w:rPr>
          <w:sz w:val="24"/>
          <w:szCs w:val="24"/>
        </w:rPr>
        <w:t>Regen</w:t>
      </w:r>
      <w:r w:rsidR="00975F9F">
        <w:rPr>
          <w:sz w:val="24"/>
          <w:szCs w:val="24"/>
        </w:rPr>
        <w:t>eron’s</w:t>
      </w:r>
      <w:r>
        <w:rPr>
          <w:sz w:val="24"/>
          <w:szCs w:val="24"/>
        </w:rPr>
        <w:t xml:space="preserve"> concern that using the ratio method in one arm and modelling the Kaplan Meier curve in the other creates potential for bias</w:t>
      </w:r>
      <w:r w:rsidR="000020B3">
        <w:rPr>
          <w:sz w:val="24"/>
          <w:szCs w:val="24"/>
        </w:rPr>
        <w:t>,</w:t>
      </w:r>
      <w:r>
        <w:rPr>
          <w:sz w:val="24"/>
          <w:szCs w:val="24"/>
        </w:rPr>
        <w:t xml:space="preserve"> </w:t>
      </w:r>
      <w:r w:rsidR="005A6A53">
        <w:rPr>
          <w:sz w:val="24"/>
          <w:szCs w:val="24"/>
        </w:rPr>
        <w:t xml:space="preserve">and this </w:t>
      </w:r>
      <w:r>
        <w:rPr>
          <w:sz w:val="24"/>
          <w:szCs w:val="24"/>
        </w:rPr>
        <w:t xml:space="preserve">is </w:t>
      </w:r>
      <w:r w:rsidR="00686BA5">
        <w:rPr>
          <w:sz w:val="24"/>
          <w:szCs w:val="24"/>
        </w:rPr>
        <w:t xml:space="preserve">acknowledged </w:t>
      </w:r>
      <w:r>
        <w:rPr>
          <w:sz w:val="24"/>
          <w:szCs w:val="24"/>
        </w:rPr>
        <w:t xml:space="preserve">in the </w:t>
      </w:r>
      <w:r w:rsidR="003C14DF">
        <w:rPr>
          <w:sz w:val="24"/>
          <w:szCs w:val="24"/>
        </w:rPr>
        <w:t>FDG</w:t>
      </w:r>
      <w:r>
        <w:rPr>
          <w:sz w:val="24"/>
          <w:szCs w:val="24"/>
        </w:rPr>
        <w:t xml:space="preserve">.  In reviewing the actual data in the models, the </w:t>
      </w:r>
      <w:r w:rsidR="00975F9F">
        <w:rPr>
          <w:sz w:val="24"/>
          <w:szCs w:val="24"/>
        </w:rPr>
        <w:t>c</w:t>
      </w:r>
      <w:r>
        <w:rPr>
          <w:sz w:val="24"/>
          <w:szCs w:val="24"/>
        </w:rPr>
        <w:t>ommittee did not consider that the two approaches would give radically different results and so were not concerned</w:t>
      </w:r>
      <w:r w:rsidR="00686BA5">
        <w:rPr>
          <w:sz w:val="24"/>
          <w:szCs w:val="24"/>
        </w:rPr>
        <w:t xml:space="preserve"> that using the different methods would</w:t>
      </w:r>
      <w:r>
        <w:rPr>
          <w:sz w:val="24"/>
          <w:szCs w:val="24"/>
        </w:rPr>
        <w:t xml:space="preserve"> </w:t>
      </w:r>
      <w:r w:rsidR="00403CC5">
        <w:rPr>
          <w:sz w:val="24"/>
          <w:szCs w:val="24"/>
        </w:rPr>
        <w:t xml:space="preserve">introduce </w:t>
      </w:r>
      <w:r>
        <w:rPr>
          <w:sz w:val="24"/>
          <w:szCs w:val="24"/>
        </w:rPr>
        <w:t>large bias.</w:t>
      </w:r>
    </w:p>
    <w:p w:rsidR="00BD6D53" w:rsidP="00BD6D53" w:rsidRDefault="00BD6D53" w14:paraId="5B4B2460" w14:textId="68E97314">
      <w:pPr>
        <w:pStyle w:val="Paragraph"/>
        <w:rPr>
          <w:sz w:val="24"/>
          <w:szCs w:val="24"/>
        </w:rPr>
      </w:pPr>
      <w:r>
        <w:rPr>
          <w:sz w:val="24"/>
          <w:szCs w:val="24"/>
        </w:rPr>
        <w:t xml:space="preserve">Explaining how a Markov model would have assisted </w:t>
      </w:r>
      <w:r w:rsidR="00A91D8D">
        <w:rPr>
          <w:sz w:val="24"/>
          <w:szCs w:val="24"/>
        </w:rPr>
        <w:t>Regeneron</w:t>
      </w:r>
      <w:r>
        <w:rPr>
          <w:sz w:val="24"/>
          <w:szCs w:val="24"/>
        </w:rPr>
        <w:t xml:space="preserve"> in this regard</w:t>
      </w:r>
      <w:r w:rsidR="005A6A53">
        <w:rPr>
          <w:sz w:val="24"/>
          <w:szCs w:val="24"/>
        </w:rPr>
        <w:t xml:space="preserve"> </w:t>
      </w:r>
      <w:r>
        <w:rPr>
          <w:sz w:val="24"/>
          <w:szCs w:val="24"/>
        </w:rPr>
        <w:t xml:space="preserve">he accepted that it would have been practical and valid to connect </w:t>
      </w:r>
      <w:r w:rsidR="005A6A53">
        <w:rPr>
          <w:sz w:val="24"/>
          <w:szCs w:val="24"/>
        </w:rPr>
        <w:t xml:space="preserve">the ratio </w:t>
      </w:r>
      <w:r w:rsidR="004A1F65">
        <w:rPr>
          <w:sz w:val="24"/>
          <w:szCs w:val="24"/>
        </w:rPr>
        <w:t xml:space="preserve">of </w:t>
      </w:r>
      <w:r>
        <w:rPr>
          <w:sz w:val="24"/>
          <w:szCs w:val="24"/>
        </w:rPr>
        <w:t>time-on-treatment and efficacy</w:t>
      </w:r>
      <w:r w:rsidR="007237CD">
        <w:rPr>
          <w:sz w:val="24"/>
          <w:szCs w:val="24"/>
        </w:rPr>
        <w:t xml:space="preserve">. But given that no Markov model was presented, this was a moot point. </w:t>
      </w:r>
      <w:r w:rsidR="004A1F65">
        <w:rPr>
          <w:sz w:val="24"/>
          <w:szCs w:val="24"/>
        </w:rPr>
        <w:t>Giles Monnickendam</w:t>
      </w:r>
      <w:r w:rsidDel="004A1F65" w:rsidR="004A1F65">
        <w:rPr>
          <w:sz w:val="24"/>
          <w:szCs w:val="24"/>
        </w:rPr>
        <w:t xml:space="preserve"> </w:t>
      </w:r>
      <w:r w:rsidR="004A1F65">
        <w:rPr>
          <w:sz w:val="24"/>
          <w:szCs w:val="24"/>
        </w:rPr>
        <w:t>said that had</w:t>
      </w:r>
      <w:r w:rsidR="007237CD">
        <w:rPr>
          <w:sz w:val="24"/>
          <w:szCs w:val="24"/>
        </w:rPr>
        <w:t xml:space="preserve"> </w:t>
      </w:r>
      <w:r w:rsidR="00D2037E">
        <w:rPr>
          <w:sz w:val="24"/>
          <w:szCs w:val="24"/>
        </w:rPr>
        <w:t>Regeneron</w:t>
      </w:r>
      <w:r w:rsidR="007237CD">
        <w:rPr>
          <w:sz w:val="24"/>
          <w:szCs w:val="24"/>
        </w:rPr>
        <w:t xml:space="preserve"> submitted a Markov model, using the ratio method in both arms, explaining why it considered that modelling to be an appropriate approach</w:t>
      </w:r>
      <w:r w:rsidR="004A1F65">
        <w:rPr>
          <w:sz w:val="24"/>
          <w:szCs w:val="24"/>
        </w:rPr>
        <w:t xml:space="preserve">, </w:t>
      </w:r>
      <w:r w:rsidR="007237CD">
        <w:rPr>
          <w:sz w:val="24"/>
          <w:szCs w:val="24"/>
        </w:rPr>
        <w:t xml:space="preserve">the </w:t>
      </w:r>
      <w:r w:rsidR="00975F9F">
        <w:rPr>
          <w:sz w:val="24"/>
          <w:szCs w:val="24"/>
        </w:rPr>
        <w:t>c</w:t>
      </w:r>
      <w:r w:rsidR="007237CD">
        <w:rPr>
          <w:sz w:val="24"/>
          <w:szCs w:val="24"/>
        </w:rPr>
        <w:t xml:space="preserve">ommittee would have been likely to accept that. </w:t>
      </w:r>
      <w:r w:rsidR="00686BA5">
        <w:rPr>
          <w:sz w:val="24"/>
          <w:szCs w:val="24"/>
        </w:rPr>
        <w:t>He said</w:t>
      </w:r>
      <w:r w:rsidR="007237CD">
        <w:rPr>
          <w:sz w:val="24"/>
          <w:szCs w:val="24"/>
        </w:rPr>
        <w:t xml:space="preserve"> the </w:t>
      </w:r>
      <w:r w:rsidR="00975F9F">
        <w:rPr>
          <w:sz w:val="24"/>
          <w:szCs w:val="24"/>
        </w:rPr>
        <w:t>c</w:t>
      </w:r>
      <w:r w:rsidR="007237CD">
        <w:rPr>
          <w:sz w:val="24"/>
          <w:szCs w:val="24"/>
        </w:rPr>
        <w:t xml:space="preserve">ommittee did not consider this to </w:t>
      </w:r>
      <w:r w:rsidR="00686BA5">
        <w:rPr>
          <w:sz w:val="24"/>
          <w:szCs w:val="24"/>
        </w:rPr>
        <w:t>be a fundamental issue for</w:t>
      </w:r>
      <w:r w:rsidR="007237CD">
        <w:rPr>
          <w:sz w:val="24"/>
          <w:szCs w:val="24"/>
        </w:rPr>
        <w:t xml:space="preserve"> the appraisal. </w:t>
      </w:r>
    </w:p>
    <w:p w:rsidR="007237CD" w:rsidP="00BD6D53" w:rsidRDefault="007237CD" w14:paraId="1D44BE2B" w14:textId="1CADF424">
      <w:pPr>
        <w:pStyle w:val="Paragraph"/>
        <w:rPr>
          <w:sz w:val="24"/>
          <w:szCs w:val="24"/>
        </w:rPr>
      </w:pPr>
      <w:r>
        <w:rPr>
          <w:sz w:val="24"/>
          <w:szCs w:val="24"/>
        </w:rPr>
        <w:t xml:space="preserve">In response to a question from the Panel, Giles Monnickendam explained that the EAG had preferred the ratio method but that there were concerns in the data at the first committee meeting which resulted in the </w:t>
      </w:r>
      <w:r w:rsidR="00975F9F">
        <w:rPr>
          <w:sz w:val="24"/>
          <w:szCs w:val="24"/>
        </w:rPr>
        <w:t>c</w:t>
      </w:r>
      <w:r>
        <w:rPr>
          <w:sz w:val="24"/>
          <w:szCs w:val="24"/>
        </w:rPr>
        <w:t xml:space="preserve">ommittee being unable to rely on it. </w:t>
      </w:r>
    </w:p>
    <w:p w:rsidR="007237CD" w:rsidP="00BD6D53" w:rsidRDefault="00D2037E" w14:paraId="7416AFD3" w14:textId="6611EA60">
      <w:pPr>
        <w:pStyle w:val="Paragraph"/>
        <w:rPr>
          <w:sz w:val="24"/>
          <w:szCs w:val="24"/>
        </w:rPr>
      </w:pPr>
      <w:r>
        <w:rPr>
          <w:sz w:val="24"/>
          <w:szCs w:val="24"/>
        </w:rPr>
        <w:t xml:space="preserve">Dr </w:t>
      </w:r>
      <w:r w:rsidR="007237CD">
        <w:rPr>
          <w:sz w:val="24"/>
          <w:szCs w:val="24"/>
        </w:rPr>
        <w:t xml:space="preserve">Vanessa Buchanan explained that there were three options available to model time-on-treatment: (1) to assume that time-on treatment was equal to PFS in both arms, (2) the ratio method (which resulted in c.50% higher time on treatment for cemiplimab vs pembrolizumab); or (3) was to use the Kaplan Meier data for cemiplimab and the ratio method for pembrolizumab. The existence of the three options is not acknowledged in the </w:t>
      </w:r>
      <w:r w:rsidR="003C14DF">
        <w:rPr>
          <w:sz w:val="24"/>
          <w:szCs w:val="24"/>
        </w:rPr>
        <w:t>FDG</w:t>
      </w:r>
      <w:r w:rsidR="007237CD">
        <w:rPr>
          <w:sz w:val="24"/>
          <w:szCs w:val="24"/>
        </w:rPr>
        <w:t xml:space="preserve"> </w:t>
      </w:r>
    </w:p>
    <w:p w:rsidR="007237CD" w:rsidP="00BD6D53" w:rsidRDefault="007237CD" w14:paraId="359ACF2A" w14:textId="35B9F507">
      <w:pPr>
        <w:pStyle w:val="Paragraph"/>
        <w:rPr>
          <w:sz w:val="24"/>
          <w:szCs w:val="24"/>
        </w:rPr>
      </w:pPr>
      <w:r>
        <w:rPr>
          <w:sz w:val="24"/>
          <w:szCs w:val="24"/>
        </w:rPr>
        <w:t xml:space="preserve">Instead, </w:t>
      </w:r>
      <w:r w:rsidR="00833DC8">
        <w:rPr>
          <w:sz w:val="24"/>
          <w:szCs w:val="24"/>
        </w:rPr>
        <w:t xml:space="preserve">Dr </w:t>
      </w:r>
      <w:r>
        <w:rPr>
          <w:sz w:val="24"/>
          <w:szCs w:val="24"/>
        </w:rPr>
        <w:t xml:space="preserve">Vanessa Buchanan </w:t>
      </w:r>
      <w:r w:rsidR="00686BA5">
        <w:rPr>
          <w:sz w:val="24"/>
          <w:szCs w:val="24"/>
        </w:rPr>
        <w:t>said</w:t>
      </w:r>
      <w:r>
        <w:rPr>
          <w:sz w:val="24"/>
          <w:szCs w:val="24"/>
        </w:rPr>
        <w:t xml:space="preserve"> that the </w:t>
      </w:r>
      <w:r w:rsidR="003C14DF">
        <w:rPr>
          <w:sz w:val="24"/>
          <w:szCs w:val="24"/>
        </w:rPr>
        <w:t>FDG</w:t>
      </w:r>
      <w:r>
        <w:rPr>
          <w:sz w:val="24"/>
          <w:szCs w:val="24"/>
        </w:rPr>
        <w:t xml:space="preserve"> </w:t>
      </w:r>
      <w:r w:rsidR="00686BA5">
        <w:rPr>
          <w:sz w:val="24"/>
          <w:szCs w:val="24"/>
        </w:rPr>
        <w:t>gave the impression</w:t>
      </w:r>
      <w:r>
        <w:rPr>
          <w:sz w:val="24"/>
          <w:szCs w:val="24"/>
        </w:rPr>
        <w:t xml:space="preserve"> that the </w:t>
      </w:r>
      <w:r w:rsidR="005D5068">
        <w:rPr>
          <w:sz w:val="24"/>
          <w:szCs w:val="24"/>
        </w:rPr>
        <w:t>c</w:t>
      </w:r>
      <w:r>
        <w:rPr>
          <w:sz w:val="24"/>
          <w:szCs w:val="24"/>
        </w:rPr>
        <w:t xml:space="preserve">ommittee would only ever have considered the Kaplan Meier data for modelling cemiplimab. It may be that this is a poorly worded </w:t>
      </w:r>
      <w:r w:rsidR="003C14DF">
        <w:rPr>
          <w:sz w:val="24"/>
          <w:szCs w:val="24"/>
        </w:rPr>
        <w:t>FDG</w:t>
      </w:r>
      <w:r>
        <w:rPr>
          <w:sz w:val="24"/>
          <w:szCs w:val="24"/>
        </w:rPr>
        <w:t xml:space="preserve">, rather than NICE's real intention. She described that </w:t>
      </w:r>
      <w:r w:rsidR="00833DC8">
        <w:rPr>
          <w:sz w:val="24"/>
          <w:szCs w:val="24"/>
        </w:rPr>
        <w:t>Regeneron</w:t>
      </w:r>
      <w:r>
        <w:rPr>
          <w:sz w:val="24"/>
          <w:szCs w:val="24"/>
        </w:rPr>
        <w:t xml:space="preserve"> did not understand why the ratio method </w:t>
      </w:r>
      <w:r w:rsidR="004A1F65">
        <w:rPr>
          <w:sz w:val="24"/>
          <w:szCs w:val="24"/>
        </w:rPr>
        <w:t>w</w:t>
      </w:r>
      <w:r>
        <w:rPr>
          <w:sz w:val="24"/>
          <w:szCs w:val="24"/>
        </w:rPr>
        <w:t xml:space="preserve">as not acceptable. She emphasised that it was a conservative approach, because in the atezolizumab appraisal, the pembrolizumab time-on-treatment tracked above the PFS after the initial six months and so the change of the curve changed drastically thereafter. </w:t>
      </w:r>
      <w:r w:rsidR="004A1F65">
        <w:rPr>
          <w:sz w:val="24"/>
          <w:szCs w:val="24"/>
        </w:rPr>
        <w:t>S</w:t>
      </w:r>
      <w:r>
        <w:rPr>
          <w:sz w:val="24"/>
          <w:szCs w:val="24"/>
        </w:rPr>
        <w:t xml:space="preserve">he said </w:t>
      </w:r>
      <w:r w:rsidR="004A1F65">
        <w:rPr>
          <w:sz w:val="24"/>
          <w:szCs w:val="24"/>
        </w:rPr>
        <w:t xml:space="preserve">that </w:t>
      </w:r>
      <w:r>
        <w:rPr>
          <w:sz w:val="24"/>
          <w:szCs w:val="24"/>
        </w:rPr>
        <w:t xml:space="preserve">if the </w:t>
      </w:r>
      <w:r w:rsidR="005D5068">
        <w:rPr>
          <w:sz w:val="24"/>
          <w:szCs w:val="24"/>
        </w:rPr>
        <w:t>c</w:t>
      </w:r>
      <w:r>
        <w:rPr>
          <w:sz w:val="24"/>
          <w:szCs w:val="24"/>
        </w:rPr>
        <w:t xml:space="preserve">ommittee was persuaded that immunotherapy post-progression could impact PPS survival, why did it not accept the PPS immunotherapies received by pembrolizumab patients in the KEYNOTE studies. </w:t>
      </w:r>
    </w:p>
    <w:p w:rsidRPr="000E42A0" w:rsidR="007237CD" w:rsidP="00BD6D53" w:rsidRDefault="007237CD" w14:paraId="6856BA0E" w14:textId="68D25773">
      <w:pPr>
        <w:pStyle w:val="Paragraph"/>
        <w:rPr>
          <w:sz w:val="24"/>
          <w:szCs w:val="24"/>
        </w:rPr>
      </w:pPr>
      <w:r>
        <w:rPr>
          <w:sz w:val="24"/>
          <w:szCs w:val="24"/>
        </w:rPr>
        <w:t xml:space="preserve">Ross Dent, for </w:t>
      </w:r>
      <w:r w:rsidR="00833DC8">
        <w:rPr>
          <w:sz w:val="24"/>
          <w:szCs w:val="24"/>
        </w:rPr>
        <w:t>NICE</w:t>
      </w:r>
      <w:r>
        <w:rPr>
          <w:sz w:val="24"/>
          <w:szCs w:val="24"/>
        </w:rPr>
        <w:t xml:space="preserve">, said that there was no significant disagreement here between the </w:t>
      </w:r>
      <w:r w:rsidR="001B51B6">
        <w:rPr>
          <w:sz w:val="24"/>
          <w:szCs w:val="24"/>
        </w:rPr>
        <w:t>C</w:t>
      </w:r>
      <w:r>
        <w:rPr>
          <w:sz w:val="24"/>
          <w:szCs w:val="24"/>
        </w:rPr>
        <w:t xml:space="preserve">ommittee and </w:t>
      </w:r>
      <w:r w:rsidR="00833DC8">
        <w:rPr>
          <w:sz w:val="24"/>
          <w:szCs w:val="24"/>
        </w:rPr>
        <w:t>Regeneron</w:t>
      </w:r>
      <w:r>
        <w:rPr>
          <w:sz w:val="24"/>
          <w:szCs w:val="24"/>
        </w:rPr>
        <w:t xml:space="preserve">. The </w:t>
      </w:r>
      <w:r w:rsidR="001B51B6">
        <w:rPr>
          <w:sz w:val="24"/>
          <w:szCs w:val="24"/>
        </w:rPr>
        <w:t>C</w:t>
      </w:r>
      <w:r>
        <w:rPr>
          <w:sz w:val="24"/>
          <w:szCs w:val="24"/>
        </w:rPr>
        <w:t xml:space="preserve">ommittee did not consider that the different approaches would have a big impact </w:t>
      </w:r>
      <w:r w:rsidRPr="000E42A0">
        <w:rPr>
          <w:sz w:val="24"/>
          <w:szCs w:val="24"/>
        </w:rPr>
        <w:t xml:space="preserve">on the results – but that the </w:t>
      </w:r>
      <w:r w:rsidR="007347F3">
        <w:rPr>
          <w:sz w:val="24"/>
          <w:szCs w:val="24"/>
        </w:rPr>
        <w:t>c</w:t>
      </w:r>
      <w:r w:rsidRPr="000E42A0">
        <w:rPr>
          <w:sz w:val="24"/>
          <w:szCs w:val="24"/>
        </w:rPr>
        <w:t xml:space="preserve">ommittee wanted to see the data available to </w:t>
      </w:r>
      <w:r w:rsidRPr="000E42A0" w:rsidR="00972544">
        <w:rPr>
          <w:sz w:val="24"/>
          <w:szCs w:val="24"/>
        </w:rPr>
        <w:t xml:space="preserve">examine the </w:t>
      </w:r>
      <w:r w:rsidR="003D4120">
        <w:rPr>
          <w:sz w:val="24"/>
          <w:szCs w:val="24"/>
        </w:rPr>
        <w:t>results.</w:t>
      </w:r>
      <w:r w:rsidRPr="000E42A0" w:rsidR="00972544">
        <w:rPr>
          <w:sz w:val="24"/>
          <w:szCs w:val="24"/>
        </w:rPr>
        <w:t xml:space="preserve"> </w:t>
      </w:r>
    </w:p>
    <w:p w:rsidRPr="000E42A0" w:rsidR="00686BA5" w:rsidP="00BD6D53" w:rsidRDefault="00686BA5" w14:paraId="1EB56940" w14:textId="32EB7E55">
      <w:pPr>
        <w:pStyle w:val="Paragraph"/>
        <w:rPr>
          <w:sz w:val="24"/>
          <w:szCs w:val="24"/>
        </w:rPr>
      </w:pPr>
      <w:r w:rsidRPr="000E42A0">
        <w:rPr>
          <w:sz w:val="24"/>
          <w:szCs w:val="24"/>
        </w:rPr>
        <w:t xml:space="preserve">In response to a question from the </w:t>
      </w:r>
      <w:r w:rsidR="007347F3">
        <w:rPr>
          <w:sz w:val="24"/>
          <w:szCs w:val="24"/>
        </w:rPr>
        <w:t xml:space="preserve">panel </w:t>
      </w:r>
      <w:r w:rsidRPr="000E42A0" w:rsidR="004B21E4">
        <w:rPr>
          <w:sz w:val="24"/>
          <w:szCs w:val="24"/>
        </w:rPr>
        <w:t xml:space="preserve">as to whether </w:t>
      </w:r>
      <w:r w:rsidR="00833DC8">
        <w:rPr>
          <w:sz w:val="24"/>
          <w:szCs w:val="24"/>
        </w:rPr>
        <w:t>Regeneron</w:t>
      </w:r>
      <w:r w:rsidRPr="000E42A0" w:rsidR="004B21E4">
        <w:rPr>
          <w:sz w:val="24"/>
          <w:szCs w:val="24"/>
        </w:rPr>
        <w:t xml:space="preserve"> was asked for data and declined to provide it</w:t>
      </w:r>
      <w:r w:rsidRPr="000E42A0">
        <w:rPr>
          <w:sz w:val="24"/>
          <w:szCs w:val="24"/>
        </w:rPr>
        <w:t xml:space="preserve">, </w:t>
      </w:r>
      <w:r w:rsidR="00833DC8">
        <w:rPr>
          <w:sz w:val="24"/>
          <w:szCs w:val="24"/>
        </w:rPr>
        <w:t xml:space="preserve">Dr </w:t>
      </w:r>
      <w:r w:rsidRPr="000E42A0">
        <w:rPr>
          <w:sz w:val="24"/>
          <w:szCs w:val="24"/>
        </w:rPr>
        <w:t xml:space="preserve">Vanessa Buchanan confirmed that </w:t>
      </w:r>
      <w:r w:rsidR="007347F3">
        <w:rPr>
          <w:sz w:val="24"/>
          <w:szCs w:val="24"/>
        </w:rPr>
        <w:t>R</w:t>
      </w:r>
      <w:r w:rsidR="00833DC8">
        <w:rPr>
          <w:sz w:val="24"/>
          <w:szCs w:val="24"/>
        </w:rPr>
        <w:t>egeneron</w:t>
      </w:r>
      <w:r w:rsidRPr="000E42A0" w:rsidR="004B21E4">
        <w:rPr>
          <w:sz w:val="24"/>
          <w:szCs w:val="24"/>
        </w:rPr>
        <w:t xml:space="preserve"> thought the issue would make little difference, and so they focused their efforts on other things.</w:t>
      </w:r>
    </w:p>
    <w:p w:rsidRPr="000E42A0" w:rsidR="009C3D10" w:rsidP="009C3D10" w:rsidRDefault="009C3D10" w14:paraId="4944EB4A" w14:textId="5EC906C5">
      <w:pPr>
        <w:pStyle w:val="Paragraph"/>
        <w:rPr>
          <w:sz w:val="24"/>
          <w:szCs w:val="24"/>
        </w:rPr>
      </w:pPr>
      <w:r w:rsidRPr="000E42A0">
        <w:rPr>
          <w:sz w:val="24"/>
          <w:szCs w:val="24"/>
        </w:rPr>
        <w:t xml:space="preserve">The </w:t>
      </w:r>
      <w:r w:rsidR="007347F3">
        <w:rPr>
          <w:sz w:val="24"/>
          <w:szCs w:val="24"/>
        </w:rPr>
        <w:t>a</w:t>
      </w:r>
      <w:r w:rsidR="007C4A83">
        <w:rPr>
          <w:sz w:val="24"/>
          <w:szCs w:val="24"/>
        </w:rPr>
        <w:t xml:space="preserve">ppeal </w:t>
      </w:r>
      <w:r w:rsidR="007347F3">
        <w:rPr>
          <w:sz w:val="24"/>
          <w:szCs w:val="24"/>
        </w:rPr>
        <w:t>p</w:t>
      </w:r>
      <w:r w:rsidR="007C4A83">
        <w:rPr>
          <w:sz w:val="24"/>
          <w:szCs w:val="24"/>
        </w:rPr>
        <w:t>anel</w:t>
      </w:r>
      <w:r w:rsidRPr="000E42A0">
        <w:rPr>
          <w:sz w:val="24"/>
          <w:szCs w:val="24"/>
        </w:rPr>
        <w:t xml:space="preserve"> concluded as follows</w:t>
      </w:r>
      <w:r w:rsidR="007347F3">
        <w:rPr>
          <w:sz w:val="24"/>
          <w:szCs w:val="24"/>
        </w:rPr>
        <w:t>.</w:t>
      </w:r>
    </w:p>
    <w:p w:rsidRPr="000E42A0" w:rsidR="00472A20" w:rsidP="00472A20" w:rsidRDefault="00833DC8" w14:paraId="26558DB4" w14:textId="29464230">
      <w:pPr>
        <w:pStyle w:val="Paragraph"/>
        <w:rPr>
          <w:sz w:val="24"/>
          <w:szCs w:val="24"/>
        </w:rPr>
      </w:pPr>
      <w:r>
        <w:rPr>
          <w:sz w:val="24"/>
          <w:szCs w:val="24"/>
        </w:rPr>
        <w:t>Regeneron</w:t>
      </w:r>
      <w:r w:rsidRPr="000E42A0" w:rsidR="0042290C">
        <w:rPr>
          <w:sz w:val="24"/>
          <w:szCs w:val="24"/>
        </w:rPr>
        <w:t xml:space="preserve"> </w:t>
      </w:r>
      <w:r w:rsidRPr="000E42A0" w:rsidR="00472A20">
        <w:rPr>
          <w:sz w:val="24"/>
          <w:szCs w:val="24"/>
        </w:rPr>
        <w:t>argue</w:t>
      </w:r>
      <w:r w:rsidR="0023137E">
        <w:rPr>
          <w:sz w:val="24"/>
          <w:szCs w:val="24"/>
        </w:rPr>
        <w:t>d</w:t>
      </w:r>
      <w:r w:rsidRPr="000E42A0" w:rsidR="00472A20">
        <w:rPr>
          <w:sz w:val="24"/>
          <w:szCs w:val="24"/>
        </w:rPr>
        <w:t xml:space="preserve"> that the </w:t>
      </w:r>
      <w:r w:rsidR="007347F3">
        <w:rPr>
          <w:sz w:val="24"/>
          <w:szCs w:val="24"/>
        </w:rPr>
        <w:t>c</w:t>
      </w:r>
      <w:r w:rsidRPr="000E42A0" w:rsidR="00472A20">
        <w:rPr>
          <w:sz w:val="24"/>
          <w:szCs w:val="24"/>
        </w:rPr>
        <w:t xml:space="preserve">ommittee’s approach to modelling </w:t>
      </w:r>
      <w:r w:rsidRPr="000E42A0" w:rsidR="007C4A83">
        <w:rPr>
          <w:sz w:val="24"/>
          <w:szCs w:val="24"/>
        </w:rPr>
        <w:t>time</w:t>
      </w:r>
      <w:r w:rsidR="007C4A83">
        <w:rPr>
          <w:sz w:val="24"/>
          <w:szCs w:val="24"/>
        </w:rPr>
        <w:t>-</w:t>
      </w:r>
      <w:r w:rsidRPr="000E42A0" w:rsidR="007C4A83">
        <w:rPr>
          <w:sz w:val="24"/>
          <w:szCs w:val="24"/>
        </w:rPr>
        <w:t>on</w:t>
      </w:r>
      <w:r w:rsidR="007C4A83">
        <w:rPr>
          <w:sz w:val="24"/>
          <w:szCs w:val="24"/>
        </w:rPr>
        <w:t>-</w:t>
      </w:r>
      <w:r w:rsidRPr="000E42A0" w:rsidR="00472A20">
        <w:rPr>
          <w:sz w:val="24"/>
          <w:szCs w:val="24"/>
        </w:rPr>
        <w:t xml:space="preserve">treatment was unreasonable, internally inconsistent, and biased. Specifically, </w:t>
      </w:r>
      <w:r>
        <w:rPr>
          <w:sz w:val="24"/>
          <w:szCs w:val="24"/>
        </w:rPr>
        <w:t>Regeneron</w:t>
      </w:r>
      <w:r w:rsidRPr="000E42A0" w:rsidR="007C4A83">
        <w:rPr>
          <w:sz w:val="24"/>
          <w:szCs w:val="24"/>
        </w:rPr>
        <w:t xml:space="preserve"> </w:t>
      </w:r>
      <w:r w:rsidRPr="000E42A0" w:rsidR="00472A20">
        <w:rPr>
          <w:sz w:val="24"/>
          <w:szCs w:val="24"/>
        </w:rPr>
        <w:t>contends that PFS is a valid proxy for</w:t>
      </w:r>
      <w:r w:rsidR="007C4A83">
        <w:rPr>
          <w:sz w:val="24"/>
          <w:szCs w:val="24"/>
        </w:rPr>
        <w:t xml:space="preserve"> time-on-treatment</w:t>
      </w:r>
      <w:r w:rsidRPr="000E42A0" w:rsidR="00472A20">
        <w:rPr>
          <w:sz w:val="24"/>
          <w:szCs w:val="24"/>
        </w:rPr>
        <w:t xml:space="preserve"> and that the </w:t>
      </w:r>
      <w:r w:rsidR="007347F3">
        <w:rPr>
          <w:sz w:val="24"/>
          <w:szCs w:val="24"/>
        </w:rPr>
        <w:t>c</w:t>
      </w:r>
      <w:r w:rsidRPr="000E42A0" w:rsidR="00472A20">
        <w:rPr>
          <w:sz w:val="24"/>
          <w:szCs w:val="24"/>
        </w:rPr>
        <w:t>ommittee’s request for alternative modelling was unjustified.</w:t>
      </w:r>
    </w:p>
    <w:p w:rsidRPr="000E42A0" w:rsidR="00AF7536" w:rsidP="00AF7536" w:rsidRDefault="00472A20" w14:paraId="69220D16" w14:textId="34414A23">
      <w:pPr>
        <w:pStyle w:val="Paragraph"/>
        <w:rPr>
          <w:sz w:val="24"/>
          <w:szCs w:val="24"/>
        </w:rPr>
      </w:pPr>
      <w:r w:rsidRPr="000E42A0">
        <w:rPr>
          <w:sz w:val="24"/>
          <w:szCs w:val="24"/>
        </w:rPr>
        <w:t xml:space="preserve">The </w:t>
      </w:r>
      <w:r w:rsidR="007347F3">
        <w:rPr>
          <w:sz w:val="24"/>
          <w:szCs w:val="24"/>
        </w:rPr>
        <w:t>p</w:t>
      </w:r>
      <w:r w:rsidRPr="000E42A0">
        <w:rPr>
          <w:sz w:val="24"/>
          <w:szCs w:val="24"/>
        </w:rPr>
        <w:t xml:space="preserve">anel was not persuaded by </w:t>
      </w:r>
      <w:r w:rsidR="00833DC8">
        <w:rPr>
          <w:sz w:val="24"/>
          <w:szCs w:val="24"/>
        </w:rPr>
        <w:t>Regeneron</w:t>
      </w:r>
      <w:r w:rsidRPr="000E42A0">
        <w:rPr>
          <w:sz w:val="24"/>
          <w:szCs w:val="24"/>
        </w:rPr>
        <w:t xml:space="preserve">’s assertion that PFS could be used interchangeably with </w:t>
      </w:r>
      <w:r w:rsidR="007C4A83">
        <w:rPr>
          <w:sz w:val="24"/>
          <w:szCs w:val="24"/>
        </w:rPr>
        <w:t>time-on-treatment</w:t>
      </w:r>
      <w:r w:rsidRPr="000E42A0">
        <w:rPr>
          <w:sz w:val="24"/>
          <w:szCs w:val="24"/>
        </w:rPr>
        <w:t xml:space="preserve">. While PFS and </w:t>
      </w:r>
      <w:r w:rsidR="007C4A83">
        <w:rPr>
          <w:sz w:val="24"/>
          <w:szCs w:val="24"/>
        </w:rPr>
        <w:t>time-on-treatment</w:t>
      </w:r>
      <w:r w:rsidRPr="000E42A0">
        <w:rPr>
          <w:sz w:val="24"/>
          <w:szCs w:val="24"/>
        </w:rPr>
        <w:t xml:space="preserve"> may be correlated in some contexts, they are distinct clinical endpoints. The EAG explicitly advised that the two should not be equated, noting that patients may discontinue treatment for reasons other than progression (e.g., toxicity, patient choice), and that treatment may continue beyond progression in some cases. This advice</w:t>
      </w:r>
      <w:r w:rsidR="0023137E">
        <w:rPr>
          <w:sz w:val="24"/>
          <w:szCs w:val="24"/>
        </w:rPr>
        <w:t xml:space="preserve"> </w:t>
      </w:r>
      <w:r w:rsidRPr="000E42A0">
        <w:rPr>
          <w:sz w:val="24"/>
          <w:szCs w:val="24"/>
        </w:rPr>
        <w:t>is reflected in FDG section</w:t>
      </w:r>
      <w:r w:rsidR="003155F2">
        <w:rPr>
          <w:sz w:val="24"/>
          <w:szCs w:val="24"/>
        </w:rPr>
        <w:t>s 3.9 and</w:t>
      </w:r>
      <w:r w:rsidRPr="000E42A0">
        <w:rPr>
          <w:sz w:val="24"/>
          <w:szCs w:val="24"/>
        </w:rPr>
        <w:t xml:space="preserve"> 3.13 and the slides</w:t>
      </w:r>
      <w:r w:rsidR="0023137E">
        <w:rPr>
          <w:sz w:val="24"/>
          <w:szCs w:val="24"/>
        </w:rPr>
        <w:t xml:space="preserve"> for the second committee meeting</w:t>
      </w:r>
      <w:r w:rsidRPr="000E42A0">
        <w:rPr>
          <w:sz w:val="24"/>
          <w:szCs w:val="24"/>
        </w:rPr>
        <w:t>.</w:t>
      </w:r>
    </w:p>
    <w:p w:rsidRPr="000E42A0" w:rsidR="00AF7536" w:rsidP="00AF7536" w:rsidRDefault="009D1C01" w14:paraId="0B9C51DC" w14:textId="5A5F2220">
      <w:pPr>
        <w:pStyle w:val="Paragraph"/>
        <w:rPr>
          <w:sz w:val="24"/>
          <w:szCs w:val="24"/>
        </w:rPr>
      </w:pPr>
      <w:r w:rsidRPr="000E42A0">
        <w:rPr>
          <w:sz w:val="24"/>
          <w:szCs w:val="24"/>
        </w:rPr>
        <w:t>The</w:t>
      </w:r>
      <w:r w:rsidR="001B4641">
        <w:rPr>
          <w:sz w:val="24"/>
          <w:szCs w:val="24"/>
        </w:rPr>
        <w:t xml:space="preserve"> </w:t>
      </w:r>
      <w:r w:rsidR="009F2758">
        <w:rPr>
          <w:sz w:val="24"/>
          <w:szCs w:val="24"/>
        </w:rPr>
        <w:t>p</w:t>
      </w:r>
      <w:r w:rsidRPr="000E42A0" w:rsidR="00DE682B">
        <w:rPr>
          <w:sz w:val="24"/>
          <w:szCs w:val="24"/>
        </w:rPr>
        <w:t xml:space="preserve">anel </w:t>
      </w:r>
      <w:r w:rsidRPr="000E42A0">
        <w:rPr>
          <w:sz w:val="24"/>
          <w:szCs w:val="24"/>
        </w:rPr>
        <w:t xml:space="preserve">considered </w:t>
      </w:r>
      <w:r w:rsidRPr="000E42A0" w:rsidR="00DE682B">
        <w:rPr>
          <w:sz w:val="24"/>
          <w:szCs w:val="24"/>
        </w:rPr>
        <w:t>th</w:t>
      </w:r>
      <w:r w:rsidR="00DE682B">
        <w:rPr>
          <w:sz w:val="24"/>
          <w:szCs w:val="24"/>
        </w:rPr>
        <w:t xml:space="preserve">at the </w:t>
      </w:r>
      <w:r w:rsidR="009F2758">
        <w:rPr>
          <w:sz w:val="24"/>
          <w:szCs w:val="24"/>
        </w:rPr>
        <w:t>c</w:t>
      </w:r>
      <w:r w:rsidR="00DE682B">
        <w:rPr>
          <w:sz w:val="24"/>
          <w:szCs w:val="24"/>
        </w:rPr>
        <w:t>ommittee had adopted a reasonable methodological approach.</w:t>
      </w:r>
      <w:r w:rsidRPr="000E42A0" w:rsidR="00472A20">
        <w:rPr>
          <w:sz w:val="24"/>
          <w:szCs w:val="24"/>
        </w:rPr>
        <w:t xml:space="preserve"> The </w:t>
      </w:r>
      <w:r w:rsidR="009F2758">
        <w:rPr>
          <w:sz w:val="24"/>
          <w:szCs w:val="24"/>
        </w:rPr>
        <w:t>c</w:t>
      </w:r>
      <w:r w:rsidRPr="000E42A0" w:rsidR="00472A20">
        <w:rPr>
          <w:sz w:val="24"/>
          <w:szCs w:val="24"/>
        </w:rPr>
        <w:t xml:space="preserve">ommittee requested that </w:t>
      </w:r>
      <w:r w:rsidR="007C4A83">
        <w:rPr>
          <w:sz w:val="24"/>
          <w:szCs w:val="24"/>
        </w:rPr>
        <w:t>time-on-treatment</w:t>
      </w:r>
      <w:r w:rsidRPr="000E42A0" w:rsidR="00472A20">
        <w:rPr>
          <w:sz w:val="24"/>
          <w:szCs w:val="24"/>
        </w:rPr>
        <w:t xml:space="preserve"> be modelled using observed trial data where </w:t>
      </w:r>
      <w:proofErr w:type="gramStart"/>
      <w:r w:rsidRPr="000E42A0" w:rsidR="00472A20">
        <w:rPr>
          <w:sz w:val="24"/>
          <w:szCs w:val="24"/>
        </w:rPr>
        <w:t>available, and</w:t>
      </w:r>
      <w:proofErr w:type="gramEnd"/>
      <w:r w:rsidRPr="000E42A0" w:rsidR="00472A20">
        <w:rPr>
          <w:sz w:val="24"/>
          <w:szCs w:val="24"/>
        </w:rPr>
        <w:t xml:space="preserve"> extrapolated separately from PFS. This approach is consistent with NICE’s technical guidance and avoids conflating distinct clinical events. The </w:t>
      </w:r>
      <w:r w:rsidR="009F2758">
        <w:rPr>
          <w:sz w:val="24"/>
          <w:szCs w:val="24"/>
        </w:rPr>
        <w:t>c</w:t>
      </w:r>
      <w:r w:rsidRPr="000E42A0" w:rsidR="00472A20">
        <w:rPr>
          <w:sz w:val="24"/>
          <w:szCs w:val="24"/>
        </w:rPr>
        <w:t xml:space="preserve">ommittee also considered alternative scenarios and sensitivity analyses to test the impact of different assumptions about </w:t>
      </w:r>
      <w:r w:rsidR="007C4A83">
        <w:rPr>
          <w:sz w:val="24"/>
          <w:szCs w:val="24"/>
        </w:rPr>
        <w:t>time-on-treatment</w:t>
      </w:r>
      <w:r w:rsidRPr="000E42A0" w:rsidR="00472A20">
        <w:rPr>
          <w:sz w:val="24"/>
          <w:szCs w:val="24"/>
        </w:rPr>
        <w:t>, as documented in FDG sections 3.13–3.14.</w:t>
      </w:r>
    </w:p>
    <w:p w:rsidRPr="000E42A0" w:rsidR="00472A20" w:rsidP="00AF7536" w:rsidRDefault="00472A20" w14:paraId="7750C252" w14:textId="3E558CF9">
      <w:pPr>
        <w:pStyle w:val="Paragraph"/>
        <w:rPr>
          <w:sz w:val="24"/>
          <w:szCs w:val="24"/>
        </w:rPr>
      </w:pPr>
      <w:r w:rsidRPr="000E42A0">
        <w:rPr>
          <w:sz w:val="24"/>
          <w:szCs w:val="24"/>
        </w:rPr>
        <w:t>The</w:t>
      </w:r>
      <w:r w:rsidR="001B4641">
        <w:rPr>
          <w:sz w:val="24"/>
          <w:szCs w:val="24"/>
        </w:rPr>
        <w:t xml:space="preserve"> </w:t>
      </w:r>
      <w:r w:rsidR="009F2758">
        <w:rPr>
          <w:sz w:val="24"/>
          <w:szCs w:val="24"/>
        </w:rPr>
        <w:t>p</w:t>
      </w:r>
      <w:r w:rsidRPr="000E42A0">
        <w:rPr>
          <w:sz w:val="24"/>
          <w:szCs w:val="24"/>
        </w:rPr>
        <w:t xml:space="preserve">anel found no evidence that the </w:t>
      </w:r>
      <w:r w:rsidR="009F2758">
        <w:rPr>
          <w:sz w:val="24"/>
          <w:szCs w:val="24"/>
        </w:rPr>
        <w:t>c</w:t>
      </w:r>
      <w:r w:rsidRPr="000E42A0">
        <w:rPr>
          <w:sz w:val="24"/>
          <w:szCs w:val="24"/>
        </w:rPr>
        <w:t xml:space="preserve">ommittee’s approach was internally inconsistent or biased. The </w:t>
      </w:r>
      <w:r w:rsidR="009F2758">
        <w:rPr>
          <w:sz w:val="24"/>
          <w:szCs w:val="24"/>
        </w:rPr>
        <w:t>c</w:t>
      </w:r>
      <w:r w:rsidRPr="000E42A0">
        <w:rPr>
          <w:sz w:val="24"/>
          <w:szCs w:val="24"/>
        </w:rPr>
        <w:t xml:space="preserve">ommittee applied the same principles to both cemiplimab and comparator treatments, and its request for separate </w:t>
      </w:r>
      <w:r w:rsidR="007C4A83">
        <w:rPr>
          <w:sz w:val="24"/>
          <w:szCs w:val="24"/>
        </w:rPr>
        <w:t>time-on-treatment</w:t>
      </w:r>
      <w:r w:rsidRPr="000E42A0">
        <w:rPr>
          <w:sz w:val="24"/>
          <w:szCs w:val="24"/>
        </w:rPr>
        <w:t xml:space="preserve"> modelling was based on a desire to improve the accuracy and plausibility of the cost-effectiveness estimates. The </w:t>
      </w:r>
      <w:r w:rsidR="009F2758">
        <w:rPr>
          <w:sz w:val="24"/>
          <w:szCs w:val="24"/>
        </w:rPr>
        <w:t>c</w:t>
      </w:r>
      <w:r w:rsidRPr="000E42A0">
        <w:rPr>
          <w:sz w:val="24"/>
          <w:szCs w:val="24"/>
        </w:rPr>
        <w:t>ommittee’s reasoning was clearly documented and transparently discussed.</w:t>
      </w:r>
    </w:p>
    <w:p w:rsidRPr="000E42A0" w:rsidR="00472A20" w:rsidP="00472A20" w:rsidRDefault="00AF7536" w14:paraId="703BC4AA" w14:textId="69F8C812">
      <w:pPr>
        <w:pStyle w:val="Paragraph"/>
        <w:rPr>
          <w:sz w:val="24"/>
          <w:szCs w:val="24"/>
        </w:rPr>
      </w:pPr>
      <w:r w:rsidRPr="000E42A0">
        <w:rPr>
          <w:sz w:val="24"/>
          <w:szCs w:val="24"/>
        </w:rPr>
        <w:t>Finally, t</w:t>
      </w:r>
      <w:r w:rsidRPr="000E42A0" w:rsidR="00472A20">
        <w:rPr>
          <w:sz w:val="24"/>
          <w:szCs w:val="24"/>
        </w:rPr>
        <w:t>he</w:t>
      </w:r>
      <w:r w:rsidR="0055058C">
        <w:rPr>
          <w:sz w:val="24"/>
          <w:szCs w:val="24"/>
        </w:rPr>
        <w:t xml:space="preserve"> </w:t>
      </w:r>
      <w:r w:rsidR="009F2758">
        <w:rPr>
          <w:sz w:val="24"/>
          <w:szCs w:val="24"/>
        </w:rPr>
        <w:t>p</w:t>
      </w:r>
      <w:r w:rsidRPr="000E42A0">
        <w:rPr>
          <w:sz w:val="24"/>
          <w:szCs w:val="24"/>
        </w:rPr>
        <w:t xml:space="preserve">anel found that the </w:t>
      </w:r>
      <w:r w:rsidR="009F2758">
        <w:rPr>
          <w:sz w:val="24"/>
          <w:szCs w:val="24"/>
        </w:rPr>
        <w:t>c</w:t>
      </w:r>
      <w:r w:rsidRPr="000E42A0" w:rsidR="00472A20">
        <w:rPr>
          <w:sz w:val="24"/>
          <w:szCs w:val="24"/>
        </w:rPr>
        <w:t xml:space="preserve">ommittee </w:t>
      </w:r>
      <w:r w:rsidRPr="000E42A0">
        <w:rPr>
          <w:sz w:val="24"/>
          <w:szCs w:val="24"/>
        </w:rPr>
        <w:t xml:space="preserve">had </w:t>
      </w:r>
      <w:r w:rsidRPr="000E42A0" w:rsidR="00472A20">
        <w:rPr>
          <w:sz w:val="24"/>
          <w:szCs w:val="24"/>
        </w:rPr>
        <w:t xml:space="preserve">explored the impact of different </w:t>
      </w:r>
      <w:r w:rsidR="007C4A83">
        <w:rPr>
          <w:sz w:val="24"/>
          <w:szCs w:val="24"/>
        </w:rPr>
        <w:t>time-on-treatment</w:t>
      </w:r>
      <w:r w:rsidRPr="000E42A0" w:rsidR="00472A20">
        <w:rPr>
          <w:sz w:val="24"/>
          <w:szCs w:val="24"/>
        </w:rPr>
        <w:t xml:space="preserve"> assumptions through sensitivity analysis, including scenarios where </w:t>
      </w:r>
      <w:r w:rsidR="007C4A83">
        <w:rPr>
          <w:sz w:val="24"/>
          <w:szCs w:val="24"/>
        </w:rPr>
        <w:t>time-on-treatment</w:t>
      </w:r>
      <w:r w:rsidRPr="000E42A0" w:rsidR="00472A20">
        <w:rPr>
          <w:sz w:val="24"/>
          <w:szCs w:val="24"/>
        </w:rPr>
        <w:t xml:space="preserve"> was aligned more closely with PFS. These analyses helped inform the </w:t>
      </w:r>
      <w:r w:rsidR="009F2758">
        <w:rPr>
          <w:sz w:val="24"/>
          <w:szCs w:val="24"/>
        </w:rPr>
        <w:t>c</w:t>
      </w:r>
      <w:r w:rsidRPr="000E42A0" w:rsidR="00472A20">
        <w:rPr>
          <w:sz w:val="24"/>
          <w:szCs w:val="24"/>
        </w:rPr>
        <w:t>ommittee’s judg</w:t>
      </w:r>
      <w:r w:rsidR="007C4A83">
        <w:rPr>
          <w:sz w:val="24"/>
          <w:szCs w:val="24"/>
        </w:rPr>
        <w:t>e</w:t>
      </w:r>
      <w:r w:rsidRPr="000E42A0" w:rsidR="00472A20">
        <w:rPr>
          <w:sz w:val="24"/>
          <w:szCs w:val="24"/>
        </w:rPr>
        <w:t>ment and demonstrate that the approach was not rigid or dogmatic.</w:t>
      </w:r>
    </w:p>
    <w:p w:rsidRPr="000E42A0" w:rsidR="00472A20" w:rsidP="00472A20" w:rsidRDefault="00C05119" w14:paraId="48823142" w14:textId="175BEA60">
      <w:pPr>
        <w:pStyle w:val="Paragraph"/>
        <w:rPr>
          <w:sz w:val="24"/>
          <w:szCs w:val="24"/>
        </w:rPr>
      </w:pPr>
      <w:proofErr w:type="gramStart"/>
      <w:r w:rsidRPr="000E42A0">
        <w:rPr>
          <w:sz w:val="24"/>
          <w:szCs w:val="24"/>
        </w:rPr>
        <w:t>Consequently</w:t>
      </w:r>
      <w:proofErr w:type="gramEnd"/>
      <w:r w:rsidRPr="000E42A0">
        <w:rPr>
          <w:sz w:val="24"/>
          <w:szCs w:val="24"/>
        </w:rPr>
        <w:t xml:space="preserve"> the</w:t>
      </w:r>
      <w:r w:rsidRPr="0055058C" w:rsidR="0055058C">
        <w:rPr>
          <w:color w:val="000000" w:themeColor="text1"/>
          <w:sz w:val="24"/>
          <w:szCs w:val="24"/>
        </w:rPr>
        <w:t xml:space="preserve"> </w:t>
      </w:r>
      <w:r w:rsidR="009F2758">
        <w:rPr>
          <w:sz w:val="24"/>
          <w:szCs w:val="24"/>
        </w:rPr>
        <w:t>p</w:t>
      </w:r>
      <w:r w:rsidRPr="000E42A0" w:rsidR="007C4A83">
        <w:rPr>
          <w:sz w:val="24"/>
          <w:szCs w:val="24"/>
        </w:rPr>
        <w:t xml:space="preserve">anel </w:t>
      </w:r>
      <w:r w:rsidRPr="000E42A0" w:rsidR="00AC65F0">
        <w:rPr>
          <w:sz w:val="24"/>
          <w:szCs w:val="24"/>
        </w:rPr>
        <w:t>considered the</w:t>
      </w:r>
      <w:r w:rsidR="00CF705F">
        <w:rPr>
          <w:sz w:val="24"/>
          <w:szCs w:val="24"/>
        </w:rPr>
        <w:t xml:space="preserve"> </w:t>
      </w:r>
      <w:r w:rsidR="009F2758">
        <w:rPr>
          <w:sz w:val="24"/>
          <w:szCs w:val="24"/>
        </w:rPr>
        <w:t>c</w:t>
      </w:r>
      <w:r w:rsidRPr="000E42A0" w:rsidR="00472A20">
        <w:rPr>
          <w:sz w:val="24"/>
          <w:szCs w:val="24"/>
        </w:rPr>
        <w:t xml:space="preserve">ommittee’s approach to modelling time on treatment </w:t>
      </w:r>
      <w:r w:rsidRPr="000E42A0" w:rsidR="00AC65F0">
        <w:rPr>
          <w:sz w:val="24"/>
          <w:szCs w:val="24"/>
        </w:rPr>
        <w:t>to be</w:t>
      </w:r>
      <w:r w:rsidRPr="000E42A0" w:rsidR="00472A20">
        <w:rPr>
          <w:sz w:val="24"/>
          <w:szCs w:val="24"/>
        </w:rPr>
        <w:t xml:space="preserve"> reasonable, evidence-based, and consistent with NICE’s methodological standards. </w:t>
      </w:r>
    </w:p>
    <w:p w:rsidRPr="000E42A0" w:rsidR="009C3D10" w:rsidP="009C3D10" w:rsidRDefault="009C3D10" w14:paraId="13554501" w14:textId="3FCEC45D">
      <w:pPr>
        <w:pStyle w:val="Paragraph"/>
        <w:rPr>
          <w:sz w:val="24"/>
          <w:szCs w:val="24"/>
        </w:rPr>
      </w:pPr>
      <w:r w:rsidRPr="000E42A0">
        <w:rPr>
          <w:sz w:val="24"/>
          <w:szCs w:val="24"/>
        </w:rPr>
        <w:t xml:space="preserve">The </w:t>
      </w:r>
      <w:r w:rsidR="009F2758">
        <w:rPr>
          <w:sz w:val="24"/>
          <w:szCs w:val="24"/>
        </w:rPr>
        <w:t>a</w:t>
      </w:r>
      <w:r w:rsidR="007C4A83">
        <w:rPr>
          <w:sz w:val="24"/>
          <w:szCs w:val="24"/>
        </w:rPr>
        <w:t xml:space="preserve">ppeal </w:t>
      </w:r>
      <w:r w:rsidR="009F2758">
        <w:rPr>
          <w:sz w:val="24"/>
          <w:szCs w:val="24"/>
        </w:rPr>
        <w:t>p</w:t>
      </w:r>
      <w:r w:rsidR="007C4A83">
        <w:rPr>
          <w:sz w:val="24"/>
          <w:szCs w:val="24"/>
        </w:rPr>
        <w:t>anel</w:t>
      </w:r>
      <w:r w:rsidRPr="000E42A0">
        <w:rPr>
          <w:sz w:val="24"/>
          <w:szCs w:val="24"/>
        </w:rPr>
        <w:t xml:space="preserve"> therefore dismissed the appeal on this point.</w:t>
      </w:r>
    </w:p>
    <w:p w:rsidR="009C3D10" w:rsidP="000A5B0D" w:rsidRDefault="000C7460" w14:paraId="57D02456" w14:textId="0ADFBD42">
      <w:pPr>
        <w:pStyle w:val="Heading3"/>
      </w:pPr>
      <w:r>
        <w:t xml:space="preserve">Appeal </w:t>
      </w:r>
      <w:proofErr w:type="gramStart"/>
      <w:r>
        <w:t>point</w:t>
      </w:r>
      <w:proofErr w:type="gramEnd"/>
      <w:r>
        <w:t xml:space="preserve"> </w:t>
      </w:r>
      <w:r w:rsidRPr="006065EB" w:rsidR="009C3D10">
        <w:t xml:space="preserve">2.4 - The </w:t>
      </w:r>
      <w:r w:rsidR="009F2758">
        <w:t>c</w:t>
      </w:r>
      <w:r w:rsidRPr="006065EB" w:rsidR="009C3D10">
        <w:t>ommittee's conclusion that the evidence for clinical similarity was not robust enough for a cost-comparison analysis is unreasonable</w:t>
      </w:r>
      <w:r w:rsidR="00CF705F">
        <w:t>.</w:t>
      </w:r>
    </w:p>
    <w:p w:rsidR="00972544" w:rsidP="00972544" w:rsidRDefault="00972544" w14:paraId="77072DD0" w14:textId="0CB9FE3F">
      <w:pPr>
        <w:pStyle w:val="Paragraph"/>
        <w:rPr>
          <w:color w:val="000000" w:themeColor="text1"/>
          <w:sz w:val="24"/>
          <w:szCs w:val="24"/>
        </w:rPr>
      </w:pPr>
      <w:r w:rsidRPr="00972544">
        <w:rPr>
          <w:color w:val="000000" w:themeColor="text1"/>
          <w:sz w:val="24"/>
          <w:szCs w:val="24"/>
        </w:rPr>
        <w:t>Alan Kane</w:t>
      </w:r>
      <w:r w:rsidR="009F2758">
        <w:rPr>
          <w:color w:val="000000" w:themeColor="text1"/>
          <w:sz w:val="24"/>
          <w:szCs w:val="24"/>
        </w:rPr>
        <w:t>,</w:t>
      </w:r>
      <w:r w:rsidRPr="00972544">
        <w:rPr>
          <w:color w:val="000000" w:themeColor="text1"/>
          <w:sz w:val="24"/>
          <w:szCs w:val="24"/>
        </w:rPr>
        <w:t xml:space="preserve"> for </w:t>
      </w:r>
      <w:r w:rsidR="000C7460">
        <w:rPr>
          <w:color w:val="000000" w:themeColor="text1"/>
          <w:sz w:val="24"/>
          <w:szCs w:val="24"/>
        </w:rPr>
        <w:t>Regeneron</w:t>
      </w:r>
      <w:r w:rsidR="009F2758">
        <w:rPr>
          <w:color w:val="000000" w:themeColor="text1"/>
          <w:sz w:val="24"/>
          <w:szCs w:val="24"/>
        </w:rPr>
        <w:t>,</w:t>
      </w:r>
      <w:r w:rsidRPr="00972544">
        <w:rPr>
          <w:color w:val="000000" w:themeColor="text1"/>
          <w:sz w:val="24"/>
          <w:szCs w:val="24"/>
        </w:rPr>
        <w:t xml:space="preserve"> explained that according to the Manual, a cost comparison may take place where products are likely to have similar health benefits. Similar health benefits is not an exceptionally high bar. In previous appraisals, he explained, </w:t>
      </w:r>
      <w:r w:rsidR="000020B3">
        <w:rPr>
          <w:color w:val="000000" w:themeColor="text1"/>
          <w:sz w:val="24"/>
          <w:szCs w:val="24"/>
        </w:rPr>
        <w:t>c</w:t>
      </w:r>
      <w:r w:rsidRPr="00972544">
        <w:rPr>
          <w:color w:val="000000" w:themeColor="text1"/>
          <w:sz w:val="24"/>
          <w:szCs w:val="24"/>
        </w:rPr>
        <w:t xml:space="preserve">ommittees have relied on cost indirect treatment comparisons in the absence of direct data. That is particularly significant for two drugs in the same drug class. </w:t>
      </w:r>
    </w:p>
    <w:p w:rsidR="00972544" w:rsidP="00972544" w:rsidRDefault="00972544" w14:paraId="3E2A4322" w14:textId="6BFF3766">
      <w:pPr>
        <w:pStyle w:val="Paragraph"/>
        <w:rPr>
          <w:color w:val="000000" w:themeColor="text1"/>
          <w:sz w:val="24"/>
          <w:szCs w:val="24"/>
        </w:rPr>
      </w:pPr>
      <w:r>
        <w:rPr>
          <w:color w:val="000000" w:themeColor="text1"/>
          <w:sz w:val="24"/>
          <w:szCs w:val="24"/>
        </w:rPr>
        <w:t xml:space="preserve">The core of this ground, explained Alan Kane, is that the </w:t>
      </w:r>
      <w:r w:rsidR="007B2B0A">
        <w:rPr>
          <w:color w:val="000000" w:themeColor="text1"/>
          <w:sz w:val="24"/>
          <w:szCs w:val="24"/>
        </w:rPr>
        <w:t>c</w:t>
      </w:r>
      <w:r>
        <w:rPr>
          <w:color w:val="000000" w:themeColor="text1"/>
          <w:sz w:val="24"/>
          <w:szCs w:val="24"/>
        </w:rPr>
        <w:t xml:space="preserve">ommittee had departed from previous approaches and had set a higher evidential bar than had previously been expected of submitting companies. By becoming preoccupied </w:t>
      </w:r>
      <w:r w:rsidR="004B21E4">
        <w:rPr>
          <w:color w:val="000000" w:themeColor="text1"/>
          <w:sz w:val="24"/>
          <w:szCs w:val="24"/>
        </w:rPr>
        <w:t>with</w:t>
      </w:r>
      <w:r>
        <w:rPr>
          <w:color w:val="000000" w:themeColor="text1"/>
          <w:sz w:val="24"/>
          <w:szCs w:val="24"/>
        </w:rPr>
        <w:t xml:space="preserve"> the detail, the </w:t>
      </w:r>
      <w:r w:rsidR="007B2B0A">
        <w:rPr>
          <w:color w:val="000000" w:themeColor="text1"/>
          <w:sz w:val="24"/>
          <w:szCs w:val="24"/>
        </w:rPr>
        <w:t>c</w:t>
      </w:r>
      <w:r>
        <w:rPr>
          <w:color w:val="000000" w:themeColor="text1"/>
          <w:sz w:val="24"/>
          <w:szCs w:val="24"/>
        </w:rPr>
        <w:t xml:space="preserve">ommittee failed to see the bigger picture and failed to recognise the clear and consistent body of evidence showing that pembrolizumab and cemiplimab possess similar clinical benefits. Overlaying all the data there was no statistically significant difference in PFS and OS between pembrolizumab and </w:t>
      </w:r>
      <w:r w:rsidR="007F7F54">
        <w:rPr>
          <w:color w:val="000000" w:themeColor="text1"/>
          <w:sz w:val="24"/>
          <w:szCs w:val="24"/>
        </w:rPr>
        <w:t>cemiplimab</w:t>
      </w:r>
      <w:r>
        <w:rPr>
          <w:color w:val="000000" w:themeColor="text1"/>
          <w:sz w:val="24"/>
          <w:szCs w:val="24"/>
        </w:rPr>
        <w:t xml:space="preserve">. </w:t>
      </w:r>
      <w:r w:rsidR="007F7F54">
        <w:rPr>
          <w:color w:val="000000" w:themeColor="text1"/>
          <w:sz w:val="24"/>
          <w:szCs w:val="24"/>
        </w:rPr>
        <w:t xml:space="preserve">He noted that although the data are seldom perfect, there was more than good enough evidence available to the </w:t>
      </w:r>
      <w:r w:rsidR="00D05B7B">
        <w:rPr>
          <w:color w:val="000000" w:themeColor="text1"/>
          <w:sz w:val="24"/>
          <w:szCs w:val="24"/>
        </w:rPr>
        <w:t>c</w:t>
      </w:r>
      <w:r w:rsidR="007F7F54">
        <w:rPr>
          <w:color w:val="000000" w:themeColor="text1"/>
          <w:sz w:val="24"/>
          <w:szCs w:val="24"/>
        </w:rPr>
        <w:t>ommittee to establish similarity and proceed with a</w:t>
      </w:r>
      <w:r w:rsidR="004B21E4">
        <w:rPr>
          <w:color w:val="000000" w:themeColor="text1"/>
          <w:sz w:val="24"/>
          <w:szCs w:val="24"/>
        </w:rPr>
        <w:t xml:space="preserve"> </w:t>
      </w:r>
      <w:r w:rsidR="007F7F54">
        <w:rPr>
          <w:color w:val="000000" w:themeColor="text1"/>
          <w:sz w:val="24"/>
          <w:szCs w:val="24"/>
        </w:rPr>
        <w:t>cost comparison</w:t>
      </w:r>
      <w:r w:rsidR="004B21E4">
        <w:rPr>
          <w:color w:val="000000" w:themeColor="text1"/>
          <w:sz w:val="24"/>
          <w:szCs w:val="24"/>
        </w:rPr>
        <w:t xml:space="preserve"> exercise</w:t>
      </w:r>
      <w:r w:rsidR="007F7F54">
        <w:rPr>
          <w:color w:val="000000" w:themeColor="text1"/>
          <w:sz w:val="24"/>
          <w:szCs w:val="24"/>
        </w:rPr>
        <w:t xml:space="preserve">. </w:t>
      </w:r>
    </w:p>
    <w:p w:rsidR="007F7F54" w:rsidP="003B7C47" w:rsidRDefault="000C7460" w14:paraId="76965C19" w14:textId="3CB6D6F5">
      <w:pPr>
        <w:pStyle w:val="Paragraph"/>
        <w:rPr>
          <w:color w:val="000000" w:themeColor="text1"/>
          <w:sz w:val="24"/>
          <w:szCs w:val="24"/>
        </w:rPr>
      </w:pPr>
      <w:r>
        <w:rPr>
          <w:color w:val="000000" w:themeColor="text1"/>
          <w:sz w:val="24"/>
          <w:szCs w:val="24"/>
        </w:rPr>
        <w:t xml:space="preserve">Dr </w:t>
      </w:r>
      <w:r w:rsidRPr="007F7F54" w:rsidR="007F7F54">
        <w:rPr>
          <w:color w:val="000000" w:themeColor="text1"/>
          <w:sz w:val="24"/>
          <w:szCs w:val="24"/>
        </w:rPr>
        <w:t xml:space="preserve">Raju Reddy, for </w:t>
      </w:r>
      <w:r>
        <w:rPr>
          <w:color w:val="000000" w:themeColor="text1"/>
          <w:sz w:val="24"/>
          <w:szCs w:val="24"/>
        </w:rPr>
        <w:t>NICE</w:t>
      </w:r>
      <w:r w:rsidRPr="007F7F54" w:rsidR="007F7F54">
        <w:rPr>
          <w:color w:val="000000" w:themeColor="text1"/>
          <w:sz w:val="24"/>
          <w:szCs w:val="24"/>
        </w:rPr>
        <w:t xml:space="preserve">, explained that for a </w:t>
      </w:r>
      <w:r w:rsidR="0055058C">
        <w:rPr>
          <w:color w:val="000000" w:themeColor="text1"/>
          <w:sz w:val="24"/>
          <w:szCs w:val="24"/>
        </w:rPr>
        <w:t>c</w:t>
      </w:r>
      <w:r w:rsidRPr="007F7F54" w:rsidR="007F7F54">
        <w:rPr>
          <w:color w:val="000000" w:themeColor="text1"/>
          <w:sz w:val="24"/>
          <w:szCs w:val="24"/>
        </w:rPr>
        <w:t xml:space="preserve">ommittee to conduct a cost-comparison analysis it </w:t>
      </w:r>
      <w:proofErr w:type="gramStart"/>
      <w:r w:rsidRPr="007F7F54" w:rsidR="007F7F54">
        <w:rPr>
          <w:color w:val="000000" w:themeColor="text1"/>
          <w:sz w:val="24"/>
          <w:szCs w:val="24"/>
        </w:rPr>
        <w:t>has to</w:t>
      </w:r>
      <w:proofErr w:type="gramEnd"/>
      <w:r w:rsidRPr="007F7F54" w:rsidR="007F7F54">
        <w:rPr>
          <w:color w:val="000000" w:themeColor="text1"/>
          <w:sz w:val="24"/>
          <w:szCs w:val="24"/>
        </w:rPr>
        <w:t xml:space="preserve"> be certain that there is </w:t>
      </w:r>
      <w:r w:rsidR="00E13724">
        <w:rPr>
          <w:color w:val="000000" w:themeColor="text1"/>
          <w:sz w:val="24"/>
          <w:szCs w:val="24"/>
        </w:rPr>
        <w:t xml:space="preserve">clinical </w:t>
      </w:r>
      <w:r w:rsidRPr="007F7F54" w:rsidR="007F7F54">
        <w:rPr>
          <w:color w:val="000000" w:themeColor="text1"/>
          <w:sz w:val="24"/>
          <w:szCs w:val="24"/>
        </w:rPr>
        <w:t xml:space="preserve">similarity. At no stage did the </w:t>
      </w:r>
      <w:r w:rsidR="00D05B7B">
        <w:rPr>
          <w:color w:val="000000" w:themeColor="text1"/>
          <w:sz w:val="24"/>
          <w:szCs w:val="24"/>
        </w:rPr>
        <w:t>c</w:t>
      </w:r>
      <w:r w:rsidRPr="007F7F54" w:rsidR="007F7F54">
        <w:rPr>
          <w:color w:val="000000" w:themeColor="text1"/>
          <w:sz w:val="24"/>
          <w:szCs w:val="24"/>
        </w:rPr>
        <w:t xml:space="preserve">ommittee have this confidence, he explained. </w:t>
      </w:r>
      <w:r w:rsidR="00D05B7B">
        <w:rPr>
          <w:color w:val="000000" w:themeColor="text1"/>
          <w:sz w:val="24"/>
          <w:szCs w:val="24"/>
        </w:rPr>
        <w:t>The</w:t>
      </w:r>
      <w:r w:rsidRPr="007F7F54" w:rsidR="007F7F54">
        <w:rPr>
          <w:color w:val="000000" w:themeColor="text1"/>
          <w:sz w:val="24"/>
          <w:szCs w:val="24"/>
        </w:rPr>
        <w:t xml:space="preserve"> </w:t>
      </w:r>
      <w:r w:rsidR="00D05B7B">
        <w:rPr>
          <w:color w:val="000000" w:themeColor="text1"/>
          <w:sz w:val="24"/>
          <w:szCs w:val="24"/>
        </w:rPr>
        <w:t>c</w:t>
      </w:r>
      <w:r w:rsidRPr="007F7F54" w:rsidR="007F7F54">
        <w:rPr>
          <w:color w:val="000000" w:themeColor="text1"/>
          <w:sz w:val="24"/>
          <w:szCs w:val="24"/>
        </w:rPr>
        <w:t xml:space="preserve">ommittee </w:t>
      </w:r>
      <w:proofErr w:type="gramStart"/>
      <w:r w:rsidRPr="007F7F54" w:rsidR="007F7F54">
        <w:rPr>
          <w:color w:val="000000" w:themeColor="text1"/>
          <w:sz w:val="24"/>
          <w:szCs w:val="24"/>
        </w:rPr>
        <w:t>was not able to</w:t>
      </w:r>
      <w:proofErr w:type="gramEnd"/>
      <w:r w:rsidRPr="007F7F54" w:rsidR="007F7F54">
        <w:rPr>
          <w:color w:val="000000" w:themeColor="text1"/>
          <w:sz w:val="24"/>
          <w:szCs w:val="24"/>
        </w:rPr>
        <w:t xml:space="preserve"> conclude with any confidence that cemiplimab plus chemotherapy has an effect </w:t>
      </w:r>
      <w:proofErr w:type="gramStart"/>
      <w:r w:rsidRPr="007F7F54" w:rsidR="007F7F54">
        <w:rPr>
          <w:color w:val="000000" w:themeColor="text1"/>
          <w:sz w:val="24"/>
          <w:szCs w:val="24"/>
        </w:rPr>
        <w:t>similar to</w:t>
      </w:r>
      <w:proofErr w:type="gramEnd"/>
      <w:r w:rsidRPr="007F7F54" w:rsidR="007F7F54">
        <w:rPr>
          <w:color w:val="000000" w:themeColor="text1"/>
          <w:sz w:val="24"/>
          <w:szCs w:val="24"/>
        </w:rPr>
        <w:t xml:space="preserve"> other immunotherapies plus chemotherapy on OS or PFS. </w:t>
      </w:r>
      <w:r w:rsidR="007F7F54">
        <w:rPr>
          <w:color w:val="000000" w:themeColor="text1"/>
          <w:sz w:val="24"/>
          <w:szCs w:val="24"/>
        </w:rPr>
        <w:t xml:space="preserve">The data do not clearly suggest whether the efficacy of cemiplimab was equal to or better or worse than others. </w:t>
      </w:r>
    </w:p>
    <w:p w:rsidRPr="007F7F54" w:rsidR="007F7F54" w:rsidP="003B7C47" w:rsidRDefault="000C7460" w14:paraId="30F51B76" w14:textId="12743632">
      <w:pPr>
        <w:pStyle w:val="Paragraph"/>
        <w:rPr>
          <w:color w:val="000000" w:themeColor="text1"/>
          <w:sz w:val="24"/>
          <w:szCs w:val="24"/>
        </w:rPr>
      </w:pPr>
      <w:r>
        <w:rPr>
          <w:color w:val="000000" w:themeColor="text1"/>
          <w:sz w:val="24"/>
          <w:szCs w:val="24"/>
        </w:rPr>
        <w:t>Dr Reddy</w:t>
      </w:r>
      <w:r w:rsidRPr="007F7F54">
        <w:rPr>
          <w:color w:val="000000" w:themeColor="text1"/>
          <w:sz w:val="24"/>
          <w:szCs w:val="24"/>
        </w:rPr>
        <w:t xml:space="preserve"> </w:t>
      </w:r>
      <w:r w:rsidRPr="007F7F54" w:rsidR="007F7F54">
        <w:rPr>
          <w:color w:val="000000" w:themeColor="text1"/>
          <w:sz w:val="24"/>
          <w:szCs w:val="24"/>
        </w:rPr>
        <w:t>noted that the evidence was not robust enough for a cost-comparison analysis, and that in these circumstances</w:t>
      </w:r>
      <w:r w:rsidR="00E13724">
        <w:rPr>
          <w:color w:val="000000" w:themeColor="text1"/>
          <w:sz w:val="24"/>
          <w:szCs w:val="24"/>
        </w:rPr>
        <w:t xml:space="preserve"> </w:t>
      </w:r>
      <w:r w:rsidRPr="007F7F54" w:rsidR="007F7F54">
        <w:rPr>
          <w:color w:val="000000" w:themeColor="text1"/>
          <w:sz w:val="24"/>
          <w:szCs w:val="24"/>
        </w:rPr>
        <w:t xml:space="preserve">the </w:t>
      </w:r>
      <w:r w:rsidR="00D05B7B">
        <w:rPr>
          <w:color w:val="000000" w:themeColor="text1"/>
          <w:sz w:val="24"/>
          <w:szCs w:val="24"/>
        </w:rPr>
        <w:t>c</w:t>
      </w:r>
      <w:r w:rsidRPr="007F7F54" w:rsidR="007F7F54">
        <w:rPr>
          <w:color w:val="000000" w:themeColor="text1"/>
          <w:sz w:val="24"/>
          <w:szCs w:val="24"/>
        </w:rPr>
        <w:t>ommittee's decision making was therefore consistent with other appraisals. It may not be common, but that does not render the conclusion unreasonable.</w:t>
      </w:r>
    </w:p>
    <w:p w:rsidR="007F7F54" w:rsidP="00972544" w:rsidRDefault="007F7F54" w14:paraId="3F5F8A6D" w14:textId="4E34FC28">
      <w:pPr>
        <w:pStyle w:val="Paragraph"/>
        <w:rPr>
          <w:color w:val="000000" w:themeColor="text1"/>
          <w:sz w:val="24"/>
          <w:szCs w:val="24"/>
        </w:rPr>
      </w:pPr>
      <w:r>
        <w:rPr>
          <w:color w:val="000000" w:themeColor="text1"/>
          <w:sz w:val="24"/>
          <w:szCs w:val="24"/>
        </w:rPr>
        <w:t>The</w:t>
      </w:r>
      <w:r w:rsidR="0055058C">
        <w:rPr>
          <w:color w:val="000000" w:themeColor="text1"/>
          <w:sz w:val="24"/>
          <w:szCs w:val="24"/>
        </w:rPr>
        <w:t xml:space="preserve"> </w:t>
      </w:r>
      <w:r w:rsidR="00D05B7B">
        <w:rPr>
          <w:color w:val="000000" w:themeColor="text1"/>
          <w:sz w:val="24"/>
          <w:szCs w:val="24"/>
        </w:rPr>
        <w:t>a</w:t>
      </w:r>
      <w:r w:rsidR="0055058C">
        <w:rPr>
          <w:color w:val="000000" w:themeColor="text1"/>
          <w:sz w:val="24"/>
          <w:szCs w:val="24"/>
        </w:rPr>
        <w:t>ppeal</w:t>
      </w:r>
      <w:r>
        <w:rPr>
          <w:color w:val="000000" w:themeColor="text1"/>
          <w:sz w:val="24"/>
          <w:szCs w:val="24"/>
        </w:rPr>
        <w:t xml:space="preserve"> </w:t>
      </w:r>
      <w:r w:rsidR="00D05B7B">
        <w:rPr>
          <w:color w:val="000000" w:themeColor="text1"/>
          <w:sz w:val="24"/>
          <w:szCs w:val="24"/>
        </w:rPr>
        <w:t>p</w:t>
      </w:r>
      <w:r>
        <w:rPr>
          <w:color w:val="000000" w:themeColor="text1"/>
          <w:sz w:val="24"/>
          <w:szCs w:val="24"/>
        </w:rPr>
        <w:t>anel asked whether</w:t>
      </w:r>
      <w:r w:rsidR="00EB3F2F">
        <w:rPr>
          <w:color w:val="000000" w:themeColor="text1"/>
          <w:sz w:val="24"/>
          <w:szCs w:val="24"/>
        </w:rPr>
        <w:t xml:space="preserve"> the </w:t>
      </w:r>
      <w:r w:rsidR="00D05B7B">
        <w:rPr>
          <w:color w:val="000000" w:themeColor="text1"/>
          <w:sz w:val="24"/>
          <w:szCs w:val="24"/>
        </w:rPr>
        <w:t>c</w:t>
      </w:r>
      <w:r w:rsidR="00EB3F2F">
        <w:rPr>
          <w:color w:val="000000" w:themeColor="text1"/>
          <w:sz w:val="24"/>
          <w:szCs w:val="24"/>
        </w:rPr>
        <w:t>ommittee's main issue was with whether the underlying data w</w:t>
      </w:r>
      <w:r w:rsidR="00E13724">
        <w:rPr>
          <w:color w:val="000000" w:themeColor="text1"/>
          <w:sz w:val="24"/>
          <w:szCs w:val="24"/>
        </w:rPr>
        <w:t>ere</w:t>
      </w:r>
      <w:r w:rsidR="00EB3F2F">
        <w:rPr>
          <w:color w:val="000000" w:themeColor="text1"/>
          <w:sz w:val="24"/>
          <w:szCs w:val="24"/>
        </w:rPr>
        <w:t xml:space="preserve"> robust, rather than the availability of evidence of clinical similarity. </w:t>
      </w:r>
      <w:r w:rsidR="008E60E0">
        <w:rPr>
          <w:color w:val="000000" w:themeColor="text1"/>
          <w:sz w:val="24"/>
          <w:szCs w:val="24"/>
        </w:rPr>
        <w:t>NICE</w:t>
      </w:r>
      <w:r w:rsidR="00EB3F2F">
        <w:rPr>
          <w:color w:val="000000" w:themeColor="text1"/>
          <w:sz w:val="24"/>
          <w:szCs w:val="24"/>
        </w:rPr>
        <w:t xml:space="preserve"> pointed towards the British Thoracic Oncology Group's (</w:t>
      </w:r>
      <w:r w:rsidRPr="00DE682B" w:rsidR="00EB3F2F">
        <w:rPr>
          <w:color w:val="000000" w:themeColor="text1"/>
          <w:sz w:val="24"/>
          <w:szCs w:val="24"/>
        </w:rPr>
        <w:t>BTOG</w:t>
      </w:r>
      <w:r w:rsidR="00EB3F2F">
        <w:rPr>
          <w:color w:val="000000" w:themeColor="text1"/>
          <w:sz w:val="24"/>
          <w:szCs w:val="24"/>
        </w:rPr>
        <w:t>) submission to the draft guidance consultation. There, when asked whether the technology was innovative an</w:t>
      </w:r>
      <w:r w:rsidR="004B21E4">
        <w:rPr>
          <w:color w:val="000000" w:themeColor="text1"/>
          <w:sz w:val="24"/>
          <w:szCs w:val="24"/>
        </w:rPr>
        <w:t>d</w:t>
      </w:r>
      <w:r w:rsidR="00EB3F2F">
        <w:rPr>
          <w:color w:val="000000" w:themeColor="text1"/>
          <w:sz w:val="24"/>
          <w:szCs w:val="24"/>
        </w:rPr>
        <w:t xml:space="preserve"> would have a significant and substantial impact on health-related benefits, BTOG had answered "no, not over current treatment</w:t>
      </w:r>
      <w:r w:rsidR="004B21E4">
        <w:rPr>
          <w:color w:val="000000" w:themeColor="text1"/>
          <w:sz w:val="24"/>
          <w:szCs w:val="24"/>
        </w:rPr>
        <w:t>s</w:t>
      </w:r>
      <w:r w:rsidR="00EB3F2F">
        <w:rPr>
          <w:color w:val="000000" w:themeColor="text1"/>
          <w:sz w:val="24"/>
          <w:szCs w:val="24"/>
        </w:rPr>
        <w:t xml:space="preserve"> on offer</w:t>
      </w:r>
      <w:r w:rsidR="004B21E4">
        <w:rPr>
          <w:color w:val="000000" w:themeColor="text1"/>
          <w:sz w:val="24"/>
          <w:szCs w:val="24"/>
        </w:rPr>
        <w:t>…</w:t>
      </w:r>
      <w:r w:rsidR="00EB3F2F">
        <w:rPr>
          <w:color w:val="000000" w:themeColor="text1"/>
          <w:sz w:val="24"/>
          <w:szCs w:val="24"/>
        </w:rPr>
        <w:t xml:space="preserve"> but may </w:t>
      </w:r>
      <w:r w:rsidR="004B21E4">
        <w:rPr>
          <w:color w:val="000000" w:themeColor="text1"/>
          <w:sz w:val="24"/>
          <w:szCs w:val="24"/>
        </w:rPr>
        <w:t xml:space="preserve">address the potential patient population where </w:t>
      </w:r>
      <w:r w:rsidR="00EB3F2F">
        <w:rPr>
          <w:color w:val="000000" w:themeColor="text1"/>
          <w:sz w:val="24"/>
          <w:szCs w:val="24"/>
        </w:rPr>
        <w:t>need is high".</w:t>
      </w:r>
    </w:p>
    <w:p w:rsidRPr="00F620F6" w:rsidR="00EB3F2F" w:rsidP="00972544" w:rsidRDefault="000C7460" w14:paraId="442176B2" w14:textId="61889810">
      <w:pPr>
        <w:pStyle w:val="Paragraph"/>
        <w:rPr>
          <w:color w:val="000000" w:themeColor="text1"/>
          <w:sz w:val="24"/>
          <w:szCs w:val="24"/>
        </w:rPr>
      </w:pPr>
      <w:r>
        <w:rPr>
          <w:color w:val="000000" w:themeColor="text1"/>
          <w:sz w:val="24"/>
          <w:szCs w:val="24"/>
        </w:rPr>
        <w:t xml:space="preserve">Dr </w:t>
      </w:r>
      <w:r w:rsidR="00EB3F2F">
        <w:rPr>
          <w:color w:val="000000" w:themeColor="text1"/>
          <w:sz w:val="24"/>
          <w:szCs w:val="24"/>
        </w:rPr>
        <w:t xml:space="preserve">Shobhit Baijal, for </w:t>
      </w:r>
      <w:r>
        <w:rPr>
          <w:color w:val="000000" w:themeColor="text1"/>
          <w:sz w:val="24"/>
          <w:szCs w:val="24"/>
        </w:rPr>
        <w:t>Regeneron</w:t>
      </w:r>
      <w:r w:rsidR="00EB3F2F">
        <w:rPr>
          <w:color w:val="000000" w:themeColor="text1"/>
          <w:sz w:val="24"/>
          <w:szCs w:val="24"/>
        </w:rPr>
        <w:t>, explained that there is no appetite to do a non-inferiority study because it would be unfair to recruit patients to such studies</w:t>
      </w:r>
      <w:r w:rsidR="00E13724">
        <w:rPr>
          <w:color w:val="000000" w:themeColor="text1"/>
          <w:sz w:val="24"/>
          <w:szCs w:val="24"/>
        </w:rPr>
        <w:t xml:space="preserve">, </w:t>
      </w:r>
      <w:r w:rsidR="00EB3F2F">
        <w:rPr>
          <w:color w:val="000000" w:themeColor="text1"/>
          <w:sz w:val="24"/>
          <w:szCs w:val="24"/>
        </w:rPr>
        <w:t xml:space="preserve">which will always be an issue for comparing differences. He explained that the </w:t>
      </w:r>
      <w:r w:rsidR="00195249">
        <w:rPr>
          <w:color w:val="000000" w:themeColor="text1"/>
          <w:sz w:val="24"/>
          <w:szCs w:val="24"/>
        </w:rPr>
        <w:t xml:space="preserve">identified </w:t>
      </w:r>
      <w:r w:rsidR="00EB3F2F">
        <w:rPr>
          <w:color w:val="000000" w:themeColor="text1"/>
          <w:sz w:val="24"/>
          <w:szCs w:val="24"/>
        </w:rPr>
        <w:t xml:space="preserve">differences </w:t>
      </w:r>
      <w:r w:rsidR="00195249">
        <w:rPr>
          <w:color w:val="000000" w:themeColor="text1"/>
          <w:sz w:val="24"/>
          <w:szCs w:val="24"/>
        </w:rPr>
        <w:t>in relation</w:t>
      </w:r>
      <w:r w:rsidR="00403CC5">
        <w:rPr>
          <w:color w:val="000000" w:themeColor="text1"/>
          <w:sz w:val="24"/>
          <w:szCs w:val="24"/>
        </w:rPr>
        <w:t xml:space="preserve"> to</w:t>
      </w:r>
      <w:r w:rsidR="00195249">
        <w:rPr>
          <w:color w:val="000000" w:themeColor="text1"/>
          <w:sz w:val="24"/>
          <w:szCs w:val="24"/>
        </w:rPr>
        <w:t xml:space="preserve"> </w:t>
      </w:r>
      <w:r w:rsidR="00EB3F2F">
        <w:rPr>
          <w:color w:val="000000" w:themeColor="text1"/>
          <w:sz w:val="24"/>
          <w:szCs w:val="24"/>
        </w:rPr>
        <w:t>PFS and OS</w:t>
      </w:r>
      <w:r w:rsidR="00195249">
        <w:rPr>
          <w:color w:val="000000" w:themeColor="text1"/>
          <w:sz w:val="24"/>
          <w:szCs w:val="24"/>
        </w:rPr>
        <w:t xml:space="preserve"> were so small that in his view </w:t>
      </w:r>
      <w:r w:rsidR="00EB3F2F">
        <w:rPr>
          <w:color w:val="000000" w:themeColor="text1"/>
          <w:sz w:val="24"/>
          <w:szCs w:val="24"/>
        </w:rPr>
        <w:t>expert clinical input</w:t>
      </w:r>
      <w:r w:rsidR="00195249">
        <w:rPr>
          <w:color w:val="000000" w:themeColor="text1"/>
          <w:sz w:val="24"/>
          <w:szCs w:val="24"/>
        </w:rPr>
        <w:t xml:space="preserve"> should prevail</w:t>
      </w:r>
      <w:r w:rsidR="00EB3F2F">
        <w:rPr>
          <w:color w:val="000000" w:themeColor="text1"/>
          <w:sz w:val="24"/>
          <w:szCs w:val="24"/>
        </w:rPr>
        <w:t xml:space="preserve">. </w:t>
      </w:r>
      <w:r w:rsidR="00CE282A">
        <w:rPr>
          <w:color w:val="000000" w:themeColor="text1"/>
          <w:sz w:val="24"/>
          <w:szCs w:val="24"/>
        </w:rPr>
        <w:t xml:space="preserve">He explained that when treating patients with this disease clinicians do not consider there to be any difference between the drugs. It does however </w:t>
      </w:r>
      <w:r w:rsidRPr="00F620F6" w:rsidR="00EB3F2F">
        <w:rPr>
          <w:color w:val="000000" w:themeColor="text1"/>
          <w:sz w:val="24"/>
          <w:szCs w:val="24"/>
        </w:rPr>
        <w:t xml:space="preserve">address a high unmet need in a population where </w:t>
      </w:r>
      <w:r w:rsidR="00B37266">
        <w:rPr>
          <w:color w:val="000000" w:themeColor="text1"/>
          <w:sz w:val="24"/>
          <w:szCs w:val="24"/>
        </w:rPr>
        <w:t xml:space="preserve">the </w:t>
      </w:r>
      <w:r w:rsidRPr="00F620F6" w:rsidR="00EB3F2F">
        <w:rPr>
          <w:color w:val="000000" w:themeColor="text1"/>
          <w:sz w:val="24"/>
          <w:szCs w:val="24"/>
        </w:rPr>
        <w:t xml:space="preserve">chemotherapy is inappropriate. </w:t>
      </w:r>
    </w:p>
    <w:p w:rsidRPr="00F620F6" w:rsidR="00195249" w:rsidP="00972544" w:rsidRDefault="00EB3F2F" w14:paraId="30B6C351" w14:textId="3988B9C6">
      <w:pPr>
        <w:pStyle w:val="Paragraph"/>
        <w:rPr>
          <w:color w:val="000000" w:themeColor="text1"/>
          <w:sz w:val="24"/>
          <w:szCs w:val="24"/>
        </w:rPr>
      </w:pPr>
      <w:r w:rsidRPr="00F620F6">
        <w:rPr>
          <w:color w:val="000000" w:themeColor="text1"/>
          <w:sz w:val="24"/>
          <w:szCs w:val="24"/>
        </w:rPr>
        <w:t>Giles Monnickendam</w:t>
      </w:r>
      <w:r w:rsidR="000C7460">
        <w:rPr>
          <w:color w:val="000000" w:themeColor="text1"/>
          <w:sz w:val="24"/>
          <w:szCs w:val="24"/>
        </w:rPr>
        <w:t>, for NICE</w:t>
      </w:r>
      <w:r w:rsidR="005904DA">
        <w:rPr>
          <w:color w:val="000000" w:themeColor="text1"/>
          <w:sz w:val="24"/>
          <w:szCs w:val="24"/>
        </w:rPr>
        <w:t>,</w:t>
      </w:r>
      <w:r w:rsidRPr="00F620F6">
        <w:rPr>
          <w:color w:val="000000" w:themeColor="text1"/>
          <w:sz w:val="24"/>
          <w:szCs w:val="24"/>
        </w:rPr>
        <w:t xml:space="preserve"> noted that there is no </w:t>
      </w:r>
      <w:r w:rsidRPr="00F620F6" w:rsidR="00195249">
        <w:rPr>
          <w:color w:val="000000" w:themeColor="text1"/>
          <w:sz w:val="24"/>
          <w:szCs w:val="24"/>
        </w:rPr>
        <w:t xml:space="preserve">clear </w:t>
      </w:r>
      <w:r w:rsidRPr="00F620F6">
        <w:rPr>
          <w:color w:val="000000" w:themeColor="text1"/>
          <w:sz w:val="24"/>
          <w:szCs w:val="24"/>
        </w:rPr>
        <w:t xml:space="preserve">consensus that all PD1 inhibitors are the same, and that it would have been a challenging </w:t>
      </w:r>
      <w:r w:rsidRPr="00F620F6" w:rsidR="00195249">
        <w:rPr>
          <w:color w:val="000000" w:themeColor="text1"/>
          <w:sz w:val="24"/>
          <w:szCs w:val="24"/>
        </w:rPr>
        <w:t xml:space="preserve">decision </w:t>
      </w:r>
      <w:r w:rsidRPr="00F620F6">
        <w:rPr>
          <w:color w:val="000000" w:themeColor="text1"/>
          <w:sz w:val="24"/>
          <w:szCs w:val="24"/>
        </w:rPr>
        <w:t xml:space="preserve">for the </w:t>
      </w:r>
      <w:r w:rsidR="005904DA">
        <w:rPr>
          <w:color w:val="000000" w:themeColor="text1"/>
          <w:sz w:val="24"/>
          <w:szCs w:val="24"/>
        </w:rPr>
        <w:t>c</w:t>
      </w:r>
      <w:r w:rsidRPr="00F620F6">
        <w:rPr>
          <w:color w:val="000000" w:themeColor="text1"/>
          <w:sz w:val="24"/>
          <w:szCs w:val="24"/>
        </w:rPr>
        <w:t xml:space="preserve">ommittee to have </w:t>
      </w:r>
      <w:r w:rsidRPr="00F620F6" w:rsidR="00195249">
        <w:rPr>
          <w:color w:val="000000" w:themeColor="text1"/>
          <w:sz w:val="24"/>
          <w:szCs w:val="24"/>
        </w:rPr>
        <w:t xml:space="preserve">taken when that was not what the </w:t>
      </w:r>
      <w:r w:rsidR="005904DA">
        <w:rPr>
          <w:color w:val="000000" w:themeColor="text1"/>
          <w:sz w:val="24"/>
          <w:szCs w:val="24"/>
        </w:rPr>
        <w:t>c</w:t>
      </w:r>
      <w:r w:rsidRPr="00F620F6" w:rsidR="00195249">
        <w:rPr>
          <w:color w:val="000000" w:themeColor="text1"/>
          <w:sz w:val="24"/>
          <w:szCs w:val="24"/>
        </w:rPr>
        <w:t>ommittee saw in what was being presented to it in the modelling.</w:t>
      </w:r>
      <w:r w:rsidRPr="00F620F6">
        <w:rPr>
          <w:color w:val="000000" w:themeColor="text1"/>
          <w:sz w:val="24"/>
          <w:szCs w:val="24"/>
        </w:rPr>
        <w:t xml:space="preserve"> </w:t>
      </w:r>
    </w:p>
    <w:p w:rsidRPr="00F620F6" w:rsidR="00EB3F2F" w:rsidP="00972544" w:rsidRDefault="00EB3F2F" w14:paraId="4529804A" w14:textId="59B95648">
      <w:pPr>
        <w:pStyle w:val="Paragraph"/>
        <w:rPr>
          <w:color w:val="000000" w:themeColor="text1"/>
          <w:sz w:val="24"/>
          <w:szCs w:val="24"/>
        </w:rPr>
      </w:pPr>
      <w:r w:rsidRPr="00F620F6">
        <w:rPr>
          <w:color w:val="000000" w:themeColor="text1"/>
          <w:sz w:val="24"/>
          <w:szCs w:val="24"/>
        </w:rPr>
        <w:t xml:space="preserve">Alan Kane </w:t>
      </w:r>
      <w:r w:rsidRPr="00F620F6" w:rsidR="00195249">
        <w:rPr>
          <w:color w:val="000000" w:themeColor="text1"/>
          <w:sz w:val="24"/>
          <w:szCs w:val="24"/>
        </w:rPr>
        <w:t xml:space="preserve">noted </w:t>
      </w:r>
      <w:r w:rsidR="00915D66">
        <w:rPr>
          <w:color w:val="000000" w:themeColor="text1"/>
          <w:sz w:val="24"/>
          <w:szCs w:val="24"/>
        </w:rPr>
        <w:t>Regeneron</w:t>
      </w:r>
      <w:r w:rsidRPr="00F620F6" w:rsidR="00195249">
        <w:rPr>
          <w:color w:val="000000" w:themeColor="text1"/>
          <w:sz w:val="24"/>
          <w:szCs w:val="24"/>
        </w:rPr>
        <w:t>'s belief that the correct bar is "should be similar enough to proceed"</w:t>
      </w:r>
      <w:r w:rsidRPr="00F620F6">
        <w:rPr>
          <w:color w:val="000000" w:themeColor="text1"/>
          <w:sz w:val="24"/>
          <w:szCs w:val="24"/>
        </w:rPr>
        <w:t xml:space="preserve"> rather than "identical" or "the same". </w:t>
      </w:r>
    </w:p>
    <w:p w:rsidR="00EB3F2F" w:rsidP="00972544" w:rsidRDefault="007D4ED1" w14:paraId="158946D9" w14:textId="6FDA1F77">
      <w:pPr>
        <w:pStyle w:val="Paragraph"/>
        <w:rPr>
          <w:color w:val="000000" w:themeColor="text1"/>
          <w:sz w:val="24"/>
          <w:szCs w:val="24"/>
        </w:rPr>
      </w:pPr>
      <w:r>
        <w:rPr>
          <w:color w:val="000000" w:themeColor="text1"/>
          <w:sz w:val="24"/>
          <w:szCs w:val="24"/>
        </w:rPr>
        <w:t xml:space="preserve">Dr </w:t>
      </w:r>
      <w:r w:rsidRPr="00F620F6" w:rsidR="00130F21">
        <w:rPr>
          <w:color w:val="000000" w:themeColor="text1"/>
          <w:sz w:val="24"/>
          <w:szCs w:val="24"/>
        </w:rPr>
        <w:t xml:space="preserve">Raju Reddy emphasised that </w:t>
      </w:r>
      <w:r w:rsidRPr="00F620F6" w:rsidR="00195249">
        <w:rPr>
          <w:color w:val="000000" w:themeColor="text1"/>
          <w:sz w:val="24"/>
          <w:szCs w:val="24"/>
        </w:rPr>
        <w:t xml:space="preserve">the </w:t>
      </w:r>
      <w:r w:rsidRPr="00F620F6" w:rsidR="00130F21">
        <w:rPr>
          <w:color w:val="000000" w:themeColor="text1"/>
          <w:sz w:val="24"/>
          <w:szCs w:val="24"/>
        </w:rPr>
        <w:t xml:space="preserve">cemiplimab </w:t>
      </w:r>
      <w:r w:rsidRPr="00F620F6" w:rsidR="00195249">
        <w:rPr>
          <w:color w:val="000000" w:themeColor="text1"/>
          <w:sz w:val="24"/>
          <w:szCs w:val="24"/>
        </w:rPr>
        <w:t xml:space="preserve">evaluation </w:t>
      </w:r>
      <w:r w:rsidRPr="00F620F6" w:rsidR="00130F21">
        <w:rPr>
          <w:color w:val="000000" w:themeColor="text1"/>
          <w:sz w:val="24"/>
          <w:szCs w:val="24"/>
        </w:rPr>
        <w:t>was no</w:t>
      </w:r>
      <w:r w:rsidRPr="00F620F6" w:rsidR="00195249">
        <w:rPr>
          <w:color w:val="000000" w:themeColor="text1"/>
          <w:sz w:val="24"/>
          <w:szCs w:val="24"/>
        </w:rPr>
        <w:t>t</w:t>
      </w:r>
      <w:r w:rsidRPr="00F620F6" w:rsidR="00130F21">
        <w:rPr>
          <w:color w:val="000000" w:themeColor="text1"/>
          <w:sz w:val="24"/>
          <w:szCs w:val="24"/>
        </w:rPr>
        <w:t xml:space="preserve"> scoped as a cost comparison analysis, and that this was not requested by </w:t>
      </w:r>
      <w:r>
        <w:rPr>
          <w:color w:val="000000" w:themeColor="text1"/>
          <w:sz w:val="24"/>
          <w:szCs w:val="24"/>
        </w:rPr>
        <w:t>Regeneron</w:t>
      </w:r>
      <w:r w:rsidRPr="00F620F6" w:rsidR="00130F21">
        <w:rPr>
          <w:color w:val="000000" w:themeColor="text1"/>
          <w:sz w:val="24"/>
          <w:szCs w:val="24"/>
        </w:rPr>
        <w:t xml:space="preserve"> at scoping, accepting instead a cost utility analysis. </w:t>
      </w:r>
      <w:r>
        <w:rPr>
          <w:color w:val="000000" w:themeColor="text1"/>
          <w:sz w:val="24"/>
          <w:szCs w:val="24"/>
        </w:rPr>
        <w:t>Regeneron</w:t>
      </w:r>
      <w:r w:rsidRPr="00F620F6" w:rsidR="00130F21">
        <w:rPr>
          <w:color w:val="000000" w:themeColor="text1"/>
          <w:sz w:val="24"/>
          <w:szCs w:val="24"/>
        </w:rPr>
        <w:t xml:space="preserve">'s own base case incorporated cost utility. He expressed the view that </w:t>
      </w:r>
      <w:r>
        <w:rPr>
          <w:color w:val="000000" w:themeColor="text1"/>
          <w:sz w:val="24"/>
          <w:szCs w:val="24"/>
        </w:rPr>
        <w:t>Regeneron</w:t>
      </w:r>
      <w:r w:rsidRPr="00F620F6" w:rsidR="00130F21">
        <w:rPr>
          <w:color w:val="000000" w:themeColor="text1"/>
          <w:sz w:val="24"/>
          <w:szCs w:val="24"/>
        </w:rPr>
        <w:t xml:space="preserve"> s</w:t>
      </w:r>
      <w:r w:rsidRPr="00F620F6" w:rsidR="00195249">
        <w:rPr>
          <w:color w:val="000000" w:themeColor="text1"/>
          <w:sz w:val="24"/>
          <w:szCs w:val="24"/>
        </w:rPr>
        <w:t>ought</w:t>
      </w:r>
      <w:r w:rsidRPr="00F620F6" w:rsidR="00130F21">
        <w:rPr>
          <w:color w:val="000000" w:themeColor="text1"/>
          <w:sz w:val="24"/>
          <w:szCs w:val="24"/>
        </w:rPr>
        <w:t xml:space="preserve"> on the one hand to advance similar clinical benefits, but on</w:t>
      </w:r>
      <w:r w:rsidR="00130F21">
        <w:rPr>
          <w:color w:val="000000" w:themeColor="text1"/>
          <w:sz w:val="24"/>
          <w:szCs w:val="24"/>
        </w:rPr>
        <w:t xml:space="preserve"> the other hand point</w:t>
      </w:r>
      <w:r w:rsidR="00195249">
        <w:rPr>
          <w:color w:val="000000" w:themeColor="text1"/>
          <w:sz w:val="24"/>
          <w:szCs w:val="24"/>
        </w:rPr>
        <w:t>ed</w:t>
      </w:r>
      <w:r w:rsidR="00130F21">
        <w:rPr>
          <w:color w:val="000000" w:themeColor="text1"/>
          <w:sz w:val="24"/>
          <w:szCs w:val="24"/>
        </w:rPr>
        <w:t xml:space="preserve"> to QALY gains in cemiplimab and QALY loss in the comparator. </w:t>
      </w:r>
    </w:p>
    <w:p w:rsidR="00130F21" w:rsidP="00972544" w:rsidRDefault="00130F21" w14:paraId="20B36CBF" w14:textId="7B3938FA">
      <w:pPr>
        <w:pStyle w:val="Paragraph"/>
        <w:rPr>
          <w:color w:val="000000" w:themeColor="text1"/>
          <w:sz w:val="24"/>
          <w:szCs w:val="24"/>
        </w:rPr>
      </w:pPr>
      <w:r>
        <w:rPr>
          <w:color w:val="000000" w:themeColor="text1"/>
          <w:sz w:val="24"/>
          <w:szCs w:val="24"/>
        </w:rPr>
        <w:t>Responding to</w:t>
      </w:r>
      <w:r w:rsidR="009D3F8A">
        <w:rPr>
          <w:color w:val="000000" w:themeColor="text1"/>
          <w:sz w:val="24"/>
          <w:szCs w:val="24"/>
        </w:rPr>
        <w:t xml:space="preserve"> Dr</w:t>
      </w:r>
      <w:r>
        <w:rPr>
          <w:color w:val="000000" w:themeColor="text1"/>
          <w:sz w:val="24"/>
          <w:szCs w:val="24"/>
        </w:rPr>
        <w:t xml:space="preserve"> Raju Reddy, Alan Kane said that there was no appetite from NICE to have conducted this appraisal as a cost comparison over a cost utility analysis. </w:t>
      </w:r>
    </w:p>
    <w:p w:rsidR="00130F21" w:rsidP="00972544" w:rsidRDefault="00130F21" w14:paraId="7AABBF75" w14:textId="56124004">
      <w:pPr>
        <w:pStyle w:val="Paragraph"/>
        <w:rPr>
          <w:color w:val="000000" w:themeColor="text1"/>
          <w:sz w:val="24"/>
          <w:szCs w:val="24"/>
        </w:rPr>
      </w:pPr>
      <w:r>
        <w:rPr>
          <w:color w:val="000000" w:themeColor="text1"/>
          <w:sz w:val="24"/>
          <w:szCs w:val="24"/>
        </w:rPr>
        <w:t xml:space="preserve">Giles Monnickendam responded with surprise that </w:t>
      </w:r>
      <w:r w:rsidR="007F3B3D">
        <w:rPr>
          <w:color w:val="000000" w:themeColor="text1"/>
          <w:sz w:val="24"/>
          <w:szCs w:val="24"/>
        </w:rPr>
        <w:t>Regeneron</w:t>
      </w:r>
      <w:r>
        <w:rPr>
          <w:color w:val="000000" w:themeColor="text1"/>
          <w:sz w:val="24"/>
          <w:szCs w:val="24"/>
        </w:rPr>
        <w:t xml:space="preserve"> now appeared to favour cost comparison analysis, when </w:t>
      </w:r>
      <w:proofErr w:type="gramStart"/>
      <w:r>
        <w:rPr>
          <w:color w:val="000000" w:themeColor="text1"/>
          <w:sz w:val="24"/>
          <w:szCs w:val="24"/>
        </w:rPr>
        <w:t>the vast majority of</w:t>
      </w:r>
      <w:proofErr w:type="gramEnd"/>
      <w:r>
        <w:rPr>
          <w:color w:val="000000" w:themeColor="text1"/>
          <w:sz w:val="24"/>
          <w:szCs w:val="24"/>
        </w:rPr>
        <w:t xml:space="preserve"> discussion at appraisal committee meetings related to the value propositions which </w:t>
      </w:r>
      <w:r w:rsidR="003257D0">
        <w:rPr>
          <w:color w:val="000000" w:themeColor="text1"/>
          <w:sz w:val="24"/>
          <w:szCs w:val="24"/>
        </w:rPr>
        <w:t>Regeneron</w:t>
      </w:r>
      <w:r>
        <w:rPr>
          <w:color w:val="000000" w:themeColor="text1"/>
          <w:sz w:val="24"/>
          <w:szCs w:val="24"/>
        </w:rPr>
        <w:t xml:space="preserve"> considered showed an advantage of cemiplimab. The </w:t>
      </w:r>
      <w:r w:rsidR="00713C98">
        <w:rPr>
          <w:color w:val="000000" w:themeColor="text1"/>
          <w:sz w:val="24"/>
          <w:szCs w:val="24"/>
        </w:rPr>
        <w:t>c</w:t>
      </w:r>
      <w:r>
        <w:rPr>
          <w:color w:val="000000" w:themeColor="text1"/>
          <w:sz w:val="24"/>
          <w:szCs w:val="24"/>
        </w:rPr>
        <w:t xml:space="preserve">ommittee was presented with a model that showed QALY benefits of cemiplimab versus standard of care. Clinical expert input did not counter that view. As a result, the </w:t>
      </w:r>
      <w:r w:rsidR="003823DB">
        <w:rPr>
          <w:color w:val="000000" w:themeColor="text1"/>
          <w:sz w:val="24"/>
          <w:szCs w:val="24"/>
        </w:rPr>
        <w:t>c</w:t>
      </w:r>
      <w:r>
        <w:rPr>
          <w:color w:val="000000" w:themeColor="text1"/>
          <w:sz w:val="24"/>
          <w:szCs w:val="24"/>
        </w:rPr>
        <w:t xml:space="preserve">ommittee did not consider that it was open to it or appropriate for cemiplimab to have been appraised on a cost comparison basis. The role of the </w:t>
      </w:r>
      <w:r w:rsidR="003823DB">
        <w:rPr>
          <w:color w:val="000000" w:themeColor="text1"/>
          <w:sz w:val="24"/>
          <w:szCs w:val="24"/>
        </w:rPr>
        <w:t>c</w:t>
      </w:r>
      <w:r>
        <w:rPr>
          <w:color w:val="000000" w:themeColor="text1"/>
          <w:sz w:val="24"/>
          <w:szCs w:val="24"/>
        </w:rPr>
        <w:t xml:space="preserve">ommittee is to consider the ICER – and what may not look significant in terms of clinical effectiveness may have a significant impact in assessing cost effectiveness. </w:t>
      </w:r>
    </w:p>
    <w:p w:rsidR="00130F21" w:rsidP="00972544" w:rsidRDefault="00130F21" w14:paraId="541F496C" w14:textId="77B8B3E3">
      <w:pPr>
        <w:pStyle w:val="Paragraph"/>
        <w:rPr>
          <w:color w:val="000000" w:themeColor="text1"/>
          <w:sz w:val="24"/>
          <w:szCs w:val="24"/>
        </w:rPr>
      </w:pPr>
      <w:r>
        <w:rPr>
          <w:color w:val="000000" w:themeColor="text1"/>
          <w:sz w:val="24"/>
          <w:szCs w:val="24"/>
        </w:rPr>
        <w:t xml:space="preserve">The </w:t>
      </w:r>
      <w:r w:rsidR="003823DB">
        <w:rPr>
          <w:color w:val="000000" w:themeColor="text1"/>
          <w:sz w:val="24"/>
          <w:szCs w:val="24"/>
        </w:rPr>
        <w:t>p</w:t>
      </w:r>
      <w:r>
        <w:rPr>
          <w:color w:val="000000" w:themeColor="text1"/>
          <w:sz w:val="24"/>
          <w:szCs w:val="24"/>
        </w:rPr>
        <w:t xml:space="preserve">anel reflected on other appraisal committees' approach to cost comparison and that there is a sense that other committees have not required an exceptionally high bar for similarity, instead adopting an empiric approach to conclude that treatments are broadly similar. Giles Monnickendam confirmed that this was not the case here, as the </w:t>
      </w:r>
      <w:r w:rsidR="003318D9">
        <w:rPr>
          <w:color w:val="000000" w:themeColor="text1"/>
          <w:sz w:val="24"/>
          <w:szCs w:val="24"/>
        </w:rPr>
        <w:t>c</w:t>
      </w:r>
      <w:r>
        <w:rPr>
          <w:color w:val="000000" w:themeColor="text1"/>
          <w:sz w:val="24"/>
          <w:szCs w:val="24"/>
        </w:rPr>
        <w:t xml:space="preserve">ommittee simply did not have the results that would have allowed it to reach that conclusion. He noted that the range of plausible interpretations considered by the </w:t>
      </w:r>
      <w:r w:rsidR="003318D9">
        <w:rPr>
          <w:color w:val="000000" w:themeColor="text1"/>
          <w:sz w:val="24"/>
          <w:szCs w:val="24"/>
        </w:rPr>
        <w:t>c</w:t>
      </w:r>
      <w:r>
        <w:rPr>
          <w:color w:val="000000" w:themeColor="text1"/>
          <w:sz w:val="24"/>
          <w:szCs w:val="24"/>
        </w:rPr>
        <w:t xml:space="preserve">ommittee included evidence of cemiplimab being better, worse or the same as the comparator. The impact of that on the ICER could have been explored through a Markov model. </w:t>
      </w:r>
    </w:p>
    <w:p w:rsidRPr="006E0D18" w:rsidR="00794C64" w:rsidP="00972544" w:rsidRDefault="00794C64" w14:paraId="08438C5F" w14:textId="635E4223">
      <w:pPr>
        <w:pStyle w:val="Paragraph"/>
        <w:rPr>
          <w:sz w:val="24"/>
          <w:szCs w:val="24"/>
        </w:rPr>
      </w:pPr>
      <w:r>
        <w:rPr>
          <w:color w:val="000000" w:themeColor="text1"/>
          <w:sz w:val="24"/>
          <w:szCs w:val="24"/>
        </w:rPr>
        <w:t>Rachel Williams</w:t>
      </w:r>
      <w:r w:rsidR="003318D9">
        <w:rPr>
          <w:color w:val="000000" w:themeColor="text1"/>
          <w:sz w:val="24"/>
          <w:szCs w:val="24"/>
        </w:rPr>
        <w:t>,</w:t>
      </w:r>
      <w:r>
        <w:rPr>
          <w:color w:val="000000" w:themeColor="text1"/>
          <w:sz w:val="24"/>
          <w:szCs w:val="24"/>
        </w:rPr>
        <w:t xml:space="preserve"> for </w:t>
      </w:r>
      <w:r w:rsidR="0029147B">
        <w:rPr>
          <w:color w:val="000000" w:themeColor="text1"/>
          <w:sz w:val="24"/>
          <w:szCs w:val="24"/>
        </w:rPr>
        <w:t>NICE</w:t>
      </w:r>
      <w:r w:rsidR="003318D9">
        <w:rPr>
          <w:color w:val="000000" w:themeColor="text1"/>
          <w:sz w:val="24"/>
          <w:szCs w:val="24"/>
        </w:rPr>
        <w:t>,</w:t>
      </w:r>
      <w:r>
        <w:rPr>
          <w:color w:val="000000" w:themeColor="text1"/>
          <w:sz w:val="24"/>
          <w:szCs w:val="24"/>
        </w:rPr>
        <w:t xml:space="preserve"> </w:t>
      </w:r>
      <w:r w:rsidR="006A1FB7">
        <w:rPr>
          <w:color w:val="000000" w:themeColor="text1"/>
          <w:sz w:val="24"/>
          <w:szCs w:val="24"/>
        </w:rPr>
        <w:t xml:space="preserve">noted that the </w:t>
      </w:r>
      <w:r w:rsidR="0055058C">
        <w:rPr>
          <w:color w:val="000000" w:themeColor="text1"/>
          <w:sz w:val="24"/>
          <w:szCs w:val="24"/>
        </w:rPr>
        <w:t>"</w:t>
      </w:r>
      <w:r w:rsidRPr="000A5B0D" w:rsidR="006A1FB7">
        <w:rPr>
          <w:color w:val="000000" w:themeColor="text1"/>
          <w:sz w:val="24"/>
          <w:szCs w:val="24"/>
        </w:rPr>
        <w:t>Lee et al</w:t>
      </w:r>
      <w:r w:rsidR="0055058C">
        <w:rPr>
          <w:color w:val="000000" w:themeColor="text1"/>
          <w:sz w:val="24"/>
          <w:szCs w:val="24"/>
        </w:rPr>
        <w:t>"</w:t>
      </w:r>
      <w:r w:rsidR="006A1FB7">
        <w:rPr>
          <w:color w:val="000000" w:themeColor="text1"/>
          <w:sz w:val="24"/>
          <w:szCs w:val="24"/>
        </w:rPr>
        <w:t xml:space="preserve"> publication referred to by </w:t>
      </w:r>
      <w:r w:rsidR="0029147B">
        <w:rPr>
          <w:color w:val="000000" w:themeColor="text1"/>
          <w:sz w:val="24"/>
          <w:szCs w:val="24"/>
        </w:rPr>
        <w:t>Regeneron</w:t>
      </w:r>
      <w:r w:rsidR="006A1FB7">
        <w:rPr>
          <w:color w:val="000000" w:themeColor="text1"/>
          <w:sz w:val="24"/>
          <w:szCs w:val="24"/>
        </w:rPr>
        <w:t xml:space="preserve"> described nine instances where </w:t>
      </w:r>
      <w:r w:rsidR="00C76599">
        <w:rPr>
          <w:color w:val="000000" w:themeColor="text1"/>
          <w:sz w:val="24"/>
          <w:szCs w:val="24"/>
        </w:rPr>
        <w:t>the company</w:t>
      </w:r>
      <w:r w:rsidR="00D7191F">
        <w:rPr>
          <w:color w:val="000000" w:themeColor="text1"/>
          <w:sz w:val="24"/>
          <w:szCs w:val="24"/>
        </w:rPr>
        <w:t xml:space="preserve"> involved in those cases</w:t>
      </w:r>
      <w:r w:rsidR="00C76599">
        <w:rPr>
          <w:color w:val="000000" w:themeColor="text1"/>
          <w:sz w:val="24"/>
          <w:szCs w:val="24"/>
        </w:rPr>
        <w:t xml:space="preserve"> had </w:t>
      </w:r>
      <w:r w:rsidR="006A1FB7">
        <w:rPr>
          <w:color w:val="000000" w:themeColor="text1"/>
          <w:sz w:val="24"/>
          <w:szCs w:val="24"/>
        </w:rPr>
        <w:t xml:space="preserve">suggested or otherwise intimated that a cost comparison may be applicable, but a cost comparison was not performed – including </w:t>
      </w:r>
      <w:r w:rsidRPr="006E0D18" w:rsidR="006A1FB7">
        <w:rPr>
          <w:sz w:val="24"/>
          <w:szCs w:val="24"/>
        </w:rPr>
        <w:t>TA705.</w:t>
      </w:r>
    </w:p>
    <w:p w:rsidRPr="006E0D18" w:rsidR="009C3D10" w:rsidP="009C3D10" w:rsidRDefault="009C3D10" w14:paraId="301FD1AB" w14:textId="17683ADF">
      <w:pPr>
        <w:pStyle w:val="Paragraph"/>
        <w:rPr>
          <w:sz w:val="24"/>
          <w:szCs w:val="24"/>
        </w:rPr>
      </w:pPr>
      <w:r w:rsidRPr="006E0D18">
        <w:rPr>
          <w:sz w:val="24"/>
          <w:szCs w:val="24"/>
        </w:rPr>
        <w:t xml:space="preserve">The </w:t>
      </w:r>
      <w:r w:rsidR="003318D9">
        <w:rPr>
          <w:sz w:val="24"/>
          <w:szCs w:val="24"/>
        </w:rPr>
        <w:t>a</w:t>
      </w:r>
      <w:r w:rsidR="007C4A83">
        <w:rPr>
          <w:sz w:val="24"/>
          <w:szCs w:val="24"/>
        </w:rPr>
        <w:t xml:space="preserve">ppeal </w:t>
      </w:r>
      <w:r w:rsidR="003318D9">
        <w:rPr>
          <w:sz w:val="24"/>
          <w:szCs w:val="24"/>
        </w:rPr>
        <w:t>p</w:t>
      </w:r>
      <w:r w:rsidR="007C4A83">
        <w:rPr>
          <w:sz w:val="24"/>
          <w:szCs w:val="24"/>
        </w:rPr>
        <w:t>anel</w:t>
      </w:r>
      <w:r w:rsidRPr="006E0D18">
        <w:rPr>
          <w:sz w:val="24"/>
          <w:szCs w:val="24"/>
        </w:rPr>
        <w:t xml:space="preserve"> concluded as follows</w:t>
      </w:r>
      <w:r w:rsidR="003318D9">
        <w:rPr>
          <w:sz w:val="24"/>
          <w:szCs w:val="24"/>
        </w:rPr>
        <w:t>.</w:t>
      </w:r>
    </w:p>
    <w:p w:rsidRPr="006E0D18" w:rsidR="00F65A80" w:rsidP="00F65A80" w:rsidRDefault="00740EC7" w14:paraId="02AA074F" w14:textId="32398D5E">
      <w:pPr>
        <w:pStyle w:val="Paragraph"/>
        <w:rPr>
          <w:sz w:val="24"/>
          <w:szCs w:val="24"/>
        </w:rPr>
      </w:pPr>
      <w:r w:rsidRPr="006E0D18">
        <w:rPr>
          <w:sz w:val="24"/>
          <w:szCs w:val="24"/>
        </w:rPr>
        <w:t xml:space="preserve">The </w:t>
      </w:r>
      <w:r w:rsidR="003318D9">
        <w:rPr>
          <w:sz w:val="24"/>
          <w:szCs w:val="24"/>
        </w:rPr>
        <w:t>p</w:t>
      </w:r>
      <w:r w:rsidRPr="006E0D18">
        <w:rPr>
          <w:sz w:val="24"/>
          <w:szCs w:val="24"/>
        </w:rPr>
        <w:t>anel determined that d</w:t>
      </w:r>
      <w:r w:rsidRPr="006E0D18" w:rsidR="00F65A80">
        <w:rPr>
          <w:sz w:val="24"/>
          <w:szCs w:val="24"/>
        </w:rPr>
        <w:t xml:space="preserve">uring initial scoping, NICE </w:t>
      </w:r>
      <w:r w:rsidR="007C4A83">
        <w:rPr>
          <w:sz w:val="24"/>
          <w:szCs w:val="24"/>
        </w:rPr>
        <w:t>did not consider</w:t>
      </w:r>
      <w:r w:rsidRPr="006E0D18" w:rsidR="00F65A80">
        <w:rPr>
          <w:sz w:val="24"/>
          <w:szCs w:val="24"/>
        </w:rPr>
        <w:t xml:space="preserve"> cemiplimab </w:t>
      </w:r>
      <w:r w:rsidR="007C4A83">
        <w:rPr>
          <w:sz w:val="24"/>
          <w:szCs w:val="24"/>
        </w:rPr>
        <w:t xml:space="preserve">to be </w:t>
      </w:r>
      <w:r w:rsidRPr="006E0D18" w:rsidR="00F65A80">
        <w:rPr>
          <w:sz w:val="24"/>
          <w:szCs w:val="24"/>
        </w:rPr>
        <w:t xml:space="preserve">appropriate for the cost-comparison process. Consequently, </w:t>
      </w:r>
      <w:r w:rsidR="0029147B">
        <w:rPr>
          <w:sz w:val="24"/>
          <w:szCs w:val="24"/>
        </w:rPr>
        <w:t>Regeneron</w:t>
      </w:r>
      <w:r w:rsidRPr="006E0D18" w:rsidR="00F65A80">
        <w:rPr>
          <w:sz w:val="24"/>
          <w:szCs w:val="24"/>
        </w:rPr>
        <w:t xml:space="preserve"> was invited to make a submission under the Single Technology Appraisal (STA) route, in accordance with section 2.6 of the </w:t>
      </w:r>
      <w:r w:rsidR="00303131">
        <w:rPr>
          <w:sz w:val="24"/>
          <w:szCs w:val="24"/>
        </w:rPr>
        <w:t>Manual</w:t>
      </w:r>
      <w:r w:rsidRPr="006E0D18" w:rsidR="00F65A80">
        <w:rPr>
          <w:sz w:val="24"/>
          <w:szCs w:val="24"/>
        </w:rPr>
        <w:t xml:space="preserve">. This decision </w:t>
      </w:r>
      <w:r w:rsidR="00303131">
        <w:rPr>
          <w:sz w:val="24"/>
          <w:szCs w:val="24"/>
        </w:rPr>
        <w:t xml:space="preserve">is not under </w:t>
      </w:r>
      <w:proofErr w:type="gramStart"/>
      <w:r w:rsidR="00303131">
        <w:rPr>
          <w:sz w:val="24"/>
          <w:szCs w:val="24"/>
        </w:rPr>
        <w:t>challenge, and</w:t>
      </w:r>
      <w:proofErr w:type="gramEnd"/>
      <w:r w:rsidR="00303131">
        <w:rPr>
          <w:sz w:val="24"/>
          <w:szCs w:val="24"/>
        </w:rPr>
        <w:t xml:space="preserve"> is in any event</w:t>
      </w:r>
      <w:r w:rsidRPr="006E0D18" w:rsidR="00F65A80">
        <w:rPr>
          <w:sz w:val="24"/>
          <w:szCs w:val="24"/>
        </w:rPr>
        <w:t xml:space="preserve"> outside the remit of the </w:t>
      </w:r>
      <w:r w:rsidR="003318D9">
        <w:rPr>
          <w:sz w:val="24"/>
          <w:szCs w:val="24"/>
        </w:rPr>
        <w:t>p</w:t>
      </w:r>
      <w:r w:rsidRPr="006E0D18" w:rsidR="00F65A80">
        <w:rPr>
          <w:sz w:val="24"/>
          <w:szCs w:val="24"/>
        </w:rPr>
        <w:t xml:space="preserve">anel. However, </w:t>
      </w:r>
      <w:r w:rsidR="00F620F6">
        <w:rPr>
          <w:sz w:val="24"/>
          <w:szCs w:val="24"/>
        </w:rPr>
        <w:t xml:space="preserve">the </w:t>
      </w:r>
      <w:r w:rsidR="003318D9">
        <w:rPr>
          <w:sz w:val="24"/>
          <w:szCs w:val="24"/>
        </w:rPr>
        <w:t>p</w:t>
      </w:r>
      <w:r w:rsidR="00F620F6">
        <w:rPr>
          <w:sz w:val="24"/>
          <w:szCs w:val="24"/>
        </w:rPr>
        <w:t xml:space="preserve">anel noted </w:t>
      </w:r>
      <w:r w:rsidRPr="006E0D18" w:rsidR="00F65A80">
        <w:rPr>
          <w:sz w:val="24"/>
          <w:szCs w:val="24"/>
        </w:rPr>
        <w:t xml:space="preserve">that in NICE’s published response to comments on the draft scope and provisional stakeholder list, no objection was raised to the STA designation by </w:t>
      </w:r>
      <w:r w:rsidR="0029147B">
        <w:rPr>
          <w:sz w:val="24"/>
          <w:szCs w:val="24"/>
        </w:rPr>
        <w:t>Regeneron</w:t>
      </w:r>
      <w:r w:rsidRPr="006E0D18" w:rsidR="00F65A80">
        <w:rPr>
          <w:sz w:val="24"/>
          <w:szCs w:val="24"/>
        </w:rPr>
        <w:t>, Roche, or the British Thoracic Oncology Group.</w:t>
      </w:r>
    </w:p>
    <w:p w:rsidRPr="006E0D18" w:rsidR="00F65A80" w:rsidP="00F65A80" w:rsidRDefault="00C12EAF" w14:paraId="4FE710C1" w14:textId="4E86AAB5">
      <w:pPr>
        <w:pStyle w:val="Paragraph"/>
        <w:rPr>
          <w:sz w:val="24"/>
          <w:szCs w:val="24"/>
        </w:rPr>
      </w:pPr>
      <w:r w:rsidRPr="006E0D18">
        <w:rPr>
          <w:sz w:val="24"/>
          <w:szCs w:val="24"/>
        </w:rPr>
        <w:t>The</w:t>
      </w:r>
      <w:r w:rsidR="0055058C">
        <w:rPr>
          <w:color w:val="000000" w:themeColor="text1"/>
          <w:sz w:val="24"/>
          <w:szCs w:val="24"/>
        </w:rPr>
        <w:t xml:space="preserve"> </w:t>
      </w:r>
      <w:r w:rsidR="003318D9">
        <w:rPr>
          <w:sz w:val="24"/>
          <w:szCs w:val="24"/>
        </w:rPr>
        <w:t>p</w:t>
      </w:r>
      <w:r w:rsidRPr="006E0D18">
        <w:rPr>
          <w:sz w:val="24"/>
          <w:szCs w:val="24"/>
        </w:rPr>
        <w:t>anel considered that g</w:t>
      </w:r>
      <w:r w:rsidRPr="006E0D18" w:rsidR="00F65A80">
        <w:rPr>
          <w:sz w:val="24"/>
          <w:szCs w:val="24"/>
        </w:rPr>
        <w:t xml:space="preserve">iven that the evaluation was scoped as an STA, it was reasonable for the </w:t>
      </w:r>
      <w:r w:rsidR="003318D9">
        <w:rPr>
          <w:sz w:val="24"/>
          <w:szCs w:val="24"/>
        </w:rPr>
        <w:t>c</w:t>
      </w:r>
      <w:r w:rsidRPr="006E0D18" w:rsidR="00F65A80">
        <w:rPr>
          <w:sz w:val="24"/>
          <w:szCs w:val="24"/>
        </w:rPr>
        <w:t xml:space="preserve">ommittee to assess the relative clinical effectiveness of cemiplimab compared to the comparator. The STA process requires a full consideration of clinical and cost-effectiveness, and the </w:t>
      </w:r>
      <w:r w:rsidR="003318D9">
        <w:rPr>
          <w:sz w:val="24"/>
          <w:szCs w:val="24"/>
        </w:rPr>
        <w:t>c</w:t>
      </w:r>
      <w:r w:rsidRPr="006E0D18" w:rsidR="00F65A80">
        <w:rPr>
          <w:sz w:val="24"/>
          <w:szCs w:val="24"/>
        </w:rPr>
        <w:t>ommittee acted within its remit in scrutinising the robustness of the indirect comparisons.</w:t>
      </w:r>
    </w:p>
    <w:p w:rsidRPr="006E0D18" w:rsidR="00F65A80" w:rsidP="00F65A80" w:rsidRDefault="00F65A80" w14:paraId="6E7A98A6" w14:textId="4B33B2C9">
      <w:pPr>
        <w:pStyle w:val="Paragraph"/>
        <w:rPr>
          <w:sz w:val="24"/>
          <w:szCs w:val="24"/>
        </w:rPr>
      </w:pPr>
      <w:r w:rsidRPr="006E0D18">
        <w:rPr>
          <w:sz w:val="24"/>
          <w:szCs w:val="24"/>
        </w:rPr>
        <w:t xml:space="preserve">The </w:t>
      </w:r>
      <w:r w:rsidR="003318D9">
        <w:rPr>
          <w:sz w:val="24"/>
          <w:szCs w:val="24"/>
        </w:rPr>
        <w:t>p</w:t>
      </w:r>
      <w:r w:rsidRPr="006E0D18">
        <w:rPr>
          <w:sz w:val="24"/>
          <w:szCs w:val="24"/>
        </w:rPr>
        <w:t xml:space="preserve">anel is satisfied that the </w:t>
      </w:r>
      <w:r w:rsidR="003318D9">
        <w:rPr>
          <w:sz w:val="24"/>
          <w:szCs w:val="24"/>
        </w:rPr>
        <w:t>c</w:t>
      </w:r>
      <w:r w:rsidRPr="006E0D18">
        <w:rPr>
          <w:sz w:val="24"/>
          <w:szCs w:val="24"/>
        </w:rPr>
        <w:t xml:space="preserve">ommittee considered expert clinical opinion, trial data, and indirect comparison methods in a reasonable and transparent manner. The FDG documents the </w:t>
      </w:r>
      <w:r w:rsidR="003318D9">
        <w:rPr>
          <w:sz w:val="24"/>
          <w:szCs w:val="24"/>
        </w:rPr>
        <w:t>c</w:t>
      </w:r>
      <w:r w:rsidRPr="006E0D18">
        <w:rPr>
          <w:sz w:val="24"/>
          <w:szCs w:val="24"/>
        </w:rPr>
        <w:t>ommittee’s deliberations on clinical similarity</w:t>
      </w:r>
      <w:r w:rsidR="000663E9">
        <w:rPr>
          <w:sz w:val="24"/>
          <w:szCs w:val="24"/>
        </w:rPr>
        <w:t xml:space="preserve"> (paragraphs 3.</w:t>
      </w:r>
      <w:r w:rsidR="00C76599">
        <w:rPr>
          <w:sz w:val="24"/>
          <w:szCs w:val="24"/>
        </w:rPr>
        <w:t>6</w:t>
      </w:r>
      <w:r w:rsidR="000663E9">
        <w:rPr>
          <w:sz w:val="24"/>
          <w:szCs w:val="24"/>
        </w:rPr>
        <w:t>, 3.8, 3.14)</w:t>
      </w:r>
      <w:r w:rsidRPr="006E0D18">
        <w:rPr>
          <w:sz w:val="24"/>
          <w:szCs w:val="24"/>
        </w:rPr>
        <w:t>, including concerns about residual confounding, differences in trial populations, and the absence of formal non-inferiority or equivalence data.</w:t>
      </w:r>
    </w:p>
    <w:p w:rsidRPr="006E0D18" w:rsidR="00F65A80" w:rsidP="00F65A80" w:rsidRDefault="00F65A80" w14:paraId="703F15A8" w14:textId="407B3724">
      <w:pPr>
        <w:pStyle w:val="Paragraph"/>
        <w:rPr>
          <w:sz w:val="24"/>
          <w:szCs w:val="24"/>
        </w:rPr>
      </w:pPr>
      <w:r w:rsidRPr="006E0D18">
        <w:rPr>
          <w:sz w:val="24"/>
          <w:szCs w:val="24"/>
        </w:rPr>
        <w:t>The</w:t>
      </w:r>
      <w:r w:rsidRPr="006E0D18" w:rsidR="006D474F">
        <w:rPr>
          <w:sz w:val="24"/>
          <w:szCs w:val="24"/>
        </w:rPr>
        <w:t xml:space="preserve"> </w:t>
      </w:r>
      <w:r w:rsidR="003318D9">
        <w:rPr>
          <w:sz w:val="24"/>
          <w:szCs w:val="24"/>
        </w:rPr>
        <w:t>p</w:t>
      </w:r>
      <w:r w:rsidR="00303131">
        <w:rPr>
          <w:sz w:val="24"/>
          <w:szCs w:val="24"/>
        </w:rPr>
        <w:t xml:space="preserve">anel </w:t>
      </w:r>
      <w:r w:rsidRPr="006E0D18" w:rsidR="006D474F">
        <w:rPr>
          <w:sz w:val="24"/>
          <w:szCs w:val="24"/>
        </w:rPr>
        <w:t xml:space="preserve">considered that the </w:t>
      </w:r>
      <w:r w:rsidR="003318D9">
        <w:rPr>
          <w:sz w:val="24"/>
          <w:szCs w:val="24"/>
        </w:rPr>
        <w:t>c</w:t>
      </w:r>
      <w:r w:rsidRPr="006E0D18" w:rsidR="00303131">
        <w:rPr>
          <w:sz w:val="24"/>
          <w:szCs w:val="24"/>
        </w:rPr>
        <w:t xml:space="preserve">ommittee’s </w:t>
      </w:r>
      <w:r w:rsidRPr="006E0D18">
        <w:rPr>
          <w:sz w:val="24"/>
          <w:szCs w:val="24"/>
        </w:rPr>
        <w:t xml:space="preserve">statement that the efficacy of </w:t>
      </w:r>
      <w:proofErr w:type="spellStart"/>
      <w:r w:rsidRPr="006E0D18">
        <w:rPr>
          <w:sz w:val="24"/>
          <w:szCs w:val="24"/>
        </w:rPr>
        <w:t>cemiplimab</w:t>
      </w:r>
      <w:proofErr w:type="spellEnd"/>
      <w:r w:rsidRPr="006E0D18">
        <w:rPr>
          <w:sz w:val="24"/>
          <w:szCs w:val="24"/>
        </w:rPr>
        <w:t xml:space="preserve"> compared to </w:t>
      </w:r>
      <w:r w:rsidR="00C76599">
        <w:rPr>
          <w:sz w:val="24"/>
          <w:szCs w:val="24"/>
        </w:rPr>
        <w:t>pembrolizuma</w:t>
      </w:r>
      <w:r w:rsidRPr="006E0D18" w:rsidR="00C76599">
        <w:rPr>
          <w:sz w:val="24"/>
          <w:szCs w:val="24"/>
        </w:rPr>
        <w:t xml:space="preserve">b </w:t>
      </w:r>
      <w:r w:rsidRPr="006E0D18">
        <w:rPr>
          <w:sz w:val="24"/>
          <w:szCs w:val="24"/>
        </w:rPr>
        <w:t>could be “the same, worse or different</w:t>
      </w:r>
      <w:r w:rsidR="00116742">
        <w:rPr>
          <w:sz w:val="24"/>
          <w:szCs w:val="24"/>
        </w:rPr>
        <w:t>,</w:t>
      </w:r>
      <w:r w:rsidRPr="006E0D18">
        <w:rPr>
          <w:sz w:val="24"/>
          <w:szCs w:val="24"/>
        </w:rPr>
        <w:t xml:space="preserve">” reflects the uncertainty in the evidence base. This was not an unreasonable conclusion. Indeed, </w:t>
      </w:r>
      <w:r w:rsidR="00987489">
        <w:rPr>
          <w:sz w:val="24"/>
          <w:szCs w:val="24"/>
        </w:rPr>
        <w:t>Regeneron</w:t>
      </w:r>
      <w:r w:rsidRPr="006E0D18" w:rsidR="00303131">
        <w:rPr>
          <w:sz w:val="24"/>
          <w:szCs w:val="24"/>
        </w:rPr>
        <w:t xml:space="preserve"> </w:t>
      </w:r>
      <w:r w:rsidRPr="006E0D18">
        <w:rPr>
          <w:sz w:val="24"/>
          <w:szCs w:val="24"/>
        </w:rPr>
        <w:t xml:space="preserve">itself acknowledged limitations in the indirect comparison and did not provide formal equivalence data. It was therefore reasonable for the </w:t>
      </w:r>
      <w:r w:rsidR="000400D9">
        <w:rPr>
          <w:sz w:val="24"/>
          <w:szCs w:val="24"/>
        </w:rPr>
        <w:t>c</w:t>
      </w:r>
      <w:r w:rsidRPr="006E0D18">
        <w:rPr>
          <w:sz w:val="24"/>
          <w:szCs w:val="24"/>
        </w:rPr>
        <w:t>ommittee to seek to explore this uncertainty further rather than proceed with a cost-comparison analysis.</w:t>
      </w:r>
    </w:p>
    <w:p w:rsidRPr="006E0D18" w:rsidR="00F65A80" w:rsidP="00F65A80" w:rsidRDefault="00F65A80" w14:paraId="3F2EC9E3" w14:textId="37520642">
      <w:pPr>
        <w:pStyle w:val="Paragraph"/>
        <w:rPr>
          <w:sz w:val="24"/>
          <w:szCs w:val="24"/>
        </w:rPr>
      </w:pPr>
      <w:r w:rsidRPr="006E0D18">
        <w:rPr>
          <w:sz w:val="24"/>
          <w:szCs w:val="24"/>
        </w:rPr>
        <w:t xml:space="preserve">The </w:t>
      </w:r>
      <w:r w:rsidR="000400D9">
        <w:rPr>
          <w:sz w:val="24"/>
          <w:szCs w:val="24"/>
        </w:rPr>
        <w:t>p</w:t>
      </w:r>
      <w:r w:rsidRPr="006E0D18">
        <w:rPr>
          <w:sz w:val="24"/>
          <w:szCs w:val="24"/>
        </w:rPr>
        <w:t xml:space="preserve">anel </w:t>
      </w:r>
      <w:r w:rsidR="00F620F6">
        <w:rPr>
          <w:sz w:val="24"/>
          <w:szCs w:val="24"/>
        </w:rPr>
        <w:t>was</w:t>
      </w:r>
      <w:r w:rsidRPr="006E0D18">
        <w:rPr>
          <w:sz w:val="24"/>
          <w:szCs w:val="24"/>
        </w:rPr>
        <w:t xml:space="preserve"> reassured that all relevant processes in NICE’s manual relating to STA evaluations were followed. The </w:t>
      </w:r>
      <w:r w:rsidR="000400D9">
        <w:rPr>
          <w:sz w:val="24"/>
          <w:szCs w:val="24"/>
        </w:rPr>
        <w:t>c</w:t>
      </w:r>
      <w:r w:rsidRPr="006E0D18">
        <w:rPr>
          <w:sz w:val="24"/>
          <w:szCs w:val="24"/>
        </w:rPr>
        <w:t>ommittee’s approach was consistent with NICE’s expectations for evidence scrutiny, stakeholder engagement, and decision-making under uncertainty.</w:t>
      </w:r>
    </w:p>
    <w:p w:rsidRPr="006E0D18" w:rsidR="009C3D10" w:rsidP="009C3D10" w:rsidRDefault="009C3D10" w14:paraId="069BD834" w14:textId="46FE525B">
      <w:pPr>
        <w:pStyle w:val="Paragraph"/>
        <w:rPr>
          <w:sz w:val="24"/>
          <w:szCs w:val="24"/>
        </w:rPr>
      </w:pPr>
      <w:r w:rsidRPr="5664F4BC" w:rsidR="009C3D10">
        <w:rPr>
          <w:sz w:val="24"/>
          <w:szCs w:val="24"/>
        </w:rPr>
        <w:t xml:space="preserve">The </w:t>
      </w:r>
      <w:r w:rsidRPr="5664F4BC" w:rsidR="000400D9">
        <w:rPr>
          <w:sz w:val="24"/>
          <w:szCs w:val="24"/>
        </w:rPr>
        <w:t>a</w:t>
      </w:r>
      <w:r w:rsidRPr="5664F4BC" w:rsidR="00303131">
        <w:rPr>
          <w:sz w:val="24"/>
          <w:szCs w:val="24"/>
        </w:rPr>
        <w:t xml:space="preserve">ppeal </w:t>
      </w:r>
      <w:r w:rsidRPr="5664F4BC" w:rsidR="475E1EE6">
        <w:rPr>
          <w:sz w:val="24"/>
          <w:szCs w:val="24"/>
        </w:rPr>
        <w:t>pane</w:t>
      </w:r>
      <w:r w:rsidRPr="5664F4BC" w:rsidR="00303131">
        <w:rPr>
          <w:sz w:val="24"/>
          <w:szCs w:val="24"/>
        </w:rPr>
        <w:t>l</w:t>
      </w:r>
      <w:r w:rsidRPr="5664F4BC" w:rsidR="009C3D10">
        <w:rPr>
          <w:sz w:val="24"/>
          <w:szCs w:val="24"/>
        </w:rPr>
        <w:t xml:space="preserve"> therefore dismissed the appeal on this point.</w:t>
      </w:r>
    </w:p>
    <w:p w:rsidRPr="006065EB" w:rsidR="00D64324" w:rsidP="000A5B0D" w:rsidRDefault="00987489" w14:paraId="4E890658" w14:textId="566A0217">
      <w:pPr>
        <w:pStyle w:val="Heading3"/>
      </w:pPr>
      <w:r>
        <w:t xml:space="preserve">Appeal </w:t>
      </w:r>
      <w:proofErr w:type="gramStart"/>
      <w:r>
        <w:t>point</w:t>
      </w:r>
      <w:proofErr w:type="gramEnd"/>
      <w:r>
        <w:t xml:space="preserve"> </w:t>
      </w:r>
      <w:r w:rsidRPr="006065EB" w:rsidR="00D64324">
        <w:t xml:space="preserve">2.6 - The Committee’s conclusions on the comparative effectiveness evidence are unreasonable </w:t>
      </w:r>
      <w:proofErr w:type="gramStart"/>
      <w:r w:rsidRPr="006065EB" w:rsidR="00D64324">
        <w:t>in light of</w:t>
      </w:r>
      <w:proofErr w:type="gramEnd"/>
      <w:r w:rsidRPr="006065EB" w:rsidR="00D64324">
        <w:t xml:space="preserve"> the evidence submitted.</w:t>
      </w:r>
    </w:p>
    <w:p w:rsidR="00D64324" w:rsidP="00D64324" w:rsidRDefault="00D64324" w14:paraId="77B0DDCD" w14:textId="35930419">
      <w:pPr>
        <w:pStyle w:val="Paragraph"/>
        <w:rPr>
          <w:sz w:val="24"/>
          <w:szCs w:val="24"/>
        </w:rPr>
      </w:pPr>
      <w:r>
        <w:rPr>
          <w:sz w:val="24"/>
          <w:szCs w:val="24"/>
        </w:rPr>
        <w:t xml:space="preserve">Grant Castle introduced this appeal point for </w:t>
      </w:r>
      <w:r w:rsidR="006A4B57">
        <w:rPr>
          <w:sz w:val="24"/>
          <w:szCs w:val="24"/>
        </w:rPr>
        <w:t>Regeneron</w:t>
      </w:r>
      <w:r w:rsidR="0081415D">
        <w:rPr>
          <w:sz w:val="24"/>
          <w:szCs w:val="24"/>
        </w:rPr>
        <w:t xml:space="preserve"> and stated that the company </w:t>
      </w:r>
      <w:r>
        <w:rPr>
          <w:sz w:val="24"/>
          <w:szCs w:val="24"/>
        </w:rPr>
        <w:t xml:space="preserve">disagreed with the </w:t>
      </w:r>
      <w:r w:rsidR="0081415D">
        <w:rPr>
          <w:sz w:val="24"/>
          <w:szCs w:val="24"/>
        </w:rPr>
        <w:t>c</w:t>
      </w:r>
      <w:r>
        <w:rPr>
          <w:sz w:val="24"/>
          <w:szCs w:val="24"/>
        </w:rPr>
        <w:t>ommittee's statement that "the results of the MAIC were highly uncertain and did not resolve the concerns with the results of the network meta</w:t>
      </w:r>
      <w:r w:rsidR="000663E9">
        <w:rPr>
          <w:sz w:val="24"/>
          <w:szCs w:val="24"/>
        </w:rPr>
        <w:t>-</w:t>
      </w:r>
      <w:r>
        <w:rPr>
          <w:sz w:val="24"/>
          <w:szCs w:val="24"/>
        </w:rPr>
        <w:t xml:space="preserve">analyses". </w:t>
      </w:r>
      <w:r w:rsidR="006A4B57">
        <w:rPr>
          <w:sz w:val="24"/>
          <w:szCs w:val="24"/>
        </w:rPr>
        <w:t>Regeneron</w:t>
      </w:r>
      <w:r>
        <w:rPr>
          <w:sz w:val="24"/>
          <w:szCs w:val="24"/>
        </w:rPr>
        <w:t xml:space="preserve"> considers this to be a blanket conclusion that is too sweeping and fails to consider the PFS. The MAIC specifically addressed that issue. </w:t>
      </w:r>
      <w:r w:rsidR="006A1FB7">
        <w:rPr>
          <w:sz w:val="24"/>
          <w:szCs w:val="24"/>
        </w:rPr>
        <w:t>The PFS MAIC</w:t>
      </w:r>
      <w:r w:rsidR="000663E9">
        <w:rPr>
          <w:sz w:val="24"/>
          <w:szCs w:val="24"/>
        </w:rPr>
        <w:t>s</w:t>
      </w:r>
      <w:r w:rsidR="006A1FB7">
        <w:rPr>
          <w:sz w:val="24"/>
          <w:szCs w:val="24"/>
        </w:rPr>
        <w:t xml:space="preserve"> specifically addressed the </w:t>
      </w:r>
      <w:r w:rsidR="005D064B">
        <w:rPr>
          <w:sz w:val="24"/>
          <w:szCs w:val="24"/>
        </w:rPr>
        <w:t>c</w:t>
      </w:r>
      <w:r w:rsidR="006A1FB7">
        <w:rPr>
          <w:sz w:val="24"/>
          <w:szCs w:val="24"/>
        </w:rPr>
        <w:t>ommittee's concerns and were not subject to the same degree of uncertainty as the OS analyses</w:t>
      </w:r>
      <w:r>
        <w:rPr>
          <w:sz w:val="24"/>
          <w:szCs w:val="24"/>
        </w:rPr>
        <w:t xml:space="preserve">. </w:t>
      </w:r>
      <w:r w:rsidR="000663E9">
        <w:rPr>
          <w:sz w:val="24"/>
          <w:szCs w:val="24"/>
        </w:rPr>
        <w:t xml:space="preserve">In </w:t>
      </w:r>
      <w:r w:rsidR="006A4B57">
        <w:rPr>
          <w:sz w:val="24"/>
          <w:szCs w:val="24"/>
        </w:rPr>
        <w:t>Regeneron</w:t>
      </w:r>
      <w:r w:rsidR="000663E9">
        <w:rPr>
          <w:sz w:val="24"/>
          <w:szCs w:val="24"/>
        </w:rPr>
        <w:t>'s opinion t</w:t>
      </w:r>
      <w:r>
        <w:rPr>
          <w:sz w:val="24"/>
          <w:szCs w:val="24"/>
        </w:rPr>
        <w:t>h</w:t>
      </w:r>
      <w:r w:rsidR="006A1FB7">
        <w:rPr>
          <w:sz w:val="24"/>
          <w:szCs w:val="24"/>
        </w:rPr>
        <w:t xml:space="preserve">e </w:t>
      </w:r>
      <w:r w:rsidR="005D064B">
        <w:rPr>
          <w:sz w:val="24"/>
          <w:szCs w:val="24"/>
        </w:rPr>
        <w:t>c</w:t>
      </w:r>
      <w:r w:rsidR="006A1FB7">
        <w:rPr>
          <w:sz w:val="24"/>
          <w:szCs w:val="24"/>
        </w:rPr>
        <w:t>ommittee's</w:t>
      </w:r>
      <w:r>
        <w:rPr>
          <w:sz w:val="24"/>
          <w:szCs w:val="24"/>
        </w:rPr>
        <w:t xml:space="preserve"> criticism </w:t>
      </w:r>
      <w:proofErr w:type="gramStart"/>
      <w:r>
        <w:rPr>
          <w:sz w:val="24"/>
          <w:szCs w:val="24"/>
        </w:rPr>
        <w:t>is</w:t>
      </w:r>
      <w:r w:rsidR="000663E9">
        <w:rPr>
          <w:sz w:val="24"/>
          <w:szCs w:val="24"/>
        </w:rPr>
        <w:t xml:space="preserve"> </w:t>
      </w:r>
      <w:r>
        <w:rPr>
          <w:sz w:val="24"/>
          <w:szCs w:val="24"/>
        </w:rPr>
        <w:t>based on an assumption</w:t>
      </w:r>
      <w:proofErr w:type="gramEnd"/>
      <w:r>
        <w:rPr>
          <w:sz w:val="24"/>
          <w:szCs w:val="24"/>
        </w:rPr>
        <w:t xml:space="preserve"> of equal PPS between cemiplimab and pembrolizumab and a near perfect surrogate link between PFS and OS</w:t>
      </w:r>
      <w:r w:rsidR="006A1FB7">
        <w:rPr>
          <w:sz w:val="24"/>
          <w:szCs w:val="24"/>
        </w:rPr>
        <w:t xml:space="preserve">, which </w:t>
      </w:r>
      <w:r w:rsidR="006A4B57">
        <w:rPr>
          <w:sz w:val="24"/>
          <w:szCs w:val="24"/>
        </w:rPr>
        <w:t>Regeneron</w:t>
      </w:r>
      <w:r w:rsidR="006A1FB7">
        <w:rPr>
          <w:sz w:val="24"/>
          <w:szCs w:val="24"/>
        </w:rPr>
        <w:t xml:space="preserve"> believes to be an unsupported and unjustified assertion which is inconsistent with other preferences expressed by the </w:t>
      </w:r>
      <w:r w:rsidR="005D064B">
        <w:rPr>
          <w:sz w:val="24"/>
          <w:szCs w:val="24"/>
        </w:rPr>
        <w:t>c</w:t>
      </w:r>
      <w:r w:rsidR="006A1FB7">
        <w:rPr>
          <w:sz w:val="24"/>
          <w:szCs w:val="24"/>
        </w:rPr>
        <w:t>ommittee</w:t>
      </w:r>
      <w:r>
        <w:rPr>
          <w:sz w:val="24"/>
          <w:szCs w:val="24"/>
        </w:rPr>
        <w:t xml:space="preserve">. </w:t>
      </w:r>
    </w:p>
    <w:p w:rsidR="00D64324" w:rsidP="00D64324" w:rsidRDefault="006A4B57" w14:paraId="7E9BD505" w14:textId="40ECAB25">
      <w:pPr>
        <w:pStyle w:val="Paragraph"/>
        <w:rPr>
          <w:sz w:val="24"/>
          <w:szCs w:val="24"/>
        </w:rPr>
      </w:pPr>
      <w:r>
        <w:rPr>
          <w:sz w:val="24"/>
          <w:szCs w:val="24"/>
        </w:rPr>
        <w:t xml:space="preserve">Dr </w:t>
      </w:r>
      <w:r w:rsidR="00D64324">
        <w:rPr>
          <w:sz w:val="24"/>
          <w:szCs w:val="24"/>
        </w:rPr>
        <w:t xml:space="preserve">Raju Reddy, for </w:t>
      </w:r>
      <w:r>
        <w:rPr>
          <w:sz w:val="24"/>
          <w:szCs w:val="24"/>
        </w:rPr>
        <w:t>NICE</w:t>
      </w:r>
      <w:r w:rsidR="00D64324">
        <w:rPr>
          <w:sz w:val="24"/>
          <w:szCs w:val="24"/>
        </w:rPr>
        <w:t xml:space="preserve">, emphasised that the </w:t>
      </w:r>
      <w:r w:rsidR="005D064B">
        <w:rPr>
          <w:sz w:val="24"/>
          <w:szCs w:val="24"/>
        </w:rPr>
        <w:t>c</w:t>
      </w:r>
      <w:r w:rsidR="00D64324">
        <w:rPr>
          <w:sz w:val="24"/>
          <w:szCs w:val="24"/>
        </w:rPr>
        <w:t xml:space="preserve">ommittee's </w:t>
      </w:r>
      <w:r w:rsidR="006A1FB7">
        <w:rPr>
          <w:sz w:val="24"/>
          <w:szCs w:val="24"/>
        </w:rPr>
        <w:t xml:space="preserve">primary </w:t>
      </w:r>
      <w:r w:rsidR="00D64324">
        <w:rPr>
          <w:sz w:val="24"/>
          <w:szCs w:val="24"/>
        </w:rPr>
        <w:t xml:space="preserve">concern was in respect of OS </w:t>
      </w:r>
      <w:r w:rsidR="006A1FB7">
        <w:rPr>
          <w:sz w:val="24"/>
          <w:szCs w:val="24"/>
        </w:rPr>
        <w:t>rather than</w:t>
      </w:r>
      <w:r w:rsidR="00D64324">
        <w:rPr>
          <w:sz w:val="24"/>
          <w:szCs w:val="24"/>
        </w:rPr>
        <w:t xml:space="preserve"> PFS</w:t>
      </w:r>
      <w:r w:rsidR="006A1FB7">
        <w:rPr>
          <w:sz w:val="24"/>
          <w:szCs w:val="24"/>
        </w:rPr>
        <w:t xml:space="preserve"> as that was where the major uncertainty lay</w:t>
      </w:r>
      <w:r w:rsidR="00D64324">
        <w:rPr>
          <w:sz w:val="24"/>
          <w:szCs w:val="24"/>
        </w:rPr>
        <w:t xml:space="preserve">. Going to the specific appeal point, </w:t>
      </w:r>
      <w:r>
        <w:rPr>
          <w:sz w:val="24"/>
          <w:szCs w:val="24"/>
        </w:rPr>
        <w:t xml:space="preserve">Dr </w:t>
      </w:r>
      <w:r w:rsidR="00D64324">
        <w:rPr>
          <w:sz w:val="24"/>
          <w:szCs w:val="24"/>
        </w:rPr>
        <w:t xml:space="preserve">Reddy noted that there were </w:t>
      </w:r>
      <w:proofErr w:type="gramStart"/>
      <w:r w:rsidR="00D64324">
        <w:rPr>
          <w:sz w:val="24"/>
          <w:szCs w:val="24"/>
        </w:rPr>
        <w:t>a number of</w:t>
      </w:r>
      <w:proofErr w:type="gramEnd"/>
      <w:r w:rsidR="00D64324">
        <w:rPr>
          <w:sz w:val="24"/>
          <w:szCs w:val="24"/>
        </w:rPr>
        <w:t xml:space="preserve"> treatment effect modifiers present – the </w:t>
      </w:r>
      <w:r w:rsidR="006A1FB7">
        <w:rPr>
          <w:sz w:val="24"/>
          <w:szCs w:val="24"/>
        </w:rPr>
        <w:t xml:space="preserve">duration of treatment, </w:t>
      </w:r>
      <w:r w:rsidR="00D64324">
        <w:rPr>
          <w:sz w:val="24"/>
          <w:szCs w:val="24"/>
        </w:rPr>
        <w:t>distribution of PDL</w:t>
      </w:r>
      <w:r w:rsidR="006A1FB7">
        <w:rPr>
          <w:sz w:val="24"/>
          <w:szCs w:val="24"/>
        </w:rPr>
        <w:t xml:space="preserve"> 1 expression</w:t>
      </w:r>
      <w:r w:rsidR="00D64324">
        <w:rPr>
          <w:sz w:val="24"/>
          <w:szCs w:val="24"/>
        </w:rPr>
        <w:t>,</w:t>
      </w:r>
      <w:r w:rsidR="006A1FB7">
        <w:rPr>
          <w:sz w:val="24"/>
          <w:szCs w:val="24"/>
        </w:rPr>
        <w:t xml:space="preserve"> age,</w:t>
      </w:r>
      <w:r w:rsidR="00D64324">
        <w:rPr>
          <w:sz w:val="24"/>
          <w:szCs w:val="24"/>
        </w:rPr>
        <w:t xml:space="preserve"> cancer state, smoking history, study site locations, </w:t>
      </w:r>
      <w:r w:rsidR="006A1FB7">
        <w:rPr>
          <w:sz w:val="24"/>
          <w:szCs w:val="24"/>
        </w:rPr>
        <w:t xml:space="preserve">pre-trial </w:t>
      </w:r>
      <w:r w:rsidR="00D64324">
        <w:rPr>
          <w:sz w:val="24"/>
          <w:szCs w:val="24"/>
        </w:rPr>
        <w:t xml:space="preserve">standard of care and second line treatments were all different. </w:t>
      </w:r>
      <w:proofErr w:type="gramStart"/>
      <w:r w:rsidR="00D64324">
        <w:rPr>
          <w:sz w:val="24"/>
          <w:szCs w:val="24"/>
        </w:rPr>
        <w:t>All of</w:t>
      </w:r>
      <w:proofErr w:type="gramEnd"/>
      <w:r w:rsidR="00D64324">
        <w:rPr>
          <w:sz w:val="24"/>
          <w:szCs w:val="24"/>
        </w:rPr>
        <w:t xml:space="preserve"> these differences formed part of that uncertainty. </w:t>
      </w:r>
    </w:p>
    <w:p w:rsidR="00D64324" w:rsidP="00D64324" w:rsidRDefault="006A4B57" w14:paraId="660C2726" w14:textId="52A893F4">
      <w:pPr>
        <w:pStyle w:val="Paragraph"/>
        <w:rPr>
          <w:sz w:val="24"/>
          <w:szCs w:val="24"/>
        </w:rPr>
      </w:pPr>
      <w:r>
        <w:rPr>
          <w:sz w:val="24"/>
          <w:szCs w:val="24"/>
        </w:rPr>
        <w:t xml:space="preserve">Dr </w:t>
      </w:r>
      <w:r w:rsidR="00D64324">
        <w:rPr>
          <w:sz w:val="24"/>
          <w:szCs w:val="24"/>
        </w:rPr>
        <w:t>Vanessa Buchanan</w:t>
      </w:r>
      <w:r w:rsidR="00116742">
        <w:rPr>
          <w:sz w:val="24"/>
          <w:szCs w:val="24"/>
        </w:rPr>
        <w:t xml:space="preserve">, for </w:t>
      </w:r>
      <w:r>
        <w:rPr>
          <w:sz w:val="24"/>
          <w:szCs w:val="24"/>
        </w:rPr>
        <w:t>Regeneron</w:t>
      </w:r>
      <w:r w:rsidR="00116742">
        <w:rPr>
          <w:sz w:val="24"/>
          <w:szCs w:val="24"/>
        </w:rPr>
        <w:t>,</w:t>
      </w:r>
      <w:r w:rsidR="00D64324">
        <w:rPr>
          <w:sz w:val="24"/>
          <w:szCs w:val="24"/>
        </w:rPr>
        <w:t xml:space="preserve"> noted that </w:t>
      </w:r>
      <w:r w:rsidR="00796A97">
        <w:rPr>
          <w:sz w:val="24"/>
          <w:szCs w:val="24"/>
        </w:rPr>
        <w:t xml:space="preserve">the network </w:t>
      </w:r>
      <w:r w:rsidR="000663E9">
        <w:rPr>
          <w:sz w:val="24"/>
          <w:szCs w:val="24"/>
        </w:rPr>
        <w:t>meta-analyses</w:t>
      </w:r>
      <w:r w:rsidR="00796A97">
        <w:rPr>
          <w:sz w:val="24"/>
          <w:szCs w:val="24"/>
        </w:rPr>
        <w:t xml:space="preserve"> results were slightly in favour of cemiplimab on OS, and against cemiplimab on PFS. </w:t>
      </w:r>
      <w:r>
        <w:rPr>
          <w:sz w:val="24"/>
          <w:szCs w:val="24"/>
        </w:rPr>
        <w:t>Regeneron</w:t>
      </w:r>
      <w:r w:rsidR="00796A97">
        <w:rPr>
          <w:sz w:val="24"/>
          <w:szCs w:val="24"/>
        </w:rPr>
        <w:t xml:space="preserve"> considered the differences to be </w:t>
      </w:r>
      <w:proofErr w:type="gramStart"/>
      <w:r w:rsidR="00796A97">
        <w:rPr>
          <w:sz w:val="24"/>
          <w:szCs w:val="24"/>
        </w:rPr>
        <w:t>as a result of</w:t>
      </w:r>
      <w:proofErr w:type="gramEnd"/>
      <w:r w:rsidR="00796A97">
        <w:rPr>
          <w:sz w:val="24"/>
          <w:szCs w:val="24"/>
        </w:rPr>
        <w:t xml:space="preserve"> heterogeneity. This was then adjusted for effect modifiers. </w:t>
      </w:r>
      <w:r w:rsidR="008E23E8">
        <w:rPr>
          <w:sz w:val="24"/>
          <w:szCs w:val="24"/>
        </w:rPr>
        <w:t>Regeneron</w:t>
      </w:r>
      <w:r w:rsidR="00796A97">
        <w:rPr>
          <w:sz w:val="24"/>
          <w:szCs w:val="24"/>
        </w:rPr>
        <w:t xml:space="preserve"> then tested these with clinicians. There were no data to suggest that cemiplimab OS is less than pembrolizumab OS. To shift the hazard ratio in favour of pembrolizumab would have been mathematically implausible – as there </w:t>
      </w:r>
      <w:r w:rsidR="000663E9">
        <w:rPr>
          <w:sz w:val="24"/>
          <w:szCs w:val="24"/>
        </w:rPr>
        <w:t xml:space="preserve">are </w:t>
      </w:r>
      <w:r w:rsidR="00796A97">
        <w:rPr>
          <w:sz w:val="24"/>
          <w:szCs w:val="24"/>
        </w:rPr>
        <w:t xml:space="preserve">no data whatsoever to support that shift in favour of pembrolizumab. </w:t>
      </w:r>
    </w:p>
    <w:p w:rsidR="00796A97" w:rsidP="00D64324" w:rsidRDefault="00796A97" w14:paraId="1CE293B5" w14:textId="0FDC6A99">
      <w:pPr>
        <w:pStyle w:val="Paragraph"/>
        <w:rPr>
          <w:sz w:val="24"/>
          <w:szCs w:val="24"/>
        </w:rPr>
      </w:pPr>
      <w:r>
        <w:rPr>
          <w:sz w:val="24"/>
          <w:szCs w:val="24"/>
        </w:rPr>
        <w:t>Giles Monnickendam</w:t>
      </w:r>
      <w:r w:rsidR="004E56A6">
        <w:rPr>
          <w:sz w:val="24"/>
          <w:szCs w:val="24"/>
        </w:rPr>
        <w:t>, for NICE</w:t>
      </w:r>
      <w:r>
        <w:rPr>
          <w:sz w:val="24"/>
          <w:szCs w:val="24"/>
        </w:rPr>
        <w:t xml:space="preserve"> explained that when the </w:t>
      </w:r>
      <w:r w:rsidR="00FE64DB">
        <w:rPr>
          <w:sz w:val="24"/>
          <w:szCs w:val="24"/>
        </w:rPr>
        <w:t>c</w:t>
      </w:r>
      <w:r>
        <w:rPr>
          <w:sz w:val="24"/>
          <w:szCs w:val="24"/>
        </w:rPr>
        <w:t xml:space="preserve">ommittee looked at the analysis it was not looking for a particular result. He noted the importance of the cross-over issue in the first appraisal meeting which continued to have an important effect throughout the appraisal. The </w:t>
      </w:r>
      <w:r w:rsidR="00FE64DB">
        <w:rPr>
          <w:sz w:val="24"/>
          <w:szCs w:val="24"/>
        </w:rPr>
        <w:t>c</w:t>
      </w:r>
      <w:r>
        <w:rPr>
          <w:sz w:val="24"/>
          <w:szCs w:val="24"/>
        </w:rPr>
        <w:t xml:space="preserve">ommittee considered at the second </w:t>
      </w:r>
      <w:r w:rsidR="00FE64DB">
        <w:rPr>
          <w:sz w:val="24"/>
          <w:szCs w:val="24"/>
        </w:rPr>
        <w:t>c</w:t>
      </w:r>
      <w:r>
        <w:rPr>
          <w:sz w:val="24"/>
          <w:szCs w:val="24"/>
        </w:rPr>
        <w:t xml:space="preserve">ommittee meeting that it had not been adequately adjusted for within </w:t>
      </w:r>
      <w:r w:rsidR="00A91D8D">
        <w:rPr>
          <w:sz w:val="24"/>
          <w:szCs w:val="24"/>
        </w:rPr>
        <w:t>Regeneron</w:t>
      </w:r>
      <w:r>
        <w:rPr>
          <w:sz w:val="24"/>
          <w:szCs w:val="24"/>
        </w:rPr>
        <w:t xml:space="preserve">'s new analyses and that was one of the key reasons why the </w:t>
      </w:r>
      <w:r w:rsidR="003A23E6">
        <w:rPr>
          <w:sz w:val="24"/>
          <w:szCs w:val="24"/>
        </w:rPr>
        <w:t>c</w:t>
      </w:r>
      <w:r>
        <w:rPr>
          <w:sz w:val="24"/>
          <w:szCs w:val="24"/>
        </w:rPr>
        <w:t xml:space="preserve">ommittee did not feel that the analysis should be used within its decision making.   </w:t>
      </w:r>
    </w:p>
    <w:p w:rsidR="00796A97" w:rsidP="00D64324" w:rsidRDefault="00796A97" w14:paraId="7855DB23" w14:textId="5F60AF6C">
      <w:pPr>
        <w:pStyle w:val="Paragraph"/>
        <w:rPr>
          <w:sz w:val="24"/>
          <w:szCs w:val="24"/>
        </w:rPr>
      </w:pPr>
      <w:r>
        <w:rPr>
          <w:sz w:val="24"/>
          <w:szCs w:val="24"/>
        </w:rPr>
        <w:t xml:space="preserve">The </w:t>
      </w:r>
      <w:r w:rsidR="003A23E6">
        <w:rPr>
          <w:sz w:val="24"/>
          <w:szCs w:val="24"/>
        </w:rPr>
        <w:t>c</w:t>
      </w:r>
      <w:r>
        <w:rPr>
          <w:sz w:val="24"/>
          <w:szCs w:val="24"/>
        </w:rPr>
        <w:t>ommittee did not consider the MAIC to have reduced the uncertainty. Instead, the MAIC had presented a wider gap between results for PFS / OFS – which were internally inconsistent and externally extremely inconsistent. The modelling implied, based on the hazard ratios, that the switch between pembrolizumab plus chemotherapy to cemiplimab plus chemotherapy</w:t>
      </w:r>
      <w:r w:rsidR="00116742">
        <w:rPr>
          <w:sz w:val="24"/>
          <w:szCs w:val="24"/>
        </w:rPr>
        <w:t>,</w:t>
      </w:r>
      <w:r>
        <w:rPr>
          <w:sz w:val="24"/>
          <w:szCs w:val="24"/>
        </w:rPr>
        <w:t xml:space="preserve"> the immunotherapy</w:t>
      </w:r>
      <w:r w:rsidR="0096564D">
        <w:rPr>
          <w:sz w:val="24"/>
          <w:szCs w:val="24"/>
        </w:rPr>
        <w:t xml:space="preserve"> in that regimen (i.e. cemiplimab or pembrolizumab) had almost as much impact as adding an immunotherapy into chemotherapy alone. Those results were not considered by the </w:t>
      </w:r>
      <w:r w:rsidR="003A23E6">
        <w:rPr>
          <w:sz w:val="24"/>
          <w:szCs w:val="24"/>
        </w:rPr>
        <w:t>c</w:t>
      </w:r>
      <w:r w:rsidR="0096564D">
        <w:rPr>
          <w:sz w:val="24"/>
          <w:szCs w:val="24"/>
        </w:rPr>
        <w:t xml:space="preserve">ommittee to be </w:t>
      </w:r>
      <w:r w:rsidR="000663E9">
        <w:rPr>
          <w:sz w:val="24"/>
          <w:szCs w:val="24"/>
        </w:rPr>
        <w:t>plausible but</w:t>
      </w:r>
      <w:r w:rsidR="0096564D">
        <w:rPr>
          <w:sz w:val="24"/>
          <w:szCs w:val="24"/>
        </w:rPr>
        <w:t xml:space="preserve"> were included in </w:t>
      </w:r>
      <w:r w:rsidR="004E56A6">
        <w:rPr>
          <w:sz w:val="24"/>
          <w:szCs w:val="24"/>
        </w:rPr>
        <w:t>Regeneron</w:t>
      </w:r>
      <w:r w:rsidR="0096564D">
        <w:rPr>
          <w:sz w:val="24"/>
          <w:szCs w:val="24"/>
        </w:rPr>
        <w:t>'s base case. This increased the uncertainty rather than resolve</w:t>
      </w:r>
      <w:r w:rsidR="006A1FB7">
        <w:rPr>
          <w:sz w:val="24"/>
          <w:szCs w:val="24"/>
        </w:rPr>
        <w:t>d</w:t>
      </w:r>
      <w:r w:rsidR="0096564D">
        <w:rPr>
          <w:sz w:val="24"/>
          <w:szCs w:val="24"/>
        </w:rPr>
        <w:t xml:space="preserve"> it.  </w:t>
      </w:r>
    </w:p>
    <w:p w:rsidR="0096564D" w:rsidP="00D64324" w:rsidRDefault="0096564D" w14:paraId="238CCDD0" w14:textId="7E771402">
      <w:pPr>
        <w:pStyle w:val="Paragraph"/>
        <w:rPr>
          <w:sz w:val="24"/>
          <w:szCs w:val="24"/>
        </w:rPr>
      </w:pPr>
      <w:r>
        <w:rPr>
          <w:sz w:val="24"/>
          <w:szCs w:val="24"/>
        </w:rPr>
        <w:t>The</w:t>
      </w:r>
      <w:r w:rsidR="00F00FCA">
        <w:rPr>
          <w:sz w:val="24"/>
          <w:szCs w:val="24"/>
        </w:rPr>
        <w:t xml:space="preserve"> </w:t>
      </w:r>
      <w:r w:rsidR="003A23E6">
        <w:rPr>
          <w:sz w:val="24"/>
          <w:szCs w:val="24"/>
        </w:rPr>
        <w:t>p</w:t>
      </w:r>
      <w:r>
        <w:rPr>
          <w:sz w:val="24"/>
          <w:szCs w:val="24"/>
        </w:rPr>
        <w:t xml:space="preserve">anel explored further the importance of the cross-over issue, especially where both the EAG and </w:t>
      </w:r>
      <w:r w:rsidR="004E56A6">
        <w:rPr>
          <w:sz w:val="24"/>
          <w:szCs w:val="24"/>
        </w:rPr>
        <w:t>Regeneron</w:t>
      </w:r>
      <w:r>
        <w:rPr>
          <w:sz w:val="24"/>
          <w:szCs w:val="24"/>
        </w:rPr>
        <w:t xml:space="preserve"> disagreed with the </w:t>
      </w:r>
      <w:r w:rsidR="003A23E6">
        <w:rPr>
          <w:sz w:val="24"/>
          <w:szCs w:val="24"/>
        </w:rPr>
        <w:t>c</w:t>
      </w:r>
      <w:r>
        <w:rPr>
          <w:sz w:val="24"/>
          <w:szCs w:val="24"/>
        </w:rPr>
        <w:t xml:space="preserve">ommittee's view. In response to a question from the </w:t>
      </w:r>
      <w:r w:rsidR="003A23E6">
        <w:rPr>
          <w:sz w:val="24"/>
          <w:szCs w:val="24"/>
        </w:rPr>
        <w:t>p</w:t>
      </w:r>
      <w:r>
        <w:rPr>
          <w:sz w:val="24"/>
          <w:szCs w:val="24"/>
        </w:rPr>
        <w:t xml:space="preserve">anel, Giles Monnickendam explained that the cross-over had only been applied in one half of the study (to the squamous population but not in the non-squamous population) and so the cross-over adjustment was incomplete. That is documented in the </w:t>
      </w:r>
      <w:r w:rsidR="003C14DF">
        <w:rPr>
          <w:sz w:val="24"/>
          <w:szCs w:val="24"/>
        </w:rPr>
        <w:t>FDG</w:t>
      </w:r>
      <w:r w:rsidR="009C42EE">
        <w:rPr>
          <w:sz w:val="24"/>
          <w:szCs w:val="24"/>
        </w:rPr>
        <w:t xml:space="preserve"> (paragraphs 3.6, 3.7)</w:t>
      </w:r>
      <w:r>
        <w:rPr>
          <w:sz w:val="24"/>
          <w:szCs w:val="24"/>
        </w:rPr>
        <w:t>. He acknowledged that the MAIC</w:t>
      </w:r>
      <w:r w:rsidR="009C42EE">
        <w:rPr>
          <w:sz w:val="24"/>
          <w:szCs w:val="24"/>
        </w:rPr>
        <w:t>s</w:t>
      </w:r>
      <w:r>
        <w:rPr>
          <w:sz w:val="24"/>
          <w:szCs w:val="24"/>
        </w:rPr>
        <w:t xml:space="preserve"> were helpful in highlighting the potential biases in the indirect treatment comparison that would favour pembrolizumab</w:t>
      </w:r>
      <w:r w:rsidR="009C42EE">
        <w:rPr>
          <w:sz w:val="24"/>
          <w:szCs w:val="24"/>
        </w:rPr>
        <w:t xml:space="preserve">, but </w:t>
      </w:r>
      <w:r>
        <w:rPr>
          <w:sz w:val="24"/>
          <w:szCs w:val="24"/>
        </w:rPr>
        <w:t xml:space="preserve">that there was no complete adjustment for the cross-over. </w:t>
      </w:r>
    </w:p>
    <w:p w:rsidRPr="00B94116" w:rsidR="0096564D" w:rsidP="00D64324" w:rsidRDefault="0096564D" w14:paraId="724EE0A8" w14:textId="1C8AAD93">
      <w:pPr>
        <w:pStyle w:val="Paragraph"/>
        <w:rPr>
          <w:sz w:val="24"/>
          <w:szCs w:val="24"/>
        </w:rPr>
      </w:pPr>
      <w:r>
        <w:rPr>
          <w:sz w:val="24"/>
          <w:szCs w:val="24"/>
        </w:rPr>
        <w:t xml:space="preserve">The </w:t>
      </w:r>
      <w:r w:rsidR="003A23E6">
        <w:rPr>
          <w:sz w:val="24"/>
          <w:szCs w:val="24"/>
        </w:rPr>
        <w:t>c</w:t>
      </w:r>
      <w:r w:rsidRPr="00B94116">
        <w:rPr>
          <w:sz w:val="24"/>
          <w:szCs w:val="24"/>
        </w:rPr>
        <w:t xml:space="preserve">ommittee considered that this meant it could not rely on these data for decision making. </w:t>
      </w:r>
    </w:p>
    <w:p w:rsidRPr="00B94116" w:rsidR="00D64324" w:rsidP="00D64324" w:rsidRDefault="00D64324" w14:paraId="5739F157" w14:textId="3A192F38">
      <w:pPr>
        <w:pStyle w:val="Paragraph"/>
        <w:rPr>
          <w:sz w:val="24"/>
          <w:szCs w:val="24"/>
        </w:rPr>
      </w:pPr>
      <w:r w:rsidRPr="00B94116">
        <w:rPr>
          <w:sz w:val="24"/>
          <w:szCs w:val="24"/>
        </w:rPr>
        <w:t xml:space="preserve">The </w:t>
      </w:r>
      <w:r w:rsidR="003A23E6">
        <w:rPr>
          <w:sz w:val="24"/>
          <w:szCs w:val="24"/>
        </w:rPr>
        <w:t>a</w:t>
      </w:r>
      <w:r w:rsidR="00303131">
        <w:rPr>
          <w:sz w:val="24"/>
          <w:szCs w:val="24"/>
        </w:rPr>
        <w:t xml:space="preserve">ppeal </w:t>
      </w:r>
      <w:r w:rsidR="003A23E6">
        <w:rPr>
          <w:sz w:val="24"/>
          <w:szCs w:val="24"/>
        </w:rPr>
        <w:t>p</w:t>
      </w:r>
      <w:r w:rsidR="00303131">
        <w:rPr>
          <w:sz w:val="24"/>
          <w:szCs w:val="24"/>
        </w:rPr>
        <w:t>anel</w:t>
      </w:r>
      <w:r w:rsidRPr="00B94116">
        <w:rPr>
          <w:sz w:val="24"/>
          <w:szCs w:val="24"/>
        </w:rPr>
        <w:t xml:space="preserve"> concluded as follows</w:t>
      </w:r>
      <w:r w:rsidR="003A23E6">
        <w:rPr>
          <w:sz w:val="24"/>
          <w:szCs w:val="24"/>
        </w:rPr>
        <w:t>.</w:t>
      </w:r>
    </w:p>
    <w:p w:rsidRPr="00B94116" w:rsidR="001124C9" w:rsidP="001124C9" w:rsidRDefault="007A3A62" w14:paraId="33294E35" w14:textId="38E2EB57">
      <w:pPr>
        <w:pStyle w:val="Paragraph"/>
        <w:rPr>
          <w:sz w:val="24"/>
          <w:szCs w:val="24"/>
        </w:rPr>
      </w:pPr>
      <w:r w:rsidRPr="00B94116">
        <w:rPr>
          <w:sz w:val="24"/>
          <w:szCs w:val="24"/>
        </w:rPr>
        <w:t xml:space="preserve">The </w:t>
      </w:r>
      <w:r w:rsidR="003A23E6">
        <w:rPr>
          <w:sz w:val="24"/>
          <w:szCs w:val="24"/>
        </w:rPr>
        <w:t>p</w:t>
      </w:r>
      <w:r w:rsidRPr="00B94116">
        <w:rPr>
          <w:sz w:val="24"/>
          <w:szCs w:val="24"/>
        </w:rPr>
        <w:t>anel acknowledged that t</w:t>
      </w:r>
      <w:r w:rsidRPr="00B94116" w:rsidR="001124C9">
        <w:rPr>
          <w:sz w:val="24"/>
          <w:szCs w:val="24"/>
        </w:rPr>
        <w:t xml:space="preserve">he </w:t>
      </w:r>
      <w:r w:rsidR="003A23E6">
        <w:rPr>
          <w:sz w:val="24"/>
          <w:szCs w:val="24"/>
        </w:rPr>
        <w:t>c</w:t>
      </w:r>
      <w:r w:rsidRPr="00B94116" w:rsidR="001124C9">
        <w:rPr>
          <w:sz w:val="24"/>
          <w:szCs w:val="24"/>
        </w:rPr>
        <w:t xml:space="preserve">ommittee considered the MAIC submitted by </w:t>
      </w:r>
      <w:r w:rsidR="009A0EC1">
        <w:rPr>
          <w:sz w:val="24"/>
          <w:szCs w:val="24"/>
        </w:rPr>
        <w:t>Regeneron</w:t>
      </w:r>
      <w:r w:rsidRPr="00B94116" w:rsidR="001124C9">
        <w:rPr>
          <w:sz w:val="24"/>
          <w:szCs w:val="24"/>
        </w:rPr>
        <w:t xml:space="preserve">, as well as other indirect comparisons. </w:t>
      </w:r>
      <w:r w:rsidR="009C42EE">
        <w:rPr>
          <w:sz w:val="24"/>
          <w:szCs w:val="24"/>
        </w:rPr>
        <w:t xml:space="preserve">The </w:t>
      </w:r>
      <w:r w:rsidR="003A23E6">
        <w:rPr>
          <w:sz w:val="24"/>
          <w:szCs w:val="24"/>
        </w:rPr>
        <w:t>c</w:t>
      </w:r>
      <w:r w:rsidR="009C42EE">
        <w:rPr>
          <w:sz w:val="24"/>
          <w:szCs w:val="24"/>
        </w:rPr>
        <w:t>ommittee had a</w:t>
      </w:r>
      <w:r w:rsidRPr="00B94116" w:rsidR="001124C9">
        <w:rPr>
          <w:sz w:val="24"/>
          <w:szCs w:val="24"/>
        </w:rPr>
        <w:t>cknowledged the methodological effort but identified limitations, including residual confounding, differences in trial populations, and the absence of formal non-inferiority or equivalence data. These concerns are documented in FDG sections 3.7, 3.8, and 3.17.</w:t>
      </w:r>
    </w:p>
    <w:p w:rsidRPr="00B94116" w:rsidR="001124C9" w:rsidP="001124C9" w:rsidRDefault="001124C9" w14:paraId="52AA0E36" w14:textId="25DD8E13">
      <w:pPr>
        <w:pStyle w:val="Paragraph"/>
        <w:rPr>
          <w:sz w:val="24"/>
          <w:szCs w:val="24"/>
        </w:rPr>
      </w:pPr>
      <w:r w:rsidRPr="00B94116">
        <w:rPr>
          <w:sz w:val="24"/>
          <w:szCs w:val="24"/>
        </w:rPr>
        <w:t>The</w:t>
      </w:r>
      <w:r w:rsidR="00116742">
        <w:rPr>
          <w:sz w:val="24"/>
          <w:szCs w:val="24"/>
        </w:rPr>
        <w:t xml:space="preserve"> </w:t>
      </w:r>
      <w:r w:rsidR="003A23E6">
        <w:rPr>
          <w:sz w:val="24"/>
          <w:szCs w:val="24"/>
        </w:rPr>
        <w:t>p</w:t>
      </w:r>
      <w:r w:rsidRPr="00B94116" w:rsidR="00BB7929">
        <w:rPr>
          <w:sz w:val="24"/>
          <w:szCs w:val="24"/>
        </w:rPr>
        <w:t>anel accept</w:t>
      </w:r>
      <w:r w:rsidR="00116742">
        <w:rPr>
          <w:sz w:val="24"/>
          <w:szCs w:val="24"/>
        </w:rPr>
        <w:t>ed</w:t>
      </w:r>
      <w:r w:rsidRPr="00B94116" w:rsidR="00BB7929">
        <w:rPr>
          <w:sz w:val="24"/>
          <w:szCs w:val="24"/>
        </w:rPr>
        <w:t xml:space="preserve"> that the </w:t>
      </w:r>
      <w:r w:rsidR="003A23E6">
        <w:rPr>
          <w:sz w:val="24"/>
          <w:szCs w:val="24"/>
        </w:rPr>
        <w:t>c</w:t>
      </w:r>
      <w:r w:rsidRPr="00B94116">
        <w:rPr>
          <w:sz w:val="24"/>
          <w:szCs w:val="24"/>
        </w:rPr>
        <w:t xml:space="preserve">ommittee took account of expert clinical input which suggested that </w:t>
      </w:r>
      <w:proofErr w:type="spellStart"/>
      <w:r w:rsidRPr="00B94116">
        <w:rPr>
          <w:sz w:val="24"/>
          <w:szCs w:val="24"/>
        </w:rPr>
        <w:t>cemiplimab</w:t>
      </w:r>
      <w:proofErr w:type="spellEnd"/>
      <w:r w:rsidRPr="00B94116">
        <w:rPr>
          <w:sz w:val="24"/>
          <w:szCs w:val="24"/>
        </w:rPr>
        <w:t xml:space="preserve"> and </w:t>
      </w:r>
      <w:r w:rsidR="00C76599">
        <w:rPr>
          <w:sz w:val="24"/>
          <w:szCs w:val="24"/>
        </w:rPr>
        <w:t xml:space="preserve">pembrolizumab </w:t>
      </w:r>
      <w:r w:rsidRPr="00B94116">
        <w:rPr>
          <w:sz w:val="24"/>
          <w:szCs w:val="24"/>
        </w:rPr>
        <w:t xml:space="preserve">may be broadly similar in clinical practice. However, the </w:t>
      </w:r>
      <w:r w:rsidR="003A23E6">
        <w:rPr>
          <w:sz w:val="24"/>
          <w:szCs w:val="24"/>
        </w:rPr>
        <w:t>c</w:t>
      </w:r>
      <w:r w:rsidRPr="00B94116">
        <w:rPr>
          <w:sz w:val="24"/>
          <w:szCs w:val="24"/>
        </w:rPr>
        <w:t>ommittee noted that expert opinion alone could not resolve the uncertainty in comparative efficacy, especially in the absence of robust statistical evidence. This balanced consideration is consistent with NICE’s approach to triangulating evidence.</w:t>
      </w:r>
    </w:p>
    <w:p w:rsidRPr="00B94116" w:rsidR="001124C9" w:rsidP="001124C9" w:rsidRDefault="001124C9" w14:paraId="60F007FB" w14:textId="4C37CDB5">
      <w:pPr>
        <w:pStyle w:val="Paragraph"/>
        <w:rPr>
          <w:sz w:val="24"/>
          <w:szCs w:val="24"/>
        </w:rPr>
      </w:pPr>
      <w:r w:rsidRPr="00B94116">
        <w:rPr>
          <w:sz w:val="24"/>
          <w:szCs w:val="24"/>
        </w:rPr>
        <w:t>The</w:t>
      </w:r>
      <w:r w:rsidR="00116742">
        <w:rPr>
          <w:sz w:val="24"/>
          <w:szCs w:val="24"/>
        </w:rPr>
        <w:t xml:space="preserve"> </w:t>
      </w:r>
      <w:r w:rsidR="003A23E6">
        <w:rPr>
          <w:sz w:val="24"/>
          <w:szCs w:val="24"/>
        </w:rPr>
        <w:t>p</w:t>
      </w:r>
      <w:r w:rsidRPr="00B94116" w:rsidR="00971AD8">
        <w:rPr>
          <w:sz w:val="24"/>
          <w:szCs w:val="24"/>
        </w:rPr>
        <w:t>anel note</w:t>
      </w:r>
      <w:r w:rsidR="00116742">
        <w:rPr>
          <w:sz w:val="24"/>
          <w:szCs w:val="24"/>
        </w:rPr>
        <w:t>d</w:t>
      </w:r>
      <w:r w:rsidRPr="00B94116" w:rsidR="00971AD8">
        <w:rPr>
          <w:sz w:val="24"/>
          <w:szCs w:val="24"/>
        </w:rPr>
        <w:t xml:space="preserve"> that the </w:t>
      </w:r>
      <w:r w:rsidR="003A23E6">
        <w:rPr>
          <w:sz w:val="24"/>
          <w:szCs w:val="24"/>
        </w:rPr>
        <w:t>c</w:t>
      </w:r>
      <w:r w:rsidRPr="00B94116">
        <w:rPr>
          <w:sz w:val="24"/>
          <w:szCs w:val="24"/>
        </w:rPr>
        <w:t xml:space="preserve">ommittee concluded that the efficacy of </w:t>
      </w:r>
      <w:proofErr w:type="spellStart"/>
      <w:r w:rsidRPr="00B94116">
        <w:rPr>
          <w:sz w:val="24"/>
          <w:szCs w:val="24"/>
        </w:rPr>
        <w:t>cemiplimab</w:t>
      </w:r>
      <w:proofErr w:type="spellEnd"/>
      <w:r w:rsidRPr="00B94116">
        <w:rPr>
          <w:sz w:val="24"/>
          <w:szCs w:val="24"/>
        </w:rPr>
        <w:t xml:space="preserve"> compared to </w:t>
      </w:r>
      <w:r w:rsidR="00C76599">
        <w:rPr>
          <w:sz w:val="24"/>
          <w:szCs w:val="24"/>
        </w:rPr>
        <w:t>pembrolizumab</w:t>
      </w:r>
      <w:r w:rsidRPr="00B94116" w:rsidR="00C76599">
        <w:rPr>
          <w:sz w:val="24"/>
          <w:szCs w:val="24"/>
        </w:rPr>
        <w:t xml:space="preserve"> </w:t>
      </w:r>
      <w:r w:rsidRPr="00B94116">
        <w:rPr>
          <w:sz w:val="24"/>
          <w:szCs w:val="24"/>
        </w:rPr>
        <w:t xml:space="preserve">could be “the same, worse or different.” This reflects the uncertainty in the evidence base and is not an unreasonable position. </w:t>
      </w:r>
      <w:r w:rsidR="00A56FF9">
        <w:rPr>
          <w:sz w:val="24"/>
          <w:szCs w:val="24"/>
        </w:rPr>
        <w:t>Regeneron</w:t>
      </w:r>
      <w:r w:rsidRPr="00B94116" w:rsidR="00303131">
        <w:rPr>
          <w:sz w:val="24"/>
          <w:szCs w:val="24"/>
        </w:rPr>
        <w:t xml:space="preserve"> </w:t>
      </w:r>
      <w:r w:rsidRPr="00B94116">
        <w:rPr>
          <w:sz w:val="24"/>
          <w:szCs w:val="24"/>
        </w:rPr>
        <w:t xml:space="preserve">itself acknowledged limitations in the indirect comparison and did not provide formal equivalence data. It was therefore reasonable for the </w:t>
      </w:r>
      <w:r w:rsidR="00F67FCC">
        <w:rPr>
          <w:sz w:val="24"/>
          <w:szCs w:val="24"/>
        </w:rPr>
        <w:t>c</w:t>
      </w:r>
      <w:r w:rsidRPr="00B94116">
        <w:rPr>
          <w:sz w:val="24"/>
          <w:szCs w:val="24"/>
        </w:rPr>
        <w:t>ommittee to seek to explore this uncertainty further rather than proceed with a cost-comparison analysis.</w:t>
      </w:r>
    </w:p>
    <w:p w:rsidRPr="00B94116" w:rsidR="001124C9" w:rsidP="001124C9" w:rsidRDefault="001124C9" w14:paraId="736F0445" w14:textId="3E8A8C94">
      <w:pPr>
        <w:pStyle w:val="Paragraph"/>
        <w:rPr>
          <w:sz w:val="24"/>
          <w:szCs w:val="24"/>
        </w:rPr>
      </w:pPr>
      <w:r w:rsidRPr="00B94116">
        <w:rPr>
          <w:sz w:val="24"/>
          <w:szCs w:val="24"/>
        </w:rPr>
        <w:t xml:space="preserve">The </w:t>
      </w:r>
      <w:r w:rsidR="00F67FCC">
        <w:rPr>
          <w:sz w:val="24"/>
          <w:szCs w:val="24"/>
        </w:rPr>
        <w:t>p</w:t>
      </w:r>
      <w:r w:rsidRPr="00B94116">
        <w:rPr>
          <w:sz w:val="24"/>
          <w:szCs w:val="24"/>
        </w:rPr>
        <w:t>anel note</w:t>
      </w:r>
      <w:r w:rsidR="00116742">
        <w:rPr>
          <w:sz w:val="24"/>
          <w:szCs w:val="24"/>
        </w:rPr>
        <w:t>d</w:t>
      </w:r>
      <w:r w:rsidRPr="00B94116">
        <w:rPr>
          <w:sz w:val="24"/>
          <w:szCs w:val="24"/>
        </w:rPr>
        <w:t xml:space="preserve"> that the appraisal was scoped as a </w:t>
      </w:r>
      <w:r w:rsidR="00303131">
        <w:rPr>
          <w:sz w:val="24"/>
          <w:szCs w:val="24"/>
        </w:rPr>
        <w:t>STA</w:t>
      </w:r>
      <w:r w:rsidRPr="00B94116">
        <w:rPr>
          <w:sz w:val="24"/>
          <w:szCs w:val="24"/>
        </w:rPr>
        <w:t xml:space="preserve">, not a cost-comparison. This decision was made during initial scoping, and NICE invited </w:t>
      </w:r>
      <w:r w:rsidR="009A0EC1">
        <w:rPr>
          <w:sz w:val="24"/>
          <w:szCs w:val="24"/>
        </w:rPr>
        <w:t>Regeneron</w:t>
      </w:r>
      <w:r w:rsidRPr="00B94116">
        <w:rPr>
          <w:sz w:val="24"/>
          <w:szCs w:val="24"/>
        </w:rPr>
        <w:t xml:space="preserve"> to make a full STA submission. In accordance with section 2.6 of the </w:t>
      </w:r>
      <w:r w:rsidR="00303131">
        <w:rPr>
          <w:sz w:val="24"/>
          <w:szCs w:val="24"/>
        </w:rPr>
        <w:t>Manual</w:t>
      </w:r>
      <w:r w:rsidRPr="00B94116">
        <w:rPr>
          <w:sz w:val="24"/>
          <w:szCs w:val="24"/>
        </w:rPr>
        <w:t xml:space="preserve">, the STA process requires a full assessment of clinical and cost-effectiveness. The </w:t>
      </w:r>
      <w:r w:rsidR="00F67FCC">
        <w:rPr>
          <w:sz w:val="24"/>
          <w:szCs w:val="24"/>
        </w:rPr>
        <w:t>p</w:t>
      </w:r>
      <w:r w:rsidRPr="00B94116">
        <w:rPr>
          <w:sz w:val="24"/>
          <w:szCs w:val="24"/>
        </w:rPr>
        <w:t>anel note</w:t>
      </w:r>
      <w:r w:rsidR="00116742">
        <w:rPr>
          <w:sz w:val="24"/>
          <w:szCs w:val="24"/>
        </w:rPr>
        <w:t>d</w:t>
      </w:r>
      <w:r w:rsidRPr="00B94116">
        <w:rPr>
          <w:sz w:val="24"/>
          <w:szCs w:val="24"/>
        </w:rPr>
        <w:t xml:space="preserve"> that no objections to the STA designation were raised during the scoping consultation by </w:t>
      </w:r>
      <w:r w:rsidR="0004218D">
        <w:rPr>
          <w:sz w:val="24"/>
          <w:szCs w:val="24"/>
        </w:rPr>
        <w:t>Regeneron</w:t>
      </w:r>
      <w:r w:rsidRPr="00B94116">
        <w:rPr>
          <w:sz w:val="24"/>
          <w:szCs w:val="24"/>
        </w:rPr>
        <w:t>, Roche, or the British Thoracic Oncology Group.</w:t>
      </w:r>
    </w:p>
    <w:p w:rsidRPr="00B94116" w:rsidR="001124C9" w:rsidP="001124C9" w:rsidRDefault="001124C9" w14:paraId="0503ADFA" w14:textId="6E3D4319">
      <w:pPr>
        <w:pStyle w:val="Paragraph"/>
        <w:rPr>
          <w:sz w:val="24"/>
          <w:szCs w:val="24"/>
        </w:rPr>
      </w:pPr>
      <w:r w:rsidRPr="00B94116">
        <w:rPr>
          <w:sz w:val="24"/>
          <w:szCs w:val="24"/>
        </w:rPr>
        <w:t xml:space="preserve">Although not the substance of this appeal </w:t>
      </w:r>
      <w:proofErr w:type="gramStart"/>
      <w:r w:rsidRPr="00B94116">
        <w:rPr>
          <w:sz w:val="24"/>
          <w:szCs w:val="24"/>
        </w:rPr>
        <w:t>point</w:t>
      </w:r>
      <w:proofErr w:type="gramEnd"/>
      <w:r w:rsidRPr="00B94116">
        <w:rPr>
          <w:sz w:val="24"/>
          <w:szCs w:val="24"/>
        </w:rPr>
        <w:t>, the</w:t>
      </w:r>
      <w:r w:rsidR="00116742">
        <w:rPr>
          <w:sz w:val="24"/>
          <w:szCs w:val="24"/>
        </w:rPr>
        <w:t xml:space="preserve"> </w:t>
      </w:r>
      <w:r w:rsidR="00F67FCC">
        <w:rPr>
          <w:sz w:val="24"/>
          <w:szCs w:val="24"/>
        </w:rPr>
        <w:t>p</w:t>
      </w:r>
      <w:r w:rsidRPr="00B94116">
        <w:rPr>
          <w:sz w:val="24"/>
          <w:szCs w:val="24"/>
        </w:rPr>
        <w:t>anel also note</w:t>
      </w:r>
      <w:r w:rsidR="00116742">
        <w:rPr>
          <w:sz w:val="24"/>
          <w:szCs w:val="24"/>
        </w:rPr>
        <w:t>d</w:t>
      </w:r>
      <w:r w:rsidRPr="00B94116">
        <w:rPr>
          <w:sz w:val="24"/>
          <w:szCs w:val="24"/>
        </w:rPr>
        <w:t xml:space="preserve"> the clarification made by the NICE technical team during the hearin</w:t>
      </w:r>
      <w:r w:rsidR="009C42EE">
        <w:rPr>
          <w:sz w:val="24"/>
          <w:szCs w:val="24"/>
        </w:rPr>
        <w:t>g, t</w:t>
      </w:r>
      <w:r w:rsidRPr="00B94116">
        <w:rPr>
          <w:sz w:val="24"/>
          <w:szCs w:val="24"/>
        </w:rPr>
        <w:t xml:space="preserve">hat they did not decline to make factual corrections to </w:t>
      </w:r>
      <w:r w:rsidR="00F67FCC">
        <w:rPr>
          <w:sz w:val="24"/>
          <w:szCs w:val="24"/>
        </w:rPr>
        <w:t>c</w:t>
      </w:r>
      <w:r w:rsidRPr="00B94116">
        <w:rPr>
          <w:sz w:val="24"/>
          <w:szCs w:val="24"/>
        </w:rPr>
        <w:t xml:space="preserve">ommittee slides, but were instead asked to add additional information. This account was accepted by </w:t>
      </w:r>
      <w:r w:rsidR="00A9452A">
        <w:rPr>
          <w:sz w:val="24"/>
          <w:szCs w:val="24"/>
        </w:rPr>
        <w:t>Regeneron</w:t>
      </w:r>
      <w:r w:rsidRPr="00B94116">
        <w:rPr>
          <w:sz w:val="24"/>
          <w:szCs w:val="24"/>
        </w:rPr>
        <w:t xml:space="preserve"> during the hearing and does not indicate procedural unfairness.</w:t>
      </w:r>
    </w:p>
    <w:p w:rsidRPr="00B94116" w:rsidR="00D64324" w:rsidP="00D64324" w:rsidRDefault="00D64324" w14:paraId="787F89AA" w14:textId="3E520A7D">
      <w:pPr>
        <w:pStyle w:val="Paragraph"/>
        <w:rPr>
          <w:sz w:val="24"/>
          <w:szCs w:val="24"/>
        </w:rPr>
      </w:pPr>
      <w:r w:rsidRPr="00B94116">
        <w:rPr>
          <w:sz w:val="24"/>
          <w:szCs w:val="24"/>
        </w:rPr>
        <w:t xml:space="preserve">The </w:t>
      </w:r>
      <w:r w:rsidR="00F67FCC">
        <w:rPr>
          <w:sz w:val="24"/>
          <w:szCs w:val="24"/>
        </w:rPr>
        <w:t>a</w:t>
      </w:r>
      <w:r w:rsidR="001E1E4E">
        <w:rPr>
          <w:sz w:val="24"/>
          <w:szCs w:val="24"/>
        </w:rPr>
        <w:t xml:space="preserve">ppeal </w:t>
      </w:r>
      <w:r w:rsidR="00F67FCC">
        <w:rPr>
          <w:sz w:val="24"/>
          <w:szCs w:val="24"/>
        </w:rPr>
        <w:t>p</w:t>
      </w:r>
      <w:r w:rsidR="001E1E4E">
        <w:rPr>
          <w:sz w:val="24"/>
          <w:szCs w:val="24"/>
        </w:rPr>
        <w:t>anel</w:t>
      </w:r>
      <w:r w:rsidRPr="00B94116">
        <w:rPr>
          <w:sz w:val="24"/>
          <w:szCs w:val="24"/>
        </w:rPr>
        <w:t xml:space="preserve"> therefore dismissed the appeal on this point.</w:t>
      </w:r>
    </w:p>
    <w:p w:rsidRPr="0053499F" w:rsidR="00CC79EF" w:rsidP="00B93E19" w:rsidRDefault="00CC79EF" w14:paraId="4EA2B79E" w14:textId="3B380BC3">
      <w:pPr>
        <w:pStyle w:val="Heading2"/>
      </w:pPr>
      <w:r w:rsidRPr="0053499F">
        <w:t xml:space="preserve">Conclusion and effect of the </w:t>
      </w:r>
      <w:r w:rsidR="00116742">
        <w:t>A</w:t>
      </w:r>
      <w:r w:rsidRPr="0053499F">
        <w:t xml:space="preserve">ppeal </w:t>
      </w:r>
      <w:r w:rsidR="00116742">
        <w:t>P</w:t>
      </w:r>
      <w:r w:rsidRPr="0053499F">
        <w:t>anel’s decisi</w:t>
      </w:r>
      <w:r w:rsidR="00B93E19">
        <w:t>on</w:t>
      </w:r>
    </w:p>
    <w:p w:rsidRPr="0053499F" w:rsidR="00CC79EF" w:rsidP="00CC79EF" w:rsidRDefault="00CC79EF" w14:paraId="360DAC6D" w14:textId="176E24D2">
      <w:pPr>
        <w:pStyle w:val="ListParagraph"/>
        <w:spacing w:after="0" w:line="240" w:lineRule="auto"/>
        <w:ind w:left="360"/>
        <w:rPr>
          <w:rFonts w:ascii="Arial" w:hAnsi="Arial" w:cs="Arial"/>
          <w:sz w:val="24"/>
          <w:szCs w:val="24"/>
        </w:rPr>
      </w:pPr>
    </w:p>
    <w:p w:rsidRPr="00B93E19" w:rsidR="00CC79EF" w:rsidP="00B93E19" w:rsidRDefault="00CC79EF" w14:paraId="25054966" w14:textId="0CFEA9E4">
      <w:pPr>
        <w:pStyle w:val="Paragraph"/>
        <w:rPr>
          <w:sz w:val="24"/>
          <w:szCs w:val="24"/>
        </w:rPr>
      </w:pPr>
      <w:r w:rsidRPr="00B93E19">
        <w:rPr>
          <w:sz w:val="24"/>
          <w:szCs w:val="24"/>
        </w:rPr>
        <w:t xml:space="preserve">The </w:t>
      </w:r>
      <w:r w:rsidR="00F67FCC">
        <w:rPr>
          <w:sz w:val="24"/>
          <w:szCs w:val="24"/>
        </w:rPr>
        <w:t>a</w:t>
      </w:r>
      <w:r w:rsidRPr="00B93E19">
        <w:rPr>
          <w:sz w:val="24"/>
          <w:szCs w:val="24"/>
        </w:rPr>
        <w:t xml:space="preserve">ppeal </w:t>
      </w:r>
      <w:r w:rsidR="00F67FCC">
        <w:rPr>
          <w:sz w:val="24"/>
          <w:szCs w:val="24"/>
        </w:rPr>
        <w:t>p</w:t>
      </w:r>
      <w:r w:rsidRPr="00B93E19">
        <w:rPr>
          <w:sz w:val="24"/>
          <w:szCs w:val="24"/>
        </w:rPr>
        <w:t>anel dismissed the appeal against this appraisal on all grounds.</w:t>
      </w:r>
    </w:p>
    <w:p w:rsidRPr="00B94116" w:rsidR="008814FB" w:rsidP="00B94116" w:rsidRDefault="00CC79EF" w14:paraId="04AF3D12" w14:textId="447DF508">
      <w:pPr>
        <w:pStyle w:val="Paragraph"/>
        <w:rPr>
          <w:sz w:val="24"/>
          <w:szCs w:val="24"/>
        </w:rPr>
      </w:pPr>
      <w:r w:rsidRPr="00B93E19">
        <w:rPr>
          <w:sz w:val="24"/>
          <w:szCs w:val="24"/>
        </w:rPr>
        <w:t xml:space="preserve">There is no possibility of further appeal against this decision of the </w:t>
      </w:r>
      <w:r w:rsidR="00F67FCC">
        <w:rPr>
          <w:sz w:val="24"/>
          <w:szCs w:val="24"/>
        </w:rPr>
        <w:t>a</w:t>
      </w:r>
      <w:r w:rsidRPr="00B93E19">
        <w:rPr>
          <w:sz w:val="24"/>
          <w:szCs w:val="24"/>
        </w:rPr>
        <w:t xml:space="preserve">ppeal </w:t>
      </w:r>
      <w:r w:rsidR="00F67FCC">
        <w:rPr>
          <w:sz w:val="24"/>
          <w:szCs w:val="24"/>
        </w:rPr>
        <w:t>p</w:t>
      </w:r>
      <w:r w:rsidRPr="00B93E19">
        <w:rPr>
          <w:sz w:val="24"/>
          <w:szCs w:val="24"/>
        </w:rPr>
        <w:t>anel. However, this decision and NICE’s decision to issue the final guidance may be challenged by applying to the High Court for permission to apply for a judicial review. Any such application must be made within three months of NICE publishing the final guidance.</w:t>
      </w:r>
    </w:p>
    <w:sectPr w:rsidRPr="00B94116" w:rsidR="008814FB" w:rsidSect="00D80901">
      <w:footerReference w:type="even" r:id="rId11"/>
      <w:footerReference w:type="default" r:id="rId12"/>
      <w:footerReference w:type="first" r:id="rId13"/>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B1F" w:rsidP="00446BEE" w:rsidRDefault="00C40B1F" w14:paraId="5FCEC0A7" w14:textId="77777777">
      <w:r>
        <w:separator/>
      </w:r>
    </w:p>
  </w:endnote>
  <w:endnote w:type="continuationSeparator" w:id="0">
    <w:p w:rsidR="00C40B1F" w:rsidP="00446BEE" w:rsidRDefault="00C40B1F" w14:paraId="35625F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65318" w:rsidRDefault="009C11AD" w14:paraId="18C11E48" w14:textId="248C6661">
    <w:pPr>
      <w:pStyle w:val="Footer"/>
    </w:pPr>
    <w:r>
      <w:rPr>
        <w:noProof/>
      </w:rPr>
      <mc:AlternateContent>
        <mc:Choice Requires="wps">
          <w:drawing>
            <wp:anchor distT="0" distB="0" distL="0" distR="0" simplePos="0" relativeHeight="251658241" behindDoc="0" locked="0" layoutInCell="1" allowOverlap="1" wp14:anchorId="39406E61" wp14:editId="608C55C7">
              <wp:simplePos x="635" y="635"/>
              <wp:positionH relativeFrom="page">
                <wp:align>center</wp:align>
              </wp:positionH>
              <wp:positionV relativeFrom="page">
                <wp:align>bottom</wp:align>
              </wp:positionV>
              <wp:extent cx="1314450" cy="409575"/>
              <wp:effectExtent l="0" t="0" r="0" b="0"/>
              <wp:wrapNone/>
              <wp:docPr id="2133235200"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409575"/>
                      </a:xfrm>
                      <a:prstGeom prst="rect">
                        <a:avLst/>
                      </a:prstGeom>
                      <a:noFill/>
                      <a:ln>
                        <a:noFill/>
                      </a:ln>
                    </wps:spPr>
                    <wps:txbx>
                      <w:txbxContent>
                        <w:p w:rsidRPr="00C72E83" w:rsidR="009C11AD" w:rsidP="00C72E83" w:rsidRDefault="009C11AD" w14:paraId="7987C9C3" w14:textId="6954429C">
                          <w:pPr>
                            <w:spacing w:after="0"/>
                            <w:rPr>
                              <w:rFonts w:ascii="Aptos" w:hAnsi="Aptos" w:eastAsia="Aptos" w:cs="Aptos"/>
                              <w:noProof/>
                              <w:color w:val="898989"/>
                              <w:sz w:val="24"/>
                              <w:szCs w:val="24"/>
                            </w:rPr>
                          </w:pPr>
                          <w:r w:rsidRPr="00C72E83">
                            <w:rPr>
                              <w:rFonts w:ascii="Aptos" w:hAnsi="Aptos" w:eastAsia="Aptos" w:cs="Aptos"/>
                              <w:noProof/>
                              <w:color w:val="898989"/>
                              <w:sz w:val="24"/>
                              <w:szCs w:val="24"/>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9406E61">
              <v:stroke joinstyle="miter"/>
              <v:path gradientshapeok="t" o:connecttype="rect"/>
            </v:shapetype>
            <v:shape id="Text Box 2" style="position:absolute;margin-left:0;margin-top:0;width:103.5pt;height:32.25pt;z-index:251658241;visibility:visible;mso-wrap-style:none;mso-wrap-distance-left:0;mso-wrap-distance-top:0;mso-wrap-distance-right:0;mso-wrap-distance-bottom:0;mso-position-horizontal:center;mso-position-horizontal-relative:page;mso-position-vertical:bottom;mso-position-vertical-relative:page;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">
              <v:textbox style="mso-fit-shape-to-text:t" inset="0,0,0,15pt">
                <w:txbxContent>
                  <w:p w:rsidRPr="00C72E83" w:rsidR="009C11AD" w:rsidP="00C72E83" w:rsidRDefault="009C11AD" w14:paraId="7987C9C3" w14:textId="6954429C">
                    <w:pPr>
                      <w:spacing w:after="0"/>
                      <w:rPr>
                        <w:rFonts w:ascii="Aptos" w:hAnsi="Aptos" w:eastAsia="Aptos" w:cs="Aptos"/>
                        <w:noProof/>
                        <w:color w:val="898989"/>
                        <w:sz w:val="24"/>
                        <w:szCs w:val="24"/>
                      </w:rPr>
                    </w:pPr>
                    <w:r w:rsidRPr="00C72E83">
                      <w:rPr>
                        <w:rFonts w:ascii="Aptos" w:hAnsi="Aptos" w:eastAsia="Aptos" w:cs="Aptos"/>
                        <w:noProof/>
                        <w:color w:val="898989"/>
                        <w:sz w:val="24"/>
                        <w:szCs w:val="24"/>
                      </w:rPr>
                      <w:t>Regeneron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EE" w:rsidP="00446BEE" w:rsidRDefault="009C3D10" w14:paraId="6E51C56C" w14:textId="0C5C2164">
    <w:pPr>
      <w:pStyle w:val="Footer"/>
    </w:pPr>
    <w:proofErr w:type="spellStart"/>
    <w:r>
      <w:t>Cemiplimab</w:t>
    </w:r>
    <w:proofErr w:type="spellEnd"/>
    <w:r>
      <w:t xml:space="preserve"> with platinum-based chemotherapy for untreated advanced non-small-cell lung cancer [ID3949]</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fldChar w:fldCharType="begin"/>
    </w:r>
    <w:r>
      <w:instrText>NUMPAGES</w:instrText>
    </w:r>
    <w:r>
      <w:fldChar w:fldCharType="separate"/>
    </w:r>
    <w:r w:rsidR="00FA2C5A">
      <w:rPr>
        <w:noProof/>
      </w:rPr>
      <w:t>1</w:t>
    </w:r>
    <w:r>
      <w:fldChar w:fldCharType="end"/>
    </w:r>
  </w:p>
  <w:p w:rsidR="00446BEE" w:rsidRDefault="00446BEE" w14:paraId="520F9F64" w14:textId="77777777">
    <w:pPr>
      <w:pStyle w:val="Footer"/>
    </w:pPr>
  </w:p>
  <w:p w:rsidR="00446BEE" w:rsidRDefault="00446BEE" w14:paraId="3C62B3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65318" w:rsidRDefault="009C11AD" w14:paraId="533B9965" w14:textId="50E53008">
    <w:pPr>
      <w:pStyle w:val="Footer"/>
    </w:pPr>
    <w:r>
      <w:rPr>
        <w:noProof/>
      </w:rPr>
      <mc:AlternateContent>
        <mc:Choice Requires="wps">
          <w:drawing>
            <wp:anchor distT="0" distB="0" distL="0" distR="0" simplePos="0" relativeHeight="251658240" behindDoc="0" locked="0" layoutInCell="1" allowOverlap="1" wp14:anchorId="037074A8" wp14:editId="65C97BEE">
              <wp:simplePos x="635" y="635"/>
              <wp:positionH relativeFrom="page">
                <wp:align>center</wp:align>
              </wp:positionH>
              <wp:positionV relativeFrom="page">
                <wp:align>bottom</wp:align>
              </wp:positionV>
              <wp:extent cx="1314450" cy="409575"/>
              <wp:effectExtent l="0" t="0" r="0" b="0"/>
              <wp:wrapNone/>
              <wp:docPr id="1613437649" name="Text Box 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4450" cy="409575"/>
                      </a:xfrm>
                      <a:prstGeom prst="rect">
                        <a:avLst/>
                      </a:prstGeom>
                      <a:noFill/>
                      <a:ln>
                        <a:noFill/>
                      </a:ln>
                    </wps:spPr>
                    <wps:txbx>
                      <w:txbxContent>
                        <w:p w:rsidRPr="00C72E83" w:rsidR="009C11AD" w:rsidP="00C72E83" w:rsidRDefault="009C11AD" w14:paraId="2A100D6F" w14:textId="44E023C8">
                          <w:pPr>
                            <w:spacing w:after="0"/>
                            <w:rPr>
                              <w:rFonts w:ascii="Aptos" w:hAnsi="Aptos" w:eastAsia="Aptos" w:cs="Aptos"/>
                              <w:noProof/>
                              <w:color w:val="898989"/>
                              <w:sz w:val="24"/>
                              <w:szCs w:val="24"/>
                            </w:rPr>
                          </w:pPr>
                          <w:r w:rsidRPr="00C72E83">
                            <w:rPr>
                              <w:rFonts w:ascii="Aptos" w:hAnsi="Aptos" w:eastAsia="Aptos" w:cs="Aptos"/>
                              <w:noProof/>
                              <w:color w:val="898989"/>
                              <w:sz w:val="24"/>
                              <w:szCs w:val="24"/>
                            </w:rPr>
                            <w:t>Regeneron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37074A8">
              <v:stroke joinstyle="miter"/>
              <v:path gradientshapeok="t" o:connecttype="rect"/>
            </v:shapetype>
            <v:shape id="Text Box 1" style="position:absolute;margin-left:0;margin-top:0;width:103.5pt;height:32.25pt;z-index:251658240;visibility:visible;mso-wrap-style:none;mso-wrap-distance-left:0;mso-wrap-distance-top:0;mso-wrap-distance-right:0;mso-wrap-distance-bottom:0;mso-position-horizontal:center;mso-position-horizontal-relative:page;mso-position-vertical:bottom;mso-position-vertical-relative:page;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">
              <v:textbox style="mso-fit-shape-to-text:t" inset="0,0,0,15pt">
                <w:txbxContent>
                  <w:p w:rsidRPr="00C72E83" w:rsidR="009C11AD" w:rsidP="00C72E83" w:rsidRDefault="009C11AD" w14:paraId="2A100D6F" w14:textId="44E023C8">
                    <w:pPr>
                      <w:spacing w:after="0"/>
                      <w:rPr>
                        <w:rFonts w:ascii="Aptos" w:hAnsi="Aptos" w:eastAsia="Aptos" w:cs="Aptos"/>
                        <w:noProof/>
                        <w:color w:val="898989"/>
                        <w:sz w:val="24"/>
                        <w:szCs w:val="24"/>
                      </w:rPr>
                    </w:pPr>
                    <w:r w:rsidRPr="00C72E83">
                      <w:rPr>
                        <w:rFonts w:ascii="Aptos" w:hAnsi="Aptos" w:eastAsia="Aptos" w:cs="Aptos"/>
                        <w:noProof/>
                        <w:color w:val="898989"/>
                        <w:sz w:val="24"/>
                        <w:szCs w:val="24"/>
                      </w:rPr>
                      <w:t>Regeneron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B1F" w:rsidP="00446BEE" w:rsidRDefault="00C40B1F" w14:paraId="526B5FB7" w14:textId="77777777">
      <w:r>
        <w:separator/>
      </w:r>
    </w:p>
  </w:footnote>
  <w:footnote w:type="continuationSeparator" w:id="0">
    <w:p w:rsidR="00C40B1F" w:rsidP="00446BEE" w:rsidRDefault="00C40B1F" w14:paraId="4E24F0C1" w14:textId="77777777">
      <w:r>
        <w:continuationSeparator/>
      </w:r>
    </w:p>
  </w:footnote>
  <w:footnote w:id="1">
    <w:p w:rsidR="0079157E" w:rsidRDefault="0079157E" w14:paraId="229C8E6A" w14:textId="3C96FD60">
      <w:pPr>
        <w:pStyle w:val="FootnoteText"/>
      </w:pPr>
      <w:r>
        <w:rPr>
          <w:rStyle w:val="FootnoteReference"/>
        </w:rPr>
        <w:footnoteRef/>
      </w:r>
      <w:r>
        <w:t xml:space="preserve"> </w:t>
      </w:r>
      <w:r w:rsidRPr="0079157E">
        <w:rPr>
          <w:rFonts w:ascii="Arial" w:hAnsi="Arial" w:cs="Arial"/>
          <w:sz w:val="18"/>
          <w:szCs w:val="18"/>
        </w:rPr>
        <w:t>Section 6.2.9 of the Manual.</w:t>
      </w:r>
      <w:r w:rsidRPr="0079157E">
        <w:rPr>
          <w:sz w:val="18"/>
          <w:szCs w:val="18"/>
        </w:rPr>
        <w:t xml:space="preserve"> </w:t>
      </w:r>
    </w:p>
  </w:footnote>
  <w:footnote w:id="2">
    <w:p w:rsidR="005B3B15" w:rsidRDefault="005B3B15" w14:paraId="60498035" w14:textId="595855CA">
      <w:pPr>
        <w:pStyle w:val="FootnoteText"/>
      </w:pPr>
      <w:r>
        <w:rPr>
          <w:rStyle w:val="FootnoteReference"/>
        </w:rPr>
        <w:footnoteRef/>
      </w:r>
      <w:r>
        <w:t xml:space="preserve"> Section 4.2.13 of the Manual.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hint="default" w:ascii="Arial" w:hAnsi="Arial" w:cs="Arial"/>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8230C1"/>
    <w:multiLevelType w:val="hybridMultilevel"/>
    <w:tmpl w:val="A4BE9B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F63400"/>
    <w:multiLevelType w:val="hybridMultilevel"/>
    <w:tmpl w:val="BEC05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E8C6EAD"/>
    <w:multiLevelType w:val="hybridMultilevel"/>
    <w:tmpl w:val="436867D0"/>
    <w:lvl w:ilvl="0" w:tplc="3252BCA2">
      <w:start w:val="1"/>
      <w:numFmt w:val="bullet"/>
      <w:lvlText w:val=""/>
      <w:lvlJc w:val="left"/>
      <w:pPr>
        <w:ind w:left="720" w:hanging="360"/>
      </w:pPr>
      <w:rPr>
        <w:rFonts w:hint="default" w:ascii="Symbol" w:hAnsi="Symbol"/>
      </w:rPr>
    </w:lvl>
    <w:lvl w:ilvl="1" w:tplc="18C0C954">
      <w:start w:val="1"/>
      <w:numFmt w:val="bullet"/>
      <w:lvlText w:val="o"/>
      <w:lvlJc w:val="left"/>
      <w:pPr>
        <w:ind w:left="1440" w:hanging="360"/>
      </w:pPr>
      <w:rPr>
        <w:rFonts w:hint="default" w:ascii="Courier New" w:hAnsi="Courier New" w:cs="Times New Roman"/>
      </w:rPr>
    </w:lvl>
    <w:lvl w:ilvl="2" w:tplc="2334FC5E">
      <w:start w:val="1"/>
      <w:numFmt w:val="bullet"/>
      <w:lvlText w:val=""/>
      <w:lvlJc w:val="left"/>
      <w:pPr>
        <w:ind w:left="2160" w:hanging="360"/>
      </w:pPr>
      <w:rPr>
        <w:rFonts w:hint="default" w:ascii="Wingdings" w:hAnsi="Wingdings"/>
      </w:rPr>
    </w:lvl>
    <w:lvl w:ilvl="3" w:tplc="4BC072BE">
      <w:start w:val="1"/>
      <w:numFmt w:val="bullet"/>
      <w:lvlText w:val=""/>
      <w:lvlJc w:val="left"/>
      <w:pPr>
        <w:ind w:left="2880" w:hanging="360"/>
      </w:pPr>
      <w:rPr>
        <w:rFonts w:hint="default" w:ascii="Symbol" w:hAnsi="Symbol"/>
      </w:rPr>
    </w:lvl>
    <w:lvl w:ilvl="4" w:tplc="652602F0">
      <w:start w:val="1"/>
      <w:numFmt w:val="bullet"/>
      <w:lvlText w:val="o"/>
      <w:lvlJc w:val="left"/>
      <w:pPr>
        <w:ind w:left="3600" w:hanging="360"/>
      </w:pPr>
      <w:rPr>
        <w:rFonts w:hint="default" w:ascii="Courier New" w:hAnsi="Courier New" w:cs="Times New Roman"/>
      </w:rPr>
    </w:lvl>
    <w:lvl w:ilvl="5" w:tplc="0936C3EA">
      <w:start w:val="1"/>
      <w:numFmt w:val="bullet"/>
      <w:lvlText w:val=""/>
      <w:lvlJc w:val="left"/>
      <w:pPr>
        <w:ind w:left="4320" w:hanging="360"/>
      </w:pPr>
      <w:rPr>
        <w:rFonts w:hint="default" w:ascii="Wingdings" w:hAnsi="Wingdings"/>
      </w:rPr>
    </w:lvl>
    <w:lvl w:ilvl="6" w:tplc="600AFBEC">
      <w:start w:val="1"/>
      <w:numFmt w:val="bullet"/>
      <w:lvlText w:val=""/>
      <w:lvlJc w:val="left"/>
      <w:pPr>
        <w:ind w:left="5040" w:hanging="360"/>
      </w:pPr>
      <w:rPr>
        <w:rFonts w:hint="default" w:ascii="Symbol" w:hAnsi="Symbol"/>
      </w:rPr>
    </w:lvl>
    <w:lvl w:ilvl="7" w:tplc="1ADE08A8">
      <w:start w:val="1"/>
      <w:numFmt w:val="bullet"/>
      <w:lvlText w:val="o"/>
      <w:lvlJc w:val="left"/>
      <w:pPr>
        <w:ind w:left="5760" w:hanging="360"/>
      </w:pPr>
      <w:rPr>
        <w:rFonts w:hint="default" w:ascii="Courier New" w:hAnsi="Courier New" w:cs="Times New Roman"/>
      </w:rPr>
    </w:lvl>
    <w:lvl w:ilvl="8" w:tplc="8BF017AC">
      <w:start w:val="1"/>
      <w:numFmt w:val="bullet"/>
      <w:lvlText w:val=""/>
      <w:lvlJc w:val="left"/>
      <w:pPr>
        <w:ind w:left="6480" w:hanging="360"/>
      </w:pPr>
      <w:rPr>
        <w:rFonts w:hint="default" w:ascii="Wingdings" w:hAnsi="Wingdings"/>
      </w:rPr>
    </w:lvl>
  </w:abstractNum>
  <w:abstractNum w:abstractNumId="15" w15:restartNumberingAfterBreak="0">
    <w:nsid w:val="41BD1EE9"/>
    <w:multiLevelType w:val="hybridMultilevel"/>
    <w:tmpl w:val="3346731C"/>
    <w:lvl w:ilvl="0" w:tplc="97A4165E">
      <w:start w:val="1"/>
      <w:numFmt w:val="lowerLetter"/>
      <w:lvlText w:val="%1)"/>
      <w:lvlJc w:val="left"/>
      <w:pPr>
        <w:ind w:left="1080" w:hanging="360"/>
      </w:pPr>
      <w:rPr>
        <w:rFonts w:hint="default" w:ascii="Arial" w:hAnsi="Arial" w:cs="Arial"/>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A41B99"/>
    <w:multiLevelType w:val="hybridMultilevel"/>
    <w:tmpl w:val="8EACEF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6F2189"/>
    <w:multiLevelType w:val="hybridMultilevel"/>
    <w:tmpl w:val="4F4CA314"/>
    <w:lvl w:ilvl="0" w:tplc="E24060C6">
      <w:start w:val="1"/>
      <w:numFmt w:val="bullet"/>
      <w:pStyle w:val="Bullets"/>
      <w:lvlText w:val=""/>
      <w:lvlJc w:val="left"/>
      <w:pPr>
        <w:ind w:left="1134" w:hanging="454"/>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3564764">
    <w:abstractNumId w:val="17"/>
  </w:num>
  <w:num w:numId="2" w16cid:durableId="1215968135">
    <w:abstractNumId w:val="18"/>
  </w:num>
  <w:num w:numId="3" w16cid:durableId="1123036315">
    <w:abstractNumId w:val="18"/>
    <w:lvlOverride w:ilvl="0">
      <w:startOverride w:val="1"/>
    </w:lvlOverride>
  </w:num>
  <w:num w:numId="4" w16cid:durableId="1962029493">
    <w:abstractNumId w:val="18"/>
    <w:lvlOverride w:ilvl="0">
      <w:startOverride w:val="1"/>
    </w:lvlOverride>
  </w:num>
  <w:num w:numId="5" w16cid:durableId="828594966">
    <w:abstractNumId w:val="18"/>
    <w:lvlOverride w:ilvl="0">
      <w:startOverride w:val="1"/>
    </w:lvlOverride>
  </w:num>
  <w:num w:numId="6" w16cid:durableId="2062551872">
    <w:abstractNumId w:val="18"/>
    <w:lvlOverride w:ilvl="0">
      <w:startOverride w:val="1"/>
    </w:lvlOverride>
  </w:num>
  <w:num w:numId="7" w16cid:durableId="1750080115">
    <w:abstractNumId w:val="18"/>
    <w:lvlOverride w:ilvl="0">
      <w:startOverride w:val="1"/>
    </w:lvlOverride>
  </w:num>
  <w:num w:numId="8" w16cid:durableId="1056659755">
    <w:abstractNumId w:val="9"/>
  </w:num>
  <w:num w:numId="9" w16cid:durableId="1358508294">
    <w:abstractNumId w:val="7"/>
  </w:num>
  <w:num w:numId="10" w16cid:durableId="1499347687">
    <w:abstractNumId w:val="6"/>
  </w:num>
  <w:num w:numId="11" w16cid:durableId="1508061195">
    <w:abstractNumId w:val="5"/>
  </w:num>
  <w:num w:numId="12" w16cid:durableId="1919440124">
    <w:abstractNumId w:val="4"/>
  </w:num>
  <w:num w:numId="13" w16cid:durableId="211893969">
    <w:abstractNumId w:val="8"/>
  </w:num>
  <w:num w:numId="14" w16cid:durableId="256446596">
    <w:abstractNumId w:val="3"/>
  </w:num>
  <w:num w:numId="15" w16cid:durableId="1352221067">
    <w:abstractNumId w:val="2"/>
  </w:num>
  <w:num w:numId="16" w16cid:durableId="948195593">
    <w:abstractNumId w:val="1"/>
  </w:num>
  <w:num w:numId="17" w16cid:durableId="882136630">
    <w:abstractNumId w:val="0"/>
  </w:num>
  <w:num w:numId="18" w16cid:durableId="2036803415">
    <w:abstractNumId w:val="10"/>
  </w:num>
  <w:num w:numId="19" w16cid:durableId="1245459062">
    <w:abstractNumId w:val="10"/>
    <w:lvlOverride w:ilvl="0">
      <w:startOverride w:val="1"/>
    </w:lvlOverride>
  </w:num>
  <w:num w:numId="20" w16cid:durableId="1577279352">
    <w:abstractNumId w:val="11"/>
  </w:num>
  <w:num w:numId="21" w16cid:durableId="676737510">
    <w:abstractNumId w:val="15"/>
  </w:num>
  <w:num w:numId="22" w16cid:durableId="693307393">
    <w:abstractNumId w:val="13"/>
  </w:num>
  <w:num w:numId="23" w16cid:durableId="989477544">
    <w:abstractNumId w:val="16"/>
  </w:num>
  <w:num w:numId="24" w16cid:durableId="1195575870">
    <w:abstractNumId w:val="18"/>
  </w:num>
  <w:num w:numId="25" w16cid:durableId="1728264333">
    <w:abstractNumId w:val="12"/>
  </w:num>
  <w:num w:numId="26" w16cid:durableId="921765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hideSpellingErrors/>
  <w:hideGrammaticalErrors/>
  <w:proofState w:spelling="clean" w:grammar="dirty"/>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EF"/>
    <w:rsid w:val="000020B3"/>
    <w:rsid w:val="000053F8"/>
    <w:rsid w:val="00012309"/>
    <w:rsid w:val="00024D0A"/>
    <w:rsid w:val="000255CE"/>
    <w:rsid w:val="000259B8"/>
    <w:rsid w:val="00025F20"/>
    <w:rsid w:val="000269A3"/>
    <w:rsid w:val="000334EB"/>
    <w:rsid w:val="00035DCF"/>
    <w:rsid w:val="000400D9"/>
    <w:rsid w:val="00040D8A"/>
    <w:rsid w:val="000420F1"/>
    <w:rsid w:val="0004218D"/>
    <w:rsid w:val="00050F99"/>
    <w:rsid w:val="000603FB"/>
    <w:rsid w:val="000625F3"/>
    <w:rsid w:val="000663E9"/>
    <w:rsid w:val="00070065"/>
    <w:rsid w:val="000748C9"/>
    <w:rsid w:val="00076731"/>
    <w:rsid w:val="000937FC"/>
    <w:rsid w:val="000971FD"/>
    <w:rsid w:val="000A4FEE"/>
    <w:rsid w:val="000A5B0D"/>
    <w:rsid w:val="000B5939"/>
    <w:rsid w:val="000C7460"/>
    <w:rsid w:val="000D6031"/>
    <w:rsid w:val="000D6BE1"/>
    <w:rsid w:val="000E3DD3"/>
    <w:rsid w:val="000E42A0"/>
    <w:rsid w:val="000F4A1B"/>
    <w:rsid w:val="001018F5"/>
    <w:rsid w:val="0010312E"/>
    <w:rsid w:val="001110F6"/>
    <w:rsid w:val="001124C9"/>
    <w:rsid w:val="001134E7"/>
    <w:rsid w:val="001156BF"/>
    <w:rsid w:val="00116742"/>
    <w:rsid w:val="001240C0"/>
    <w:rsid w:val="00130F21"/>
    <w:rsid w:val="00131578"/>
    <w:rsid w:val="0014202D"/>
    <w:rsid w:val="001474E7"/>
    <w:rsid w:val="00147F8F"/>
    <w:rsid w:val="001503FC"/>
    <w:rsid w:val="0015078D"/>
    <w:rsid w:val="00152B69"/>
    <w:rsid w:val="00170BF8"/>
    <w:rsid w:val="0017169E"/>
    <w:rsid w:val="00173C7A"/>
    <w:rsid w:val="001746F2"/>
    <w:rsid w:val="00176AF6"/>
    <w:rsid w:val="00180E30"/>
    <w:rsid w:val="0019294B"/>
    <w:rsid w:val="00194CB2"/>
    <w:rsid w:val="00195249"/>
    <w:rsid w:val="00197B83"/>
    <w:rsid w:val="001A200A"/>
    <w:rsid w:val="001B0EE9"/>
    <w:rsid w:val="001B326B"/>
    <w:rsid w:val="001B3ED5"/>
    <w:rsid w:val="001B4641"/>
    <w:rsid w:val="001B4DC9"/>
    <w:rsid w:val="001B51B6"/>
    <w:rsid w:val="001B65B3"/>
    <w:rsid w:val="001C6B15"/>
    <w:rsid w:val="001C6B3D"/>
    <w:rsid w:val="001E061A"/>
    <w:rsid w:val="001E1E4E"/>
    <w:rsid w:val="001F5D45"/>
    <w:rsid w:val="001F61EC"/>
    <w:rsid w:val="00201431"/>
    <w:rsid w:val="002054FF"/>
    <w:rsid w:val="00210606"/>
    <w:rsid w:val="0023137E"/>
    <w:rsid w:val="002408EA"/>
    <w:rsid w:val="002529E8"/>
    <w:rsid w:val="00256320"/>
    <w:rsid w:val="002665F2"/>
    <w:rsid w:val="00271D6F"/>
    <w:rsid w:val="00274AB4"/>
    <w:rsid w:val="00277A45"/>
    <w:rsid w:val="002819D7"/>
    <w:rsid w:val="00282C5E"/>
    <w:rsid w:val="00284F8F"/>
    <w:rsid w:val="0029147B"/>
    <w:rsid w:val="00294E45"/>
    <w:rsid w:val="002B61F2"/>
    <w:rsid w:val="002B6BDF"/>
    <w:rsid w:val="002C0101"/>
    <w:rsid w:val="002C196D"/>
    <w:rsid w:val="002C1A7E"/>
    <w:rsid w:val="002D3376"/>
    <w:rsid w:val="002D7E8C"/>
    <w:rsid w:val="002E1F9D"/>
    <w:rsid w:val="002E37BA"/>
    <w:rsid w:val="002E4BC9"/>
    <w:rsid w:val="002E58A0"/>
    <w:rsid w:val="002F626E"/>
    <w:rsid w:val="002F7231"/>
    <w:rsid w:val="00303131"/>
    <w:rsid w:val="00311ED0"/>
    <w:rsid w:val="003144F3"/>
    <w:rsid w:val="003155F2"/>
    <w:rsid w:val="00316D21"/>
    <w:rsid w:val="003257D0"/>
    <w:rsid w:val="003318D9"/>
    <w:rsid w:val="00331999"/>
    <w:rsid w:val="0035796E"/>
    <w:rsid w:val="00363E3C"/>
    <w:rsid w:val="003648C5"/>
    <w:rsid w:val="003650DB"/>
    <w:rsid w:val="00365523"/>
    <w:rsid w:val="00366458"/>
    <w:rsid w:val="0036664F"/>
    <w:rsid w:val="003722FA"/>
    <w:rsid w:val="00372C34"/>
    <w:rsid w:val="00377459"/>
    <w:rsid w:val="003823DB"/>
    <w:rsid w:val="003856BB"/>
    <w:rsid w:val="00394B64"/>
    <w:rsid w:val="00397372"/>
    <w:rsid w:val="003A2163"/>
    <w:rsid w:val="003A23E6"/>
    <w:rsid w:val="003B4694"/>
    <w:rsid w:val="003B7C47"/>
    <w:rsid w:val="003C14DF"/>
    <w:rsid w:val="003C631F"/>
    <w:rsid w:val="003C7AAF"/>
    <w:rsid w:val="003D05DE"/>
    <w:rsid w:val="003D1CBA"/>
    <w:rsid w:val="003D4120"/>
    <w:rsid w:val="003D62C7"/>
    <w:rsid w:val="003D7911"/>
    <w:rsid w:val="003F0878"/>
    <w:rsid w:val="003F5404"/>
    <w:rsid w:val="004004AA"/>
    <w:rsid w:val="00403CC5"/>
    <w:rsid w:val="004075B6"/>
    <w:rsid w:val="00420952"/>
    <w:rsid w:val="0042266E"/>
    <w:rsid w:val="0042290C"/>
    <w:rsid w:val="004253D8"/>
    <w:rsid w:val="00425809"/>
    <w:rsid w:val="004370E1"/>
    <w:rsid w:val="004434FB"/>
    <w:rsid w:val="00446BEE"/>
    <w:rsid w:val="004553CA"/>
    <w:rsid w:val="00460F4D"/>
    <w:rsid w:val="00464323"/>
    <w:rsid w:val="004726F0"/>
    <w:rsid w:val="00472A20"/>
    <w:rsid w:val="00475873"/>
    <w:rsid w:val="00487121"/>
    <w:rsid w:val="00493A34"/>
    <w:rsid w:val="00494B56"/>
    <w:rsid w:val="0049703A"/>
    <w:rsid w:val="004A1F65"/>
    <w:rsid w:val="004A33B6"/>
    <w:rsid w:val="004B1F2E"/>
    <w:rsid w:val="004B21E4"/>
    <w:rsid w:val="004B23C8"/>
    <w:rsid w:val="004C03B3"/>
    <w:rsid w:val="004C2CCA"/>
    <w:rsid w:val="004E273E"/>
    <w:rsid w:val="004E56A6"/>
    <w:rsid w:val="004F2240"/>
    <w:rsid w:val="004F7418"/>
    <w:rsid w:val="005025A1"/>
    <w:rsid w:val="005114AF"/>
    <w:rsid w:val="005202E7"/>
    <w:rsid w:val="00521FFC"/>
    <w:rsid w:val="005264BA"/>
    <w:rsid w:val="00530704"/>
    <w:rsid w:val="00537653"/>
    <w:rsid w:val="005463DF"/>
    <w:rsid w:val="0054650F"/>
    <w:rsid w:val="005467CA"/>
    <w:rsid w:val="0055058C"/>
    <w:rsid w:val="00551A53"/>
    <w:rsid w:val="00552A2E"/>
    <w:rsid w:val="00554432"/>
    <w:rsid w:val="00561642"/>
    <w:rsid w:val="00571BC2"/>
    <w:rsid w:val="005721BC"/>
    <w:rsid w:val="005858B6"/>
    <w:rsid w:val="005904DA"/>
    <w:rsid w:val="00593CF3"/>
    <w:rsid w:val="005A2B05"/>
    <w:rsid w:val="005A5CDC"/>
    <w:rsid w:val="005A6A53"/>
    <w:rsid w:val="005A7123"/>
    <w:rsid w:val="005B3B15"/>
    <w:rsid w:val="005B6011"/>
    <w:rsid w:val="005B70E9"/>
    <w:rsid w:val="005B7CC7"/>
    <w:rsid w:val="005D064B"/>
    <w:rsid w:val="005D5068"/>
    <w:rsid w:val="005D72C0"/>
    <w:rsid w:val="005E02CC"/>
    <w:rsid w:val="00600D8B"/>
    <w:rsid w:val="006055FE"/>
    <w:rsid w:val="006065EB"/>
    <w:rsid w:val="006072D5"/>
    <w:rsid w:val="00612C50"/>
    <w:rsid w:val="00613BDF"/>
    <w:rsid w:val="00617675"/>
    <w:rsid w:val="006250C5"/>
    <w:rsid w:val="00631CB3"/>
    <w:rsid w:val="00650CEC"/>
    <w:rsid w:val="006602B7"/>
    <w:rsid w:val="00660535"/>
    <w:rsid w:val="00665318"/>
    <w:rsid w:val="00670AED"/>
    <w:rsid w:val="00671FB1"/>
    <w:rsid w:val="00675A64"/>
    <w:rsid w:val="0068238C"/>
    <w:rsid w:val="00684B29"/>
    <w:rsid w:val="00685D61"/>
    <w:rsid w:val="00686BA5"/>
    <w:rsid w:val="00687F7C"/>
    <w:rsid w:val="006921E1"/>
    <w:rsid w:val="00693A7D"/>
    <w:rsid w:val="00693B7A"/>
    <w:rsid w:val="006960EE"/>
    <w:rsid w:val="00696FC6"/>
    <w:rsid w:val="006971E0"/>
    <w:rsid w:val="006A1FB7"/>
    <w:rsid w:val="006A4B57"/>
    <w:rsid w:val="006A5DE0"/>
    <w:rsid w:val="006D0870"/>
    <w:rsid w:val="006D474F"/>
    <w:rsid w:val="006E0D18"/>
    <w:rsid w:val="006E5DA2"/>
    <w:rsid w:val="006E5EA0"/>
    <w:rsid w:val="006E6A18"/>
    <w:rsid w:val="006F2CEA"/>
    <w:rsid w:val="006F415D"/>
    <w:rsid w:val="007104DA"/>
    <w:rsid w:val="00713C98"/>
    <w:rsid w:val="007237CD"/>
    <w:rsid w:val="0073240C"/>
    <w:rsid w:val="007347F3"/>
    <w:rsid w:val="00736348"/>
    <w:rsid w:val="00740EC7"/>
    <w:rsid w:val="00740FA1"/>
    <w:rsid w:val="0074571B"/>
    <w:rsid w:val="00746B2E"/>
    <w:rsid w:val="00751CA6"/>
    <w:rsid w:val="00753359"/>
    <w:rsid w:val="007552ED"/>
    <w:rsid w:val="007568F4"/>
    <w:rsid w:val="00760B2B"/>
    <w:rsid w:val="00763E5E"/>
    <w:rsid w:val="00767F12"/>
    <w:rsid w:val="00771337"/>
    <w:rsid w:val="00771F59"/>
    <w:rsid w:val="0079157E"/>
    <w:rsid w:val="00792F15"/>
    <w:rsid w:val="00794C64"/>
    <w:rsid w:val="00796A97"/>
    <w:rsid w:val="007A3A62"/>
    <w:rsid w:val="007A7546"/>
    <w:rsid w:val="007B2AA3"/>
    <w:rsid w:val="007B2B0A"/>
    <w:rsid w:val="007B4C7C"/>
    <w:rsid w:val="007B5676"/>
    <w:rsid w:val="007C1B7B"/>
    <w:rsid w:val="007C4A83"/>
    <w:rsid w:val="007C6E53"/>
    <w:rsid w:val="007D1A6B"/>
    <w:rsid w:val="007D41BA"/>
    <w:rsid w:val="007D4ED1"/>
    <w:rsid w:val="007E1381"/>
    <w:rsid w:val="007E1876"/>
    <w:rsid w:val="007E7B66"/>
    <w:rsid w:val="007F00B1"/>
    <w:rsid w:val="007F3B3D"/>
    <w:rsid w:val="007F78E1"/>
    <w:rsid w:val="007F7F54"/>
    <w:rsid w:val="008009CA"/>
    <w:rsid w:val="008061A6"/>
    <w:rsid w:val="0081415D"/>
    <w:rsid w:val="0082068C"/>
    <w:rsid w:val="0082206D"/>
    <w:rsid w:val="00825B36"/>
    <w:rsid w:val="00826362"/>
    <w:rsid w:val="00833DC8"/>
    <w:rsid w:val="0084341F"/>
    <w:rsid w:val="00852DFF"/>
    <w:rsid w:val="00861B92"/>
    <w:rsid w:val="008641EA"/>
    <w:rsid w:val="00875A46"/>
    <w:rsid w:val="008800B2"/>
    <w:rsid w:val="00880EBB"/>
    <w:rsid w:val="008814FB"/>
    <w:rsid w:val="0088441D"/>
    <w:rsid w:val="008B525D"/>
    <w:rsid w:val="008C1431"/>
    <w:rsid w:val="008C2978"/>
    <w:rsid w:val="008D73F9"/>
    <w:rsid w:val="008E23E8"/>
    <w:rsid w:val="008E60E0"/>
    <w:rsid w:val="008F06C5"/>
    <w:rsid w:val="008F1C5A"/>
    <w:rsid w:val="008F5E30"/>
    <w:rsid w:val="00900793"/>
    <w:rsid w:val="0090112D"/>
    <w:rsid w:val="00902124"/>
    <w:rsid w:val="00904D38"/>
    <w:rsid w:val="00905D76"/>
    <w:rsid w:val="00912558"/>
    <w:rsid w:val="00914D7F"/>
    <w:rsid w:val="00915D66"/>
    <w:rsid w:val="00917DDC"/>
    <w:rsid w:val="00925FBA"/>
    <w:rsid w:val="0094215B"/>
    <w:rsid w:val="00953D39"/>
    <w:rsid w:val="00962F9B"/>
    <w:rsid w:val="00964838"/>
    <w:rsid w:val="0096564D"/>
    <w:rsid w:val="00971AD8"/>
    <w:rsid w:val="00972544"/>
    <w:rsid w:val="00975F9F"/>
    <w:rsid w:val="009771B3"/>
    <w:rsid w:val="0098329C"/>
    <w:rsid w:val="00984868"/>
    <w:rsid w:val="00985013"/>
    <w:rsid w:val="00987489"/>
    <w:rsid w:val="00991023"/>
    <w:rsid w:val="00994725"/>
    <w:rsid w:val="009A08F0"/>
    <w:rsid w:val="009A0EC1"/>
    <w:rsid w:val="009A2158"/>
    <w:rsid w:val="009B0D90"/>
    <w:rsid w:val="009B6050"/>
    <w:rsid w:val="009C11AD"/>
    <w:rsid w:val="009C30D1"/>
    <w:rsid w:val="009C3D10"/>
    <w:rsid w:val="009C42EE"/>
    <w:rsid w:val="009D1C01"/>
    <w:rsid w:val="009D3F8A"/>
    <w:rsid w:val="009D72E1"/>
    <w:rsid w:val="009E6530"/>
    <w:rsid w:val="009E680B"/>
    <w:rsid w:val="009F1BC7"/>
    <w:rsid w:val="009F2758"/>
    <w:rsid w:val="009F53EF"/>
    <w:rsid w:val="00A15397"/>
    <w:rsid w:val="00A15A1F"/>
    <w:rsid w:val="00A2256B"/>
    <w:rsid w:val="00A23C1E"/>
    <w:rsid w:val="00A26996"/>
    <w:rsid w:val="00A3325A"/>
    <w:rsid w:val="00A34CD2"/>
    <w:rsid w:val="00A43013"/>
    <w:rsid w:val="00A45B20"/>
    <w:rsid w:val="00A46D36"/>
    <w:rsid w:val="00A53062"/>
    <w:rsid w:val="00A56DEC"/>
    <w:rsid w:val="00A56E85"/>
    <w:rsid w:val="00A56FF9"/>
    <w:rsid w:val="00A62146"/>
    <w:rsid w:val="00A63918"/>
    <w:rsid w:val="00A645F2"/>
    <w:rsid w:val="00A82DD0"/>
    <w:rsid w:val="00A83B78"/>
    <w:rsid w:val="00A83D66"/>
    <w:rsid w:val="00A845EA"/>
    <w:rsid w:val="00A8519C"/>
    <w:rsid w:val="00A870DB"/>
    <w:rsid w:val="00A91D8D"/>
    <w:rsid w:val="00A93BB7"/>
    <w:rsid w:val="00A9452A"/>
    <w:rsid w:val="00A959F6"/>
    <w:rsid w:val="00AA3A8C"/>
    <w:rsid w:val="00AB567F"/>
    <w:rsid w:val="00AB5B5B"/>
    <w:rsid w:val="00AC65F0"/>
    <w:rsid w:val="00AE4206"/>
    <w:rsid w:val="00AF108A"/>
    <w:rsid w:val="00AF1B1C"/>
    <w:rsid w:val="00AF7536"/>
    <w:rsid w:val="00B02E55"/>
    <w:rsid w:val="00B036C1"/>
    <w:rsid w:val="00B24FE6"/>
    <w:rsid w:val="00B35654"/>
    <w:rsid w:val="00B37266"/>
    <w:rsid w:val="00B5431F"/>
    <w:rsid w:val="00B56D17"/>
    <w:rsid w:val="00B625C9"/>
    <w:rsid w:val="00B62F1A"/>
    <w:rsid w:val="00B63102"/>
    <w:rsid w:val="00B64FA9"/>
    <w:rsid w:val="00B70628"/>
    <w:rsid w:val="00B80589"/>
    <w:rsid w:val="00B82FCB"/>
    <w:rsid w:val="00B900BE"/>
    <w:rsid w:val="00B914F1"/>
    <w:rsid w:val="00B93D2A"/>
    <w:rsid w:val="00B93E19"/>
    <w:rsid w:val="00B94116"/>
    <w:rsid w:val="00B964DA"/>
    <w:rsid w:val="00BA2087"/>
    <w:rsid w:val="00BB1604"/>
    <w:rsid w:val="00BB7929"/>
    <w:rsid w:val="00BC7DC2"/>
    <w:rsid w:val="00BD58BB"/>
    <w:rsid w:val="00BD6D53"/>
    <w:rsid w:val="00BE14CA"/>
    <w:rsid w:val="00BF7FE0"/>
    <w:rsid w:val="00C05119"/>
    <w:rsid w:val="00C12D15"/>
    <w:rsid w:val="00C12EAF"/>
    <w:rsid w:val="00C317C4"/>
    <w:rsid w:val="00C40B1F"/>
    <w:rsid w:val="00C42272"/>
    <w:rsid w:val="00C53C2A"/>
    <w:rsid w:val="00C61412"/>
    <w:rsid w:val="00C66092"/>
    <w:rsid w:val="00C72E83"/>
    <w:rsid w:val="00C76599"/>
    <w:rsid w:val="00C83260"/>
    <w:rsid w:val="00C8366E"/>
    <w:rsid w:val="00C96031"/>
    <w:rsid w:val="00C96411"/>
    <w:rsid w:val="00CA2931"/>
    <w:rsid w:val="00CA2BDD"/>
    <w:rsid w:val="00CA3C12"/>
    <w:rsid w:val="00CC3183"/>
    <w:rsid w:val="00CC3950"/>
    <w:rsid w:val="00CC5208"/>
    <w:rsid w:val="00CC7309"/>
    <w:rsid w:val="00CC79EF"/>
    <w:rsid w:val="00CE1A8B"/>
    <w:rsid w:val="00CE282A"/>
    <w:rsid w:val="00CF58B7"/>
    <w:rsid w:val="00CF705F"/>
    <w:rsid w:val="00D05B7B"/>
    <w:rsid w:val="00D13B42"/>
    <w:rsid w:val="00D2037E"/>
    <w:rsid w:val="00D23FBA"/>
    <w:rsid w:val="00D305A4"/>
    <w:rsid w:val="00D351C1"/>
    <w:rsid w:val="00D354E7"/>
    <w:rsid w:val="00D35EFB"/>
    <w:rsid w:val="00D40055"/>
    <w:rsid w:val="00D40DB6"/>
    <w:rsid w:val="00D42731"/>
    <w:rsid w:val="00D4502C"/>
    <w:rsid w:val="00D46C70"/>
    <w:rsid w:val="00D504B3"/>
    <w:rsid w:val="00D57547"/>
    <w:rsid w:val="00D64324"/>
    <w:rsid w:val="00D7191F"/>
    <w:rsid w:val="00D72ED1"/>
    <w:rsid w:val="00D73149"/>
    <w:rsid w:val="00D75227"/>
    <w:rsid w:val="00D80901"/>
    <w:rsid w:val="00D82386"/>
    <w:rsid w:val="00D86BF0"/>
    <w:rsid w:val="00D90711"/>
    <w:rsid w:val="00D92201"/>
    <w:rsid w:val="00DC36AC"/>
    <w:rsid w:val="00DD39D0"/>
    <w:rsid w:val="00DD5BDE"/>
    <w:rsid w:val="00DD7599"/>
    <w:rsid w:val="00DE19A2"/>
    <w:rsid w:val="00DE2024"/>
    <w:rsid w:val="00DE682B"/>
    <w:rsid w:val="00E01E7F"/>
    <w:rsid w:val="00E13724"/>
    <w:rsid w:val="00E13C02"/>
    <w:rsid w:val="00E15042"/>
    <w:rsid w:val="00E16092"/>
    <w:rsid w:val="00E26AD6"/>
    <w:rsid w:val="00E33E31"/>
    <w:rsid w:val="00E42067"/>
    <w:rsid w:val="00E42304"/>
    <w:rsid w:val="00E433AB"/>
    <w:rsid w:val="00E51920"/>
    <w:rsid w:val="00E53706"/>
    <w:rsid w:val="00E62CF3"/>
    <w:rsid w:val="00E64120"/>
    <w:rsid w:val="00E660A1"/>
    <w:rsid w:val="00E905A4"/>
    <w:rsid w:val="00E90D45"/>
    <w:rsid w:val="00E915F3"/>
    <w:rsid w:val="00E93C6E"/>
    <w:rsid w:val="00E94630"/>
    <w:rsid w:val="00E94F36"/>
    <w:rsid w:val="00EA05E0"/>
    <w:rsid w:val="00EA0675"/>
    <w:rsid w:val="00EA495C"/>
    <w:rsid w:val="00EA4DE2"/>
    <w:rsid w:val="00EA524C"/>
    <w:rsid w:val="00EA71DF"/>
    <w:rsid w:val="00EB3F2F"/>
    <w:rsid w:val="00EB7001"/>
    <w:rsid w:val="00ED2E13"/>
    <w:rsid w:val="00ED3BF3"/>
    <w:rsid w:val="00EE13B2"/>
    <w:rsid w:val="00EF2A07"/>
    <w:rsid w:val="00EF7BE3"/>
    <w:rsid w:val="00F00FCA"/>
    <w:rsid w:val="00F036EC"/>
    <w:rsid w:val="00F055F1"/>
    <w:rsid w:val="00F171B0"/>
    <w:rsid w:val="00F27741"/>
    <w:rsid w:val="00F31CD4"/>
    <w:rsid w:val="00F426E5"/>
    <w:rsid w:val="00F468FA"/>
    <w:rsid w:val="00F535A8"/>
    <w:rsid w:val="00F557AD"/>
    <w:rsid w:val="00F56E96"/>
    <w:rsid w:val="00F57EA6"/>
    <w:rsid w:val="00F610AF"/>
    <w:rsid w:val="00F620F6"/>
    <w:rsid w:val="00F65A80"/>
    <w:rsid w:val="00F66559"/>
    <w:rsid w:val="00F67FCC"/>
    <w:rsid w:val="00F72697"/>
    <w:rsid w:val="00F82A60"/>
    <w:rsid w:val="00F86547"/>
    <w:rsid w:val="00F86EA2"/>
    <w:rsid w:val="00F94762"/>
    <w:rsid w:val="00FA1534"/>
    <w:rsid w:val="00FA2C5A"/>
    <w:rsid w:val="00FB3131"/>
    <w:rsid w:val="00FC2D11"/>
    <w:rsid w:val="00FC6230"/>
    <w:rsid w:val="00FD6925"/>
    <w:rsid w:val="00FD71E6"/>
    <w:rsid w:val="00FE64DB"/>
    <w:rsid w:val="00FF178B"/>
    <w:rsid w:val="00FF61AE"/>
    <w:rsid w:val="00FF61E7"/>
    <w:rsid w:val="00FF65B4"/>
    <w:rsid w:val="228C1338"/>
    <w:rsid w:val="228E9B71"/>
    <w:rsid w:val="24B90130"/>
    <w:rsid w:val="475E1EE6"/>
    <w:rsid w:val="49D2BAE3"/>
    <w:rsid w:val="4A8D039D"/>
    <w:rsid w:val="5664F4BC"/>
    <w:rsid w:val="5B395EAD"/>
    <w:rsid w:val="68484672"/>
    <w:rsid w:val="692B94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BC9B0"/>
  <w15:chartTrackingRefBased/>
  <w15:docId w15:val="{E747AD72-E376-47B9-B780-9BBEF392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99" w:semiHidden="1"/>
    <w:lsdException w:name="footer" w:uiPriority="99"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79EF"/>
    <w:pPr>
      <w:spacing w:after="200" w:line="276" w:lineRule="auto"/>
    </w:pPr>
    <w:rPr>
      <w:rFonts w:ascii="Calibri" w:hAnsi="Calibri" w:eastAsia="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DE2024"/>
    <w:pPr>
      <w:keepNext/>
      <w:spacing w:before="240" w:after="60" w:line="360" w:lineRule="auto"/>
      <w:outlineLvl w:val="2"/>
    </w:pPr>
    <w:rPr>
      <w:rFonts w:ascii="Arial" w:hAnsi="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styleId="TitleChar" w:customStyle="1">
    <w:name w:val="Title Char"/>
    <w:basedOn w:val="DefaultParagraphFont"/>
    <w:link w:val="Title"/>
    <w:rsid w:val="00861B92"/>
    <w:rPr>
      <w:rFonts w:ascii="Arial" w:hAnsi="Arial"/>
      <w:b/>
      <w:bCs/>
      <w:kern w:val="28"/>
      <w:sz w:val="32"/>
      <w:szCs w:val="32"/>
    </w:rPr>
  </w:style>
  <w:style w:type="character" w:styleId="Heading1Char" w:customStyle="1">
    <w:name w:val="Heading 1 Char"/>
    <w:basedOn w:val="DefaultParagraphFont"/>
    <w:link w:val="Heading1"/>
    <w:uiPriority w:val="1"/>
    <w:rsid w:val="00861B92"/>
    <w:rPr>
      <w:rFonts w:ascii="Arial" w:hAnsi="Arial"/>
      <w:b/>
      <w:bCs/>
      <w:kern w:val="32"/>
      <w:sz w:val="28"/>
      <w:szCs w:val="32"/>
    </w:rPr>
  </w:style>
  <w:style w:type="paragraph" w:styleId="Bullets" w:customStyle="1">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styleId="HeaderChar" w:customStyle="1">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styleId="FooterChar" w:customStyle="1">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styleId="BalloonTextChar" w:customStyle="1">
    <w:name w:val="Balloon Text Char"/>
    <w:basedOn w:val="DefaultParagraphFont"/>
    <w:link w:val="BalloonText"/>
    <w:semiHidden/>
    <w:rsid w:val="00446BEE"/>
    <w:rPr>
      <w:rFonts w:ascii="Tahoma" w:hAnsi="Tahoma" w:cs="Tahoma"/>
      <w:sz w:val="16"/>
      <w:szCs w:val="16"/>
    </w:rPr>
  </w:style>
  <w:style w:type="character" w:styleId="Heading2Char" w:customStyle="1">
    <w:name w:val="Heading 2 Char"/>
    <w:basedOn w:val="DefaultParagraphFont"/>
    <w:link w:val="Heading2"/>
    <w:uiPriority w:val="2"/>
    <w:rsid w:val="00861B92"/>
    <w:rPr>
      <w:rFonts w:ascii="Arial" w:hAnsi="Arial"/>
      <w:b/>
      <w:bCs/>
      <w:i/>
      <w:iCs/>
      <w:sz w:val="28"/>
      <w:szCs w:val="28"/>
    </w:rPr>
  </w:style>
  <w:style w:type="character" w:styleId="Heading3Char" w:customStyle="1">
    <w:name w:val="Heading 3 Char"/>
    <w:basedOn w:val="DefaultParagraphFont"/>
    <w:link w:val="Heading3"/>
    <w:uiPriority w:val="3"/>
    <w:rsid w:val="006921E1"/>
    <w:rPr>
      <w:rFonts w:ascii="Arial" w:hAnsi="Arial" w:eastAsia="Calibri"/>
      <w:b/>
      <w:bCs/>
      <w:sz w:val="24"/>
      <w:szCs w:val="24"/>
      <w:lang w:eastAsia="en-US"/>
    </w:rPr>
  </w:style>
  <w:style w:type="paragraph" w:styleId="Subbullets" w:customStyle="1">
    <w:name w:val="Sub bullets"/>
    <w:basedOn w:val="Normal"/>
    <w:uiPriority w:val="6"/>
    <w:qFormat/>
    <w:rsid w:val="001B65B3"/>
    <w:pPr>
      <w:numPr>
        <w:numId w:val="18"/>
      </w:numPr>
      <w:spacing w:line="360" w:lineRule="auto"/>
      <w:ind w:left="1418" w:hanging="284"/>
    </w:pPr>
    <w:rPr>
      <w:rFonts w:ascii="Arial" w:hAnsi="Arial"/>
    </w:rPr>
  </w:style>
  <w:style w:type="paragraph" w:styleId="Paragraphnonumbers" w:customStyle="1">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styleId="Unnumberedboldheading" w:customStyle="1">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styleId="CommentTextChar" w:customStyle="1">
    <w:name w:val="Comment Text Char"/>
    <w:basedOn w:val="DefaultParagraphFont"/>
    <w:link w:val="CommentText"/>
    <w:semiHidden/>
    <w:rsid w:val="0088441D"/>
    <w:rPr>
      <w:rFonts w:ascii="Calibri" w:hAnsi="Calibri" w:eastAsia="Calibri"/>
      <w:lang w:eastAsia="en-US"/>
    </w:rPr>
  </w:style>
  <w:style w:type="paragraph" w:styleId="FootnoteText">
    <w:name w:val="footnote text"/>
    <w:basedOn w:val="Normal"/>
    <w:link w:val="FootnoteTextChar"/>
    <w:semiHidden/>
    <w:rsid w:val="0079157E"/>
    <w:pPr>
      <w:spacing w:after="0" w:line="240" w:lineRule="auto"/>
    </w:pPr>
    <w:rPr>
      <w:sz w:val="20"/>
      <w:szCs w:val="20"/>
    </w:rPr>
  </w:style>
  <w:style w:type="character" w:styleId="FootnoteTextChar" w:customStyle="1">
    <w:name w:val="Footnote Text Char"/>
    <w:basedOn w:val="DefaultParagraphFont"/>
    <w:link w:val="FootnoteText"/>
    <w:semiHidden/>
    <w:rsid w:val="0079157E"/>
    <w:rPr>
      <w:rFonts w:ascii="Calibri" w:hAnsi="Calibri" w:eastAsia="Calibri"/>
      <w:lang w:eastAsia="en-US"/>
    </w:rPr>
  </w:style>
  <w:style w:type="character" w:styleId="FootnoteReference">
    <w:name w:val="footnote reference"/>
    <w:basedOn w:val="DefaultParagraphFont"/>
    <w:semiHidden/>
    <w:rsid w:val="0079157E"/>
    <w:rPr>
      <w:vertAlign w:val="superscript"/>
    </w:rPr>
  </w:style>
  <w:style w:type="paragraph" w:styleId="Revision">
    <w:name w:val="Revision"/>
    <w:hidden/>
    <w:uiPriority w:val="99"/>
    <w:semiHidden/>
    <w:rsid w:val="000259B8"/>
    <w:rPr>
      <w:rFonts w:ascii="Calibri" w:hAnsi="Calibri" w:eastAsia="Calibri"/>
      <w:sz w:val="22"/>
      <w:szCs w:val="22"/>
      <w:lang w:eastAsia="en-US"/>
    </w:rPr>
  </w:style>
  <w:style w:type="paragraph" w:styleId="CommentSubject">
    <w:name w:val="annotation subject"/>
    <w:basedOn w:val="CommentText"/>
    <w:next w:val="CommentText"/>
    <w:link w:val="CommentSubjectChar"/>
    <w:semiHidden/>
    <w:rsid w:val="005A6A53"/>
    <w:rPr>
      <w:b/>
      <w:bCs/>
    </w:rPr>
  </w:style>
  <w:style w:type="character" w:styleId="CommentSubjectChar" w:customStyle="1">
    <w:name w:val="Comment Subject Char"/>
    <w:basedOn w:val="CommentTextChar"/>
    <w:link w:val="CommentSubject"/>
    <w:semiHidden/>
    <w:rsid w:val="005A6A53"/>
    <w:rPr>
      <w:rFonts w:ascii="Calibri" w:hAnsi="Calibri"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roperties xmlns="http://www.imanage.com/work/xmlschema">
  <documentid>ACTIVE1!164150388.1</documentid>
  <senderid>AWNE</senderid>
  <senderemail>AEDWARDS@DACBEACHCROFT.COM</senderemail>
  <lastmodified>2025-10-22T09:52:00.0000000+01:00</lastmodified>
  <database>ACTIVE1</database>
</properties>
</file>

<file path=customXml/itemProps1.xml><?xml version="1.0" encoding="utf-8"?>
<ds:datastoreItem xmlns:ds="http://schemas.openxmlformats.org/officeDocument/2006/customXml" ds:itemID="{8E487FF4-315F-48E1-9BE9-F700B0D3EFCE}">
  <ds:schemaRefs>
    <ds:schemaRef ds:uri="http://schemas.microsoft.com/sharepoint/v3/contenttype/forms"/>
  </ds:schemaRefs>
</ds:datastoreItem>
</file>

<file path=customXml/itemProps2.xml><?xml version="1.0" encoding="utf-8"?>
<ds:datastoreItem xmlns:ds="http://schemas.openxmlformats.org/officeDocument/2006/customXml" ds:itemID="{1874B341-2F75-474D-B5FA-3DA7231437DF}">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1EDF08A8-2BD1-4088-90F5-5079676B8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D351D-98F5-4FEF-8948-63940CE0B0DF}">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Lynn Woodward</lastModifiedBy>
  <revision>12</revision>
  <dcterms:created xsi:type="dcterms:W3CDTF">2025-10-17T15:01:00.0000000Z</dcterms:created>
  <dcterms:modified xsi:type="dcterms:W3CDTF">2025-11-04T11:54:27.3698338Z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2025-09-22T09:35:04Z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b58ca98e-317c-4f85-a1c0-16af8a004608</vt:lpwstr>
  </property>
  <property fmtid="{D5CDD505-2E9C-101B-9397-08002B2CF9AE}" pid="8" name="MSIP_Label_c69d85d5-6d9e-4305-a294-1f636ec0f2d6_ContentBits">
    <vt:lpwstr>0</vt:lpwstr>
  </property>
  <property fmtid="{D5CDD505-2E9C-101B-9397-08002B2CF9AE}" pid="9" name="MSIP_Label_c69d85d5-6d9e-4305-a294-1f636ec0f2d6_Tag">
    <vt:lpwstr>10, 3, 0, 2</vt:lpwstr>
  </property>
  <property fmtid="{D5CDD505-2E9C-101B-9397-08002B2CF9AE}" pid="10" name="MSIP_Label_2da9790f-e5c1-4030-9332-9cdee48e94a8_Enabled">
    <vt:lpwstr>true</vt:lpwstr>
  </property>
  <property fmtid="{D5CDD505-2E9C-101B-9397-08002B2CF9AE}" pid="11" name="MSIP_Label_2da9790f-e5c1-4030-9332-9cdee48e94a8_SetDate">
    <vt:lpwstr>2025-10-13T15:33:09Z</vt:lpwstr>
  </property>
  <property fmtid="{D5CDD505-2E9C-101B-9397-08002B2CF9AE}" pid="12" name="MSIP_Label_2da9790f-e5c1-4030-9332-9cdee48e94a8_Method">
    <vt:lpwstr>Standard</vt:lpwstr>
  </property>
  <property fmtid="{D5CDD505-2E9C-101B-9397-08002B2CF9AE}" pid="13" name="MSIP_Label_2da9790f-e5c1-4030-9332-9cdee48e94a8_Name">
    <vt:lpwstr>Internal</vt:lpwstr>
  </property>
  <property fmtid="{D5CDD505-2E9C-101B-9397-08002B2CF9AE}" pid="14" name="MSIP_Label_2da9790f-e5c1-4030-9332-9cdee48e94a8_SiteId">
    <vt:lpwstr>3e9aadf8-6a16-490f-8dcd-c68860caae0b</vt:lpwstr>
  </property>
  <property fmtid="{D5CDD505-2E9C-101B-9397-08002B2CF9AE}" pid="15" name="MSIP_Label_2da9790f-e5c1-4030-9332-9cdee48e94a8_ActionId">
    <vt:lpwstr>bc293bff-fb13-498d-9f08-1df2b26ef6cc</vt:lpwstr>
  </property>
  <property fmtid="{D5CDD505-2E9C-101B-9397-08002B2CF9AE}" pid="16" name="MSIP_Label_2da9790f-e5c1-4030-9332-9cdee48e94a8_ContentBits">
    <vt:lpwstr>2</vt:lpwstr>
  </property>
  <property fmtid="{D5CDD505-2E9C-101B-9397-08002B2CF9AE}" pid="17" name="MSIP_Label_2da9790f-e5c1-4030-9332-9cdee48e94a8_Tag">
    <vt:lpwstr>10, 3, 0, 2</vt:lpwstr>
  </property>
  <property fmtid="{D5CDD505-2E9C-101B-9397-08002B2CF9AE}" pid="18" name="ContentTypeId">
    <vt:lpwstr>0x0101003300E5E64B980D458C754FFE05DEE26D</vt:lpwstr>
  </property>
  <property fmtid="{D5CDD505-2E9C-101B-9397-08002B2CF9AE}" pid="19" name="MediaServiceImageTags">
    <vt:lpwstr/>
  </property>
</Properties>
</file>