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95314" w:rsidR="00E17660" w:rsidP="00E22A42" w:rsidRDefault="00E17660" w14:paraId="7495370A" w14:textId="77777777">
      <w:pPr>
        <w:jc w:val="both"/>
        <w:rPr>
          <w:rFonts w:cs="Arial"/>
          <w:sz w:val="20"/>
          <w:szCs w:val="20"/>
        </w:rPr>
      </w:pPr>
      <w:r w:rsidRPr="00B95314">
        <w:rPr>
          <w:rFonts w:cs="Arial"/>
          <w:sz w:val="20"/>
          <w:szCs w:val="20"/>
        </w:rPr>
        <w:t>Dr Mark Chakravarty</w:t>
      </w:r>
    </w:p>
    <w:p w:rsidRPr="00B95314" w:rsidR="00E17660" w:rsidP="00E22A42" w:rsidRDefault="00E17660" w14:paraId="1B6D78F7" w14:textId="77777777">
      <w:pPr>
        <w:jc w:val="both"/>
        <w:rPr>
          <w:rFonts w:cs="Arial"/>
          <w:sz w:val="20"/>
          <w:szCs w:val="20"/>
        </w:rPr>
      </w:pPr>
      <w:r w:rsidRPr="00B95314">
        <w:rPr>
          <w:rFonts w:cs="Arial"/>
          <w:sz w:val="20"/>
          <w:szCs w:val="20"/>
        </w:rPr>
        <w:t>Lead Non-executive Director NICE Appeals – Technology Appraisals and Highly Specialised Technologies</w:t>
      </w:r>
    </w:p>
    <w:p w:rsidRPr="00B95314" w:rsidR="00E17660" w:rsidP="00E22A42" w:rsidRDefault="00E17660" w14:paraId="51C658CC" w14:textId="77777777">
      <w:pPr>
        <w:jc w:val="both"/>
        <w:rPr>
          <w:rFonts w:cs="Arial"/>
          <w:sz w:val="20"/>
          <w:szCs w:val="20"/>
        </w:rPr>
      </w:pPr>
      <w:r w:rsidRPr="00B95314">
        <w:rPr>
          <w:rFonts w:cs="Arial"/>
          <w:sz w:val="20"/>
          <w:szCs w:val="20"/>
        </w:rPr>
        <w:t>National Institute for Health and Care Excellence</w:t>
      </w:r>
    </w:p>
    <w:p w:rsidRPr="00B95314" w:rsidR="00E17660" w:rsidP="00E22A42" w:rsidRDefault="00E17660" w14:paraId="4149655F" w14:textId="77777777">
      <w:pPr>
        <w:jc w:val="both"/>
        <w:rPr>
          <w:rFonts w:cs="Arial"/>
          <w:sz w:val="20"/>
          <w:szCs w:val="20"/>
        </w:rPr>
      </w:pPr>
      <w:r w:rsidRPr="00B95314">
        <w:rPr>
          <w:rFonts w:cs="Arial"/>
          <w:sz w:val="20"/>
          <w:szCs w:val="20"/>
        </w:rPr>
        <w:t>2nd Floor</w:t>
      </w:r>
    </w:p>
    <w:p w:rsidRPr="00B95314" w:rsidR="00E17660" w:rsidP="00E22A42" w:rsidRDefault="00E17660" w14:paraId="37C2D07E" w14:textId="77777777">
      <w:pPr>
        <w:jc w:val="both"/>
        <w:rPr>
          <w:rFonts w:cs="Arial"/>
          <w:sz w:val="20"/>
          <w:szCs w:val="20"/>
        </w:rPr>
      </w:pPr>
      <w:r w:rsidRPr="00B95314">
        <w:rPr>
          <w:rFonts w:cs="Arial"/>
          <w:sz w:val="20"/>
          <w:szCs w:val="20"/>
        </w:rPr>
        <w:t>2 Redman Place</w:t>
      </w:r>
    </w:p>
    <w:p w:rsidRPr="00B95314" w:rsidR="00E17660" w:rsidP="00E22A42" w:rsidRDefault="00E17660" w14:paraId="47C54997" w14:textId="77777777">
      <w:pPr>
        <w:jc w:val="both"/>
        <w:rPr>
          <w:rFonts w:cs="Arial"/>
          <w:sz w:val="20"/>
          <w:szCs w:val="20"/>
        </w:rPr>
      </w:pPr>
      <w:r w:rsidRPr="00B95314">
        <w:rPr>
          <w:rFonts w:cs="Arial"/>
          <w:sz w:val="20"/>
          <w:szCs w:val="20"/>
        </w:rPr>
        <w:t>London E20 1JQ</w:t>
      </w:r>
    </w:p>
    <w:p w:rsidRPr="00B95314" w:rsidR="00E17660" w:rsidP="00E22A42" w:rsidRDefault="00E17660" w14:paraId="0ED2FA15" w14:textId="77777777">
      <w:pPr>
        <w:jc w:val="both"/>
        <w:rPr>
          <w:rFonts w:cs="Arial"/>
          <w:sz w:val="20"/>
          <w:szCs w:val="20"/>
        </w:rPr>
      </w:pPr>
    </w:p>
    <w:p w:rsidRPr="00BF35C9" w:rsidR="00E17660" w:rsidP="00E22A42" w:rsidRDefault="007821F2" w14:paraId="76A4FB32" w14:textId="2322066D">
      <w:pPr>
        <w:jc w:val="both"/>
        <w:rPr>
          <w:rFonts w:cs="Arial"/>
          <w:sz w:val="20"/>
          <w:szCs w:val="20"/>
          <w:lang w:val="da-DK"/>
        </w:rPr>
      </w:pPr>
      <w:hyperlink w:tgtFrame="_top" w:history="1" r:id="rId12">
        <w:r w:rsidRPr="007821F2">
          <w:rPr>
            <w:rStyle w:val="Hyperlink"/>
            <w:rFonts w:cs="Arial"/>
            <w:sz w:val="20"/>
            <w:szCs w:val="20"/>
            <w:lang w:val="da-DK"/>
          </w:rPr>
          <w:t>appeals@nice.org.uk</w:t>
        </w:r>
      </w:hyperlink>
    </w:p>
    <w:p w:rsidRPr="007821F2" w:rsidR="007821F2" w:rsidP="00E22A42" w:rsidRDefault="007821F2" w14:paraId="1ACF113D" w14:textId="77777777">
      <w:pPr>
        <w:jc w:val="both"/>
        <w:rPr>
          <w:rFonts w:cs="Arial"/>
          <w:sz w:val="20"/>
          <w:szCs w:val="20"/>
          <w:lang w:val="da-DK"/>
        </w:rPr>
      </w:pPr>
    </w:p>
    <w:p w:rsidRPr="007821F2" w:rsidR="00E17660" w:rsidP="00E22A42" w:rsidRDefault="00E17660" w14:paraId="3245A919" w14:textId="00DFF861">
      <w:pPr>
        <w:jc w:val="both"/>
        <w:rPr>
          <w:rFonts w:cs="Arial"/>
          <w:sz w:val="20"/>
          <w:szCs w:val="20"/>
          <w:lang w:val="da-DK"/>
        </w:rPr>
      </w:pPr>
      <w:r w:rsidRPr="007821F2">
        <w:rPr>
          <w:rFonts w:cs="Arial"/>
          <w:sz w:val="20"/>
          <w:szCs w:val="20"/>
          <w:lang w:val="da-DK"/>
        </w:rPr>
        <w:t>9 June 2025</w:t>
      </w:r>
    </w:p>
    <w:p w:rsidRPr="007821F2" w:rsidR="00E17660" w:rsidP="00E22A42" w:rsidRDefault="00E17660" w14:paraId="0147F3CC" w14:textId="77777777">
      <w:pPr>
        <w:jc w:val="both"/>
        <w:rPr>
          <w:rFonts w:cs="Arial"/>
          <w:sz w:val="20"/>
          <w:szCs w:val="20"/>
          <w:lang w:val="da-DK"/>
        </w:rPr>
      </w:pPr>
    </w:p>
    <w:p w:rsidRPr="007821F2" w:rsidR="00E17660" w:rsidP="00E22A42" w:rsidRDefault="00E17660" w14:paraId="3574E858" w14:textId="77777777">
      <w:pPr>
        <w:jc w:val="both"/>
        <w:rPr>
          <w:rFonts w:cs="Arial"/>
          <w:sz w:val="20"/>
          <w:szCs w:val="20"/>
          <w:lang w:val="da-DK"/>
        </w:rPr>
      </w:pPr>
    </w:p>
    <w:p w:rsidRPr="00B95314" w:rsidR="00E17660" w:rsidP="00E22A42" w:rsidRDefault="00E17660" w14:paraId="372E21D0" w14:textId="5029C8C1">
      <w:pPr>
        <w:spacing w:before="120" w:after="120"/>
        <w:jc w:val="both"/>
        <w:rPr>
          <w:rFonts w:cs="Arial"/>
          <w:sz w:val="20"/>
          <w:szCs w:val="20"/>
        </w:rPr>
      </w:pPr>
      <w:r w:rsidRPr="00B95314">
        <w:rPr>
          <w:rFonts w:cs="Arial"/>
          <w:sz w:val="20"/>
          <w:szCs w:val="20"/>
        </w:rPr>
        <w:t>Dear Dr Chakravarty,</w:t>
      </w:r>
    </w:p>
    <w:p w:rsidRPr="00B95314" w:rsidR="00E17660" w:rsidP="00E22A42" w:rsidRDefault="00E17660" w14:paraId="6B8056CF" w14:textId="77777777">
      <w:pPr>
        <w:spacing w:before="240" w:after="120"/>
        <w:jc w:val="both"/>
        <w:rPr>
          <w:rFonts w:cs="Arial"/>
          <w:b/>
          <w:bCs/>
          <w:sz w:val="20"/>
          <w:szCs w:val="20"/>
        </w:rPr>
      </w:pPr>
      <w:r w:rsidRPr="00B95314">
        <w:rPr>
          <w:rFonts w:cs="Arial"/>
          <w:b/>
          <w:bCs/>
          <w:sz w:val="20"/>
          <w:szCs w:val="20"/>
        </w:rPr>
        <w:t xml:space="preserve">Notice of Appeal – </w:t>
      </w:r>
      <w:proofErr w:type="spellStart"/>
      <w:r w:rsidRPr="00B95314">
        <w:rPr>
          <w:rFonts w:cs="Arial"/>
          <w:b/>
          <w:bCs/>
          <w:sz w:val="20"/>
          <w:szCs w:val="20"/>
        </w:rPr>
        <w:t>Cemiplimab</w:t>
      </w:r>
      <w:proofErr w:type="spellEnd"/>
      <w:r w:rsidRPr="00B95314">
        <w:rPr>
          <w:rFonts w:cs="Arial"/>
          <w:b/>
          <w:bCs/>
          <w:sz w:val="20"/>
          <w:szCs w:val="20"/>
        </w:rPr>
        <w:t xml:space="preserve"> with platinum-based chemotherapy for untreated advanced non-small-cell lung cancer [ID3949]</w:t>
      </w:r>
    </w:p>
    <w:p w:rsidRPr="00B95314" w:rsidR="00E17660" w:rsidP="00E22A42" w:rsidRDefault="00E17660" w14:paraId="54811382" w14:textId="2D20715D">
      <w:pPr>
        <w:spacing w:before="240" w:after="120"/>
        <w:jc w:val="both"/>
        <w:rPr>
          <w:rFonts w:cs="Arial"/>
          <w:sz w:val="20"/>
          <w:szCs w:val="20"/>
        </w:rPr>
      </w:pPr>
      <w:r w:rsidRPr="7664365B">
        <w:rPr>
          <w:rFonts w:cs="Arial"/>
          <w:sz w:val="20"/>
          <w:szCs w:val="20"/>
        </w:rPr>
        <w:t xml:space="preserve">Regeneron UK Ltd (“Regeneron”) wishes to appeal against the Final Draft Guidance (“FDG”) for ID3949 </w:t>
      </w:r>
      <w:proofErr w:type="spellStart"/>
      <w:r w:rsidRPr="7664365B">
        <w:rPr>
          <w:rFonts w:cs="Arial"/>
          <w:sz w:val="20"/>
          <w:szCs w:val="20"/>
        </w:rPr>
        <w:t>Cemiplimab</w:t>
      </w:r>
      <w:proofErr w:type="spellEnd"/>
      <w:r w:rsidRPr="7664365B">
        <w:rPr>
          <w:rFonts w:cs="Arial"/>
          <w:sz w:val="20"/>
          <w:szCs w:val="20"/>
        </w:rPr>
        <w:t xml:space="preserve"> with platinum-based chemotherapy for untreated advanced non-small-cell lung cancer. Regeneron is the UK marketing </w:t>
      </w:r>
      <w:proofErr w:type="spellStart"/>
      <w:r w:rsidRPr="7664365B">
        <w:rPr>
          <w:rFonts w:cs="Arial"/>
          <w:sz w:val="20"/>
          <w:szCs w:val="20"/>
        </w:rPr>
        <w:t>authorisation</w:t>
      </w:r>
      <w:proofErr w:type="spellEnd"/>
      <w:r w:rsidRPr="7664365B">
        <w:rPr>
          <w:rFonts w:cs="Arial"/>
          <w:sz w:val="20"/>
          <w:szCs w:val="20"/>
        </w:rPr>
        <w:t xml:space="preserve"> holder for </w:t>
      </w:r>
      <w:proofErr w:type="spellStart"/>
      <w:r w:rsidRPr="7664365B" w:rsidR="007826B6">
        <w:rPr>
          <w:rFonts w:cs="Arial"/>
          <w:sz w:val="20"/>
          <w:szCs w:val="20"/>
        </w:rPr>
        <w:t>Libtayo</w:t>
      </w:r>
      <w:proofErr w:type="spellEnd"/>
      <w:r w:rsidRPr="7664365B" w:rsidR="007826B6">
        <w:rPr>
          <w:rFonts w:cs="Arial"/>
          <w:sz w:val="20"/>
          <w:szCs w:val="20"/>
        </w:rPr>
        <w:t>®</w:t>
      </w:r>
      <w:r w:rsidRPr="7664365B">
        <w:rPr>
          <w:rFonts w:cs="Arial"/>
          <w:sz w:val="20"/>
          <w:szCs w:val="20"/>
        </w:rPr>
        <w:t xml:space="preserve"> (INN </w:t>
      </w:r>
      <w:proofErr w:type="spellStart"/>
      <w:r w:rsidRPr="7664365B">
        <w:rPr>
          <w:rFonts w:cs="Arial"/>
          <w:sz w:val="20"/>
          <w:szCs w:val="20"/>
        </w:rPr>
        <w:t>cemiplimab</w:t>
      </w:r>
      <w:proofErr w:type="spellEnd"/>
      <w:r w:rsidRPr="7664365B">
        <w:rPr>
          <w:rFonts w:cs="Arial"/>
          <w:sz w:val="20"/>
          <w:szCs w:val="20"/>
        </w:rPr>
        <w:t xml:space="preserve">), the technology under review in this single technology appraisal (“STA”).  </w:t>
      </w:r>
    </w:p>
    <w:p w:rsidRPr="00B95314" w:rsidR="00E17660" w:rsidP="00E22A42" w:rsidRDefault="00E17660" w14:paraId="1588B5CE" w14:textId="019435E8">
      <w:pPr>
        <w:spacing w:before="120" w:after="120"/>
        <w:jc w:val="both"/>
        <w:rPr>
          <w:rFonts w:cs="Arial"/>
          <w:sz w:val="20"/>
          <w:szCs w:val="20"/>
        </w:rPr>
      </w:pPr>
      <w:r w:rsidRPr="00B95314">
        <w:rPr>
          <w:rFonts w:cs="Arial"/>
          <w:sz w:val="20"/>
          <w:szCs w:val="20"/>
        </w:rPr>
        <w:t xml:space="preserve">Regeneron is a newly established commercial entity in the United Kingdom, operational since Q4 2023.  From its inception, we have prioritized addressing significant unmet medical needs, with </w:t>
      </w:r>
      <w:proofErr w:type="spellStart"/>
      <w:r w:rsidRPr="00B95314">
        <w:rPr>
          <w:rFonts w:cs="Arial"/>
          <w:sz w:val="20"/>
          <w:szCs w:val="20"/>
        </w:rPr>
        <w:t>cemiplimab</w:t>
      </w:r>
      <w:proofErr w:type="spellEnd"/>
      <w:r w:rsidRPr="00B95314">
        <w:rPr>
          <w:rFonts w:cs="Arial"/>
          <w:sz w:val="20"/>
          <w:szCs w:val="20"/>
        </w:rPr>
        <w:t xml:space="preserve"> representing a cornerstone of our pipeline for non-small-cell lung cancer (“NSCLC”).  Following the return of commercial rights from Sanofi, which had no plans to launch this indication in the UK, we proactively sought and obtained approval from the Medicines and Healthcare products Regulatory Agency (“MHRA”) for </w:t>
      </w:r>
      <w:proofErr w:type="spellStart"/>
      <w:r w:rsidRPr="00B95314">
        <w:rPr>
          <w:rFonts w:cs="Arial"/>
          <w:sz w:val="20"/>
          <w:szCs w:val="20"/>
        </w:rPr>
        <w:t>cemiplimab</w:t>
      </w:r>
      <w:proofErr w:type="spellEnd"/>
      <w:r w:rsidRPr="00B95314">
        <w:rPr>
          <w:rFonts w:cs="Arial"/>
          <w:sz w:val="20"/>
          <w:szCs w:val="20"/>
        </w:rPr>
        <w:t xml:space="preserve"> in combination with chemotherapy for people with advanced/metastatic NSCLC, reflecting our commitment to delivering for UK patients and addressing an unmet clinical need that have been consistently </w:t>
      </w:r>
      <w:r w:rsidR="00153D86">
        <w:rPr>
          <w:rFonts w:cs="Arial"/>
          <w:sz w:val="20"/>
          <w:szCs w:val="20"/>
        </w:rPr>
        <w:t xml:space="preserve">described </w:t>
      </w:r>
      <w:r w:rsidRPr="00B95314">
        <w:rPr>
          <w:rFonts w:cs="Arial"/>
          <w:sz w:val="20"/>
          <w:szCs w:val="20"/>
        </w:rPr>
        <w:t xml:space="preserve"> as significant by expert clinicians in the field</w:t>
      </w:r>
      <w:r w:rsidR="00504D12">
        <w:rPr>
          <w:rFonts w:cs="Arial"/>
          <w:sz w:val="20"/>
          <w:szCs w:val="20"/>
        </w:rPr>
        <w:t xml:space="preserve">, including by both experts in attendance at the first </w:t>
      </w:r>
      <w:r w:rsidR="00D063AA">
        <w:rPr>
          <w:rFonts w:cs="Arial"/>
          <w:sz w:val="20"/>
          <w:szCs w:val="20"/>
        </w:rPr>
        <w:t>appraisal committee meeting</w:t>
      </w:r>
      <w:r w:rsidR="001F4A80">
        <w:rPr>
          <w:rFonts w:cs="Arial"/>
          <w:sz w:val="20"/>
          <w:szCs w:val="20"/>
        </w:rPr>
        <w:t xml:space="preserve"> (“ACM1”)</w:t>
      </w:r>
      <w:r w:rsidR="00B212F3">
        <w:rPr>
          <w:rFonts w:cs="Arial"/>
          <w:sz w:val="20"/>
          <w:szCs w:val="20"/>
        </w:rPr>
        <w:t>.</w:t>
      </w:r>
    </w:p>
    <w:p w:rsidRPr="00B95314" w:rsidR="00E17660" w:rsidP="00B212F3" w:rsidRDefault="00E17660" w14:paraId="6BAEFFA9" w14:textId="61B3FDD0">
      <w:pPr>
        <w:spacing w:before="120" w:after="120"/>
        <w:jc w:val="both"/>
        <w:rPr>
          <w:rFonts w:cs="Arial"/>
          <w:sz w:val="20"/>
          <w:szCs w:val="20"/>
        </w:rPr>
      </w:pPr>
      <w:r w:rsidRPr="26E51779">
        <w:rPr>
          <w:rFonts w:cs="Arial"/>
          <w:sz w:val="20"/>
          <w:szCs w:val="20"/>
        </w:rPr>
        <w:t xml:space="preserve">The use of </w:t>
      </w:r>
      <w:proofErr w:type="spellStart"/>
      <w:r w:rsidRPr="26E51779">
        <w:rPr>
          <w:rFonts w:cs="Arial"/>
          <w:sz w:val="20"/>
          <w:szCs w:val="20"/>
        </w:rPr>
        <w:t>cemiplimab</w:t>
      </w:r>
      <w:proofErr w:type="spellEnd"/>
      <w:r w:rsidRPr="26E51779">
        <w:rPr>
          <w:rFonts w:cs="Arial"/>
          <w:sz w:val="20"/>
          <w:szCs w:val="20"/>
        </w:rPr>
        <w:t xml:space="preserve"> + chemotherapy is underpinned by robust, gold-standard phase 3 randomized controlled trial (“RCT”) </w:t>
      </w:r>
      <w:r w:rsidR="006F3EE0">
        <w:rPr>
          <w:rFonts w:cs="Arial"/>
          <w:sz w:val="20"/>
          <w:szCs w:val="20"/>
        </w:rPr>
        <w:t xml:space="preserve">data </w:t>
      </w:r>
      <w:r w:rsidRPr="26E51779">
        <w:rPr>
          <w:rFonts w:cs="Arial"/>
          <w:sz w:val="20"/>
          <w:szCs w:val="20"/>
        </w:rPr>
        <w:t>from the EMPOWER-Lung 3 study</w:t>
      </w:r>
      <w:r w:rsidR="00A43CDC">
        <w:rPr>
          <w:rFonts w:cs="Arial"/>
          <w:sz w:val="20"/>
          <w:szCs w:val="20"/>
        </w:rPr>
        <w:t xml:space="preserve">. </w:t>
      </w:r>
      <w:proofErr w:type="spellStart"/>
      <w:r w:rsidR="006F3EE0">
        <w:rPr>
          <w:rFonts w:cs="Arial"/>
          <w:sz w:val="20"/>
          <w:szCs w:val="20"/>
        </w:rPr>
        <w:t>Cemplimab</w:t>
      </w:r>
      <w:proofErr w:type="spellEnd"/>
      <w:r w:rsidR="006F3EE0">
        <w:rPr>
          <w:rFonts w:cs="Arial"/>
          <w:sz w:val="20"/>
          <w:szCs w:val="20"/>
        </w:rPr>
        <w:t xml:space="preserve"> </w:t>
      </w:r>
      <w:r w:rsidRPr="26E51779">
        <w:rPr>
          <w:rFonts w:cs="Arial"/>
          <w:sz w:val="20"/>
          <w:szCs w:val="20"/>
        </w:rPr>
        <w:t xml:space="preserve">is </w:t>
      </w:r>
      <w:proofErr w:type="spellStart"/>
      <w:r w:rsidRPr="26E51779">
        <w:rPr>
          <w:rFonts w:cs="Arial"/>
          <w:sz w:val="20"/>
          <w:szCs w:val="20"/>
        </w:rPr>
        <w:t>recognised</w:t>
      </w:r>
      <w:proofErr w:type="spellEnd"/>
      <w:r w:rsidRPr="26E51779">
        <w:rPr>
          <w:rFonts w:cs="Arial"/>
          <w:sz w:val="20"/>
          <w:szCs w:val="20"/>
        </w:rPr>
        <w:t xml:space="preserve"> by the National Comprehensive Cancer Network (“NCCN”) as the main alternative </w:t>
      </w:r>
      <w:r w:rsidRPr="26E51779" w:rsidR="00350AE6">
        <w:rPr>
          <w:rFonts w:cs="Arial"/>
          <w:sz w:val="20"/>
          <w:szCs w:val="20"/>
        </w:rPr>
        <w:t xml:space="preserve">(‘preferred’) </w:t>
      </w:r>
      <w:r w:rsidRPr="26E51779">
        <w:rPr>
          <w:rFonts w:cs="Arial"/>
          <w:sz w:val="20"/>
          <w:szCs w:val="20"/>
        </w:rPr>
        <w:t xml:space="preserve">immune checkpoint inhibitor (“IO”) + chemotherapy </w:t>
      </w:r>
      <w:r w:rsidRPr="26E51779" w:rsidR="006F3EE0">
        <w:rPr>
          <w:rFonts w:cs="Arial"/>
          <w:sz w:val="20"/>
          <w:szCs w:val="20"/>
        </w:rPr>
        <w:t>combination to</w:t>
      </w:r>
      <w:r w:rsidRPr="26E51779">
        <w:rPr>
          <w:rFonts w:cs="Arial"/>
          <w:sz w:val="20"/>
          <w:szCs w:val="20"/>
        </w:rPr>
        <w:t xml:space="preserve"> pembrolizumab </w:t>
      </w:r>
      <w:r w:rsidRPr="26E51779" w:rsidR="00C773A3">
        <w:rPr>
          <w:rFonts w:cs="Arial"/>
          <w:sz w:val="20"/>
          <w:szCs w:val="20"/>
        </w:rPr>
        <w:t xml:space="preserve">+ </w:t>
      </w:r>
      <w:r w:rsidRPr="26E51779">
        <w:rPr>
          <w:rFonts w:cs="Arial"/>
          <w:sz w:val="20"/>
          <w:szCs w:val="20"/>
        </w:rPr>
        <w:t>chemotherapy in NSCLC, with comparable eff</w:t>
      </w:r>
      <w:r w:rsidRPr="26E51779" w:rsidR="00C773A3">
        <w:rPr>
          <w:rFonts w:cs="Arial"/>
          <w:sz w:val="20"/>
          <w:szCs w:val="20"/>
        </w:rPr>
        <w:t>ectiveness</w:t>
      </w:r>
      <w:r w:rsidRPr="26E51779">
        <w:rPr>
          <w:rFonts w:cs="Arial"/>
          <w:sz w:val="20"/>
          <w:szCs w:val="20"/>
        </w:rPr>
        <w:t>/safety profiles and strength of evidence supporting their use</w:t>
      </w:r>
      <w:r w:rsidRPr="26E51779" w:rsidR="00092C88">
        <w:rPr>
          <w:rFonts w:cs="Arial"/>
          <w:sz w:val="20"/>
          <w:szCs w:val="20"/>
        </w:rPr>
        <w:t xml:space="preserve"> and a higher safety evidence score for the </w:t>
      </w:r>
      <w:proofErr w:type="spellStart"/>
      <w:r w:rsidRPr="26E51779" w:rsidR="00092C88">
        <w:rPr>
          <w:rFonts w:cs="Arial"/>
          <w:sz w:val="20"/>
          <w:szCs w:val="20"/>
        </w:rPr>
        <w:t>cemiplimab</w:t>
      </w:r>
      <w:proofErr w:type="spellEnd"/>
      <w:r w:rsidRPr="26E51779" w:rsidR="00092C88">
        <w:rPr>
          <w:rFonts w:cs="Arial"/>
          <w:sz w:val="20"/>
          <w:szCs w:val="20"/>
        </w:rPr>
        <w:t xml:space="preserve"> regimens used for people with squamou</w:t>
      </w:r>
      <w:r w:rsidRPr="26E51779" w:rsidR="0092213E">
        <w:rPr>
          <w:rFonts w:cs="Arial"/>
          <w:sz w:val="20"/>
          <w:szCs w:val="20"/>
        </w:rPr>
        <w:t>s disease</w:t>
      </w:r>
      <w:r w:rsidRPr="26E51779" w:rsidR="0066494B">
        <w:rPr>
          <w:rFonts w:cs="Arial"/>
          <w:sz w:val="20"/>
          <w:szCs w:val="20"/>
        </w:rPr>
        <w:t>.</w:t>
      </w:r>
    </w:p>
    <w:p w:rsidRPr="00B95314" w:rsidR="00E17660" w:rsidP="00E22A42" w:rsidRDefault="00E17660" w14:paraId="3392DF72" w14:textId="54F01D00">
      <w:pPr>
        <w:spacing w:before="120" w:after="120"/>
        <w:jc w:val="both"/>
        <w:rPr>
          <w:rFonts w:cs="Arial"/>
          <w:sz w:val="20"/>
          <w:szCs w:val="20"/>
        </w:rPr>
      </w:pPr>
      <w:r w:rsidRPr="00B95314">
        <w:rPr>
          <w:rFonts w:cs="Arial"/>
          <w:sz w:val="20"/>
          <w:szCs w:val="20"/>
        </w:rPr>
        <w:t xml:space="preserve">Regeneron has approached this STA in a pragmatic and collaborative manner.  We proactively acknowledged the unavoidable uncertainties in evidence </w:t>
      </w:r>
      <w:r w:rsidR="00A43CDC">
        <w:rPr>
          <w:rFonts w:cs="Arial"/>
          <w:sz w:val="20"/>
          <w:szCs w:val="20"/>
        </w:rPr>
        <w:t xml:space="preserve">- </w:t>
      </w:r>
      <w:r w:rsidRPr="00B95314">
        <w:rPr>
          <w:rFonts w:cs="Arial"/>
          <w:sz w:val="20"/>
          <w:szCs w:val="20"/>
        </w:rPr>
        <w:t>given the lack of head-to-head</w:t>
      </w:r>
      <w:r w:rsidR="009A7BFB">
        <w:rPr>
          <w:rFonts w:cs="Arial"/>
          <w:sz w:val="20"/>
          <w:szCs w:val="20"/>
        </w:rPr>
        <w:t xml:space="preserve"> study</w:t>
      </w:r>
      <w:r w:rsidRPr="00B95314">
        <w:rPr>
          <w:rFonts w:cs="Arial"/>
          <w:sz w:val="20"/>
          <w:szCs w:val="20"/>
        </w:rPr>
        <w:t xml:space="preserve"> versus the only relevant comparator (pembrolizumab + chemotherapy)</w:t>
      </w:r>
      <w:r w:rsidR="00A43CDC">
        <w:rPr>
          <w:rFonts w:cs="Arial"/>
          <w:sz w:val="20"/>
          <w:szCs w:val="20"/>
        </w:rPr>
        <w:t xml:space="preserve"> -</w:t>
      </w:r>
      <w:r w:rsidRPr="00B95314">
        <w:rPr>
          <w:rFonts w:cs="Arial"/>
          <w:sz w:val="20"/>
          <w:szCs w:val="20"/>
        </w:rPr>
        <w:t xml:space="preserve"> as well as our proposed </w:t>
      </w:r>
      <w:r w:rsidR="009A7BFB">
        <w:rPr>
          <w:rFonts w:cs="Arial"/>
          <w:sz w:val="20"/>
          <w:szCs w:val="20"/>
        </w:rPr>
        <w:t xml:space="preserve">net </w:t>
      </w:r>
      <w:r w:rsidRPr="00B95314">
        <w:rPr>
          <w:rFonts w:cs="Arial"/>
          <w:sz w:val="20"/>
          <w:szCs w:val="20"/>
        </w:rPr>
        <w:t xml:space="preserve">cost saving intent (for example through a pragmatic cost-comparison approach) in our first meetings with NICE in Q1 2025.  </w:t>
      </w:r>
      <w:r w:rsidR="00A43CDC">
        <w:rPr>
          <w:rFonts w:cs="Arial"/>
          <w:sz w:val="20"/>
          <w:szCs w:val="20"/>
        </w:rPr>
        <w:t>Our</w:t>
      </w:r>
      <w:r w:rsidRPr="00B95314">
        <w:rPr>
          <w:rFonts w:cs="Arial"/>
          <w:sz w:val="20"/>
          <w:szCs w:val="20"/>
        </w:rPr>
        <w:t xml:space="preserve"> decision to appeal is therefore not one that the company takes lightly.  However, </w:t>
      </w:r>
      <w:r w:rsidR="00A43CDC">
        <w:rPr>
          <w:rFonts w:cs="Arial"/>
          <w:sz w:val="20"/>
          <w:szCs w:val="20"/>
        </w:rPr>
        <w:t>we</w:t>
      </w:r>
      <w:r w:rsidRPr="00B95314">
        <w:rPr>
          <w:rFonts w:cs="Arial"/>
          <w:sz w:val="20"/>
          <w:szCs w:val="20"/>
        </w:rPr>
        <w:t xml:space="preserve"> ha</w:t>
      </w:r>
      <w:r w:rsidR="00A43CDC">
        <w:rPr>
          <w:rFonts w:cs="Arial"/>
          <w:sz w:val="20"/>
          <w:szCs w:val="20"/>
        </w:rPr>
        <w:t>ve</w:t>
      </w:r>
      <w:r w:rsidRPr="00B95314">
        <w:rPr>
          <w:rFonts w:cs="Arial"/>
          <w:sz w:val="20"/>
          <w:szCs w:val="20"/>
        </w:rPr>
        <w:t xml:space="preserve"> significant concerns regarding the </w:t>
      </w:r>
      <w:proofErr w:type="gramStart"/>
      <w:r w:rsidRPr="00B95314">
        <w:rPr>
          <w:rFonts w:cs="Arial"/>
          <w:sz w:val="20"/>
          <w:szCs w:val="20"/>
        </w:rPr>
        <w:t>manner in which</w:t>
      </w:r>
      <w:proofErr w:type="gramEnd"/>
      <w:r w:rsidRPr="00B95314">
        <w:rPr>
          <w:rFonts w:cs="Arial"/>
          <w:sz w:val="20"/>
          <w:szCs w:val="20"/>
        </w:rPr>
        <w:t xml:space="preserve"> this appraisal has been conducted, and this has resulted in grounds for appeal under Ground 1a (procedural fairness), Ground 1b (legality), and Ground 2 (reasonableness).</w:t>
      </w:r>
    </w:p>
    <w:p w:rsidRPr="009720B4" w:rsidR="00E17660" w:rsidP="00E22A42" w:rsidRDefault="00E17660" w14:paraId="763E99B6" w14:textId="77777777">
      <w:pPr>
        <w:pStyle w:val="Heading1"/>
        <w:spacing w:after="240"/>
        <w:jc w:val="both"/>
        <w:rPr>
          <w:rFonts w:ascii="Arial" w:hAnsi="Arial" w:cs="Arial"/>
          <w:b/>
          <w:bCs/>
          <w:sz w:val="20"/>
          <w:szCs w:val="20"/>
        </w:rPr>
      </w:pPr>
      <w:r w:rsidRPr="009720B4">
        <w:rPr>
          <w:rFonts w:ascii="Arial" w:hAnsi="Arial" w:cs="Arial"/>
          <w:b/>
          <w:bCs/>
          <w:sz w:val="20"/>
          <w:szCs w:val="20"/>
        </w:rPr>
        <w:t>Summary of Appeal</w:t>
      </w:r>
    </w:p>
    <w:p w:rsidRPr="00B95314" w:rsidR="00E17660" w:rsidP="00E22A42" w:rsidRDefault="00E17660" w14:paraId="2853894C" w14:textId="1A957486">
      <w:pPr>
        <w:spacing w:before="120" w:after="120"/>
        <w:jc w:val="both"/>
        <w:rPr>
          <w:rFonts w:cs="Arial"/>
          <w:sz w:val="20"/>
          <w:szCs w:val="20"/>
        </w:rPr>
      </w:pPr>
      <w:r w:rsidRPr="00B95314">
        <w:rPr>
          <w:rFonts w:cs="Arial"/>
          <w:sz w:val="20"/>
          <w:szCs w:val="20"/>
        </w:rPr>
        <w:t xml:space="preserve">The crux of this appraisal is the decision by the Appraisal Committee that it was unable to define a preferred approach to modelling, such that there was no cost-effectiveness estimate that represented the Committee’s preferred analysis (Section 3.14 of the FDG). </w:t>
      </w:r>
      <w:r w:rsidRPr="00B95314" w:rsidR="00E651B4">
        <w:rPr>
          <w:rFonts w:cs="Arial"/>
          <w:sz w:val="20"/>
          <w:szCs w:val="20"/>
        </w:rPr>
        <w:t>The Committee further stated, speculatively, that the cost-effectiveness estimates would</w:t>
      </w:r>
      <w:r w:rsidR="00A43CDC">
        <w:rPr>
          <w:rFonts w:cs="Arial"/>
          <w:sz w:val="20"/>
          <w:szCs w:val="20"/>
        </w:rPr>
        <w:t>,</w:t>
      </w:r>
      <w:r w:rsidRPr="00B95314" w:rsidR="00E651B4">
        <w:rPr>
          <w:rFonts w:cs="Arial"/>
          <w:sz w:val="20"/>
          <w:szCs w:val="20"/>
        </w:rPr>
        <w:t xml:space="preserve"> in any event</w:t>
      </w:r>
      <w:r w:rsidR="00A43CDC">
        <w:rPr>
          <w:rFonts w:cs="Arial"/>
          <w:sz w:val="20"/>
          <w:szCs w:val="20"/>
        </w:rPr>
        <w:t>,</w:t>
      </w:r>
      <w:r w:rsidRPr="00B95314" w:rsidR="00E651B4">
        <w:rPr>
          <w:rFonts w:cs="Arial"/>
          <w:sz w:val="20"/>
          <w:szCs w:val="20"/>
        </w:rPr>
        <w:t xml:space="preserve"> be above NICE’s acceptable incremental cost-effectiveness ratio (“ICER”) thresholds.</w:t>
      </w:r>
      <w:r w:rsidR="00FF1843">
        <w:rPr>
          <w:rFonts w:cs="Arial"/>
          <w:sz w:val="20"/>
          <w:szCs w:val="20"/>
        </w:rPr>
        <w:t xml:space="preserve">  </w:t>
      </w:r>
      <w:r w:rsidRPr="00B95314">
        <w:rPr>
          <w:rFonts w:cs="Arial"/>
          <w:sz w:val="20"/>
          <w:szCs w:val="20"/>
        </w:rPr>
        <w:t>Crucially, this meant Regeneron and NHS England (“NHSE”) were unable to carry out discussions as to commercial flexibilities based on an agreed set of NICE assumptions.</w:t>
      </w:r>
    </w:p>
    <w:p w:rsidRPr="00B95314" w:rsidR="00E17660" w:rsidP="00E22A42" w:rsidRDefault="00E17660" w14:paraId="18D56608" w14:textId="5AB5E824">
      <w:pPr>
        <w:spacing w:before="120" w:after="120"/>
        <w:jc w:val="both"/>
        <w:rPr>
          <w:rFonts w:cs="Arial"/>
          <w:sz w:val="20"/>
          <w:szCs w:val="20"/>
        </w:rPr>
      </w:pPr>
      <w:r w:rsidRPr="7664365B">
        <w:rPr>
          <w:rFonts w:cs="Arial"/>
          <w:sz w:val="20"/>
          <w:szCs w:val="20"/>
        </w:rPr>
        <w:t xml:space="preserve">Why did the Committee arrive at such conclusions? What was it that prevented the Committee from arriving at a preferred set of assumptions?  </w:t>
      </w:r>
      <w:r w:rsidRPr="00281790">
        <w:rPr>
          <w:rFonts w:cs="Arial"/>
          <w:sz w:val="20"/>
          <w:szCs w:val="20"/>
        </w:rPr>
        <w:t xml:space="preserve">The answers to these questions focus on three recurring themes that characterize NICE’s approach in this appraisal, and that </w:t>
      </w:r>
      <w:r w:rsidR="008C1DAF">
        <w:rPr>
          <w:rFonts w:cs="Arial"/>
          <w:sz w:val="20"/>
          <w:szCs w:val="20"/>
        </w:rPr>
        <w:t xml:space="preserve">underpin </w:t>
      </w:r>
      <w:r w:rsidRPr="00281790">
        <w:rPr>
          <w:rFonts w:cs="Arial"/>
          <w:sz w:val="20"/>
          <w:szCs w:val="20"/>
        </w:rPr>
        <w:t>Regeneron’s appeal grounds</w:t>
      </w:r>
      <w:r w:rsidR="008C1DAF">
        <w:rPr>
          <w:rFonts w:cs="Arial"/>
          <w:sz w:val="20"/>
          <w:szCs w:val="20"/>
        </w:rPr>
        <w:t>.</w:t>
      </w:r>
    </w:p>
    <w:p w:rsidR="00A43CDC" w:rsidP="00E22A42" w:rsidRDefault="008C1DAF" w14:paraId="4DF0F967" w14:textId="0F978E30">
      <w:pPr>
        <w:spacing w:before="120" w:after="120"/>
        <w:jc w:val="both"/>
        <w:rPr>
          <w:rFonts w:cs="Arial"/>
          <w:sz w:val="20"/>
          <w:szCs w:val="20"/>
        </w:rPr>
      </w:pPr>
      <w:r w:rsidRPr="007821F2">
        <w:rPr>
          <w:rFonts w:cs="Arial"/>
          <w:b/>
          <w:bCs/>
          <w:i/>
          <w:iCs/>
          <w:sz w:val="20"/>
          <w:szCs w:val="20"/>
        </w:rPr>
        <w:t>First,</w:t>
      </w:r>
      <w:r>
        <w:rPr>
          <w:rFonts w:cs="Arial"/>
          <w:sz w:val="20"/>
          <w:szCs w:val="20"/>
        </w:rPr>
        <w:t xml:space="preserve"> i</w:t>
      </w:r>
      <w:r w:rsidRPr="00B95314" w:rsidR="00E17660">
        <w:rPr>
          <w:rFonts w:cs="Arial"/>
          <w:sz w:val="20"/>
          <w:szCs w:val="20"/>
        </w:rPr>
        <w:t xml:space="preserve">t is striking how much significance the Appraisal Committee placed throughout the assessment on </w:t>
      </w:r>
      <w:r w:rsidR="00A43CDC">
        <w:rPr>
          <w:rFonts w:cs="Arial"/>
          <w:sz w:val="20"/>
          <w:szCs w:val="20"/>
        </w:rPr>
        <w:t>a particular</w:t>
      </w:r>
      <w:r w:rsidRPr="00B95314" w:rsidR="00E17660">
        <w:rPr>
          <w:rFonts w:cs="Arial"/>
          <w:sz w:val="20"/>
          <w:szCs w:val="20"/>
        </w:rPr>
        <w:t xml:space="preserve"> methodological approach – </w:t>
      </w:r>
      <w:r w:rsidR="00A43CDC">
        <w:rPr>
          <w:rFonts w:cs="Arial"/>
          <w:sz w:val="20"/>
          <w:szCs w:val="20"/>
        </w:rPr>
        <w:t>specifically</w:t>
      </w:r>
      <w:r w:rsidRPr="00B95314" w:rsidR="00E17660">
        <w:rPr>
          <w:rFonts w:cs="Arial"/>
          <w:sz w:val="20"/>
          <w:szCs w:val="20"/>
        </w:rPr>
        <w:t xml:space="preserve"> (a) its clear preference for a Markov model structure to explore the uncertainty in the partitioned survival model structure; and (b) analysis using Kaplan–Meier data from EMPOWER-Lung 3 to calculate time on treatment for </w:t>
      </w:r>
      <w:proofErr w:type="spellStart"/>
      <w:r w:rsidRPr="00B95314" w:rsidR="00E17660">
        <w:rPr>
          <w:rFonts w:cs="Arial"/>
          <w:sz w:val="20"/>
          <w:szCs w:val="20"/>
        </w:rPr>
        <w:t>cemiplimab</w:t>
      </w:r>
      <w:proofErr w:type="spellEnd"/>
      <w:r w:rsidRPr="00B95314" w:rsidR="00E17660">
        <w:rPr>
          <w:rFonts w:cs="Arial"/>
          <w:sz w:val="20"/>
          <w:szCs w:val="20"/>
        </w:rPr>
        <w:t>. Given its collaborative mindset</w:t>
      </w:r>
      <w:r w:rsidR="00A43CDC">
        <w:rPr>
          <w:rFonts w:cs="Arial"/>
          <w:sz w:val="20"/>
          <w:szCs w:val="20"/>
        </w:rPr>
        <w:t>,</w:t>
      </w:r>
      <w:r w:rsidRPr="00B95314" w:rsidR="00E17660">
        <w:rPr>
          <w:rFonts w:cs="Arial"/>
          <w:sz w:val="20"/>
          <w:szCs w:val="20"/>
        </w:rPr>
        <w:t xml:space="preserve"> Regeneron would been minded </w:t>
      </w:r>
      <w:proofErr w:type="gramStart"/>
      <w:r w:rsidRPr="00B95314" w:rsidR="00E17660">
        <w:rPr>
          <w:rFonts w:cs="Arial"/>
          <w:sz w:val="20"/>
          <w:szCs w:val="20"/>
        </w:rPr>
        <w:t>to accommodate</w:t>
      </w:r>
      <w:proofErr w:type="gramEnd"/>
      <w:r w:rsidRPr="00B95314" w:rsidR="00E17660">
        <w:rPr>
          <w:rFonts w:cs="Arial"/>
          <w:sz w:val="20"/>
          <w:szCs w:val="20"/>
        </w:rPr>
        <w:t xml:space="preserve"> </w:t>
      </w:r>
      <w:r w:rsidR="00A43CDC">
        <w:rPr>
          <w:rFonts w:cs="Arial"/>
          <w:sz w:val="20"/>
          <w:szCs w:val="20"/>
        </w:rPr>
        <w:t>these</w:t>
      </w:r>
      <w:r w:rsidRPr="00B95314" w:rsidR="00E17660">
        <w:rPr>
          <w:rFonts w:cs="Arial"/>
          <w:sz w:val="20"/>
          <w:szCs w:val="20"/>
        </w:rPr>
        <w:t xml:space="preserve"> requests but there were good reasons why it could not do so.  </w:t>
      </w:r>
    </w:p>
    <w:p w:rsidR="00D778E0" w:rsidP="00E22A42" w:rsidRDefault="00E17660" w14:paraId="22FC9157" w14:textId="7B6C19C7">
      <w:pPr>
        <w:spacing w:before="120" w:after="120"/>
        <w:jc w:val="both"/>
        <w:rPr>
          <w:rFonts w:cs="Arial"/>
          <w:sz w:val="20"/>
          <w:szCs w:val="20"/>
        </w:rPr>
      </w:pPr>
      <w:r w:rsidRPr="00B95314">
        <w:rPr>
          <w:rFonts w:cs="Arial"/>
          <w:sz w:val="20"/>
          <w:szCs w:val="20"/>
        </w:rPr>
        <w:t xml:space="preserve">On the other hand, there were cogent reasons why the Committee could, and arguably should, have explored and adopted alternative, potentially more appropriate, approaches.  This was supported by evidence the company, the External Assessment Group (“EAG”), and clinical experts had presented to the Committee.  However, the Committee </w:t>
      </w:r>
      <w:r w:rsidR="00A43CDC">
        <w:rPr>
          <w:rFonts w:cs="Arial"/>
          <w:sz w:val="20"/>
          <w:szCs w:val="20"/>
        </w:rPr>
        <w:t>chose not to do so</w:t>
      </w:r>
      <w:r w:rsidRPr="00B95314">
        <w:rPr>
          <w:rFonts w:cs="Arial"/>
          <w:sz w:val="20"/>
          <w:szCs w:val="20"/>
        </w:rPr>
        <w:t>, sticking rigidly to its preferences</w:t>
      </w:r>
      <w:r w:rsidR="00A43CDC">
        <w:rPr>
          <w:rFonts w:cs="Arial"/>
          <w:sz w:val="20"/>
          <w:szCs w:val="20"/>
        </w:rPr>
        <w:t xml:space="preserve"> (</w:t>
      </w:r>
      <w:r w:rsidRPr="00B95314">
        <w:rPr>
          <w:rFonts w:cs="Arial"/>
          <w:sz w:val="20"/>
          <w:szCs w:val="20"/>
        </w:rPr>
        <w:t>and</w:t>
      </w:r>
      <w:r w:rsidR="00A43CDC">
        <w:rPr>
          <w:rFonts w:cs="Arial"/>
          <w:sz w:val="20"/>
          <w:szCs w:val="20"/>
        </w:rPr>
        <w:t>, indeed</w:t>
      </w:r>
      <w:r w:rsidRPr="00B95314">
        <w:rPr>
          <w:rFonts w:cs="Arial"/>
          <w:sz w:val="20"/>
          <w:szCs w:val="20"/>
        </w:rPr>
        <w:t xml:space="preserve"> </w:t>
      </w:r>
      <w:r w:rsidR="00A43CDC">
        <w:rPr>
          <w:rFonts w:cs="Arial"/>
          <w:sz w:val="20"/>
          <w:szCs w:val="20"/>
        </w:rPr>
        <w:t>mak</w:t>
      </w:r>
      <w:r w:rsidRPr="00B95314">
        <w:rPr>
          <w:rFonts w:cs="Arial"/>
          <w:sz w:val="20"/>
          <w:szCs w:val="20"/>
        </w:rPr>
        <w:t xml:space="preserve">ing negative </w:t>
      </w:r>
      <w:r w:rsidR="00A43CDC">
        <w:rPr>
          <w:rFonts w:cs="Arial"/>
          <w:sz w:val="20"/>
          <w:szCs w:val="20"/>
        </w:rPr>
        <w:t>comments about</w:t>
      </w:r>
      <w:r w:rsidRPr="00B95314">
        <w:rPr>
          <w:rFonts w:cs="Arial"/>
          <w:sz w:val="20"/>
          <w:szCs w:val="20"/>
        </w:rPr>
        <w:t xml:space="preserve"> Regeneron’s attempts to put forward </w:t>
      </w:r>
      <w:r w:rsidR="00A43CDC">
        <w:rPr>
          <w:rFonts w:cs="Arial"/>
          <w:sz w:val="20"/>
          <w:szCs w:val="20"/>
        </w:rPr>
        <w:t xml:space="preserve">reasonable </w:t>
      </w:r>
      <w:r w:rsidRPr="00B95314">
        <w:rPr>
          <w:rFonts w:cs="Arial"/>
          <w:sz w:val="20"/>
          <w:szCs w:val="20"/>
        </w:rPr>
        <w:t>alternatives</w:t>
      </w:r>
      <w:r w:rsidR="00A43CDC">
        <w:rPr>
          <w:rFonts w:cs="Arial"/>
          <w:sz w:val="20"/>
          <w:szCs w:val="20"/>
        </w:rPr>
        <w:t>)</w:t>
      </w:r>
      <w:r w:rsidRPr="00B95314">
        <w:rPr>
          <w:rFonts w:cs="Arial"/>
          <w:sz w:val="20"/>
          <w:szCs w:val="20"/>
        </w:rPr>
        <w:t xml:space="preserve">.  </w:t>
      </w:r>
      <w:r w:rsidRPr="00857566" w:rsidR="00D778E0">
        <w:rPr>
          <w:rFonts w:cs="Arial"/>
          <w:sz w:val="20"/>
          <w:szCs w:val="20"/>
        </w:rPr>
        <w:t>The Committee’s insistence on these points was pivotal to its negative conclusion</w:t>
      </w:r>
      <w:r w:rsidR="00A43CDC">
        <w:rPr>
          <w:rFonts w:cs="Arial"/>
          <w:sz w:val="20"/>
          <w:szCs w:val="20"/>
        </w:rPr>
        <w:t xml:space="preserve"> and </w:t>
      </w:r>
      <w:r w:rsidR="000B1AB5">
        <w:rPr>
          <w:rFonts w:cs="Arial"/>
          <w:sz w:val="20"/>
          <w:szCs w:val="20"/>
        </w:rPr>
        <w:t xml:space="preserve">was </w:t>
      </w:r>
      <w:r w:rsidRPr="00857566" w:rsidR="00D778E0">
        <w:rPr>
          <w:rFonts w:cs="Arial"/>
          <w:sz w:val="20"/>
          <w:szCs w:val="20"/>
        </w:rPr>
        <w:t>misplaced</w:t>
      </w:r>
      <w:r w:rsidR="00A43CDC">
        <w:rPr>
          <w:rFonts w:cs="Arial"/>
          <w:sz w:val="20"/>
          <w:szCs w:val="20"/>
        </w:rPr>
        <w:t>,</w:t>
      </w:r>
      <w:r w:rsidRPr="00857566" w:rsidR="00D778E0">
        <w:rPr>
          <w:rFonts w:cs="Arial"/>
          <w:sz w:val="20"/>
          <w:szCs w:val="20"/>
        </w:rPr>
        <w:t xml:space="preserve"> for several reasons. The Committee failed adequately </w:t>
      </w:r>
      <w:r w:rsidR="00A43CDC">
        <w:rPr>
          <w:rFonts w:cs="Arial"/>
          <w:sz w:val="20"/>
          <w:szCs w:val="20"/>
        </w:rPr>
        <w:t xml:space="preserve">to </w:t>
      </w:r>
      <w:r w:rsidRPr="00857566" w:rsidR="00D778E0">
        <w:rPr>
          <w:rFonts w:cs="Arial"/>
          <w:sz w:val="20"/>
          <w:szCs w:val="20"/>
        </w:rPr>
        <w:t xml:space="preserve">justify the feasibility and appropriateness of its requests, especially since the External Assessment Group (EAG) did not raise similar concerns with Regeneron's established modelling approach. Furthermore, the Committee was </w:t>
      </w:r>
      <w:r w:rsidRPr="00857566" w:rsidR="00D778E0">
        <w:rPr>
          <w:rFonts w:cs="Arial"/>
          <w:b/>
          <w:bCs/>
          <w:sz w:val="20"/>
          <w:szCs w:val="20"/>
        </w:rPr>
        <w:t>factually incorrect in its assertion that these requested analyses would necessarily result in an increase in the ICE</w:t>
      </w:r>
      <w:r w:rsidR="00C40D28">
        <w:rPr>
          <w:rFonts w:cs="Arial"/>
          <w:b/>
          <w:bCs/>
          <w:sz w:val="20"/>
          <w:szCs w:val="20"/>
        </w:rPr>
        <w:t>R</w:t>
      </w:r>
    </w:p>
    <w:p w:rsidRPr="00B95314" w:rsidR="00E17660" w:rsidP="00E22A42" w:rsidRDefault="00FA7956" w14:paraId="4FF48D71" w14:textId="7D25D9DB">
      <w:pPr>
        <w:spacing w:before="120" w:after="120"/>
        <w:jc w:val="both"/>
        <w:rPr>
          <w:rFonts w:cs="Arial"/>
          <w:sz w:val="20"/>
          <w:szCs w:val="20"/>
        </w:rPr>
      </w:pPr>
      <w:r w:rsidRPr="007821F2">
        <w:rPr>
          <w:rFonts w:cs="Arial"/>
          <w:b/>
          <w:bCs/>
          <w:i/>
          <w:iCs/>
          <w:sz w:val="20"/>
          <w:szCs w:val="20"/>
        </w:rPr>
        <w:t>Second</w:t>
      </w:r>
      <w:r w:rsidR="00A43CDC">
        <w:rPr>
          <w:rFonts w:cs="Arial"/>
          <w:sz w:val="20"/>
          <w:szCs w:val="20"/>
        </w:rPr>
        <w:t>,</w:t>
      </w:r>
      <w:r w:rsidRPr="00B95314" w:rsidR="00E17660">
        <w:rPr>
          <w:rFonts w:cs="Arial"/>
          <w:sz w:val="20"/>
          <w:szCs w:val="20"/>
        </w:rPr>
        <w:t xml:space="preserve"> the Appraisal Committee seems</w:t>
      </w:r>
      <w:r w:rsidR="00A43CDC">
        <w:rPr>
          <w:rFonts w:cs="Arial"/>
          <w:sz w:val="20"/>
          <w:szCs w:val="20"/>
        </w:rPr>
        <w:t>,</w:t>
      </w:r>
      <w:r w:rsidRPr="00B95314" w:rsidR="00E17660">
        <w:rPr>
          <w:rFonts w:cs="Arial"/>
          <w:sz w:val="20"/>
          <w:szCs w:val="20"/>
        </w:rPr>
        <w:t xml:space="preserve"> in this appraisal</w:t>
      </w:r>
      <w:r w:rsidR="00A43CDC">
        <w:rPr>
          <w:rFonts w:cs="Arial"/>
          <w:sz w:val="20"/>
          <w:szCs w:val="20"/>
        </w:rPr>
        <w:t>,</w:t>
      </w:r>
      <w:r w:rsidRPr="00B95314" w:rsidR="00E17660">
        <w:rPr>
          <w:rFonts w:cs="Arial"/>
          <w:sz w:val="20"/>
          <w:szCs w:val="20"/>
        </w:rPr>
        <w:t xml:space="preserve"> to have deviated significantly from NICE’s approaches to </w:t>
      </w:r>
      <w:r w:rsidR="00A43CDC">
        <w:rPr>
          <w:rFonts w:cs="Arial"/>
          <w:sz w:val="20"/>
          <w:szCs w:val="20"/>
        </w:rPr>
        <w:t>other</w:t>
      </w:r>
      <w:r w:rsidRPr="00B95314" w:rsidR="00E17660">
        <w:rPr>
          <w:rFonts w:cs="Arial"/>
          <w:sz w:val="20"/>
          <w:szCs w:val="20"/>
        </w:rPr>
        <w:t xml:space="preserve"> drugs to treat NSCLC</w:t>
      </w:r>
      <w:r w:rsidR="00A43CDC">
        <w:rPr>
          <w:rFonts w:cs="Arial"/>
          <w:sz w:val="20"/>
          <w:szCs w:val="20"/>
        </w:rPr>
        <w:t xml:space="preserve"> and especially the </w:t>
      </w:r>
      <w:r w:rsidRPr="00B95314" w:rsidR="00E17660">
        <w:rPr>
          <w:rFonts w:cs="Arial"/>
          <w:sz w:val="20"/>
          <w:szCs w:val="20"/>
        </w:rPr>
        <w:t xml:space="preserve">assessment of PD-L1 inhibitors in combination with chemotherapy for the treatment of NSCLC, including the markedly similar appraisal of atezolizumab in TA705.  </w:t>
      </w:r>
      <w:r w:rsidR="00A43CDC">
        <w:rPr>
          <w:rFonts w:cs="Arial"/>
          <w:sz w:val="20"/>
          <w:szCs w:val="20"/>
        </w:rPr>
        <w:t>A key difference here is</w:t>
      </w:r>
      <w:r w:rsidRPr="00B95314" w:rsidR="00E17660">
        <w:rPr>
          <w:rFonts w:cs="Arial"/>
          <w:sz w:val="20"/>
          <w:szCs w:val="20"/>
        </w:rPr>
        <w:t xml:space="preserve"> the Committee’s request for a Markov </w:t>
      </w:r>
      <w:r w:rsidRPr="00B95314" w:rsidR="00F1699C">
        <w:rPr>
          <w:rFonts w:cs="Arial"/>
          <w:sz w:val="20"/>
          <w:szCs w:val="20"/>
        </w:rPr>
        <w:t>model.</w:t>
      </w:r>
      <w:r w:rsidRPr="00B95314" w:rsidR="00E17660">
        <w:rPr>
          <w:rFonts w:cs="Arial"/>
          <w:sz w:val="20"/>
          <w:szCs w:val="20"/>
        </w:rPr>
        <w:t xml:space="preserve">  It is striking that:</w:t>
      </w:r>
    </w:p>
    <w:p w:rsidR="00066956" w:rsidP="00E22A42" w:rsidRDefault="00F237EB" w14:paraId="748647B1" w14:textId="30239C6C">
      <w:pPr>
        <w:pStyle w:val="ListParagraph"/>
        <w:numPr>
          <w:ilvl w:val="0"/>
          <w:numId w:val="1"/>
        </w:numPr>
        <w:spacing w:before="120" w:after="120"/>
        <w:ind w:left="998" w:hanging="352"/>
        <w:jc w:val="both"/>
        <w:rPr>
          <w:rFonts w:cs="Arial"/>
          <w:sz w:val="20"/>
          <w:szCs w:val="20"/>
        </w:rPr>
      </w:pPr>
      <w:r>
        <w:rPr>
          <w:rFonts w:cs="Arial"/>
          <w:sz w:val="20"/>
          <w:szCs w:val="20"/>
        </w:rPr>
        <w:t>T</w:t>
      </w:r>
      <w:r w:rsidR="00D83F05">
        <w:rPr>
          <w:rFonts w:cs="Arial"/>
          <w:sz w:val="20"/>
          <w:szCs w:val="20"/>
        </w:rPr>
        <w:t xml:space="preserve">his request </w:t>
      </w:r>
      <w:r w:rsidR="00F44B30">
        <w:rPr>
          <w:rFonts w:cs="Arial"/>
          <w:sz w:val="20"/>
          <w:szCs w:val="20"/>
        </w:rPr>
        <w:t>includes, by its nature, a</w:t>
      </w:r>
      <w:r w:rsidRPr="00066956" w:rsidR="00066956">
        <w:rPr>
          <w:rFonts w:cs="Arial"/>
          <w:sz w:val="20"/>
          <w:szCs w:val="20"/>
        </w:rPr>
        <w:t xml:space="preserve"> request for specific structural assumptions employed therein (</w:t>
      </w:r>
      <w:r w:rsidRPr="007821F2" w:rsidR="00066956">
        <w:rPr>
          <w:rFonts w:cs="Arial"/>
          <w:i/>
          <w:iCs/>
          <w:sz w:val="20"/>
          <w:szCs w:val="20"/>
        </w:rPr>
        <w:t>i.e.</w:t>
      </w:r>
      <w:r w:rsidRPr="007821F2" w:rsidR="00DD2CAE">
        <w:rPr>
          <w:rFonts w:cs="Arial"/>
          <w:i/>
          <w:iCs/>
          <w:sz w:val="20"/>
          <w:szCs w:val="20"/>
        </w:rPr>
        <w:t>,</w:t>
      </w:r>
      <w:r w:rsidRPr="00066956" w:rsidR="00066956">
        <w:rPr>
          <w:rFonts w:cs="Arial"/>
          <w:sz w:val="20"/>
          <w:szCs w:val="20"/>
        </w:rPr>
        <w:t xml:space="preserve"> common post-progression survival) that were not appropriately justified by the committee</w:t>
      </w:r>
      <w:r w:rsidR="00BC440C">
        <w:rPr>
          <w:rFonts w:cs="Arial"/>
          <w:sz w:val="20"/>
          <w:szCs w:val="20"/>
        </w:rPr>
        <w:t>,</w:t>
      </w:r>
      <w:r w:rsidRPr="00066956" w:rsidR="00066956">
        <w:rPr>
          <w:rFonts w:cs="Arial"/>
          <w:sz w:val="20"/>
          <w:szCs w:val="20"/>
        </w:rPr>
        <w:t xml:space="preserve"> as well as independent modeling of related endpoints (</w:t>
      </w:r>
      <w:r w:rsidRPr="007821F2" w:rsidR="00066956">
        <w:rPr>
          <w:rFonts w:cs="Arial"/>
          <w:i/>
          <w:iCs/>
          <w:sz w:val="20"/>
          <w:szCs w:val="20"/>
        </w:rPr>
        <w:t>e.g</w:t>
      </w:r>
      <w:r w:rsidRPr="00066956" w:rsidR="00066956">
        <w:rPr>
          <w:rFonts w:cs="Arial"/>
          <w:sz w:val="20"/>
          <w:szCs w:val="20"/>
        </w:rPr>
        <w:t>.</w:t>
      </w:r>
      <w:r w:rsidR="00DD2CAE">
        <w:rPr>
          <w:rFonts w:cs="Arial"/>
          <w:sz w:val="20"/>
          <w:szCs w:val="20"/>
        </w:rPr>
        <w:t>,</w:t>
      </w:r>
      <w:r w:rsidRPr="00066956" w:rsidR="00066956">
        <w:rPr>
          <w:rFonts w:cs="Arial"/>
          <w:sz w:val="20"/>
          <w:szCs w:val="20"/>
        </w:rPr>
        <w:t xml:space="preserve"> time on treatment) that were not consistent with the request for an alternative structural approach to modelling</w:t>
      </w:r>
      <w:r w:rsidR="00DD2CAE">
        <w:rPr>
          <w:rFonts w:cs="Arial"/>
          <w:sz w:val="20"/>
          <w:szCs w:val="20"/>
        </w:rPr>
        <w:t>.</w:t>
      </w:r>
    </w:p>
    <w:p w:rsidRPr="00B95314" w:rsidR="00E17660" w:rsidP="00E22A42" w:rsidRDefault="00E17660" w14:paraId="73E2F72C" w14:textId="6134AA6F">
      <w:pPr>
        <w:pStyle w:val="ListParagraph"/>
        <w:numPr>
          <w:ilvl w:val="0"/>
          <w:numId w:val="1"/>
        </w:numPr>
        <w:spacing w:before="120" w:after="120"/>
        <w:ind w:left="998" w:hanging="352"/>
        <w:jc w:val="both"/>
        <w:rPr>
          <w:rFonts w:cs="Arial"/>
          <w:sz w:val="20"/>
          <w:szCs w:val="20"/>
        </w:rPr>
      </w:pPr>
      <w:r w:rsidRPr="7664365B">
        <w:rPr>
          <w:rFonts w:cs="Arial"/>
          <w:sz w:val="20"/>
          <w:szCs w:val="20"/>
        </w:rPr>
        <w:t xml:space="preserve">In none of the previous 17 </w:t>
      </w:r>
      <w:r w:rsidR="0075620C">
        <w:rPr>
          <w:rFonts w:cs="Arial"/>
          <w:sz w:val="20"/>
          <w:szCs w:val="20"/>
        </w:rPr>
        <w:t xml:space="preserve">NICE </w:t>
      </w:r>
      <w:r w:rsidRPr="7664365B">
        <w:rPr>
          <w:rFonts w:cs="Arial"/>
          <w:sz w:val="20"/>
          <w:szCs w:val="20"/>
        </w:rPr>
        <w:t xml:space="preserve">health technology assessments for products treating NSCLC has any appraisal Committee requested that the manufacturer generate a Markov model.  </w:t>
      </w:r>
    </w:p>
    <w:p w:rsidRPr="00B95314" w:rsidR="00E17660" w:rsidP="00E22A42" w:rsidRDefault="00E17660" w14:paraId="65314BFE" w14:textId="3C7B3DF0">
      <w:pPr>
        <w:pStyle w:val="ListParagraph"/>
        <w:numPr>
          <w:ilvl w:val="0"/>
          <w:numId w:val="1"/>
        </w:numPr>
        <w:spacing w:before="120" w:after="120"/>
        <w:ind w:left="998" w:hanging="352"/>
        <w:jc w:val="both"/>
        <w:rPr>
          <w:rFonts w:cs="Arial"/>
          <w:sz w:val="20"/>
          <w:szCs w:val="20"/>
        </w:rPr>
      </w:pPr>
      <w:r w:rsidRPr="00B95314">
        <w:rPr>
          <w:rFonts w:cs="Arial"/>
          <w:sz w:val="20"/>
          <w:szCs w:val="20"/>
        </w:rPr>
        <w:t xml:space="preserve">In TA705, the same Appraisal Committee assessed a similar PD-L1 inhibitor </w:t>
      </w:r>
      <w:r w:rsidR="00804E78">
        <w:rPr>
          <w:rFonts w:cs="Arial"/>
          <w:sz w:val="20"/>
          <w:szCs w:val="20"/>
        </w:rPr>
        <w:t xml:space="preserve">as a monotherapy for people with PD-L1 </w:t>
      </w:r>
      <w:r w:rsidR="00804E78">
        <w:rPr>
          <w:rFonts w:ascii="Roboto Condensed" w:hAnsi="Roboto Condensed" w:cs="Arial"/>
          <w:sz w:val="20"/>
          <w:szCs w:val="20"/>
        </w:rPr>
        <w:t>≥</w:t>
      </w:r>
      <w:r w:rsidR="00804E78">
        <w:rPr>
          <w:rFonts w:cs="Arial"/>
          <w:sz w:val="20"/>
          <w:szCs w:val="20"/>
        </w:rPr>
        <w:t>50%</w:t>
      </w:r>
      <w:r w:rsidRPr="00B95314">
        <w:rPr>
          <w:rFonts w:cs="Arial"/>
          <w:sz w:val="20"/>
          <w:szCs w:val="20"/>
        </w:rPr>
        <w:t xml:space="preserve">, using the same comparator (pembrolizumab), based on a similar body of clinical trial data (if anything with the </w:t>
      </w:r>
      <w:proofErr w:type="spellStart"/>
      <w:r w:rsidRPr="00B95314">
        <w:rPr>
          <w:rFonts w:cs="Arial"/>
          <w:sz w:val="20"/>
          <w:szCs w:val="20"/>
        </w:rPr>
        <w:t>cemiplimab</w:t>
      </w:r>
      <w:proofErr w:type="spellEnd"/>
      <w:r w:rsidRPr="00B95314">
        <w:rPr>
          <w:rFonts w:cs="Arial"/>
          <w:sz w:val="20"/>
          <w:szCs w:val="20"/>
        </w:rPr>
        <w:t xml:space="preserve"> evidence being more robust) and with both Regeneron and Roche taking similar approaches to modelling – network meta-analyses (“NMAs”) and partitioned survival model with 3 mutually exclusive health states. </w:t>
      </w:r>
    </w:p>
    <w:p w:rsidRPr="00B95314" w:rsidR="00E17660" w:rsidP="00E22A42" w:rsidRDefault="00E17660" w14:paraId="2F3D369A" w14:textId="53CB0BDB">
      <w:pPr>
        <w:pStyle w:val="ListParagraph"/>
        <w:numPr>
          <w:ilvl w:val="0"/>
          <w:numId w:val="1"/>
        </w:numPr>
        <w:spacing w:before="120" w:after="120"/>
        <w:ind w:left="998" w:hanging="352"/>
        <w:jc w:val="both"/>
        <w:rPr>
          <w:rFonts w:cs="Arial"/>
          <w:sz w:val="20"/>
          <w:szCs w:val="20"/>
        </w:rPr>
      </w:pPr>
      <w:r w:rsidRPr="7664365B">
        <w:rPr>
          <w:rFonts w:cs="Arial"/>
          <w:sz w:val="20"/>
          <w:szCs w:val="20"/>
        </w:rPr>
        <w:t xml:space="preserve">The Appraisal Committee has taken this decision notwithstanding that the EAG </w:t>
      </w:r>
      <w:r w:rsidRPr="7664365B" w:rsidR="00483EE9">
        <w:rPr>
          <w:rFonts w:cs="Arial"/>
          <w:sz w:val="20"/>
          <w:szCs w:val="20"/>
        </w:rPr>
        <w:t>did not propose an alternative</w:t>
      </w:r>
      <w:r w:rsidR="00BC440C">
        <w:rPr>
          <w:rFonts w:cs="Arial"/>
          <w:sz w:val="20"/>
          <w:szCs w:val="20"/>
        </w:rPr>
        <w:t xml:space="preserve"> </w:t>
      </w:r>
      <w:r w:rsidRPr="7664365B" w:rsidR="00483EE9">
        <w:rPr>
          <w:rFonts w:cs="Arial"/>
          <w:sz w:val="20"/>
          <w:szCs w:val="20"/>
        </w:rPr>
        <w:t>to</w:t>
      </w:r>
      <w:r w:rsidRPr="7664365B">
        <w:rPr>
          <w:rFonts w:cs="Arial"/>
          <w:sz w:val="20"/>
          <w:szCs w:val="20"/>
        </w:rPr>
        <w:t xml:space="preserve"> Regeneron’s </w:t>
      </w:r>
      <w:r w:rsidR="00DB378A">
        <w:rPr>
          <w:rFonts w:cs="Arial"/>
          <w:sz w:val="20"/>
          <w:szCs w:val="20"/>
        </w:rPr>
        <w:t xml:space="preserve">modelling </w:t>
      </w:r>
      <w:r w:rsidRPr="7664365B">
        <w:rPr>
          <w:rFonts w:cs="Arial"/>
          <w:sz w:val="20"/>
          <w:szCs w:val="20"/>
        </w:rPr>
        <w:t>approach</w:t>
      </w:r>
      <w:r w:rsidR="00BC440C">
        <w:rPr>
          <w:rFonts w:cs="Arial"/>
          <w:sz w:val="20"/>
          <w:szCs w:val="20"/>
        </w:rPr>
        <w:t>,</w:t>
      </w:r>
      <w:r w:rsidR="00DB378A">
        <w:rPr>
          <w:rFonts w:cs="Arial"/>
          <w:sz w:val="20"/>
          <w:szCs w:val="20"/>
        </w:rPr>
        <w:t xml:space="preserve"> based</w:t>
      </w:r>
      <w:r w:rsidRPr="7664365B">
        <w:rPr>
          <w:rFonts w:cs="Arial"/>
          <w:sz w:val="20"/>
          <w:szCs w:val="20"/>
        </w:rPr>
        <w:t xml:space="preserve"> on its initial NMAs.</w:t>
      </w:r>
    </w:p>
    <w:p w:rsidRPr="00B95314" w:rsidR="00E17660" w:rsidP="00E22A42" w:rsidRDefault="00E17660" w14:paraId="5B59B1F6" w14:textId="2F92A647">
      <w:pPr>
        <w:spacing w:before="240" w:after="120"/>
        <w:jc w:val="both"/>
        <w:rPr>
          <w:rFonts w:cs="Arial"/>
          <w:sz w:val="20"/>
          <w:szCs w:val="20"/>
        </w:rPr>
      </w:pPr>
      <w:r w:rsidRPr="00B95314">
        <w:rPr>
          <w:rFonts w:cs="Arial"/>
          <w:sz w:val="20"/>
          <w:szCs w:val="20"/>
        </w:rPr>
        <w:t xml:space="preserve">This gives rise to obvious questions of consistency and procedural fairness that </w:t>
      </w:r>
      <w:r w:rsidR="00BC440C">
        <w:rPr>
          <w:rFonts w:cs="Arial"/>
          <w:sz w:val="20"/>
          <w:szCs w:val="20"/>
        </w:rPr>
        <w:t>dominate</w:t>
      </w:r>
      <w:r w:rsidRPr="00B95314" w:rsidR="00BC440C">
        <w:rPr>
          <w:rFonts w:cs="Arial"/>
          <w:sz w:val="20"/>
          <w:szCs w:val="20"/>
        </w:rPr>
        <w:t xml:space="preserve"> </w:t>
      </w:r>
      <w:r w:rsidRPr="00B95314">
        <w:rPr>
          <w:rFonts w:cs="Arial"/>
          <w:sz w:val="20"/>
          <w:szCs w:val="20"/>
        </w:rPr>
        <w:t>this appeal.</w:t>
      </w:r>
    </w:p>
    <w:p w:rsidRPr="00B95314" w:rsidR="00E17660" w:rsidP="00E22A42" w:rsidRDefault="00E17660" w14:paraId="6004F8CB" w14:textId="66C2E4F9">
      <w:pPr>
        <w:spacing w:before="120" w:after="120"/>
        <w:jc w:val="both"/>
        <w:rPr>
          <w:rFonts w:cs="Arial"/>
          <w:sz w:val="20"/>
          <w:szCs w:val="20"/>
        </w:rPr>
      </w:pPr>
      <w:r w:rsidRPr="007821F2">
        <w:rPr>
          <w:rFonts w:cs="Arial"/>
          <w:b/>
          <w:bCs/>
          <w:i/>
          <w:iCs/>
          <w:sz w:val="20"/>
          <w:szCs w:val="20"/>
        </w:rPr>
        <w:t>Third</w:t>
      </w:r>
      <w:r w:rsidRPr="00B95314">
        <w:rPr>
          <w:rFonts w:cs="Arial"/>
          <w:sz w:val="20"/>
          <w:szCs w:val="20"/>
        </w:rPr>
        <w:t>, having fixed upon certain preferred assumptions, it appears the Appraisal Committee had set and fixed a course for this appraisal.  Whil</w:t>
      </w:r>
      <w:r w:rsidR="00BC440C">
        <w:rPr>
          <w:rFonts w:cs="Arial"/>
          <w:sz w:val="20"/>
          <w:szCs w:val="20"/>
        </w:rPr>
        <w:t>st</w:t>
      </w:r>
      <w:r w:rsidRPr="00B95314">
        <w:rPr>
          <w:rFonts w:cs="Arial"/>
          <w:sz w:val="20"/>
          <w:szCs w:val="20"/>
        </w:rPr>
        <w:t xml:space="preserve"> this is not objectionable </w:t>
      </w:r>
      <w:r w:rsidRPr="00DC1C87">
        <w:rPr>
          <w:rFonts w:cs="Arial"/>
          <w:i/>
          <w:iCs/>
          <w:sz w:val="20"/>
          <w:szCs w:val="20"/>
        </w:rPr>
        <w:t>per se</w:t>
      </w:r>
      <w:r w:rsidRPr="00B95314">
        <w:rPr>
          <w:rFonts w:cs="Arial"/>
          <w:sz w:val="20"/>
          <w:szCs w:val="20"/>
        </w:rPr>
        <w:t>, the questions Regeneron asks are: (a) whether the Appraisal Committee effectively closed its mind to potential flaws in its preferences; (b) whether the Committee remained open to alternatives that could have been as, or more, appropriate than its preferences; and (c) whether the Committee’s fixed mindset hampered its ability to consider all of the evidence available to it fairly, transparently and reasonably?</w:t>
      </w:r>
    </w:p>
    <w:p w:rsidRPr="00B95314" w:rsidR="00E17660" w:rsidP="00E22A42" w:rsidRDefault="00E17660" w14:paraId="7CDBB7E0" w14:textId="77777777">
      <w:pPr>
        <w:spacing w:before="120" w:after="120"/>
        <w:jc w:val="both"/>
        <w:rPr>
          <w:rFonts w:cs="Arial"/>
          <w:sz w:val="20"/>
          <w:szCs w:val="20"/>
        </w:rPr>
      </w:pPr>
      <w:r w:rsidRPr="00B95314">
        <w:rPr>
          <w:rFonts w:cs="Arial"/>
          <w:sz w:val="20"/>
          <w:szCs w:val="20"/>
        </w:rPr>
        <w:t>The Appeal Panel would need to consider whether this was justifiable, procedurally sound, fair and reasonable.  Did the Committee give adequate thought and consideration to what Regeneron, clinical experts, or indeed the EAG, had said?  Ought this to have prompted the Appraisal Committee to deviate from the course it had set?</w:t>
      </w:r>
    </w:p>
    <w:p w:rsidRPr="00B95314" w:rsidR="00E17660" w:rsidP="00E22A42" w:rsidRDefault="00E17660" w14:paraId="2D98AB46" w14:textId="69D45BB6">
      <w:pPr>
        <w:spacing w:before="120" w:after="120"/>
        <w:jc w:val="both"/>
        <w:rPr>
          <w:rFonts w:cs="Arial"/>
          <w:sz w:val="20"/>
          <w:szCs w:val="20"/>
        </w:rPr>
      </w:pPr>
      <w:r w:rsidRPr="00B95314">
        <w:rPr>
          <w:rFonts w:cs="Arial"/>
          <w:sz w:val="20"/>
          <w:szCs w:val="20"/>
        </w:rPr>
        <w:t xml:space="preserve">At times, the Appraisal Committee appeared to Regeneron to be more focused on deflecting or shutting down debate than considering alternative positions or submissions.  Indeed, there were times when Regeneron felt that the Appraisal Committee’s approach became increasingly entrenched, the more the company demonstrated </w:t>
      </w:r>
      <w:r w:rsidRPr="00B95314">
        <w:rPr>
          <w:rFonts w:cs="Arial"/>
          <w:sz w:val="20"/>
          <w:szCs w:val="20"/>
        </w:rPr>
        <w:t>the utility and feasibility of alternative approaches</w:t>
      </w:r>
      <w:r w:rsidR="00BC440C">
        <w:rPr>
          <w:rFonts w:cs="Arial"/>
          <w:sz w:val="20"/>
          <w:szCs w:val="20"/>
        </w:rPr>
        <w:t xml:space="preserve"> and its willingness to try to find a solution to the Committee’s concerns</w:t>
      </w:r>
      <w:r w:rsidRPr="00B95314">
        <w:rPr>
          <w:rFonts w:cs="Arial"/>
          <w:sz w:val="20"/>
          <w:szCs w:val="20"/>
        </w:rPr>
        <w:t>.</w:t>
      </w:r>
    </w:p>
    <w:p w:rsidR="00BC440C" w:rsidP="00E22A42" w:rsidRDefault="00E17660" w14:paraId="22C8C064" w14:textId="77777777">
      <w:pPr>
        <w:spacing w:before="120" w:after="120"/>
        <w:jc w:val="both"/>
        <w:rPr>
          <w:rFonts w:cs="Arial"/>
          <w:sz w:val="20"/>
          <w:szCs w:val="20"/>
        </w:rPr>
      </w:pPr>
      <w:r w:rsidRPr="7664365B">
        <w:rPr>
          <w:rFonts w:cs="Arial"/>
          <w:sz w:val="20"/>
          <w:szCs w:val="20"/>
        </w:rPr>
        <w:t xml:space="preserve">This context provides the backdrop for our appeal grounds that NICE has failed to act fairly (Ground 1a); NICE has exceeded its powers (Ground 1b); and unreasonableness </w:t>
      </w:r>
      <w:proofErr w:type="gramStart"/>
      <w:r w:rsidRPr="7664365B">
        <w:rPr>
          <w:rFonts w:cs="Arial"/>
          <w:sz w:val="20"/>
          <w:szCs w:val="20"/>
        </w:rPr>
        <w:t>in light of</w:t>
      </w:r>
      <w:proofErr w:type="gramEnd"/>
      <w:r w:rsidRPr="7664365B">
        <w:rPr>
          <w:rFonts w:cs="Arial"/>
          <w:sz w:val="20"/>
          <w:szCs w:val="20"/>
        </w:rPr>
        <w:t xml:space="preserve"> the evidence submitted (Ground 2).  </w:t>
      </w:r>
    </w:p>
    <w:p w:rsidRPr="00B95314" w:rsidR="00E17660" w:rsidP="00E22A42" w:rsidRDefault="00E17660" w14:paraId="7F1243D5" w14:textId="6C907F4C">
      <w:pPr>
        <w:spacing w:before="120" w:after="120"/>
        <w:jc w:val="both"/>
        <w:rPr>
          <w:rFonts w:cs="Arial"/>
          <w:sz w:val="20"/>
          <w:szCs w:val="20"/>
        </w:rPr>
      </w:pPr>
      <w:r w:rsidRPr="7664365B">
        <w:rPr>
          <w:rFonts w:cs="Arial"/>
          <w:sz w:val="20"/>
          <w:szCs w:val="20"/>
        </w:rPr>
        <w:t xml:space="preserve">As the summary above and the list below shows, the grounds for this appeal are </w:t>
      </w:r>
      <w:proofErr w:type="gramStart"/>
      <w:r w:rsidRPr="7664365B">
        <w:rPr>
          <w:rFonts w:cs="Arial"/>
          <w:sz w:val="20"/>
          <w:szCs w:val="20"/>
        </w:rPr>
        <w:t>inter-related</w:t>
      </w:r>
      <w:proofErr w:type="gramEnd"/>
      <w:r w:rsidRPr="7664365B">
        <w:rPr>
          <w:rFonts w:cs="Arial"/>
          <w:sz w:val="20"/>
          <w:szCs w:val="20"/>
        </w:rPr>
        <w:t xml:space="preserve"> and we urge the Appeal Panel to bear this in mind when considering the soundness of the FGD.  </w:t>
      </w:r>
    </w:p>
    <w:p w:rsidRPr="00B95314" w:rsidR="00E17660" w:rsidP="00E22A42" w:rsidRDefault="00E17660" w14:paraId="640CF553"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Appeal Ground 1a.1 – In making materially different evidential requirements in this appraisal versus TA705, NICE has undermined principles of procedural consistency and fairness and introduced an approach that biases against </w:t>
      </w:r>
      <w:proofErr w:type="spellStart"/>
      <w:r w:rsidRPr="00B95314">
        <w:rPr>
          <w:rFonts w:cs="Arial"/>
          <w:sz w:val="20"/>
          <w:szCs w:val="20"/>
        </w:rPr>
        <w:t>cemiplimab</w:t>
      </w:r>
      <w:proofErr w:type="spellEnd"/>
      <w:r w:rsidRPr="00B95314">
        <w:rPr>
          <w:rFonts w:cs="Arial"/>
          <w:sz w:val="20"/>
          <w:szCs w:val="20"/>
        </w:rPr>
        <w:t>.</w:t>
      </w:r>
    </w:p>
    <w:p w:rsidR="00E17660" w:rsidP="00E22A42" w:rsidRDefault="00E17660" w14:paraId="1FEF30CF" w14:textId="77777777">
      <w:pPr>
        <w:pStyle w:val="ListParagraph"/>
        <w:numPr>
          <w:ilvl w:val="0"/>
          <w:numId w:val="1"/>
        </w:numPr>
        <w:spacing w:before="120" w:after="120"/>
        <w:ind w:left="998" w:hanging="352"/>
        <w:jc w:val="both"/>
        <w:rPr>
          <w:rFonts w:cs="Arial"/>
          <w:sz w:val="20"/>
          <w:szCs w:val="20"/>
        </w:rPr>
      </w:pPr>
      <w:r w:rsidRPr="7664365B">
        <w:rPr>
          <w:rFonts w:cs="Arial"/>
          <w:sz w:val="20"/>
          <w:szCs w:val="20"/>
        </w:rPr>
        <w:t xml:space="preserve">Appeal Ground 1a.2 – The Appraisal Committee failed to consider adequately material evidence regarding PFS provided by Regeneron.  Public bodies are required to </w:t>
      </w:r>
      <w:proofErr w:type="gramStart"/>
      <w:r w:rsidRPr="7664365B">
        <w:rPr>
          <w:rFonts w:cs="Arial"/>
          <w:sz w:val="20"/>
          <w:szCs w:val="20"/>
        </w:rPr>
        <w:t>give proper consideration to</w:t>
      </w:r>
      <w:proofErr w:type="gramEnd"/>
      <w:r w:rsidRPr="7664365B">
        <w:rPr>
          <w:rFonts w:cs="Arial"/>
          <w:sz w:val="20"/>
          <w:szCs w:val="20"/>
        </w:rPr>
        <w:t xml:space="preserve"> stakeholder submissions and, where relevant, to justify any decision </w:t>
      </w:r>
      <w:proofErr w:type="gramStart"/>
      <w:r w:rsidRPr="7664365B">
        <w:rPr>
          <w:rFonts w:cs="Arial"/>
          <w:sz w:val="20"/>
          <w:szCs w:val="20"/>
        </w:rPr>
        <w:t>to not</w:t>
      </w:r>
      <w:proofErr w:type="gramEnd"/>
      <w:r w:rsidRPr="7664365B">
        <w:rPr>
          <w:rFonts w:cs="Arial"/>
          <w:sz w:val="20"/>
          <w:szCs w:val="20"/>
        </w:rPr>
        <w:t xml:space="preserve"> accept them.  The Appraisal Committee’s failure to do so was procedurally unfair and prejudiced Regeneron and its product.</w:t>
      </w:r>
    </w:p>
    <w:p w:rsidRPr="00B95314" w:rsidR="00713FBE" w:rsidP="007821F2" w:rsidRDefault="00713FBE" w14:paraId="60F99D34" w14:textId="77777777">
      <w:pPr>
        <w:pStyle w:val="ListParagraph"/>
        <w:spacing w:before="120" w:after="120"/>
        <w:ind w:left="998"/>
        <w:jc w:val="both"/>
        <w:rPr>
          <w:rFonts w:cs="Arial"/>
          <w:sz w:val="20"/>
          <w:szCs w:val="20"/>
        </w:rPr>
      </w:pPr>
    </w:p>
    <w:p w:rsidRPr="00B95314" w:rsidR="00E17660" w:rsidP="00E22A42" w:rsidRDefault="00E17660" w14:paraId="71198091" w14:textId="60F60E90">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Appeal Ground 1a.3 – At critical stages, </w:t>
      </w:r>
      <w:r w:rsidRPr="00B95314" w:rsidR="005A2476">
        <w:rPr>
          <w:rFonts w:cs="Arial"/>
          <w:sz w:val="20"/>
          <w:szCs w:val="20"/>
        </w:rPr>
        <w:t>NICE’s</w:t>
      </w:r>
      <w:r w:rsidRPr="00B95314">
        <w:rPr>
          <w:rFonts w:cs="Arial"/>
          <w:sz w:val="20"/>
          <w:szCs w:val="20"/>
        </w:rPr>
        <w:t xml:space="preserve"> conduct of the appraisal </w:t>
      </w:r>
      <w:r w:rsidR="006C48E2">
        <w:rPr>
          <w:rFonts w:cs="Arial"/>
          <w:sz w:val="20"/>
          <w:szCs w:val="20"/>
        </w:rPr>
        <w:t xml:space="preserve">process itself </w:t>
      </w:r>
      <w:r w:rsidRPr="00B95314">
        <w:rPr>
          <w:rFonts w:cs="Arial"/>
          <w:sz w:val="20"/>
          <w:szCs w:val="20"/>
        </w:rPr>
        <w:t>has been opaque and inconsistent.  Taken cumulatively, these factors have stymied Regeneron’s ability to put forward its case and the Appraisal Committee’s ability to carry out a well-informed assessment.  This amounts to procedural unfairness.</w:t>
      </w:r>
    </w:p>
    <w:p w:rsidR="00E17660" w:rsidP="00E22A42" w:rsidRDefault="00E17660" w14:paraId="3F329862" w14:textId="77777777">
      <w:pPr>
        <w:pStyle w:val="ListParagraph"/>
        <w:numPr>
          <w:ilvl w:val="0"/>
          <w:numId w:val="1"/>
        </w:numPr>
        <w:spacing w:before="120" w:after="120"/>
        <w:ind w:left="998" w:hanging="352"/>
        <w:jc w:val="both"/>
        <w:rPr>
          <w:rFonts w:cs="Arial"/>
          <w:sz w:val="20"/>
          <w:szCs w:val="20"/>
        </w:rPr>
      </w:pPr>
      <w:r w:rsidRPr="7664365B">
        <w:rPr>
          <w:rFonts w:cs="Arial"/>
          <w:sz w:val="20"/>
          <w:szCs w:val="20"/>
        </w:rPr>
        <w:t>Appeal Ground 1b – NICE has breached its legal obligations under human rights and equalities laws.</w:t>
      </w:r>
    </w:p>
    <w:p w:rsidRPr="00B95314" w:rsidR="00713FBE" w:rsidP="007821F2" w:rsidRDefault="00713FBE" w14:paraId="4EDD3CB3" w14:textId="77777777">
      <w:pPr>
        <w:pStyle w:val="ListParagraph"/>
        <w:spacing w:before="120" w:after="120"/>
        <w:ind w:left="998"/>
        <w:jc w:val="both"/>
        <w:rPr>
          <w:rFonts w:cs="Arial"/>
          <w:sz w:val="20"/>
          <w:szCs w:val="20"/>
        </w:rPr>
      </w:pPr>
    </w:p>
    <w:p w:rsidRPr="00B95314" w:rsidR="00E17660" w:rsidP="00E22A42" w:rsidRDefault="00E17660" w14:paraId="690FF89F"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Appeal Ground 2.1 – The Appraisal Committee’s insistence upon a Markov model is unreasonable based on the evidence before it.</w:t>
      </w:r>
    </w:p>
    <w:p w:rsidRPr="00B95314" w:rsidR="00E17660" w:rsidP="00E22A42" w:rsidRDefault="00E17660" w14:paraId="3AAF20A2"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Appeal Ground 2.2 – The Committee’s requested approach for modelling time on treatment/time to treatment discontinuation is internally inconsistent, biased and unreasonable </w:t>
      </w:r>
      <w:proofErr w:type="gramStart"/>
      <w:r w:rsidRPr="00B95314">
        <w:rPr>
          <w:rFonts w:cs="Arial"/>
          <w:sz w:val="20"/>
          <w:szCs w:val="20"/>
        </w:rPr>
        <w:t>in light of</w:t>
      </w:r>
      <w:proofErr w:type="gramEnd"/>
      <w:r w:rsidRPr="00B95314">
        <w:rPr>
          <w:rFonts w:cs="Arial"/>
          <w:sz w:val="20"/>
          <w:szCs w:val="20"/>
        </w:rPr>
        <w:t xml:space="preserve"> the evidence before it.</w:t>
      </w:r>
    </w:p>
    <w:p w:rsidRPr="00B95314" w:rsidR="00E17660" w:rsidP="00E22A42" w:rsidRDefault="00E17660" w14:paraId="36F1AA14"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Appeal Ground 2.3 – The Appraisal Committee’s conclusion that the company’s original submissions were insufficient to assess similarity between </w:t>
      </w:r>
      <w:proofErr w:type="spellStart"/>
      <w:r w:rsidRPr="00B95314">
        <w:rPr>
          <w:rFonts w:cs="Arial"/>
          <w:sz w:val="20"/>
          <w:szCs w:val="20"/>
        </w:rPr>
        <w:t>cemiplimab</w:t>
      </w:r>
      <w:proofErr w:type="spellEnd"/>
      <w:r w:rsidRPr="00B95314">
        <w:rPr>
          <w:rFonts w:cs="Arial"/>
          <w:sz w:val="20"/>
          <w:szCs w:val="20"/>
        </w:rPr>
        <w:t xml:space="preserve"> and pembrolizumab was unreasonable </w:t>
      </w:r>
      <w:proofErr w:type="gramStart"/>
      <w:r w:rsidRPr="00B95314">
        <w:rPr>
          <w:rFonts w:cs="Arial"/>
          <w:sz w:val="20"/>
          <w:szCs w:val="20"/>
        </w:rPr>
        <w:t>in light of</w:t>
      </w:r>
      <w:proofErr w:type="gramEnd"/>
      <w:r w:rsidRPr="00B95314">
        <w:rPr>
          <w:rFonts w:cs="Arial"/>
          <w:sz w:val="20"/>
          <w:szCs w:val="20"/>
        </w:rPr>
        <w:t xml:space="preserve"> the evidence before it.</w:t>
      </w:r>
    </w:p>
    <w:p w:rsidRPr="00B95314" w:rsidR="00E17660" w:rsidP="00E22A42" w:rsidRDefault="00E17660" w14:paraId="2CA2E27A"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Appeal Ground 2.4 – The Committee’s conclusions on the suitability of a cost-comparison analysis are unreasonable </w:t>
      </w:r>
      <w:proofErr w:type="gramStart"/>
      <w:r w:rsidRPr="00B95314">
        <w:rPr>
          <w:rFonts w:cs="Arial"/>
          <w:sz w:val="20"/>
          <w:szCs w:val="20"/>
        </w:rPr>
        <w:t>in light of</w:t>
      </w:r>
      <w:proofErr w:type="gramEnd"/>
      <w:r w:rsidRPr="00B95314">
        <w:rPr>
          <w:rFonts w:cs="Arial"/>
          <w:sz w:val="20"/>
          <w:szCs w:val="20"/>
        </w:rPr>
        <w:t xml:space="preserve"> the evidence submitted.</w:t>
      </w:r>
    </w:p>
    <w:p w:rsidRPr="00B95314" w:rsidR="00E17660" w:rsidP="00E22A42" w:rsidRDefault="00E17660" w14:paraId="7AAB166C"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Appeal Ground 2.5 – The Appraisal Committee unreasonably fails to recognize and take adequate account of the conservative approach Regeneron adopted in its modelling, which directly affects the Committee’s conclusions on cost-effectiveness.</w:t>
      </w:r>
    </w:p>
    <w:p w:rsidRPr="00B95314" w:rsidR="00E17660" w:rsidP="00E22A42" w:rsidRDefault="00E17660" w14:paraId="53A5AF09"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Appeal Ground 2.6 – The Appraisal Committee’s conclusions on the comparative effectiveness evidence are unreasonable </w:t>
      </w:r>
      <w:proofErr w:type="gramStart"/>
      <w:r w:rsidRPr="00B95314">
        <w:rPr>
          <w:rFonts w:cs="Arial"/>
          <w:sz w:val="20"/>
          <w:szCs w:val="20"/>
        </w:rPr>
        <w:t>in light of</w:t>
      </w:r>
      <w:proofErr w:type="gramEnd"/>
      <w:r w:rsidRPr="00B95314">
        <w:rPr>
          <w:rFonts w:cs="Arial"/>
          <w:sz w:val="20"/>
          <w:szCs w:val="20"/>
        </w:rPr>
        <w:t xml:space="preserve"> the evidence submitted.</w:t>
      </w:r>
    </w:p>
    <w:p w:rsidRPr="00B95314" w:rsidR="00E17660" w:rsidP="00E22A42" w:rsidRDefault="00E17660" w14:paraId="347261E3" w14:textId="77777777">
      <w:pPr>
        <w:spacing w:before="120" w:after="120"/>
        <w:jc w:val="both"/>
        <w:rPr>
          <w:rFonts w:cs="Arial"/>
          <w:sz w:val="20"/>
          <w:szCs w:val="20"/>
        </w:rPr>
      </w:pPr>
    </w:p>
    <w:p w:rsidRPr="00B95314" w:rsidR="00071EDC" w:rsidP="00E22A42" w:rsidRDefault="00071EDC" w14:paraId="193C981A" w14:textId="77777777">
      <w:pPr>
        <w:ind w:left="0"/>
        <w:jc w:val="both"/>
        <w:rPr>
          <w:rFonts w:cs="Arial"/>
          <w:sz w:val="20"/>
          <w:szCs w:val="20"/>
          <w:u w:val="single"/>
        </w:rPr>
      </w:pPr>
      <w:r w:rsidRPr="00B95314">
        <w:rPr>
          <w:rFonts w:cs="Arial"/>
          <w:sz w:val="20"/>
          <w:szCs w:val="20"/>
          <w:u w:val="single"/>
        </w:rPr>
        <w:br w:type="page"/>
      </w:r>
    </w:p>
    <w:p w:rsidRPr="009720B4" w:rsidR="00071EDC" w:rsidP="00E22A42" w:rsidRDefault="00E17660" w14:paraId="1E875B2C" w14:textId="1F50762B">
      <w:pPr>
        <w:pStyle w:val="Heading1"/>
        <w:spacing w:after="240"/>
        <w:jc w:val="both"/>
        <w:rPr>
          <w:rFonts w:ascii="Arial" w:hAnsi="Arial" w:cs="Arial"/>
          <w:b/>
          <w:bCs/>
          <w:sz w:val="20"/>
          <w:szCs w:val="20"/>
        </w:rPr>
      </w:pPr>
      <w:r w:rsidRPr="009720B4">
        <w:rPr>
          <w:rFonts w:ascii="Arial" w:hAnsi="Arial" w:cs="Arial"/>
          <w:b/>
          <w:bCs/>
          <w:sz w:val="20"/>
          <w:szCs w:val="20"/>
        </w:rPr>
        <w:t>Detailed Grounds for Appeal</w:t>
      </w:r>
    </w:p>
    <w:p w:rsidRPr="00B95314" w:rsidR="00E17660" w:rsidP="00E22A42" w:rsidRDefault="00E17660" w14:paraId="564B2F22" w14:textId="0D876701">
      <w:pPr>
        <w:spacing w:before="120" w:after="120"/>
        <w:jc w:val="both"/>
        <w:rPr>
          <w:rFonts w:cs="Arial"/>
          <w:b/>
          <w:bCs/>
          <w:sz w:val="20"/>
          <w:szCs w:val="20"/>
        </w:rPr>
      </w:pPr>
      <w:r w:rsidRPr="00B95314">
        <w:rPr>
          <w:rFonts w:cs="Arial"/>
          <w:b/>
          <w:bCs/>
          <w:sz w:val="20"/>
          <w:szCs w:val="20"/>
        </w:rPr>
        <w:t>Background Regarding Available Evidence</w:t>
      </w:r>
    </w:p>
    <w:p w:rsidRPr="00B95314" w:rsidR="00E17660" w:rsidP="00E22A42" w:rsidRDefault="00E17660" w14:paraId="6EF51253" w14:textId="7B015A0C">
      <w:pPr>
        <w:spacing w:before="120" w:after="120"/>
        <w:jc w:val="both"/>
        <w:rPr>
          <w:rFonts w:cs="Arial"/>
          <w:sz w:val="20"/>
          <w:szCs w:val="20"/>
        </w:rPr>
      </w:pPr>
      <w:r w:rsidRPr="7664365B">
        <w:rPr>
          <w:rFonts w:cs="Arial"/>
          <w:sz w:val="20"/>
          <w:szCs w:val="20"/>
        </w:rPr>
        <w:t xml:space="preserve">As the Appraisal Committee notes, pembrolizumab plus chemotherapy is the only appropriate comparator to </w:t>
      </w:r>
      <w:proofErr w:type="spellStart"/>
      <w:r w:rsidRPr="7664365B">
        <w:rPr>
          <w:rFonts w:cs="Arial"/>
          <w:sz w:val="20"/>
          <w:szCs w:val="20"/>
        </w:rPr>
        <w:t>cemiplimab</w:t>
      </w:r>
      <w:proofErr w:type="spellEnd"/>
      <w:r w:rsidRPr="7664365B">
        <w:rPr>
          <w:rFonts w:cs="Arial"/>
          <w:sz w:val="20"/>
          <w:szCs w:val="20"/>
        </w:rPr>
        <w:t xml:space="preserve"> plus chemotherapy (FDG section 3.3).  In the absence of direct comparative trials of </w:t>
      </w:r>
      <w:proofErr w:type="spellStart"/>
      <w:r w:rsidRPr="7664365B">
        <w:rPr>
          <w:rFonts w:cs="Arial"/>
          <w:sz w:val="20"/>
          <w:szCs w:val="20"/>
        </w:rPr>
        <w:t>cemiplimab</w:t>
      </w:r>
      <w:proofErr w:type="spellEnd"/>
      <w:r w:rsidRPr="7664365B">
        <w:rPr>
          <w:rFonts w:cs="Arial"/>
          <w:sz w:val="20"/>
          <w:szCs w:val="20"/>
        </w:rPr>
        <w:t xml:space="preserve"> plus chemotherapy vs pembrolizumab plus chemotherapy, Regeneron necessarily conducted indirect treatment comparisons.  In its original submission, Regeneron did so </w:t>
      </w:r>
      <w:r w:rsidRPr="007821F2" w:rsidR="00BC440C">
        <w:rPr>
          <w:rFonts w:cs="Arial"/>
          <w:i/>
          <w:iCs/>
          <w:sz w:val="20"/>
          <w:szCs w:val="20"/>
        </w:rPr>
        <w:t>via</w:t>
      </w:r>
      <w:r w:rsidR="00BC440C">
        <w:rPr>
          <w:rFonts w:cs="Arial"/>
          <w:sz w:val="20"/>
          <w:szCs w:val="20"/>
        </w:rPr>
        <w:t xml:space="preserve"> a</w:t>
      </w:r>
      <w:r w:rsidR="00DC1C87">
        <w:rPr>
          <w:rFonts w:cs="Arial"/>
          <w:sz w:val="20"/>
          <w:szCs w:val="20"/>
        </w:rPr>
        <w:t>n</w:t>
      </w:r>
      <w:r w:rsidRPr="7664365B">
        <w:rPr>
          <w:rFonts w:cs="Arial"/>
          <w:sz w:val="20"/>
          <w:szCs w:val="20"/>
        </w:rPr>
        <w:t xml:space="preserve"> NMA using a time-varying approach to account for the possibility of non-proportional hazards based on the phase 3 EMPOWER Lung 3 trial of </w:t>
      </w:r>
      <w:proofErr w:type="spellStart"/>
      <w:r w:rsidRPr="7664365B">
        <w:rPr>
          <w:rFonts w:cs="Arial"/>
          <w:sz w:val="20"/>
          <w:szCs w:val="20"/>
        </w:rPr>
        <w:t>cemiplimab</w:t>
      </w:r>
      <w:proofErr w:type="spellEnd"/>
      <w:r w:rsidRPr="7664365B">
        <w:rPr>
          <w:rFonts w:cs="Arial"/>
          <w:sz w:val="20"/>
          <w:szCs w:val="20"/>
        </w:rPr>
        <w:t xml:space="preserve"> plus chemotherapy and the phase 3 KEYNOTE-189 (in patients with non-squamous disease) and KEYNOTE-407 (in patients with squamous disease) trials of pembrolizumab plus chemotherapy.  The company conducted analyses for a range of outcomes, but as the company’s partitioned survival economic model required relative treatment effects for PFS and overall survival (“OS”), so the company’s NMAs </w:t>
      </w:r>
      <w:proofErr w:type="spellStart"/>
      <w:r w:rsidRPr="7664365B">
        <w:rPr>
          <w:rFonts w:cs="Arial"/>
          <w:sz w:val="20"/>
          <w:szCs w:val="20"/>
        </w:rPr>
        <w:t>focussed</w:t>
      </w:r>
      <w:proofErr w:type="spellEnd"/>
      <w:r w:rsidRPr="7664365B">
        <w:rPr>
          <w:rFonts w:cs="Arial"/>
          <w:sz w:val="20"/>
          <w:szCs w:val="20"/>
        </w:rPr>
        <w:t xml:space="preserve"> on PFS and OS.</w:t>
      </w:r>
    </w:p>
    <w:p w:rsidRPr="00B95314" w:rsidR="00E17660" w:rsidP="00E22A42" w:rsidRDefault="00E17660" w14:paraId="30325A55" w14:textId="460C363B">
      <w:pPr>
        <w:spacing w:before="120" w:after="120"/>
        <w:jc w:val="both"/>
        <w:rPr>
          <w:rFonts w:cs="Arial"/>
          <w:sz w:val="20"/>
          <w:szCs w:val="20"/>
        </w:rPr>
      </w:pPr>
      <w:r w:rsidRPr="7664365B">
        <w:rPr>
          <w:rFonts w:cs="Arial"/>
          <w:sz w:val="20"/>
          <w:szCs w:val="20"/>
        </w:rPr>
        <w:t xml:space="preserve">These NMAs indicated that there were no statistically significant differences between </w:t>
      </w:r>
      <w:proofErr w:type="spellStart"/>
      <w:r w:rsidRPr="7664365B">
        <w:rPr>
          <w:rFonts w:cs="Arial"/>
          <w:sz w:val="20"/>
          <w:szCs w:val="20"/>
        </w:rPr>
        <w:t>cemiplimab</w:t>
      </w:r>
      <w:proofErr w:type="spellEnd"/>
      <w:r w:rsidRPr="7664365B">
        <w:rPr>
          <w:rFonts w:cs="Arial"/>
          <w:sz w:val="20"/>
          <w:szCs w:val="20"/>
        </w:rPr>
        <w:t xml:space="preserve"> plus chemotherapy and pembrolizumab plus chemotherapy at any timepoint explored; the point estimates of the PFS and OS hazard ratios were all close to 1.0 (where 1.0 indicates equal treatment effects); and the 95% credible intervals around all point estimates of the hazard ratios included 1. The PFS hazard ratios marginally </w:t>
      </w:r>
      <w:proofErr w:type="spellStart"/>
      <w:r w:rsidRPr="7664365B">
        <w:rPr>
          <w:rFonts w:cs="Arial"/>
          <w:sz w:val="20"/>
          <w:szCs w:val="20"/>
        </w:rPr>
        <w:t>favoured</w:t>
      </w:r>
      <w:proofErr w:type="spellEnd"/>
      <w:r w:rsidRPr="7664365B">
        <w:rPr>
          <w:rFonts w:cs="Arial"/>
          <w:sz w:val="20"/>
          <w:szCs w:val="20"/>
        </w:rPr>
        <w:t xml:space="preserve"> pembrolizumab (hazard ratio marginally &gt;1.0), and the OS hazard ratios marginally </w:t>
      </w:r>
      <w:proofErr w:type="spellStart"/>
      <w:r w:rsidRPr="7664365B">
        <w:rPr>
          <w:rFonts w:cs="Arial"/>
          <w:sz w:val="20"/>
          <w:szCs w:val="20"/>
        </w:rPr>
        <w:t>favoured</w:t>
      </w:r>
      <w:proofErr w:type="spellEnd"/>
      <w:r w:rsidRPr="7664365B">
        <w:rPr>
          <w:rFonts w:cs="Arial"/>
          <w:sz w:val="20"/>
          <w:szCs w:val="20"/>
        </w:rPr>
        <w:t xml:space="preserve"> </w:t>
      </w:r>
      <w:proofErr w:type="spellStart"/>
      <w:r w:rsidRPr="7664365B">
        <w:rPr>
          <w:rFonts w:cs="Arial"/>
          <w:sz w:val="20"/>
          <w:szCs w:val="20"/>
        </w:rPr>
        <w:t>cemiplimab</w:t>
      </w:r>
      <w:proofErr w:type="spellEnd"/>
      <w:r w:rsidRPr="7664365B">
        <w:rPr>
          <w:rFonts w:cs="Arial"/>
          <w:sz w:val="20"/>
          <w:szCs w:val="20"/>
        </w:rPr>
        <w:t xml:space="preserve"> (hazard ratio marginally &lt;1.0). </w:t>
      </w:r>
    </w:p>
    <w:p w:rsidRPr="00B95314" w:rsidR="00E17660" w:rsidP="00E22A42" w:rsidRDefault="00E17660" w14:paraId="68D53679" w14:textId="77777777">
      <w:pPr>
        <w:spacing w:before="120" w:after="120"/>
        <w:jc w:val="both"/>
        <w:rPr>
          <w:rFonts w:cs="Arial"/>
          <w:sz w:val="20"/>
          <w:szCs w:val="20"/>
        </w:rPr>
      </w:pPr>
      <w:r w:rsidRPr="00B95314">
        <w:rPr>
          <w:rFonts w:cs="Arial"/>
          <w:sz w:val="20"/>
          <w:szCs w:val="20"/>
        </w:rPr>
        <w:t xml:space="preserve">Regeneron considered that these non-statistically significant differences in the NMA results, and the point estimate hazard ratios close to 1.0, showed there are no clinically meaningful differences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for PFS or OS. Importantly, these results and the company’s interpretation are in line with clinician expectations and published clinical guidelines (as alluded to in Section 3.6 of NICE’s Draft Guidance Document (“DGD”) and Section 3.6 of the FDG). </w:t>
      </w:r>
    </w:p>
    <w:p w:rsidRPr="00B95314" w:rsidR="00E17660" w:rsidP="00E22A42" w:rsidRDefault="00E17660" w14:paraId="12724795" w14:textId="1BB63BFF">
      <w:pPr>
        <w:spacing w:before="120" w:after="120"/>
        <w:jc w:val="both"/>
        <w:rPr>
          <w:rFonts w:cs="Arial"/>
          <w:sz w:val="20"/>
          <w:szCs w:val="20"/>
        </w:rPr>
      </w:pPr>
      <w:r w:rsidRPr="00B95314">
        <w:rPr>
          <w:rFonts w:cs="Arial"/>
          <w:sz w:val="20"/>
          <w:szCs w:val="20"/>
        </w:rPr>
        <w:t xml:space="preserve">In its DGD, however, the Appraisal Committee noted that there are uncertainties in the NMAs that could affect PFS and OS treatment effect estimates </w:t>
      </w:r>
      <w:r w:rsidRPr="00BF35C9">
        <w:rPr>
          <w:rFonts w:cs="Arial"/>
          <w:sz w:val="20"/>
          <w:szCs w:val="20"/>
        </w:rPr>
        <w:t xml:space="preserve">due to differences in treatment effect modifiers between the included trials.  </w:t>
      </w:r>
      <w:r w:rsidRPr="00BF35C9" w:rsidR="00BF35C9">
        <w:rPr>
          <w:rFonts w:cstheme="minorHAnsi"/>
          <w:sz w:val="20"/>
          <w:szCs w:val="20"/>
        </w:rPr>
        <w:t xml:space="preserve">It noted that while the point estimates for OS were numerically in </w:t>
      </w:r>
      <w:proofErr w:type="spellStart"/>
      <w:r w:rsidRPr="00BF35C9" w:rsidR="00BF35C9">
        <w:rPr>
          <w:rFonts w:cstheme="minorHAnsi"/>
          <w:sz w:val="20"/>
          <w:szCs w:val="20"/>
        </w:rPr>
        <w:t>favour</w:t>
      </w:r>
      <w:proofErr w:type="spellEnd"/>
      <w:r w:rsidRPr="00BF35C9" w:rsidR="00BF35C9">
        <w:rPr>
          <w:rFonts w:cstheme="minorHAnsi"/>
          <w:sz w:val="20"/>
          <w:szCs w:val="20"/>
        </w:rPr>
        <w:t xml:space="preserve"> of </w:t>
      </w:r>
      <w:proofErr w:type="spellStart"/>
      <w:r w:rsidRPr="00BF35C9" w:rsidR="00BF35C9">
        <w:rPr>
          <w:rFonts w:cstheme="minorHAnsi"/>
          <w:sz w:val="20"/>
          <w:szCs w:val="20"/>
        </w:rPr>
        <w:t>cemiplimab</w:t>
      </w:r>
      <w:proofErr w:type="spellEnd"/>
      <w:r w:rsidRPr="00BF35C9" w:rsidR="00BF35C9">
        <w:rPr>
          <w:rFonts w:cstheme="minorHAnsi"/>
          <w:sz w:val="20"/>
          <w:szCs w:val="20"/>
        </w:rPr>
        <w:t xml:space="preserve"> plus chemotherapy, the point estimates for PFS numerically </w:t>
      </w:r>
      <w:proofErr w:type="spellStart"/>
      <w:r w:rsidRPr="00BF35C9" w:rsidR="00BF35C9">
        <w:rPr>
          <w:rFonts w:cstheme="minorHAnsi"/>
          <w:sz w:val="20"/>
          <w:szCs w:val="20"/>
        </w:rPr>
        <w:t>favoured</w:t>
      </w:r>
      <w:proofErr w:type="spellEnd"/>
      <w:r w:rsidRPr="00BF35C9" w:rsidR="00BF35C9">
        <w:rPr>
          <w:rFonts w:cstheme="minorHAnsi"/>
          <w:sz w:val="20"/>
          <w:szCs w:val="20"/>
        </w:rPr>
        <w:t xml:space="preserve"> pembrolizumab plus chemotherapy</w:t>
      </w:r>
      <w:r w:rsidRPr="00BF35C9" w:rsidR="00BF35C9">
        <w:rPr>
          <w:rFonts w:cs="Arial"/>
          <w:sz w:val="20"/>
          <w:szCs w:val="20"/>
        </w:rPr>
        <w:t xml:space="preserve">.  </w:t>
      </w:r>
      <w:r w:rsidRPr="00BF35C9">
        <w:rPr>
          <w:rFonts w:cs="Arial"/>
          <w:sz w:val="20"/>
          <w:szCs w:val="20"/>
        </w:rPr>
        <w:t>It also noted that treatment crossover was permitted in the KEYNOTE trials of pembrolizumab plus chemotherapy, which, if not adjusted for, could potentially underestimate the treatment effects of pembrolizumab on OS in the NMAs.  The Committee’s concerns regarding uncertainties in the NMAs and potential bias in OS treatment effect estimates resulted in the Appraisal Committee’s request for an alternative cost effectiveness modelling approach based on a Markov model with PFS taken from the NMAs and an assumption of equal post-progression survival</w:t>
      </w:r>
      <w:r w:rsidRPr="00B95314">
        <w:rPr>
          <w:rFonts w:cs="Arial"/>
          <w:sz w:val="20"/>
          <w:szCs w:val="20"/>
        </w:rPr>
        <w:t xml:space="preserve">.  As the FDG makes clear, this was the Committee’s preferred modelling approach. </w:t>
      </w:r>
    </w:p>
    <w:p w:rsidRPr="00B95314" w:rsidR="00E17660" w:rsidP="00E22A42" w:rsidRDefault="00E17660" w14:paraId="0114478E" w14:textId="77777777">
      <w:pPr>
        <w:spacing w:before="120" w:after="120"/>
        <w:jc w:val="both"/>
        <w:rPr>
          <w:rFonts w:cs="Arial"/>
          <w:sz w:val="20"/>
          <w:szCs w:val="20"/>
        </w:rPr>
      </w:pPr>
      <w:r w:rsidRPr="7664365B">
        <w:rPr>
          <w:rFonts w:cs="Arial"/>
          <w:sz w:val="20"/>
          <w:szCs w:val="20"/>
        </w:rPr>
        <w:t>As discussed further under Appeal Ground 2.1, the Committee’s request for a Markov model was unsound for certain key reasons:</w:t>
      </w:r>
    </w:p>
    <w:p w:rsidRPr="00B95314" w:rsidR="00E17660" w:rsidP="00E22A42" w:rsidRDefault="00E17660" w14:paraId="4E6FE96C" w14:textId="77777777">
      <w:pPr>
        <w:spacing w:before="120" w:after="120"/>
        <w:ind w:left="709" w:hanging="425"/>
        <w:jc w:val="both"/>
        <w:rPr>
          <w:rFonts w:cs="Arial"/>
          <w:sz w:val="20"/>
          <w:szCs w:val="20"/>
        </w:rPr>
      </w:pPr>
      <w:r w:rsidRPr="00B95314">
        <w:rPr>
          <w:rFonts w:cs="Arial"/>
          <w:sz w:val="20"/>
          <w:szCs w:val="20"/>
        </w:rPr>
        <w:t>1.</w:t>
      </w:r>
      <w:r w:rsidRPr="00B95314">
        <w:rPr>
          <w:rFonts w:cs="Arial"/>
          <w:sz w:val="20"/>
          <w:szCs w:val="20"/>
        </w:rPr>
        <w:tab/>
      </w:r>
      <w:r w:rsidRPr="00B95314">
        <w:rPr>
          <w:rFonts w:cs="Arial"/>
          <w:sz w:val="20"/>
          <w:szCs w:val="20"/>
        </w:rPr>
        <w:t>Regeneron carefully considered the Appraisal Committee’s suggestion that it prepare and submit a Markov model.  However, the company had significant concerns about the appropriateness and utility of a Markov model in this context, including because the Appraisal Committee’s request for such a model appeared to be based on flawed assumptions (see Appeal Ground 2.1).  The model itself would have been unsuitable and of limited utility.</w:t>
      </w:r>
    </w:p>
    <w:p w:rsidR="00EF149C" w:rsidP="00EF149C" w:rsidRDefault="00E17660" w14:paraId="4BE787D1" w14:textId="099C0F8A">
      <w:pPr>
        <w:spacing w:before="120" w:after="120"/>
        <w:ind w:left="709" w:hanging="425"/>
        <w:jc w:val="both"/>
        <w:rPr>
          <w:rFonts w:cs="Arial"/>
          <w:sz w:val="20"/>
          <w:szCs w:val="20"/>
        </w:rPr>
      </w:pPr>
      <w:r w:rsidRPr="00B95314">
        <w:rPr>
          <w:rFonts w:cs="Arial"/>
          <w:sz w:val="20"/>
          <w:szCs w:val="20"/>
        </w:rPr>
        <w:t>2.</w:t>
      </w:r>
      <w:r w:rsidRPr="00B95314">
        <w:rPr>
          <w:rFonts w:cs="Arial"/>
          <w:sz w:val="20"/>
          <w:szCs w:val="20"/>
        </w:rPr>
        <w:tab/>
      </w:r>
      <w:r w:rsidR="00BB0999">
        <w:rPr>
          <w:rFonts w:cs="Arial"/>
          <w:sz w:val="20"/>
          <w:szCs w:val="20"/>
        </w:rPr>
        <w:t>I</w:t>
      </w:r>
      <w:r w:rsidRPr="006A2F19" w:rsidR="00BB0999">
        <w:rPr>
          <w:rFonts w:cs="Arial"/>
          <w:sz w:val="20"/>
          <w:szCs w:val="20"/>
        </w:rPr>
        <w:t>n the absence of individual patient data</w:t>
      </w:r>
      <w:r w:rsidR="00BB0999">
        <w:rPr>
          <w:rFonts w:cs="Arial"/>
          <w:sz w:val="20"/>
          <w:szCs w:val="20"/>
        </w:rPr>
        <w:t xml:space="preserve"> (IPD) for the comparator treatment, one cannot </w:t>
      </w:r>
      <w:r w:rsidRPr="006A2F19" w:rsidR="00BB0999">
        <w:rPr>
          <w:rFonts w:cs="Arial"/>
          <w:sz w:val="20"/>
          <w:szCs w:val="20"/>
        </w:rPr>
        <w:t xml:space="preserve">appropriately </w:t>
      </w:r>
      <w:proofErr w:type="spellStart"/>
      <w:r w:rsidRPr="006A2F19" w:rsidR="00BB0999">
        <w:rPr>
          <w:rFonts w:cs="Arial"/>
          <w:sz w:val="20"/>
          <w:szCs w:val="20"/>
        </w:rPr>
        <w:t>parameterise</w:t>
      </w:r>
      <w:proofErr w:type="spellEnd"/>
      <w:r w:rsidRPr="006A2F19" w:rsidR="00BB0999">
        <w:rPr>
          <w:rFonts w:cs="Arial"/>
          <w:sz w:val="20"/>
          <w:szCs w:val="20"/>
        </w:rPr>
        <w:t xml:space="preserve"> this without relying on </w:t>
      </w:r>
      <w:r w:rsidR="00BF35C9">
        <w:rPr>
          <w:rFonts w:cs="Arial"/>
          <w:sz w:val="20"/>
          <w:szCs w:val="20"/>
        </w:rPr>
        <w:t xml:space="preserve">strong </w:t>
      </w:r>
      <w:r w:rsidRPr="006A2F19" w:rsidR="00BB0999">
        <w:rPr>
          <w:rFonts w:cs="Arial"/>
          <w:sz w:val="20"/>
          <w:szCs w:val="20"/>
        </w:rPr>
        <w:t>simplifying assumptions that allow for comparative efficacy differences in some endpoints (</w:t>
      </w:r>
      <w:r w:rsidRPr="007821F2" w:rsidR="00BB0999">
        <w:rPr>
          <w:rFonts w:cs="Arial"/>
          <w:i/>
          <w:iCs/>
          <w:sz w:val="20"/>
          <w:szCs w:val="20"/>
        </w:rPr>
        <w:t>e.g.</w:t>
      </w:r>
      <w:r w:rsidR="00E80B8D">
        <w:rPr>
          <w:rFonts w:cs="Arial"/>
          <w:sz w:val="20"/>
          <w:szCs w:val="20"/>
        </w:rPr>
        <w:t>,</w:t>
      </w:r>
      <w:r w:rsidRPr="006A2F19" w:rsidR="00BB0999">
        <w:rPr>
          <w:rFonts w:cs="Arial"/>
          <w:sz w:val="20"/>
          <w:szCs w:val="20"/>
        </w:rPr>
        <w:t xml:space="preserve"> progression-free survival) but not others (</w:t>
      </w:r>
      <w:r w:rsidRPr="007821F2" w:rsidR="00BB0999">
        <w:rPr>
          <w:rFonts w:cs="Arial"/>
          <w:i/>
          <w:iCs/>
          <w:sz w:val="20"/>
          <w:szCs w:val="20"/>
        </w:rPr>
        <w:t>e.g.</w:t>
      </w:r>
      <w:r w:rsidR="00E80B8D">
        <w:rPr>
          <w:rFonts w:cs="Arial"/>
          <w:sz w:val="20"/>
          <w:szCs w:val="20"/>
        </w:rPr>
        <w:t>,</w:t>
      </w:r>
      <w:r w:rsidRPr="006A2F19" w:rsidR="00BB0999">
        <w:rPr>
          <w:rFonts w:cs="Arial"/>
          <w:sz w:val="20"/>
          <w:szCs w:val="20"/>
        </w:rPr>
        <w:t xml:space="preserve"> assumption of common post-progression survival). The lack of IPD precludes such a structure being </w:t>
      </w:r>
      <w:r w:rsidR="00506045">
        <w:rPr>
          <w:rFonts w:cs="Arial"/>
          <w:sz w:val="20"/>
          <w:szCs w:val="20"/>
        </w:rPr>
        <w:t>in</w:t>
      </w:r>
      <w:r w:rsidRPr="006A2F19" w:rsidR="00BB0999">
        <w:rPr>
          <w:rFonts w:cs="Arial"/>
          <w:sz w:val="20"/>
          <w:szCs w:val="20"/>
        </w:rPr>
        <w:t>formed using all relevant evidence available to the committee (</w:t>
      </w:r>
      <w:r w:rsidRPr="007821F2" w:rsidR="00BB0999">
        <w:rPr>
          <w:rFonts w:cs="Arial"/>
          <w:i/>
          <w:iCs/>
          <w:sz w:val="20"/>
          <w:szCs w:val="20"/>
        </w:rPr>
        <w:t>e.g.</w:t>
      </w:r>
      <w:r w:rsidR="00E80B8D">
        <w:rPr>
          <w:rFonts w:cs="Arial"/>
          <w:sz w:val="20"/>
          <w:szCs w:val="20"/>
        </w:rPr>
        <w:t>,</w:t>
      </w:r>
      <w:r w:rsidRPr="006A2F19" w:rsidR="00BB0999">
        <w:rPr>
          <w:rFonts w:cs="Arial"/>
          <w:sz w:val="20"/>
          <w:szCs w:val="20"/>
        </w:rPr>
        <w:t xml:space="preserve"> the NMA OS results).</w:t>
      </w:r>
    </w:p>
    <w:p w:rsidR="00482025" w:rsidP="00EF149C" w:rsidRDefault="00482025" w14:paraId="2A610B2A" w14:textId="490A9200">
      <w:pPr>
        <w:spacing w:before="120" w:after="120"/>
        <w:ind w:left="709" w:hanging="425"/>
        <w:jc w:val="both"/>
        <w:rPr>
          <w:rFonts w:cs="Arial"/>
          <w:sz w:val="20"/>
          <w:szCs w:val="20"/>
        </w:rPr>
      </w:pPr>
      <w:r>
        <w:rPr>
          <w:rFonts w:cs="Arial"/>
          <w:sz w:val="20"/>
          <w:szCs w:val="20"/>
        </w:rPr>
        <w:t>3</w:t>
      </w:r>
      <w:proofErr w:type="gramStart"/>
      <w:r>
        <w:rPr>
          <w:rFonts w:cs="Arial"/>
          <w:sz w:val="20"/>
          <w:szCs w:val="20"/>
        </w:rPr>
        <w:t xml:space="preserve">. </w:t>
      </w:r>
      <w:r>
        <w:rPr>
          <w:rFonts w:cs="Arial"/>
          <w:sz w:val="20"/>
          <w:szCs w:val="20"/>
        </w:rPr>
        <w:tab/>
      </w:r>
      <w:r>
        <w:rPr>
          <w:rFonts w:cs="Arial"/>
          <w:sz w:val="20"/>
          <w:szCs w:val="20"/>
        </w:rPr>
        <w:t>A</w:t>
      </w:r>
      <w:proofErr w:type="gramEnd"/>
      <w:r>
        <w:rPr>
          <w:rFonts w:cs="Arial"/>
          <w:sz w:val="20"/>
          <w:szCs w:val="20"/>
        </w:rPr>
        <w:t xml:space="preserve"> Markov model would therefore </w:t>
      </w:r>
      <w:r w:rsidRPr="00482025">
        <w:rPr>
          <w:rFonts w:cs="Arial"/>
          <w:sz w:val="20"/>
          <w:szCs w:val="20"/>
        </w:rPr>
        <w:t xml:space="preserve">fail to address the Appraisal Committee’s highlighted issues of potential imbalance in PFS treatment effect modifiers in the NMAs.  </w:t>
      </w:r>
    </w:p>
    <w:p w:rsidRPr="00B95314" w:rsidR="00E17660" w:rsidP="00EF149C" w:rsidRDefault="00EF149C" w14:paraId="4FB3BB18" w14:textId="27203D74">
      <w:pPr>
        <w:spacing w:before="120" w:after="120"/>
        <w:ind w:left="709" w:hanging="425"/>
        <w:jc w:val="both"/>
        <w:rPr>
          <w:rFonts w:cs="Arial"/>
          <w:sz w:val="20"/>
          <w:szCs w:val="20"/>
        </w:rPr>
      </w:pPr>
      <w:r>
        <w:rPr>
          <w:rFonts w:cs="Arial"/>
          <w:sz w:val="20"/>
          <w:szCs w:val="20"/>
        </w:rPr>
        <w:t>3</w:t>
      </w:r>
      <w:proofErr w:type="gramStart"/>
      <w:r>
        <w:rPr>
          <w:rFonts w:cs="Arial"/>
          <w:sz w:val="20"/>
          <w:szCs w:val="20"/>
        </w:rPr>
        <w:t xml:space="preserve">. </w:t>
      </w:r>
      <w:r>
        <w:rPr>
          <w:rFonts w:cs="Arial"/>
          <w:sz w:val="20"/>
          <w:szCs w:val="20"/>
        </w:rPr>
        <w:tab/>
      </w:r>
      <w:r w:rsidRPr="00B95314" w:rsidR="00E17660">
        <w:rPr>
          <w:rFonts w:cs="Arial"/>
          <w:sz w:val="20"/>
          <w:szCs w:val="20"/>
        </w:rPr>
        <w:t>Regeneron</w:t>
      </w:r>
      <w:proofErr w:type="gramEnd"/>
      <w:r w:rsidRPr="00B95314" w:rsidR="00E17660">
        <w:rPr>
          <w:rFonts w:cs="Arial"/>
          <w:sz w:val="20"/>
          <w:szCs w:val="20"/>
        </w:rPr>
        <w:t xml:space="preserve"> noted that </w:t>
      </w:r>
      <w:r>
        <w:rPr>
          <w:rFonts w:cs="Arial"/>
          <w:sz w:val="20"/>
          <w:szCs w:val="20"/>
        </w:rPr>
        <w:t xml:space="preserve">a Markov </w:t>
      </w:r>
      <w:r w:rsidRPr="00B95314" w:rsidR="00E17660">
        <w:rPr>
          <w:rFonts w:cs="Arial"/>
          <w:sz w:val="20"/>
          <w:szCs w:val="20"/>
        </w:rPr>
        <w:t>had not previously been used to support decision making in</w:t>
      </w:r>
      <w:r w:rsidR="005D4339">
        <w:rPr>
          <w:rFonts w:cs="Arial"/>
          <w:sz w:val="20"/>
          <w:szCs w:val="20"/>
        </w:rPr>
        <w:t xml:space="preserve"> previous</w:t>
      </w:r>
      <w:r w:rsidR="00BC440C">
        <w:rPr>
          <w:rFonts w:cs="Arial"/>
          <w:sz w:val="20"/>
          <w:szCs w:val="20"/>
        </w:rPr>
        <w:t xml:space="preserve"> </w:t>
      </w:r>
      <w:r w:rsidRPr="00B95314" w:rsidR="00E17660">
        <w:rPr>
          <w:rFonts w:cs="Arial"/>
          <w:sz w:val="20"/>
          <w:szCs w:val="20"/>
        </w:rPr>
        <w:t>NICE appraisal</w:t>
      </w:r>
      <w:r w:rsidR="005D4339">
        <w:rPr>
          <w:rFonts w:cs="Arial"/>
          <w:sz w:val="20"/>
          <w:szCs w:val="20"/>
        </w:rPr>
        <w:t>s of other IO treatment options in advanced/metastatic NSCLC</w:t>
      </w:r>
      <w:r w:rsidRPr="00B95314" w:rsidR="00E17660">
        <w:rPr>
          <w:rFonts w:cs="Arial"/>
          <w:sz w:val="20"/>
          <w:szCs w:val="20"/>
        </w:rPr>
        <w:t xml:space="preserve">. </w:t>
      </w:r>
    </w:p>
    <w:p w:rsidRPr="006A2F19" w:rsidR="006A2F19" w:rsidP="006A15E8" w:rsidRDefault="00EF149C" w14:paraId="73E7B23C" w14:textId="1BF8AC86">
      <w:pPr>
        <w:spacing w:before="120" w:after="120"/>
        <w:ind w:left="709" w:hanging="425"/>
        <w:jc w:val="both"/>
        <w:rPr>
          <w:rFonts w:cs="Arial"/>
          <w:sz w:val="20"/>
          <w:szCs w:val="20"/>
        </w:rPr>
      </w:pPr>
      <w:r>
        <w:rPr>
          <w:rFonts w:cs="Arial"/>
          <w:sz w:val="20"/>
          <w:szCs w:val="20"/>
        </w:rPr>
        <w:t>4</w:t>
      </w:r>
      <w:r w:rsidRPr="00B95314" w:rsidR="00E17660">
        <w:rPr>
          <w:rFonts w:cs="Arial"/>
          <w:sz w:val="20"/>
          <w:szCs w:val="20"/>
        </w:rPr>
        <w:t>.</w:t>
      </w:r>
      <w:r w:rsidRPr="00B95314" w:rsidR="00E17660">
        <w:rPr>
          <w:rFonts w:cs="Arial"/>
          <w:sz w:val="20"/>
          <w:szCs w:val="20"/>
        </w:rPr>
        <w:tab/>
      </w:r>
      <w:r w:rsidR="006A15E8">
        <w:rPr>
          <w:rFonts w:cs="Arial"/>
          <w:sz w:val="20"/>
          <w:szCs w:val="20"/>
        </w:rPr>
        <w:t xml:space="preserve">In any event, for the sake of completeness, it </w:t>
      </w:r>
      <w:r w:rsidRPr="00B95314" w:rsidR="0001056F">
        <w:rPr>
          <w:rFonts w:cs="Arial"/>
          <w:sz w:val="20"/>
          <w:szCs w:val="20"/>
        </w:rPr>
        <w:t xml:space="preserve">would not be </w:t>
      </w:r>
      <w:r w:rsidR="0001056F">
        <w:rPr>
          <w:rFonts w:cs="Arial"/>
          <w:sz w:val="20"/>
          <w:szCs w:val="20"/>
        </w:rPr>
        <w:t xml:space="preserve">practically </w:t>
      </w:r>
      <w:r w:rsidRPr="00B95314" w:rsidR="0001056F">
        <w:rPr>
          <w:rFonts w:cs="Arial"/>
          <w:sz w:val="20"/>
          <w:szCs w:val="20"/>
        </w:rPr>
        <w:t>possible to generate, validate and submit a robust model within the four weeks that the company had to respond to the DGD.  The timeframe to develop and validate a completely new Markov model is generally measured in months not weeks.</w:t>
      </w:r>
    </w:p>
    <w:p w:rsidRPr="00B95314" w:rsidR="00071EDC" w:rsidP="007821F2" w:rsidRDefault="00071EDC" w14:paraId="2B264DBD" w14:textId="77777777">
      <w:pPr>
        <w:spacing w:before="120" w:after="120"/>
        <w:ind w:left="0"/>
        <w:jc w:val="both"/>
        <w:rPr>
          <w:rFonts w:cs="Arial"/>
          <w:b/>
          <w:bCs/>
          <w:sz w:val="20"/>
          <w:szCs w:val="20"/>
        </w:rPr>
      </w:pPr>
    </w:p>
    <w:p w:rsidRPr="007821F2" w:rsidR="00E17660" w:rsidP="007821F2" w:rsidRDefault="00E17660" w14:paraId="3AE53493" w14:textId="4DF18A64">
      <w:pPr>
        <w:pStyle w:val="Heading2"/>
        <w:rPr>
          <w:rFonts w:cs="Arial"/>
          <w:b/>
          <w:bCs/>
          <w:i/>
          <w:iCs/>
          <w:sz w:val="20"/>
          <w:szCs w:val="20"/>
        </w:rPr>
      </w:pPr>
      <w:r w:rsidRPr="007821F2">
        <w:rPr>
          <w:rFonts w:ascii="Arial" w:hAnsi="Arial" w:cs="Arial"/>
          <w:b/>
          <w:bCs/>
          <w:i/>
          <w:iCs/>
          <w:sz w:val="20"/>
          <w:szCs w:val="20"/>
        </w:rPr>
        <w:t>Appeal Ground 1a.1 –In making materially different evidential requirements in this</w:t>
      </w:r>
      <w:r w:rsidRPr="007821F2" w:rsidR="0098000B">
        <w:rPr>
          <w:rFonts w:ascii="Arial" w:hAnsi="Arial" w:cs="Arial"/>
          <w:b/>
          <w:bCs/>
          <w:i/>
          <w:iCs/>
          <w:sz w:val="20"/>
          <w:szCs w:val="20"/>
        </w:rPr>
        <w:t xml:space="preserve"> </w:t>
      </w:r>
      <w:r w:rsidRPr="007821F2">
        <w:rPr>
          <w:rFonts w:ascii="Arial" w:hAnsi="Arial" w:cs="Arial"/>
          <w:b/>
          <w:bCs/>
          <w:i/>
          <w:iCs/>
          <w:sz w:val="20"/>
          <w:szCs w:val="20"/>
        </w:rPr>
        <w:t xml:space="preserve">appraisal versus TA705, NICE has undermined principles of procedural consistency and fairness and introduced an approach that biases against </w:t>
      </w:r>
      <w:proofErr w:type="spellStart"/>
      <w:r w:rsidRPr="007821F2">
        <w:rPr>
          <w:rFonts w:ascii="Arial" w:hAnsi="Arial" w:cs="Arial"/>
          <w:b/>
          <w:bCs/>
          <w:i/>
          <w:iCs/>
          <w:sz w:val="20"/>
          <w:szCs w:val="20"/>
        </w:rPr>
        <w:t>cemiplimab</w:t>
      </w:r>
      <w:proofErr w:type="spellEnd"/>
    </w:p>
    <w:p w:rsidRPr="0037573A" w:rsidR="0037573A" w:rsidP="00E22A42" w:rsidRDefault="00E17660" w14:paraId="30C05989" w14:textId="4BD9B928">
      <w:pPr>
        <w:spacing w:before="120" w:after="120"/>
        <w:jc w:val="both"/>
        <w:rPr>
          <w:rFonts w:cs="Arial"/>
          <w:sz w:val="20"/>
          <w:szCs w:val="20"/>
        </w:rPr>
      </w:pPr>
      <w:r w:rsidRPr="00B95314">
        <w:rPr>
          <w:rFonts w:cs="Arial"/>
          <w:sz w:val="20"/>
          <w:szCs w:val="20"/>
        </w:rPr>
        <w:t xml:space="preserve">Appraisal Committees are not bound by decisions taken in other appraisals, nor is the same Appraisal Committee obliged to take the same approach between HTAs.  </w:t>
      </w:r>
      <w:r w:rsidRPr="0037573A" w:rsidR="0037573A">
        <w:rPr>
          <w:rFonts w:cs="Arial"/>
          <w:sz w:val="20"/>
          <w:szCs w:val="20"/>
        </w:rPr>
        <w:t>However, material and unjustified changes of approach by an Appraisal Committee between appraisals can be used as evidence that an Appraisal Committee has behaved un</w:t>
      </w:r>
      <w:r w:rsidR="00BC440C">
        <w:rPr>
          <w:rFonts w:cs="Arial"/>
          <w:sz w:val="20"/>
          <w:szCs w:val="20"/>
        </w:rPr>
        <w:t>fair</w:t>
      </w:r>
      <w:r w:rsidRPr="0037573A" w:rsidR="0037573A">
        <w:rPr>
          <w:rFonts w:cs="Arial"/>
          <w:sz w:val="20"/>
          <w:szCs w:val="20"/>
        </w:rPr>
        <w:t>ly.  Unless an Appraisal Committee can provide a clear justification for divergent approaches, it opens itself to challenges that it has behaved</w:t>
      </w:r>
      <w:r w:rsidR="00BC440C">
        <w:rPr>
          <w:rFonts w:cs="Arial"/>
          <w:sz w:val="20"/>
          <w:szCs w:val="20"/>
        </w:rPr>
        <w:t xml:space="preserve"> both unfairly and</w:t>
      </w:r>
      <w:r w:rsidRPr="0037573A" w:rsidR="0037573A">
        <w:rPr>
          <w:rFonts w:cs="Arial"/>
          <w:sz w:val="20"/>
          <w:szCs w:val="20"/>
        </w:rPr>
        <w:t xml:space="preserve"> unreasonably, </w:t>
      </w:r>
      <w:r w:rsidRPr="007821F2" w:rsidR="0037573A">
        <w:rPr>
          <w:rFonts w:cs="Arial"/>
          <w:i/>
          <w:iCs/>
          <w:sz w:val="20"/>
          <w:szCs w:val="20"/>
        </w:rPr>
        <w:t>i.e.</w:t>
      </w:r>
      <w:r w:rsidRPr="0037573A" w:rsidR="0037573A">
        <w:rPr>
          <w:rFonts w:cs="Arial"/>
          <w:sz w:val="20"/>
          <w:szCs w:val="20"/>
        </w:rPr>
        <w:t xml:space="preserve">, irrationally or </w:t>
      </w:r>
      <w:r w:rsidR="00A35946">
        <w:rPr>
          <w:rFonts w:cs="Arial"/>
          <w:sz w:val="20"/>
          <w:szCs w:val="20"/>
        </w:rPr>
        <w:t xml:space="preserve">unjustifiably </w:t>
      </w:r>
      <w:r w:rsidRPr="0037573A" w:rsidR="0037573A">
        <w:rPr>
          <w:rFonts w:cs="Arial"/>
          <w:sz w:val="20"/>
          <w:szCs w:val="20"/>
        </w:rPr>
        <w:t xml:space="preserve">inconsistently, </w:t>
      </w:r>
      <w:proofErr w:type="gramStart"/>
      <w:r w:rsidRPr="0037573A" w:rsidR="0037573A">
        <w:rPr>
          <w:rFonts w:cs="Arial"/>
          <w:sz w:val="20"/>
          <w:szCs w:val="20"/>
        </w:rPr>
        <w:t>in light of</w:t>
      </w:r>
      <w:proofErr w:type="gramEnd"/>
      <w:r w:rsidRPr="0037573A" w:rsidR="0037573A">
        <w:rPr>
          <w:rFonts w:cs="Arial"/>
          <w:sz w:val="20"/>
          <w:szCs w:val="20"/>
        </w:rPr>
        <w:t xml:space="preserve"> the evidence before it.</w:t>
      </w:r>
    </w:p>
    <w:p w:rsidRPr="0037573A" w:rsidR="0037573A" w:rsidP="00E22A42" w:rsidRDefault="0037573A" w14:paraId="1A3FF207" w14:textId="77777777">
      <w:pPr>
        <w:spacing w:before="120" w:after="120"/>
        <w:jc w:val="both"/>
        <w:rPr>
          <w:rFonts w:cs="Arial"/>
          <w:sz w:val="20"/>
          <w:szCs w:val="20"/>
        </w:rPr>
      </w:pPr>
      <w:r w:rsidRPr="0037573A">
        <w:rPr>
          <w:rFonts w:cs="Arial"/>
          <w:sz w:val="20"/>
          <w:szCs w:val="20"/>
        </w:rPr>
        <w:t xml:space="preserve">The NICE Appeal Panel </w:t>
      </w:r>
      <w:proofErr w:type="gramStart"/>
      <w:r w:rsidRPr="0037573A">
        <w:rPr>
          <w:rFonts w:cs="Arial"/>
          <w:sz w:val="20"/>
          <w:szCs w:val="20"/>
        </w:rPr>
        <w:t>has in past decisions</w:t>
      </w:r>
      <w:proofErr w:type="gramEnd"/>
      <w:r w:rsidRPr="0037573A">
        <w:rPr>
          <w:rFonts w:cs="Arial"/>
          <w:sz w:val="20"/>
          <w:szCs w:val="20"/>
        </w:rPr>
        <w:t xml:space="preserve"> made clear the importance of consistent approaches, </w:t>
      </w:r>
      <w:proofErr w:type="gramStart"/>
      <w:r w:rsidRPr="0037573A">
        <w:rPr>
          <w:rFonts w:cs="Arial"/>
          <w:sz w:val="20"/>
          <w:szCs w:val="20"/>
        </w:rPr>
        <w:t>in particular in</w:t>
      </w:r>
      <w:proofErr w:type="gramEnd"/>
      <w:r w:rsidRPr="0037573A">
        <w:rPr>
          <w:rFonts w:cs="Arial"/>
          <w:sz w:val="20"/>
          <w:szCs w:val="20"/>
        </w:rPr>
        <w:t xml:space="preserve"> </w:t>
      </w:r>
      <w:proofErr w:type="gramStart"/>
      <w:r w:rsidRPr="0037573A">
        <w:rPr>
          <w:rFonts w:cs="Arial"/>
          <w:sz w:val="20"/>
          <w:szCs w:val="20"/>
        </w:rPr>
        <w:t>NICE</w:t>
      </w:r>
      <w:proofErr w:type="gramEnd"/>
      <w:r w:rsidRPr="0037573A">
        <w:rPr>
          <w:rFonts w:cs="Arial"/>
          <w:sz w:val="20"/>
          <w:szCs w:val="20"/>
        </w:rPr>
        <w:t xml:space="preserve"> Appeal Decision in TA692 (</w:t>
      </w:r>
      <w:r w:rsidRPr="007821F2">
        <w:rPr>
          <w:rFonts w:cs="Arial"/>
          <w:i/>
          <w:iCs/>
          <w:sz w:val="20"/>
          <w:szCs w:val="20"/>
        </w:rPr>
        <w:t>Pembrolizumab for treating locally advanced or metastatic urothelial carcinoma after platinum-containing chemotherapy</w:t>
      </w:r>
      <w:r w:rsidRPr="0037573A">
        <w:rPr>
          <w:rFonts w:cs="Arial"/>
          <w:sz w:val="20"/>
          <w:szCs w:val="20"/>
        </w:rPr>
        <w:t>).</w:t>
      </w:r>
    </w:p>
    <w:p w:rsidRPr="0037573A" w:rsidR="0037573A" w:rsidP="00E22A42" w:rsidRDefault="00D35C31" w14:paraId="619E3842" w14:textId="063A8B55">
      <w:pPr>
        <w:spacing w:before="120" w:after="120"/>
        <w:jc w:val="both"/>
        <w:rPr>
          <w:rFonts w:cs="Arial"/>
          <w:sz w:val="20"/>
          <w:szCs w:val="20"/>
        </w:rPr>
      </w:pPr>
      <w:r w:rsidRPr="00D35C31">
        <w:rPr>
          <w:rFonts w:cs="Arial"/>
          <w:sz w:val="20"/>
          <w:szCs w:val="20"/>
        </w:rPr>
        <w:t xml:space="preserve">In that decision, the </w:t>
      </w:r>
      <w:r w:rsidR="00BC440C">
        <w:rPr>
          <w:rFonts w:cs="Arial"/>
          <w:sz w:val="20"/>
          <w:szCs w:val="20"/>
        </w:rPr>
        <w:t>P</w:t>
      </w:r>
      <w:r w:rsidRPr="00D35C31">
        <w:rPr>
          <w:rFonts w:cs="Arial"/>
          <w:sz w:val="20"/>
          <w:szCs w:val="20"/>
        </w:rPr>
        <w:t>anel held that: “</w:t>
      </w:r>
      <w:r w:rsidRPr="007821F2">
        <w:rPr>
          <w:rFonts w:cs="Arial"/>
          <w:i/>
          <w:iCs/>
          <w:sz w:val="20"/>
          <w:szCs w:val="20"/>
        </w:rPr>
        <w:t>committees should ensure, as far as possible, that their judgements regarding the cost-effective use of NHS resources are consistently applied between appraisals</w:t>
      </w:r>
      <w:r w:rsidRPr="00D35C31">
        <w:rPr>
          <w:rFonts w:cs="Arial"/>
          <w:sz w:val="20"/>
          <w:szCs w:val="20"/>
        </w:rPr>
        <w:t>.”</w:t>
      </w:r>
      <w:r w:rsidRPr="00B73C4C">
        <w:rPr>
          <w:rFonts w:cs="Arial"/>
          <w:sz w:val="20"/>
          <w:szCs w:val="20"/>
          <w:vertAlign w:val="superscript"/>
        </w:rPr>
        <w:footnoteReference w:id="2"/>
      </w:r>
      <w:r w:rsidR="00B73C4C">
        <w:rPr>
          <w:rFonts w:cs="Arial"/>
          <w:sz w:val="20"/>
          <w:szCs w:val="20"/>
        </w:rPr>
        <w:t xml:space="preserve"> </w:t>
      </w:r>
      <w:r w:rsidRPr="0037573A" w:rsidR="0037573A">
        <w:rPr>
          <w:rFonts w:cs="Arial"/>
          <w:sz w:val="20"/>
          <w:szCs w:val="20"/>
        </w:rPr>
        <w:t>Where the subject matter of two appraisals is “sufficiently similar,” Appeal Panels have held (including in appeals against HTA recommendations for PDL1 inhibitors</w:t>
      </w:r>
      <w:r w:rsidR="00BC440C">
        <w:rPr>
          <w:rFonts w:cs="Arial"/>
          <w:sz w:val="20"/>
          <w:szCs w:val="20"/>
        </w:rPr>
        <w:t>)</w:t>
      </w:r>
      <w:r w:rsidRPr="0037573A" w:rsidR="0037573A">
        <w:rPr>
          <w:rFonts w:cs="Arial"/>
          <w:sz w:val="20"/>
          <w:szCs w:val="20"/>
        </w:rPr>
        <w:t xml:space="preserve"> that a “meaningful expectation of consistency” applies.  Amongst other things, this means that “</w:t>
      </w:r>
      <w:r w:rsidRPr="007821F2" w:rsidR="0037573A">
        <w:rPr>
          <w:rFonts w:cs="Arial"/>
          <w:i/>
          <w:iCs/>
          <w:sz w:val="20"/>
          <w:szCs w:val="20"/>
        </w:rPr>
        <w:t>substantial changes from [the] approach in similar appraisals would need to be clearly justified</w:t>
      </w:r>
      <w:r w:rsidRPr="0037573A" w:rsidR="0037573A">
        <w:rPr>
          <w:rFonts w:cs="Arial"/>
          <w:sz w:val="20"/>
          <w:szCs w:val="20"/>
        </w:rPr>
        <w:t xml:space="preserve">.” </w:t>
      </w:r>
    </w:p>
    <w:p w:rsidRPr="00B95314" w:rsidR="00E17660" w:rsidP="00E22A42" w:rsidRDefault="00E17660" w14:paraId="2AE81D91" w14:textId="0EFFE5D8">
      <w:pPr>
        <w:spacing w:before="120" w:after="120"/>
        <w:jc w:val="both"/>
        <w:rPr>
          <w:rFonts w:cs="Arial"/>
          <w:sz w:val="20"/>
          <w:szCs w:val="20"/>
        </w:rPr>
      </w:pPr>
      <w:r w:rsidRPr="00B95314">
        <w:rPr>
          <w:rFonts w:cs="Arial"/>
          <w:sz w:val="20"/>
          <w:szCs w:val="20"/>
        </w:rPr>
        <w:t>In this STA, Regeneron pointed to the precedent of the same Appraisal Committee’s assessment of atezolizumab in TA705, which featured striking similarities between the products, including their mode of action, intended use, the same comparator</w:t>
      </w:r>
      <w:r w:rsidR="00E21E44">
        <w:rPr>
          <w:rFonts w:cs="Arial"/>
          <w:sz w:val="20"/>
          <w:szCs w:val="20"/>
        </w:rPr>
        <w:t xml:space="preserve"> IO</w:t>
      </w:r>
      <w:r w:rsidRPr="00B95314">
        <w:rPr>
          <w:rFonts w:cs="Arial"/>
          <w:sz w:val="20"/>
          <w:szCs w:val="20"/>
        </w:rPr>
        <w:t xml:space="preserve">, similarities in the available clinical evidence, study designs, and </w:t>
      </w:r>
      <w:r w:rsidR="009061DD">
        <w:rPr>
          <w:rFonts w:cs="Arial"/>
          <w:sz w:val="20"/>
          <w:szCs w:val="20"/>
        </w:rPr>
        <w:t xml:space="preserve">both </w:t>
      </w:r>
      <w:r w:rsidRPr="00B95314">
        <w:rPr>
          <w:rFonts w:cs="Arial"/>
          <w:sz w:val="20"/>
          <w:szCs w:val="20"/>
        </w:rPr>
        <w:t xml:space="preserve">companies’ preferred approach to modelling, both using a partitioned survival model with three mutually exclusive health states.  </w:t>
      </w:r>
    </w:p>
    <w:p w:rsidRPr="00B95314" w:rsidR="00E17660" w:rsidP="00E22A42" w:rsidRDefault="00E17660" w14:paraId="485EAD7D" w14:textId="77777777">
      <w:pPr>
        <w:spacing w:before="120" w:after="120"/>
        <w:jc w:val="both"/>
        <w:rPr>
          <w:rFonts w:cs="Arial"/>
          <w:sz w:val="20"/>
          <w:szCs w:val="20"/>
        </w:rPr>
      </w:pPr>
      <w:r w:rsidRPr="00B95314">
        <w:rPr>
          <w:rFonts w:cs="Arial"/>
          <w:sz w:val="20"/>
          <w:szCs w:val="20"/>
        </w:rPr>
        <w:t>We submit that there can be no doubt that – at the very least – a meaningful expectation of consistency must apply between this HTA and TA705.</w:t>
      </w:r>
    </w:p>
    <w:p w:rsidRPr="00B95314" w:rsidR="00E17660" w:rsidP="00E22A42" w:rsidRDefault="00E17660" w14:paraId="70CD9E25" w14:textId="0A213829">
      <w:pPr>
        <w:spacing w:before="120" w:after="120"/>
        <w:jc w:val="both"/>
        <w:rPr>
          <w:rFonts w:cs="Arial"/>
          <w:sz w:val="20"/>
          <w:szCs w:val="20"/>
        </w:rPr>
      </w:pPr>
      <w:r w:rsidRPr="00B95314">
        <w:rPr>
          <w:rFonts w:cs="Arial"/>
          <w:sz w:val="20"/>
          <w:szCs w:val="20"/>
        </w:rPr>
        <w:t>Importantly, a more significant body</w:t>
      </w:r>
      <w:r w:rsidR="009D1532">
        <w:rPr>
          <w:rFonts w:cs="Arial"/>
          <w:sz w:val="20"/>
          <w:szCs w:val="20"/>
        </w:rPr>
        <w:t xml:space="preserve"> of</w:t>
      </w:r>
      <w:r w:rsidRPr="00B95314">
        <w:rPr>
          <w:rFonts w:cs="Arial"/>
          <w:sz w:val="20"/>
          <w:szCs w:val="20"/>
        </w:rPr>
        <w:t xml:space="preserve"> </w:t>
      </w:r>
      <w:r w:rsidR="00F77E95">
        <w:rPr>
          <w:rFonts w:cs="Arial"/>
          <w:sz w:val="20"/>
          <w:szCs w:val="20"/>
        </w:rPr>
        <w:t xml:space="preserve">comparative effectiveness </w:t>
      </w:r>
      <w:r w:rsidRPr="00B95314">
        <w:rPr>
          <w:rFonts w:cs="Arial"/>
          <w:sz w:val="20"/>
          <w:szCs w:val="20"/>
        </w:rPr>
        <w:t xml:space="preserve">evidence is available for </w:t>
      </w:r>
      <w:proofErr w:type="spellStart"/>
      <w:proofErr w:type="gramStart"/>
      <w:r w:rsidRPr="00B95314">
        <w:rPr>
          <w:rFonts w:cs="Arial"/>
          <w:sz w:val="20"/>
          <w:szCs w:val="20"/>
        </w:rPr>
        <w:t>cemiplimab</w:t>
      </w:r>
      <w:proofErr w:type="spellEnd"/>
      <w:proofErr w:type="gramEnd"/>
      <w:r w:rsidRPr="00B95314">
        <w:rPr>
          <w:rFonts w:cs="Arial"/>
          <w:sz w:val="20"/>
          <w:szCs w:val="20"/>
        </w:rPr>
        <w:t xml:space="preserve"> than for </w:t>
      </w:r>
      <w:proofErr w:type="gramStart"/>
      <w:r w:rsidRPr="00B95314">
        <w:rPr>
          <w:rFonts w:cs="Arial"/>
          <w:sz w:val="20"/>
          <w:szCs w:val="20"/>
        </w:rPr>
        <w:t>atezolizumab</w:t>
      </w:r>
      <w:proofErr w:type="gramEnd"/>
      <w:r w:rsidRPr="00B95314">
        <w:rPr>
          <w:rFonts w:cs="Arial"/>
          <w:sz w:val="20"/>
          <w:szCs w:val="20"/>
        </w:rPr>
        <w:t xml:space="preserve"> in TA705, suggesting a lower level of uncertainty for Regeneron’s product.  The Appraisal Committee took a pragmatic approach in TA705 and afforded atezolizumab the benefit of doubt in many key respects relating to evidence.  However, despite Regeneron providing a larger body of evidence to the Committee and an arguably lower level of uncertainty in this appraisal, the same Committee has – inexplicably </w:t>
      </w:r>
      <w:r w:rsidRPr="00B95314" w:rsidR="00A55271">
        <w:rPr>
          <w:rFonts w:cs="Arial"/>
          <w:sz w:val="20"/>
          <w:szCs w:val="20"/>
        </w:rPr>
        <w:t>–</w:t>
      </w:r>
      <w:r w:rsidRPr="00B95314">
        <w:rPr>
          <w:rFonts w:cs="Arial"/>
          <w:sz w:val="20"/>
          <w:szCs w:val="20"/>
        </w:rPr>
        <w:t xml:space="preserve"> taken a less flexible, and inherently more pessimistic, approach to assessing the evidence for </w:t>
      </w:r>
      <w:proofErr w:type="spellStart"/>
      <w:r w:rsidRPr="00B95314">
        <w:rPr>
          <w:rFonts w:cs="Arial"/>
          <w:sz w:val="20"/>
          <w:szCs w:val="20"/>
        </w:rPr>
        <w:t>cemiplimab</w:t>
      </w:r>
      <w:proofErr w:type="spellEnd"/>
      <w:r w:rsidRPr="00B95314">
        <w:rPr>
          <w:rFonts w:cs="Arial"/>
          <w:sz w:val="20"/>
          <w:szCs w:val="20"/>
        </w:rPr>
        <w:t xml:space="preserve">.  </w:t>
      </w:r>
    </w:p>
    <w:p w:rsidRPr="000C6220" w:rsidR="000C6220" w:rsidP="00E22A42" w:rsidRDefault="000C6220" w14:paraId="635B217E" w14:textId="6FAD952C">
      <w:pPr>
        <w:spacing w:before="120" w:after="120"/>
        <w:jc w:val="both"/>
        <w:rPr>
          <w:rFonts w:cs="Arial"/>
          <w:sz w:val="20"/>
          <w:szCs w:val="20"/>
        </w:rPr>
      </w:pPr>
      <w:r w:rsidRPr="000C6220">
        <w:rPr>
          <w:rFonts w:cs="Arial"/>
          <w:sz w:val="20"/>
          <w:szCs w:val="20"/>
        </w:rPr>
        <w:t xml:space="preserve">It is notable that in TA692, the material inconsistency related to the Committee’s preferred estimates of treatment effect duration, where one product was subject to materially different judgements and standards than another, without a clear justification.  In other words, even where the approach in each appraisal might </w:t>
      </w:r>
      <w:proofErr w:type="gramStart"/>
      <w:r w:rsidRPr="000C6220">
        <w:rPr>
          <w:rFonts w:cs="Arial"/>
          <w:sz w:val="20"/>
          <w:szCs w:val="20"/>
        </w:rPr>
        <w:t>– in its own right -- be</w:t>
      </w:r>
      <w:proofErr w:type="gramEnd"/>
      <w:r w:rsidRPr="000C6220">
        <w:rPr>
          <w:rFonts w:cs="Arial"/>
          <w:sz w:val="20"/>
          <w:szCs w:val="20"/>
        </w:rPr>
        <w:t xml:space="preserve"> reasonable, the Appraisal Committee must ensure the approaches are consistent with each other or objectively justify inconsistencies.</w:t>
      </w:r>
    </w:p>
    <w:p w:rsidRPr="00B95314" w:rsidR="00E17660" w:rsidP="00E22A42" w:rsidRDefault="000C6220" w14:paraId="6ED54424" w14:textId="06DF12B8">
      <w:pPr>
        <w:spacing w:before="120" w:after="120"/>
        <w:jc w:val="both"/>
        <w:rPr>
          <w:rFonts w:cs="Arial"/>
          <w:sz w:val="20"/>
          <w:szCs w:val="20"/>
        </w:rPr>
      </w:pPr>
      <w:r w:rsidRPr="000C6220">
        <w:rPr>
          <w:rFonts w:cs="Arial"/>
          <w:sz w:val="20"/>
          <w:szCs w:val="20"/>
        </w:rPr>
        <w:t xml:space="preserve">The comparisons with this appraisal are striking.  There are clearly many differences </w:t>
      </w:r>
      <w:proofErr w:type="gramStart"/>
      <w:r w:rsidRPr="000C6220">
        <w:rPr>
          <w:rFonts w:cs="Arial"/>
          <w:sz w:val="20"/>
          <w:szCs w:val="20"/>
        </w:rPr>
        <w:t>of</w:t>
      </w:r>
      <w:proofErr w:type="gramEnd"/>
      <w:r w:rsidRPr="000C6220">
        <w:rPr>
          <w:rFonts w:cs="Arial"/>
          <w:sz w:val="20"/>
          <w:szCs w:val="20"/>
        </w:rPr>
        <w:t xml:space="preserve"> approach, which we submit are entirely unjustified.</w:t>
      </w:r>
      <w:r w:rsidR="00BC440C">
        <w:rPr>
          <w:rFonts w:cs="Arial"/>
          <w:sz w:val="20"/>
          <w:szCs w:val="20"/>
        </w:rPr>
        <w:t xml:space="preserve"> </w:t>
      </w:r>
      <w:r w:rsidRPr="00B95314" w:rsidR="00E17660">
        <w:rPr>
          <w:rFonts w:cs="Arial"/>
          <w:sz w:val="20"/>
          <w:szCs w:val="20"/>
        </w:rPr>
        <w:t>We would be happy to prepare a detailed description of these should this assist the Appeal Panel.  The below summarizes some key points of divergence:</w:t>
      </w:r>
    </w:p>
    <w:p w:rsidRPr="00B95314" w:rsidR="00E17660" w:rsidP="00E22A42" w:rsidRDefault="00E17660" w14:paraId="5C2F01BB" w14:textId="73522515">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In TA705, trial data provided interim OS analysis at a median 15.7 months</w:t>
      </w:r>
      <w:r w:rsidR="00A22D7F">
        <w:rPr>
          <w:rFonts w:cs="Arial"/>
          <w:sz w:val="20"/>
          <w:szCs w:val="20"/>
        </w:rPr>
        <w:t>’</w:t>
      </w:r>
      <w:r w:rsidRPr="00B95314">
        <w:rPr>
          <w:rFonts w:cs="Arial"/>
          <w:sz w:val="20"/>
          <w:szCs w:val="20"/>
        </w:rPr>
        <w:t xml:space="preserve"> follow-up.  In the current appraisal, OS analysis is at median 28 months. The trial data for </w:t>
      </w:r>
      <w:proofErr w:type="spellStart"/>
      <w:proofErr w:type="gramStart"/>
      <w:r w:rsidRPr="00B95314">
        <w:rPr>
          <w:rFonts w:cs="Arial"/>
          <w:sz w:val="20"/>
          <w:szCs w:val="20"/>
        </w:rPr>
        <w:t>cemiplimab</w:t>
      </w:r>
      <w:proofErr w:type="spellEnd"/>
      <w:proofErr w:type="gramEnd"/>
      <w:r w:rsidRPr="00B95314">
        <w:rPr>
          <w:rFonts w:cs="Arial"/>
          <w:sz w:val="20"/>
          <w:szCs w:val="20"/>
        </w:rPr>
        <w:t xml:space="preserve"> </w:t>
      </w:r>
      <w:proofErr w:type="gramStart"/>
      <w:r w:rsidRPr="00B95314">
        <w:rPr>
          <w:rFonts w:cs="Arial"/>
          <w:sz w:val="20"/>
          <w:szCs w:val="20"/>
        </w:rPr>
        <w:t>are</w:t>
      </w:r>
      <w:proofErr w:type="gramEnd"/>
      <w:r w:rsidRPr="00B95314">
        <w:rPr>
          <w:rFonts w:cs="Arial"/>
          <w:sz w:val="20"/>
          <w:szCs w:val="20"/>
        </w:rPr>
        <w:t xml:space="preserve"> therefore more robust.</w:t>
      </w:r>
    </w:p>
    <w:p w:rsidRPr="00DA74E7" w:rsidR="00E17660" w:rsidP="00E22A42" w:rsidRDefault="00DA74E7" w14:paraId="62A4B158" w14:textId="5DC96568">
      <w:pPr>
        <w:pStyle w:val="ListParagraph"/>
        <w:numPr>
          <w:ilvl w:val="0"/>
          <w:numId w:val="1"/>
        </w:numPr>
        <w:spacing w:before="120" w:after="120"/>
        <w:ind w:left="998" w:hanging="352"/>
        <w:contextualSpacing w:val="0"/>
        <w:jc w:val="both"/>
        <w:rPr>
          <w:rFonts w:cs="Arial"/>
          <w:sz w:val="20"/>
          <w:szCs w:val="20"/>
        </w:rPr>
      </w:pPr>
      <w:r w:rsidRPr="00DA74E7">
        <w:rPr>
          <w:rFonts w:cs="Arial"/>
          <w:sz w:val="20"/>
          <w:szCs w:val="20"/>
        </w:rPr>
        <w:t xml:space="preserve">In TA705, the Committee accepted that there was “no evidence of a significant difference” in efficacy between atezolizumab and pembrolizumab, based on a NMA with wide credible intervals and </w:t>
      </w:r>
      <w:r w:rsidR="00010158">
        <w:rPr>
          <w:rFonts w:cs="Arial"/>
          <w:sz w:val="20"/>
          <w:szCs w:val="20"/>
        </w:rPr>
        <w:t>fluctuating</w:t>
      </w:r>
      <w:r w:rsidRPr="00DA74E7">
        <w:rPr>
          <w:rFonts w:cs="Arial"/>
          <w:sz w:val="20"/>
          <w:szCs w:val="20"/>
        </w:rPr>
        <w:t xml:space="preserve"> point estimates of hazard ratios.  The Committee considered a time-varying NMA model to be acceptable for use in decision making.  In the current appraisal, Regeneron carried out </w:t>
      </w:r>
      <w:proofErr w:type="gramStart"/>
      <w:r w:rsidRPr="00DA74E7">
        <w:rPr>
          <w:rFonts w:cs="Arial"/>
          <w:sz w:val="20"/>
          <w:szCs w:val="20"/>
        </w:rPr>
        <w:t>a NMA</w:t>
      </w:r>
      <w:proofErr w:type="gramEnd"/>
      <w:r w:rsidRPr="00DA74E7">
        <w:rPr>
          <w:rFonts w:cs="Arial"/>
          <w:sz w:val="20"/>
          <w:szCs w:val="20"/>
        </w:rPr>
        <w:t xml:space="preserve"> as well as the additional/alternative MAIC approach</w:t>
      </w:r>
      <w:r w:rsidR="006B239F">
        <w:rPr>
          <w:rFonts w:cs="Arial"/>
          <w:sz w:val="20"/>
          <w:szCs w:val="20"/>
        </w:rPr>
        <w:t xml:space="preserve"> to</w:t>
      </w:r>
      <w:r w:rsidRPr="006B239F" w:rsidR="006B239F">
        <w:rPr>
          <w:rFonts w:cs="Arial"/>
          <w:sz w:val="20"/>
          <w:szCs w:val="20"/>
        </w:rPr>
        <w:t xml:space="preserve"> adjust for potential confounding due to any imbalances in effect modifiers across the study populations</w:t>
      </w:r>
      <w:r w:rsidRPr="00DA74E7">
        <w:rPr>
          <w:rFonts w:cs="Arial"/>
          <w:sz w:val="20"/>
          <w:szCs w:val="20"/>
        </w:rPr>
        <w:t>, which the same Committee nonetheless considered inadequate.</w:t>
      </w:r>
      <w:r w:rsidRPr="00DA74E7" w:rsidR="00F40DBB">
        <w:rPr>
          <w:rFonts w:cs="Arial"/>
          <w:sz w:val="20"/>
          <w:szCs w:val="20"/>
        </w:rPr>
        <w:t xml:space="preserve"> The Committee has not justified this inconsistency.</w:t>
      </w:r>
    </w:p>
    <w:p w:rsidRPr="00B95314" w:rsidR="00E17660" w:rsidP="00E22A42" w:rsidRDefault="00E17660" w14:paraId="6B7163AB" w14:textId="7D51369F">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In TA705, in </w:t>
      </w:r>
      <w:proofErr w:type="gramStart"/>
      <w:r w:rsidRPr="00B95314">
        <w:rPr>
          <w:rFonts w:cs="Arial"/>
          <w:sz w:val="20"/>
          <w:szCs w:val="20"/>
        </w:rPr>
        <w:t>concluding</w:t>
      </w:r>
      <w:proofErr w:type="gramEnd"/>
      <w:r w:rsidRPr="00B95314">
        <w:rPr>
          <w:rFonts w:cs="Arial"/>
          <w:sz w:val="20"/>
          <w:szCs w:val="20"/>
        </w:rPr>
        <w:t xml:space="preserve"> that there was no evidence of a significant difference in efficacy between atezolizumab and pembrolizumab, the Committee </w:t>
      </w:r>
      <w:proofErr w:type="gramStart"/>
      <w:r w:rsidRPr="00B95314">
        <w:rPr>
          <w:rFonts w:cs="Arial"/>
          <w:sz w:val="20"/>
          <w:szCs w:val="20"/>
        </w:rPr>
        <w:t>took into account</w:t>
      </w:r>
      <w:proofErr w:type="gramEnd"/>
      <w:r w:rsidRPr="00B95314">
        <w:rPr>
          <w:rFonts w:cs="Arial"/>
          <w:sz w:val="20"/>
          <w:szCs w:val="20"/>
        </w:rPr>
        <w:t xml:space="preserve"> and paid due regard to the view of clinical experts.  Yet in this appraisal, the Committee appears to have disregarded the views of clinicians (and their professional bodies) who have said the same about </w:t>
      </w:r>
      <w:proofErr w:type="spellStart"/>
      <w:r w:rsidRPr="00B95314">
        <w:rPr>
          <w:rFonts w:cs="Arial"/>
          <w:sz w:val="20"/>
          <w:szCs w:val="20"/>
        </w:rPr>
        <w:t>cemiplimab</w:t>
      </w:r>
      <w:proofErr w:type="spellEnd"/>
      <w:r w:rsidRPr="00B95314">
        <w:rPr>
          <w:rFonts w:cs="Arial"/>
          <w:sz w:val="20"/>
          <w:szCs w:val="20"/>
        </w:rPr>
        <w:t xml:space="preserve"> vs. pembrolizumab. Despite the DGD noting that clinical expert opinions found no meaningful differences in efficacy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there is no mention of this in the FDG and no evidence that the Committee took this into</w:t>
      </w:r>
      <w:r w:rsidR="002316A0">
        <w:rPr>
          <w:rFonts w:cs="Arial"/>
          <w:sz w:val="20"/>
          <w:szCs w:val="20"/>
        </w:rPr>
        <w:t xml:space="preserve"> </w:t>
      </w:r>
      <w:r w:rsidRPr="00B95314" w:rsidR="002316A0">
        <w:rPr>
          <w:rFonts w:cs="Arial"/>
          <w:sz w:val="20"/>
          <w:szCs w:val="20"/>
        </w:rPr>
        <w:t>account</w:t>
      </w:r>
      <w:r w:rsidR="000E17EC">
        <w:rPr>
          <w:rFonts w:cs="Arial"/>
          <w:sz w:val="20"/>
          <w:szCs w:val="20"/>
        </w:rPr>
        <w:t xml:space="preserve"> </w:t>
      </w:r>
      <w:r w:rsidR="002316A0">
        <w:rPr>
          <w:rFonts w:cs="Arial"/>
          <w:sz w:val="20"/>
          <w:szCs w:val="20"/>
        </w:rPr>
        <w:t>in their deliberations</w:t>
      </w:r>
      <w:r w:rsidRPr="00B95314">
        <w:rPr>
          <w:rFonts w:cs="Arial"/>
          <w:sz w:val="20"/>
          <w:szCs w:val="20"/>
        </w:rPr>
        <w:t>.</w:t>
      </w:r>
      <w:r w:rsidRPr="0051775B" w:rsidR="0051775B">
        <w:t xml:space="preserve"> </w:t>
      </w:r>
      <w:r w:rsidRPr="0051775B" w:rsidR="0051775B">
        <w:rPr>
          <w:rFonts w:cs="Arial"/>
          <w:sz w:val="20"/>
          <w:szCs w:val="20"/>
        </w:rPr>
        <w:t>It was right and proper to pay due regard to the views of clinical experts in TA705; we see no justifiable reason for the Committee’s failure to do the same here.</w:t>
      </w:r>
    </w:p>
    <w:p w:rsidRPr="00B95314" w:rsidR="00E17660" w:rsidP="00E22A42" w:rsidRDefault="00E17660" w14:paraId="214750C3" w14:textId="5EF6F3A4">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Despite similar uncertainties being apparent in the OS data for both </w:t>
      </w:r>
      <w:proofErr w:type="spellStart"/>
      <w:r w:rsidRPr="00B95314">
        <w:rPr>
          <w:rFonts w:cs="Arial"/>
          <w:sz w:val="20"/>
          <w:szCs w:val="20"/>
        </w:rPr>
        <w:t>cemiplimab</w:t>
      </w:r>
      <w:proofErr w:type="spellEnd"/>
      <w:r w:rsidRPr="00B95314">
        <w:rPr>
          <w:rFonts w:cs="Arial"/>
          <w:sz w:val="20"/>
          <w:szCs w:val="20"/>
        </w:rPr>
        <w:t xml:space="preserve"> and atezolizumab, the Appraisal Committee only requested a Markov modelling approach to address uncertainty in OS with </w:t>
      </w:r>
      <w:proofErr w:type="spellStart"/>
      <w:proofErr w:type="gramStart"/>
      <w:r w:rsidRPr="00B95314">
        <w:rPr>
          <w:rFonts w:cs="Arial"/>
          <w:sz w:val="20"/>
          <w:szCs w:val="20"/>
        </w:rPr>
        <w:t>cemiplimab</w:t>
      </w:r>
      <w:proofErr w:type="spellEnd"/>
      <w:r w:rsidRPr="00B95314">
        <w:rPr>
          <w:rFonts w:cs="Arial"/>
          <w:sz w:val="20"/>
          <w:szCs w:val="20"/>
        </w:rPr>
        <w:t>, and</w:t>
      </w:r>
      <w:proofErr w:type="gramEnd"/>
      <w:r w:rsidRPr="00B95314">
        <w:rPr>
          <w:rFonts w:cs="Arial"/>
          <w:sz w:val="20"/>
          <w:szCs w:val="20"/>
        </w:rPr>
        <w:t xml:space="preserve"> did not require this for atezolizumab in TA705.  </w:t>
      </w:r>
      <w:r w:rsidRPr="00C77C1E" w:rsidR="00C77C1E">
        <w:rPr>
          <w:rFonts w:cs="Arial"/>
          <w:sz w:val="20"/>
          <w:szCs w:val="20"/>
        </w:rPr>
        <w:t>Subjecting products to materially different standards and requirements without adequate justification is clearly procedurally unfair.</w:t>
      </w:r>
    </w:p>
    <w:p w:rsidRPr="00DC1C87" w:rsidR="00E514A7" w:rsidP="00E22A42" w:rsidRDefault="00E17660" w14:paraId="689A8698" w14:textId="5CCEECA8">
      <w:pPr>
        <w:pStyle w:val="ListParagraph"/>
        <w:numPr>
          <w:ilvl w:val="0"/>
          <w:numId w:val="1"/>
        </w:numPr>
        <w:spacing w:before="120" w:after="120"/>
        <w:ind w:left="998" w:hanging="352"/>
        <w:jc w:val="both"/>
        <w:rPr>
          <w:rFonts w:cs="Arial"/>
          <w:sz w:val="20"/>
          <w:szCs w:val="20"/>
        </w:rPr>
      </w:pPr>
      <w:r w:rsidRPr="00B95314">
        <w:rPr>
          <w:rFonts w:cs="Arial"/>
          <w:sz w:val="20"/>
          <w:szCs w:val="20"/>
        </w:rPr>
        <w:t xml:space="preserve">In TA705, the Committee makes no mention of the impact of crossover treatment in the </w:t>
      </w:r>
      <w:r w:rsidR="00BF35C9">
        <w:rPr>
          <w:rFonts w:cs="Arial"/>
          <w:sz w:val="20"/>
          <w:szCs w:val="20"/>
        </w:rPr>
        <w:t xml:space="preserve">comparator </w:t>
      </w:r>
      <w:r w:rsidRPr="00B95314">
        <w:rPr>
          <w:rFonts w:cs="Arial"/>
          <w:sz w:val="20"/>
          <w:szCs w:val="20"/>
        </w:rPr>
        <w:t xml:space="preserve">studies adding to uncertainty and needing adjustment.  Yet in the current appraisal, </w:t>
      </w:r>
      <w:r w:rsidR="00BF35C9">
        <w:rPr>
          <w:rFonts w:cs="Arial"/>
          <w:sz w:val="20"/>
          <w:szCs w:val="20"/>
        </w:rPr>
        <w:t>crossover in the KEYNOTE studies was highlighted by the Committee as an important area of evidence uncertainty.</w:t>
      </w:r>
    </w:p>
    <w:p w:rsidRPr="00B95314" w:rsidR="00E17660" w:rsidP="00E22A42" w:rsidRDefault="00E17660" w14:paraId="7F1D9E31" w14:textId="7A48739A">
      <w:pPr>
        <w:spacing w:before="120" w:after="120"/>
        <w:jc w:val="both"/>
        <w:rPr>
          <w:rFonts w:cs="Arial"/>
          <w:sz w:val="20"/>
          <w:szCs w:val="20"/>
        </w:rPr>
      </w:pPr>
      <w:r w:rsidRPr="00B95314">
        <w:rPr>
          <w:rFonts w:cs="Arial"/>
          <w:sz w:val="20"/>
          <w:szCs w:val="20"/>
        </w:rPr>
        <w:t>These inconsistencies of approach are material.  The management of uncertainty is a significant factor in the appraisal of oncology therapeutics.  Consistency of approach is therefore key to maintain</w:t>
      </w:r>
      <w:r w:rsidR="00BA3760">
        <w:rPr>
          <w:rFonts w:cs="Arial"/>
          <w:sz w:val="20"/>
          <w:szCs w:val="20"/>
        </w:rPr>
        <w:t>ing</w:t>
      </w:r>
      <w:r w:rsidRPr="00B95314">
        <w:rPr>
          <w:rFonts w:cs="Arial"/>
          <w:sz w:val="20"/>
          <w:szCs w:val="20"/>
        </w:rPr>
        <w:t xml:space="preserve"> equity across products and ensure equitable access to medicines for patients.  The bar must be set at a consistent level, and any differences duly justified. It is entirely unclear why the Appraisal Committee </w:t>
      </w:r>
      <w:r w:rsidR="00E514A7">
        <w:rPr>
          <w:rFonts w:cs="Arial"/>
          <w:sz w:val="20"/>
          <w:szCs w:val="20"/>
        </w:rPr>
        <w:t>appear</w:t>
      </w:r>
      <w:r w:rsidR="00BA3760">
        <w:rPr>
          <w:rFonts w:cs="Arial"/>
          <w:sz w:val="20"/>
          <w:szCs w:val="20"/>
        </w:rPr>
        <w:t>s</w:t>
      </w:r>
      <w:r w:rsidR="00E514A7">
        <w:rPr>
          <w:rFonts w:cs="Arial"/>
          <w:sz w:val="20"/>
          <w:szCs w:val="20"/>
        </w:rPr>
        <w:t xml:space="preserve"> to have </w:t>
      </w:r>
      <w:r w:rsidRPr="00B95314">
        <w:rPr>
          <w:rFonts w:cs="Arial"/>
          <w:sz w:val="20"/>
          <w:szCs w:val="20"/>
        </w:rPr>
        <w:t>set the</w:t>
      </w:r>
      <w:r w:rsidR="00E514A7">
        <w:rPr>
          <w:rFonts w:cs="Arial"/>
          <w:sz w:val="20"/>
          <w:szCs w:val="20"/>
        </w:rPr>
        <w:t xml:space="preserve"> overall</w:t>
      </w:r>
      <w:r w:rsidRPr="00B95314">
        <w:rPr>
          <w:rFonts w:cs="Arial"/>
          <w:sz w:val="20"/>
          <w:szCs w:val="20"/>
        </w:rPr>
        <w:t xml:space="preserve"> evidential bar higher for </w:t>
      </w:r>
      <w:proofErr w:type="spellStart"/>
      <w:r w:rsidRPr="00B95314">
        <w:rPr>
          <w:rFonts w:cs="Arial"/>
          <w:sz w:val="20"/>
          <w:szCs w:val="20"/>
        </w:rPr>
        <w:t>cemiplimab</w:t>
      </w:r>
      <w:proofErr w:type="spellEnd"/>
      <w:r w:rsidRPr="00B95314">
        <w:rPr>
          <w:rFonts w:cs="Arial"/>
          <w:sz w:val="20"/>
          <w:szCs w:val="20"/>
        </w:rPr>
        <w:t xml:space="preserve"> </w:t>
      </w:r>
      <w:r w:rsidR="009074C5">
        <w:rPr>
          <w:rFonts w:cs="Arial"/>
          <w:sz w:val="20"/>
          <w:szCs w:val="20"/>
        </w:rPr>
        <w:t xml:space="preserve">+ chemotherapy </w:t>
      </w:r>
      <w:r w:rsidRPr="00B95314">
        <w:rPr>
          <w:rFonts w:cs="Arial"/>
          <w:sz w:val="20"/>
          <w:szCs w:val="20"/>
        </w:rPr>
        <w:t xml:space="preserve">than atezolizumab in </w:t>
      </w:r>
      <w:r w:rsidRPr="00B95314" w:rsidR="006A2512">
        <w:rPr>
          <w:rFonts w:cs="Arial"/>
          <w:sz w:val="20"/>
          <w:szCs w:val="20"/>
        </w:rPr>
        <w:t>TA705</w:t>
      </w:r>
      <w:r w:rsidR="006A2512">
        <w:rPr>
          <w:rFonts w:cs="Arial"/>
          <w:sz w:val="20"/>
          <w:szCs w:val="20"/>
        </w:rPr>
        <w:t xml:space="preserve">, despite the more </w:t>
      </w:r>
      <w:r w:rsidR="009074C5">
        <w:rPr>
          <w:rFonts w:cs="Arial"/>
          <w:sz w:val="20"/>
          <w:szCs w:val="20"/>
        </w:rPr>
        <w:t xml:space="preserve">robust evidence available for </w:t>
      </w:r>
      <w:proofErr w:type="spellStart"/>
      <w:r w:rsidR="009074C5">
        <w:rPr>
          <w:rFonts w:cs="Arial"/>
          <w:sz w:val="20"/>
          <w:szCs w:val="20"/>
        </w:rPr>
        <w:t>cemiplimab</w:t>
      </w:r>
      <w:proofErr w:type="spellEnd"/>
      <w:r w:rsidR="009074C5">
        <w:rPr>
          <w:rFonts w:cs="Arial"/>
          <w:sz w:val="20"/>
          <w:szCs w:val="20"/>
        </w:rPr>
        <w:t xml:space="preserve"> + chemotherapy</w:t>
      </w:r>
      <w:r w:rsidRPr="00B95314" w:rsidR="006A2512">
        <w:rPr>
          <w:rFonts w:cs="Arial"/>
          <w:sz w:val="20"/>
          <w:szCs w:val="20"/>
        </w:rPr>
        <w:t>.</w:t>
      </w:r>
    </w:p>
    <w:p w:rsidRPr="00B95314" w:rsidR="00E17660" w:rsidP="00E22A42" w:rsidRDefault="00E17660" w14:paraId="03E983CE" w14:textId="2ADF3402">
      <w:pPr>
        <w:spacing w:before="120" w:after="120"/>
        <w:jc w:val="both"/>
        <w:rPr>
          <w:rFonts w:cs="Arial"/>
          <w:sz w:val="20"/>
          <w:szCs w:val="20"/>
        </w:rPr>
      </w:pPr>
      <w:r w:rsidRPr="00B95314">
        <w:rPr>
          <w:rFonts w:cs="Arial"/>
          <w:sz w:val="20"/>
          <w:szCs w:val="20"/>
        </w:rPr>
        <w:t>Adopting inconsistent approaches to the same areas of uncertainty in similar appraisals, without adequate explanation is, by its nature, procedurally unfair.  Regeneron maintains that</w:t>
      </w:r>
      <w:r w:rsidR="00BA3760">
        <w:rPr>
          <w:rFonts w:cs="Arial"/>
          <w:sz w:val="20"/>
          <w:szCs w:val="20"/>
        </w:rPr>
        <w:t>,</w:t>
      </w:r>
      <w:r w:rsidRPr="00B95314">
        <w:rPr>
          <w:rFonts w:cs="Arial"/>
          <w:sz w:val="20"/>
          <w:szCs w:val="20"/>
        </w:rPr>
        <w:t xml:space="preserve"> had the Appraisal Committee taken a methodological approach consistent with TA705, it would have concluded that there were no clinically meaningful differences between </w:t>
      </w:r>
      <w:proofErr w:type="spellStart"/>
      <w:r w:rsidRPr="00B95314">
        <w:rPr>
          <w:rFonts w:cs="Arial"/>
          <w:sz w:val="20"/>
          <w:szCs w:val="20"/>
        </w:rPr>
        <w:t>cemiplimab</w:t>
      </w:r>
      <w:proofErr w:type="spellEnd"/>
      <w:r w:rsidRPr="00B95314">
        <w:rPr>
          <w:rFonts w:cs="Arial"/>
          <w:sz w:val="20"/>
          <w:szCs w:val="20"/>
        </w:rPr>
        <w:t xml:space="preserve"> </w:t>
      </w:r>
      <w:r w:rsidR="00A40DB0">
        <w:rPr>
          <w:rFonts w:cs="Arial"/>
          <w:sz w:val="20"/>
          <w:szCs w:val="20"/>
        </w:rPr>
        <w:t>+</w:t>
      </w:r>
      <w:r w:rsidRPr="00B95314" w:rsidR="00A40DB0">
        <w:rPr>
          <w:rFonts w:cs="Arial"/>
          <w:sz w:val="20"/>
          <w:szCs w:val="20"/>
        </w:rPr>
        <w:t xml:space="preserve"> </w:t>
      </w:r>
      <w:r w:rsidRPr="00B95314">
        <w:rPr>
          <w:rFonts w:cs="Arial"/>
          <w:sz w:val="20"/>
          <w:szCs w:val="20"/>
        </w:rPr>
        <w:t xml:space="preserve">chemotherapy and pembrolizumab </w:t>
      </w:r>
      <w:r w:rsidR="00A40DB0">
        <w:rPr>
          <w:rFonts w:cs="Arial"/>
          <w:sz w:val="20"/>
          <w:szCs w:val="20"/>
        </w:rPr>
        <w:t>+</w:t>
      </w:r>
      <w:r w:rsidRPr="00B95314" w:rsidR="00A40DB0">
        <w:rPr>
          <w:rFonts w:cs="Arial"/>
          <w:sz w:val="20"/>
          <w:szCs w:val="20"/>
        </w:rPr>
        <w:t xml:space="preserve"> </w:t>
      </w:r>
      <w:r w:rsidRPr="00B95314">
        <w:rPr>
          <w:rFonts w:cs="Arial"/>
          <w:sz w:val="20"/>
          <w:szCs w:val="20"/>
        </w:rPr>
        <w:t xml:space="preserve">chemotherapy for PFS or OS. The Committee </w:t>
      </w:r>
      <w:r w:rsidR="00DE3A15">
        <w:rPr>
          <w:rFonts w:cs="Arial"/>
          <w:sz w:val="20"/>
          <w:szCs w:val="20"/>
        </w:rPr>
        <w:t xml:space="preserve">should </w:t>
      </w:r>
      <w:r w:rsidRPr="00B95314">
        <w:rPr>
          <w:rFonts w:cs="Arial"/>
          <w:sz w:val="20"/>
          <w:szCs w:val="20"/>
        </w:rPr>
        <w:t xml:space="preserve">therefore have been </w:t>
      </w:r>
      <w:proofErr w:type="gramStart"/>
      <w:r w:rsidRPr="00B95314">
        <w:rPr>
          <w:rFonts w:cs="Arial"/>
          <w:sz w:val="20"/>
          <w:szCs w:val="20"/>
        </w:rPr>
        <w:t>in a position</w:t>
      </w:r>
      <w:proofErr w:type="gramEnd"/>
      <w:r w:rsidRPr="00B95314">
        <w:rPr>
          <w:rFonts w:cs="Arial"/>
          <w:sz w:val="20"/>
          <w:szCs w:val="20"/>
        </w:rPr>
        <w:t xml:space="preserve"> to </w:t>
      </w:r>
      <w:r w:rsidR="008D586C">
        <w:rPr>
          <w:rFonts w:cs="Arial"/>
          <w:sz w:val="20"/>
          <w:szCs w:val="20"/>
        </w:rPr>
        <w:t xml:space="preserve">determine preferred cost-effectiveness </w:t>
      </w:r>
      <w:r w:rsidR="00DE3A15">
        <w:rPr>
          <w:rFonts w:cs="Arial"/>
          <w:sz w:val="20"/>
          <w:szCs w:val="20"/>
        </w:rPr>
        <w:t xml:space="preserve">model </w:t>
      </w:r>
      <w:r w:rsidR="008D586C">
        <w:rPr>
          <w:rFonts w:cs="Arial"/>
          <w:sz w:val="20"/>
          <w:szCs w:val="20"/>
        </w:rPr>
        <w:t xml:space="preserve">assumptions </w:t>
      </w:r>
      <w:r w:rsidR="00DE3A15">
        <w:rPr>
          <w:rFonts w:cs="Arial"/>
          <w:sz w:val="20"/>
          <w:szCs w:val="20"/>
        </w:rPr>
        <w:t>or meaningfully consider</w:t>
      </w:r>
      <w:r w:rsidRPr="00B95314">
        <w:rPr>
          <w:rFonts w:cs="Arial"/>
          <w:sz w:val="20"/>
          <w:szCs w:val="20"/>
        </w:rPr>
        <w:t xml:space="preserve"> cost</w:t>
      </w:r>
      <w:r w:rsidR="00DE3A15">
        <w:rPr>
          <w:rFonts w:cs="Arial"/>
          <w:sz w:val="20"/>
          <w:szCs w:val="20"/>
        </w:rPr>
        <w:t xml:space="preserve"> </w:t>
      </w:r>
      <w:r w:rsidRPr="00B95314">
        <w:rPr>
          <w:rFonts w:cs="Arial"/>
          <w:sz w:val="20"/>
          <w:szCs w:val="20"/>
        </w:rPr>
        <w:t>comparison</w:t>
      </w:r>
      <w:r w:rsidR="00DE3A15">
        <w:rPr>
          <w:rFonts w:cs="Arial"/>
          <w:sz w:val="20"/>
          <w:szCs w:val="20"/>
        </w:rPr>
        <w:t xml:space="preserve"> scenarios</w:t>
      </w:r>
      <w:r w:rsidRPr="00B95314">
        <w:rPr>
          <w:rFonts w:cs="Arial"/>
          <w:sz w:val="20"/>
          <w:szCs w:val="20"/>
        </w:rPr>
        <w:t xml:space="preserve"> between </w:t>
      </w:r>
      <w:proofErr w:type="spellStart"/>
      <w:proofErr w:type="gramStart"/>
      <w:r w:rsidRPr="00B95314">
        <w:rPr>
          <w:rFonts w:cs="Arial"/>
          <w:sz w:val="20"/>
          <w:szCs w:val="20"/>
        </w:rPr>
        <w:t>cemiplimab</w:t>
      </w:r>
      <w:proofErr w:type="spellEnd"/>
      <w:proofErr w:type="gramEnd"/>
      <w:r w:rsidRPr="00B95314">
        <w:rPr>
          <w:rFonts w:cs="Arial"/>
          <w:sz w:val="20"/>
          <w:szCs w:val="20"/>
        </w:rPr>
        <w:t xml:space="preserve"> and pembrolizumab.</w:t>
      </w:r>
    </w:p>
    <w:p w:rsidRPr="00B95314" w:rsidR="00E17660" w:rsidP="00E22A42" w:rsidRDefault="00E17660" w14:paraId="260F5A97" w14:textId="77777777">
      <w:pPr>
        <w:spacing w:before="120" w:after="120"/>
        <w:jc w:val="both"/>
        <w:rPr>
          <w:rFonts w:cs="Arial"/>
          <w:sz w:val="20"/>
          <w:szCs w:val="20"/>
        </w:rPr>
      </w:pPr>
      <w:r w:rsidRPr="00B95314">
        <w:rPr>
          <w:rFonts w:cs="Arial"/>
          <w:sz w:val="20"/>
          <w:szCs w:val="20"/>
        </w:rPr>
        <w:t xml:space="preserve">Note, the Appraisal Committee to some degree seeks to justify the differences in approach between this appraisal and TA705 at Section 3.8 of the FDG, where it indicates that Roche (in TA705) took a conservative approach to modelling cost-effectiveness.  We address this point specifically under Appeal Ground 2.5.  </w:t>
      </w:r>
      <w:proofErr w:type="gramStart"/>
      <w:r w:rsidRPr="00B95314">
        <w:rPr>
          <w:rFonts w:cs="Arial"/>
          <w:sz w:val="20"/>
          <w:szCs w:val="20"/>
        </w:rPr>
        <w:t>It is clear that in</w:t>
      </w:r>
      <w:proofErr w:type="gramEnd"/>
      <w:r w:rsidRPr="00B95314">
        <w:rPr>
          <w:rFonts w:cs="Arial"/>
          <w:sz w:val="20"/>
          <w:szCs w:val="20"/>
        </w:rPr>
        <w:t xml:space="preserve"> this appraisal, the Committee has failed to take account of evidence demonstrating that Regeneron’s approach to modelling was indeed conservative.  The Committee’s attempted justification does not withstand scrutiny and demonstrates a lack of proper engagement with the evidence put before it.</w:t>
      </w:r>
    </w:p>
    <w:p w:rsidRPr="00B95314" w:rsidR="00071EDC" w:rsidP="00E22A42" w:rsidRDefault="00071EDC" w14:paraId="66ACB143" w14:textId="77777777">
      <w:pPr>
        <w:spacing w:before="120" w:after="120"/>
        <w:jc w:val="both"/>
        <w:rPr>
          <w:rFonts w:cs="Arial"/>
          <w:b/>
          <w:bCs/>
          <w:sz w:val="20"/>
          <w:szCs w:val="20"/>
        </w:rPr>
      </w:pPr>
    </w:p>
    <w:p w:rsidRPr="007821F2" w:rsidR="00E17660" w:rsidP="007821F2" w:rsidRDefault="00E17660" w14:paraId="16D1EF6B" w14:textId="6EB9BDA1">
      <w:pPr>
        <w:pStyle w:val="Heading2"/>
        <w:rPr>
          <w:rFonts w:cs="Arial"/>
          <w:b/>
          <w:bCs/>
          <w:i/>
          <w:iCs/>
          <w:sz w:val="20"/>
          <w:szCs w:val="20"/>
        </w:rPr>
      </w:pPr>
      <w:r w:rsidRPr="007821F2">
        <w:rPr>
          <w:rFonts w:ascii="Arial" w:hAnsi="Arial" w:cs="Arial"/>
          <w:b/>
          <w:bCs/>
          <w:i/>
          <w:iCs/>
          <w:sz w:val="20"/>
          <w:szCs w:val="20"/>
        </w:rPr>
        <w:t xml:space="preserve">Appeal Ground 1a.2 – The Appraisal Committee failed to consider adequately material evidence regarding PFS provided by Regeneron.  Public bodies are required to </w:t>
      </w:r>
      <w:proofErr w:type="gramStart"/>
      <w:r w:rsidRPr="007821F2">
        <w:rPr>
          <w:rFonts w:ascii="Arial" w:hAnsi="Arial" w:cs="Arial"/>
          <w:b/>
          <w:bCs/>
          <w:i/>
          <w:iCs/>
          <w:sz w:val="20"/>
          <w:szCs w:val="20"/>
        </w:rPr>
        <w:t>give proper consideration to</w:t>
      </w:r>
      <w:proofErr w:type="gramEnd"/>
      <w:r w:rsidRPr="007821F2">
        <w:rPr>
          <w:rFonts w:ascii="Arial" w:hAnsi="Arial" w:cs="Arial"/>
          <w:b/>
          <w:bCs/>
          <w:i/>
          <w:iCs/>
          <w:sz w:val="20"/>
          <w:szCs w:val="20"/>
        </w:rPr>
        <w:t xml:space="preserve"> stakeholder submissions and, where relevant, to justify any decision </w:t>
      </w:r>
      <w:proofErr w:type="gramStart"/>
      <w:r w:rsidRPr="007821F2">
        <w:rPr>
          <w:rFonts w:ascii="Arial" w:hAnsi="Arial" w:cs="Arial"/>
          <w:b/>
          <w:bCs/>
          <w:i/>
          <w:iCs/>
          <w:sz w:val="20"/>
          <w:szCs w:val="20"/>
        </w:rPr>
        <w:t>to not</w:t>
      </w:r>
      <w:proofErr w:type="gramEnd"/>
      <w:r w:rsidRPr="007821F2">
        <w:rPr>
          <w:rFonts w:ascii="Arial" w:hAnsi="Arial" w:cs="Arial"/>
          <w:b/>
          <w:bCs/>
          <w:i/>
          <w:iCs/>
          <w:sz w:val="20"/>
          <w:szCs w:val="20"/>
        </w:rPr>
        <w:t xml:space="preserve"> accept them.  The Appraisal Committee’s failure to do so was procedurally unfair and prejudiced Regeneron and its product.</w:t>
      </w:r>
    </w:p>
    <w:p w:rsidRPr="00B95314" w:rsidR="00E17660" w:rsidP="00E22A42" w:rsidRDefault="00E17660" w14:paraId="0EDAA275" w14:textId="03FB0289">
      <w:pPr>
        <w:spacing w:before="240" w:after="120"/>
        <w:jc w:val="both"/>
        <w:rPr>
          <w:rFonts w:cs="Arial"/>
          <w:sz w:val="20"/>
          <w:szCs w:val="20"/>
        </w:rPr>
      </w:pPr>
      <w:r w:rsidRPr="7664365B">
        <w:rPr>
          <w:rFonts w:cs="Arial"/>
          <w:sz w:val="20"/>
          <w:szCs w:val="20"/>
        </w:rPr>
        <w:t xml:space="preserve">Given Regeneron’s view that a Markov model was </w:t>
      </w:r>
      <w:r w:rsidR="006B6034">
        <w:rPr>
          <w:rFonts w:cs="Arial"/>
          <w:sz w:val="20"/>
          <w:szCs w:val="20"/>
        </w:rPr>
        <w:t xml:space="preserve">wholly </w:t>
      </w:r>
      <w:r w:rsidRPr="7664365B">
        <w:rPr>
          <w:rFonts w:cs="Arial"/>
          <w:sz w:val="20"/>
          <w:szCs w:val="20"/>
        </w:rPr>
        <w:t xml:space="preserve">inappropriate in the context Regeneron considered a range of other options. The importance that the Committee had placed on PFS in its preferred modelling approach led Regeneron to generate and provide MAICs in the expectation that this would address the Committee’s concerns and adequately reduce the uncertainty about the comparative effectiveness of </w:t>
      </w:r>
      <w:proofErr w:type="spellStart"/>
      <w:r w:rsidRPr="7664365B">
        <w:rPr>
          <w:rFonts w:cs="Arial"/>
          <w:sz w:val="20"/>
          <w:szCs w:val="20"/>
        </w:rPr>
        <w:t>cemiplimab</w:t>
      </w:r>
      <w:proofErr w:type="spellEnd"/>
      <w:r w:rsidRPr="7664365B">
        <w:rPr>
          <w:rFonts w:cs="Arial"/>
          <w:sz w:val="20"/>
          <w:szCs w:val="20"/>
        </w:rPr>
        <w:t xml:space="preserve"> and pembrolizumab on PFS.  The MAIC analyses adjusted</w:t>
      </w:r>
      <w:r w:rsidR="00BA3760">
        <w:rPr>
          <w:rFonts w:cs="Arial"/>
          <w:sz w:val="20"/>
          <w:szCs w:val="20"/>
        </w:rPr>
        <w:t>,</w:t>
      </w:r>
      <w:r w:rsidRPr="7664365B">
        <w:rPr>
          <w:rFonts w:cs="Arial"/>
          <w:sz w:val="20"/>
          <w:szCs w:val="20"/>
        </w:rPr>
        <w:t xml:space="preserve"> as far as available data allow</w:t>
      </w:r>
      <w:r w:rsidR="00BA3760">
        <w:rPr>
          <w:rFonts w:cs="Arial"/>
          <w:sz w:val="20"/>
          <w:szCs w:val="20"/>
        </w:rPr>
        <w:t>,</w:t>
      </w:r>
      <w:r w:rsidRPr="7664365B">
        <w:rPr>
          <w:rFonts w:cs="Arial"/>
          <w:sz w:val="20"/>
          <w:szCs w:val="20"/>
        </w:rPr>
        <w:t xml:space="preserve"> for differences in treatment effect modifiers.  MAICs were also provided for OS, including adjustment for treatment crossover in the KEYNOTE trials</w:t>
      </w:r>
      <w:r w:rsidR="00BA3760">
        <w:rPr>
          <w:rFonts w:cs="Arial"/>
          <w:sz w:val="20"/>
          <w:szCs w:val="20"/>
        </w:rPr>
        <w:t>,</w:t>
      </w:r>
      <w:r w:rsidRPr="7664365B">
        <w:rPr>
          <w:rFonts w:cs="Arial"/>
          <w:sz w:val="20"/>
          <w:szCs w:val="20"/>
        </w:rPr>
        <w:t xml:space="preserve"> where data allowed (published crossover-adjusted analyses were available only for KEYNOTE-407)</w:t>
      </w:r>
    </w:p>
    <w:p w:rsidRPr="00B95314" w:rsidR="00E17660" w:rsidP="00E22A42" w:rsidRDefault="00E17660" w14:paraId="63CE48DF" w14:textId="4BD9B6D9">
      <w:pPr>
        <w:spacing w:before="120" w:after="120"/>
        <w:jc w:val="both"/>
        <w:rPr>
          <w:rFonts w:cs="Arial"/>
          <w:sz w:val="20"/>
          <w:szCs w:val="20"/>
        </w:rPr>
      </w:pPr>
      <w:r w:rsidRPr="00B95314">
        <w:rPr>
          <w:rFonts w:cs="Arial"/>
          <w:sz w:val="20"/>
          <w:szCs w:val="20"/>
        </w:rPr>
        <w:t xml:space="preserve">While these MAICs did not </w:t>
      </w:r>
      <w:proofErr w:type="gramStart"/>
      <w:r w:rsidRPr="00B95314">
        <w:rPr>
          <w:rFonts w:cs="Arial"/>
          <w:sz w:val="20"/>
          <w:szCs w:val="20"/>
        </w:rPr>
        <w:t>completely eliminate</w:t>
      </w:r>
      <w:proofErr w:type="gramEnd"/>
      <w:r w:rsidRPr="00B95314">
        <w:rPr>
          <w:rFonts w:cs="Arial"/>
          <w:sz w:val="20"/>
          <w:szCs w:val="20"/>
        </w:rPr>
        <w:t xml:space="preserve"> all the uncertainty, they constituted a substantial body of evidence that significantly reduces uncertainty</w:t>
      </w:r>
      <w:r w:rsidR="00BF35C9">
        <w:rPr>
          <w:rFonts w:cs="Arial"/>
          <w:sz w:val="20"/>
          <w:szCs w:val="20"/>
        </w:rPr>
        <w:t xml:space="preserve">, </w:t>
      </w:r>
      <w:r w:rsidRPr="00BF35C9" w:rsidR="00BF35C9">
        <w:rPr>
          <w:rFonts w:cs="Arial"/>
          <w:sz w:val="20"/>
          <w:szCs w:val="20"/>
        </w:rPr>
        <w:t xml:space="preserve">generating point estimates for PFS that were in </w:t>
      </w:r>
      <w:proofErr w:type="spellStart"/>
      <w:r w:rsidRPr="00BF35C9" w:rsidR="00BF35C9">
        <w:rPr>
          <w:rFonts w:cs="Arial"/>
          <w:sz w:val="20"/>
          <w:szCs w:val="20"/>
        </w:rPr>
        <w:t>favour</w:t>
      </w:r>
      <w:proofErr w:type="spellEnd"/>
      <w:r w:rsidRPr="00BF35C9" w:rsidR="00BF35C9">
        <w:rPr>
          <w:rFonts w:cs="Arial"/>
          <w:sz w:val="20"/>
          <w:szCs w:val="20"/>
        </w:rPr>
        <w:t xml:space="preserve"> of </w:t>
      </w:r>
      <w:proofErr w:type="spellStart"/>
      <w:r w:rsidRPr="00BF35C9" w:rsidR="00BF35C9">
        <w:rPr>
          <w:rFonts w:cs="Arial"/>
          <w:sz w:val="20"/>
          <w:szCs w:val="20"/>
        </w:rPr>
        <w:t>cemiplimab</w:t>
      </w:r>
      <w:proofErr w:type="spellEnd"/>
      <w:r w:rsidRPr="00BF35C9" w:rsidR="00BF35C9">
        <w:rPr>
          <w:rFonts w:cs="Arial"/>
          <w:sz w:val="20"/>
          <w:szCs w:val="20"/>
        </w:rPr>
        <w:t xml:space="preserve"> plus chemotherapy and thus consistent directionally with the point estimates for OS. The results </w:t>
      </w:r>
      <w:r w:rsidRPr="00B95314">
        <w:rPr>
          <w:rFonts w:cs="Arial"/>
          <w:sz w:val="20"/>
          <w:szCs w:val="20"/>
        </w:rPr>
        <w:t xml:space="preserve">supported the conclusion that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are ultimately very similar in terms of efficacy and safety. </w:t>
      </w:r>
    </w:p>
    <w:p w:rsidRPr="00B95314" w:rsidR="002B5AB9" w:rsidP="00E22A42" w:rsidRDefault="002B5AB9" w14:paraId="7F4040BA" w14:textId="77777777">
      <w:pPr>
        <w:spacing w:before="120" w:after="120"/>
        <w:jc w:val="both"/>
        <w:rPr>
          <w:rFonts w:cs="Arial"/>
          <w:sz w:val="20"/>
          <w:szCs w:val="20"/>
        </w:rPr>
      </w:pPr>
      <w:r w:rsidRPr="00B95314">
        <w:rPr>
          <w:rFonts w:cs="Arial"/>
          <w:sz w:val="20"/>
          <w:szCs w:val="20"/>
        </w:rPr>
        <w:t>In particular, the MAICs demonstrated that:</w:t>
      </w:r>
    </w:p>
    <w:p w:rsidRPr="00B95314" w:rsidR="002B5AB9" w:rsidP="00E22A42" w:rsidRDefault="002B5AB9" w14:paraId="5F002E15" w14:textId="7777777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Even when adjusted for differences in treatment effect modifiers, the treatment effects remained indicative of no clinically meaningful differences in efficacy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and chemotherapy.</w:t>
      </w:r>
    </w:p>
    <w:p w:rsidRPr="00B95314" w:rsidR="002B5AB9" w:rsidP="00E22A42" w:rsidRDefault="002B5AB9" w14:paraId="24F4C80D" w14:textId="537C236E">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The imbalances in treatment effect modifiers in the NMAs, that were a cause of the Committee’s concerns, were</w:t>
      </w:r>
      <w:r w:rsidR="00C261EF">
        <w:rPr>
          <w:rFonts w:cs="Arial"/>
          <w:sz w:val="20"/>
          <w:szCs w:val="20"/>
        </w:rPr>
        <w:t xml:space="preserve"> potentially</w:t>
      </w:r>
      <w:r w:rsidRPr="00B95314">
        <w:rPr>
          <w:rFonts w:cs="Arial"/>
          <w:sz w:val="20"/>
          <w:szCs w:val="20"/>
        </w:rPr>
        <w:t xml:space="preserve"> biasing the NMAs in </w:t>
      </w:r>
      <w:proofErr w:type="spellStart"/>
      <w:r w:rsidRPr="00B95314">
        <w:rPr>
          <w:rFonts w:cs="Arial"/>
          <w:sz w:val="20"/>
          <w:szCs w:val="20"/>
        </w:rPr>
        <w:t>favour</w:t>
      </w:r>
      <w:proofErr w:type="spellEnd"/>
      <w:r w:rsidRPr="00B95314">
        <w:rPr>
          <w:rFonts w:cs="Arial"/>
          <w:sz w:val="20"/>
          <w:szCs w:val="20"/>
        </w:rPr>
        <w:t xml:space="preserve"> of pembrolizumab.</w:t>
      </w:r>
    </w:p>
    <w:p w:rsidRPr="00B95314" w:rsidR="002B5AB9" w:rsidP="00E22A42" w:rsidRDefault="002B5AB9" w14:paraId="5DAB6E31" w14:textId="5C68083A">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When adjusted for the differences in treatment effect modifiers, </w:t>
      </w:r>
      <w:proofErr w:type="spellStart"/>
      <w:r w:rsidRPr="00B95314">
        <w:rPr>
          <w:rFonts w:cs="Arial"/>
          <w:sz w:val="20"/>
          <w:szCs w:val="20"/>
        </w:rPr>
        <w:t>cemiplimab</w:t>
      </w:r>
      <w:proofErr w:type="spellEnd"/>
      <w:r w:rsidRPr="00B95314">
        <w:rPr>
          <w:rFonts w:cs="Arial"/>
          <w:sz w:val="20"/>
          <w:szCs w:val="20"/>
        </w:rPr>
        <w:t xml:space="preserve"> is marginally but not statistically significantly more effective than pembrolizumab.</w:t>
      </w:r>
    </w:p>
    <w:p w:rsidRPr="00B95314" w:rsidR="002B5AB9" w:rsidP="00E22A42" w:rsidRDefault="002B5AB9" w14:paraId="14AF34FB" w14:textId="77777777">
      <w:pPr>
        <w:spacing w:before="120" w:after="120"/>
        <w:jc w:val="both"/>
        <w:rPr>
          <w:rFonts w:cs="Arial"/>
          <w:sz w:val="20"/>
          <w:szCs w:val="20"/>
        </w:rPr>
      </w:pPr>
      <w:r w:rsidRPr="00B95314">
        <w:rPr>
          <w:rFonts w:cs="Arial"/>
          <w:sz w:val="20"/>
          <w:szCs w:val="20"/>
        </w:rPr>
        <w:t xml:space="preserve">For completeness, Regeneron acknowledges that OS follow up is shorter for </w:t>
      </w:r>
      <w:proofErr w:type="spellStart"/>
      <w:r w:rsidRPr="00B95314">
        <w:rPr>
          <w:rFonts w:cs="Arial"/>
          <w:sz w:val="20"/>
          <w:szCs w:val="20"/>
        </w:rPr>
        <w:t>cemiplimab</w:t>
      </w:r>
      <w:proofErr w:type="spellEnd"/>
      <w:r w:rsidRPr="00B95314">
        <w:rPr>
          <w:rFonts w:cs="Arial"/>
          <w:sz w:val="20"/>
          <w:szCs w:val="20"/>
        </w:rPr>
        <w:t xml:space="preserve"> than for pembrolizumab.  However, the residual uncertainties in OS stem from the limited publicly available data for pembrolizumab, rather than uncertainties in the </w:t>
      </w:r>
      <w:proofErr w:type="spellStart"/>
      <w:r w:rsidRPr="00B95314">
        <w:rPr>
          <w:rFonts w:cs="Arial"/>
          <w:sz w:val="20"/>
          <w:szCs w:val="20"/>
        </w:rPr>
        <w:t>cemiplimab</w:t>
      </w:r>
      <w:proofErr w:type="spellEnd"/>
      <w:r w:rsidRPr="00B95314">
        <w:rPr>
          <w:rFonts w:cs="Arial"/>
          <w:sz w:val="20"/>
          <w:szCs w:val="20"/>
        </w:rPr>
        <w:t xml:space="preserve"> trial data.</w:t>
      </w:r>
    </w:p>
    <w:p w:rsidRPr="00B95314" w:rsidR="00BA3760" w:rsidP="00E22A42" w:rsidRDefault="002B5AB9" w14:paraId="5471851B" w14:textId="7C5A2B05">
      <w:pPr>
        <w:spacing w:before="120" w:after="120"/>
        <w:jc w:val="both"/>
        <w:rPr>
          <w:rFonts w:cs="Arial"/>
          <w:sz w:val="20"/>
          <w:szCs w:val="20"/>
        </w:rPr>
      </w:pPr>
      <w:r w:rsidRPr="00B95314">
        <w:rPr>
          <w:rFonts w:cs="Arial"/>
          <w:sz w:val="20"/>
          <w:szCs w:val="20"/>
        </w:rPr>
        <w:t>In preparing and submitting the MAICs, Regeneron did everything reasonably possible to address the Committee’s uncertainties, keeping in mind (a) the limits of publicly available comparator data; and (b) that the requested Markov model was unsuitable.  Indeed, the MAIC approach ha</w:t>
      </w:r>
      <w:r w:rsidR="00FE0085">
        <w:rPr>
          <w:rFonts w:cs="Arial"/>
          <w:sz w:val="20"/>
          <w:szCs w:val="20"/>
        </w:rPr>
        <w:t>s</w:t>
      </w:r>
      <w:r w:rsidRPr="00B95314">
        <w:rPr>
          <w:rFonts w:cs="Arial"/>
          <w:sz w:val="20"/>
          <w:szCs w:val="20"/>
        </w:rPr>
        <w:t xml:space="preserve"> better utility and relevance compared to the preferred Markov approach</w:t>
      </w:r>
      <w:r w:rsidR="00FE0085">
        <w:rPr>
          <w:rFonts w:cs="Arial"/>
          <w:sz w:val="20"/>
          <w:szCs w:val="20"/>
        </w:rPr>
        <w:t>,</w:t>
      </w:r>
      <w:r w:rsidR="000C38A1">
        <w:rPr>
          <w:rFonts w:cs="Arial"/>
          <w:sz w:val="20"/>
          <w:szCs w:val="20"/>
        </w:rPr>
        <w:t xml:space="preserve"> as it m</w:t>
      </w:r>
      <w:r w:rsidRPr="000C38A1" w:rsidR="000C38A1">
        <w:rPr>
          <w:rFonts w:cs="Arial"/>
          <w:sz w:val="20"/>
          <w:szCs w:val="20"/>
        </w:rPr>
        <w:t>akes fuller use of all relevant data and provides a basis for adjusting for potential imbalances in effect modifiers and allowing for impact of cross-over to be explicitly considered.</w:t>
      </w:r>
    </w:p>
    <w:p w:rsidRPr="00B95314" w:rsidR="00E17660" w:rsidP="00E22A42" w:rsidRDefault="00E17660" w14:paraId="4D98DE37" w14:textId="77777777">
      <w:pPr>
        <w:spacing w:before="120" w:after="120"/>
        <w:jc w:val="both"/>
        <w:rPr>
          <w:rFonts w:cs="Arial"/>
          <w:sz w:val="20"/>
          <w:szCs w:val="20"/>
        </w:rPr>
      </w:pPr>
      <w:r w:rsidRPr="00B95314">
        <w:rPr>
          <w:rFonts w:cs="Arial"/>
          <w:sz w:val="20"/>
          <w:szCs w:val="20"/>
        </w:rPr>
        <w:t>Regeneron’s submission of MAIC analyses instead of carrying out a Markov study should not be misconstrued.  The company has in good faith sought to provide the Appraisal Committee with what it considers to be the most appropriate and relevant form of analysis.</w:t>
      </w:r>
    </w:p>
    <w:p w:rsidRPr="007821F2" w:rsidR="00E17660" w:rsidP="001F46AE" w:rsidRDefault="00E17660" w14:paraId="0198AB85" w14:textId="77777777">
      <w:pPr>
        <w:spacing w:before="120" w:after="120"/>
        <w:rPr>
          <w:rFonts w:cs="Arial"/>
          <w:b/>
          <w:bCs/>
          <w:i/>
          <w:iCs/>
          <w:sz w:val="20"/>
          <w:szCs w:val="20"/>
        </w:rPr>
      </w:pPr>
      <w:r w:rsidRPr="007821F2">
        <w:rPr>
          <w:rFonts w:cs="Arial"/>
          <w:b/>
          <w:bCs/>
          <w:i/>
          <w:iCs/>
          <w:sz w:val="20"/>
          <w:szCs w:val="20"/>
        </w:rPr>
        <w:t>NICE’s Obligations to Consider Relevant Evidence Adequately</w:t>
      </w:r>
    </w:p>
    <w:p w:rsidRPr="00B95314" w:rsidR="00E17660" w:rsidP="00FE0085" w:rsidRDefault="00E17660" w14:paraId="5B566E6A" w14:textId="0CF30631">
      <w:pPr>
        <w:spacing w:before="240" w:after="120"/>
        <w:jc w:val="both"/>
        <w:rPr>
          <w:rFonts w:cs="Arial"/>
          <w:sz w:val="20"/>
          <w:szCs w:val="20"/>
        </w:rPr>
      </w:pPr>
      <w:r w:rsidRPr="00B95314">
        <w:rPr>
          <w:rFonts w:cs="Arial"/>
          <w:sz w:val="20"/>
          <w:szCs w:val="20"/>
        </w:rPr>
        <w:t xml:space="preserve">Notwithstanding that Regeneron did not submit a Markov model, representing the Committee’s preferred approach, the Committee ought to have </w:t>
      </w:r>
      <w:proofErr w:type="gramStart"/>
      <w:r w:rsidRPr="00B95314">
        <w:rPr>
          <w:rFonts w:cs="Arial"/>
          <w:sz w:val="20"/>
          <w:szCs w:val="20"/>
        </w:rPr>
        <w:t xml:space="preserve">given </w:t>
      </w:r>
      <w:r w:rsidR="00086FE5">
        <w:rPr>
          <w:rFonts w:cs="Arial"/>
          <w:sz w:val="20"/>
          <w:szCs w:val="20"/>
        </w:rPr>
        <w:t xml:space="preserve">greater </w:t>
      </w:r>
      <w:r w:rsidRPr="00B95314">
        <w:rPr>
          <w:rFonts w:cs="Arial"/>
          <w:sz w:val="20"/>
          <w:szCs w:val="20"/>
        </w:rPr>
        <w:t>consideration to</w:t>
      </w:r>
      <w:proofErr w:type="gramEnd"/>
      <w:r w:rsidRPr="00B95314">
        <w:rPr>
          <w:rFonts w:cs="Arial"/>
          <w:sz w:val="20"/>
          <w:szCs w:val="20"/>
        </w:rPr>
        <w:t xml:space="preserve"> the evidence the company had submitted – namely, the MAICs.  </w:t>
      </w:r>
    </w:p>
    <w:p w:rsidRPr="00B95314" w:rsidR="00E17660" w:rsidP="001F46AE" w:rsidRDefault="00E17660" w14:paraId="5544BB4C" w14:textId="77777777">
      <w:pPr>
        <w:spacing w:before="120" w:after="120"/>
        <w:rPr>
          <w:rFonts w:cs="Arial"/>
          <w:sz w:val="20"/>
          <w:szCs w:val="20"/>
        </w:rPr>
      </w:pPr>
      <w:r w:rsidRPr="00B95314">
        <w:rPr>
          <w:rFonts w:cs="Arial"/>
          <w:sz w:val="20"/>
          <w:szCs w:val="20"/>
        </w:rPr>
        <w:t>As a public body, NICE must take reasonable steps to acquaint itself with all relevant evidence, and carry out a rational and fair assessment of that evidence:</w:t>
      </w:r>
    </w:p>
    <w:p w:rsidRPr="00B95314" w:rsidR="00E17660" w:rsidP="00FE0085" w:rsidRDefault="00E17660" w14:paraId="48D24181" w14:textId="2A259DAD">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According to case law, a public decision-maker must ensure that it has </w:t>
      </w:r>
      <w:r w:rsidRPr="007821F2">
        <w:rPr>
          <w:rFonts w:cs="Arial"/>
          <w:i/>
          <w:iCs/>
          <w:sz w:val="20"/>
          <w:szCs w:val="20"/>
        </w:rPr>
        <w:t>“(</w:t>
      </w:r>
      <w:proofErr w:type="spellStart"/>
      <w:r w:rsidRPr="007821F2">
        <w:rPr>
          <w:rFonts w:cs="Arial"/>
          <w:i/>
          <w:iCs/>
          <w:sz w:val="20"/>
          <w:szCs w:val="20"/>
        </w:rPr>
        <w:t>i</w:t>
      </w:r>
      <w:proofErr w:type="spellEnd"/>
      <w:r w:rsidRPr="007821F2">
        <w:rPr>
          <w:rFonts w:cs="Arial"/>
          <w:i/>
          <w:iCs/>
          <w:sz w:val="20"/>
          <w:szCs w:val="20"/>
        </w:rPr>
        <w:t xml:space="preserve">) taken adequate steps to inform [itself] of the position […];  (ii) properly considered the information which is available to [it]; and </w:t>
      </w:r>
      <w:r w:rsidRPr="007821F2">
        <w:rPr>
          <w:rFonts w:cs="Arial"/>
          <w:i/>
          <w:iCs/>
          <w:sz w:val="20"/>
          <w:szCs w:val="20"/>
        </w:rPr>
        <w:t>(iii) come to a decision which is consistent with that information recognizing that it is [its] responsibility to evaluate the material which is available to [it].”</w:t>
      </w:r>
      <w:r w:rsidRPr="00B95314">
        <w:rPr>
          <w:rFonts w:cs="Arial"/>
          <w:sz w:val="20"/>
          <w:szCs w:val="20"/>
        </w:rPr>
        <w:t xml:space="preserve"> </w:t>
      </w:r>
    </w:p>
    <w:p w:rsidRPr="00B95314" w:rsidR="00E17660" w:rsidP="00FE0085" w:rsidRDefault="00E17660" w14:paraId="4527C51C" w14:textId="34A017D3">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Decisions may be </w:t>
      </w:r>
      <w:proofErr w:type="gramStart"/>
      <w:r w:rsidRPr="00B95314">
        <w:rPr>
          <w:rFonts w:cs="Arial"/>
          <w:sz w:val="20"/>
          <w:szCs w:val="20"/>
        </w:rPr>
        <w:t>struck-out</w:t>
      </w:r>
      <w:proofErr w:type="gramEnd"/>
      <w:r w:rsidRPr="00B95314">
        <w:rPr>
          <w:rFonts w:cs="Arial"/>
          <w:sz w:val="20"/>
          <w:szCs w:val="20"/>
        </w:rPr>
        <w:t xml:space="preserve"> where “</w:t>
      </w:r>
      <w:r w:rsidRPr="007821F2">
        <w:rPr>
          <w:rFonts w:cs="Arial"/>
          <w:i/>
          <w:iCs/>
          <w:sz w:val="20"/>
          <w:szCs w:val="20"/>
        </w:rPr>
        <w:t>manifestly excessive or manifestly inadequate weight has been accorded to a relevant consideration</w:t>
      </w:r>
      <w:r w:rsidRPr="00B95314">
        <w:rPr>
          <w:rFonts w:cs="Arial"/>
          <w:sz w:val="20"/>
          <w:szCs w:val="20"/>
        </w:rPr>
        <w:t xml:space="preserve">.” </w:t>
      </w:r>
    </w:p>
    <w:p w:rsidRPr="00B95314" w:rsidR="00E17660" w:rsidP="00FE0085" w:rsidRDefault="00E17660" w14:paraId="1A8EFAD4" w14:textId="62414869">
      <w:pPr>
        <w:spacing w:before="120" w:after="120"/>
        <w:jc w:val="both"/>
        <w:rPr>
          <w:rFonts w:cs="Arial"/>
          <w:sz w:val="20"/>
          <w:szCs w:val="20"/>
        </w:rPr>
      </w:pPr>
      <w:r w:rsidRPr="00B95314">
        <w:rPr>
          <w:rFonts w:cs="Arial"/>
          <w:sz w:val="20"/>
          <w:szCs w:val="20"/>
        </w:rPr>
        <w:t xml:space="preserve">NICE’s Guidance Manual reflects these principles clearly. </w:t>
      </w:r>
      <w:proofErr w:type="gramStart"/>
      <w:r w:rsidRPr="00B95314">
        <w:rPr>
          <w:rFonts w:cs="Arial"/>
          <w:sz w:val="20"/>
          <w:szCs w:val="20"/>
        </w:rPr>
        <w:t>In particular, paragraph</w:t>
      </w:r>
      <w:proofErr w:type="gramEnd"/>
      <w:r w:rsidRPr="00B95314">
        <w:rPr>
          <w:rFonts w:cs="Arial"/>
          <w:sz w:val="20"/>
          <w:szCs w:val="20"/>
        </w:rPr>
        <w:t xml:space="preserve"> 3.3.4 emphasizes the need to carry out a “systematic review” of evidence.  </w:t>
      </w:r>
      <w:proofErr w:type="gramStart"/>
      <w:r w:rsidRPr="00B95314">
        <w:rPr>
          <w:rFonts w:cs="Arial"/>
          <w:sz w:val="20"/>
          <w:szCs w:val="20"/>
        </w:rPr>
        <w:t>By definition, this</w:t>
      </w:r>
      <w:proofErr w:type="gramEnd"/>
      <w:r w:rsidRPr="00B95314">
        <w:rPr>
          <w:rFonts w:cs="Arial"/>
          <w:sz w:val="20"/>
          <w:szCs w:val="20"/>
        </w:rPr>
        <w:t xml:space="preserve"> focuses on attempting to assemble and review “all available and relevant evidence,” which should then be “critically appraised.”</w:t>
      </w:r>
    </w:p>
    <w:p w:rsidRPr="007821F2" w:rsidR="00E17660" w:rsidP="009F3CFF" w:rsidRDefault="00E17660" w14:paraId="01FD002F" w14:textId="73273A32">
      <w:pPr>
        <w:keepNext/>
        <w:keepLines/>
        <w:widowControl w:val="0"/>
        <w:spacing w:before="120" w:after="120"/>
        <w:rPr>
          <w:rFonts w:cs="Arial"/>
          <w:b/>
          <w:bCs/>
          <w:i/>
          <w:iCs/>
          <w:sz w:val="20"/>
          <w:szCs w:val="20"/>
        </w:rPr>
      </w:pPr>
      <w:r w:rsidRPr="007821F2">
        <w:rPr>
          <w:rFonts w:cs="Arial"/>
          <w:b/>
          <w:bCs/>
          <w:i/>
          <w:iCs/>
          <w:sz w:val="20"/>
          <w:szCs w:val="20"/>
        </w:rPr>
        <w:t>The Committee’s Approach to the Company’s Submissions</w:t>
      </w:r>
    </w:p>
    <w:p w:rsidRPr="00B95314" w:rsidR="00E17660" w:rsidP="00FE0085" w:rsidRDefault="00E17660" w14:paraId="379CFF1B" w14:textId="59EF1B05">
      <w:pPr>
        <w:keepNext/>
        <w:keepLines/>
        <w:widowControl w:val="0"/>
        <w:spacing w:before="240" w:after="120"/>
        <w:jc w:val="both"/>
        <w:rPr>
          <w:rFonts w:cs="Arial"/>
          <w:sz w:val="20"/>
          <w:szCs w:val="20"/>
        </w:rPr>
      </w:pPr>
      <w:r w:rsidRPr="00B95314">
        <w:rPr>
          <w:rFonts w:cs="Arial"/>
          <w:sz w:val="20"/>
          <w:szCs w:val="20"/>
        </w:rPr>
        <w:t xml:space="preserve">In justifying its decision, the Appraisal Committee concluded that it had not been presented with the </w:t>
      </w:r>
      <w:proofErr w:type="gramStart"/>
      <w:r w:rsidRPr="00B95314">
        <w:rPr>
          <w:rFonts w:cs="Arial"/>
          <w:sz w:val="20"/>
          <w:szCs w:val="20"/>
        </w:rPr>
        <w:t>analyses</w:t>
      </w:r>
      <w:proofErr w:type="gramEnd"/>
      <w:r w:rsidRPr="00B95314">
        <w:rPr>
          <w:rFonts w:cs="Arial"/>
          <w:sz w:val="20"/>
          <w:szCs w:val="20"/>
        </w:rPr>
        <w:t xml:space="preserve"> requested to be able to determine its preferred assumptions and the most plausible ICER. The uncertainties (evidential and structural) also led the Committee to apply the lower bound of the ICER threshold (£20K).  Despite not being presented with the requested </w:t>
      </w:r>
      <w:proofErr w:type="gramStart"/>
      <w:r w:rsidRPr="00B95314">
        <w:rPr>
          <w:rFonts w:cs="Arial"/>
          <w:sz w:val="20"/>
          <w:szCs w:val="20"/>
        </w:rPr>
        <w:t>analyses</w:t>
      </w:r>
      <w:proofErr w:type="gramEnd"/>
      <w:r w:rsidRPr="00B95314">
        <w:rPr>
          <w:rFonts w:cs="Arial"/>
          <w:sz w:val="20"/>
          <w:szCs w:val="20"/>
        </w:rPr>
        <w:t xml:space="preserve">, the Committee stated that neither the company nor the EAG had presented estimates below this threshold. Furthermore, the Committee considered that the requested </w:t>
      </w:r>
      <w:proofErr w:type="gramStart"/>
      <w:r w:rsidRPr="00B95314">
        <w:rPr>
          <w:rFonts w:cs="Arial"/>
          <w:sz w:val="20"/>
          <w:szCs w:val="20"/>
        </w:rPr>
        <w:t>analyses</w:t>
      </w:r>
      <w:proofErr w:type="gramEnd"/>
      <w:r w:rsidRPr="00B95314">
        <w:rPr>
          <w:rFonts w:cs="Arial"/>
          <w:sz w:val="20"/>
          <w:szCs w:val="20"/>
        </w:rPr>
        <w:t xml:space="preserve"> that had not been provided were only likely further</w:t>
      </w:r>
      <w:r w:rsidR="00BA3760">
        <w:rPr>
          <w:rFonts w:cs="Arial"/>
          <w:sz w:val="20"/>
          <w:szCs w:val="20"/>
        </w:rPr>
        <w:t xml:space="preserve"> to</w:t>
      </w:r>
      <w:r w:rsidRPr="00B95314">
        <w:rPr>
          <w:rFonts w:cs="Arial"/>
          <w:sz w:val="20"/>
          <w:szCs w:val="20"/>
        </w:rPr>
        <w:t xml:space="preserve"> increase uncertainties and the ICER.</w:t>
      </w:r>
    </w:p>
    <w:p w:rsidRPr="00B95314" w:rsidR="00E17660" w:rsidP="001F46AE" w:rsidRDefault="00E17660" w14:paraId="44558AEB" w14:textId="617316BB">
      <w:pPr>
        <w:spacing w:before="120" w:after="120"/>
        <w:rPr>
          <w:rFonts w:cs="Arial"/>
          <w:sz w:val="20"/>
          <w:szCs w:val="20"/>
        </w:rPr>
      </w:pPr>
      <w:r w:rsidRPr="00B95314">
        <w:rPr>
          <w:rFonts w:cs="Arial"/>
          <w:sz w:val="20"/>
          <w:szCs w:val="20"/>
        </w:rPr>
        <w:t xml:space="preserve">These are sweeping </w:t>
      </w:r>
      <w:proofErr w:type="spellStart"/>
      <w:r w:rsidRPr="00B95314" w:rsidR="00BF3639">
        <w:rPr>
          <w:rFonts w:cs="Arial"/>
          <w:sz w:val="20"/>
          <w:szCs w:val="20"/>
        </w:rPr>
        <w:t>generalisations</w:t>
      </w:r>
      <w:proofErr w:type="spellEnd"/>
      <w:r w:rsidRPr="00B95314" w:rsidR="00BF3639">
        <w:rPr>
          <w:rFonts w:cs="Arial"/>
          <w:sz w:val="20"/>
          <w:szCs w:val="20"/>
        </w:rPr>
        <w:t xml:space="preserve"> </w:t>
      </w:r>
      <w:r w:rsidRPr="00B95314">
        <w:rPr>
          <w:rFonts w:cs="Arial"/>
          <w:sz w:val="20"/>
          <w:szCs w:val="20"/>
        </w:rPr>
        <w:t xml:space="preserve">that seem, at best, speculative. </w:t>
      </w:r>
    </w:p>
    <w:p w:rsidRPr="00B95314" w:rsidR="00E17660" w:rsidP="001F46AE" w:rsidRDefault="00E17660" w14:paraId="62758C47" w14:textId="77777777">
      <w:pPr>
        <w:spacing w:before="120" w:after="120"/>
        <w:rPr>
          <w:rFonts w:cs="Arial"/>
          <w:sz w:val="20"/>
          <w:szCs w:val="20"/>
        </w:rPr>
      </w:pPr>
      <w:r w:rsidRPr="00B95314">
        <w:rPr>
          <w:rFonts w:cs="Arial"/>
          <w:sz w:val="20"/>
          <w:szCs w:val="20"/>
        </w:rPr>
        <w:t xml:space="preserve">As evidenced by Section 3.7 of the FDG, </w:t>
      </w:r>
      <w:proofErr w:type="gramStart"/>
      <w:r w:rsidRPr="00B95314">
        <w:rPr>
          <w:rFonts w:cs="Arial"/>
          <w:sz w:val="20"/>
          <w:szCs w:val="20"/>
        </w:rPr>
        <w:t>it is clear that the</w:t>
      </w:r>
      <w:proofErr w:type="gramEnd"/>
      <w:r w:rsidRPr="00B95314">
        <w:rPr>
          <w:rFonts w:cs="Arial"/>
          <w:sz w:val="20"/>
          <w:szCs w:val="20"/>
        </w:rPr>
        <w:t xml:space="preserve"> Appraisal Committee did not properly consider the MAIC for PFS provided by the Company:</w:t>
      </w:r>
    </w:p>
    <w:p w:rsidRPr="00B95314" w:rsidR="00E17660" w:rsidP="00FE0085" w:rsidRDefault="00E17660" w14:paraId="7DAB21F0" w14:textId="3E0754BA">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The MAIC analysis suggests that the differences in treatment effect modifiers noted by the Committee may</w:t>
      </w:r>
      <w:r w:rsidR="00BA3760">
        <w:rPr>
          <w:rFonts w:cs="Arial"/>
          <w:sz w:val="20"/>
          <w:szCs w:val="20"/>
        </w:rPr>
        <w:t>,</w:t>
      </w:r>
      <w:r w:rsidRPr="00B95314">
        <w:rPr>
          <w:rFonts w:cs="Arial"/>
          <w:sz w:val="20"/>
          <w:szCs w:val="20"/>
        </w:rPr>
        <w:t xml:space="preserve"> in fact</w:t>
      </w:r>
      <w:r w:rsidR="00BA3760">
        <w:rPr>
          <w:rFonts w:cs="Arial"/>
          <w:sz w:val="20"/>
          <w:szCs w:val="20"/>
        </w:rPr>
        <w:t>,</w:t>
      </w:r>
      <w:r w:rsidRPr="00B95314">
        <w:rPr>
          <w:rFonts w:cs="Arial"/>
          <w:sz w:val="20"/>
          <w:szCs w:val="20"/>
        </w:rPr>
        <w:t xml:space="preserve"> be biasing the NMA-based PFS treatment effect estimates in </w:t>
      </w:r>
      <w:proofErr w:type="spellStart"/>
      <w:r w:rsidRPr="00B95314">
        <w:rPr>
          <w:rFonts w:cs="Arial"/>
          <w:sz w:val="20"/>
          <w:szCs w:val="20"/>
        </w:rPr>
        <w:t>favour</w:t>
      </w:r>
      <w:proofErr w:type="spellEnd"/>
      <w:r w:rsidRPr="00B95314">
        <w:rPr>
          <w:rFonts w:cs="Arial"/>
          <w:sz w:val="20"/>
          <w:szCs w:val="20"/>
        </w:rPr>
        <w:t xml:space="preserve"> of pembrolizumab. There is no evidence in the FDG that the Committee considered this and its consequences.</w:t>
      </w:r>
    </w:p>
    <w:p w:rsidRPr="00B95314" w:rsidR="00811899" w:rsidP="00FE0085" w:rsidRDefault="00811899" w14:paraId="48392D75" w14:textId="45C64825">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Section 3.7 of the FDG suggests the Committee was pre-occupied by certain issues, and drew sweeping negative conclusions, without </w:t>
      </w:r>
      <w:proofErr w:type="gramStart"/>
      <w:r w:rsidRPr="00B95314">
        <w:rPr>
          <w:rFonts w:cs="Arial"/>
          <w:sz w:val="20"/>
          <w:szCs w:val="20"/>
        </w:rPr>
        <w:t>giving appropriate consideration to</w:t>
      </w:r>
      <w:proofErr w:type="gramEnd"/>
      <w:r w:rsidRPr="00B95314">
        <w:rPr>
          <w:rFonts w:cs="Arial"/>
          <w:sz w:val="20"/>
          <w:szCs w:val="20"/>
        </w:rPr>
        <w:t xml:space="preserve"> what the MAICs show and how this could improve the overall evidence base, potentially </w:t>
      </w:r>
      <w:r>
        <w:rPr>
          <w:rFonts w:cs="Arial"/>
          <w:sz w:val="20"/>
          <w:szCs w:val="20"/>
        </w:rPr>
        <w:t>more consistent</w:t>
      </w:r>
      <w:r w:rsidRPr="00B95314">
        <w:rPr>
          <w:rFonts w:cs="Arial"/>
          <w:sz w:val="20"/>
          <w:szCs w:val="20"/>
        </w:rPr>
        <w:t xml:space="preserve"> </w:t>
      </w:r>
      <w:r>
        <w:rPr>
          <w:rFonts w:cs="Arial"/>
          <w:sz w:val="20"/>
          <w:szCs w:val="20"/>
        </w:rPr>
        <w:t xml:space="preserve">with a </w:t>
      </w:r>
      <w:r w:rsidRPr="00B95314">
        <w:rPr>
          <w:rFonts w:cs="Arial"/>
          <w:sz w:val="20"/>
          <w:szCs w:val="20"/>
        </w:rPr>
        <w:t>cost-comparison</w:t>
      </w:r>
      <w:r>
        <w:rPr>
          <w:rFonts w:cs="Arial"/>
          <w:sz w:val="20"/>
          <w:szCs w:val="20"/>
        </w:rPr>
        <w:t xml:space="preserve"> case</w:t>
      </w:r>
      <w:r w:rsidRPr="00B95314">
        <w:rPr>
          <w:rFonts w:cs="Arial"/>
          <w:sz w:val="20"/>
          <w:szCs w:val="20"/>
        </w:rPr>
        <w:t>.</w:t>
      </w:r>
    </w:p>
    <w:p w:rsidRPr="00B95314" w:rsidR="00E17660" w:rsidP="001F46AE" w:rsidRDefault="00E17660" w14:paraId="3EDFCF3C" w14:textId="77777777">
      <w:pPr>
        <w:spacing w:before="120" w:after="120"/>
        <w:rPr>
          <w:rFonts w:cs="Arial"/>
          <w:sz w:val="20"/>
          <w:szCs w:val="20"/>
        </w:rPr>
      </w:pPr>
      <w:r w:rsidRPr="00B95314">
        <w:rPr>
          <w:rFonts w:cs="Arial"/>
          <w:sz w:val="20"/>
          <w:szCs w:val="20"/>
        </w:rPr>
        <w:t>For example, Section 3.7 states:</w:t>
      </w:r>
    </w:p>
    <w:p w:rsidRPr="00B95314" w:rsidR="00E17660" w:rsidP="007821F2" w:rsidRDefault="00E17660" w14:paraId="3893D785" w14:textId="77777777">
      <w:pPr>
        <w:spacing w:before="120" w:after="120"/>
        <w:ind w:left="720"/>
        <w:jc w:val="both"/>
        <w:rPr>
          <w:rFonts w:cs="Arial"/>
          <w:sz w:val="20"/>
          <w:szCs w:val="20"/>
        </w:rPr>
      </w:pPr>
      <w:r w:rsidRPr="00B95314">
        <w:rPr>
          <w:rFonts w:cs="Arial"/>
          <w:sz w:val="20"/>
          <w:szCs w:val="20"/>
        </w:rPr>
        <w:t>“</w:t>
      </w:r>
      <w:r w:rsidRPr="007821F2">
        <w:rPr>
          <w:rFonts w:cs="Arial"/>
          <w:i/>
          <w:iCs/>
          <w:sz w:val="20"/>
          <w:szCs w:val="20"/>
        </w:rPr>
        <w:t xml:space="preserve">The Committee noted that by matching to the populations of the KEYNOTE trials, the MAIC populations no longer reflected the EMPOWER Lung 3 trial population.  The company acknowledged that EMPOWER Lung 3 was more </w:t>
      </w:r>
      <w:proofErr w:type="spellStart"/>
      <w:r w:rsidRPr="007821F2">
        <w:rPr>
          <w:rFonts w:cs="Arial"/>
          <w:i/>
          <w:iCs/>
          <w:sz w:val="20"/>
          <w:szCs w:val="20"/>
        </w:rPr>
        <w:t>generalisable</w:t>
      </w:r>
      <w:proofErr w:type="spellEnd"/>
      <w:r w:rsidRPr="007821F2">
        <w:rPr>
          <w:rFonts w:cs="Arial"/>
          <w:i/>
          <w:iCs/>
          <w:sz w:val="20"/>
          <w:szCs w:val="20"/>
        </w:rPr>
        <w:t xml:space="preserve"> to NHS clinical practice than the KEYNOTE trials because use of immunotherapy after progression in the placebo plus chemotherapy arm of the EMPOWER Lung 3 trial better reflected NHS practice. The Committee was concerned that the relative treatment effect estimated by the MAICs may not have been </w:t>
      </w:r>
      <w:proofErr w:type="spellStart"/>
      <w:r w:rsidRPr="007821F2">
        <w:rPr>
          <w:rFonts w:cs="Arial"/>
          <w:i/>
          <w:iCs/>
          <w:sz w:val="20"/>
          <w:szCs w:val="20"/>
        </w:rPr>
        <w:t>generalisable</w:t>
      </w:r>
      <w:proofErr w:type="spellEnd"/>
      <w:r w:rsidRPr="007821F2">
        <w:rPr>
          <w:rFonts w:cs="Arial"/>
          <w:i/>
          <w:iCs/>
          <w:sz w:val="20"/>
          <w:szCs w:val="20"/>
        </w:rPr>
        <w:t xml:space="preserve"> to NHS clinical </w:t>
      </w:r>
      <w:proofErr w:type="gramStart"/>
      <w:r w:rsidRPr="007821F2">
        <w:rPr>
          <w:rFonts w:cs="Arial"/>
          <w:i/>
          <w:iCs/>
          <w:sz w:val="20"/>
          <w:szCs w:val="20"/>
        </w:rPr>
        <w:t>practice</w:t>
      </w:r>
      <w:r w:rsidRPr="00B95314">
        <w:rPr>
          <w:rFonts w:cs="Arial"/>
          <w:sz w:val="20"/>
          <w:szCs w:val="20"/>
        </w:rPr>
        <w:t>.”</w:t>
      </w:r>
      <w:proofErr w:type="gramEnd"/>
      <w:r w:rsidRPr="00B95314">
        <w:rPr>
          <w:rFonts w:cs="Arial"/>
          <w:sz w:val="20"/>
          <w:szCs w:val="20"/>
        </w:rPr>
        <w:t xml:space="preserve"> </w:t>
      </w:r>
    </w:p>
    <w:p w:rsidRPr="00B95314" w:rsidR="00E17660" w:rsidP="001F46AE" w:rsidRDefault="00E17660" w14:paraId="4D40F54D" w14:textId="77777777">
      <w:pPr>
        <w:spacing w:before="120" w:after="120"/>
        <w:rPr>
          <w:rFonts w:cs="Arial"/>
          <w:sz w:val="20"/>
          <w:szCs w:val="20"/>
        </w:rPr>
      </w:pPr>
      <w:r w:rsidRPr="00B95314">
        <w:rPr>
          <w:rFonts w:cs="Arial"/>
          <w:sz w:val="20"/>
          <w:szCs w:val="20"/>
        </w:rPr>
        <w:t xml:space="preserve">Whilst such differences in post-progression immunotherapy may theoretically impact on OS </w:t>
      </w:r>
      <w:proofErr w:type="gramStart"/>
      <w:r w:rsidRPr="00B95314">
        <w:rPr>
          <w:rFonts w:cs="Arial"/>
          <w:sz w:val="20"/>
          <w:szCs w:val="20"/>
        </w:rPr>
        <w:t>treatment effect</w:t>
      </w:r>
      <w:proofErr w:type="gramEnd"/>
      <w:r w:rsidRPr="00B95314">
        <w:rPr>
          <w:rFonts w:cs="Arial"/>
          <w:sz w:val="20"/>
          <w:szCs w:val="20"/>
        </w:rPr>
        <w:t xml:space="preserve"> estimates, they could not by definition impact PFS treatment effect estimates.</w:t>
      </w:r>
    </w:p>
    <w:p w:rsidRPr="00B95314" w:rsidR="00E17660" w:rsidP="00FE0085" w:rsidRDefault="00E17660" w14:paraId="77DDC547" w14:textId="01A81AC1">
      <w:pPr>
        <w:pStyle w:val="ListParagraph"/>
        <w:numPr>
          <w:ilvl w:val="0"/>
          <w:numId w:val="1"/>
        </w:numPr>
        <w:spacing w:before="120" w:after="120"/>
        <w:ind w:left="998" w:hanging="352"/>
        <w:contextualSpacing w:val="0"/>
        <w:jc w:val="both"/>
        <w:rPr>
          <w:rFonts w:cs="Arial"/>
          <w:sz w:val="20"/>
          <w:szCs w:val="20"/>
        </w:rPr>
      </w:pPr>
      <w:r w:rsidRPr="007821F2">
        <w:rPr>
          <w:rFonts w:cs="Arial"/>
          <w:b/>
          <w:bCs/>
          <w:sz w:val="20"/>
          <w:szCs w:val="20"/>
        </w:rPr>
        <w:t>These uncertainties relate to OS – not PFS</w:t>
      </w:r>
      <w:r w:rsidRPr="00B95314">
        <w:rPr>
          <w:rFonts w:cs="Arial"/>
          <w:sz w:val="20"/>
          <w:szCs w:val="20"/>
        </w:rPr>
        <w:t xml:space="preserve">.  There is no rational justification to dismiss the MAIC-based PFS and </w:t>
      </w:r>
      <w:proofErr w:type="spellStart"/>
      <w:r w:rsidRPr="00B95314">
        <w:rPr>
          <w:rFonts w:cs="Arial"/>
          <w:sz w:val="20"/>
          <w:szCs w:val="20"/>
        </w:rPr>
        <w:t>favour</w:t>
      </w:r>
      <w:proofErr w:type="spellEnd"/>
      <w:r w:rsidRPr="00B95314">
        <w:rPr>
          <w:rFonts w:cs="Arial"/>
          <w:sz w:val="20"/>
          <w:szCs w:val="20"/>
        </w:rPr>
        <w:t xml:space="preserve"> the biased NMA-based PFS. Use of MAIC-based PFS results would result in more quality-adjusted years of life (“QALYs”) accruing for </w:t>
      </w:r>
      <w:proofErr w:type="spellStart"/>
      <w:r w:rsidRPr="00B95314">
        <w:rPr>
          <w:rFonts w:cs="Arial"/>
          <w:sz w:val="20"/>
          <w:szCs w:val="20"/>
        </w:rPr>
        <w:t>cemiplimab</w:t>
      </w:r>
      <w:proofErr w:type="spellEnd"/>
      <w:r w:rsidRPr="00B95314">
        <w:rPr>
          <w:rFonts w:cs="Arial"/>
          <w:sz w:val="20"/>
          <w:szCs w:val="20"/>
        </w:rPr>
        <w:t xml:space="preserve"> than for pembrolizumab. At the price point offered, </w:t>
      </w:r>
      <w:proofErr w:type="spellStart"/>
      <w:r w:rsidRPr="00B95314">
        <w:rPr>
          <w:rFonts w:cs="Arial"/>
          <w:sz w:val="20"/>
          <w:szCs w:val="20"/>
        </w:rPr>
        <w:t>cemiplimab</w:t>
      </w:r>
      <w:proofErr w:type="spellEnd"/>
      <w:r w:rsidRPr="00B95314">
        <w:rPr>
          <w:rFonts w:cs="Arial"/>
          <w:sz w:val="20"/>
          <w:szCs w:val="20"/>
        </w:rPr>
        <w:t xml:space="preserve"> would dominate pembrolizumab.  A </w:t>
      </w:r>
      <w:r w:rsidR="00BF35C9">
        <w:rPr>
          <w:rFonts w:cs="Arial"/>
          <w:sz w:val="20"/>
          <w:szCs w:val="20"/>
        </w:rPr>
        <w:t xml:space="preserve">PFS-driven </w:t>
      </w:r>
      <w:r w:rsidRPr="00B95314">
        <w:rPr>
          <w:rFonts w:cs="Arial"/>
          <w:sz w:val="20"/>
          <w:szCs w:val="20"/>
        </w:rPr>
        <w:t>Markov model</w:t>
      </w:r>
      <w:r w:rsidR="00BF35C9">
        <w:rPr>
          <w:rFonts w:cs="Arial"/>
          <w:sz w:val="20"/>
          <w:szCs w:val="20"/>
        </w:rPr>
        <w:t>, as requested by t</w:t>
      </w:r>
      <w:r w:rsidRPr="00B95314">
        <w:rPr>
          <w:rFonts w:cs="Arial"/>
          <w:sz w:val="20"/>
          <w:szCs w:val="20"/>
        </w:rPr>
        <w:t xml:space="preserve"> is not required to determine that would be the case.</w:t>
      </w:r>
    </w:p>
    <w:p w:rsidRPr="00B95314" w:rsidR="00E17660" w:rsidP="00FE0085" w:rsidRDefault="00E17660" w14:paraId="45782462" w14:textId="77DFDBDB">
      <w:pPr>
        <w:pStyle w:val="ListParagraph"/>
        <w:numPr>
          <w:ilvl w:val="0"/>
          <w:numId w:val="1"/>
        </w:numPr>
        <w:spacing w:before="120" w:after="120"/>
        <w:ind w:left="998" w:hanging="352"/>
        <w:contextualSpacing w:val="0"/>
        <w:jc w:val="both"/>
        <w:rPr>
          <w:rFonts w:cs="Arial"/>
          <w:sz w:val="20"/>
          <w:szCs w:val="20"/>
        </w:rPr>
      </w:pPr>
      <w:r w:rsidRPr="007821F2">
        <w:rPr>
          <w:rFonts w:cs="Arial"/>
          <w:b/>
          <w:bCs/>
          <w:sz w:val="20"/>
          <w:szCs w:val="20"/>
        </w:rPr>
        <w:t>The FDG contains no other discussion of any generalizability issue, or indeed any other issues, with the KEYNOTE or EMPOWER Lung 3 trials that may impact upon PFS treatment effect estimates derived from the MAIC analysis.</w:t>
      </w:r>
      <w:r w:rsidRPr="00B95314">
        <w:rPr>
          <w:rFonts w:cs="Arial"/>
          <w:sz w:val="20"/>
          <w:szCs w:val="20"/>
        </w:rPr>
        <w:t xml:space="preserve">  It is therefore entirely unclear why or how this issue seems to loom large in the Committee’s considerations and – importantly – why it would justify not giving due consideration of the evidence in the MAICs. </w:t>
      </w:r>
    </w:p>
    <w:p w:rsidRPr="008366B7" w:rsidR="00E17660" w:rsidP="00FE0085" w:rsidRDefault="00E17660" w14:paraId="25A75ADA" w14:textId="2F34CDB2">
      <w:pPr>
        <w:spacing w:before="120" w:after="120"/>
        <w:jc w:val="both"/>
        <w:rPr>
          <w:rFonts w:cs="Arial"/>
          <w:sz w:val="20"/>
          <w:szCs w:val="20"/>
        </w:rPr>
      </w:pPr>
      <w:r w:rsidRPr="00B95314">
        <w:rPr>
          <w:rFonts w:cs="Arial"/>
          <w:sz w:val="20"/>
          <w:szCs w:val="20"/>
        </w:rPr>
        <w:t>It appears that the Committee has dismissed the MAIC evidence too hastily</w:t>
      </w:r>
      <w:r w:rsidR="006C5931">
        <w:rPr>
          <w:rFonts w:cs="Arial"/>
          <w:sz w:val="20"/>
          <w:szCs w:val="20"/>
        </w:rPr>
        <w:t>,</w:t>
      </w:r>
      <w:r w:rsidRPr="00B95314">
        <w:rPr>
          <w:rFonts w:cs="Arial"/>
          <w:sz w:val="20"/>
          <w:szCs w:val="20"/>
        </w:rPr>
        <w:t xml:space="preserve"> by over-emphasizing issues that have limited relevance and have not been identified as issues in other cases.  Indeed, even if the Committee </w:t>
      </w:r>
      <w:r w:rsidRPr="00B95314">
        <w:rPr>
          <w:rFonts w:cs="Arial"/>
          <w:sz w:val="20"/>
          <w:szCs w:val="20"/>
        </w:rPr>
        <w:t xml:space="preserve">had genuine concerns about </w:t>
      </w:r>
      <w:r w:rsidRPr="008366B7">
        <w:rPr>
          <w:rFonts w:cs="Arial"/>
          <w:sz w:val="20"/>
          <w:szCs w:val="20"/>
        </w:rPr>
        <w:t xml:space="preserve">the generalizability of the MAIC data, this cannot justify </w:t>
      </w:r>
      <w:proofErr w:type="gramStart"/>
      <w:r w:rsidRPr="008366B7">
        <w:rPr>
          <w:rFonts w:cs="Arial"/>
          <w:sz w:val="20"/>
          <w:szCs w:val="20"/>
        </w:rPr>
        <w:t>giving inadequate consideration to</w:t>
      </w:r>
      <w:proofErr w:type="gramEnd"/>
      <w:r w:rsidRPr="008366B7">
        <w:rPr>
          <w:rFonts w:cs="Arial"/>
          <w:sz w:val="20"/>
          <w:szCs w:val="20"/>
        </w:rPr>
        <w:t xml:space="preserve"> the data</w:t>
      </w:r>
      <w:r w:rsidRPr="008366B7" w:rsidR="006C5931">
        <w:rPr>
          <w:rFonts w:cs="Arial"/>
          <w:sz w:val="20"/>
          <w:szCs w:val="20"/>
        </w:rPr>
        <w:t xml:space="preserve"> that</w:t>
      </w:r>
      <w:r w:rsidRPr="008366B7">
        <w:rPr>
          <w:rFonts w:cs="Arial"/>
          <w:sz w:val="20"/>
          <w:szCs w:val="20"/>
        </w:rPr>
        <w:t xml:space="preserve"> the company submitted in good faith as the best available form of analysis. </w:t>
      </w:r>
    </w:p>
    <w:p w:rsidRPr="007821F2" w:rsidR="00E17660" w:rsidP="00FE0085" w:rsidRDefault="00E17660" w14:paraId="6A82C102" w14:textId="77777777">
      <w:pPr>
        <w:spacing w:before="120" w:after="120"/>
        <w:jc w:val="both"/>
        <w:rPr>
          <w:rFonts w:cs="Arial"/>
          <w:sz w:val="20"/>
          <w:szCs w:val="20"/>
        </w:rPr>
      </w:pPr>
      <w:r w:rsidRPr="007821F2">
        <w:rPr>
          <w:rFonts w:cs="Arial"/>
          <w:sz w:val="20"/>
          <w:szCs w:val="20"/>
        </w:rPr>
        <w:t>The consequences of the Committee’s inadequate consideration of the MAIC-based PFS are profound given what the MAIC-based PFS analyses show:</w:t>
      </w:r>
    </w:p>
    <w:p w:rsidRPr="007821F2" w:rsidR="00E17660" w:rsidP="00FE0085" w:rsidRDefault="00E17660" w14:paraId="353349C9" w14:textId="12DFC2F8">
      <w:pPr>
        <w:pStyle w:val="ListParagraph"/>
        <w:numPr>
          <w:ilvl w:val="0"/>
          <w:numId w:val="1"/>
        </w:numPr>
        <w:spacing w:before="120" w:after="120"/>
        <w:ind w:left="998" w:hanging="352"/>
        <w:contextualSpacing w:val="0"/>
        <w:jc w:val="both"/>
        <w:rPr>
          <w:rFonts w:cs="Arial"/>
          <w:sz w:val="20"/>
          <w:szCs w:val="20"/>
        </w:rPr>
      </w:pPr>
      <w:r w:rsidRPr="007821F2">
        <w:rPr>
          <w:rFonts w:cs="Arial"/>
          <w:sz w:val="20"/>
          <w:szCs w:val="20"/>
        </w:rPr>
        <w:t xml:space="preserve">The MAIC-based PFS analyses demonstrate that the Committee’s preference for a PFS-driven Markov model (with equal post-progression survival and assuming NMA-based PFS data) would have led to a biased estimate of QALYs and cost effectiveness in </w:t>
      </w:r>
      <w:proofErr w:type="spellStart"/>
      <w:r w:rsidRPr="007821F2">
        <w:rPr>
          <w:rFonts w:cs="Arial"/>
          <w:sz w:val="20"/>
          <w:szCs w:val="20"/>
        </w:rPr>
        <w:t>favour</w:t>
      </w:r>
      <w:proofErr w:type="spellEnd"/>
      <w:r w:rsidRPr="007821F2">
        <w:rPr>
          <w:rFonts w:cs="Arial"/>
          <w:sz w:val="20"/>
          <w:szCs w:val="20"/>
        </w:rPr>
        <w:t xml:space="preserve"> of pembrolizumab. </w:t>
      </w:r>
    </w:p>
    <w:p w:rsidRPr="007821F2" w:rsidR="00E17660" w:rsidP="00FE0085" w:rsidRDefault="00E17660" w14:paraId="0BA2789E" w14:textId="2797EF73">
      <w:pPr>
        <w:pStyle w:val="ListParagraph"/>
        <w:numPr>
          <w:ilvl w:val="0"/>
          <w:numId w:val="1"/>
        </w:numPr>
        <w:spacing w:before="120" w:after="120"/>
        <w:ind w:left="998" w:hanging="352"/>
        <w:contextualSpacing w:val="0"/>
        <w:jc w:val="both"/>
        <w:rPr>
          <w:rFonts w:cs="Arial"/>
          <w:sz w:val="20"/>
          <w:szCs w:val="20"/>
        </w:rPr>
      </w:pPr>
      <w:r w:rsidRPr="007821F2">
        <w:rPr>
          <w:rFonts w:cs="Arial"/>
          <w:sz w:val="20"/>
          <w:szCs w:val="20"/>
        </w:rPr>
        <w:t xml:space="preserve">By contrast, a PFS-driven Markov model (with equal post progression survival and assuming MAIC-based PFS data) would have led to a less biased estimate of cost </w:t>
      </w:r>
      <w:proofErr w:type="gramStart"/>
      <w:r w:rsidRPr="007821F2">
        <w:rPr>
          <w:rFonts w:cs="Arial"/>
          <w:sz w:val="20"/>
          <w:szCs w:val="20"/>
        </w:rPr>
        <w:t>effectiveness, and</w:t>
      </w:r>
      <w:proofErr w:type="gramEnd"/>
      <w:r w:rsidRPr="007821F2">
        <w:rPr>
          <w:rFonts w:cs="Arial"/>
          <w:sz w:val="20"/>
          <w:szCs w:val="20"/>
        </w:rPr>
        <w:t xml:space="preserve"> would have resulted in more QALYs being generated for </w:t>
      </w:r>
      <w:proofErr w:type="spellStart"/>
      <w:r w:rsidRPr="007821F2">
        <w:rPr>
          <w:rFonts w:cs="Arial"/>
          <w:sz w:val="20"/>
          <w:szCs w:val="20"/>
        </w:rPr>
        <w:t>cemiplimab</w:t>
      </w:r>
      <w:proofErr w:type="spellEnd"/>
      <w:r w:rsidRPr="007821F2">
        <w:rPr>
          <w:rFonts w:cs="Arial"/>
          <w:sz w:val="20"/>
          <w:szCs w:val="20"/>
        </w:rPr>
        <w:t xml:space="preserve"> than pembrolizumab (and at the discounted </w:t>
      </w:r>
      <w:proofErr w:type="spellStart"/>
      <w:r w:rsidRPr="007821F2">
        <w:rPr>
          <w:rFonts w:cs="Arial"/>
          <w:sz w:val="20"/>
          <w:szCs w:val="20"/>
        </w:rPr>
        <w:t>cemiplimab</w:t>
      </w:r>
      <w:proofErr w:type="spellEnd"/>
      <w:r w:rsidRPr="007821F2">
        <w:rPr>
          <w:rFonts w:cs="Arial"/>
          <w:sz w:val="20"/>
          <w:szCs w:val="20"/>
        </w:rPr>
        <w:t xml:space="preserve"> price indicated as acceptable to Regeneron) would have resulted in </w:t>
      </w:r>
      <w:proofErr w:type="spellStart"/>
      <w:r w:rsidRPr="007821F2">
        <w:rPr>
          <w:rFonts w:cs="Arial"/>
          <w:sz w:val="20"/>
          <w:szCs w:val="20"/>
        </w:rPr>
        <w:t>cemiplimab</w:t>
      </w:r>
      <w:proofErr w:type="spellEnd"/>
      <w:r w:rsidRPr="007821F2">
        <w:rPr>
          <w:rFonts w:cs="Arial"/>
          <w:sz w:val="20"/>
          <w:szCs w:val="20"/>
        </w:rPr>
        <w:t xml:space="preserve"> dominating pembrolizumab.  Indeed, a Markov model would not be required to determine that would be the case.</w:t>
      </w:r>
    </w:p>
    <w:p w:rsidRPr="007821F2" w:rsidR="00E17660" w:rsidP="00FE0085" w:rsidRDefault="00E17660" w14:paraId="72F9FBA5" w14:textId="1E108E09">
      <w:pPr>
        <w:pStyle w:val="ListParagraph"/>
        <w:numPr>
          <w:ilvl w:val="0"/>
          <w:numId w:val="1"/>
        </w:numPr>
        <w:spacing w:before="120" w:after="120"/>
        <w:ind w:left="998" w:hanging="352"/>
        <w:contextualSpacing w:val="0"/>
        <w:jc w:val="both"/>
        <w:rPr>
          <w:rFonts w:cs="Arial"/>
          <w:sz w:val="20"/>
          <w:szCs w:val="20"/>
        </w:rPr>
      </w:pPr>
      <w:r w:rsidRPr="007821F2">
        <w:rPr>
          <w:rFonts w:cs="Arial"/>
          <w:sz w:val="20"/>
          <w:szCs w:val="20"/>
        </w:rPr>
        <w:t>As discussed further in Appeal Ground 2.</w:t>
      </w:r>
      <w:r w:rsidRPr="007821F2" w:rsidR="00F9152E">
        <w:rPr>
          <w:rFonts w:cs="Arial"/>
          <w:sz w:val="20"/>
          <w:szCs w:val="20"/>
        </w:rPr>
        <w:t>6</w:t>
      </w:r>
      <w:r w:rsidRPr="007821F2">
        <w:rPr>
          <w:rFonts w:cs="Arial"/>
          <w:sz w:val="20"/>
          <w:szCs w:val="20"/>
        </w:rPr>
        <w:t xml:space="preserve">, despite the uncertainties of the NMA (that plausibly bias PFS treatment effect estimates in </w:t>
      </w:r>
      <w:proofErr w:type="spellStart"/>
      <w:r w:rsidRPr="007821F2">
        <w:rPr>
          <w:rFonts w:cs="Arial"/>
          <w:sz w:val="20"/>
          <w:szCs w:val="20"/>
        </w:rPr>
        <w:t>favour</w:t>
      </w:r>
      <w:proofErr w:type="spellEnd"/>
      <w:r w:rsidRPr="007821F2">
        <w:rPr>
          <w:rFonts w:cs="Arial"/>
          <w:sz w:val="20"/>
          <w:szCs w:val="20"/>
        </w:rPr>
        <w:t xml:space="preserve"> of pembrolizumab) Regeneron maintains that the reasonable, pragmatic interpretation of the NMA is that there are no material differences in PFS between </w:t>
      </w:r>
      <w:proofErr w:type="spellStart"/>
      <w:r w:rsidRPr="007821F2">
        <w:rPr>
          <w:rFonts w:cs="Arial"/>
          <w:sz w:val="20"/>
          <w:szCs w:val="20"/>
        </w:rPr>
        <w:t>cemiplimab</w:t>
      </w:r>
      <w:proofErr w:type="spellEnd"/>
      <w:r w:rsidRPr="007821F2">
        <w:rPr>
          <w:rFonts w:cs="Arial"/>
          <w:sz w:val="20"/>
          <w:szCs w:val="20"/>
        </w:rPr>
        <w:t xml:space="preserve"> and pembrolizumab. The Company explained that clinicians also consider there are no clinically meaningful differences in efficacy (noted in FDG section 3.6), and in its original submission noted how </w:t>
      </w:r>
      <w:r w:rsidRPr="007821F2" w:rsidR="00F9152E">
        <w:rPr>
          <w:rFonts w:cs="Arial"/>
          <w:sz w:val="20"/>
          <w:szCs w:val="20"/>
        </w:rPr>
        <w:t>internationally respected</w:t>
      </w:r>
      <w:r w:rsidRPr="007821F2">
        <w:rPr>
          <w:rFonts w:cs="Arial"/>
          <w:sz w:val="20"/>
          <w:szCs w:val="20"/>
        </w:rPr>
        <w:t xml:space="preserve"> NCCN guidelines give the same rating for efficacy to </w:t>
      </w:r>
      <w:proofErr w:type="spellStart"/>
      <w:r w:rsidRPr="007821F2">
        <w:rPr>
          <w:rFonts w:cs="Arial"/>
          <w:sz w:val="20"/>
          <w:szCs w:val="20"/>
        </w:rPr>
        <w:t>cemiplimab</w:t>
      </w:r>
      <w:proofErr w:type="spellEnd"/>
      <w:r w:rsidRPr="007821F2">
        <w:rPr>
          <w:rFonts w:cs="Arial"/>
          <w:sz w:val="20"/>
          <w:szCs w:val="20"/>
        </w:rPr>
        <w:t xml:space="preserve"> and pembrolizumab (and a more </w:t>
      </w:r>
      <w:proofErr w:type="spellStart"/>
      <w:r w:rsidRPr="007821F2">
        <w:rPr>
          <w:rFonts w:cs="Arial"/>
          <w:sz w:val="20"/>
          <w:szCs w:val="20"/>
        </w:rPr>
        <w:t>favourable</w:t>
      </w:r>
      <w:proofErr w:type="spellEnd"/>
      <w:r w:rsidRPr="007821F2">
        <w:rPr>
          <w:rFonts w:cs="Arial"/>
          <w:sz w:val="20"/>
          <w:szCs w:val="20"/>
        </w:rPr>
        <w:t xml:space="preserve"> safety score for </w:t>
      </w:r>
      <w:proofErr w:type="spellStart"/>
      <w:r w:rsidRPr="007821F2">
        <w:rPr>
          <w:rFonts w:cs="Arial"/>
          <w:sz w:val="20"/>
          <w:szCs w:val="20"/>
        </w:rPr>
        <w:t>cemiplimab</w:t>
      </w:r>
      <w:proofErr w:type="spellEnd"/>
      <w:r w:rsidRPr="007821F2">
        <w:rPr>
          <w:rFonts w:cs="Arial"/>
          <w:sz w:val="20"/>
          <w:szCs w:val="20"/>
        </w:rPr>
        <w:t xml:space="preserve">) (CS section B.1.3.7).  However, this is not reflected in the Committee’s deliberations on the comparative effectiveness </w:t>
      </w:r>
      <w:proofErr w:type="gramStart"/>
      <w:r w:rsidRPr="007821F2">
        <w:rPr>
          <w:rFonts w:cs="Arial"/>
          <w:sz w:val="20"/>
          <w:szCs w:val="20"/>
        </w:rPr>
        <w:t>in</w:t>
      </w:r>
      <w:proofErr w:type="gramEnd"/>
      <w:r w:rsidRPr="007821F2">
        <w:rPr>
          <w:rFonts w:cs="Arial"/>
          <w:sz w:val="20"/>
          <w:szCs w:val="20"/>
        </w:rPr>
        <w:t xml:space="preserve"> the FDG and it is unclear if this was considered or what weight it carried in the Committee’s deliberations.  </w:t>
      </w:r>
    </w:p>
    <w:p w:rsidRPr="007821F2" w:rsidR="00E17660" w:rsidP="00FE0085" w:rsidRDefault="00E17660" w14:paraId="7B37D642" w14:textId="3A22DB7D">
      <w:pPr>
        <w:pStyle w:val="ListParagraph"/>
        <w:numPr>
          <w:ilvl w:val="0"/>
          <w:numId w:val="1"/>
        </w:numPr>
        <w:spacing w:before="120" w:after="120"/>
        <w:ind w:left="998" w:hanging="352"/>
        <w:contextualSpacing w:val="0"/>
        <w:jc w:val="both"/>
        <w:rPr>
          <w:rFonts w:cs="Arial"/>
          <w:sz w:val="20"/>
          <w:szCs w:val="20"/>
        </w:rPr>
      </w:pPr>
      <w:r w:rsidRPr="007821F2">
        <w:rPr>
          <w:rFonts w:cs="Arial"/>
          <w:sz w:val="20"/>
          <w:szCs w:val="20"/>
        </w:rPr>
        <w:t xml:space="preserve">By adjusting as far as possible for the Committee-noted uncertainties in the NMA, the MAIC adds even further weight to this conclusion that there </w:t>
      </w:r>
      <w:r w:rsidRPr="008366B7" w:rsidR="000B660D">
        <w:rPr>
          <w:rFonts w:cs="Arial"/>
          <w:sz w:val="20"/>
          <w:szCs w:val="20"/>
        </w:rPr>
        <w:t>appear to be</w:t>
      </w:r>
      <w:r w:rsidRPr="007821F2">
        <w:rPr>
          <w:rFonts w:cs="Arial"/>
          <w:sz w:val="20"/>
          <w:szCs w:val="20"/>
        </w:rPr>
        <w:t xml:space="preserve"> no material differences in PFS between </w:t>
      </w:r>
      <w:proofErr w:type="spellStart"/>
      <w:r w:rsidRPr="007821F2">
        <w:rPr>
          <w:rFonts w:cs="Arial"/>
          <w:sz w:val="20"/>
          <w:szCs w:val="20"/>
        </w:rPr>
        <w:t>cemiplimab</w:t>
      </w:r>
      <w:proofErr w:type="spellEnd"/>
      <w:r w:rsidRPr="007821F2">
        <w:rPr>
          <w:rFonts w:cs="Arial"/>
          <w:sz w:val="20"/>
          <w:szCs w:val="20"/>
        </w:rPr>
        <w:t xml:space="preserve"> and pembrolizumab. </w:t>
      </w:r>
    </w:p>
    <w:p w:rsidRPr="007821F2" w:rsidR="00E17660" w:rsidP="00FE0085" w:rsidRDefault="00E17660" w14:paraId="2823A2C8" w14:textId="7A7D6209">
      <w:pPr>
        <w:pStyle w:val="ListParagraph"/>
        <w:numPr>
          <w:ilvl w:val="0"/>
          <w:numId w:val="1"/>
        </w:numPr>
        <w:spacing w:before="120" w:after="120"/>
        <w:ind w:left="998" w:hanging="352"/>
        <w:contextualSpacing w:val="0"/>
        <w:jc w:val="both"/>
        <w:rPr>
          <w:rFonts w:cs="Arial"/>
          <w:sz w:val="20"/>
          <w:szCs w:val="20"/>
        </w:rPr>
      </w:pPr>
      <w:r w:rsidRPr="007821F2">
        <w:rPr>
          <w:rFonts w:cs="Arial"/>
          <w:sz w:val="20"/>
          <w:szCs w:val="20"/>
        </w:rPr>
        <w:t xml:space="preserve">Given that all evidence indicates there are no material differences in PFS between </w:t>
      </w:r>
      <w:proofErr w:type="spellStart"/>
      <w:r w:rsidRPr="007821F2">
        <w:rPr>
          <w:rFonts w:cs="Arial"/>
          <w:sz w:val="20"/>
          <w:szCs w:val="20"/>
        </w:rPr>
        <w:t>cemiplimab</w:t>
      </w:r>
      <w:proofErr w:type="spellEnd"/>
      <w:r w:rsidRPr="007821F2">
        <w:rPr>
          <w:rFonts w:cs="Arial"/>
          <w:sz w:val="20"/>
          <w:szCs w:val="20"/>
        </w:rPr>
        <w:t xml:space="preserve"> and pembrolizumab, and a reasonable interpretation of that evidence would conclude the </w:t>
      </w:r>
      <w:proofErr w:type="gramStart"/>
      <w:r w:rsidRPr="007821F2">
        <w:rPr>
          <w:rFonts w:cs="Arial"/>
          <w:sz w:val="20"/>
          <w:szCs w:val="20"/>
        </w:rPr>
        <w:t>same, and</w:t>
      </w:r>
      <w:proofErr w:type="gramEnd"/>
      <w:r w:rsidRPr="007821F2">
        <w:rPr>
          <w:rFonts w:cs="Arial"/>
          <w:sz w:val="20"/>
          <w:szCs w:val="20"/>
        </w:rPr>
        <w:t xml:space="preserve"> given the Committee has concluded that post progression survival should be </w:t>
      </w:r>
      <w:r w:rsidRPr="007821F2" w:rsidR="00E11FF5">
        <w:rPr>
          <w:rFonts w:cs="Arial"/>
          <w:sz w:val="20"/>
          <w:szCs w:val="20"/>
        </w:rPr>
        <w:t>equal, it</w:t>
      </w:r>
      <w:r w:rsidRPr="007821F2">
        <w:rPr>
          <w:rFonts w:cs="Arial"/>
          <w:sz w:val="20"/>
          <w:szCs w:val="20"/>
        </w:rPr>
        <w:t xml:space="preserve"> must necessarily follow that OS should be assumed to be equal for </w:t>
      </w:r>
      <w:proofErr w:type="spellStart"/>
      <w:r w:rsidRPr="007821F2">
        <w:rPr>
          <w:rFonts w:cs="Arial"/>
          <w:sz w:val="20"/>
          <w:szCs w:val="20"/>
        </w:rPr>
        <w:t>cemiplimab</w:t>
      </w:r>
      <w:proofErr w:type="spellEnd"/>
      <w:r w:rsidRPr="007821F2">
        <w:rPr>
          <w:rFonts w:cs="Arial"/>
          <w:sz w:val="20"/>
          <w:szCs w:val="20"/>
        </w:rPr>
        <w:t xml:space="preserve"> and pembrolizumab.  </w:t>
      </w:r>
    </w:p>
    <w:p w:rsidRPr="007821F2" w:rsidR="00E17660" w:rsidP="001F46AE" w:rsidRDefault="00E17660" w14:paraId="011307FE" w14:textId="2C556665">
      <w:pPr>
        <w:spacing w:before="120" w:after="120"/>
        <w:rPr>
          <w:rFonts w:cs="Arial"/>
          <w:b/>
          <w:bCs/>
          <w:i/>
          <w:iCs/>
          <w:sz w:val="20"/>
          <w:szCs w:val="20"/>
        </w:rPr>
      </w:pPr>
      <w:r w:rsidRPr="007821F2">
        <w:rPr>
          <w:rFonts w:cs="Arial"/>
          <w:b/>
          <w:bCs/>
          <w:i/>
          <w:iCs/>
          <w:sz w:val="20"/>
          <w:szCs w:val="20"/>
        </w:rPr>
        <w:t>Inadequate Consideration of Relevant Evidence</w:t>
      </w:r>
    </w:p>
    <w:p w:rsidRPr="00B95314" w:rsidR="00E17660" w:rsidP="00FE0085" w:rsidRDefault="00E17660" w14:paraId="20C50327" w14:textId="664B1377">
      <w:pPr>
        <w:spacing w:before="240" w:after="120"/>
        <w:jc w:val="both"/>
        <w:rPr>
          <w:rFonts w:cs="Arial"/>
          <w:sz w:val="20"/>
          <w:szCs w:val="20"/>
        </w:rPr>
      </w:pPr>
      <w:r w:rsidRPr="008366B7">
        <w:rPr>
          <w:rFonts w:cs="Arial"/>
          <w:sz w:val="20"/>
          <w:szCs w:val="20"/>
        </w:rPr>
        <w:t xml:space="preserve">The MAIC-based PFS analysis therefore constitutes material evidence for the Committee’s decision-making, irrespective of </w:t>
      </w:r>
      <w:r w:rsidRPr="008366B7" w:rsidR="00234D7D">
        <w:rPr>
          <w:rFonts w:cs="Arial"/>
          <w:sz w:val="20"/>
          <w:szCs w:val="20"/>
        </w:rPr>
        <w:t>whether</w:t>
      </w:r>
      <w:r w:rsidRPr="008366B7">
        <w:rPr>
          <w:rFonts w:cs="Arial"/>
          <w:sz w:val="20"/>
          <w:szCs w:val="20"/>
        </w:rPr>
        <w:t xml:space="preserve"> the MAIC-based analyses were requested by the Committee, and irrespective</w:t>
      </w:r>
      <w:r w:rsidRPr="00B95314">
        <w:rPr>
          <w:rFonts w:cs="Arial"/>
          <w:sz w:val="20"/>
          <w:szCs w:val="20"/>
        </w:rPr>
        <w:t xml:space="preserve"> of whether the requested Markov model was provided. The MAIC-based PFS analyses were distinct analyses and were provided by the Company within process in response to the DGD.  </w:t>
      </w:r>
    </w:p>
    <w:p w:rsidRPr="005F2AB1" w:rsidR="00E17660" w:rsidP="00FE0085" w:rsidRDefault="00E17660" w14:paraId="1E55EF80" w14:textId="59B56FE5">
      <w:pPr>
        <w:spacing w:before="120" w:after="120"/>
        <w:jc w:val="both"/>
        <w:rPr>
          <w:rFonts w:cs="Arial"/>
          <w:sz w:val="20"/>
          <w:szCs w:val="20"/>
        </w:rPr>
      </w:pPr>
      <w:r w:rsidRPr="00B95314">
        <w:rPr>
          <w:rFonts w:cs="Arial"/>
          <w:sz w:val="20"/>
          <w:szCs w:val="20"/>
        </w:rPr>
        <w:t xml:space="preserve">It is reasonable to expect that this could and should have given the Committee pause for thought on its previous conclusions regarding the comparative effectiveness of </w:t>
      </w:r>
      <w:proofErr w:type="spellStart"/>
      <w:r w:rsidRPr="00B95314">
        <w:rPr>
          <w:rFonts w:cs="Arial"/>
          <w:sz w:val="20"/>
          <w:szCs w:val="20"/>
        </w:rPr>
        <w:t>cemiplimab</w:t>
      </w:r>
      <w:proofErr w:type="spellEnd"/>
      <w:r w:rsidRPr="00B95314">
        <w:rPr>
          <w:rFonts w:cs="Arial"/>
          <w:sz w:val="20"/>
          <w:szCs w:val="20"/>
        </w:rPr>
        <w:t xml:space="preserve"> and pembrolizumab, its preferred modelling approach and the cost effectiveness of </w:t>
      </w:r>
      <w:proofErr w:type="spellStart"/>
      <w:r w:rsidRPr="00B95314">
        <w:rPr>
          <w:rFonts w:cs="Arial"/>
          <w:sz w:val="20"/>
          <w:szCs w:val="20"/>
        </w:rPr>
        <w:t>cemiplimab</w:t>
      </w:r>
      <w:proofErr w:type="spellEnd"/>
      <w:r w:rsidRPr="00B95314">
        <w:rPr>
          <w:rFonts w:cs="Arial"/>
          <w:sz w:val="20"/>
          <w:szCs w:val="20"/>
        </w:rPr>
        <w:t xml:space="preserve">. </w:t>
      </w:r>
      <w:r w:rsidRPr="00B95314" w:rsidR="0034501A">
        <w:rPr>
          <w:rFonts w:cs="Arial"/>
          <w:sz w:val="20"/>
          <w:szCs w:val="20"/>
        </w:rPr>
        <w:t xml:space="preserve">Yet there is no evidence that it reflected appropriately or adequately. This results in the FDG retaining </w:t>
      </w:r>
      <w:r w:rsidRPr="00B95314">
        <w:rPr>
          <w:rFonts w:cs="Arial"/>
          <w:sz w:val="20"/>
          <w:szCs w:val="20"/>
        </w:rPr>
        <w:t xml:space="preserve"> an unreasonable and internally inconsistent conclusion on the comparative effectiveness of </w:t>
      </w:r>
      <w:proofErr w:type="spellStart"/>
      <w:r w:rsidRPr="00B95314">
        <w:rPr>
          <w:rFonts w:cs="Arial"/>
          <w:sz w:val="20"/>
          <w:szCs w:val="20"/>
        </w:rPr>
        <w:t>cemiplimab</w:t>
      </w:r>
      <w:proofErr w:type="spellEnd"/>
      <w:r w:rsidRPr="00B95314">
        <w:rPr>
          <w:rFonts w:cs="Arial"/>
          <w:sz w:val="20"/>
          <w:szCs w:val="20"/>
        </w:rPr>
        <w:t xml:space="preserve">, and an unreasonable conclusion on its (in)ability to determine acceptable modelling assumptions and allow Regeneron and NHSE to confirm the appropriate price at which </w:t>
      </w:r>
      <w:proofErr w:type="spellStart"/>
      <w:r w:rsidRPr="005F2AB1">
        <w:rPr>
          <w:rFonts w:cs="Arial"/>
          <w:sz w:val="20"/>
          <w:szCs w:val="20"/>
        </w:rPr>
        <w:t>cemiplimab</w:t>
      </w:r>
      <w:proofErr w:type="spellEnd"/>
      <w:r w:rsidRPr="005F2AB1">
        <w:rPr>
          <w:rFonts w:cs="Arial"/>
          <w:sz w:val="20"/>
          <w:szCs w:val="20"/>
        </w:rPr>
        <w:t xml:space="preserve"> would represent a highly cost-effective (ICER &lt;£20,000/QALY) and/or net cost-saving use of NHS resources</w:t>
      </w:r>
      <w:r w:rsidRPr="005F2AB1" w:rsidR="006C5931">
        <w:rPr>
          <w:rFonts w:cs="Arial"/>
          <w:sz w:val="20"/>
          <w:szCs w:val="20"/>
        </w:rPr>
        <w:t>,</w:t>
      </w:r>
      <w:r w:rsidRPr="005F2AB1">
        <w:rPr>
          <w:rFonts w:cs="Arial"/>
          <w:sz w:val="20"/>
          <w:szCs w:val="20"/>
        </w:rPr>
        <w:t xml:space="preserve"> whilst addressing a national unmet medical need.</w:t>
      </w:r>
    </w:p>
    <w:p w:rsidRPr="005F2AB1" w:rsidR="00E17660" w:rsidP="001F46AE" w:rsidRDefault="00E17660" w14:paraId="48A7E37F" w14:textId="1D4D822E">
      <w:pPr>
        <w:spacing w:before="120" w:after="120"/>
        <w:rPr>
          <w:rFonts w:cs="Arial"/>
          <w:sz w:val="20"/>
          <w:szCs w:val="20"/>
        </w:rPr>
      </w:pPr>
      <w:r w:rsidRPr="005F2AB1">
        <w:rPr>
          <w:rFonts w:cs="Arial"/>
          <w:sz w:val="20"/>
          <w:szCs w:val="20"/>
        </w:rPr>
        <w:t xml:space="preserve">Given that the MAIC analyses specifically explore the Committee’s stated concerns and demonstrate that the NMA-based PFS results are potentially biased in </w:t>
      </w:r>
      <w:proofErr w:type="spellStart"/>
      <w:r w:rsidRPr="005F2AB1">
        <w:rPr>
          <w:rFonts w:cs="Arial"/>
          <w:sz w:val="20"/>
          <w:szCs w:val="20"/>
        </w:rPr>
        <w:t>favour</w:t>
      </w:r>
      <w:proofErr w:type="spellEnd"/>
      <w:r w:rsidRPr="005F2AB1">
        <w:rPr>
          <w:rFonts w:cs="Arial"/>
          <w:sz w:val="20"/>
          <w:szCs w:val="20"/>
        </w:rPr>
        <w:t xml:space="preserve"> of pembrolizumab, the MAIC-based PFS analyses should have been given specific and full consideration by the Committee and that consideration evidenced in the FDG.  </w:t>
      </w:r>
    </w:p>
    <w:p w:rsidRPr="00B95314" w:rsidR="00E17660" w:rsidP="001F46AE" w:rsidRDefault="00E17660" w14:paraId="0FF7D1AA" w14:textId="593878BC">
      <w:pPr>
        <w:spacing w:before="120" w:after="120"/>
        <w:rPr>
          <w:rFonts w:cs="Arial"/>
          <w:sz w:val="20"/>
          <w:szCs w:val="20"/>
        </w:rPr>
      </w:pPr>
      <w:r w:rsidRPr="005F2AB1">
        <w:rPr>
          <w:rFonts w:cs="Arial"/>
          <w:sz w:val="20"/>
          <w:szCs w:val="20"/>
        </w:rPr>
        <w:t xml:space="preserve">The above also applies to the scenario analyses Regeneron provided in the PSM using MAIC-based PFS, which the EAG acknowledged as potentially more conservative than the Markov model the Committee had requested.  Public bodies are required to </w:t>
      </w:r>
      <w:proofErr w:type="gramStart"/>
      <w:r w:rsidRPr="005F2AB1">
        <w:rPr>
          <w:rFonts w:cs="Arial"/>
          <w:sz w:val="20"/>
          <w:szCs w:val="20"/>
        </w:rPr>
        <w:t>give proper consideration to</w:t>
      </w:r>
      <w:proofErr w:type="gramEnd"/>
      <w:r w:rsidRPr="005F2AB1">
        <w:rPr>
          <w:rFonts w:cs="Arial"/>
          <w:sz w:val="20"/>
          <w:szCs w:val="20"/>
        </w:rPr>
        <w:t xml:space="preserve"> stakeholder submissions and, where relevant, to provide valid reasons for any decision </w:t>
      </w:r>
      <w:proofErr w:type="gramStart"/>
      <w:r w:rsidRPr="005F2AB1">
        <w:rPr>
          <w:rFonts w:cs="Arial"/>
          <w:sz w:val="20"/>
          <w:szCs w:val="20"/>
        </w:rPr>
        <w:t>to not</w:t>
      </w:r>
      <w:proofErr w:type="gramEnd"/>
      <w:r w:rsidRPr="005F2AB1">
        <w:rPr>
          <w:rFonts w:cs="Arial"/>
          <w:sz w:val="20"/>
          <w:szCs w:val="20"/>
        </w:rPr>
        <w:t xml:space="preserve"> accept them.  The failure to do so was procedurally unfair and prejudiced Regeneron and </w:t>
      </w:r>
      <w:proofErr w:type="spellStart"/>
      <w:r w:rsidRPr="005F2AB1">
        <w:rPr>
          <w:rFonts w:cs="Arial"/>
          <w:sz w:val="20"/>
          <w:szCs w:val="20"/>
        </w:rPr>
        <w:t>cemiplimab</w:t>
      </w:r>
      <w:proofErr w:type="spellEnd"/>
      <w:r w:rsidRPr="005F2AB1">
        <w:rPr>
          <w:rFonts w:cs="Arial"/>
          <w:sz w:val="20"/>
          <w:szCs w:val="20"/>
        </w:rPr>
        <w:t>.</w:t>
      </w:r>
    </w:p>
    <w:p w:rsidRPr="00B95314" w:rsidR="009F3CFF" w:rsidP="001F46AE" w:rsidRDefault="009F3CFF" w14:paraId="52BE54A7" w14:textId="77777777">
      <w:pPr>
        <w:spacing w:before="120" w:after="120"/>
        <w:rPr>
          <w:rFonts w:cs="Arial"/>
          <w:b/>
          <w:bCs/>
          <w:sz w:val="20"/>
          <w:szCs w:val="20"/>
        </w:rPr>
      </w:pPr>
    </w:p>
    <w:p w:rsidRPr="007821F2" w:rsidR="00E17660" w:rsidP="007821F2" w:rsidRDefault="00E17660" w14:paraId="31332F84" w14:textId="3F76133E">
      <w:pPr>
        <w:pStyle w:val="Heading2"/>
        <w:rPr>
          <w:rFonts w:cs="Arial"/>
          <w:b/>
          <w:bCs/>
          <w:i/>
          <w:iCs/>
          <w:sz w:val="20"/>
          <w:szCs w:val="20"/>
        </w:rPr>
      </w:pPr>
      <w:r w:rsidRPr="007821F2">
        <w:rPr>
          <w:rFonts w:ascii="Arial" w:hAnsi="Arial" w:cs="Arial"/>
          <w:b/>
          <w:bCs/>
          <w:i/>
          <w:iCs/>
          <w:sz w:val="20"/>
          <w:szCs w:val="20"/>
        </w:rPr>
        <w:t xml:space="preserve">Appeal Ground 1a.3 – At critical stages, NICE’s conduct of the appraisal </w:t>
      </w:r>
      <w:r w:rsidRPr="007821F2" w:rsidR="00713FBE">
        <w:rPr>
          <w:rFonts w:ascii="Arial" w:hAnsi="Arial" w:cs="Arial"/>
          <w:b/>
          <w:bCs/>
          <w:i/>
          <w:iCs/>
          <w:sz w:val="20"/>
          <w:szCs w:val="20"/>
        </w:rPr>
        <w:t xml:space="preserve">process itself </w:t>
      </w:r>
      <w:r w:rsidRPr="007821F2">
        <w:rPr>
          <w:rFonts w:ascii="Arial" w:hAnsi="Arial" w:cs="Arial"/>
          <w:b/>
          <w:bCs/>
          <w:i/>
          <w:iCs/>
          <w:sz w:val="20"/>
          <w:szCs w:val="20"/>
        </w:rPr>
        <w:t>has been opaque and inconsistent.  Taken cumulatively, these factors have stymied Regeneron’s ability to put forward its case and the Appraisal Committee’s ability to carry out a well-informed assessment.  This amounts to procedural unfairness.</w:t>
      </w:r>
    </w:p>
    <w:p w:rsidRPr="00B95314" w:rsidR="00E17660" w:rsidP="00FE0085" w:rsidRDefault="00E17660" w14:paraId="50C8985B" w14:textId="589E580E">
      <w:pPr>
        <w:spacing w:before="240" w:after="120"/>
        <w:jc w:val="both"/>
        <w:rPr>
          <w:rFonts w:cs="Arial"/>
          <w:sz w:val="20"/>
          <w:szCs w:val="20"/>
        </w:rPr>
      </w:pPr>
      <w:r w:rsidRPr="00B95314">
        <w:rPr>
          <w:rFonts w:cs="Arial"/>
          <w:sz w:val="20"/>
          <w:szCs w:val="20"/>
        </w:rPr>
        <w:t xml:space="preserve">Procedural unfairness may arise through an accumulation of decisions or procedural decisions that, taken together, result in a bias against the company. Consciously or otherwise, this is what has happened </w:t>
      </w:r>
      <w:r w:rsidR="00423C31">
        <w:rPr>
          <w:rFonts w:cs="Arial"/>
          <w:sz w:val="20"/>
          <w:szCs w:val="20"/>
        </w:rPr>
        <w:t>here</w:t>
      </w:r>
      <w:r w:rsidRPr="00B95314">
        <w:rPr>
          <w:rFonts w:cs="Arial"/>
          <w:sz w:val="20"/>
          <w:szCs w:val="20"/>
        </w:rPr>
        <w:t>.</w:t>
      </w:r>
    </w:p>
    <w:p w:rsidRPr="00B95314" w:rsidR="00E17660" w:rsidP="00FE0085" w:rsidRDefault="00E17660" w14:paraId="532987FB" w14:textId="77777777">
      <w:pPr>
        <w:spacing w:before="120" w:after="120"/>
        <w:jc w:val="both"/>
        <w:rPr>
          <w:rFonts w:cs="Arial"/>
          <w:sz w:val="20"/>
          <w:szCs w:val="20"/>
        </w:rPr>
      </w:pPr>
      <w:r w:rsidRPr="0C756F85" w:rsidR="00E17660">
        <w:rPr>
          <w:rFonts w:cs="Arial"/>
          <w:sz w:val="20"/>
          <w:szCs w:val="20"/>
        </w:rPr>
        <w:t>The context of this appraisal is important to note</w:t>
      </w:r>
      <w:r w:rsidRPr="0C756F85" w:rsidR="00E17660">
        <w:rPr>
          <w:rFonts w:cs="Arial"/>
          <w:sz w:val="20"/>
          <w:szCs w:val="20"/>
        </w:rPr>
        <w:t xml:space="preserve">.  </w:t>
      </w:r>
      <w:r w:rsidRPr="0C756F85" w:rsidR="00E17660">
        <w:rPr>
          <w:rFonts w:cs="Arial"/>
          <w:sz w:val="20"/>
          <w:szCs w:val="20"/>
        </w:rPr>
        <w:t xml:space="preserve">As previously communicated to the NICE team on multiple occasions over the last year, Regeneron first had </w:t>
      </w:r>
      <w:r w:rsidRPr="0C756F85" w:rsidR="00E17660">
        <w:rPr>
          <w:rFonts w:cs="Arial"/>
          <w:sz w:val="20"/>
          <w:szCs w:val="20"/>
        </w:rPr>
        <w:t>exploratory</w:t>
      </w:r>
      <w:r w:rsidRPr="0C756F85" w:rsidR="00E17660">
        <w:rPr>
          <w:rFonts w:cs="Arial"/>
          <w:sz w:val="20"/>
          <w:szCs w:val="20"/>
        </w:rPr>
        <w:t xml:space="preserve"> discussions on the potential for </w:t>
      </w:r>
      <w:r w:rsidRPr="0C756F85" w:rsidR="00E17660">
        <w:rPr>
          <w:rFonts w:cs="Arial"/>
          <w:sz w:val="20"/>
          <w:szCs w:val="20"/>
        </w:rPr>
        <w:t>cemiplimab</w:t>
      </w:r>
      <w:r w:rsidRPr="0C756F85" w:rsidR="00E17660">
        <w:rPr>
          <w:rFonts w:cs="Arial"/>
          <w:sz w:val="20"/>
          <w:szCs w:val="20"/>
        </w:rPr>
        <w:t xml:space="preserve"> to satisfy the criteria for NHS England commercial flexibility in Q2 2024</w:t>
      </w:r>
      <w:r w:rsidRPr="0C756F85" w:rsidR="00E17660">
        <w:rPr>
          <w:rFonts w:cs="Arial"/>
          <w:sz w:val="20"/>
          <w:szCs w:val="20"/>
        </w:rPr>
        <w:t xml:space="preserve">.  </w:t>
      </w:r>
      <w:r w:rsidRPr="0C756F85" w:rsidR="00E17660">
        <w:rPr>
          <w:rFonts w:cs="Arial"/>
          <w:sz w:val="20"/>
          <w:szCs w:val="20"/>
        </w:rPr>
        <w:t xml:space="preserve">We reached an agreement in principle in </w:t>
      </w:r>
      <w:r w:rsidRPr="0C756F85" w:rsidR="00E17660">
        <w:rPr>
          <w:rFonts w:cs="Arial"/>
          <w:sz w:val="20"/>
          <w:szCs w:val="20"/>
        </w:rPr>
        <w:t>September 2024, and</w:t>
      </w:r>
      <w:r w:rsidRPr="0C756F85" w:rsidR="00E17660">
        <w:rPr>
          <w:rFonts w:cs="Arial"/>
          <w:sz w:val="20"/>
          <w:szCs w:val="20"/>
        </w:rPr>
        <w:t xml:space="preserve"> agreed</w:t>
      </w:r>
      <w:r w:rsidRPr="0C756F85" w:rsidR="00E17660">
        <w:rPr>
          <w:rFonts w:cs="Arial"/>
          <w:sz w:val="20"/>
          <w:szCs w:val="20"/>
        </w:rPr>
        <w:t xml:space="preserve"> in principle by September with both </w:t>
      </w:r>
      <w:r w:rsidRPr="0C756F85" w:rsidR="00E17660">
        <w:rPr>
          <w:rFonts w:cs="Arial"/>
          <w:sz w:val="20"/>
          <w:szCs w:val="20"/>
        </w:rPr>
        <w:t>Professor Peter Clark</w:t>
      </w:r>
      <w:r w:rsidRPr="0C756F85" w:rsidR="00E17660">
        <w:rPr>
          <w:rFonts w:cs="Arial"/>
          <w:sz w:val="20"/>
          <w:szCs w:val="20"/>
        </w:rPr>
        <w:t xml:space="preserve"> and the NHSE commercial negotiation lead (</w:t>
      </w:r>
      <w:r w:rsidRPr="0C756F85" w:rsidR="00E17660">
        <w:rPr>
          <w:rFonts w:cs="Arial"/>
          <w:sz w:val="20"/>
          <w:szCs w:val="20"/>
        </w:rPr>
        <w:t>Mark Wyles</w:t>
      </w:r>
      <w:r w:rsidRPr="0C756F85" w:rsidR="00E17660">
        <w:rPr>
          <w:rFonts w:cs="Arial"/>
          <w:sz w:val="20"/>
          <w:szCs w:val="20"/>
        </w:rPr>
        <w:t xml:space="preserve">) that </w:t>
      </w:r>
      <w:r w:rsidRPr="0C756F85" w:rsidR="00E17660">
        <w:rPr>
          <w:rFonts w:cs="Arial"/>
          <w:sz w:val="20"/>
          <w:szCs w:val="20"/>
        </w:rPr>
        <w:t xml:space="preserve">at face value </w:t>
      </w:r>
      <w:r w:rsidRPr="0C756F85" w:rsidR="00E17660">
        <w:rPr>
          <w:rFonts w:cs="Arial"/>
          <w:sz w:val="20"/>
          <w:szCs w:val="20"/>
        </w:rPr>
        <w:t>cemiplimab</w:t>
      </w:r>
      <w:r w:rsidRPr="0C756F85" w:rsidR="00E17660">
        <w:rPr>
          <w:rFonts w:cs="Arial"/>
          <w:sz w:val="20"/>
          <w:szCs w:val="20"/>
        </w:rPr>
        <w:t xml:space="preserve"> + chemotherapy satisfied the criteria for commercial flexibility (</w:t>
      </w:r>
      <w:r w:rsidRPr="0C756F85" w:rsidR="00E17660">
        <w:rPr>
          <w:rFonts w:cs="Arial"/>
          <w:i w:val="1"/>
          <w:iCs w:val="1"/>
          <w:sz w:val="20"/>
          <w:szCs w:val="20"/>
        </w:rPr>
        <w:t>i.e.</w:t>
      </w:r>
      <w:r w:rsidRPr="0C756F85" w:rsidR="00E17660">
        <w:rPr>
          <w:rFonts w:cs="Arial"/>
          <w:sz w:val="20"/>
          <w:szCs w:val="20"/>
        </w:rPr>
        <w:t>, addressed a national unmet medical need and necessitated a differential pricing arrangement to make launch in NSCLC commercially viable for Regeneron).</w:t>
      </w:r>
    </w:p>
    <w:p w:rsidRPr="00B95314" w:rsidR="00E17660" w:rsidP="00FE0085" w:rsidRDefault="00E17660" w14:paraId="279DAE7E" w14:textId="77777777">
      <w:pPr>
        <w:spacing w:before="120" w:after="120"/>
        <w:ind w:left="709" w:hanging="425"/>
        <w:jc w:val="both"/>
        <w:rPr>
          <w:rFonts w:cs="Arial"/>
          <w:sz w:val="20"/>
          <w:szCs w:val="20"/>
        </w:rPr>
      </w:pPr>
      <w:r w:rsidRPr="00B95314">
        <w:rPr>
          <w:rFonts w:cs="Arial"/>
          <w:sz w:val="20"/>
          <w:szCs w:val="20"/>
        </w:rPr>
        <w:t>1.</w:t>
      </w:r>
      <w:r>
        <w:tab/>
      </w:r>
      <w:r w:rsidRPr="00B95314">
        <w:rPr>
          <w:rFonts w:cs="Arial"/>
          <w:sz w:val="20"/>
          <w:szCs w:val="20"/>
        </w:rPr>
        <w:t xml:space="preserve">In light of this, the company twice made a specific request to NICE to exercise its discretion to allow company representatives to attend the second part of Appraisal Committee Meeting (“ACM”) 2 (as is permitted under paragraph 40 of NICE’s Terms of Reference and Standing Orders) and/or provide written clarification to the Chair in order to provide Committee members with details of the commercial offer that would have demonstrated </w:t>
      </w:r>
      <w:proofErr w:type="spellStart"/>
      <w:r w:rsidRPr="00B95314">
        <w:rPr>
          <w:rFonts w:cs="Arial"/>
          <w:sz w:val="20"/>
          <w:szCs w:val="20"/>
        </w:rPr>
        <w:t>cemiplimab</w:t>
      </w:r>
      <w:proofErr w:type="spellEnd"/>
      <w:r w:rsidRPr="00B95314">
        <w:rPr>
          <w:rFonts w:cs="Arial"/>
          <w:sz w:val="20"/>
          <w:szCs w:val="20"/>
        </w:rPr>
        <w:t xml:space="preserve"> was highly cost effective/cost-saving.  NICE’s technical team denied this request for no clear reason.</w:t>
      </w:r>
    </w:p>
    <w:p w:rsidRPr="00B95314" w:rsidR="00E17660" w:rsidP="00FE0085" w:rsidRDefault="00E17660" w14:paraId="7D109AFC" w14:textId="6D93A83E" w14:noSpellErr="1">
      <w:pPr>
        <w:spacing w:before="120" w:after="120"/>
        <w:ind w:left="709" w:hanging="425"/>
        <w:jc w:val="both"/>
        <w:rPr>
          <w:rFonts w:cs="Arial"/>
          <w:sz w:val="20"/>
          <w:szCs w:val="20"/>
        </w:rPr>
      </w:pPr>
      <w:r w:rsidRPr="0C756F85" w:rsidR="00E17660">
        <w:rPr>
          <w:rFonts w:cs="Arial"/>
          <w:sz w:val="20"/>
          <w:szCs w:val="20"/>
        </w:rPr>
        <w:t>2.</w:t>
      </w:r>
      <w:r>
        <w:tab/>
      </w:r>
      <w:r w:rsidRPr="0C756F85" w:rsidR="004809C9">
        <w:rPr>
          <w:rFonts w:cs="Arial"/>
          <w:sz w:val="20"/>
          <w:szCs w:val="20"/>
        </w:rPr>
        <w:t xml:space="preserve">We </w:t>
      </w:r>
      <w:r w:rsidRPr="0C756F85" w:rsidR="00E17660">
        <w:rPr>
          <w:rFonts w:cs="Arial"/>
          <w:sz w:val="20"/>
          <w:szCs w:val="20"/>
        </w:rPr>
        <w:t>understand</w:t>
      </w:r>
      <w:r w:rsidRPr="0C756F85" w:rsidR="004809C9">
        <w:rPr>
          <w:rFonts w:cs="Arial"/>
          <w:sz w:val="20"/>
          <w:szCs w:val="20"/>
        </w:rPr>
        <w:t xml:space="preserve"> </w:t>
      </w:r>
      <w:r w:rsidRPr="0C756F85" w:rsidR="00E17660">
        <w:rPr>
          <w:rFonts w:cs="Arial"/>
          <w:sz w:val="20"/>
          <w:szCs w:val="20"/>
        </w:rPr>
        <w:t>that</w:t>
      </w:r>
      <w:r w:rsidRPr="0C756F85" w:rsidR="004809C9">
        <w:rPr>
          <w:rFonts w:cs="Arial"/>
          <w:sz w:val="20"/>
          <w:szCs w:val="20"/>
        </w:rPr>
        <w:t>,</w:t>
      </w:r>
      <w:r w:rsidRPr="0C756F85" w:rsidR="00E17660">
        <w:rPr>
          <w:rFonts w:cs="Arial"/>
          <w:sz w:val="20"/>
          <w:szCs w:val="20"/>
        </w:rPr>
        <w:t xml:space="preserve"> until April 2025, NHSE’s Oncology Clinical Lead,</w:t>
      </w:r>
      <w:r w:rsidRPr="0C756F85" w:rsidR="00E17660">
        <w:rPr>
          <w:rFonts w:cs="Arial"/>
          <w:sz w:val="20"/>
          <w:szCs w:val="20"/>
        </w:rPr>
        <w:t xml:space="preserve"> P</w:t>
      </w:r>
      <w:r w:rsidRPr="0C756F85" w:rsidR="00E17660">
        <w:rPr>
          <w:rFonts w:cs="Arial"/>
          <w:sz w:val="20"/>
          <w:szCs w:val="20"/>
        </w:rPr>
        <w:t>rofessor Peter Clark,</w:t>
      </w:r>
      <w:r w:rsidRPr="0C756F85" w:rsidR="00E17660">
        <w:rPr>
          <w:rFonts w:cs="Arial"/>
          <w:sz w:val="20"/>
          <w:szCs w:val="20"/>
        </w:rPr>
        <w:t xml:space="preserve"> was routinely invited to join ACMs, including Part 2 of ACMs, for all oncology appraisal</w:t>
      </w:r>
      <w:r w:rsidRPr="0C756F85" w:rsidR="00E17660">
        <w:rPr>
          <w:rFonts w:cs="Arial"/>
          <w:sz w:val="20"/>
          <w:szCs w:val="20"/>
        </w:rPr>
        <w:t>s</w:t>
      </w:r>
      <w:r w:rsidRPr="0C756F85" w:rsidR="00E17660">
        <w:rPr>
          <w:rFonts w:cs="Arial"/>
          <w:sz w:val="20"/>
          <w:szCs w:val="20"/>
        </w:rPr>
        <w:t xml:space="preserve">.  </w:t>
      </w:r>
      <w:r w:rsidRPr="0C756F85" w:rsidR="00E17660">
        <w:rPr>
          <w:rFonts w:cs="Arial"/>
          <w:sz w:val="20"/>
          <w:szCs w:val="20"/>
        </w:rPr>
        <w:t>Professor Clar</w:t>
      </w:r>
      <w:r w:rsidRPr="0C756F85" w:rsidR="00E17660">
        <w:rPr>
          <w:rFonts w:cs="Arial"/>
          <w:sz w:val="20"/>
          <w:szCs w:val="20"/>
        </w:rPr>
        <w:t>k</w:t>
      </w:r>
      <w:r w:rsidRPr="0C756F85" w:rsidR="00E17660">
        <w:rPr>
          <w:rFonts w:cs="Arial"/>
          <w:sz w:val="20"/>
          <w:szCs w:val="20"/>
        </w:rPr>
        <w:t xml:space="preserve"> </w:t>
      </w:r>
      <w:r w:rsidRPr="0C756F85" w:rsidR="00E17660">
        <w:rPr>
          <w:rFonts w:cs="Arial"/>
          <w:sz w:val="20"/>
          <w:szCs w:val="20"/>
        </w:rPr>
        <w:t>indeed</w:t>
      </w:r>
      <w:r w:rsidRPr="0C756F85" w:rsidR="00E17660">
        <w:rPr>
          <w:rFonts w:cs="Arial"/>
          <w:sz w:val="20"/>
          <w:szCs w:val="20"/>
        </w:rPr>
        <w:t xml:space="preserve"> attended ACM1 in this appraisal. He has extensive prior clinical NSCLC experience, as a</w:t>
      </w:r>
      <w:r w:rsidRPr="0C756F85" w:rsidR="00E17660">
        <w:rPr>
          <w:rFonts w:cs="Arial"/>
          <w:sz w:val="20"/>
          <w:szCs w:val="20"/>
        </w:rPr>
        <w:t xml:space="preserve"> practicing oncologist in the NHS. To our knowledge none of the other Committee members present during ACM2 had similar experience or expertise</w:t>
      </w:r>
      <w:r w:rsidRPr="0C756F85" w:rsidR="00E17660">
        <w:rPr>
          <w:rFonts w:cs="Arial"/>
          <w:sz w:val="20"/>
          <w:szCs w:val="20"/>
        </w:rPr>
        <w:t xml:space="preserve">.  </w:t>
      </w:r>
      <w:r w:rsidRPr="0C756F85" w:rsidR="00E17660">
        <w:rPr>
          <w:rFonts w:cs="Arial"/>
          <w:sz w:val="20"/>
          <w:szCs w:val="20"/>
        </w:rPr>
        <w:t xml:space="preserve">He also would have had knowledge of the commercial </w:t>
      </w:r>
      <w:r w:rsidRPr="0C756F85" w:rsidR="00E17660">
        <w:rPr>
          <w:rFonts w:cs="Arial"/>
          <w:sz w:val="20"/>
          <w:szCs w:val="20"/>
        </w:rPr>
        <w:t>offering</w:t>
      </w:r>
      <w:r w:rsidRPr="0C756F85" w:rsidR="00E17660">
        <w:rPr>
          <w:rFonts w:cs="Arial"/>
          <w:sz w:val="20"/>
          <w:szCs w:val="20"/>
        </w:rPr>
        <w:t xml:space="preserve"> discussed with Regeneron. It appears NICE made changes to this established approach between ACM1 and ACM2, such that it did not invite </w:t>
      </w:r>
      <w:r w:rsidRPr="0C756F85" w:rsidR="00E17660">
        <w:rPr>
          <w:rFonts w:cs="Arial"/>
          <w:sz w:val="20"/>
          <w:szCs w:val="20"/>
        </w:rPr>
        <w:t>Professor Clark</w:t>
      </w:r>
      <w:r w:rsidRPr="0C756F85" w:rsidR="00E17660">
        <w:rPr>
          <w:rFonts w:cs="Arial"/>
          <w:sz w:val="20"/>
          <w:szCs w:val="20"/>
        </w:rPr>
        <w:t xml:space="preserve"> </w:t>
      </w:r>
      <w:r w:rsidRPr="0C756F85" w:rsidR="00E17660">
        <w:rPr>
          <w:rFonts w:cs="Arial"/>
          <w:sz w:val="20"/>
          <w:szCs w:val="20"/>
        </w:rPr>
        <w:t>to ACM2. The result is a manifest inconsistency</w:t>
      </w:r>
      <w:r w:rsidRPr="0C756F85" w:rsidR="00E17660">
        <w:rPr>
          <w:rFonts w:cs="Arial"/>
          <w:sz w:val="20"/>
          <w:szCs w:val="20"/>
        </w:rPr>
        <w:t>:  the</w:t>
      </w:r>
      <w:r w:rsidRPr="0C756F85" w:rsidR="00E17660">
        <w:rPr>
          <w:rFonts w:cs="Arial"/>
          <w:sz w:val="20"/>
          <w:szCs w:val="20"/>
        </w:rPr>
        <w:t xml:space="preserve"> first meeting </w:t>
      </w:r>
      <w:r w:rsidRPr="0C756F85" w:rsidR="00E17660">
        <w:rPr>
          <w:rFonts w:cs="Arial"/>
          <w:sz w:val="20"/>
          <w:szCs w:val="20"/>
        </w:rPr>
        <w:t>benefitted</w:t>
      </w:r>
      <w:r w:rsidRPr="0C756F85" w:rsidR="00E17660">
        <w:rPr>
          <w:rFonts w:cs="Arial"/>
          <w:sz w:val="20"/>
          <w:szCs w:val="20"/>
        </w:rPr>
        <w:t xml:space="preserve"> from his </w:t>
      </w:r>
      <w:r w:rsidRPr="0C756F85" w:rsidR="00E17660">
        <w:rPr>
          <w:rFonts w:cs="Arial"/>
          <w:sz w:val="20"/>
          <w:szCs w:val="20"/>
        </w:rPr>
        <w:t>input</w:t>
      </w:r>
      <w:r w:rsidRPr="0C756F85" w:rsidR="00E17660">
        <w:rPr>
          <w:rFonts w:cs="Arial"/>
          <w:sz w:val="20"/>
          <w:szCs w:val="20"/>
        </w:rPr>
        <w:t xml:space="preserve"> but this could not be carried </w:t>
      </w:r>
      <w:r w:rsidRPr="0C756F85" w:rsidR="00E17660">
        <w:rPr>
          <w:rFonts w:cs="Arial"/>
          <w:sz w:val="20"/>
          <w:szCs w:val="20"/>
        </w:rPr>
        <w:t>through</w:t>
      </w:r>
      <w:r w:rsidRPr="0C756F85" w:rsidR="00E17660">
        <w:rPr>
          <w:rFonts w:cs="Arial"/>
          <w:sz w:val="20"/>
          <w:szCs w:val="20"/>
        </w:rPr>
        <w:t xml:space="preserve"> into the second meeting</w:t>
      </w:r>
      <w:r w:rsidRPr="0C756F85" w:rsidR="00E17660">
        <w:rPr>
          <w:rFonts w:cs="Arial"/>
          <w:sz w:val="20"/>
          <w:szCs w:val="20"/>
        </w:rPr>
        <w:t xml:space="preserve">.  </w:t>
      </w:r>
      <w:r w:rsidRPr="0C756F85" w:rsidR="00E17660">
        <w:rPr>
          <w:rFonts w:cs="Arial"/>
          <w:sz w:val="20"/>
          <w:szCs w:val="20"/>
        </w:rPr>
        <w:t xml:space="preserve">Had an NHSE oncology representative been </w:t>
      </w:r>
      <w:r w:rsidRPr="0C756F85" w:rsidR="00E17660">
        <w:rPr>
          <w:rFonts w:cs="Arial"/>
          <w:sz w:val="20"/>
          <w:szCs w:val="20"/>
        </w:rPr>
        <w:t>permitted</w:t>
      </w:r>
      <w:r w:rsidRPr="0C756F85" w:rsidR="00E17660">
        <w:rPr>
          <w:rFonts w:cs="Arial"/>
          <w:sz w:val="20"/>
          <w:szCs w:val="20"/>
        </w:rPr>
        <w:t xml:space="preserve"> to attend Part 2 of ACM2, we consider the Committee would have been able to appreciate the</w:t>
      </w:r>
      <w:r w:rsidRPr="0C756F85" w:rsidR="004809C9">
        <w:rPr>
          <w:rFonts w:cs="Arial"/>
          <w:sz w:val="20"/>
          <w:szCs w:val="20"/>
        </w:rPr>
        <w:t xml:space="preserve"> </w:t>
      </w:r>
      <w:r w:rsidRPr="0C756F85" w:rsidR="00E17660">
        <w:rPr>
          <w:rFonts w:cs="Arial"/>
          <w:sz w:val="20"/>
          <w:szCs w:val="20"/>
        </w:rPr>
        <w:t>key underlying context, which might have avoided an appeal scenario.</w:t>
      </w:r>
    </w:p>
    <w:p w:rsidRPr="00B95314" w:rsidR="00E17660" w:rsidP="001F46AE" w:rsidRDefault="00E17660" w14:paraId="60B18833" w14:textId="77777777">
      <w:pPr>
        <w:spacing w:before="120" w:after="120"/>
        <w:ind w:left="709" w:hanging="425"/>
        <w:rPr>
          <w:rFonts w:cs="Arial"/>
          <w:sz w:val="20"/>
          <w:szCs w:val="20"/>
        </w:rPr>
      </w:pPr>
      <w:r w:rsidRPr="00B95314">
        <w:rPr>
          <w:rFonts w:cs="Arial"/>
          <w:sz w:val="20"/>
          <w:szCs w:val="20"/>
        </w:rPr>
        <w:t>3.</w:t>
      </w:r>
      <w:r>
        <w:tab/>
      </w:r>
      <w:r w:rsidRPr="00B95314">
        <w:rPr>
          <w:rFonts w:cs="Arial"/>
          <w:sz w:val="20"/>
          <w:szCs w:val="20"/>
        </w:rPr>
        <w:t xml:space="preserve">The inconsistency between ACM1 and ACM2 is further compounded by the meetings having two different </w:t>
      </w:r>
      <w:proofErr w:type="gramStart"/>
      <w:r w:rsidRPr="00B95314">
        <w:rPr>
          <w:rFonts w:cs="Arial"/>
          <w:sz w:val="20"/>
          <w:szCs w:val="20"/>
        </w:rPr>
        <w:t>chairs, and</w:t>
      </w:r>
      <w:proofErr w:type="gramEnd"/>
      <w:r w:rsidRPr="00B95314">
        <w:rPr>
          <w:rFonts w:cs="Arial"/>
          <w:sz w:val="20"/>
          <w:szCs w:val="20"/>
        </w:rPr>
        <w:t xml:space="preserve"> evidently differing approaches to the evidence. </w:t>
      </w:r>
    </w:p>
    <w:p w:rsidRPr="00B95314" w:rsidR="00E17660" w:rsidP="00FE0085" w:rsidRDefault="00E17660" w14:paraId="74B2B740" w14:textId="285FC7E3">
      <w:pPr>
        <w:spacing w:before="120" w:after="120"/>
        <w:ind w:left="709" w:hanging="425"/>
        <w:jc w:val="both"/>
        <w:rPr>
          <w:rFonts w:cs="Arial"/>
          <w:sz w:val="20"/>
          <w:szCs w:val="20"/>
        </w:rPr>
      </w:pPr>
      <w:r w:rsidRPr="00B95314">
        <w:rPr>
          <w:rFonts w:cs="Arial"/>
          <w:sz w:val="20"/>
          <w:szCs w:val="20"/>
        </w:rPr>
        <w:t>4.</w:t>
      </w:r>
      <w:r w:rsidRPr="00B95314">
        <w:rPr>
          <w:rFonts w:cs="Arial"/>
          <w:sz w:val="20"/>
          <w:szCs w:val="20"/>
        </w:rPr>
        <w:tab/>
      </w:r>
      <w:r w:rsidRPr="00B95314">
        <w:rPr>
          <w:rFonts w:cs="Arial"/>
          <w:sz w:val="20"/>
          <w:szCs w:val="20"/>
        </w:rPr>
        <w:t>These issues were further exacerbated by</w:t>
      </w:r>
      <w:r w:rsidR="004809C9">
        <w:rPr>
          <w:rFonts w:cs="Arial"/>
          <w:sz w:val="20"/>
          <w:szCs w:val="20"/>
        </w:rPr>
        <w:t xml:space="preserve"> </w:t>
      </w:r>
      <w:r w:rsidRPr="00B95314">
        <w:rPr>
          <w:rFonts w:cs="Arial"/>
          <w:sz w:val="20"/>
          <w:szCs w:val="20"/>
        </w:rPr>
        <w:t xml:space="preserve">inflexibility from the NICE technical team to </w:t>
      </w:r>
      <w:r w:rsidR="00D656EB">
        <w:rPr>
          <w:rFonts w:cs="Arial"/>
          <w:sz w:val="20"/>
          <w:szCs w:val="20"/>
        </w:rPr>
        <w:t>implement clarifications suggested by the company</w:t>
      </w:r>
      <w:r w:rsidR="004809C9">
        <w:rPr>
          <w:rFonts w:cs="Arial"/>
          <w:sz w:val="20"/>
          <w:szCs w:val="20"/>
        </w:rPr>
        <w:t xml:space="preserve"> </w:t>
      </w:r>
      <w:r w:rsidRPr="00B95314">
        <w:rPr>
          <w:rFonts w:cs="Arial"/>
          <w:sz w:val="20"/>
          <w:szCs w:val="20"/>
        </w:rPr>
        <w:t>in the ACM2 committee slides. This resulted in erroneous information being presented at ACM2, including a misrepresentation of the “only” statistically significant result for OS.</w:t>
      </w:r>
    </w:p>
    <w:p w:rsidRPr="00B95314" w:rsidR="001F46AE" w:rsidP="00FE0085" w:rsidRDefault="00E17660" w14:paraId="42628F9D" w14:textId="237D2B6C">
      <w:pPr>
        <w:spacing w:before="120" w:after="120"/>
        <w:jc w:val="both"/>
        <w:rPr>
          <w:rFonts w:cs="Arial"/>
          <w:sz w:val="20"/>
          <w:szCs w:val="20"/>
        </w:rPr>
      </w:pPr>
      <w:r w:rsidRPr="00B95314">
        <w:rPr>
          <w:rFonts w:cs="Arial"/>
          <w:sz w:val="20"/>
          <w:szCs w:val="20"/>
        </w:rPr>
        <w:t>The points above may not be standalone appeal grounds but taken cumulatively, they point to a hurried, confused, inconsistent and unsound process, where – in Regeneron’s view – the process itself had superseded NICE’s primary obligation to accept and review all available evidence with an open mind and with the right level of input from both the company and experts.</w:t>
      </w:r>
    </w:p>
    <w:p w:rsidRPr="00B95314" w:rsidR="009F3CFF" w:rsidP="009F3CFF" w:rsidRDefault="009F3CFF" w14:paraId="1C7C6F28" w14:textId="77777777">
      <w:pPr>
        <w:spacing w:before="120" w:after="120"/>
        <w:rPr>
          <w:rFonts w:cs="Arial"/>
          <w:b/>
          <w:bCs/>
          <w:sz w:val="20"/>
          <w:szCs w:val="20"/>
        </w:rPr>
      </w:pPr>
    </w:p>
    <w:p w:rsidRPr="007821F2" w:rsidR="00E17660" w:rsidP="007821F2" w:rsidRDefault="00E17660" w14:paraId="641653F7" w14:textId="69537955">
      <w:pPr>
        <w:pStyle w:val="Heading2"/>
        <w:rPr>
          <w:rFonts w:cs="Arial"/>
          <w:b/>
          <w:bCs/>
          <w:i/>
          <w:iCs/>
          <w:sz w:val="20"/>
          <w:szCs w:val="20"/>
        </w:rPr>
      </w:pPr>
      <w:r w:rsidRPr="007821F2">
        <w:rPr>
          <w:rFonts w:ascii="Arial" w:hAnsi="Arial" w:cs="Arial"/>
          <w:b/>
          <w:bCs/>
          <w:i/>
          <w:iCs/>
          <w:sz w:val="20"/>
          <w:szCs w:val="20"/>
        </w:rPr>
        <w:t>Appeal Ground 1b.1 -- NICE has breached its legal obligations under human rights and equalities laws</w:t>
      </w:r>
    </w:p>
    <w:p w:rsidRPr="00B95314" w:rsidR="00E17660" w:rsidP="00FE0085" w:rsidRDefault="00E17660" w14:paraId="47A02696" w14:textId="1980275B">
      <w:pPr>
        <w:spacing w:before="240" w:after="120"/>
        <w:jc w:val="both"/>
        <w:rPr>
          <w:rFonts w:cs="Arial"/>
          <w:sz w:val="20"/>
          <w:szCs w:val="20"/>
        </w:rPr>
      </w:pPr>
      <w:r w:rsidRPr="00B95314">
        <w:rPr>
          <w:rFonts w:cs="Arial"/>
          <w:sz w:val="20"/>
          <w:szCs w:val="20"/>
        </w:rPr>
        <w:t xml:space="preserve">NICE is legally obliged to conduct its </w:t>
      </w:r>
      <w:r w:rsidR="004809C9">
        <w:rPr>
          <w:rFonts w:cs="Arial"/>
          <w:sz w:val="20"/>
          <w:szCs w:val="20"/>
        </w:rPr>
        <w:t>HTAs</w:t>
      </w:r>
      <w:r w:rsidRPr="00B95314">
        <w:rPr>
          <w:rFonts w:cs="Arial"/>
          <w:sz w:val="20"/>
          <w:szCs w:val="20"/>
        </w:rPr>
        <w:t xml:space="preserve"> in accordance with obligations imposed on public bodies by human rights legislation, including the Equality Act 2010 (“Equality Act”).  Further, NICE as a corporate body may only exercise its functions </w:t>
      </w:r>
      <w:proofErr w:type="gramStart"/>
      <w:r w:rsidRPr="00B95314">
        <w:rPr>
          <w:rFonts w:cs="Arial"/>
          <w:sz w:val="20"/>
          <w:szCs w:val="20"/>
        </w:rPr>
        <w:t>on</w:t>
      </w:r>
      <w:proofErr w:type="gramEnd"/>
      <w:r w:rsidRPr="00B95314">
        <w:rPr>
          <w:rFonts w:cs="Arial"/>
          <w:sz w:val="20"/>
          <w:szCs w:val="20"/>
        </w:rPr>
        <w:t xml:space="preserve"> the direction of the Secretary of State for Health and/or NHS England and is subject to those directions and therefore bound to </w:t>
      </w:r>
      <w:proofErr w:type="gramStart"/>
      <w:r w:rsidRPr="00B95314">
        <w:rPr>
          <w:rFonts w:cs="Arial"/>
          <w:sz w:val="20"/>
          <w:szCs w:val="20"/>
        </w:rPr>
        <w:t>take into account</w:t>
      </w:r>
      <w:proofErr w:type="gramEnd"/>
      <w:r w:rsidRPr="00B95314">
        <w:rPr>
          <w:rFonts w:cs="Arial"/>
          <w:sz w:val="20"/>
          <w:szCs w:val="20"/>
        </w:rPr>
        <w:t xml:space="preserve"> the State’s obligations under human rights law.</w:t>
      </w:r>
    </w:p>
    <w:p w:rsidRPr="007821F2" w:rsidR="000433E4" w:rsidP="001F46AE" w:rsidRDefault="000433E4" w14:paraId="4A622D4E" w14:textId="7429B6F0">
      <w:pPr>
        <w:spacing w:before="120" w:after="120"/>
        <w:rPr>
          <w:rFonts w:cs="Arial"/>
          <w:b/>
          <w:bCs/>
          <w:i/>
          <w:iCs/>
          <w:sz w:val="20"/>
          <w:szCs w:val="20"/>
        </w:rPr>
      </w:pPr>
      <w:r w:rsidRPr="007821F2">
        <w:rPr>
          <w:rFonts w:cs="Arial"/>
          <w:b/>
          <w:bCs/>
          <w:i/>
          <w:iCs/>
          <w:sz w:val="20"/>
          <w:szCs w:val="20"/>
        </w:rPr>
        <w:t xml:space="preserve">Equality Considerations re </w:t>
      </w:r>
      <w:r w:rsidRPr="007821F2" w:rsidR="00365FC5">
        <w:rPr>
          <w:rFonts w:cs="Arial"/>
          <w:b/>
          <w:bCs/>
          <w:i/>
          <w:iCs/>
          <w:sz w:val="20"/>
          <w:szCs w:val="20"/>
        </w:rPr>
        <w:t>Pemetrexed Toxicity</w:t>
      </w:r>
    </w:p>
    <w:p w:rsidRPr="00B95314" w:rsidR="00E17660" w:rsidP="001F46AE" w:rsidRDefault="00E17660" w14:paraId="09A5B7DF" w14:textId="67628A58">
      <w:pPr>
        <w:spacing w:before="120" w:after="120"/>
        <w:rPr>
          <w:rFonts w:cs="Arial"/>
          <w:sz w:val="20"/>
          <w:szCs w:val="20"/>
        </w:rPr>
      </w:pPr>
      <w:r w:rsidRPr="00B95314">
        <w:rPr>
          <w:rFonts w:cs="Arial"/>
          <w:sz w:val="20"/>
          <w:szCs w:val="20"/>
        </w:rPr>
        <w:t>At Section 3.15 of the FDG (“Equality”), the Committee notes as follows:</w:t>
      </w:r>
    </w:p>
    <w:p w:rsidR="004809C9" w:rsidP="004809C9" w:rsidRDefault="00E17660" w14:paraId="148BF1DE" w14:textId="77777777">
      <w:pPr>
        <w:pStyle w:val="ListParagraph"/>
        <w:numPr>
          <w:ilvl w:val="0"/>
          <w:numId w:val="1"/>
        </w:numPr>
        <w:spacing w:before="120" w:after="120"/>
        <w:ind w:left="993" w:hanging="349"/>
        <w:jc w:val="both"/>
        <w:rPr>
          <w:rFonts w:cs="Arial"/>
          <w:sz w:val="20"/>
          <w:szCs w:val="20"/>
        </w:rPr>
      </w:pPr>
      <w:r w:rsidRPr="00B95314">
        <w:rPr>
          <w:rFonts w:cs="Arial"/>
          <w:sz w:val="20"/>
          <w:szCs w:val="20"/>
        </w:rPr>
        <w:t xml:space="preserve">A clinical expert stated that for people with non-squamous NSCLC, pembrolizumab is given with pemetrexed plus platinum chemotherapy. In contrast, </w:t>
      </w:r>
      <w:proofErr w:type="spellStart"/>
      <w:r w:rsidRPr="00B95314">
        <w:rPr>
          <w:rFonts w:cs="Arial"/>
          <w:sz w:val="20"/>
          <w:szCs w:val="20"/>
        </w:rPr>
        <w:t>cemiplimab</w:t>
      </w:r>
      <w:proofErr w:type="spellEnd"/>
      <w:r w:rsidRPr="00B95314">
        <w:rPr>
          <w:rFonts w:cs="Arial"/>
          <w:sz w:val="20"/>
          <w:szCs w:val="20"/>
        </w:rPr>
        <w:t xml:space="preserve"> can be used without pemetrexed (given with paclitaxel plus platinum chemotherapy).  The clinical expert considered this to be a potential equality issue because pemetrexed is associated with toxicity and may not be suitable for all people.</w:t>
      </w:r>
    </w:p>
    <w:p w:rsidRPr="00B95314" w:rsidR="00E17660" w:rsidP="00FE0085" w:rsidRDefault="00E17660" w14:paraId="484CB96B" w14:textId="3623C010">
      <w:pPr>
        <w:pStyle w:val="ListParagraph"/>
        <w:spacing w:before="120" w:after="120"/>
        <w:ind w:left="993"/>
        <w:jc w:val="both"/>
        <w:rPr>
          <w:rFonts w:cs="Arial"/>
          <w:sz w:val="20"/>
          <w:szCs w:val="20"/>
        </w:rPr>
      </w:pPr>
      <w:r w:rsidRPr="00B95314">
        <w:rPr>
          <w:rFonts w:cs="Arial"/>
          <w:sz w:val="20"/>
          <w:szCs w:val="20"/>
        </w:rPr>
        <w:t xml:space="preserve"> </w:t>
      </w:r>
    </w:p>
    <w:p w:rsidRPr="00B95314" w:rsidR="00E17660" w:rsidP="00FE0085" w:rsidRDefault="00E17660" w14:paraId="2CD0E0A1" w14:textId="19BA8446">
      <w:pPr>
        <w:pStyle w:val="ListParagraph"/>
        <w:numPr>
          <w:ilvl w:val="0"/>
          <w:numId w:val="1"/>
        </w:numPr>
        <w:spacing w:before="120" w:after="120"/>
        <w:ind w:left="993" w:hanging="349"/>
        <w:contextualSpacing w:val="0"/>
        <w:jc w:val="both"/>
        <w:rPr>
          <w:rFonts w:cs="Arial"/>
          <w:sz w:val="20"/>
          <w:szCs w:val="20"/>
        </w:rPr>
      </w:pPr>
      <w:r w:rsidRPr="00B95314">
        <w:rPr>
          <w:rFonts w:cs="Arial"/>
          <w:sz w:val="20"/>
          <w:szCs w:val="20"/>
        </w:rPr>
        <w:t>The Committee noted that the clinical expert had not highlighted any groups with protected characteristics, as per the Equality Act 2010, for whom pemetrexed would not be suitable.</w:t>
      </w:r>
    </w:p>
    <w:p w:rsidRPr="00B95314" w:rsidR="00E17660" w:rsidP="00FE0085" w:rsidRDefault="00E17660" w14:paraId="770A5C75" w14:textId="4F023916">
      <w:pPr>
        <w:pStyle w:val="ListParagraph"/>
        <w:numPr>
          <w:ilvl w:val="0"/>
          <w:numId w:val="1"/>
        </w:numPr>
        <w:spacing w:before="120" w:after="120"/>
        <w:ind w:left="993" w:hanging="349"/>
        <w:contextualSpacing w:val="0"/>
        <w:jc w:val="both"/>
        <w:rPr>
          <w:rFonts w:cs="Arial"/>
          <w:sz w:val="20"/>
          <w:szCs w:val="20"/>
        </w:rPr>
      </w:pPr>
      <w:r w:rsidRPr="00B95314">
        <w:rPr>
          <w:rFonts w:cs="Arial"/>
          <w:sz w:val="20"/>
          <w:szCs w:val="20"/>
        </w:rPr>
        <w:t xml:space="preserve">In the absence of further comments during consultation, the Committee noted that it had not identified any </w:t>
      </w:r>
      <w:proofErr w:type="gramStart"/>
      <w:r w:rsidRPr="00B95314">
        <w:rPr>
          <w:rFonts w:cs="Arial"/>
          <w:sz w:val="20"/>
          <w:szCs w:val="20"/>
        </w:rPr>
        <w:t>particular groups</w:t>
      </w:r>
      <w:proofErr w:type="gramEnd"/>
      <w:r w:rsidRPr="00B95314">
        <w:rPr>
          <w:rFonts w:cs="Arial"/>
          <w:sz w:val="20"/>
          <w:szCs w:val="20"/>
        </w:rPr>
        <w:t xml:space="preserve"> with a protected characteristic for whom pemetrexed would not be suitable.  The Committee therefore considered that its recommendation would not have a different impact on people protected by the equality legislation than on the wider population.</w:t>
      </w:r>
    </w:p>
    <w:p w:rsidRPr="00B95314" w:rsidR="00E17660" w:rsidP="00FE0085" w:rsidRDefault="004809C9" w14:paraId="3B5B9982" w14:textId="64729D2E">
      <w:pPr>
        <w:spacing w:before="120" w:after="120"/>
        <w:jc w:val="both"/>
        <w:rPr>
          <w:rFonts w:cs="Arial"/>
          <w:sz w:val="20"/>
          <w:szCs w:val="20"/>
        </w:rPr>
      </w:pPr>
      <w:r>
        <w:rPr>
          <w:rFonts w:cs="Arial"/>
          <w:sz w:val="20"/>
          <w:szCs w:val="20"/>
        </w:rPr>
        <w:t>These</w:t>
      </w:r>
      <w:r w:rsidRPr="00B95314" w:rsidR="00E17660">
        <w:rPr>
          <w:rFonts w:cs="Arial"/>
          <w:sz w:val="20"/>
          <w:szCs w:val="20"/>
        </w:rPr>
        <w:t xml:space="preserve"> conclusions are unsound, both factually and methodologically</w:t>
      </w:r>
      <w:proofErr w:type="gramStart"/>
      <w:r w:rsidRPr="00B95314" w:rsidR="00E17660">
        <w:rPr>
          <w:rFonts w:cs="Arial"/>
          <w:sz w:val="20"/>
          <w:szCs w:val="20"/>
        </w:rPr>
        <w:t>, such</w:t>
      </w:r>
      <w:proofErr w:type="gramEnd"/>
      <w:r w:rsidRPr="00B95314" w:rsidR="00E17660">
        <w:rPr>
          <w:rFonts w:cs="Arial"/>
          <w:sz w:val="20"/>
          <w:szCs w:val="20"/>
        </w:rPr>
        <w:t xml:space="preserve"> </w:t>
      </w:r>
      <w:proofErr w:type="gramStart"/>
      <w:r w:rsidRPr="00B95314" w:rsidR="00E17660">
        <w:rPr>
          <w:rFonts w:cs="Arial"/>
          <w:sz w:val="20"/>
          <w:szCs w:val="20"/>
        </w:rPr>
        <w:t>that</w:t>
      </w:r>
      <w:proofErr w:type="gramEnd"/>
      <w:r w:rsidRPr="00B95314" w:rsidR="00E17660">
        <w:rPr>
          <w:rFonts w:cs="Arial"/>
          <w:sz w:val="20"/>
          <w:szCs w:val="20"/>
        </w:rPr>
        <w:t xml:space="preserve"> the Committee has not taken proper account of its obligations under equalities legislation.</w:t>
      </w:r>
    </w:p>
    <w:p w:rsidRPr="00B95314" w:rsidR="00E17660" w:rsidP="00FE0085" w:rsidRDefault="00E17660" w14:paraId="24100291" w14:textId="77777777">
      <w:pPr>
        <w:spacing w:before="120" w:after="120"/>
        <w:jc w:val="both"/>
        <w:rPr>
          <w:rFonts w:cs="Arial"/>
          <w:sz w:val="20"/>
          <w:szCs w:val="20"/>
        </w:rPr>
      </w:pPr>
      <w:r w:rsidRPr="00B95314">
        <w:rPr>
          <w:rFonts w:cs="Arial"/>
          <w:sz w:val="20"/>
          <w:szCs w:val="20"/>
        </w:rPr>
        <w:t>As a threshold matter, the absence of comments during consultation does not alleviate NICE of its duty to carry out a proper assessment of possible equalities considerations.</w:t>
      </w:r>
    </w:p>
    <w:p w:rsidRPr="00B95314" w:rsidR="00E17660" w:rsidP="00FE0085" w:rsidRDefault="00E17660" w14:paraId="345B81AD" w14:textId="03140819">
      <w:pPr>
        <w:spacing w:before="120" w:after="120"/>
        <w:jc w:val="both"/>
        <w:rPr>
          <w:rFonts w:cs="Arial"/>
          <w:sz w:val="20"/>
          <w:szCs w:val="20"/>
        </w:rPr>
      </w:pPr>
      <w:r w:rsidRPr="00B95314">
        <w:rPr>
          <w:rFonts w:cs="Arial"/>
          <w:sz w:val="20"/>
          <w:szCs w:val="20"/>
        </w:rPr>
        <w:t>By the very nature of the disease, NSCLC patients are generally older, carry a higher co-morbidity burden and often come from deprived backgrounds.  These patients are likely therefore to have protected characteristics.  Pemetrexed is associated with certain toxicities (such as pneumonitis, rashes, colitis, hypo- and hyper-</w:t>
      </w:r>
      <w:proofErr w:type="spellStart"/>
      <w:r w:rsidRPr="00B95314">
        <w:rPr>
          <w:rFonts w:cs="Arial"/>
          <w:sz w:val="20"/>
          <w:szCs w:val="20"/>
        </w:rPr>
        <w:t>thyroidism</w:t>
      </w:r>
      <w:proofErr w:type="spellEnd"/>
      <w:r w:rsidRPr="00B95314">
        <w:rPr>
          <w:rFonts w:cs="Arial"/>
          <w:sz w:val="20"/>
          <w:szCs w:val="20"/>
        </w:rPr>
        <w:t xml:space="preserve"> and nephritis) and is contraindicated for certain groups. We consider it likely that those patients who cannot tolerate pemetrexed are probably older and the </w:t>
      </w:r>
      <w:r w:rsidR="004809C9">
        <w:rPr>
          <w:rFonts w:cs="Arial"/>
          <w:sz w:val="20"/>
          <w:szCs w:val="20"/>
        </w:rPr>
        <w:t>least fit patients</w:t>
      </w:r>
      <w:r w:rsidRPr="00B95314">
        <w:rPr>
          <w:rFonts w:cs="Arial"/>
          <w:sz w:val="20"/>
          <w:szCs w:val="20"/>
        </w:rPr>
        <w:t>.</w:t>
      </w:r>
    </w:p>
    <w:p w:rsidR="00E17660" w:rsidP="00FE0085" w:rsidRDefault="00E17660" w14:paraId="202FA5B6" w14:textId="77777777">
      <w:pPr>
        <w:spacing w:before="120" w:after="120"/>
        <w:jc w:val="both"/>
        <w:rPr>
          <w:rFonts w:cs="Arial"/>
          <w:sz w:val="20"/>
          <w:szCs w:val="20"/>
        </w:rPr>
      </w:pPr>
      <w:proofErr w:type="spellStart"/>
      <w:r w:rsidRPr="00B95314">
        <w:rPr>
          <w:rFonts w:cs="Arial"/>
          <w:sz w:val="20"/>
          <w:szCs w:val="20"/>
        </w:rPr>
        <w:t>Cemiplimab</w:t>
      </w:r>
      <w:proofErr w:type="spellEnd"/>
      <w:r w:rsidRPr="00B95314">
        <w:rPr>
          <w:rFonts w:cs="Arial"/>
          <w:sz w:val="20"/>
          <w:szCs w:val="20"/>
        </w:rPr>
        <w:t xml:space="preserve"> treatment may be the only viable alternative for NSCLC patients who cannot tolerate pembrolizumab with chemotherapy and pemetrexed.  Equality Act considerations will therefore naturally arise from any decision that deprives such patients of a possible treatment option (</w:t>
      </w:r>
      <w:proofErr w:type="spellStart"/>
      <w:r w:rsidRPr="00B95314">
        <w:rPr>
          <w:rFonts w:cs="Arial"/>
          <w:sz w:val="20"/>
          <w:szCs w:val="20"/>
        </w:rPr>
        <w:t>cemiplimab</w:t>
      </w:r>
      <w:proofErr w:type="spellEnd"/>
      <w:r w:rsidRPr="00B95314">
        <w:rPr>
          <w:rFonts w:cs="Arial"/>
          <w:sz w:val="20"/>
          <w:szCs w:val="20"/>
        </w:rPr>
        <w:t>) where the alternative (pembrolizumab) may be unsuitable.</w:t>
      </w:r>
    </w:p>
    <w:p w:rsidRPr="007821F2" w:rsidR="00365FC5" w:rsidRDefault="00365FC5" w14:paraId="78E93610" w14:textId="6BEE43DE">
      <w:pPr>
        <w:spacing w:before="120" w:after="120"/>
        <w:jc w:val="both"/>
        <w:rPr>
          <w:rFonts w:cs="Arial"/>
          <w:b/>
          <w:bCs/>
          <w:i/>
          <w:iCs/>
          <w:sz w:val="20"/>
          <w:szCs w:val="20"/>
        </w:rPr>
      </w:pPr>
      <w:r w:rsidRPr="007821F2">
        <w:rPr>
          <w:rFonts w:cs="Arial"/>
          <w:b/>
          <w:bCs/>
          <w:i/>
          <w:iCs/>
          <w:sz w:val="20"/>
          <w:szCs w:val="20"/>
        </w:rPr>
        <w:t xml:space="preserve">Equality Considerations re </w:t>
      </w:r>
      <w:r w:rsidRPr="007821F2" w:rsidR="00A82E04">
        <w:rPr>
          <w:rFonts w:cs="Arial"/>
          <w:b/>
          <w:bCs/>
          <w:i/>
          <w:iCs/>
          <w:sz w:val="20"/>
          <w:szCs w:val="20"/>
        </w:rPr>
        <w:t>Carboplatin Dose</w:t>
      </w:r>
    </w:p>
    <w:p w:rsidRPr="00B95314" w:rsidR="00787570" w:rsidP="007821F2" w:rsidRDefault="00BF0435" w14:paraId="7505E3C7" w14:textId="4BC53317">
      <w:pPr>
        <w:spacing w:before="120" w:after="120"/>
        <w:jc w:val="both"/>
        <w:rPr>
          <w:rFonts w:cs="Arial"/>
          <w:sz w:val="20"/>
          <w:szCs w:val="20"/>
        </w:rPr>
      </w:pPr>
      <w:r w:rsidRPr="00BF0435">
        <w:rPr>
          <w:rFonts w:cs="Arial"/>
          <w:sz w:val="20"/>
          <w:szCs w:val="20"/>
        </w:rPr>
        <w:t xml:space="preserve">Furthermore, pembrolizumab + chemotherapy can currently only be given to </w:t>
      </w:r>
      <w:r w:rsidR="00FC3FD9">
        <w:rPr>
          <w:rFonts w:cs="Arial"/>
          <w:sz w:val="20"/>
          <w:szCs w:val="20"/>
        </w:rPr>
        <w:t>people with squamous</w:t>
      </w:r>
      <w:r w:rsidRPr="00BF0435">
        <w:rPr>
          <w:rFonts w:cs="Arial"/>
          <w:sz w:val="20"/>
          <w:szCs w:val="20"/>
        </w:rPr>
        <w:t xml:space="preserve"> who are fit enough to be initiated on carboplatin AUC6</w:t>
      </w:r>
      <w:r w:rsidR="009F7936">
        <w:rPr>
          <w:rFonts w:cs="Arial"/>
          <w:sz w:val="20"/>
          <w:szCs w:val="20"/>
        </w:rPr>
        <w:t xml:space="preserve"> per NHS England commissioning policy based on the treatment protocol in the KEYNOTE</w:t>
      </w:r>
      <w:r w:rsidR="001F74CC">
        <w:rPr>
          <w:rFonts w:cs="Arial"/>
          <w:sz w:val="20"/>
          <w:szCs w:val="20"/>
        </w:rPr>
        <w:t>-189 study</w:t>
      </w:r>
      <w:r w:rsidR="00FC3FD9">
        <w:rPr>
          <w:rFonts w:cs="Arial"/>
          <w:sz w:val="20"/>
          <w:szCs w:val="20"/>
        </w:rPr>
        <w:t xml:space="preserve">. </w:t>
      </w:r>
      <w:r w:rsidRPr="00BF0435">
        <w:rPr>
          <w:rFonts w:cs="Arial"/>
          <w:sz w:val="20"/>
          <w:szCs w:val="20"/>
        </w:rPr>
        <w:t xml:space="preserve">Carboplatin AUC6 is generally considered a high dose of carboplatin which can be associated with </w:t>
      </w:r>
      <w:r w:rsidR="00FA4599">
        <w:rPr>
          <w:rFonts w:cs="Arial"/>
          <w:sz w:val="20"/>
          <w:szCs w:val="20"/>
        </w:rPr>
        <w:t xml:space="preserve">significant dose-dependent </w:t>
      </w:r>
      <w:r w:rsidRPr="00BF0435">
        <w:rPr>
          <w:rFonts w:cs="Arial"/>
          <w:sz w:val="20"/>
          <w:szCs w:val="20"/>
        </w:rPr>
        <w:t>toxicity</w:t>
      </w:r>
      <w:r w:rsidR="00B94A6B">
        <w:rPr>
          <w:rFonts w:cs="Arial"/>
          <w:sz w:val="20"/>
          <w:szCs w:val="20"/>
        </w:rPr>
        <w:t xml:space="preserve">. </w:t>
      </w:r>
      <w:r w:rsidR="00C550E9">
        <w:rPr>
          <w:rFonts w:cs="Arial"/>
          <w:sz w:val="20"/>
          <w:szCs w:val="20"/>
        </w:rPr>
        <w:t xml:space="preserve">The availability of an alternative in </w:t>
      </w:r>
      <w:proofErr w:type="spellStart"/>
      <w:r w:rsidR="00C550E9">
        <w:rPr>
          <w:rFonts w:cs="Arial"/>
          <w:sz w:val="20"/>
          <w:szCs w:val="20"/>
        </w:rPr>
        <w:t>cemiplimab</w:t>
      </w:r>
      <w:proofErr w:type="spellEnd"/>
      <w:r w:rsidR="00C550E9">
        <w:rPr>
          <w:rFonts w:cs="Arial"/>
          <w:sz w:val="20"/>
          <w:szCs w:val="20"/>
        </w:rPr>
        <w:t xml:space="preserve"> would provide </w:t>
      </w:r>
      <w:proofErr w:type="gramStart"/>
      <w:r w:rsidR="00C550E9">
        <w:rPr>
          <w:rFonts w:cs="Arial"/>
          <w:sz w:val="20"/>
          <w:szCs w:val="20"/>
        </w:rPr>
        <w:t>clinicians</w:t>
      </w:r>
      <w:proofErr w:type="gramEnd"/>
      <w:r w:rsidR="00C550E9">
        <w:rPr>
          <w:rFonts w:cs="Arial"/>
          <w:sz w:val="20"/>
          <w:szCs w:val="20"/>
        </w:rPr>
        <w:t xml:space="preserve"> the opportunity to initiate treatment with chemotherapy using a lower dose of carboplatin (AUC5) where clinically appropriate based on the EMPOWER-Lung 3 treatment protocol.  Depriving clinicians of a valuable alternative therefore presents similar equality issues to those above, </w:t>
      </w:r>
      <w:r w:rsidR="00DD5539">
        <w:rPr>
          <w:rFonts w:cs="Arial"/>
          <w:sz w:val="20"/>
          <w:szCs w:val="20"/>
        </w:rPr>
        <w:t xml:space="preserve">as it could mean that the only treatment </w:t>
      </w:r>
      <w:r w:rsidR="00C4534B">
        <w:rPr>
          <w:rFonts w:cs="Arial"/>
          <w:sz w:val="20"/>
          <w:szCs w:val="20"/>
        </w:rPr>
        <w:t>option</w:t>
      </w:r>
      <w:r w:rsidR="00DD5539">
        <w:rPr>
          <w:rFonts w:cs="Arial"/>
          <w:sz w:val="20"/>
          <w:szCs w:val="20"/>
        </w:rPr>
        <w:t xml:space="preserve"> for some older patients with higher co-morbidities would </w:t>
      </w:r>
      <w:r w:rsidR="00C4534B">
        <w:rPr>
          <w:rFonts w:cs="Arial"/>
          <w:sz w:val="20"/>
          <w:szCs w:val="20"/>
        </w:rPr>
        <w:t xml:space="preserve">involve significant dose-dependent toxicity, such that those patients would have no choice but to endure </w:t>
      </w:r>
      <w:r w:rsidR="00DC5871">
        <w:rPr>
          <w:rFonts w:cs="Arial"/>
          <w:sz w:val="20"/>
          <w:szCs w:val="20"/>
        </w:rPr>
        <w:t xml:space="preserve">a disproportionately </w:t>
      </w:r>
      <w:r w:rsidR="00F90E2C">
        <w:rPr>
          <w:rFonts w:cs="Arial"/>
          <w:sz w:val="20"/>
          <w:szCs w:val="20"/>
        </w:rPr>
        <w:t>arduous treatment and treatment risk.</w:t>
      </w:r>
      <w:r w:rsidR="00C4534B">
        <w:rPr>
          <w:rFonts w:cs="Arial"/>
          <w:sz w:val="20"/>
          <w:szCs w:val="20"/>
        </w:rPr>
        <w:t xml:space="preserve"> </w:t>
      </w:r>
    </w:p>
    <w:p w:rsidRPr="007821F2" w:rsidR="00393CB2" w:rsidP="00FE0085" w:rsidRDefault="00393CB2" w14:paraId="5F7C7231" w14:textId="77777777">
      <w:pPr>
        <w:spacing w:before="120" w:after="120"/>
        <w:jc w:val="both"/>
        <w:rPr>
          <w:rFonts w:cs="Arial"/>
          <w:b/>
          <w:bCs/>
          <w:i/>
          <w:iCs/>
          <w:sz w:val="20"/>
          <w:szCs w:val="20"/>
        </w:rPr>
      </w:pPr>
      <w:r w:rsidRPr="007821F2">
        <w:rPr>
          <w:rFonts w:cs="Arial"/>
          <w:b/>
          <w:bCs/>
          <w:i/>
          <w:iCs/>
          <w:sz w:val="20"/>
          <w:szCs w:val="20"/>
        </w:rPr>
        <w:t>Failure to Meet Legal Obligations</w:t>
      </w:r>
    </w:p>
    <w:p w:rsidRPr="00B95314" w:rsidR="00E17660" w:rsidP="00FE0085" w:rsidRDefault="00E17660" w14:paraId="75C1706A" w14:textId="3EB6164A">
      <w:pPr>
        <w:spacing w:before="120" w:after="120"/>
        <w:jc w:val="both"/>
        <w:rPr>
          <w:rFonts w:cs="Arial"/>
          <w:sz w:val="20"/>
          <w:szCs w:val="20"/>
        </w:rPr>
      </w:pPr>
      <w:r w:rsidRPr="00B95314">
        <w:rPr>
          <w:rFonts w:cs="Arial"/>
          <w:sz w:val="20"/>
          <w:szCs w:val="20"/>
        </w:rPr>
        <w:t xml:space="preserve">NICE </w:t>
      </w:r>
      <w:r w:rsidR="004809C9">
        <w:rPr>
          <w:rFonts w:cs="Arial"/>
          <w:sz w:val="20"/>
          <w:szCs w:val="20"/>
        </w:rPr>
        <w:t xml:space="preserve">has </w:t>
      </w:r>
      <w:r w:rsidRPr="00B95314">
        <w:rPr>
          <w:rFonts w:cs="Arial"/>
          <w:sz w:val="20"/>
          <w:szCs w:val="20"/>
        </w:rPr>
        <w:t xml:space="preserve">a legal and moral duty to ensure that its decision is non-discriminatory and that, where appropriate, it has made reasonable adjustments to mitigate against potential discrimination. </w:t>
      </w:r>
      <w:proofErr w:type="gramStart"/>
      <w:r w:rsidRPr="00B95314">
        <w:rPr>
          <w:rFonts w:cs="Arial"/>
          <w:sz w:val="20"/>
          <w:szCs w:val="20"/>
        </w:rPr>
        <w:t>In particular, that</w:t>
      </w:r>
      <w:proofErr w:type="gramEnd"/>
      <w:r w:rsidRPr="00B95314">
        <w:rPr>
          <w:rFonts w:cs="Arial"/>
          <w:sz w:val="20"/>
          <w:szCs w:val="20"/>
        </w:rPr>
        <w:t xml:space="preserve"> requires an intensity of review to ensure the appraisal is clear, well-informed and objectively justifiable. </w:t>
      </w:r>
      <w:proofErr w:type="gramStart"/>
      <w:r w:rsidRPr="00B95314">
        <w:rPr>
          <w:rFonts w:cs="Arial"/>
          <w:sz w:val="20"/>
          <w:szCs w:val="20"/>
        </w:rPr>
        <w:t>This necessarily</w:t>
      </w:r>
      <w:proofErr w:type="gramEnd"/>
      <w:r w:rsidRPr="00B95314">
        <w:rPr>
          <w:rFonts w:cs="Arial"/>
          <w:sz w:val="20"/>
          <w:szCs w:val="20"/>
        </w:rPr>
        <w:t xml:space="preserve"> </w:t>
      </w:r>
      <w:r w:rsidRPr="00B95314">
        <w:rPr>
          <w:rFonts w:cs="Arial"/>
          <w:sz w:val="20"/>
          <w:szCs w:val="20"/>
        </w:rPr>
        <w:t xml:space="preserve">requires considering all relevant evidence appropriately and with an open </w:t>
      </w:r>
      <w:proofErr w:type="gramStart"/>
      <w:r w:rsidRPr="00B95314">
        <w:rPr>
          <w:rFonts w:cs="Arial"/>
          <w:sz w:val="20"/>
          <w:szCs w:val="20"/>
        </w:rPr>
        <w:t>mind, and</w:t>
      </w:r>
      <w:proofErr w:type="gramEnd"/>
      <w:r w:rsidRPr="00B95314">
        <w:rPr>
          <w:rFonts w:cs="Arial"/>
          <w:sz w:val="20"/>
          <w:szCs w:val="20"/>
        </w:rPr>
        <w:t xml:space="preserve"> not rigidly insisting upon certain fixed approaches. As is clear from each of the other </w:t>
      </w:r>
      <w:r w:rsidR="000975FD">
        <w:rPr>
          <w:rFonts w:cs="Arial"/>
          <w:sz w:val="20"/>
          <w:szCs w:val="20"/>
        </w:rPr>
        <w:t>a</w:t>
      </w:r>
      <w:r w:rsidRPr="00B95314">
        <w:rPr>
          <w:rFonts w:cs="Arial"/>
          <w:sz w:val="20"/>
          <w:szCs w:val="20"/>
        </w:rPr>
        <w:t xml:space="preserve">ppeal </w:t>
      </w:r>
      <w:r w:rsidR="000975FD">
        <w:rPr>
          <w:rFonts w:cs="Arial"/>
          <w:sz w:val="20"/>
          <w:szCs w:val="20"/>
        </w:rPr>
        <w:t>g</w:t>
      </w:r>
      <w:r w:rsidRPr="00B95314">
        <w:rPr>
          <w:rFonts w:cs="Arial"/>
          <w:sz w:val="20"/>
          <w:szCs w:val="20"/>
        </w:rPr>
        <w:t>rounds, NICE has not fulfilled this duty.  Accordingly, the decision is not a proportionate means of achieving a legitimate aim and, in addition to the above breaches, infringes section 29(6) of the Equality Act.</w:t>
      </w:r>
    </w:p>
    <w:p w:rsidRPr="00B95314" w:rsidR="001F46AE" w:rsidP="00FE0085" w:rsidRDefault="00E17660" w14:paraId="265F96E4" w14:textId="78D3A5C6">
      <w:pPr>
        <w:spacing w:before="120" w:after="120"/>
        <w:jc w:val="both"/>
        <w:rPr>
          <w:rFonts w:cs="Arial"/>
          <w:sz w:val="20"/>
          <w:szCs w:val="20"/>
        </w:rPr>
      </w:pPr>
      <w:r w:rsidRPr="00B95314">
        <w:rPr>
          <w:rFonts w:cs="Arial"/>
          <w:sz w:val="20"/>
          <w:szCs w:val="20"/>
        </w:rPr>
        <w:t xml:space="preserve">Put another way, although NICE is entitled to identify clinical priorities and recommend the allocation of the NHS’s limited funds accordingly, there are no objective or reasonably justifiable reasons for failing to consider the available evidence properly or consistently.  </w:t>
      </w:r>
      <w:proofErr w:type="gramStart"/>
      <w:r w:rsidRPr="00B95314">
        <w:rPr>
          <w:rFonts w:cs="Arial"/>
          <w:sz w:val="20"/>
          <w:szCs w:val="20"/>
        </w:rPr>
        <w:t>Nor, for that matter</w:t>
      </w:r>
      <w:proofErr w:type="gramEnd"/>
      <w:r w:rsidRPr="00B95314">
        <w:rPr>
          <w:rFonts w:cs="Arial"/>
          <w:sz w:val="20"/>
          <w:szCs w:val="20"/>
        </w:rPr>
        <w:t xml:space="preserve"> is there any justification for failing to ensure that its recommendations are reasonable </w:t>
      </w:r>
      <w:proofErr w:type="gramStart"/>
      <w:r w:rsidRPr="00B95314">
        <w:rPr>
          <w:rFonts w:cs="Arial"/>
          <w:sz w:val="20"/>
          <w:szCs w:val="20"/>
        </w:rPr>
        <w:t>in light of</w:t>
      </w:r>
      <w:proofErr w:type="gramEnd"/>
      <w:r w:rsidRPr="00B95314">
        <w:rPr>
          <w:rFonts w:cs="Arial"/>
          <w:sz w:val="20"/>
          <w:szCs w:val="20"/>
        </w:rPr>
        <w:t xml:space="preserve"> the evidence before it</w:t>
      </w:r>
      <w:r w:rsidR="004809C9">
        <w:rPr>
          <w:rFonts w:cs="Arial"/>
          <w:sz w:val="20"/>
          <w:szCs w:val="20"/>
        </w:rPr>
        <w:t>,</w:t>
      </w:r>
      <w:r w:rsidRPr="00B95314">
        <w:rPr>
          <w:rFonts w:cs="Arial"/>
          <w:sz w:val="20"/>
          <w:szCs w:val="20"/>
        </w:rPr>
        <w:t xml:space="preserve"> or for failing to exercise its discretion mindful of the need not </w:t>
      </w:r>
      <w:proofErr w:type="gramStart"/>
      <w:r w:rsidRPr="00B95314">
        <w:rPr>
          <w:rFonts w:cs="Arial"/>
          <w:sz w:val="20"/>
          <w:szCs w:val="20"/>
        </w:rPr>
        <w:t>to avoid</w:t>
      </w:r>
      <w:proofErr w:type="gramEnd"/>
      <w:r w:rsidRPr="00B95314">
        <w:rPr>
          <w:rFonts w:cs="Arial"/>
          <w:sz w:val="20"/>
          <w:szCs w:val="20"/>
        </w:rPr>
        <w:t xml:space="preserve"> discrimination </w:t>
      </w:r>
      <w:proofErr w:type="gramStart"/>
      <w:r w:rsidRPr="00B95314">
        <w:rPr>
          <w:rFonts w:cs="Arial"/>
          <w:sz w:val="20"/>
          <w:szCs w:val="20"/>
        </w:rPr>
        <w:t>of</w:t>
      </w:r>
      <w:proofErr w:type="gramEnd"/>
      <w:r w:rsidRPr="00B95314">
        <w:rPr>
          <w:rFonts w:cs="Arial"/>
          <w:sz w:val="20"/>
          <w:szCs w:val="20"/>
        </w:rPr>
        <w:t xml:space="preserve"> those with protected characteristics.  These themes permeate the procedural fairness 1a grounds and the </w:t>
      </w:r>
      <w:proofErr w:type="gramStart"/>
      <w:r w:rsidRPr="00B95314">
        <w:rPr>
          <w:rFonts w:cs="Arial"/>
          <w:sz w:val="20"/>
          <w:szCs w:val="20"/>
        </w:rPr>
        <w:t>reasonableness</w:t>
      </w:r>
      <w:proofErr w:type="gramEnd"/>
      <w:r w:rsidRPr="00B95314">
        <w:rPr>
          <w:rFonts w:cs="Arial"/>
          <w:sz w:val="20"/>
          <w:szCs w:val="20"/>
        </w:rPr>
        <w:t xml:space="preserve"> grounds that follow. </w:t>
      </w:r>
    </w:p>
    <w:p w:rsidRPr="00B95314" w:rsidR="009F3CFF" w:rsidP="00047282" w:rsidRDefault="009F3CFF" w14:paraId="481A1F29" w14:textId="77777777">
      <w:pPr>
        <w:spacing w:before="120" w:after="120"/>
        <w:rPr>
          <w:rFonts w:cs="Arial"/>
          <w:b/>
          <w:bCs/>
          <w:sz w:val="20"/>
          <w:szCs w:val="20"/>
        </w:rPr>
      </w:pPr>
    </w:p>
    <w:p w:rsidRPr="007821F2" w:rsidR="00E17660" w:rsidP="007821F2" w:rsidRDefault="00E17660" w14:paraId="7298C2EC" w14:textId="0414A08B">
      <w:pPr>
        <w:pStyle w:val="Heading2"/>
        <w:rPr>
          <w:rFonts w:cs="Arial"/>
          <w:b/>
          <w:bCs/>
          <w:i/>
          <w:iCs/>
          <w:sz w:val="20"/>
          <w:szCs w:val="20"/>
        </w:rPr>
      </w:pPr>
      <w:r w:rsidRPr="007821F2">
        <w:rPr>
          <w:rFonts w:ascii="Arial" w:hAnsi="Arial" w:cs="Arial"/>
          <w:b/>
          <w:bCs/>
          <w:i/>
          <w:iCs/>
          <w:sz w:val="20"/>
          <w:szCs w:val="20"/>
        </w:rPr>
        <w:t>Appeal Ground 2.1 – The Appraisal Committee’s insistence upon a Markov model is unreasonable based on the available evidence and results in the Committee arriving at unsound and unreasonable conclusions</w:t>
      </w:r>
    </w:p>
    <w:p w:rsidRPr="00B95314" w:rsidR="00E17660" w:rsidP="00FE0085" w:rsidRDefault="00E17660" w14:paraId="697ADE01" w14:textId="5EFA001C">
      <w:pPr>
        <w:spacing w:before="240" w:after="120"/>
        <w:jc w:val="both"/>
        <w:rPr>
          <w:rFonts w:cs="Arial"/>
          <w:sz w:val="20"/>
          <w:szCs w:val="20"/>
        </w:rPr>
      </w:pPr>
      <w:r w:rsidRPr="00B95314">
        <w:rPr>
          <w:rFonts w:cs="Arial"/>
          <w:sz w:val="20"/>
          <w:szCs w:val="20"/>
        </w:rPr>
        <w:t xml:space="preserve">Regeneron’s original submission comprised a Partitioned Survival Model (“PSM”).  This is a standard modelling approach that had been accepted in all previous NSCLC appraisals, and the EAG noted it was appropriate for this STA. The company also provided a cost comparison analysis based on </w:t>
      </w:r>
      <w:proofErr w:type="gramStart"/>
      <w:r w:rsidRPr="00B95314">
        <w:rPr>
          <w:rFonts w:cs="Arial"/>
          <w:sz w:val="20"/>
          <w:szCs w:val="20"/>
        </w:rPr>
        <w:t>the consistent</w:t>
      </w:r>
      <w:proofErr w:type="gramEnd"/>
      <w:r w:rsidRPr="00B95314">
        <w:rPr>
          <w:rFonts w:cs="Arial"/>
          <w:sz w:val="20"/>
          <w:szCs w:val="20"/>
        </w:rPr>
        <w:t xml:space="preserve"> evidence of similarity in treatment effects for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w:t>
      </w:r>
    </w:p>
    <w:p w:rsidRPr="00B95314" w:rsidR="00E17660" w:rsidP="001F46AE" w:rsidRDefault="00E17660" w14:paraId="090BC975" w14:textId="1C817E91">
      <w:pPr>
        <w:spacing w:before="120" w:after="120"/>
        <w:rPr>
          <w:rFonts w:cs="Arial"/>
          <w:sz w:val="20"/>
          <w:szCs w:val="20"/>
        </w:rPr>
      </w:pPr>
      <w:r w:rsidRPr="00B95314">
        <w:rPr>
          <w:rFonts w:cs="Arial"/>
          <w:sz w:val="20"/>
          <w:szCs w:val="20"/>
        </w:rPr>
        <w:t>Notwithstanding this, the</w:t>
      </w:r>
      <w:r w:rsidR="00EE2365">
        <w:rPr>
          <w:rFonts w:cs="Arial"/>
          <w:sz w:val="20"/>
          <w:szCs w:val="20"/>
        </w:rPr>
        <w:t xml:space="preserve"> </w:t>
      </w:r>
      <w:r w:rsidRPr="00B95314">
        <w:rPr>
          <w:rFonts w:cs="Arial"/>
          <w:sz w:val="20"/>
          <w:szCs w:val="20"/>
        </w:rPr>
        <w:t>Committee</w:t>
      </w:r>
      <w:r w:rsidR="00EE2365">
        <w:rPr>
          <w:rFonts w:cs="Arial"/>
          <w:sz w:val="20"/>
          <w:szCs w:val="20"/>
        </w:rPr>
        <w:t xml:space="preserve">’s </w:t>
      </w:r>
      <w:r w:rsidRPr="00B95314">
        <w:rPr>
          <w:rFonts w:cs="Arial"/>
          <w:sz w:val="20"/>
          <w:szCs w:val="20"/>
        </w:rPr>
        <w:t xml:space="preserve">preferred modelling approach was for a PFS-driven Markov model using PFS treatment effect estimates from NMAs and assuming equal post-progression survival for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w:t>
      </w:r>
      <w:r w:rsidRPr="007821F2">
        <w:rPr>
          <w:rFonts w:cs="Arial"/>
          <w:i/>
          <w:iCs/>
          <w:sz w:val="20"/>
          <w:szCs w:val="20"/>
        </w:rPr>
        <w:t>i.e.</w:t>
      </w:r>
      <w:r w:rsidRPr="00B95314">
        <w:rPr>
          <w:rFonts w:cs="Arial"/>
          <w:sz w:val="20"/>
          <w:szCs w:val="20"/>
        </w:rPr>
        <w:t xml:space="preserve">, to the exclusion of OS data.  </w:t>
      </w:r>
    </w:p>
    <w:p w:rsidRPr="00B95314" w:rsidR="00E17660" w:rsidP="001F46AE" w:rsidRDefault="00E17660" w14:paraId="39644E86" w14:textId="6A81E56E">
      <w:pPr>
        <w:spacing w:before="120" w:after="120"/>
        <w:rPr>
          <w:rFonts w:cs="Arial"/>
          <w:sz w:val="20"/>
          <w:szCs w:val="20"/>
        </w:rPr>
      </w:pPr>
      <w:r w:rsidRPr="00B95314">
        <w:rPr>
          <w:rFonts w:cs="Arial"/>
          <w:sz w:val="20"/>
          <w:szCs w:val="20"/>
        </w:rPr>
        <w:t xml:space="preserve">Regeneron submits that </w:t>
      </w:r>
      <w:r w:rsidR="00E8002E">
        <w:rPr>
          <w:rFonts w:cs="Arial"/>
          <w:sz w:val="20"/>
          <w:szCs w:val="20"/>
        </w:rPr>
        <w:t xml:space="preserve">such an approach </w:t>
      </w:r>
      <w:r w:rsidRPr="00B95314">
        <w:rPr>
          <w:rFonts w:cs="Arial"/>
          <w:sz w:val="20"/>
          <w:szCs w:val="20"/>
        </w:rPr>
        <w:t xml:space="preserve">was wholly unreasonable </w:t>
      </w:r>
      <w:proofErr w:type="gramStart"/>
      <w:r w:rsidRPr="00B95314">
        <w:rPr>
          <w:rFonts w:cs="Arial"/>
          <w:sz w:val="20"/>
          <w:szCs w:val="20"/>
        </w:rPr>
        <w:t>in light of</w:t>
      </w:r>
      <w:proofErr w:type="gramEnd"/>
      <w:r w:rsidRPr="00B95314">
        <w:rPr>
          <w:rFonts w:cs="Arial"/>
          <w:sz w:val="20"/>
          <w:szCs w:val="20"/>
        </w:rPr>
        <w:t xml:space="preserve"> the evidence available.</w:t>
      </w:r>
    </w:p>
    <w:p w:rsidR="0081192C" w:rsidP="00FE0085" w:rsidRDefault="00E17660" w14:paraId="00F17740" w14:textId="320346B0">
      <w:pPr>
        <w:spacing w:before="120" w:after="120"/>
        <w:jc w:val="both"/>
        <w:rPr>
          <w:rFonts w:cs="Arial"/>
          <w:sz w:val="20"/>
          <w:szCs w:val="20"/>
        </w:rPr>
      </w:pPr>
      <w:r w:rsidRPr="00B95314">
        <w:rPr>
          <w:rFonts w:cs="Arial"/>
          <w:sz w:val="20"/>
          <w:szCs w:val="20"/>
        </w:rPr>
        <w:t>As discussed further below</w:t>
      </w:r>
      <w:r w:rsidR="00B06C9E">
        <w:rPr>
          <w:rFonts w:cs="Arial"/>
          <w:sz w:val="20"/>
          <w:szCs w:val="20"/>
        </w:rPr>
        <w:t>:</w:t>
      </w:r>
      <w:r w:rsidRPr="00B95314">
        <w:rPr>
          <w:rFonts w:cs="Arial"/>
          <w:sz w:val="20"/>
          <w:szCs w:val="20"/>
        </w:rPr>
        <w:t xml:space="preserve"> </w:t>
      </w:r>
      <w:r w:rsidR="001B291B">
        <w:rPr>
          <w:rFonts w:cs="Arial"/>
          <w:sz w:val="20"/>
          <w:szCs w:val="20"/>
        </w:rPr>
        <w:t xml:space="preserve">(a) </w:t>
      </w:r>
      <w:r w:rsidR="00EE2365">
        <w:rPr>
          <w:rFonts w:cs="Arial"/>
          <w:sz w:val="20"/>
          <w:szCs w:val="20"/>
        </w:rPr>
        <w:t>its</w:t>
      </w:r>
      <w:r w:rsidRPr="00B95314">
        <w:rPr>
          <w:rFonts w:cs="Arial"/>
          <w:sz w:val="20"/>
          <w:szCs w:val="20"/>
        </w:rPr>
        <w:t xml:space="preserve"> requests for a Markov model</w:t>
      </w:r>
      <w:r w:rsidR="001B291B">
        <w:rPr>
          <w:rFonts w:cs="Arial"/>
          <w:sz w:val="20"/>
          <w:szCs w:val="20"/>
        </w:rPr>
        <w:t xml:space="preserve">; and (b) its </w:t>
      </w:r>
      <w:r w:rsidR="00B06C9E">
        <w:rPr>
          <w:rFonts w:cs="Arial"/>
          <w:sz w:val="20"/>
          <w:szCs w:val="20"/>
        </w:rPr>
        <w:t>failure to pay proper regard to OS</w:t>
      </w:r>
      <w:r w:rsidR="0081192C">
        <w:rPr>
          <w:rFonts w:cs="Arial"/>
          <w:sz w:val="20"/>
          <w:szCs w:val="20"/>
        </w:rPr>
        <w:t xml:space="preserve"> </w:t>
      </w:r>
      <w:r w:rsidR="00B06C9E">
        <w:rPr>
          <w:rFonts w:cs="Arial"/>
          <w:sz w:val="20"/>
          <w:szCs w:val="20"/>
        </w:rPr>
        <w:t>data</w:t>
      </w:r>
      <w:r w:rsidR="0081192C">
        <w:rPr>
          <w:rFonts w:cs="Arial"/>
          <w:sz w:val="20"/>
          <w:szCs w:val="20"/>
        </w:rPr>
        <w:t xml:space="preserve"> are not properly justified and do not make sense </w:t>
      </w:r>
      <w:proofErr w:type="gramStart"/>
      <w:r w:rsidR="0081192C">
        <w:rPr>
          <w:rFonts w:cs="Arial"/>
          <w:sz w:val="20"/>
          <w:szCs w:val="20"/>
        </w:rPr>
        <w:t>in light of</w:t>
      </w:r>
      <w:proofErr w:type="gramEnd"/>
      <w:r w:rsidR="0081192C">
        <w:rPr>
          <w:rFonts w:cs="Arial"/>
          <w:sz w:val="20"/>
          <w:szCs w:val="20"/>
        </w:rPr>
        <w:t xml:space="preserve"> the available evidence</w:t>
      </w:r>
      <w:r w:rsidRPr="00B95314">
        <w:rPr>
          <w:rFonts w:cs="Arial"/>
          <w:sz w:val="20"/>
          <w:szCs w:val="20"/>
        </w:rPr>
        <w:t xml:space="preserve">. </w:t>
      </w:r>
    </w:p>
    <w:p w:rsidRPr="00B95314" w:rsidR="00E17660" w:rsidP="00FE0085" w:rsidRDefault="0081192C" w14:paraId="2985EB32" w14:textId="42BB9412">
      <w:pPr>
        <w:spacing w:before="120" w:after="120"/>
        <w:jc w:val="both"/>
        <w:rPr>
          <w:rFonts w:cs="Arial"/>
          <w:sz w:val="20"/>
          <w:szCs w:val="20"/>
        </w:rPr>
      </w:pPr>
      <w:r>
        <w:rPr>
          <w:rFonts w:cs="Arial"/>
          <w:sz w:val="20"/>
          <w:szCs w:val="20"/>
        </w:rPr>
        <w:t>The Committee</w:t>
      </w:r>
      <w:r w:rsidRPr="00B95314" w:rsidR="00E17660">
        <w:rPr>
          <w:rFonts w:cs="Arial"/>
          <w:sz w:val="20"/>
          <w:szCs w:val="20"/>
        </w:rPr>
        <w:t xml:space="preserve"> failed properly</w:t>
      </w:r>
      <w:r w:rsidR="00EE2365">
        <w:rPr>
          <w:rFonts w:cs="Arial"/>
          <w:sz w:val="20"/>
          <w:szCs w:val="20"/>
        </w:rPr>
        <w:t xml:space="preserve"> to</w:t>
      </w:r>
      <w:r w:rsidRPr="00B95314" w:rsidR="00E17660">
        <w:rPr>
          <w:rFonts w:cs="Arial"/>
          <w:sz w:val="20"/>
          <w:szCs w:val="20"/>
        </w:rPr>
        <w:t xml:space="preserve"> assess the model’s feasibility or appropriateness, such that the request itself was unreasonable and irrational.  This aspect was clearly a critical factor in the Committee’s </w:t>
      </w:r>
      <w:proofErr w:type="gramStart"/>
      <w:r w:rsidRPr="00B95314" w:rsidR="00E17660">
        <w:rPr>
          <w:rFonts w:cs="Arial"/>
          <w:sz w:val="20"/>
          <w:szCs w:val="20"/>
        </w:rPr>
        <w:t>deliberations</w:t>
      </w:r>
      <w:proofErr w:type="gramEnd"/>
      <w:r w:rsidRPr="00B95314" w:rsidR="00E17660">
        <w:rPr>
          <w:rFonts w:cs="Arial"/>
          <w:sz w:val="20"/>
          <w:szCs w:val="20"/>
        </w:rPr>
        <w:t xml:space="preserve"> and </w:t>
      </w:r>
      <w:r w:rsidR="00EE2365">
        <w:rPr>
          <w:rFonts w:cs="Arial"/>
          <w:sz w:val="20"/>
          <w:szCs w:val="20"/>
        </w:rPr>
        <w:t>it</w:t>
      </w:r>
      <w:r w:rsidRPr="00B95314" w:rsidR="00E17660">
        <w:rPr>
          <w:rFonts w:cs="Arial"/>
          <w:sz w:val="20"/>
          <w:szCs w:val="20"/>
        </w:rPr>
        <w:t xml:space="preserve"> evidently placed too much emphasis on this</w:t>
      </w:r>
      <w:r w:rsidR="00EE2365">
        <w:rPr>
          <w:rFonts w:cs="Arial"/>
          <w:sz w:val="20"/>
          <w:szCs w:val="20"/>
        </w:rPr>
        <w:t>,</w:t>
      </w:r>
      <w:r w:rsidRPr="00B95314" w:rsidR="00E17660">
        <w:rPr>
          <w:rFonts w:cs="Arial"/>
          <w:sz w:val="20"/>
          <w:szCs w:val="20"/>
        </w:rPr>
        <w:t xml:space="preserve"> without fully considering whether these analyses were plausible or even logical.</w:t>
      </w:r>
    </w:p>
    <w:p w:rsidRPr="007821F2" w:rsidR="00E17660" w:rsidP="001F46AE" w:rsidRDefault="00E17660" w14:paraId="4253C7FC" w14:textId="77777777">
      <w:pPr>
        <w:spacing w:before="120" w:after="120"/>
        <w:rPr>
          <w:rFonts w:cs="Arial"/>
          <w:b/>
          <w:bCs/>
          <w:i/>
          <w:iCs/>
          <w:sz w:val="20"/>
          <w:szCs w:val="20"/>
        </w:rPr>
      </w:pPr>
      <w:r w:rsidRPr="007821F2">
        <w:rPr>
          <w:rFonts w:cs="Arial"/>
          <w:b/>
          <w:bCs/>
          <w:i/>
          <w:iCs/>
          <w:sz w:val="20"/>
          <w:szCs w:val="20"/>
        </w:rPr>
        <w:t>1.</w:t>
      </w:r>
      <w:r w:rsidRPr="007821F2">
        <w:rPr>
          <w:rFonts w:cs="Arial"/>
          <w:b/>
          <w:bCs/>
          <w:i/>
          <w:iCs/>
          <w:sz w:val="20"/>
          <w:szCs w:val="20"/>
        </w:rPr>
        <w:tab/>
      </w:r>
      <w:r w:rsidRPr="007821F2">
        <w:rPr>
          <w:rFonts w:cs="Arial"/>
          <w:b/>
          <w:bCs/>
          <w:i/>
          <w:iCs/>
          <w:sz w:val="20"/>
          <w:szCs w:val="20"/>
        </w:rPr>
        <w:t>A Markov model is entirely non-standard in this context</w:t>
      </w:r>
    </w:p>
    <w:p w:rsidRPr="00B95314" w:rsidR="00E17660" w:rsidP="00FE0085" w:rsidRDefault="00E17660" w14:paraId="68BDD5C5" w14:textId="2E5AFA2C">
      <w:pPr>
        <w:spacing w:before="120" w:after="120"/>
        <w:jc w:val="both"/>
        <w:rPr>
          <w:rFonts w:cs="Arial"/>
          <w:sz w:val="20"/>
          <w:szCs w:val="20"/>
        </w:rPr>
      </w:pPr>
      <w:r w:rsidRPr="00B95314">
        <w:rPr>
          <w:rFonts w:cs="Arial"/>
          <w:sz w:val="20"/>
          <w:szCs w:val="20"/>
        </w:rPr>
        <w:t xml:space="preserve">In none of the previous </w:t>
      </w:r>
      <w:r w:rsidR="006D3230">
        <w:rPr>
          <w:rFonts w:cs="Arial"/>
          <w:sz w:val="20"/>
          <w:szCs w:val="20"/>
        </w:rPr>
        <w:t>appraisals of other IO treatment options for people with advanced/metastatic NSCLC</w:t>
      </w:r>
      <w:r w:rsidR="00EE2365">
        <w:rPr>
          <w:rFonts w:cs="Arial"/>
          <w:sz w:val="20"/>
          <w:szCs w:val="20"/>
        </w:rPr>
        <w:t xml:space="preserve"> </w:t>
      </w:r>
      <w:r w:rsidRPr="00B95314">
        <w:rPr>
          <w:rFonts w:cs="Arial"/>
          <w:sz w:val="20"/>
          <w:szCs w:val="20"/>
        </w:rPr>
        <w:t>has any Appraisal Committee requested a Markov model</w:t>
      </w:r>
      <w:r w:rsidR="009E04DF">
        <w:rPr>
          <w:rFonts w:cs="Arial"/>
          <w:sz w:val="20"/>
          <w:szCs w:val="20"/>
        </w:rPr>
        <w:t xml:space="preserve"> as a necessity for decision making</w:t>
      </w:r>
      <w:r w:rsidR="00EE2365">
        <w:rPr>
          <w:rFonts w:cs="Arial"/>
          <w:sz w:val="20"/>
          <w:szCs w:val="20"/>
        </w:rPr>
        <w:t>.</w:t>
      </w:r>
    </w:p>
    <w:p w:rsidRPr="007821F2" w:rsidR="00E17660" w:rsidP="001F46AE" w:rsidRDefault="00E17660" w14:paraId="14CDC617" w14:textId="312C50FB">
      <w:pPr>
        <w:spacing w:before="120" w:after="120"/>
        <w:rPr>
          <w:rFonts w:cs="Arial"/>
          <w:b/>
          <w:bCs/>
          <w:i/>
          <w:iCs/>
          <w:sz w:val="20"/>
          <w:szCs w:val="20"/>
        </w:rPr>
      </w:pPr>
      <w:r w:rsidRPr="007821F2">
        <w:rPr>
          <w:rFonts w:cs="Arial"/>
          <w:b/>
          <w:bCs/>
          <w:i/>
          <w:iCs/>
          <w:sz w:val="20"/>
          <w:szCs w:val="20"/>
        </w:rPr>
        <w:t>2.</w:t>
      </w:r>
      <w:r w:rsidRPr="007821F2">
        <w:rPr>
          <w:rFonts w:cs="Arial"/>
          <w:b/>
          <w:bCs/>
          <w:i/>
          <w:iCs/>
          <w:sz w:val="20"/>
          <w:szCs w:val="20"/>
        </w:rPr>
        <w:tab/>
      </w:r>
      <w:r w:rsidRPr="007821F2">
        <w:rPr>
          <w:rFonts w:cs="Arial"/>
          <w:b/>
          <w:bCs/>
          <w:i/>
          <w:iCs/>
          <w:sz w:val="20"/>
          <w:szCs w:val="20"/>
        </w:rPr>
        <w:t>The Committee’s preference for a Markov model arises from incorrect assumptions</w:t>
      </w:r>
    </w:p>
    <w:p w:rsidRPr="00B95314" w:rsidR="00E17660" w:rsidP="00FE0085" w:rsidRDefault="00E17660" w14:paraId="51D911F2" w14:textId="5297EF52">
      <w:pPr>
        <w:spacing w:before="120" w:after="120"/>
        <w:jc w:val="both"/>
        <w:rPr>
          <w:rFonts w:cs="Arial"/>
          <w:sz w:val="20"/>
          <w:szCs w:val="20"/>
        </w:rPr>
      </w:pPr>
      <w:r w:rsidRPr="00B95314">
        <w:rPr>
          <w:rFonts w:cs="Arial"/>
          <w:sz w:val="20"/>
          <w:szCs w:val="20"/>
        </w:rPr>
        <w:t xml:space="preserve">The Appraisal Committee concluded that the PSM structure may have been biased in </w:t>
      </w:r>
      <w:proofErr w:type="spellStart"/>
      <w:r w:rsidRPr="00B95314">
        <w:rPr>
          <w:rFonts w:cs="Arial"/>
          <w:sz w:val="20"/>
          <w:szCs w:val="20"/>
        </w:rPr>
        <w:t>favour</w:t>
      </w:r>
      <w:proofErr w:type="spellEnd"/>
      <w:r w:rsidRPr="00B95314">
        <w:rPr>
          <w:rFonts w:cs="Arial"/>
          <w:sz w:val="20"/>
          <w:szCs w:val="20"/>
        </w:rPr>
        <w:t xml:space="preserve"> of </w:t>
      </w:r>
      <w:proofErr w:type="spellStart"/>
      <w:r w:rsidRPr="00B95314">
        <w:rPr>
          <w:rFonts w:cs="Arial"/>
          <w:sz w:val="20"/>
          <w:szCs w:val="20"/>
        </w:rPr>
        <w:t>cemiplimab</w:t>
      </w:r>
      <w:proofErr w:type="spellEnd"/>
      <w:r w:rsidRPr="00B95314">
        <w:rPr>
          <w:rFonts w:cs="Arial"/>
          <w:sz w:val="20"/>
          <w:szCs w:val="20"/>
        </w:rPr>
        <w:t xml:space="preserve"> plus chemotherapy, because OS was modelled independently of </w:t>
      </w:r>
      <w:r w:rsidR="001E69F3">
        <w:rPr>
          <w:rFonts w:cs="Arial"/>
          <w:sz w:val="20"/>
          <w:szCs w:val="20"/>
        </w:rPr>
        <w:t>PFS</w:t>
      </w:r>
      <w:r w:rsidRPr="00B95314">
        <w:rPr>
          <w:rFonts w:cs="Arial"/>
          <w:sz w:val="20"/>
          <w:szCs w:val="20"/>
        </w:rPr>
        <w:t xml:space="preserve">. This statement is incorrect. </w:t>
      </w:r>
    </w:p>
    <w:p w:rsidRPr="00B95314" w:rsidR="00E17660" w:rsidP="00FE0085" w:rsidRDefault="00E17660" w14:paraId="79FFE325" w14:textId="77777777">
      <w:pPr>
        <w:spacing w:before="120" w:after="120"/>
        <w:jc w:val="both"/>
        <w:rPr>
          <w:rFonts w:cs="Arial"/>
          <w:sz w:val="20"/>
          <w:szCs w:val="20"/>
        </w:rPr>
      </w:pPr>
      <w:r w:rsidRPr="00B95314">
        <w:rPr>
          <w:rFonts w:cs="Arial"/>
          <w:sz w:val="20"/>
          <w:szCs w:val="20"/>
        </w:rPr>
        <w:t>PSMs and Markov modelling differ fundamentally in their underlying structural assumptions.  In a partitioned survival approach, each endpoint (</w:t>
      </w:r>
      <w:r w:rsidRPr="007821F2">
        <w:rPr>
          <w:rFonts w:cs="Arial"/>
          <w:i/>
          <w:iCs/>
          <w:sz w:val="20"/>
          <w:szCs w:val="20"/>
        </w:rPr>
        <w:t>i.e.</w:t>
      </w:r>
      <w:r w:rsidRPr="00B95314">
        <w:rPr>
          <w:rFonts w:cs="Arial"/>
          <w:sz w:val="20"/>
          <w:szCs w:val="20"/>
        </w:rPr>
        <w:t xml:space="preserve">, PFS, OS) is modelled independently of the other endpoints included within the </w:t>
      </w:r>
      <w:proofErr w:type="gramStart"/>
      <w:r w:rsidRPr="00B95314">
        <w:rPr>
          <w:rFonts w:cs="Arial"/>
          <w:sz w:val="20"/>
          <w:szCs w:val="20"/>
        </w:rPr>
        <w:t>model;</w:t>
      </w:r>
      <w:proofErr w:type="gramEnd"/>
      <w:r w:rsidRPr="00B95314">
        <w:rPr>
          <w:rFonts w:cs="Arial"/>
          <w:sz w:val="20"/>
          <w:szCs w:val="20"/>
        </w:rPr>
        <w:t xml:space="preserve"> whereas in a Markov model clinical events are explicitly related.  </w:t>
      </w:r>
    </w:p>
    <w:p w:rsidRPr="00B95314" w:rsidR="00E17660" w:rsidP="00FE0085" w:rsidRDefault="00E17660" w14:paraId="41C2542C" w14:textId="77777777">
      <w:pPr>
        <w:spacing w:before="120" w:after="120"/>
        <w:jc w:val="both"/>
        <w:rPr>
          <w:rFonts w:cs="Arial"/>
          <w:sz w:val="20"/>
          <w:szCs w:val="20"/>
        </w:rPr>
      </w:pPr>
      <w:r w:rsidRPr="00B95314">
        <w:rPr>
          <w:rFonts w:cs="Arial"/>
          <w:sz w:val="20"/>
          <w:szCs w:val="20"/>
        </w:rPr>
        <w:t>In situations in which the assumed structural relationship between health states does not hold (</w:t>
      </w:r>
      <w:r w:rsidRPr="007821F2">
        <w:rPr>
          <w:rFonts w:cs="Arial"/>
          <w:i/>
          <w:iCs/>
          <w:sz w:val="20"/>
          <w:szCs w:val="20"/>
        </w:rPr>
        <w:t>e.g.</w:t>
      </w:r>
      <w:r w:rsidRPr="00B95314">
        <w:rPr>
          <w:rFonts w:cs="Arial"/>
          <w:sz w:val="20"/>
          <w:szCs w:val="20"/>
        </w:rPr>
        <w:t>, when PFS is not a valid surrogate for OS), it does not follow that modelling PFS and OS independently induces bias.  Indeed, forcing a structural relationship that is uncertain and reliant on arbitrary external assumptions (such as the Committee’s conclusions of equal post-progression survival) is subject to greater biases in some circumstances than assuming independence between endpoints for the purposes of extrapolation.</w:t>
      </w:r>
    </w:p>
    <w:p w:rsidRPr="00B95314" w:rsidR="00E17660" w:rsidP="001F46AE" w:rsidRDefault="00E17660" w14:paraId="1AC28402" w14:textId="77777777">
      <w:pPr>
        <w:spacing w:before="120" w:after="120"/>
        <w:rPr>
          <w:rFonts w:cs="Arial"/>
          <w:sz w:val="20"/>
          <w:szCs w:val="20"/>
        </w:rPr>
      </w:pPr>
      <w:r w:rsidRPr="00B95314">
        <w:rPr>
          <w:rFonts w:cs="Arial"/>
          <w:sz w:val="20"/>
          <w:szCs w:val="20"/>
        </w:rPr>
        <w:t>The assumptions that underpin the Committee’s preferred approach simply do not make sense.</w:t>
      </w:r>
    </w:p>
    <w:p w:rsidRPr="007821F2" w:rsidR="00E17660" w:rsidP="00FE0085" w:rsidRDefault="00E17660" w14:paraId="768B259A" w14:textId="77777777">
      <w:pPr>
        <w:spacing w:before="120" w:after="120"/>
        <w:ind w:left="709" w:hanging="425"/>
        <w:jc w:val="both"/>
        <w:rPr>
          <w:rFonts w:cs="Arial"/>
          <w:b/>
          <w:bCs/>
          <w:i/>
          <w:iCs/>
          <w:sz w:val="20"/>
          <w:szCs w:val="20"/>
        </w:rPr>
      </w:pPr>
      <w:r w:rsidRPr="007821F2">
        <w:rPr>
          <w:rFonts w:cs="Arial"/>
          <w:b/>
          <w:bCs/>
          <w:i/>
          <w:iCs/>
          <w:sz w:val="20"/>
          <w:szCs w:val="20"/>
        </w:rPr>
        <w:t>3.</w:t>
      </w:r>
      <w:r w:rsidRPr="007821F2">
        <w:rPr>
          <w:rFonts w:cs="Arial"/>
          <w:b/>
          <w:bCs/>
          <w:i/>
          <w:iCs/>
          <w:sz w:val="20"/>
          <w:szCs w:val="20"/>
        </w:rPr>
        <w:tab/>
      </w:r>
      <w:r w:rsidRPr="007821F2">
        <w:rPr>
          <w:rFonts w:cs="Arial"/>
          <w:b/>
          <w:bCs/>
          <w:i/>
          <w:iCs/>
          <w:sz w:val="20"/>
          <w:szCs w:val="20"/>
        </w:rPr>
        <w:t>In support of its preferred approach, the Committee assumes a perfect or near perfect surrogate relationship between PFS and OS without appropriate justification</w:t>
      </w:r>
    </w:p>
    <w:p w:rsidR="002B17B6" w:rsidP="00FE0085" w:rsidRDefault="00E17660" w14:paraId="044ED1C7" w14:textId="27B8F091">
      <w:pPr>
        <w:spacing w:before="120" w:after="120"/>
        <w:jc w:val="both"/>
        <w:rPr>
          <w:rFonts w:cs="Arial"/>
          <w:sz w:val="20"/>
          <w:szCs w:val="20"/>
        </w:rPr>
      </w:pPr>
      <w:r w:rsidRPr="00B95314">
        <w:rPr>
          <w:rFonts w:cs="Arial"/>
          <w:sz w:val="20"/>
          <w:szCs w:val="20"/>
        </w:rPr>
        <w:t xml:space="preserve">The assumption of similar or equal post-progression survival between </w:t>
      </w:r>
      <w:proofErr w:type="spellStart"/>
      <w:proofErr w:type="gramStart"/>
      <w:r w:rsidRPr="00B95314">
        <w:rPr>
          <w:rFonts w:cs="Arial"/>
          <w:sz w:val="20"/>
          <w:szCs w:val="20"/>
        </w:rPr>
        <w:t>cemiplimab</w:t>
      </w:r>
      <w:proofErr w:type="spellEnd"/>
      <w:proofErr w:type="gramEnd"/>
      <w:r w:rsidRPr="00B95314">
        <w:rPr>
          <w:rFonts w:cs="Arial"/>
          <w:sz w:val="20"/>
          <w:szCs w:val="20"/>
        </w:rPr>
        <w:t xml:space="preserve"> and pembrolizumab implies a perfect (or near perfect) surrogate relationship between PFS and OS. Indeed, the FDG clearly states th</w:t>
      </w:r>
      <w:r w:rsidR="002B17B6">
        <w:rPr>
          <w:rFonts w:cs="Arial"/>
          <w:sz w:val="20"/>
          <w:szCs w:val="20"/>
        </w:rPr>
        <w:t>at:</w:t>
      </w:r>
    </w:p>
    <w:p w:rsidRPr="00B95314" w:rsidR="00E17660" w:rsidP="00FE0085" w:rsidRDefault="00E17660" w14:paraId="3BBC68DC" w14:textId="0C2B69E1">
      <w:pPr>
        <w:spacing w:before="120" w:after="120"/>
        <w:jc w:val="both"/>
        <w:rPr>
          <w:rFonts w:cs="Arial"/>
          <w:sz w:val="20"/>
          <w:szCs w:val="20"/>
        </w:rPr>
      </w:pPr>
      <w:r w:rsidRPr="00B95314">
        <w:rPr>
          <w:rFonts w:cs="Arial"/>
          <w:sz w:val="20"/>
          <w:szCs w:val="20"/>
        </w:rPr>
        <w:t>“</w:t>
      </w:r>
      <w:r w:rsidR="002B17B6">
        <w:rPr>
          <w:rFonts w:cs="Arial"/>
          <w:sz w:val="20"/>
          <w:szCs w:val="20"/>
        </w:rPr>
        <w:t xml:space="preserve">[the] </w:t>
      </w:r>
      <w:r w:rsidRPr="007821F2">
        <w:rPr>
          <w:rFonts w:cs="Arial"/>
          <w:i/>
          <w:iCs/>
          <w:sz w:val="20"/>
          <w:szCs w:val="20"/>
        </w:rPr>
        <w:t xml:space="preserve">Committee would have expected post progression survival to be similar for people who had </w:t>
      </w:r>
      <w:proofErr w:type="spellStart"/>
      <w:r w:rsidRPr="007821F2">
        <w:rPr>
          <w:rFonts w:cs="Arial"/>
          <w:i/>
          <w:iCs/>
          <w:sz w:val="20"/>
          <w:szCs w:val="20"/>
        </w:rPr>
        <w:t>cemiplimab</w:t>
      </w:r>
      <w:proofErr w:type="spellEnd"/>
      <w:r w:rsidRPr="007821F2">
        <w:rPr>
          <w:rFonts w:cs="Arial"/>
          <w:i/>
          <w:iCs/>
          <w:sz w:val="20"/>
          <w:szCs w:val="20"/>
        </w:rPr>
        <w:t xml:space="preserve"> plus chemotherapy and people who had pembrolizumab plus chemotherapy.  This is because in NHS clinical practice, the same treatment options would be available to both groups after progression</w:t>
      </w:r>
      <w:r w:rsidRPr="00B95314">
        <w:rPr>
          <w:rFonts w:cs="Arial"/>
          <w:sz w:val="20"/>
          <w:szCs w:val="20"/>
        </w:rPr>
        <w:t xml:space="preserve">.”  </w:t>
      </w:r>
    </w:p>
    <w:p w:rsidRPr="00B95314" w:rsidR="00E17660" w:rsidP="00FE0085" w:rsidRDefault="00E17660" w14:paraId="5D1ADB93" w14:textId="622A7109">
      <w:pPr>
        <w:spacing w:before="120" w:after="120"/>
        <w:jc w:val="both"/>
        <w:rPr>
          <w:rFonts w:cs="Arial"/>
          <w:sz w:val="20"/>
          <w:szCs w:val="20"/>
        </w:rPr>
      </w:pPr>
      <w:r w:rsidRPr="00B95314">
        <w:rPr>
          <w:rFonts w:cs="Arial"/>
          <w:sz w:val="20"/>
          <w:szCs w:val="20"/>
        </w:rPr>
        <w:t xml:space="preserve">These </w:t>
      </w:r>
      <w:r w:rsidR="00442C71">
        <w:rPr>
          <w:rFonts w:cs="Arial"/>
          <w:sz w:val="20"/>
          <w:szCs w:val="20"/>
        </w:rPr>
        <w:t>are</w:t>
      </w:r>
      <w:r w:rsidRPr="00B95314">
        <w:rPr>
          <w:rFonts w:cs="Arial"/>
          <w:sz w:val="20"/>
          <w:szCs w:val="20"/>
        </w:rPr>
        <w:t xml:space="preserve"> unsupported assumptions. The Committee has not </w:t>
      </w:r>
      <w:proofErr w:type="gramStart"/>
      <w:r w:rsidRPr="00B95314">
        <w:rPr>
          <w:rFonts w:cs="Arial"/>
          <w:sz w:val="20"/>
          <w:szCs w:val="20"/>
        </w:rPr>
        <w:t>commented</w:t>
      </w:r>
      <w:proofErr w:type="gramEnd"/>
      <w:r w:rsidRPr="00B95314">
        <w:rPr>
          <w:rFonts w:cs="Arial"/>
          <w:sz w:val="20"/>
          <w:szCs w:val="20"/>
        </w:rPr>
        <w:t xml:space="preserve"> or discussed any evidence to support </w:t>
      </w:r>
      <w:r w:rsidR="00442C71">
        <w:rPr>
          <w:rFonts w:cs="Arial"/>
          <w:sz w:val="20"/>
          <w:szCs w:val="20"/>
        </w:rPr>
        <w:t>them</w:t>
      </w:r>
      <w:r w:rsidRPr="00B95314">
        <w:rPr>
          <w:rFonts w:cs="Arial"/>
          <w:sz w:val="20"/>
          <w:szCs w:val="20"/>
        </w:rPr>
        <w:t xml:space="preserve">. The validity and strength of any surrogate relationship between PFS and OS are not </w:t>
      </w:r>
      <w:proofErr w:type="gramStart"/>
      <w:r w:rsidRPr="00B95314">
        <w:rPr>
          <w:rFonts w:cs="Arial"/>
          <w:sz w:val="20"/>
          <w:szCs w:val="20"/>
        </w:rPr>
        <w:t>discussed</w:t>
      </w:r>
      <w:proofErr w:type="gramEnd"/>
      <w:r w:rsidR="00442C71">
        <w:rPr>
          <w:rFonts w:cs="Arial"/>
          <w:sz w:val="20"/>
          <w:szCs w:val="20"/>
        </w:rPr>
        <w:t xml:space="preserve"> and</w:t>
      </w:r>
      <w:r w:rsidRPr="00B95314">
        <w:rPr>
          <w:rFonts w:cs="Arial"/>
          <w:sz w:val="20"/>
          <w:szCs w:val="20"/>
        </w:rPr>
        <w:t xml:space="preserve"> </w:t>
      </w:r>
      <w:r w:rsidR="00442C71">
        <w:rPr>
          <w:rFonts w:cs="Arial"/>
          <w:sz w:val="20"/>
          <w:szCs w:val="20"/>
        </w:rPr>
        <w:t>i</w:t>
      </w:r>
      <w:r w:rsidRPr="00B95314">
        <w:rPr>
          <w:rFonts w:cs="Arial"/>
          <w:sz w:val="20"/>
          <w:szCs w:val="20"/>
        </w:rPr>
        <w:t>t is unclear on what basis the Committee made this determination</w:t>
      </w:r>
      <w:r w:rsidR="00442C71">
        <w:rPr>
          <w:rFonts w:cs="Arial"/>
          <w:sz w:val="20"/>
          <w:szCs w:val="20"/>
        </w:rPr>
        <w:t xml:space="preserve"> or why this is deemed</w:t>
      </w:r>
      <w:r w:rsidRPr="00B95314">
        <w:rPr>
          <w:rFonts w:cs="Arial"/>
          <w:sz w:val="20"/>
          <w:szCs w:val="20"/>
        </w:rPr>
        <w:t xml:space="preserve"> a valid alternative to the direct use of OS data for extrapolation.</w:t>
      </w:r>
    </w:p>
    <w:p w:rsidRPr="00181696" w:rsidR="00866828" w:rsidP="00866828" w:rsidRDefault="00866828" w14:paraId="7A7D4D9D" w14:textId="500CC40C">
      <w:pPr>
        <w:spacing w:before="120" w:after="120"/>
        <w:ind w:left="709" w:hanging="425"/>
        <w:jc w:val="both"/>
        <w:rPr>
          <w:rFonts w:cs="Arial"/>
          <w:b/>
          <w:bCs/>
          <w:i/>
          <w:iCs/>
          <w:sz w:val="20"/>
          <w:szCs w:val="20"/>
        </w:rPr>
      </w:pPr>
      <w:r>
        <w:rPr>
          <w:rFonts w:cs="Arial"/>
          <w:b/>
          <w:bCs/>
          <w:i/>
          <w:iCs/>
          <w:sz w:val="20"/>
          <w:szCs w:val="20"/>
        </w:rPr>
        <w:t>4</w:t>
      </w:r>
      <w:r w:rsidRPr="00181696">
        <w:rPr>
          <w:rFonts w:cs="Arial"/>
          <w:b/>
          <w:bCs/>
          <w:i/>
          <w:iCs/>
          <w:sz w:val="20"/>
          <w:szCs w:val="20"/>
        </w:rPr>
        <w:t>.</w:t>
      </w:r>
      <w:r w:rsidRPr="00181696">
        <w:rPr>
          <w:rFonts w:cs="Arial"/>
          <w:b/>
          <w:bCs/>
          <w:i/>
          <w:iCs/>
          <w:sz w:val="20"/>
          <w:szCs w:val="20"/>
        </w:rPr>
        <w:tab/>
      </w:r>
      <w:r w:rsidRPr="00181696">
        <w:rPr>
          <w:rFonts w:cs="Arial"/>
          <w:b/>
          <w:bCs/>
          <w:i/>
          <w:iCs/>
          <w:sz w:val="20"/>
          <w:szCs w:val="20"/>
        </w:rPr>
        <w:t xml:space="preserve">Markov modelling was simply not appropriate in this context (i.e., unless individual patient data </w:t>
      </w:r>
      <w:proofErr w:type="gramStart"/>
      <w:r w:rsidRPr="00181696">
        <w:rPr>
          <w:rFonts w:cs="Arial"/>
          <w:b/>
          <w:bCs/>
          <w:i/>
          <w:iCs/>
          <w:sz w:val="20"/>
          <w:szCs w:val="20"/>
        </w:rPr>
        <w:t>are</w:t>
      </w:r>
      <w:proofErr w:type="gramEnd"/>
      <w:r w:rsidRPr="00181696">
        <w:rPr>
          <w:rFonts w:cs="Arial"/>
          <w:b/>
          <w:bCs/>
          <w:i/>
          <w:iCs/>
          <w:sz w:val="20"/>
          <w:szCs w:val="20"/>
        </w:rPr>
        <w:t xml:space="preserve"> available for both treatment arms)</w:t>
      </w:r>
    </w:p>
    <w:p w:rsidRPr="00B95314" w:rsidR="00866828" w:rsidP="00866828" w:rsidRDefault="00866828" w14:paraId="34178628" w14:textId="14C9EA3C">
      <w:pPr>
        <w:spacing w:before="120" w:after="120"/>
        <w:jc w:val="both"/>
        <w:rPr>
          <w:rFonts w:cs="Arial"/>
          <w:sz w:val="20"/>
          <w:szCs w:val="20"/>
        </w:rPr>
      </w:pPr>
      <w:r w:rsidRPr="00B95314">
        <w:rPr>
          <w:rFonts w:cs="Arial"/>
          <w:sz w:val="20"/>
          <w:szCs w:val="20"/>
        </w:rPr>
        <w:t xml:space="preserve">Unless individual patient data are available for both treatment arms (which was not the case in this appraisal), state transition modelling – such as Markov modelling -- can face significant challenges.  NICE’s Decision Support Unit (“DSU”) highlights </w:t>
      </w:r>
      <w:r>
        <w:rPr>
          <w:rFonts w:cs="Arial"/>
          <w:sz w:val="20"/>
          <w:szCs w:val="20"/>
        </w:rPr>
        <w:t>these</w:t>
      </w:r>
      <w:r w:rsidRPr="00B95314">
        <w:rPr>
          <w:rFonts w:cs="Arial"/>
          <w:sz w:val="20"/>
          <w:szCs w:val="20"/>
        </w:rPr>
        <w:t xml:space="preserve"> in Technical Support Document 19: Partitioned survival analysis as a decision modelling tool (TSD 19).  </w:t>
      </w:r>
      <w:r>
        <w:rPr>
          <w:rFonts w:cs="Arial"/>
          <w:sz w:val="20"/>
          <w:szCs w:val="20"/>
        </w:rPr>
        <w:t>Here, t</w:t>
      </w:r>
      <w:r w:rsidRPr="00B95314">
        <w:rPr>
          <w:rFonts w:cs="Arial"/>
          <w:sz w:val="20"/>
          <w:szCs w:val="20"/>
        </w:rPr>
        <w:t xml:space="preserve">he DSU makes clear that the absence of individual patient data is highlighted </w:t>
      </w:r>
      <w:proofErr w:type="gramStart"/>
      <w:r w:rsidRPr="00B95314">
        <w:rPr>
          <w:rFonts w:cs="Arial"/>
          <w:sz w:val="20"/>
          <w:szCs w:val="20"/>
        </w:rPr>
        <w:t>is</w:t>
      </w:r>
      <w:proofErr w:type="gramEnd"/>
      <w:r w:rsidRPr="00B95314">
        <w:rPr>
          <w:rFonts w:cs="Arial"/>
          <w:sz w:val="20"/>
          <w:szCs w:val="20"/>
        </w:rPr>
        <w:t xml:space="preserve"> a key limitation in Markov modelling:</w:t>
      </w:r>
    </w:p>
    <w:p w:rsidRPr="00181696" w:rsidR="00866828" w:rsidP="00866828" w:rsidRDefault="00866828" w14:paraId="05828BC5" w14:textId="77777777">
      <w:pPr>
        <w:spacing w:before="120" w:after="120"/>
        <w:ind w:left="720"/>
        <w:jc w:val="both"/>
        <w:rPr>
          <w:rFonts w:cs="Arial"/>
          <w:i/>
          <w:iCs/>
          <w:sz w:val="20"/>
          <w:szCs w:val="20"/>
        </w:rPr>
      </w:pPr>
      <w:r w:rsidRPr="00B95314">
        <w:rPr>
          <w:rFonts w:cs="Arial"/>
          <w:sz w:val="20"/>
          <w:szCs w:val="20"/>
        </w:rPr>
        <w:t>“</w:t>
      </w:r>
      <w:r w:rsidRPr="00181696">
        <w:rPr>
          <w:rFonts w:cs="Arial"/>
          <w:i/>
          <w:iCs/>
          <w:sz w:val="20"/>
          <w:szCs w:val="20"/>
        </w:rPr>
        <w:t xml:space="preserve">Use of state transition modelling [such as Markov modelling], </w:t>
      </w:r>
      <w:proofErr w:type="spellStart"/>
      <w:r w:rsidRPr="00181696">
        <w:rPr>
          <w:rFonts w:cs="Arial"/>
          <w:i/>
          <w:iCs/>
          <w:sz w:val="20"/>
          <w:szCs w:val="20"/>
        </w:rPr>
        <w:t>parameterised</w:t>
      </w:r>
      <w:proofErr w:type="spellEnd"/>
      <w:r w:rsidRPr="00181696">
        <w:rPr>
          <w:rFonts w:cs="Arial"/>
          <w:i/>
          <w:iCs/>
          <w:sz w:val="20"/>
          <w:szCs w:val="20"/>
        </w:rPr>
        <w:t xml:space="preserve"> by using multi-state survival analysis to estimate transition probabilities, is feasible when IPD are available. However, the external data that informs indirect comparisons and long-term outcomes is typically only available in summary form” and “in many instances, external data are only available for the PFS and OS endpoints. These data are not sufficient to allow estimation of individual transition probabilities.”</w:t>
      </w:r>
    </w:p>
    <w:p w:rsidR="00866828" w:rsidP="00866828" w:rsidRDefault="00866828" w14:paraId="7C38B2DE" w14:textId="77777777">
      <w:pPr>
        <w:spacing w:before="120" w:after="120"/>
        <w:jc w:val="both"/>
        <w:rPr>
          <w:rFonts w:cs="Arial"/>
          <w:sz w:val="20"/>
          <w:szCs w:val="20"/>
        </w:rPr>
      </w:pPr>
      <w:r w:rsidRPr="00B95314">
        <w:rPr>
          <w:rFonts w:cs="Arial"/>
          <w:sz w:val="20"/>
          <w:szCs w:val="20"/>
        </w:rPr>
        <w:t xml:space="preserve">The same NICE DSU Technical Support Document acknowledges that direct modelling of OS can confer potential advantages over Markov models </w:t>
      </w:r>
      <w:proofErr w:type="gramStart"/>
      <w:r w:rsidRPr="00B95314">
        <w:rPr>
          <w:rFonts w:cs="Arial"/>
          <w:sz w:val="20"/>
          <w:szCs w:val="20"/>
        </w:rPr>
        <w:t>with regard to</w:t>
      </w:r>
      <w:proofErr w:type="gramEnd"/>
      <w:r w:rsidRPr="00B95314">
        <w:rPr>
          <w:rFonts w:cs="Arial"/>
          <w:sz w:val="20"/>
          <w:szCs w:val="20"/>
        </w:rPr>
        <w:t xml:space="preserve"> treatment switching and crossover adjustment analyses. Given concerns raised by the Committee regarding the potential impact of crossover in the comparator trials, it is unclear how this aspect would be considered within a Markov structure reliant on pre- and post-progression survival estimates.</w:t>
      </w:r>
    </w:p>
    <w:p w:rsidR="005A3196" w:rsidP="00866828" w:rsidRDefault="005A3196" w14:paraId="704AB57E" w14:textId="39BEBE37">
      <w:pPr>
        <w:spacing w:before="120" w:after="120"/>
        <w:jc w:val="both"/>
        <w:rPr>
          <w:rFonts w:cs="Arial"/>
          <w:sz w:val="20"/>
          <w:szCs w:val="20"/>
        </w:rPr>
      </w:pPr>
      <w:r>
        <w:rPr>
          <w:rFonts w:cs="Arial"/>
          <w:sz w:val="20"/>
          <w:szCs w:val="20"/>
        </w:rPr>
        <w:t>Furthermore,</w:t>
      </w:r>
      <w:r w:rsidRPr="005A3196">
        <w:t xml:space="preserve"> </w:t>
      </w:r>
      <w:r>
        <w:rPr>
          <w:rFonts w:cs="Arial"/>
          <w:sz w:val="20"/>
          <w:szCs w:val="20"/>
        </w:rPr>
        <w:t>a</w:t>
      </w:r>
      <w:r w:rsidRPr="005A3196">
        <w:rPr>
          <w:rFonts w:cs="Arial"/>
          <w:sz w:val="20"/>
          <w:szCs w:val="20"/>
        </w:rPr>
        <w:t xml:space="preserve"> follow-on publication by the same authors </w:t>
      </w:r>
      <w:r>
        <w:rPr>
          <w:rFonts w:cs="Arial"/>
          <w:sz w:val="20"/>
          <w:szCs w:val="20"/>
        </w:rPr>
        <w:t xml:space="preserve">as TSD 19 </w:t>
      </w:r>
      <w:r w:rsidRPr="005A3196">
        <w:rPr>
          <w:rFonts w:cs="Arial"/>
          <w:sz w:val="20"/>
          <w:szCs w:val="20"/>
        </w:rPr>
        <w:t>was quoted by the Company’s representative during ACM2 but apparently not accepted due to not being cited in the Company’s response to draft guidance at consultation.</w:t>
      </w:r>
      <w:r>
        <w:rPr>
          <w:rFonts w:cs="Arial"/>
          <w:sz w:val="20"/>
          <w:szCs w:val="20"/>
        </w:rPr>
        <w:t xml:space="preserve"> </w:t>
      </w:r>
    </w:p>
    <w:p w:rsidR="00866828" w:rsidP="00866828" w:rsidRDefault="00866828" w14:paraId="2632F898" w14:textId="7D218A52">
      <w:pPr>
        <w:spacing w:before="120" w:after="120"/>
        <w:jc w:val="both"/>
        <w:rPr>
          <w:rFonts w:cs="Arial"/>
          <w:sz w:val="20"/>
          <w:szCs w:val="20"/>
        </w:rPr>
      </w:pPr>
      <w:r w:rsidRPr="00B95314">
        <w:rPr>
          <w:rFonts w:cs="Arial"/>
          <w:sz w:val="20"/>
          <w:szCs w:val="20"/>
        </w:rPr>
        <w:t xml:space="preserve">Rather than appropriately acknowledging the concerns noted by the company concerning the feasibility (or lack thereof) of appropriately </w:t>
      </w:r>
      <w:proofErr w:type="spellStart"/>
      <w:r w:rsidRPr="00B95314">
        <w:rPr>
          <w:rFonts w:cs="Arial"/>
          <w:sz w:val="20"/>
          <w:szCs w:val="20"/>
        </w:rPr>
        <w:t>parameterising</w:t>
      </w:r>
      <w:proofErr w:type="spellEnd"/>
      <w:r w:rsidRPr="00B95314">
        <w:rPr>
          <w:rFonts w:cs="Arial"/>
          <w:sz w:val="20"/>
          <w:szCs w:val="20"/>
        </w:rPr>
        <w:t xml:space="preserve"> an alternative structural modelling approach, the Appraisal Committee appears to have simply dismissed these concerns and continued to request specific structural modelling approaches reliant on strong assumptions (equal post-progression survival) that the Committee has not justified adequately by reference to supporting evidence. Furthermore, these approaches ignore the OS data which is available and hence cannot be used to provide formal analyses based on the best available evidence or as methods for assessing comparative efficacy (NMA) and adjusting for differences in cross-over between trials (cross-over/treatment </w:t>
      </w:r>
      <w:proofErr w:type="gramStart"/>
      <w:r w:rsidRPr="00B95314">
        <w:rPr>
          <w:rFonts w:cs="Arial"/>
          <w:sz w:val="20"/>
          <w:szCs w:val="20"/>
        </w:rPr>
        <w:t>switching</w:t>
      </w:r>
      <w:proofErr w:type="gramEnd"/>
      <w:r w:rsidRPr="00B95314">
        <w:rPr>
          <w:rFonts w:cs="Arial"/>
          <w:sz w:val="20"/>
          <w:szCs w:val="20"/>
        </w:rPr>
        <w:t xml:space="preserve"> adjustments).  </w:t>
      </w:r>
    </w:p>
    <w:p w:rsidRPr="007821F2" w:rsidR="006D5C49" w:rsidP="006D5C49" w:rsidRDefault="006D5C49" w14:paraId="60DC94FE" w14:textId="49DD0C1F">
      <w:pPr>
        <w:spacing w:before="120" w:after="120"/>
        <w:jc w:val="both"/>
        <w:rPr>
          <w:rFonts w:cs="Arial"/>
          <w:b/>
          <w:bCs/>
          <w:sz w:val="20"/>
          <w:szCs w:val="20"/>
        </w:rPr>
      </w:pPr>
      <w:r w:rsidRPr="007821F2">
        <w:rPr>
          <w:rFonts w:cs="Arial"/>
          <w:b/>
          <w:bCs/>
          <w:sz w:val="20"/>
          <w:szCs w:val="20"/>
        </w:rPr>
        <w:t>Give</w:t>
      </w:r>
      <w:r w:rsidRPr="007821F2" w:rsidR="000C6072">
        <w:rPr>
          <w:rFonts w:cs="Arial"/>
          <w:b/>
          <w:bCs/>
          <w:sz w:val="20"/>
          <w:szCs w:val="20"/>
        </w:rPr>
        <w:t>n</w:t>
      </w:r>
      <w:r w:rsidRPr="007821F2">
        <w:rPr>
          <w:rFonts w:cs="Arial"/>
          <w:b/>
          <w:bCs/>
          <w:sz w:val="20"/>
          <w:szCs w:val="20"/>
        </w:rPr>
        <w:t xml:space="preserve"> the above, in the absence of individual patient data (IPD) for the comparator treatment, one </w:t>
      </w:r>
      <w:r w:rsidRPr="003E195F" w:rsidR="003E195F">
        <w:rPr>
          <w:rFonts w:cs="Arial"/>
          <w:b/>
          <w:bCs/>
          <w:sz w:val="20"/>
          <w:szCs w:val="20"/>
        </w:rPr>
        <w:t>simply</w:t>
      </w:r>
      <w:r w:rsidRPr="007821F2">
        <w:rPr>
          <w:rFonts w:cs="Arial"/>
          <w:b/>
          <w:bCs/>
          <w:sz w:val="20"/>
          <w:szCs w:val="20"/>
        </w:rPr>
        <w:t xml:space="preserve"> cannot appropriately </w:t>
      </w:r>
      <w:proofErr w:type="spellStart"/>
      <w:r w:rsidRPr="007821F2">
        <w:rPr>
          <w:rFonts w:cs="Arial"/>
          <w:b/>
          <w:bCs/>
          <w:sz w:val="20"/>
          <w:szCs w:val="20"/>
        </w:rPr>
        <w:t>parameterise</w:t>
      </w:r>
      <w:proofErr w:type="spellEnd"/>
      <w:r w:rsidRPr="007821F2">
        <w:rPr>
          <w:rFonts w:cs="Arial"/>
          <w:b/>
          <w:bCs/>
          <w:sz w:val="20"/>
          <w:szCs w:val="20"/>
        </w:rPr>
        <w:t xml:space="preserve"> this without relying on </w:t>
      </w:r>
      <w:r w:rsidR="00BF35C9">
        <w:rPr>
          <w:rFonts w:cs="Arial"/>
          <w:b/>
          <w:bCs/>
          <w:sz w:val="20"/>
          <w:szCs w:val="20"/>
        </w:rPr>
        <w:t xml:space="preserve">strong </w:t>
      </w:r>
      <w:r w:rsidRPr="007821F2">
        <w:rPr>
          <w:rFonts w:cs="Arial"/>
          <w:b/>
          <w:bCs/>
          <w:sz w:val="20"/>
          <w:szCs w:val="20"/>
        </w:rPr>
        <w:t>simplifying assumptions that allow for comparative efficacy differences in some endpoints (</w:t>
      </w:r>
      <w:r w:rsidRPr="007821F2">
        <w:rPr>
          <w:rFonts w:cs="Arial"/>
          <w:b/>
          <w:bCs/>
          <w:i/>
          <w:iCs/>
          <w:sz w:val="20"/>
          <w:szCs w:val="20"/>
        </w:rPr>
        <w:t>e.g.</w:t>
      </w:r>
      <w:r w:rsidRPr="007821F2">
        <w:rPr>
          <w:rFonts w:cs="Arial"/>
          <w:b/>
          <w:bCs/>
          <w:sz w:val="20"/>
          <w:szCs w:val="20"/>
        </w:rPr>
        <w:t>, progression-free survival) but not others (</w:t>
      </w:r>
      <w:r w:rsidRPr="007821F2">
        <w:rPr>
          <w:rFonts w:cs="Arial"/>
          <w:b/>
          <w:bCs/>
          <w:i/>
          <w:iCs/>
          <w:sz w:val="20"/>
          <w:szCs w:val="20"/>
        </w:rPr>
        <w:t>e.g.</w:t>
      </w:r>
      <w:r w:rsidRPr="007821F2">
        <w:rPr>
          <w:rFonts w:cs="Arial"/>
          <w:b/>
          <w:bCs/>
          <w:sz w:val="20"/>
          <w:szCs w:val="20"/>
        </w:rPr>
        <w:t xml:space="preserve">, assumption of common post-progression survival). </w:t>
      </w:r>
      <w:r w:rsidRPr="00BF35C9" w:rsidR="00BF35C9">
        <w:rPr>
          <w:rFonts w:cs="Arial"/>
          <w:sz w:val="20"/>
          <w:szCs w:val="20"/>
        </w:rPr>
        <w:t>This issue is highlighted within NICE DSU TSD 19 and was reiterated in a follow-on publication by the TSD authors. Despite the latter publication (and its authors) being quoted by Regeneron’s representative during ACM2, it was apparently not taken into consideration by the committee because the company “did not state this or provide a reference to the publication in its response to the draft guidance.”</w:t>
      </w:r>
      <w:r w:rsidRPr="00BF35C9" w:rsidR="00BF35C9">
        <w:rPr>
          <w:rFonts w:cs="Arial"/>
          <w:b/>
          <w:bCs/>
          <w:sz w:val="20"/>
          <w:szCs w:val="20"/>
        </w:rPr>
        <w:t xml:space="preserve"> </w:t>
      </w:r>
      <w:r w:rsidRPr="007821F2">
        <w:rPr>
          <w:rFonts w:cs="Arial"/>
          <w:b/>
          <w:bCs/>
          <w:sz w:val="20"/>
          <w:szCs w:val="20"/>
        </w:rPr>
        <w:t xml:space="preserve">The lack of IPD precludes </w:t>
      </w:r>
      <w:r w:rsidRPr="007821F2" w:rsidR="000C6072">
        <w:rPr>
          <w:rFonts w:cs="Arial"/>
          <w:b/>
          <w:bCs/>
          <w:sz w:val="20"/>
          <w:szCs w:val="20"/>
        </w:rPr>
        <w:t xml:space="preserve">the implementation of a Markov structure, which </w:t>
      </w:r>
      <w:r w:rsidRPr="007821F2">
        <w:rPr>
          <w:rFonts w:cs="Arial"/>
          <w:b/>
          <w:bCs/>
          <w:sz w:val="20"/>
          <w:szCs w:val="20"/>
        </w:rPr>
        <w:t>us</w:t>
      </w:r>
      <w:r w:rsidRPr="007821F2" w:rsidR="000C6072">
        <w:rPr>
          <w:rFonts w:cs="Arial"/>
          <w:b/>
          <w:bCs/>
          <w:sz w:val="20"/>
          <w:szCs w:val="20"/>
        </w:rPr>
        <w:t>es</w:t>
      </w:r>
      <w:r w:rsidRPr="007821F2">
        <w:rPr>
          <w:rFonts w:cs="Arial"/>
          <w:b/>
          <w:bCs/>
          <w:sz w:val="20"/>
          <w:szCs w:val="20"/>
        </w:rPr>
        <w:t xml:space="preserve"> all relevant evidence available to the committee (</w:t>
      </w:r>
      <w:r w:rsidRPr="007821F2">
        <w:rPr>
          <w:rFonts w:cs="Arial"/>
          <w:b/>
          <w:bCs/>
          <w:i/>
          <w:iCs/>
          <w:sz w:val="20"/>
          <w:szCs w:val="20"/>
        </w:rPr>
        <w:t>e.g.,</w:t>
      </w:r>
      <w:r w:rsidRPr="007821F2">
        <w:rPr>
          <w:rFonts w:cs="Arial"/>
          <w:b/>
          <w:bCs/>
          <w:sz w:val="20"/>
          <w:szCs w:val="20"/>
        </w:rPr>
        <w:t xml:space="preserve"> the NMA OS results).</w:t>
      </w:r>
    </w:p>
    <w:p w:rsidRPr="007821F2" w:rsidR="006D5C49" w:rsidP="000C6072" w:rsidRDefault="006D5C49" w14:paraId="3B6CCA11" w14:textId="288569A9">
      <w:pPr>
        <w:spacing w:before="120" w:after="120"/>
        <w:jc w:val="both"/>
        <w:rPr>
          <w:rFonts w:cs="Arial"/>
          <w:b/>
          <w:bCs/>
          <w:i/>
          <w:iCs/>
          <w:sz w:val="20"/>
          <w:szCs w:val="20"/>
        </w:rPr>
      </w:pPr>
      <w:r w:rsidRPr="007821F2">
        <w:rPr>
          <w:rFonts w:cs="Arial"/>
          <w:b/>
          <w:bCs/>
          <w:i/>
          <w:iCs/>
          <w:sz w:val="20"/>
          <w:szCs w:val="20"/>
        </w:rPr>
        <w:t xml:space="preserve">A Markov model would therefore fail to address the Appraisal Committee’s highlighted issues of potential imbalance in PFS treatment effect modifiers in the NMAs.  </w:t>
      </w:r>
    </w:p>
    <w:p w:rsidRPr="00B95314" w:rsidR="00866828" w:rsidP="00866828" w:rsidRDefault="00866828" w14:paraId="0C77A222" w14:textId="77777777">
      <w:pPr>
        <w:spacing w:before="120" w:after="120"/>
        <w:jc w:val="both"/>
        <w:rPr>
          <w:rFonts w:cs="Arial"/>
          <w:sz w:val="20"/>
          <w:szCs w:val="20"/>
        </w:rPr>
      </w:pPr>
      <w:r w:rsidRPr="00B95314">
        <w:rPr>
          <w:rFonts w:cs="Arial"/>
          <w:sz w:val="20"/>
          <w:szCs w:val="20"/>
        </w:rPr>
        <w:t>Notwithstanding the above issues with the requested Markov model, the fact that the Appraisal Committee requested a PFS-driven Markov model means that PFS is implicitly of particular importance to the Committee.  The Committee had highlighted uncertainties with the NMAs</w:t>
      </w:r>
      <w:r>
        <w:rPr>
          <w:rFonts w:cs="Arial"/>
          <w:sz w:val="20"/>
          <w:szCs w:val="20"/>
        </w:rPr>
        <w:t>-</w:t>
      </w:r>
      <w:r w:rsidRPr="00B95314">
        <w:rPr>
          <w:rFonts w:cs="Arial"/>
          <w:sz w:val="20"/>
          <w:szCs w:val="20"/>
        </w:rPr>
        <w:t xml:space="preserve">related to differences in treatment effect modifiers in the trials included in the NMAs. Yet, given that the Committee preferred model is for a PFS-driven Markov model using PFS from NMAs, the Committee must have been willing to accept these uncertainties.  </w:t>
      </w:r>
    </w:p>
    <w:p w:rsidRPr="00B95314" w:rsidR="00866828" w:rsidP="00866828" w:rsidRDefault="00866828" w14:paraId="6493ADB1" w14:textId="77777777">
      <w:pPr>
        <w:spacing w:before="120" w:after="120"/>
        <w:jc w:val="both"/>
        <w:rPr>
          <w:rFonts w:cs="Arial"/>
          <w:sz w:val="20"/>
          <w:szCs w:val="20"/>
        </w:rPr>
      </w:pPr>
      <w:r w:rsidRPr="00B95314">
        <w:rPr>
          <w:rFonts w:cs="Arial"/>
          <w:sz w:val="20"/>
          <w:szCs w:val="20"/>
        </w:rPr>
        <w:t xml:space="preserve">Finally, Matching-Adjusted Indirect Comparisons (“MAIC”) analyses were provided that adjusted as far as possible for the differences in treatment effect modifiers and demonstrated that the NMA-based PFS treatment effect estimates were plausibly biased in </w:t>
      </w:r>
      <w:proofErr w:type="spellStart"/>
      <w:r w:rsidRPr="00B95314">
        <w:rPr>
          <w:rFonts w:cs="Arial"/>
          <w:sz w:val="20"/>
          <w:szCs w:val="20"/>
        </w:rPr>
        <w:t>favour</w:t>
      </w:r>
      <w:proofErr w:type="spellEnd"/>
      <w:r w:rsidRPr="00B95314">
        <w:rPr>
          <w:rFonts w:cs="Arial"/>
          <w:sz w:val="20"/>
          <w:szCs w:val="20"/>
        </w:rPr>
        <w:t xml:space="preserve"> of pembrolizumab plus chemotherapy. </w:t>
      </w:r>
    </w:p>
    <w:p w:rsidRPr="00B95314" w:rsidR="00866828" w:rsidP="00866828" w:rsidRDefault="00866828" w14:paraId="107B5A1D" w14:textId="77777777">
      <w:pPr>
        <w:spacing w:before="120" w:after="120"/>
        <w:jc w:val="both"/>
        <w:rPr>
          <w:rFonts w:cs="Arial"/>
          <w:sz w:val="20"/>
          <w:szCs w:val="20"/>
        </w:rPr>
      </w:pPr>
      <w:r w:rsidRPr="00B95314">
        <w:rPr>
          <w:rFonts w:cs="Arial"/>
          <w:sz w:val="20"/>
          <w:szCs w:val="20"/>
        </w:rPr>
        <w:t>The Appraisal Committee’s apparent failure to consider these issues means that its insistence on a Markov model is unreasonable based on the evidence before it.</w:t>
      </w:r>
    </w:p>
    <w:p w:rsidRPr="007821F2" w:rsidR="00E17660" w:rsidP="00FE0085" w:rsidRDefault="00866828" w14:paraId="78A49868" w14:textId="28520A85">
      <w:pPr>
        <w:spacing w:before="120" w:after="120"/>
        <w:ind w:left="709" w:hanging="425"/>
        <w:jc w:val="both"/>
        <w:rPr>
          <w:rFonts w:cs="Arial"/>
          <w:b/>
          <w:bCs/>
          <w:i/>
          <w:iCs/>
          <w:sz w:val="20"/>
          <w:szCs w:val="20"/>
        </w:rPr>
      </w:pPr>
      <w:r>
        <w:rPr>
          <w:rFonts w:cs="Arial"/>
          <w:b/>
          <w:bCs/>
          <w:i/>
          <w:iCs/>
          <w:sz w:val="20"/>
          <w:szCs w:val="20"/>
        </w:rPr>
        <w:t>5</w:t>
      </w:r>
      <w:r w:rsidRPr="007821F2" w:rsidR="00E17660">
        <w:rPr>
          <w:rFonts w:cs="Arial"/>
          <w:b/>
          <w:bCs/>
          <w:i/>
          <w:iCs/>
          <w:sz w:val="20"/>
          <w:szCs w:val="20"/>
        </w:rPr>
        <w:t>.</w:t>
      </w:r>
      <w:r w:rsidRPr="007821F2" w:rsidR="00E17660">
        <w:rPr>
          <w:rFonts w:cs="Arial"/>
          <w:b/>
          <w:bCs/>
          <w:i/>
          <w:iCs/>
          <w:sz w:val="20"/>
          <w:szCs w:val="20"/>
        </w:rPr>
        <w:tab/>
      </w:r>
      <w:r w:rsidRPr="007821F2" w:rsidR="00E17660">
        <w:rPr>
          <w:rFonts w:cs="Arial"/>
          <w:b/>
          <w:bCs/>
          <w:i/>
          <w:iCs/>
          <w:sz w:val="20"/>
          <w:szCs w:val="20"/>
        </w:rPr>
        <w:t>The Committee has illogically and unreasonably dismissed legitimate concerns Regeneron raised about the inappropriateness of Markov models in this context</w:t>
      </w:r>
    </w:p>
    <w:p w:rsidRPr="00B95314" w:rsidR="00E17660" w:rsidP="001F46AE" w:rsidRDefault="00E17660" w14:paraId="5593CBFC" w14:textId="77777777">
      <w:pPr>
        <w:spacing w:before="120" w:after="120"/>
        <w:rPr>
          <w:rFonts w:cs="Arial"/>
          <w:sz w:val="20"/>
          <w:szCs w:val="20"/>
        </w:rPr>
      </w:pPr>
      <w:r w:rsidRPr="00B95314">
        <w:rPr>
          <w:rFonts w:cs="Arial"/>
          <w:sz w:val="20"/>
          <w:szCs w:val="20"/>
        </w:rPr>
        <w:t>In Section 3.8 of the FDG, the Appraisal Committee notes as follows:</w:t>
      </w:r>
    </w:p>
    <w:p w:rsidRPr="00B95314" w:rsidR="00E17660" w:rsidP="007821F2" w:rsidRDefault="00E17660" w14:paraId="426E36DF" w14:textId="77777777">
      <w:pPr>
        <w:spacing w:before="120" w:after="120"/>
        <w:ind w:left="720"/>
        <w:jc w:val="both"/>
        <w:rPr>
          <w:rFonts w:cs="Arial"/>
          <w:sz w:val="20"/>
          <w:szCs w:val="20"/>
        </w:rPr>
      </w:pPr>
      <w:r w:rsidRPr="00B95314">
        <w:rPr>
          <w:rFonts w:cs="Arial"/>
          <w:sz w:val="20"/>
          <w:szCs w:val="20"/>
        </w:rPr>
        <w:t>“</w:t>
      </w:r>
      <w:r w:rsidRPr="007821F2">
        <w:rPr>
          <w:rFonts w:cs="Arial"/>
          <w:i/>
          <w:iCs/>
          <w:sz w:val="20"/>
          <w:szCs w:val="20"/>
        </w:rPr>
        <w:t>The company did not provide the model requested by committee in response to consultation and instead provided MAICs […] that had not been requested […]. At the second committee meeting, the company verbally stated that according to a publication that compared Markov models to partitioned survival models, Markov models are not appropriate unless individual patient data is available for both treatment arms.  But it did not state this or provide a reference to the publication in its response to the draft guidance</w:t>
      </w:r>
      <w:r w:rsidRPr="00B95314">
        <w:rPr>
          <w:rFonts w:cs="Arial"/>
          <w:sz w:val="20"/>
          <w:szCs w:val="20"/>
        </w:rPr>
        <w:t>.”</w:t>
      </w:r>
    </w:p>
    <w:p w:rsidRPr="00B95314" w:rsidR="00E17660" w:rsidP="00FE0085" w:rsidRDefault="00E17660" w14:paraId="279A8C77" w14:textId="113F5983">
      <w:pPr>
        <w:spacing w:before="120" w:after="120"/>
        <w:jc w:val="both"/>
        <w:rPr>
          <w:rFonts w:cs="Arial"/>
          <w:sz w:val="20"/>
          <w:szCs w:val="20"/>
        </w:rPr>
      </w:pPr>
      <w:r w:rsidRPr="00B95314">
        <w:rPr>
          <w:rFonts w:cs="Arial"/>
          <w:sz w:val="20"/>
          <w:szCs w:val="20"/>
        </w:rPr>
        <w:t xml:space="preserve">The lack of reference to a specific publication is not a sufficient justification to dismiss without further enquiry concerns expressed by the company about the appropriateness of the Committee’s preferred modelling, particularly given that the NICEs Decision Support Unit (“DSU”) has expressed the same concerns (see following point). Equally, it makes little sense to conclude that Markov modelling is universally appropriate, without </w:t>
      </w:r>
      <w:proofErr w:type="gramStart"/>
      <w:r w:rsidRPr="00B95314">
        <w:rPr>
          <w:rFonts w:cs="Arial"/>
          <w:sz w:val="20"/>
          <w:szCs w:val="20"/>
        </w:rPr>
        <w:t>taking into account</w:t>
      </w:r>
      <w:proofErr w:type="gramEnd"/>
      <w:r w:rsidRPr="00B95314">
        <w:rPr>
          <w:rFonts w:cs="Arial"/>
          <w:sz w:val="20"/>
          <w:szCs w:val="20"/>
        </w:rPr>
        <w:t xml:space="preserve"> context.</w:t>
      </w:r>
    </w:p>
    <w:p w:rsidRPr="00B95314" w:rsidR="00E17660" w:rsidP="00FE0085" w:rsidRDefault="00E17660" w14:paraId="2878A7FF" w14:textId="4659B801">
      <w:pPr>
        <w:spacing w:before="120" w:after="120"/>
        <w:jc w:val="both"/>
        <w:rPr>
          <w:rFonts w:cs="Arial"/>
          <w:sz w:val="20"/>
          <w:szCs w:val="20"/>
        </w:rPr>
      </w:pPr>
      <w:r w:rsidRPr="00B95314">
        <w:rPr>
          <w:rFonts w:cs="Arial"/>
          <w:sz w:val="20"/>
          <w:szCs w:val="20"/>
        </w:rPr>
        <w:t xml:space="preserve">Regeneron is concerned that the Committee has adopted a dogmatic stance, and this has led to an unreasonable and irrational insistence on a particular approach. </w:t>
      </w:r>
    </w:p>
    <w:p w:rsidRPr="007821F2" w:rsidR="00E17660" w:rsidP="009F3CFF" w:rsidRDefault="00E17660" w14:paraId="0143B338" w14:textId="77777777">
      <w:pPr>
        <w:spacing w:before="120" w:after="120"/>
        <w:rPr>
          <w:rFonts w:cs="Arial"/>
          <w:b/>
          <w:bCs/>
          <w:i/>
          <w:iCs/>
          <w:sz w:val="20"/>
          <w:szCs w:val="20"/>
        </w:rPr>
      </w:pPr>
      <w:r w:rsidRPr="007821F2">
        <w:rPr>
          <w:rFonts w:cs="Arial"/>
          <w:b/>
          <w:bCs/>
          <w:i/>
          <w:iCs/>
          <w:sz w:val="20"/>
          <w:szCs w:val="20"/>
        </w:rPr>
        <w:t>6.</w:t>
      </w:r>
      <w:r w:rsidRPr="007821F2">
        <w:rPr>
          <w:rFonts w:cs="Arial"/>
          <w:b/>
          <w:bCs/>
          <w:i/>
          <w:iCs/>
          <w:sz w:val="20"/>
          <w:szCs w:val="20"/>
        </w:rPr>
        <w:tab/>
      </w:r>
      <w:r w:rsidRPr="007821F2">
        <w:rPr>
          <w:rFonts w:cs="Arial"/>
          <w:b/>
          <w:bCs/>
          <w:i/>
          <w:iCs/>
          <w:sz w:val="20"/>
          <w:szCs w:val="20"/>
        </w:rPr>
        <w:t>The Committee placed undue emphasis on its request for a Markov model</w:t>
      </w:r>
    </w:p>
    <w:p w:rsidRPr="00B95314" w:rsidR="00E17660" w:rsidP="00FE0085" w:rsidRDefault="00E17660" w14:paraId="19F5AB4F" w14:textId="2C303DFC">
      <w:pPr>
        <w:spacing w:before="120" w:after="120"/>
        <w:jc w:val="both"/>
        <w:rPr>
          <w:rFonts w:cs="Arial"/>
          <w:sz w:val="20"/>
          <w:szCs w:val="20"/>
        </w:rPr>
      </w:pPr>
      <w:r w:rsidRPr="00B95314">
        <w:rPr>
          <w:rFonts w:cs="Arial"/>
          <w:sz w:val="20"/>
          <w:szCs w:val="20"/>
        </w:rPr>
        <w:t>Regeneron submits that the Committee placed undue emphasis on its request for a Markov model without sufficient consideration of the feasibility, appropriateness and implications for the overall results. As a result of Regeneron’s inability to provide such a model, the Committee reached the conclusion that the ICER and uncertainty will necessarily increase. That conclusory statement is</w:t>
      </w:r>
      <w:r w:rsidR="0086614D">
        <w:rPr>
          <w:rFonts w:cs="Arial"/>
          <w:sz w:val="20"/>
          <w:szCs w:val="20"/>
        </w:rPr>
        <w:t xml:space="preserve"> not</w:t>
      </w:r>
      <w:r w:rsidRPr="00B95314">
        <w:rPr>
          <w:rFonts w:cs="Arial"/>
          <w:sz w:val="20"/>
          <w:szCs w:val="20"/>
        </w:rPr>
        <w:t xml:space="preserve"> supported by reasoning or justification</w:t>
      </w:r>
      <w:r w:rsidR="00D563F2">
        <w:rPr>
          <w:rFonts w:cs="Arial"/>
          <w:sz w:val="20"/>
          <w:szCs w:val="20"/>
        </w:rPr>
        <w:t xml:space="preserve"> and is wholly unreasonable </w:t>
      </w:r>
      <w:proofErr w:type="gramStart"/>
      <w:r w:rsidR="00D563F2">
        <w:rPr>
          <w:rFonts w:cs="Arial"/>
          <w:sz w:val="20"/>
          <w:szCs w:val="20"/>
        </w:rPr>
        <w:t>in light of</w:t>
      </w:r>
      <w:proofErr w:type="gramEnd"/>
      <w:r w:rsidR="00D563F2">
        <w:rPr>
          <w:rFonts w:cs="Arial"/>
          <w:sz w:val="20"/>
          <w:szCs w:val="20"/>
        </w:rPr>
        <w:t xml:space="preserve"> the evidence available</w:t>
      </w:r>
      <w:r w:rsidRPr="00B95314">
        <w:rPr>
          <w:rFonts w:cs="Arial"/>
          <w:sz w:val="20"/>
          <w:szCs w:val="20"/>
        </w:rPr>
        <w:t>.</w:t>
      </w:r>
    </w:p>
    <w:p w:rsidRPr="00B95314" w:rsidR="001F46AE" w:rsidP="009F3CFF" w:rsidRDefault="001F46AE" w14:paraId="5ADC42D6" w14:textId="77777777">
      <w:pPr>
        <w:spacing w:before="120" w:after="120"/>
        <w:rPr>
          <w:rFonts w:cs="Arial"/>
          <w:b/>
          <w:bCs/>
          <w:sz w:val="20"/>
          <w:szCs w:val="20"/>
        </w:rPr>
      </w:pPr>
    </w:p>
    <w:p w:rsidRPr="007821F2" w:rsidR="00E17660" w:rsidP="007821F2" w:rsidRDefault="00E17660" w14:paraId="70076926" w14:textId="1DBF9C4F">
      <w:pPr>
        <w:pStyle w:val="Heading2"/>
        <w:rPr>
          <w:rFonts w:cs="Arial"/>
          <w:b/>
          <w:bCs/>
          <w:i/>
          <w:iCs/>
          <w:sz w:val="20"/>
          <w:szCs w:val="20"/>
        </w:rPr>
      </w:pPr>
      <w:r w:rsidRPr="007821F2">
        <w:rPr>
          <w:rFonts w:ascii="Arial" w:hAnsi="Arial" w:cs="Arial"/>
          <w:b/>
          <w:bCs/>
          <w:i/>
          <w:iCs/>
          <w:sz w:val="20"/>
          <w:szCs w:val="20"/>
        </w:rPr>
        <w:t xml:space="preserve">Appeal Ground 2.2 – The Committee’s requested approach for modelling time on treatment/time to treatment discontinuation is internally inconsistent, biased and unreasonable </w:t>
      </w:r>
      <w:proofErr w:type="gramStart"/>
      <w:r w:rsidRPr="007821F2">
        <w:rPr>
          <w:rFonts w:ascii="Arial" w:hAnsi="Arial" w:cs="Arial"/>
          <w:b/>
          <w:bCs/>
          <w:i/>
          <w:iCs/>
          <w:sz w:val="20"/>
          <w:szCs w:val="20"/>
        </w:rPr>
        <w:t>in light of</w:t>
      </w:r>
      <w:proofErr w:type="gramEnd"/>
      <w:r w:rsidRPr="007821F2">
        <w:rPr>
          <w:rFonts w:ascii="Arial" w:hAnsi="Arial" w:cs="Arial"/>
          <w:b/>
          <w:bCs/>
          <w:i/>
          <w:iCs/>
          <w:sz w:val="20"/>
          <w:szCs w:val="20"/>
        </w:rPr>
        <w:t xml:space="preserve"> the evidence before it. </w:t>
      </w:r>
    </w:p>
    <w:p w:rsidRPr="00B95314" w:rsidR="00E17660" w:rsidP="00FE0085" w:rsidRDefault="00E17660" w14:paraId="6759BDA5" w14:textId="77777777">
      <w:pPr>
        <w:keepNext/>
        <w:keepLines/>
        <w:spacing w:before="240" w:after="120"/>
        <w:jc w:val="both"/>
        <w:rPr>
          <w:rFonts w:cs="Arial"/>
          <w:sz w:val="20"/>
          <w:szCs w:val="20"/>
        </w:rPr>
      </w:pPr>
      <w:r w:rsidRPr="00B95314">
        <w:rPr>
          <w:rFonts w:cs="Arial"/>
          <w:sz w:val="20"/>
          <w:szCs w:val="20"/>
        </w:rPr>
        <w:t>At Section 3.14 of the FDG, the Committee concludes that it was unable to define a preferred approach to modelling in part because it had not “</w:t>
      </w:r>
      <w:r w:rsidRPr="007821F2">
        <w:rPr>
          <w:rFonts w:cs="Arial"/>
          <w:i/>
          <w:iCs/>
          <w:sz w:val="20"/>
          <w:szCs w:val="20"/>
        </w:rPr>
        <w:t xml:space="preserve">seen the requested analysis using Kaplan–Meier data from EMPOWER-Lung 3 to calculate time on treatment for </w:t>
      </w:r>
      <w:proofErr w:type="spellStart"/>
      <w:r w:rsidRPr="007821F2">
        <w:rPr>
          <w:rFonts w:cs="Arial"/>
          <w:i/>
          <w:iCs/>
          <w:sz w:val="20"/>
          <w:szCs w:val="20"/>
        </w:rPr>
        <w:t>cemiplimab</w:t>
      </w:r>
      <w:proofErr w:type="spellEnd"/>
      <w:r w:rsidRPr="007821F2">
        <w:rPr>
          <w:rFonts w:cs="Arial"/>
          <w:i/>
          <w:iCs/>
          <w:sz w:val="20"/>
          <w:szCs w:val="20"/>
        </w:rPr>
        <w:t>.”</w:t>
      </w:r>
    </w:p>
    <w:p w:rsidRPr="00B95314" w:rsidR="00E17660" w:rsidP="009F3CFF" w:rsidRDefault="00E17660" w14:paraId="75370F9A" w14:textId="77777777">
      <w:pPr>
        <w:spacing w:before="120" w:after="120"/>
        <w:rPr>
          <w:rFonts w:cs="Arial"/>
          <w:sz w:val="20"/>
          <w:szCs w:val="20"/>
        </w:rPr>
      </w:pPr>
      <w:r w:rsidRPr="00B95314">
        <w:rPr>
          <w:rFonts w:cs="Arial"/>
          <w:sz w:val="20"/>
          <w:szCs w:val="20"/>
        </w:rPr>
        <w:t>At Section 3.9 of the FDG, the Committee explains its basis for arriving at this conclusion:</w:t>
      </w:r>
    </w:p>
    <w:p w:rsidRPr="00B95314" w:rsidR="00E17660" w:rsidP="007821F2" w:rsidRDefault="00E17660" w14:paraId="2E09B5DE" w14:textId="3B0ED366">
      <w:pPr>
        <w:spacing w:before="120" w:after="120"/>
        <w:ind w:left="720"/>
        <w:jc w:val="both"/>
        <w:rPr>
          <w:rFonts w:cs="Arial"/>
          <w:sz w:val="20"/>
          <w:szCs w:val="20"/>
        </w:rPr>
      </w:pPr>
      <w:r w:rsidRPr="00B95314">
        <w:rPr>
          <w:rFonts w:cs="Arial"/>
          <w:sz w:val="20"/>
          <w:szCs w:val="20"/>
        </w:rPr>
        <w:t>“</w:t>
      </w:r>
      <w:r w:rsidRPr="007821F2">
        <w:rPr>
          <w:rFonts w:cs="Arial"/>
          <w:i/>
          <w:iCs/>
          <w:sz w:val="20"/>
          <w:szCs w:val="20"/>
        </w:rPr>
        <w:t xml:space="preserve">In response to consultation, the company explained that, given its use of adjusted survival data for </w:t>
      </w:r>
      <w:proofErr w:type="spellStart"/>
      <w:r w:rsidRPr="007821F2">
        <w:rPr>
          <w:rFonts w:cs="Arial"/>
          <w:i/>
          <w:iCs/>
          <w:sz w:val="20"/>
          <w:szCs w:val="20"/>
        </w:rPr>
        <w:t>cemiplimab</w:t>
      </w:r>
      <w:proofErr w:type="spellEnd"/>
      <w:r w:rsidRPr="007821F2">
        <w:rPr>
          <w:rFonts w:cs="Arial"/>
          <w:i/>
          <w:iCs/>
          <w:sz w:val="20"/>
          <w:szCs w:val="20"/>
        </w:rPr>
        <w:t xml:space="preserve"> which was not aligned with the observed time on treatment, it did not model time on treatment using the EMPOWER-Lung 3 Kaplan–Meier data as requested. </w:t>
      </w:r>
      <w:r w:rsidRPr="007821F2">
        <w:rPr>
          <w:rFonts w:cs="Arial"/>
          <w:b/>
          <w:bCs/>
          <w:i/>
          <w:iCs/>
          <w:sz w:val="20"/>
          <w:szCs w:val="20"/>
        </w:rPr>
        <w:t xml:space="preserve">At the second committee meeting, it added that it was not appropriate to use the Kaplan–Meier data for </w:t>
      </w:r>
      <w:proofErr w:type="spellStart"/>
      <w:r w:rsidRPr="007821F2">
        <w:rPr>
          <w:rFonts w:cs="Arial"/>
          <w:b/>
          <w:bCs/>
          <w:i/>
          <w:iCs/>
          <w:sz w:val="20"/>
          <w:szCs w:val="20"/>
        </w:rPr>
        <w:t>cemiplimab</w:t>
      </w:r>
      <w:proofErr w:type="spellEnd"/>
      <w:r w:rsidRPr="007821F2">
        <w:rPr>
          <w:rFonts w:cs="Arial"/>
          <w:b/>
          <w:bCs/>
          <w:i/>
          <w:iCs/>
          <w:sz w:val="20"/>
          <w:szCs w:val="20"/>
        </w:rPr>
        <w:t xml:space="preserve">. This was because </w:t>
      </w:r>
      <w:r w:rsidRPr="007821F2">
        <w:rPr>
          <w:rFonts w:cs="Arial"/>
          <w:b/>
          <w:bCs/>
          <w:i/>
          <w:iCs/>
          <w:sz w:val="20"/>
          <w:szCs w:val="20"/>
        </w:rPr>
        <w:t xml:space="preserve">Kaplan–Meier data and the shape of a respective Kaplan–Meier curve </w:t>
      </w:r>
      <w:proofErr w:type="gramStart"/>
      <w:r w:rsidRPr="007821F2">
        <w:rPr>
          <w:rFonts w:cs="Arial"/>
          <w:b/>
          <w:bCs/>
          <w:i/>
          <w:iCs/>
          <w:sz w:val="20"/>
          <w:szCs w:val="20"/>
        </w:rPr>
        <w:t>were</w:t>
      </w:r>
      <w:proofErr w:type="gramEnd"/>
      <w:r w:rsidRPr="007821F2">
        <w:rPr>
          <w:rFonts w:cs="Arial"/>
          <w:b/>
          <w:bCs/>
          <w:i/>
          <w:iCs/>
          <w:sz w:val="20"/>
          <w:szCs w:val="20"/>
        </w:rPr>
        <w:t xml:space="preserve"> not available to similarly model pembrolizumab time on treatment, so this would likely introduce bias</w:t>
      </w:r>
      <w:r w:rsidRPr="007821F2">
        <w:rPr>
          <w:rFonts w:cs="Arial"/>
          <w:i/>
          <w:iCs/>
          <w:sz w:val="20"/>
          <w:szCs w:val="20"/>
        </w:rPr>
        <w:t xml:space="preserve">. </w:t>
      </w:r>
      <w:proofErr w:type="gramStart"/>
      <w:r w:rsidRPr="007821F2">
        <w:rPr>
          <w:rFonts w:cs="Arial"/>
          <w:i/>
          <w:iCs/>
          <w:sz w:val="20"/>
          <w:szCs w:val="20"/>
        </w:rPr>
        <w:t>So</w:t>
      </w:r>
      <w:proofErr w:type="gramEnd"/>
      <w:r w:rsidRPr="007821F2">
        <w:rPr>
          <w:rFonts w:cs="Arial"/>
          <w:i/>
          <w:iCs/>
          <w:sz w:val="20"/>
          <w:szCs w:val="20"/>
        </w:rPr>
        <w:t xml:space="preserve"> the company retained its approach of assuming that time on treatment was equal to progression-free survival for both treatment arms in its base case. The </w:t>
      </w:r>
      <w:r w:rsidRPr="007821F2" w:rsidR="00714C53">
        <w:rPr>
          <w:rFonts w:cs="Arial"/>
          <w:i/>
          <w:iCs/>
          <w:sz w:val="20"/>
          <w:szCs w:val="20"/>
        </w:rPr>
        <w:t>C</w:t>
      </w:r>
      <w:r w:rsidRPr="007821F2">
        <w:rPr>
          <w:rFonts w:cs="Arial"/>
          <w:i/>
          <w:iCs/>
          <w:sz w:val="20"/>
          <w:szCs w:val="20"/>
        </w:rPr>
        <w:t xml:space="preserve">ommittee recalled its conclusions from the first committee meeting. It concluded that it had not been presented with analyses that reflected its preferred approach for modelling time on treatment, which was the ratio method for pembrolizumab and using Kaplan–Meier data from EMPOWER-Lung 3 for </w:t>
      </w:r>
      <w:proofErr w:type="spellStart"/>
      <w:r w:rsidRPr="007821F2">
        <w:rPr>
          <w:rFonts w:cs="Arial"/>
          <w:i/>
          <w:iCs/>
          <w:sz w:val="20"/>
          <w:szCs w:val="20"/>
        </w:rPr>
        <w:t>cemiplimab</w:t>
      </w:r>
      <w:proofErr w:type="spellEnd"/>
      <w:r w:rsidRPr="00B95314">
        <w:rPr>
          <w:rFonts w:cs="Arial"/>
          <w:sz w:val="20"/>
          <w:szCs w:val="20"/>
        </w:rPr>
        <w:t>” (emphasis added).</w:t>
      </w:r>
    </w:p>
    <w:p w:rsidRPr="00B95314" w:rsidR="00E17660" w:rsidP="00FE0085" w:rsidRDefault="00E17660" w14:paraId="2D94BB98" w14:textId="46435E54">
      <w:pPr>
        <w:spacing w:before="120" w:after="120"/>
        <w:jc w:val="both"/>
        <w:rPr>
          <w:rFonts w:cs="Arial"/>
          <w:sz w:val="20"/>
          <w:szCs w:val="20"/>
        </w:rPr>
      </w:pPr>
      <w:r w:rsidRPr="00B95314">
        <w:rPr>
          <w:rFonts w:cs="Arial"/>
          <w:sz w:val="20"/>
          <w:szCs w:val="20"/>
        </w:rPr>
        <w:t xml:space="preserve">We submit that there were good reasons for not adopting the Committee’s preferred approach time on treatment. Regeneron has made submissions to this effect, but the Committee has again not taken these into </w:t>
      </w:r>
      <w:proofErr w:type="gramStart"/>
      <w:r w:rsidRPr="00B95314">
        <w:rPr>
          <w:rFonts w:cs="Arial"/>
          <w:sz w:val="20"/>
          <w:szCs w:val="20"/>
        </w:rPr>
        <w:t>account, or</w:t>
      </w:r>
      <w:proofErr w:type="gramEnd"/>
      <w:r w:rsidRPr="00B95314">
        <w:rPr>
          <w:rFonts w:cs="Arial"/>
          <w:sz w:val="20"/>
          <w:szCs w:val="20"/>
        </w:rPr>
        <w:t xml:space="preserve"> provided objectively justifiable reasons for not doing so. </w:t>
      </w:r>
      <w:r w:rsidR="00714C53">
        <w:rPr>
          <w:rFonts w:cs="Arial"/>
          <w:sz w:val="20"/>
          <w:szCs w:val="20"/>
        </w:rPr>
        <w:t xml:space="preserve">It </w:t>
      </w:r>
      <w:r w:rsidRPr="00B95314">
        <w:rPr>
          <w:rFonts w:cs="Arial"/>
          <w:sz w:val="20"/>
          <w:szCs w:val="20"/>
        </w:rPr>
        <w:t>has rigidly insisted upon a particular approach without adequate reasoning or justification. Indeed, the FDG lacks any discussion of key issues that arise from the approach the Committee requested.  Seemingly, these issues simply have not been considered.</w:t>
      </w:r>
    </w:p>
    <w:p w:rsidRPr="00B95314" w:rsidR="00E17660" w:rsidP="00FE0085" w:rsidRDefault="00E17660" w14:paraId="5B245EFE" w14:textId="77777777">
      <w:pPr>
        <w:spacing w:before="120" w:after="120"/>
        <w:jc w:val="both"/>
        <w:rPr>
          <w:rFonts w:cs="Arial"/>
          <w:sz w:val="20"/>
          <w:szCs w:val="20"/>
        </w:rPr>
      </w:pPr>
      <w:r w:rsidRPr="00B95314">
        <w:rPr>
          <w:rFonts w:cs="Arial"/>
          <w:sz w:val="20"/>
          <w:szCs w:val="20"/>
        </w:rPr>
        <w:t>Before addressing these issues, it may be helpful to note certain background information:</w:t>
      </w:r>
    </w:p>
    <w:p w:rsidRPr="00B95314" w:rsidR="00E17660" w:rsidP="00FE0085" w:rsidRDefault="00E17660" w14:paraId="1ADD650F" w14:textId="34A072C4">
      <w:pPr>
        <w:spacing w:before="120" w:after="120"/>
        <w:ind w:left="709" w:hanging="425"/>
        <w:jc w:val="both"/>
        <w:rPr>
          <w:rFonts w:cs="Arial"/>
          <w:sz w:val="20"/>
          <w:szCs w:val="20"/>
        </w:rPr>
      </w:pPr>
      <w:r w:rsidRPr="00B95314">
        <w:rPr>
          <w:rFonts w:cs="Arial"/>
          <w:sz w:val="20"/>
          <w:szCs w:val="20"/>
        </w:rPr>
        <w:t>a)</w:t>
      </w:r>
      <w:r w:rsidRPr="00B95314">
        <w:rPr>
          <w:rFonts w:cs="Arial"/>
          <w:sz w:val="20"/>
          <w:szCs w:val="20"/>
        </w:rPr>
        <w:tab/>
      </w:r>
      <w:r w:rsidRPr="00B95314">
        <w:rPr>
          <w:rFonts w:cs="Arial"/>
          <w:sz w:val="20"/>
          <w:szCs w:val="20"/>
        </w:rPr>
        <w:t xml:space="preserve">In Regeneron’s original PSM, it assumed that time on treatment is the same as PFS, in line with the marketing </w:t>
      </w:r>
      <w:proofErr w:type="spellStart"/>
      <w:r w:rsidRPr="00B95314">
        <w:rPr>
          <w:rFonts w:cs="Arial"/>
          <w:sz w:val="20"/>
          <w:szCs w:val="20"/>
        </w:rPr>
        <w:t>authorisation</w:t>
      </w:r>
      <w:proofErr w:type="spellEnd"/>
      <w:r w:rsidRPr="00B95314">
        <w:rPr>
          <w:rFonts w:cs="Arial"/>
          <w:sz w:val="20"/>
          <w:szCs w:val="20"/>
        </w:rPr>
        <w:t xml:space="preserve"> for </w:t>
      </w:r>
      <w:proofErr w:type="spellStart"/>
      <w:r w:rsidRPr="00B95314">
        <w:rPr>
          <w:rFonts w:cs="Arial"/>
          <w:sz w:val="20"/>
          <w:szCs w:val="20"/>
        </w:rPr>
        <w:t>cemiplimab</w:t>
      </w:r>
      <w:proofErr w:type="spellEnd"/>
      <w:r w:rsidRPr="00B95314">
        <w:rPr>
          <w:rFonts w:cs="Arial"/>
          <w:sz w:val="20"/>
          <w:szCs w:val="20"/>
        </w:rPr>
        <w:t xml:space="preserve"> plus chemotherapy and clinical expert opinion that treatment would not be expected to continue after disease progression in clinical practice.</w:t>
      </w:r>
      <w:r w:rsidR="00D563F2">
        <w:rPr>
          <w:rFonts w:cs="Arial"/>
          <w:sz w:val="20"/>
          <w:szCs w:val="20"/>
        </w:rPr>
        <w:t xml:space="preserve"> </w:t>
      </w:r>
      <w:r w:rsidRPr="00B95314">
        <w:rPr>
          <w:rFonts w:cs="Arial"/>
          <w:sz w:val="20"/>
          <w:szCs w:val="20"/>
        </w:rPr>
        <w:t xml:space="preserve">The same assumption was adopted for pembrolizumab plus chemotherapy.  </w:t>
      </w:r>
    </w:p>
    <w:p w:rsidRPr="00B95314" w:rsidR="00E17660" w:rsidP="00FE0085" w:rsidRDefault="00E17660" w14:paraId="0D00F782" w14:textId="48602497">
      <w:pPr>
        <w:spacing w:before="120" w:after="120"/>
        <w:ind w:left="709" w:hanging="425"/>
        <w:jc w:val="both"/>
        <w:rPr>
          <w:rFonts w:cs="Arial"/>
          <w:sz w:val="20"/>
          <w:szCs w:val="20"/>
        </w:rPr>
      </w:pPr>
      <w:r w:rsidRPr="00B95314">
        <w:rPr>
          <w:rFonts w:cs="Arial"/>
          <w:sz w:val="20"/>
          <w:szCs w:val="20"/>
        </w:rPr>
        <w:t>b)</w:t>
      </w:r>
      <w:r w:rsidRPr="00B95314">
        <w:rPr>
          <w:rFonts w:cs="Arial"/>
          <w:sz w:val="20"/>
          <w:szCs w:val="20"/>
        </w:rPr>
        <w:tab/>
      </w:r>
      <w:r w:rsidRPr="00B95314">
        <w:rPr>
          <w:rFonts w:cs="Arial"/>
          <w:sz w:val="20"/>
          <w:szCs w:val="20"/>
        </w:rPr>
        <w:t xml:space="preserve">A scenario analysis was also provided using the trial-observed ratios of median PFS to median time on treatment for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w:t>
      </w:r>
      <w:r w:rsidRPr="005A3196" w:rsidR="005A3196">
        <w:rPr>
          <w:rFonts w:cs="Arial"/>
          <w:sz w:val="20"/>
          <w:szCs w:val="20"/>
        </w:rPr>
        <w:t xml:space="preserve">A chart depicting the time-on-treatment and PFS Kaplan-Meier plots from the EMPOWER-Lung 3 trial was provided in the company submission, and it was visually evident from </w:t>
      </w:r>
      <w:r w:rsidR="005A3196">
        <w:rPr>
          <w:rFonts w:cs="Arial"/>
          <w:sz w:val="20"/>
          <w:szCs w:val="20"/>
        </w:rPr>
        <w:t xml:space="preserve">this </w:t>
      </w:r>
      <w:r w:rsidRPr="005A3196" w:rsidR="005A3196">
        <w:rPr>
          <w:rFonts w:cs="Arial"/>
          <w:sz w:val="20"/>
          <w:szCs w:val="20"/>
        </w:rPr>
        <w:t xml:space="preserve">that the company’s approach for estimating time on treatment for </w:t>
      </w:r>
      <w:proofErr w:type="spellStart"/>
      <w:r w:rsidRPr="005A3196" w:rsidR="005A3196">
        <w:rPr>
          <w:rFonts w:cs="Arial"/>
          <w:sz w:val="20"/>
          <w:szCs w:val="20"/>
        </w:rPr>
        <w:t>cemiplimab</w:t>
      </w:r>
      <w:proofErr w:type="spellEnd"/>
      <w:r w:rsidRPr="005A3196" w:rsidR="005A3196">
        <w:rPr>
          <w:rFonts w:cs="Arial"/>
          <w:sz w:val="20"/>
          <w:szCs w:val="20"/>
        </w:rPr>
        <w:t xml:space="preserve"> plus chemotherapy was a suitable replacement for the Kaplan-Meier curve.</w:t>
      </w:r>
    </w:p>
    <w:p w:rsidRPr="00B95314" w:rsidR="00E17660" w:rsidP="00FE0085" w:rsidRDefault="00E17660" w14:paraId="713C9666" w14:textId="77777777">
      <w:pPr>
        <w:spacing w:before="120" w:after="120"/>
        <w:ind w:left="709" w:hanging="425"/>
        <w:jc w:val="both"/>
        <w:rPr>
          <w:rFonts w:cs="Arial"/>
          <w:sz w:val="20"/>
          <w:szCs w:val="20"/>
        </w:rPr>
      </w:pPr>
      <w:r w:rsidRPr="00B95314">
        <w:rPr>
          <w:rFonts w:cs="Arial"/>
          <w:sz w:val="20"/>
          <w:szCs w:val="20"/>
        </w:rPr>
        <w:t>c)</w:t>
      </w:r>
      <w:r>
        <w:tab/>
      </w:r>
      <w:r w:rsidRPr="00B95314">
        <w:rPr>
          <w:rFonts w:cs="Arial"/>
          <w:sz w:val="20"/>
          <w:szCs w:val="20"/>
        </w:rPr>
        <w:t xml:space="preserve">The EAG and Appraisal Committee concluded that this demonstrated that assuming time on treatment is equal to PFS biases the model in </w:t>
      </w:r>
      <w:proofErr w:type="spellStart"/>
      <w:r w:rsidRPr="00B95314">
        <w:rPr>
          <w:rFonts w:cs="Arial"/>
          <w:sz w:val="20"/>
          <w:szCs w:val="20"/>
        </w:rPr>
        <w:t>favour</w:t>
      </w:r>
      <w:proofErr w:type="spellEnd"/>
      <w:r w:rsidRPr="00B95314">
        <w:rPr>
          <w:rFonts w:cs="Arial"/>
          <w:sz w:val="20"/>
          <w:szCs w:val="20"/>
        </w:rPr>
        <w:t xml:space="preserve"> of </w:t>
      </w:r>
      <w:proofErr w:type="spellStart"/>
      <w:r w:rsidRPr="00B95314">
        <w:rPr>
          <w:rFonts w:cs="Arial"/>
          <w:sz w:val="20"/>
          <w:szCs w:val="20"/>
        </w:rPr>
        <w:t>cemiplimab</w:t>
      </w:r>
      <w:proofErr w:type="spellEnd"/>
      <w:r w:rsidRPr="00B95314">
        <w:rPr>
          <w:rFonts w:cs="Arial"/>
          <w:sz w:val="20"/>
          <w:szCs w:val="20"/>
        </w:rPr>
        <w:t>.</w:t>
      </w:r>
    </w:p>
    <w:p w:rsidRPr="00B95314" w:rsidR="00E17660" w:rsidP="00FE0085" w:rsidRDefault="00E17660" w14:paraId="3038F221" w14:textId="454E1B31">
      <w:pPr>
        <w:spacing w:before="120" w:after="120"/>
        <w:ind w:left="709" w:hanging="425"/>
        <w:jc w:val="both"/>
        <w:rPr>
          <w:rFonts w:cs="Arial"/>
          <w:sz w:val="20"/>
          <w:szCs w:val="20"/>
        </w:rPr>
      </w:pPr>
      <w:r w:rsidRPr="00B95314">
        <w:rPr>
          <w:rFonts w:cs="Arial"/>
          <w:sz w:val="20"/>
          <w:szCs w:val="20"/>
        </w:rPr>
        <w:t>d)</w:t>
      </w:r>
      <w:r>
        <w:tab/>
      </w:r>
      <w:r w:rsidRPr="00B95314">
        <w:rPr>
          <w:rFonts w:cs="Arial"/>
          <w:sz w:val="20"/>
          <w:szCs w:val="20"/>
        </w:rPr>
        <w:t xml:space="preserve">Following </w:t>
      </w:r>
      <w:r w:rsidR="00714C53">
        <w:rPr>
          <w:rFonts w:cs="Arial"/>
          <w:sz w:val="20"/>
          <w:szCs w:val="20"/>
        </w:rPr>
        <w:t>ACM</w:t>
      </w:r>
      <w:r w:rsidRPr="00B95314">
        <w:rPr>
          <w:rFonts w:cs="Arial"/>
          <w:sz w:val="20"/>
          <w:szCs w:val="20"/>
        </w:rPr>
        <w:t xml:space="preserve"> 1, the Committee requested the use of Kaplan-Meier data for </w:t>
      </w:r>
      <w:proofErr w:type="spellStart"/>
      <w:r w:rsidRPr="00B95314">
        <w:rPr>
          <w:rFonts w:cs="Arial"/>
          <w:sz w:val="20"/>
          <w:szCs w:val="20"/>
        </w:rPr>
        <w:t>cemiplimab</w:t>
      </w:r>
      <w:proofErr w:type="spellEnd"/>
      <w:r w:rsidRPr="00B95314">
        <w:rPr>
          <w:rFonts w:cs="Arial"/>
          <w:sz w:val="20"/>
          <w:szCs w:val="20"/>
        </w:rPr>
        <w:t xml:space="preserve"> plus chemotherapy from the EMPOWER Lung 3 trial, and, in acknowledgement of the lack of Kaplan-Meier data for pembrolizumab, requested use of the ratio of median PFS to median time on treatment reported in the KEYNOTE trials for pembrolizumab plus chemotherapy.  </w:t>
      </w:r>
    </w:p>
    <w:p w:rsidRPr="00B95314" w:rsidR="00714C53" w:rsidP="00714C53" w:rsidRDefault="00E17660" w14:paraId="720ACF5D" w14:textId="7C255955">
      <w:pPr>
        <w:spacing w:before="120" w:after="120"/>
        <w:ind w:left="709" w:hanging="425"/>
        <w:rPr>
          <w:rFonts w:cs="Arial"/>
          <w:sz w:val="20"/>
          <w:szCs w:val="20"/>
        </w:rPr>
      </w:pPr>
      <w:r w:rsidRPr="00B95314">
        <w:rPr>
          <w:rFonts w:cs="Arial"/>
          <w:sz w:val="20"/>
          <w:szCs w:val="20"/>
        </w:rPr>
        <w:t>e)</w:t>
      </w:r>
      <w:r w:rsidRPr="00B95314">
        <w:rPr>
          <w:rFonts w:cs="Arial"/>
          <w:sz w:val="20"/>
          <w:szCs w:val="20"/>
        </w:rPr>
        <w:tab/>
      </w:r>
      <w:r w:rsidRPr="00B95314">
        <w:rPr>
          <w:rFonts w:cs="Arial"/>
          <w:sz w:val="20"/>
          <w:szCs w:val="20"/>
        </w:rPr>
        <w:t>Regeneron noted in its response to the DGD:</w:t>
      </w:r>
    </w:p>
    <w:p w:rsidR="00E17660" w:rsidP="00FE0085" w:rsidRDefault="00E17660" w14:paraId="03AF7AD5" w14:textId="2D02E728">
      <w:pPr>
        <w:pStyle w:val="ListParagraph"/>
        <w:numPr>
          <w:ilvl w:val="0"/>
          <w:numId w:val="1"/>
        </w:numPr>
        <w:spacing w:before="120" w:after="120"/>
        <w:ind w:left="998" w:hanging="352"/>
        <w:jc w:val="both"/>
        <w:rPr>
          <w:rFonts w:cs="Arial"/>
          <w:sz w:val="20"/>
          <w:szCs w:val="20"/>
        </w:rPr>
      </w:pPr>
      <w:r w:rsidRPr="00B95314">
        <w:rPr>
          <w:rFonts w:cs="Arial"/>
          <w:sz w:val="20"/>
          <w:szCs w:val="20"/>
        </w:rPr>
        <w:t xml:space="preserve">the issues of treatment beyond progression and beyond 108 (calendar) weeks observed by the Committee in relation to </w:t>
      </w:r>
      <w:proofErr w:type="spellStart"/>
      <w:r w:rsidRPr="00B95314">
        <w:rPr>
          <w:rFonts w:cs="Arial"/>
          <w:sz w:val="20"/>
          <w:szCs w:val="20"/>
        </w:rPr>
        <w:t>cemiplimab</w:t>
      </w:r>
      <w:proofErr w:type="spellEnd"/>
      <w:r w:rsidRPr="00B95314">
        <w:rPr>
          <w:rFonts w:cs="Arial"/>
          <w:sz w:val="20"/>
          <w:szCs w:val="20"/>
        </w:rPr>
        <w:t xml:space="preserve"> plus chemotherapy are also applicable to pembrolizumab plus chemotherapy in the KEYNOTE </w:t>
      </w:r>
      <w:proofErr w:type="gramStart"/>
      <w:r w:rsidRPr="00B95314">
        <w:rPr>
          <w:rFonts w:cs="Arial"/>
          <w:sz w:val="20"/>
          <w:szCs w:val="20"/>
        </w:rPr>
        <w:t>trials;</w:t>
      </w:r>
      <w:proofErr w:type="gramEnd"/>
    </w:p>
    <w:p w:rsidRPr="00B95314" w:rsidR="00714C53" w:rsidP="00FE0085" w:rsidRDefault="00714C53" w14:paraId="11D54F9F" w14:textId="77777777">
      <w:pPr>
        <w:pStyle w:val="ListParagraph"/>
        <w:spacing w:before="120" w:after="120"/>
        <w:ind w:left="998"/>
        <w:rPr>
          <w:rFonts w:cs="Arial"/>
          <w:sz w:val="20"/>
          <w:szCs w:val="20"/>
        </w:rPr>
      </w:pPr>
    </w:p>
    <w:p w:rsidRPr="00B95314" w:rsidR="00E17660" w:rsidP="00FE0085" w:rsidRDefault="00E17660" w14:paraId="7E07E636" w14:textId="0E830B78">
      <w:pPr>
        <w:pStyle w:val="ListParagraph"/>
        <w:numPr>
          <w:ilvl w:val="0"/>
          <w:numId w:val="1"/>
        </w:numPr>
        <w:spacing w:before="120" w:after="120"/>
        <w:ind w:left="998" w:hanging="352"/>
        <w:contextualSpacing w:val="0"/>
        <w:jc w:val="both"/>
        <w:rPr>
          <w:rFonts w:cs="Arial"/>
          <w:sz w:val="20"/>
          <w:szCs w:val="20"/>
        </w:rPr>
      </w:pPr>
      <w:proofErr w:type="gramStart"/>
      <w:r w:rsidRPr="00B95314">
        <w:rPr>
          <w:rFonts w:cs="Arial"/>
          <w:sz w:val="20"/>
          <w:szCs w:val="20"/>
        </w:rPr>
        <w:t>the</w:t>
      </w:r>
      <w:proofErr w:type="gramEnd"/>
      <w:r w:rsidRPr="00B95314">
        <w:rPr>
          <w:rFonts w:cs="Arial"/>
          <w:sz w:val="20"/>
          <w:szCs w:val="20"/>
        </w:rPr>
        <w:t xml:space="preserve"> adoption of two different approaches to estimate time on treatment for </w:t>
      </w:r>
      <w:proofErr w:type="spellStart"/>
      <w:r w:rsidRPr="00B95314">
        <w:rPr>
          <w:rFonts w:cs="Arial"/>
          <w:sz w:val="20"/>
          <w:szCs w:val="20"/>
        </w:rPr>
        <w:t>cemiplimab</w:t>
      </w:r>
      <w:proofErr w:type="spellEnd"/>
      <w:r w:rsidRPr="00B95314">
        <w:rPr>
          <w:rFonts w:cs="Arial"/>
          <w:sz w:val="20"/>
          <w:szCs w:val="20"/>
        </w:rPr>
        <w:t xml:space="preserve"> and pembrolizumab introduces further uncertainties (with unknown potential for bias</w:t>
      </w:r>
      <w:proofErr w:type="gramStart"/>
      <w:r w:rsidRPr="00B95314">
        <w:rPr>
          <w:rFonts w:cs="Arial"/>
          <w:sz w:val="20"/>
          <w:szCs w:val="20"/>
        </w:rPr>
        <w:t>);</w:t>
      </w:r>
      <w:proofErr w:type="gramEnd"/>
    </w:p>
    <w:p w:rsidRPr="00B95314" w:rsidR="00E17660" w:rsidP="00FE0085" w:rsidRDefault="00E17660" w14:paraId="1017A599" w14:textId="5AF5886F">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the MAIC-based analyses adjust the EMPOWER Lung 3 population to the KEYNOTE trial population, and so the Kaplan-Meier time on treatment data from the EMPOWER Lung 3 trial no longer aligns with the treatment effects in the model; and</w:t>
      </w:r>
    </w:p>
    <w:p w:rsidRPr="00B95314" w:rsidR="00E17660" w:rsidP="00FE0085" w:rsidRDefault="00F60B37" w14:paraId="76389B59" w14:textId="390D50F7">
      <w:pPr>
        <w:pStyle w:val="ListParagraph"/>
        <w:numPr>
          <w:ilvl w:val="0"/>
          <w:numId w:val="1"/>
        </w:numPr>
        <w:spacing w:before="120" w:after="120"/>
        <w:ind w:left="998" w:hanging="352"/>
        <w:contextualSpacing w:val="0"/>
        <w:jc w:val="both"/>
        <w:rPr>
          <w:rFonts w:cs="Arial"/>
          <w:sz w:val="20"/>
          <w:szCs w:val="20"/>
        </w:rPr>
      </w:pPr>
      <w:r>
        <w:rPr>
          <w:rFonts w:cs="Arial"/>
          <w:sz w:val="20"/>
          <w:szCs w:val="20"/>
        </w:rPr>
        <w:t>i</w:t>
      </w:r>
      <w:r w:rsidRPr="00B95314" w:rsidR="00E17660">
        <w:rPr>
          <w:rFonts w:cs="Arial"/>
          <w:sz w:val="20"/>
          <w:szCs w:val="20"/>
        </w:rPr>
        <w:t xml:space="preserve">n line with the Committee’s view in the DGD that: “[…] </w:t>
      </w:r>
      <w:r w:rsidRPr="007821F2" w:rsidR="00E17660">
        <w:rPr>
          <w:rFonts w:cs="Arial"/>
          <w:i/>
          <w:iCs/>
          <w:sz w:val="20"/>
          <w:szCs w:val="20"/>
        </w:rPr>
        <w:t>it was important to align modelled costs and benefits</w:t>
      </w:r>
      <w:r w:rsidRPr="00B95314" w:rsidR="00E17660">
        <w:rPr>
          <w:rFonts w:cs="Arial"/>
          <w:sz w:val="20"/>
          <w:szCs w:val="20"/>
        </w:rPr>
        <w:t>,” Regeneron provided:</w:t>
      </w:r>
    </w:p>
    <w:p w:rsidRPr="00B95314" w:rsidR="00E17660" w:rsidP="00FE0085" w:rsidRDefault="00E17660" w14:paraId="74AC8B15" w14:textId="105C93F7">
      <w:pPr>
        <w:pStyle w:val="ListParagraph"/>
        <w:numPr>
          <w:ilvl w:val="1"/>
          <w:numId w:val="1"/>
        </w:numPr>
        <w:spacing w:before="120" w:after="120"/>
        <w:contextualSpacing w:val="0"/>
        <w:jc w:val="both"/>
        <w:rPr>
          <w:rFonts w:cs="Arial"/>
          <w:sz w:val="20"/>
          <w:szCs w:val="20"/>
        </w:rPr>
      </w:pPr>
      <w:r w:rsidRPr="00B95314">
        <w:rPr>
          <w:rFonts w:cs="Arial"/>
          <w:sz w:val="20"/>
          <w:szCs w:val="20"/>
        </w:rPr>
        <w:t>analyses based on the assumption that time on treatment is the same as PFS (in line with the marketing authorizations and clinical expert opinion); and</w:t>
      </w:r>
    </w:p>
    <w:p w:rsidRPr="00B95314" w:rsidR="00E17660" w:rsidP="00FE0085" w:rsidRDefault="00E17660" w14:paraId="1A60983F" w14:textId="3DE2D1AA">
      <w:pPr>
        <w:pStyle w:val="ListParagraph"/>
        <w:numPr>
          <w:ilvl w:val="1"/>
          <w:numId w:val="1"/>
        </w:numPr>
        <w:spacing w:before="120" w:after="120"/>
        <w:contextualSpacing w:val="0"/>
        <w:jc w:val="both"/>
        <w:rPr>
          <w:rFonts w:cs="Arial"/>
          <w:sz w:val="20"/>
          <w:szCs w:val="20"/>
        </w:rPr>
      </w:pPr>
      <w:r w:rsidRPr="00B95314">
        <w:rPr>
          <w:rFonts w:cs="Arial"/>
          <w:sz w:val="20"/>
          <w:szCs w:val="20"/>
        </w:rPr>
        <w:t xml:space="preserve">a scenario analysis using the EAG’s preferred use of the ratio of median PFS to median time on treatment but also, importantly, reflecting the costs of the distribution of subsequent immunotherapies received. </w:t>
      </w:r>
    </w:p>
    <w:p w:rsidRPr="00B95314" w:rsidR="00E17660" w:rsidP="009F3CFF" w:rsidRDefault="00E17660" w14:paraId="2B1F9B5A" w14:textId="77777777">
      <w:pPr>
        <w:spacing w:before="120" w:after="120"/>
        <w:rPr>
          <w:rFonts w:cs="Arial"/>
          <w:sz w:val="20"/>
          <w:szCs w:val="20"/>
        </w:rPr>
      </w:pPr>
      <w:r w:rsidRPr="00B95314">
        <w:rPr>
          <w:rFonts w:cs="Arial"/>
          <w:sz w:val="20"/>
          <w:szCs w:val="20"/>
        </w:rPr>
        <w:t>Based on the above, the following issues arise:</w:t>
      </w:r>
    </w:p>
    <w:p w:rsidRPr="00B95314" w:rsidR="00E17660" w:rsidP="00FE0085" w:rsidRDefault="00E17660" w14:paraId="326B8DCE" w14:textId="6E29433E">
      <w:pPr>
        <w:spacing w:before="120" w:after="120"/>
        <w:ind w:left="709" w:hanging="425"/>
        <w:jc w:val="both"/>
        <w:rPr>
          <w:rFonts w:cs="Arial"/>
          <w:sz w:val="20"/>
          <w:szCs w:val="20"/>
        </w:rPr>
      </w:pPr>
      <w:r w:rsidRPr="00B95314">
        <w:rPr>
          <w:rFonts w:cs="Arial"/>
          <w:sz w:val="20"/>
          <w:szCs w:val="20"/>
        </w:rPr>
        <w:t>1.</w:t>
      </w:r>
      <w:r w:rsidRPr="00B95314">
        <w:rPr>
          <w:rFonts w:cs="Arial"/>
          <w:sz w:val="20"/>
          <w:szCs w:val="20"/>
        </w:rPr>
        <w:tab/>
      </w:r>
      <w:r w:rsidRPr="00B95314">
        <w:rPr>
          <w:rFonts w:cs="Arial"/>
          <w:sz w:val="20"/>
          <w:szCs w:val="20"/>
        </w:rPr>
        <w:t xml:space="preserve">In the context of its preferred PFS-driven Markov model, the Committee seeks to employ structural relationships between PFS and OS. </w:t>
      </w:r>
      <w:r w:rsidRPr="00B95314" w:rsidR="00E658A7">
        <w:rPr>
          <w:rFonts w:cs="Arial"/>
          <w:sz w:val="20"/>
          <w:szCs w:val="20"/>
        </w:rPr>
        <w:t xml:space="preserve">Yet, with respect to time on treatment, the Committee’s preferred approach assumes independence between </w:t>
      </w:r>
      <w:r w:rsidR="004570BB">
        <w:rPr>
          <w:rFonts w:cs="Arial"/>
          <w:sz w:val="20"/>
          <w:szCs w:val="20"/>
        </w:rPr>
        <w:t xml:space="preserve">this endpoint </w:t>
      </w:r>
      <w:r w:rsidR="00032557">
        <w:rPr>
          <w:rFonts w:cs="Arial"/>
          <w:sz w:val="20"/>
          <w:szCs w:val="20"/>
        </w:rPr>
        <w:t xml:space="preserve">and </w:t>
      </w:r>
      <w:r w:rsidRPr="00B95314" w:rsidR="00E658A7">
        <w:rPr>
          <w:rFonts w:cs="Arial"/>
          <w:sz w:val="20"/>
          <w:szCs w:val="20"/>
        </w:rPr>
        <w:t>PFS</w:t>
      </w:r>
      <w:r w:rsidR="00032557">
        <w:rPr>
          <w:rFonts w:cs="Arial"/>
          <w:sz w:val="20"/>
          <w:szCs w:val="20"/>
        </w:rPr>
        <w:t>/</w:t>
      </w:r>
      <w:r w:rsidRPr="00B95314" w:rsidR="00E658A7">
        <w:rPr>
          <w:rFonts w:cs="Arial"/>
          <w:sz w:val="20"/>
          <w:szCs w:val="20"/>
        </w:rPr>
        <w:t>OS</w:t>
      </w:r>
      <w:r w:rsidRPr="00B95314">
        <w:rPr>
          <w:rFonts w:cs="Arial"/>
          <w:sz w:val="20"/>
          <w:szCs w:val="20"/>
        </w:rPr>
        <w:t xml:space="preserve">.  The two approaches are self-evidently inconsistent and lack any clear evidential or clinically plausible basis. Essentially, the Committee’s requests amount to an alternative and hybrid modelling approach assuming a perfect surrogate relationship between PFS and OS whilst simultaneously assuming complete independence between these endpoints and the duration of therapy. At best, the Committee is cherry picking assumptions and approaches. At worst, it is creating inconsistent and incoherent hybrid modelling approaches specifically designed to create pessimistic but also implausible scenarios. </w:t>
      </w:r>
    </w:p>
    <w:p w:rsidRPr="00B95314" w:rsidR="00E17660" w:rsidP="00FE0085" w:rsidRDefault="00E17660" w14:paraId="26A15A02" w14:textId="2FCBCBA8">
      <w:pPr>
        <w:spacing w:before="120" w:after="120"/>
        <w:ind w:left="709" w:hanging="425"/>
        <w:jc w:val="both"/>
        <w:rPr>
          <w:rFonts w:cs="Arial"/>
          <w:sz w:val="20"/>
          <w:szCs w:val="20"/>
        </w:rPr>
      </w:pPr>
      <w:r w:rsidRPr="00B95314">
        <w:rPr>
          <w:rFonts w:cs="Arial"/>
          <w:sz w:val="20"/>
          <w:szCs w:val="20"/>
        </w:rPr>
        <w:t>2.</w:t>
      </w:r>
      <w:r>
        <w:tab/>
      </w:r>
      <w:r w:rsidRPr="00B95314">
        <w:rPr>
          <w:rFonts w:cs="Arial"/>
          <w:sz w:val="20"/>
          <w:szCs w:val="20"/>
        </w:rPr>
        <w:t>The conclusions of such analyses are self-fulfilling (</w:t>
      </w:r>
      <w:r w:rsidRPr="007821F2">
        <w:rPr>
          <w:rFonts w:cs="Arial"/>
          <w:i/>
          <w:iCs/>
          <w:sz w:val="20"/>
          <w:szCs w:val="20"/>
        </w:rPr>
        <w:t>i.e.</w:t>
      </w:r>
      <w:r w:rsidRPr="00B95314">
        <w:rPr>
          <w:rFonts w:cs="Arial"/>
          <w:sz w:val="20"/>
          <w:szCs w:val="20"/>
        </w:rPr>
        <w:t>, the ICER is inevitably likely to be worse due to reducing OS gains vs. the EAG/company preferred analyses, but keeping treatment duration differences by enforcing an uncertain surrogate relationship and maintaining independence between treatment duration and both PFS and post-progression survival).</w:t>
      </w:r>
      <w:r w:rsidR="00714C53">
        <w:rPr>
          <w:rFonts w:cs="Arial"/>
          <w:sz w:val="20"/>
          <w:szCs w:val="20"/>
        </w:rPr>
        <w:t xml:space="preserve"> T</w:t>
      </w:r>
      <w:r w:rsidRPr="00B95314">
        <w:rPr>
          <w:rFonts w:cs="Arial"/>
          <w:sz w:val="20"/>
          <w:szCs w:val="20"/>
        </w:rPr>
        <w:t>he Committee is clearly correct in inferring that such analyses, although not formally presented, were likely to both increase the ICER and increase uncertainty</w:t>
      </w:r>
      <w:r w:rsidR="00C356E0">
        <w:rPr>
          <w:rFonts w:cs="Arial"/>
          <w:sz w:val="20"/>
          <w:szCs w:val="20"/>
        </w:rPr>
        <w:t>. However, it</w:t>
      </w:r>
      <w:r w:rsidRPr="00B95314">
        <w:rPr>
          <w:rFonts w:cs="Arial"/>
          <w:sz w:val="20"/>
          <w:szCs w:val="20"/>
        </w:rPr>
        <w:t xml:space="preserve"> does not appear to </w:t>
      </w:r>
      <w:proofErr w:type="spellStart"/>
      <w:r w:rsidRPr="00B95314">
        <w:rPr>
          <w:rFonts w:cs="Arial"/>
          <w:sz w:val="20"/>
          <w:szCs w:val="20"/>
        </w:rPr>
        <w:t>recognise</w:t>
      </w:r>
      <w:proofErr w:type="spellEnd"/>
      <w:r w:rsidRPr="00B95314">
        <w:rPr>
          <w:rFonts w:cs="Arial"/>
          <w:sz w:val="20"/>
          <w:szCs w:val="20"/>
        </w:rPr>
        <w:t xml:space="preserve"> that these conclusions are based on inconsistent and illogical arguments that are not based on best practice or make best use of all available evidence.</w:t>
      </w:r>
    </w:p>
    <w:p w:rsidRPr="00B95314" w:rsidR="00E17660" w:rsidP="00FE0085" w:rsidRDefault="00E17660" w14:paraId="770C0544" w14:textId="2BA69439">
      <w:pPr>
        <w:spacing w:before="120" w:after="120"/>
        <w:ind w:left="709" w:hanging="425"/>
        <w:jc w:val="both"/>
        <w:rPr>
          <w:rFonts w:cs="Arial"/>
          <w:sz w:val="20"/>
          <w:szCs w:val="20"/>
        </w:rPr>
      </w:pPr>
      <w:r w:rsidRPr="00B95314">
        <w:rPr>
          <w:rFonts w:cs="Arial"/>
          <w:sz w:val="20"/>
          <w:szCs w:val="20"/>
        </w:rPr>
        <w:t>3.</w:t>
      </w:r>
      <w:r w:rsidRPr="00B95314">
        <w:rPr>
          <w:rFonts w:cs="Arial"/>
          <w:sz w:val="20"/>
          <w:szCs w:val="20"/>
        </w:rPr>
        <w:tab/>
      </w:r>
      <w:r w:rsidR="009E3449">
        <w:rPr>
          <w:rFonts w:cs="Arial"/>
          <w:sz w:val="20"/>
          <w:szCs w:val="20"/>
        </w:rPr>
        <w:t>H</w:t>
      </w:r>
      <w:r w:rsidRPr="00B95314">
        <w:rPr>
          <w:rFonts w:cs="Arial"/>
          <w:sz w:val="20"/>
          <w:szCs w:val="20"/>
        </w:rPr>
        <w:t xml:space="preserve">ad </w:t>
      </w:r>
      <w:r w:rsidR="009E3449">
        <w:rPr>
          <w:rFonts w:cs="Arial"/>
          <w:sz w:val="20"/>
          <w:szCs w:val="20"/>
        </w:rPr>
        <w:t xml:space="preserve">the Committee sought </w:t>
      </w:r>
      <w:r w:rsidRPr="00B95314">
        <w:rPr>
          <w:rFonts w:cs="Arial"/>
          <w:sz w:val="20"/>
          <w:szCs w:val="20"/>
        </w:rPr>
        <w:t xml:space="preserve">better </w:t>
      </w:r>
      <w:r w:rsidR="00714C53">
        <w:rPr>
          <w:rFonts w:cs="Arial"/>
          <w:sz w:val="20"/>
          <w:szCs w:val="20"/>
        </w:rPr>
        <w:t xml:space="preserve">to </w:t>
      </w:r>
      <w:r w:rsidRPr="00B95314">
        <w:rPr>
          <w:rFonts w:cs="Arial"/>
          <w:sz w:val="20"/>
          <w:szCs w:val="20"/>
        </w:rPr>
        <w:t xml:space="preserve">understand structural relationships between the three main endpoints (time on treatment, PFS and OS) to ensure a coherent approach to modelling, then it should have requested that time on treatment was also structurally linked </w:t>
      </w:r>
      <w:proofErr w:type="gramStart"/>
      <w:r w:rsidRPr="00B95314">
        <w:rPr>
          <w:rFonts w:cs="Arial"/>
          <w:sz w:val="20"/>
          <w:szCs w:val="20"/>
        </w:rPr>
        <w:t>in</w:t>
      </w:r>
      <w:proofErr w:type="gramEnd"/>
      <w:r w:rsidRPr="00B95314">
        <w:rPr>
          <w:rFonts w:cs="Arial"/>
          <w:sz w:val="20"/>
          <w:szCs w:val="20"/>
        </w:rPr>
        <w:t xml:space="preserve"> the Markov model requested.  </w:t>
      </w:r>
      <w:r w:rsidR="009E3449">
        <w:rPr>
          <w:rFonts w:cs="Arial"/>
          <w:sz w:val="20"/>
          <w:szCs w:val="20"/>
        </w:rPr>
        <w:t>Yet</w:t>
      </w:r>
      <w:r w:rsidRPr="00B95314">
        <w:rPr>
          <w:rFonts w:cs="Arial"/>
          <w:sz w:val="20"/>
          <w:szCs w:val="20"/>
        </w:rPr>
        <w:t xml:space="preserve">, the lack of individual patient data for the comparator trials would again have limited the feasibility of such requests. Instead, the Committee </w:t>
      </w:r>
      <w:r w:rsidR="009E3449">
        <w:rPr>
          <w:rFonts w:cs="Arial"/>
          <w:sz w:val="20"/>
          <w:szCs w:val="20"/>
        </w:rPr>
        <w:t>inappropriately</w:t>
      </w:r>
      <w:r w:rsidRPr="00B95314">
        <w:rPr>
          <w:rFonts w:cs="Arial"/>
          <w:sz w:val="20"/>
          <w:szCs w:val="20"/>
        </w:rPr>
        <w:t xml:space="preserve"> reques</w:t>
      </w:r>
      <w:r w:rsidR="009E3449">
        <w:rPr>
          <w:rFonts w:cs="Arial"/>
          <w:sz w:val="20"/>
          <w:szCs w:val="20"/>
        </w:rPr>
        <w:t>ted</w:t>
      </w:r>
      <w:r w:rsidRPr="00B95314">
        <w:rPr>
          <w:rFonts w:cs="Arial"/>
          <w:sz w:val="20"/>
          <w:szCs w:val="20"/>
        </w:rPr>
        <w:t xml:space="preserve"> incoherent analyses without due consideration </w:t>
      </w:r>
      <w:r w:rsidR="009E3449">
        <w:rPr>
          <w:rFonts w:cs="Arial"/>
          <w:sz w:val="20"/>
          <w:szCs w:val="20"/>
        </w:rPr>
        <w:t>of</w:t>
      </w:r>
      <w:r w:rsidRPr="00B95314">
        <w:rPr>
          <w:rFonts w:cs="Arial"/>
          <w:sz w:val="20"/>
          <w:szCs w:val="20"/>
        </w:rPr>
        <w:t xml:space="preserve"> their </w:t>
      </w:r>
      <w:r w:rsidR="009E3449">
        <w:rPr>
          <w:rFonts w:cs="Arial"/>
          <w:sz w:val="20"/>
          <w:szCs w:val="20"/>
        </w:rPr>
        <w:t>relevance</w:t>
      </w:r>
      <w:r w:rsidRPr="00B95314" w:rsidR="009E3449">
        <w:rPr>
          <w:rFonts w:cs="Arial"/>
          <w:sz w:val="20"/>
          <w:szCs w:val="20"/>
        </w:rPr>
        <w:t xml:space="preserve"> </w:t>
      </w:r>
      <w:r w:rsidRPr="00B95314">
        <w:rPr>
          <w:rFonts w:cs="Arial"/>
          <w:sz w:val="20"/>
          <w:szCs w:val="20"/>
        </w:rPr>
        <w:t>or plausibility, as well as using these results to imply directions of the ICER that are neither evidence</w:t>
      </w:r>
      <w:r w:rsidR="009E3449">
        <w:rPr>
          <w:rFonts w:cs="Arial"/>
          <w:sz w:val="20"/>
          <w:szCs w:val="20"/>
        </w:rPr>
        <w:t>-</w:t>
      </w:r>
      <w:r w:rsidRPr="00B95314">
        <w:rPr>
          <w:rFonts w:cs="Arial"/>
          <w:sz w:val="20"/>
          <w:szCs w:val="20"/>
        </w:rPr>
        <w:t xml:space="preserve">based </w:t>
      </w:r>
      <w:proofErr w:type="gramStart"/>
      <w:r w:rsidRPr="00B95314">
        <w:rPr>
          <w:rFonts w:cs="Arial"/>
          <w:sz w:val="20"/>
          <w:szCs w:val="20"/>
        </w:rPr>
        <w:t>or</w:t>
      </w:r>
      <w:proofErr w:type="gramEnd"/>
      <w:r w:rsidRPr="00B95314">
        <w:rPr>
          <w:rFonts w:cs="Arial"/>
          <w:sz w:val="20"/>
          <w:szCs w:val="20"/>
        </w:rPr>
        <w:t xml:space="preserve"> plausible. </w:t>
      </w:r>
      <w:r w:rsidR="009E3449">
        <w:rPr>
          <w:rFonts w:cs="Arial"/>
          <w:sz w:val="20"/>
          <w:szCs w:val="20"/>
        </w:rPr>
        <w:t>In</w:t>
      </w:r>
      <w:r w:rsidR="00F30687">
        <w:rPr>
          <w:rFonts w:cs="Arial"/>
          <w:sz w:val="20"/>
          <w:szCs w:val="20"/>
        </w:rPr>
        <w:t xml:space="preserve"> </w:t>
      </w:r>
      <w:r w:rsidR="009E3449">
        <w:rPr>
          <w:rFonts w:cs="Arial"/>
          <w:sz w:val="20"/>
          <w:szCs w:val="20"/>
        </w:rPr>
        <w:t>consequence</w:t>
      </w:r>
      <w:r w:rsidRPr="00B95314">
        <w:rPr>
          <w:rFonts w:cs="Arial"/>
          <w:sz w:val="20"/>
          <w:szCs w:val="20"/>
        </w:rPr>
        <w:t xml:space="preserve">, the Committee </w:t>
      </w:r>
      <w:r w:rsidR="009E3449">
        <w:rPr>
          <w:rFonts w:cs="Arial"/>
          <w:sz w:val="20"/>
          <w:szCs w:val="20"/>
        </w:rPr>
        <w:t>has</w:t>
      </w:r>
      <w:r w:rsidRPr="00B95314">
        <w:rPr>
          <w:rFonts w:cs="Arial"/>
          <w:sz w:val="20"/>
          <w:szCs w:val="20"/>
        </w:rPr>
        <w:t xml:space="preserve"> discarded more coherent and logical alternatives proposed by the company (</w:t>
      </w:r>
      <w:r w:rsidRPr="007821F2">
        <w:rPr>
          <w:rFonts w:cs="Arial"/>
          <w:i/>
          <w:iCs/>
          <w:sz w:val="20"/>
          <w:szCs w:val="20"/>
        </w:rPr>
        <w:t>e.g.,</w:t>
      </w:r>
      <w:r w:rsidRPr="00B95314">
        <w:rPr>
          <w:rFonts w:cs="Arial"/>
          <w:sz w:val="20"/>
          <w:szCs w:val="20"/>
        </w:rPr>
        <w:t xml:space="preserve"> scenarios assuming equal survival) and </w:t>
      </w:r>
      <w:proofErr w:type="gramStart"/>
      <w:r w:rsidRPr="00B95314">
        <w:rPr>
          <w:rFonts w:cs="Arial"/>
          <w:sz w:val="20"/>
          <w:szCs w:val="20"/>
        </w:rPr>
        <w:t>supported</w:t>
      </w:r>
      <w:proofErr w:type="gramEnd"/>
      <w:r w:rsidRPr="00B95314">
        <w:rPr>
          <w:rFonts w:cs="Arial"/>
          <w:sz w:val="20"/>
          <w:szCs w:val="20"/>
        </w:rPr>
        <w:t xml:space="preserve"> by </w:t>
      </w:r>
      <w:proofErr w:type="gramStart"/>
      <w:r w:rsidRPr="00B95314">
        <w:rPr>
          <w:rFonts w:cs="Arial"/>
          <w:sz w:val="20"/>
          <w:szCs w:val="20"/>
        </w:rPr>
        <w:t>the EAG</w:t>
      </w:r>
      <w:proofErr w:type="gramEnd"/>
      <w:r w:rsidRPr="00B95314">
        <w:rPr>
          <w:rFonts w:cs="Arial"/>
          <w:sz w:val="20"/>
          <w:szCs w:val="20"/>
        </w:rPr>
        <w:t xml:space="preserve">. </w:t>
      </w:r>
    </w:p>
    <w:p w:rsidRPr="00B95314" w:rsidR="00E17660" w:rsidP="00FE0085" w:rsidRDefault="00E17660" w14:paraId="765E78B7" w14:textId="3850B383">
      <w:pPr>
        <w:spacing w:before="120" w:after="120"/>
        <w:ind w:left="709" w:hanging="425"/>
        <w:jc w:val="both"/>
        <w:rPr>
          <w:rFonts w:cs="Arial"/>
          <w:sz w:val="20"/>
          <w:szCs w:val="20"/>
        </w:rPr>
      </w:pPr>
      <w:r w:rsidRPr="00B95314">
        <w:rPr>
          <w:rFonts w:cs="Arial"/>
          <w:sz w:val="20"/>
          <w:szCs w:val="20"/>
        </w:rPr>
        <w:t>4.</w:t>
      </w:r>
      <w:r w:rsidRPr="00B95314">
        <w:rPr>
          <w:rFonts w:cs="Arial"/>
          <w:sz w:val="20"/>
          <w:szCs w:val="20"/>
        </w:rPr>
        <w:tab/>
      </w:r>
      <w:r w:rsidRPr="00B95314">
        <w:rPr>
          <w:rFonts w:cs="Arial"/>
          <w:sz w:val="20"/>
          <w:szCs w:val="20"/>
        </w:rPr>
        <w:t xml:space="preserve">Regeneron’s approach in the PSM, assuming time on treatment is equal to PFS, is </w:t>
      </w:r>
      <w:r w:rsidR="009E3449">
        <w:rPr>
          <w:rFonts w:cs="Arial"/>
          <w:sz w:val="20"/>
          <w:szCs w:val="20"/>
        </w:rPr>
        <w:t>both</w:t>
      </w:r>
      <w:r w:rsidRPr="00B95314">
        <w:rPr>
          <w:rFonts w:cs="Arial"/>
          <w:sz w:val="20"/>
          <w:szCs w:val="20"/>
        </w:rPr>
        <w:t xml:space="preserve"> aligned with the marketing </w:t>
      </w:r>
      <w:proofErr w:type="spellStart"/>
      <w:r w:rsidRPr="00B95314">
        <w:rPr>
          <w:rFonts w:cs="Arial"/>
          <w:sz w:val="20"/>
          <w:szCs w:val="20"/>
        </w:rPr>
        <w:t>authorisations</w:t>
      </w:r>
      <w:proofErr w:type="spellEnd"/>
      <w:r w:rsidRPr="00B95314">
        <w:rPr>
          <w:rFonts w:cs="Arial"/>
          <w:sz w:val="20"/>
          <w:szCs w:val="20"/>
        </w:rPr>
        <w:t xml:space="preserve"> and clinical opinion, </w:t>
      </w:r>
      <w:r w:rsidR="009E3449">
        <w:rPr>
          <w:rFonts w:cs="Arial"/>
          <w:sz w:val="20"/>
          <w:szCs w:val="20"/>
        </w:rPr>
        <w:t>and</w:t>
      </w:r>
      <w:r w:rsidRPr="00B95314">
        <w:rPr>
          <w:rFonts w:cs="Arial"/>
          <w:sz w:val="20"/>
          <w:szCs w:val="20"/>
        </w:rPr>
        <w:t xml:space="preserve"> with the Committee’s justification for its preferred Markov model structure with assumed equal post progression survival </w:t>
      </w:r>
      <w:r w:rsidR="009E3449">
        <w:rPr>
          <w:rFonts w:cs="Arial"/>
          <w:sz w:val="20"/>
          <w:szCs w:val="20"/>
        </w:rPr>
        <w:t>(</w:t>
      </w:r>
      <w:r w:rsidRPr="00B95314">
        <w:rPr>
          <w:rFonts w:cs="Arial"/>
          <w:sz w:val="20"/>
          <w:szCs w:val="20"/>
        </w:rPr>
        <w:t>based on the Committee’s view that: “</w:t>
      </w:r>
      <w:r w:rsidRPr="007821F2">
        <w:rPr>
          <w:rFonts w:cs="Arial"/>
          <w:i/>
          <w:iCs/>
          <w:sz w:val="20"/>
          <w:szCs w:val="20"/>
        </w:rPr>
        <w:t>in NHS clinical practice, the same treatment options would be available to both groups after progression</w:t>
      </w:r>
      <w:r w:rsidRPr="00B95314">
        <w:rPr>
          <w:rFonts w:cs="Arial"/>
          <w:sz w:val="20"/>
          <w:szCs w:val="20"/>
        </w:rPr>
        <w:t>”</w:t>
      </w:r>
      <w:r w:rsidR="009E3449">
        <w:rPr>
          <w:rFonts w:cs="Arial"/>
          <w:sz w:val="20"/>
          <w:szCs w:val="20"/>
        </w:rPr>
        <w:t>)</w:t>
      </w:r>
      <w:r w:rsidR="00392F4C">
        <w:rPr>
          <w:rFonts w:cs="Arial"/>
          <w:sz w:val="20"/>
          <w:szCs w:val="20"/>
        </w:rPr>
        <w:t>.</w:t>
      </w:r>
      <w:r w:rsidRPr="00B95314">
        <w:rPr>
          <w:rFonts w:cs="Arial"/>
          <w:sz w:val="20"/>
          <w:szCs w:val="20"/>
        </w:rPr>
        <w:t xml:space="preserve">   </w:t>
      </w:r>
    </w:p>
    <w:p w:rsidRPr="00B95314" w:rsidR="00E17660" w:rsidP="00FE0085" w:rsidRDefault="00E17660" w14:paraId="2F0A2640" w14:textId="77777777">
      <w:pPr>
        <w:spacing w:before="120" w:after="120"/>
        <w:ind w:left="709" w:hanging="425"/>
        <w:jc w:val="both"/>
        <w:rPr>
          <w:rFonts w:cs="Arial"/>
          <w:sz w:val="20"/>
          <w:szCs w:val="20"/>
        </w:rPr>
      </w:pPr>
      <w:r w:rsidRPr="00B95314">
        <w:rPr>
          <w:rFonts w:cs="Arial"/>
          <w:sz w:val="20"/>
          <w:szCs w:val="20"/>
        </w:rPr>
        <w:t>5.</w:t>
      </w:r>
      <w:r w:rsidRPr="00B95314">
        <w:rPr>
          <w:rFonts w:cs="Arial"/>
          <w:sz w:val="20"/>
          <w:szCs w:val="20"/>
        </w:rPr>
        <w:tab/>
      </w:r>
      <w:r w:rsidRPr="00B95314">
        <w:rPr>
          <w:rFonts w:cs="Arial"/>
          <w:sz w:val="20"/>
          <w:szCs w:val="20"/>
        </w:rPr>
        <w:t xml:space="preserve">The company’s scenario analysis in its PSM using the ratios of PFS to time on treatment for both </w:t>
      </w:r>
      <w:proofErr w:type="spellStart"/>
      <w:r w:rsidRPr="00B95314">
        <w:rPr>
          <w:rFonts w:cs="Arial"/>
          <w:sz w:val="20"/>
          <w:szCs w:val="20"/>
        </w:rPr>
        <w:t>cemiplimab</w:t>
      </w:r>
      <w:proofErr w:type="spellEnd"/>
      <w:r w:rsidRPr="00B95314">
        <w:rPr>
          <w:rFonts w:cs="Arial"/>
          <w:sz w:val="20"/>
          <w:szCs w:val="20"/>
        </w:rPr>
        <w:t xml:space="preserve"> and pembrolizumab (as preferred by the EAG), and accounting for the distribution of subsequent immunotherapies, is aligned with the Committee’s view expressed in the DGD that: “</w:t>
      </w:r>
      <w:r w:rsidRPr="007821F2">
        <w:rPr>
          <w:rFonts w:cs="Arial"/>
          <w:i/>
          <w:iCs/>
          <w:sz w:val="20"/>
          <w:szCs w:val="20"/>
        </w:rPr>
        <w:t>[…] it was important to align modelled costs and benefits</w:t>
      </w:r>
      <w:r w:rsidRPr="00B95314">
        <w:rPr>
          <w:rFonts w:cs="Arial"/>
          <w:sz w:val="20"/>
          <w:szCs w:val="20"/>
        </w:rPr>
        <w:t xml:space="preserve">.”  </w:t>
      </w:r>
    </w:p>
    <w:p w:rsidRPr="00B95314" w:rsidR="00E17660" w:rsidP="00FE0085" w:rsidRDefault="00E17660" w14:paraId="0E45440E" w14:textId="77777777">
      <w:pPr>
        <w:spacing w:before="120" w:after="120"/>
        <w:ind w:left="709" w:hanging="425"/>
        <w:jc w:val="both"/>
        <w:rPr>
          <w:rFonts w:cs="Arial"/>
          <w:sz w:val="20"/>
          <w:szCs w:val="20"/>
        </w:rPr>
      </w:pPr>
      <w:r w:rsidRPr="00B95314">
        <w:rPr>
          <w:rFonts w:cs="Arial"/>
          <w:sz w:val="20"/>
          <w:szCs w:val="20"/>
        </w:rPr>
        <w:t>6.</w:t>
      </w:r>
      <w:r w:rsidRPr="00B95314">
        <w:rPr>
          <w:rFonts w:cs="Arial"/>
          <w:sz w:val="20"/>
          <w:szCs w:val="20"/>
        </w:rPr>
        <w:tab/>
      </w:r>
      <w:r w:rsidRPr="00B95314">
        <w:rPr>
          <w:rFonts w:cs="Arial"/>
          <w:sz w:val="20"/>
          <w:szCs w:val="20"/>
        </w:rPr>
        <w:t xml:space="preserve">In each of these reasonable company approaches, at the price point offered, </w:t>
      </w:r>
      <w:proofErr w:type="spellStart"/>
      <w:proofErr w:type="gramStart"/>
      <w:r w:rsidRPr="00B95314">
        <w:rPr>
          <w:rFonts w:cs="Arial"/>
          <w:sz w:val="20"/>
          <w:szCs w:val="20"/>
        </w:rPr>
        <w:t>cemiplimab</w:t>
      </w:r>
      <w:proofErr w:type="spellEnd"/>
      <w:proofErr w:type="gramEnd"/>
      <w:r w:rsidRPr="00B95314">
        <w:rPr>
          <w:rFonts w:cs="Arial"/>
          <w:sz w:val="20"/>
          <w:szCs w:val="20"/>
        </w:rPr>
        <w:t xml:space="preserve"> has plausible potential to be cost effective. </w:t>
      </w:r>
    </w:p>
    <w:p w:rsidRPr="00B95314" w:rsidR="00E17660" w:rsidP="00FE0085" w:rsidRDefault="009E3449" w14:paraId="385AA3B7" w14:textId="09AE472D">
      <w:pPr>
        <w:spacing w:before="120" w:after="120"/>
        <w:jc w:val="both"/>
        <w:rPr>
          <w:rFonts w:cs="Arial"/>
          <w:sz w:val="20"/>
          <w:szCs w:val="20"/>
        </w:rPr>
      </w:pPr>
      <w:r>
        <w:rPr>
          <w:rFonts w:cs="Arial"/>
          <w:sz w:val="20"/>
          <w:szCs w:val="20"/>
        </w:rPr>
        <w:t>The</w:t>
      </w:r>
      <w:r w:rsidRPr="00B95314" w:rsidR="00E17660">
        <w:rPr>
          <w:rFonts w:cs="Arial"/>
          <w:sz w:val="20"/>
          <w:szCs w:val="20"/>
        </w:rPr>
        <w:t xml:space="preserve"> Committee’s preferred approach to modelling time on treatment was not adopted, </w:t>
      </w:r>
      <w:r>
        <w:rPr>
          <w:rFonts w:cs="Arial"/>
          <w:sz w:val="20"/>
          <w:szCs w:val="20"/>
        </w:rPr>
        <w:t>as it had</w:t>
      </w:r>
      <w:r w:rsidRPr="00B95314" w:rsidR="00E17660">
        <w:rPr>
          <w:rFonts w:cs="Arial"/>
          <w:sz w:val="20"/>
          <w:szCs w:val="20"/>
        </w:rPr>
        <w:t xml:space="preserve"> requested incoherent analyses without due consideration for their appropriateness or plausibility. In doing so it discarded more coherent and logical alternatives proposed</w:t>
      </w:r>
      <w:r>
        <w:rPr>
          <w:rFonts w:cs="Arial"/>
          <w:sz w:val="20"/>
          <w:szCs w:val="20"/>
        </w:rPr>
        <w:t>,</w:t>
      </w:r>
      <w:r w:rsidRPr="00B95314" w:rsidR="00E17660">
        <w:rPr>
          <w:rFonts w:cs="Arial"/>
          <w:sz w:val="20"/>
          <w:szCs w:val="20"/>
        </w:rPr>
        <w:t xml:space="preserve"> using the partitioned survival model, including the scenario analyses assuming </w:t>
      </w:r>
      <w:r w:rsidRPr="00B95314" w:rsidR="00511765">
        <w:rPr>
          <w:rFonts w:cs="Arial"/>
          <w:sz w:val="20"/>
          <w:szCs w:val="20"/>
        </w:rPr>
        <w:t>equal</w:t>
      </w:r>
      <w:r w:rsidR="00511765">
        <w:rPr>
          <w:rFonts w:cs="Arial"/>
          <w:sz w:val="20"/>
          <w:szCs w:val="20"/>
        </w:rPr>
        <w:t xml:space="preserve"> OS</w:t>
      </w:r>
      <w:r w:rsidRPr="00B95314" w:rsidR="00E17660">
        <w:rPr>
          <w:rFonts w:cs="Arial"/>
          <w:sz w:val="20"/>
          <w:szCs w:val="20"/>
        </w:rPr>
        <w:t xml:space="preserve">. This is self-evidently illogical and unreasonable </w:t>
      </w:r>
      <w:proofErr w:type="gramStart"/>
      <w:r w:rsidRPr="00B95314" w:rsidR="00E17660">
        <w:rPr>
          <w:rFonts w:cs="Arial"/>
          <w:sz w:val="20"/>
          <w:szCs w:val="20"/>
        </w:rPr>
        <w:t>in light of</w:t>
      </w:r>
      <w:proofErr w:type="gramEnd"/>
      <w:r w:rsidRPr="00B95314" w:rsidR="00E17660">
        <w:rPr>
          <w:rFonts w:cs="Arial"/>
          <w:sz w:val="20"/>
          <w:szCs w:val="20"/>
        </w:rPr>
        <w:t xml:space="preserve"> the evidence available.</w:t>
      </w:r>
    </w:p>
    <w:p w:rsidRPr="00B95314" w:rsidR="001F46AE" w:rsidP="009F3CFF" w:rsidRDefault="001F46AE" w14:paraId="21F328B2" w14:textId="77777777">
      <w:pPr>
        <w:spacing w:before="120" w:after="120"/>
        <w:rPr>
          <w:rFonts w:cs="Arial"/>
          <w:b/>
          <w:bCs/>
          <w:sz w:val="20"/>
          <w:szCs w:val="20"/>
        </w:rPr>
      </w:pPr>
    </w:p>
    <w:p w:rsidRPr="007821F2" w:rsidR="00E17660" w:rsidP="007821F2" w:rsidRDefault="00E17660" w14:paraId="36DF4426" w14:textId="41923B21">
      <w:pPr>
        <w:pStyle w:val="Heading2"/>
        <w:rPr>
          <w:rFonts w:cs="Arial"/>
          <w:b/>
          <w:bCs/>
          <w:i/>
          <w:iCs/>
          <w:sz w:val="20"/>
          <w:szCs w:val="20"/>
        </w:rPr>
      </w:pPr>
      <w:r w:rsidRPr="007821F2">
        <w:rPr>
          <w:rFonts w:ascii="Arial" w:hAnsi="Arial" w:cs="Arial"/>
          <w:b/>
          <w:bCs/>
          <w:i/>
          <w:iCs/>
          <w:sz w:val="20"/>
          <w:szCs w:val="20"/>
        </w:rPr>
        <w:t xml:space="preserve">Appeal Ground 2.3 – The Appraisal Committee’s conclusion that the company’s original submissions were insufficient to assess similarity between </w:t>
      </w:r>
      <w:proofErr w:type="spellStart"/>
      <w:r w:rsidRPr="007821F2">
        <w:rPr>
          <w:rFonts w:ascii="Arial" w:hAnsi="Arial" w:cs="Arial"/>
          <w:b/>
          <w:bCs/>
          <w:i/>
          <w:iCs/>
          <w:sz w:val="20"/>
          <w:szCs w:val="20"/>
        </w:rPr>
        <w:t>cemiplimab</w:t>
      </w:r>
      <w:proofErr w:type="spellEnd"/>
      <w:r w:rsidRPr="007821F2">
        <w:rPr>
          <w:rFonts w:ascii="Arial" w:hAnsi="Arial" w:cs="Arial"/>
          <w:b/>
          <w:bCs/>
          <w:i/>
          <w:iCs/>
          <w:sz w:val="20"/>
          <w:szCs w:val="20"/>
        </w:rPr>
        <w:t xml:space="preserve"> and pembrolizumab was unreasonable </w:t>
      </w:r>
      <w:proofErr w:type="gramStart"/>
      <w:r w:rsidRPr="007821F2">
        <w:rPr>
          <w:rFonts w:ascii="Arial" w:hAnsi="Arial" w:cs="Arial"/>
          <w:b/>
          <w:bCs/>
          <w:i/>
          <w:iCs/>
          <w:sz w:val="20"/>
          <w:szCs w:val="20"/>
        </w:rPr>
        <w:t>in light of</w:t>
      </w:r>
      <w:proofErr w:type="gramEnd"/>
      <w:r w:rsidRPr="007821F2">
        <w:rPr>
          <w:rFonts w:ascii="Arial" w:hAnsi="Arial" w:cs="Arial"/>
          <w:b/>
          <w:bCs/>
          <w:i/>
          <w:iCs/>
          <w:sz w:val="20"/>
          <w:szCs w:val="20"/>
        </w:rPr>
        <w:t xml:space="preserve"> the evidence before it.</w:t>
      </w:r>
    </w:p>
    <w:p w:rsidRPr="00B95314" w:rsidR="00E17660" w:rsidP="00FE0085" w:rsidRDefault="00E17660" w14:paraId="2E46250C" w14:textId="7DED3D7F">
      <w:pPr>
        <w:spacing w:before="240" w:after="120"/>
        <w:jc w:val="both"/>
        <w:rPr>
          <w:rFonts w:cs="Arial"/>
          <w:sz w:val="20"/>
          <w:szCs w:val="20"/>
        </w:rPr>
      </w:pPr>
      <w:r w:rsidRPr="00B95314">
        <w:rPr>
          <w:rFonts w:cs="Arial"/>
          <w:sz w:val="20"/>
          <w:szCs w:val="20"/>
        </w:rPr>
        <w:t>The Committee expressed several concerns regarding the conduct and interpretation of the NMAs in Regeneron’s initial submission (</w:t>
      </w:r>
      <w:r w:rsidRPr="007821F2">
        <w:rPr>
          <w:rFonts w:cs="Arial"/>
          <w:i/>
          <w:iCs/>
          <w:sz w:val="20"/>
          <w:szCs w:val="20"/>
        </w:rPr>
        <w:t>e.g.,</w:t>
      </w:r>
      <w:r w:rsidRPr="00B95314">
        <w:rPr>
          <w:rFonts w:cs="Arial"/>
          <w:sz w:val="20"/>
          <w:szCs w:val="20"/>
        </w:rPr>
        <w:t xml:space="preserve"> concerns regarding exchangeability/transitivity assumptions and the impact of crossover).  As a result, </w:t>
      </w:r>
      <w:r w:rsidR="004512BE">
        <w:rPr>
          <w:rFonts w:cs="Arial"/>
          <w:sz w:val="20"/>
          <w:szCs w:val="20"/>
        </w:rPr>
        <w:t>it</w:t>
      </w:r>
      <w:r w:rsidRPr="00B95314">
        <w:rPr>
          <w:rFonts w:cs="Arial"/>
          <w:sz w:val="20"/>
          <w:szCs w:val="20"/>
        </w:rPr>
        <w:t xml:space="preserve"> concluded in the DGD that the NMAs were not sufficiently reliable to conclude equivalence between </w:t>
      </w:r>
      <w:proofErr w:type="spellStart"/>
      <w:r w:rsidRPr="00B95314">
        <w:rPr>
          <w:rFonts w:cs="Arial"/>
          <w:sz w:val="20"/>
          <w:szCs w:val="20"/>
        </w:rPr>
        <w:t>cemiplimab</w:t>
      </w:r>
      <w:proofErr w:type="spellEnd"/>
      <w:r w:rsidRPr="00B95314">
        <w:rPr>
          <w:rFonts w:cs="Arial"/>
          <w:sz w:val="20"/>
          <w:szCs w:val="20"/>
        </w:rPr>
        <w:t xml:space="preserve"> and pembrolizumab or non-inferiority. </w:t>
      </w:r>
    </w:p>
    <w:p w:rsidRPr="00B95314" w:rsidR="00E17660" w:rsidP="00FE0085" w:rsidRDefault="00E17660" w14:paraId="516F7F3D" w14:textId="0F539EED">
      <w:pPr>
        <w:spacing w:before="120" w:after="120"/>
        <w:jc w:val="both"/>
        <w:rPr>
          <w:rFonts w:cs="Arial"/>
          <w:sz w:val="20"/>
          <w:szCs w:val="20"/>
        </w:rPr>
      </w:pPr>
      <w:r w:rsidRPr="00B95314">
        <w:rPr>
          <w:rFonts w:cs="Arial"/>
          <w:sz w:val="20"/>
          <w:szCs w:val="20"/>
        </w:rPr>
        <w:t>We submit that the Committee</w:t>
      </w:r>
      <w:r w:rsidR="004512BE">
        <w:rPr>
          <w:rFonts w:cs="Arial"/>
          <w:sz w:val="20"/>
          <w:szCs w:val="20"/>
        </w:rPr>
        <w:t xml:space="preserve">’s approach was </w:t>
      </w:r>
      <w:r w:rsidRPr="00B95314">
        <w:rPr>
          <w:rFonts w:cs="Arial"/>
          <w:sz w:val="20"/>
          <w:szCs w:val="20"/>
        </w:rPr>
        <w:t xml:space="preserve">unreasonable and </w:t>
      </w:r>
      <w:proofErr w:type="gramStart"/>
      <w:r w:rsidRPr="00B95314">
        <w:rPr>
          <w:rFonts w:cs="Arial"/>
          <w:sz w:val="20"/>
          <w:szCs w:val="20"/>
        </w:rPr>
        <w:t>overly-pessimistic</w:t>
      </w:r>
      <w:proofErr w:type="gramEnd"/>
      <w:r w:rsidRPr="00B95314">
        <w:rPr>
          <w:rFonts w:cs="Arial"/>
          <w:sz w:val="20"/>
          <w:szCs w:val="20"/>
        </w:rPr>
        <w:t>, highlighting potential biases due to the trial being terminated early (albeit reflecting the robustness of the available data and in line with pre-planned criteria), and wrongly concluding that the evidence available was insufficient to demonstrate equivalence or non-inferiority.</w:t>
      </w:r>
      <w:r w:rsidR="004512BE">
        <w:rPr>
          <w:rFonts w:cs="Arial"/>
          <w:sz w:val="20"/>
          <w:szCs w:val="20"/>
        </w:rPr>
        <w:t xml:space="preserve"> This was an</w:t>
      </w:r>
      <w:r w:rsidRPr="00B95314">
        <w:rPr>
          <w:rFonts w:cs="Arial"/>
          <w:sz w:val="20"/>
          <w:szCs w:val="20"/>
        </w:rPr>
        <w:t xml:space="preserve"> unreasonable interpretation of the NMA results.</w:t>
      </w:r>
      <w:r w:rsidR="004512BE">
        <w:rPr>
          <w:rFonts w:cs="Arial"/>
          <w:sz w:val="20"/>
          <w:szCs w:val="20"/>
        </w:rPr>
        <w:t xml:space="preserve"> </w:t>
      </w:r>
      <w:r w:rsidRPr="00B95314">
        <w:rPr>
          <w:rFonts w:cs="Arial"/>
          <w:sz w:val="20"/>
          <w:szCs w:val="20"/>
        </w:rPr>
        <w:t>Requiring equivalence or non-inferiority goes beyond the argument of ‘similarity’ (</w:t>
      </w:r>
      <w:r w:rsidRPr="007821F2">
        <w:rPr>
          <w:rFonts w:cs="Arial"/>
          <w:i/>
          <w:iCs/>
          <w:sz w:val="20"/>
          <w:szCs w:val="20"/>
        </w:rPr>
        <w:t>i.e.,</w:t>
      </w:r>
      <w:r w:rsidRPr="00B95314">
        <w:rPr>
          <w:rFonts w:cs="Arial"/>
          <w:sz w:val="20"/>
          <w:szCs w:val="20"/>
        </w:rPr>
        <w:t xml:space="preserve"> no clinically meaningful differences) put forward by the company and which </w:t>
      </w:r>
      <w:r w:rsidR="004512BE">
        <w:rPr>
          <w:rFonts w:cs="Arial"/>
          <w:sz w:val="20"/>
          <w:szCs w:val="20"/>
        </w:rPr>
        <w:t xml:space="preserve">is </w:t>
      </w:r>
      <w:r w:rsidRPr="00B95314">
        <w:rPr>
          <w:rFonts w:cs="Arial"/>
          <w:sz w:val="20"/>
          <w:szCs w:val="20"/>
        </w:rPr>
        <w:t>also supported by clinicians</w:t>
      </w:r>
      <w:r w:rsidR="005A3196">
        <w:rPr>
          <w:rFonts w:cs="Arial"/>
          <w:sz w:val="20"/>
          <w:szCs w:val="20"/>
        </w:rPr>
        <w:t xml:space="preserve"> consulted by Regeneron</w:t>
      </w:r>
      <w:r w:rsidRPr="00B95314">
        <w:rPr>
          <w:rFonts w:cs="Arial"/>
          <w:sz w:val="20"/>
          <w:szCs w:val="20"/>
        </w:rPr>
        <w:t xml:space="preserve">, previously published meta-analyses and accepted by other HTA agencies and professional bodies. </w:t>
      </w:r>
    </w:p>
    <w:p w:rsidRPr="00B95314" w:rsidR="00E17660" w:rsidP="00FE0085" w:rsidRDefault="00E17660" w14:paraId="395EFF6A" w14:textId="4B2D2CE8">
      <w:pPr>
        <w:spacing w:before="120" w:after="120"/>
        <w:jc w:val="both"/>
        <w:rPr>
          <w:rFonts w:cs="Arial"/>
          <w:sz w:val="20"/>
          <w:szCs w:val="20"/>
        </w:rPr>
      </w:pPr>
      <w:r w:rsidRPr="00B95314">
        <w:rPr>
          <w:rFonts w:cs="Arial"/>
          <w:sz w:val="20"/>
          <w:szCs w:val="20"/>
        </w:rPr>
        <w:t xml:space="preserve">Regeneron is the first to recognize there were specific uncertainties that could potentially be addressed with additional analyses, </w:t>
      </w:r>
      <w:r w:rsidR="004512BE">
        <w:rPr>
          <w:rFonts w:cs="Arial"/>
          <w:sz w:val="20"/>
          <w:szCs w:val="20"/>
        </w:rPr>
        <w:t xml:space="preserve">but </w:t>
      </w:r>
      <w:r w:rsidRPr="00B95314">
        <w:rPr>
          <w:rFonts w:cs="Arial"/>
          <w:sz w:val="20"/>
          <w:szCs w:val="20"/>
        </w:rPr>
        <w:t>it is clear the Appraisal Committee could (and should) have been more pragmatic</w:t>
      </w:r>
      <w:r w:rsidR="004512BE">
        <w:rPr>
          <w:rFonts w:cs="Arial"/>
          <w:sz w:val="20"/>
          <w:szCs w:val="20"/>
        </w:rPr>
        <w:t xml:space="preserve"> especially, </w:t>
      </w:r>
      <w:r w:rsidRPr="00B95314">
        <w:rPr>
          <w:rFonts w:cs="Arial"/>
          <w:sz w:val="20"/>
          <w:szCs w:val="20"/>
        </w:rPr>
        <w:t>given (a) the pragmatic approach taken in similar appraisals, such as TA705</w:t>
      </w:r>
      <w:r w:rsidR="004512BE">
        <w:rPr>
          <w:rFonts w:cs="Arial"/>
          <w:sz w:val="20"/>
          <w:szCs w:val="20"/>
        </w:rPr>
        <w:t xml:space="preserve"> (see above).</w:t>
      </w:r>
    </w:p>
    <w:p w:rsidRPr="00B95314" w:rsidR="00E17660" w:rsidP="00FE0085" w:rsidRDefault="004512BE" w14:paraId="2357D887" w14:textId="2E7F9355">
      <w:pPr>
        <w:spacing w:before="120" w:after="120"/>
        <w:jc w:val="both"/>
        <w:rPr>
          <w:rFonts w:cs="Arial"/>
          <w:sz w:val="20"/>
          <w:szCs w:val="20"/>
        </w:rPr>
      </w:pPr>
      <w:r>
        <w:rPr>
          <w:rFonts w:cs="Arial"/>
          <w:sz w:val="20"/>
          <w:szCs w:val="20"/>
        </w:rPr>
        <w:t>T</w:t>
      </w:r>
      <w:r w:rsidRPr="00B95314" w:rsidR="00E17660">
        <w:rPr>
          <w:rFonts w:cs="Arial"/>
          <w:sz w:val="20"/>
          <w:szCs w:val="20"/>
        </w:rPr>
        <w:t>he Company’s responses to the DGD were comprehensive and aligned to the concerns expressed by the Committee (</w:t>
      </w:r>
      <w:r w:rsidRPr="007821F2" w:rsidR="00E17660">
        <w:rPr>
          <w:rFonts w:cs="Arial"/>
          <w:i/>
          <w:iCs/>
          <w:sz w:val="20"/>
          <w:szCs w:val="20"/>
        </w:rPr>
        <w:t>i.e.,</w:t>
      </w:r>
      <w:r w:rsidRPr="00B95314" w:rsidR="00E17660">
        <w:rPr>
          <w:rFonts w:cs="Arial"/>
          <w:sz w:val="20"/>
          <w:szCs w:val="20"/>
        </w:rPr>
        <w:t xml:space="preserve"> crossover, transitivity assumptions).  Regeneron was also open in acknowledging the limitations and remaining uncertainties that it was not feasible to address. The EAG’s review of the response was supportive, acknowledging the appropriateness of the company’s analyses</w:t>
      </w:r>
      <w:r>
        <w:rPr>
          <w:rFonts w:cs="Arial"/>
          <w:sz w:val="20"/>
          <w:szCs w:val="20"/>
        </w:rPr>
        <w:t xml:space="preserve">, and </w:t>
      </w:r>
      <w:r w:rsidRPr="00B95314" w:rsidR="00E17660">
        <w:rPr>
          <w:rFonts w:cs="Arial"/>
          <w:sz w:val="20"/>
          <w:szCs w:val="20"/>
        </w:rPr>
        <w:t>the EAG did not raise any major concerns with its analyses or provide different interpretations/conclusions.</w:t>
      </w:r>
    </w:p>
    <w:p w:rsidRPr="00B95314" w:rsidR="00E17660" w:rsidP="00FE0085" w:rsidRDefault="00E17660" w14:paraId="207658F8" w14:textId="3BB9E9BF">
      <w:pPr>
        <w:spacing w:before="120" w:after="120"/>
        <w:jc w:val="both"/>
        <w:rPr>
          <w:rFonts w:cs="Arial"/>
          <w:sz w:val="20"/>
          <w:szCs w:val="20"/>
        </w:rPr>
      </w:pPr>
      <w:r w:rsidRPr="00B95314">
        <w:rPr>
          <w:rFonts w:cs="Arial"/>
          <w:sz w:val="20"/>
          <w:szCs w:val="20"/>
        </w:rPr>
        <w:t xml:space="preserve">With the additional analyses presented by the company and the EAG’s seemingly </w:t>
      </w:r>
      <w:proofErr w:type="spellStart"/>
      <w:r w:rsidRPr="00B95314">
        <w:rPr>
          <w:rFonts w:cs="Arial"/>
          <w:sz w:val="20"/>
          <w:szCs w:val="20"/>
        </w:rPr>
        <w:t>favo</w:t>
      </w:r>
      <w:r w:rsidR="004512BE">
        <w:rPr>
          <w:rFonts w:cs="Arial"/>
          <w:sz w:val="20"/>
          <w:szCs w:val="20"/>
        </w:rPr>
        <w:t>u</w:t>
      </w:r>
      <w:r w:rsidRPr="00B95314">
        <w:rPr>
          <w:rFonts w:cs="Arial"/>
          <w:sz w:val="20"/>
          <w:szCs w:val="20"/>
        </w:rPr>
        <w:t>rable</w:t>
      </w:r>
      <w:proofErr w:type="spellEnd"/>
      <w:r w:rsidRPr="00B95314">
        <w:rPr>
          <w:rFonts w:cs="Arial"/>
          <w:sz w:val="20"/>
          <w:szCs w:val="20"/>
        </w:rPr>
        <w:t xml:space="preserve"> review of these, it would be reasonable to expect the Committee to undertake a balanced and pragmatic interpretation of the outcomes of the NMAs – </w:t>
      </w:r>
      <w:r w:rsidRPr="007821F2">
        <w:rPr>
          <w:rFonts w:cs="Arial"/>
          <w:i/>
          <w:iCs/>
          <w:sz w:val="20"/>
          <w:szCs w:val="20"/>
        </w:rPr>
        <w:t>i.e.,</w:t>
      </w:r>
      <w:r w:rsidRPr="00B95314">
        <w:rPr>
          <w:rFonts w:cs="Arial"/>
          <w:sz w:val="20"/>
          <w:szCs w:val="20"/>
        </w:rPr>
        <w:t xml:space="preserve"> acknowledging that some certainties remain but nonetheless taking the outcomes into account with respect to their acceptability for decision-making.</w:t>
      </w:r>
    </w:p>
    <w:p w:rsidRPr="00B95314" w:rsidR="00E17660" w:rsidP="00FE0085" w:rsidRDefault="00E17660" w14:paraId="66A09754" w14:textId="2BD9C984">
      <w:pPr>
        <w:spacing w:before="120" w:after="120"/>
        <w:jc w:val="both"/>
        <w:rPr>
          <w:rFonts w:cs="Arial"/>
          <w:sz w:val="20"/>
          <w:szCs w:val="20"/>
        </w:rPr>
      </w:pPr>
      <w:r w:rsidRPr="00B95314">
        <w:rPr>
          <w:rFonts w:cs="Arial"/>
          <w:sz w:val="20"/>
          <w:szCs w:val="20"/>
        </w:rPr>
        <w:t xml:space="preserve">An outright statement of unsuitability seems extraordinarily harsh in the circumstances, given the inherent uncertainties associated with evidence </w:t>
      </w:r>
      <w:proofErr w:type="gramStart"/>
      <w:r w:rsidRPr="00B95314">
        <w:rPr>
          <w:rFonts w:cs="Arial"/>
          <w:sz w:val="20"/>
          <w:szCs w:val="20"/>
        </w:rPr>
        <w:t>analyses</w:t>
      </w:r>
      <w:proofErr w:type="gramEnd"/>
      <w:r w:rsidRPr="00B95314">
        <w:rPr>
          <w:rFonts w:cs="Arial"/>
          <w:sz w:val="20"/>
          <w:szCs w:val="20"/>
        </w:rPr>
        <w:t xml:space="preserve"> in oncology. </w:t>
      </w:r>
      <w:r w:rsidR="004512BE">
        <w:rPr>
          <w:rFonts w:cs="Arial"/>
          <w:sz w:val="20"/>
          <w:szCs w:val="20"/>
        </w:rPr>
        <w:t xml:space="preserve">Further, </w:t>
      </w:r>
      <w:r w:rsidRPr="00B95314">
        <w:rPr>
          <w:rFonts w:cs="Arial"/>
          <w:sz w:val="20"/>
          <w:szCs w:val="20"/>
        </w:rPr>
        <w:t xml:space="preserve">the Committee has not acknowledged the input of the expert clinicians cited by the company or the interpretations of the same evidence provided by other external parties (published meta-analyses and other HTA </w:t>
      </w:r>
      <w:r w:rsidRPr="00B95314" w:rsidR="00CA521D">
        <w:rPr>
          <w:rFonts w:cs="Arial"/>
          <w:sz w:val="20"/>
          <w:szCs w:val="20"/>
        </w:rPr>
        <w:t>agencies)</w:t>
      </w:r>
      <w:r w:rsidR="004512BE">
        <w:rPr>
          <w:rFonts w:cs="Arial"/>
          <w:sz w:val="20"/>
          <w:szCs w:val="20"/>
        </w:rPr>
        <w:t>; and</w:t>
      </w:r>
      <w:r w:rsidR="00543C38">
        <w:rPr>
          <w:rFonts w:cs="Arial"/>
          <w:sz w:val="20"/>
          <w:szCs w:val="20"/>
        </w:rPr>
        <w:t xml:space="preserve">, </w:t>
      </w:r>
      <w:r w:rsidR="004512BE">
        <w:rPr>
          <w:rFonts w:cs="Arial"/>
          <w:sz w:val="20"/>
          <w:szCs w:val="20"/>
        </w:rPr>
        <w:t>it</w:t>
      </w:r>
      <w:r w:rsidRPr="00543C38" w:rsidR="00543C38">
        <w:rPr>
          <w:rFonts w:cs="Arial"/>
          <w:sz w:val="20"/>
          <w:szCs w:val="20"/>
        </w:rPr>
        <w:t xml:space="preserve"> </w:t>
      </w:r>
      <w:r w:rsidR="001A1C1C">
        <w:rPr>
          <w:rFonts w:cs="Arial"/>
          <w:sz w:val="20"/>
          <w:szCs w:val="20"/>
        </w:rPr>
        <w:t xml:space="preserve">did not </w:t>
      </w:r>
      <w:r w:rsidRPr="00543C38" w:rsidR="00543C38">
        <w:rPr>
          <w:rFonts w:cs="Arial"/>
          <w:sz w:val="20"/>
          <w:szCs w:val="20"/>
        </w:rPr>
        <w:t>provide any recommendations or guidance on how the perceived uncertainties in the NMA/MAIC analyses could have been addressed</w:t>
      </w:r>
      <w:r w:rsidR="004512BE">
        <w:rPr>
          <w:rFonts w:cs="Arial"/>
          <w:sz w:val="20"/>
          <w:szCs w:val="20"/>
        </w:rPr>
        <w:t>. This</w:t>
      </w:r>
      <w:r w:rsidR="004B6F17">
        <w:rPr>
          <w:rFonts w:cs="Arial"/>
          <w:sz w:val="20"/>
          <w:szCs w:val="20"/>
        </w:rPr>
        <w:t xml:space="preserve"> reinforces our </w:t>
      </w:r>
      <w:r w:rsidRPr="00543C38" w:rsidR="00543C38">
        <w:rPr>
          <w:rFonts w:cs="Arial"/>
          <w:sz w:val="20"/>
          <w:szCs w:val="20"/>
        </w:rPr>
        <w:t xml:space="preserve">concern that the Committee were so entrenched in </w:t>
      </w:r>
      <w:r w:rsidR="004512BE">
        <w:rPr>
          <w:rFonts w:cs="Arial"/>
          <w:sz w:val="20"/>
          <w:szCs w:val="20"/>
        </w:rPr>
        <w:t>its</w:t>
      </w:r>
      <w:r w:rsidRPr="00543C38" w:rsidR="00543C38">
        <w:rPr>
          <w:rFonts w:cs="Arial"/>
          <w:sz w:val="20"/>
          <w:szCs w:val="20"/>
        </w:rPr>
        <w:t xml:space="preserve"> view of the </w:t>
      </w:r>
      <w:proofErr w:type="gramStart"/>
      <w:r w:rsidRPr="00543C38" w:rsidR="00543C38">
        <w:rPr>
          <w:rFonts w:cs="Arial"/>
          <w:sz w:val="20"/>
          <w:szCs w:val="20"/>
        </w:rPr>
        <w:t>appropriately</w:t>
      </w:r>
      <w:proofErr w:type="gramEnd"/>
      <w:r w:rsidRPr="00543C38" w:rsidR="00543C38">
        <w:rPr>
          <w:rFonts w:cs="Arial"/>
          <w:sz w:val="20"/>
          <w:szCs w:val="20"/>
        </w:rPr>
        <w:t xml:space="preserve"> modelling approach and associated </w:t>
      </w:r>
      <w:proofErr w:type="gramStart"/>
      <w:r w:rsidRPr="00543C38" w:rsidR="00543C38">
        <w:rPr>
          <w:rFonts w:cs="Arial"/>
          <w:sz w:val="20"/>
          <w:szCs w:val="20"/>
        </w:rPr>
        <w:t>assumptions,</w:t>
      </w:r>
      <w:proofErr w:type="gramEnd"/>
      <w:r w:rsidRPr="00543C38" w:rsidR="00543C38">
        <w:rPr>
          <w:rFonts w:cs="Arial"/>
          <w:sz w:val="20"/>
          <w:szCs w:val="20"/>
        </w:rPr>
        <w:t xml:space="preserve"> that </w:t>
      </w:r>
      <w:r w:rsidR="004512BE">
        <w:rPr>
          <w:rFonts w:cs="Arial"/>
          <w:sz w:val="20"/>
          <w:szCs w:val="20"/>
        </w:rPr>
        <w:t>it</w:t>
      </w:r>
      <w:r w:rsidRPr="00543C38" w:rsidR="00543C38">
        <w:rPr>
          <w:rFonts w:cs="Arial"/>
          <w:sz w:val="20"/>
          <w:szCs w:val="20"/>
        </w:rPr>
        <w:t xml:space="preserve"> did not fully consider the additional analyses presented to </w:t>
      </w:r>
      <w:r w:rsidR="004512BE">
        <w:rPr>
          <w:rFonts w:cs="Arial"/>
          <w:sz w:val="20"/>
          <w:szCs w:val="20"/>
        </w:rPr>
        <w:t>it</w:t>
      </w:r>
      <w:r w:rsidRPr="00543C38" w:rsidR="00543C38">
        <w:rPr>
          <w:rFonts w:cs="Arial"/>
          <w:sz w:val="20"/>
          <w:szCs w:val="20"/>
        </w:rPr>
        <w:t>.</w:t>
      </w:r>
    </w:p>
    <w:p w:rsidRPr="00B95314" w:rsidR="00E17660" w:rsidP="009F3CFF" w:rsidRDefault="00E17660" w14:paraId="0C497185" w14:textId="77777777">
      <w:pPr>
        <w:spacing w:before="120" w:after="120"/>
        <w:rPr>
          <w:rFonts w:cs="Arial"/>
          <w:sz w:val="20"/>
          <w:szCs w:val="20"/>
        </w:rPr>
      </w:pPr>
      <w:r w:rsidRPr="00B95314">
        <w:rPr>
          <w:rFonts w:cs="Arial"/>
          <w:sz w:val="20"/>
          <w:szCs w:val="20"/>
        </w:rPr>
        <w:t>Regeneron submits that this is a wholly unreasonable treatment of the NMA evidence in the circumstances.</w:t>
      </w:r>
    </w:p>
    <w:p w:rsidRPr="00B95314" w:rsidR="00E17660" w:rsidP="009F3CFF" w:rsidRDefault="00E17660" w14:paraId="7894AE57" w14:textId="77777777">
      <w:pPr>
        <w:spacing w:before="120" w:after="120"/>
        <w:rPr>
          <w:rFonts w:cs="Arial"/>
          <w:sz w:val="20"/>
          <w:szCs w:val="20"/>
        </w:rPr>
      </w:pPr>
    </w:p>
    <w:p w:rsidRPr="007821F2" w:rsidR="00E17660" w:rsidP="007821F2" w:rsidRDefault="00E17660" w14:paraId="7AF13431" w14:textId="77777777">
      <w:pPr>
        <w:pStyle w:val="Heading2"/>
        <w:rPr>
          <w:rFonts w:cs="Arial"/>
          <w:b/>
          <w:bCs/>
          <w:i/>
          <w:iCs/>
          <w:sz w:val="20"/>
          <w:szCs w:val="20"/>
        </w:rPr>
      </w:pPr>
      <w:r w:rsidRPr="007821F2">
        <w:rPr>
          <w:rFonts w:ascii="Arial" w:hAnsi="Arial" w:cs="Arial"/>
          <w:b/>
          <w:bCs/>
          <w:i/>
          <w:iCs/>
          <w:sz w:val="20"/>
          <w:szCs w:val="20"/>
        </w:rPr>
        <w:t xml:space="preserve">Appeal Ground 2.4 – The Committee’s conclusions on the suitability of a cost-comparison analysis are unreasonable </w:t>
      </w:r>
      <w:proofErr w:type="gramStart"/>
      <w:r w:rsidRPr="007821F2">
        <w:rPr>
          <w:rFonts w:ascii="Arial" w:hAnsi="Arial" w:cs="Arial"/>
          <w:b/>
          <w:bCs/>
          <w:i/>
          <w:iCs/>
          <w:sz w:val="20"/>
          <w:szCs w:val="20"/>
        </w:rPr>
        <w:t>in light of</w:t>
      </w:r>
      <w:proofErr w:type="gramEnd"/>
      <w:r w:rsidRPr="007821F2">
        <w:rPr>
          <w:rFonts w:ascii="Arial" w:hAnsi="Arial" w:cs="Arial"/>
          <w:b/>
          <w:bCs/>
          <w:i/>
          <w:iCs/>
          <w:sz w:val="20"/>
          <w:szCs w:val="20"/>
        </w:rPr>
        <w:t xml:space="preserve"> the evidence submitted.</w:t>
      </w:r>
    </w:p>
    <w:p w:rsidRPr="00B95314" w:rsidR="00E17660" w:rsidP="00FE0085" w:rsidRDefault="00E17660" w14:paraId="5B2A5C6C" w14:textId="2D61FB95">
      <w:pPr>
        <w:spacing w:before="240" w:after="120"/>
        <w:jc w:val="both"/>
        <w:rPr>
          <w:rFonts w:cs="Arial"/>
          <w:sz w:val="20"/>
          <w:szCs w:val="20"/>
        </w:rPr>
      </w:pPr>
      <w:r w:rsidRPr="00B95314">
        <w:rPr>
          <w:rFonts w:cs="Arial"/>
          <w:sz w:val="20"/>
          <w:szCs w:val="20"/>
        </w:rPr>
        <w:t>In Section 3.8 of the FDG, the Committee concludes: “</w:t>
      </w:r>
      <w:r w:rsidRPr="007821F2">
        <w:rPr>
          <w:rFonts w:cs="Arial"/>
          <w:i/>
          <w:iCs/>
          <w:sz w:val="20"/>
          <w:szCs w:val="20"/>
        </w:rPr>
        <w:t>the evidence for clinical similarity was not robust enough for a cost-comparison analysis</w:t>
      </w:r>
      <w:r w:rsidRPr="00B95314">
        <w:rPr>
          <w:rFonts w:cs="Arial"/>
          <w:sz w:val="20"/>
          <w:szCs w:val="20"/>
        </w:rPr>
        <w:t>.” We submit that the Committee reaches such a conclusion because of an illogical and dogmatic insistence on certain preferred approaches, an unjustified and narrow-minded attitude to the alternative approaches Regeneron suggested, and an unreasonable assessment of the evidence available.</w:t>
      </w:r>
    </w:p>
    <w:p w:rsidRPr="007821F2" w:rsidR="00E17660" w:rsidP="00AD283A" w:rsidRDefault="00E17660" w14:paraId="4439B364" w14:textId="77777777">
      <w:pPr>
        <w:keepNext/>
        <w:keepLines/>
        <w:spacing w:before="120" w:after="120"/>
        <w:ind w:left="709" w:hanging="425"/>
        <w:rPr>
          <w:rFonts w:cs="Arial"/>
          <w:b/>
          <w:bCs/>
          <w:i/>
          <w:iCs/>
          <w:sz w:val="20"/>
          <w:szCs w:val="20"/>
        </w:rPr>
      </w:pPr>
      <w:r w:rsidRPr="007821F2">
        <w:rPr>
          <w:rFonts w:cs="Arial"/>
          <w:b/>
          <w:bCs/>
          <w:i/>
          <w:iCs/>
          <w:sz w:val="20"/>
          <w:szCs w:val="20"/>
        </w:rPr>
        <w:t>1.</w:t>
      </w:r>
      <w:r w:rsidRPr="007821F2">
        <w:rPr>
          <w:rFonts w:cs="Arial"/>
          <w:b/>
          <w:bCs/>
          <w:i/>
          <w:iCs/>
          <w:sz w:val="20"/>
          <w:szCs w:val="20"/>
        </w:rPr>
        <w:tab/>
      </w:r>
      <w:r w:rsidRPr="007821F2">
        <w:rPr>
          <w:rFonts w:cs="Arial"/>
          <w:b/>
          <w:bCs/>
          <w:i/>
          <w:iCs/>
          <w:sz w:val="20"/>
          <w:szCs w:val="20"/>
        </w:rPr>
        <w:t>The Cost-Comparison Analysis Regeneron Submitted</w:t>
      </w:r>
    </w:p>
    <w:p w:rsidRPr="00B95314" w:rsidR="00E17660" w:rsidP="00FE0085" w:rsidRDefault="00E17660" w14:paraId="4CD609E4" w14:textId="77777777">
      <w:pPr>
        <w:keepNext/>
        <w:keepLines/>
        <w:spacing w:before="120" w:after="120"/>
        <w:jc w:val="both"/>
        <w:rPr>
          <w:rFonts w:cs="Arial"/>
          <w:sz w:val="20"/>
          <w:szCs w:val="20"/>
        </w:rPr>
      </w:pPr>
      <w:r w:rsidRPr="00B95314">
        <w:rPr>
          <w:rFonts w:cs="Arial"/>
          <w:sz w:val="20"/>
          <w:szCs w:val="20"/>
        </w:rPr>
        <w:t xml:space="preserve">Regeneron provided a cost comparison analysis based on a weight of evidence from clinical expert opinion, clinical guidelines, NMAs, </w:t>
      </w:r>
      <w:proofErr w:type="gramStart"/>
      <w:r w:rsidRPr="00B95314">
        <w:rPr>
          <w:rFonts w:cs="Arial"/>
          <w:sz w:val="20"/>
          <w:szCs w:val="20"/>
        </w:rPr>
        <w:t>and also</w:t>
      </w:r>
      <w:proofErr w:type="gramEnd"/>
      <w:r w:rsidRPr="00B95314">
        <w:rPr>
          <w:rFonts w:cs="Arial"/>
          <w:sz w:val="20"/>
          <w:szCs w:val="20"/>
        </w:rPr>
        <w:t xml:space="preserve"> MAIC analyses, that show the similarity in treatment effects for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w:t>
      </w:r>
    </w:p>
    <w:p w:rsidRPr="00B95314" w:rsidR="00E17660" w:rsidP="00FE0085" w:rsidRDefault="00E17660" w14:paraId="09FE4605" w14:textId="09B6A2DB">
      <w:pPr>
        <w:pStyle w:val="ListParagraph"/>
        <w:numPr>
          <w:ilvl w:val="0"/>
          <w:numId w:val="1"/>
        </w:numPr>
        <w:ind w:left="998" w:hanging="352"/>
        <w:jc w:val="both"/>
        <w:rPr>
          <w:rFonts w:cs="Arial"/>
          <w:sz w:val="20"/>
          <w:szCs w:val="20"/>
        </w:rPr>
      </w:pPr>
      <w:r w:rsidRPr="00B95314">
        <w:rPr>
          <w:rFonts w:cs="Arial"/>
          <w:sz w:val="20"/>
          <w:szCs w:val="20"/>
        </w:rPr>
        <w:t xml:space="preserve">All available evidence indicates there are no clinically meaningful differences in PFS and OS. The Committee’s strict statistical interpretation of </w:t>
      </w:r>
      <w:r w:rsidR="00E848CA">
        <w:rPr>
          <w:rFonts w:cs="Arial"/>
          <w:sz w:val="20"/>
          <w:szCs w:val="20"/>
        </w:rPr>
        <w:t xml:space="preserve">the </w:t>
      </w:r>
      <w:r w:rsidRPr="00B95314">
        <w:rPr>
          <w:rFonts w:cs="Arial"/>
          <w:sz w:val="20"/>
          <w:szCs w:val="20"/>
        </w:rPr>
        <w:t xml:space="preserve">original NMA, its suggestion of potential biases due to the </w:t>
      </w:r>
      <w:r w:rsidR="00E848CA">
        <w:rPr>
          <w:rFonts w:cs="Arial"/>
          <w:sz w:val="20"/>
          <w:szCs w:val="20"/>
        </w:rPr>
        <w:t xml:space="preserve">early termination of </w:t>
      </w:r>
      <w:r w:rsidRPr="00B95314">
        <w:rPr>
          <w:rFonts w:cs="Arial"/>
          <w:sz w:val="20"/>
          <w:szCs w:val="20"/>
        </w:rPr>
        <w:t>EMPOWER Lung 3 trial (in line with pre-planned criteria</w:t>
      </w:r>
      <w:proofErr w:type="gramStart"/>
      <w:r w:rsidRPr="00B95314">
        <w:rPr>
          <w:rFonts w:cs="Arial"/>
          <w:sz w:val="20"/>
          <w:szCs w:val="20"/>
        </w:rPr>
        <w:t>), and</w:t>
      </w:r>
      <w:proofErr w:type="gramEnd"/>
      <w:r w:rsidRPr="00B95314">
        <w:rPr>
          <w:rFonts w:cs="Arial"/>
          <w:sz w:val="20"/>
          <w:szCs w:val="20"/>
        </w:rPr>
        <w:t xml:space="preserve"> implying that the evidence was </w:t>
      </w:r>
      <w:r w:rsidR="00E848CA">
        <w:rPr>
          <w:rFonts w:cs="Arial"/>
          <w:sz w:val="20"/>
          <w:szCs w:val="20"/>
        </w:rPr>
        <w:t>in</w:t>
      </w:r>
      <w:r w:rsidRPr="00B95314">
        <w:rPr>
          <w:rFonts w:cs="Arial"/>
          <w:sz w:val="20"/>
          <w:szCs w:val="20"/>
        </w:rPr>
        <w:t>sufficient to demonstrate equivalence or non-inferiority, goes beyond the argument of clinical “similarity.” It is unclear if</w:t>
      </w:r>
      <w:r w:rsidR="00E848CA">
        <w:rPr>
          <w:rFonts w:cs="Arial"/>
          <w:sz w:val="20"/>
          <w:szCs w:val="20"/>
        </w:rPr>
        <w:t>,</w:t>
      </w:r>
      <w:r w:rsidRPr="00B95314">
        <w:rPr>
          <w:rFonts w:cs="Arial"/>
          <w:sz w:val="20"/>
          <w:szCs w:val="20"/>
        </w:rPr>
        <w:t xml:space="preserve"> or how</w:t>
      </w:r>
      <w:r w:rsidR="00E848CA">
        <w:rPr>
          <w:rFonts w:cs="Arial"/>
          <w:sz w:val="20"/>
          <w:szCs w:val="20"/>
        </w:rPr>
        <w:t>,</w:t>
      </w:r>
      <w:r w:rsidRPr="00B95314">
        <w:rPr>
          <w:rFonts w:cs="Arial"/>
          <w:sz w:val="20"/>
          <w:szCs w:val="20"/>
        </w:rPr>
        <w:t xml:space="preserve"> the Committee considered the views of clinical experts and clinical guideline recommendations alongside this overly strict statistical interpretation of the data. </w:t>
      </w:r>
    </w:p>
    <w:p w:rsidRPr="00B95314" w:rsidR="00E848CA" w:rsidP="00FE0085" w:rsidRDefault="00E17660" w14:paraId="054F15F0" w14:textId="646F0C71">
      <w:pPr>
        <w:pStyle w:val="ListParagraph"/>
        <w:numPr>
          <w:ilvl w:val="0"/>
          <w:numId w:val="1"/>
        </w:numPr>
        <w:ind w:left="998" w:hanging="352"/>
        <w:contextualSpacing w:val="0"/>
        <w:jc w:val="both"/>
        <w:rPr>
          <w:rFonts w:cs="Arial"/>
          <w:sz w:val="20"/>
          <w:szCs w:val="20"/>
        </w:rPr>
      </w:pPr>
      <w:r w:rsidRPr="00B95314">
        <w:rPr>
          <w:rFonts w:cs="Arial"/>
          <w:sz w:val="20"/>
          <w:szCs w:val="20"/>
        </w:rPr>
        <w:t>Even if the Committee considered that the comparative OS data are of insufficient certainty alone, on the reasonable conclusion from all available evidence that PFS is equal, and the Committee’s own conclusion that post- progression survival is equal, then OS must also be assumed to be equal.</w:t>
      </w:r>
    </w:p>
    <w:p w:rsidRPr="00FE0085" w:rsidR="00E17660" w:rsidP="00FE0085" w:rsidRDefault="00E17660" w14:paraId="441F1C5A" w14:textId="2A3EB077">
      <w:pPr>
        <w:pStyle w:val="ListParagraph"/>
        <w:numPr>
          <w:ilvl w:val="0"/>
          <w:numId w:val="1"/>
        </w:numPr>
        <w:ind w:left="998" w:hanging="352"/>
        <w:contextualSpacing w:val="0"/>
        <w:jc w:val="both"/>
        <w:rPr>
          <w:rFonts w:cs="Arial"/>
          <w:sz w:val="20"/>
          <w:szCs w:val="20"/>
        </w:rPr>
      </w:pPr>
      <w:r w:rsidRPr="00FE0085">
        <w:rPr>
          <w:rFonts w:cs="Arial"/>
          <w:sz w:val="20"/>
          <w:szCs w:val="20"/>
        </w:rPr>
        <w:t>With the reasonable conclusion of equal PFS, equal post-progression survival and equal OS, the committee’s conclusion that “</w:t>
      </w:r>
      <w:r w:rsidRPr="007821F2">
        <w:rPr>
          <w:rFonts w:cs="Arial"/>
          <w:i/>
          <w:iCs/>
          <w:sz w:val="20"/>
          <w:szCs w:val="20"/>
        </w:rPr>
        <w:t>[…]</w:t>
      </w:r>
      <w:r w:rsidR="00595E38">
        <w:rPr>
          <w:rFonts w:cs="Arial"/>
          <w:i/>
          <w:iCs/>
          <w:sz w:val="20"/>
          <w:szCs w:val="20"/>
        </w:rPr>
        <w:t xml:space="preserve"> </w:t>
      </w:r>
      <w:r w:rsidRPr="007821F2">
        <w:rPr>
          <w:rFonts w:cs="Arial"/>
          <w:i/>
          <w:iCs/>
          <w:sz w:val="20"/>
          <w:szCs w:val="20"/>
        </w:rPr>
        <w:t>the evidence for clinical similarity was not robust enough for a cost comparison analysis</w:t>
      </w:r>
      <w:r w:rsidRPr="00FE0085">
        <w:rPr>
          <w:rFonts w:cs="Arial"/>
          <w:sz w:val="20"/>
          <w:szCs w:val="20"/>
        </w:rPr>
        <w:t xml:space="preserve">” is unreasonable. </w:t>
      </w:r>
    </w:p>
    <w:p w:rsidRPr="00B95314" w:rsidR="00E17660" w:rsidP="00FE0085" w:rsidRDefault="00E17660" w14:paraId="788F7618" w14:textId="364FBB66">
      <w:pPr>
        <w:pStyle w:val="ListParagraph"/>
        <w:numPr>
          <w:ilvl w:val="0"/>
          <w:numId w:val="1"/>
        </w:numPr>
        <w:ind w:left="998" w:hanging="352"/>
        <w:contextualSpacing w:val="0"/>
        <w:jc w:val="both"/>
        <w:rPr>
          <w:rFonts w:cs="Arial"/>
          <w:sz w:val="20"/>
          <w:szCs w:val="20"/>
        </w:rPr>
      </w:pPr>
      <w:r w:rsidRPr="00B95314">
        <w:rPr>
          <w:rFonts w:cs="Arial"/>
          <w:sz w:val="20"/>
          <w:szCs w:val="20"/>
        </w:rPr>
        <w:t xml:space="preserve">This analysis clearly shows the potential for </w:t>
      </w:r>
      <w:proofErr w:type="spellStart"/>
      <w:r w:rsidRPr="00B95314">
        <w:rPr>
          <w:rFonts w:cs="Arial"/>
          <w:sz w:val="20"/>
          <w:szCs w:val="20"/>
        </w:rPr>
        <w:t>cemiplimab</w:t>
      </w:r>
      <w:proofErr w:type="spellEnd"/>
      <w:r w:rsidRPr="00B95314">
        <w:rPr>
          <w:rFonts w:cs="Arial"/>
          <w:sz w:val="20"/>
          <w:szCs w:val="20"/>
        </w:rPr>
        <w:t xml:space="preserve"> to be cost saving.</w:t>
      </w:r>
    </w:p>
    <w:p w:rsidRPr="007821F2" w:rsidR="00E17660" w:rsidP="00FE0085" w:rsidRDefault="00E17660" w14:paraId="2E64CE9E" w14:textId="0B038D5F">
      <w:pPr>
        <w:spacing w:before="120" w:after="120"/>
        <w:ind w:left="709" w:hanging="425"/>
        <w:jc w:val="both"/>
        <w:rPr>
          <w:rFonts w:cs="Arial"/>
          <w:b/>
          <w:bCs/>
          <w:i/>
          <w:iCs/>
          <w:sz w:val="20"/>
          <w:szCs w:val="20"/>
        </w:rPr>
      </w:pPr>
      <w:r w:rsidRPr="007821F2">
        <w:rPr>
          <w:rFonts w:cs="Arial"/>
          <w:b/>
          <w:bCs/>
          <w:i/>
          <w:iCs/>
          <w:sz w:val="20"/>
          <w:szCs w:val="20"/>
        </w:rPr>
        <w:t>2.</w:t>
      </w:r>
      <w:r w:rsidRPr="007821F2">
        <w:rPr>
          <w:rFonts w:cs="Arial"/>
          <w:b/>
          <w:bCs/>
          <w:i/>
          <w:iCs/>
          <w:sz w:val="20"/>
          <w:szCs w:val="20"/>
        </w:rPr>
        <w:tab/>
      </w:r>
      <w:r w:rsidRPr="007821F2">
        <w:rPr>
          <w:rFonts w:cs="Arial"/>
          <w:b/>
          <w:bCs/>
          <w:i/>
          <w:iCs/>
          <w:sz w:val="20"/>
          <w:szCs w:val="20"/>
        </w:rPr>
        <w:t>The Committee’s insistence upon Markov modelling is essentially a “straw man” with respect to the suitability of a cost-comparison approach</w:t>
      </w:r>
    </w:p>
    <w:p w:rsidRPr="00B95314" w:rsidR="00E17660" w:rsidP="00FE0085" w:rsidRDefault="00E17660" w14:paraId="6C57584A" w14:textId="35A54C4D">
      <w:pPr>
        <w:spacing w:before="120" w:after="120"/>
        <w:jc w:val="both"/>
        <w:rPr>
          <w:rFonts w:cs="Arial"/>
          <w:sz w:val="20"/>
          <w:szCs w:val="20"/>
        </w:rPr>
      </w:pPr>
      <w:r w:rsidRPr="00B95314">
        <w:rPr>
          <w:rFonts w:cs="Arial"/>
          <w:sz w:val="20"/>
          <w:szCs w:val="20"/>
        </w:rPr>
        <w:t xml:space="preserve">The Committee’s preferred Markov model would not have changed the conclusions that can be drawn from the </w:t>
      </w:r>
      <w:proofErr w:type="gramStart"/>
      <w:r w:rsidRPr="00B95314">
        <w:rPr>
          <w:rFonts w:cs="Arial"/>
          <w:sz w:val="20"/>
          <w:szCs w:val="20"/>
        </w:rPr>
        <w:t>analyses</w:t>
      </w:r>
      <w:proofErr w:type="gramEnd"/>
      <w:r w:rsidRPr="00B95314">
        <w:rPr>
          <w:rFonts w:cs="Arial"/>
          <w:sz w:val="20"/>
          <w:szCs w:val="20"/>
        </w:rPr>
        <w:t xml:space="preserve"> that the company had provided:</w:t>
      </w:r>
    </w:p>
    <w:p w:rsidRPr="00B95314" w:rsidR="00E17660" w:rsidP="00FE0085" w:rsidRDefault="00E17660" w14:paraId="6FFE30A7" w14:textId="59D89AF8">
      <w:pPr>
        <w:pStyle w:val="ListParagraph"/>
        <w:numPr>
          <w:ilvl w:val="0"/>
          <w:numId w:val="1"/>
        </w:numPr>
        <w:spacing w:before="120" w:after="120"/>
        <w:ind w:left="998" w:hanging="352"/>
        <w:jc w:val="both"/>
        <w:rPr>
          <w:rFonts w:cs="Arial"/>
          <w:sz w:val="20"/>
          <w:szCs w:val="20"/>
        </w:rPr>
      </w:pPr>
      <w:r w:rsidRPr="00B95314">
        <w:rPr>
          <w:rFonts w:cs="Arial"/>
          <w:sz w:val="20"/>
          <w:szCs w:val="20"/>
        </w:rPr>
        <w:t xml:space="preserve">There is no rationale for adopting the NMA-based PFS data, which are plausibly biased in </w:t>
      </w:r>
      <w:proofErr w:type="spellStart"/>
      <w:r w:rsidRPr="00B95314">
        <w:rPr>
          <w:rFonts w:cs="Arial"/>
          <w:sz w:val="20"/>
          <w:szCs w:val="20"/>
        </w:rPr>
        <w:t>favour</w:t>
      </w:r>
      <w:proofErr w:type="spellEnd"/>
      <w:r w:rsidRPr="00B95314">
        <w:rPr>
          <w:rFonts w:cs="Arial"/>
          <w:sz w:val="20"/>
          <w:szCs w:val="20"/>
        </w:rPr>
        <w:t xml:space="preserve"> of pembrolizumab, </w:t>
      </w:r>
      <w:r w:rsidR="001E383D">
        <w:rPr>
          <w:rFonts w:cs="Arial"/>
          <w:sz w:val="20"/>
          <w:szCs w:val="20"/>
        </w:rPr>
        <w:t>and</w:t>
      </w:r>
      <w:r w:rsidRPr="00B95314">
        <w:rPr>
          <w:rFonts w:cs="Arial"/>
          <w:sz w:val="20"/>
          <w:szCs w:val="20"/>
        </w:rPr>
        <w:t xml:space="preserve"> the MAIC-based PFS data that specifically adjusts for that bias</w:t>
      </w:r>
      <w:r w:rsidR="001E09EF">
        <w:rPr>
          <w:rFonts w:cs="Arial"/>
          <w:sz w:val="20"/>
          <w:szCs w:val="20"/>
        </w:rPr>
        <w:t>.</w:t>
      </w:r>
    </w:p>
    <w:p w:rsidRPr="00B95314" w:rsidR="00E17660" w:rsidP="00FE0085" w:rsidRDefault="00E17660" w14:paraId="743B9E15" w14:textId="097F6F0A">
      <w:pPr>
        <w:pStyle w:val="ListParagraph"/>
        <w:numPr>
          <w:ilvl w:val="0"/>
          <w:numId w:val="1"/>
        </w:numPr>
        <w:spacing w:before="120" w:after="120"/>
        <w:ind w:left="998" w:hanging="352"/>
        <w:jc w:val="both"/>
        <w:rPr>
          <w:rFonts w:cs="Arial"/>
          <w:sz w:val="20"/>
          <w:szCs w:val="20"/>
        </w:rPr>
      </w:pPr>
      <w:r w:rsidRPr="00B95314">
        <w:rPr>
          <w:rFonts w:cs="Arial"/>
          <w:sz w:val="20"/>
          <w:szCs w:val="20"/>
        </w:rPr>
        <w:t xml:space="preserve">As the Committee has concluded that the Markov model should assume equal post progression survival, the reasonable adoption of the MAIC-based PFS data in the requested Markov model would have resulted in greater QALY gains for </w:t>
      </w:r>
      <w:proofErr w:type="spellStart"/>
      <w:r w:rsidRPr="00B95314">
        <w:rPr>
          <w:rFonts w:cs="Arial"/>
          <w:sz w:val="20"/>
          <w:szCs w:val="20"/>
        </w:rPr>
        <w:t>cemiplimab</w:t>
      </w:r>
      <w:proofErr w:type="spellEnd"/>
      <w:r w:rsidRPr="00B95314">
        <w:rPr>
          <w:rFonts w:cs="Arial"/>
          <w:sz w:val="20"/>
          <w:szCs w:val="20"/>
        </w:rPr>
        <w:t xml:space="preserve"> plus chemotherapy than for pembrolizumab plus chemotherapy. A Markov model is not needed to determine that would be the case</w:t>
      </w:r>
      <w:r w:rsidR="005771E0">
        <w:rPr>
          <w:rFonts w:cs="Arial"/>
          <w:sz w:val="20"/>
          <w:szCs w:val="20"/>
        </w:rPr>
        <w:t>.</w:t>
      </w:r>
    </w:p>
    <w:p w:rsidRPr="00B95314" w:rsidR="00E17660" w:rsidP="00FE0085" w:rsidRDefault="00E17660" w14:paraId="7D62031B" w14:textId="2BCB6FDB">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All </w:t>
      </w:r>
      <w:proofErr w:type="gramStart"/>
      <w:r w:rsidR="001E383D">
        <w:rPr>
          <w:rFonts w:cs="Arial"/>
          <w:sz w:val="20"/>
          <w:szCs w:val="20"/>
        </w:rPr>
        <w:t xml:space="preserve">provided </w:t>
      </w:r>
      <w:r w:rsidRPr="00B95314">
        <w:rPr>
          <w:rFonts w:cs="Arial"/>
          <w:sz w:val="20"/>
          <w:szCs w:val="20"/>
        </w:rPr>
        <w:t>analyses</w:t>
      </w:r>
      <w:proofErr w:type="gramEnd"/>
      <w:r w:rsidRPr="00B95314">
        <w:rPr>
          <w:rFonts w:cs="Arial"/>
          <w:sz w:val="20"/>
          <w:szCs w:val="20"/>
        </w:rPr>
        <w:t xml:space="preserve"> demonstrate the plausible potential for </w:t>
      </w:r>
      <w:proofErr w:type="spellStart"/>
      <w:r w:rsidRPr="00B95314">
        <w:rPr>
          <w:rFonts w:cs="Arial"/>
          <w:sz w:val="20"/>
          <w:szCs w:val="20"/>
        </w:rPr>
        <w:t>cemiplimab</w:t>
      </w:r>
      <w:proofErr w:type="spellEnd"/>
      <w:r w:rsidRPr="00B95314">
        <w:rPr>
          <w:rFonts w:cs="Arial"/>
          <w:sz w:val="20"/>
          <w:szCs w:val="20"/>
        </w:rPr>
        <w:t xml:space="preserve"> to be cost effective.</w:t>
      </w:r>
    </w:p>
    <w:p w:rsidRPr="00B95314" w:rsidR="00E17660" w:rsidP="00FE0085" w:rsidRDefault="00E17660" w14:paraId="0306DDB5" w14:textId="38E2C41E">
      <w:pPr>
        <w:spacing w:before="120" w:after="120"/>
        <w:jc w:val="both"/>
        <w:rPr>
          <w:rFonts w:cs="Arial"/>
          <w:sz w:val="20"/>
          <w:szCs w:val="20"/>
        </w:rPr>
      </w:pPr>
      <w:r w:rsidRPr="00B95314">
        <w:rPr>
          <w:rFonts w:cs="Arial"/>
          <w:sz w:val="20"/>
          <w:szCs w:val="20"/>
        </w:rPr>
        <w:t>The Committee’s conclusion in the FDG, section 3.17, that: “</w:t>
      </w:r>
      <w:r w:rsidRPr="007821F2">
        <w:rPr>
          <w:rFonts w:cs="Arial"/>
          <w:i/>
          <w:iCs/>
          <w:sz w:val="20"/>
          <w:szCs w:val="20"/>
        </w:rPr>
        <w:t>Because of the critical uncertainties in the economic modelling, and because it had not been presented with the analysis needed to define its preferences, the Committee concluded that the available cost-effectiveness estimates were not suitable for decision making</w:t>
      </w:r>
      <w:r w:rsidRPr="00B95314">
        <w:rPr>
          <w:rFonts w:cs="Arial"/>
          <w:sz w:val="20"/>
          <w:szCs w:val="20"/>
        </w:rPr>
        <w:t>” is therefore unreasonable.</w:t>
      </w:r>
    </w:p>
    <w:p w:rsidRPr="007821F2" w:rsidR="00E17660" w:rsidP="00FE0085" w:rsidRDefault="00E17660" w14:paraId="341E8F9F" w14:textId="225334C1">
      <w:pPr>
        <w:spacing w:before="120" w:after="120"/>
        <w:ind w:left="709" w:hanging="425"/>
        <w:jc w:val="both"/>
        <w:rPr>
          <w:rFonts w:cs="Arial"/>
          <w:b/>
          <w:bCs/>
          <w:i/>
          <w:iCs/>
          <w:sz w:val="20"/>
          <w:szCs w:val="20"/>
        </w:rPr>
      </w:pPr>
      <w:r w:rsidRPr="007821F2">
        <w:rPr>
          <w:rFonts w:cs="Arial"/>
          <w:b/>
          <w:bCs/>
          <w:i/>
          <w:iCs/>
          <w:sz w:val="20"/>
          <w:szCs w:val="20"/>
        </w:rPr>
        <w:t>3.</w:t>
      </w:r>
      <w:r w:rsidRPr="007821F2">
        <w:rPr>
          <w:rFonts w:cs="Arial"/>
          <w:b/>
          <w:bCs/>
          <w:i/>
          <w:iCs/>
          <w:sz w:val="20"/>
          <w:szCs w:val="20"/>
        </w:rPr>
        <w:tab/>
      </w:r>
      <w:r w:rsidRPr="007821F2">
        <w:rPr>
          <w:rFonts w:cs="Arial"/>
          <w:b/>
          <w:bCs/>
          <w:i/>
          <w:iCs/>
          <w:sz w:val="20"/>
          <w:szCs w:val="20"/>
        </w:rPr>
        <w:t xml:space="preserve">The Committee unreasonably failed to consider the impact the MAIC-based PFS data would have on </w:t>
      </w:r>
      <w:r w:rsidR="00982163">
        <w:rPr>
          <w:rFonts w:cs="Arial"/>
          <w:b/>
          <w:bCs/>
          <w:i/>
          <w:iCs/>
          <w:sz w:val="20"/>
          <w:szCs w:val="20"/>
        </w:rPr>
        <w:t>the</w:t>
      </w:r>
      <w:r w:rsidRPr="007821F2">
        <w:rPr>
          <w:rFonts w:cs="Arial"/>
          <w:b/>
          <w:bCs/>
          <w:i/>
          <w:iCs/>
          <w:sz w:val="20"/>
          <w:szCs w:val="20"/>
        </w:rPr>
        <w:t xml:space="preserve"> </w:t>
      </w:r>
      <w:r w:rsidRPr="007821F2" w:rsidR="008023D3">
        <w:rPr>
          <w:rFonts w:cs="Arial"/>
          <w:b/>
          <w:bCs/>
          <w:i/>
          <w:iCs/>
          <w:sz w:val="20"/>
          <w:szCs w:val="20"/>
        </w:rPr>
        <w:t>appropriateness/relevance of</w:t>
      </w:r>
      <w:r w:rsidRPr="007821F2">
        <w:rPr>
          <w:rFonts w:cs="Arial"/>
          <w:b/>
          <w:bCs/>
          <w:i/>
          <w:iCs/>
          <w:sz w:val="20"/>
          <w:szCs w:val="20"/>
        </w:rPr>
        <w:t xml:space="preserve"> a cost-comparison approach, and as a result arrived at internally inconsistent and illogical conclusions.</w:t>
      </w:r>
    </w:p>
    <w:p w:rsidRPr="00B95314" w:rsidR="00E17660" w:rsidP="00FE0085" w:rsidRDefault="00E17660" w14:paraId="310520A0" w14:textId="04DEF5A2">
      <w:pPr>
        <w:spacing w:before="120" w:after="120"/>
        <w:jc w:val="both"/>
        <w:rPr>
          <w:rFonts w:cs="Arial"/>
          <w:sz w:val="20"/>
          <w:szCs w:val="20"/>
        </w:rPr>
      </w:pPr>
      <w:r w:rsidRPr="00B95314">
        <w:rPr>
          <w:rFonts w:cs="Arial"/>
          <w:sz w:val="20"/>
          <w:szCs w:val="20"/>
        </w:rPr>
        <w:t xml:space="preserve">With the available evidence, it was unreasonable for the Appraisal Committee not to consider the impact the MAIC-based PFS data would have for its preferred modelling approach and on the acceptability of a cost comparison approach.  </w:t>
      </w:r>
    </w:p>
    <w:p w:rsidRPr="00B95314" w:rsidR="00E17660" w:rsidP="009F3CFF" w:rsidRDefault="00E17660" w14:paraId="14E69844" w14:textId="15234371">
      <w:pPr>
        <w:spacing w:before="120" w:after="120"/>
        <w:rPr>
          <w:rFonts w:cs="Arial"/>
          <w:sz w:val="20"/>
          <w:szCs w:val="20"/>
        </w:rPr>
      </w:pPr>
      <w:r w:rsidRPr="00B95314">
        <w:rPr>
          <w:rFonts w:cs="Arial"/>
          <w:sz w:val="20"/>
          <w:szCs w:val="20"/>
        </w:rPr>
        <w:t>There are various aspects to this:</w:t>
      </w:r>
    </w:p>
    <w:p w:rsidRPr="00B95314" w:rsidR="00E17660" w:rsidP="00FE0085" w:rsidRDefault="00E17660" w14:paraId="6D6C314E" w14:textId="77777777">
      <w:pPr>
        <w:spacing w:before="120" w:after="120"/>
        <w:ind w:left="709" w:hanging="425"/>
        <w:jc w:val="both"/>
        <w:rPr>
          <w:rFonts w:cs="Arial"/>
          <w:sz w:val="20"/>
          <w:szCs w:val="20"/>
        </w:rPr>
      </w:pPr>
      <w:r w:rsidRPr="00B95314">
        <w:rPr>
          <w:rFonts w:cs="Arial"/>
          <w:sz w:val="20"/>
          <w:szCs w:val="20"/>
        </w:rPr>
        <w:t>1.</w:t>
      </w:r>
      <w:r w:rsidRPr="00B95314">
        <w:rPr>
          <w:rFonts w:cs="Arial"/>
          <w:sz w:val="20"/>
          <w:szCs w:val="20"/>
        </w:rPr>
        <w:tab/>
      </w:r>
      <w:r w:rsidRPr="00B95314">
        <w:rPr>
          <w:rFonts w:cs="Arial"/>
          <w:sz w:val="20"/>
          <w:szCs w:val="20"/>
        </w:rPr>
        <w:t xml:space="preserve">MAIC analyses were provided that adjusted as far as possible for the differences in treatment effect </w:t>
      </w:r>
      <w:proofErr w:type="gramStart"/>
      <w:r w:rsidRPr="00B95314">
        <w:rPr>
          <w:rFonts w:cs="Arial"/>
          <w:sz w:val="20"/>
          <w:szCs w:val="20"/>
        </w:rPr>
        <w:t>modifiers, and</w:t>
      </w:r>
      <w:proofErr w:type="gramEnd"/>
      <w:r w:rsidRPr="00B95314">
        <w:rPr>
          <w:rFonts w:cs="Arial"/>
          <w:sz w:val="20"/>
          <w:szCs w:val="20"/>
        </w:rPr>
        <w:t xml:space="preserve"> demonstrated that the NMA-based PFS treatment effect estimates were plausibly biased in </w:t>
      </w:r>
      <w:proofErr w:type="spellStart"/>
      <w:r w:rsidRPr="00B95314">
        <w:rPr>
          <w:rFonts w:cs="Arial"/>
          <w:sz w:val="20"/>
          <w:szCs w:val="20"/>
        </w:rPr>
        <w:t>favour</w:t>
      </w:r>
      <w:proofErr w:type="spellEnd"/>
      <w:r w:rsidRPr="00B95314">
        <w:rPr>
          <w:rFonts w:cs="Arial"/>
          <w:sz w:val="20"/>
          <w:szCs w:val="20"/>
        </w:rPr>
        <w:t xml:space="preserve"> of pembrolizumab plus chemotherapy. </w:t>
      </w:r>
    </w:p>
    <w:p w:rsidRPr="00B95314" w:rsidR="00E17660" w:rsidP="00FE0085" w:rsidRDefault="00E17660" w14:paraId="76674828" w14:textId="7EBB5DAE">
      <w:pPr>
        <w:spacing w:before="120" w:after="120"/>
        <w:ind w:left="709" w:hanging="425"/>
        <w:jc w:val="both"/>
        <w:rPr>
          <w:rFonts w:cs="Arial"/>
          <w:sz w:val="20"/>
          <w:szCs w:val="20"/>
        </w:rPr>
      </w:pPr>
      <w:r w:rsidRPr="00B95314">
        <w:rPr>
          <w:rFonts w:cs="Arial"/>
          <w:sz w:val="20"/>
          <w:szCs w:val="20"/>
        </w:rPr>
        <w:t>2.</w:t>
      </w:r>
      <w:r w:rsidRPr="00B95314">
        <w:rPr>
          <w:rFonts w:cs="Arial"/>
          <w:sz w:val="20"/>
          <w:szCs w:val="20"/>
        </w:rPr>
        <w:tab/>
      </w:r>
      <w:r w:rsidRPr="00B95314">
        <w:rPr>
          <w:rFonts w:cs="Arial"/>
          <w:sz w:val="20"/>
          <w:szCs w:val="20"/>
        </w:rPr>
        <w:t>As noted above, whilst the FDG notes uncertainties relating to the MAIC at Section 3.7, these relate to OS</w:t>
      </w:r>
      <w:r w:rsidR="001E383D">
        <w:rPr>
          <w:rFonts w:cs="Arial"/>
          <w:sz w:val="20"/>
          <w:szCs w:val="20"/>
        </w:rPr>
        <w:t xml:space="preserve">, </w:t>
      </w:r>
      <w:r w:rsidRPr="00B95314">
        <w:rPr>
          <w:rFonts w:cs="Arial"/>
          <w:sz w:val="20"/>
          <w:szCs w:val="20"/>
        </w:rPr>
        <w:t xml:space="preserve">not PFS. There is no reason to dismiss the MAIC-based PFS in </w:t>
      </w:r>
      <w:proofErr w:type="spellStart"/>
      <w:r w:rsidRPr="00B95314">
        <w:rPr>
          <w:rFonts w:cs="Arial"/>
          <w:sz w:val="20"/>
          <w:szCs w:val="20"/>
        </w:rPr>
        <w:t>favour</w:t>
      </w:r>
      <w:proofErr w:type="spellEnd"/>
      <w:r w:rsidRPr="00B95314">
        <w:rPr>
          <w:rFonts w:cs="Arial"/>
          <w:sz w:val="20"/>
          <w:szCs w:val="20"/>
        </w:rPr>
        <w:t xml:space="preserve"> of the biased NMA-based PFS data. Use of MAIC-based PFS results in the Committee’s preferred modelling approach would result in more QALYs accruing for </w:t>
      </w:r>
      <w:proofErr w:type="spellStart"/>
      <w:r w:rsidRPr="00B95314">
        <w:rPr>
          <w:rFonts w:cs="Arial"/>
          <w:sz w:val="20"/>
          <w:szCs w:val="20"/>
        </w:rPr>
        <w:t>cemiplimab</w:t>
      </w:r>
      <w:proofErr w:type="spellEnd"/>
      <w:r w:rsidRPr="00B95314">
        <w:rPr>
          <w:rFonts w:cs="Arial"/>
          <w:sz w:val="20"/>
          <w:szCs w:val="20"/>
        </w:rPr>
        <w:t xml:space="preserve"> than for pembrolizumab.  A Markov model is not required to determine that.</w:t>
      </w:r>
    </w:p>
    <w:p w:rsidRPr="00B95314" w:rsidR="00E17660" w:rsidP="00FE0085" w:rsidRDefault="00E17660" w14:paraId="2EDB1076" w14:textId="77777777">
      <w:pPr>
        <w:spacing w:before="120" w:after="120"/>
        <w:ind w:left="709" w:hanging="425"/>
        <w:jc w:val="both"/>
        <w:rPr>
          <w:rFonts w:cs="Arial"/>
          <w:sz w:val="20"/>
          <w:szCs w:val="20"/>
        </w:rPr>
      </w:pPr>
      <w:r w:rsidRPr="00B95314">
        <w:rPr>
          <w:rFonts w:cs="Arial"/>
          <w:sz w:val="20"/>
          <w:szCs w:val="20"/>
        </w:rPr>
        <w:t>3.</w:t>
      </w:r>
      <w:r w:rsidRPr="00B95314">
        <w:rPr>
          <w:rFonts w:cs="Arial"/>
          <w:sz w:val="20"/>
          <w:szCs w:val="20"/>
        </w:rPr>
        <w:tab/>
      </w:r>
      <w:r w:rsidRPr="00B95314">
        <w:rPr>
          <w:rFonts w:cs="Arial"/>
          <w:sz w:val="20"/>
          <w:szCs w:val="20"/>
        </w:rPr>
        <w:t>The Committee’s conclusion that the evidence for clinical similarity was not robust enough for a cost comparison is unreasonable and inconsistent with the weight of evidence for equal PFS and its own conclusions on post-progression survival.</w:t>
      </w:r>
    </w:p>
    <w:p w:rsidRPr="00B95314" w:rsidR="001E383D" w:rsidP="00FE0085" w:rsidRDefault="00E17660" w14:paraId="650FE92F" w14:textId="6A5026FE">
      <w:pPr>
        <w:spacing w:before="120" w:after="120"/>
        <w:ind w:left="709" w:hanging="425"/>
        <w:jc w:val="both"/>
        <w:rPr>
          <w:rFonts w:cs="Arial"/>
          <w:sz w:val="20"/>
          <w:szCs w:val="20"/>
        </w:rPr>
      </w:pPr>
      <w:r w:rsidRPr="00B95314">
        <w:rPr>
          <w:rFonts w:cs="Arial"/>
          <w:sz w:val="20"/>
          <w:szCs w:val="20"/>
        </w:rPr>
        <w:t>4.</w:t>
      </w:r>
      <w:r w:rsidRPr="00B95314">
        <w:rPr>
          <w:rFonts w:cs="Arial"/>
          <w:sz w:val="20"/>
          <w:szCs w:val="20"/>
        </w:rPr>
        <w:tab/>
      </w:r>
      <w:r w:rsidRPr="00B95314">
        <w:rPr>
          <w:rFonts w:cs="Arial"/>
          <w:sz w:val="20"/>
          <w:szCs w:val="20"/>
        </w:rPr>
        <w:t xml:space="preserve">As noted </w:t>
      </w:r>
      <w:r w:rsidR="001E383D">
        <w:rPr>
          <w:rFonts w:cs="Arial"/>
          <w:sz w:val="20"/>
          <w:szCs w:val="20"/>
        </w:rPr>
        <w:t>above</w:t>
      </w:r>
      <w:r w:rsidRPr="00B95314">
        <w:rPr>
          <w:rFonts w:cs="Arial"/>
          <w:sz w:val="20"/>
          <w:szCs w:val="20"/>
        </w:rPr>
        <w:t xml:space="preserve">, the EAG acknowledged that the scenario analysis Regeneron provided using MAIC-based PFS (and assuming OS hazard ratio = 1) was potentially more conservative than the Markov model the Committee had requested. The EAG states in its review of company draft guidance consultation response: “The equal OS assumption is potentially conservative with respect to </w:t>
      </w:r>
      <w:proofErr w:type="spellStart"/>
      <w:r w:rsidRPr="00B95314">
        <w:rPr>
          <w:rFonts w:cs="Arial"/>
          <w:sz w:val="20"/>
          <w:szCs w:val="20"/>
        </w:rPr>
        <w:t>cemiplimab</w:t>
      </w:r>
      <w:proofErr w:type="spellEnd"/>
      <w:r w:rsidRPr="00B95314">
        <w:rPr>
          <w:rFonts w:cs="Arial"/>
          <w:sz w:val="20"/>
          <w:szCs w:val="20"/>
        </w:rPr>
        <w:t xml:space="preserve"> when compared to a Markov model with equal mortality hazard rates post-progression, as it assumes equal morality rates while progression-free and after disease progression.” </w:t>
      </w:r>
    </w:p>
    <w:p w:rsidRPr="00B95314" w:rsidR="009F3CFF" w:rsidP="001E383D" w:rsidRDefault="009F3CFF" w14:paraId="0C853882" w14:textId="77777777">
      <w:pPr>
        <w:spacing w:before="120" w:after="120"/>
        <w:ind w:left="709" w:hanging="425"/>
        <w:rPr>
          <w:rFonts w:cs="Arial"/>
          <w:sz w:val="20"/>
          <w:szCs w:val="20"/>
        </w:rPr>
      </w:pPr>
    </w:p>
    <w:p w:rsidRPr="007821F2" w:rsidR="00E17660" w:rsidP="007821F2" w:rsidRDefault="00E17660" w14:paraId="3BB06F5C" w14:textId="77777777">
      <w:pPr>
        <w:pStyle w:val="Heading2"/>
        <w:rPr>
          <w:rFonts w:cs="Arial"/>
          <w:b/>
          <w:bCs/>
          <w:i/>
          <w:iCs/>
          <w:sz w:val="20"/>
          <w:szCs w:val="20"/>
        </w:rPr>
      </w:pPr>
      <w:r w:rsidRPr="007821F2">
        <w:rPr>
          <w:rFonts w:ascii="Arial" w:hAnsi="Arial" w:cs="Arial"/>
          <w:b/>
          <w:bCs/>
          <w:i/>
          <w:iCs/>
          <w:sz w:val="20"/>
          <w:szCs w:val="20"/>
        </w:rPr>
        <w:t>Appeal Ground 2.5 – The Appraisal Committee unreasonably fails to recognize and take adequate account of the conservative approach Regeneron adopted in its modelling, which directly affects the Committee’s conclusions on cost-effectiveness.</w:t>
      </w:r>
    </w:p>
    <w:p w:rsidRPr="00B95314" w:rsidR="00E17660" w:rsidP="009F3CFF" w:rsidRDefault="00E17660" w14:paraId="7AACE240" w14:textId="77777777">
      <w:pPr>
        <w:spacing w:before="240" w:after="120"/>
        <w:rPr>
          <w:rFonts w:cs="Arial"/>
          <w:sz w:val="20"/>
          <w:szCs w:val="20"/>
        </w:rPr>
      </w:pPr>
      <w:r w:rsidRPr="00B95314">
        <w:rPr>
          <w:rFonts w:cs="Arial"/>
          <w:sz w:val="20"/>
          <w:szCs w:val="20"/>
        </w:rPr>
        <w:t xml:space="preserve">In Section 3.8 of the FDG, the Appraisal Committee seeks to justify differences in approach in this appraisal from TA705 by suggesting the absence of a conservative approach to modelling for </w:t>
      </w:r>
      <w:proofErr w:type="spellStart"/>
      <w:proofErr w:type="gramStart"/>
      <w:r w:rsidRPr="00B95314">
        <w:rPr>
          <w:rFonts w:cs="Arial"/>
          <w:sz w:val="20"/>
          <w:szCs w:val="20"/>
        </w:rPr>
        <w:t>cemiplimab</w:t>
      </w:r>
      <w:proofErr w:type="spellEnd"/>
      <w:proofErr w:type="gramEnd"/>
      <w:r w:rsidRPr="00B95314">
        <w:rPr>
          <w:rFonts w:cs="Arial"/>
          <w:sz w:val="20"/>
          <w:szCs w:val="20"/>
        </w:rPr>
        <w:t>:</w:t>
      </w:r>
    </w:p>
    <w:p w:rsidRPr="00B95314" w:rsidR="00E17660" w:rsidP="00FE0085" w:rsidRDefault="00E17660" w14:paraId="60FDEDBF" w14:textId="77777777">
      <w:pPr>
        <w:spacing w:before="120" w:after="120"/>
        <w:jc w:val="both"/>
        <w:rPr>
          <w:rFonts w:cs="Arial"/>
          <w:sz w:val="20"/>
          <w:szCs w:val="20"/>
        </w:rPr>
      </w:pPr>
      <w:r w:rsidRPr="00B95314">
        <w:rPr>
          <w:rFonts w:cs="Arial"/>
          <w:sz w:val="20"/>
          <w:szCs w:val="20"/>
        </w:rPr>
        <w:t xml:space="preserve">“But the committee for TA705 had thought that the company took a conservative approach to modelling cost effectiveness, modelling a QALY loss and cost savings in its base case. The committee noted it had not been presented with a similar analysis, or an analysis reflecting its preferred approach (a progression-free survival-driven Markov model), in this </w:t>
      </w:r>
      <w:proofErr w:type="gramStart"/>
      <w:r w:rsidRPr="00B95314">
        <w:rPr>
          <w:rFonts w:cs="Arial"/>
          <w:sz w:val="20"/>
          <w:szCs w:val="20"/>
        </w:rPr>
        <w:t>evaluation.”</w:t>
      </w:r>
      <w:proofErr w:type="gramEnd"/>
    </w:p>
    <w:p w:rsidRPr="00B95314" w:rsidR="00E17660" w:rsidP="00FE0085" w:rsidRDefault="00E17660" w14:paraId="15041AC5" w14:textId="1FF4D51D">
      <w:pPr>
        <w:spacing w:before="120" w:after="120"/>
        <w:jc w:val="both"/>
        <w:rPr>
          <w:rFonts w:cs="Arial"/>
          <w:sz w:val="20"/>
          <w:szCs w:val="20"/>
        </w:rPr>
      </w:pPr>
      <w:r w:rsidRPr="00B95314">
        <w:rPr>
          <w:rFonts w:cs="Arial"/>
          <w:sz w:val="20"/>
          <w:szCs w:val="20"/>
        </w:rPr>
        <w:t xml:space="preserve">The Committee’s sole basis for reaching this conclusion </w:t>
      </w:r>
      <w:r w:rsidR="001E383D">
        <w:rPr>
          <w:rFonts w:cs="Arial"/>
          <w:sz w:val="20"/>
          <w:szCs w:val="20"/>
        </w:rPr>
        <w:t>is</w:t>
      </w:r>
      <w:r w:rsidRPr="00B95314">
        <w:rPr>
          <w:rFonts w:cs="Arial"/>
          <w:sz w:val="20"/>
          <w:szCs w:val="20"/>
        </w:rPr>
        <w:t xml:space="preserve"> the absence of a PFS-driven Markov model.  This is clearly too narrow a perspective.  Under any reasonable assessment of the evidence available to the Committee, it is abundantly clear that Regeneron’s modelling is similarly – if not more – conservative.</w:t>
      </w:r>
    </w:p>
    <w:p w:rsidRPr="00B95314" w:rsidR="00E17660" w:rsidP="00FE0085" w:rsidRDefault="00E17660" w14:paraId="2B98F2EB" w14:textId="0EA07029">
      <w:pPr>
        <w:spacing w:before="120" w:after="120"/>
        <w:jc w:val="both"/>
        <w:rPr>
          <w:rFonts w:cs="Arial"/>
          <w:sz w:val="20"/>
          <w:szCs w:val="20"/>
        </w:rPr>
      </w:pPr>
      <w:r w:rsidRPr="00B95314">
        <w:rPr>
          <w:rFonts w:cs="Arial"/>
          <w:sz w:val="20"/>
          <w:szCs w:val="20"/>
        </w:rPr>
        <w:t xml:space="preserve">Regeneron provided its partitioned survival model using the less biased MAIC-based PFS treatment effect estimates and the conservative assumption that OS hazard ratio = 1.0.  The EAG noted the partitioned survival model structure was appropriate at Section 3.8 of the FDG and that the equal OS assumption is potentially conservative with respect to </w:t>
      </w:r>
      <w:proofErr w:type="spellStart"/>
      <w:r w:rsidRPr="00B95314">
        <w:rPr>
          <w:rFonts w:cs="Arial"/>
          <w:sz w:val="20"/>
          <w:szCs w:val="20"/>
        </w:rPr>
        <w:t>cemiplimab</w:t>
      </w:r>
      <w:proofErr w:type="spellEnd"/>
      <w:r w:rsidRPr="00B95314">
        <w:rPr>
          <w:rFonts w:cs="Arial"/>
          <w:sz w:val="20"/>
          <w:szCs w:val="20"/>
        </w:rPr>
        <w:t xml:space="preserve"> when compared to a Markov model with equal mortality hazard rates post-progression that was requested by the Committee (See the EAG review of company draft consultation response). The EAG’s comments indicate the plausible potential for </w:t>
      </w:r>
      <w:proofErr w:type="spellStart"/>
      <w:proofErr w:type="gramStart"/>
      <w:r w:rsidRPr="00B95314">
        <w:rPr>
          <w:rFonts w:cs="Arial"/>
          <w:sz w:val="20"/>
          <w:szCs w:val="20"/>
        </w:rPr>
        <w:t>cemiplimab</w:t>
      </w:r>
      <w:proofErr w:type="spellEnd"/>
      <w:proofErr w:type="gramEnd"/>
      <w:r w:rsidRPr="00B95314">
        <w:rPr>
          <w:rFonts w:cs="Arial"/>
          <w:sz w:val="20"/>
          <w:szCs w:val="20"/>
        </w:rPr>
        <w:t xml:space="preserve"> to be cost effective in a conservative analysis (</w:t>
      </w:r>
      <w:r w:rsidRPr="007821F2">
        <w:rPr>
          <w:rFonts w:cs="Arial"/>
          <w:i/>
          <w:iCs/>
          <w:sz w:val="20"/>
          <w:szCs w:val="20"/>
        </w:rPr>
        <w:t>i.e.,</w:t>
      </w:r>
      <w:r w:rsidRPr="00B95314">
        <w:rPr>
          <w:rFonts w:cs="Arial"/>
          <w:sz w:val="20"/>
          <w:szCs w:val="20"/>
        </w:rPr>
        <w:t xml:space="preserve"> notwithstanding the absence of Markov modelling, the Company’s submission was potentially conservative, such that a cost-comparison exercise may have been possible). </w:t>
      </w:r>
    </w:p>
    <w:p w:rsidRPr="00B95314" w:rsidR="00E17660" w:rsidP="00FE0085" w:rsidRDefault="00E17660" w14:paraId="511640B2" w14:textId="3E0FBAA3">
      <w:pPr>
        <w:spacing w:before="120" w:after="120"/>
        <w:jc w:val="both"/>
        <w:rPr>
          <w:rFonts w:cs="Arial"/>
          <w:sz w:val="20"/>
          <w:szCs w:val="20"/>
        </w:rPr>
      </w:pPr>
      <w:r w:rsidRPr="00B95314">
        <w:rPr>
          <w:rFonts w:cs="Arial"/>
          <w:sz w:val="20"/>
          <w:szCs w:val="20"/>
        </w:rPr>
        <w:t xml:space="preserve">The suggestion from the Committee that Regeneron’s approach to modelling was not conservative </w:t>
      </w:r>
      <w:r w:rsidR="001E383D">
        <w:rPr>
          <w:rFonts w:cs="Arial"/>
          <w:sz w:val="20"/>
          <w:szCs w:val="20"/>
        </w:rPr>
        <w:t>is erroneous</w:t>
      </w:r>
      <w:r w:rsidRPr="00B95314">
        <w:rPr>
          <w:rFonts w:cs="Arial"/>
          <w:sz w:val="20"/>
          <w:szCs w:val="20"/>
        </w:rPr>
        <w:t>.  Moreover, the Committee’s apparent insistence that a conservative approach requires modelling a QALY loss and cost savings, rather than a reasonable analysis of the evidence available, is perverse and unreasonable.</w:t>
      </w:r>
    </w:p>
    <w:p w:rsidRPr="00B95314" w:rsidR="00E17660" w:rsidP="009F3CFF" w:rsidRDefault="00E17660" w14:paraId="5DBCC561" w14:textId="77777777">
      <w:pPr>
        <w:spacing w:before="120" w:after="120"/>
        <w:rPr>
          <w:rFonts w:cs="Arial"/>
          <w:sz w:val="20"/>
          <w:szCs w:val="20"/>
        </w:rPr>
      </w:pPr>
    </w:p>
    <w:p w:rsidRPr="007821F2" w:rsidR="00E17660" w:rsidP="007821F2" w:rsidRDefault="00E17660" w14:paraId="2DECF67A" w14:textId="77777777">
      <w:pPr>
        <w:pStyle w:val="Heading2"/>
        <w:rPr>
          <w:rFonts w:cs="Arial"/>
          <w:b/>
          <w:bCs/>
          <w:i/>
          <w:iCs/>
          <w:sz w:val="20"/>
          <w:szCs w:val="20"/>
        </w:rPr>
      </w:pPr>
      <w:r w:rsidRPr="007821F2">
        <w:rPr>
          <w:rFonts w:ascii="Arial" w:hAnsi="Arial" w:cs="Arial"/>
          <w:b/>
          <w:bCs/>
          <w:i/>
          <w:iCs/>
          <w:sz w:val="20"/>
          <w:szCs w:val="20"/>
        </w:rPr>
        <w:t xml:space="preserve">Appeal Ground 2.6 – The Appraisal Committee’s conclusions on the comparative effectiveness evidence are unreasonable </w:t>
      </w:r>
      <w:proofErr w:type="gramStart"/>
      <w:r w:rsidRPr="007821F2">
        <w:rPr>
          <w:rFonts w:ascii="Arial" w:hAnsi="Arial" w:cs="Arial"/>
          <w:b/>
          <w:bCs/>
          <w:i/>
          <w:iCs/>
          <w:sz w:val="20"/>
          <w:szCs w:val="20"/>
        </w:rPr>
        <w:t>in light of</w:t>
      </w:r>
      <w:proofErr w:type="gramEnd"/>
      <w:r w:rsidRPr="007821F2">
        <w:rPr>
          <w:rFonts w:ascii="Arial" w:hAnsi="Arial" w:cs="Arial"/>
          <w:b/>
          <w:bCs/>
          <w:i/>
          <w:iCs/>
          <w:sz w:val="20"/>
          <w:szCs w:val="20"/>
        </w:rPr>
        <w:t xml:space="preserve"> the evidence submitted.</w:t>
      </w:r>
    </w:p>
    <w:p w:rsidRPr="00B95314" w:rsidR="00E17660" w:rsidP="00FE0085" w:rsidRDefault="00E17660" w14:paraId="6083A68D" w14:textId="6791C382">
      <w:pPr>
        <w:spacing w:before="240" w:after="120"/>
        <w:jc w:val="both"/>
        <w:rPr>
          <w:rFonts w:cs="Arial"/>
          <w:sz w:val="20"/>
          <w:szCs w:val="20"/>
        </w:rPr>
      </w:pPr>
      <w:r w:rsidRPr="00B95314">
        <w:rPr>
          <w:rFonts w:cs="Arial"/>
          <w:sz w:val="20"/>
          <w:szCs w:val="20"/>
        </w:rPr>
        <w:t>In response to the DGD, Regeneron provided MAICs which adjusted</w:t>
      </w:r>
      <w:r w:rsidR="001E383D">
        <w:rPr>
          <w:rFonts w:cs="Arial"/>
          <w:sz w:val="20"/>
          <w:szCs w:val="20"/>
        </w:rPr>
        <w:t>,</w:t>
      </w:r>
      <w:r w:rsidRPr="00B95314">
        <w:rPr>
          <w:rFonts w:cs="Arial"/>
          <w:sz w:val="20"/>
          <w:szCs w:val="20"/>
        </w:rPr>
        <w:t xml:space="preserve"> as far as data allow</w:t>
      </w:r>
      <w:r w:rsidR="001E383D">
        <w:rPr>
          <w:rFonts w:cs="Arial"/>
          <w:sz w:val="20"/>
          <w:szCs w:val="20"/>
        </w:rPr>
        <w:t>,</w:t>
      </w:r>
      <w:r w:rsidRPr="00B95314">
        <w:rPr>
          <w:rFonts w:cs="Arial"/>
          <w:sz w:val="20"/>
          <w:szCs w:val="20"/>
        </w:rPr>
        <w:t xml:space="preserve"> for the differences in treatment effect modifiers between the trials noted by the Committee.  MAICs were provided for PFS and for OS. The OS MAIC also included adjustment for treatment crossover using the only available published cross-over adjusted data for KEYNOTE-407. </w:t>
      </w:r>
    </w:p>
    <w:p w:rsidRPr="00B95314" w:rsidR="00E17660" w:rsidP="00FE0085" w:rsidRDefault="00E17660" w14:paraId="599F626A" w14:textId="37FE3E72">
      <w:pPr>
        <w:spacing w:before="120" w:after="120"/>
        <w:jc w:val="both"/>
        <w:rPr>
          <w:rFonts w:cs="Arial"/>
          <w:sz w:val="20"/>
          <w:szCs w:val="20"/>
        </w:rPr>
      </w:pPr>
      <w:r w:rsidRPr="00B95314">
        <w:rPr>
          <w:rFonts w:cs="Arial"/>
          <w:sz w:val="20"/>
          <w:szCs w:val="20"/>
        </w:rPr>
        <w:t>An additional crossover-adjusted OS analysis using the NMA was also provided for completeness. As there are no published crossover-adjusted data for KEYNOTE-189</w:t>
      </w:r>
      <w:r w:rsidR="001E383D">
        <w:rPr>
          <w:rFonts w:cs="Arial"/>
          <w:sz w:val="20"/>
          <w:szCs w:val="20"/>
        </w:rPr>
        <w:t>,</w:t>
      </w:r>
      <w:r w:rsidRPr="00B95314">
        <w:rPr>
          <w:rFonts w:cs="Arial"/>
          <w:sz w:val="20"/>
          <w:szCs w:val="20"/>
        </w:rPr>
        <w:t xml:space="preserve"> it is not possible to adjust for treatment crossover in the OS MAIC or OS NMA for the non-squamous population. </w:t>
      </w:r>
    </w:p>
    <w:p w:rsidRPr="00B95314" w:rsidR="00E17660" w:rsidP="00FE0085" w:rsidRDefault="00E17660" w14:paraId="6448D3F4" w14:textId="77777777">
      <w:pPr>
        <w:spacing w:before="120" w:after="120"/>
        <w:jc w:val="both"/>
        <w:rPr>
          <w:rFonts w:cs="Arial"/>
          <w:sz w:val="20"/>
          <w:szCs w:val="20"/>
        </w:rPr>
      </w:pPr>
      <w:r w:rsidRPr="00B95314">
        <w:rPr>
          <w:rFonts w:cs="Arial"/>
          <w:sz w:val="20"/>
          <w:szCs w:val="20"/>
        </w:rPr>
        <w:t xml:space="preserve">The crossover-adjusted OS MAIC and OS NMA for the squamous disease population indicated an increase in the hazard ratios, as would be expected. However, the point estimates of the hazard ratios were still very close to 1.0 and the 95% credible intervals around the point estimates still indicated no statistically significant differences in OS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For the OS MAIC, this can be explained by the fact that adjustment as far as possible for the differences in treatment effect modifiers improves the relative treatment effect of </w:t>
      </w:r>
      <w:proofErr w:type="spellStart"/>
      <w:r w:rsidRPr="00B95314">
        <w:rPr>
          <w:rFonts w:cs="Arial"/>
          <w:sz w:val="20"/>
          <w:szCs w:val="20"/>
        </w:rPr>
        <w:t>cemiplimab</w:t>
      </w:r>
      <w:proofErr w:type="spellEnd"/>
      <w:r w:rsidRPr="00B95314">
        <w:rPr>
          <w:rFonts w:cs="Arial"/>
          <w:sz w:val="20"/>
          <w:szCs w:val="20"/>
        </w:rPr>
        <w:t xml:space="preserve"> plus chemotherapy (indicating that the unadjusted OS NMA was biased in </w:t>
      </w:r>
      <w:proofErr w:type="spellStart"/>
      <w:r w:rsidRPr="00B95314">
        <w:rPr>
          <w:rFonts w:cs="Arial"/>
          <w:sz w:val="20"/>
          <w:szCs w:val="20"/>
        </w:rPr>
        <w:t>favour</w:t>
      </w:r>
      <w:proofErr w:type="spellEnd"/>
      <w:r w:rsidRPr="00B95314">
        <w:rPr>
          <w:rFonts w:cs="Arial"/>
          <w:sz w:val="20"/>
          <w:szCs w:val="20"/>
        </w:rPr>
        <w:t xml:space="preserve"> of pembrolizumab), whilst adjustment for treatment crossover improves the relative treatment effect for pembrolizumab (indicating the unadjusted OS NMA was biased in </w:t>
      </w:r>
      <w:proofErr w:type="spellStart"/>
      <w:r w:rsidRPr="00B95314">
        <w:rPr>
          <w:rFonts w:cs="Arial"/>
          <w:sz w:val="20"/>
          <w:szCs w:val="20"/>
        </w:rPr>
        <w:t>favour</w:t>
      </w:r>
      <w:proofErr w:type="spellEnd"/>
      <w:r w:rsidRPr="00B95314">
        <w:rPr>
          <w:rFonts w:cs="Arial"/>
          <w:sz w:val="20"/>
          <w:szCs w:val="20"/>
        </w:rPr>
        <w:t xml:space="preserve"> of </w:t>
      </w:r>
      <w:proofErr w:type="spellStart"/>
      <w:r w:rsidRPr="00B95314">
        <w:rPr>
          <w:rFonts w:cs="Arial"/>
          <w:sz w:val="20"/>
          <w:szCs w:val="20"/>
        </w:rPr>
        <w:t>cemiplimab</w:t>
      </w:r>
      <w:proofErr w:type="spellEnd"/>
      <w:r w:rsidRPr="00B95314">
        <w:rPr>
          <w:rFonts w:cs="Arial"/>
          <w:sz w:val="20"/>
          <w:szCs w:val="20"/>
        </w:rPr>
        <w:t xml:space="preserve">).  The net effect of adjustment for these competing biases is a hazard ratio and corresponding 95% credible interval that still indicates no clinically meaningful differences in OS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for the squamous disease population. </w:t>
      </w:r>
    </w:p>
    <w:p w:rsidRPr="00B95314" w:rsidR="00E17660" w:rsidP="00FE0085" w:rsidRDefault="00E17660" w14:paraId="4227B1CF" w14:textId="77777777">
      <w:pPr>
        <w:spacing w:before="120" w:after="120"/>
        <w:jc w:val="both"/>
        <w:rPr>
          <w:rFonts w:cs="Arial"/>
          <w:sz w:val="20"/>
          <w:szCs w:val="20"/>
        </w:rPr>
      </w:pPr>
      <w:r w:rsidRPr="00B95314">
        <w:rPr>
          <w:rFonts w:cs="Arial"/>
          <w:sz w:val="20"/>
          <w:szCs w:val="20"/>
        </w:rPr>
        <w:t xml:space="preserve">The OS MAIC for the non-squamous disease population demonstrated that adjustment for differences in treatment effect modifiers between the trials as far as it is possible to do resulted in an improved hazard ratio in </w:t>
      </w:r>
      <w:proofErr w:type="spellStart"/>
      <w:r w:rsidRPr="00B95314">
        <w:rPr>
          <w:rFonts w:cs="Arial"/>
          <w:sz w:val="20"/>
          <w:szCs w:val="20"/>
        </w:rPr>
        <w:t>favour</w:t>
      </w:r>
      <w:proofErr w:type="spellEnd"/>
      <w:r w:rsidRPr="00B95314">
        <w:rPr>
          <w:rFonts w:cs="Arial"/>
          <w:sz w:val="20"/>
          <w:szCs w:val="20"/>
        </w:rPr>
        <w:t xml:space="preserve"> of </w:t>
      </w:r>
      <w:proofErr w:type="spellStart"/>
      <w:r w:rsidRPr="00B95314">
        <w:rPr>
          <w:rFonts w:cs="Arial"/>
          <w:sz w:val="20"/>
          <w:szCs w:val="20"/>
        </w:rPr>
        <w:t>cemiplimab</w:t>
      </w:r>
      <w:proofErr w:type="spellEnd"/>
      <w:r w:rsidRPr="00B95314">
        <w:rPr>
          <w:rFonts w:cs="Arial"/>
          <w:sz w:val="20"/>
          <w:szCs w:val="20"/>
        </w:rPr>
        <w:t xml:space="preserve"> plus chemotherapy compared with that seen in the unadjusted NMA. This again indicates that, whilst there may be uncertainty in the OS NMA treatment effect estimates due to differences in treatment effect modifiers, these imbalances are likely to have </w:t>
      </w:r>
      <w:proofErr w:type="spellStart"/>
      <w:r w:rsidRPr="00B95314">
        <w:rPr>
          <w:rFonts w:cs="Arial"/>
          <w:sz w:val="20"/>
          <w:szCs w:val="20"/>
        </w:rPr>
        <w:t>favoured</w:t>
      </w:r>
      <w:proofErr w:type="spellEnd"/>
      <w:r w:rsidRPr="00B95314">
        <w:rPr>
          <w:rFonts w:cs="Arial"/>
          <w:sz w:val="20"/>
          <w:szCs w:val="20"/>
        </w:rPr>
        <w:t xml:space="preserve"> pembrolizumab plus chemotherapy. </w:t>
      </w:r>
    </w:p>
    <w:p w:rsidRPr="00B95314" w:rsidR="00E17660" w:rsidP="00FE0085" w:rsidRDefault="00E17660" w14:paraId="4B8D6631" w14:textId="5F729579">
      <w:pPr>
        <w:spacing w:before="120" w:after="120"/>
        <w:jc w:val="both"/>
        <w:rPr>
          <w:rFonts w:cs="Arial"/>
          <w:sz w:val="20"/>
          <w:szCs w:val="20"/>
        </w:rPr>
      </w:pPr>
      <w:r w:rsidRPr="00B95314">
        <w:rPr>
          <w:rFonts w:cs="Arial"/>
          <w:sz w:val="20"/>
          <w:szCs w:val="20"/>
        </w:rPr>
        <w:t xml:space="preserve">The PFS MAIC found no statistically significant difference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however, the adjustment for differences in treatment effect modifiers between the trials resulted in the point estimate of the PFS hazard ratio </w:t>
      </w:r>
      <w:proofErr w:type="spellStart"/>
      <w:r w:rsidRPr="00B95314">
        <w:rPr>
          <w:rFonts w:cs="Arial"/>
          <w:sz w:val="20"/>
          <w:szCs w:val="20"/>
        </w:rPr>
        <w:t>favouring</w:t>
      </w:r>
      <w:proofErr w:type="spellEnd"/>
      <w:r w:rsidRPr="00B95314">
        <w:rPr>
          <w:rFonts w:cs="Arial"/>
          <w:sz w:val="20"/>
          <w:szCs w:val="20"/>
        </w:rPr>
        <w:t xml:space="preserve"> </w:t>
      </w:r>
      <w:proofErr w:type="spellStart"/>
      <w:r w:rsidRPr="00B95314">
        <w:rPr>
          <w:rFonts w:cs="Arial"/>
          <w:sz w:val="20"/>
          <w:szCs w:val="20"/>
        </w:rPr>
        <w:t>cemiplimab</w:t>
      </w:r>
      <w:proofErr w:type="spellEnd"/>
      <w:r w:rsidRPr="00B95314">
        <w:rPr>
          <w:rFonts w:cs="Arial"/>
          <w:sz w:val="20"/>
          <w:szCs w:val="20"/>
        </w:rPr>
        <w:t xml:space="preserve"> plus chemotherapy (c.f. in the unadjusted PFS NMA the hazard ratio </w:t>
      </w:r>
      <w:proofErr w:type="spellStart"/>
      <w:r w:rsidRPr="00B95314">
        <w:rPr>
          <w:rFonts w:cs="Arial"/>
          <w:sz w:val="20"/>
          <w:szCs w:val="20"/>
        </w:rPr>
        <w:t>favoured</w:t>
      </w:r>
      <w:proofErr w:type="spellEnd"/>
      <w:r w:rsidRPr="00B95314">
        <w:rPr>
          <w:rFonts w:cs="Arial"/>
          <w:sz w:val="20"/>
          <w:szCs w:val="20"/>
        </w:rPr>
        <w:t xml:space="preserve"> pembrolizumab plus chemotherapy). This analysis also suggests that differences in treatment effect modifiers observed by the Committee in the NMA-based PFS estimates may be biased in </w:t>
      </w:r>
      <w:proofErr w:type="spellStart"/>
      <w:r w:rsidRPr="00B95314">
        <w:rPr>
          <w:rFonts w:cs="Arial"/>
          <w:sz w:val="20"/>
          <w:szCs w:val="20"/>
        </w:rPr>
        <w:t>favour</w:t>
      </w:r>
      <w:proofErr w:type="spellEnd"/>
      <w:r w:rsidRPr="00B95314">
        <w:rPr>
          <w:rFonts w:cs="Arial"/>
          <w:sz w:val="20"/>
          <w:szCs w:val="20"/>
        </w:rPr>
        <w:t xml:space="preserve"> of pembrolizumab. </w:t>
      </w:r>
      <w:proofErr w:type="gramStart"/>
      <w:r w:rsidR="001E383D">
        <w:rPr>
          <w:rFonts w:cs="Arial"/>
          <w:sz w:val="20"/>
          <w:szCs w:val="20"/>
        </w:rPr>
        <w:t>By</w:t>
      </w:r>
      <w:r w:rsidRPr="00B95314">
        <w:rPr>
          <w:rFonts w:cs="Arial"/>
          <w:sz w:val="20"/>
          <w:szCs w:val="20"/>
        </w:rPr>
        <w:t xml:space="preserve"> definition, the</w:t>
      </w:r>
      <w:proofErr w:type="gramEnd"/>
      <w:r w:rsidRPr="00B95314">
        <w:rPr>
          <w:rFonts w:cs="Arial"/>
          <w:sz w:val="20"/>
          <w:szCs w:val="20"/>
        </w:rPr>
        <w:t xml:space="preserve"> PFS treatment effect estimates in the MAIC (and in the NMA) would</w:t>
      </w:r>
      <w:r w:rsidR="006F7B6A">
        <w:rPr>
          <w:rFonts w:cs="Arial"/>
          <w:sz w:val="20"/>
          <w:szCs w:val="20"/>
        </w:rPr>
        <w:t xml:space="preserve"> not</w:t>
      </w:r>
      <w:r w:rsidRPr="00B95314">
        <w:rPr>
          <w:rFonts w:cs="Arial"/>
          <w:sz w:val="20"/>
          <w:szCs w:val="20"/>
        </w:rPr>
        <w:t xml:space="preserve"> be subject to uncertainty due </w:t>
      </w:r>
      <w:r w:rsidR="001E383D">
        <w:rPr>
          <w:rFonts w:cs="Arial"/>
          <w:sz w:val="20"/>
          <w:szCs w:val="20"/>
        </w:rPr>
        <w:t xml:space="preserve">to </w:t>
      </w:r>
      <w:r w:rsidRPr="00B95314">
        <w:rPr>
          <w:rFonts w:cs="Arial"/>
          <w:sz w:val="20"/>
          <w:szCs w:val="20"/>
        </w:rPr>
        <w:t xml:space="preserve">post progression treatment crossover in the KEYNOTE trials.  </w:t>
      </w:r>
    </w:p>
    <w:p w:rsidRPr="00B95314" w:rsidR="00E17660" w:rsidP="00FE0085" w:rsidRDefault="00E17660" w14:paraId="418A22F3" w14:textId="77777777">
      <w:pPr>
        <w:spacing w:before="120" w:after="120"/>
        <w:jc w:val="both"/>
        <w:rPr>
          <w:rFonts w:cs="Arial"/>
          <w:sz w:val="20"/>
          <w:szCs w:val="20"/>
        </w:rPr>
      </w:pPr>
      <w:r w:rsidRPr="00B95314">
        <w:rPr>
          <w:rFonts w:cs="Arial"/>
          <w:sz w:val="20"/>
          <w:szCs w:val="20"/>
        </w:rPr>
        <w:t xml:space="preserve">Given the Committee’s preference for a PFS-driven Markov model, with equal post progression survival assumed for </w:t>
      </w:r>
      <w:proofErr w:type="spellStart"/>
      <w:r w:rsidRPr="00B95314">
        <w:rPr>
          <w:rFonts w:cs="Arial"/>
          <w:sz w:val="20"/>
          <w:szCs w:val="20"/>
        </w:rPr>
        <w:t>cemiplimab</w:t>
      </w:r>
      <w:proofErr w:type="spellEnd"/>
      <w:r w:rsidRPr="00B95314">
        <w:rPr>
          <w:rFonts w:cs="Arial"/>
          <w:sz w:val="20"/>
          <w:szCs w:val="20"/>
        </w:rPr>
        <w:t xml:space="preserve"> plus chemotherapy and pembrolizumab and chemotherapy, and the exclusion of OS data, PFS must have a particular importance to the Committee’s decision-making.  </w:t>
      </w:r>
    </w:p>
    <w:p w:rsidRPr="00B95314" w:rsidR="00E17660" w:rsidP="00FE0085" w:rsidRDefault="00E17660" w14:paraId="1839721F" w14:textId="77777777">
      <w:pPr>
        <w:spacing w:before="120" w:after="120"/>
        <w:jc w:val="both"/>
        <w:rPr>
          <w:rFonts w:cs="Arial"/>
          <w:sz w:val="20"/>
          <w:szCs w:val="20"/>
        </w:rPr>
      </w:pPr>
      <w:r w:rsidRPr="00B95314">
        <w:rPr>
          <w:rFonts w:cs="Arial"/>
          <w:sz w:val="20"/>
          <w:szCs w:val="20"/>
        </w:rPr>
        <w:t>Had the MAIC-based PFS analyses been given full consideration, the Committee would have noted:</w:t>
      </w:r>
    </w:p>
    <w:p w:rsidRPr="00B95314" w:rsidR="00E17660" w:rsidP="00FE0085" w:rsidRDefault="00E17660" w14:paraId="7F0CE6DD" w14:textId="1189989F">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The MAIC-based PFS analyses, like the NMA-based PFS analyses that the Committee was clearly willing to accept, are not subject to the same degree of uncertainty as the MAIC-based and NMA-based OS analyses.</w:t>
      </w:r>
    </w:p>
    <w:p w:rsidRPr="00B95314" w:rsidR="00E17660" w:rsidP="00FE0085" w:rsidRDefault="00E17660" w14:paraId="34B603FC" w14:textId="27D01FE0">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Given that they address the specific uncertainties raised by the Committee regarding the NMA-based PFS analyses, the MAIC-based PFS analyses should </w:t>
      </w:r>
      <w:proofErr w:type="gramStart"/>
      <w:r w:rsidRPr="00B95314">
        <w:rPr>
          <w:rFonts w:cs="Arial"/>
          <w:sz w:val="20"/>
          <w:szCs w:val="20"/>
        </w:rPr>
        <w:t>have been</w:t>
      </w:r>
      <w:proofErr w:type="gramEnd"/>
      <w:r w:rsidRPr="00B95314">
        <w:rPr>
          <w:rFonts w:cs="Arial"/>
          <w:sz w:val="20"/>
          <w:szCs w:val="20"/>
        </w:rPr>
        <w:t xml:space="preserve"> given at least equal weighting to the NMA-based PFS analyses, if not more weighting, in its consideration of the evidence.</w:t>
      </w:r>
    </w:p>
    <w:p w:rsidRPr="00B95314" w:rsidR="00E17660" w:rsidP="00FE0085" w:rsidRDefault="00E17660" w14:paraId="45C3AF84" w14:textId="64D816EC">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The Committee’s blanket conclusion that “the results of the MAIC were highly uncertain and did not resolve its concerns with the results of the NMA” is not warranted in relation to PFS.  </w:t>
      </w:r>
    </w:p>
    <w:p w:rsidRPr="00B95314" w:rsidR="00E17660" w:rsidP="00FE0085" w:rsidRDefault="00E17660" w14:paraId="7F31340A" w14:textId="48FF1D4A">
      <w:pPr>
        <w:pStyle w:val="ListParagraph"/>
        <w:numPr>
          <w:ilvl w:val="1"/>
          <w:numId w:val="1"/>
        </w:numPr>
        <w:spacing w:before="120" w:after="120"/>
        <w:contextualSpacing w:val="0"/>
        <w:jc w:val="both"/>
        <w:rPr>
          <w:rFonts w:cs="Arial"/>
          <w:sz w:val="20"/>
          <w:szCs w:val="20"/>
        </w:rPr>
      </w:pPr>
      <w:r w:rsidRPr="00B95314">
        <w:rPr>
          <w:rFonts w:cs="Arial"/>
          <w:sz w:val="20"/>
          <w:szCs w:val="20"/>
        </w:rPr>
        <w:t xml:space="preserve">Furthermore, it implies that the NMA should have primacy in its considerations, which is unreasonable given the MAIC has demonstrated that the PFS NMA is plausibly biased in </w:t>
      </w:r>
      <w:proofErr w:type="spellStart"/>
      <w:r w:rsidRPr="00B95314">
        <w:rPr>
          <w:rFonts w:cs="Arial"/>
          <w:sz w:val="20"/>
          <w:szCs w:val="20"/>
        </w:rPr>
        <w:t>favour</w:t>
      </w:r>
      <w:proofErr w:type="spellEnd"/>
      <w:r w:rsidRPr="00B95314">
        <w:rPr>
          <w:rFonts w:cs="Arial"/>
          <w:sz w:val="20"/>
          <w:szCs w:val="20"/>
        </w:rPr>
        <w:t xml:space="preserve"> of pembrolizumab.  </w:t>
      </w:r>
    </w:p>
    <w:p w:rsidRPr="00B95314" w:rsidR="00E17660" w:rsidP="00FE0085" w:rsidRDefault="00E17660" w14:paraId="1DA662B7" w14:textId="183EBA7B">
      <w:pPr>
        <w:pStyle w:val="ListParagraph"/>
        <w:numPr>
          <w:ilvl w:val="1"/>
          <w:numId w:val="1"/>
        </w:numPr>
        <w:spacing w:before="120" w:after="120"/>
        <w:contextualSpacing w:val="0"/>
        <w:jc w:val="both"/>
        <w:rPr>
          <w:rFonts w:cs="Arial"/>
          <w:sz w:val="20"/>
          <w:szCs w:val="20"/>
        </w:rPr>
      </w:pPr>
      <w:r w:rsidRPr="00B95314">
        <w:rPr>
          <w:rFonts w:cs="Arial"/>
          <w:sz w:val="20"/>
          <w:szCs w:val="20"/>
        </w:rPr>
        <w:t xml:space="preserve">It is unreasonable of the Committee to implicitly accept the NMA-based PFS results and not </w:t>
      </w:r>
      <w:r w:rsidR="001E383D">
        <w:rPr>
          <w:rFonts w:cs="Arial"/>
          <w:sz w:val="20"/>
          <w:szCs w:val="20"/>
        </w:rPr>
        <w:t xml:space="preserve">to </w:t>
      </w:r>
      <w:r w:rsidRPr="00B95314">
        <w:rPr>
          <w:rFonts w:cs="Arial"/>
          <w:sz w:val="20"/>
          <w:szCs w:val="20"/>
        </w:rPr>
        <w:t xml:space="preserve">have also accepted the MAIC-based PFS results. </w:t>
      </w:r>
    </w:p>
    <w:p w:rsidRPr="00B95314" w:rsidR="00E17660" w:rsidP="00FE0085" w:rsidRDefault="00E17660" w14:paraId="610A3D60" w14:textId="2426E087">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Given the consistency of evidence from the NMA, clinical experts, clinical guidelines, and now the MAIC that specifically addresses the uncertainties in the PFS NMA, the reasonable interpretation of the evidence is that there are no clinically meaningful differences in PFS between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Regeneron considers it unreasonable of the Committee not to have reached that conclusion given the weight of consistent evidence to that effect it has been presented with for </w:t>
      </w:r>
      <w:proofErr w:type="spellStart"/>
      <w:r w:rsidRPr="00B95314">
        <w:rPr>
          <w:rFonts w:cs="Arial"/>
          <w:sz w:val="20"/>
          <w:szCs w:val="20"/>
        </w:rPr>
        <w:t>cemiplimab</w:t>
      </w:r>
      <w:proofErr w:type="spellEnd"/>
      <w:r w:rsidRPr="00B95314">
        <w:rPr>
          <w:rFonts w:cs="Arial"/>
          <w:sz w:val="20"/>
          <w:szCs w:val="20"/>
        </w:rPr>
        <w:t xml:space="preserve"> plus chemotherapy, and the level of evidence it has previously accepted for other therapies in this therapeutic area (see Appeal Ground</w:t>
      </w:r>
      <w:r w:rsidR="000975FD">
        <w:rPr>
          <w:rFonts w:cs="Arial"/>
          <w:sz w:val="20"/>
          <w:szCs w:val="20"/>
        </w:rPr>
        <w:t>s 1a.1 and</w:t>
      </w:r>
      <w:r w:rsidRPr="00B95314">
        <w:rPr>
          <w:rFonts w:cs="Arial"/>
          <w:sz w:val="20"/>
          <w:szCs w:val="20"/>
        </w:rPr>
        <w:t xml:space="preserve"> 2.5).</w:t>
      </w:r>
    </w:p>
    <w:p w:rsidRPr="00B95314" w:rsidR="00E17660" w:rsidP="00FE0085" w:rsidRDefault="00E17660" w14:paraId="59AA4BDF" w14:textId="204A64D0">
      <w:pPr>
        <w:pStyle w:val="ListParagraph"/>
        <w:numPr>
          <w:ilvl w:val="0"/>
          <w:numId w:val="1"/>
        </w:numPr>
        <w:spacing w:before="120" w:after="120"/>
        <w:ind w:left="998" w:hanging="352"/>
        <w:contextualSpacing w:val="0"/>
        <w:jc w:val="both"/>
        <w:rPr>
          <w:rFonts w:cs="Arial"/>
          <w:sz w:val="20"/>
          <w:szCs w:val="20"/>
        </w:rPr>
      </w:pPr>
      <w:r w:rsidRPr="00B95314">
        <w:rPr>
          <w:rFonts w:cs="Arial"/>
          <w:sz w:val="20"/>
          <w:szCs w:val="20"/>
        </w:rPr>
        <w:t xml:space="preserve">As the Committee has already concluded that post progression survival should be equal, then based on the reasonable conclusion that PFS is also equal, it must necessarily follow that OS is also equal for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w:t>
      </w:r>
    </w:p>
    <w:p w:rsidRPr="00B95314" w:rsidR="00E17660" w:rsidP="00FE0085" w:rsidRDefault="00E17660" w14:paraId="752D9E86" w14:textId="191E9D5C">
      <w:pPr>
        <w:pStyle w:val="ListParagraph"/>
        <w:numPr>
          <w:ilvl w:val="1"/>
          <w:numId w:val="1"/>
        </w:numPr>
        <w:spacing w:before="120" w:after="120"/>
        <w:contextualSpacing w:val="0"/>
        <w:jc w:val="both"/>
        <w:rPr>
          <w:rFonts w:cs="Arial"/>
          <w:sz w:val="20"/>
          <w:szCs w:val="20"/>
        </w:rPr>
      </w:pPr>
      <w:r w:rsidRPr="00B95314">
        <w:rPr>
          <w:rFonts w:cs="Arial"/>
          <w:sz w:val="20"/>
          <w:szCs w:val="20"/>
        </w:rPr>
        <w:t>This conclusion on OS would be entirely consistent with the available evidence from the clinical experts and clinical guidelines, and with the raft or NMA and MAIC analyses that the Company has provided to the Committee, despite the uncertainty in those analyses.</w:t>
      </w:r>
    </w:p>
    <w:p w:rsidRPr="00B95314" w:rsidR="00E17660" w:rsidP="00FE0085" w:rsidRDefault="00E17660" w14:paraId="722765D3" w14:textId="028064ED">
      <w:pPr>
        <w:pStyle w:val="ListParagraph"/>
        <w:numPr>
          <w:ilvl w:val="1"/>
          <w:numId w:val="1"/>
        </w:numPr>
        <w:spacing w:before="120" w:after="120"/>
        <w:contextualSpacing w:val="0"/>
        <w:jc w:val="both"/>
        <w:rPr>
          <w:rFonts w:cs="Arial"/>
          <w:sz w:val="20"/>
          <w:szCs w:val="20"/>
        </w:rPr>
      </w:pPr>
      <w:r w:rsidRPr="00B95314">
        <w:rPr>
          <w:rFonts w:cs="Arial"/>
          <w:sz w:val="20"/>
          <w:szCs w:val="20"/>
        </w:rPr>
        <w:t xml:space="preserve">Failure of the Committee to acknowledge this logical conclusion is inconsistent with the PFS evidence and its own conclusions on expected post progression survival. </w:t>
      </w:r>
    </w:p>
    <w:p w:rsidRPr="00B95314" w:rsidR="00E17660" w:rsidP="00FE0085" w:rsidRDefault="00E17660" w14:paraId="29E666DC" w14:textId="77777777">
      <w:pPr>
        <w:spacing w:before="120" w:after="120"/>
        <w:jc w:val="both"/>
        <w:rPr>
          <w:rFonts w:cs="Arial"/>
          <w:sz w:val="20"/>
          <w:szCs w:val="20"/>
        </w:rPr>
      </w:pPr>
      <w:r w:rsidRPr="00B95314">
        <w:rPr>
          <w:rFonts w:cs="Arial"/>
          <w:sz w:val="20"/>
          <w:szCs w:val="20"/>
        </w:rPr>
        <w:t xml:space="preserve">Given that the Committee has not </w:t>
      </w:r>
      <w:proofErr w:type="gramStart"/>
      <w:r w:rsidRPr="00B95314">
        <w:rPr>
          <w:rFonts w:cs="Arial"/>
          <w:sz w:val="20"/>
          <w:szCs w:val="20"/>
        </w:rPr>
        <w:t>given full consideration to</w:t>
      </w:r>
      <w:proofErr w:type="gramEnd"/>
      <w:r w:rsidRPr="00B95314">
        <w:rPr>
          <w:rFonts w:cs="Arial"/>
          <w:sz w:val="20"/>
          <w:szCs w:val="20"/>
        </w:rPr>
        <w:t xml:space="preserve"> the MAIC-based PFS analyses, and has not noted the </w:t>
      </w:r>
      <w:proofErr w:type="gramStart"/>
      <w:r w:rsidRPr="00B95314">
        <w:rPr>
          <w:rFonts w:cs="Arial"/>
          <w:sz w:val="20"/>
          <w:szCs w:val="20"/>
        </w:rPr>
        <w:t>bulleted</w:t>
      </w:r>
      <w:proofErr w:type="gramEnd"/>
      <w:r w:rsidRPr="00B95314">
        <w:rPr>
          <w:rFonts w:cs="Arial"/>
          <w:sz w:val="20"/>
          <w:szCs w:val="20"/>
        </w:rPr>
        <w:t xml:space="preserve"> points above, its conclusions on the uncertainty in the comparative effectiveness of </w:t>
      </w:r>
      <w:proofErr w:type="spellStart"/>
      <w:r w:rsidRPr="00B95314">
        <w:rPr>
          <w:rFonts w:cs="Arial"/>
          <w:sz w:val="20"/>
          <w:szCs w:val="20"/>
        </w:rPr>
        <w:t>cemiplimab</w:t>
      </w:r>
      <w:proofErr w:type="spellEnd"/>
      <w:r w:rsidRPr="00B95314">
        <w:rPr>
          <w:rFonts w:cs="Arial"/>
          <w:sz w:val="20"/>
          <w:szCs w:val="20"/>
        </w:rPr>
        <w:t xml:space="preserve"> plus chemotherapy and pembrolizumab plus chemotherapy are overstated and unreasonable.</w:t>
      </w:r>
    </w:p>
    <w:p w:rsidR="009720B4" w:rsidP="00FE0085" w:rsidRDefault="00E17660" w14:paraId="623B0EBC" w14:textId="0EB1292D">
      <w:pPr>
        <w:spacing w:before="120" w:after="120"/>
        <w:jc w:val="both"/>
        <w:rPr>
          <w:rFonts w:cs="Arial"/>
          <w:sz w:val="20"/>
          <w:szCs w:val="20"/>
        </w:rPr>
      </w:pPr>
      <w:r w:rsidRPr="00B95314">
        <w:rPr>
          <w:rFonts w:cs="Arial"/>
          <w:sz w:val="20"/>
          <w:szCs w:val="20"/>
        </w:rPr>
        <w:t xml:space="preserve">It should be noted that the Committee’s unreasonable conclusions on the comparative effectiveness evidence </w:t>
      </w:r>
      <w:proofErr w:type="gramStart"/>
      <w:r w:rsidRPr="00B95314">
        <w:rPr>
          <w:rFonts w:cs="Arial"/>
          <w:sz w:val="20"/>
          <w:szCs w:val="20"/>
        </w:rPr>
        <w:t>has</w:t>
      </w:r>
      <w:proofErr w:type="gramEnd"/>
      <w:r w:rsidRPr="00B95314">
        <w:rPr>
          <w:rFonts w:cs="Arial"/>
          <w:sz w:val="20"/>
          <w:szCs w:val="20"/>
        </w:rPr>
        <w:t xml:space="preserve"> profound implications for its conclusions on the suitability of the cost effectiveness estimates it has been presented with, including its conclusion that the evidence for clinical similarity was not robust enough for a cost comparison analysis (see Appeal Ground 2.4)</w:t>
      </w:r>
      <w:r w:rsidR="009720B4">
        <w:rPr>
          <w:rFonts w:cs="Arial"/>
          <w:sz w:val="20"/>
          <w:szCs w:val="20"/>
        </w:rPr>
        <w:t>.</w:t>
      </w:r>
    </w:p>
    <w:p w:rsidRPr="00B95314" w:rsidR="00E17660" w:rsidP="00FE0085" w:rsidRDefault="00E17660" w14:paraId="609612AF" w14:textId="1E84A859">
      <w:pPr>
        <w:spacing w:before="120" w:after="120"/>
        <w:jc w:val="both"/>
        <w:rPr>
          <w:rFonts w:cs="Arial"/>
          <w:sz w:val="20"/>
          <w:szCs w:val="20"/>
        </w:rPr>
      </w:pPr>
      <w:r w:rsidRPr="00B95314">
        <w:rPr>
          <w:rFonts w:cs="Arial"/>
          <w:sz w:val="20"/>
          <w:szCs w:val="20"/>
        </w:rPr>
        <w:t xml:space="preserve"> </w:t>
      </w:r>
    </w:p>
    <w:p w:rsidRPr="009720B4" w:rsidR="00E17660" w:rsidP="009F3CFF" w:rsidRDefault="00E17660" w14:paraId="6A14CB23" w14:textId="6155D859">
      <w:pPr>
        <w:pStyle w:val="Heading1"/>
        <w:rPr>
          <w:rFonts w:ascii="Arial" w:hAnsi="Arial" w:cs="Arial"/>
          <w:b/>
          <w:bCs/>
          <w:sz w:val="20"/>
          <w:szCs w:val="20"/>
          <w:u w:val="single"/>
        </w:rPr>
      </w:pPr>
      <w:r w:rsidRPr="009720B4">
        <w:rPr>
          <w:rFonts w:ascii="Arial" w:hAnsi="Arial" w:cs="Arial"/>
          <w:b/>
          <w:bCs/>
          <w:sz w:val="20"/>
          <w:szCs w:val="20"/>
        </w:rPr>
        <w:t xml:space="preserve">Next Steps </w:t>
      </w:r>
    </w:p>
    <w:p w:rsidRPr="00B95314" w:rsidR="00E17660" w:rsidP="009F3CFF" w:rsidRDefault="00D37771" w14:paraId="3AC1DC46" w14:textId="2B38EED3">
      <w:pPr>
        <w:spacing w:before="120" w:after="120"/>
        <w:rPr>
          <w:rFonts w:cs="Arial"/>
          <w:sz w:val="20"/>
          <w:szCs w:val="20"/>
        </w:rPr>
      </w:pPr>
      <w:r>
        <w:rPr>
          <w:rFonts w:cs="Arial"/>
          <w:sz w:val="20"/>
          <w:szCs w:val="20"/>
        </w:rPr>
        <w:t xml:space="preserve">For reasons as set out above, </w:t>
      </w:r>
      <w:r w:rsidRPr="00B95314" w:rsidR="00E17660">
        <w:rPr>
          <w:rFonts w:cs="Arial"/>
          <w:sz w:val="20"/>
          <w:szCs w:val="20"/>
        </w:rPr>
        <w:t xml:space="preserve">Regeneron </w:t>
      </w:r>
      <w:r w:rsidR="00B25770">
        <w:rPr>
          <w:rFonts w:cs="Arial"/>
          <w:sz w:val="20"/>
          <w:szCs w:val="20"/>
        </w:rPr>
        <w:t xml:space="preserve">respectfully </w:t>
      </w:r>
      <w:r w:rsidRPr="00B95314" w:rsidR="00E17660">
        <w:rPr>
          <w:rFonts w:cs="Arial"/>
          <w:sz w:val="20"/>
          <w:szCs w:val="20"/>
        </w:rPr>
        <w:t xml:space="preserve">requests that: </w:t>
      </w:r>
    </w:p>
    <w:p w:rsidRPr="00B95314" w:rsidR="00E17660" w:rsidP="009F3CFF" w:rsidRDefault="00E17660" w14:paraId="5070B07A" w14:textId="77777777">
      <w:pPr>
        <w:spacing w:before="120" w:after="120"/>
        <w:ind w:left="709" w:hanging="425"/>
        <w:rPr>
          <w:rFonts w:cs="Arial"/>
          <w:sz w:val="20"/>
          <w:szCs w:val="20"/>
        </w:rPr>
      </w:pPr>
      <w:r w:rsidRPr="00B95314">
        <w:rPr>
          <w:rFonts w:cs="Arial"/>
          <w:sz w:val="20"/>
          <w:szCs w:val="20"/>
        </w:rPr>
        <w:t>1.</w:t>
      </w:r>
      <w:r w:rsidRPr="00B95314">
        <w:rPr>
          <w:rFonts w:cs="Arial"/>
          <w:sz w:val="20"/>
          <w:szCs w:val="20"/>
        </w:rPr>
        <w:tab/>
      </w:r>
      <w:r w:rsidRPr="00B95314">
        <w:rPr>
          <w:rFonts w:cs="Arial"/>
          <w:sz w:val="20"/>
          <w:szCs w:val="20"/>
        </w:rPr>
        <w:t>This appeal be determined at an oral hearing.</w:t>
      </w:r>
    </w:p>
    <w:p w:rsidRPr="00B95314" w:rsidR="00E17660" w:rsidP="00FE0085" w:rsidRDefault="00E17660" w14:paraId="0E2F1E27" w14:textId="58E63B95">
      <w:pPr>
        <w:spacing w:before="120" w:after="120"/>
        <w:ind w:left="709" w:hanging="425"/>
        <w:jc w:val="both"/>
        <w:rPr>
          <w:rFonts w:cs="Arial"/>
          <w:sz w:val="20"/>
          <w:szCs w:val="20"/>
        </w:rPr>
      </w:pPr>
      <w:r w:rsidRPr="00B95314">
        <w:rPr>
          <w:rFonts w:cs="Arial"/>
          <w:sz w:val="20"/>
          <w:szCs w:val="20"/>
        </w:rPr>
        <w:t>2.</w:t>
      </w:r>
      <w:r w:rsidRPr="00B95314">
        <w:rPr>
          <w:rFonts w:cs="Arial"/>
          <w:sz w:val="20"/>
          <w:szCs w:val="20"/>
        </w:rPr>
        <w:tab/>
      </w:r>
      <w:r w:rsidRPr="00B95314">
        <w:rPr>
          <w:rFonts w:cs="Arial"/>
          <w:sz w:val="20"/>
          <w:szCs w:val="20"/>
        </w:rPr>
        <w:t xml:space="preserve">If the appeal is successful, the appraisal be </w:t>
      </w:r>
      <w:proofErr w:type="gramStart"/>
      <w:r w:rsidRPr="00B95314">
        <w:rPr>
          <w:rFonts w:cs="Arial"/>
          <w:sz w:val="20"/>
          <w:szCs w:val="20"/>
        </w:rPr>
        <w:t>referred back</w:t>
      </w:r>
      <w:proofErr w:type="gramEnd"/>
      <w:r w:rsidRPr="00B95314">
        <w:rPr>
          <w:rFonts w:cs="Arial"/>
          <w:sz w:val="20"/>
          <w:szCs w:val="20"/>
        </w:rPr>
        <w:t xml:space="preserve"> in full to the Appraisal Committee to reconsider its decision and rectify any points upheld. At a minimum, this should involve a third ACM to address the Company’s evidence submissions in full.</w:t>
      </w:r>
    </w:p>
    <w:p w:rsidRPr="00B95314" w:rsidR="00E17660" w:rsidP="00FE0085" w:rsidRDefault="00E17660" w14:paraId="56C5BED8" w14:textId="30712D7D">
      <w:pPr>
        <w:spacing w:before="120" w:after="120"/>
        <w:rPr>
          <w:rFonts w:cs="Arial"/>
          <w:sz w:val="20"/>
          <w:szCs w:val="20"/>
        </w:rPr>
      </w:pPr>
      <w:r w:rsidRPr="00B95314">
        <w:rPr>
          <w:rFonts w:cs="Arial"/>
          <w:sz w:val="20"/>
          <w:szCs w:val="20"/>
        </w:rPr>
        <w:t xml:space="preserve">We remain available to answer any questions </w:t>
      </w:r>
      <w:r w:rsidR="00423C31">
        <w:rPr>
          <w:rFonts w:cs="Arial"/>
          <w:sz w:val="20"/>
          <w:szCs w:val="20"/>
        </w:rPr>
        <w:t>that the Appeals team</w:t>
      </w:r>
      <w:r w:rsidRPr="00B95314" w:rsidR="00423C31">
        <w:rPr>
          <w:rFonts w:cs="Arial"/>
          <w:sz w:val="20"/>
          <w:szCs w:val="20"/>
        </w:rPr>
        <w:t xml:space="preserve"> </w:t>
      </w:r>
      <w:r w:rsidRPr="00B95314">
        <w:rPr>
          <w:rFonts w:cs="Arial"/>
          <w:sz w:val="20"/>
          <w:szCs w:val="20"/>
        </w:rPr>
        <w:t xml:space="preserve">may have. </w:t>
      </w:r>
    </w:p>
    <w:p w:rsidRPr="00B95314" w:rsidR="009F3CFF" w:rsidP="00E17660" w:rsidRDefault="009F3CFF" w14:paraId="1B65FE32" w14:textId="77777777">
      <w:pPr>
        <w:rPr>
          <w:rFonts w:cs="Arial"/>
          <w:sz w:val="20"/>
          <w:szCs w:val="20"/>
        </w:rPr>
      </w:pPr>
    </w:p>
    <w:p w:rsidRPr="00B95314" w:rsidR="00E17660" w:rsidP="00E17660" w:rsidRDefault="00E17660" w14:paraId="7B373C35" w14:textId="1B06DDB2">
      <w:pPr>
        <w:rPr>
          <w:rFonts w:cs="Arial"/>
          <w:sz w:val="20"/>
          <w:szCs w:val="20"/>
        </w:rPr>
      </w:pPr>
      <w:r w:rsidRPr="00B95314">
        <w:rPr>
          <w:rFonts w:cs="Arial"/>
          <w:sz w:val="20"/>
          <w:szCs w:val="20"/>
        </w:rPr>
        <w:t>Yours sincerely</w:t>
      </w:r>
      <w:r w:rsidRPr="00B95314" w:rsidR="009F3CFF">
        <w:rPr>
          <w:rFonts w:cs="Arial"/>
          <w:sz w:val="20"/>
          <w:szCs w:val="20"/>
        </w:rPr>
        <w:t>,</w:t>
      </w:r>
    </w:p>
    <w:p w:rsidRPr="00B95314" w:rsidR="00E17660" w:rsidP="00E17660" w:rsidRDefault="00E17660" w14:paraId="110DB1FF" w14:textId="77777777">
      <w:pPr>
        <w:rPr>
          <w:rFonts w:cs="Arial"/>
          <w:sz w:val="20"/>
          <w:szCs w:val="20"/>
        </w:rPr>
      </w:pPr>
    </w:p>
    <w:p w:rsidRPr="00B95314" w:rsidR="00E17660" w:rsidP="00E17660" w:rsidRDefault="000A6BEF" w14:paraId="5572371D" w14:textId="7E0C789D">
      <w:pPr>
        <w:rPr>
          <w:rFonts w:cs="Arial"/>
          <w:sz w:val="20"/>
          <w:szCs w:val="20"/>
        </w:rPr>
      </w:pPr>
      <w:r w:rsidRPr="000A6BEF">
        <w:rPr>
          <w:rFonts w:cs="Arial"/>
          <w:noProof/>
          <w:sz w:val="20"/>
          <w:szCs w:val="20"/>
          <w:highlight w:val="black"/>
        </w:rPr>
        <w:t>XXXXXXXXXXXXXX</w:t>
      </w:r>
    </w:p>
    <w:p w:rsidRPr="00B95314" w:rsidR="00E17660" w:rsidP="00FE0269" w:rsidRDefault="00E17660" w14:paraId="19B92536" w14:textId="77777777">
      <w:pPr>
        <w:ind w:left="0"/>
        <w:rPr>
          <w:rFonts w:cs="Arial"/>
          <w:sz w:val="20"/>
          <w:szCs w:val="20"/>
        </w:rPr>
      </w:pPr>
    </w:p>
    <w:p w:rsidRPr="00B95314" w:rsidR="002C2754" w:rsidP="00E17660" w:rsidRDefault="000A6BEF" w14:paraId="6AA108F8" w14:textId="6C5C46FA">
      <w:pPr>
        <w:rPr>
          <w:rFonts w:cs="Arial"/>
          <w:sz w:val="20"/>
          <w:szCs w:val="20"/>
        </w:rPr>
      </w:pPr>
      <w:r w:rsidRPr="000A6BEF">
        <w:rPr>
          <w:rFonts w:cs="Arial"/>
          <w:sz w:val="20"/>
          <w:szCs w:val="20"/>
          <w:highlight w:val="black"/>
        </w:rPr>
        <w:t>XXXXXXXXXX</w:t>
      </w:r>
    </w:p>
    <w:p w:rsidRPr="00B95314" w:rsidR="00E17660" w:rsidP="00E17660" w:rsidRDefault="000A6BEF" w14:paraId="20646FAB" w14:textId="47D00231">
      <w:pPr>
        <w:rPr>
          <w:rFonts w:cs="Arial"/>
          <w:sz w:val="20"/>
          <w:szCs w:val="20"/>
        </w:rPr>
      </w:pPr>
      <w:r w:rsidRPr="000A6BEF">
        <w:rPr>
          <w:rFonts w:cs="Arial"/>
          <w:sz w:val="20"/>
          <w:szCs w:val="20"/>
          <w:highlight w:val="black"/>
        </w:rPr>
        <w:t>XXXXXXXX</w:t>
      </w:r>
      <w:r w:rsidRPr="00B95314" w:rsidR="00E17660">
        <w:rPr>
          <w:rFonts w:cs="Arial"/>
          <w:sz w:val="20"/>
          <w:szCs w:val="20"/>
        </w:rPr>
        <w:t>, UK Market Access</w:t>
      </w:r>
    </w:p>
    <w:p w:rsidRPr="00B95314" w:rsidR="002C2754" w:rsidP="00E17660" w:rsidRDefault="002C2754" w14:paraId="3EE20E53" w14:textId="77777777">
      <w:pPr>
        <w:rPr>
          <w:rFonts w:cs="Arial"/>
          <w:sz w:val="20"/>
          <w:szCs w:val="20"/>
        </w:rPr>
      </w:pPr>
    </w:p>
    <w:p w:rsidRPr="00B95314" w:rsidR="002C2754" w:rsidP="00E17660" w:rsidRDefault="002C2754" w14:paraId="014C6624" w14:textId="77777777">
      <w:pPr>
        <w:rPr>
          <w:rFonts w:cs="Arial"/>
          <w:sz w:val="20"/>
          <w:szCs w:val="20"/>
        </w:rPr>
      </w:pPr>
    </w:p>
    <w:p w:rsidRPr="00B95314" w:rsidR="002C2754" w:rsidP="00E17660" w:rsidRDefault="002C2754" w14:paraId="6AF71A57" w14:textId="77777777">
      <w:pPr>
        <w:rPr>
          <w:rFonts w:cs="Arial"/>
          <w:sz w:val="20"/>
          <w:szCs w:val="20"/>
        </w:rPr>
      </w:pPr>
    </w:p>
    <w:sectPr w:rsidRPr="00B95314" w:rsidR="002C2754" w:rsidSect="001F46AE">
      <w:headerReference w:type="even" r:id="rId13"/>
      <w:headerReference w:type="default" r:id="rId14"/>
      <w:footerReference w:type="even" r:id="rId15"/>
      <w:footerReference w:type="default" r:id="rId16"/>
      <w:headerReference w:type="first" r:id="rId17"/>
      <w:footerReference w:type="first" r:id="rId18"/>
      <w:pgSz w:w="12240" w:h="15840" w:orient="portrait"/>
      <w:pgMar w:top="2268" w:right="1077" w:bottom="720" w:left="107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5CEB" w:rsidP="00E17660" w:rsidRDefault="00225CEB" w14:paraId="5087CB29" w14:textId="77777777">
      <w:r>
        <w:separator/>
      </w:r>
    </w:p>
  </w:endnote>
  <w:endnote w:type="continuationSeparator" w:id="0">
    <w:p w:rsidR="00225CEB" w:rsidP="00E17660" w:rsidRDefault="00225CEB" w14:paraId="34A52266" w14:textId="77777777">
      <w:r>
        <w:continuationSeparator/>
      </w:r>
    </w:p>
  </w:endnote>
  <w:endnote w:type="continuationNotice" w:id="1">
    <w:p w:rsidR="00225CEB" w:rsidRDefault="00225CEB" w14:paraId="3C18F2B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2754" w:rsidP="00E17660" w:rsidRDefault="002C2754" w14:paraId="7525F859" w14:textId="28CDE19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2C2754" w:rsidP="00E17660" w:rsidRDefault="002C2754" w14:paraId="4CB56F4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77AE7" w:rsidP="009F3CFF" w:rsidRDefault="002C2754" w14:paraId="4A4C6872" w14:textId="1EC5E423">
    <w:pPr>
      <w:pStyle w:val="Footer"/>
      <w:rPr>
        <w:rStyle w:val="PageNumber"/>
        <w:color w:val="C90045"/>
      </w:rPr>
    </w:pPr>
    <w:r w:rsidRPr="002668A9">
      <w:rPr>
        <w:rStyle w:val="PageNumber"/>
        <w:color w:val="C90045"/>
      </w:rPr>
      <w:fldChar w:fldCharType="begin"/>
    </w:r>
    <w:r w:rsidRPr="002668A9">
      <w:rPr>
        <w:rStyle w:val="PageNumber"/>
        <w:color w:val="C90045"/>
      </w:rPr>
      <w:instrText xml:space="preserve">PAGE  </w:instrText>
    </w:r>
    <w:r w:rsidRPr="002668A9">
      <w:rPr>
        <w:rStyle w:val="PageNumber"/>
        <w:color w:val="C90045"/>
      </w:rPr>
      <w:fldChar w:fldCharType="separate"/>
    </w:r>
    <w:r w:rsidR="00C9150A">
      <w:rPr>
        <w:rStyle w:val="PageNumber"/>
        <w:noProof/>
        <w:color w:val="C90045"/>
      </w:rPr>
      <w:t>1</w:t>
    </w:r>
    <w:r w:rsidRPr="002668A9">
      <w:rPr>
        <w:rStyle w:val="PageNumber"/>
        <w:color w:val="C90045"/>
      </w:rPr>
      <w:fldChar w:fldCharType="end"/>
    </w:r>
  </w:p>
  <w:p w:rsidRPr="009F3CFF" w:rsidR="002C2754" w:rsidP="009F3CFF" w:rsidRDefault="008310F0" w14:paraId="2A3FF832" w14:textId="5FC95846">
    <w:pPr>
      <w:pStyle w:val="Footer"/>
      <w:rPr>
        <w:color w:val="C90045"/>
      </w:rPr>
    </w:pPr>
    <w:r>
      <w:rPr>
        <w:noProof/>
      </w:rPr>
      <w:drawing>
        <wp:anchor distT="0" distB="0" distL="114300" distR="114300" simplePos="0" relativeHeight="251657728" behindDoc="0" locked="0" layoutInCell="1" allowOverlap="1" wp14:anchorId="3F47E1AB" wp14:editId="0D913B7C">
          <wp:simplePos x="0" y="0"/>
          <wp:positionH relativeFrom="margin">
            <wp:posOffset>5140325</wp:posOffset>
          </wp:positionH>
          <wp:positionV relativeFrom="bottomMargin">
            <wp:align>top</wp:align>
          </wp:positionV>
          <wp:extent cx="1138555" cy="128905"/>
          <wp:effectExtent l="0" t="0" r="4445" b="4445"/>
          <wp:wrapSquare wrapText="bothSides"/>
          <wp:docPr id="1397503946" name="Picture 4">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a:hlinkClick r:id="rId1"/>
                  </pic:cNvPr>
                  <pic:cNvPicPr>
                    <a:picLocks/>
                  </pic:cNvPicPr>
                </pic:nvPicPr>
                <pic:blipFill>
                  <a:blip r:embed="rId2"/>
                  <a:stretch>
                    <a:fillRect/>
                  </a:stretch>
                </pic:blipFill>
                <pic:spPr bwMode="auto">
                  <a:xfrm>
                    <a:off x="0" y="0"/>
                    <a:ext cx="1138555" cy="1289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0B4" w:rsidRDefault="009720B4" w14:paraId="2F7C6C1B" w14:textId="69B6A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5CEB" w:rsidP="00E17660" w:rsidRDefault="00225CEB" w14:paraId="72077932" w14:textId="77777777">
      <w:r>
        <w:separator/>
      </w:r>
    </w:p>
  </w:footnote>
  <w:footnote w:type="continuationSeparator" w:id="0">
    <w:p w:rsidR="00225CEB" w:rsidP="00E17660" w:rsidRDefault="00225CEB" w14:paraId="4E571B9F" w14:textId="77777777">
      <w:r>
        <w:continuationSeparator/>
      </w:r>
    </w:p>
  </w:footnote>
  <w:footnote w:type="continuationNotice" w:id="1">
    <w:p w:rsidR="00225CEB" w:rsidRDefault="00225CEB" w14:paraId="630CE85C" w14:textId="77777777"/>
  </w:footnote>
  <w:footnote w:id="2">
    <w:p w:rsidRPr="007007A1" w:rsidR="00D35C31" w:rsidP="00D35C31" w:rsidRDefault="00D35C31" w14:paraId="5DD511E3" w14:textId="77777777">
      <w:pPr>
        <w:pStyle w:val="FootnoteText"/>
      </w:pPr>
      <w:r w:rsidRPr="00D5046E">
        <w:rPr>
          <w:rStyle w:val="FootnoteReference"/>
          <w:sz w:val="16"/>
          <w:szCs w:val="16"/>
        </w:rPr>
        <w:footnoteRef/>
      </w:r>
      <w:r w:rsidRPr="00D5046E">
        <w:rPr>
          <w:sz w:val="16"/>
          <w:szCs w:val="16"/>
        </w:rPr>
        <w:t xml:space="preserve"> NICE Appeal Decision in TA692 Pembrolizumab for treating locally advanced or metastatic urothelial carcinoma after platinum-containing chemotherapy, paragraph 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0B4" w:rsidRDefault="009720B4" w14:paraId="0160813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16 w16cex w16sdtdh w16sdtfl w16du wp14">
  <w:p w:rsidR="002C2754" w:rsidP="00E17660" w:rsidRDefault="008310F0" w14:paraId="551E71DF" w14:textId="77777777">
    <w:pPr>
      <w:pStyle w:val="Header"/>
    </w:pPr>
    <w:r>
      <w:rPr>
        <w:noProof/>
      </w:rPr>
      <mc:AlternateContent>
        <mc:Choice Requires="wps">
          <w:drawing>
            <wp:anchor distT="0" distB="0" distL="114300" distR="114300" simplePos="0" relativeHeight="251656704" behindDoc="0" locked="0" layoutInCell="1" allowOverlap="1" wp14:anchorId="3203521E" wp14:editId="30BE3F5A">
              <wp:simplePos x="0" y="0"/>
              <wp:positionH relativeFrom="column">
                <wp:posOffset>3923274</wp:posOffset>
              </wp:positionH>
              <wp:positionV relativeFrom="paragraph">
                <wp:posOffset>0</wp:posOffset>
              </wp:positionV>
              <wp:extent cx="2475670" cy="5029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670" cy="502920"/>
                      </a:xfrm>
                      <a:prstGeom prst="rect">
                        <a:avLst/>
                      </a:prstGeom>
                      <a:noFill/>
                      <a:ln>
                        <a:noFill/>
                      </a:ln>
                      <a:effectLst/>
                      <a:extLst>
                        <a:ext uri="{C572A759-6A51-4108-AA02-DFA0A04FC94B}">
                          <ma14:wrappingTextBoxFlag xmlns:pic="http://schemas.openxmlformats.org/drawingml/2006/picture" xmlns:a14="http://schemas.microsoft.com/office/drawing/2010/main"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txbx>
                      <w:txbxContent>
                        <w:p w:rsidRPr="00E17660" w:rsidR="00E17660" w:rsidP="00E17660" w:rsidRDefault="00E17660" w14:paraId="5D8126B2" w14:textId="77777777">
                          <w:pPr>
                            <w:rPr>
                              <w:sz w:val="18"/>
                              <w:szCs w:val="18"/>
                            </w:rPr>
                          </w:pPr>
                          <w:r w:rsidRPr="00E17660">
                            <w:rPr>
                              <w:sz w:val="18"/>
                              <w:szCs w:val="18"/>
                            </w:rPr>
                            <w:t xml:space="preserve">Registered office address: </w:t>
                          </w:r>
                        </w:p>
                        <w:p w:rsidRPr="00E17660" w:rsidR="002C2754" w:rsidP="00E17660" w:rsidRDefault="00E17660" w14:paraId="3BE9F0DC" w14:textId="57406C22">
                          <w:pPr>
                            <w:rPr>
                              <w:sz w:val="18"/>
                              <w:szCs w:val="18"/>
                            </w:rPr>
                          </w:pPr>
                          <w:r w:rsidRPr="00E17660">
                            <w:rPr>
                              <w:sz w:val="18"/>
                              <w:szCs w:val="18"/>
                            </w:rPr>
                            <w:t>The Charter Building, Vine Street, Uxbridge, Middlesex, United Kingdom, UB8 1JG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2691A3">
            <v:shapetype id="_x0000_t202" coordsize="21600,21600" o:spt="202" path="m,l,21600r21600,l21600,xe" w14:anchorId="3203521E">
              <v:stroke joinstyle="miter"/>
              <v:path gradientshapeok="t" o:connecttype="rect"/>
            </v:shapetype>
            <v:shape id="Text Box 7" style="position:absolute;left:0;text-align:left;margin-left:308.9pt;margin-top:0;width:194.95pt;height:3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">
              <v:textbox>
                <w:txbxContent>
                  <w:p w:rsidRPr="00E17660" w:rsidR="00E17660" w:rsidP="00E17660" w:rsidRDefault="00E17660" w14:paraId="69A30384" w14:textId="77777777">
                    <w:pPr>
                      <w:rPr>
                        <w:sz w:val="18"/>
                        <w:szCs w:val="18"/>
                      </w:rPr>
                    </w:pPr>
                    <w:r w:rsidRPr="00E17660">
                      <w:rPr>
                        <w:sz w:val="18"/>
                        <w:szCs w:val="18"/>
                      </w:rPr>
                      <w:t xml:space="preserve">Registered office address: </w:t>
                    </w:r>
                  </w:p>
                  <w:p w:rsidRPr="00E17660" w:rsidR="002C2754" w:rsidP="00E17660" w:rsidRDefault="00E17660" w14:paraId="05092E2A" w14:textId="57406C22">
                    <w:pPr>
                      <w:rPr>
                        <w:sz w:val="18"/>
                        <w:szCs w:val="18"/>
                      </w:rPr>
                    </w:pPr>
                    <w:r w:rsidRPr="00E17660">
                      <w:rPr>
                        <w:sz w:val="18"/>
                        <w:szCs w:val="18"/>
                      </w:rPr>
                      <w:t>The Charter Building, Vine Street, Uxbridge, Middlesex, United Kingdom, UB8 1JG</w:t>
                    </w:r>
                  </w:p>
                </w:txbxContent>
              </v:textbox>
            </v:shape>
          </w:pict>
        </mc:Fallback>
      </mc:AlternateContent>
    </w:r>
    <w:r w:rsidRPr="004E6BEF">
      <w:rPr>
        <w:noProof/>
      </w:rPr>
      <w:drawing>
        <wp:inline distT="0" distB="0" distL="0" distR="0" wp14:anchorId="67E832A2" wp14:editId="51EB6B6F">
          <wp:extent cx="2159000" cy="431800"/>
          <wp:effectExtent l="0" t="0" r="0" b="0"/>
          <wp:docPr id="64075461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4318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58752" behindDoc="0" locked="0" layoutInCell="1" allowOverlap="1" wp14:anchorId="4F856175" wp14:editId="17A3CB15">
              <wp:simplePos x="0" y="0"/>
              <wp:positionH relativeFrom="column">
                <wp:posOffset>0</wp:posOffset>
              </wp:positionH>
              <wp:positionV relativeFrom="paragraph">
                <wp:posOffset>571499</wp:posOffset>
              </wp:positionV>
              <wp:extent cx="62865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a:noFill/>
                      <a:ln w="6350" cap="flat" cmpd="sng" algn="ctr">
                        <a:solidFill>
                          <a:srgbClr val="084799"/>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2D590539">
            <v:line id="Straight Connector 8"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84799" strokeweight=".5pt" from="0,45pt" to="495pt,45pt" w14:anchorId="7DB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&#1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720B4" w:rsidRDefault="009720B4" w14:paraId="418533F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A6938"/>
    <w:multiLevelType w:val="hybridMultilevel"/>
    <w:tmpl w:val="7FB2425E"/>
    <w:lvl w:ilvl="0" w:tplc="5A7E241A">
      <w:numFmt w:val="bullet"/>
      <w:lvlText w:val="•"/>
      <w:lvlJc w:val="left"/>
      <w:pPr>
        <w:ind w:left="724" w:hanging="440"/>
      </w:pPr>
      <w:rPr>
        <w:rFonts w:hint="default" w:ascii="Arial" w:hAnsi="Arial" w:eastAsia="MS Mincho" w:cs="Arial"/>
      </w:rPr>
    </w:lvl>
    <w:lvl w:ilvl="1" w:tplc="04090003" w:tentative="1">
      <w:start w:val="1"/>
      <w:numFmt w:val="bullet"/>
      <w:lvlText w:val="o"/>
      <w:lvlJc w:val="left"/>
      <w:pPr>
        <w:ind w:left="1364" w:hanging="360"/>
      </w:pPr>
      <w:rPr>
        <w:rFonts w:hint="default" w:ascii="Courier New" w:hAnsi="Courier New" w:cs="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cs="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cs="Courier New"/>
      </w:rPr>
    </w:lvl>
    <w:lvl w:ilvl="8" w:tplc="04090005" w:tentative="1">
      <w:start w:val="1"/>
      <w:numFmt w:val="bullet"/>
      <w:lvlText w:val=""/>
      <w:lvlJc w:val="left"/>
      <w:pPr>
        <w:ind w:left="6404" w:hanging="360"/>
      </w:pPr>
      <w:rPr>
        <w:rFonts w:hint="default" w:ascii="Wingdings" w:hAnsi="Wingdings"/>
      </w:rPr>
    </w:lvl>
  </w:abstractNum>
  <w:abstractNum w:abstractNumId="1" w15:restartNumberingAfterBreak="0">
    <w:nsid w:val="35C86BAB"/>
    <w:multiLevelType w:val="hybridMultilevel"/>
    <w:tmpl w:val="ACC47B0C"/>
    <w:lvl w:ilvl="0" w:tplc="04090001">
      <w:start w:val="1"/>
      <w:numFmt w:val="bullet"/>
      <w:lvlText w:val=""/>
      <w:lvlJc w:val="left"/>
      <w:pPr>
        <w:ind w:left="1004" w:hanging="360"/>
      </w:pPr>
      <w:rPr>
        <w:rFonts w:hint="default" w:ascii="Symbol" w:hAnsi="Symbol"/>
      </w:rPr>
    </w:lvl>
    <w:lvl w:ilvl="1" w:tplc="04090003">
      <w:start w:val="1"/>
      <w:numFmt w:val="bullet"/>
      <w:lvlText w:val="o"/>
      <w:lvlJc w:val="left"/>
      <w:pPr>
        <w:ind w:left="1724" w:hanging="360"/>
      </w:pPr>
      <w:rPr>
        <w:rFonts w:hint="default" w:ascii="Courier New" w:hAnsi="Courier New" w:cs="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cs="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cs="Courier New"/>
      </w:rPr>
    </w:lvl>
    <w:lvl w:ilvl="8" w:tplc="04090005" w:tentative="1">
      <w:start w:val="1"/>
      <w:numFmt w:val="bullet"/>
      <w:lvlText w:val=""/>
      <w:lvlJc w:val="left"/>
      <w:pPr>
        <w:ind w:left="6764" w:hanging="360"/>
      </w:pPr>
      <w:rPr>
        <w:rFonts w:hint="default" w:ascii="Wingdings" w:hAnsi="Wingdings"/>
      </w:rPr>
    </w:lvl>
  </w:abstractNum>
  <w:num w:numId="1" w16cid:durableId="688526748">
    <w:abstractNumId w:val="1"/>
  </w:num>
  <w:num w:numId="2" w16cid:durableId="63206082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removePersonalInformation/>
  <w:removeDateAndTim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13"/>
    <w:rsid w:val="000011DA"/>
    <w:rsid w:val="00005D08"/>
    <w:rsid w:val="00010158"/>
    <w:rsid w:val="0001056F"/>
    <w:rsid w:val="00032557"/>
    <w:rsid w:val="000356D8"/>
    <w:rsid w:val="00036563"/>
    <w:rsid w:val="000379D2"/>
    <w:rsid w:val="00042912"/>
    <w:rsid w:val="000433E4"/>
    <w:rsid w:val="00047282"/>
    <w:rsid w:val="00050638"/>
    <w:rsid w:val="00066956"/>
    <w:rsid w:val="00067BE8"/>
    <w:rsid w:val="00070316"/>
    <w:rsid w:val="00071EDC"/>
    <w:rsid w:val="00076EC5"/>
    <w:rsid w:val="00086FE5"/>
    <w:rsid w:val="00092B59"/>
    <w:rsid w:val="00092C88"/>
    <w:rsid w:val="00096152"/>
    <w:rsid w:val="000975FD"/>
    <w:rsid w:val="000A27D5"/>
    <w:rsid w:val="000A6BEF"/>
    <w:rsid w:val="000B16EB"/>
    <w:rsid w:val="000B1AB5"/>
    <w:rsid w:val="000B660D"/>
    <w:rsid w:val="000B6C87"/>
    <w:rsid w:val="000C29F8"/>
    <w:rsid w:val="000C38A1"/>
    <w:rsid w:val="000C6072"/>
    <w:rsid w:val="000C6220"/>
    <w:rsid w:val="000D47FC"/>
    <w:rsid w:val="000D7DA5"/>
    <w:rsid w:val="000E17EC"/>
    <w:rsid w:val="000E42AB"/>
    <w:rsid w:val="000F1B46"/>
    <w:rsid w:val="000F2549"/>
    <w:rsid w:val="000F44EE"/>
    <w:rsid w:val="000F5EC5"/>
    <w:rsid w:val="00102C1B"/>
    <w:rsid w:val="00106F67"/>
    <w:rsid w:val="001212EB"/>
    <w:rsid w:val="00121AB3"/>
    <w:rsid w:val="001424AA"/>
    <w:rsid w:val="00147BDB"/>
    <w:rsid w:val="00153D86"/>
    <w:rsid w:val="0016059D"/>
    <w:rsid w:val="001A1C1C"/>
    <w:rsid w:val="001A697C"/>
    <w:rsid w:val="001A7496"/>
    <w:rsid w:val="001B078C"/>
    <w:rsid w:val="001B291B"/>
    <w:rsid w:val="001C55ED"/>
    <w:rsid w:val="001E09EF"/>
    <w:rsid w:val="001E383D"/>
    <w:rsid w:val="001E69F3"/>
    <w:rsid w:val="001F46AE"/>
    <w:rsid w:val="001F4A80"/>
    <w:rsid w:val="001F74CC"/>
    <w:rsid w:val="00212851"/>
    <w:rsid w:val="002132A1"/>
    <w:rsid w:val="00214510"/>
    <w:rsid w:val="00217269"/>
    <w:rsid w:val="00225CEB"/>
    <w:rsid w:val="002316A0"/>
    <w:rsid w:val="00232BA0"/>
    <w:rsid w:val="00234D7D"/>
    <w:rsid w:val="00235938"/>
    <w:rsid w:val="00236D77"/>
    <w:rsid w:val="00237E9D"/>
    <w:rsid w:val="002539BE"/>
    <w:rsid w:val="002668A9"/>
    <w:rsid w:val="0027477D"/>
    <w:rsid w:val="00281790"/>
    <w:rsid w:val="00285AC5"/>
    <w:rsid w:val="00285BDE"/>
    <w:rsid w:val="002973BA"/>
    <w:rsid w:val="002B17B6"/>
    <w:rsid w:val="002B5AB9"/>
    <w:rsid w:val="002C2754"/>
    <w:rsid w:val="002D08E0"/>
    <w:rsid w:val="002D7D9E"/>
    <w:rsid w:val="00306B74"/>
    <w:rsid w:val="00316910"/>
    <w:rsid w:val="0032114E"/>
    <w:rsid w:val="00323DA9"/>
    <w:rsid w:val="00337C18"/>
    <w:rsid w:val="0034501A"/>
    <w:rsid w:val="0035094B"/>
    <w:rsid w:val="00350AE6"/>
    <w:rsid w:val="0035455F"/>
    <w:rsid w:val="00365FC5"/>
    <w:rsid w:val="0037573A"/>
    <w:rsid w:val="00392F4C"/>
    <w:rsid w:val="00393CB2"/>
    <w:rsid w:val="003A13BE"/>
    <w:rsid w:val="003C64AD"/>
    <w:rsid w:val="003D3EB2"/>
    <w:rsid w:val="003D6A44"/>
    <w:rsid w:val="003E1295"/>
    <w:rsid w:val="003E195F"/>
    <w:rsid w:val="003E5D76"/>
    <w:rsid w:val="00402B97"/>
    <w:rsid w:val="00423C31"/>
    <w:rsid w:val="00424C8F"/>
    <w:rsid w:val="004256A7"/>
    <w:rsid w:val="004310D8"/>
    <w:rsid w:val="00442C71"/>
    <w:rsid w:val="00444209"/>
    <w:rsid w:val="004512BE"/>
    <w:rsid w:val="00455AF3"/>
    <w:rsid w:val="004570BB"/>
    <w:rsid w:val="00463334"/>
    <w:rsid w:val="004809C9"/>
    <w:rsid w:val="00482025"/>
    <w:rsid w:val="00483EE9"/>
    <w:rsid w:val="00484E1A"/>
    <w:rsid w:val="004B6F17"/>
    <w:rsid w:val="004C5D10"/>
    <w:rsid w:val="004D35B3"/>
    <w:rsid w:val="00504D12"/>
    <w:rsid w:val="00506045"/>
    <w:rsid w:val="00511765"/>
    <w:rsid w:val="0051775B"/>
    <w:rsid w:val="00532AA5"/>
    <w:rsid w:val="005365B1"/>
    <w:rsid w:val="00543C38"/>
    <w:rsid w:val="0055574B"/>
    <w:rsid w:val="005700AA"/>
    <w:rsid w:val="00571459"/>
    <w:rsid w:val="00572AAF"/>
    <w:rsid w:val="005771E0"/>
    <w:rsid w:val="00595E38"/>
    <w:rsid w:val="00595F09"/>
    <w:rsid w:val="00596C41"/>
    <w:rsid w:val="005A2476"/>
    <w:rsid w:val="005A3196"/>
    <w:rsid w:val="005D4339"/>
    <w:rsid w:val="005E54C8"/>
    <w:rsid w:val="005F2AB1"/>
    <w:rsid w:val="005F5731"/>
    <w:rsid w:val="0060577C"/>
    <w:rsid w:val="00606EDA"/>
    <w:rsid w:val="006072C0"/>
    <w:rsid w:val="00611826"/>
    <w:rsid w:val="00626053"/>
    <w:rsid w:val="00657375"/>
    <w:rsid w:val="0066494B"/>
    <w:rsid w:val="006A15E8"/>
    <w:rsid w:val="006A2512"/>
    <w:rsid w:val="006A2F19"/>
    <w:rsid w:val="006B239F"/>
    <w:rsid w:val="006B6034"/>
    <w:rsid w:val="006C18A8"/>
    <w:rsid w:val="006C48E2"/>
    <w:rsid w:val="006C5931"/>
    <w:rsid w:val="006C5F57"/>
    <w:rsid w:val="006D3230"/>
    <w:rsid w:val="006D3ED1"/>
    <w:rsid w:val="006D5C49"/>
    <w:rsid w:val="006D5EB7"/>
    <w:rsid w:val="006D7848"/>
    <w:rsid w:val="006F173D"/>
    <w:rsid w:val="006F3EE0"/>
    <w:rsid w:val="006F7B6A"/>
    <w:rsid w:val="00701875"/>
    <w:rsid w:val="00710E25"/>
    <w:rsid w:val="00713FBE"/>
    <w:rsid w:val="00714C53"/>
    <w:rsid w:val="00733BEB"/>
    <w:rsid w:val="00740C3B"/>
    <w:rsid w:val="0074366B"/>
    <w:rsid w:val="00745849"/>
    <w:rsid w:val="0075620C"/>
    <w:rsid w:val="00760073"/>
    <w:rsid w:val="00765CE8"/>
    <w:rsid w:val="00772C68"/>
    <w:rsid w:val="007821F2"/>
    <w:rsid w:val="007826B6"/>
    <w:rsid w:val="00785C40"/>
    <w:rsid w:val="00787570"/>
    <w:rsid w:val="0079054F"/>
    <w:rsid w:val="00790FEA"/>
    <w:rsid w:val="00795405"/>
    <w:rsid w:val="007B368B"/>
    <w:rsid w:val="007D0885"/>
    <w:rsid w:val="007D34FF"/>
    <w:rsid w:val="007D7213"/>
    <w:rsid w:val="007F6568"/>
    <w:rsid w:val="008023D3"/>
    <w:rsid w:val="00804E78"/>
    <w:rsid w:val="00805402"/>
    <w:rsid w:val="0081086F"/>
    <w:rsid w:val="00811899"/>
    <w:rsid w:val="0081192C"/>
    <w:rsid w:val="008147E9"/>
    <w:rsid w:val="00816BB6"/>
    <w:rsid w:val="00820D25"/>
    <w:rsid w:val="008310F0"/>
    <w:rsid w:val="008366B7"/>
    <w:rsid w:val="0084269A"/>
    <w:rsid w:val="00845765"/>
    <w:rsid w:val="008528F5"/>
    <w:rsid w:val="00857566"/>
    <w:rsid w:val="008634F4"/>
    <w:rsid w:val="0086614D"/>
    <w:rsid w:val="00866828"/>
    <w:rsid w:val="00875810"/>
    <w:rsid w:val="008835AD"/>
    <w:rsid w:val="00883ADE"/>
    <w:rsid w:val="00884BAC"/>
    <w:rsid w:val="00887FC8"/>
    <w:rsid w:val="00890B88"/>
    <w:rsid w:val="008A49BB"/>
    <w:rsid w:val="008B5164"/>
    <w:rsid w:val="008C1DAF"/>
    <w:rsid w:val="008D3251"/>
    <w:rsid w:val="008D4039"/>
    <w:rsid w:val="008D4668"/>
    <w:rsid w:val="008D586C"/>
    <w:rsid w:val="008E1581"/>
    <w:rsid w:val="008F594A"/>
    <w:rsid w:val="009061DD"/>
    <w:rsid w:val="009074C5"/>
    <w:rsid w:val="00921BF5"/>
    <w:rsid w:val="00921CC1"/>
    <w:rsid w:val="0092213E"/>
    <w:rsid w:val="0092596F"/>
    <w:rsid w:val="009305C7"/>
    <w:rsid w:val="0093662A"/>
    <w:rsid w:val="00955F83"/>
    <w:rsid w:val="009674DF"/>
    <w:rsid w:val="009720B4"/>
    <w:rsid w:val="00972954"/>
    <w:rsid w:val="0098000B"/>
    <w:rsid w:val="00982163"/>
    <w:rsid w:val="009A7BFB"/>
    <w:rsid w:val="009B47EC"/>
    <w:rsid w:val="009B76A2"/>
    <w:rsid w:val="009C0579"/>
    <w:rsid w:val="009D1532"/>
    <w:rsid w:val="009E04DF"/>
    <w:rsid w:val="009E3449"/>
    <w:rsid w:val="009E4BFF"/>
    <w:rsid w:val="009F3CFF"/>
    <w:rsid w:val="009F543B"/>
    <w:rsid w:val="009F7936"/>
    <w:rsid w:val="00A03FC0"/>
    <w:rsid w:val="00A16410"/>
    <w:rsid w:val="00A179A8"/>
    <w:rsid w:val="00A22D7F"/>
    <w:rsid w:val="00A336A1"/>
    <w:rsid w:val="00A35142"/>
    <w:rsid w:val="00A35946"/>
    <w:rsid w:val="00A40193"/>
    <w:rsid w:val="00A40DB0"/>
    <w:rsid w:val="00A4137F"/>
    <w:rsid w:val="00A43CDC"/>
    <w:rsid w:val="00A535DB"/>
    <w:rsid w:val="00A55188"/>
    <w:rsid w:val="00A55271"/>
    <w:rsid w:val="00A636F1"/>
    <w:rsid w:val="00A7228B"/>
    <w:rsid w:val="00A75019"/>
    <w:rsid w:val="00A82E04"/>
    <w:rsid w:val="00A9649A"/>
    <w:rsid w:val="00AA0B38"/>
    <w:rsid w:val="00AA6070"/>
    <w:rsid w:val="00AA64EE"/>
    <w:rsid w:val="00AA6DFC"/>
    <w:rsid w:val="00AB244E"/>
    <w:rsid w:val="00AB40A3"/>
    <w:rsid w:val="00AC0751"/>
    <w:rsid w:val="00AC3682"/>
    <w:rsid w:val="00AC3E6B"/>
    <w:rsid w:val="00AC7D4B"/>
    <w:rsid w:val="00AD1B56"/>
    <w:rsid w:val="00AD1CDF"/>
    <w:rsid w:val="00AD283A"/>
    <w:rsid w:val="00AD447D"/>
    <w:rsid w:val="00AD4B9B"/>
    <w:rsid w:val="00AE11C6"/>
    <w:rsid w:val="00AF2D0B"/>
    <w:rsid w:val="00B06C9E"/>
    <w:rsid w:val="00B20848"/>
    <w:rsid w:val="00B212F3"/>
    <w:rsid w:val="00B21EB8"/>
    <w:rsid w:val="00B25770"/>
    <w:rsid w:val="00B44969"/>
    <w:rsid w:val="00B45D9E"/>
    <w:rsid w:val="00B67C6A"/>
    <w:rsid w:val="00B73C4C"/>
    <w:rsid w:val="00B83EC2"/>
    <w:rsid w:val="00B94A6B"/>
    <w:rsid w:val="00B95314"/>
    <w:rsid w:val="00B95D4B"/>
    <w:rsid w:val="00B97DF8"/>
    <w:rsid w:val="00BA3760"/>
    <w:rsid w:val="00BB0999"/>
    <w:rsid w:val="00BB455B"/>
    <w:rsid w:val="00BC440C"/>
    <w:rsid w:val="00BC55C7"/>
    <w:rsid w:val="00BC6B5C"/>
    <w:rsid w:val="00BD292C"/>
    <w:rsid w:val="00BD6B1B"/>
    <w:rsid w:val="00BF0435"/>
    <w:rsid w:val="00BF089E"/>
    <w:rsid w:val="00BF35C9"/>
    <w:rsid w:val="00BF3639"/>
    <w:rsid w:val="00BF76C1"/>
    <w:rsid w:val="00C02F19"/>
    <w:rsid w:val="00C036E1"/>
    <w:rsid w:val="00C17653"/>
    <w:rsid w:val="00C261BE"/>
    <w:rsid w:val="00C261EF"/>
    <w:rsid w:val="00C356E0"/>
    <w:rsid w:val="00C3677F"/>
    <w:rsid w:val="00C40D28"/>
    <w:rsid w:val="00C4534B"/>
    <w:rsid w:val="00C47048"/>
    <w:rsid w:val="00C51832"/>
    <w:rsid w:val="00C550E9"/>
    <w:rsid w:val="00C573CE"/>
    <w:rsid w:val="00C60B31"/>
    <w:rsid w:val="00C62634"/>
    <w:rsid w:val="00C773A3"/>
    <w:rsid w:val="00C77C1E"/>
    <w:rsid w:val="00C83F36"/>
    <w:rsid w:val="00C90B33"/>
    <w:rsid w:val="00C9131E"/>
    <w:rsid w:val="00C9150A"/>
    <w:rsid w:val="00C948C5"/>
    <w:rsid w:val="00CA521D"/>
    <w:rsid w:val="00CB304E"/>
    <w:rsid w:val="00CD6185"/>
    <w:rsid w:val="00CE202F"/>
    <w:rsid w:val="00CE58DE"/>
    <w:rsid w:val="00CE7FB6"/>
    <w:rsid w:val="00CF33E3"/>
    <w:rsid w:val="00CF7DEC"/>
    <w:rsid w:val="00D063AA"/>
    <w:rsid w:val="00D07815"/>
    <w:rsid w:val="00D32170"/>
    <w:rsid w:val="00D358DE"/>
    <w:rsid w:val="00D35C31"/>
    <w:rsid w:val="00D37771"/>
    <w:rsid w:val="00D422D7"/>
    <w:rsid w:val="00D45CB3"/>
    <w:rsid w:val="00D5046E"/>
    <w:rsid w:val="00D5060B"/>
    <w:rsid w:val="00D52188"/>
    <w:rsid w:val="00D563F2"/>
    <w:rsid w:val="00D656EB"/>
    <w:rsid w:val="00D67A93"/>
    <w:rsid w:val="00D702B3"/>
    <w:rsid w:val="00D71F15"/>
    <w:rsid w:val="00D76E6A"/>
    <w:rsid w:val="00D778E0"/>
    <w:rsid w:val="00D80249"/>
    <w:rsid w:val="00D83F05"/>
    <w:rsid w:val="00D860D6"/>
    <w:rsid w:val="00D90401"/>
    <w:rsid w:val="00DA74E7"/>
    <w:rsid w:val="00DB1808"/>
    <w:rsid w:val="00DB378A"/>
    <w:rsid w:val="00DB3A13"/>
    <w:rsid w:val="00DB7A2C"/>
    <w:rsid w:val="00DC1C87"/>
    <w:rsid w:val="00DC3759"/>
    <w:rsid w:val="00DC5871"/>
    <w:rsid w:val="00DD2CAE"/>
    <w:rsid w:val="00DD2E5A"/>
    <w:rsid w:val="00DD5539"/>
    <w:rsid w:val="00DD55BE"/>
    <w:rsid w:val="00DE3A15"/>
    <w:rsid w:val="00DE5254"/>
    <w:rsid w:val="00DF5360"/>
    <w:rsid w:val="00E03288"/>
    <w:rsid w:val="00E11FF5"/>
    <w:rsid w:val="00E17660"/>
    <w:rsid w:val="00E21E44"/>
    <w:rsid w:val="00E22A42"/>
    <w:rsid w:val="00E30F7F"/>
    <w:rsid w:val="00E42440"/>
    <w:rsid w:val="00E42AD5"/>
    <w:rsid w:val="00E47D0E"/>
    <w:rsid w:val="00E514A7"/>
    <w:rsid w:val="00E616DB"/>
    <w:rsid w:val="00E651B4"/>
    <w:rsid w:val="00E658A7"/>
    <w:rsid w:val="00E72DD8"/>
    <w:rsid w:val="00E74873"/>
    <w:rsid w:val="00E7770B"/>
    <w:rsid w:val="00E77B6B"/>
    <w:rsid w:val="00E8002E"/>
    <w:rsid w:val="00E80B8D"/>
    <w:rsid w:val="00E82A75"/>
    <w:rsid w:val="00E848CA"/>
    <w:rsid w:val="00E858D0"/>
    <w:rsid w:val="00E8638F"/>
    <w:rsid w:val="00E86641"/>
    <w:rsid w:val="00E937E0"/>
    <w:rsid w:val="00E94CBE"/>
    <w:rsid w:val="00EA1B3C"/>
    <w:rsid w:val="00EA52AD"/>
    <w:rsid w:val="00EA6CD2"/>
    <w:rsid w:val="00EC291B"/>
    <w:rsid w:val="00EC5233"/>
    <w:rsid w:val="00ED6266"/>
    <w:rsid w:val="00ED7BD1"/>
    <w:rsid w:val="00EE2365"/>
    <w:rsid w:val="00EF064B"/>
    <w:rsid w:val="00EF149C"/>
    <w:rsid w:val="00EF3114"/>
    <w:rsid w:val="00EF6125"/>
    <w:rsid w:val="00F10541"/>
    <w:rsid w:val="00F1699C"/>
    <w:rsid w:val="00F237EB"/>
    <w:rsid w:val="00F27E4D"/>
    <w:rsid w:val="00F30687"/>
    <w:rsid w:val="00F34922"/>
    <w:rsid w:val="00F34AD6"/>
    <w:rsid w:val="00F40DBB"/>
    <w:rsid w:val="00F44B30"/>
    <w:rsid w:val="00F44DAB"/>
    <w:rsid w:val="00F60B37"/>
    <w:rsid w:val="00F61588"/>
    <w:rsid w:val="00F64789"/>
    <w:rsid w:val="00F75F8B"/>
    <w:rsid w:val="00F77AE7"/>
    <w:rsid w:val="00F77E95"/>
    <w:rsid w:val="00F90049"/>
    <w:rsid w:val="00F90E2C"/>
    <w:rsid w:val="00F9152E"/>
    <w:rsid w:val="00FA2484"/>
    <w:rsid w:val="00FA2F77"/>
    <w:rsid w:val="00FA4599"/>
    <w:rsid w:val="00FA77C0"/>
    <w:rsid w:val="00FA7956"/>
    <w:rsid w:val="00FB0668"/>
    <w:rsid w:val="00FB15BF"/>
    <w:rsid w:val="00FB42D5"/>
    <w:rsid w:val="00FC3FD9"/>
    <w:rsid w:val="00FE0085"/>
    <w:rsid w:val="00FE0269"/>
    <w:rsid w:val="00FF083F"/>
    <w:rsid w:val="00FF1843"/>
    <w:rsid w:val="00FF57D4"/>
    <w:rsid w:val="00FF5E02"/>
    <w:rsid w:val="00FF702F"/>
    <w:rsid w:val="03378650"/>
    <w:rsid w:val="07270312"/>
    <w:rsid w:val="07C6DE98"/>
    <w:rsid w:val="08F264EE"/>
    <w:rsid w:val="0B25AD7D"/>
    <w:rsid w:val="0C756F85"/>
    <w:rsid w:val="17001FD2"/>
    <w:rsid w:val="17E4E9C6"/>
    <w:rsid w:val="1D1080F1"/>
    <w:rsid w:val="2644C29F"/>
    <w:rsid w:val="26E51779"/>
    <w:rsid w:val="2F64E67D"/>
    <w:rsid w:val="36992452"/>
    <w:rsid w:val="397FFCDC"/>
    <w:rsid w:val="3D275DDD"/>
    <w:rsid w:val="4136D179"/>
    <w:rsid w:val="43CB49C7"/>
    <w:rsid w:val="48DBFCCA"/>
    <w:rsid w:val="4A50E891"/>
    <w:rsid w:val="4E6A39BE"/>
    <w:rsid w:val="4F1AE99F"/>
    <w:rsid w:val="50C2CD7E"/>
    <w:rsid w:val="5186DB98"/>
    <w:rsid w:val="5477A41F"/>
    <w:rsid w:val="55DAFCC0"/>
    <w:rsid w:val="57C80DDC"/>
    <w:rsid w:val="58D4FB87"/>
    <w:rsid w:val="5B1F7F50"/>
    <w:rsid w:val="6269FEC7"/>
    <w:rsid w:val="6977388E"/>
    <w:rsid w:val="70145293"/>
    <w:rsid w:val="7267E849"/>
    <w:rsid w:val="738284D2"/>
    <w:rsid w:val="75A073E5"/>
    <w:rsid w:val="7664365B"/>
    <w:rsid w:val="78D8268D"/>
    <w:rsid w:val="7B639E23"/>
    <w:rsid w:val="7C578001"/>
    <w:rsid w:val="7DCEAE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9480CB"/>
  <w14:defaultImageDpi w14:val="330"/>
  <w15:chartTrackingRefBased/>
  <w15:docId w15:val="{BB310D2D-2176-407F-B2FA-6A214D8F38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MS Minch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7660"/>
    <w:pPr>
      <w:ind w:left="284"/>
    </w:pPr>
    <w:rPr>
      <w:rFonts w:ascii="Arial" w:hAnsi="Arial"/>
      <w:sz w:val="24"/>
      <w:szCs w:val="24"/>
    </w:rPr>
  </w:style>
  <w:style w:type="paragraph" w:styleId="Heading1">
    <w:name w:val="heading 1"/>
    <w:basedOn w:val="Normal"/>
    <w:next w:val="Normal"/>
    <w:link w:val="Heading1Char"/>
    <w:uiPriority w:val="9"/>
    <w:qFormat/>
    <w:rsid w:val="00071EDC"/>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195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D7213"/>
    <w:pPr>
      <w:tabs>
        <w:tab w:val="center" w:pos="4320"/>
        <w:tab w:val="right" w:pos="8640"/>
      </w:tabs>
    </w:pPr>
  </w:style>
  <w:style w:type="character" w:styleId="HeaderChar" w:customStyle="1">
    <w:name w:val="Header Char"/>
    <w:basedOn w:val="DefaultParagraphFont"/>
    <w:link w:val="Header"/>
    <w:uiPriority w:val="99"/>
    <w:rsid w:val="007D7213"/>
  </w:style>
  <w:style w:type="paragraph" w:styleId="Footer">
    <w:name w:val="footer"/>
    <w:basedOn w:val="Normal"/>
    <w:link w:val="FooterChar"/>
    <w:uiPriority w:val="99"/>
    <w:unhideWhenUsed/>
    <w:rsid w:val="007D7213"/>
    <w:pPr>
      <w:tabs>
        <w:tab w:val="center" w:pos="4320"/>
        <w:tab w:val="right" w:pos="8640"/>
      </w:tabs>
    </w:pPr>
  </w:style>
  <w:style w:type="character" w:styleId="FooterChar" w:customStyle="1">
    <w:name w:val="Footer Char"/>
    <w:basedOn w:val="DefaultParagraphFont"/>
    <w:link w:val="Footer"/>
    <w:uiPriority w:val="99"/>
    <w:rsid w:val="007D7213"/>
  </w:style>
  <w:style w:type="paragraph" w:styleId="BalloonText">
    <w:name w:val="Balloon Text"/>
    <w:basedOn w:val="Normal"/>
    <w:link w:val="BalloonTextChar"/>
    <w:uiPriority w:val="99"/>
    <w:semiHidden/>
    <w:unhideWhenUsed/>
    <w:rsid w:val="007D7213"/>
    <w:rPr>
      <w:rFonts w:ascii="Lucida Grande" w:hAnsi="Lucida Grande" w:cs="Lucida Grande"/>
      <w:sz w:val="18"/>
      <w:szCs w:val="18"/>
    </w:rPr>
  </w:style>
  <w:style w:type="character" w:styleId="BalloonTextChar" w:customStyle="1">
    <w:name w:val="Balloon Text Char"/>
    <w:link w:val="BalloonText"/>
    <w:uiPriority w:val="99"/>
    <w:semiHidden/>
    <w:rsid w:val="007D7213"/>
    <w:rPr>
      <w:rFonts w:ascii="Lucida Grande" w:hAnsi="Lucida Grande" w:cs="Lucida Grande"/>
      <w:sz w:val="18"/>
      <w:szCs w:val="18"/>
    </w:rPr>
  </w:style>
  <w:style w:type="character" w:styleId="PageNumber">
    <w:name w:val="page number"/>
    <w:uiPriority w:val="99"/>
    <w:semiHidden/>
    <w:unhideWhenUsed/>
    <w:rsid w:val="002668A9"/>
  </w:style>
  <w:style w:type="character" w:styleId="Hyperlink">
    <w:name w:val="Hyperlink"/>
    <w:basedOn w:val="DefaultParagraphFont"/>
    <w:uiPriority w:val="99"/>
    <w:unhideWhenUsed/>
    <w:rsid w:val="009F543B"/>
    <w:rPr>
      <w:color w:val="0563C1" w:themeColor="hyperlink"/>
      <w:u w:val="single"/>
    </w:rPr>
  </w:style>
  <w:style w:type="character" w:styleId="UnresolvedMention">
    <w:name w:val="Unresolved Mention"/>
    <w:basedOn w:val="DefaultParagraphFont"/>
    <w:uiPriority w:val="99"/>
    <w:semiHidden/>
    <w:unhideWhenUsed/>
    <w:rsid w:val="009F543B"/>
    <w:rPr>
      <w:color w:val="605E5C"/>
      <w:shd w:val="clear" w:color="auto" w:fill="E1DFDD"/>
    </w:rPr>
  </w:style>
  <w:style w:type="character" w:styleId="FollowedHyperlink">
    <w:name w:val="FollowedHyperlink"/>
    <w:basedOn w:val="DefaultParagraphFont"/>
    <w:uiPriority w:val="99"/>
    <w:semiHidden/>
    <w:unhideWhenUsed/>
    <w:rsid w:val="004D35B3"/>
    <w:rPr>
      <w:color w:val="954F72" w:themeColor="followedHyperlink"/>
      <w:u w:val="single"/>
    </w:rPr>
  </w:style>
  <w:style w:type="paragraph" w:styleId="Revision">
    <w:name w:val="Revision"/>
    <w:hidden/>
    <w:uiPriority w:val="71"/>
    <w:rsid w:val="00E17660"/>
    <w:rPr>
      <w:sz w:val="24"/>
      <w:szCs w:val="24"/>
    </w:rPr>
  </w:style>
  <w:style w:type="paragraph" w:styleId="ListParagraph">
    <w:name w:val="List Paragraph"/>
    <w:basedOn w:val="Normal"/>
    <w:uiPriority w:val="72"/>
    <w:qFormat/>
    <w:rsid w:val="00E17660"/>
    <w:pPr>
      <w:ind w:left="720"/>
      <w:contextualSpacing/>
    </w:pPr>
  </w:style>
  <w:style w:type="character" w:styleId="Heading1Char" w:customStyle="1">
    <w:name w:val="Heading 1 Char"/>
    <w:basedOn w:val="DefaultParagraphFont"/>
    <w:link w:val="Heading1"/>
    <w:uiPriority w:val="9"/>
    <w:rsid w:val="00071EDC"/>
    <w:rPr>
      <w:rFonts w:asciiTheme="majorHAnsi" w:hAnsiTheme="majorHAnsi" w:eastAsiaTheme="majorEastAsia" w:cstheme="majorBidi"/>
      <w:color w:val="2F5496" w:themeColor="accent1" w:themeShade="BF"/>
      <w:sz w:val="32"/>
      <w:szCs w:val="32"/>
    </w:rPr>
  </w:style>
  <w:style w:type="paragraph" w:styleId="CommentText">
    <w:name w:val="annotation text"/>
    <w:basedOn w:val="Normal"/>
    <w:link w:val="CommentTextChar"/>
    <w:uiPriority w:val="99"/>
    <w:unhideWhenUsed/>
    <w:rsid w:val="00C90B33"/>
    <w:rPr>
      <w:sz w:val="20"/>
      <w:szCs w:val="20"/>
    </w:rPr>
  </w:style>
  <w:style w:type="character" w:styleId="CommentTextChar" w:customStyle="1">
    <w:name w:val="Comment Text Char"/>
    <w:basedOn w:val="DefaultParagraphFont"/>
    <w:link w:val="CommentText"/>
    <w:uiPriority w:val="99"/>
    <w:rsid w:val="00C90B33"/>
    <w:rPr>
      <w:rFonts w:ascii="Arial" w:hAnsi="Arial"/>
    </w:rPr>
  </w:style>
  <w:style w:type="character" w:styleId="CommentReference">
    <w:name w:val="annotation reference"/>
    <w:basedOn w:val="DefaultParagraphFont"/>
    <w:uiPriority w:val="99"/>
    <w:semiHidden/>
    <w:unhideWhenUsed/>
    <w:rsid w:val="00C90B33"/>
    <w:rPr>
      <w:sz w:val="16"/>
      <w:szCs w:val="16"/>
    </w:rPr>
  </w:style>
  <w:style w:type="paragraph" w:styleId="CommentSubject">
    <w:name w:val="annotation subject"/>
    <w:basedOn w:val="CommentText"/>
    <w:next w:val="CommentText"/>
    <w:link w:val="CommentSubjectChar"/>
    <w:uiPriority w:val="99"/>
    <w:semiHidden/>
    <w:unhideWhenUsed/>
    <w:rsid w:val="0035455F"/>
    <w:rPr>
      <w:b/>
      <w:bCs/>
    </w:rPr>
  </w:style>
  <w:style w:type="character" w:styleId="CommentSubjectChar" w:customStyle="1">
    <w:name w:val="Comment Subject Char"/>
    <w:basedOn w:val="CommentTextChar"/>
    <w:link w:val="CommentSubject"/>
    <w:uiPriority w:val="99"/>
    <w:semiHidden/>
    <w:rsid w:val="0035455F"/>
    <w:rPr>
      <w:rFonts w:ascii="Arial" w:hAnsi="Arial"/>
      <w:b/>
      <w:bCs/>
    </w:rPr>
  </w:style>
  <w:style w:type="paragraph" w:styleId="FootnoteText">
    <w:name w:val="footnote text"/>
    <w:basedOn w:val="Normal"/>
    <w:link w:val="FootnoteTextChar"/>
    <w:uiPriority w:val="99"/>
    <w:semiHidden/>
    <w:unhideWhenUsed/>
    <w:rsid w:val="00D35C31"/>
    <w:rPr>
      <w:sz w:val="20"/>
      <w:szCs w:val="20"/>
    </w:rPr>
  </w:style>
  <w:style w:type="character" w:styleId="FootnoteTextChar" w:customStyle="1">
    <w:name w:val="Footnote Text Char"/>
    <w:basedOn w:val="DefaultParagraphFont"/>
    <w:link w:val="FootnoteText"/>
    <w:uiPriority w:val="99"/>
    <w:semiHidden/>
    <w:rsid w:val="00D35C31"/>
    <w:rPr>
      <w:rFonts w:ascii="Arial" w:hAnsi="Arial"/>
    </w:rPr>
  </w:style>
  <w:style w:type="character" w:styleId="FootnoteReference">
    <w:name w:val="footnote reference"/>
    <w:basedOn w:val="DefaultParagraphFont"/>
    <w:uiPriority w:val="99"/>
    <w:semiHidden/>
    <w:unhideWhenUsed/>
    <w:rsid w:val="00D35C31"/>
    <w:rPr>
      <w:vertAlign w:val="superscript"/>
    </w:rPr>
  </w:style>
  <w:style w:type="character" w:styleId="Heading2Char" w:customStyle="1">
    <w:name w:val="Heading 2 Char"/>
    <w:basedOn w:val="DefaultParagraphFont"/>
    <w:link w:val="Heading2"/>
    <w:uiPriority w:val="9"/>
    <w:rsid w:val="003E195F"/>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202145">
      <w:bodyDiv w:val="1"/>
      <w:marLeft w:val="0"/>
      <w:marRight w:val="0"/>
      <w:marTop w:val="0"/>
      <w:marBottom w:val="0"/>
      <w:divBdr>
        <w:top w:val="none" w:sz="0" w:space="0" w:color="auto"/>
        <w:left w:val="none" w:sz="0" w:space="0" w:color="auto"/>
        <w:bottom w:val="none" w:sz="0" w:space="0" w:color="auto"/>
        <w:right w:val="none" w:sz="0" w:space="0" w:color="auto"/>
      </w:divBdr>
    </w:div>
    <w:div w:id="656617984">
      <w:bodyDiv w:val="1"/>
      <w:marLeft w:val="0"/>
      <w:marRight w:val="0"/>
      <w:marTop w:val="0"/>
      <w:marBottom w:val="0"/>
      <w:divBdr>
        <w:top w:val="none" w:sz="0" w:space="0" w:color="auto"/>
        <w:left w:val="none" w:sz="0" w:space="0" w:color="auto"/>
        <w:bottom w:val="none" w:sz="0" w:space="0" w:color="auto"/>
        <w:right w:val="none" w:sz="0" w:space="0" w:color="auto"/>
      </w:divBdr>
    </w:div>
    <w:div w:id="1159156347">
      <w:bodyDiv w:val="1"/>
      <w:marLeft w:val="0"/>
      <w:marRight w:val="0"/>
      <w:marTop w:val="0"/>
      <w:marBottom w:val="0"/>
      <w:divBdr>
        <w:top w:val="none" w:sz="0" w:space="0" w:color="auto"/>
        <w:left w:val="none" w:sz="0" w:space="0" w:color="auto"/>
        <w:bottom w:val="none" w:sz="0" w:space="0" w:color="auto"/>
        <w:right w:val="none" w:sz="0" w:space="0" w:color="auto"/>
      </w:divBdr>
    </w:div>
    <w:div w:id="1579168382">
      <w:bodyDiv w:val="1"/>
      <w:marLeft w:val="0"/>
      <w:marRight w:val="0"/>
      <w:marTop w:val="0"/>
      <w:marBottom w:val="0"/>
      <w:divBdr>
        <w:top w:val="none" w:sz="0" w:space="0" w:color="auto"/>
        <w:left w:val="none" w:sz="0" w:space="0" w:color="auto"/>
        <w:bottom w:val="none" w:sz="0" w:space="0" w:color="auto"/>
        <w:right w:val="none" w:sz="0" w:space="0" w:color="auto"/>
      </w:divBdr>
    </w:div>
    <w:div w:id="1664822663">
      <w:bodyDiv w:val="1"/>
      <w:marLeft w:val="0"/>
      <w:marRight w:val="0"/>
      <w:marTop w:val="0"/>
      <w:marBottom w:val="0"/>
      <w:divBdr>
        <w:top w:val="none" w:sz="0" w:space="0" w:color="auto"/>
        <w:left w:val="none" w:sz="0" w:space="0" w:color="auto"/>
        <w:bottom w:val="none" w:sz="0" w:space="0" w:color="auto"/>
        <w:right w:val="none" w:sz="0" w:space="0" w:color="auto"/>
      </w:divBdr>
    </w:div>
    <w:div w:id="200057202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appeals@nice.org.uk"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regener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00E5E64B980D458C754FFE05DEE26D" ma:contentTypeVersion="10" ma:contentTypeDescription="Create a new document." ma:contentTypeScope="" ma:versionID="889b3d9d1cf5d0d6c2c12b21bc0836da">
  <xsd:schema xmlns:xsd="http://www.w3.org/2001/XMLSchema" xmlns:xs="http://www.w3.org/2001/XMLSchema" xmlns:p="http://schemas.microsoft.com/office/2006/metadata/properties" xmlns:ns2="465a54fe-435b-4423-8fe2-c9a3626b31f7" xmlns:ns3="68f19371-ebe6-4483-8e72-73d36cd7064e" targetNamespace="http://schemas.microsoft.com/office/2006/metadata/properties" ma:root="true" ma:fieldsID="50adbc2a1eb477ef22c267c29b62d3cc" ns2:_="" ns3:_="">
    <xsd:import namespace="465a54fe-435b-4423-8fe2-c9a3626b31f7"/>
    <xsd:import namespace="68f19371-ebe6-4483-8e72-73d36cd706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a54fe-435b-4423-8fe2-c9a3626b3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f19371-ebe6-4483-8e72-73d36cd706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p r o p e r t i e s   x m l n s = " h t t p : / / w w w . i m a n a g e . c o m / w o r k / x m l s c h e m a " >  
     < d o c u m e n t i d > E M E A ! 3 4 4 8 0 8 7 . 2 < / d o c u m e n t i d >  
     < s e n d e r i d > G A T H A N I R < / s e n d e r i d >  
     < s e n d e r e m a i l > R G A T H A N I @ C O V . C O M < / s e n d e r e m a i l >  
     < l a s t m o d i f i e d > 2 0 2 5 - 0 6 - 0 9 T 1 5 : 3 1 : 0 0 . 0 0 0 0 0 0 0 + 0 1 : 0 0 < / l a s t m o d i f i e d >  
     < d a t a b a s e > E M E A < / d a t a b a s e >  
 < / p r o p e r t i e s > 
</file>

<file path=customXml/itemProps1.xml><?xml version="1.0" encoding="utf-8"?>
<ds:datastoreItem xmlns:ds="http://schemas.openxmlformats.org/officeDocument/2006/customXml" ds:itemID="{D5C9123E-4E4C-453F-B2B7-DE0D7240C3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C1382B-B7CD-462C-87AA-97F46326E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a54fe-435b-4423-8fe2-c9a3626b31f7"/>
    <ds:schemaRef ds:uri="68f19371-ebe6-4483-8e72-73d36cd70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065EA-BD99-4E51-87AE-052F0493BCC2}">
  <ds:schemaRefs>
    <ds:schemaRef ds:uri="http://schemas.openxmlformats.org/officeDocument/2006/bibliography"/>
  </ds:schemaRefs>
</ds:datastoreItem>
</file>

<file path=customXml/itemProps4.xml><?xml version="1.0" encoding="utf-8"?>
<ds:datastoreItem xmlns:ds="http://schemas.openxmlformats.org/officeDocument/2006/customXml" ds:itemID="{CE9ACC3F-DB2C-4123-90EE-EB92FB21124B}">
  <ds:schemaRefs>
    <ds:schemaRef ds:uri="http://schemas.microsoft.com/sharepoint/v3/contenttype/forms"/>
  </ds:schemaRefs>
</ds:datastoreItem>
</file>

<file path=customXml/itemProps5.xml><?xml version="1.0" encoding="utf-8"?>
<ds:datastoreItem xmlns:ds="http://schemas.openxmlformats.org/officeDocument/2006/customXml" ds:itemID="{76BCCBFF-E60B-4D40-8876-8B16A5A2727E}">
  <ds:schemaRefs>
    <ds:schemaRef ds:uri="http://www.imanage.com/work/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Lyn Davies</lastModifiedBy>
  <revision>4</revision>
  <dcterms:created xsi:type="dcterms:W3CDTF">2025-06-16T13:16:00.0000000Z</dcterms:created>
  <dcterms:modified xsi:type="dcterms:W3CDTF">2025-08-21T14:51:11.4888344Z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a9790f-e5c1-4030-9332-9cdee48e94a8_Enabled">
    <vt:lpwstr>true</vt:lpwstr>
  </property>
  <property fmtid="{D5CDD505-2E9C-101B-9397-08002B2CF9AE}" pid="3" name="MSIP_Label_2da9790f-e5c1-4030-9332-9cdee48e94a8_SetDate">
    <vt:lpwstr>2025-06-09T15:03:05Z</vt:lpwstr>
  </property>
  <property fmtid="{D5CDD505-2E9C-101B-9397-08002B2CF9AE}" pid="4" name="MSIP_Label_2da9790f-e5c1-4030-9332-9cdee48e94a8_Method">
    <vt:lpwstr>Standard</vt:lpwstr>
  </property>
  <property fmtid="{D5CDD505-2E9C-101B-9397-08002B2CF9AE}" pid="5" name="MSIP_Label_2da9790f-e5c1-4030-9332-9cdee48e94a8_Name">
    <vt:lpwstr>Internal</vt:lpwstr>
  </property>
  <property fmtid="{D5CDD505-2E9C-101B-9397-08002B2CF9AE}" pid="6" name="MSIP_Label_2da9790f-e5c1-4030-9332-9cdee48e94a8_SiteId">
    <vt:lpwstr>3e9aadf8-6a16-490f-8dcd-c68860caae0b</vt:lpwstr>
  </property>
  <property fmtid="{D5CDD505-2E9C-101B-9397-08002B2CF9AE}" pid="7" name="MSIP_Label_2da9790f-e5c1-4030-9332-9cdee48e94a8_ActionId">
    <vt:lpwstr>c9524592-196e-467f-a5e3-562199614df5</vt:lpwstr>
  </property>
  <property fmtid="{D5CDD505-2E9C-101B-9397-08002B2CF9AE}" pid="8" name="MSIP_Label_2da9790f-e5c1-4030-9332-9cdee48e94a8_ContentBits">
    <vt:lpwstr>2</vt:lpwstr>
  </property>
  <property fmtid="{D5CDD505-2E9C-101B-9397-08002B2CF9AE}" pid="9" name="MSIP_Label_2da9790f-e5c1-4030-9332-9cdee48e94a8_Tag">
    <vt:lpwstr>10, 3, 0, 1</vt:lpwstr>
  </property>
  <property fmtid="{D5CDD505-2E9C-101B-9397-08002B2CF9AE}" pid="10" name="ContentTypeId">
    <vt:lpwstr>0x0101003300E5E64B980D458C754FFE05DEE26D</vt:lpwstr>
  </property>
  <property fmtid="{D5CDD505-2E9C-101B-9397-08002B2CF9AE}" pid="11" name="MSIP_Label_c69d85d5-6d9e-4305-a294-1f636ec0f2d6_Enabled">
    <vt:lpwstr>true</vt:lpwstr>
  </property>
  <property fmtid="{D5CDD505-2E9C-101B-9397-08002B2CF9AE}" pid="12" name="MSIP_Label_c69d85d5-6d9e-4305-a294-1f636ec0f2d6_SetDate">
    <vt:lpwstr>2025-06-16T13:16:55Z</vt:lpwstr>
  </property>
  <property fmtid="{D5CDD505-2E9C-101B-9397-08002B2CF9AE}" pid="13" name="MSIP_Label_c69d85d5-6d9e-4305-a294-1f636ec0f2d6_Method">
    <vt:lpwstr>Standard</vt:lpwstr>
  </property>
  <property fmtid="{D5CDD505-2E9C-101B-9397-08002B2CF9AE}" pid="14" name="MSIP_Label_c69d85d5-6d9e-4305-a294-1f636ec0f2d6_Name">
    <vt:lpwstr>OFFICIAL</vt:lpwstr>
  </property>
  <property fmtid="{D5CDD505-2E9C-101B-9397-08002B2CF9AE}" pid="15" name="MSIP_Label_c69d85d5-6d9e-4305-a294-1f636ec0f2d6_SiteId">
    <vt:lpwstr>6030f479-b342-472d-a5dd-740ff7538de9</vt:lpwstr>
  </property>
  <property fmtid="{D5CDD505-2E9C-101B-9397-08002B2CF9AE}" pid="16" name="MSIP_Label_c69d85d5-6d9e-4305-a294-1f636ec0f2d6_ActionId">
    <vt:lpwstr>40e096cf-d8f2-4d8c-b32e-8ee11e5669ad</vt:lpwstr>
  </property>
  <property fmtid="{D5CDD505-2E9C-101B-9397-08002B2CF9AE}" pid="17" name="MSIP_Label_c69d85d5-6d9e-4305-a294-1f636ec0f2d6_ContentBits">
    <vt:lpwstr>0</vt:lpwstr>
  </property>
  <property fmtid="{D5CDD505-2E9C-101B-9397-08002B2CF9AE}" pid="18" name="MSIP_Label_c69d85d5-6d9e-4305-a294-1f636ec0f2d6_Tag">
    <vt:lpwstr>10, 3, 0, 2</vt:lpwstr>
  </property>
</Properties>
</file>