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BB7B" w14:textId="77777777" w:rsidR="003D22BB" w:rsidRDefault="003D22BB" w:rsidP="05218016">
      <w:pPr>
        <w:rPr>
          <w:rFonts w:ascii="Arial" w:hAnsi="Arial" w:cs="Arial"/>
          <w:sz w:val="20"/>
          <w:szCs w:val="20"/>
        </w:rPr>
      </w:pPr>
    </w:p>
    <w:p w14:paraId="1B1C7D24" w14:textId="6667F033" w:rsidR="00593F3D" w:rsidRPr="00F447E4" w:rsidRDefault="00593F3D" w:rsidP="05218016">
      <w:pPr>
        <w:rPr>
          <w:rFonts w:ascii="Arial" w:hAnsi="Arial" w:cs="Arial"/>
          <w:sz w:val="20"/>
          <w:szCs w:val="20"/>
        </w:rPr>
      </w:pPr>
      <w:r w:rsidRPr="05218016">
        <w:rPr>
          <w:rFonts w:ascii="Arial" w:hAnsi="Arial" w:cs="Arial"/>
          <w:sz w:val="20"/>
          <w:szCs w:val="20"/>
        </w:rPr>
        <w:t>Sent by email only:</w:t>
      </w:r>
      <w:r w:rsidR="72DA6D89" w:rsidRPr="05218016">
        <w:rPr>
          <w:rFonts w:ascii="Arial" w:hAnsi="Arial" w:cs="Arial"/>
          <w:sz w:val="20"/>
          <w:szCs w:val="20"/>
        </w:rPr>
        <w:t xml:space="preserve"> </w:t>
      </w:r>
      <w:r w:rsidR="23466D28" w:rsidRPr="05218016">
        <w:rPr>
          <w:rFonts w:ascii="Arial" w:hAnsi="Arial" w:cs="Arial"/>
          <w:sz w:val="20"/>
          <w:szCs w:val="20"/>
          <w:highlight w:val="black"/>
        </w:rPr>
        <w:t>XXXXXXXXXXXXXXXXX</w:t>
      </w:r>
    </w:p>
    <w:p w14:paraId="5913D572" w14:textId="1F19CF4F" w:rsidR="004D352A" w:rsidRPr="00F447E4" w:rsidRDefault="004D352A" w:rsidP="004D352A">
      <w:pPr>
        <w:spacing w:after="0" w:line="240" w:lineRule="auto"/>
        <w:jc w:val="both"/>
        <w:rPr>
          <w:rFonts w:ascii="Arial" w:hAnsi="Arial" w:cs="Arial"/>
          <w:sz w:val="20"/>
          <w:szCs w:val="20"/>
        </w:rPr>
      </w:pPr>
      <w:r w:rsidRPr="05218016">
        <w:rPr>
          <w:rFonts w:ascii="Arial" w:hAnsi="Arial" w:cs="Arial"/>
          <w:sz w:val="20"/>
          <w:szCs w:val="20"/>
        </w:rPr>
        <w:t xml:space="preserve">FAO </w:t>
      </w:r>
      <w:r w:rsidR="670ABDB0" w:rsidRPr="05218016">
        <w:rPr>
          <w:rFonts w:ascii="Arial" w:hAnsi="Arial" w:cs="Arial"/>
          <w:sz w:val="20"/>
          <w:szCs w:val="20"/>
          <w:highlight w:val="black"/>
        </w:rPr>
        <w:t>XXXXXXXXX</w:t>
      </w:r>
    </w:p>
    <w:p w14:paraId="68F06455" w14:textId="77777777" w:rsidR="004D352A" w:rsidRPr="00F447E4" w:rsidRDefault="004D352A" w:rsidP="004D352A">
      <w:pPr>
        <w:spacing w:after="0" w:line="240" w:lineRule="auto"/>
        <w:jc w:val="both"/>
        <w:rPr>
          <w:rFonts w:ascii="Arial" w:hAnsi="Arial" w:cs="Arial"/>
          <w:sz w:val="20"/>
          <w:szCs w:val="20"/>
        </w:rPr>
      </w:pPr>
      <w:r w:rsidRPr="00F447E4">
        <w:rPr>
          <w:rFonts w:ascii="Arial" w:hAnsi="Arial" w:cs="Arial"/>
          <w:sz w:val="20"/>
          <w:szCs w:val="20"/>
        </w:rPr>
        <w:t>Regeneron</w:t>
      </w:r>
    </w:p>
    <w:p w14:paraId="6945FCA0" w14:textId="77777777" w:rsidR="004D352A" w:rsidRPr="00F447E4" w:rsidRDefault="004D352A" w:rsidP="004D352A">
      <w:pPr>
        <w:spacing w:after="0" w:line="240" w:lineRule="auto"/>
        <w:jc w:val="both"/>
        <w:rPr>
          <w:rFonts w:ascii="Arial" w:hAnsi="Arial" w:cs="Arial"/>
          <w:sz w:val="20"/>
          <w:szCs w:val="20"/>
        </w:rPr>
      </w:pPr>
      <w:r w:rsidRPr="00F447E4">
        <w:rPr>
          <w:rFonts w:ascii="Arial" w:hAnsi="Arial" w:cs="Arial"/>
          <w:sz w:val="20"/>
          <w:szCs w:val="20"/>
        </w:rPr>
        <w:t>The Charter Building</w:t>
      </w:r>
    </w:p>
    <w:p w14:paraId="3CF9679B" w14:textId="77777777" w:rsidR="004D352A" w:rsidRPr="00F447E4" w:rsidRDefault="004D352A" w:rsidP="004D352A">
      <w:pPr>
        <w:spacing w:after="0" w:line="240" w:lineRule="auto"/>
        <w:jc w:val="both"/>
        <w:rPr>
          <w:rFonts w:ascii="Arial" w:hAnsi="Arial" w:cs="Arial"/>
          <w:sz w:val="20"/>
          <w:szCs w:val="20"/>
        </w:rPr>
      </w:pPr>
      <w:r w:rsidRPr="00F447E4">
        <w:rPr>
          <w:rFonts w:ascii="Arial" w:hAnsi="Arial" w:cs="Arial"/>
          <w:sz w:val="20"/>
          <w:szCs w:val="20"/>
        </w:rPr>
        <w:t>Vine Street</w:t>
      </w:r>
    </w:p>
    <w:p w14:paraId="47088B36" w14:textId="77777777" w:rsidR="004D352A" w:rsidRPr="00F447E4" w:rsidRDefault="004D352A" w:rsidP="004D352A">
      <w:pPr>
        <w:spacing w:after="0" w:line="240" w:lineRule="auto"/>
        <w:jc w:val="both"/>
        <w:rPr>
          <w:rFonts w:ascii="Arial" w:hAnsi="Arial" w:cs="Arial"/>
          <w:sz w:val="20"/>
          <w:szCs w:val="20"/>
        </w:rPr>
      </w:pPr>
      <w:r w:rsidRPr="00F447E4">
        <w:rPr>
          <w:rFonts w:ascii="Arial" w:hAnsi="Arial" w:cs="Arial"/>
          <w:sz w:val="20"/>
          <w:szCs w:val="20"/>
        </w:rPr>
        <w:t>Uxbridge</w:t>
      </w:r>
    </w:p>
    <w:p w14:paraId="2DD171A8" w14:textId="77777777" w:rsidR="004D352A" w:rsidRPr="00F447E4" w:rsidRDefault="004D352A" w:rsidP="004D352A">
      <w:pPr>
        <w:spacing w:after="0" w:line="240" w:lineRule="auto"/>
        <w:jc w:val="both"/>
        <w:rPr>
          <w:rFonts w:ascii="Arial" w:hAnsi="Arial" w:cs="Arial"/>
          <w:sz w:val="20"/>
          <w:szCs w:val="20"/>
        </w:rPr>
      </w:pPr>
      <w:r w:rsidRPr="00F447E4">
        <w:rPr>
          <w:rFonts w:ascii="Arial" w:hAnsi="Arial" w:cs="Arial"/>
          <w:sz w:val="20"/>
          <w:szCs w:val="20"/>
        </w:rPr>
        <w:t>Middlesex</w:t>
      </w:r>
    </w:p>
    <w:p w14:paraId="799D8680" w14:textId="77777777" w:rsidR="00F24B1D" w:rsidRPr="00F447E4" w:rsidRDefault="00F24B1D">
      <w:pPr>
        <w:rPr>
          <w:rFonts w:ascii="Arial" w:hAnsi="Arial" w:cs="Arial"/>
          <w:sz w:val="20"/>
          <w:szCs w:val="20"/>
        </w:rPr>
      </w:pPr>
    </w:p>
    <w:p w14:paraId="1F256B99" w14:textId="77777777" w:rsidR="00F24B1D" w:rsidRPr="00F447E4" w:rsidRDefault="00F24B1D">
      <w:pPr>
        <w:rPr>
          <w:rFonts w:ascii="Arial" w:hAnsi="Arial" w:cs="Arial"/>
          <w:sz w:val="20"/>
          <w:szCs w:val="20"/>
        </w:rPr>
      </w:pPr>
    </w:p>
    <w:p w14:paraId="04E6623B" w14:textId="46DE99F3" w:rsidR="00B737D4" w:rsidRPr="00F447E4" w:rsidRDefault="0D19114A" w:rsidP="00B737D4">
      <w:pPr>
        <w:rPr>
          <w:rFonts w:ascii="Arial" w:hAnsi="Arial" w:cs="Arial"/>
          <w:sz w:val="20"/>
          <w:szCs w:val="20"/>
        </w:rPr>
      </w:pPr>
      <w:r w:rsidRPr="1A8FEAE6">
        <w:rPr>
          <w:rFonts w:ascii="Arial" w:hAnsi="Arial" w:cs="Arial"/>
          <w:sz w:val="20"/>
          <w:szCs w:val="20"/>
        </w:rPr>
        <w:t xml:space="preserve">11 July </w:t>
      </w:r>
      <w:r w:rsidR="00FB56C9" w:rsidRPr="1A8FEAE6">
        <w:rPr>
          <w:rFonts w:ascii="Arial" w:hAnsi="Arial" w:cs="Arial"/>
          <w:sz w:val="20"/>
          <w:szCs w:val="20"/>
        </w:rPr>
        <w:t>202</w:t>
      </w:r>
      <w:r w:rsidR="006C1D0D" w:rsidRPr="1A8FEAE6">
        <w:rPr>
          <w:rFonts w:ascii="Arial" w:hAnsi="Arial" w:cs="Arial"/>
          <w:sz w:val="20"/>
          <w:szCs w:val="20"/>
        </w:rPr>
        <w:t>5</w:t>
      </w:r>
    </w:p>
    <w:p w14:paraId="15532A62" w14:textId="77777777" w:rsidR="00B737D4" w:rsidRPr="00F447E4" w:rsidRDefault="00B737D4" w:rsidP="00B737D4">
      <w:pPr>
        <w:rPr>
          <w:rStyle w:val="Hyperlink"/>
          <w:rFonts w:ascii="Arial" w:hAnsi="Arial" w:cs="Arial"/>
          <w:color w:val="auto"/>
          <w:sz w:val="20"/>
          <w:szCs w:val="20"/>
        </w:rPr>
      </w:pPr>
    </w:p>
    <w:p w14:paraId="47BE397A" w14:textId="26D5F288" w:rsidR="00F24B1D" w:rsidRPr="00F447E4" w:rsidRDefault="00F24B1D" w:rsidP="05218016">
      <w:pPr>
        <w:ind w:left="426" w:right="468" w:hanging="426"/>
        <w:jc w:val="both"/>
        <w:rPr>
          <w:rFonts w:ascii="Arial" w:hAnsi="Arial" w:cs="Arial"/>
          <w:noProof/>
          <w:spacing w:val="-3"/>
          <w:sz w:val="20"/>
          <w:szCs w:val="20"/>
          <w:lang w:eastAsia="en-GB"/>
        </w:rPr>
      </w:pPr>
      <w:bookmarkStart w:id="0" w:name="deartext"/>
      <w:r w:rsidRPr="05218016">
        <w:rPr>
          <w:rFonts w:ascii="Arial" w:hAnsi="Arial" w:cs="Arial"/>
          <w:sz w:val="20"/>
          <w:szCs w:val="20"/>
        </w:rPr>
        <w:t>Dear</w:t>
      </w:r>
      <w:bookmarkEnd w:id="0"/>
      <w:r w:rsidRPr="05218016">
        <w:rPr>
          <w:rFonts w:ascii="Arial" w:hAnsi="Arial" w:cs="Arial"/>
          <w:sz w:val="20"/>
          <w:szCs w:val="20"/>
        </w:rPr>
        <w:t xml:space="preserve"> </w:t>
      </w:r>
      <w:r w:rsidR="26903E6F" w:rsidRPr="05218016">
        <w:rPr>
          <w:rFonts w:ascii="Arial" w:hAnsi="Arial" w:cs="Arial"/>
          <w:sz w:val="20"/>
          <w:szCs w:val="20"/>
          <w:highlight w:val="black"/>
        </w:rPr>
        <w:t>XXXXXXXXXX</w:t>
      </w:r>
      <w:bookmarkStart w:id="1" w:name="Sal"/>
      <w:bookmarkEnd w:id="1"/>
    </w:p>
    <w:p w14:paraId="7901A85A" w14:textId="66B6D6B6" w:rsidR="004D352A" w:rsidRPr="004D352A" w:rsidRDefault="004D352A" w:rsidP="004D352A">
      <w:pPr>
        <w:spacing w:before="240" w:after="240"/>
        <w:jc w:val="both"/>
        <w:rPr>
          <w:rFonts w:ascii="Arial" w:hAnsi="Arial" w:cs="Arial"/>
          <w:b/>
          <w:noProof/>
          <w:sz w:val="20"/>
          <w:szCs w:val="20"/>
          <w:lang w:eastAsia="en-GB"/>
        </w:rPr>
      </w:pPr>
      <w:r w:rsidRPr="00F447E4">
        <w:rPr>
          <w:rFonts w:ascii="Arial" w:hAnsi="Arial" w:cs="Arial"/>
          <w:noProof/>
          <w:sz w:val="20"/>
          <w:szCs w:val="20"/>
          <w:lang w:eastAsia="en-GB"/>
        </w:rPr>
        <mc:AlternateContent>
          <mc:Choice Requires="wps">
            <w:drawing>
              <wp:anchor distT="4294967294" distB="4294967294" distL="114300" distR="114300" simplePos="0" relativeHeight="251659264" behindDoc="0" locked="0" layoutInCell="1" allowOverlap="1" wp14:anchorId="0F959855" wp14:editId="139F70CB">
                <wp:simplePos x="0" y="0"/>
                <wp:positionH relativeFrom="column">
                  <wp:posOffset>-805815</wp:posOffset>
                </wp:positionH>
                <wp:positionV relativeFrom="paragraph">
                  <wp:posOffset>255270</wp:posOffset>
                </wp:positionV>
                <wp:extent cx="81915" cy="0"/>
                <wp:effectExtent l="0" t="0" r="0" b="0"/>
                <wp:wrapNone/>
                <wp:docPr id="62987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093CAFEF">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45971C3D">
                <o:lock v:ext="edit" shapetype="f"/>
              </v:line>
            </w:pict>
          </mc:Fallback>
        </mc:AlternateContent>
      </w:r>
      <w:r w:rsidRPr="004D352A">
        <w:rPr>
          <w:rFonts w:ascii="Arial" w:hAnsi="Arial" w:cs="Arial"/>
          <w:b/>
          <w:noProof/>
          <w:sz w:val="20"/>
          <w:szCs w:val="20"/>
          <w:lang w:eastAsia="en-GB"/>
        </w:rPr>
        <w:t>Re: Final Draft Guidance — Cemiplimab with platinum-based chemotherapy for untreated advanced non-small-cell lung cancer [ID3949]</w:t>
      </w:r>
    </w:p>
    <w:p w14:paraId="645F333C" w14:textId="2D23D137" w:rsidR="00DB178D" w:rsidRPr="00F447E4" w:rsidRDefault="00DB178D" w:rsidP="00DB178D">
      <w:pPr>
        <w:spacing w:before="240" w:after="240"/>
        <w:jc w:val="both"/>
        <w:rPr>
          <w:rFonts w:ascii="Arial" w:eastAsia="Times New Roman" w:hAnsi="Arial" w:cs="Arial"/>
          <w:sz w:val="20"/>
          <w:szCs w:val="20"/>
        </w:rPr>
      </w:pPr>
      <w:r w:rsidRPr="00F447E4">
        <w:rPr>
          <w:rFonts w:ascii="Arial" w:eastAsia="Times New Roman" w:hAnsi="Arial" w:cs="Arial"/>
          <w:sz w:val="20"/>
          <w:szCs w:val="20"/>
        </w:rPr>
        <w:t>Thank you for your letter responding to my initial scrutiny views</w:t>
      </w:r>
      <w:r w:rsidR="00A16318" w:rsidRPr="00F447E4">
        <w:rPr>
          <w:rFonts w:ascii="Arial" w:eastAsia="Times New Roman" w:hAnsi="Arial" w:cs="Arial"/>
          <w:sz w:val="20"/>
          <w:szCs w:val="20"/>
        </w:rPr>
        <w:t xml:space="preserve"> ("</w:t>
      </w:r>
      <w:r w:rsidR="00A16318" w:rsidRPr="00F447E4">
        <w:rPr>
          <w:rFonts w:ascii="Arial" w:eastAsia="Times New Roman" w:hAnsi="Arial" w:cs="Arial"/>
          <w:b/>
          <w:bCs/>
          <w:sz w:val="20"/>
          <w:szCs w:val="20"/>
        </w:rPr>
        <w:t>Response to Initial Scrutiny Letter</w:t>
      </w:r>
      <w:r w:rsidR="00A16318" w:rsidRPr="00F447E4">
        <w:rPr>
          <w:rFonts w:ascii="Arial" w:eastAsia="Times New Roman" w:hAnsi="Arial" w:cs="Arial"/>
          <w:sz w:val="20"/>
          <w:szCs w:val="20"/>
        </w:rPr>
        <w:t>")</w:t>
      </w:r>
      <w:r w:rsidRPr="00F447E4">
        <w:rPr>
          <w:rFonts w:ascii="Arial" w:eastAsia="Times New Roman" w:hAnsi="Arial" w:cs="Arial"/>
          <w:sz w:val="20"/>
          <w:szCs w:val="20"/>
        </w:rPr>
        <w:t>.  This is my final decision on initial scrutiny.</w:t>
      </w:r>
    </w:p>
    <w:p w14:paraId="31D3D8DF" w14:textId="325CF0C3" w:rsidR="00976D5D" w:rsidRPr="00F447E4" w:rsidRDefault="00976D5D" w:rsidP="00976D5D">
      <w:pPr>
        <w:spacing w:before="240" w:after="240"/>
        <w:jc w:val="both"/>
        <w:rPr>
          <w:rFonts w:ascii="Arial" w:eastAsia="Times New Roman" w:hAnsi="Arial" w:cs="Arial"/>
          <w:sz w:val="20"/>
          <w:szCs w:val="20"/>
        </w:rPr>
      </w:pPr>
      <w:r w:rsidRPr="00F447E4">
        <w:rPr>
          <w:rFonts w:ascii="Arial" w:eastAsia="Times New Roman" w:hAnsi="Arial" w:cs="Arial"/>
          <w:sz w:val="20"/>
          <w:szCs w:val="20"/>
        </w:rPr>
        <w:t>As a preliminary issue, thank you for providing an amended version of Regeneron's appeal letter. We appreciate you taking the time to prepare this, but I should let you know that it will not be passed onto the Appeal Panel.  Section 4.6 of NICE's Guide to the TA and HST Appeals Process states that:</w:t>
      </w:r>
    </w:p>
    <w:p w14:paraId="0420888E" w14:textId="60D16958" w:rsidR="00976D5D" w:rsidRPr="00976D5D" w:rsidRDefault="00976D5D" w:rsidP="00F447E4">
      <w:pPr>
        <w:spacing w:before="240" w:after="240"/>
        <w:ind w:left="720"/>
        <w:jc w:val="both"/>
        <w:rPr>
          <w:rFonts w:ascii="Arial" w:eastAsia="Times New Roman" w:hAnsi="Arial" w:cs="Arial"/>
          <w:sz w:val="20"/>
          <w:szCs w:val="20"/>
        </w:rPr>
      </w:pPr>
      <w:r w:rsidRPr="00976D5D">
        <w:rPr>
          <w:rFonts w:ascii="Arial" w:eastAsia="Times New Roman" w:hAnsi="Arial" w:cs="Arial"/>
          <w:i/>
          <w:iCs/>
          <w:sz w:val="20"/>
          <w:szCs w:val="20"/>
        </w:rPr>
        <w:t>Revised versions of the appeal letter submitted after the appeal period and during the scrutiny stage will only be accepted in exceptional circumstances and when these relate to factual corrections.</w:t>
      </w:r>
    </w:p>
    <w:p w14:paraId="4A81F8CD" w14:textId="0FE1D17E" w:rsidR="00976D5D" w:rsidRPr="00F447E4" w:rsidRDefault="00976D5D" w:rsidP="00976D5D">
      <w:pPr>
        <w:spacing w:before="240" w:after="240"/>
        <w:jc w:val="both"/>
        <w:rPr>
          <w:rFonts w:ascii="Arial" w:eastAsia="Times New Roman" w:hAnsi="Arial" w:cs="Arial"/>
          <w:sz w:val="20"/>
          <w:szCs w:val="20"/>
        </w:rPr>
      </w:pPr>
      <w:r w:rsidRPr="00F447E4">
        <w:rPr>
          <w:rFonts w:ascii="Arial" w:eastAsia="Times New Roman" w:hAnsi="Arial" w:cs="Arial"/>
          <w:sz w:val="20"/>
          <w:szCs w:val="20"/>
        </w:rPr>
        <w:t xml:space="preserve">There are no exceptional circumstances in this case for acceptance of the revised version of the appeal letter and no factual corrections.  Please be assured, however, that the Appeal Panel will receive copies of your appeal letter, and your </w:t>
      </w:r>
      <w:r w:rsidR="00F447E4">
        <w:rPr>
          <w:rFonts w:ascii="Arial" w:eastAsia="Times New Roman" w:hAnsi="Arial" w:cs="Arial"/>
          <w:sz w:val="20"/>
          <w:szCs w:val="20"/>
        </w:rPr>
        <w:t>R</w:t>
      </w:r>
      <w:r w:rsidRPr="00F447E4">
        <w:rPr>
          <w:rFonts w:ascii="Arial" w:eastAsia="Times New Roman" w:hAnsi="Arial" w:cs="Arial"/>
          <w:sz w:val="20"/>
          <w:szCs w:val="20"/>
        </w:rPr>
        <w:t>esponse to Initial Scrutiny</w:t>
      </w:r>
      <w:r w:rsidR="00F447E4">
        <w:rPr>
          <w:rFonts w:ascii="Arial" w:eastAsia="Times New Roman" w:hAnsi="Arial" w:cs="Arial"/>
          <w:sz w:val="20"/>
          <w:szCs w:val="20"/>
        </w:rPr>
        <w:t xml:space="preserve"> Letter</w:t>
      </w:r>
      <w:r w:rsidRPr="00F447E4">
        <w:rPr>
          <w:rFonts w:ascii="Arial" w:eastAsia="Times New Roman" w:hAnsi="Arial" w:cs="Arial"/>
          <w:sz w:val="20"/>
          <w:szCs w:val="20"/>
        </w:rPr>
        <w:t xml:space="preserve">, as well as copies of my letters to you.  The Appeal Panel will therefore be able to see how Regeneron developed its position in response to Initial Scrutiny, and all </w:t>
      </w:r>
      <w:r w:rsidR="00F447E4">
        <w:rPr>
          <w:rFonts w:ascii="Arial" w:eastAsia="Times New Roman" w:hAnsi="Arial" w:cs="Arial"/>
          <w:sz w:val="20"/>
          <w:szCs w:val="20"/>
        </w:rPr>
        <w:t xml:space="preserve">Panel </w:t>
      </w:r>
      <w:r w:rsidRPr="00F447E4">
        <w:rPr>
          <w:rFonts w:ascii="Arial" w:eastAsia="Times New Roman" w:hAnsi="Arial" w:cs="Arial"/>
          <w:sz w:val="20"/>
          <w:szCs w:val="20"/>
        </w:rPr>
        <w:t>members are well used to doing so.</w:t>
      </w:r>
    </w:p>
    <w:p w14:paraId="2768ACC7" w14:textId="77777777" w:rsidR="00F447E4" w:rsidRDefault="00976D5D" w:rsidP="00DB178D">
      <w:pPr>
        <w:spacing w:before="240" w:after="240"/>
        <w:jc w:val="both"/>
        <w:rPr>
          <w:rFonts w:ascii="Arial" w:eastAsia="Times New Roman" w:hAnsi="Arial" w:cs="Arial"/>
          <w:sz w:val="20"/>
          <w:szCs w:val="20"/>
        </w:rPr>
      </w:pPr>
      <w:r w:rsidRPr="00F447E4">
        <w:rPr>
          <w:rFonts w:ascii="Arial" w:eastAsia="Times New Roman" w:hAnsi="Arial" w:cs="Arial"/>
          <w:sz w:val="20"/>
          <w:szCs w:val="20"/>
        </w:rPr>
        <w:t xml:space="preserve">I also note that Regeneron plans to </w:t>
      </w:r>
      <w:proofErr w:type="gramStart"/>
      <w:r w:rsidRPr="00F447E4">
        <w:rPr>
          <w:rFonts w:ascii="Arial" w:eastAsia="Times New Roman" w:hAnsi="Arial" w:cs="Arial"/>
          <w:sz w:val="20"/>
          <w:szCs w:val="20"/>
        </w:rPr>
        <w:t>make reference</w:t>
      </w:r>
      <w:proofErr w:type="gramEnd"/>
      <w:r w:rsidRPr="00F447E4">
        <w:rPr>
          <w:rFonts w:ascii="Arial" w:eastAsia="Times New Roman" w:hAnsi="Arial" w:cs="Arial"/>
          <w:sz w:val="20"/>
          <w:szCs w:val="20"/>
        </w:rPr>
        <w:t xml:space="preserve"> in the appeal to a</w:t>
      </w:r>
      <w:r w:rsidR="00F447E4">
        <w:rPr>
          <w:rFonts w:ascii="Arial" w:eastAsia="Times New Roman" w:hAnsi="Arial" w:cs="Arial"/>
          <w:sz w:val="20"/>
          <w:szCs w:val="20"/>
        </w:rPr>
        <w:t>n</w:t>
      </w:r>
      <w:r w:rsidRPr="00F447E4">
        <w:rPr>
          <w:rFonts w:ascii="Arial" w:eastAsia="Times New Roman" w:hAnsi="Arial" w:cs="Arial"/>
          <w:sz w:val="20"/>
          <w:szCs w:val="20"/>
        </w:rPr>
        <w:t xml:space="preserve"> article entitled </w:t>
      </w:r>
      <w:r w:rsidRPr="00F447E4">
        <w:rPr>
          <w:rFonts w:ascii="Arial" w:eastAsia="Times New Roman" w:hAnsi="Arial" w:cs="Arial"/>
          <w:i/>
          <w:iCs/>
          <w:sz w:val="20"/>
          <w:szCs w:val="20"/>
        </w:rPr>
        <w:t xml:space="preserve">How Similar is Similar Enough? Assessment of Indirect Treatment </w:t>
      </w:r>
      <w:r w:rsidRPr="00976D5D">
        <w:rPr>
          <w:rFonts w:ascii="Arial" w:eastAsia="Times New Roman" w:hAnsi="Arial" w:cs="Arial"/>
          <w:i/>
          <w:iCs/>
          <w:sz w:val="20"/>
          <w:szCs w:val="20"/>
        </w:rPr>
        <w:t>Comparisons to Support Similarity for National Institute for Health and</w:t>
      </w:r>
      <w:r w:rsidRPr="00F447E4">
        <w:rPr>
          <w:rFonts w:ascii="Arial" w:eastAsia="Times New Roman" w:hAnsi="Arial" w:cs="Arial"/>
          <w:i/>
          <w:iCs/>
          <w:sz w:val="20"/>
          <w:szCs w:val="20"/>
        </w:rPr>
        <w:t xml:space="preserve"> Care Excellence’s Cost Comparison Route</w:t>
      </w:r>
      <w:r w:rsidRPr="00F447E4">
        <w:rPr>
          <w:rFonts w:ascii="Arial" w:eastAsia="Times New Roman" w:hAnsi="Arial" w:cs="Arial"/>
          <w:sz w:val="20"/>
          <w:szCs w:val="20"/>
        </w:rPr>
        <w:t xml:space="preserve">, </w:t>
      </w:r>
      <w:r w:rsidR="00F447E4">
        <w:rPr>
          <w:rFonts w:ascii="Arial" w:eastAsia="Times New Roman" w:hAnsi="Arial" w:cs="Arial"/>
          <w:sz w:val="20"/>
          <w:szCs w:val="20"/>
        </w:rPr>
        <w:t xml:space="preserve">which is freely publicly </w:t>
      </w:r>
      <w:r w:rsidRPr="00F447E4">
        <w:rPr>
          <w:rFonts w:ascii="Arial" w:eastAsia="Times New Roman" w:hAnsi="Arial" w:cs="Arial"/>
          <w:sz w:val="20"/>
          <w:szCs w:val="20"/>
        </w:rPr>
        <w:t xml:space="preserve">available to download at: </w:t>
      </w:r>
      <w:r w:rsidR="00764AE8" w:rsidRPr="00305EF6">
        <w:rPr>
          <w:rFonts w:ascii="Arial" w:eastAsia="Times New Roman" w:hAnsi="Arial" w:cs="Arial"/>
          <w:color w:val="548DD4" w:themeColor="text2" w:themeTint="99"/>
          <w:sz w:val="20"/>
          <w:szCs w:val="20"/>
        </w:rPr>
        <w:t>https://www.valueinhealthjournal.com/article/S1098-3015(25)02362-9/fulltext</w:t>
      </w:r>
      <w:r w:rsidR="00764AE8" w:rsidRPr="00F447E4">
        <w:rPr>
          <w:rFonts w:ascii="Arial" w:eastAsia="Times New Roman" w:hAnsi="Arial" w:cs="Arial"/>
          <w:sz w:val="20"/>
          <w:szCs w:val="20"/>
        </w:rPr>
        <w:t xml:space="preserve">. </w:t>
      </w:r>
    </w:p>
    <w:p w14:paraId="70E924C3" w14:textId="4C7C595C" w:rsidR="00737D37" w:rsidRPr="00F447E4" w:rsidRDefault="00764AE8" w:rsidP="00737D37">
      <w:pPr>
        <w:spacing w:before="240" w:after="240"/>
        <w:jc w:val="both"/>
        <w:rPr>
          <w:rFonts w:ascii="Arial" w:eastAsia="Times New Roman" w:hAnsi="Arial" w:cs="Arial"/>
          <w:sz w:val="20"/>
          <w:szCs w:val="20"/>
        </w:rPr>
      </w:pPr>
      <w:r w:rsidRPr="00F447E4">
        <w:rPr>
          <w:rFonts w:ascii="Arial" w:eastAsia="Times New Roman" w:hAnsi="Arial" w:cs="Arial"/>
          <w:sz w:val="20"/>
          <w:szCs w:val="20"/>
        </w:rPr>
        <w:t xml:space="preserve">NICE does not accept new evidence or information that was not presented to the committee at the appeal stage.  However, this article does not, as far as I can see, present any evidence or information about the technology that is the subject of this evaluation.  Rather, it collates other publicly available information about the approach that NICE has taken to cost comparison in </w:t>
      </w:r>
      <w:r w:rsidR="002F1E1C" w:rsidRPr="00F447E4">
        <w:rPr>
          <w:rFonts w:ascii="Arial" w:eastAsia="Times New Roman" w:hAnsi="Arial" w:cs="Arial"/>
          <w:sz w:val="20"/>
          <w:szCs w:val="20"/>
        </w:rPr>
        <w:t xml:space="preserve">previous appraisals.  </w:t>
      </w:r>
      <w:r w:rsidR="00F447E4">
        <w:rPr>
          <w:rFonts w:ascii="Arial" w:eastAsia="Times New Roman" w:hAnsi="Arial" w:cs="Arial"/>
          <w:sz w:val="20"/>
          <w:szCs w:val="20"/>
        </w:rPr>
        <w:t xml:space="preserve">On that basis, </w:t>
      </w:r>
      <w:r w:rsidR="002F1E1C" w:rsidRPr="00F447E4">
        <w:rPr>
          <w:rFonts w:ascii="Arial" w:eastAsia="Times New Roman" w:hAnsi="Arial" w:cs="Arial"/>
          <w:sz w:val="20"/>
          <w:szCs w:val="20"/>
        </w:rPr>
        <w:t xml:space="preserve">I do not see any difficulty in Regeneron referring to that publicly available information in the appeal.  </w:t>
      </w:r>
      <w:r w:rsidR="00737D37" w:rsidRPr="00F447E4">
        <w:rPr>
          <w:rFonts w:ascii="Arial" w:eastAsia="Times New Roman" w:hAnsi="Arial" w:cs="Arial"/>
          <w:sz w:val="20"/>
          <w:szCs w:val="20"/>
        </w:rPr>
        <w:t xml:space="preserve">I also note that I do not see how the recommendations made in the </w:t>
      </w:r>
      <w:r w:rsidR="00737D37">
        <w:rPr>
          <w:rFonts w:ascii="Arial" w:eastAsia="Times New Roman" w:hAnsi="Arial" w:cs="Arial"/>
          <w:sz w:val="20"/>
          <w:szCs w:val="20"/>
        </w:rPr>
        <w:t xml:space="preserve">May 2025 </w:t>
      </w:r>
      <w:r w:rsidR="00737D37" w:rsidRPr="00F447E4">
        <w:rPr>
          <w:rFonts w:ascii="Arial" w:eastAsia="Times New Roman" w:hAnsi="Arial" w:cs="Arial"/>
          <w:sz w:val="20"/>
          <w:szCs w:val="20"/>
        </w:rPr>
        <w:t xml:space="preserve">article could </w:t>
      </w:r>
      <w:r w:rsidR="00737D37" w:rsidRPr="00F447E4">
        <w:rPr>
          <w:rFonts w:ascii="Arial" w:eastAsia="Times New Roman" w:hAnsi="Arial" w:cs="Arial"/>
          <w:sz w:val="20"/>
          <w:szCs w:val="20"/>
        </w:rPr>
        <w:lastRenderedPageBreak/>
        <w:t xml:space="preserve">have any bearing on the appeal; they do not appear to have been available to the Committee, and even if they </w:t>
      </w:r>
      <w:r w:rsidR="00737D37">
        <w:rPr>
          <w:rFonts w:ascii="Arial" w:eastAsia="Times New Roman" w:hAnsi="Arial" w:cs="Arial"/>
          <w:sz w:val="20"/>
          <w:szCs w:val="20"/>
        </w:rPr>
        <w:t>had been</w:t>
      </w:r>
      <w:r w:rsidR="00737D37" w:rsidRPr="00F447E4">
        <w:rPr>
          <w:rFonts w:ascii="Arial" w:eastAsia="Times New Roman" w:hAnsi="Arial" w:cs="Arial"/>
          <w:sz w:val="20"/>
          <w:szCs w:val="20"/>
        </w:rPr>
        <w:t xml:space="preserve"> there was plainly no obligation on the Committee to have regard to them.</w:t>
      </w:r>
    </w:p>
    <w:p w14:paraId="39A4C31C" w14:textId="775B8C9A" w:rsidR="00BE089A" w:rsidRPr="00F447E4" w:rsidRDefault="002F1E1C" w:rsidP="00DB178D">
      <w:pPr>
        <w:spacing w:before="240" w:after="240"/>
        <w:jc w:val="both"/>
        <w:rPr>
          <w:rFonts w:ascii="Arial" w:eastAsia="Times New Roman" w:hAnsi="Arial" w:cs="Arial"/>
          <w:sz w:val="20"/>
          <w:szCs w:val="20"/>
        </w:rPr>
      </w:pPr>
      <w:r w:rsidRPr="00F447E4">
        <w:rPr>
          <w:rFonts w:ascii="Arial" w:eastAsia="Times New Roman" w:hAnsi="Arial" w:cs="Arial"/>
          <w:sz w:val="20"/>
          <w:szCs w:val="20"/>
        </w:rPr>
        <w:t xml:space="preserve">I </w:t>
      </w:r>
      <w:r w:rsidR="00737D37">
        <w:rPr>
          <w:rFonts w:ascii="Arial" w:eastAsia="Times New Roman" w:hAnsi="Arial" w:cs="Arial"/>
          <w:sz w:val="20"/>
          <w:szCs w:val="20"/>
        </w:rPr>
        <w:t xml:space="preserve">should </w:t>
      </w:r>
      <w:r w:rsidRPr="00F447E4">
        <w:rPr>
          <w:rFonts w:ascii="Arial" w:eastAsia="Times New Roman" w:hAnsi="Arial" w:cs="Arial"/>
          <w:sz w:val="20"/>
          <w:szCs w:val="20"/>
        </w:rPr>
        <w:t xml:space="preserve">also note in passing that an earlier version of the article appears to have been published in </w:t>
      </w:r>
      <w:r w:rsidR="00BE089A" w:rsidRPr="00F447E4">
        <w:rPr>
          <w:rFonts w:ascii="Arial" w:eastAsia="Times New Roman" w:hAnsi="Arial" w:cs="Arial"/>
          <w:sz w:val="20"/>
          <w:szCs w:val="20"/>
        </w:rPr>
        <w:t>late 2024</w:t>
      </w:r>
      <w:r w:rsidR="00DF117E">
        <w:rPr>
          <w:rFonts w:ascii="Arial" w:eastAsia="Times New Roman" w:hAnsi="Arial" w:cs="Arial"/>
          <w:sz w:val="20"/>
          <w:szCs w:val="20"/>
        </w:rPr>
        <w:t xml:space="preserve"> </w:t>
      </w:r>
      <w:r w:rsidR="00BE089A" w:rsidRPr="00F447E4">
        <w:rPr>
          <w:rFonts w:ascii="Arial" w:eastAsia="Times New Roman" w:hAnsi="Arial" w:cs="Arial"/>
          <w:sz w:val="20"/>
          <w:szCs w:val="20"/>
        </w:rPr>
        <w:t>(</w:t>
      </w:r>
      <w:r w:rsidR="00BE089A" w:rsidRPr="00305EF6">
        <w:rPr>
          <w:rFonts w:ascii="Arial" w:eastAsia="Times New Roman" w:hAnsi="Arial" w:cs="Arial"/>
          <w:color w:val="548DD4" w:themeColor="text2" w:themeTint="99"/>
          <w:sz w:val="20"/>
          <w:szCs w:val="20"/>
        </w:rPr>
        <w:t>https://www.ispor.org/docs/default-source/euro2024/how-similar-is-similar-enough-cost-comparison-poster-ispor142603-pdf.pdf?sfvrsn=21e7eb7b_0</w:t>
      </w:r>
      <w:r w:rsidR="00BE089A" w:rsidRPr="00F447E4">
        <w:rPr>
          <w:rFonts w:ascii="Arial" w:eastAsia="Times New Roman" w:hAnsi="Arial" w:cs="Arial"/>
          <w:sz w:val="20"/>
          <w:szCs w:val="20"/>
        </w:rPr>
        <w:t xml:space="preserve">) and so may have been available to the Committee in any event.  </w:t>
      </w:r>
    </w:p>
    <w:p w14:paraId="55B1D5E2" w14:textId="08F7738A" w:rsidR="00DB178D" w:rsidRPr="00F447E4" w:rsidRDefault="00DB178D" w:rsidP="00DB178D">
      <w:pPr>
        <w:spacing w:before="240" w:after="240"/>
        <w:jc w:val="both"/>
        <w:rPr>
          <w:rFonts w:ascii="Arial" w:eastAsia="Times New Roman" w:hAnsi="Arial" w:cs="Arial"/>
          <w:sz w:val="20"/>
          <w:szCs w:val="20"/>
        </w:rPr>
      </w:pPr>
      <w:r w:rsidRPr="00F447E4">
        <w:rPr>
          <w:rFonts w:ascii="Arial" w:eastAsia="Times New Roman" w:hAnsi="Arial" w:cs="Arial"/>
          <w:sz w:val="20"/>
          <w:szCs w:val="20"/>
        </w:rPr>
        <w:t>I</w:t>
      </w:r>
      <w:r w:rsidR="00BE089A" w:rsidRPr="00F447E4">
        <w:rPr>
          <w:rFonts w:ascii="Arial" w:eastAsia="Times New Roman" w:hAnsi="Arial" w:cs="Arial"/>
          <w:sz w:val="20"/>
          <w:szCs w:val="20"/>
        </w:rPr>
        <w:t>n the remainder of this letter I</w:t>
      </w:r>
      <w:r w:rsidRPr="00F447E4">
        <w:rPr>
          <w:rFonts w:ascii="Arial" w:eastAsia="Times New Roman" w:hAnsi="Arial" w:cs="Arial"/>
          <w:sz w:val="20"/>
          <w:szCs w:val="20"/>
        </w:rPr>
        <w:t xml:space="preserve"> </w:t>
      </w:r>
      <w:r w:rsidR="00BB16DB" w:rsidRPr="00F447E4">
        <w:rPr>
          <w:rFonts w:ascii="Arial" w:eastAsia="Times New Roman" w:hAnsi="Arial" w:cs="Arial"/>
          <w:sz w:val="20"/>
          <w:szCs w:val="20"/>
        </w:rPr>
        <w:t>assess each of your points in turn.</w:t>
      </w:r>
    </w:p>
    <w:p w14:paraId="79C72429" w14:textId="77777777" w:rsidR="00D74265" w:rsidRPr="00F447E4" w:rsidRDefault="00D74265" w:rsidP="00D74265">
      <w:pPr>
        <w:spacing w:before="120" w:after="0" w:line="240" w:lineRule="auto"/>
        <w:rPr>
          <w:rFonts w:ascii="Arial" w:hAnsi="Arial" w:cs="Arial"/>
          <w:b/>
          <w:i/>
          <w:sz w:val="20"/>
          <w:szCs w:val="20"/>
          <w:lang w:eastAsia="en-GB"/>
        </w:rPr>
      </w:pPr>
      <w:r w:rsidRPr="00F447E4">
        <w:rPr>
          <w:rFonts w:ascii="Arial" w:hAnsi="Arial" w:cs="Arial"/>
          <w:b/>
          <w:i/>
          <w:sz w:val="20"/>
          <w:szCs w:val="20"/>
          <w:lang w:eastAsia="en-GB"/>
        </w:rPr>
        <w:t>Ground 1(a): In making the assessment that preceded the recommendation, NICE has failed to act fairly</w:t>
      </w:r>
    </w:p>
    <w:p w14:paraId="54FD2529" w14:textId="77777777" w:rsidR="00D74265" w:rsidRPr="00D74265" w:rsidRDefault="00D74265" w:rsidP="00D74265">
      <w:pPr>
        <w:spacing w:before="120" w:after="240"/>
        <w:rPr>
          <w:rFonts w:ascii="Arial" w:hAnsi="Arial" w:cs="Arial"/>
          <w:b/>
          <w:bCs/>
          <w:sz w:val="20"/>
          <w:szCs w:val="20"/>
        </w:rPr>
      </w:pPr>
      <w:r w:rsidRPr="00343020">
        <w:rPr>
          <w:rFonts w:ascii="Arial" w:hAnsi="Arial" w:cs="Arial"/>
          <w:b/>
          <w:bCs/>
          <w:sz w:val="20"/>
          <w:szCs w:val="20"/>
          <w:u w:val="single"/>
        </w:rPr>
        <w:t xml:space="preserve">Appeal </w:t>
      </w:r>
      <w:proofErr w:type="gramStart"/>
      <w:r w:rsidRPr="00343020">
        <w:rPr>
          <w:rFonts w:ascii="Arial" w:hAnsi="Arial" w:cs="Arial"/>
          <w:b/>
          <w:bCs/>
          <w:sz w:val="20"/>
          <w:szCs w:val="20"/>
          <w:u w:val="single"/>
        </w:rPr>
        <w:t>point</w:t>
      </w:r>
      <w:proofErr w:type="gramEnd"/>
      <w:r w:rsidRPr="00343020">
        <w:rPr>
          <w:rFonts w:ascii="Arial" w:hAnsi="Arial" w:cs="Arial"/>
          <w:b/>
          <w:bCs/>
          <w:sz w:val="20"/>
          <w:szCs w:val="20"/>
          <w:u w:val="single"/>
        </w:rPr>
        <w:t xml:space="preserve"> 1(a).2</w:t>
      </w:r>
      <w:r w:rsidRPr="00D74265">
        <w:rPr>
          <w:rFonts w:ascii="Arial" w:hAnsi="Arial" w:cs="Arial"/>
          <w:b/>
          <w:bCs/>
          <w:sz w:val="20"/>
          <w:szCs w:val="20"/>
        </w:rPr>
        <w:t xml:space="preserve">: The Appraisal Committee failed to consider adequately material evidence regarding PFS provided by Regeneron. Public bodies are required to </w:t>
      </w:r>
      <w:proofErr w:type="gramStart"/>
      <w:r w:rsidRPr="00D74265">
        <w:rPr>
          <w:rFonts w:ascii="Arial" w:hAnsi="Arial" w:cs="Arial"/>
          <w:b/>
          <w:bCs/>
          <w:sz w:val="20"/>
          <w:szCs w:val="20"/>
        </w:rPr>
        <w:t>give proper consideration to</w:t>
      </w:r>
      <w:proofErr w:type="gramEnd"/>
      <w:r w:rsidRPr="00D74265">
        <w:rPr>
          <w:rFonts w:ascii="Arial" w:hAnsi="Arial" w:cs="Arial"/>
          <w:b/>
          <w:bCs/>
          <w:sz w:val="20"/>
          <w:szCs w:val="20"/>
        </w:rPr>
        <w:t xml:space="preserve"> stakeholder submissions and, where relevant, to justify any decision to not accept them. The Appraisal Committee’s failure to do so was procedurally unfair and prejudiced Regeneron and its product.</w:t>
      </w:r>
    </w:p>
    <w:p w14:paraId="146440EA" w14:textId="77777777" w:rsidR="00455014" w:rsidRPr="00F447E4" w:rsidRDefault="00A27CD0" w:rsidP="00D770E0">
      <w:pPr>
        <w:spacing w:before="120" w:after="240"/>
        <w:rPr>
          <w:rFonts w:ascii="Arial" w:hAnsi="Arial" w:cs="Arial"/>
          <w:bCs/>
          <w:sz w:val="20"/>
          <w:szCs w:val="20"/>
        </w:rPr>
      </w:pPr>
      <w:r w:rsidRPr="00F447E4">
        <w:rPr>
          <w:rFonts w:ascii="Arial" w:hAnsi="Arial" w:cs="Arial"/>
          <w:bCs/>
          <w:sz w:val="20"/>
          <w:szCs w:val="20"/>
        </w:rPr>
        <w:t xml:space="preserve">I have considered </w:t>
      </w:r>
      <w:r w:rsidR="00BE089A" w:rsidRPr="00F447E4">
        <w:rPr>
          <w:rFonts w:ascii="Arial" w:hAnsi="Arial" w:cs="Arial"/>
          <w:bCs/>
          <w:sz w:val="20"/>
          <w:szCs w:val="20"/>
        </w:rPr>
        <w:t>the</w:t>
      </w:r>
      <w:r w:rsidRPr="00F447E4">
        <w:rPr>
          <w:rFonts w:ascii="Arial" w:hAnsi="Arial" w:cs="Arial"/>
          <w:bCs/>
          <w:sz w:val="20"/>
          <w:szCs w:val="20"/>
        </w:rPr>
        <w:t xml:space="preserve"> </w:t>
      </w:r>
      <w:r w:rsidR="00BE089A" w:rsidRPr="00F447E4">
        <w:rPr>
          <w:rFonts w:ascii="Arial" w:hAnsi="Arial" w:cs="Arial"/>
          <w:bCs/>
          <w:sz w:val="20"/>
          <w:szCs w:val="20"/>
        </w:rPr>
        <w:t xml:space="preserve">further submissions </w:t>
      </w:r>
      <w:r w:rsidRPr="00F447E4">
        <w:rPr>
          <w:rFonts w:ascii="Arial" w:hAnsi="Arial" w:cs="Arial"/>
          <w:bCs/>
          <w:sz w:val="20"/>
          <w:szCs w:val="20"/>
        </w:rPr>
        <w:t xml:space="preserve">in your </w:t>
      </w:r>
      <w:r w:rsidR="00B038F1" w:rsidRPr="00F447E4">
        <w:rPr>
          <w:rFonts w:ascii="Arial" w:hAnsi="Arial" w:cs="Arial"/>
          <w:bCs/>
          <w:sz w:val="20"/>
          <w:szCs w:val="20"/>
        </w:rPr>
        <w:t>Response to Initial Scrutiny Letter</w:t>
      </w:r>
      <w:r w:rsidR="00BE089A" w:rsidRPr="00F447E4">
        <w:rPr>
          <w:rFonts w:ascii="Arial" w:hAnsi="Arial" w:cs="Arial"/>
          <w:bCs/>
          <w:sz w:val="20"/>
          <w:szCs w:val="20"/>
        </w:rPr>
        <w:t xml:space="preserve"> carefully</w:t>
      </w:r>
      <w:r w:rsidR="00B038F1" w:rsidRPr="00F447E4">
        <w:rPr>
          <w:rFonts w:ascii="Arial" w:hAnsi="Arial" w:cs="Arial"/>
          <w:bCs/>
          <w:sz w:val="20"/>
          <w:szCs w:val="20"/>
        </w:rPr>
        <w:t>.</w:t>
      </w:r>
      <w:r w:rsidR="00BE089A" w:rsidRPr="00F447E4">
        <w:rPr>
          <w:rFonts w:ascii="Arial" w:hAnsi="Arial" w:cs="Arial"/>
          <w:bCs/>
          <w:sz w:val="20"/>
          <w:szCs w:val="20"/>
        </w:rPr>
        <w:t xml:space="preserve">  On reflection, I a</w:t>
      </w:r>
      <w:r w:rsidR="00455014" w:rsidRPr="00F447E4">
        <w:rPr>
          <w:rFonts w:ascii="Arial" w:hAnsi="Arial" w:cs="Arial"/>
          <w:bCs/>
          <w:sz w:val="20"/>
          <w:szCs w:val="20"/>
        </w:rPr>
        <w:t>gree</w:t>
      </w:r>
      <w:r w:rsidR="00BE089A" w:rsidRPr="00F447E4">
        <w:rPr>
          <w:rFonts w:ascii="Arial" w:hAnsi="Arial" w:cs="Arial"/>
          <w:bCs/>
          <w:sz w:val="20"/>
          <w:szCs w:val="20"/>
        </w:rPr>
        <w:t xml:space="preserve"> that this appeal point raises an arguable issue that should be referred to the Appeal Panel.  </w:t>
      </w:r>
    </w:p>
    <w:p w14:paraId="6CFA1A4E" w14:textId="2847CD83" w:rsidR="00851143" w:rsidRPr="00F447E4" w:rsidRDefault="00BE089A" w:rsidP="00D770E0">
      <w:pPr>
        <w:spacing w:before="120" w:after="240"/>
        <w:rPr>
          <w:rFonts w:ascii="Arial" w:hAnsi="Arial" w:cs="Arial"/>
          <w:bCs/>
          <w:sz w:val="20"/>
          <w:szCs w:val="20"/>
        </w:rPr>
      </w:pPr>
      <w:r w:rsidRPr="00F447E4">
        <w:rPr>
          <w:rFonts w:ascii="Arial" w:hAnsi="Arial" w:cs="Arial"/>
          <w:bCs/>
          <w:sz w:val="20"/>
          <w:szCs w:val="20"/>
        </w:rPr>
        <w:t>Procedural unfairness may arise where the</w:t>
      </w:r>
      <w:r w:rsidR="00455014" w:rsidRPr="00F447E4">
        <w:rPr>
          <w:rFonts w:ascii="Arial" w:hAnsi="Arial" w:cs="Arial"/>
          <w:bCs/>
          <w:sz w:val="20"/>
          <w:szCs w:val="20"/>
        </w:rPr>
        <w:t xml:space="preserve"> Committee fails to perform an adequate review of the evidence regarding PFS provided by Regeneron.  </w:t>
      </w:r>
      <w:r w:rsidR="00737D37">
        <w:rPr>
          <w:rFonts w:ascii="Arial" w:hAnsi="Arial" w:cs="Arial"/>
          <w:bCs/>
          <w:sz w:val="20"/>
          <w:szCs w:val="20"/>
        </w:rPr>
        <w:t xml:space="preserve">I note that </w:t>
      </w:r>
      <w:r w:rsidR="00455014" w:rsidRPr="00F447E4">
        <w:rPr>
          <w:rFonts w:ascii="Arial" w:hAnsi="Arial" w:cs="Arial"/>
          <w:bCs/>
          <w:sz w:val="20"/>
          <w:szCs w:val="20"/>
        </w:rPr>
        <w:t xml:space="preserve">ground 2.6 </w:t>
      </w:r>
      <w:r w:rsidR="00737D37">
        <w:rPr>
          <w:rFonts w:ascii="Arial" w:hAnsi="Arial" w:cs="Arial"/>
          <w:bCs/>
          <w:sz w:val="20"/>
          <w:szCs w:val="20"/>
        </w:rPr>
        <w:t xml:space="preserve">asks </w:t>
      </w:r>
      <w:r w:rsidR="00455014" w:rsidRPr="00F447E4">
        <w:rPr>
          <w:rFonts w:ascii="Arial" w:hAnsi="Arial" w:cs="Arial"/>
          <w:bCs/>
          <w:sz w:val="20"/>
          <w:szCs w:val="20"/>
        </w:rPr>
        <w:t xml:space="preserve">the Appeal Panel to consider whether the Committee's conclusions </w:t>
      </w:r>
      <w:proofErr w:type="gramStart"/>
      <w:r w:rsidR="00455014" w:rsidRPr="00F447E4">
        <w:rPr>
          <w:rFonts w:ascii="Arial" w:hAnsi="Arial" w:cs="Arial"/>
          <w:bCs/>
          <w:sz w:val="20"/>
          <w:szCs w:val="20"/>
        </w:rPr>
        <w:t>with regard to</w:t>
      </w:r>
      <w:proofErr w:type="gramEnd"/>
      <w:r w:rsidR="00455014" w:rsidRPr="00F447E4">
        <w:rPr>
          <w:rFonts w:ascii="Arial" w:hAnsi="Arial" w:cs="Arial"/>
          <w:bCs/>
          <w:sz w:val="20"/>
          <w:szCs w:val="20"/>
        </w:rPr>
        <w:t xml:space="preserve"> that same evidence were unreasonable.  Given the relationship between the two points, I anticipate that the Appeal Panel may wish to consider them consecutively.</w:t>
      </w:r>
    </w:p>
    <w:p w14:paraId="5CDC1ECF" w14:textId="77777777" w:rsidR="00D74265" w:rsidRPr="00D74265" w:rsidRDefault="00D74265" w:rsidP="00D74265">
      <w:pPr>
        <w:spacing w:before="120" w:after="240"/>
        <w:rPr>
          <w:rFonts w:ascii="Arial" w:hAnsi="Arial" w:cs="Arial"/>
          <w:b/>
          <w:bCs/>
          <w:sz w:val="20"/>
          <w:szCs w:val="20"/>
          <w:u w:val="single"/>
        </w:rPr>
      </w:pPr>
      <w:r w:rsidRPr="00D74265">
        <w:rPr>
          <w:rFonts w:ascii="Arial" w:hAnsi="Arial" w:cs="Arial"/>
          <w:b/>
          <w:bCs/>
          <w:sz w:val="20"/>
          <w:szCs w:val="20"/>
          <w:u w:val="single"/>
        </w:rPr>
        <w:t xml:space="preserve">Appeal </w:t>
      </w:r>
      <w:proofErr w:type="gramStart"/>
      <w:r w:rsidRPr="00D74265">
        <w:rPr>
          <w:rFonts w:ascii="Arial" w:hAnsi="Arial" w:cs="Arial"/>
          <w:b/>
          <w:bCs/>
          <w:sz w:val="20"/>
          <w:szCs w:val="20"/>
          <w:u w:val="single"/>
        </w:rPr>
        <w:t>point</w:t>
      </w:r>
      <w:proofErr w:type="gramEnd"/>
      <w:r w:rsidRPr="00D74265">
        <w:rPr>
          <w:rFonts w:ascii="Arial" w:hAnsi="Arial" w:cs="Arial"/>
          <w:b/>
          <w:bCs/>
          <w:sz w:val="20"/>
          <w:szCs w:val="20"/>
          <w:u w:val="single"/>
        </w:rPr>
        <w:t xml:space="preserve"> 1(a).3</w:t>
      </w:r>
      <w:r w:rsidRPr="00343020">
        <w:rPr>
          <w:rFonts w:ascii="Arial" w:hAnsi="Arial" w:cs="Arial"/>
          <w:b/>
          <w:bCs/>
          <w:sz w:val="20"/>
          <w:szCs w:val="20"/>
        </w:rPr>
        <w:t>: At critical stages, NICE’s conduct of the appraisal process itself has been opaque and inconsistent. Taken cumulatively, these factors have stymied Regeneron’s ability to put forward its case and the Appraisal Committee’s ability to carry out a well-informed assessment. This amounts to procedural unfairness.</w:t>
      </w:r>
    </w:p>
    <w:p w14:paraId="7AA3BDD2" w14:textId="7D1BC398" w:rsidR="00D74265" w:rsidRPr="00F447E4" w:rsidRDefault="00455014" w:rsidP="00D74265">
      <w:pPr>
        <w:spacing w:before="120" w:after="240"/>
        <w:rPr>
          <w:rFonts w:ascii="Arial" w:hAnsi="Arial" w:cs="Arial"/>
          <w:bCs/>
          <w:sz w:val="20"/>
          <w:szCs w:val="20"/>
        </w:rPr>
      </w:pPr>
      <w:r w:rsidRPr="00F447E4">
        <w:rPr>
          <w:rFonts w:ascii="Arial" w:hAnsi="Arial" w:cs="Arial"/>
          <w:bCs/>
          <w:sz w:val="20"/>
          <w:szCs w:val="20"/>
        </w:rPr>
        <w:t>Thank you for confirming that Regeneron is not pressing this appeal point.  I confirm my decision that this appeal point will not be referred to the Appeal Panel.</w:t>
      </w:r>
    </w:p>
    <w:p w14:paraId="5F5C1940" w14:textId="7BC899CE" w:rsidR="00D74265" w:rsidRPr="00F447E4" w:rsidRDefault="00D74265" w:rsidP="00455014">
      <w:pPr>
        <w:spacing w:before="120" w:after="240"/>
        <w:rPr>
          <w:rFonts w:ascii="Arial" w:hAnsi="Arial" w:cs="Arial"/>
          <w:b/>
          <w:i/>
          <w:sz w:val="20"/>
          <w:szCs w:val="20"/>
        </w:rPr>
      </w:pPr>
      <w:r w:rsidRPr="00F447E4">
        <w:rPr>
          <w:rFonts w:ascii="Arial" w:hAnsi="Arial" w:cs="Arial"/>
          <w:b/>
          <w:i/>
          <w:sz w:val="20"/>
          <w:szCs w:val="20"/>
        </w:rPr>
        <w:t>Ground 1(b): In making the assessment that preceded the recommendation, NICE has exceeded its powers</w:t>
      </w:r>
    </w:p>
    <w:p w14:paraId="6B419B11" w14:textId="77777777" w:rsidR="00D74265" w:rsidRPr="00F447E4" w:rsidRDefault="00D74265" w:rsidP="00D74265">
      <w:pPr>
        <w:pStyle w:val="Paragraph"/>
        <w:numPr>
          <w:ilvl w:val="0"/>
          <w:numId w:val="0"/>
        </w:numPr>
        <w:spacing w:before="120"/>
        <w:jc w:val="both"/>
        <w:rPr>
          <w:rFonts w:cs="Arial"/>
          <w:b/>
          <w:sz w:val="20"/>
          <w:szCs w:val="20"/>
          <w:u w:val="single"/>
        </w:rPr>
      </w:pPr>
      <w:r w:rsidRPr="00F447E4">
        <w:rPr>
          <w:rFonts w:cs="Arial"/>
          <w:b/>
          <w:sz w:val="20"/>
          <w:szCs w:val="20"/>
          <w:u w:val="single"/>
        </w:rPr>
        <w:t xml:space="preserve">Appeal </w:t>
      </w:r>
      <w:proofErr w:type="gramStart"/>
      <w:r w:rsidRPr="00F447E4">
        <w:rPr>
          <w:rFonts w:cs="Arial"/>
          <w:b/>
          <w:sz w:val="20"/>
          <w:szCs w:val="20"/>
          <w:u w:val="single"/>
        </w:rPr>
        <w:t>point</w:t>
      </w:r>
      <w:proofErr w:type="gramEnd"/>
      <w:r w:rsidRPr="00F447E4">
        <w:rPr>
          <w:rFonts w:cs="Arial"/>
          <w:b/>
          <w:sz w:val="20"/>
          <w:szCs w:val="20"/>
          <w:u w:val="single"/>
        </w:rPr>
        <w:t xml:space="preserve"> 1(b).1</w:t>
      </w:r>
      <w:r w:rsidRPr="00343020">
        <w:rPr>
          <w:rFonts w:cs="Arial"/>
          <w:b/>
          <w:sz w:val="20"/>
          <w:szCs w:val="20"/>
        </w:rPr>
        <w:t>: NICE has breached its legal obligations under human rights and equalities laws.</w:t>
      </w:r>
    </w:p>
    <w:p w14:paraId="63BF07D6" w14:textId="386F4D67" w:rsidR="00FF5E8D" w:rsidRPr="00F447E4" w:rsidRDefault="00C20F1F" w:rsidP="00BB16DB">
      <w:pPr>
        <w:spacing w:before="120" w:after="240"/>
        <w:rPr>
          <w:rFonts w:ascii="Arial" w:hAnsi="Arial" w:cs="Arial"/>
          <w:bCs/>
          <w:sz w:val="20"/>
          <w:szCs w:val="20"/>
        </w:rPr>
      </w:pPr>
      <w:r w:rsidRPr="00F447E4">
        <w:rPr>
          <w:rFonts w:ascii="Arial" w:hAnsi="Arial" w:cs="Arial"/>
          <w:bCs/>
          <w:sz w:val="20"/>
          <w:szCs w:val="20"/>
        </w:rPr>
        <w:t>I</w:t>
      </w:r>
      <w:r w:rsidR="00455014" w:rsidRPr="00F447E4">
        <w:rPr>
          <w:rFonts w:ascii="Arial" w:hAnsi="Arial" w:cs="Arial"/>
          <w:bCs/>
          <w:sz w:val="20"/>
          <w:szCs w:val="20"/>
        </w:rPr>
        <w:t xml:space="preserve"> have considered the further submissions in your Response to Initial Scrutiny Letter carefully</w:t>
      </w:r>
      <w:r w:rsidRPr="00F447E4">
        <w:rPr>
          <w:rFonts w:ascii="Arial" w:hAnsi="Arial" w:cs="Arial"/>
          <w:bCs/>
          <w:sz w:val="20"/>
          <w:szCs w:val="20"/>
        </w:rPr>
        <w:t>.</w:t>
      </w:r>
      <w:r w:rsidR="00455014" w:rsidRPr="00F447E4">
        <w:rPr>
          <w:rFonts w:ascii="Arial" w:hAnsi="Arial" w:cs="Arial"/>
          <w:bCs/>
          <w:sz w:val="20"/>
          <w:szCs w:val="20"/>
        </w:rPr>
        <w:t xml:space="preserve">  It appears to me that the nub of this appeal point is </w:t>
      </w:r>
      <w:r w:rsidR="0055276E" w:rsidRPr="00F447E4">
        <w:rPr>
          <w:rFonts w:ascii="Arial" w:hAnsi="Arial" w:cs="Arial"/>
          <w:bCs/>
          <w:sz w:val="20"/>
          <w:szCs w:val="20"/>
        </w:rPr>
        <w:t xml:space="preserve">now </w:t>
      </w:r>
      <w:r w:rsidR="00455014" w:rsidRPr="00F447E4">
        <w:rPr>
          <w:rFonts w:ascii="Arial" w:hAnsi="Arial" w:cs="Arial"/>
          <w:bCs/>
          <w:sz w:val="20"/>
          <w:szCs w:val="20"/>
        </w:rPr>
        <w:t xml:space="preserve">that, in Regeneron's view, equality law obliged the </w:t>
      </w:r>
      <w:r w:rsidR="00FF5E8D" w:rsidRPr="00F447E4">
        <w:rPr>
          <w:rFonts w:ascii="Arial" w:hAnsi="Arial" w:cs="Arial"/>
          <w:bCs/>
          <w:sz w:val="20"/>
          <w:szCs w:val="20"/>
        </w:rPr>
        <w:t>Committee to take more steps than it did to identify whether patients with protected characteristics could be negatively affected, following a clinical expert's statement that equalities issues might arise because pemetrexed is associated with toxicity and may not be suitable for all patients.</w:t>
      </w:r>
    </w:p>
    <w:p w14:paraId="51905358" w14:textId="7111EB9B" w:rsidR="00C20F1F" w:rsidRPr="00F447E4" w:rsidRDefault="00FF5E8D" w:rsidP="00BB16DB">
      <w:pPr>
        <w:spacing w:before="120" w:after="240"/>
        <w:rPr>
          <w:rFonts w:ascii="Arial" w:hAnsi="Arial" w:cs="Arial"/>
          <w:bCs/>
          <w:sz w:val="20"/>
          <w:szCs w:val="20"/>
        </w:rPr>
      </w:pPr>
      <w:r w:rsidRPr="00F447E4">
        <w:rPr>
          <w:rFonts w:ascii="Arial" w:hAnsi="Arial" w:cs="Arial"/>
          <w:bCs/>
          <w:sz w:val="20"/>
          <w:szCs w:val="20"/>
        </w:rPr>
        <w:t xml:space="preserve">In reaching my confirmed view that this appeal point is not arguable, I </w:t>
      </w:r>
      <w:r w:rsidR="0076592B" w:rsidRPr="00F447E4">
        <w:rPr>
          <w:rFonts w:ascii="Arial" w:hAnsi="Arial" w:cs="Arial"/>
          <w:bCs/>
          <w:sz w:val="20"/>
          <w:szCs w:val="20"/>
        </w:rPr>
        <w:t xml:space="preserve">have taken account of the fact that the Committee considered this issue carefully, hearing first from a clinical expert and then inviting further comment during draft guidance consultation on any </w:t>
      </w:r>
      <w:proofErr w:type="gramStart"/>
      <w:r w:rsidR="0076592B" w:rsidRPr="00F447E4">
        <w:rPr>
          <w:rFonts w:ascii="Arial" w:hAnsi="Arial" w:cs="Arial"/>
          <w:bCs/>
          <w:sz w:val="20"/>
          <w:szCs w:val="20"/>
        </w:rPr>
        <w:t>particular groups</w:t>
      </w:r>
      <w:proofErr w:type="gramEnd"/>
      <w:r w:rsidR="0076592B" w:rsidRPr="00F447E4">
        <w:rPr>
          <w:rFonts w:ascii="Arial" w:hAnsi="Arial" w:cs="Arial"/>
          <w:bCs/>
          <w:sz w:val="20"/>
          <w:szCs w:val="20"/>
        </w:rPr>
        <w:t xml:space="preserve"> with a protected characteristic for whom pemetrexed would not be suitable.  No </w:t>
      </w:r>
      <w:r w:rsidR="00737D37">
        <w:rPr>
          <w:rFonts w:ascii="Arial" w:hAnsi="Arial" w:cs="Arial"/>
          <w:bCs/>
          <w:sz w:val="20"/>
          <w:szCs w:val="20"/>
        </w:rPr>
        <w:t xml:space="preserve">further </w:t>
      </w:r>
      <w:r w:rsidR="0076592B" w:rsidRPr="00F447E4">
        <w:rPr>
          <w:rFonts w:ascii="Arial" w:hAnsi="Arial" w:cs="Arial"/>
          <w:bCs/>
          <w:sz w:val="20"/>
          <w:szCs w:val="20"/>
        </w:rPr>
        <w:t xml:space="preserve">comments on this were </w:t>
      </w:r>
      <w:r w:rsidR="0076592B" w:rsidRPr="00F447E4">
        <w:rPr>
          <w:rFonts w:ascii="Arial" w:hAnsi="Arial" w:cs="Arial"/>
          <w:bCs/>
          <w:sz w:val="20"/>
          <w:szCs w:val="20"/>
        </w:rPr>
        <w:lastRenderedPageBreak/>
        <w:t xml:space="preserve">received during consultation.  </w:t>
      </w:r>
      <w:r w:rsidR="00427732" w:rsidRPr="00F447E4">
        <w:rPr>
          <w:rFonts w:ascii="Arial" w:hAnsi="Arial" w:cs="Arial"/>
          <w:bCs/>
          <w:sz w:val="20"/>
          <w:szCs w:val="20"/>
        </w:rPr>
        <w:t xml:space="preserve">The issue </w:t>
      </w:r>
      <w:r w:rsidR="00427732">
        <w:rPr>
          <w:rFonts w:ascii="Arial" w:hAnsi="Arial" w:cs="Arial"/>
          <w:bCs/>
          <w:sz w:val="20"/>
          <w:szCs w:val="20"/>
        </w:rPr>
        <w:t xml:space="preserve">is expressly considered in the public slides </w:t>
      </w:r>
      <w:r w:rsidR="00427732" w:rsidRPr="00F447E4">
        <w:rPr>
          <w:rFonts w:ascii="Arial" w:hAnsi="Arial" w:cs="Arial"/>
          <w:bCs/>
          <w:sz w:val="20"/>
          <w:szCs w:val="20"/>
        </w:rPr>
        <w:t>discussed in the second Committee Meeting.</w:t>
      </w:r>
      <w:r w:rsidR="00427732">
        <w:rPr>
          <w:rFonts w:ascii="Arial" w:hAnsi="Arial" w:cs="Arial"/>
          <w:bCs/>
          <w:sz w:val="20"/>
          <w:szCs w:val="20"/>
        </w:rPr>
        <w:t xml:space="preserve"> </w:t>
      </w:r>
    </w:p>
    <w:p w14:paraId="316DB7E2" w14:textId="5DB65545" w:rsidR="0076592B" w:rsidRPr="00F447E4" w:rsidRDefault="0076592B" w:rsidP="00BB16DB">
      <w:pPr>
        <w:spacing w:before="120" w:after="240"/>
        <w:rPr>
          <w:rFonts w:ascii="Arial" w:hAnsi="Arial" w:cs="Arial"/>
          <w:bCs/>
          <w:sz w:val="20"/>
          <w:szCs w:val="20"/>
        </w:rPr>
      </w:pPr>
      <w:r w:rsidRPr="00F447E4">
        <w:rPr>
          <w:rFonts w:ascii="Arial" w:hAnsi="Arial" w:cs="Arial"/>
          <w:bCs/>
          <w:sz w:val="20"/>
          <w:szCs w:val="20"/>
        </w:rPr>
        <w:t>I do not consider it arguable that the Committee was obliged to take further steps to proactively generate its own evidence on this issue, in circumstances where no stakeholder identified any issue even when specifically asked to do so.  I</w:t>
      </w:r>
      <w:r w:rsidR="00F32946" w:rsidRPr="00F447E4">
        <w:rPr>
          <w:rFonts w:ascii="Arial" w:hAnsi="Arial" w:cs="Arial"/>
          <w:bCs/>
          <w:sz w:val="20"/>
          <w:szCs w:val="20"/>
        </w:rPr>
        <w:t xml:space="preserve"> am reminded that</w:t>
      </w:r>
      <w:r w:rsidR="00737D37">
        <w:rPr>
          <w:rFonts w:ascii="Arial" w:hAnsi="Arial" w:cs="Arial"/>
          <w:bCs/>
          <w:sz w:val="20"/>
          <w:szCs w:val="20"/>
        </w:rPr>
        <w:t xml:space="preserve"> in</w:t>
      </w:r>
      <w:r w:rsidR="00F32946" w:rsidRPr="00F447E4">
        <w:rPr>
          <w:rFonts w:ascii="Arial" w:hAnsi="Arial" w:cs="Arial"/>
          <w:bCs/>
          <w:sz w:val="20"/>
          <w:szCs w:val="20"/>
        </w:rPr>
        <w:t xml:space="preserve"> NICE's </w:t>
      </w:r>
      <w:r w:rsidR="00737D37" w:rsidRPr="00737D37">
        <w:rPr>
          <w:rFonts w:ascii="Arial" w:hAnsi="Arial" w:cs="Arial"/>
          <w:bCs/>
          <w:sz w:val="20"/>
          <w:szCs w:val="20"/>
        </w:rPr>
        <w:t>single technology appraisal</w:t>
      </w:r>
      <w:r w:rsidR="00737D37">
        <w:rPr>
          <w:rFonts w:ascii="Arial" w:hAnsi="Arial" w:cs="Arial"/>
          <w:bCs/>
          <w:sz w:val="20"/>
          <w:szCs w:val="20"/>
        </w:rPr>
        <w:t xml:space="preserve">s </w:t>
      </w:r>
      <w:r w:rsidR="00F32946" w:rsidRPr="00F447E4">
        <w:rPr>
          <w:rFonts w:ascii="Arial" w:hAnsi="Arial" w:cs="Arial"/>
          <w:bCs/>
          <w:sz w:val="20"/>
          <w:szCs w:val="20"/>
        </w:rPr>
        <w:t xml:space="preserve">committees </w:t>
      </w:r>
      <w:r w:rsidR="00737D37" w:rsidRPr="00F447E4">
        <w:rPr>
          <w:rFonts w:ascii="Arial" w:hAnsi="Arial" w:cs="Arial"/>
          <w:bCs/>
          <w:sz w:val="20"/>
          <w:szCs w:val="20"/>
        </w:rPr>
        <w:t>request and consider evidence from the Company and other stakeholders</w:t>
      </w:r>
      <w:r w:rsidR="00737D37">
        <w:rPr>
          <w:rFonts w:ascii="Arial" w:hAnsi="Arial" w:cs="Arial"/>
          <w:bCs/>
          <w:sz w:val="20"/>
          <w:szCs w:val="20"/>
        </w:rPr>
        <w:t xml:space="preserve"> and </w:t>
      </w:r>
      <w:r w:rsidR="00F32946" w:rsidRPr="00F447E4">
        <w:rPr>
          <w:rFonts w:ascii="Arial" w:hAnsi="Arial" w:cs="Arial"/>
          <w:bCs/>
          <w:sz w:val="20"/>
          <w:szCs w:val="20"/>
        </w:rPr>
        <w:t>are not typically expected to generate evidence themselves.  I accept</w:t>
      </w:r>
      <w:r w:rsidRPr="00F447E4">
        <w:rPr>
          <w:rFonts w:ascii="Arial" w:hAnsi="Arial" w:cs="Arial"/>
          <w:bCs/>
          <w:sz w:val="20"/>
          <w:szCs w:val="20"/>
        </w:rPr>
        <w:t xml:space="preserve"> that there may be circumstances in which such a requirement may arise, but on the facts here as set out in your letter I cannot see that they are </w:t>
      </w:r>
      <w:r w:rsidR="00427732">
        <w:rPr>
          <w:rFonts w:ascii="Arial" w:hAnsi="Arial" w:cs="Arial"/>
          <w:bCs/>
          <w:sz w:val="20"/>
          <w:szCs w:val="20"/>
        </w:rPr>
        <w:t xml:space="preserve">arguably </w:t>
      </w:r>
      <w:r w:rsidRPr="00F447E4">
        <w:rPr>
          <w:rFonts w:ascii="Arial" w:hAnsi="Arial" w:cs="Arial"/>
          <w:bCs/>
          <w:sz w:val="20"/>
          <w:szCs w:val="20"/>
        </w:rPr>
        <w:t xml:space="preserve">present in this case. </w:t>
      </w:r>
    </w:p>
    <w:p w14:paraId="2537B444" w14:textId="77777777" w:rsidR="00D74265" w:rsidRPr="00D74265" w:rsidRDefault="00D74265" w:rsidP="00D74265">
      <w:pPr>
        <w:spacing w:before="120" w:after="240"/>
        <w:rPr>
          <w:rFonts w:ascii="Arial" w:hAnsi="Arial" w:cs="Arial"/>
          <w:b/>
          <w:bCs/>
          <w:i/>
          <w:sz w:val="20"/>
          <w:szCs w:val="20"/>
        </w:rPr>
      </w:pPr>
      <w:r w:rsidRPr="00D74265">
        <w:rPr>
          <w:rFonts w:ascii="Arial" w:hAnsi="Arial" w:cs="Arial"/>
          <w:b/>
          <w:bCs/>
          <w:i/>
          <w:sz w:val="20"/>
          <w:szCs w:val="20"/>
        </w:rPr>
        <w:t>Ground 2: the recommendation is unreasonable in the light of the evidence submitted to NIC</w:t>
      </w:r>
    </w:p>
    <w:p w14:paraId="5BA6DD0C" w14:textId="77777777" w:rsidR="00D74265" w:rsidRPr="00D74265" w:rsidRDefault="00D74265" w:rsidP="00D74265">
      <w:pPr>
        <w:spacing w:before="120" w:after="240"/>
        <w:rPr>
          <w:rFonts w:ascii="Arial" w:hAnsi="Arial" w:cs="Arial"/>
          <w:b/>
          <w:bCs/>
          <w:sz w:val="20"/>
          <w:szCs w:val="20"/>
          <w:u w:val="single"/>
        </w:rPr>
      </w:pPr>
      <w:r w:rsidRPr="00D74265">
        <w:rPr>
          <w:rFonts w:ascii="Arial" w:hAnsi="Arial" w:cs="Arial"/>
          <w:b/>
          <w:bCs/>
          <w:sz w:val="20"/>
          <w:szCs w:val="20"/>
          <w:u w:val="single"/>
        </w:rPr>
        <w:t xml:space="preserve">Appeal </w:t>
      </w:r>
      <w:proofErr w:type="gramStart"/>
      <w:r w:rsidRPr="00D74265">
        <w:rPr>
          <w:rFonts w:ascii="Arial" w:hAnsi="Arial" w:cs="Arial"/>
          <w:b/>
          <w:bCs/>
          <w:sz w:val="20"/>
          <w:szCs w:val="20"/>
          <w:u w:val="single"/>
        </w:rPr>
        <w:t>point</w:t>
      </w:r>
      <w:proofErr w:type="gramEnd"/>
      <w:r w:rsidRPr="00D74265">
        <w:rPr>
          <w:rFonts w:ascii="Arial" w:hAnsi="Arial" w:cs="Arial"/>
          <w:b/>
          <w:bCs/>
          <w:sz w:val="20"/>
          <w:szCs w:val="20"/>
          <w:u w:val="single"/>
        </w:rPr>
        <w:t xml:space="preserve"> 2.3</w:t>
      </w:r>
      <w:r w:rsidRPr="00343020">
        <w:rPr>
          <w:rFonts w:ascii="Arial" w:hAnsi="Arial" w:cs="Arial"/>
          <w:b/>
          <w:bCs/>
          <w:sz w:val="20"/>
          <w:szCs w:val="20"/>
        </w:rPr>
        <w:t xml:space="preserve">: The Appraisal Committee’s conclusion that the company’s original submissions were insufficient to assess similarity between </w:t>
      </w:r>
      <w:proofErr w:type="spellStart"/>
      <w:r w:rsidRPr="00343020">
        <w:rPr>
          <w:rFonts w:ascii="Arial" w:hAnsi="Arial" w:cs="Arial"/>
          <w:b/>
          <w:bCs/>
          <w:sz w:val="20"/>
          <w:szCs w:val="20"/>
        </w:rPr>
        <w:t>cemiplimab</w:t>
      </w:r>
      <w:proofErr w:type="spellEnd"/>
      <w:r w:rsidRPr="00343020">
        <w:rPr>
          <w:rFonts w:ascii="Arial" w:hAnsi="Arial" w:cs="Arial"/>
          <w:b/>
          <w:bCs/>
          <w:sz w:val="20"/>
          <w:szCs w:val="20"/>
        </w:rPr>
        <w:t xml:space="preserve"> and pembrolizumab was unreasonable </w:t>
      </w:r>
      <w:proofErr w:type="gramStart"/>
      <w:r w:rsidRPr="00343020">
        <w:rPr>
          <w:rFonts w:ascii="Arial" w:hAnsi="Arial" w:cs="Arial"/>
          <w:b/>
          <w:bCs/>
          <w:sz w:val="20"/>
          <w:szCs w:val="20"/>
        </w:rPr>
        <w:t>in light of</w:t>
      </w:r>
      <w:proofErr w:type="gramEnd"/>
      <w:r w:rsidRPr="00343020">
        <w:rPr>
          <w:rFonts w:ascii="Arial" w:hAnsi="Arial" w:cs="Arial"/>
          <w:b/>
          <w:bCs/>
          <w:sz w:val="20"/>
          <w:szCs w:val="20"/>
        </w:rPr>
        <w:t xml:space="preserve"> the evidence before it.</w:t>
      </w:r>
    </w:p>
    <w:p w14:paraId="6347484D" w14:textId="77777777" w:rsidR="00F32946" w:rsidRPr="00F447E4" w:rsidRDefault="00F32946" w:rsidP="00F32946">
      <w:pPr>
        <w:spacing w:before="120" w:after="240"/>
        <w:rPr>
          <w:rFonts w:ascii="Arial" w:hAnsi="Arial" w:cs="Arial"/>
          <w:bCs/>
          <w:sz w:val="20"/>
          <w:szCs w:val="20"/>
        </w:rPr>
      </w:pPr>
      <w:r w:rsidRPr="00F447E4">
        <w:rPr>
          <w:rFonts w:ascii="Arial" w:hAnsi="Arial" w:cs="Arial"/>
          <w:bCs/>
          <w:sz w:val="20"/>
          <w:szCs w:val="20"/>
        </w:rPr>
        <w:t>Thank you for confirming that Regeneron is not pressing this appeal point.  I confirm my decision that this appeal point will not be referred to the Appeal Panel.</w:t>
      </w:r>
    </w:p>
    <w:p w14:paraId="602E8D4E" w14:textId="77777777" w:rsidR="00D74265" w:rsidRPr="00D74265" w:rsidRDefault="00D74265" w:rsidP="00D74265">
      <w:pPr>
        <w:spacing w:before="120" w:after="240"/>
        <w:rPr>
          <w:rFonts w:ascii="Arial" w:hAnsi="Arial" w:cs="Arial"/>
          <w:bCs/>
          <w:sz w:val="20"/>
          <w:szCs w:val="20"/>
        </w:rPr>
      </w:pPr>
      <w:r w:rsidRPr="00343020">
        <w:rPr>
          <w:rFonts w:ascii="Arial" w:hAnsi="Arial" w:cs="Arial"/>
          <w:b/>
          <w:bCs/>
          <w:sz w:val="20"/>
          <w:szCs w:val="20"/>
          <w:u w:val="single"/>
        </w:rPr>
        <w:t xml:space="preserve">Appeal </w:t>
      </w:r>
      <w:proofErr w:type="gramStart"/>
      <w:r w:rsidRPr="00343020">
        <w:rPr>
          <w:rFonts w:ascii="Arial" w:hAnsi="Arial" w:cs="Arial"/>
          <w:b/>
          <w:bCs/>
          <w:sz w:val="20"/>
          <w:szCs w:val="20"/>
          <w:u w:val="single"/>
        </w:rPr>
        <w:t>point</w:t>
      </w:r>
      <w:proofErr w:type="gramEnd"/>
      <w:r w:rsidRPr="00343020">
        <w:rPr>
          <w:rFonts w:ascii="Arial" w:hAnsi="Arial" w:cs="Arial"/>
          <w:b/>
          <w:bCs/>
          <w:sz w:val="20"/>
          <w:szCs w:val="20"/>
          <w:u w:val="single"/>
        </w:rPr>
        <w:t xml:space="preserve"> 2.4</w:t>
      </w:r>
      <w:r w:rsidRPr="00D74265">
        <w:rPr>
          <w:rFonts w:ascii="Arial" w:hAnsi="Arial" w:cs="Arial"/>
          <w:b/>
          <w:bCs/>
          <w:sz w:val="20"/>
          <w:szCs w:val="20"/>
        </w:rPr>
        <w:t xml:space="preserve">: The Committee’s conclusions on the suitability of a cost-comparison analysis are unreasonable </w:t>
      </w:r>
      <w:proofErr w:type="gramStart"/>
      <w:r w:rsidRPr="00D74265">
        <w:rPr>
          <w:rFonts w:ascii="Arial" w:hAnsi="Arial" w:cs="Arial"/>
          <w:b/>
          <w:bCs/>
          <w:sz w:val="20"/>
          <w:szCs w:val="20"/>
        </w:rPr>
        <w:t>in light of</w:t>
      </w:r>
      <w:proofErr w:type="gramEnd"/>
      <w:r w:rsidRPr="00D74265">
        <w:rPr>
          <w:rFonts w:ascii="Arial" w:hAnsi="Arial" w:cs="Arial"/>
          <w:b/>
          <w:bCs/>
          <w:sz w:val="20"/>
          <w:szCs w:val="20"/>
        </w:rPr>
        <w:t xml:space="preserve"> the evidence submitted.</w:t>
      </w:r>
    </w:p>
    <w:p w14:paraId="0CCF1505" w14:textId="77777777" w:rsidR="009D6DEC" w:rsidRPr="00F447E4" w:rsidRDefault="009D6DEC" w:rsidP="00BB16DB">
      <w:pPr>
        <w:spacing w:before="120" w:after="240"/>
        <w:rPr>
          <w:rFonts w:ascii="Arial" w:hAnsi="Arial" w:cs="Arial"/>
          <w:bCs/>
          <w:sz w:val="20"/>
          <w:szCs w:val="20"/>
        </w:rPr>
      </w:pPr>
      <w:r w:rsidRPr="00F447E4">
        <w:rPr>
          <w:rFonts w:ascii="Arial" w:hAnsi="Arial" w:cs="Arial"/>
          <w:bCs/>
          <w:sz w:val="20"/>
          <w:szCs w:val="20"/>
        </w:rPr>
        <w:t xml:space="preserve">As a preliminary point, I agree with your submission that the 'purpose of the scrutiny stage is to identify arguable appeal points for the Appeal Panel to consider'.  This is not inconsistent, however, with eliminating 'appeal points whose subject-matter overlaps with others'.  Appeal points that do not raise a distinct issue will be rejected  </w:t>
      </w:r>
    </w:p>
    <w:p w14:paraId="27053961" w14:textId="655BF9FE" w:rsidR="00877C39" w:rsidRPr="00F447E4" w:rsidRDefault="009D6DEC" w:rsidP="00BB16DB">
      <w:pPr>
        <w:spacing w:before="120" w:after="240"/>
        <w:rPr>
          <w:rFonts w:ascii="Arial" w:hAnsi="Arial" w:cs="Arial"/>
          <w:bCs/>
          <w:sz w:val="20"/>
          <w:szCs w:val="20"/>
        </w:rPr>
      </w:pPr>
      <w:r w:rsidRPr="00F447E4">
        <w:rPr>
          <w:rFonts w:ascii="Arial" w:hAnsi="Arial" w:cs="Arial"/>
          <w:bCs/>
          <w:sz w:val="20"/>
          <w:szCs w:val="20"/>
        </w:rPr>
        <w:t xml:space="preserve">In this case, having carefully considered the further submissions in your Response to Initial Scrutiny </w:t>
      </w:r>
      <w:r w:rsidR="00DF117E">
        <w:rPr>
          <w:rFonts w:ascii="Arial" w:hAnsi="Arial" w:cs="Arial"/>
          <w:bCs/>
          <w:sz w:val="20"/>
          <w:szCs w:val="20"/>
        </w:rPr>
        <w:t>L</w:t>
      </w:r>
      <w:r w:rsidRPr="00F447E4">
        <w:rPr>
          <w:rFonts w:ascii="Arial" w:hAnsi="Arial" w:cs="Arial"/>
          <w:bCs/>
          <w:sz w:val="20"/>
          <w:szCs w:val="20"/>
        </w:rPr>
        <w:t xml:space="preserve">etter, I accept that this appeal point does raise a distinct point that should be referred to the Appeal Panel, i.e. it </w:t>
      </w:r>
      <w:r w:rsidR="00F447E4" w:rsidRPr="00F447E4">
        <w:rPr>
          <w:rFonts w:ascii="Arial" w:hAnsi="Arial" w:cs="Arial"/>
          <w:bCs/>
          <w:sz w:val="20"/>
          <w:szCs w:val="20"/>
        </w:rPr>
        <w:t>is arguable that</w:t>
      </w:r>
      <w:r w:rsidR="00F447E4" w:rsidRPr="00F447E4">
        <w:rPr>
          <w:rFonts w:ascii="Arial" w:hAnsi="Arial" w:cs="Arial"/>
          <w:bCs/>
          <w:sz w:val="20"/>
          <w:szCs w:val="20"/>
          <w:u w:val="single"/>
        </w:rPr>
        <w:t xml:space="preserve"> t</w:t>
      </w:r>
      <w:r w:rsidRPr="00F447E4">
        <w:rPr>
          <w:rFonts w:ascii="Arial" w:hAnsi="Arial" w:cs="Arial"/>
          <w:bCs/>
          <w:sz w:val="20"/>
          <w:szCs w:val="20"/>
          <w:u w:val="single"/>
        </w:rPr>
        <w:t>he Committee</w:t>
      </w:r>
      <w:r w:rsidR="00F447E4" w:rsidRPr="00F447E4">
        <w:rPr>
          <w:rFonts w:ascii="Arial" w:hAnsi="Arial" w:cs="Arial"/>
          <w:bCs/>
          <w:sz w:val="20"/>
          <w:szCs w:val="20"/>
          <w:u w:val="single"/>
        </w:rPr>
        <w:t>'s</w:t>
      </w:r>
      <w:r w:rsidRPr="00F447E4">
        <w:rPr>
          <w:rFonts w:ascii="Arial" w:hAnsi="Arial" w:cs="Arial"/>
          <w:bCs/>
          <w:sz w:val="20"/>
          <w:szCs w:val="20"/>
          <w:u w:val="single"/>
        </w:rPr>
        <w:t xml:space="preserve"> conclu</w:t>
      </w:r>
      <w:r w:rsidR="00F447E4" w:rsidRPr="00F447E4">
        <w:rPr>
          <w:rFonts w:ascii="Arial" w:hAnsi="Arial" w:cs="Arial"/>
          <w:bCs/>
          <w:sz w:val="20"/>
          <w:szCs w:val="20"/>
          <w:u w:val="single"/>
        </w:rPr>
        <w:t xml:space="preserve">sion </w:t>
      </w:r>
      <w:r w:rsidRPr="00F447E4">
        <w:rPr>
          <w:rFonts w:ascii="Arial" w:hAnsi="Arial" w:cs="Arial"/>
          <w:bCs/>
          <w:sz w:val="20"/>
          <w:szCs w:val="20"/>
          <w:u w:val="single"/>
        </w:rPr>
        <w:t>that the evidence for clinical similarity was not robust enough for a cost-comparison analysis</w:t>
      </w:r>
      <w:r w:rsidR="00F447E4" w:rsidRPr="00F447E4">
        <w:rPr>
          <w:rFonts w:ascii="Arial" w:hAnsi="Arial" w:cs="Arial"/>
          <w:bCs/>
          <w:sz w:val="20"/>
          <w:szCs w:val="20"/>
          <w:u w:val="single"/>
        </w:rPr>
        <w:t xml:space="preserve"> is unreasonable</w:t>
      </w:r>
      <w:r w:rsidRPr="00F447E4">
        <w:rPr>
          <w:rFonts w:ascii="Arial" w:hAnsi="Arial" w:cs="Arial"/>
          <w:bCs/>
          <w:sz w:val="20"/>
          <w:szCs w:val="20"/>
        </w:rPr>
        <w:t>.  I will refer this appeal point to the Appeal Panel in those terms.</w:t>
      </w:r>
    </w:p>
    <w:p w14:paraId="168A18C3" w14:textId="77777777" w:rsidR="00D74265" w:rsidRPr="00D74265" w:rsidRDefault="00D74265" w:rsidP="00D74265">
      <w:pPr>
        <w:spacing w:before="120" w:after="240"/>
        <w:rPr>
          <w:rFonts w:ascii="Arial" w:hAnsi="Arial" w:cs="Arial"/>
          <w:b/>
          <w:bCs/>
          <w:sz w:val="20"/>
          <w:szCs w:val="20"/>
        </w:rPr>
      </w:pPr>
      <w:r w:rsidRPr="00343020">
        <w:rPr>
          <w:rFonts w:ascii="Arial" w:hAnsi="Arial" w:cs="Arial"/>
          <w:b/>
          <w:bCs/>
          <w:sz w:val="20"/>
          <w:szCs w:val="20"/>
          <w:u w:val="single"/>
        </w:rPr>
        <w:t xml:space="preserve">Appeal </w:t>
      </w:r>
      <w:proofErr w:type="gramStart"/>
      <w:r w:rsidRPr="00343020">
        <w:rPr>
          <w:rFonts w:ascii="Arial" w:hAnsi="Arial" w:cs="Arial"/>
          <w:b/>
          <w:bCs/>
          <w:sz w:val="20"/>
          <w:szCs w:val="20"/>
          <w:u w:val="single"/>
        </w:rPr>
        <w:t>point</w:t>
      </w:r>
      <w:proofErr w:type="gramEnd"/>
      <w:r w:rsidRPr="00343020">
        <w:rPr>
          <w:rFonts w:ascii="Arial" w:hAnsi="Arial" w:cs="Arial"/>
          <w:b/>
          <w:bCs/>
          <w:sz w:val="20"/>
          <w:szCs w:val="20"/>
          <w:u w:val="single"/>
        </w:rPr>
        <w:t xml:space="preserve"> 2.5</w:t>
      </w:r>
      <w:r w:rsidRPr="00D74265">
        <w:rPr>
          <w:rFonts w:ascii="Arial" w:hAnsi="Arial" w:cs="Arial"/>
          <w:b/>
          <w:bCs/>
          <w:sz w:val="20"/>
          <w:szCs w:val="20"/>
        </w:rPr>
        <w:t>: The Appraisal Committee unreasonably fails to recognize and take adequate account of the conservative approach Regeneron adopted in its modelling, which directly affects the Committee’s conclusions on cost-effectiveness.</w:t>
      </w:r>
    </w:p>
    <w:p w14:paraId="1E8C47AE" w14:textId="77777777" w:rsidR="009D6DEC" w:rsidRPr="00F447E4" w:rsidRDefault="009D6DEC" w:rsidP="009D6DEC">
      <w:pPr>
        <w:spacing w:before="120" w:after="240"/>
        <w:rPr>
          <w:rFonts w:ascii="Arial" w:hAnsi="Arial" w:cs="Arial"/>
          <w:bCs/>
          <w:sz w:val="20"/>
          <w:szCs w:val="20"/>
        </w:rPr>
      </w:pPr>
      <w:r w:rsidRPr="00F447E4">
        <w:rPr>
          <w:rFonts w:ascii="Arial" w:hAnsi="Arial" w:cs="Arial"/>
          <w:bCs/>
          <w:sz w:val="20"/>
          <w:szCs w:val="20"/>
        </w:rPr>
        <w:t>Thank you for confirming that Regeneron is not pressing this appeal point.  I confirm my decision that this appeal point will not be referred to the Appeal Panel.</w:t>
      </w:r>
    </w:p>
    <w:p w14:paraId="2AADAF28" w14:textId="77777777" w:rsidR="005A7A7D" w:rsidRPr="00F447E4" w:rsidRDefault="005A7A7D" w:rsidP="005A7A7D">
      <w:pPr>
        <w:spacing w:before="120" w:after="240"/>
        <w:jc w:val="both"/>
        <w:rPr>
          <w:rFonts w:ascii="Arial" w:eastAsia="Times New Roman" w:hAnsi="Arial" w:cs="Arial"/>
          <w:sz w:val="20"/>
          <w:szCs w:val="20"/>
          <w:u w:val="single"/>
        </w:rPr>
      </w:pPr>
      <w:r w:rsidRPr="00F447E4">
        <w:rPr>
          <w:rFonts w:ascii="Arial" w:eastAsia="Times New Roman" w:hAnsi="Arial" w:cs="Arial"/>
          <w:sz w:val="20"/>
          <w:szCs w:val="20"/>
          <w:u w:val="single"/>
        </w:rPr>
        <w:t>Conclusion</w:t>
      </w:r>
    </w:p>
    <w:p w14:paraId="04DE40CF" w14:textId="06A6B25C" w:rsidR="0044509C" w:rsidRPr="00F447E4" w:rsidRDefault="005A7A7D" w:rsidP="00287DB7">
      <w:pPr>
        <w:spacing w:before="120" w:after="240"/>
        <w:jc w:val="both"/>
        <w:rPr>
          <w:rFonts w:ascii="Arial" w:eastAsia="Times New Roman" w:hAnsi="Arial" w:cs="Arial"/>
          <w:sz w:val="20"/>
          <w:szCs w:val="20"/>
        </w:rPr>
      </w:pPr>
      <w:proofErr w:type="gramStart"/>
      <w:r w:rsidRPr="00F447E4">
        <w:rPr>
          <w:rFonts w:ascii="Arial" w:eastAsia="Times New Roman" w:hAnsi="Arial" w:cs="Arial"/>
          <w:sz w:val="20"/>
          <w:szCs w:val="20"/>
        </w:rPr>
        <w:t>Therefore</w:t>
      </w:r>
      <w:proofErr w:type="gramEnd"/>
      <w:r w:rsidRPr="00F447E4">
        <w:rPr>
          <w:rFonts w:ascii="Arial" w:eastAsia="Times New Roman" w:hAnsi="Arial" w:cs="Arial"/>
          <w:sz w:val="20"/>
          <w:szCs w:val="20"/>
        </w:rPr>
        <w:t xml:space="preserve"> the valid appeal point</w:t>
      </w:r>
      <w:r w:rsidR="00D74265" w:rsidRPr="00F447E4">
        <w:rPr>
          <w:rFonts w:ascii="Arial" w:eastAsia="Times New Roman" w:hAnsi="Arial" w:cs="Arial"/>
          <w:sz w:val="20"/>
          <w:szCs w:val="20"/>
        </w:rPr>
        <w:t>s are</w:t>
      </w:r>
      <w:r w:rsidRPr="00F447E4">
        <w:rPr>
          <w:rFonts w:ascii="Arial" w:eastAsia="Times New Roman" w:hAnsi="Arial" w:cs="Arial"/>
          <w:sz w:val="20"/>
          <w:szCs w:val="20"/>
        </w:rPr>
        <w:t>:</w:t>
      </w:r>
    </w:p>
    <w:p w14:paraId="6F7E3CE3" w14:textId="7D5218B6" w:rsidR="00287DB7" w:rsidRPr="00427732" w:rsidRDefault="009D6DEC" w:rsidP="00287DB7">
      <w:pPr>
        <w:pStyle w:val="BodyText"/>
        <w:numPr>
          <w:ilvl w:val="0"/>
          <w:numId w:val="14"/>
        </w:numPr>
        <w:jc w:val="both"/>
        <w:rPr>
          <w:rFonts w:cs="Arial"/>
          <w:b/>
          <w:bCs/>
          <w:color w:val="auto"/>
        </w:rPr>
      </w:pPr>
      <w:r w:rsidRPr="00DF117E">
        <w:rPr>
          <w:rFonts w:cs="Arial"/>
          <w:b/>
          <w:color w:val="auto"/>
          <w:u w:val="single"/>
        </w:rPr>
        <w:t xml:space="preserve">Appeal </w:t>
      </w:r>
      <w:proofErr w:type="gramStart"/>
      <w:r w:rsidRPr="00DF117E">
        <w:rPr>
          <w:rFonts w:cs="Arial"/>
          <w:b/>
          <w:color w:val="auto"/>
          <w:u w:val="single"/>
        </w:rPr>
        <w:t>point</w:t>
      </w:r>
      <w:proofErr w:type="gramEnd"/>
      <w:r w:rsidRPr="00DF117E">
        <w:rPr>
          <w:rFonts w:cs="Arial"/>
          <w:b/>
          <w:color w:val="auto"/>
          <w:u w:val="single"/>
        </w:rPr>
        <w:t xml:space="preserve"> 1(a).1</w:t>
      </w:r>
      <w:r w:rsidRPr="00427732">
        <w:rPr>
          <w:rFonts w:cs="Arial"/>
          <w:b/>
          <w:color w:val="auto"/>
        </w:rPr>
        <w:t xml:space="preserve">: In making materially different evidential requirements in this appraisal versus TA705, NICE has undermined principles of procedural consistency and fairness and introduced an approach that biases against </w:t>
      </w:r>
      <w:proofErr w:type="spellStart"/>
      <w:r w:rsidRPr="00427732">
        <w:rPr>
          <w:rFonts w:cs="Arial"/>
          <w:b/>
          <w:color w:val="auto"/>
        </w:rPr>
        <w:t>cemiplimab</w:t>
      </w:r>
      <w:proofErr w:type="spellEnd"/>
      <w:r w:rsidRPr="00427732">
        <w:rPr>
          <w:rFonts w:cs="Arial"/>
          <w:b/>
          <w:color w:val="auto"/>
        </w:rPr>
        <w:t>.</w:t>
      </w:r>
    </w:p>
    <w:p w14:paraId="5D6DB466" w14:textId="4745E7AE" w:rsidR="009D6DEC" w:rsidRPr="00427732" w:rsidRDefault="009D6DEC" w:rsidP="00287DB7">
      <w:pPr>
        <w:pStyle w:val="BodyText"/>
        <w:numPr>
          <w:ilvl w:val="0"/>
          <w:numId w:val="14"/>
        </w:numPr>
        <w:jc w:val="both"/>
        <w:rPr>
          <w:rFonts w:cs="Arial"/>
          <w:b/>
          <w:bCs/>
          <w:color w:val="auto"/>
        </w:rPr>
      </w:pPr>
      <w:r w:rsidRPr="00DF117E">
        <w:rPr>
          <w:rFonts w:cs="Arial"/>
          <w:b/>
          <w:bCs/>
          <w:color w:val="auto"/>
          <w:u w:val="single"/>
        </w:rPr>
        <w:t xml:space="preserve">Appeal </w:t>
      </w:r>
      <w:proofErr w:type="gramStart"/>
      <w:r w:rsidRPr="00DF117E">
        <w:rPr>
          <w:rFonts w:cs="Arial"/>
          <w:b/>
          <w:bCs/>
          <w:color w:val="auto"/>
          <w:u w:val="single"/>
        </w:rPr>
        <w:t>point</w:t>
      </w:r>
      <w:proofErr w:type="gramEnd"/>
      <w:r w:rsidRPr="00DF117E">
        <w:rPr>
          <w:rFonts w:cs="Arial"/>
          <w:b/>
          <w:bCs/>
          <w:color w:val="auto"/>
          <w:u w:val="single"/>
        </w:rPr>
        <w:t xml:space="preserve"> 1(a).2</w:t>
      </w:r>
      <w:r w:rsidRPr="00D74265">
        <w:rPr>
          <w:rFonts w:cs="Arial"/>
          <w:b/>
          <w:bCs/>
          <w:color w:val="auto"/>
        </w:rPr>
        <w:t xml:space="preserve">: The Appraisal Committee failed to consider adequately material evidence regarding PFS provided by Regeneron. Public bodies are required to </w:t>
      </w:r>
      <w:proofErr w:type="gramStart"/>
      <w:r w:rsidRPr="00D74265">
        <w:rPr>
          <w:rFonts w:cs="Arial"/>
          <w:b/>
          <w:bCs/>
          <w:color w:val="auto"/>
        </w:rPr>
        <w:t>give proper consideration to</w:t>
      </w:r>
      <w:proofErr w:type="gramEnd"/>
      <w:r w:rsidRPr="00D74265">
        <w:rPr>
          <w:rFonts w:cs="Arial"/>
          <w:b/>
          <w:bCs/>
          <w:color w:val="auto"/>
        </w:rPr>
        <w:t xml:space="preserve"> stakeholder submissions and, where relevant, to justify any </w:t>
      </w:r>
      <w:r w:rsidRPr="00D74265">
        <w:rPr>
          <w:rFonts w:cs="Arial"/>
          <w:b/>
          <w:bCs/>
          <w:color w:val="auto"/>
        </w:rPr>
        <w:lastRenderedPageBreak/>
        <w:t>decision to not accept them. The Appraisal Committee’s failure to do so was procedurally unfair and prejudiced Regeneron and its product.</w:t>
      </w:r>
    </w:p>
    <w:p w14:paraId="2BE20479" w14:textId="5701915D" w:rsidR="009D6DEC" w:rsidRPr="00427732" w:rsidRDefault="009D6DEC" w:rsidP="00287DB7">
      <w:pPr>
        <w:pStyle w:val="BodyText"/>
        <w:numPr>
          <w:ilvl w:val="0"/>
          <w:numId w:val="14"/>
        </w:numPr>
        <w:jc w:val="both"/>
        <w:rPr>
          <w:rFonts w:cs="Arial"/>
          <w:b/>
          <w:bCs/>
          <w:color w:val="auto"/>
        </w:rPr>
      </w:pPr>
      <w:r w:rsidRPr="00DF117E">
        <w:rPr>
          <w:rFonts w:cs="Arial"/>
          <w:b/>
          <w:color w:val="auto"/>
          <w:u w:val="single"/>
        </w:rPr>
        <w:t xml:space="preserve">Appeal </w:t>
      </w:r>
      <w:proofErr w:type="gramStart"/>
      <w:r w:rsidRPr="00DF117E">
        <w:rPr>
          <w:rFonts w:cs="Arial"/>
          <w:b/>
          <w:color w:val="auto"/>
          <w:u w:val="single"/>
        </w:rPr>
        <w:t>point</w:t>
      </w:r>
      <w:proofErr w:type="gramEnd"/>
      <w:r w:rsidRPr="00DF117E">
        <w:rPr>
          <w:rFonts w:cs="Arial"/>
          <w:b/>
          <w:color w:val="auto"/>
          <w:u w:val="single"/>
        </w:rPr>
        <w:t xml:space="preserve"> 2.1</w:t>
      </w:r>
      <w:r w:rsidRPr="00427732">
        <w:rPr>
          <w:rFonts w:cs="Arial"/>
          <w:b/>
          <w:color w:val="auto"/>
        </w:rPr>
        <w:t>: The Appraisal Committee’s insistence upon a Markov model is unreasonable based on the evidence before it.</w:t>
      </w:r>
    </w:p>
    <w:p w14:paraId="1F2772BB" w14:textId="2996ECC3" w:rsidR="009D6DEC" w:rsidRPr="00427732" w:rsidRDefault="009D6DEC" w:rsidP="00287DB7">
      <w:pPr>
        <w:pStyle w:val="BodyText"/>
        <w:numPr>
          <w:ilvl w:val="0"/>
          <w:numId w:val="14"/>
        </w:numPr>
        <w:jc w:val="both"/>
        <w:rPr>
          <w:rFonts w:cs="Arial"/>
          <w:b/>
          <w:bCs/>
          <w:color w:val="auto"/>
        </w:rPr>
      </w:pPr>
      <w:r w:rsidRPr="00DF117E">
        <w:rPr>
          <w:rFonts w:cs="Arial"/>
          <w:b/>
          <w:color w:val="auto"/>
          <w:u w:val="single"/>
        </w:rPr>
        <w:t xml:space="preserve">Appeal </w:t>
      </w:r>
      <w:proofErr w:type="gramStart"/>
      <w:r w:rsidRPr="00DF117E">
        <w:rPr>
          <w:rFonts w:cs="Arial"/>
          <w:b/>
          <w:color w:val="auto"/>
          <w:u w:val="single"/>
        </w:rPr>
        <w:t>point</w:t>
      </w:r>
      <w:proofErr w:type="gramEnd"/>
      <w:r w:rsidRPr="00DF117E">
        <w:rPr>
          <w:rFonts w:cs="Arial"/>
          <w:b/>
          <w:color w:val="auto"/>
          <w:u w:val="single"/>
        </w:rPr>
        <w:t xml:space="preserve"> 2.2</w:t>
      </w:r>
      <w:r w:rsidRPr="00427732">
        <w:rPr>
          <w:rFonts w:cs="Arial"/>
          <w:b/>
          <w:color w:val="auto"/>
        </w:rPr>
        <w:t xml:space="preserve">: The Committee’s requested approach for modelling time on treatment/time to treatment discontinuation is internally inconsistent, biased and unreasonable </w:t>
      </w:r>
      <w:proofErr w:type="gramStart"/>
      <w:r w:rsidRPr="00427732">
        <w:rPr>
          <w:rFonts w:cs="Arial"/>
          <w:b/>
          <w:color w:val="auto"/>
        </w:rPr>
        <w:t>in light of</w:t>
      </w:r>
      <w:proofErr w:type="gramEnd"/>
      <w:r w:rsidRPr="00427732">
        <w:rPr>
          <w:rFonts w:cs="Arial"/>
          <w:b/>
          <w:color w:val="auto"/>
        </w:rPr>
        <w:t xml:space="preserve"> the evidence before it.</w:t>
      </w:r>
    </w:p>
    <w:p w14:paraId="1C5205F9" w14:textId="312F5B6D" w:rsidR="009D6DEC" w:rsidRDefault="00F447E4" w:rsidP="00287DB7">
      <w:pPr>
        <w:pStyle w:val="BodyText"/>
        <w:numPr>
          <w:ilvl w:val="0"/>
          <w:numId w:val="14"/>
        </w:numPr>
        <w:jc w:val="both"/>
        <w:rPr>
          <w:rFonts w:cs="Arial"/>
          <w:b/>
          <w:color w:val="auto"/>
        </w:rPr>
      </w:pPr>
      <w:r w:rsidRPr="00DF117E">
        <w:rPr>
          <w:rFonts w:cs="Arial"/>
          <w:b/>
          <w:color w:val="auto"/>
          <w:u w:val="single"/>
        </w:rPr>
        <w:t xml:space="preserve">Appeal </w:t>
      </w:r>
      <w:proofErr w:type="gramStart"/>
      <w:r w:rsidRPr="00DF117E">
        <w:rPr>
          <w:rFonts w:cs="Arial"/>
          <w:b/>
          <w:color w:val="auto"/>
          <w:u w:val="single"/>
        </w:rPr>
        <w:t>point</w:t>
      </w:r>
      <w:proofErr w:type="gramEnd"/>
      <w:r w:rsidRPr="00DF117E">
        <w:rPr>
          <w:rFonts w:cs="Arial"/>
          <w:b/>
          <w:color w:val="auto"/>
          <w:u w:val="single"/>
        </w:rPr>
        <w:t xml:space="preserve"> 2.4</w:t>
      </w:r>
      <w:r w:rsidRPr="00427732">
        <w:rPr>
          <w:rFonts w:cs="Arial"/>
          <w:b/>
          <w:color w:val="auto"/>
        </w:rPr>
        <w:t>: the Committee's conclusion that the evidence for clinical similarity was not robust enough for a cost-comparison analysis is unreasonable</w:t>
      </w:r>
      <w:r w:rsidR="00DF117E">
        <w:rPr>
          <w:rFonts w:cs="Arial"/>
          <w:b/>
          <w:color w:val="auto"/>
        </w:rPr>
        <w:t>.</w:t>
      </w:r>
    </w:p>
    <w:p w14:paraId="3F0A0EA9" w14:textId="7FE12DF4" w:rsidR="00DF117E" w:rsidRPr="00DF117E" w:rsidRDefault="00DF117E" w:rsidP="00287DB7">
      <w:pPr>
        <w:pStyle w:val="BodyText"/>
        <w:numPr>
          <w:ilvl w:val="0"/>
          <w:numId w:val="14"/>
        </w:numPr>
        <w:jc w:val="both"/>
        <w:rPr>
          <w:rFonts w:cs="Arial"/>
          <w:b/>
          <w:color w:val="auto"/>
        </w:rPr>
      </w:pPr>
      <w:r w:rsidRPr="00DF117E">
        <w:rPr>
          <w:rFonts w:cs="Arial"/>
          <w:b/>
          <w:color w:val="auto"/>
          <w:u w:val="single"/>
        </w:rPr>
        <w:t xml:space="preserve">Appeal </w:t>
      </w:r>
      <w:proofErr w:type="gramStart"/>
      <w:r w:rsidRPr="00DF117E">
        <w:rPr>
          <w:rFonts w:cs="Arial"/>
          <w:b/>
          <w:color w:val="auto"/>
          <w:u w:val="single"/>
        </w:rPr>
        <w:t>point</w:t>
      </w:r>
      <w:proofErr w:type="gramEnd"/>
      <w:r w:rsidRPr="00DF117E">
        <w:rPr>
          <w:rFonts w:cs="Arial"/>
          <w:b/>
          <w:color w:val="auto"/>
          <w:u w:val="single"/>
        </w:rPr>
        <w:t xml:space="preserve"> 2.6</w:t>
      </w:r>
      <w:r w:rsidRPr="00DF117E">
        <w:rPr>
          <w:rFonts w:cs="Arial"/>
          <w:b/>
          <w:color w:val="auto"/>
        </w:rPr>
        <w:t xml:space="preserve">: The Appraisal Committee’s conclusions on the comparative effectiveness evidence are unreasonable </w:t>
      </w:r>
      <w:proofErr w:type="gramStart"/>
      <w:r w:rsidRPr="00DF117E">
        <w:rPr>
          <w:rFonts w:cs="Arial"/>
          <w:b/>
          <w:color w:val="auto"/>
        </w:rPr>
        <w:t>in light of</w:t>
      </w:r>
      <w:proofErr w:type="gramEnd"/>
      <w:r w:rsidRPr="00DF117E">
        <w:rPr>
          <w:rFonts w:cs="Arial"/>
          <w:b/>
          <w:color w:val="auto"/>
        </w:rPr>
        <w:t xml:space="preserve"> the evidence submitted.</w:t>
      </w:r>
    </w:p>
    <w:p w14:paraId="5CCF2CB3" w14:textId="77777777" w:rsidR="005A7A7D" w:rsidRPr="00F447E4" w:rsidRDefault="005A7A7D" w:rsidP="005A7A7D">
      <w:pPr>
        <w:spacing w:before="120" w:after="240"/>
        <w:jc w:val="both"/>
        <w:rPr>
          <w:rFonts w:ascii="Arial" w:eastAsia="Times New Roman" w:hAnsi="Arial" w:cs="Arial"/>
          <w:sz w:val="20"/>
          <w:szCs w:val="20"/>
        </w:rPr>
      </w:pPr>
      <w:r w:rsidRPr="00F447E4">
        <w:rPr>
          <w:rFonts w:ascii="Arial" w:eastAsia="Times New Roman" w:hAnsi="Arial" w:cs="Arial"/>
          <w:sz w:val="20"/>
          <w:szCs w:val="20"/>
        </w:rPr>
        <w:t xml:space="preserve">NICE will be in contact with you regarding the administration of the appeal, which will be held orally. </w:t>
      </w:r>
    </w:p>
    <w:p w14:paraId="52FF4F49" w14:textId="4DED17F1" w:rsidR="00355A99" w:rsidRPr="00F447E4" w:rsidRDefault="00355A99" w:rsidP="005A7A7D">
      <w:pPr>
        <w:spacing w:before="120" w:after="240"/>
        <w:jc w:val="both"/>
        <w:rPr>
          <w:rFonts w:ascii="Arial" w:eastAsia="Times New Roman" w:hAnsi="Arial" w:cs="Arial"/>
          <w:sz w:val="20"/>
          <w:szCs w:val="20"/>
        </w:rPr>
      </w:pPr>
      <w:r w:rsidRPr="00F447E4">
        <w:rPr>
          <w:rFonts w:ascii="Arial" w:eastAsia="Times New Roman" w:hAnsi="Arial" w:cs="Arial"/>
          <w:sz w:val="20"/>
          <w:szCs w:val="20"/>
        </w:rPr>
        <w:t xml:space="preserve">Thank you for your comments and engagement in the appeals process. </w:t>
      </w:r>
    </w:p>
    <w:p w14:paraId="27A1A8F0" w14:textId="77777777" w:rsidR="00355A99" w:rsidRPr="00F447E4" w:rsidRDefault="00355A99" w:rsidP="005A7A7D">
      <w:pPr>
        <w:spacing w:before="120" w:after="240"/>
        <w:jc w:val="both"/>
        <w:rPr>
          <w:rFonts w:ascii="Arial" w:eastAsia="Times New Roman" w:hAnsi="Arial" w:cs="Arial"/>
          <w:sz w:val="20"/>
          <w:szCs w:val="20"/>
        </w:rPr>
      </w:pPr>
    </w:p>
    <w:p w14:paraId="21218F1A" w14:textId="41B9AC25" w:rsidR="00FB56C9" w:rsidRPr="00F447E4" w:rsidRDefault="00FB56C9" w:rsidP="00FB56C9">
      <w:pPr>
        <w:spacing w:line="360" w:lineRule="auto"/>
        <w:rPr>
          <w:rFonts w:ascii="Arial" w:eastAsia="Times New Roman" w:hAnsi="Arial" w:cs="Arial"/>
          <w:sz w:val="20"/>
          <w:szCs w:val="20"/>
        </w:rPr>
      </w:pPr>
      <w:r w:rsidRPr="1A8FEAE6">
        <w:rPr>
          <w:rFonts w:ascii="Arial" w:eastAsia="Times New Roman" w:hAnsi="Arial" w:cs="Arial"/>
          <w:sz w:val="20"/>
          <w:szCs w:val="20"/>
        </w:rPr>
        <w:t>Yours sincerely</w:t>
      </w:r>
    </w:p>
    <w:p w14:paraId="1F7BA001" w14:textId="4314F0B8" w:rsidR="00FB56C9" w:rsidRPr="00F447E4" w:rsidRDefault="426C2042" w:rsidP="05218016">
      <w:pPr>
        <w:spacing w:line="360" w:lineRule="auto"/>
        <w:rPr>
          <w:highlight w:val="black"/>
        </w:rPr>
      </w:pPr>
      <w:r w:rsidRPr="05218016">
        <w:rPr>
          <w:highlight w:val="black"/>
        </w:rPr>
        <w:t>XXXXXXXXXXXXXXXXXX</w:t>
      </w:r>
    </w:p>
    <w:p w14:paraId="64B60BBF" w14:textId="627FAB5F" w:rsidR="00FB56C9" w:rsidRPr="00F447E4" w:rsidRDefault="00F447E4" w:rsidP="00FB56C9">
      <w:pPr>
        <w:spacing w:line="360" w:lineRule="auto"/>
        <w:rPr>
          <w:rFonts w:ascii="Arial" w:eastAsia="Times New Roman" w:hAnsi="Arial" w:cs="Arial"/>
          <w:sz w:val="20"/>
          <w:szCs w:val="20"/>
        </w:rPr>
      </w:pPr>
      <w:r w:rsidRPr="00F447E4">
        <w:rPr>
          <w:rFonts w:ascii="Arial" w:eastAsia="Times New Roman" w:hAnsi="Arial" w:cs="Arial"/>
          <w:sz w:val="20"/>
          <w:szCs w:val="20"/>
        </w:rPr>
        <w:t>Dr Mark Chakravarty</w:t>
      </w:r>
    </w:p>
    <w:p w14:paraId="36ED7FDF" w14:textId="1C752102" w:rsidR="00FB56C9" w:rsidRPr="00F447E4" w:rsidRDefault="00F447E4" w:rsidP="00FB56C9">
      <w:pPr>
        <w:spacing w:line="360" w:lineRule="auto"/>
        <w:rPr>
          <w:rFonts w:ascii="Arial" w:eastAsia="Times New Roman" w:hAnsi="Arial" w:cs="Arial"/>
          <w:sz w:val="20"/>
          <w:szCs w:val="20"/>
        </w:rPr>
      </w:pPr>
      <w:r w:rsidRPr="00F447E4">
        <w:rPr>
          <w:rFonts w:ascii="Arial" w:eastAsia="Times New Roman" w:hAnsi="Arial" w:cs="Arial"/>
          <w:sz w:val="20"/>
          <w:szCs w:val="20"/>
        </w:rPr>
        <w:t>Lead Non-Executive Director for Appeals and Vice Chair</w:t>
      </w:r>
    </w:p>
    <w:p w14:paraId="03E7BAFA" w14:textId="504F4D8D" w:rsidR="000B36E1" w:rsidRPr="00F447E4" w:rsidRDefault="00FB56C9" w:rsidP="00FB56C9">
      <w:pPr>
        <w:spacing w:line="360" w:lineRule="auto"/>
        <w:rPr>
          <w:rFonts w:ascii="Arial" w:hAnsi="Arial" w:cs="Arial"/>
          <w:sz w:val="20"/>
          <w:szCs w:val="20"/>
        </w:rPr>
      </w:pPr>
      <w:r w:rsidRPr="00F447E4">
        <w:rPr>
          <w:rFonts w:ascii="Arial" w:eastAsia="Times New Roman" w:hAnsi="Arial" w:cs="Arial"/>
          <w:sz w:val="20"/>
          <w:szCs w:val="20"/>
        </w:rPr>
        <w:t>National Institute for Health and Care Excellence</w:t>
      </w:r>
    </w:p>
    <w:sectPr w:rsidR="000B36E1" w:rsidRPr="00F447E4" w:rsidSect="000B36E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BBF4" w14:textId="77777777" w:rsidR="001071B9" w:rsidRDefault="001071B9" w:rsidP="000B352B">
      <w:pPr>
        <w:spacing w:after="0" w:line="240" w:lineRule="auto"/>
      </w:pPr>
      <w:r>
        <w:separator/>
      </w:r>
    </w:p>
  </w:endnote>
  <w:endnote w:type="continuationSeparator" w:id="0">
    <w:p w14:paraId="50147125" w14:textId="77777777" w:rsidR="001071B9" w:rsidRDefault="001071B9"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E753" w14:textId="77777777" w:rsidR="00DF117E" w:rsidRDefault="00DF1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CEBF2EA"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2B6A0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FDAE" w14:textId="77777777" w:rsidR="001071B9" w:rsidRDefault="001071B9" w:rsidP="000B352B">
      <w:pPr>
        <w:spacing w:after="0" w:line="240" w:lineRule="auto"/>
      </w:pPr>
      <w:r>
        <w:separator/>
      </w:r>
    </w:p>
  </w:footnote>
  <w:footnote w:type="continuationSeparator" w:id="0">
    <w:p w14:paraId="31C9105D" w14:textId="77777777" w:rsidR="001071B9" w:rsidRDefault="001071B9"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BDE3" w14:textId="77777777" w:rsidR="00DF117E" w:rsidRDefault="00DF1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B329C"/>
    <w:multiLevelType w:val="hybridMultilevel"/>
    <w:tmpl w:val="B0FA187C"/>
    <w:lvl w:ilvl="0" w:tplc="B26EA208">
      <w:numFmt w:val="bullet"/>
      <w:lvlText w:val="•"/>
      <w:lvlJc w:val="left"/>
      <w:pPr>
        <w:ind w:left="1080" w:hanging="72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4"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461914"/>
    <w:multiLevelType w:val="hybridMultilevel"/>
    <w:tmpl w:val="B69CEE2C"/>
    <w:lvl w:ilvl="0" w:tplc="B26EA208">
      <w:numFmt w:val="bullet"/>
      <w:lvlText w:val="•"/>
      <w:lvlJc w:val="left"/>
      <w:pPr>
        <w:ind w:left="1080" w:hanging="72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A516F7"/>
    <w:multiLevelType w:val="hybridMultilevel"/>
    <w:tmpl w:val="D8E8B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28241A"/>
    <w:multiLevelType w:val="hybridMultilevel"/>
    <w:tmpl w:val="120E2742"/>
    <w:lvl w:ilvl="0" w:tplc="08090001">
      <w:start w:val="1"/>
      <w:numFmt w:val="bullet"/>
      <w:lvlText w:val=""/>
      <w:lvlJc w:val="left"/>
      <w:pPr>
        <w:ind w:left="1080" w:hanging="72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11"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285F82"/>
    <w:multiLevelType w:val="hybridMultilevel"/>
    <w:tmpl w:val="6E8A3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081330">
    <w:abstractNumId w:val="1"/>
  </w:num>
  <w:num w:numId="2" w16cid:durableId="1239897750">
    <w:abstractNumId w:val="9"/>
  </w:num>
  <w:num w:numId="3" w16cid:durableId="724110161">
    <w:abstractNumId w:val="3"/>
  </w:num>
  <w:num w:numId="4" w16cid:durableId="99180155">
    <w:abstractNumId w:val="10"/>
  </w:num>
  <w:num w:numId="5" w16cid:durableId="1481845086">
    <w:abstractNumId w:val="0"/>
  </w:num>
  <w:num w:numId="6" w16cid:durableId="423919277">
    <w:abstractNumId w:val="4"/>
  </w:num>
  <w:num w:numId="7" w16cid:durableId="2008357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8"/>
  </w:num>
  <w:num w:numId="9" w16cid:durableId="1504122631">
    <w:abstractNumId w:val="11"/>
  </w:num>
  <w:num w:numId="10" w16cid:durableId="972366391">
    <w:abstractNumId w:val="6"/>
  </w:num>
  <w:num w:numId="11" w16cid:durableId="1301037509">
    <w:abstractNumId w:val="5"/>
  </w:num>
  <w:num w:numId="12" w16cid:durableId="582641357">
    <w:abstractNumId w:val="2"/>
  </w:num>
  <w:num w:numId="13" w16cid:durableId="1023289489">
    <w:abstractNumId w:val="7"/>
  </w:num>
  <w:num w:numId="14" w16cid:durableId="1701008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2121"/>
    <w:rsid w:val="0003729F"/>
    <w:rsid w:val="000468DC"/>
    <w:rsid w:val="000641E7"/>
    <w:rsid w:val="00085181"/>
    <w:rsid w:val="000A714D"/>
    <w:rsid w:val="000B104A"/>
    <w:rsid w:val="000B352B"/>
    <w:rsid w:val="000B36E1"/>
    <w:rsid w:val="000B3C8F"/>
    <w:rsid w:val="001071B9"/>
    <w:rsid w:val="001262CB"/>
    <w:rsid w:val="00133EFE"/>
    <w:rsid w:val="00144F73"/>
    <w:rsid w:val="0014732A"/>
    <w:rsid w:val="00171400"/>
    <w:rsid w:val="00176AA4"/>
    <w:rsid w:val="001D5BD2"/>
    <w:rsid w:val="001E0317"/>
    <w:rsid w:val="001F3962"/>
    <w:rsid w:val="001F3F1E"/>
    <w:rsid w:val="00207606"/>
    <w:rsid w:val="0022689E"/>
    <w:rsid w:val="0027438F"/>
    <w:rsid w:val="00287DB7"/>
    <w:rsid w:val="002B6A0D"/>
    <w:rsid w:val="002E7E90"/>
    <w:rsid w:val="002F1E1C"/>
    <w:rsid w:val="00305EF6"/>
    <w:rsid w:val="0031734A"/>
    <w:rsid w:val="00320722"/>
    <w:rsid w:val="00321B75"/>
    <w:rsid w:val="003404CC"/>
    <w:rsid w:val="00343020"/>
    <w:rsid w:val="00355A99"/>
    <w:rsid w:val="00371B99"/>
    <w:rsid w:val="003936B7"/>
    <w:rsid w:val="003A3E2E"/>
    <w:rsid w:val="003A79BD"/>
    <w:rsid w:val="003B2535"/>
    <w:rsid w:val="003C4208"/>
    <w:rsid w:val="003D22BB"/>
    <w:rsid w:val="003D614E"/>
    <w:rsid w:val="003F6C0E"/>
    <w:rsid w:val="0040409D"/>
    <w:rsid w:val="004215D9"/>
    <w:rsid w:val="00427732"/>
    <w:rsid w:val="00427E93"/>
    <w:rsid w:val="0043022B"/>
    <w:rsid w:val="0044509C"/>
    <w:rsid w:val="00453738"/>
    <w:rsid w:val="00453774"/>
    <w:rsid w:val="00455014"/>
    <w:rsid w:val="004731E7"/>
    <w:rsid w:val="00480405"/>
    <w:rsid w:val="00490CDB"/>
    <w:rsid w:val="00493D2F"/>
    <w:rsid w:val="004C2D22"/>
    <w:rsid w:val="004C4422"/>
    <w:rsid w:val="004C557D"/>
    <w:rsid w:val="004D352A"/>
    <w:rsid w:val="004E4493"/>
    <w:rsid w:val="004F29D7"/>
    <w:rsid w:val="004F39B0"/>
    <w:rsid w:val="00501663"/>
    <w:rsid w:val="00545445"/>
    <w:rsid w:val="0055276E"/>
    <w:rsid w:val="00553447"/>
    <w:rsid w:val="00592B23"/>
    <w:rsid w:val="00593F3D"/>
    <w:rsid w:val="005A42E5"/>
    <w:rsid w:val="005A7A7D"/>
    <w:rsid w:val="005B078B"/>
    <w:rsid w:val="005C388B"/>
    <w:rsid w:val="005C7480"/>
    <w:rsid w:val="005E0434"/>
    <w:rsid w:val="005E2A58"/>
    <w:rsid w:val="00623E0C"/>
    <w:rsid w:val="00641CEB"/>
    <w:rsid w:val="006628FF"/>
    <w:rsid w:val="00671EF3"/>
    <w:rsid w:val="0069376C"/>
    <w:rsid w:val="006C1D0D"/>
    <w:rsid w:val="006D0C62"/>
    <w:rsid w:val="006F031D"/>
    <w:rsid w:val="007214A9"/>
    <w:rsid w:val="0072577F"/>
    <w:rsid w:val="00732227"/>
    <w:rsid w:val="00737D37"/>
    <w:rsid w:val="00745D70"/>
    <w:rsid w:val="00764AE8"/>
    <w:rsid w:val="0076592B"/>
    <w:rsid w:val="0079326E"/>
    <w:rsid w:val="00796AF5"/>
    <w:rsid w:val="007B36FA"/>
    <w:rsid w:val="007C64C6"/>
    <w:rsid w:val="007D4914"/>
    <w:rsid w:val="00850968"/>
    <w:rsid w:val="00851143"/>
    <w:rsid w:val="00866617"/>
    <w:rsid w:val="00877C39"/>
    <w:rsid w:val="008A5FC3"/>
    <w:rsid w:val="008C081A"/>
    <w:rsid w:val="008E4AE4"/>
    <w:rsid w:val="00920115"/>
    <w:rsid w:val="00961369"/>
    <w:rsid w:val="00976D5D"/>
    <w:rsid w:val="009A01FD"/>
    <w:rsid w:val="009D6DEC"/>
    <w:rsid w:val="009E2F15"/>
    <w:rsid w:val="009E5151"/>
    <w:rsid w:val="009F0476"/>
    <w:rsid w:val="00A0226C"/>
    <w:rsid w:val="00A16318"/>
    <w:rsid w:val="00A27CD0"/>
    <w:rsid w:val="00A440CC"/>
    <w:rsid w:val="00A57456"/>
    <w:rsid w:val="00A74D14"/>
    <w:rsid w:val="00A84AF4"/>
    <w:rsid w:val="00AD3112"/>
    <w:rsid w:val="00AD7658"/>
    <w:rsid w:val="00AE303D"/>
    <w:rsid w:val="00AE670F"/>
    <w:rsid w:val="00B038F1"/>
    <w:rsid w:val="00B24360"/>
    <w:rsid w:val="00B30013"/>
    <w:rsid w:val="00B32B71"/>
    <w:rsid w:val="00B737D4"/>
    <w:rsid w:val="00BB16DB"/>
    <w:rsid w:val="00BC7BE7"/>
    <w:rsid w:val="00BE089A"/>
    <w:rsid w:val="00C20F1F"/>
    <w:rsid w:val="00C34F29"/>
    <w:rsid w:val="00C40503"/>
    <w:rsid w:val="00C85906"/>
    <w:rsid w:val="00C96687"/>
    <w:rsid w:val="00CB4563"/>
    <w:rsid w:val="00CB6B08"/>
    <w:rsid w:val="00CE085C"/>
    <w:rsid w:val="00D22D3F"/>
    <w:rsid w:val="00D2302E"/>
    <w:rsid w:val="00D37DEC"/>
    <w:rsid w:val="00D43C5C"/>
    <w:rsid w:val="00D74265"/>
    <w:rsid w:val="00D755E3"/>
    <w:rsid w:val="00D770E0"/>
    <w:rsid w:val="00D813A9"/>
    <w:rsid w:val="00D87135"/>
    <w:rsid w:val="00DB178D"/>
    <w:rsid w:val="00DC3759"/>
    <w:rsid w:val="00DD43C2"/>
    <w:rsid w:val="00DF117E"/>
    <w:rsid w:val="00E03263"/>
    <w:rsid w:val="00E32421"/>
    <w:rsid w:val="00E32EAE"/>
    <w:rsid w:val="00E467E2"/>
    <w:rsid w:val="00E47E81"/>
    <w:rsid w:val="00E60FCF"/>
    <w:rsid w:val="00E622D7"/>
    <w:rsid w:val="00E67BD1"/>
    <w:rsid w:val="00E70F23"/>
    <w:rsid w:val="00E7772A"/>
    <w:rsid w:val="00EA3919"/>
    <w:rsid w:val="00EE6553"/>
    <w:rsid w:val="00F04994"/>
    <w:rsid w:val="00F10012"/>
    <w:rsid w:val="00F1265E"/>
    <w:rsid w:val="00F233EA"/>
    <w:rsid w:val="00F24B1D"/>
    <w:rsid w:val="00F32946"/>
    <w:rsid w:val="00F43135"/>
    <w:rsid w:val="00F447E4"/>
    <w:rsid w:val="00F47A04"/>
    <w:rsid w:val="00F56A5D"/>
    <w:rsid w:val="00F70A40"/>
    <w:rsid w:val="00FA392D"/>
    <w:rsid w:val="00FB225B"/>
    <w:rsid w:val="00FB33B3"/>
    <w:rsid w:val="00FB56C9"/>
    <w:rsid w:val="00FC0EF1"/>
    <w:rsid w:val="00FE3296"/>
    <w:rsid w:val="00FF5E8D"/>
    <w:rsid w:val="05218016"/>
    <w:rsid w:val="0AB114E1"/>
    <w:rsid w:val="0D19114A"/>
    <w:rsid w:val="176D2CA6"/>
    <w:rsid w:val="1A8FEAE6"/>
    <w:rsid w:val="1B2F9807"/>
    <w:rsid w:val="23466D28"/>
    <w:rsid w:val="24E4AA36"/>
    <w:rsid w:val="26903E6F"/>
    <w:rsid w:val="3EACC337"/>
    <w:rsid w:val="426C2042"/>
    <w:rsid w:val="670ABDB0"/>
    <w:rsid w:val="698F755A"/>
    <w:rsid w:val="72DA6D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customStyle="1" w:styleId="UnresolvedMention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unhideWhenUsed/>
    <w:rsid w:val="00E467E2"/>
    <w:pPr>
      <w:spacing w:line="240" w:lineRule="auto"/>
    </w:pPr>
    <w:rPr>
      <w:sz w:val="20"/>
      <w:szCs w:val="20"/>
    </w:rPr>
  </w:style>
  <w:style w:type="character" w:customStyle="1" w:styleId="CommentTextChar">
    <w:name w:val="Comment Text Char"/>
    <w:basedOn w:val="DefaultParagraphFont"/>
    <w:link w:val="CommentText"/>
    <w:uiPriority w:val="99"/>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customStyle="1" w:styleId="CommentSubjectChar">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671EF3"/>
    <w:rPr>
      <w:rFonts w:ascii="Arial" w:eastAsia="Times New Roman" w:hAnsi="Arial"/>
      <w:color w:val="333333"/>
      <w:lang w:eastAsia="en-US"/>
    </w:rPr>
  </w:style>
  <w:style w:type="character" w:styleId="UnresolvedMention">
    <w:name w:val="Unresolved Mention"/>
    <w:basedOn w:val="DefaultParagraphFont"/>
    <w:uiPriority w:val="99"/>
    <w:semiHidden/>
    <w:unhideWhenUsed/>
    <w:rsid w:val="000A714D"/>
    <w:rPr>
      <w:color w:val="605E5C"/>
      <w:shd w:val="clear" w:color="auto" w:fill="E1DFDD"/>
    </w:rPr>
  </w:style>
  <w:style w:type="character" w:styleId="FollowedHyperlink">
    <w:name w:val="FollowedHyperlink"/>
    <w:basedOn w:val="DefaultParagraphFont"/>
    <w:uiPriority w:val="99"/>
    <w:semiHidden/>
    <w:unhideWhenUsed/>
    <w:rsid w:val="00F447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07390463">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14644795">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894315919">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693531847">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008052387">
      <w:bodyDiv w:val="1"/>
      <w:marLeft w:val="0"/>
      <w:marRight w:val="0"/>
      <w:marTop w:val="0"/>
      <w:marBottom w:val="0"/>
      <w:divBdr>
        <w:top w:val="none" w:sz="0" w:space="0" w:color="auto"/>
        <w:left w:val="none" w:sz="0" w:space="0" w:color="auto"/>
        <w:bottom w:val="none" w:sz="0" w:space="0" w:color="auto"/>
        <w:right w:val="none" w:sz="0" w:space="0" w:color="auto"/>
      </w:divBdr>
    </w:div>
    <w:div w:id="2023974818">
      <w:bodyDiv w:val="1"/>
      <w:marLeft w:val="0"/>
      <w:marRight w:val="0"/>
      <w:marTop w:val="0"/>
      <w:marBottom w:val="0"/>
      <w:divBdr>
        <w:top w:val="none" w:sz="0" w:space="0" w:color="auto"/>
        <w:left w:val="none" w:sz="0" w:space="0" w:color="auto"/>
        <w:bottom w:val="none" w:sz="0" w:space="0" w:color="auto"/>
        <w:right w:val="none" w:sz="0" w:space="0" w:color="auto"/>
      </w:divBdr>
    </w:div>
    <w:div w:id="2060281290">
      <w:bodyDiv w:val="1"/>
      <w:marLeft w:val="0"/>
      <w:marRight w:val="0"/>
      <w:marTop w:val="0"/>
      <w:marBottom w:val="0"/>
      <w:divBdr>
        <w:top w:val="none" w:sz="0" w:space="0" w:color="auto"/>
        <w:left w:val="none" w:sz="0" w:space="0" w:color="auto"/>
        <w:bottom w:val="none" w:sz="0" w:space="0" w:color="auto"/>
        <w:right w:val="none" w:sz="0" w:space="0" w:color="auto"/>
      </w:divBdr>
    </w:div>
    <w:div w:id="2075656902">
      <w:bodyDiv w:val="1"/>
      <w:marLeft w:val="0"/>
      <w:marRight w:val="0"/>
      <w:marTop w:val="0"/>
      <w:marBottom w:val="0"/>
      <w:divBdr>
        <w:top w:val="none" w:sz="0" w:space="0" w:color="auto"/>
        <w:left w:val="none" w:sz="0" w:space="0" w:color="auto"/>
        <w:bottom w:val="none" w:sz="0" w:space="0" w:color="auto"/>
        <w:right w:val="none" w:sz="0" w:space="0" w:color="auto"/>
      </w:divBdr>
    </w:div>
    <w:div w:id="2077777606">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5F2766-A312-49EE-ABBB-9C858989F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D2ABBA-B6AF-4D36-AD4F-AED7155AF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F9F32-5210-4332-9116-60127FFDCC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8462</Characters>
  <Application>Microsoft Office Word</Application>
  <DocSecurity>0</DocSecurity>
  <Lines>70</Lines>
  <Paragraphs>19</Paragraphs>
  <ScaleCrop>false</ScaleCrop>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Sana Issa</cp:lastModifiedBy>
  <cp:revision>4</cp:revision>
  <cp:lastPrinted>1900-01-01T08:00:00Z</cp:lastPrinted>
  <dcterms:created xsi:type="dcterms:W3CDTF">2025-07-07T10:43:00Z</dcterms:created>
  <dcterms:modified xsi:type="dcterms:W3CDTF">2025-08-21T13:58:00Z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2025-07-07T10:43:11Z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ba2398c1-a070-4f7d-9e57-76a1ee67baaf</vt:lpwstr>
  </property>
  <property fmtid="{D5CDD505-2E9C-101B-9397-08002B2CF9AE}" pid="9" name="MSIP_Label_c69d85d5-6d9e-4305-a294-1f636ec0f2d6_ContentBits">
    <vt:lpwstr>0</vt:lpwstr>
  </property>
  <property fmtid="{D5CDD505-2E9C-101B-9397-08002B2CF9AE}" pid="10" name="MSIP_Label_c69d85d5-6d9e-4305-a294-1f636ec0f2d6_Tag">
    <vt:lpwstr>10, 3, 0, 2</vt:lpwstr>
  </property>
</Properties>
</file>