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370A" w14:textId="77777777" w:rsidR="00E17660" w:rsidRPr="00AF129A" w:rsidRDefault="00E17660" w:rsidP="00E22A42">
      <w:pPr>
        <w:jc w:val="both"/>
        <w:rPr>
          <w:rFonts w:cs="Arial"/>
          <w:sz w:val="20"/>
          <w:szCs w:val="20"/>
        </w:rPr>
      </w:pPr>
      <w:r w:rsidRPr="00AF129A">
        <w:rPr>
          <w:rFonts w:cs="Arial"/>
          <w:sz w:val="20"/>
          <w:szCs w:val="20"/>
        </w:rPr>
        <w:t>Dr Mark Chakravarty</w:t>
      </w:r>
    </w:p>
    <w:p w14:paraId="1B6D78F7" w14:textId="77777777" w:rsidR="00E17660" w:rsidRPr="00AF129A" w:rsidRDefault="00E17660" w:rsidP="00E22A42">
      <w:pPr>
        <w:jc w:val="both"/>
        <w:rPr>
          <w:rFonts w:cs="Arial"/>
          <w:sz w:val="20"/>
          <w:szCs w:val="20"/>
        </w:rPr>
      </w:pPr>
      <w:r w:rsidRPr="00AF129A">
        <w:rPr>
          <w:rFonts w:cs="Arial"/>
          <w:sz w:val="20"/>
          <w:szCs w:val="20"/>
        </w:rPr>
        <w:t>Lead Non-executive Director NICE Appeals – Technology Appraisals and Highly Specialised Technologies</w:t>
      </w:r>
    </w:p>
    <w:p w14:paraId="51C658CC" w14:textId="77777777" w:rsidR="00E17660" w:rsidRPr="00AF129A" w:rsidRDefault="00E17660" w:rsidP="00E22A42">
      <w:pPr>
        <w:jc w:val="both"/>
        <w:rPr>
          <w:rFonts w:cs="Arial"/>
          <w:sz w:val="20"/>
          <w:szCs w:val="20"/>
        </w:rPr>
      </w:pPr>
      <w:r w:rsidRPr="00AF129A">
        <w:rPr>
          <w:rFonts w:cs="Arial"/>
          <w:sz w:val="20"/>
          <w:szCs w:val="20"/>
        </w:rPr>
        <w:t>National Institute for Health and Care Excellence</w:t>
      </w:r>
    </w:p>
    <w:p w14:paraId="4149655F" w14:textId="77777777" w:rsidR="00E17660" w:rsidRPr="00AF129A" w:rsidRDefault="00E17660" w:rsidP="00E22A42">
      <w:pPr>
        <w:jc w:val="both"/>
        <w:rPr>
          <w:rFonts w:cs="Arial"/>
          <w:sz w:val="20"/>
          <w:szCs w:val="20"/>
        </w:rPr>
      </w:pPr>
      <w:r w:rsidRPr="00AF129A">
        <w:rPr>
          <w:rFonts w:cs="Arial"/>
          <w:sz w:val="20"/>
          <w:szCs w:val="20"/>
        </w:rPr>
        <w:t>2nd Floor</w:t>
      </w:r>
    </w:p>
    <w:p w14:paraId="37C2D07E" w14:textId="77777777" w:rsidR="00E17660" w:rsidRPr="00AF129A" w:rsidRDefault="00E17660" w:rsidP="00E22A42">
      <w:pPr>
        <w:jc w:val="both"/>
        <w:rPr>
          <w:rFonts w:cs="Arial"/>
          <w:sz w:val="20"/>
          <w:szCs w:val="20"/>
        </w:rPr>
      </w:pPr>
      <w:r w:rsidRPr="00AF129A">
        <w:rPr>
          <w:rFonts w:cs="Arial"/>
          <w:sz w:val="20"/>
          <w:szCs w:val="20"/>
        </w:rPr>
        <w:t>2 Redman Place</w:t>
      </w:r>
    </w:p>
    <w:p w14:paraId="47C54997" w14:textId="77777777" w:rsidR="00E17660" w:rsidRPr="00AF129A" w:rsidRDefault="00E17660" w:rsidP="00E22A42">
      <w:pPr>
        <w:jc w:val="both"/>
        <w:rPr>
          <w:rFonts w:cs="Arial"/>
          <w:sz w:val="20"/>
          <w:szCs w:val="20"/>
        </w:rPr>
      </w:pPr>
      <w:r w:rsidRPr="00AF129A">
        <w:rPr>
          <w:rFonts w:cs="Arial"/>
          <w:sz w:val="20"/>
          <w:szCs w:val="20"/>
        </w:rPr>
        <w:t>London E20 1JQ</w:t>
      </w:r>
    </w:p>
    <w:p w14:paraId="0ED2FA15" w14:textId="77777777" w:rsidR="00E17660" w:rsidRPr="00AF129A" w:rsidRDefault="00E17660" w:rsidP="00E22A42">
      <w:pPr>
        <w:jc w:val="both"/>
        <w:rPr>
          <w:rFonts w:cs="Arial"/>
          <w:sz w:val="20"/>
          <w:szCs w:val="20"/>
        </w:rPr>
      </w:pPr>
    </w:p>
    <w:p w14:paraId="76A4FB32" w14:textId="2322066D" w:rsidR="00E17660" w:rsidRPr="00AF129A" w:rsidRDefault="007821F2" w:rsidP="00E22A42">
      <w:pPr>
        <w:jc w:val="both"/>
        <w:rPr>
          <w:rFonts w:cs="Arial"/>
          <w:sz w:val="20"/>
          <w:szCs w:val="20"/>
          <w:lang w:val="da-DK"/>
        </w:rPr>
      </w:pPr>
      <w:hyperlink r:id="rId12" w:tgtFrame="_top" w:history="1">
        <w:r w:rsidRPr="00AF129A">
          <w:rPr>
            <w:rStyle w:val="Hyperlink"/>
            <w:rFonts w:cs="Arial"/>
            <w:sz w:val="20"/>
            <w:szCs w:val="20"/>
            <w:lang w:val="da-DK"/>
          </w:rPr>
          <w:t>appeals@nice.org.uk</w:t>
        </w:r>
      </w:hyperlink>
    </w:p>
    <w:p w14:paraId="1ACF113D" w14:textId="77777777" w:rsidR="007821F2" w:rsidRPr="00AF129A" w:rsidRDefault="007821F2" w:rsidP="00E22A42">
      <w:pPr>
        <w:jc w:val="both"/>
        <w:rPr>
          <w:rFonts w:cs="Arial"/>
          <w:sz w:val="20"/>
          <w:szCs w:val="20"/>
          <w:lang w:val="da-DK"/>
        </w:rPr>
      </w:pPr>
    </w:p>
    <w:p w14:paraId="3245A919" w14:textId="2C8422BF" w:rsidR="00E17660" w:rsidRPr="00AF129A" w:rsidRDefault="00C569AB" w:rsidP="00C569AB">
      <w:pPr>
        <w:ind w:left="8640"/>
        <w:jc w:val="both"/>
        <w:rPr>
          <w:rFonts w:cs="Arial"/>
          <w:sz w:val="20"/>
          <w:szCs w:val="20"/>
          <w:lang w:val="da-DK"/>
        </w:rPr>
      </w:pPr>
      <w:r w:rsidRPr="00AF129A">
        <w:rPr>
          <w:rFonts w:cs="Arial"/>
          <w:sz w:val="20"/>
          <w:szCs w:val="20"/>
          <w:lang w:val="da-DK"/>
        </w:rPr>
        <w:t>30</w:t>
      </w:r>
      <w:r w:rsidR="00E17660" w:rsidRPr="00AF129A">
        <w:rPr>
          <w:rFonts w:cs="Arial"/>
          <w:sz w:val="20"/>
          <w:szCs w:val="20"/>
          <w:lang w:val="da-DK"/>
        </w:rPr>
        <w:t xml:space="preserve"> June 2025</w:t>
      </w:r>
    </w:p>
    <w:p w14:paraId="0147F3CC" w14:textId="77777777" w:rsidR="00E17660" w:rsidRPr="00AF129A" w:rsidRDefault="00E17660" w:rsidP="00E22A42">
      <w:pPr>
        <w:jc w:val="both"/>
        <w:rPr>
          <w:rFonts w:cs="Arial"/>
          <w:sz w:val="20"/>
          <w:szCs w:val="20"/>
          <w:lang w:val="da-DK"/>
        </w:rPr>
      </w:pPr>
    </w:p>
    <w:p w14:paraId="3574E858" w14:textId="77777777" w:rsidR="00E17660" w:rsidRPr="00AF129A" w:rsidRDefault="00E17660" w:rsidP="00E22A42">
      <w:pPr>
        <w:jc w:val="both"/>
        <w:rPr>
          <w:rFonts w:cs="Arial"/>
          <w:sz w:val="20"/>
          <w:szCs w:val="20"/>
          <w:lang w:val="da-DK"/>
        </w:rPr>
      </w:pPr>
    </w:p>
    <w:p w14:paraId="372E21D0" w14:textId="5029C8C1" w:rsidR="00E17660" w:rsidRPr="00AF129A" w:rsidRDefault="00E17660" w:rsidP="00E22A42">
      <w:pPr>
        <w:spacing w:before="120" w:after="120"/>
        <w:jc w:val="both"/>
        <w:rPr>
          <w:rFonts w:cs="Arial"/>
          <w:sz w:val="20"/>
          <w:szCs w:val="20"/>
        </w:rPr>
      </w:pPr>
      <w:r w:rsidRPr="00AF129A">
        <w:rPr>
          <w:rFonts w:cs="Arial"/>
          <w:sz w:val="20"/>
          <w:szCs w:val="20"/>
        </w:rPr>
        <w:t>Dear Dr Chakravarty,</w:t>
      </w:r>
    </w:p>
    <w:p w14:paraId="0F832281" w14:textId="77777777" w:rsidR="00731419" w:rsidRPr="00731419" w:rsidRDefault="00731419" w:rsidP="00731419">
      <w:pPr>
        <w:ind w:left="0"/>
        <w:jc w:val="both"/>
        <w:rPr>
          <w:rFonts w:eastAsia="Times New Roman" w:cs="Arial"/>
          <w:sz w:val="20"/>
          <w:szCs w:val="20"/>
          <w:lang w:val="en-GB"/>
        </w:rPr>
      </w:pPr>
    </w:p>
    <w:p w14:paraId="136F701B" w14:textId="2A73E987" w:rsidR="00731419" w:rsidRPr="00731419" w:rsidRDefault="00731419" w:rsidP="00CF4631">
      <w:pPr>
        <w:jc w:val="both"/>
        <w:rPr>
          <w:rFonts w:eastAsia="Times New Roman" w:cs="Arial"/>
          <w:sz w:val="20"/>
          <w:szCs w:val="20"/>
        </w:rPr>
      </w:pPr>
      <w:r w:rsidRPr="00731419">
        <w:rPr>
          <w:rFonts w:eastAsia="Times New Roman" w:cs="Arial"/>
          <w:b/>
          <w:bCs/>
          <w:sz w:val="20"/>
          <w:szCs w:val="20"/>
          <w:lang w:val="en-GB"/>
        </w:rPr>
        <w:t xml:space="preserve">Re: Initial Scrutiny— </w:t>
      </w:r>
      <w:proofErr w:type="spellStart"/>
      <w:r w:rsidRPr="00731419">
        <w:rPr>
          <w:rFonts w:eastAsia="Times New Roman" w:cs="Arial"/>
          <w:b/>
          <w:bCs/>
          <w:sz w:val="20"/>
          <w:szCs w:val="20"/>
          <w:lang w:val="en-GB"/>
        </w:rPr>
        <w:t>Cemiplimab</w:t>
      </w:r>
      <w:proofErr w:type="spellEnd"/>
      <w:r w:rsidRPr="00731419">
        <w:rPr>
          <w:rFonts w:eastAsia="Times New Roman" w:cs="Arial"/>
          <w:b/>
          <w:bCs/>
          <w:sz w:val="20"/>
          <w:szCs w:val="20"/>
          <w:lang w:val="en-GB"/>
        </w:rPr>
        <w:t xml:space="preserve"> with platinum-based chemotherapy for untreated advanced non-small-cell lung cancer [ID3949]</w:t>
      </w:r>
    </w:p>
    <w:p w14:paraId="352C89CF" w14:textId="77777777" w:rsidR="00731419" w:rsidRPr="00731419" w:rsidRDefault="00731419" w:rsidP="00AF129A">
      <w:pPr>
        <w:jc w:val="both"/>
        <w:rPr>
          <w:rFonts w:eastAsia="Times New Roman" w:cs="Arial"/>
          <w:b/>
          <w:bCs/>
          <w:sz w:val="20"/>
          <w:szCs w:val="20"/>
          <w:lang w:val="en-GB"/>
        </w:rPr>
      </w:pPr>
    </w:p>
    <w:p w14:paraId="08AFA76A" w14:textId="319B4408" w:rsidR="00731419" w:rsidRPr="00731419" w:rsidRDefault="00731419" w:rsidP="00AF129A">
      <w:pPr>
        <w:jc w:val="both"/>
        <w:rPr>
          <w:rFonts w:eastAsia="Times New Roman" w:cs="Arial"/>
          <w:sz w:val="20"/>
          <w:szCs w:val="20"/>
          <w:lang w:val="en-GB"/>
        </w:rPr>
      </w:pPr>
      <w:r w:rsidRPr="01888C0F">
        <w:rPr>
          <w:rFonts w:eastAsia="Times New Roman" w:cs="Arial"/>
          <w:sz w:val="20"/>
          <w:szCs w:val="20"/>
        </w:rPr>
        <w:t xml:space="preserve">We are grateful for your detailed and thoughtful review of our Appeal Letter.  Thank you also for providing your initial view that our Appeal Grounds 1a.1, 2.1, 2.2, and 2.6 are admissible as particularized in the Appeal Letter. We are also glad of the opportunity to comment upon those grounds that you are currently not minded </w:t>
      </w:r>
      <w:proofErr w:type="gramStart"/>
      <w:r w:rsidRPr="01888C0F">
        <w:rPr>
          <w:rFonts w:eastAsia="Times New Roman" w:cs="Arial"/>
          <w:sz w:val="20"/>
          <w:szCs w:val="20"/>
        </w:rPr>
        <w:t>to admit</w:t>
      </w:r>
      <w:proofErr w:type="gramEnd"/>
      <w:r w:rsidRPr="01888C0F">
        <w:rPr>
          <w:rFonts w:eastAsia="Times New Roman" w:cs="Arial"/>
          <w:sz w:val="20"/>
          <w:szCs w:val="20"/>
        </w:rPr>
        <w:t xml:space="preserve"> (namely, Appeal Grounds 1a.2, 1a.3, 1b.1, 2.3, 2,4, and 2.5).</w:t>
      </w:r>
    </w:p>
    <w:p w14:paraId="55B63F7C" w14:textId="77777777" w:rsidR="00731419" w:rsidRPr="00731419" w:rsidRDefault="00731419" w:rsidP="00AF129A">
      <w:pPr>
        <w:jc w:val="both"/>
        <w:rPr>
          <w:rFonts w:eastAsia="Times New Roman" w:cs="Arial"/>
          <w:sz w:val="20"/>
          <w:szCs w:val="20"/>
          <w:lang w:val="en-GB"/>
        </w:rPr>
      </w:pPr>
    </w:p>
    <w:p w14:paraId="4BAE57CE" w14:textId="77777777" w:rsidR="00731419" w:rsidRPr="00731419" w:rsidRDefault="00731419" w:rsidP="00AF129A">
      <w:pPr>
        <w:jc w:val="both"/>
        <w:rPr>
          <w:rFonts w:eastAsia="Times New Roman" w:cs="Arial"/>
          <w:sz w:val="20"/>
          <w:szCs w:val="20"/>
          <w:lang w:val="en-GB"/>
        </w:rPr>
      </w:pPr>
      <w:r w:rsidRPr="00731419">
        <w:rPr>
          <w:rFonts w:eastAsia="Times New Roman" w:cs="Arial"/>
          <w:sz w:val="20"/>
          <w:szCs w:val="20"/>
          <w:lang w:val="en-GB"/>
        </w:rPr>
        <w:t xml:space="preserve">We set out our comments on those grounds below, indicating where we accept your views and those with which we disagree, along with our reasons.  You will see that we have conceded that Ground 1a.3 should not survive scrutiny.  We have agreed that unreasonableness grounds 2.3 and 2.5 can be folded into procedural fairness Ground 1a.1 and have reflected some of the additional relevant evidence in the consolidated ground.   However, we have questioned your decisions that Grounds 1a.2. 1b.1 and 2.4 should not survive scrutiny.  We have made </w:t>
      </w:r>
      <w:proofErr w:type="gramStart"/>
      <w:r w:rsidRPr="00731419">
        <w:rPr>
          <w:rFonts w:eastAsia="Times New Roman" w:cs="Arial"/>
          <w:sz w:val="20"/>
          <w:szCs w:val="20"/>
          <w:lang w:val="en-GB"/>
        </w:rPr>
        <w:t>a number of</w:t>
      </w:r>
      <w:proofErr w:type="gramEnd"/>
      <w:r w:rsidRPr="00731419">
        <w:rPr>
          <w:rFonts w:eastAsia="Times New Roman" w:cs="Arial"/>
          <w:sz w:val="20"/>
          <w:szCs w:val="20"/>
          <w:lang w:val="en-GB"/>
        </w:rPr>
        <w:t xml:space="preserve"> additional submissions in response to your comments and taken the opportunity to expand the original grounds for appeal, in the hope that our additions will address your concerns.  </w:t>
      </w:r>
    </w:p>
    <w:p w14:paraId="7A6B58EB" w14:textId="77777777" w:rsidR="00731419" w:rsidRPr="00731419" w:rsidRDefault="00731419" w:rsidP="00AF129A">
      <w:pPr>
        <w:jc w:val="both"/>
        <w:rPr>
          <w:rFonts w:eastAsia="Times New Roman" w:cs="Arial"/>
          <w:sz w:val="20"/>
          <w:szCs w:val="20"/>
          <w:lang w:val="en-GB"/>
        </w:rPr>
      </w:pPr>
    </w:p>
    <w:p w14:paraId="033F1C79" w14:textId="77777777" w:rsidR="00731419" w:rsidRPr="00731419" w:rsidRDefault="00731419" w:rsidP="00AF129A">
      <w:pPr>
        <w:jc w:val="both"/>
        <w:rPr>
          <w:rFonts w:eastAsia="Times New Roman" w:cs="Arial"/>
          <w:sz w:val="20"/>
          <w:szCs w:val="20"/>
          <w:lang w:val="en-GB"/>
        </w:rPr>
      </w:pPr>
      <w:r w:rsidRPr="00731419">
        <w:rPr>
          <w:rFonts w:eastAsia="Times New Roman" w:cs="Arial"/>
          <w:sz w:val="20"/>
          <w:szCs w:val="20"/>
          <w:lang w:val="en-GB"/>
        </w:rPr>
        <w:t>There are two enclosures to this letter.</w:t>
      </w:r>
    </w:p>
    <w:p w14:paraId="2733ED0E" w14:textId="77777777" w:rsidR="00731419" w:rsidRPr="00731419" w:rsidRDefault="00731419" w:rsidP="00AF129A">
      <w:pPr>
        <w:jc w:val="both"/>
        <w:rPr>
          <w:rFonts w:eastAsia="Times New Roman" w:cs="Arial"/>
          <w:sz w:val="20"/>
          <w:szCs w:val="20"/>
        </w:rPr>
      </w:pPr>
    </w:p>
    <w:p w14:paraId="0E19F42E" w14:textId="77777777" w:rsidR="00731419" w:rsidRPr="00731419" w:rsidRDefault="00731419" w:rsidP="00AF129A">
      <w:pPr>
        <w:numPr>
          <w:ilvl w:val="0"/>
          <w:numId w:val="11"/>
        </w:numPr>
        <w:spacing w:after="240"/>
        <w:ind w:left="1004"/>
        <w:jc w:val="both"/>
        <w:rPr>
          <w:rFonts w:eastAsia="Times New Roman" w:cs="Arial"/>
          <w:sz w:val="20"/>
          <w:szCs w:val="20"/>
          <w:lang w:val="en-GB"/>
        </w:rPr>
      </w:pPr>
      <w:r w:rsidRPr="00731419">
        <w:rPr>
          <w:rFonts w:eastAsia="Times New Roman" w:cs="Arial"/>
          <w:sz w:val="20"/>
          <w:szCs w:val="20"/>
          <w:lang w:val="en-GB"/>
        </w:rPr>
        <w:t xml:space="preserve">An article from the </w:t>
      </w:r>
      <w:r w:rsidRPr="00731419">
        <w:rPr>
          <w:rFonts w:eastAsia="Times New Roman" w:cs="Arial"/>
          <w:i/>
          <w:iCs/>
          <w:sz w:val="20"/>
          <w:szCs w:val="20"/>
          <w:lang w:val="en-GB"/>
        </w:rPr>
        <w:t>Value in Health</w:t>
      </w:r>
      <w:r w:rsidRPr="00731419">
        <w:rPr>
          <w:rFonts w:eastAsia="Times New Roman" w:cs="Arial"/>
          <w:sz w:val="20"/>
          <w:szCs w:val="20"/>
          <w:lang w:val="en-GB"/>
        </w:rPr>
        <w:t xml:space="preserve"> journal authored by </w:t>
      </w:r>
      <w:proofErr w:type="gramStart"/>
      <w:r w:rsidRPr="00731419">
        <w:rPr>
          <w:rFonts w:eastAsia="Times New Roman" w:cs="Arial"/>
          <w:sz w:val="20"/>
          <w:szCs w:val="20"/>
          <w:lang w:val="en-GB"/>
        </w:rPr>
        <w:t>a number of</w:t>
      </w:r>
      <w:proofErr w:type="gramEnd"/>
      <w:r w:rsidRPr="00731419">
        <w:rPr>
          <w:rFonts w:eastAsia="Times New Roman" w:cs="Arial"/>
          <w:sz w:val="20"/>
          <w:szCs w:val="20"/>
          <w:lang w:val="en-GB"/>
        </w:rPr>
        <w:t xml:space="preserve"> the country’s leading health economists.  This is relevant to our discussion of Appeal Ground 2.4 below.  We also wish to refer to this article during the oral appeal hearing and ask for this to be added to the appeal briefing pack, pursuant to Section 4.7 of NICE’s Appeals Guide.  While we appreciate that new data or analyses may not be submitted at the appeals stage, we consider that the article in question is key to understanding the circumstances in which it is generally considered acceptable to carry out a cost-comparison exercise, and therefore whether the Committee’s decision not to allow this was reasonable in this case.  We respectfully ask for the article to be admitted to the appeal under exceptional circumstances.</w:t>
      </w:r>
    </w:p>
    <w:p w14:paraId="14B934C6" w14:textId="77777777" w:rsidR="00731419" w:rsidRPr="00731419" w:rsidRDefault="00731419" w:rsidP="00AF129A">
      <w:pPr>
        <w:numPr>
          <w:ilvl w:val="0"/>
          <w:numId w:val="11"/>
        </w:numPr>
        <w:spacing w:after="240"/>
        <w:ind w:left="1004"/>
        <w:jc w:val="both"/>
        <w:rPr>
          <w:rFonts w:eastAsia="Times New Roman" w:cs="Arial"/>
          <w:sz w:val="20"/>
          <w:szCs w:val="20"/>
          <w:lang w:val="en-GB"/>
        </w:rPr>
      </w:pPr>
      <w:r w:rsidRPr="00731419">
        <w:rPr>
          <w:rFonts w:eastAsia="Times New Roman" w:cs="Arial"/>
          <w:sz w:val="20"/>
          <w:szCs w:val="20"/>
          <w:lang w:val="en-GB"/>
        </w:rPr>
        <w:t>Given the various changes to the Appeal Grounds contemplated in your letter and below (including your suggestion that we amalgamate and/or clarify certain points), we enclose an updated version of the Appeal Letter to address your suggestions (with our suggested changes in red).  We trust this will assist both you and the Appeal Panel to review the points in a logical order, rather than having to piece together details from this letter and the Appeal Letter.</w:t>
      </w:r>
    </w:p>
    <w:p w14:paraId="202A3BEA" w14:textId="77777777" w:rsidR="00731419" w:rsidRPr="00731419" w:rsidRDefault="00731419" w:rsidP="00AF129A">
      <w:pPr>
        <w:jc w:val="both"/>
        <w:rPr>
          <w:rFonts w:eastAsia="Times New Roman" w:cs="Arial"/>
          <w:b/>
          <w:bCs/>
          <w:sz w:val="20"/>
          <w:szCs w:val="20"/>
          <w:lang w:val="en-GB"/>
        </w:rPr>
      </w:pPr>
    </w:p>
    <w:p w14:paraId="0F494B64" w14:textId="77777777" w:rsidR="00731419" w:rsidRPr="00731419" w:rsidRDefault="00731419" w:rsidP="00AF129A">
      <w:pPr>
        <w:jc w:val="both"/>
        <w:rPr>
          <w:rFonts w:eastAsia="Times New Roman" w:cs="Arial"/>
          <w:b/>
          <w:bCs/>
          <w:sz w:val="20"/>
          <w:szCs w:val="20"/>
          <w:lang w:val="en-GB"/>
        </w:rPr>
      </w:pPr>
      <w:r w:rsidRPr="00731419">
        <w:rPr>
          <w:rFonts w:eastAsia="Times New Roman" w:cs="Arial"/>
          <w:b/>
          <w:bCs/>
          <w:sz w:val="20"/>
          <w:szCs w:val="20"/>
          <w:lang w:val="en-GB"/>
        </w:rPr>
        <w:t>Comments on Scrutiny Letter</w:t>
      </w:r>
    </w:p>
    <w:p w14:paraId="09DDE478" w14:textId="77777777" w:rsidR="00731419" w:rsidRPr="00731419" w:rsidRDefault="00731419" w:rsidP="00AF129A">
      <w:pPr>
        <w:jc w:val="both"/>
        <w:rPr>
          <w:rFonts w:eastAsia="Times New Roman" w:cs="Arial"/>
          <w:b/>
          <w:bCs/>
          <w:sz w:val="20"/>
          <w:szCs w:val="20"/>
          <w:lang w:val="en-GB"/>
        </w:rPr>
      </w:pPr>
    </w:p>
    <w:p w14:paraId="2092785B" w14:textId="77777777" w:rsidR="00731419" w:rsidRPr="00731419" w:rsidRDefault="00731419" w:rsidP="00AF129A">
      <w:pPr>
        <w:jc w:val="both"/>
        <w:rPr>
          <w:rFonts w:eastAsia="Times New Roman" w:cs="Arial"/>
          <w:b/>
          <w:bCs/>
          <w:sz w:val="20"/>
          <w:szCs w:val="20"/>
          <w:lang w:val="en-GB"/>
        </w:rPr>
      </w:pPr>
      <w:r w:rsidRPr="00731419">
        <w:rPr>
          <w:rFonts w:eastAsia="Times New Roman" w:cs="Arial"/>
          <w:b/>
          <w:bCs/>
          <w:sz w:val="20"/>
          <w:szCs w:val="20"/>
          <w:lang w:val="en-GB"/>
        </w:rPr>
        <w:t xml:space="preserve">Appeal </w:t>
      </w:r>
      <w:proofErr w:type="gramStart"/>
      <w:r w:rsidRPr="00731419">
        <w:rPr>
          <w:rFonts w:eastAsia="Times New Roman" w:cs="Arial"/>
          <w:b/>
          <w:bCs/>
          <w:sz w:val="20"/>
          <w:szCs w:val="20"/>
          <w:lang w:val="en-GB"/>
        </w:rPr>
        <w:t>point</w:t>
      </w:r>
      <w:proofErr w:type="gramEnd"/>
      <w:r w:rsidRPr="00731419">
        <w:rPr>
          <w:rFonts w:eastAsia="Times New Roman" w:cs="Arial"/>
          <w:b/>
          <w:bCs/>
          <w:sz w:val="20"/>
          <w:szCs w:val="20"/>
          <w:lang w:val="en-GB"/>
        </w:rPr>
        <w:t xml:space="preserve"> 1(a).2: The Appraisal Committee failed to consider adequately material evidence regarding PFS provided by Regeneron. Public bodies are required to </w:t>
      </w:r>
      <w:proofErr w:type="gramStart"/>
      <w:r w:rsidRPr="00731419">
        <w:rPr>
          <w:rFonts w:eastAsia="Times New Roman" w:cs="Arial"/>
          <w:b/>
          <w:bCs/>
          <w:sz w:val="20"/>
          <w:szCs w:val="20"/>
          <w:lang w:val="en-GB"/>
        </w:rPr>
        <w:t>give proper consideration to</w:t>
      </w:r>
      <w:proofErr w:type="gramEnd"/>
      <w:r w:rsidRPr="00731419">
        <w:rPr>
          <w:rFonts w:eastAsia="Times New Roman" w:cs="Arial"/>
          <w:b/>
          <w:bCs/>
          <w:sz w:val="20"/>
          <w:szCs w:val="20"/>
          <w:lang w:val="en-GB"/>
        </w:rPr>
        <w:t xml:space="preserve"> stakeholder </w:t>
      </w:r>
      <w:r w:rsidRPr="00731419">
        <w:rPr>
          <w:rFonts w:eastAsia="Times New Roman" w:cs="Arial"/>
          <w:b/>
          <w:bCs/>
          <w:sz w:val="20"/>
          <w:szCs w:val="20"/>
          <w:lang w:val="en-GB"/>
        </w:rPr>
        <w:lastRenderedPageBreak/>
        <w:t>submissions and, where relevant, to justify any decision to not accept them. The Appraisal Committee’s failure to do so was procedurally unfair and prejudiced Regeneron and its product.</w:t>
      </w:r>
    </w:p>
    <w:p w14:paraId="2E200DB5" w14:textId="77777777" w:rsidR="00731419" w:rsidRPr="00731419" w:rsidRDefault="00731419" w:rsidP="00AF129A">
      <w:pPr>
        <w:jc w:val="both"/>
        <w:rPr>
          <w:rFonts w:eastAsia="Times New Roman" w:cs="Arial"/>
          <w:b/>
          <w:bCs/>
          <w:sz w:val="20"/>
          <w:szCs w:val="20"/>
          <w:lang w:val="en-GB"/>
        </w:rPr>
      </w:pPr>
    </w:p>
    <w:p w14:paraId="1EBA99A5"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t xml:space="preserve">We respectfully but strongly disagree with your initial view not to refer this point to the Appeal Panel.  We ask you to reconsider your decision </w:t>
      </w:r>
      <w:proofErr w:type="gramStart"/>
      <w:r w:rsidRPr="00731419">
        <w:rPr>
          <w:rFonts w:eastAsia="Times New Roman" w:cs="Arial"/>
          <w:sz w:val="20"/>
          <w:szCs w:val="20"/>
        </w:rPr>
        <w:t>in light of</w:t>
      </w:r>
      <w:proofErr w:type="gramEnd"/>
      <w:r w:rsidRPr="00731419">
        <w:rPr>
          <w:rFonts w:eastAsia="Times New Roman" w:cs="Arial"/>
          <w:sz w:val="20"/>
          <w:szCs w:val="20"/>
        </w:rPr>
        <w:t xml:space="preserve"> our comments below, as our appeal point may have been misunderstood.</w:t>
      </w:r>
    </w:p>
    <w:p w14:paraId="77A50DF4" w14:textId="77777777" w:rsidR="00731419" w:rsidRPr="00731419" w:rsidRDefault="00731419" w:rsidP="00AF129A">
      <w:pPr>
        <w:jc w:val="both"/>
        <w:rPr>
          <w:rFonts w:eastAsia="Times New Roman" w:cs="Arial"/>
          <w:sz w:val="20"/>
          <w:szCs w:val="20"/>
        </w:rPr>
      </w:pPr>
    </w:p>
    <w:p w14:paraId="121540A1"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t xml:space="preserve">In our view, two scenarios need to be distinguished.  </w:t>
      </w:r>
    </w:p>
    <w:p w14:paraId="545D250C" w14:textId="77777777" w:rsidR="00731419" w:rsidRPr="00731419" w:rsidRDefault="00731419" w:rsidP="00AF129A">
      <w:pPr>
        <w:jc w:val="both"/>
        <w:rPr>
          <w:rFonts w:eastAsia="Times New Roman" w:cs="Arial"/>
          <w:sz w:val="20"/>
          <w:szCs w:val="20"/>
        </w:rPr>
      </w:pPr>
    </w:p>
    <w:p w14:paraId="14631EEB" w14:textId="77777777" w:rsidR="00731419" w:rsidRPr="00731419" w:rsidRDefault="00731419" w:rsidP="00AF129A">
      <w:pPr>
        <w:numPr>
          <w:ilvl w:val="0"/>
          <w:numId w:val="9"/>
        </w:numPr>
        <w:ind w:left="1004"/>
        <w:contextualSpacing/>
        <w:jc w:val="both"/>
        <w:rPr>
          <w:rFonts w:eastAsia="Times New Roman" w:cs="Arial"/>
          <w:sz w:val="20"/>
          <w:szCs w:val="20"/>
        </w:rPr>
      </w:pPr>
      <w:r w:rsidRPr="00731419">
        <w:rPr>
          <w:rFonts w:eastAsia="Times New Roman" w:cs="Arial"/>
          <w:sz w:val="20"/>
          <w:szCs w:val="20"/>
        </w:rPr>
        <w:t xml:space="preserve">In the first scenario, the Committee gives due, sufficient and appropriate consideration to the evidence submitted and, </w:t>
      </w:r>
      <w:proofErr w:type="gramStart"/>
      <w:r w:rsidRPr="00731419">
        <w:rPr>
          <w:rFonts w:eastAsia="Times New Roman" w:cs="Arial"/>
          <w:sz w:val="20"/>
          <w:szCs w:val="20"/>
        </w:rPr>
        <w:t>on the basis of</w:t>
      </w:r>
      <w:proofErr w:type="gramEnd"/>
      <w:r w:rsidRPr="00731419">
        <w:rPr>
          <w:rFonts w:eastAsia="Times New Roman" w:cs="Arial"/>
          <w:sz w:val="20"/>
          <w:szCs w:val="20"/>
        </w:rPr>
        <w:t xml:space="preserve"> that assessment, determines what weight to put on it.  That may be a procedurally fair approach, though it may still be unreasonable if the Committee’s determination does not stack up </w:t>
      </w:r>
      <w:proofErr w:type="gramStart"/>
      <w:r w:rsidRPr="00731419">
        <w:rPr>
          <w:rFonts w:eastAsia="Times New Roman" w:cs="Arial"/>
          <w:sz w:val="20"/>
          <w:szCs w:val="20"/>
        </w:rPr>
        <w:t>in light of</w:t>
      </w:r>
      <w:proofErr w:type="gramEnd"/>
      <w:r w:rsidRPr="00731419">
        <w:rPr>
          <w:rFonts w:eastAsia="Times New Roman" w:cs="Arial"/>
          <w:sz w:val="20"/>
          <w:szCs w:val="20"/>
        </w:rPr>
        <w:t xml:space="preserve"> the evidence available.</w:t>
      </w:r>
    </w:p>
    <w:p w14:paraId="39A5E3E1" w14:textId="77777777" w:rsidR="00731419" w:rsidRPr="00731419" w:rsidRDefault="00731419" w:rsidP="00AF129A">
      <w:pPr>
        <w:ind w:left="1004"/>
        <w:contextualSpacing/>
        <w:jc w:val="both"/>
        <w:rPr>
          <w:rFonts w:eastAsia="Times New Roman" w:cs="Arial"/>
          <w:sz w:val="20"/>
          <w:szCs w:val="20"/>
        </w:rPr>
      </w:pPr>
    </w:p>
    <w:p w14:paraId="2C2405A8" w14:textId="77777777" w:rsidR="00731419" w:rsidRPr="00731419" w:rsidRDefault="00731419" w:rsidP="00AF129A">
      <w:pPr>
        <w:numPr>
          <w:ilvl w:val="0"/>
          <w:numId w:val="9"/>
        </w:numPr>
        <w:ind w:left="1004"/>
        <w:contextualSpacing/>
        <w:jc w:val="both"/>
        <w:rPr>
          <w:rFonts w:eastAsia="Times New Roman" w:cs="Arial"/>
          <w:sz w:val="20"/>
          <w:szCs w:val="20"/>
        </w:rPr>
      </w:pPr>
      <w:r w:rsidRPr="00731419">
        <w:rPr>
          <w:rFonts w:eastAsia="Times New Roman" w:cs="Arial"/>
          <w:sz w:val="20"/>
          <w:szCs w:val="20"/>
        </w:rPr>
        <w:t xml:space="preserve">The second scenario is one where the Committee fails fundamentally to take adequate steps to appraise, understand and give due consideration to the evidence before it – in other words to dismiss certain evidence in a cursory or over-conclusory way.  For obvious reasons, this is often linked to a failure of a public body to provide stakeholders with intelligent and intelligible explanation for the approach it has taken.  Both would be procedurally unfair.  </w:t>
      </w:r>
    </w:p>
    <w:p w14:paraId="7CF9CC7A" w14:textId="77777777" w:rsidR="00731419" w:rsidRPr="00731419" w:rsidRDefault="00731419" w:rsidP="00AF129A">
      <w:pPr>
        <w:jc w:val="both"/>
        <w:rPr>
          <w:rFonts w:eastAsia="Times New Roman" w:cs="Arial"/>
          <w:sz w:val="20"/>
          <w:szCs w:val="20"/>
        </w:rPr>
      </w:pPr>
    </w:p>
    <w:p w14:paraId="16266B58"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t xml:space="preserve">We consider this appeal point falls squarely under the second scenario and not the first (as your letter suggests).  </w:t>
      </w:r>
    </w:p>
    <w:p w14:paraId="5AF0CEBB" w14:textId="77777777" w:rsidR="00731419" w:rsidRPr="00731419" w:rsidRDefault="00731419" w:rsidP="00AF129A">
      <w:pPr>
        <w:jc w:val="both"/>
        <w:rPr>
          <w:rFonts w:eastAsia="Times New Roman" w:cs="Arial"/>
          <w:sz w:val="20"/>
          <w:szCs w:val="20"/>
        </w:rPr>
      </w:pPr>
    </w:p>
    <w:p w14:paraId="6337CBE0"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t>As stated in our Appeal Letter, the Guidance Manual makes clear that NICE must carry out a “</w:t>
      </w:r>
      <w:r w:rsidRPr="00731419">
        <w:rPr>
          <w:rFonts w:eastAsia="Times New Roman" w:cs="Arial"/>
          <w:i/>
          <w:iCs/>
          <w:sz w:val="20"/>
          <w:szCs w:val="20"/>
        </w:rPr>
        <w:t>systematic</w:t>
      </w:r>
      <w:r w:rsidRPr="00731419">
        <w:rPr>
          <w:rFonts w:eastAsia="Times New Roman" w:cs="Arial"/>
          <w:sz w:val="20"/>
          <w:szCs w:val="20"/>
        </w:rPr>
        <w:t>” review of “</w:t>
      </w:r>
      <w:r w:rsidRPr="00731419">
        <w:rPr>
          <w:rFonts w:eastAsia="Times New Roman" w:cs="Arial"/>
          <w:i/>
          <w:iCs/>
          <w:sz w:val="20"/>
          <w:szCs w:val="20"/>
        </w:rPr>
        <w:t>all available and relevant</w:t>
      </w:r>
      <w:r w:rsidRPr="00731419">
        <w:rPr>
          <w:rFonts w:eastAsia="Times New Roman" w:cs="Arial"/>
          <w:sz w:val="20"/>
          <w:szCs w:val="20"/>
        </w:rPr>
        <w:t>” evidence, and that this should be critically appraised (Paragraph 3.3.4).</w:t>
      </w:r>
    </w:p>
    <w:p w14:paraId="6E953873" w14:textId="77777777" w:rsidR="00731419" w:rsidRPr="00731419" w:rsidRDefault="00731419" w:rsidP="00AF129A">
      <w:pPr>
        <w:jc w:val="both"/>
        <w:rPr>
          <w:rFonts w:eastAsia="Times New Roman" w:cs="Arial"/>
          <w:sz w:val="20"/>
          <w:szCs w:val="20"/>
        </w:rPr>
      </w:pPr>
    </w:p>
    <w:p w14:paraId="6DA37914" w14:textId="77777777" w:rsidR="00731419" w:rsidRPr="00731419" w:rsidRDefault="00731419" w:rsidP="00AF129A">
      <w:pPr>
        <w:rPr>
          <w:rFonts w:eastAsia="Times New Roman" w:cs="Arial"/>
          <w:sz w:val="20"/>
          <w:szCs w:val="20"/>
        </w:rPr>
      </w:pPr>
      <w:r w:rsidRPr="00731419">
        <w:rPr>
          <w:rFonts w:eastAsia="Times New Roman" w:cs="Arial"/>
          <w:sz w:val="20"/>
          <w:szCs w:val="20"/>
        </w:rPr>
        <w:t xml:space="preserve">This aligns with NICE’s duties under public law, under which a decision-maker must recognize its responsibility to perform an adequate review of the evidence, to “properly” consider the evidence available to it, and not to dismiss evidence out of hand without adequate review or </w:t>
      </w:r>
      <w:bookmarkStart w:id="0" w:name="_Hlk201262993"/>
      <w:r w:rsidRPr="00731419">
        <w:rPr>
          <w:rFonts w:eastAsia="Times New Roman" w:cs="Arial"/>
          <w:sz w:val="20"/>
          <w:szCs w:val="20"/>
        </w:rPr>
        <w:t xml:space="preserve">“intelligent” and </w:t>
      </w:r>
      <w:r w:rsidRPr="00731419">
        <w:rPr>
          <w:rFonts w:eastAsia="Times New Roman" w:cs="Arial"/>
          <w:sz w:val="20"/>
          <w:szCs w:val="20"/>
          <w:lang w:val="en-GB"/>
        </w:rPr>
        <w:t>“</w:t>
      </w:r>
      <w:r w:rsidRPr="00731419">
        <w:rPr>
          <w:rFonts w:eastAsia="Times New Roman" w:cs="Arial"/>
          <w:sz w:val="20"/>
          <w:szCs w:val="20"/>
        </w:rPr>
        <w:t xml:space="preserve">intelligible” </w:t>
      </w:r>
      <w:bookmarkEnd w:id="0"/>
      <w:r w:rsidRPr="00731419">
        <w:rPr>
          <w:rFonts w:eastAsia="Times New Roman" w:cs="Arial"/>
          <w:sz w:val="20"/>
          <w:szCs w:val="20"/>
        </w:rPr>
        <w:t xml:space="preserve">justification.  </w:t>
      </w:r>
    </w:p>
    <w:p w14:paraId="3368E449" w14:textId="77777777" w:rsidR="00731419" w:rsidRPr="00731419" w:rsidRDefault="00731419" w:rsidP="00AF129A">
      <w:pPr>
        <w:rPr>
          <w:rFonts w:eastAsia="Times New Roman" w:cs="Arial"/>
          <w:sz w:val="20"/>
          <w:szCs w:val="20"/>
        </w:rPr>
      </w:pPr>
    </w:p>
    <w:p w14:paraId="5A0A8D46" w14:textId="77777777" w:rsidR="00731419" w:rsidRPr="00731419" w:rsidRDefault="00731419" w:rsidP="00AF129A">
      <w:pPr>
        <w:rPr>
          <w:rFonts w:eastAsia="Times New Roman" w:cs="Arial"/>
          <w:sz w:val="20"/>
          <w:szCs w:val="20"/>
        </w:rPr>
      </w:pPr>
      <w:r w:rsidRPr="00731419">
        <w:rPr>
          <w:rFonts w:eastAsia="Times New Roman" w:cs="Arial"/>
          <w:sz w:val="20"/>
          <w:szCs w:val="20"/>
        </w:rPr>
        <w:t>Where a decision-maker consults with affected parties and asks them to submit evidence (as NICE does in an HTA), the decision-maker cannot already have “</w:t>
      </w:r>
      <w:r w:rsidRPr="00731419">
        <w:rPr>
          <w:rFonts w:eastAsia="Times New Roman" w:cs="Arial"/>
          <w:i/>
          <w:iCs/>
          <w:sz w:val="20"/>
          <w:szCs w:val="20"/>
        </w:rPr>
        <w:t>made up its mind</w:t>
      </w:r>
      <w:r w:rsidRPr="00731419">
        <w:rPr>
          <w:rFonts w:eastAsia="Times New Roman" w:cs="Arial"/>
          <w:sz w:val="20"/>
          <w:szCs w:val="20"/>
        </w:rPr>
        <w:t>.”</w:t>
      </w:r>
      <w:r w:rsidRPr="00731419">
        <w:rPr>
          <w:rFonts w:eastAsia="Times New Roman" w:cs="Arial"/>
          <w:sz w:val="20"/>
          <w:szCs w:val="20"/>
          <w:vertAlign w:val="superscript"/>
        </w:rPr>
        <w:footnoteReference w:id="2"/>
      </w:r>
      <w:r w:rsidRPr="00731419">
        <w:rPr>
          <w:rFonts w:eastAsia="Times New Roman" w:cs="Arial"/>
          <w:sz w:val="20"/>
          <w:szCs w:val="20"/>
        </w:rPr>
        <w:t xml:space="preserve">  The substance of a submission “</w:t>
      </w:r>
      <w:r w:rsidRPr="00731419">
        <w:rPr>
          <w:rFonts w:eastAsia="Times New Roman" w:cs="Arial"/>
          <w:i/>
          <w:iCs/>
          <w:sz w:val="20"/>
          <w:szCs w:val="20"/>
        </w:rPr>
        <w:t>must be evaluated intelligently and intelligent and intelligible responses must be given</w:t>
      </w:r>
      <w:r w:rsidRPr="00731419">
        <w:rPr>
          <w:rFonts w:eastAsia="Times New Roman" w:cs="Arial"/>
          <w:sz w:val="20"/>
          <w:szCs w:val="20"/>
        </w:rPr>
        <w:t>.”</w:t>
      </w:r>
      <w:r w:rsidRPr="00731419">
        <w:rPr>
          <w:rFonts w:eastAsia="Times New Roman" w:cs="Arial"/>
          <w:sz w:val="20"/>
          <w:szCs w:val="20"/>
          <w:vertAlign w:val="superscript"/>
        </w:rPr>
        <w:footnoteReference w:id="3"/>
      </w:r>
      <w:r w:rsidRPr="00731419">
        <w:rPr>
          <w:rFonts w:eastAsia="Times New Roman" w:cs="Arial"/>
          <w:sz w:val="20"/>
          <w:szCs w:val="20"/>
        </w:rPr>
        <w:t xml:space="preserve">  In other words, the evidence requires intelligent consideration, with an intelligent and intelligible rationale supporting the treatment of that evidence by the decision-maker.</w:t>
      </w:r>
    </w:p>
    <w:p w14:paraId="61DA9E94" w14:textId="77777777" w:rsidR="00731419" w:rsidRPr="00731419" w:rsidRDefault="00731419" w:rsidP="00AF129A">
      <w:pPr>
        <w:jc w:val="both"/>
        <w:rPr>
          <w:rFonts w:eastAsia="Times New Roman" w:cs="Arial"/>
          <w:sz w:val="20"/>
          <w:szCs w:val="20"/>
        </w:rPr>
      </w:pPr>
    </w:p>
    <w:p w14:paraId="1B02800A" w14:textId="77777777" w:rsidR="00731419" w:rsidRPr="00731419" w:rsidRDefault="00731419" w:rsidP="00AF129A">
      <w:pPr>
        <w:jc w:val="both"/>
        <w:rPr>
          <w:rFonts w:eastAsia="Times New Roman" w:cs="Arial"/>
          <w:sz w:val="20"/>
          <w:szCs w:val="20"/>
        </w:rPr>
      </w:pPr>
      <w:bookmarkStart w:id="1" w:name="_Hlk201263202"/>
      <w:r w:rsidRPr="00731419">
        <w:rPr>
          <w:rFonts w:eastAsia="Times New Roman" w:cs="Arial"/>
          <w:sz w:val="20"/>
          <w:szCs w:val="20"/>
        </w:rPr>
        <w:t xml:space="preserve">NICE must comply with these obligations in substance, and not only in form.  It is not sufficient for a decision maker to say it has considered submissions – it must demonstrate that it has complied in with its obligations and performed a proper and adequate assessment and provide a proper and adequate </w:t>
      </w:r>
      <w:r w:rsidRPr="00731419">
        <w:rPr>
          <w:rFonts w:eastAsia="Times New Roman" w:cs="Arial"/>
          <w:sz w:val="20"/>
          <w:szCs w:val="20"/>
          <w:lang w:val="en-GB"/>
        </w:rPr>
        <w:t>explanation for its chosen approach</w:t>
      </w:r>
      <w:r w:rsidRPr="00731419">
        <w:rPr>
          <w:rFonts w:eastAsia="Times New Roman" w:cs="Arial"/>
          <w:sz w:val="20"/>
          <w:szCs w:val="20"/>
        </w:rPr>
        <w:t>.</w:t>
      </w:r>
      <w:bookmarkEnd w:id="1"/>
    </w:p>
    <w:p w14:paraId="49F6C52A" w14:textId="77777777" w:rsidR="00731419" w:rsidRPr="00731419" w:rsidRDefault="00731419" w:rsidP="00AF129A">
      <w:pPr>
        <w:jc w:val="both"/>
        <w:rPr>
          <w:rFonts w:eastAsia="Times New Roman" w:cs="Arial"/>
          <w:sz w:val="20"/>
          <w:szCs w:val="20"/>
        </w:rPr>
      </w:pPr>
    </w:p>
    <w:p w14:paraId="1AF6CBAE"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t xml:space="preserve">While we accept that it is for the Appraisal Committee to consider what weight it attaches to evidence, there have been numerous successful appeals </w:t>
      </w:r>
      <w:proofErr w:type="gramStart"/>
      <w:r w:rsidRPr="00731419">
        <w:rPr>
          <w:rFonts w:eastAsia="Times New Roman" w:cs="Arial"/>
          <w:sz w:val="20"/>
          <w:szCs w:val="20"/>
        </w:rPr>
        <w:t>on the basis of</w:t>
      </w:r>
      <w:proofErr w:type="gramEnd"/>
      <w:r w:rsidRPr="00731419">
        <w:rPr>
          <w:rFonts w:eastAsia="Times New Roman" w:cs="Arial"/>
          <w:sz w:val="20"/>
          <w:szCs w:val="20"/>
        </w:rPr>
        <w:t xml:space="preserve"> the Appraisal Committee failing to properly consider stakeholder submissions. These were where the failure was material and led to unfairness or unjustified recommendations, and where the Appeal Panel concluded that the Appraisal Committee did not engage seriously with company submissions.</w:t>
      </w:r>
    </w:p>
    <w:p w14:paraId="08F08983" w14:textId="77777777" w:rsidR="00731419" w:rsidRPr="00731419" w:rsidRDefault="00731419" w:rsidP="00AF129A">
      <w:pPr>
        <w:jc w:val="both"/>
        <w:rPr>
          <w:rFonts w:eastAsia="Times New Roman" w:cs="Arial"/>
          <w:sz w:val="20"/>
          <w:szCs w:val="20"/>
        </w:rPr>
      </w:pPr>
    </w:p>
    <w:p w14:paraId="0ED81C04"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t>The essence of our argument is that the Appraisal Committee failed to meet this requirement as a matter of substance, resulting in procedural unfairness.</w:t>
      </w:r>
    </w:p>
    <w:p w14:paraId="13B78C7D" w14:textId="77777777" w:rsidR="00731419" w:rsidRPr="00731419" w:rsidRDefault="00731419" w:rsidP="00AF129A">
      <w:pPr>
        <w:jc w:val="both"/>
        <w:rPr>
          <w:rFonts w:eastAsia="Times New Roman" w:cs="Arial"/>
          <w:sz w:val="20"/>
          <w:szCs w:val="20"/>
        </w:rPr>
      </w:pPr>
    </w:p>
    <w:p w14:paraId="03955262"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lastRenderedPageBreak/>
        <w:t>In Paragraph 3.7, the Committee reaches the overall conclusion that “</w:t>
      </w:r>
      <w:r w:rsidRPr="00731419">
        <w:rPr>
          <w:rFonts w:eastAsia="Times New Roman" w:cs="Arial"/>
          <w:i/>
          <w:iCs/>
          <w:sz w:val="20"/>
          <w:szCs w:val="20"/>
        </w:rPr>
        <w:t>the results of the MAIC were highly uncertain</w:t>
      </w:r>
      <w:r w:rsidRPr="00731419">
        <w:rPr>
          <w:rFonts w:eastAsia="Times New Roman" w:cs="Arial"/>
          <w:sz w:val="20"/>
          <w:szCs w:val="20"/>
        </w:rPr>
        <w:t>.”  As a result, the Committee held Regeneron’s evidence to be not “</w:t>
      </w:r>
      <w:r w:rsidRPr="00731419">
        <w:rPr>
          <w:rFonts w:eastAsia="Times New Roman" w:cs="Arial"/>
          <w:i/>
          <w:iCs/>
          <w:sz w:val="20"/>
          <w:szCs w:val="20"/>
        </w:rPr>
        <w:t>reliable</w:t>
      </w:r>
      <w:r w:rsidRPr="00731419">
        <w:rPr>
          <w:rFonts w:eastAsia="Times New Roman" w:cs="Arial"/>
          <w:sz w:val="20"/>
          <w:szCs w:val="20"/>
        </w:rPr>
        <w:t>” or “</w:t>
      </w:r>
      <w:r w:rsidRPr="00731419">
        <w:rPr>
          <w:rFonts w:eastAsia="Times New Roman" w:cs="Arial"/>
          <w:i/>
          <w:iCs/>
          <w:sz w:val="20"/>
          <w:szCs w:val="20"/>
        </w:rPr>
        <w:t>robust</w:t>
      </w:r>
      <w:r w:rsidRPr="00731419">
        <w:rPr>
          <w:rFonts w:eastAsia="Times New Roman" w:cs="Arial"/>
          <w:sz w:val="20"/>
          <w:szCs w:val="20"/>
        </w:rPr>
        <w:t>” enough (Paragraph 3.8).  In Paragraph 3.17, the Committee concludes that because of these “</w:t>
      </w:r>
      <w:r w:rsidRPr="00731419">
        <w:rPr>
          <w:rFonts w:eastAsia="Times New Roman" w:cs="Arial"/>
          <w:i/>
          <w:iCs/>
          <w:sz w:val="20"/>
          <w:szCs w:val="20"/>
        </w:rPr>
        <w:t>critical uncertainties, and because it had not been presented with the analysis needed to define its preferences, the committee concluded that the available cost-effectiveness estimates were not suitable for decision making</w:t>
      </w:r>
      <w:r w:rsidRPr="00731419">
        <w:rPr>
          <w:rFonts w:eastAsia="Times New Roman" w:cs="Arial"/>
          <w:sz w:val="20"/>
          <w:szCs w:val="20"/>
        </w:rPr>
        <w:t>.”</w:t>
      </w:r>
    </w:p>
    <w:p w14:paraId="12862B35" w14:textId="77777777" w:rsidR="00731419" w:rsidRPr="00731419" w:rsidRDefault="00731419" w:rsidP="00AF129A">
      <w:pPr>
        <w:jc w:val="both"/>
        <w:rPr>
          <w:rFonts w:eastAsia="Times New Roman" w:cs="Arial"/>
          <w:sz w:val="20"/>
          <w:szCs w:val="20"/>
        </w:rPr>
      </w:pPr>
    </w:p>
    <w:p w14:paraId="40344D2C"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t xml:space="preserve">We submit this is an extreme position for an Appraisal Committee to take.  In effect, it says that the MAIC analyses were hampered by such a high degree of uncertainty that they preclude further consideration with respect to informing an assessment of cost-effectiveness.  This is not a question of giving </w:t>
      </w:r>
      <w:proofErr w:type="gramStart"/>
      <w:r w:rsidRPr="00731419">
        <w:rPr>
          <w:rFonts w:eastAsia="Times New Roman" w:cs="Arial"/>
          <w:sz w:val="20"/>
          <w:szCs w:val="20"/>
        </w:rPr>
        <w:t>more or less weight</w:t>
      </w:r>
      <w:proofErr w:type="gramEnd"/>
      <w:r w:rsidRPr="00731419">
        <w:rPr>
          <w:rFonts w:eastAsia="Times New Roman" w:cs="Arial"/>
          <w:sz w:val="20"/>
          <w:szCs w:val="20"/>
        </w:rPr>
        <w:t xml:space="preserve">, it amounts to allocating no, or virtually no, weight to that evidence.  It is a </w:t>
      </w:r>
      <w:r w:rsidRPr="00731419">
        <w:rPr>
          <w:rFonts w:eastAsia="Times New Roman" w:cs="Arial"/>
          <w:i/>
          <w:iCs/>
          <w:sz w:val="20"/>
          <w:szCs w:val="20"/>
        </w:rPr>
        <w:t>de facto</w:t>
      </w:r>
      <w:r w:rsidRPr="00731419">
        <w:rPr>
          <w:rFonts w:eastAsia="Times New Roman" w:cs="Arial"/>
          <w:sz w:val="20"/>
          <w:szCs w:val="20"/>
        </w:rPr>
        <w:t xml:space="preserve"> dismissal of the data.  That is not unfair </w:t>
      </w:r>
      <w:r w:rsidRPr="00731419">
        <w:rPr>
          <w:rFonts w:eastAsia="Times New Roman" w:cs="Arial"/>
          <w:i/>
          <w:iCs/>
          <w:sz w:val="20"/>
          <w:szCs w:val="20"/>
        </w:rPr>
        <w:t>per se</w:t>
      </w:r>
      <w:r w:rsidRPr="00731419">
        <w:rPr>
          <w:rFonts w:eastAsia="Times New Roman" w:cs="Arial"/>
          <w:sz w:val="20"/>
          <w:szCs w:val="20"/>
        </w:rPr>
        <w:t xml:space="preserve">.  However, to reach such a sweeping conclusion fairly -- given NICE’s obligations noted above – requires (a) demonstrating that NICE has adequately and intelligently considered the evidence; and (b) providing a valid, objective and proper justification.  </w:t>
      </w:r>
    </w:p>
    <w:p w14:paraId="31815E50" w14:textId="77777777" w:rsidR="00731419" w:rsidRPr="00731419" w:rsidRDefault="00731419" w:rsidP="00AF129A">
      <w:pPr>
        <w:jc w:val="both"/>
        <w:rPr>
          <w:rFonts w:eastAsia="Times New Roman" w:cs="Arial"/>
          <w:sz w:val="20"/>
          <w:szCs w:val="20"/>
        </w:rPr>
      </w:pPr>
    </w:p>
    <w:p w14:paraId="4B0BE7EC"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t xml:space="preserve">The </w:t>
      </w:r>
      <w:proofErr w:type="gramStart"/>
      <w:r w:rsidRPr="00731419">
        <w:rPr>
          <w:rFonts w:eastAsia="Times New Roman" w:cs="Arial"/>
          <w:sz w:val="20"/>
          <w:szCs w:val="20"/>
        </w:rPr>
        <w:t>FDG  --</w:t>
      </w:r>
      <w:proofErr w:type="gramEnd"/>
      <w:r w:rsidRPr="00731419">
        <w:rPr>
          <w:rFonts w:eastAsia="Times New Roman" w:cs="Arial"/>
          <w:sz w:val="20"/>
          <w:szCs w:val="20"/>
        </w:rPr>
        <w:t xml:space="preserve"> and </w:t>
      </w:r>
      <w:proofErr w:type="gramStart"/>
      <w:r w:rsidRPr="00731419">
        <w:rPr>
          <w:rFonts w:eastAsia="Times New Roman" w:cs="Arial"/>
          <w:sz w:val="20"/>
          <w:szCs w:val="20"/>
        </w:rPr>
        <w:t>in particular Paragraph</w:t>
      </w:r>
      <w:proofErr w:type="gramEnd"/>
      <w:r w:rsidRPr="00731419">
        <w:rPr>
          <w:rFonts w:eastAsia="Times New Roman" w:cs="Arial"/>
          <w:sz w:val="20"/>
          <w:szCs w:val="20"/>
        </w:rPr>
        <w:t xml:space="preserve"> 3.</w:t>
      </w:r>
      <w:r w:rsidRPr="00731419" w:rsidDel="00B554F6">
        <w:rPr>
          <w:rFonts w:eastAsia="Times New Roman" w:cs="Arial"/>
          <w:sz w:val="20"/>
          <w:szCs w:val="20"/>
        </w:rPr>
        <w:t xml:space="preserve"> </w:t>
      </w:r>
      <w:r w:rsidRPr="00731419">
        <w:rPr>
          <w:rFonts w:eastAsia="Times New Roman" w:cs="Arial"/>
          <w:sz w:val="20"/>
          <w:szCs w:val="20"/>
        </w:rPr>
        <w:t>7 -- lacks any such explanation or justification.  With this in mind, we strongly disagree with your initial view that Paragraph 3.7 of the FDG shows that the Committee had “</w:t>
      </w:r>
      <w:r w:rsidRPr="00731419">
        <w:rPr>
          <w:rFonts w:eastAsia="Times New Roman" w:cs="Arial"/>
          <w:i/>
          <w:iCs/>
          <w:sz w:val="20"/>
          <w:szCs w:val="20"/>
        </w:rPr>
        <w:t xml:space="preserve">considered and understood the </w:t>
      </w:r>
      <w:proofErr w:type="gramStart"/>
      <w:r w:rsidRPr="00731419">
        <w:rPr>
          <w:rFonts w:eastAsia="Times New Roman" w:cs="Arial"/>
          <w:i/>
          <w:iCs/>
          <w:sz w:val="20"/>
          <w:szCs w:val="20"/>
        </w:rPr>
        <w:t>evidence, and</w:t>
      </w:r>
      <w:proofErr w:type="gramEnd"/>
      <w:r w:rsidRPr="00731419">
        <w:rPr>
          <w:rFonts w:eastAsia="Times New Roman" w:cs="Arial"/>
          <w:i/>
          <w:iCs/>
          <w:sz w:val="20"/>
          <w:szCs w:val="20"/>
        </w:rPr>
        <w:t xml:space="preserve"> reached its own view of its value and limitations.</w:t>
      </w:r>
      <w:r w:rsidRPr="00731419">
        <w:rPr>
          <w:rFonts w:eastAsia="Times New Roman" w:cs="Arial"/>
          <w:sz w:val="20"/>
          <w:szCs w:val="20"/>
        </w:rPr>
        <w:t>”  In fact, the imprecision of Paragraph 3.7, the summary nature of its conclusions, and the absence of structured explanation are clear indicators that the Committee failed to engage with or properly understand the MAIC-data presented to it.</w:t>
      </w:r>
    </w:p>
    <w:p w14:paraId="22CD1FCE" w14:textId="77777777" w:rsidR="00731419" w:rsidRPr="00731419" w:rsidRDefault="00731419" w:rsidP="00AF129A">
      <w:pPr>
        <w:jc w:val="both"/>
        <w:rPr>
          <w:rFonts w:eastAsia="Times New Roman" w:cs="Arial"/>
          <w:sz w:val="20"/>
          <w:szCs w:val="20"/>
        </w:rPr>
      </w:pPr>
    </w:p>
    <w:p w14:paraId="3249D7DC"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t>In particular:</w:t>
      </w:r>
    </w:p>
    <w:p w14:paraId="55EAEB56" w14:textId="77777777" w:rsidR="00731419" w:rsidRPr="00731419" w:rsidRDefault="00731419" w:rsidP="00AF129A">
      <w:pPr>
        <w:jc w:val="both"/>
        <w:rPr>
          <w:rFonts w:eastAsia="Times New Roman" w:cs="Arial"/>
          <w:sz w:val="20"/>
          <w:szCs w:val="20"/>
        </w:rPr>
      </w:pPr>
    </w:p>
    <w:p w14:paraId="305328F8" w14:textId="77777777" w:rsidR="00731419" w:rsidRPr="00731419" w:rsidRDefault="00731419" w:rsidP="00AF129A">
      <w:pPr>
        <w:numPr>
          <w:ilvl w:val="0"/>
          <w:numId w:val="3"/>
        </w:numPr>
        <w:ind w:left="1004"/>
        <w:contextualSpacing/>
        <w:jc w:val="both"/>
        <w:rPr>
          <w:rFonts w:eastAsia="Times New Roman" w:cs="Arial"/>
          <w:sz w:val="20"/>
          <w:szCs w:val="20"/>
        </w:rPr>
      </w:pPr>
      <w:r w:rsidRPr="00731419">
        <w:rPr>
          <w:rFonts w:eastAsia="Times New Roman" w:cs="Arial"/>
          <w:sz w:val="20"/>
          <w:szCs w:val="20"/>
        </w:rPr>
        <w:t xml:space="preserve">Rather than a structured argument, the first two pages of Paragraph 3.7 largely </w:t>
      </w:r>
      <w:proofErr w:type="gramStart"/>
      <w:r w:rsidRPr="00731419">
        <w:rPr>
          <w:rFonts w:eastAsia="Times New Roman" w:cs="Arial"/>
          <w:sz w:val="20"/>
          <w:szCs w:val="20"/>
        </w:rPr>
        <w:t>comprises</w:t>
      </w:r>
      <w:proofErr w:type="gramEnd"/>
      <w:r w:rsidRPr="00731419">
        <w:rPr>
          <w:rFonts w:eastAsia="Times New Roman" w:cs="Arial"/>
          <w:sz w:val="20"/>
          <w:szCs w:val="20"/>
        </w:rPr>
        <w:t xml:space="preserve"> a description of the process by which the company prepared and submitted the MAIC-driven PFS data.  As we note above, NICE must meet its obligations in substance </w:t>
      </w:r>
      <w:proofErr w:type="gramStart"/>
      <w:r w:rsidRPr="00731419">
        <w:rPr>
          <w:rFonts w:eastAsia="Times New Roman" w:cs="Arial"/>
          <w:sz w:val="20"/>
          <w:szCs w:val="20"/>
        </w:rPr>
        <w:t>not form</w:t>
      </w:r>
      <w:proofErr w:type="gramEnd"/>
      <w:r w:rsidRPr="00731419">
        <w:rPr>
          <w:rFonts w:eastAsia="Times New Roman" w:cs="Arial"/>
          <w:sz w:val="20"/>
          <w:szCs w:val="20"/>
        </w:rPr>
        <w:t>.</w:t>
      </w:r>
    </w:p>
    <w:p w14:paraId="01578D10" w14:textId="77777777" w:rsidR="00731419" w:rsidRPr="00731419" w:rsidRDefault="00731419" w:rsidP="00AF129A">
      <w:pPr>
        <w:ind w:left="1004"/>
        <w:contextualSpacing/>
        <w:jc w:val="both"/>
        <w:rPr>
          <w:rFonts w:eastAsia="Times New Roman" w:cs="Arial"/>
          <w:sz w:val="20"/>
          <w:szCs w:val="20"/>
        </w:rPr>
      </w:pPr>
    </w:p>
    <w:p w14:paraId="16CB3F8F" w14:textId="77777777" w:rsidR="00731419" w:rsidRPr="00731419" w:rsidRDefault="00731419" w:rsidP="00AF129A">
      <w:pPr>
        <w:numPr>
          <w:ilvl w:val="0"/>
          <w:numId w:val="3"/>
        </w:numPr>
        <w:ind w:left="1004"/>
        <w:contextualSpacing/>
        <w:jc w:val="both"/>
        <w:rPr>
          <w:rFonts w:eastAsia="Times New Roman" w:cs="Arial"/>
          <w:sz w:val="20"/>
          <w:szCs w:val="20"/>
        </w:rPr>
      </w:pPr>
      <w:r w:rsidRPr="00731419">
        <w:rPr>
          <w:rFonts w:eastAsia="Times New Roman" w:cs="Arial"/>
          <w:sz w:val="20"/>
          <w:szCs w:val="20"/>
        </w:rPr>
        <w:t xml:space="preserve">Paragraph 3.7 makes no positive attempt to engage with the MAIC-driven PFS analysis submitted – </w:t>
      </w:r>
      <w:r w:rsidRPr="00731419">
        <w:rPr>
          <w:rFonts w:eastAsia="Times New Roman" w:cs="Arial"/>
          <w:i/>
          <w:iCs/>
          <w:sz w:val="20"/>
          <w:szCs w:val="20"/>
        </w:rPr>
        <w:t>i.e.,</w:t>
      </w:r>
      <w:r w:rsidRPr="00731419">
        <w:rPr>
          <w:rFonts w:eastAsia="Times New Roman" w:cs="Arial"/>
          <w:sz w:val="20"/>
          <w:szCs w:val="20"/>
        </w:rPr>
        <w:t xml:space="preserve"> to address what the data show, or could show, and critically appraise the value of that.  In our view, this indicates that the Committee either did not, or chose not to, engage with and understand the MAIC analyses appropriately.  </w:t>
      </w:r>
    </w:p>
    <w:p w14:paraId="0E5212E4" w14:textId="77777777" w:rsidR="00731419" w:rsidRPr="00731419" w:rsidRDefault="00731419" w:rsidP="00AF129A">
      <w:pPr>
        <w:jc w:val="both"/>
        <w:rPr>
          <w:rFonts w:eastAsia="Times New Roman" w:cs="Arial"/>
          <w:sz w:val="20"/>
          <w:szCs w:val="20"/>
        </w:rPr>
      </w:pPr>
    </w:p>
    <w:p w14:paraId="7DAB6DCF" w14:textId="77777777" w:rsidR="00731419" w:rsidRPr="00731419" w:rsidRDefault="00731419" w:rsidP="00AF129A">
      <w:pPr>
        <w:numPr>
          <w:ilvl w:val="0"/>
          <w:numId w:val="3"/>
        </w:numPr>
        <w:ind w:left="1004"/>
        <w:contextualSpacing/>
        <w:jc w:val="both"/>
        <w:rPr>
          <w:rFonts w:eastAsia="Times New Roman" w:cs="Arial"/>
          <w:sz w:val="20"/>
          <w:szCs w:val="20"/>
        </w:rPr>
      </w:pPr>
      <w:r w:rsidRPr="00731419">
        <w:rPr>
          <w:rFonts w:eastAsia="Times New Roman" w:cs="Arial"/>
          <w:sz w:val="20"/>
          <w:szCs w:val="20"/>
        </w:rPr>
        <w:t>Various statements evidence a fundamental misunderstanding of the data submitted</w:t>
      </w:r>
      <w:bookmarkStart w:id="2" w:name="_Hlk201263394"/>
      <w:r w:rsidRPr="00731419">
        <w:rPr>
          <w:rFonts w:eastAsia="Times New Roman" w:cs="Arial"/>
          <w:sz w:val="20"/>
          <w:szCs w:val="20"/>
        </w:rPr>
        <w:t>, which surely evidence a lack of proper engagement with, and consideration of, the substance of Regeneron’s submissions</w:t>
      </w:r>
      <w:bookmarkEnd w:id="2"/>
      <w:r w:rsidRPr="00731419">
        <w:rPr>
          <w:rFonts w:eastAsia="Times New Roman" w:cs="Arial"/>
          <w:sz w:val="20"/>
          <w:szCs w:val="20"/>
        </w:rPr>
        <w:t xml:space="preserve">.  In one such example: </w:t>
      </w:r>
    </w:p>
    <w:p w14:paraId="34A09081" w14:textId="77777777" w:rsidR="00731419" w:rsidRPr="00731419" w:rsidRDefault="00731419" w:rsidP="00AF129A">
      <w:pPr>
        <w:ind w:left="1004"/>
        <w:contextualSpacing/>
        <w:rPr>
          <w:rFonts w:eastAsia="Times New Roman" w:cs="Arial"/>
          <w:sz w:val="20"/>
          <w:szCs w:val="20"/>
        </w:rPr>
      </w:pPr>
    </w:p>
    <w:p w14:paraId="0ED46F1F" w14:textId="77777777" w:rsidR="00731419" w:rsidRPr="00731419" w:rsidRDefault="00731419" w:rsidP="00AF129A">
      <w:pPr>
        <w:ind w:left="1724"/>
        <w:contextualSpacing/>
        <w:jc w:val="both"/>
        <w:rPr>
          <w:rFonts w:eastAsia="Times New Roman" w:cs="Arial"/>
          <w:sz w:val="20"/>
          <w:szCs w:val="20"/>
        </w:rPr>
      </w:pPr>
      <w:r w:rsidRPr="00731419">
        <w:rPr>
          <w:rFonts w:eastAsia="Times New Roman" w:cs="Arial"/>
          <w:sz w:val="20"/>
          <w:szCs w:val="20"/>
        </w:rPr>
        <w:t>“</w:t>
      </w:r>
      <w:r w:rsidRPr="00731419">
        <w:rPr>
          <w:rFonts w:eastAsia="Times New Roman" w:cs="Arial"/>
          <w:i/>
          <w:iCs/>
          <w:sz w:val="20"/>
          <w:szCs w:val="20"/>
        </w:rPr>
        <w:t xml:space="preserve">The company acknowledged that EMPOWER Lung 3 was more </w:t>
      </w:r>
      <w:proofErr w:type="spellStart"/>
      <w:r w:rsidRPr="00731419">
        <w:rPr>
          <w:rFonts w:eastAsia="Times New Roman" w:cs="Arial"/>
          <w:i/>
          <w:iCs/>
          <w:sz w:val="20"/>
          <w:szCs w:val="20"/>
        </w:rPr>
        <w:t>generalisable</w:t>
      </w:r>
      <w:proofErr w:type="spellEnd"/>
      <w:r w:rsidRPr="00731419">
        <w:rPr>
          <w:rFonts w:eastAsia="Times New Roman" w:cs="Arial"/>
          <w:i/>
          <w:iCs/>
          <w:sz w:val="20"/>
          <w:szCs w:val="20"/>
        </w:rPr>
        <w:t xml:space="preserve"> to NHS clinical practice than the KEYNOTE trials because use of immunotherapy after progression in the placebo plus chemotherapy arm of the EMPOWER Lung 3 trial better reflected NHS practice.  The Committee was concerned that the relative treatment effect estimated by the MAICs may not have been </w:t>
      </w:r>
      <w:proofErr w:type="spellStart"/>
      <w:r w:rsidRPr="00731419">
        <w:rPr>
          <w:rFonts w:eastAsia="Times New Roman" w:cs="Arial"/>
          <w:i/>
          <w:iCs/>
          <w:sz w:val="20"/>
          <w:szCs w:val="20"/>
        </w:rPr>
        <w:t>generalisable</w:t>
      </w:r>
      <w:proofErr w:type="spellEnd"/>
      <w:r w:rsidRPr="00731419">
        <w:rPr>
          <w:rFonts w:eastAsia="Times New Roman" w:cs="Arial"/>
          <w:i/>
          <w:iCs/>
          <w:sz w:val="20"/>
          <w:szCs w:val="20"/>
        </w:rPr>
        <w:t xml:space="preserve"> to NHS clinical </w:t>
      </w:r>
      <w:proofErr w:type="gramStart"/>
      <w:r w:rsidRPr="00731419">
        <w:rPr>
          <w:rFonts w:eastAsia="Times New Roman" w:cs="Arial"/>
          <w:i/>
          <w:iCs/>
          <w:sz w:val="20"/>
          <w:szCs w:val="20"/>
        </w:rPr>
        <w:t>practice.”</w:t>
      </w:r>
      <w:proofErr w:type="gramEnd"/>
      <w:r w:rsidRPr="00731419">
        <w:rPr>
          <w:rFonts w:eastAsia="Times New Roman" w:cs="Arial"/>
          <w:sz w:val="20"/>
          <w:szCs w:val="20"/>
        </w:rPr>
        <w:t xml:space="preserve">  </w:t>
      </w:r>
    </w:p>
    <w:p w14:paraId="06B7ABF7" w14:textId="77777777" w:rsidR="00731419" w:rsidRPr="00731419" w:rsidRDefault="00731419" w:rsidP="00AF129A">
      <w:pPr>
        <w:ind w:left="1004"/>
        <w:contextualSpacing/>
        <w:jc w:val="both"/>
        <w:rPr>
          <w:rFonts w:eastAsia="Times New Roman" w:cs="Arial"/>
          <w:sz w:val="20"/>
          <w:szCs w:val="20"/>
        </w:rPr>
      </w:pPr>
    </w:p>
    <w:p w14:paraId="4F4CE2F2" w14:textId="77777777" w:rsidR="00731419" w:rsidRPr="00731419" w:rsidRDefault="00731419" w:rsidP="00AF129A">
      <w:pPr>
        <w:ind w:left="1004"/>
        <w:contextualSpacing/>
        <w:jc w:val="both"/>
        <w:rPr>
          <w:rFonts w:eastAsia="Times New Roman" w:cs="Arial"/>
          <w:sz w:val="20"/>
          <w:szCs w:val="20"/>
        </w:rPr>
      </w:pPr>
      <w:r w:rsidRPr="00731419">
        <w:rPr>
          <w:rFonts w:eastAsia="Times New Roman" w:cs="Arial"/>
          <w:sz w:val="20"/>
          <w:szCs w:val="20"/>
        </w:rPr>
        <w:t xml:space="preserve">That seems to fundamentally misunderstand that the PFS MAIC analyses are distinctly different analyses to the OS MAIC analyses.  As noted in the appeal letter, the uncertainties implied by this statement in the FDG could only relate to OS, and </w:t>
      </w:r>
      <w:proofErr w:type="gramStart"/>
      <w:r w:rsidRPr="00731419">
        <w:rPr>
          <w:rFonts w:eastAsia="Times New Roman" w:cs="Arial"/>
          <w:sz w:val="20"/>
          <w:szCs w:val="20"/>
        </w:rPr>
        <w:t>by definition could</w:t>
      </w:r>
      <w:proofErr w:type="gramEnd"/>
      <w:r w:rsidRPr="00731419">
        <w:rPr>
          <w:rFonts w:eastAsia="Times New Roman" w:cs="Arial"/>
          <w:sz w:val="20"/>
          <w:szCs w:val="20"/>
        </w:rPr>
        <w:t xml:space="preserve"> not relate to PFS.  Moreover, as noted in our appeal letter</w:t>
      </w:r>
      <w:proofErr w:type="gramStart"/>
      <w:r w:rsidRPr="00731419">
        <w:rPr>
          <w:rFonts w:eastAsia="Times New Roman" w:cs="Arial"/>
          <w:sz w:val="20"/>
          <w:szCs w:val="20"/>
        </w:rPr>
        <w:t>, the generalizability</w:t>
      </w:r>
      <w:proofErr w:type="gramEnd"/>
      <w:r w:rsidRPr="00731419">
        <w:rPr>
          <w:rFonts w:eastAsia="Times New Roman" w:cs="Arial"/>
          <w:sz w:val="20"/>
          <w:szCs w:val="20"/>
        </w:rPr>
        <w:t xml:space="preserve"> is no more than a side-issue to the overall appraisal.  It makes no sense for this to be a key reason cited for concluding that the MAIC data would not be considered further.</w:t>
      </w:r>
    </w:p>
    <w:p w14:paraId="53AB2AF1" w14:textId="77777777" w:rsidR="00731419" w:rsidRPr="00731419" w:rsidRDefault="00731419" w:rsidP="00AF129A">
      <w:pPr>
        <w:jc w:val="both"/>
        <w:rPr>
          <w:rFonts w:eastAsia="Times New Roman" w:cs="Arial"/>
          <w:sz w:val="20"/>
          <w:szCs w:val="20"/>
        </w:rPr>
      </w:pPr>
    </w:p>
    <w:p w14:paraId="689B2EE6" w14:textId="77777777" w:rsidR="00731419" w:rsidRPr="00731419" w:rsidRDefault="00731419" w:rsidP="00AF129A">
      <w:pPr>
        <w:numPr>
          <w:ilvl w:val="0"/>
          <w:numId w:val="3"/>
        </w:numPr>
        <w:ind w:left="1004"/>
        <w:contextualSpacing/>
        <w:jc w:val="both"/>
        <w:rPr>
          <w:rFonts w:eastAsia="Times New Roman" w:cs="Arial"/>
          <w:sz w:val="20"/>
          <w:szCs w:val="20"/>
        </w:rPr>
      </w:pPr>
      <w:r w:rsidRPr="00731419">
        <w:rPr>
          <w:rFonts w:eastAsia="Times New Roman" w:cs="Arial"/>
          <w:sz w:val="20"/>
          <w:szCs w:val="20"/>
        </w:rPr>
        <w:t>In other cases, the Committee seems to become preoccupied with irrelevant and indeed impossible considerations.  For example, the Committee expresses concerns “</w:t>
      </w:r>
      <w:r w:rsidRPr="00731419">
        <w:rPr>
          <w:rFonts w:eastAsia="Times New Roman" w:cs="Arial"/>
          <w:i/>
          <w:iCs/>
          <w:sz w:val="20"/>
          <w:szCs w:val="20"/>
        </w:rPr>
        <w:t>that the data from KEYNOTE-189 was not adjusted for crossover.</w:t>
      </w:r>
      <w:r w:rsidRPr="00731419">
        <w:rPr>
          <w:rFonts w:eastAsia="Times New Roman" w:cs="Arial"/>
          <w:sz w:val="20"/>
          <w:szCs w:val="20"/>
        </w:rPr>
        <w:t xml:space="preserve">”  This simply cannot be done, as was explained clearly in the Company’s response to the ACD, due to a lack of publicly available crossover-adjusted data from that trial of pembrolizumab. </w:t>
      </w:r>
    </w:p>
    <w:p w14:paraId="2463151C" w14:textId="77777777" w:rsidR="00731419" w:rsidRPr="00731419" w:rsidRDefault="00731419" w:rsidP="00AF129A">
      <w:pPr>
        <w:ind w:left="1004"/>
        <w:contextualSpacing/>
        <w:rPr>
          <w:rFonts w:eastAsia="Times New Roman" w:cs="Arial"/>
          <w:sz w:val="20"/>
          <w:szCs w:val="20"/>
        </w:rPr>
      </w:pPr>
    </w:p>
    <w:p w14:paraId="082D87B3" w14:textId="77777777" w:rsidR="00731419" w:rsidRPr="00731419" w:rsidRDefault="00731419" w:rsidP="00AF129A">
      <w:pPr>
        <w:numPr>
          <w:ilvl w:val="0"/>
          <w:numId w:val="3"/>
        </w:numPr>
        <w:ind w:left="1004"/>
        <w:contextualSpacing/>
        <w:jc w:val="both"/>
        <w:rPr>
          <w:rFonts w:eastAsia="Times New Roman" w:cs="Arial"/>
          <w:sz w:val="20"/>
          <w:szCs w:val="20"/>
        </w:rPr>
      </w:pPr>
      <w:r w:rsidRPr="00731419">
        <w:rPr>
          <w:rFonts w:eastAsia="Times New Roman" w:cs="Arial"/>
          <w:sz w:val="20"/>
          <w:szCs w:val="20"/>
        </w:rPr>
        <w:t>Paragraph 3.7 further comments:</w:t>
      </w:r>
    </w:p>
    <w:p w14:paraId="55BB9E2A" w14:textId="77777777" w:rsidR="00731419" w:rsidRPr="00731419" w:rsidRDefault="00731419" w:rsidP="00AF129A">
      <w:pPr>
        <w:ind w:left="1004"/>
        <w:contextualSpacing/>
        <w:jc w:val="both"/>
        <w:rPr>
          <w:rFonts w:eastAsia="Times New Roman" w:cs="Arial"/>
          <w:sz w:val="20"/>
          <w:szCs w:val="20"/>
        </w:rPr>
      </w:pPr>
    </w:p>
    <w:p w14:paraId="19AF9DAF" w14:textId="77777777" w:rsidR="00731419" w:rsidRPr="00731419" w:rsidRDefault="00731419" w:rsidP="00AF129A">
      <w:pPr>
        <w:ind w:left="1724"/>
        <w:contextualSpacing/>
        <w:jc w:val="both"/>
        <w:rPr>
          <w:rFonts w:eastAsia="Times New Roman" w:cs="Arial"/>
          <w:i/>
          <w:iCs/>
          <w:sz w:val="20"/>
          <w:szCs w:val="20"/>
        </w:rPr>
      </w:pPr>
      <w:r w:rsidRPr="00731419">
        <w:rPr>
          <w:rFonts w:eastAsia="Times New Roman" w:cs="Arial"/>
          <w:sz w:val="20"/>
          <w:szCs w:val="20"/>
        </w:rPr>
        <w:t>“</w:t>
      </w:r>
      <w:r w:rsidRPr="00731419">
        <w:rPr>
          <w:rFonts w:eastAsia="Times New Roman" w:cs="Arial"/>
          <w:i/>
          <w:iCs/>
          <w:sz w:val="20"/>
          <w:szCs w:val="20"/>
        </w:rPr>
        <w:t>The committee...was also concerned that the MAIC in the company’s model appeared to increase the incremental quality-adjusted life years (QALYs).”</w:t>
      </w:r>
    </w:p>
    <w:p w14:paraId="0140EFAF" w14:textId="77777777" w:rsidR="00731419" w:rsidRPr="00731419" w:rsidRDefault="00731419" w:rsidP="00AF129A">
      <w:pPr>
        <w:ind w:left="1004"/>
        <w:contextualSpacing/>
        <w:jc w:val="both"/>
        <w:rPr>
          <w:rFonts w:eastAsia="Times New Roman" w:cs="Arial"/>
          <w:sz w:val="20"/>
          <w:szCs w:val="20"/>
        </w:rPr>
      </w:pPr>
    </w:p>
    <w:p w14:paraId="3337CD63" w14:textId="77777777" w:rsidR="00731419" w:rsidRPr="00731419" w:rsidRDefault="00731419" w:rsidP="00AF129A">
      <w:pPr>
        <w:ind w:left="1004"/>
        <w:contextualSpacing/>
        <w:jc w:val="both"/>
        <w:rPr>
          <w:rFonts w:eastAsia="Times New Roman" w:cs="Arial"/>
          <w:sz w:val="20"/>
          <w:szCs w:val="20"/>
        </w:rPr>
      </w:pPr>
      <w:r w:rsidRPr="00731419">
        <w:rPr>
          <w:rFonts w:eastAsia="Times New Roman" w:cs="Arial"/>
          <w:sz w:val="20"/>
          <w:szCs w:val="20"/>
        </w:rPr>
        <w:t xml:space="preserve">These comments suggest that an increase in QALYs in the company’s model is somehow implausible or </w:t>
      </w:r>
      <w:proofErr w:type="gramStart"/>
      <w:r w:rsidRPr="00731419">
        <w:rPr>
          <w:rFonts w:eastAsia="Times New Roman" w:cs="Arial"/>
          <w:sz w:val="20"/>
          <w:szCs w:val="20"/>
        </w:rPr>
        <w:t>unacceptable</w:t>
      </w:r>
      <w:proofErr w:type="gramEnd"/>
      <w:r w:rsidRPr="00731419">
        <w:rPr>
          <w:rFonts w:eastAsia="Times New Roman" w:cs="Arial"/>
          <w:sz w:val="20"/>
          <w:szCs w:val="20"/>
        </w:rPr>
        <w:t xml:space="preserve"> indicative of a flawed approach.  In fact, this is no more than a statement of logic: the adjustment of treatment crossover would indeed improve the relative treatment effect of pembrolizumab for OS in the model; however, the simultaneous adjustment for differences in treatment effect modifiers also improves the relative treatment effect estimates for </w:t>
      </w:r>
      <w:proofErr w:type="spellStart"/>
      <w:r w:rsidRPr="00731419">
        <w:rPr>
          <w:rFonts w:eastAsia="Times New Roman" w:cs="Arial"/>
          <w:sz w:val="20"/>
          <w:szCs w:val="20"/>
        </w:rPr>
        <w:t>cemiplimab</w:t>
      </w:r>
      <w:proofErr w:type="spellEnd"/>
      <w:r w:rsidRPr="00731419">
        <w:rPr>
          <w:rFonts w:eastAsia="Times New Roman" w:cs="Arial"/>
          <w:sz w:val="20"/>
          <w:szCs w:val="20"/>
        </w:rPr>
        <w:t xml:space="preserve"> for both PFS and OS.  The resulting net impact is a marginal greater treatment effect estimate for </w:t>
      </w:r>
      <w:proofErr w:type="spellStart"/>
      <w:r w:rsidRPr="00731419">
        <w:rPr>
          <w:rFonts w:eastAsia="Times New Roman" w:cs="Arial"/>
          <w:sz w:val="20"/>
          <w:szCs w:val="20"/>
        </w:rPr>
        <w:t>cemiplimab</w:t>
      </w:r>
      <w:proofErr w:type="spellEnd"/>
      <w:r w:rsidRPr="00731419">
        <w:rPr>
          <w:rFonts w:eastAsia="Times New Roman" w:cs="Arial"/>
          <w:sz w:val="20"/>
          <w:szCs w:val="20"/>
        </w:rPr>
        <w:t xml:space="preserve"> (</w:t>
      </w:r>
      <w:r w:rsidRPr="00731419">
        <w:rPr>
          <w:rFonts w:eastAsia="Times New Roman" w:cs="Arial"/>
          <w:i/>
          <w:iCs/>
          <w:sz w:val="20"/>
          <w:szCs w:val="20"/>
        </w:rPr>
        <w:t>i.e.,</w:t>
      </w:r>
      <w:r w:rsidRPr="00731419">
        <w:rPr>
          <w:rFonts w:eastAsia="Times New Roman" w:cs="Arial"/>
          <w:sz w:val="20"/>
          <w:szCs w:val="20"/>
        </w:rPr>
        <w:t xml:space="preserve"> the adjustment for crossover did not outweigh the adjustment for treatment effect modifiers in both PFS and OS). This </w:t>
      </w:r>
      <w:proofErr w:type="gramStart"/>
      <w:r w:rsidRPr="00731419">
        <w:rPr>
          <w:rFonts w:eastAsia="Times New Roman" w:cs="Arial"/>
          <w:sz w:val="20"/>
          <w:szCs w:val="20"/>
        </w:rPr>
        <w:t>no</w:t>
      </w:r>
      <w:proofErr w:type="gramEnd"/>
      <w:r w:rsidRPr="00731419">
        <w:rPr>
          <w:rFonts w:eastAsia="Times New Roman" w:cs="Arial"/>
          <w:sz w:val="20"/>
          <w:szCs w:val="20"/>
        </w:rPr>
        <w:t xml:space="preserve"> reason to draw negative inferences.  The company’s overall position remains that there is no meaningful difference in treatment effects between pembrolizumab and </w:t>
      </w:r>
      <w:proofErr w:type="spellStart"/>
      <w:r w:rsidRPr="00731419">
        <w:rPr>
          <w:rFonts w:eastAsia="Times New Roman" w:cs="Arial"/>
          <w:sz w:val="20"/>
          <w:szCs w:val="20"/>
        </w:rPr>
        <w:t>cemiplimab</w:t>
      </w:r>
      <w:proofErr w:type="spellEnd"/>
      <w:r w:rsidRPr="00731419">
        <w:rPr>
          <w:rFonts w:eastAsia="Times New Roman" w:cs="Arial"/>
          <w:sz w:val="20"/>
          <w:szCs w:val="20"/>
        </w:rPr>
        <w:t>, but in the model where the actual results of the analysis are used, the net impact is a marginal QALY increase.  This is logical, rational, explainable and eminently plausible.  Yet, the Committee seems to be unwilling to accept such a possibility, to have made up its mind, and to be drawing negative inferences where no such inferences could or should be drawn.</w:t>
      </w:r>
    </w:p>
    <w:p w14:paraId="7ECF2D5F" w14:textId="77777777" w:rsidR="00731419" w:rsidRPr="00731419" w:rsidRDefault="00731419" w:rsidP="00AF129A">
      <w:pPr>
        <w:ind w:left="1004"/>
        <w:contextualSpacing/>
        <w:rPr>
          <w:rFonts w:eastAsia="Times New Roman" w:cs="Arial"/>
          <w:sz w:val="20"/>
          <w:szCs w:val="20"/>
        </w:rPr>
      </w:pPr>
    </w:p>
    <w:p w14:paraId="6D0C9C1E" w14:textId="77777777" w:rsidR="00731419" w:rsidRPr="00731419" w:rsidRDefault="00731419" w:rsidP="00AF129A">
      <w:pPr>
        <w:numPr>
          <w:ilvl w:val="0"/>
          <w:numId w:val="3"/>
        </w:numPr>
        <w:ind w:left="1004"/>
        <w:contextualSpacing/>
        <w:jc w:val="both"/>
        <w:rPr>
          <w:rFonts w:eastAsia="Times New Roman" w:cs="Arial"/>
          <w:sz w:val="20"/>
          <w:szCs w:val="20"/>
        </w:rPr>
      </w:pPr>
      <w:r w:rsidRPr="00731419">
        <w:rPr>
          <w:rFonts w:eastAsia="Times New Roman" w:cs="Arial"/>
          <w:sz w:val="20"/>
          <w:szCs w:val="20"/>
        </w:rPr>
        <w:t xml:space="preserve">One can see evidence of NICE’s confused and haphazard approach to the MAIC data prior to the FDG.  The Committee slides before ACM2 contained various fundamental errors and inaccuracies with respect to the EAG’s views and observations on the MAIC analyses (see summary of these views in </w:t>
      </w:r>
      <w:proofErr w:type="gramStart"/>
      <w:r w:rsidRPr="00731419">
        <w:rPr>
          <w:rFonts w:eastAsia="Times New Roman" w:cs="Arial"/>
          <w:sz w:val="20"/>
          <w:szCs w:val="20"/>
        </w:rPr>
        <w:t>Appeal</w:t>
      </w:r>
      <w:proofErr w:type="gramEnd"/>
      <w:r w:rsidRPr="00731419">
        <w:rPr>
          <w:rFonts w:eastAsia="Times New Roman" w:cs="Arial"/>
          <w:sz w:val="20"/>
          <w:szCs w:val="20"/>
        </w:rPr>
        <w:t xml:space="preserve"> ground 1.a.2).  NICE technical team did not accept the Company’s requests to clarify these errors, further suggesting that the Committee had little interest in engaging </w:t>
      </w:r>
      <w:proofErr w:type="gramStart"/>
      <w:r w:rsidRPr="00731419">
        <w:rPr>
          <w:rFonts w:eastAsia="Times New Roman" w:cs="Arial"/>
          <w:sz w:val="20"/>
          <w:szCs w:val="20"/>
        </w:rPr>
        <w:t>with</w:t>
      </w:r>
      <w:proofErr w:type="gramEnd"/>
      <w:r w:rsidRPr="00731419">
        <w:rPr>
          <w:rFonts w:eastAsia="Times New Roman" w:cs="Arial"/>
          <w:sz w:val="20"/>
          <w:szCs w:val="20"/>
        </w:rPr>
        <w:t xml:space="preserve"> </w:t>
      </w:r>
      <w:proofErr w:type="gramStart"/>
      <w:r w:rsidRPr="00731419">
        <w:rPr>
          <w:rFonts w:eastAsia="Times New Roman" w:cs="Arial"/>
          <w:sz w:val="20"/>
          <w:szCs w:val="20"/>
        </w:rPr>
        <w:t>those</w:t>
      </w:r>
      <w:proofErr w:type="gramEnd"/>
      <w:r w:rsidRPr="00731419">
        <w:rPr>
          <w:rFonts w:eastAsia="Times New Roman" w:cs="Arial"/>
          <w:sz w:val="20"/>
          <w:szCs w:val="20"/>
        </w:rPr>
        <w:t xml:space="preserve"> data in any robust or detailed way.  The attitude adopted was dismissive throughout.</w:t>
      </w:r>
    </w:p>
    <w:p w14:paraId="17CE2436" w14:textId="77777777" w:rsidR="00731419" w:rsidRPr="00731419" w:rsidRDefault="00731419" w:rsidP="00AF129A">
      <w:pPr>
        <w:jc w:val="both"/>
        <w:rPr>
          <w:rFonts w:eastAsia="Times New Roman" w:cs="Arial"/>
          <w:sz w:val="20"/>
          <w:szCs w:val="20"/>
        </w:rPr>
      </w:pPr>
    </w:p>
    <w:p w14:paraId="5A4FE217"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t xml:space="preserve">Paragraph 3.7 represents – in our view-- a haphazard and imprecise collection of statements and concerns, which critically misunderstands Regeneron’s submissions.  It fails to engage substantively with the data presented </w:t>
      </w:r>
      <w:bookmarkStart w:id="3" w:name="_Hlk201263452"/>
      <w:proofErr w:type="gramStart"/>
      <w:r w:rsidRPr="00731419">
        <w:rPr>
          <w:rFonts w:eastAsia="Times New Roman" w:cs="Arial"/>
          <w:sz w:val="20"/>
          <w:szCs w:val="20"/>
        </w:rPr>
        <w:t>and also</w:t>
      </w:r>
      <w:proofErr w:type="gramEnd"/>
      <w:r w:rsidRPr="00731419">
        <w:rPr>
          <w:rFonts w:eastAsia="Times New Roman" w:cs="Arial"/>
          <w:sz w:val="20"/>
          <w:szCs w:val="20"/>
        </w:rPr>
        <w:t xml:space="preserve"> fails to provide “intelligent” and </w:t>
      </w:r>
      <w:r w:rsidRPr="00731419">
        <w:rPr>
          <w:rFonts w:eastAsia="Times New Roman" w:cs="Arial"/>
          <w:sz w:val="20"/>
          <w:szCs w:val="20"/>
          <w:lang w:val="en-GB"/>
        </w:rPr>
        <w:t>“</w:t>
      </w:r>
      <w:r w:rsidRPr="00731419">
        <w:rPr>
          <w:rFonts w:eastAsia="Times New Roman" w:cs="Arial"/>
          <w:sz w:val="20"/>
          <w:szCs w:val="20"/>
        </w:rPr>
        <w:t>intelligible” justifications for its decision to reject the evidence</w:t>
      </w:r>
      <w:bookmarkEnd w:id="3"/>
      <w:r w:rsidRPr="00731419">
        <w:rPr>
          <w:rFonts w:eastAsia="Times New Roman" w:cs="Arial"/>
          <w:sz w:val="20"/>
          <w:szCs w:val="20"/>
        </w:rPr>
        <w:t>.  As we say elsewhere in the appeal, our concern is that this arose from the Committee’s inflexible insistence upon its preferred approach to modelling, in effect shutting its eyes to the alternative MAIC analysis presented by the company.  We firmly believe this is a question of procedural fairness that requires further consideration from the Appeal Panel.</w:t>
      </w:r>
    </w:p>
    <w:p w14:paraId="45A16838" w14:textId="77777777" w:rsidR="00731419" w:rsidRPr="00731419" w:rsidRDefault="00731419" w:rsidP="00AF129A">
      <w:pPr>
        <w:jc w:val="both"/>
        <w:rPr>
          <w:rFonts w:eastAsia="Times New Roman" w:cs="Arial"/>
          <w:sz w:val="20"/>
          <w:szCs w:val="20"/>
        </w:rPr>
      </w:pPr>
    </w:p>
    <w:p w14:paraId="5C27FA58"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t xml:space="preserve">Finally, given the clarifications made </w:t>
      </w:r>
      <w:proofErr w:type="gramStart"/>
      <w:r w:rsidRPr="00731419">
        <w:rPr>
          <w:rFonts w:eastAsia="Times New Roman" w:cs="Arial"/>
          <w:sz w:val="20"/>
          <w:szCs w:val="20"/>
        </w:rPr>
        <w:t>as a result of</w:t>
      </w:r>
      <w:proofErr w:type="gramEnd"/>
      <w:r w:rsidRPr="00731419">
        <w:rPr>
          <w:rFonts w:eastAsia="Times New Roman" w:cs="Arial"/>
          <w:sz w:val="20"/>
          <w:szCs w:val="20"/>
        </w:rPr>
        <w:t xml:space="preserve"> this scrutiny phase, we have summarized the points above and inserted these in red text into the relevant section in the updated Appeal Letter enclosed.  </w:t>
      </w:r>
    </w:p>
    <w:p w14:paraId="04BBDF2F" w14:textId="77777777" w:rsidR="00731419" w:rsidRPr="00731419" w:rsidRDefault="00731419" w:rsidP="00AF129A">
      <w:pPr>
        <w:jc w:val="both"/>
        <w:rPr>
          <w:rFonts w:eastAsia="Times New Roman" w:cs="Arial"/>
          <w:sz w:val="20"/>
          <w:szCs w:val="20"/>
        </w:rPr>
      </w:pPr>
    </w:p>
    <w:p w14:paraId="366DC00D" w14:textId="77777777" w:rsidR="00731419" w:rsidRPr="00731419" w:rsidRDefault="00731419" w:rsidP="00AF129A">
      <w:pPr>
        <w:jc w:val="both"/>
        <w:rPr>
          <w:rFonts w:eastAsia="Times New Roman" w:cs="Arial"/>
          <w:b/>
          <w:bCs/>
          <w:sz w:val="20"/>
          <w:szCs w:val="20"/>
          <w:lang w:val="en-GB"/>
        </w:rPr>
      </w:pPr>
      <w:r w:rsidRPr="00731419">
        <w:rPr>
          <w:rFonts w:eastAsia="Times New Roman" w:cs="Arial"/>
          <w:b/>
          <w:bCs/>
          <w:sz w:val="20"/>
          <w:szCs w:val="20"/>
          <w:lang w:val="en-GB"/>
        </w:rPr>
        <w:t xml:space="preserve">Appeal </w:t>
      </w:r>
      <w:proofErr w:type="gramStart"/>
      <w:r w:rsidRPr="00731419">
        <w:rPr>
          <w:rFonts w:eastAsia="Times New Roman" w:cs="Arial"/>
          <w:b/>
          <w:bCs/>
          <w:sz w:val="20"/>
          <w:szCs w:val="20"/>
          <w:lang w:val="en-GB"/>
        </w:rPr>
        <w:t>point</w:t>
      </w:r>
      <w:proofErr w:type="gramEnd"/>
      <w:r w:rsidRPr="00731419">
        <w:rPr>
          <w:rFonts w:eastAsia="Times New Roman" w:cs="Arial"/>
          <w:b/>
          <w:bCs/>
          <w:sz w:val="20"/>
          <w:szCs w:val="20"/>
          <w:lang w:val="en-GB"/>
        </w:rPr>
        <w:t xml:space="preserve"> 1(a).3: At critical stages, NICE’s conduct of the appraisal process itself has been opaque and inconsistent. Taken cumulatively, these factors have stymied Regeneron’s ability to put forward its case and the Appraisal Committee’s ability to carry out a well-informed assessment. This amounts to procedural unfairness.</w:t>
      </w:r>
    </w:p>
    <w:p w14:paraId="2B6D927C" w14:textId="77777777" w:rsidR="00731419" w:rsidRPr="00731419" w:rsidRDefault="00731419" w:rsidP="00AF129A">
      <w:pPr>
        <w:jc w:val="both"/>
        <w:rPr>
          <w:rFonts w:eastAsia="Times New Roman" w:cs="Arial"/>
          <w:b/>
          <w:bCs/>
          <w:sz w:val="20"/>
          <w:szCs w:val="20"/>
          <w:lang w:val="en-GB"/>
        </w:rPr>
      </w:pPr>
    </w:p>
    <w:p w14:paraId="259957C5" w14:textId="77777777" w:rsidR="00731419" w:rsidRPr="00731419" w:rsidRDefault="00731419" w:rsidP="00AF129A">
      <w:pPr>
        <w:jc w:val="both"/>
        <w:rPr>
          <w:rFonts w:eastAsia="Times New Roman" w:cs="Arial"/>
          <w:sz w:val="20"/>
          <w:szCs w:val="20"/>
          <w:lang w:val="en-GB"/>
        </w:rPr>
      </w:pPr>
      <w:r w:rsidRPr="00731419">
        <w:rPr>
          <w:rFonts w:eastAsia="Times New Roman" w:cs="Arial"/>
          <w:sz w:val="20"/>
          <w:szCs w:val="20"/>
          <w:lang w:val="en-GB"/>
        </w:rPr>
        <w:t xml:space="preserve">We respectfully disagree with your initial view not to admit this appeal point to the Appeal Panel.  The accumulation of various procedural issues can, in our view, contribute to an unfair process overall.  </w:t>
      </w:r>
    </w:p>
    <w:p w14:paraId="06C8E74D" w14:textId="77777777" w:rsidR="00731419" w:rsidRPr="00731419" w:rsidRDefault="00731419" w:rsidP="00AF129A">
      <w:pPr>
        <w:jc w:val="both"/>
        <w:rPr>
          <w:rFonts w:eastAsia="Times New Roman" w:cs="Arial"/>
          <w:sz w:val="20"/>
          <w:szCs w:val="20"/>
          <w:lang w:val="en-GB"/>
        </w:rPr>
      </w:pPr>
    </w:p>
    <w:p w14:paraId="645E3A6E" w14:textId="77777777" w:rsidR="00731419" w:rsidRPr="00731419" w:rsidRDefault="00731419" w:rsidP="00AF129A">
      <w:pPr>
        <w:jc w:val="both"/>
        <w:rPr>
          <w:rFonts w:eastAsia="Times New Roman" w:cs="Arial"/>
          <w:sz w:val="20"/>
          <w:szCs w:val="20"/>
          <w:lang w:val="en-GB"/>
        </w:rPr>
      </w:pPr>
      <w:r w:rsidRPr="00731419">
        <w:rPr>
          <w:rFonts w:eastAsia="Times New Roman" w:cs="Arial"/>
          <w:sz w:val="20"/>
          <w:szCs w:val="20"/>
          <w:lang w:val="en-GB"/>
        </w:rPr>
        <w:t xml:space="preserve">However, we are not minded </w:t>
      </w:r>
      <w:proofErr w:type="gramStart"/>
      <w:r w:rsidRPr="00731419">
        <w:rPr>
          <w:rFonts w:eastAsia="Times New Roman" w:cs="Arial"/>
          <w:sz w:val="20"/>
          <w:szCs w:val="20"/>
          <w:lang w:val="en-GB"/>
        </w:rPr>
        <w:t>to press</w:t>
      </w:r>
      <w:proofErr w:type="gramEnd"/>
      <w:r w:rsidRPr="00731419">
        <w:rPr>
          <w:rFonts w:eastAsia="Times New Roman" w:cs="Arial"/>
          <w:sz w:val="20"/>
          <w:szCs w:val="20"/>
          <w:lang w:val="en-GB"/>
        </w:rPr>
        <w:t xml:space="preserve"> this appeal </w:t>
      </w:r>
      <w:proofErr w:type="gramStart"/>
      <w:r w:rsidRPr="00731419">
        <w:rPr>
          <w:rFonts w:eastAsia="Times New Roman" w:cs="Arial"/>
          <w:sz w:val="20"/>
          <w:szCs w:val="20"/>
          <w:lang w:val="en-GB"/>
        </w:rPr>
        <w:t>point</w:t>
      </w:r>
      <w:proofErr w:type="gramEnd"/>
      <w:r w:rsidRPr="00731419">
        <w:rPr>
          <w:rFonts w:eastAsia="Times New Roman" w:cs="Arial"/>
          <w:sz w:val="20"/>
          <w:szCs w:val="20"/>
          <w:lang w:val="en-GB"/>
        </w:rPr>
        <w:t xml:space="preserve"> further, provided that the Appeal Panel will still have sight of the details mentioned under this point, as they may be relevant to other grounds that are admitted to the appeal.  </w:t>
      </w:r>
    </w:p>
    <w:p w14:paraId="0DF4766A" w14:textId="77777777" w:rsidR="00731419" w:rsidRPr="00731419" w:rsidRDefault="00731419" w:rsidP="00AF129A">
      <w:pPr>
        <w:jc w:val="both"/>
        <w:rPr>
          <w:rFonts w:eastAsia="Times New Roman" w:cs="Arial"/>
          <w:sz w:val="20"/>
          <w:szCs w:val="20"/>
        </w:rPr>
      </w:pPr>
    </w:p>
    <w:p w14:paraId="766F7BEC" w14:textId="77777777" w:rsidR="00731419" w:rsidRPr="00731419" w:rsidRDefault="00731419" w:rsidP="00AF129A">
      <w:pPr>
        <w:jc w:val="both"/>
        <w:rPr>
          <w:rFonts w:eastAsia="Times New Roman" w:cs="Arial"/>
          <w:b/>
          <w:bCs/>
          <w:i/>
          <w:iCs/>
          <w:sz w:val="20"/>
          <w:szCs w:val="20"/>
        </w:rPr>
      </w:pPr>
      <w:r w:rsidRPr="00731419">
        <w:rPr>
          <w:rFonts w:eastAsia="Times New Roman" w:cs="Arial"/>
          <w:b/>
          <w:bCs/>
          <w:i/>
          <w:iCs/>
          <w:sz w:val="20"/>
          <w:szCs w:val="20"/>
        </w:rPr>
        <w:t xml:space="preserve">Appeal </w:t>
      </w:r>
      <w:proofErr w:type="gramStart"/>
      <w:r w:rsidRPr="00731419">
        <w:rPr>
          <w:rFonts w:eastAsia="Times New Roman" w:cs="Arial"/>
          <w:b/>
          <w:bCs/>
          <w:i/>
          <w:iCs/>
          <w:sz w:val="20"/>
          <w:szCs w:val="20"/>
        </w:rPr>
        <w:t>point</w:t>
      </w:r>
      <w:proofErr w:type="gramEnd"/>
      <w:r w:rsidRPr="00731419">
        <w:rPr>
          <w:rFonts w:eastAsia="Times New Roman" w:cs="Arial"/>
          <w:b/>
          <w:bCs/>
          <w:i/>
          <w:iCs/>
          <w:sz w:val="20"/>
          <w:szCs w:val="20"/>
        </w:rPr>
        <w:t xml:space="preserve"> 1(b).1: NICE has breached its legal obligations under human rights and equalities laws.</w:t>
      </w:r>
    </w:p>
    <w:p w14:paraId="2DF20E83" w14:textId="77777777" w:rsidR="00731419" w:rsidRPr="00731419" w:rsidRDefault="00731419" w:rsidP="00AF129A">
      <w:pPr>
        <w:jc w:val="both"/>
        <w:rPr>
          <w:rFonts w:eastAsia="Times New Roman" w:cs="Arial"/>
          <w:sz w:val="20"/>
          <w:szCs w:val="20"/>
        </w:rPr>
      </w:pPr>
    </w:p>
    <w:p w14:paraId="3A238225"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lastRenderedPageBreak/>
        <w:t>We respectfully but strongly disagree with your initial view.  There are various aspects to this, which we set out under structured headings below.</w:t>
      </w:r>
    </w:p>
    <w:p w14:paraId="7F449503" w14:textId="77777777" w:rsidR="00731419" w:rsidRPr="00731419" w:rsidRDefault="00731419" w:rsidP="00AF129A">
      <w:pPr>
        <w:jc w:val="both"/>
        <w:rPr>
          <w:rFonts w:eastAsia="Times New Roman" w:cs="Arial"/>
          <w:sz w:val="20"/>
          <w:szCs w:val="20"/>
        </w:rPr>
      </w:pPr>
    </w:p>
    <w:p w14:paraId="0515908D" w14:textId="77777777" w:rsidR="00731419" w:rsidRPr="00731419" w:rsidRDefault="00731419" w:rsidP="00AF129A">
      <w:pPr>
        <w:jc w:val="both"/>
        <w:rPr>
          <w:rFonts w:eastAsia="Times New Roman" w:cs="Arial"/>
          <w:b/>
          <w:bCs/>
          <w:i/>
          <w:iCs/>
          <w:sz w:val="20"/>
          <w:szCs w:val="20"/>
        </w:rPr>
      </w:pPr>
      <w:r w:rsidRPr="00731419">
        <w:rPr>
          <w:rFonts w:eastAsia="Times New Roman" w:cs="Arial"/>
          <w:b/>
          <w:bCs/>
          <w:i/>
          <w:iCs/>
          <w:sz w:val="20"/>
          <w:szCs w:val="20"/>
        </w:rPr>
        <w:t xml:space="preserve">Ground 1b and Ground 1a Appeal Points Are Separate and Distinct </w:t>
      </w:r>
    </w:p>
    <w:p w14:paraId="27571976" w14:textId="77777777" w:rsidR="00731419" w:rsidRPr="00731419" w:rsidRDefault="00731419" w:rsidP="00AF129A">
      <w:pPr>
        <w:jc w:val="both"/>
        <w:rPr>
          <w:rFonts w:eastAsia="Times New Roman" w:cs="Arial"/>
          <w:sz w:val="20"/>
          <w:szCs w:val="20"/>
        </w:rPr>
      </w:pPr>
    </w:p>
    <w:p w14:paraId="53788C19"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t>We understand and agree with the following statements in your letter:</w:t>
      </w:r>
    </w:p>
    <w:p w14:paraId="52A378D1" w14:textId="77777777" w:rsidR="00731419" w:rsidRPr="00731419" w:rsidRDefault="00731419" w:rsidP="00AF129A">
      <w:pPr>
        <w:jc w:val="both"/>
        <w:rPr>
          <w:rFonts w:eastAsia="Times New Roman" w:cs="Arial"/>
          <w:sz w:val="20"/>
          <w:szCs w:val="20"/>
        </w:rPr>
      </w:pPr>
    </w:p>
    <w:p w14:paraId="645ECCAE" w14:textId="77777777" w:rsidR="00731419" w:rsidRPr="00731419" w:rsidRDefault="00731419" w:rsidP="00AF129A">
      <w:pPr>
        <w:numPr>
          <w:ilvl w:val="0"/>
          <w:numId w:val="10"/>
        </w:numPr>
        <w:ind w:left="1004"/>
        <w:contextualSpacing/>
        <w:jc w:val="both"/>
        <w:rPr>
          <w:rFonts w:eastAsia="Times New Roman" w:cs="Arial"/>
          <w:sz w:val="20"/>
          <w:szCs w:val="20"/>
        </w:rPr>
      </w:pPr>
      <w:r w:rsidRPr="00731419">
        <w:rPr>
          <w:rFonts w:eastAsia="Times New Roman" w:cs="Arial"/>
          <w:sz w:val="20"/>
          <w:szCs w:val="20"/>
        </w:rPr>
        <w:t>In almost all NICE evaluations, a negative recommendation will impact some patients sharing a protected characteristic more than other patients not sharing that protected characteristic.</w:t>
      </w:r>
    </w:p>
    <w:p w14:paraId="23DF187D" w14:textId="77777777" w:rsidR="00731419" w:rsidRPr="00731419" w:rsidRDefault="00731419" w:rsidP="00AF129A">
      <w:pPr>
        <w:numPr>
          <w:ilvl w:val="0"/>
          <w:numId w:val="10"/>
        </w:numPr>
        <w:ind w:left="1004"/>
        <w:contextualSpacing/>
        <w:jc w:val="both"/>
        <w:rPr>
          <w:rFonts w:eastAsia="Times New Roman" w:cs="Arial"/>
          <w:sz w:val="20"/>
          <w:szCs w:val="20"/>
        </w:rPr>
      </w:pPr>
      <w:r w:rsidRPr="00731419">
        <w:rPr>
          <w:rFonts w:eastAsia="Times New Roman" w:cs="Arial"/>
          <w:sz w:val="20"/>
          <w:szCs w:val="20"/>
        </w:rPr>
        <w:t>This is indirect discrimination.</w:t>
      </w:r>
    </w:p>
    <w:p w14:paraId="40BB2EC1" w14:textId="77777777" w:rsidR="00731419" w:rsidRPr="00731419" w:rsidRDefault="00731419" w:rsidP="00AF129A">
      <w:pPr>
        <w:numPr>
          <w:ilvl w:val="0"/>
          <w:numId w:val="10"/>
        </w:numPr>
        <w:ind w:left="1004"/>
        <w:contextualSpacing/>
        <w:jc w:val="both"/>
        <w:rPr>
          <w:rFonts w:eastAsia="Times New Roman" w:cs="Arial"/>
          <w:sz w:val="20"/>
          <w:szCs w:val="20"/>
        </w:rPr>
      </w:pPr>
      <w:r w:rsidRPr="00731419">
        <w:rPr>
          <w:rFonts w:eastAsia="Times New Roman" w:cs="Arial"/>
          <w:sz w:val="20"/>
          <w:szCs w:val="20"/>
        </w:rPr>
        <w:t>Indirect discrimination can be objectively justified as a proportionate means of meeting a legitimate aim.</w:t>
      </w:r>
    </w:p>
    <w:p w14:paraId="67FD768E" w14:textId="77777777" w:rsidR="00731419" w:rsidRPr="00731419" w:rsidRDefault="00731419" w:rsidP="00AF129A">
      <w:pPr>
        <w:ind w:left="1004"/>
        <w:contextualSpacing/>
        <w:jc w:val="both"/>
        <w:rPr>
          <w:rFonts w:eastAsia="Times New Roman" w:cs="Arial"/>
          <w:sz w:val="20"/>
          <w:szCs w:val="20"/>
        </w:rPr>
      </w:pPr>
    </w:p>
    <w:p w14:paraId="01BA1AA1"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However, we do not agree that proportionality is effectively equivalent to running “</w:t>
      </w:r>
      <w:r w:rsidRPr="00731419">
        <w:rPr>
          <w:rFonts w:eastAsia="Times New Roman" w:cs="Arial"/>
          <w:i/>
          <w:iCs/>
          <w:sz w:val="20"/>
          <w:szCs w:val="20"/>
          <w:lang w:val="en-GB"/>
        </w:rPr>
        <w:t>a fair evaluation process in line with NICE’s published procedures.</w:t>
      </w:r>
      <w:r w:rsidRPr="00731419">
        <w:rPr>
          <w:rFonts w:eastAsia="Times New Roman" w:cs="Arial"/>
          <w:sz w:val="20"/>
          <w:szCs w:val="20"/>
          <w:lang w:val="en-GB"/>
        </w:rPr>
        <w:t>”</w:t>
      </w:r>
    </w:p>
    <w:p w14:paraId="5B9C3B53"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 xml:space="preserve">Were that to be automatically the case, it would in effect prohibit any appellant from bringing an appeal under the procedural fairness Ground 1a and for indirect discrimination under Ground 1b.  In our view, that would be an </w:t>
      </w:r>
      <w:proofErr w:type="gramStart"/>
      <w:r w:rsidRPr="00731419">
        <w:rPr>
          <w:rFonts w:eastAsia="Times New Roman" w:cs="Arial"/>
          <w:sz w:val="20"/>
          <w:szCs w:val="20"/>
          <w:lang w:val="en-GB"/>
        </w:rPr>
        <w:t>overly-narrow</w:t>
      </w:r>
      <w:proofErr w:type="gramEnd"/>
      <w:r w:rsidRPr="00731419">
        <w:rPr>
          <w:rFonts w:eastAsia="Times New Roman" w:cs="Arial"/>
          <w:sz w:val="20"/>
          <w:szCs w:val="20"/>
          <w:lang w:val="en-GB"/>
        </w:rPr>
        <w:t xml:space="preserve"> interpretation of NICE’s appeals process and misaligned with fundamental principles of equalities and public law.</w:t>
      </w:r>
    </w:p>
    <w:p w14:paraId="139CB8C6"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 xml:space="preserve">We disagree that our Ground 1b appeal point overlaps completely and precisely across the other Appeal Grounds.  One might say the grounds are connected but one cannot conclude that they are causatively connected such that the success of Ground 1b rests entirely on the other appeal grounds.  </w:t>
      </w:r>
    </w:p>
    <w:p w14:paraId="7E693155"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Equalities considerations are both logically and legally separate and distinct from questions of unreasonableness and/or procedural fairness.</w:t>
      </w:r>
    </w:p>
    <w:p w14:paraId="24968CEE" w14:textId="77777777" w:rsidR="00731419" w:rsidRPr="00731419" w:rsidRDefault="00731419" w:rsidP="00AF129A">
      <w:pPr>
        <w:spacing w:after="240"/>
        <w:jc w:val="both"/>
        <w:rPr>
          <w:rFonts w:eastAsia="Times New Roman" w:cs="Arial"/>
          <w:b/>
          <w:bCs/>
          <w:i/>
          <w:iCs/>
          <w:sz w:val="20"/>
          <w:szCs w:val="20"/>
          <w:lang w:val="en-GB"/>
        </w:rPr>
      </w:pPr>
      <w:r w:rsidRPr="00731419">
        <w:rPr>
          <w:rFonts w:eastAsia="Times New Roman" w:cs="Arial"/>
          <w:b/>
          <w:bCs/>
          <w:i/>
          <w:iCs/>
          <w:sz w:val="20"/>
          <w:szCs w:val="20"/>
          <w:lang w:val="en-GB"/>
        </w:rPr>
        <w:t>NICE’s Specific Duties under Equalities Laws Engaged under Ground 1b</w:t>
      </w:r>
    </w:p>
    <w:p w14:paraId="3EA95476"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 xml:space="preserve">Equalities law – and by extension our Appel Ground 1b -- require a specific examination of certain issues through the lens of whether the Appraisal Committee properly and adequately considered and accounted for the special needs of certain patients with protected characteristics.  </w:t>
      </w:r>
      <w:proofErr w:type="gramStart"/>
      <w:r w:rsidRPr="00731419">
        <w:rPr>
          <w:rFonts w:eastAsia="Times New Roman" w:cs="Arial"/>
          <w:sz w:val="20"/>
          <w:szCs w:val="20"/>
          <w:lang w:val="en-GB"/>
        </w:rPr>
        <w:t>In particular, whether</w:t>
      </w:r>
      <w:proofErr w:type="gramEnd"/>
      <w:r w:rsidRPr="00731419">
        <w:rPr>
          <w:rFonts w:eastAsia="Times New Roman" w:cs="Arial"/>
          <w:sz w:val="20"/>
          <w:szCs w:val="20"/>
          <w:lang w:val="en-GB"/>
        </w:rPr>
        <w:t xml:space="preserve"> the Committee complied with:</w:t>
      </w:r>
    </w:p>
    <w:p w14:paraId="011A1015" w14:textId="77777777" w:rsidR="00731419" w:rsidRPr="00731419" w:rsidRDefault="00731419" w:rsidP="00AF129A">
      <w:pPr>
        <w:numPr>
          <w:ilvl w:val="0"/>
          <w:numId w:val="4"/>
        </w:numPr>
        <w:spacing w:after="240"/>
        <w:ind w:left="1004"/>
        <w:jc w:val="both"/>
        <w:rPr>
          <w:rFonts w:eastAsia="Times New Roman" w:cs="Arial"/>
          <w:sz w:val="20"/>
          <w:szCs w:val="20"/>
          <w:lang w:val="en-GB"/>
        </w:rPr>
      </w:pPr>
      <w:r w:rsidRPr="00731419">
        <w:rPr>
          <w:rFonts w:eastAsia="Times New Roman" w:cs="Arial"/>
          <w:sz w:val="20"/>
          <w:szCs w:val="20"/>
          <w:lang w:val="en-GB"/>
        </w:rPr>
        <w:t>The Public Sector Equality Duty (“PSED”) under Section 149 of the Equality Act 2010. This requires NICE to give due regard to eliminating discrimination or victimization and advancing equality of opportunity between persons who share a relevant protected characteristic and those who do not.</w:t>
      </w:r>
    </w:p>
    <w:p w14:paraId="5FE7A79B" w14:textId="77777777" w:rsidR="00731419" w:rsidRPr="00731419" w:rsidRDefault="00731419" w:rsidP="00AF129A">
      <w:pPr>
        <w:numPr>
          <w:ilvl w:val="0"/>
          <w:numId w:val="4"/>
        </w:numPr>
        <w:spacing w:after="240"/>
        <w:ind w:left="1004"/>
        <w:jc w:val="both"/>
        <w:rPr>
          <w:rFonts w:eastAsia="Times New Roman" w:cs="Arial"/>
          <w:sz w:val="20"/>
          <w:szCs w:val="20"/>
          <w:lang w:val="en-GB"/>
        </w:rPr>
      </w:pPr>
      <w:r w:rsidRPr="00731419">
        <w:rPr>
          <w:rFonts w:eastAsia="Times New Roman" w:cs="Arial"/>
          <w:sz w:val="20"/>
          <w:szCs w:val="20"/>
          <w:lang w:val="en-GB"/>
        </w:rPr>
        <w:t>Section 29(6) of the Equality Act, which prohibits discrimination in the provision of a public service.</w:t>
      </w:r>
    </w:p>
    <w:p w14:paraId="5515C511" w14:textId="77777777" w:rsidR="00731419" w:rsidRPr="00731419" w:rsidRDefault="00731419" w:rsidP="00AF129A">
      <w:pPr>
        <w:numPr>
          <w:ilvl w:val="0"/>
          <w:numId w:val="4"/>
        </w:numPr>
        <w:spacing w:after="240"/>
        <w:ind w:left="1004"/>
        <w:jc w:val="both"/>
        <w:rPr>
          <w:rFonts w:eastAsia="Times New Roman" w:cs="Arial"/>
          <w:sz w:val="20"/>
          <w:szCs w:val="20"/>
          <w:lang w:val="en-GB"/>
        </w:rPr>
      </w:pPr>
      <w:r w:rsidRPr="00731419">
        <w:rPr>
          <w:rFonts w:eastAsia="Times New Roman" w:cs="Arial"/>
          <w:sz w:val="20"/>
          <w:szCs w:val="20"/>
          <w:lang w:val="en-GB"/>
        </w:rPr>
        <w:t>Section 29(7) of the Equality Act, which requires NICE to make reasonable adjustments in its processes to take account of the protected characteristics of the patient population.</w:t>
      </w:r>
    </w:p>
    <w:p w14:paraId="3F3607B9"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 xml:space="preserve">These legal duties obligate NICE to approach appraisals (where equalities issues are engaged) with a particular rigor and intensity of review.  Where it takes critical and consequential decisions with respect to the assessment of a treatment, NICE must consciously consider whether it is possible to make reasonable adjustments to remove potential discrimination and inequality.  It is this fundamental duty that the Committee has failed to </w:t>
      </w:r>
      <w:proofErr w:type="gramStart"/>
      <w:r w:rsidRPr="00731419">
        <w:rPr>
          <w:rFonts w:eastAsia="Times New Roman" w:cs="Arial"/>
          <w:sz w:val="20"/>
          <w:szCs w:val="20"/>
          <w:lang w:val="en-GB"/>
        </w:rPr>
        <w:t>meet:</w:t>
      </w:r>
      <w:proofErr w:type="gramEnd"/>
      <w:r w:rsidRPr="00731419">
        <w:rPr>
          <w:rFonts w:eastAsia="Times New Roman" w:cs="Arial"/>
          <w:sz w:val="20"/>
          <w:szCs w:val="20"/>
          <w:lang w:val="en-GB"/>
        </w:rPr>
        <w:t xml:space="preserve"> these are shortcomings </w:t>
      </w:r>
      <w:proofErr w:type="gramStart"/>
      <w:r w:rsidRPr="00731419">
        <w:rPr>
          <w:rFonts w:eastAsia="Times New Roman" w:cs="Arial"/>
          <w:sz w:val="20"/>
          <w:szCs w:val="20"/>
          <w:lang w:val="en-GB"/>
        </w:rPr>
        <w:t>in their own right and</w:t>
      </w:r>
      <w:proofErr w:type="gramEnd"/>
      <w:r w:rsidRPr="00731419">
        <w:rPr>
          <w:rFonts w:eastAsia="Times New Roman" w:cs="Arial"/>
          <w:sz w:val="20"/>
          <w:szCs w:val="20"/>
          <w:lang w:val="en-GB"/>
        </w:rPr>
        <w:t xml:space="preserve"> not the same as concluding that NICE has acted unfairly.</w:t>
      </w:r>
    </w:p>
    <w:p w14:paraId="16D3294A" w14:textId="77777777" w:rsidR="00731419" w:rsidRPr="00731419" w:rsidRDefault="00731419" w:rsidP="00AF129A">
      <w:pPr>
        <w:spacing w:after="240"/>
        <w:jc w:val="both"/>
        <w:rPr>
          <w:rFonts w:eastAsia="Times New Roman" w:cs="Arial"/>
          <w:b/>
          <w:bCs/>
          <w:i/>
          <w:iCs/>
          <w:sz w:val="20"/>
          <w:szCs w:val="20"/>
          <w:lang w:val="en-GB"/>
        </w:rPr>
      </w:pPr>
      <w:r w:rsidRPr="00731419">
        <w:rPr>
          <w:rFonts w:eastAsia="Times New Roman" w:cs="Arial"/>
          <w:b/>
          <w:bCs/>
          <w:i/>
          <w:iCs/>
          <w:sz w:val="20"/>
          <w:szCs w:val="20"/>
          <w:lang w:val="en-GB"/>
        </w:rPr>
        <w:t>NICE’s Obligations Arise Irrespective of Whether a Stakeholder Raises Equalities Considerations</w:t>
      </w:r>
    </w:p>
    <w:p w14:paraId="3DE3B0A2"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lastRenderedPageBreak/>
        <w:t xml:space="preserve">NICE must satisfy its obligations under the Equality Act, </w:t>
      </w:r>
      <w:proofErr w:type="gramStart"/>
      <w:r w:rsidRPr="00731419">
        <w:rPr>
          <w:rFonts w:eastAsia="Times New Roman" w:cs="Arial"/>
          <w:sz w:val="20"/>
          <w:szCs w:val="20"/>
          <w:lang w:val="en-GB"/>
        </w:rPr>
        <w:t>whether or not</w:t>
      </w:r>
      <w:proofErr w:type="gramEnd"/>
      <w:r w:rsidRPr="00731419">
        <w:rPr>
          <w:rFonts w:eastAsia="Times New Roman" w:cs="Arial"/>
          <w:sz w:val="20"/>
          <w:szCs w:val="20"/>
          <w:lang w:val="en-GB"/>
        </w:rPr>
        <w:t xml:space="preserve"> a stakeholder </w:t>
      </w:r>
      <w:proofErr w:type="gramStart"/>
      <w:r w:rsidRPr="00731419">
        <w:rPr>
          <w:rFonts w:eastAsia="Times New Roman" w:cs="Arial"/>
          <w:sz w:val="20"/>
          <w:szCs w:val="20"/>
          <w:lang w:val="en-GB"/>
        </w:rPr>
        <w:t>actually raises</w:t>
      </w:r>
      <w:proofErr w:type="gramEnd"/>
      <w:r w:rsidRPr="00731419">
        <w:rPr>
          <w:rFonts w:eastAsia="Times New Roman" w:cs="Arial"/>
          <w:sz w:val="20"/>
          <w:szCs w:val="20"/>
          <w:lang w:val="en-GB"/>
        </w:rPr>
        <w:t xml:space="preserve"> them.  NICE is not alleviated of its duties, nor may carry them out to any lesser standard, if stakeholders do not raise equalities points during the appraisal.</w:t>
      </w:r>
    </w:p>
    <w:p w14:paraId="62FC0BE5" w14:textId="77777777" w:rsidR="00731419" w:rsidRPr="00731419" w:rsidRDefault="00731419" w:rsidP="00AF129A">
      <w:pPr>
        <w:spacing w:after="240"/>
        <w:jc w:val="both"/>
        <w:rPr>
          <w:rFonts w:eastAsia="Times New Roman" w:cs="Arial"/>
          <w:strike/>
          <w:sz w:val="20"/>
          <w:szCs w:val="20"/>
          <w:lang w:val="en-GB"/>
        </w:rPr>
      </w:pPr>
      <w:r w:rsidRPr="00731419">
        <w:rPr>
          <w:rFonts w:eastAsia="Times New Roman" w:cs="Arial"/>
          <w:sz w:val="20"/>
          <w:szCs w:val="20"/>
          <w:lang w:val="en-GB"/>
        </w:rPr>
        <w:t>In this appraisal, however, a clinical expert stated that equalities issues might arise because pemetrexed is associated with toxicity and may not be suitable for all patients.  Having been made aware of a potential issue, the Committee ought to have done more to investigate and further consider this point and</w:t>
      </w:r>
      <w:proofErr w:type="gramStart"/>
      <w:r w:rsidRPr="00731419">
        <w:rPr>
          <w:rFonts w:eastAsia="Times New Roman" w:cs="Arial"/>
          <w:sz w:val="20"/>
          <w:szCs w:val="20"/>
          <w:lang w:val="en-GB"/>
        </w:rPr>
        <w:t>, in particular, whether</w:t>
      </w:r>
      <w:proofErr w:type="gramEnd"/>
      <w:r w:rsidRPr="00731419">
        <w:rPr>
          <w:rFonts w:eastAsia="Times New Roman" w:cs="Arial"/>
          <w:sz w:val="20"/>
          <w:szCs w:val="20"/>
          <w:lang w:val="en-GB"/>
        </w:rPr>
        <w:t xml:space="preserve"> patients with protected characteristics could be negatively affected and therefore what (if any) equalities considerations may be relevant.</w:t>
      </w:r>
    </w:p>
    <w:p w14:paraId="7A61303F"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Given the context of NSCLC, it would not have taken much effort for the Committee to establish that there exists a group of patients with protected characteristics who could not tolerate pemetrexed</w:t>
      </w:r>
      <w:r w:rsidRPr="00731419">
        <w:rPr>
          <w:rFonts w:eastAsia="Times New Roman" w:cs="Arial"/>
          <w:color w:val="000000"/>
          <w:sz w:val="20"/>
          <w:szCs w:val="20"/>
          <w:lang w:val="en-GB"/>
        </w:rPr>
        <w:t xml:space="preserve">. For example, Royal College of Radiologists national guidance specifically refers to older people and systemic treatment.  </w:t>
      </w:r>
      <w:r w:rsidRPr="00731419">
        <w:rPr>
          <w:rFonts w:eastAsia="Times New Roman" w:cs="Arial"/>
          <w:sz w:val="20"/>
          <w:szCs w:val="20"/>
          <w:lang w:val="en-GB"/>
        </w:rPr>
        <w:t>The lack of rigor and proper enquiry here is notable.  The fact that the clinical expert did not provide further detail cannot simply be the end of the point.  The Committee has a duty to enquire further which it did not perform here.  The Committee is not merely a reactive body; the Equality Act imposes active rather than passive obligations better to understand potential discrimination and make reasonable adjustments. We submit that this is a valid point for the Appeal Panel to consider further.</w:t>
      </w:r>
    </w:p>
    <w:p w14:paraId="7D84DBD7" w14:textId="77777777" w:rsidR="00731419" w:rsidRPr="00731419" w:rsidRDefault="00731419" w:rsidP="00AF129A">
      <w:pPr>
        <w:spacing w:after="240"/>
        <w:jc w:val="both"/>
        <w:rPr>
          <w:rFonts w:eastAsia="Times New Roman" w:cs="Arial"/>
          <w:sz w:val="20"/>
          <w:szCs w:val="20"/>
          <w:lang w:val="en-GB"/>
        </w:rPr>
      </w:pPr>
      <w:bookmarkStart w:id="4" w:name="_Hlk201263533"/>
      <w:r w:rsidRPr="00731419">
        <w:rPr>
          <w:rFonts w:eastAsia="Times New Roman" w:cs="Arial"/>
          <w:sz w:val="20"/>
          <w:szCs w:val="20"/>
          <w:lang w:val="en-GB"/>
        </w:rPr>
        <w:t xml:space="preserve">It is also important to bear in mind that whilst clinical </w:t>
      </w:r>
      <w:bookmarkEnd w:id="4"/>
      <w:r w:rsidRPr="00731419">
        <w:rPr>
          <w:rFonts w:eastAsia="Times New Roman" w:cs="Arial"/>
          <w:sz w:val="20"/>
          <w:szCs w:val="20"/>
          <w:lang w:val="en-GB"/>
        </w:rPr>
        <w:t xml:space="preserve">experts serve an important and multifaceted role within the NICE HTA system - their evidence is key - they are not experts in equalities rules.  Where a clinician raises a potential equality issue in good faith, but the Committee passively calls upon others to supplement that, without positive enquiry on its own part, there seem to be only two logical conclusions: either the Committee has failed to meet its duties under the Equality Act, or it has acted unreasonably with respect to expert evidence.  </w:t>
      </w:r>
    </w:p>
    <w:p w14:paraId="6CF2CA27" w14:textId="77777777" w:rsidR="00731419" w:rsidRPr="00731419" w:rsidRDefault="00731419" w:rsidP="00AF129A">
      <w:pPr>
        <w:spacing w:after="240"/>
        <w:jc w:val="both"/>
        <w:rPr>
          <w:rFonts w:eastAsia="Times New Roman" w:cs="Arial"/>
          <w:sz w:val="20"/>
          <w:szCs w:val="20"/>
          <w:lang w:val="en-GB"/>
        </w:rPr>
      </w:pPr>
      <w:bookmarkStart w:id="5" w:name="_Hlk201263585"/>
      <w:r w:rsidRPr="00731419">
        <w:rPr>
          <w:rFonts w:eastAsia="Times New Roman" w:cs="Arial"/>
          <w:sz w:val="20"/>
          <w:szCs w:val="20"/>
          <w:lang w:val="en-GB"/>
        </w:rPr>
        <w:t xml:space="preserve">Given the importance the Manual places on the careful and considered selection of clinical experts, the </w:t>
      </w:r>
      <w:bookmarkEnd w:id="5"/>
      <w:r w:rsidRPr="00731419">
        <w:rPr>
          <w:rFonts w:eastAsia="Times New Roman" w:cs="Arial"/>
          <w:sz w:val="20"/>
          <w:szCs w:val="20"/>
          <w:lang w:val="en-GB"/>
        </w:rPr>
        <w:t>clinical expert’s perspective must rank highly in the evidence before any Committee.  Why did the Appraisal Committee feel that the views or concerns of a clinical expert must be validated by other stakeholders before triggering its duty under the Equalities Act?  Appeal Panel rulings have made clear that clinical expert testimony must be acknowledged and weighed transparently by the Committee.  There have been successful or partially successful appeals where a key issue was the failure properly to engage with, consider or address material evidence of clinical experts — particularly where this contributed to an unjustified recommendation or a procedurally unfair process.</w:t>
      </w:r>
    </w:p>
    <w:p w14:paraId="39422E88"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Whichever of the two alternatives happened, it is right and proper for the Appeal Panel to consider these points.</w:t>
      </w:r>
    </w:p>
    <w:p w14:paraId="3AFFF4B1" w14:textId="77777777" w:rsidR="00731419" w:rsidRPr="00731419" w:rsidRDefault="00731419" w:rsidP="00AF129A">
      <w:pPr>
        <w:spacing w:after="240"/>
        <w:jc w:val="both"/>
        <w:rPr>
          <w:rFonts w:eastAsia="Times New Roman" w:cs="Arial"/>
          <w:b/>
          <w:bCs/>
          <w:i/>
          <w:iCs/>
          <w:sz w:val="20"/>
          <w:szCs w:val="20"/>
          <w:lang w:val="en-GB"/>
        </w:rPr>
      </w:pPr>
      <w:r w:rsidRPr="00731419">
        <w:rPr>
          <w:rFonts w:eastAsia="Times New Roman" w:cs="Arial"/>
          <w:b/>
          <w:bCs/>
          <w:i/>
          <w:iCs/>
          <w:sz w:val="20"/>
          <w:szCs w:val="20"/>
          <w:lang w:val="en-GB"/>
        </w:rPr>
        <w:t>Ground One Summary</w:t>
      </w:r>
    </w:p>
    <w:p w14:paraId="085B099D"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There are several key issues for the Appeal Panel to consider:</w:t>
      </w:r>
    </w:p>
    <w:p w14:paraId="278C8150" w14:textId="77777777" w:rsidR="00731419" w:rsidRPr="00731419" w:rsidRDefault="00731419" w:rsidP="00AF129A">
      <w:pPr>
        <w:numPr>
          <w:ilvl w:val="0"/>
          <w:numId w:val="5"/>
        </w:numPr>
        <w:spacing w:after="240"/>
        <w:ind w:left="1004"/>
        <w:jc w:val="both"/>
        <w:rPr>
          <w:rFonts w:eastAsia="Times New Roman" w:cs="Arial"/>
          <w:sz w:val="20"/>
          <w:szCs w:val="20"/>
          <w:lang w:val="en-GB"/>
        </w:rPr>
      </w:pPr>
      <w:r w:rsidRPr="00731419">
        <w:rPr>
          <w:rFonts w:eastAsia="Times New Roman" w:cs="Arial"/>
          <w:sz w:val="20"/>
          <w:szCs w:val="20"/>
          <w:lang w:val="en-GB"/>
        </w:rPr>
        <w:t>Even if the Committee considered the MAIC-driven PFS data to be highly uncertain, it ought to have done more to understand what it could show and attach evidential weight to that, cognisant of the potential risks and implications of taking a rigid stance?</w:t>
      </w:r>
    </w:p>
    <w:p w14:paraId="54499328" w14:textId="77777777" w:rsidR="00731419" w:rsidRPr="00731419" w:rsidRDefault="00731419" w:rsidP="00AF129A">
      <w:pPr>
        <w:numPr>
          <w:ilvl w:val="0"/>
          <w:numId w:val="5"/>
        </w:numPr>
        <w:spacing w:after="240"/>
        <w:ind w:left="1004"/>
        <w:jc w:val="both"/>
        <w:rPr>
          <w:rFonts w:eastAsia="Times New Roman" w:cs="Arial"/>
          <w:sz w:val="20"/>
          <w:szCs w:val="20"/>
          <w:lang w:val="en-GB"/>
        </w:rPr>
      </w:pPr>
      <w:r w:rsidRPr="00731419">
        <w:rPr>
          <w:rFonts w:eastAsia="Times New Roman" w:cs="Arial"/>
          <w:sz w:val="20"/>
          <w:szCs w:val="20"/>
          <w:lang w:val="en-GB"/>
        </w:rPr>
        <w:t xml:space="preserve">Could the Committee have adopted additional flexibility or exercised its discretion in another way (as it has done in previous appraisals) to be able to arrive at a set of preferred assumptions enabling the company and NHS England to </w:t>
      </w:r>
      <w:proofErr w:type="gramStart"/>
      <w:r w:rsidRPr="00731419">
        <w:rPr>
          <w:rFonts w:eastAsia="Times New Roman" w:cs="Arial"/>
          <w:sz w:val="20"/>
          <w:szCs w:val="20"/>
          <w:lang w:val="en-GB"/>
        </w:rPr>
        <w:t>enter into</w:t>
      </w:r>
      <w:proofErr w:type="gramEnd"/>
      <w:r w:rsidRPr="00731419">
        <w:rPr>
          <w:rFonts w:eastAsia="Times New Roman" w:cs="Arial"/>
          <w:sz w:val="20"/>
          <w:szCs w:val="20"/>
          <w:lang w:val="en-GB"/>
        </w:rPr>
        <w:t xml:space="preserve"> formal commercial flexibility discussions?</w:t>
      </w:r>
    </w:p>
    <w:p w14:paraId="259F4F1B" w14:textId="77777777" w:rsidR="00731419" w:rsidRPr="00731419" w:rsidRDefault="00731419" w:rsidP="00AF129A">
      <w:pPr>
        <w:numPr>
          <w:ilvl w:val="0"/>
          <w:numId w:val="5"/>
        </w:numPr>
        <w:spacing w:after="240"/>
        <w:ind w:left="1004"/>
        <w:jc w:val="both"/>
        <w:rPr>
          <w:rFonts w:eastAsia="Times New Roman" w:cs="Arial"/>
          <w:sz w:val="20"/>
          <w:szCs w:val="20"/>
          <w:lang w:val="en-GB"/>
        </w:rPr>
      </w:pPr>
      <w:proofErr w:type="gramStart"/>
      <w:r w:rsidRPr="00731419">
        <w:rPr>
          <w:rFonts w:eastAsia="Times New Roman" w:cs="Arial"/>
          <w:sz w:val="20"/>
          <w:szCs w:val="20"/>
          <w:lang w:val="en-GB"/>
        </w:rPr>
        <w:t>In light of</w:t>
      </w:r>
      <w:proofErr w:type="gramEnd"/>
      <w:r w:rsidRPr="00731419">
        <w:rPr>
          <w:rFonts w:eastAsia="Times New Roman" w:cs="Arial"/>
          <w:sz w:val="20"/>
          <w:szCs w:val="20"/>
          <w:lang w:val="en-GB"/>
        </w:rPr>
        <w:t xml:space="preserve"> the uncertainties inherent in appraisals of this kind, could the Committee have better </w:t>
      </w:r>
      <w:proofErr w:type="gramStart"/>
      <w:r w:rsidRPr="00731419">
        <w:rPr>
          <w:rFonts w:eastAsia="Times New Roman" w:cs="Arial"/>
          <w:sz w:val="20"/>
          <w:szCs w:val="20"/>
          <w:lang w:val="en-GB"/>
        </w:rPr>
        <w:t>taken into account</w:t>
      </w:r>
      <w:proofErr w:type="gramEnd"/>
      <w:r w:rsidRPr="00731419">
        <w:rPr>
          <w:rFonts w:eastAsia="Times New Roman" w:cs="Arial"/>
          <w:sz w:val="20"/>
          <w:szCs w:val="20"/>
          <w:lang w:val="en-GB"/>
        </w:rPr>
        <w:t xml:space="preserve"> the views of clinical experts and the company’s evidence, which indicated there were no clinically meaningful differences between </w:t>
      </w:r>
      <w:proofErr w:type="spellStart"/>
      <w:r w:rsidRPr="00731419">
        <w:rPr>
          <w:rFonts w:eastAsia="Times New Roman" w:cs="Arial"/>
          <w:sz w:val="20"/>
          <w:szCs w:val="20"/>
          <w:lang w:val="en-GB"/>
        </w:rPr>
        <w:t>cemiplimab</w:t>
      </w:r>
      <w:proofErr w:type="spellEnd"/>
      <w:r w:rsidRPr="00731419">
        <w:rPr>
          <w:rFonts w:eastAsia="Times New Roman" w:cs="Arial"/>
          <w:sz w:val="20"/>
          <w:szCs w:val="20"/>
          <w:lang w:val="en-GB"/>
        </w:rPr>
        <w:t xml:space="preserve"> + chemotherapy and pembrolizumab + chemotherapy for PFS or OS.</w:t>
      </w:r>
    </w:p>
    <w:p w14:paraId="6BAA9606" w14:textId="77777777" w:rsidR="00731419" w:rsidRPr="00731419" w:rsidRDefault="00731419" w:rsidP="00AF129A">
      <w:pPr>
        <w:numPr>
          <w:ilvl w:val="0"/>
          <w:numId w:val="5"/>
        </w:numPr>
        <w:spacing w:after="240"/>
        <w:ind w:left="1004"/>
        <w:jc w:val="both"/>
        <w:rPr>
          <w:rFonts w:eastAsia="Times New Roman" w:cs="Arial"/>
          <w:sz w:val="20"/>
          <w:szCs w:val="20"/>
          <w:lang w:val="en-GB"/>
        </w:rPr>
      </w:pPr>
      <w:r w:rsidRPr="00731419">
        <w:rPr>
          <w:rFonts w:eastAsia="Times New Roman" w:cs="Arial"/>
          <w:sz w:val="20"/>
          <w:szCs w:val="20"/>
          <w:lang w:val="en-GB"/>
        </w:rPr>
        <w:lastRenderedPageBreak/>
        <w:t>Was the Committee correct to conclude that “</w:t>
      </w:r>
      <w:r w:rsidRPr="00731419">
        <w:rPr>
          <w:rFonts w:eastAsia="Times New Roman" w:cs="Arial"/>
          <w:i/>
          <w:iCs/>
          <w:sz w:val="20"/>
          <w:szCs w:val="20"/>
          <w:lang w:val="en-GB"/>
        </w:rPr>
        <w:t>the available cost-effectiveness estimates were not suitable for decision making</w:t>
      </w:r>
      <w:r w:rsidRPr="00731419">
        <w:rPr>
          <w:rFonts w:eastAsia="Times New Roman" w:cs="Arial"/>
          <w:sz w:val="20"/>
          <w:szCs w:val="20"/>
          <w:lang w:val="en-GB"/>
        </w:rPr>
        <w:t xml:space="preserve">” in part because the Committee “had not been presented with the analysis needed to define its preferences”? </w:t>
      </w:r>
      <w:proofErr w:type="gramStart"/>
      <w:r w:rsidRPr="00731419">
        <w:rPr>
          <w:rFonts w:eastAsia="Times New Roman" w:cs="Arial"/>
          <w:sz w:val="20"/>
          <w:szCs w:val="20"/>
          <w:lang w:val="en-GB"/>
        </w:rPr>
        <w:t>In light of</w:t>
      </w:r>
      <w:proofErr w:type="gramEnd"/>
      <w:r w:rsidRPr="00731419">
        <w:rPr>
          <w:rFonts w:eastAsia="Times New Roman" w:cs="Arial"/>
          <w:sz w:val="20"/>
          <w:szCs w:val="20"/>
          <w:lang w:val="en-GB"/>
        </w:rPr>
        <w:t xml:space="preserve"> the </w:t>
      </w:r>
      <w:proofErr w:type="gramStart"/>
      <w:r w:rsidRPr="00731419">
        <w:rPr>
          <w:rFonts w:eastAsia="Times New Roman" w:cs="Arial"/>
          <w:sz w:val="20"/>
          <w:szCs w:val="20"/>
          <w:lang w:val="en-GB"/>
        </w:rPr>
        <w:t>equalities</w:t>
      </w:r>
      <w:proofErr w:type="gramEnd"/>
      <w:r w:rsidRPr="00731419">
        <w:rPr>
          <w:rFonts w:eastAsia="Times New Roman" w:cs="Arial"/>
          <w:sz w:val="20"/>
          <w:szCs w:val="20"/>
          <w:lang w:val="en-GB"/>
        </w:rPr>
        <w:t xml:space="preserve"> considerations engaged, should the Committee have investigated and explored more intently what the true range of cost-effectiveness estimates could have been, based on the available evidence?</w:t>
      </w:r>
    </w:p>
    <w:p w14:paraId="0A4A4E82" w14:textId="77777777" w:rsidR="00731419" w:rsidRPr="00731419" w:rsidRDefault="00731419" w:rsidP="00AF129A">
      <w:pPr>
        <w:numPr>
          <w:ilvl w:val="0"/>
          <w:numId w:val="5"/>
        </w:numPr>
        <w:spacing w:after="240"/>
        <w:ind w:left="1004"/>
        <w:jc w:val="both"/>
        <w:rPr>
          <w:rFonts w:eastAsia="Times New Roman" w:cs="Arial"/>
          <w:sz w:val="20"/>
          <w:szCs w:val="20"/>
          <w:lang w:val="en-GB"/>
        </w:rPr>
      </w:pPr>
      <w:r w:rsidRPr="00731419">
        <w:rPr>
          <w:rFonts w:eastAsia="Times New Roman" w:cs="Arial"/>
          <w:sz w:val="20"/>
          <w:szCs w:val="20"/>
          <w:lang w:val="en-GB"/>
        </w:rPr>
        <w:t>Was the Committee correct to reach the sweeping conclusion that, based on the limited the cost-effectiveness estimates it had seen, that these would be above the acceptable ICER thresholds anyway?  Was such a conclusion appropriate in the circumstances?</w:t>
      </w:r>
    </w:p>
    <w:p w14:paraId="5FB27B1C"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These are questions that influence, and are influenced by, the other grounds.  However, we firmly believe these are questions the Appeal Panel must ask themselves on a standalone basis.</w:t>
      </w:r>
    </w:p>
    <w:p w14:paraId="5D29CF9D"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As for other grounds, we have summarized and reproduced some of the points above into the updated Appeal Letter enclosed with this letter.</w:t>
      </w:r>
    </w:p>
    <w:p w14:paraId="280EB033" w14:textId="77777777" w:rsidR="00731419" w:rsidRPr="00731419" w:rsidRDefault="00731419" w:rsidP="00AF129A">
      <w:pPr>
        <w:spacing w:after="240"/>
        <w:jc w:val="both"/>
        <w:rPr>
          <w:rFonts w:eastAsia="Times New Roman" w:cs="Arial"/>
          <w:b/>
          <w:bCs/>
          <w:sz w:val="20"/>
          <w:szCs w:val="20"/>
          <w:lang w:val="en-GB"/>
        </w:rPr>
      </w:pPr>
      <w:r w:rsidRPr="00731419">
        <w:rPr>
          <w:rFonts w:eastAsia="Times New Roman" w:cs="Arial"/>
          <w:b/>
          <w:bCs/>
          <w:sz w:val="20"/>
          <w:szCs w:val="20"/>
          <w:lang w:val="en-GB"/>
        </w:rPr>
        <w:t xml:space="preserve">Appeal </w:t>
      </w:r>
      <w:proofErr w:type="gramStart"/>
      <w:r w:rsidRPr="00731419">
        <w:rPr>
          <w:rFonts w:eastAsia="Times New Roman" w:cs="Arial"/>
          <w:b/>
          <w:bCs/>
          <w:sz w:val="20"/>
          <w:szCs w:val="20"/>
          <w:lang w:val="en-GB"/>
        </w:rPr>
        <w:t>point</w:t>
      </w:r>
      <w:proofErr w:type="gramEnd"/>
      <w:r w:rsidRPr="00731419">
        <w:rPr>
          <w:rFonts w:eastAsia="Times New Roman" w:cs="Arial"/>
          <w:b/>
          <w:bCs/>
          <w:sz w:val="20"/>
          <w:szCs w:val="20"/>
          <w:lang w:val="en-GB"/>
        </w:rPr>
        <w:t xml:space="preserve"> 2.3: The Appraisal Committee’s conclusion that the company’s original submissions were insufficient to assess similarity between </w:t>
      </w:r>
      <w:proofErr w:type="spellStart"/>
      <w:r w:rsidRPr="00731419">
        <w:rPr>
          <w:rFonts w:eastAsia="Times New Roman" w:cs="Arial"/>
          <w:b/>
          <w:bCs/>
          <w:sz w:val="20"/>
          <w:szCs w:val="20"/>
          <w:lang w:val="en-GB"/>
        </w:rPr>
        <w:t>cemiplimab</w:t>
      </w:r>
      <w:proofErr w:type="spellEnd"/>
      <w:r w:rsidRPr="00731419">
        <w:rPr>
          <w:rFonts w:eastAsia="Times New Roman" w:cs="Arial"/>
          <w:b/>
          <w:bCs/>
          <w:sz w:val="20"/>
          <w:szCs w:val="20"/>
          <w:lang w:val="en-GB"/>
        </w:rPr>
        <w:t xml:space="preserve"> and pembrolizumab was unreasonable </w:t>
      </w:r>
      <w:proofErr w:type="gramStart"/>
      <w:r w:rsidRPr="00731419">
        <w:rPr>
          <w:rFonts w:eastAsia="Times New Roman" w:cs="Arial"/>
          <w:b/>
          <w:bCs/>
          <w:sz w:val="20"/>
          <w:szCs w:val="20"/>
          <w:lang w:val="en-GB"/>
        </w:rPr>
        <w:t>in light of</w:t>
      </w:r>
      <w:proofErr w:type="gramEnd"/>
      <w:r w:rsidRPr="00731419">
        <w:rPr>
          <w:rFonts w:eastAsia="Times New Roman" w:cs="Arial"/>
          <w:b/>
          <w:bCs/>
          <w:sz w:val="20"/>
          <w:szCs w:val="20"/>
          <w:lang w:val="en-GB"/>
        </w:rPr>
        <w:t xml:space="preserve"> the evidence before it.</w:t>
      </w:r>
    </w:p>
    <w:p w14:paraId="568A5929"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 xml:space="preserve">We appreciate your comments.  Upon reflection, we agree that this point is connected to the broader procedural unfairness point under Appeal Ground 1a.1.  </w:t>
      </w:r>
    </w:p>
    <w:p w14:paraId="148B626C"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To that end, the updated Appeal Letter enclosed reframes these points under Appeal Ground 1a.1 in red text.</w:t>
      </w:r>
    </w:p>
    <w:p w14:paraId="424B8B9F"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b/>
          <w:bCs/>
          <w:sz w:val="20"/>
          <w:szCs w:val="20"/>
          <w:lang w:val="en-GB"/>
        </w:rPr>
        <w:t xml:space="preserve">Appeal </w:t>
      </w:r>
      <w:proofErr w:type="gramStart"/>
      <w:r w:rsidRPr="00731419">
        <w:rPr>
          <w:rFonts w:eastAsia="Times New Roman" w:cs="Arial"/>
          <w:b/>
          <w:bCs/>
          <w:sz w:val="20"/>
          <w:szCs w:val="20"/>
          <w:lang w:val="en-GB"/>
        </w:rPr>
        <w:t>point</w:t>
      </w:r>
      <w:proofErr w:type="gramEnd"/>
      <w:r w:rsidRPr="00731419">
        <w:rPr>
          <w:rFonts w:eastAsia="Times New Roman" w:cs="Arial"/>
          <w:b/>
          <w:bCs/>
          <w:sz w:val="20"/>
          <w:szCs w:val="20"/>
          <w:lang w:val="en-GB"/>
        </w:rPr>
        <w:t xml:space="preserve"> 2.4: The Committee’s conclusions on the suitability of a cost-comparison analysis are unreasonable </w:t>
      </w:r>
      <w:proofErr w:type="gramStart"/>
      <w:r w:rsidRPr="00731419">
        <w:rPr>
          <w:rFonts w:eastAsia="Times New Roman" w:cs="Arial"/>
          <w:b/>
          <w:bCs/>
          <w:sz w:val="20"/>
          <w:szCs w:val="20"/>
          <w:lang w:val="en-GB"/>
        </w:rPr>
        <w:t>in light of</w:t>
      </w:r>
      <w:proofErr w:type="gramEnd"/>
      <w:r w:rsidRPr="00731419">
        <w:rPr>
          <w:rFonts w:eastAsia="Times New Roman" w:cs="Arial"/>
          <w:b/>
          <w:bCs/>
          <w:sz w:val="20"/>
          <w:szCs w:val="20"/>
          <w:lang w:val="en-GB"/>
        </w:rPr>
        <w:t xml:space="preserve"> the evidence submitted.</w:t>
      </w:r>
    </w:p>
    <w:p w14:paraId="67382A0D"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We submit respectfully that the purpose of the scrutiny stage is to identify arguable appeal points for the Appeal Panel to consider rather than eliminate appeal points whose subject-matter overlaps with others.  We therefore caution against being over-reductive in respect of this appeal ground.</w:t>
      </w:r>
    </w:p>
    <w:p w14:paraId="70B22603"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 xml:space="preserve">We believe there is a clear, self-contained appeal point under this Ground 2.4, namely whether it was reasonable for the Committee to conclude – based on the totality of the information available to it – that the evidence for clinical similarity was not robust enough for a cost-comparison analysis.  Naturally, that question is connected to the fact that the Committee: (a) unfairly disregarded relevant evidence from the MAIC-based PFS analyses; and (b) unreasonably insisted upon a Markov model.  However, this appeal ground is certainly not limited to only those points. </w:t>
      </w:r>
    </w:p>
    <w:p w14:paraId="7D693380"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 xml:space="preserve">The material question is whether, based on the totality of the available evidence, and its quality, was it reasonable for the </w:t>
      </w:r>
      <w:r w:rsidRPr="00731419">
        <w:rPr>
          <w:rFonts w:eastAsia="Times New Roman" w:cs="Arial"/>
          <w:color w:val="000000"/>
          <w:sz w:val="20"/>
          <w:szCs w:val="20"/>
          <w:lang w:val="en-GB"/>
        </w:rPr>
        <w:t xml:space="preserve">Committee to reject the cost comparison analysis provided by the company, given the consistent evidence of clinical similarity with which it was presented?  </w:t>
      </w:r>
    </w:p>
    <w:p w14:paraId="47E9C3CA"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In this regard, the Committee reached an entirely unreasonable conclusion that simply does not stack up:</w:t>
      </w:r>
    </w:p>
    <w:p w14:paraId="6E08F3D2" w14:textId="77777777" w:rsidR="00731419" w:rsidRPr="00731419" w:rsidRDefault="00731419" w:rsidP="00AF129A">
      <w:pPr>
        <w:numPr>
          <w:ilvl w:val="0"/>
          <w:numId w:val="6"/>
        </w:numPr>
        <w:spacing w:after="240"/>
        <w:ind w:left="1004"/>
        <w:jc w:val="both"/>
        <w:rPr>
          <w:rFonts w:eastAsia="Times New Roman" w:cs="Arial"/>
          <w:sz w:val="20"/>
          <w:szCs w:val="20"/>
          <w:lang w:val="en-GB"/>
        </w:rPr>
      </w:pPr>
      <w:r w:rsidRPr="00731419">
        <w:rPr>
          <w:rFonts w:eastAsia="Times New Roman" w:cs="Arial"/>
          <w:sz w:val="20"/>
          <w:szCs w:val="20"/>
          <w:lang w:val="en-GB"/>
        </w:rPr>
        <w:t>It was clear from the outset that the Committee took an unusually pessimistic and overly strict statistical interpretation of the company’s original NMA.</w:t>
      </w:r>
    </w:p>
    <w:p w14:paraId="687EBE84" w14:textId="77777777" w:rsidR="00731419" w:rsidRPr="00731419" w:rsidRDefault="00731419" w:rsidP="00AF129A">
      <w:pPr>
        <w:numPr>
          <w:ilvl w:val="0"/>
          <w:numId w:val="6"/>
        </w:numPr>
        <w:spacing w:after="240"/>
        <w:ind w:left="1004"/>
        <w:jc w:val="both"/>
        <w:rPr>
          <w:rFonts w:eastAsia="Times New Roman" w:cs="Arial"/>
          <w:sz w:val="20"/>
          <w:szCs w:val="20"/>
          <w:lang w:val="en-GB"/>
        </w:rPr>
      </w:pPr>
      <w:r w:rsidRPr="00731419">
        <w:rPr>
          <w:rFonts w:eastAsia="Times New Roman" w:cs="Arial"/>
          <w:sz w:val="20"/>
          <w:szCs w:val="20"/>
          <w:lang w:val="en-GB"/>
        </w:rPr>
        <w:t xml:space="preserve">The Company responded to the concerns the Committee had raised after the first ACM comprehensively, providing appropriate and relevant analyses to minimize uncertainty wherever possible.  </w:t>
      </w:r>
    </w:p>
    <w:p w14:paraId="615FB846" w14:textId="77777777" w:rsidR="00731419" w:rsidRPr="00731419" w:rsidRDefault="00731419" w:rsidP="00AF129A">
      <w:pPr>
        <w:numPr>
          <w:ilvl w:val="0"/>
          <w:numId w:val="6"/>
        </w:numPr>
        <w:spacing w:after="240"/>
        <w:ind w:left="1004"/>
        <w:jc w:val="both"/>
        <w:rPr>
          <w:rFonts w:eastAsia="Times New Roman" w:cs="Arial"/>
          <w:sz w:val="20"/>
          <w:szCs w:val="20"/>
          <w:lang w:val="en-GB"/>
        </w:rPr>
      </w:pPr>
      <w:r w:rsidRPr="00731419">
        <w:rPr>
          <w:rFonts w:eastAsia="Times New Roman" w:cs="Arial"/>
          <w:sz w:val="20"/>
          <w:szCs w:val="20"/>
          <w:lang w:val="en-GB"/>
        </w:rPr>
        <w:lastRenderedPageBreak/>
        <w:t>The EAG’s review of the Company’s evidence submission was supportive of the Company’s approach and did not appear to raise major concerns with respect to the possibility of a cost-comparison exercise.</w:t>
      </w:r>
    </w:p>
    <w:p w14:paraId="302D4BF8" w14:textId="77777777" w:rsidR="00731419" w:rsidRPr="00731419" w:rsidRDefault="00731419" w:rsidP="00AF129A">
      <w:pPr>
        <w:numPr>
          <w:ilvl w:val="0"/>
          <w:numId w:val="6"/>
        </w:numPr>
        <w:ind w:left="1004"/>
        <w:jc w:val="both"/>
        <w:rPr>
          <w:rFonts w:eastAsia="Times New Roman" w:cs="Arial"/>
          <w:sz w:val="20"/>
          <w:szCs w:val="20"/>
        </w:rPr>
      </w:pPr>
      <w:r w:rsidRPr="00731419">
        <w:rPr>
          <w:rFonts w:eastAsia="Times New Roman" w:cs="Arial"/>
          <w:sz w:val="20"/>
          <w:szCs w:val="20"/>
        </w:rPr>
        <w:t xml:space="preserve">The weight of evidence from clinical expert opinion, clinical guidelines, NMAs, </w:t>
      </w:r>
      <w:proofErr w:type="gramStart"/>
      <w:r w:rsidRPr="00731419">
        <w:rPr>
          <w:rFonts w:eastAsia="Times New Roman" w:cs="Arial"/>
          <w:sz w:val="20"/>
          <w:szCs w:val="20"/>
        </w:rPr>
        <w:t>and also</w:t>
      </w:r>
      <w:proofErr w:type="gramEnd"/>
      <w:r w:rsidRPr="00731419">
        <w:rPr>
          <w:rFonts w:eastAsia="Times New Roman" w:cs="Arial"/>
          <w:sz w:val="20"/>
          <w:szCs w:val="20"/>
        </w:rPr>
        <w:t xml:space="preserve"> MAIC analyses all point to the same conclusion – namely that there is a similarity of treatment effect between </w:t>
      </w:r>
      <w:proofErr w:type="spellStart"/>
      <w:r w:rsidRPr="00731419">
        <w:rPr>
          <w:rFonts w:eastAsia="Times New Roman" w:cs="Arial"/>
          <w:sz w:val="20"/>
          <w:szCs w:val="20"/>
        </w:rPr>
        <w:t>cemiplimab</w:t>
      </w:r>
      <w:proofErr w:type="spellEnd"/>
      <w:r w:rsidRPr="00731419">
        <w:rPr>
          <w:rFonts w:eastAsia="Times New Roman" w:cs="Arial"/>
          <w:sz w:val="20"/>
          <w:szCs w:val="20"/>
        </w:rPr>
        <w:t xml:space="preserve"> plus chemotherapy and pembrolizumab plus chemotherapy. </w:t>
      </w:r>
    </w:p>
    <w:p w14:paraId="54C82A35" w14:textId="77777777" w:rsidR="00731419" w:rsidRPr="00731419" w:rsidRDefault="00731419" w:rsidP="00AF129A">
      <w:pPr>
        <w:ind w:left="1004"/>
        <w:jc w:val="both"/>
        <w:rPr>
          <w:rFonts w:eastAsia="Times New Roman" w:cs="Arial"/>
          <w:sz w:val="20"/>
          <w:szCs w:val="20"/>
        </w:rPr>
      </w:pPr>
    </w:p>
    <w:p w14:paraId="1E08072D" w14:textId="77777777" w:rsidR="00731419" w:rsidRPr="00731419" w:rsidRDefault="00731419" w:rsidP="00AF129A">
      <w:pPr>
        <w:numPr>
          <w:ilvl w:val="0"/>
          <w:numId w:val="6"/>
        </w:numPr>
        <w:ind w:left="1004"/>
        <w:jc w:val="both"/>
        <w:rPr>
          <w:rFonts w:eastAsia="Times New Roman" w:cs="Arial"/>
          <w:sz w:val="20"/>
          <w:szCs w:val="20"/>
        </w:rPr>
      </w:pPr>
      <w:r w:rsidRPr="00731419">
        <w:rPr>
          <w:rFonts w:eastAsia="Times New Roman" w:cs="Arial"/>
          <w:sz w:val="20"/>
          <w:szCs w:val="20"/>
        </w:rPr>
        <w:t>Even if the Committee was not persuaded by the raft of OS analyses that were presented, the reasonable conclusion from all available evidence is that there are no meaningful differences in PFS between the two treatments. And given the Committee’s stated preference for a PFS-drive Markov model that assumed an equal risk of post-progression survival, it must necessarily follow – from the Committee’s own logic – that OS must also be equal between the two treatments.</w:t>
      </w:r>
    </w:p>
    <w:p w14:paraId="35080D9C" w14:textId="77777777" w:rsidR="00731419" w:rsidRPr="00731419" w:rsidRDefault="00731419" w:rsidP="00AF129A">
      <w:pPr>
        <w:ind w:left="1004"/>
        <w:jc w:val="both"/>
        <w:rPr>
          <w:rFonts w:eastAsia="Times New Roman" w:cs="Arial"/>
          <w:sz w:val="20"/>
          <w:szCs w:val="20"/>
        </w:rPr>
      </w:pPr>
    </w:p>
    <w:p w14:paraId="10FEDF5C"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Taking these points together, we are surprised that the Committee concluded that “</w:t>
      </w:r>
      <w:r w:rsidRPr="00731419">
        <w:rPr>
          <w:rFonts w:eastAsia="Times New Roman" w:cs="Arial"/>
          <w:i/>
          <w:iCs/>
          <w:sz w:val="20"/>
          <w:szCs w:val="20"/>
          <w:lang w:val="en-GB"/>
        </w:rPr>
        <w:t>the evidence for clinical similarity was not robust enough for a cost-comparison analysis</w:t>
      </w:r>
      <w:r w:rsidRPr="00731419">
        <w:rPr>
          <w:rFonts w:eastAsia="Times New Roman" w:cs="Arial"/>
          <w:sz w:val="20"/>
          <w:szCs w:val="20"/>
          <w:lang w:val="en-GB"/>
        </w:rPr>
        <w:t>” (Paragraph 3.8, FDG).</w:t>
      </w:r>
    </w:p>
    <w:p w14:paraId="1CCB7D0E"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 xml:space="preserve">This is clearly not a reasonable conclusion in the circumstances, particularly if one </w:t>
      </w:r>
      <w:proofErr w:type="gramStart"/>
      <w:r w:rsidRPr="00731419">
        <w:rPr>
          <w:rFonts w:eastAsia="Times New Roman" w:cs="Arial"/>
          <w:sz w:val="20"/>
          <w:szCs w:val="20"/>
          <w:lang w:val="en-GB"/>
        </w:rPr>
        <w:t>takes into account</w:t>
      </w:r>
      <w:proofErr w:type="gramEnd"/>
      <w:r w:rsidRPr="00731419">
        <w:rPr>
          <w:rFonts w:eastAsia="Times New Roman" w:cs="Arial"/>
          <w:sz w:val="20"/>
          <w:szCs w:val="20"/>
          <w:lang w:val="en-GB"/>
        </w:rPr>
        <w:t xml:space="preserve"> other situations where the Committee has decided it is possible to carry-out a cost-comparison exercise.  To that end, we wish to draw your and the Appeal Panel’s attention to the enclosed article recently published in Value in Health by various expert health economists, including the </w:t>
      </w:r>
      <w:proofErr w:type="gramStart"/>
      <w:r w:rsidRPr="00731419">
        <w:rPr>
          <w:rFonts w:eastAsia="Times New Roman" w:cs="Arial"/>
          <w:sz w:val="20"/>
          <w:szCs w:val="20"/>
          <w:lang w:val="en-GB"/>
        </w:rPr>
        <w:t>highly-respected</w:t>
      </w:r>
      <w:proofErr w:type="gramEnd"/>
      <w:r w:rsidRPr="00731419">
        <w:rPr>
          <w:rFonts w:eastAsia="Times New Roman" w:cs="Arial"/>
          <w:sz w:val="20"/>
          <w:szCs w:val="20"/>
          <w:lang w:val="en-GB"/>
        </w:rPr>
        <w:t>, Dawn Lee (</w:t>
      </w:r>
      <w:r w:rsidRPr="00731419">
        <w:rPr>
          <w:rFonts w:eastAsia="Times New Roman" w:cs="Arial"/>
          <w:i/>
          <w:iCs/>
          <w:sz w:val="20"/>
          <w:szCs w:val="20"/>
          <w:lang w:val="en-GB"/>
        </w:rPr>
        <w:t>How Similar is Similar Enough? Assessment of Indirect Treatment Comparisons to Support Similarity for National Institute for Health and Care Excellence’s Cost Comparison Route</w:t>
      </w:r>
      <w:r w:rsidRPr="00731419">
        <w:rPr>
          <w:rFonts w:eastAsia="Times New Roman" w:cs="Arial"/>
          <w:sz w:val="20"/>
          <w:szCs w:val="20"/>
          <w:lang w:val="en-GB"/>
        </w:rPr>
        <w:t xml:space="preserve">). </w:t>
      </w:r>
    </w:p>
    <w:p w14:paraId="45893124"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 xml:space="preserve">Lee </w:t>
      </w:r>
      <w:r w:rsidRPr="00731419">
        <w:rPr>
          <w:rFonts w:eastAsia="Times New Roman" w:cs="Arial"/>
          <w:i/>
          <w:sz w:val="20"/>
          <w:szCs w:val="20"/>
          <w:lang w:val="en-GB"/>
        </w:rPr>
        <w:t>et al.</w:t>
      </w:r>
      <w:r w:rsidRPr="00731419">
        <w:rPr>
          <w:rFonts w:eastAsia="Times New Roman" w:cs="Arial"/>
          <w:sz w:val="20"/>
          <w:szCs w:val="20"/>
          <w:lang w:val="en-GB"/>
        </w:rPr>
        <w:t xml:space="preserve"> reviewed various past NICE HTAs to assess its methods for determining equivalence when no head-to-head trial exists and therefore to identify how NICE committees decide whether the cost comparison route is </w:t>
      </w:r>
      <w:proofErr w:type="gramStart"/>
      <w:r w:rsidRPr="00731419">
        <w:rPr>
          <w:rFonts w:eastAsia="Times New Roman" w:cs="Arial"/>
          <w:sz w:val="20"/>
          <w:szCs w:val="20"/>
          <w:lang w:val="en-GB"/>
        </w:rPr>
        <w:t>suitable, and</w:t>
      </w:r>
      <w:proofErr w:type="gramEnd"/>
      <w:r w:rsidRPr="00731419">
        <w:rPr>
          <w:rFonts w:eastAsia="Times New Roman" w:cs="Arial"/>
          <w:sz w:val="20"/>
          <w:szCs w:val="20"/>
          <w:lang w:val="en-GB"/>
        </w:rPr>
        <w:t xml:space="preserve"> explore how best to present evidence of similarity.  </w:t>
      </w:r>
    </w:p>
    <w:p w14:paraId="3B2F0E9D" w14:textId="77777777" w:rsidR="00731419" w:rsidRPr="00731419" w:rsidRDefault="00731419" w:rsidP="00AF129A">
      <w:pPr>
        <w:numPr>
          <w:ilvl w:val="0"/>
          <w:numId w:val="7"/>
        </w:numPr>
        <w:spacing w:after="240"/>
        <w:ind w:left="1004"/>
        <w:jc w:val="both"/>
        <w:rPr>
          <w:rFonts w:eastAsia="Times New Roman" w:cs="Arial"/>
          <w:sz w:val="20"/>
          <w:szCs w:val="20"/>
          <w:lang w:val="en-GB"/>
        </w:rPr>
      </w:pPr>
      <w:r w:rsidRPr="00731419">
        <w:rPr>
          <w:rFonts w:eastAsia="Times New Roman" w:cs="Arial"/>
          <w:sz w:val="20"/>
          <w:szCs w:val="20"/>
          <w:lang w:val="en-GB"/>
        </w:rPr>
        <w:t xml:space="preserve">The article reviewed 33 NICE HTAs in which cost comparison methods had been adopted.  All of these resulted in a positive recommendation. </w:t>
      </w:r>
    </w:p>
    <w:p w14:paraId="17508364" w14:textId="77777777" w:rsidR="00731419" w:rsidRPr="00731419" w:rsidRDefault="00731419" w:rsidP="00AF129A">
      <w:pPr>
        <w:numPr>
          <w:ilvl w:val="0"/>
          <w:numId w:val="7"/>
        </w:numPr>
        <w:spacing w:after="240"/>
        <w:ind w:left="1004"/>
        <w:jc w:val="both"/>
        <w:rPr>
          <w:rFonts w:eastAsia="Times New Roman" w:cs="Arial"/>
          <w:sz w:val="20"/>
          <w:szCs w:val="20"/>
          <w:lang w:val="en-GB"/>
        </w:rPr>
      </w:pPr>
      <w:r w:rsidRPr="00731419">
        <w:rPr>
          <w:rFonts w:eastAsia="Times New Roman" w:cs="Arial"/>
          <w:sz w:val="20"/>
          <w:szCs w:val="20"/>
          <w:lang w:val="en-GB"/>
        </w:rPr>
        <w:t xml:space="preserve">None of the appraisals reviewed incorporated formal methods to determine similarity.  </w:t>
      </w:r>
    </w:p>
    <w:p w14:paraId="06CD4B74" w14:textId="77777777" w:rsidR="00731419" w:rsidRPr="00731419" w:rsidRDefault="00731419" w:rsidP="00AF129A">
      <w:pPr>
        <w:numPr>
          <w:ilvl w:val="0"/>
          <w:numId w:val="7"/>
        </w:numPr>
        <w:spacing w:after="240"/>
        <w:ind w:left="1004"/>
        <w:jc w:val="both"/>
        <w:rPr>
          <w:rFonts w:eastAsia="Times New Roman" w:cs="Arial"/>
          <w:sz w:val="20"/>
          <w:szCs w:val="20"/>
          <w:lang w:val="en-GB"/>
        </w:rPr>
      </w:pPr>
      <w:r w:rsidRPr="00731419">
        <w:rPr>
          <w:rFonts w:eastAsia="Times New Roman" w:cs="Arial"/>
          <w:sz w:val="20"/>
          <w:szCs w:val="20"/>
          <w:lang w:val="en-GB"/>
        </w:rPr>
        <w:t xml:space="preserve">Instead, the authors found that all submissions primarily relied upon narrative discussions based upon indirect treatment comparisons without formal non-inferiority testing -- </w:t>
      </w:r>
      <w:r w:rsidRPr="00731419">
        <w:rPr>
          <w:rFonts w:eastAsia="Times New Roman" w:cs="Arial"/>
          <w:i/>
          <w:iCs/>
          <w:sz w:val="20"/>
          <w:szCs w:val="20"/>
          <w:lang w:val="en-GB"/>
        </w:rPr>
        <w:t>i.e.,</w:t>
      </w:r>
      <w:r w:rsidRPr="00731419">
        <w:rPr>
          <w:rFonts w:eastAsia="Times New Roman" w:cs="Arial"/>
          <w:sz w:val="20"/>
          <w:szCs w:val="20"/>
          <w:lang w:val="en-GB"/>
        </w:rPr>
        <w:t xml:space="preserve"> “</w:t>
      </w:r>
      <w:r w:rsidRPr="00731419">
        <w:rPr>
          <w:rFonts w:eastAsia="Times New Roman" w:cs="Arial"/>
          <w:i/>
          <w:iCs/>
          <w:sz w:val="20"/>
          <w:szCs w:val="20"/>
          <w:lang w:val="en-GB"/>
        </w:rPr>
        <w:t xml:space="preserve">a narrative discussion of the broad range of results from, for example, a series of network </w:t>
      </w:r>
      <w:proofErr w:type="gramStart"/>
      <w:r w:rsidRPr="00731419">
        <w:rPr>
          <w:rFonts w:eastAsia="Times New Roman" w:cs="Arial"/>
          <w:i/>
          <w:iCs/>
          <w:sz w:val="20"/>
          <w:szCs w:val="20"/>
          <w:lang w:val="en-GB"/>
        </w:rPr>
        <w:t>meta analyses</w:t>
      </w:r>
      <w:proofErr w:type="gramEnd"/>
      <w:r w:rsidRPr="00731419">
        <w:rPr>
          <w:rFonts w:eastAsia="Times New Roman" w:cs="Arial"/>
          <w:i/>
          <w:iCs/>
          <w:sz w:val="20"/>
          <w:szCs w:val="20"/>
          <w:lang w:val="en-GB"/>
        </w:rPr>
        <w:t xml:space="preserve"> (NMAs), and describe how results did not differ significantly for most or all outcomes</w:t>
      </w:r>
      <w:r w:rsidRPr="00731419">
        <w:rPr>
          <w:rFonts w:eastAsia="Times New Roman" w:cs="Arial"/>
          <w:sz w:val="20"/>
          <w:szCs w:val="20"/>
          <w:lang w:val="en-GB"/>
        </w:rPr>
        <w:t>.”</w:t>
      </w:r>
    </w:p>
    <w:p w14:paraId="0CD4567E" w14:textId="77777777" w:rsidR="00731419" w:rsidRPr="00731419" w:rsidRDefault="00731419" w:rsidP="00AF129A">
      <w:pPr>
        <w:numPr>
          <w:ilvl w:val="0"/>
          <w:numId w:val="7"/>
        </w:numPr>
        <w:spacing w:after="240"/>
        <w:ind w:left="1004"/>
        <w:jc w:val="both"/>
        <w:rPr>
          <w:rFonts w:eastAsia="Times New Roman" w:cs="Arial"/>
          <w:sz w:val="20"/>
          <w:szCs w:val="20"/>
          <w:lang w:val="en-GB"/>
        </w:rPr>
      </w:pPr>
      <w:r w:rsidRPr="00731419">
        <w:rPr>
          <w:rFonts w:eastAsia="Times New Roman" w:cs="Arial"/>
          <w:sz w:val="20"/>
          <w:szCs w:val="20"/>
          <w:lang w:val="en-GB"/>
        </w:rPr>
        <w:t>Where this led to uncertainties, Appraisal Committees resolved these through clinical expert input alone.  The article goes on to note:</w:t>
      </w:r>
    </w:p>
    <w:p w14:paraId="4906DFD6" w14:textId="77777777" w:rsidR="00731419" w:rsidRPr="00731419" w:rsidRDefault="00731419" w:rsidP="00AF129A">
      <w:pPr>
        <w:spacing w:after="240"/>
        <w:ind w:left="1724"/>
        <w:jc w:val="both"/>
        <w:rPr>
          <w:rFonts w:eastAsia="Times New Roman" w:cs="Arial"/>
          <w:i/>
          <w:iCs/>
          <w:sz w:val="20"/>
          <w:szCs w:val="20"/>
          <w:lang w:val="en-GB"/>
        </w:rPr>
      </w:pPr>
      <w:r w:rsidRPr="00731419">
        <w:rPr>
          <w:rFonts w:eastAsia="Times New Roman" w:cs="Arial"/>
          <w:i/>
          <w:iCs/>
          <w:sz w:val="20"/>
          <w:szCs w:val="20"/>
          <w:lang w:val="en-GB"/>
        </w:rPr>
        <w:t>“… the information available suggested that clinical experts played a key role, both in supporting the assertion of similarity and in addressing EAG and committee concerns regarding the equivalent efficacy assumption.”</w:t>
      </w:r>
    </w:p>
    <w:p w14:paraId="27C5FA32" w14:textId="77777777" w:rsidR="00731419" w:rsidRPr="00731419" w:rsidRDefault="00731419" w:rsidP="00AF129A">
      <w:pPr>
        <w:numPr>
          <w:ilvl w:val="0"/>
          <w:numId w:val="7"/>
        </w:numPr>
        <w:spacing w:after="240"/>
        <w:ind w:left="1004"/>
        <w:jc w:val="both"/>
        <w:rPr>
          <w:rFonts w:eastAsia="Times New Roman" w:cs="Arial"/>
          <w:sz w:val="20"/>
          <w:szCs w:val="20"/>
          <w:lang w:val="en-GB"/>
        </w:rPr>
      </w:pPr>
      <w:r w:rsidRPr="00731419">
        <w:rPr>
          <w:rFonts w:eastAsia="Times New Roman" w:cs="Arial"/>
          <w:sz w:val="20"/>
          <w:szCs w:val="20"/>
          <w:lang w:val="en-GB"/>
        </w:rPr>
        <w:t>Finally, the article makes two key recommendations:</w:t>
      </w:r>
    </w:p>
    <w:p w14:paraId="711C27C1" w14:textId="77777777" w:rsidR="00731419" w:rsidRPr="00731419" w:rsidRDefault="00731419" w:rsidP="00AF129A">
      <w:pPr>
        <w:numPr>
          <w:ilvl w:val="0"/>
          <w:numId w:val="8"/>
        </w:numPr>
        <w:spacing w:after="240"/>
        <w:ind w:left="1364"/>
        <w:jc w:val="both"/>
        <w:rPr>
          <w:rFonts w:eastAsia="Times New Roman" w:cs="Arial"/>
          <w:sz w:val="20"/>
          <w:szCs w:val="20"/>
          <w:lang w:val="en-GB"/>
        </w:rPr>
      </w:pPr>
      <w:r w:rsidRPr="00731419">
        <w:rPr>
          <w:rFonts w:eastAsia="Times New Roman" w:cs="Arial"/>
          <w:sz w:val="20"/>
          <w:szCs w:val="20"/>
          <w:lang w:val="en-GB"/>
        </w:rPr>
        <w:t xml:space="preserve">The </w:t>
      </w:r>
      <w:r w:rsidRPr="00731419">
        <w:rPr>
          <w:rFonts w:eastAsia="Times New Roman" w:cs="Arial"/>
          <w:b/>
          <w:bCs/>
          <w:sz w:val="20"/>
          <w:szCs w:val="20"/>
          <w:lang w:val="en-GB"/>
        </w:rPr>
        <w:t>totality of available evidence and experience should be considered when deciding on the plausibility of similarity of effects.</w:t>
      </w:r>
      <w:r w:rsidRPr="00731419">
        <w:rPr>
          <w:rFonts w:eastAsia="Times New Roman" w:cs="Arial"/>
          <w:sz w:val="20"/>
          <w:szCs w:val="20"/>
          <w:lang w:val="en-GB"/>
        </w:rPr>
        <w:t xml:space="preserve"> This may include information from other endpoints considered, assessment of biological plausibility based upon mechanism of action, clinical opinion, head-to-head trials of treatments for which a class effect is plausible, in addition to the results from the ITC or evidence from prior appraisals (our emphasis)</w:t>
      </w:r>
    </w:p>
    <w:p w14:paraId="602DFDEA" w14:textId="77777777" w:rsidR="00731419" w:rsidRPr="00731419" w:rsidRDefault="00731419" w:rsidP="00AF129A">
      <w:pPr>
        <w:numPr>
          <w:ilvl w:val="0"/>
          <w:numId w:val="8"/>
        </w:numPr>
        <w:spacing w:after="240"/>
        <w:ind w:left="1364"/>
        <w:jc w:val="both"/>
        <w:rPr>
          <w:rFonts w:eastAsia="Times New Roman" w:cs="Arial"/>
          <w:sz w:val="20"/>
          <w:szCs w:val="20"/>
          <w:lang w:val="en-GB"/>
        </w:rPr>
      </w:pPr>
      <w:r w:rsidRPr="00731419">
        <w:rPr>
          <w:rFonts w:eastAsia="Times New Roman" w:cs="Arial"/>
          <w:sz w:val="20"/>
          <w:szCs w:val="20"/>
          <w:lang w:val="en-GB"/>
        </w:rPr>
        <w:lastRenderedPageBreak/>
        <w:t xml:space="preserve">In cases in which expert input is used to supplement the decision as to whether treatments can be considered similar, this should be gathered in a robust, transparent and systematic way to avoid misinterpretation. The reasons why experts consider treatments can, or cannot, </w:t>
      </w:r>
      <w:proofErr w:type="gramStart"/>
      <w:r w:rsidRPr="00731419">
        <w:rPr>
          <w:rFonts w:eastAsia="Times New Roman" w:cs="Arial"/>
          <w:sz w:val="20"/>
          <w:szCs w:val="20"/>
          <w:lang w:val="en-GB"/>
        </w:rPr>
        <w:t>be considered to be</w:t>
      </w:r>
      <w:proofErr w:type="gramEnd"/>
      <w:r w:rsidRPr="00731419">
        <w:rPr>
          <w:rFonts w:eastAsia="Times New Roman" w:cs="Arial"/>
          <w:sz w:val="20"/>
          <w:szCs w:val="20"/>
          <w:lang w:val="en-GB"/>
        </w:rPr>
        <w:t xml:space="preserve"> similar should be clearly recorded.</w:t>
      </w:r>
    </w:p>
    <w:p w14:paraId="5F72DBF0"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color w:val="000000"/>
          <w:sz w:val="20"/>
          <w:szCs w:val="20"/>
          <w:lang w:val="en-GB"/>
        </w:rPr>
        <w:t xml:space="preserve">The approach taken in the 33 appraisals assessed by Lee </w:t>
      </w:r>
      <w:r w:rsidRPr="00731419">
        <w:rPr>
          <w:rFonts w:eastAsia="Times New Roman" w:cs="Arial"/>
          <w:i/>
          <w:iCs/>
          <w:color w:val="000000"/>
          <w:sz w:val="20"/>
          <w:szCs w:val="20"/>
          <w:lang w:val="en-GB"/>
        </w:rPr>
        <w:t>et al.</w:t>
      </w:r>
      <w:r w:rsidRPr="00731419">
        <w:rPr>
          <w:rFonts w:eastAsia="Times New Roman" w:cs="Arial"/>
          <w:color w:val="000000"/>
          <w:sz w:val="20"/>
          <w:szCs w:val="20"/>
          <w:lang w:val="en-GB"/>
        </w:rPr>
        <w:t xml:space="preserve"> is the same </w:t>
      </w:r>
      <w:r w:rsidRPr="00731419">
        <w:rPr>
          <w:rFonts w:eastAsia="Times New Roman" w:cs="Arial"/>
          <w:sz w:val="20"/>
          <w:szCs w:val="20"/>
          <w:lang w:val="en-GB"/>
        </w:rPr>
        <w:t xml:space="preserve">approach that the Company followed in this appraisal.  </w:t>
      </w:r>
      <w:proofErr w:type="gramStart"/>
      <w:r w:rsidRPr="00731419">
        <w:rPr>
          <w:rFonts w:eastAsia="Times New Roman" w:cs="Arial"/>
          <w:sz w:val="20"/>
          <w:szCs w:val="20"/>
          <w:lang w:val="en-GB"/>
        </w:rPr>
        <w:t>It is clear that the</w:t>
      </w:r>
      <w:proofErr w:type="gramEnd"/>
      <w:r w:rsidRPr="00731419">
        <w:rPr>
          <w:rFonts w:eastAsia="Times New Roman" w:cs="Arial"/>
          <w:sz w:val="20"/>
          <w:szCs w:val="20"/>
          <w:lang w:val="en-GB"/>
        </w:rPr>
        <w:t xml:space="preserve"> totality of the data and evidence Regeneron provided was comparable (and in some cases exceeded) in terms of type and quality that which NICE had considered to be acceptable for a cost-comparison analysis in 33 prior cases.</w:t>
      </w:r>
    </w:p>
    <w:p w14:paraId="546C6F89"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 xml:space="preserve">We consider it is self-evident that the Committee’s decision and rationale for not accepting the cost-comparison analysis simply did not add up </w:t>
      </w:r>
      <w:proofErr w:type="gramStart"/>
      <w:r w:rsidRPr="00731419">
        <w:rPr>
          <w:rFonts w:eastAsia="Times New Roman" w:cs="Arial"/>
          <w:sz w:val="20"/>
          <w:szCs w:val="20"/>
          <w:lang w:val="en-GB"/>
        </w:rPr>
        <w:t>in light of</w:t>
      </w:r>
      <w:proofErr w:type="gramEnd"/>
      <w:r w:rsidRPr="00731419">
        <w:rPr>
          <w:rFonts w:eastAsia="Times New Roman" w:cs="Arial"/>
          <w:sz w:val="20"/>
          <w:szCs w:val="20"/>
          <w:lang w:val="en-GB"/>
        </w:rPr>
        <w:t xml:space="preserve"> the evidence that was available to it.  This is a standalone instance of unreasonableness, and we politely request that you admit it to the Appeal Panel. </w:t>
      </w:r>
    </w:p>
    <w:p w14:paraId="5EFFC371"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 xml:space="preserve">We also consider Lee </w:t>
      </w:r>
      <w:r w:rsidRPr="00731419">
        <w:rPr>
          <w:rFonts w:eastAsia="Times New Roman" w:cs="Arial"/>
          <w:i/>
          <w:iCs/>
          <w:sz w:val="20"/>
          <w:szCs w:val="20"/>
          <w:lang w:val="en-GB"/>
        </w:rPr>
        <w:t>et al.</w:t>
      </w:r>
      <w:r w:rsidRPr="00731419">
        <w:rPr>
          <w:rFonts w:eastAsia="Times New Roman" w:cs="Arial"/>
          <w:sz w:val="20"/>
          <w:szCs w:val="20"/>
          <w:lang w:val="en-GB"/>
        </w:rPr>
        <w:t xml:space="preserve"> to be highly informative, which we wish to refer to during the oral appeal hearing (both in respect of this appeal ground and others).  We therefore ask you to add the article to the Appeal Panel briefing pack.</w:t>
      </w:r>
    </w:p>
    <w:p w14:paraId="14F9BCBD" w14:textId="66B9FA3D" w:rsidR="00731419" w:rsidRPr="00731419" w:rsidRDefault="00731419" w:rsidP="00AF129A">
      <w:pPr>
        <w:spacing w:after="240"/>
        <w:jc w:val="both"/>
        <w:rPr>
          <w:rFonts w:eastAsia="Times New Roman" w:cs="Arial"/>
          <w:sz w:val="20"/>
          <w:szCs w:val="20"/>
          <w:lang w:val="en-GB"/>
        </w:rPr>
      </w:pPr>
      <w:bookmarkStart w:id="6" w:name="_Hlk201264051"/>
      <w:r w:rsidRPr="00731419">
        <w:rPr>
          <w:rFonts w:eastAsia="Times New Roman" w:cs="Arial"/>
          <w:sz w:val="20"/>
          <w:szCs w:val="20"/>
          <w:lang w:val="en-GB"/>
        </w:rPr>
        <w:t xml:space="preserve">The public law standard of reasonableness has been expressed in </w:t>
      </w:r>
      <w:proofErr w:type="gramStart"/>
      <w:r w:rsidRPr="00731419">
        <w:rPr>
          <w:rFonts w:eastAsia="Times New Roman" w:cs="Arial"/>
          <w:sz w:val="20"/>
          <w:szCs w:val="20"/>
          <w:lang w:val="en-GB"/>
        </w:rPr>
        <w:t>many different ways</w:t>
      </w:r>
      <w:proofErr w:type="gramEnd"/>
      <w:r w:rsidRPr="00731419">
        <w:rPr>
          <w:rFonts w:eastAsia="Times New Roman" w:cs="Arial"/>
          <w:sz w:val="20"/>
          <w:szCs w:val="20"/>
          <w:lang w:val="en-GB"/>
        </w:rPr>
        <w:t xml:space="preserve">.  Perhaps the most well-known case on the issue originates from the case of </w:t>
      </w:r>
      <w:r w:rsidRPr="00731419">
        <w:rPr>
          <w:rFonts w:eastAsia="Times New Roman" w:cs="Arial"/>
          <w:i/>
          <w:iCs/>
          <w:sz w:val="20"/>
          <w:szCs w:val="20"/>
          <w:lang w:val="en-GB"/>
        </w:rPr>
        <w:t>Associated Provincial Picture Houses Ltd v Wednesbury Corporation</w:t>
      </w:r>
      <w:r w:rsidRPr="00731419">
        <w:rPr>
          <w:rFonts w:eastAsia="Times New Roman" w:cs="Arial"/>
          <w:sz w:val="20"/>
          <w:szCs w:val="20"/>
          <w:lang w:val="en-GB"/>
        </w:rPr>
        <w:t xml:space="preserve"> [1948] 1 KB 223.</w:t>
      </w:r>
      <w:r w:rsidR="00F572CF">
        <w:rPr>
          <w:rFonts w:eastAsia="Times New Roman" w:cs="Arial"/>
          <w:sz w:val="20"/>
          <w:szCs w:val="20"/>
          <w:lang w:val="en-GB"/>
        </w:rPr>
        <w:t xml:space="preserve"> </w:t>
      </w:r>
      <w:r w:rsidRPr="00731419">
        <w:rPr>
          <w:rFonts w:eastAsia="Times New Roman" w:cs="Arial"/>
          <w:sz w:val="20"/>
          <w:szCs w:val="20"/>
          <w:lang w:val="en-GB"/>
        </w:rPr>
        <w:t>Under the so-called “Wednesbury unreasonableness” doctrine, a decision is unreasonable if it is “</w:t>
      </w:r>
      <w:r w:rsidRPr="00731419">
        <w:rPr>
          <w:rFonts w:eastAsia="Times New Roman" w:cs="Arial"/>
          <w:i/>
          <w:iCs/>
          <w:sz w:val="20"/>
          <w:szCs w:val="20"/>
          <w:lang w:val="en-GB"/>
        </w:rPr>
        <w:t>so unreasonable that no reasonable authority could ever have come to it</w:t>
      </w:r>
      <w:r w:rsidRPr="00731419">
        <w:rPr>
          <w:rFonts w:eastAsia="Times New Roman" w:cs="Arial"/>
          <w:sz w:val="20"/>
          <w:szCs w:val="20"/>
          <w:lang w:val="en-GB"/>
        </w:rPr>
        <w:t xml:space="preserve">.”  In other words, the decision must be so irrational that it could not have been made by any reasonable body, </w:t>
      </w:r>
      <w:proofErr w:type="gramStart"/>
      <w:r w:rsidRPr="00731419">
        <w:rPr>
          <w:rFonts w:eastAsia="Times New Roman" w:cs="Arial"/>
          <w:sz w:val="20"/>
          <w:szCs w:val="20"/>
          <w:lang w:val="en-GB"/>
        </w:rPr>
        <w:t>taking into account</w:t>
      </w:r>
      <w:proofErr w:type="gramEnd"/>
      <w:r w:rsidRPr="00731419">
        <w:rPr>
          <w:rFonts w:eastAsia="Times New Roman" w:cs="Arial"/>
          <w:sz w:val="20"/>
          <w:szCs w:val="20"/>
          <w:lang w:val="en-GB"/>
        </w:rPr>
        <w:t xml:space="preserve"> the relevant facts.  Based on the research of Lee </w:t>
      </w:r>
      <w:r w:rsidRPr="00731419">
        <w:rPr>
          <w:rFonts w:eastAsia="Times New Roman" w:cs="Arial"/>
          <w:i/>
          <w:iCs/>
          <w:sz w:val="20"/>
          <w:szCs w:val="20"/>
          <w:lang w:val="en-GB"/>
        </w:rPr>
        <w:t>et al</w:t>
      </w:r>
      <w:r w:rsidRPr="00731419">
        <w:rPr>
          <w:rFonts w:eastAsia="Times New Roman" w:cs="Arial"/>
          <w:sz w:val="20"/>
          <w:szCs w:val="20"/>
          <w:lang w:val="en-GB"/>
        </w:rPr>
        <w:t xml:space="preserve">., we may well be in a situation where no other reasonable Appraisal Committee faced with similar evidence could have reached the same conclusions, given that no other Appraisal Committee has done so. </w:t>
      </w:r>
      <w:bookmarkEnd w:id="6"/>
    </w:p>
    <w:p w14:paraId="4BCA6DB6" w14:textId="77777777" w:rsidR="00731419" w:rsidRPr="00731419" w:rsidRDefault="00731419" w:rsidP="00AF129A">
      <w:pPr>
        <w:jc w:val="both"/>
        <w:rPr>
          <w:rFonts w:eastAsia="Times New Roman" w:cs="Arial"/>
          <w:sz w:val="20"/>
          <w:szCs w:val="20"/>
        </w:rPr>
      </w:pPr>
      <w:r w:rsidRPr="00731419">
        <w:rPr>
          <w:rFonts w:eastAsia="Times New Roman" w:cs="Arial"/>
          <w:sz w:val="20"/>
          <w:szCs w:val="20"/>
        </w:rPr>
        <w:t xml:space="preserve">As with other points, we have for convenience added the above points in red text to the updated Appeal Letter enclosed.  </w:t>
      </w:r>
    </w:p>
    <w:p w14:paraId="2FDFAACC" w14:textId="77777777" w:rsidR="00731419" w:rsidRPr="00731419" w:rsidRDefault="00731419" w:rsidP="00AF129A">
      <w:pPr>
        <w:jc w:val="both"/>
        <w:rPr>
          <w:rFonts w:eastAsia="Times New Roman" w:cs="Arial"/>
          <w:sz w:val="20"/>
          <w:szCs w:val="20"/>
        </w:rPr>
      </w:pPr>
    </w:p>
    <w:p w14:paraId="32A8191F" w14:textId="77777777" w:rsidR="00731419" w:rsidRPr="00731419" w:rsidRDefault="00731419" w:rsidP="00AF129A">
      <w:pPr>
        <w:spacing w:after="240"/>
        <w:jc w:val="both"/>
        <w:rPr>
          <w:rFonts w:eastAsia="Times New Roman" w:cs="Arial"/>
          <w:b/>
          <w:bCs/>
          <w:sz w:val="20"/>
          <w:szCs w:val="20"/>
          <w:lang w:val="en-GB"/>
        </w:rPr>
      </w:pPr>
      <w:r w:rsidRPr="00731419">
        <w:rPr>
          <w:rFonts w:eastAsia="Times New Roman" w:cs="Arial"/>
          <w:b/>
          <w:bCs/>
          <w:sz w:val="20"/>
          <w:szCs w:val="20"/>
          <w:lang w:val="en-GB"/>
        </w:rPr>
        <w:t xml:space="preserve">Appeal </w:t>
      </w:r>
      <w:proofErr w:type="gramStart"/>
      <w:r w:rsidRPr="00731419">
        <w:rPr>
          <w:rFonts w:eastAsia="Times New Roman" w:cs="Arial"/>
          <w:b/>
          <w:bCs/>
          <w:sz w:val="20"/>
          <w:szCs w:val="20"/>
          <w:lang w:val="en-GB"/>
        </w:rPr>
        <w:t>point</w:t>
      </w:r>
      <w:proofErr w:type="gramEnd"/>
      <w:r w:rsidRPr="00731419">
        <w:rPr>
          <w:rFonts w:eastAsia="Times New Roman" w:cs="Arial"/>
          <w:b/>
          <w:bCs/>
          <w:sz w:val="20"/>
          <w:szCs w:val="20"/>
          <w:lang w:val="en-GB"/>
        </w:rPr>
        <w:t xml:space="preserve"> 2.5: The Appraisal Committee unreasonably fails to recognize and take adequate account of the conservative approach Regeneron adopted in its modelling, which directly affects the Committee’s conclusions on cost-effectiveness.</w:t>
      </w:r>
    </w:p>
    <w:p w14:paraId="75D878E6"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Having reviewed your comments, we agree that this appeal point could also be addressed under Appeal Ground 2.1.  Please confirm that the Appeal Panel will do so.  For completeness, we note that this point will also be relevant to the issue of consistency, addressed under Appeal Ground 1a.1.</w:t>
      </w:r>
    </w:p>
    <w:p w14:paraId="0CA30A11" w14:textId="77777777" w:rsidR="00731419" w:rsidRPr="00731419" w:rsidRDefault="00731419" w:rsidP="00AF129A">
      <w:pPr>
        <w:spacing w:after="240"/>
        <w:jc w:val="both"/>
        <w:rPr>
          <w:rFonts w:eastAsia="Times New Roman" w:cs="Arial"/>
          <w:sz w:val="20"/>
          <w:szCs w:val="20"/>
          <w:lang w:val="en-GB"/>
        </w:rPr>
      </w:pPr>
      <w:r w:rsidRPr="00731419">
        <w:rPr>
          <w:rFonts w:eastAsia="Times New Roman" w:cs="Arial"/>
          <w:sz w:val="20"/>
          <w:szCs w:val="20"/>
          <w:lang w:val="en-GB"/>
        </w:rPr>
        <w:t xml:space="preserve">We thank you in advance for considering our responses to the Initial Scrutiny Letter and further observations and look forward to hearing from you. </w:t>
      </w:r>
    </w:p>
    <w:p w14:paraId="1B65FE32" w14:textId="77777777" w:rsidR="009F3CFF" w:rsidRPr="00AF129A" w:rsidRDefault="009F3CFF" w:rsidP="00AF129A">
      <w:pPr>
        <w:ind w:left="568"/>
        <w:rPr>
          <w:rFonts w:cs="Arial"/>
          <w:sz w:val="20"/>
          <w:szCs w:val="20"/>
        </w:rPr>
      </w:pPr>
    </w:p>
    <w:p w14:paraId="7B373C35" w14:textId="1B06DDB2" w:rsidR="00E17660" w:rsidRPr="00AF129A" w:rsidRDefault="00E17660" w:rsidP="00AF129A">
      <w:pPr>
        <w:rPr>
          <w:rFonts w:cs="Arial"/>
          <w:sz w:val="20"/>
          <w:szCs w:val="20"/>
        </w:rPr>
      </w:pPr>
      <w:r w:rsidRPr="00AF129A">
        <w:rPr>
          <w:rFonts w:cs="Arial"/>
          <w:sz w:val="20"/>
          <w:szCs w:val="20"/>
        </w:rPr>
        <w:t>Yours sincerely</w:t>
      </w:r>
      <w:r w:rsidR="009F3CFF" w:rsidRPr="00AF129A">
        <w:rPr>
          <w:rFonts w:cs="Arial"/>
          <w:sz w:val="20"/>
          <w:szCs w:val="20"/>
        </w:rPr>
        <w:t>,</w:t>
      </w:r>
    </w:p>
    <w:p w14:paraId="110DB1FF" w14:textId="77777777" w:rsidR="00E17660" w:rsidRPr="00AF129A" w:rsidRDefault="00E17660" w:rsidP="00AF129A">
      <w:pPr>
        <w:rPr>
          <w:rFonts w:cs="Arial"/>
          <w:sz w:val="20"/>
          <w:szCs w:val="20"/>
        </w:rPr>
      </w:pPr>
    </w:p>
    <w:p w14:paraId="5572371D" w14:textId="4B4E20B4" w:rsidR="00E17660" w:rsidRPr="00AF129A" w:rsidRDefault="00860463" w:rsidP="00AF129A">
      <w:pPr>
        <w:rPr>
          <w:rFonts w:cs="Arial"/>
          <w:sz w:val="20"/>
          <w:szCs w:val="20"/>
        </w:rPr>
      </w:pPr>
      <w:r w:rsidRPr="00860463">
        <w:rPr>
          <w:rFonts w:cs="Arial"/>
          <w:noProof/>
          <w:sz w:val="20"/>
          <w:szCs w:val="20"/>
          <w:highlight w:val="black"/>
        </w:rPr>
        <w:t>XXXXXXXXXXXX</w:t>
      </w:r>
    </w:p>
    <w:p w14:paraId="19B92536" w14:textId="77777777" w:rsidR="00E17660" w:rsidRPr="00AF129A" w:rsidRDefault="00E17660" w:rsidP="00AF129A">
      <w:pPr>
        <w:ind w:left="0"/>
        <w:rPr>
          <w:rFonts w:cs="Arial"/>
          <w:sz w:val="20"/>
          <w:szCs w:val="20"/>
        </w:rPr>
      </w:pPr>
    </w:p>
    <w:p w14:paraId="6AA108F8" w14:textId="15A882DF" w:rsidR="002C2754" w:rsidRPr="00AF129A" w:rsidRDefault="00860463" w:rsidP="00AF129A">
      <w:pPr>
        <w:rPr>
          <w:rFonts w:cs="Arial"/>
          <w:sz w:val="20"/>
          <w:szCs w:val="20"/>
        </w:rPr>
      </w:pPr>
      <w:r w:rsidRPr="00860463">
        <w:rPr>
          <w:rFonts w:cs="Arial"/>
          <w:sz w:val="20"/>
          <w:szCs w:val="20"/>
          <w:highlight w:val="black"/>
        </w:rPr>
        <w:t>XXXXXXXX</w:t>
      </w:r>
    </w:p>
    <w:p w14:paraId="20646FAB" w14:textId="23463781" w:rsidR="00E17660" w:rsidRPr="00AF129A" w:rsidRDefault="00860463" w:rsidP="00AF129A">
      <w:pPr>
        <w:rPr>
          <w:rFonts w:cs="Arial"/>
          <w:sz w:val="20"/>
          <w:szCs w:val="20"/>
        </w:rPr>
      </w:pPr>
      <w:r w:rsidRPr="00860463">
        <w:rPr>
          <w:rFonts w:cs="Arial"/>
          <w:sz w:val="20"/>
          <w:szCs w:val="20"/>
          <w:highlight w:val="black"/>
        </w:rPr>
        <w:t>XXXXXXX</w:t>
      </w:r>
      <w:r w:rsidR="00E17660" w:rsidRPr="00AF129A">
        <w:rPr>
          <w:rFonts w:cs="Arial"/>
          <w:sz w:val="20"/>
          <w:szCs w:val="20"/>
        </w:rPr>
        <w:t>, UK Market Access</w:t>
      </w:r>
    </w:p>
    <w:p w14:paraId="3EE20E53" w14:textId="77777777" w:rsidR="002C2754" w:rsidRPr="00B95314" w:rsidRDefault="002C2754" w:rsidP="00AF129A">
      <w:pPr>
        <w:ind w:left="568"/>
        <w:rPr>
          <w:rFonts w:cs="Arial"/>
          <w:sz w:val="20"/>
          <w:szCs w:val="20"/>
        </w:rPr>
      </w:pPr>
    </w:p>
    <w:p w14:paraId="6AF71A57" w14:textId="77777777" w:rsidR="002C2754" w:rsidRPr="00B95314" w:rsidRDefault="002C2754" w:rsidP="00F572CF">
      <w:pPr>
        <w:ind w:left="0"/>
        <w:rPr>
          <w:rFonts w:cs="Arial"/>
          <w:sz w:val="20"/>
          <w:szCs w:val="20"/>
        </w:rPr>
      </w:pPr>
    </w:p>
    <w:sectPr w:rsidR="002C2754" w:rsidRPr="00B95314" w:rsidSect="001F46AE">
      <w:headerReference w:type="default" r:id="rId13"/>
      <w:footerReference w:type="even" r:id="rId14"/>
      <w:footerReference w:type="default" r:id="rId15"/>
      <w:footerReference w:type="first" r:id="rId16"/>
      <w:pgSz w:w="12240" w:h="15840"/>
      <w:pgMar w:top="2268" w:right="1077" w:bottom="720" w:left="107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21314" w14:textId="77777777" w:rsidR="00D13BC9" w:rsidRDefault="00D13BC9" w:rsidP="00E17660">
      <w:r>
        <w:separator/>
      </w:r>
    </w:p>
  </w:endnote>
  <w:endnote w:type="continuationSeparator" w:id="0">
    <w:p w14:paraId="6148C0B6" w14:textId="77777777" w:rsidR="00D13BC9" w:rsidRDefault="00D13BC9" w:rsidP="00E17660">
      <w:r>
        <w:continuationSeparator/>
      </w:r>
    </w:p>
  </w:endnote>
  <w:endnote w:type="continuationNotice" w:id="1">
    <w:p w14:paraId="491D4A86" w14:textId="77777777" w:rsidR="00D13BC9" w:rsidRDefault="00D13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Segoe UI"/>
    <w:charset w:val="00"/>
    <w:family w:val="swiss"/>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5F859" w14:textId="3555D984" w:rsidR="002C2754" w:rsidRDefault="002C2754" w:rsidP="00E1766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CB56F48" w14:textId="77777777" w:rsidR="002C2754" w:rsidRDefault="002C2754" w:rsidP="00E17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C6872" w14:textId="2D29BD74" w:rsidR="00F77AE7" w:rsidRDefault="002C2754" w:rsidP="009F3CFF">
    <w:pPr>
      <w:pStyle w:val="Footer"/>
      <w:rPr>
        <w:rStyle w:val="PageNumber"/>
        <w:color w:val="C90045"/>
      </w:rPr>
    </w:pPr>
    <w:r w:rsidRPr="002668A9">
      <w:rPr>
        <w:rStyle w:val="PageNumber"/>
        <w:color w:val="C90045"/>
      </w:rPr>
      <w:fldChar w:fldCharType="begin"/>
    </w:r>
    <w:r w:rsidRPr="002668A9">
      <w:rPr>
        <w:rStyle w:val="PageNumber"/>
        <w:color w:val="C90045"/>
      </w:rPr>
      <w:instrText xml:space="preserve">PAGE  </w:instrText>
    </w:r>
    <w:r w:rsidRPr="002668A9">
      <w:rPr>
        <w:rStyle w:val="PageNumber"/>
        <w:color w:val="C90045"/>
      </w:rPr>
      <w:fldChar w:fldCharType="separate"/>
    </w:r>
    <w:r w:rsidR="00C9150A">
      <w:rPr>
        <w:rStyle w:val="PageNumber"/>
        <w:noProof/>
        <w:color w:val="C90045"/>
      </w:rPr>
      <w:t>1</w:t>
    </w:r>
    <w:r w:rsidRPr="002668A9">
      <w:rPr>
        <w:rStyle w:val="PageNumber"/>
        <w:color w:val="C90045"/>
      </w:rPr>
      <w:fldChar w:fldCharType="end"/>
    </w:r>
  </w:p>
  <w:p w14:paraId="2A3FF832" w14:textId="5FC95846" w:rsidR="002C2754" w:rsidRPr="009F3CFF" w:rsidRDefault="008310F0" w:rsidP="009F3CFF">
    <w:pPr>
      <w:pStyle w:val="Footer"/>
      <w:rPr>
        <w:color w:val="C90045"/>
      </w:rPr>
    </w:pPr>
    <w:r>
      <w:rPr>
        <w:noProof/>
      </w:rPr>
      <w:drawing>
        <wp:anchor distT="0" distB="0" distL="114300" distR="114300" simplePos="0" relativeHeight="251658241" behindDoc="0" locked="0" layoutInCell="1" allowOverlap="1" wp14:anchorId="3F47E1AB" wp14:editId="0D913B7C">
          <wp:simplePos x="0" y="0"/>
          <wp:positionH relativeFrom="margin">
            <wp:posOffset>5140325</wp:posOffset>
          </wp:positionH>
          <wp:positionV relativeFrom="bottomMargin">
            <wp:align>top</wp:align>
          </wp:positionV>
          <wp:extent cx="1138555" cy="128905"/>
          <wp:effectExtent l="0" t="0" r="4445" b="4445"/>
          <wp:wrapSquare wrapText="bothSides"/>
          <wp:docPr id="1397503946" name="Picture 4">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a:hlinkClick r:id="rId1"/>
                  </pic:cNvPr>
                  <pic:cNvPicPr>
                    <a:picLocks/>
                  </pic:cNvPicPr>
                </pic:nvPicPr>
                <pic:blipFill>
                  <a:blip r:embed="rId2"/>
                  <a:stretch>
                    <a:fillRect/>
                  </a:stretch>
                </pic:blipFill>
                <pic:spPr bwMode="auto">
                  <a:xfrm>
                    <a:off x="0" y="0"/>
                    <a:ext cx="1138555" cy="1289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6C1B" w14:textId="2EEBF52E" w:rsidR="009720B4" w:rsidRDefault="0097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6EBB3" w14:textId="77777777" w:rsidR="00D13BC9" w:rsidRDefault="00D13BC9" w:rsidP="00E17660">
      <w:r>
        <w:separator/>
      </w:r>
    </w:p>
  </w:footnote>
  <w:footnote w:type="continuationSeparator" w:id="0">
    <w:p w14:paraId="51DD0F2B" w14:textId="77777777" w:rsidR="00D13BC9" w:rsidRDefault="00D13BC9" w:rsidP="00E17660">
      <w:r>
        <w:continuationSeparator/>
      </w:r>
    </w:p>
  </w:footnote>
  <w:footnote w:type="continuationNotice" w:id="1">
    <w:p w14:paraId="7B9E52C0" w14:textId="77777777" w:rsidR="00D13BC9" w:rsidRDefault="00D13BC9"/>
  </w:footnote>
  <w:footnote w:id="2">
    <w:p w14:paraId="7357965F" w14:textId="77777777" w:rsidR="00731419" w:rsidRPr="009B5DCD" w:rsidRDefault="00731419" w:rsidP="00731419">
      <w:pPr>
        <w:pStyle w:val="FootnoteText"/>
        <w:rPr>
          <w:sz w:val="16"/>
          <w:szCs w:val="16"/>
        </w:rPr>
      </w:pPr>
      <w:r w:rsidRPr="009B5DCD">
        <w:rPr>
          <w:rStyle w:val="FootnoteReference"/>
          <w:sz w:val="16"/>
          <w:szCs w:val="16"/>
        </w:rPr>
        <w:footnoteRef/>
      </w:r>
      <w:r w:rsidRPr="009B5DCD">
        <w:rPr>
          <w:sz w:val="16"/>
          <w:szCs w:val="16"/>
        </w:rPr>
        <w:t xml:space="preserve"> </w:t>
      </w:r>
      <w:r w:rsidRPr="00317339">
        <w:rPr>
          <w:i/>
          <w:iCs/>
          <w:sz w:val="16"/>
          <w:szCs w:val="16"/>
        </w:rPr>
        <w:t>R (on the application of Greenpeace Ltd) v Secretary of State for Trade and Industry</w:t>
      </w:r>
      <w:r w:rsidRPr="009B5DCD">
        <w:rPr>
          <w:sz w:val="16"/>
          <w:szCs w:val="16"/>
        </w:rPr>
        <w:t xml:space="preserve"> [2007] EWHC 311 (Admin)</w:t>
      </w:r>
    </w:p>
  </w:footnote>
  <w:footnote w:id="3">
    <w:p w14:paraId="0230B4E0" w14:textId="77777777" w:rsidR="00731419" w:rsidRPr="009B5DCD" w:rsidRDefault="00731419" w:rsidP="00731419">
      <w:pPr>
        <w:pStyle w:val="FootnoteText"/>
        <w:rPr>
          <w:sz w:val="16"/>
          <w:szCs w:val="16"/>
        </w:rPr>
      </w:pPr>
      <w:r w:rsidRPr="009B5DCD">
        <w:rPr>
          <w:rStyle w:val="FootnoteReference"/>
          <w:sz w:val="16"/>
          <w:szCs w:val="16"/>
        </w:rPr>
        <w:footnoteRef/>
      </w:r>
      <w:r w:rsidRPr="009B5DCD">
        <w:rPr>
          <w:sz w:val="16"/>
          <w:szCs w:val="16"/>
        </w:rPr>
        <w:t xml:space="preserve"> </w:t>
      </w:r>
      <w:r w:rsidRPr="00317339">
        <w:rPr>
          <w:i/>
          <w:iCs/>
          <w:sz w:val="16"/>
          <w:szCs w:val="16"/>
        </w:rPr>
        <w:t>R (on the application of L) v Warwickshire County Council</w:t>
      </w:r>
      <w:r w:rsidRPr="009B5DCD">
        <w:rPr>
          <w:sz w:val="16"/>
          <w:szCs w:val="16"/>
        </w:rPr>
        <w:t xml:space="preserve"> [2015] EWHC 203 (Admin)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E71DF" w14:textId="77777777" w:rsidR="002C2754" w:rsidRDefault="008310F0" w:rsidP="00E17660">
    <w:pPr>
      <w:pStyle w:val="Header"/>
    </w:pPr>
    <w:r>
      <w:rPr>
        <w:noProof/>
      </w:rPr>
      <mc:AlternateContent>
        <mc:Choice Requires="wps">
          <w:drawing>
            <wp:anchor distT="0" distB="0" distL="114300" distR="114300" simplePos="0" relativeHeight="251658240" behindDoc="0" locked="0" layoutInCell="1" allowOverlap="1" wp14:anchorId="3203521E" wp14:editId="30BE3F5A">
              <wp:simplePos x="0" y="0"/>
              <wp:positionH relativeFrom="column">
                <wp:posOffset>3923274</wp:posOffset>
              </wp:positionH>
              <wp:positionV relativeFrom="paragraph">
                <wp:posOffset>0</wp:posOffset>
              </wp:positionV>
              <wp:extent cx="2475670" cy="5029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670" cy="502920"/>
                      </a:xfrm>
                      <a:prstGeom prst="rect">
                        <a:avLst/>
                      </a:prstGeom>
                      <a:noFill/>
                      <a:ln>
                        <a:noFill/>
                      </a:ln>
                      <a:effectLst/>
                      <a:extLst>
                        <a:ext uri="{C572A759-6A51-4108-AA02-DFA0A04FC94B}">
                          <ma14:wrappingTextBox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xmlns:a14="http://schemas.microsoft.com/office/drawing/2010/main" xmlns:pic="http://schemas.openxmlformats.org/drawingml/2006/picture"/>
                        </a:ext>
                      </a:extLst>
                    </wps:spPr>
                    <wps:txbx>
                      <w:txbxContent>
                        <w:p w14:paraId="5D8126B2" w14:textId="77777777" w:rsidR="00E17660" w:rsidRPr="00E17660" w:rsidRDefault="00E17660" w:rsidP="00E17660">
                          <w:pPr>
                            <w:rPr>
                              <w:sz w:val="18"/>
                              <w:szCs w:val="18"/>
                            </w:rPr>
                          </w:pPr>
                          <w:r w:rsidRPr="00E17660">
                            <w:rPr>
                              <w:sz w:val="18"/>
                              <w:szCs w:val="18"/>
                            </w:rPr>
                            <w:t xml:space="preserve">Registered office address: </w:t>
                          </w:r>
                        </w:p>
                        <w:p w14:paraId="3BE9F0DC" w14:textId="57406C22" w:rsidR="002C2754" w:rsidRPr="00E17660" w:rsidRDefault="00E17660" w:rsidP="00E17660">
                          <w:pPr>
                            <w:rPr>
                              <w:sz w:val="18"/>
                              <w:szCs w:val="18"/>
                            </w:rPr>
                          </w:pPr>
                          <w:r w:rsidRPr="00E17660">
                            <w:rPr>
                              <w:sz w:val="18"/>
                              <w:szCs w:val="18"/>
                            </w:rPr>
                            <w:t>The Charter Building, Vine Street, Uxbridge, Middlesex, United Kingdom, UB8 1JG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3521E" id="_x0000_t202" coordsize="21600,21600" o:spt="202" path="m,l,21600r21600,l21600,xe">
              <v:stroke joinstyle="miter"/>
              <v:path gradientshapeok="t" o:connecttype="rect"/>
            </v:shapetype>
            <v:shape id="Text Box 7" o:spid="_x0000_s1026" type="#_x0000_t202" style="position:absolute;left:0;text-align:left;margin-left:308.9pt;margin-top:0;width:194.95pt;height:3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" filled="f" stroked="f">
              <v:textbox>
                <w:txbxContent>
                  <w:p w14:paraId="5D8126B2" w14:textId="77777777" w:rsidR="00E17660" w:rsidRPr="00E17660" w:rsidRDefault="00E17660" w:rsidP="00E17660">
                    <w:pPr>
                      <w:rPr>
                        <w:sz w:val="18"/>
                        <w:szCs w:val="18"/>
                      </w:rPr>
                    </w:pPr>
                    <w:r w:rsidRPr="00E17660">
                      <w:rPr>
                        <w:sz w:val="18"/>
                        <w:szCs w:val="18"/>
                      </w:rPr>
                      <w:t xml:space="preserve">Registered office address: </w:t>
                    </w:r>
                  </w:p>
                  <w:p w14:paraId="3BE9F0DC" w14:textId="57406C22" w:rsidR="002C2754" w:rsidRPr="00E17660" w:rsidRDefault="00E17660" w:rsidP="00E17660">
                    <w:pPr>
                      <w:rPr>
                        <w:sz w:val="18"/>
                        <w:szCs w:val="18"/>
                      </w:rPr>
                    </w:pPr>
                    <w:r w:rsidRPr="00E17660">
                      <w:rPr>
                        <w:sz w:val="18"/>
                        <w:szCs w:val="18"/>
                      </w:rPr>
                      <w:t>The Charter Building, Vine Street, Uxbridge, Middlesex, United Kingdom, UB8 1JG</w:t>
                    </w:r>
                  </w:p>
                </w:txbxContent>
              </v:textbox>
            </v:shape>
          </w:pict>
        </mc:Fallback>
      </mc:AlternateContent>
    </w:r>
    <w:r w:rsidRPr="004E6BEF">
      <w:rPr>
        <w:noProof/>
      </w:rPr>
      <w:drawing>
        <wp:inline distT="0" distB="0" distL="0" distR="0" wp14:anchorId="67E832A2" wp14:editId="51EB6B6F">
          <wp:extent cx="2159000" cy="431800"/>
          <wp:effectExtent l="0" t="0" r="0" b="0"/>
          <wp:docPr id="64075461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000" cy="431800"/>
                  </a:xfrm>
                  <a:prstGeom prst="rect">
                    <a:avLst/>
                  </a:prstGeom>
                  <a:noFill/>
                  <a:ln>
                    <a:noFill/>
                  </a:ln>
                </pic:spPr>
              </pic:pic>
            </a:graphicData>
          </a:graphic>
        </wp:inline>
      </w:drawing>
    </w:r>
    <w:r>
      <w:rPr>
        <w:noProof/>
      </w:rPr>
      <mc:AlternateContent>
        <mc:Choice Requires="wps">
          <w:drawing>
            <wp:anchor distT="4294967295" distB="4294967295" distL="114300" distR="114300" simplePos="0" relativeHeight="251658242" behindDoc="0" locked="0" layoutInCell="1" allowOverlap="1" wp14:anchorId="4F856175" wp14:editId="17A3CB15">
              <wp:simplePos x="0" y="0"/>
              <wp:positionH relativeFrom="column">
                <wp:posOffset>0</wp:posOffset>
              </wp:positionH>
              <wp:positionV relativeFrom="paragraph">
                <wp:posOffset>571499</wp:posOffset>
              </wp:positionV>
              <wp:extent cx="62865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0"/>
                      </a:xfrm>
                      <a:prstGeom prst="line">
                        <a:avLst/>
                      </a:prstGeom>
                      <a:noFill/>
                      <a:ln w="6350" cap="flat" cmpd="sng" algn="ctr">
                        <a:solidFill>
                          <a:srgbClr val="084799"/>
                        </a:solidFill>
                        <a:prstDash val="solid"/>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xmlns:arto="http://schemas.microsoft.com/office/word/2006/arto">
          <w:pict>
            <v:line id="Straight Connector 8"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084799" strokeweight=".5pt" from="0,45pt" to="495pt,45pt" w14:anchorId="7DB7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">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29D"/>
    <w:multiLevelType w:val="hybridMultilevel"/>
    <w:tmpl w:val="956AA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228B0"/>
    <w:multiLevelType w:val="hybridMultilevel"/>
    <w:tmpl w:val="E93058CE"/>
    <w:lvl w:ilvl="0" w:tplc="72BAA2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9842F4"/>
    <w:multiLevelType w:val="hybridMultilevel"/>
    <w:tmpl w:val="661C9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7A3524"/>
    <w:multiLevelType w:val="hybridMultilevel"/>
    <w:tmpl w:val="E4EE0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A6938"/>
    <w:multiLevelType w:val="hybridMultilevel"/>
    <w:tmpl w:val="7FB2425E"/>
    <w:lvl w:ilvl="0" w:tplc="5A7E241A">
      <w:numFmt w:val="bullet"/>
      <w:lvlText w:val="•"/>
      <w:lvlJc w:val="left"/>
      <w:pPr>
        <w:ind w:left="724" w:hanging="440"/>
      </w:pPr>
      <w:rPr>
        <w:rFonts w:ascii="Arial" w:eastAsia="MS Mincho"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0BD28AD"/>
    <w:multiLevelType w:val="hybridMultilevel"/>
    <w:tmpl w:val="809C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8248F5"/>
    <w:multiLevelType w:val="hybridMultilevel"/>
    <w:tmpl w:val="32EE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C86BAB"/>
    <w:multiLevelType w:val="hybridMultilevel"/>
    <w:tmpl w:val="ACC47B0C"/>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4BF64E6B"/>
    <w:multiLevelType w:val="hybridMultilevel"/>
    <w:tmpl w:val="2D64C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145875"/>
    <w:multiLevelType w:val="hybridMultilevel"/>
    <w:tmpl w:val="AE244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3759F2"/>
    <w:multiLevelType w:val="hybridMultilevel"/>
    <w:tmpl w:val="DB1E9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8526748">
    <w:abstractNumId w:val="7"/>
  </w:num>
  <w:num w:numId="2" w16cid:durableId="632060820">
    <w:abstractNumId w:val="4"/>
  </w:num>
  <w:num w:numId="3" w16cid:durableId="406348576">
    <w:abstractNumId w:val="5"/>
  </w:num>
  <w:num w:numId="4" w16cid:durableId="1084258449">
    <w:abstractNumId w:val="3"/>
  </w:num>
  <w:num w:numId="5" w16cid:durableId="1237015599">
    <w:abstractNumId w:val="2"/>
  </w:num>
  <w:num w:numId="6" w16cid:durableId="1946616156">
    <w:abstractNumId w:val="9"/>
  </w:num>
  <w:num w:numId="7" w16cid:durableId="1112435303">
    <w:abstractNumId w:val="8"/>
  </w:num>
  <w:num w:numId="8" w16cid:durableId="1548832640">
    <w:abstractNumId w:val="1"/>
  </w:num>
  <w:num w:numId="9" w16cid:durableId="1774783529">
    <w:abstractNumId w:val="6"/>
  </w:num>
  <w:num w:numId="10" w16cid:durableId="1058437551">
    <w:abstractNumId w:val="10"/>
  </w:num>
  <w:num w:numId="11" w16cid:durableId="1874414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213"/>
    <w:rsid w:val="00001157"/>
    <w:rsid w:val="000011DA"/>
    <w:rsid w:val="00005D08"/>
    <w:rsid w:val="00010158"/>
    <w:rsid w:val="0001056F"/>
    <w:rsid w:val="00025301"/>
    <w:rsid w:val="00032557"/>
    <w:rsid w:val="000356D8"/>
    <w:rsid w:val="00036563"/>
    <w:rsid w:val="000379D2"/>
    <w:rsid w:val="00042912"/>
    <w:rsid w:val="000433E4"/>
    <w:rsid w:val="00047282"/>
    <w:rsid w:val="00050638"/>
    <w:rsid w:val="00066956"/>
    <w:rsid w:val="00067BE8"/>
    <w:rsid w:val="00070316"/>
    <w:rsid w:val="00071EDC"/>
    <w:rsid w:val="00076EC5"/>
    <w:rsid w:val="00086FE5"/>
    <w:rsid w:val="00092B59"/>
    <w:rsid w:val="00092C88"/>
    <w:rsid w:val="00096152"/>
    <w:rsid w:val="000975FD"/>
    <w:rsid w:val="000A27D5"/>
    <w:rsid w:val="000B16EB"/>
    <w:rsid w:val="000B1AB5"/>
    <w:rsid w:val="000B660D"/>
    <w:rsid w:val="000B6C87"/>
    <w:rsid w:val="000C29F8"/>
    <w:rsid w:val="000C38A1"/>
    <w:rsid w:val="000C6072"/>
    <w:rsid w:val="000C6220"/>
    <w:rsid w:val="000D47FC"/>
    <w:rsid w:val="000D7DA5"/>
    <w:rsid w:val="000E17EC"/>
    <w:rsid w:val="000E42AB"/>
    <w:rsid w:val="000F1B46"/>
    <w:rsid w:val="000F2549"/>
    <w:rsid w:val="000F44EE"/>
    <w:rsid w:val="000F5EC5"/>
    <w:rsid w:val="00102C1B"/>
    <w:rsid w:val="00106F67"/>
    <w:rsid w:val="001212EB"/>
    <w:rsid w:val="00121AB3"/>
    <w:rsid w:val="00147BDB"/>
    <w:rsid w:val="00153D86"/>
    <w:rsid w:val="001569F6"/>
    <w:rsid w:val="0016059D"/>
    <w:rsid w:val="00176D7A"/>
    <w:rsid w:val="00183D5B"/>
    <w:rsid w:val="001A1C1C"/>
    <w:rsid w:val="001A697C"/>
    <w:rsid w:val="001A7496"/>
    <w:rsid w:val="001B078C"/>
    <w:rsid w:val="001B291B"/>
    <w:rsid w:val="001C4D5E"/>
    <w:rsid w:val="001C55ED"/>
    <w:rsid w:val="001D0584"/>
    <w:rsid w:val="001E09EF"/>
    <w:rsid w:val="001E383D"/>
    <w:rsid w:val="001E5411"/>
    <w:rsid w:val="001E69F3"/>
    <w:rsid w:val="001F3C66"/>
    <w:rsid w:val="001F46AE"/>
    <w:rsid w:val="001F4A80"/>
    <w:rsid w:val="001F74CC"/>
    <w:rsid w:val="00212851"/>
    <w:rsid w:val="00214510"/>
    <w:rsid w:val="00217269"/>
    <w:rsid w:val="002316A0"/>
    <w:rsid w:val="00232BA0"/>
    <w:rsid w:val="00234D7D"/>
    <w:rsid w:val="00235938"/>
    <w:rsid w:val="00236D77"/>
    <w:rsid w:val="00237E9D"/>
    <w:rsid w:val="00244DDB"/>
    <w:rsid w:val="0025233F"/>
    <w:rsid w:val="002539BE"/>
    <w:rsid w:val="002668A9"/>
    <w:rsid w:val="0027000F"/>
    <w:rsid w:val="0027477D"/>
    <w:rsid w:val="00281790"/>
    <w:rsid w:val="00285AC5"/>
    <w:rsid w:val="00285BDE"/>
    <w:rsid w:val="002973BA"/>
    <w:rsid w:val="002B17B6"/>
    <w:rsid w:val="002B5AB9"/>
    <w:rsid w:val="002C2754"/>
    <w:rsid w:val="002D08E0"/>
    <w:rsid w:val="002D7D9E"/>
    <w:rsid w:val="002E2499"/>
    <w:rsid w:val="00306B74"/>
    <w:rsid w:val="00316910"/>
    <w:rsid w:val="0032114E"/>
    <w:rsid w:val="003234F2"/>
    <w:rsid w:val="00323DA9"/>
    <w:rsid w:val="00325C25"/>
    <w:rsid w:val="00337C18"/>
    <w:rsid w:val="0034501A"/>
    <w:rsid w:val="0035094B"/>
    <w:rsid w:val="00350AE6"/>
    <w:rsid w:val="0035455F"/>
    <w:rsid w:val="00365FC5"/>
    <w:rsid w:val="0037573A"/>
    <w:rsid w:val="00392477"/>
    <w:rsid w:val="00392F4C"/>
    <w:rsid w:val="00393CB2"/>
    <w:rsid w:val="003A13BE"/>
    <w:rsid w:val="003C64AD"/>
    <w:rsid w:val="003D3EB2"/>
    <w:rsid w:val="003D6A44"/>
    <w:rsid w:val="003E1295"/>
    <w:rsid w:val="003E195F"/>
    <w:rsid w:val="003E5D76"/>
    <w:rsid w:val="00402B97"/>
    <w:rsid w:val="004129CD"/>
    <w:rsid w:val="004201DA"/>
    <w:rsid w:val="00423C31"/>
    <w:rsid w:val="00424C8F"/>
    <w:rsid w:val="004256A7"/>
    <w:rsid w:val="004310D8"/>
    <w:rsid w:val="00442C71"/>
    <w:rsid w:val="00444209"/>
    <w:rsid w:val="004512BE"/>
    <w:rsid w:val="00455AF3"/>
    <w:rsid w:val="004570BB"/>
    <w:rsid w:val="00463334"/>
    <w:rsid w:val="004738D7"/>
    <w:rsid w:val="004809C9"/>
    <w:rsid w:val="00482025"/>
    <w:rsid w:val="00483EE9"/>
    <w:rsid w:val="00484E1A"/>
    <w:rsid w:val="004B4E4A"/>
    <w:rsid w:val="004B6F17"/>
    <w:rsid w:val="004C2FA9"/>
    <w:rsid w:val="004C5250"/>
    <w:rsid w:val="004C5D10"/>
    <w:rsid w:val="004D35B3"/>
    <w:rsid w:val="004F13AF"/>
    <w:rsid w:val="00504D12"/>
    <w:rsid w:val="00506045"/>
    <w:rsid w:val="00511765"/>
    <w:rsid w:val="0051775B"/>
    <w:rsid w:val="00527C88"/>
    <w:rsid w:val="00532AA5"/>
    <w:rsid w:val="005365B1"/>
    <w:rsid w:val="00541B23"/>
    <w:rsid w:val="00543C38"/>
    <w:rsid w:val="00546FC7"/>
    <w:rsid w:val="005552AC"/>
    <w:rsid w:val="0055574B"/>
    <w:rsid w:val="005700AA"/>
    <w:rsid w:val="00571459"/>
    <w:rsid w:val="00572AAF"/>
    <w:rsid w:val="005771E0"/>
    <w:rsid w:val="00587846"/>
    <w:rsid w:val="00595745"/>
    <w:rsid w:val="00595E38"/>
    <w:rsid w:val="00595F09"/>
    <w:rsid w:val="00596C41"/>
    <w:rsid w:val="005A02D2"/>
    <w:rsid w:val="005A2476"/>
    <w:rsid w:val="005A3196"/>
    <w:rsid w:val="005C43E4"/>
    <w:rsid w:val="005D23E7"/>
    <w:rsid w:val="005D4339"/>
    <w:rsid w:val="005E54C8"/>
    <w:rsid w:val="005F2AB1"/>
    <w:rsid w:val="005F5731"/>
    <w:rsid w:val="0060577C"/>
    <w:rsid w:val="00606EDA"/>
    <w:rsid w:val="006072C0"/>
    <w:rsid w:val="00611826"/>
    <w:rsid w:val="00626053"/>
    <w:rsid w:val="00657375"/>
    <w:rsid w:val="0066494B"/>
    <w:rsid w:val="00665FE8"/>
    <w:rsid w:val="00682C5C"/>
    <w:rsid w:val="006A15E8"/>
    <w:rsid w:val="006A2512"/>
    <w:rsid w:val="006A2F19"/>
    <w:rsid w:val="006B239F"/>
    <w:rsid w:val="006B6034"/>
    <w:rsid w:val="006C0013"/>
    <w:rsid w:val="006C18A8"/>
    <w:rsid w:val="006C48E2"/>
    <w:rsid w:val="006C5931"/>
    <w:rsid w:val="006C5F57"/>
    <w:rsid w:val="006D3230"/>
    <w:rsid w:val="006D3ED1"/>
    <w:rsid w:val="006D5C49"/>
    <w:rsid w:val="006D5EB7"/>
    <w:rsid w:val="006D7848"/>
    <w:rsid w:val="006F173D"/>
    <w:rsid w:val="006F3EE0"/>
    <w:rsid w:val="006F7B6A"/>
    <w:rsid w:val="00701875"/>
    <w:rsid w:val="00707E10"/>
    <w:rsid w:val="00710E25"/>
    <w:rsid w:val="00713FBE"/>
    <w:rsid w:val="00714C53"/>
    <w:rsid w:val="00731419"/>
    <w:rsid w:val="00733BEB"/>
    <w:rsid w:val="00740C3B"/>
    <w:rsid w:val="0074366B"/>
    <w:rsid w:val="00745849"/>
    <w:rsid w:val="0075620C"/>
    <w:rsid w:val="00760073"/>
    <w:rsid w:val="00765CE8"/>
    <w:rsid w:val="00772199"/>
    <w:rsid w:val="00772C68"/>
    <w:rsid w:val="007821F2"/>
    <w:rsid w:val="007826B6"/>
    <w:rsid w:val="00785C40"/>
    <w:rsid w:val="00787570"/>
    <w:rsid w:val="0079054F"/>
    <w:rsid w:val="00790FEA"/>
    <w:rsid w:val="00795405"/>
    <w:rsid w:val="007B368B"/>
    <w:rsid w:val="007C26E2"/>
    <w:rsid w:val="007D0885"/>
    <w:rsid w:val="007D293E"/>
    <w:rsid w:val="007D34FF"/>
    <w:rsid w:val="007D7213"/>
    <w:rsid w:val="007F6568"/>
    <w:rsid w:val="008023D3"/>
    <w:rsid w:val="00804E78"/>
    <w:rsid w:val="00805402"/>
    <w:rsid w:val="0081086F"/>
    <w:rsid w:val="00811899"/>
    <w:rsid w:val="0081192C"/>
    <w:rsid w:val="008147E9"/>
    <w:rsid w:val="00816BB6"/>
    <w:rsid w:val="00820D25"/>
    <w:rsid w:val="008310F0"/>
    <w:rsid w:val="008366B7"/>
    <w:rsid w:val="0084269A"/>
    <w:rsid w:val="00845765"/>
    <w:rsid w:val="00850FB7"/>
    <w:rsid w:val="00851AB0"/>
    <w:rsid w:val="008528F5"/>
    <w:rsid w:val="00857566"/>
    <w:rsid w:val="00860463"/>
    <w:rsid w:val="008634F4"/>
    <w:rsid w:val="0086614D"/>
    <w:rsid w:val="00866828"/>
    <w:rsid w:val="00875810"/>
    <w:rsid w:val="008835AD"/>
    <w:rsid w:val="00883ADE"/>
    <w:rsid w:val="00884BAC"/>
    <w:rsid w:val="00887FC8"/>
    <w:rsid w:val="00890B88"/>
    <w:rsid w:val="008A49BB"/>
    <w:rsid w:val="008B5164"/>
    <w:rsid w:val="008C1DAF"/>
    <w:rsid w:val="008C2B6A"/>
    <w:rsid w:val="008D3251"/>
    <w:rsid w:val="008D4039"/>
    <w:rsid w:val="008D4668"/>
    <w:rsid w:val="008D586C"/>
    <w:rsid w:val="008E1581"/>
    <w:rsid w:val="008F594A"/>
    <w:rsid w:val="009061DD"/>
    <w:rsid w:val="009074C5"/>
    <w:rsid w:val="00921BF5"/>
    <w:rsid w:val="00921CC1"/>
    <w:rsid w:val="0092213E"/>
    <w:rsid w:val="0092596F"/>
    <w:rsid w:val="009305C7"/>
    <w:rsid w:val="0093662A"/>
    <w:rsid w:val="00953819"/>
    <w:rsid w:val="00955F83"/>
    <w:rsid w:val="009674DF"/>
    <w:rsid w:val="009720B4"/>
    <w:rsid w:val="00972954"/>
    <w:rsid w:val="0098000B"/>
    <w:rsid w:val="00982163"/>
    <w:rsid w:val="009A1F3F"/>
    <w:rsid w:val="009A7BFB"/>
    <w:rsid w:val="009B47EC"/>
    <w:rsid w:val="009B76A2"/>
    <w:rsid w:val="009C0579"/>
    <w:rsid w:val="009C3E7B"/>
    <w:rsid w:val="009D1532"/>
    <w:rsid w:val="009D69C1"/>
    <w:rsid w:val="009E04DF"/>
    <w:rsid w:val="009E3449"/>
    <w:rsid w:val="009E4BFF"/>
    <w:rsid w:val="009F3CFF"/>
    <w:rsid w:val="009F50A2"/>
    <w:rsid w:val="009F543B"/>
    <w:rsid w:val="009F7936"/>
    <w:rsid w:val="00A03FC0"/>
    <w:rsid w:val="00A16410"/>
    <w:rsid w:val="00A179A8"/>
    <w:rsid w:val="00A22D7F"/>
    <w:rsid w:val="00A336A1"/>
    <w:rsid w:val="00A35142"/>
    <w:rsid w:val="00A35946"/>
    <w:rsid w:val="00A40193"/>
    <w:rsid w:val="00A40DB0"/>
    <w:rsid w:val="00A4137F"/>
    <w:rsid w:val="00A43CDC"/>
    <w:rsid w:val="00A535DB"/>
    <w:rsid w:val="00A549D6"/>
    <w:rsid w:val="00A55188"/>
    <w:rsid w:val="00A55271"/>
    <w:rsid w:val="00A636F1"/>
    <w:rsid w:val="00A7228B"/>
    <w:rsid w:val="00A75019"/>
    <w:rsid w:val="00A82E04"/>
    <w:rsid w:val="00A85B6E"/>
    <w:rsid w:val="00A9649A"/>
    <w:rsid w:val="00AA0B38"/>
    <w:rsid w:val="00AA3FEB"/>
    <w:rsid w:val="00AA6070"/>
    <w:rsid w:val="00AA64EE"/>
    <w:rsid w:val="00AA6DFC"/>
    <w:rsid w:val="00AB244E"/>
    <w:rsid w:val="00AB40A3"/>
    <w:rsid w:val="00AC0751"/>
    <w:rsid w:val="00AC3682"/>
    <w:rsid w:val="00AC3E6B"/>
    <w:rsid w:val="00AC7D4B"/>
    <w:rsid w:val="00AD1B56"/>
    <w:rsid w:val="00AD1CDF"/>
    <w:rsid w:val="00AD283A"/>
    <w:rsid w:val="00AD447D"/>
    <w:rsid w:val="00AD4B9B"/>
    <w:rsid w:val="00AE11C6"/>
    <w:rsid w:val="00AF129A"/>
    <w:rsid w:val="00AF2D0B"/>
    <w:rsid w:val="00B06C9E"/>
    <w:rsid w:val="00B20848"/>
    <w:rsid w:val="00B212F3"/>
    <w:rsid w:val="00B21EB8"/>
    <w:rsid w:val="00B25770"/>
    <w:rsid w:val="00B44969"/>
    <w:rsid w:val="00B45D9E"/>
    <w:rsid w:val="00B67C6A"/>
    <w:rsid w:val="00B73C4C"/>
    <w:rsid w:val="00B83EC2"/>
    <w:rsid w:val="00B933B1"/>
    <w:rsid w:val="00B934AB"/>
    <w:rsid w:val="00B94A6B"/>
    <w:rsid w:val="00B95314"/>
    <w:rsid w:val="00B95D4B"/>
    <w:rsid w:val="00B97DF8"/>
    <w:rsid w:val="00BA3760"/>
    <w:rsid w:val="00BA5A57"/>
    <w:rsid w:val="00BB0999"/>
    <w:rsid w:val="00BB455B"/>
    <w:rsid w:val="00BB5EF1"/>
    <w:rsid w:val="00BC440C"/>
    <w:rsid w:val="00BC55C7"/>
    <w:rsid w:val="00BC6B5C"/>
    <w:rsid w:val="00BD2730"/>
    <w:rsid w:val="00BD292C"/>
    <w:rsid w:val="00BD6B1B"/>
    <w:rsid w:val="00BF0435"/>
    <w:rsid w:val="00BF089E"/>
    <w:rsid w:val="00BF35C9"/>
    <w:rsid w:val="00BF3639"/>
    <w:rsid w:val="00BF420A"/>
    <w:rsid w:val="00BF76C1"/>
    <w:rsid w:val="00C01F4E"/>
    <w:rsid w:val="00C0227F"/>
    <w:rsid w:val="00C02F19"/>
    <w:rsid w:val="00C036E1"/>
    <w:rsid w:val="00C13F08"/>
    <w:rsid w:val="00C17653"/>
    <w:rsid w:val="00C261BE"/>
    <w:rsid w:val="00C261EF"/>
    <w:rsid w:val="00C30AAE"/>
    <w:rsid w:val="00C356E0"/>
    <w:rsid w:val="00C3677F"/>
    <w:rsid w:val="00C40D28"/>
    <w:rsid w:val="00C42343"/>
    <w:rsid w:val="00C427C5"/>
    <w:rsid w:val="00C4534B"/>
    <w:rsid w:val="00C47048"/>
    <w:rsid w:val="00C51832"/>
    <w:rsid w:val="00C550E9"/>
    <w:rsid w:val="00C569AB"/>
    <w:rsid w:val="00C573CE"/>
    <w:rsid w:val="00C60B31"/>
    <w:rsid w:val="00C62634"/>
    <w:rsid w:val="00C773A3"/>
    <w:rsid w:val="00C77C1E"/>
    <w:rsid w:val="00C83F36"/>
    <w:rsid w:val="00C90B33"/>
    <w:rsid w:val="00C9131E"/>
    <w:rsid w:val="00C9150A"/>
    <w:rsid w:val="00C948C5"/>
    <w:rsid w:val="00CA521D"/>
    <w:rsid w:val="00CB304E"/>
    <w:rsid w:val="00CC42DB"/>
    <w:rsid w:val="00CD6185"/>
    <w:rsid w:val="00CE202F"/>
    <w:rsid w:val="00CE58DE"/>
    <w:rsid w:val="00CE7FB6"/>
    <w:rsid w:val="00CF33E3"/>
    <w:rsid w:val="00CF4631"/>
    <w:rsid w:val="00CF7DEC"/>
    <w:rsid w:val="00D063AA"/>
    <w:rsid w:val="00D07815"/>
    <w:rsid w:val="00D13BC9"/>
    <w:rsid w:val="00D32170"/>
    <w:rsid w:val="00D358DE"/>
    <w:rsid w:val="00D35C31"/>
    <w:rsid w:val="00D37771"/>
    <w:rsid w:val="00D422D7"/>
    <w:rsid w:val="00D45CB3"/>
    <w:rsid w:val="00D5046E"/>
    <w:rsid w:val="00D5060B"/>
    <w:rsid w:val="00D52188"/>
    <w:rsid w:val="00D563F2"/>
    <w:rsid w:val="00D656EB"/>
    <w:rsid w:val="00D66263"/>
    <w:rsid w:val="00D67A93"/>
    <w:rsid w:val="00D702B3"/>
    <w:rsid w:val="00D71F15"/>
    <w:rsid w:val="00D76E6A"/>
    <w:rsid w:val="00D778E0"/>
    <w:rsid w:val="00D80249"/>
    <w:rsid w:val="00D83F05"/>
    <w:rsid w:val="00D860D6"/>
    <w:rsid w:val="00D90401"/>
    <w:rsid w:val="00DA74E7"/>
    <w:rsid w:val="00DB1808"/>
    <w:rsid w:val="00DB20DD"/>
    <w:rsid w:val="00DB378A"/>
    <w:rsid w:val="00DB3A13"/>
    <w:rsid w:val="00DB7A2C"/>
    <w:rsid w:val="00DC1C87"/>
    <w:rsid w:val="00DC3759"/>
    <w:rsid w:val="00DC5871"/>
    <w:rsid w:val="00DC709E"/>
    <w:rsid w:val="00DD2CAE"/>
    <w:rsid w:val="00DD2E5A"/>
    <w:rsid w:val="00DD5539"/>
    <w:rsid w:val="00DD55BE"/>
    <w:rsid w:val="00DE3A15"/>
    <w:rsid w:val="00DE5254"/>
    <w:rsid w:val="00DF2D24"/>
    <w:rsid w:val="00DF5360"/>
    <w:rsid w:val="00E03288"/>
    <w:rsid w:val="00E11FF5"/>
    <w:rsid w:val="00E17660"/>
    <w:rsid w:val="00E21E44"/>
    <w:rsid w:val="00E22A42"/>
    <w:rsid w:val="00E30F7F"/>
    <w:rsid w:val="00E42440"/>
    <w:rsid w:val="00E42AD5"/>
    <w:rsid w:val="00E47D0E"/>
    <w:rsid w:val="00E514A7"/>
    <w:rsid w:val="00E60ECA"/>
    <w:rsid w:val="00E616DB"/>
    <w:rsid w:val="00E651B4"/>
    <w:rsid w:val="00E658A7"/>
    <w:rsid w:val="00E72DD8"/>
    <w:rsid w:val="00E74873"/>
    <w:rsid w:val="00E7770B"/>
    <w:rsid w:val="00E77B6B"/>
    <w:rsid w:val="00E8002E"/>
    <w:rsid w:val="00E80B8D"/>
    <w:rsid w:val="00E82A75"/>
    <w:rsid w:val="00E848CA"/>
    <w:rsid w:val="00E858D0"/>
    <w:rsid w:val="00E8638F"/>
    <w:rsid w:val="00E86641"/>
    <w:rsid w:val="00E86D65"/>
    <w:rsid w:val="00E937E0"/>
    <w:rsid w:val="00E94CBE"/>
    <w:rsid w:val="00EA1B3C"/>
    <w:rsid w:val="00EA52AD"/>
    <w:rsid w:val="00EA6CD2"/>
    <w:rsid w:val="00EC291B"/>
    <w:rsid w:val="00EC5233"/>
    <w:rsid w:val="00ED6266"/>
    <w:rsid w:val="00ED7BD1"/>
    <w:rsid w:val="00EE2365"/>
    <w:rsid w:val="00EF064B"/>
    <w:rsid w:val="00EF149C"/>
    <w:rsid w:val="00EF3114"/>
    <w:rsid w:val="00EF6125"/>
    <w:rsid w:val="00F10541"/>
    <w:rsid w:val="00F1699C"/>
    <w:rsid w:val="00F237EB"/>
    <w:rsid w:val="00F27E4D"/>
    <w:rsid w:val="00F30687"/>
    <w:rsid w:val="00F328D4"/>
    <w:rsid w:val="00F34922"/>
    <w:rsid w:val="00F34AD6"/>
    <w:rsid w:val="00F40DBB"/>
    <w:rsid w:val="00F44B30"/>
    <w:rsid w:val="00F44DAB"/>
    <w:rsid w:val="00F572CF"/>
    <w:rsid w:val="00F60B37"/>
    <w:rsid w:val="00F61588"/>
    <w:rsid w:val="00F64789"/>
    <w:rsid w:val="00F66A14"/>
    <w:rsid w:val="00F75F8B"/>
    <w:rsid w:val="00F77AE7"/>
    <w:rsid w:val="00F77E95"/>
    <w:rsid w:val="00F90049"/>
    <w:rsid w:val="00F90E2C"/>
    <w:rsid w:val="00F9152E"/>
    <w:rsid w:val="00FA2484"/>
    <w:rsid w:val="00FA2F77"/>
    <w:rsid w:val="00FA4599"/>
    <w:rsid w:val="00FA77C0"/>
    <w:rsid w:val="00FA7956"/>
    <w:rsid w:val="00FB0668"/>
    <w:rsid w:val="00FB15BF"/>
    <w:rsid w:val="00FB3656"/>
    <w:rsid w:val="00FB42D5"/>
    <w:rsid w:val="00FC21BF"/>
    <w:rsid w:val="00FC3FD9"/>
    <w:rsid w:val="00FD2770"/>
    <w:rsid w:val="00FE0085"/>
    <w:rsid w:val="00FE0269"/>
    <w:rsid w:val="00FE4D3F"/>
    <w:rsid w:val="00FF083F"/>
    <w:rsid w:val="00FF1843"/>
    <w:rsid w:val="00FF2A35"/>
    <w:rsid w:val="00FF57D4"/>
    <w:rsid w:val="00FF702F"/>
    <w:rsid w:val="01888C0F"/>
    <w:rsid w:val="03378650"/>
    <w:rsid w:val="07C6DE98"/>
    <w:rsid w:val="08F264EE"/>
    <w:rsid w:val="0B25AD7D"/>
    <w:rsid w:val="17001FD2"/>
    <w:rsid w:val="17E4E9C6"/>
    <w:rsid w:val="1D1080F1"/>
    <w:rsid w:val="2644C29F"/>
    <w:rsid w:val="26E51779"/>
    <w:rsid w:val="2F64E67D"/>
    <w:rsid w:val="36992452"/>
    <w:rsid w:val="397FFCDC"/>
    <w:rsid w:val="3D275DDD"/>
    <w:rsid w:val="4136D179"/>
    <w:rsid w:val="43CB49C7"/>
    <w:rsid w:val="48DBFCCA"/>
    <w:rsid w:val="4A50E891"/>
    <w:rsid w:val="4E6A39BE"/>
    <w:rsid w:val="4F1AE99F"/>
    <w:rsid w:val="50C2CD7E"/>
    <w:rsid w:val="50DBDECD"/>
    <w:rsid w:val="5186DB98"/>
    <w:rsid w:val="5477A41F"/>
    <w:rsid w:val="55DAFCC0"/>
    <w:rsid w:val="57C80DDC"/>
    <w:rsid w:val="58D4FB87"/>
    <w:rsid w:val="5B1F7F50"/>
    <w:rsid w:val="6977388E"/>
    <w:rsid w:val="70145293"/>
    <w:rsid w:val="7267E849"/>
    <w:rsid w:val="738284D2"/>
    <w:rsid w:val="75A073E5"/>
    <w:rsid w:val="7664365B"/>
    <w:rsid w:val="78D8268D"/>
    <w:rsid w:val="7B639E23"/>
    <w:rsid w:val="7C578001"/>
    <w:rsid w:val="7DCEAE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9480CB"/>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660"/>
    <w:pPr>
      <w:ind w:left="284"/>
    </w:pPr>
    <w:rPr>
      <w:rFonts w:ascii="Arial" w:hAnsi="Arial"/>
      <w:sz w:val="24"/>
      <w:szCs w:val="24"/>
    </w:rPr>
  </w:style>
  <w:style w:type="paragraph" w:styleId="Heading1">
    <w:name w:val="heading 1"/>
    <w:basedOn w:val="Normal"/>
    <w:next w:val="Normal"/>
    <w:link w:val="Heading1Char"/>
    <w:uiPriority w:val="9"/>
    <w:qFormat/>
    <w:rsid w:val="00071E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195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7213"/>
    <w:pPr>
      <w:tabs>
        <w:tab w:val="center" w:pos="4320"/>
        <w:tab w:val="right" w:pos="8640"/>
      </w:tabs>
    </w:pPr>
  </w:style>
  <w:style w:type="character" w:customStyle="1" w:styleId="HeaderChar">
    <w:name w:val="Header Char"/>
    <w:basedOn w:val="DefaultParagraphFont"/>
    <w:link w:val="Header"/>
    <w:uiPriority w:val="99"/>
    <w:rsid w:val="007D7213"/>
  </w:style>
  <w:style w:type="paragraph" w:styleId="Footer">
    <w:name w:val="footer"/>
    <w:basedOn w:val="Normal"/>
    <w:link w:val="FooterChar"/>
    <w:uiPriority w:val="99"/>
    <w:unhideWhenUsed/>
    <w:rsid w:val="007D7213"/>
    <w:pPr>
      <w:tabs>
        <w:tab w:val="center" w:pos="4320"/>
        <w:tab w:val="right" w:pos="8640"/>
      </w:tabs>
    </w:pPr>
  </w:style>
  <w:style w:type="character" w:customStyle="1" w:styleId="FooterChar">
    <w:name w:val="Footer Char"/>
    <w:basedOn w:val="DefaultParagraphFont"/>
    <w:link w:val="Footer"/>
    <w:uiPriority w:val="99"/>
    <w:rsid w:val="007D7213"/>
  </w:style>
  <w:style w:type="paragraph" w:styleId="BalloonText">
    <w:name w:val="Balloon Text"/>
    <w:basedOn w:val="Normal"/>
    <w:link w:val="BalloonTextChar"/>
    <w:uiPriority w:val="99"/>
    <w:semiHidden/>
    <w:unhideWhenUsed/>
    <w:rsid w:val="007D7213"/>
    <w:rPr>
      <w:rFonts w:ascii="Lucida Grande" w:hAnsi="Lucida Grande" w:cs="Lucida Grande"/>
      <w:sz w:val="18"/>
      <w:szCs w:val="18"/>
    </w:rPr>
  </w:style>
  <w:style w:type="character" w:customStyle="1" w:styleId="BalloonTextChar">
    <w:name w:val="Balloon Text Char"/>
    <w:link w:val="BalloonText"/>
    <w:uiPriority w:val="99"/>
    <w:semiHidden/>
    <w:rsid w:val="007D7213"/>
    <w:rPr>
      <w:rFonts w:ascii="Lucida Grande" w:hAnsi="Lucida Grande" w:cs="Lucida Grande"/>
      <w:sz w:val="18"/>
      <w:szCs w:val="18"/>
    </w:rPr>
  </w:style>
  <w:style w:type="character" w:styleId="PageNumber">
    <w:name w:val="page number"/>
    <w:uiPriority w:val="99"/>
    <w:semiHidden/>
    <w:unhideWhenUsed/>
    <w:rsid w:val="002668A9"/>
  </w:style>
  <w:style w:type="character" w:styleId="Hyperlink">
    <w:name w:val="Hyperlink"/>
    <w:basedOn w:val="DefaultParagraphFont"/>
    <w:uiPriority w:val="99"/>
    <w:unhideWhenUsed/>
    <w:rsid w:val="009F543B"/>
    <w:rPr>
      <w:color w:val="0563C1" w:themeColor="hyperlink"/>
      <w:u w:val="single"/>
    </w:rPr>
  </w:style>
  <w:style w:type="character" w:styleId="UnresolvedMention">
    <w:name w:val="Unresolved Mention"/>
    <w:basedOn w:val="DefaultParagraphFont"/>
    <w:uiPriority w:val="99"/>
    <w:semiHidden/>
    <w:unhideWhenUsed/>
    <w:rsid w:val="009F543B"/>
    <w:rPr>
      <w:color w:val="605E5C"/>
      <w:shd w:val="clear" w:color="auto" w:fill="E1DFDD"/>
    </w:rPr>
  </w:style>
  <w:style w:type="character" w:styleId="FollowedHyperlink">
    <w:name w:val="FollowedHyperlink"/>
    <w:basedOn w:val="DefaultParagraphFont"/>
    <w:uiPriority w:val="99"/>
    <w:semiHidden/>
    <w:unhideWhenUsed/>
    <w:rsid w:val="004D35B3"/>
    <w:rPr>
      <w:color w:val="954F72" w:themeColor="followedHyperlink"/>
      <w:u w:val="single"/>
    </w:rPr>
  </w:style>
  <w:style w:type="paragraph" w:styleId="Revision">
    <w:name w:val="Revision"/>
    <w:hidden/>
    <w:uiPriority w:val="71"/>
    <w:rsid w:val="00E17660"/>
    <w:rPr>
      <w:sz w:val="24"/>
      <w:szCs w:val="24"/>
    </w:rPr>
  </w:style>
  <w:style w:type="paragraph" w:styleId="ListParagraph">
    <w:name w:val="List Paragraph"/>
    <w:basedOn w:val="Normal"/>
    <w:uiPriority w:val="72"/>
    <w:qFormat/>
    <w:rsid w:val="00E17660"/>
    <w:pPr>
      <w:ind w:left="720"/>
      <w:contextualSpacing/>
    </w:pPr>
  </w:style>
  <w:style w:type="character" w:customStyle="1" w:styleId="Heading1Char">
    <w:name w:val="Heading 1 Char"/>
    <w:basedOn w:val="DefaultParagraphFont"/>
    <w:link w:val="Heading1"/>
    <w:uiPriority w:val="9"/>
    <w:rsid w:val="00071EDC"/>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C90B33"/>
    <w:rPr>
      <w:sz w:val="20"/>
      <w:szCs w:val="20"/>
    </w:rPr>
  </w:style>
  <w:style w:type="character" w:customStyle="1" w:styleId="CommentTextChar">
    <w:name w:val="Comment Text Char"/>
    <w:basedOn w:val="DefaultParagraphFont"/>
    <w:link w:val="CommentText"/>
    <w:uiPriority w:val="99"/>
    <w:rsid w:val="00C90B33"/>
    <w:rPr>
      <w:rFonts w:ascii="Arial" w:hAnsi="Arial"/>
    </w:rPr>
  </w:style>
  <w:style w:type="character" w:styleId="CommentReference">
    <w:name w:val="annotation reference"/>
    <w:basedOn w:val="DefaultParagraphFont"/>
    <w:uiPriority w:val="99"/>
    <w:semiHidden/>
    <w:unhideWhenUsed/>
    <w:rsid w:val="00C90B33"/>
    <w:rPr>
      <w:sz w:val="16"/>
      <w:szCs w:val="16"/>
    </w:rPr>
  </w:style>
  <w:style w:type="paragraph" w:styleId="CommentSubject">
    <w:name w:val="annotation subject"/>
    <w:basedOn w:val="CommentText"/>
    <w:next w:val="CommentText"/>
    <w:link w:val="CommentSubjectChar"/>
    <w:uiPriority w:val="99"/>
    <w:semiHidden/>
    <w:unhideWhenUsed/>
    <w:rsid w:val="0035455F"/>
    <w:rPr>
      <w:b/>
      <w:bCs/>
    </w:rPr>
  </w:style>
  <w:style w:type="character" w:customStyle="1" w:styleId="CommentSubjectChar">
    <w:name w:val="Comment Subject Char"/>
    <w:basedOn w:val="CommentTextChar"/>
    <w:link w:val="CommentSubject"/>
    <w:uiPriority w:val="99"/>
    <w:semiHidden/>
    <w:rsid w:val="0035455F"/>
    <w:rPr>
      <w:rFonts w:ascii="Arial" w:hAnsi="Arial"/>
      <w:b/>
      <w:bCs/>
    </w:rPr>
  </w:style>
  <w:style w:type="paragraph" w:styleId="FootnoteText">
    <w:name w:val="footnote text"/>
    <w:basedOn w:val="Normal"/>
    <w:link w:val="FootnoteTextChar"/>
    <w:uiPriority w:val="99"/>
    <w:semiHidden/>
    <w:unhideWhenUsed/>
    <w:rsid w:val="00D35C31"/>
    <w:rPr>
      <w:sz w:val="20"/>
      <w:szCs w:val="20"/>
    </w:rPr>
  </w:style>
  <w:style w:type="character" w:customStyle="1" w:styleId="FootnoteTextChar">
    <w:name w:val="Footnote Text Char"/>
    <w:basedOn w:val="DefaultParagraphFont"/>
    <w:link w:val="FootnoteText"/>
    <w:uiPriority w:val="99"/>
    <w:semiHidden/>
    <w:rsid w:val="00D35C31"/>
    <w:rPr>
      <w:rFonts w:ascii="Arial" w:hAnsi="Arial"/>
    </w:rPr>
  </w:style>
  <w:style w:type="character" w:styleId="FootnoteReference">
    <w:name w:val="footnote reference"/>
    <w:basedOn w:val="DefaultParagraphFont"/>
    <w:uiPriority w:val="99"/>
    <w:semiHidden/>
    <w:unhideWhenUsed/>
    <w:rsid w:val="00D35C31"/>
    <w:rPr>
      <w:vertAlign w:val="superscript"/>
    </w:rPr>
  </w:style>
  <w:style w:type="character" w:customStyle="1" w:styleId="Heading2Char">
    <w:name w:val="Heading 2 Char"/>
    <w:basedOn w:val="DefaultParagraphFont"/>
    <w:link w:val="Heading2"/>
    <w:uiPriority w:val="9"/>
    <w:rsid w:val="003E195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202145">
      <w:bodyDiv w:val="1"/>
      <w:marLeft w:val="0"/>
      <w:marRight w:val="0"/>
      <w:marTop w:val="0"/>
      <w:marBottom w:val="0"/>
      <w:divBdr>
        <w:top w:val="none" w:sz="0" w:space="0" w:color="auto"/>
        <w:left w:val="none" w:sz="0" w:space="0" w:color="auto"/>
        <w:bottom w:val="none" w:sz="0" w:space="0" w:color="auto"/>
        <w:right w:val="none" w:sz="0" w:space="0" w:color="auto"/>
      </w:divBdr>
    </w:div>
    <w:div w:id="656617984">
      <w:bodyDiv w:val="1"/>
      <w:marLeft w:val="0"/>
      <w:marRight w:val="0"/>
      <w:marTop w:val="0"/>
      <w:marBottom w:val="0"/>
      <w:divBdr>
        <w:top w:val="none" w:sz="0" w:space="0" w:color="auto"/>
        <w:left w:val="none" w:sz="0" w:space="0" w:color="auto"/>
        <w:bottom w:val="none" w:sz="0" w:space="0" w:color="auto"/>
        <w:right w:val="none" w:sz="0" w:space="0" w:color="auto"/>
      </w:divBdr>
    </w:div>
    <w:div w:id="1159156347">
      <w:bodyDiv w:val="1"/>
      <w:marLeft w:val="0"/>
      <w:marRight w:val="0"/>
      <w:marTop w:val="0"/>
      <w:marBottom w:val="0"/>
      <w:divBdr>
        <w:top w:val="none" w:sz="0" w:space="0" w:color="auto"/>
        <w:left w:val="none" w:sz="0" w:space="0" w:color="auto"/>
        <w:bottom w:val="none" w:sz="0" w:space="0" w:color="auto"/>
        <w:right w:val="none" w:sz="0" w:space="0" w:color="auto"/>
      </w:divBdr>
    </w:div>
    <w:div w:id="1579168382">
      <w:bodyDiv w:val="1"/>
      <w:marLeft w:val="0"/>
      <w:marRight w:val="0"/>
      <w:marTop w:val="0"/>
      <w:marBottom w:val="0"/>
      <w:divBdr>
        <w:top w:val="none" w:sz="0" w:space="0" w:color="auto"/>
        <w:left w:val="none" w:sz="0" w:space="0" w:color="auto"/>
        <w:bottom w:val="none" w:sz="0" w:space="0" w:color="auto"/>
        <w:right w:val="none" w:sz="0" w:space="0" w:color="auto"/>
      </w:divBdr>
    </w:div>
    <w:div w:id="1664822663">
      <w:bodyDiv w:val="1"/>
      <w:marLeft w:val="0"/>
      <w:marRight w:val="0"/>
      <w:marTop w:val="0"/>
      <w:marBottom w:val="0"/>
      <w:divBdr>
        <w:top w:val="none" w:sz="0" w:space="0" w:color="auto"/>
        <w:left w:val="none" w:sz="0" w:space="0" w:color="auto"/>
        <w:bottom w:val="none" w:sz="0" w:space="0" w:color="auto"/>
        <w:right w:val="none" w:sz="0" w:space="0" w:color="auto"/>
      </w:divBdr>
    </w:div>
    <w:div w:id="1941258397">
      <w:bodyDiv w:val="1"/>
      <w:marLeft w:val="0"/>
      <w:marRight w:val="0"/>
      <w:marTop w:val="0"/>
      <w:marBottom w:val="0"/>
      <w:divBdr>
        <w:top w:val="none" w:sz="0" w:space="0" w:color="auto"/>
        <w:left w:val="none" w:sz="0" w:space="0" w:color="auto"/>
        <w:bottom w:val="none" w:sz="0" w:space="0" w:color="auto"/>
        <w:right w:val="none" w:sz="0" w:space="0" w:color="auto"/>
      </w:divBdr>
    </w:div>
    <w:div w:id="200057202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appeals@nice.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regener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1 6 " ? > < p r o p e r t i e s   x m l n s = " h t t p : / / w w w . i m a n a g e . c o m / w o r k / x m l s c h e m a " >  
     < d o c u m e n t i d > E M E A ! 3 4 6 5 0 2 9 . 1 < / d o c u m e n t i d >  
     < s e n d e r i d > G A T H A N I R < / s e n d e r i d >  
     < s e n d e r e m a i l > R G A T H A N I @ C O V . C O M < / s e n d e r e m a i l >  
     < l a s t m o d i f i e d > 2 0 2 5 - 0 6 - 3 0 T 0 8 : 3 0 : 0 0 . 0 0 0 0 0 0 0 + 0 1 : 0 0 < / l a s t m o d i f i e d >  
     < d a t a b a s e > E M E A < / d a t a b a s e >  
 < / 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300E5E64B980D458C754FFE05DEE26D" ma:contentTypeVersion="10" ma:contentTypeDescription="Create a new document." ma:contentTypeScope="" ma:versionID="889b3d9d1cf5d0d6c2c12b21bc0836da">
  <xsd:schema xmlns:xsd="http://www.w3.org/2001/XMLSchema" xmlns:xs="http://www.w3.org/2001/XMLSchema" xmlns:p="http://schemas.microsoft.com/office/2006/metadata/properties" xmlns:ns2="465a54fe-435b-4423-8fe2-c9a3626b31f7" xmlns:ns3="68f19371-ebe6-4483-8e72-73d36cd7064e" targetNamespace="http://schemas.microsoft.com/office/2006/metadata/properties" ma:root="true" ma:fieldsID="50adbc2a1eb477ef22c267c29b62d3cc" ns2:_="" ns3:_="">
    <xsd:import namespace="465a54fe-435b-4423-8fe2-c9a3626b31f7"/>
    <xsd:import namespace="68f19371-ebe6-4483-8e72-73d36cd706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a54fe-435b-4423-8fe2-c9a3626b31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f19371-ebe6-4483-8e72-73d36cd7064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3C6379-22C1-45B6-B87F-B96B56969E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AECCBE-4E27-4855-BE55-6836E88BBCF5}">
  <ds:schemaRefs>
    <ds:schemaRef ds:uri="http://www.imanage.com/work/xmlschema"/>
  </ds:schemaRefs>
</ds:datastoreItem>
</file>

<file path=customXml/itemProps3.xml><?xml version="1.0" encoding="utf-8"?>
<ds:datastoreItem xmlns:ds="http://schemas.openxmlformats.org/officeDocument/2006/customXml" ds:itemID="{78ED5190-B3FD-4DEC-AE37-FC62B124F546}">
  <ds:schemaRefs>
    <ds:schemaRef ds:uri="http://schemas.openxmlformats.org/officeDocument/2006/bibliography"/>
  </ds:schemaRefs>
</ds:datastoreItem>
</file>

<file path=customXml/itemProps4.xml><?xml version="1.0" encoding="utf-8"?>
<ds:datastoreItem xmlns:ds="http://schemas.openxmlformats.org/officeDocument/2006/customXml" ds:itemID="{5A11541C-9A6D-4245-984C-F1B7CF462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a54fe-435b-4423-8fe2-c9a3626b31f7"/>
    <ds:schemaRef ds:uri="68f19371-ebe6-4483-8e72-73d36cd706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364B214-9145-4B35-B4FE-3B5D552864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4641</Words>
  <Characters>26460</Characters>
  <Application>Microsoft Office Word</Application>
  <DocSecurity>0</DocSecurity>
  <Lines>220</Lines>
  <Paragraphs>62</Paragraphs>
  <ScaleCrop>false</ScaleCrop>
  <Company/>
  <LinksUpToDate>false</LinksUpToDate>
  <CharactersWithSpaces>31039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2025-06-30T22:21:00Z</dcterms:created>
  <dcterms:modified xsi:type="dcterms:W3CDTF">2025-08-21T14:08:00Z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0x0101003300E5E64B980D458C754FFE05DEE26D</vt:lpwstr>
  </property>
  <property fmtid="{D5CDD505-2E9C-101B-9397-08002B2CF9AE}" pid="3" name="MSIP_Label_c69d85d5-6d9e-4305-a294-1f636ec0f2d6_Enabled">
    <vt:lpwstr>true</vt:lpwstr>
  </property>
  <property fmtid="{D5CDD505-2E9C-101B-9397-08002B2CF9AE}" pid="4" name="MSIP_Label_c69d85d5-6d9e-4305-a294-1f636ec0f2d6_SetDate">
    <vt:lpwstr>2025-06-30T14:21:58Z</vt:lpwstr>
  </property>
  <property fmtid="{D5CDD505-2E9C-101B-9397-08002B2CF9AE}" pid="5" name="MSIP_Label_c69d85d5-6d9e-4305-a294-1f636ec0f2d6_Method">
    <vt:lpwstr>Standard</vt:lpwstr>
  </property>
  <property fmtid="{D5CDD505-2E9C-101B-9397-08002B2CF9AE}" pid="6" name="MSIP_Label_c69d85d5-6d9e-4305-a294-1f636ec0f2d6_Name">
    <vt:lpwstr>OFFICIAL</vt:lpwstr>
  </property>
  <property fmtid="{D5CDD505-2E9C-101B-9397-08002B2CF9AE}" pid="7" name="MSIP_Label_c69d85d5-6d9e-4305-a294-1f636ec0f2d6_SiteId">
    <vt:lpwstr>6030f479-b342-472d-a5dd-740ff7538de9</vt:lpwstr>
  </property>
  <property fmtid="{D5CDD505-2E9C-101B-9397-08002B2CF9AE}" pid="8" name="MSIP_Label_c69d85d5-6d9e-4305-a294-1f636ec0f2d6_ActionId">
    <vt:lpwstr>fd5ae132-a159-49ba-960f-0906c46e5721</vt:lpwstr>
  </property>
  <property fmtid="{D5CDD505-2E9C-101B-9397-08002B2CF9AE}" pid="9" name="MSIP_Label_c69d85d5-6d9e-4305-a294-1f636ec0f2d6_ContentBits">
    <vt:lpwstr>0</vt:lpwstr>
  </property>
  <property fmtid="{D5CDD505-2E9C-101B-9397-08002B2CF9AE}" pid="10" name="MSIP_Label_c69d85d5-6d9e-4305-a294-1f636ec0f2d6_Tag">
    <vt:lpwstr>10, 3, 0, 2</vt:lpwstr>
  </property>
</Properties>
</file>