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6C1A4" w14:textId="35E7C71B" w:rsidR="0004302C" w:rsidRPr="002C095B" w:rsidRDefault="0004302C" w:rsidP="0004302C">
      <w:pPr>
        <w:rPr>
          <w:rStyle w:val="Hyperlink"/>
          <w:rFonts w:cs="Arial"/>
          <w:color w:val="auto"/>
        </w:rPr>
      </w:pPr>
      <w:r w:rsidRPr="65553CB2">
        <w:rPr>
          <w:rFonts w:cs="Arial"/>
          <w:color w:val="auto"/>
        </w:rPr>
        <w:t>Sent by e-mail only</w:t>
      </w:r>
      <w:r w:rsidR="00456870">
        <w:rPr>
          <w:rFonts w:cs="Arial"/>
          <w:color w:val="auto"/>
        </w:rPr>
        <w:t xml:space="preserve"> </w:t>
      </w:r>
      <w:r w:rsidR="00426E54" w:rsidRPr="00426E54">
        <w:rPr>
          <w:rFonts w:cs="Arial"/>
          <w:color w:val="auto"/>
          <w:highlight w:val="black"/>
        </w:rPr>
        <w:t>XXXXXXXXXXX</w:t>
      </w:r>
    </w:p>
    <w:p w14:paraId="52AF9A60" w14:textId="3ED811C0" w:rsidR="0004302C" w:rsidRPr="002C095B" w:rsidRDefault="0004302C" w:rsidP="0004302C">
      <w:pPr>
        <w:spacing w:after="0" w:line="240" w:lineRule="auto"/>
        <w:jc w:val="both"/>
        <w:rPr>
          <w:rFonts w:cs="Arial"/>
          <w:color w:val="auto"/>
        </w:rPr>
      </w:pPr>
      <w:r w:rsidRPr="002C095B">
        <w:rPr>
          <w:rFonts w:cs="Arial"/>
          <w:color w:val="auto"/>
        </w:rPr>
        <w:t>FAO</w:t>
      </w:r>
      <w:r w:rsidR="007234F9">
        <w:rPr>
          <w:rFonts w:cs="Arial"/>
          <w:color w:val="auto"/>
        </w:rPr>
        <w:t xml:space="preserve"> </w:t>
      </w:r>
      <w:r w:rsidR="00426E54" w:rsidRPr="00426E54">
        <w:rPr>
          <w:rFonts w:cs="Arial"/>
          <w:color w:val="auto"/>
          <w:highlight w:val="black"/>
        </w:rPr>
        <w:t>XXXXXXXXX</w:t>
      </w:r>
    </w:p>
    <w:p w14:paraId="35C240FF" w14:textId="7EDBCFAB" w:rsidR="0004302C" w:rsidRPr="002C095B" w:rsidRDefault="00F37B59" w:rsidP="0004302C">
      <w:pPr>
        <w:spacing w:after="0" w:line="240" w:lineRule="auto"/>
        <w:jc w:val="both"/>
        <w:rPr>
          <w:rFonts w:cs="Arial"/>
          <w:color w:val="auto"/>
        </w:rPr>
      </w:pPr>
      <w:r w:rsidRPr="002C095B">
        <w:rPr>
          <w:rFonts w:cs="Arial"/>
          <w:color w:val="auto"/>
        </w:rPr>
        <w:t>Regeneron</w:t>
      </w:r>
    </w:p>
    <w:p w14:paraId="08359E4C" w14:textId="424CD080" w:rsidR="00F37B59" w:rsidRPr="002C095B" w:rsidRDefault="00F37B59" w:rsidP="0004302C">
      <w:pPr>
        <w:spacing w:after="0" w:line="240" w:lineRule="auto"/>
        <w:jc w:val="both"/>
        <w:rPr>
          <w:rFonts w:cs="Arial"/>
          <w:color w:val="auto"/>
        </w:rPr>
      </w:pPr>
      <w:r w:rsidRPr="002C095B">
        <w:rPr>
          <w:rFonts w:cs="Arial"/>
          <w:color w:val="auto"/>
        </w:rPr>
        <w:t>The Charter Building</w:t>
      </w:r>
    </w:p>
    <w:p w14:paraId="28E64923" w14:textId="5FC41262" w:rsidR="00F37B59" w:rsidRPr="002C095B" w:rsidRDefault="00F37B59" w:rsidP="0004302C">
      <w:pPr>
        <w:spacing w:after="0" w:line="240" w:lineRule="auto"/>
        <w:jc w:val="both"/>
        <w:rPr>
          <w:rFonts w:cs="Arial"/>
          <w:color w:val="auto"/>
        </w:rPr>
      </w:pPr>
      <w:r w:rsidRPr="002C095B">
        <w:rPr>
          <w:rFonts w:cs="Arial"/>
          <w:color w:val="auto"/>
        </w:rPr>
        <w:t>Vine Street</w:t>
      </w:r>
    </w:p>
    <w:p w14:paraId="6A492C60" w14:textId="24B51DE7" w:rsidR="00F37B59" w:rsidRPr="002C095B" w:rsidRDefault="00F37B59" w:rsidP="0004302C">
      <w:pPr>
        <w:spacing w:after="0" w:line="240" w:lineRule="auto"/>
        <w:jc w:val="both"/>
        <w:rPr>
          <w:rFonts w:cs="Arial"/>
          <w:color w:val="auto"/>
        </w:rPr>
      </w:pPr>
      <w:r w:rsidRPr="002C095B">
        <w:rPr>
          <w:rFonts w:cs="Arial"/>
          <w:color w:val="auto"/>
        </w:rPr>
        <w:t>Uxbridge</w:t>
      </w:r>
    </w:p>
    <w:p w14:paraId="2EBB11AC" w14:textId="0BE53E1F" w:rsidR="00F37B59" w:rsidRPr="002C095B" w:rsidRDefault="00F37B59" w:rsidP="0004302C">
      <w:pPr>
        <w:spacing w:after="0" w:line="240" w:lineRule="auto"/>
        <w:jc w:val="both"/>
        <w:rPr>
          <w:rFonts w:cs="Arial"/>
          <w:color w:val="auto"/>
        </w:rPr>
      </w:pPr>
      <w:r w:rsidRPr="002C095B">
        <w:rPr>
          <w:rFonts w:cs="Arial"/>
          <w:color w:val="auto"/>
        </w:rPr>
        <w:t>Middlesex</w:t>
      </w:r>
    </w:p>
    <w:p w14:paraId="78445498" w14:textId="77777777" w:rsidR="0004302C" w:rsidRPr="002C095B" w:rsidRDefault="0004302C" w:rsidP="0004302C">
      <w:pPr>
        <w:rPr>
          <w:rFonts w:cs="Arial"/>
          <w:color w:val="auto"/>
        </w:rPr>
      </w:pPr>
    </w:p>
    <w:p w14:paraId="706E42E0" w14:textId="77777777" w:rsidR="0004302C" w:rsidRPr="002C095B" w:rsidRDefault="0004302C" w:rsidP="0004302C">
      <w:pPr>
        <w:rPr>
          <w:rFonts w:cs="Arial"/>
          <w:color w:val="auto"/>
        </w:rPr>
      </w:pPr>
    </w:p>
    <w:p w14:paraId="4855EBE1" w14:textId="2DC2579A" w:rsidR="5F387687" w:rsidRDefault="5F387687" w:rsidP="65553CB2">
      <w:r w:rsidRPr="65553CB2">
        <w:rPr>
          <w:rFonts w:cs="Arial"/>
          <w:color w:val="auto"/>
        </w:rPr>
        <w:t>Monday 16 June 2025</w:t>
      </w:r>
    </w:p>
    <w:p w14:paraId="50583914" w14:textId="77777777" w:rsidR="0004302C" w:rsidRPr="002C095B" w:rsidRDefault="0004302C" w:rsidP="0004302C">
      <w:pPr>
        <w:rPr>
          <w:rStyle w:val="Hyperlink"/>
          <w:rFonts w:cs="Arial"/>
          <w:color w:val="auto"/>
        </w:rPr>
      </w:pPr>
    </w:p>
    <w:p w14:paraId="6392A75B" w14:textId="35CA262A" w:rsidR="0004302C" w:rsidRPr="002C095B" w:rsidRDefault="0004302C" w:rsidP="0004302C">
      <w:pPr>
        <w:ind w:left="426" w:right="468" w:hanging="426"/>
        <w:jc w:val="both"/>
        <w:rPr>
          <w:rFonts w:cs="Arial"/>
          <w:noProof/>
          <w:color w:val="auto"/>
          <w:spacing w:val="-3"/>
          <w:lang w:eastAsia="en-GB"/>
        </w:rPr>
      </w:pPr>
      <w:bookmarkStart w:id="0" w:name="deartext"/>
      <w:r w:rsidRPr="002C095B">
        <w:rPr>
          <w:rFonts w:cs="Arial"/>
          <w:color w:val="auto"/>
        </w:rPr>
        <w:t>Dear</w:t>
      </w:r>
      <w:bookmarkEnd w:id="0"/>
      <w:r w:rsidRPr="002C095B">
        <w:rPr>
          <w:rFonts w:cs="Arial"/>
          <w:color w:val="auto"/>
        </w:rPr>
        <w:t xml:space="preserve"> </w:t>
      </w:r>
      <w:bookmarkStart w:id="1" w:name="Sal"/>
      <w:bookmarkEnd w:id="1"/>
      <w:r w:rsidR="00426E54" w:rsidRPr="00426E54">
        <w:rPr>
          <w:rFonts w:cs="Arial"/>
          <w:color w:val="auto"/>
          <w:highlight w:val="black"/>
        </w:rPr>
        <w:t>XXXXXXXXXX</w:t>
      </w:r>
    </w:p>
    <w:p w14:paraId="0C2B27E7" w14:textId="1BA13350" w:rsidR="0004302C" w:rsidRPr="002C095B" w:rsidRDefault="0004302C" w:rsidP="0004302C">
      <w:pPr>
        <w:ind w:left="426" w:right="468" w:hanging="426"/>
        <w:jc w:val="both"/>
        <w:rPr>
          <w:rFonts w:cs="Arial"/>
          <w:b/>
          <w:color w:val="auto"/>
        </w:rPr>
      </w:pPr>
      <w:r w:rsidRPr="002C095B">
        <w:rPr>
          <w:rFonts w:cs="Arial"/>
          <w:noProof/>
          <w:color w:val="auto"/>
          <w:lang w:eastAsia="en-GB"/>
        </w:rPr>
        <mc:AlternateContent>
          <mc:Choice Requires="wps">
            <w:drawing>
              <wp:anchor distT="4294967294" distB="4294967294" distL="114300" distR="114300" simplePos="0" relativeHeight="251659264" behindDoc="0" locked="0" layoutInCell="1" allowOverlap="1" wp14:anchorId="6EA67439" wp14:editId="02C5AE77">
                <wp:simplePos x="0" y="0"/>
                <wp:positionH relativeFrom="column">
                  <wp:posOffset>-805815</wp:posOffset>
                </wp:positionH>
                <wp:positionV relativeFrom="paragraph">
                  <wp:posOffset>255270</wp:posOffset>
                </wp:positionV>
                <wp:extent cx="81915" cy="0"/>
                <wp:effectExtent l="0" t="0" r="3238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81915" cy="0"/>
                        </a:xfrm>
                        <a:prstGeom prst="line">
                          <a:avLst/>
                        </a:prstGeom>
                        <a:noFill/>
                        <a:ln w="3175" cap="flat" cmpd="sng" algn="ctr">
                          <a:solidFill>
                            <a:srgbClr val="50505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pic="http://schemas.openxmlformats.org/drawingml/2006/picture">
            <w:pict>
              <v:line id="Straight Connector 2"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505050" strokeweight=".25pt" from="-63.45pt,20.1pt" to="-57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" w14:anchorId="31E450BA">
                <o:lock v:ext="edit" shapetype="f"/>
              </v:line>
            </w:pict>
          </mc:Fallback>
        </mc:AlternateContent>
      </w:r>
      <w:r w:rsidRPr="002C095B">
        <w:rPr>
          <w:rFonts w:cs="Arial"/>
          <w:b/>
          <w:color w:val="auto"/>
          <w:spacing w:val="-3"/>
        </w:rPr>
        <w:t xml:space="preserve">Re: </w:t>
      </w:r>
      <w:r w:rsidRPr="002C095B">
        <w:rPr>
          <w:rFonts w:cs="Arial"/>
          <w:b/>
          <w:color w:val="auto"/>
        </w:rPr>
        <w:t xml:space="preserve">Final </w:t>
      </w:r>
      <w:r w:rsidR="002C095B">
        <w:rPr>
          <w:rFonts w:cs="Arial"/>
          <w:b/>
          <w:color w:val="auto"/>
        </w:rPr>
        <w:t>Draft Guidance</w:t>
      </w:r>
      <w:r w:rsidRPr="002C095B">
        <w:rPr>
          <w:rFonts w:cs="Arial"/>
          <w:b/>
          <w:color w:val="auto"/>
        </w:rPr>
        <w:t xml:space="preserve"> — </w:t>
      </w:r>
      <w:proofErr w:type="spellStart"/>
      <w:r w:rsidR="00597457" w:rsidRPr="002C095B">
        <w:rPr>
          <w:rFonts w:cs="Arial"/>
          <w:b/>
          <w:color w:val="auto"/>
        </w:rPr>
        <w:t>Cemiplimab</w:t>
      </w:r>
      <w:proofErr w:type="spellEnd"/>
      <w:r w:rsidR="00597457" w:rsidRPr="002C095B">
        <w:rPr>
          <w:rFonts w:cs="Arial"/>
          <w:b/>
          <w:color w:val="auto"/>
        </w:rPr>
        <w:t xml:space="preserve"> with platinum-based chemotherapy for untreated advanced non-small-cell lung cancer [</w:t>
      </w:r>
      <w:r w:rsidR="00CF015A" w:rsidRPr="002C095B">
        <w:rPr>
          <w:rFonts w:cs="Arial"/>
          <w:b/>
          <w:color w:val="auto"/>
        </w:rPr>
        <w:t>ID3949]</w:t>
      </w:r>
    </w:p>
    <w:p w14:paraId="7414DC3E" w14:textId="30C14CB4" w:rsidR="00003026" w:rsidRPr="002C095B" w:rsidRDefault="000223BD" w:rsidP="00413F89">
      <w:pPr>
        <w:jc w:val="both"/>
        <w:rPr>
          <w:rFonts w:cs="Arial"/>
          <w:color w:val="auto"/>
        </w:rPr>
      </w:pPr>
      <w:r w:rsidRPr="002C095B">
        <w:rPr>
          <w:rFonts w:cs="Arial"/>
          <w:color w:val="auto"/>
        </w:rPr>
        <w:t xml:space="preserve">Thank you for your letter of </w:t>
      </w:r>
      <w:r w:rsidR="00D45FB6" w:rsidRPr="002C095B">
        <w:rPr>
          <w:rFonts w:cs="Arial"/>
          <w:color w:val="auto"/>
        </w:rPr>
        <w:t>9 June 2025</w:t>
      </w:r>
      <w:r w:rsidRPr="002C095B">
        <w:rPr>
          <w:rFonts w:cs="Arial"/>
          <w:color w:val="auto"/>
        </w:rPr>
        <w:t xml:space="preserve">, lodging </w:t>
      </w:r>
      <w:r w:rsidR="00F4296D" w:rsidRPr="002C095B">
        <w:rPr>
          <w:rFonts w:cs="Arial"/>
          <w:color w:val="auto"/>
        </w:rPr>
        <w:t>an</w:t>
      </w:r>
      <w:r w:rsidRPr="002C095B">
        <w:rPr>
          <w:rFonts w:cs="Arial"/>
          <w:color w:val="auto"/>
        </w:rPr>
        <w:t xml:space="preserve"> appeal against the above Final </w:t>
      </w:r>
      <w:r w:rsidR="00CE638F" w:rsidRPr="002C095B">
        <w:rPr>
          <w:rFonts w:cs="Arial"/>
          <w:color w:val="auto"/>
        </w:rPr>
        <w:t xml:space="preserve">Draft Guidance </w:t>
      </w:r>
      <w:r w:rsidRPr="002C095B">
        <w:rPr>
          <w:rFonts w:cs="Arial"/>
          <w:color w:val="auto"/>
        </w:rPr>
        <w:t>(FD</w:t>
      </w:r>
      <w:r w:rsidR="00CE638F" w:rsidRPr="002C095B">
        <w:rPr>
          <w:rFonts w:cs="Arial"/>
          <w:color w:val="auto"/>
        </w:rPr>
        <w:t>G</w:t>
      </w:r>
      <w:r w:rsidRPr="002C095B">
        <w:rPr>
          <w:rFonts w:cs="Arial"/>
          <w:color w:val="auto"/>
        </w:rPr>
        <w:t xml:space="preserve">). </w:t>
      </w:r>
      <w:r w:rsidR="00262058" w:rsidRPr="002C095B">
        <w:rPr>
          <w:rFonts w:cs="Arial"/>
          <w:color w:val="auto"/>
        </w:rPr>
        <w:t xml:space="preserve"> </w:t>
      </w:r>
    </w:p>
    <w:p w14:paraId="5F523C58" w14:textId="77777777" w:rsidR="00C70019" w:rsidRPr="002C095B" w:rsidRDefault="00C70019" w:rsidP="00413F89">
      <w:pPr>
        <w:jc w:val="both"/>
        <w:rPr>
          <w:rFonts w:cs="Arial"/>
          <w:color w:val="auto"/>
        </w:rPr>
      </w:pPr>
      <w:r w:rsidRPr="002C095B">
        <w:rPr>
          <w:rFonts w:cs="Arial"/>
          <w:color w:val="auto"/>
          <w:u w:val="single"/>
        </w:rPr>
        <w:t>Introduction</w:t>
      </w:r>
      <w:r w:rsidRPr="002C095B">
        <w:rPr>
          <w:rFonts w:cs="Arial"/>
          <w:color w:val="auto"/>
        </w:rPr>
        <w:t xml:space="preserve"> </w:t>
      </w:r>
    </w:p>
    <w:p w14:paraId="70E1E5B1" w14:textId="2DBAE3FD" w:rsidR="00C70019" w:rsidRPr="002C095B" w:rsidRDefault="00C70019" w:rsidP="00413F89">
      <w:pPr>
        <w:jc w:val="both"/>
        <w:rPr>
          <w:rFonts w:cs="Arial"/>
          <w:color w:val="auto"/>
        </w:rPr>
      </w:pPr>
      <w:r w:rsidRPr="002C095B">
        <w:rPr>
          <w:rFonts w:cs="Arial"/>
          <w:color w:val="auto"/>
        </w:rPr>
        <w:t xml:space="preserve">The Institute's appeal procedures provide for an initial scrutiny of points that an appellant wishes to raise, to </w:t>
      </w:r>
      <w:r w:rsidR="006B6C22" w:rsidRPr="002C095B">
        <w:rPr>
          <w:rFonts w:cs="Arial"/>
          <w:color w:val="auto"/>
        </w:rPr>
        <w:t>provide an initial view on whether</w:t>
      </w:r>
      <w:r w:rsidRPr="002C095B">
        <w:rPr>
          <w:rFonts w:cs="Arial"/>
          <w:color w:val="auto"/>
        </w:rPr>
        <w:t xml:space="preserve"> they are within the permitted grounds of appeal ("valid")</w:t>
      </w:r>
      <w:r w:rsidR="006B6C22" w:rsidRPr="002C095B">
        <w:rPr>
          <w:rFonts w:cs="Arial"/>
          <w:color w:val="auto"/>
        </w:rPr>
        <w:t xml:space="preserve"> and are at least arguable</w:t>
      </w:r>
      <w:r w:rsidRPr="002C095B">
        <w:rPr>
          <w:rFonts w:cs="Arial"/>
          <w:color w:val="auto"/>
        </w:rPr>
        <w:t xml:space="preserve">. The permitted grounds of appeal are: </w:t>
      </w:r>
    </w:p>
    <w:p w14:paraId="25359C75" w14:textId="77777777" w:rsidR="00C70019" w:rsidRPr="002C095B" w:rsidRDefault="00C70019" w:rsidP="00413F89">
      <w:pPr>
        <w:numPr>
          <w:ilvl w:val="0"/>
          <w:numId w:val="2"/>
        </w:numPr>
        <w:shd w:val="clear" w:color="auto" w:fill="FFFFFF"/>
        <w:spacing w:before="240" w:after="240" w:line="240" w:lineRule="auto"/>
        <w:jc w:val="both"/>
        <w:rPr>
          <w:rFonts w:cs="Arial"/>
          <w:color w:val="auto"/>
        </w:rPr>
      </w:pPr>
      <w:r w:rsidRPr="002C095B">
        <w:rPr>
          <w:rFonts w:cs="Arial"/>
          <w:color w:val="auto"/>
        </w:rPr>
        <w:t xml:space="preserve">1(a) NICE has failed to act fairly, or </w:t>
      </w:r>
    </w:p>
    <w:p w14:paraId="14BFF060" w14:textId="3793EDBC" w:rsidR="00C70019" w:rsidRPr="002C095B" w:rsidRDefault="00C70019" w:rsidP="00413F89">
      <w:pPr>
        <w:numPr>
          <w:ilvl w:val="0"/>
          <w:numId w:val="2"/>
        </w:numPr>
        <w:shd w:val="clear" w:color="auto" w:fill="FFFFFF"/>
        <w:spacing w:before="240" w:after="240" w:line="240" w:lineRule="auto"/>
        <w:jc w:val="both"/>
        <w:rPr>
          <w:rFonts w:cs="Arial"/>
          <w:color w:val="auto"/>
        </w:rPr>
      </w:pPr>
      <w:r w:rsidRPr="002C095B">
        <w:rPr>
          <w:rFonts w:cs="Arial"/>
          <w:color w:val="auto"/>
        </w:rPr>
        <w:t xml:space="preserve">1(b) NICE has exceeded </w:t>
      </w:r>
      <w:proofErr w:type="gramStart"/>
      <w:r w:rsidRPr="002C095B">
        <w:rPr>
          <w:rFonts w:cs="Arial"/>
          <w:color w:val="auto"/>
        </w:rPr>
        <w:t>powers;</w:t>
      </w:r>
      <w:proofErr w:type="gramEnd"/>
    </w:p>
    <w:p w14:paraId="22754B60" w14:textId="77777777" w:rsidR="00C70019" w:rsidRPr="002C095B" w:rsidRDefault="00C70019" w:rsidP="00413F89">
      <w:pPr>
        <w:numPr>
          <w:ilvl w:val="0"/>
          <w:numId w:val="2"/>
        </w:numPr>
        <w:shd w:val="clear" w:color="auto" w:fill="FFFFFF"/>
        <w:spacing w:before="240" w:after="240" w:line="240" w:lineRule="auto"/>
        <w:jc w:val="both"/>
        <w:rPr>
          <w:rFonts w:cs="Arial"/>
          <w:color w:val="auto"/>
        </w:rPr>
      </w:pPr>
      <w:r w:rsidRPr="002C095B">
        <w:rPr>
          <w:rFonts w:cs="Arial"/>
          <w:color w:val="auto"/>
        </w:rPr>
        <w:t>(2) the recommendation is unreasonable in the light of the evidence submitted to NICE</w:t>
      </w:r>
      <w:r w:rsidR="006347AD" w:rsidRPr="002C095B">
        <w:rPr>
          <w:rFonts w:cs="Arial"/>
          <w:color w:val="auto"/>
        </w:rPr>
        <w:t>.</w:t>
      </w:r>
    </w:p>
    <w:p w14:paraId="08D953B5" w14:textId="25297E74" w:rsidR="00C70019" w:rsidRPr="002C095B" w:rsidRDefault="00C70019" w:rsidP="00413F89">
      <w:pPr>
        <w:jc w:val="both"/>
        <w:rPr>
          <w:rFonts w:cs="Arial"/>
          <w:color w:val="auto"/>
        </w:rPr>
      </w:pPr>
      <w:r w:rsidRPr="002C095B">
        <w:rPr>
          <w:rFonts w:cs="Arial"/>
          <w:color w:val="auto"/>
        </w:rPr>
        <w:t>This letter sets out my initial view of the points of appeal you have raised: principally whether they fall within any of the grounds of appeal, or whether further clarification is required of any point. Only if I am satisfied that your points contain the necessary information</w:t>
      </w:r>
      <w:r w:rsidR="00F41597" w:rsidRPr="002C095B">
        <w:rPr>
          <w:rFonts w:cs="Arial"/>
          <w:color w:val="auto"/>
        </w:rPr>
        <w:t>, are arguable, and</w:t>
      </w:r>
      <w:r w:rsidRPr="002C095B">
        <w:rPr>
          <w:rFonts w:cs="Arial"/>
          <w:color w:val="auto"/>
        </w:rPr>
        <w:t xml:space="preserve"> fall within any one of the grounds will your appeal be referred to the Appeal Panel. </w:t>
      </w:r>
    </w:p>
    <w:p w14:paraId="146CF237" w14:textId="77777777" w:rsidR="00C70019" w:rsidRPr="002C095B" w:rsidRDefault="00C70019" w:rsidP="00413F89">
      <w:pPr>
        <w:jc w:val="both"/>
        <w:rPr>
          <w:rFonts w:cs="Arial"/>
          <w:color w:val="auto"/>
        </w:rPr>
      </w:pPr>
      <w:r w:rsidRPr="002C095B">
        <w:rPr>
          <w:rFonts w:cs="Arial"/>
          <w:color w:val="auto"/>
        </w:rPr>
        <w:t xml:space="preserve">You </w:t>
      </w:r>
      <w:proofErr w:type="gramStart"/>
      <w:r w:rsidRPr="002C095B">
        <w:rPr>
          <w:rFonts w:cs="Arial"/>
          <w:color w:val="auto"/>
        </w:rPr>
        <w:t>have the opportunity to</w:t>
      </w:r>
      <w:proofErr w:type="gramEnd"/>
      <w:r w:rsidRPr="002C095B">
        <w:rPr>
          <w:rFonts w:cs="Arial"/>
          <w:color w:val="auto"/>
        </w:rPr>
        <w:t xml:space="preserve"> comment on this letter </w:t>
      </w:r>
      <w:proofErr w:type="gramStart"/>
      <w:r w:rsidRPr="002C095B">
        <w:rPr>
          <w:rFonts w:cs="Arial"/>
          <w:color w:val="auto"/>
        </w:rPr>
        <w:t>in order to</w:t>
      </w:r>
      <w:proofErr w:type="gramEnd"/>
      <w:r w:rsidRPr="002C095B">
        <w:rPr>
          <w:rFonts w:cs="Arial"/>
          <w:color w:val="auto"/>
        </w:rPr>
        <w:t xml:space="preserve"> elaborate on or clarify any of the points raised before I will make my final decision as to whether each appeal point should be referred on to the Appeal Panel. </w:t>
      </w:r>
    </w:p>
    <w:p w14:paraId="3294E8F2" w14:textId="77777777" w:rsidR="00C70019" w:rsidRPr="002C095B" w:rsidRDefault="00C70019" w:rsidP="00413F89">
      <w:pPr>
        <w:jc w:val="both"/>
        <w:rPr>
          <w:rFonts w:cs="Arial"/>
          <w:color w:val="auto"/>
          <w:u w:val="single"/>
        </w:rPr>
      </w:pPr>
      <w:r w:rsidRPr="002C095B">
        <w:rPr>
          <w:rFonts w:cs="Arial"/>
          <w:color w:val="auto"/>
          <w:u w:val="single"/>
        </w:rPr>
        <w:t>Initial View</w:t>
      </w:r>
    </w:p>
    <w:p w14:paraId="15B951E6" w14:textId="4A8D7BE4" w:rsidR="00262058" w:rsidRPr="002C095B" w:rsidRDefault="00BB43EC" w:rsidP="00413F89">
      <w:pPr>
        <w:jc w:val="both"/>
        <w:rPr>
          <w:rFonts w:cs="Arial"/>
          <w:color w:val="auto"/>
        </w:rPr>
      </w:pPr>
      <w:r w:rsidRPr="002C095B">
        <w:rPr>
          <w:rFonts w:cs="Arial"/>
          <w:color w:val="auto"/>
        </w:rPr>
        <w:t>I</w:t>
      </w:r>
      <w:r w:rsidR="00C70019" w:rsidRPr="002C095B">
        <w:rPr>
          <w:rFonts w:cs="Arial"/>
          <w:color w:val="auto"/>
        </w:rPr>
        <w:t xml:space="preserve"> assess each of your </w:t>
      </w:r>
      <w:r w:rsidR="00B36320" w:rsidRPr="002C095B">
        <w:rPr>
          <w:rFonts w:cs="Arial"/>
          <w:color w:val="auto"/>
        </w:rPr>
        <w:t xml:space="preserve">points </w:t>
      </w:r>
      <w:r w:rsidR="00C70019" w:rsidRPr="002C095B">
        <w:rPr>
          <w:rFonts w:cs="Arial"/>
          <w:color w:val="auto"/>
        </w:rPr>
        <w:t xml:space="preserve">in turn.  </w:t>
      </w:r>
    </w:p>
    <w:p w14:paraId="7ADCDE98" w14:textId="77777777" w:rsidR="00E87F1E" w:rsidRPr="002C095B" w:rsidRDefault="00E87F1E" w:rsidP="00E87F1E">
      <w:pPr>
        <w:spacing w:before="120" w:after="0" w:line="240" w:lineRule="auto"/>
        <w:rPr>
          <w:rFonts w:cs="Arial"/>
          <w:b/>
          <w:i/>
          <w:color w:val="auto"/>
          <w:lang w:eastAsia="en-GB"/>
        </w:rPr>
      </w:pPr>
      <w:r w:rsidRPr="002C095B">
        <w:rPr>
          <w:rFonts w:cs="Arial"/>
          <w:b/>
          <w:i/>
          <w:color w:val="auto"/>
          <w:lang w:eastAsia="en-GB"/>
        </w:rPr>
        <w:lastRenderedPageBreak/>
        <w:t>Ground 1(a): In making the assessment that preceded the recommendation, NICE has failed to act fairly</w:t>
      </w:r>
    </w:p>
    <w:p w14:paraId="4DA05162" w14:textId="3C571156" w:rsidR="00B11119" w:rsidRPr="002C095B" w:rsidRDefault="00B62869" w:rsidP="007A7F07">
      <w:pPr>
        <w:spacing w:before="240" w:after="240" w:line="276" w:lineRule="auto"/>
        <w:jc w:val="both"/>
        <w:rPr>
          <w:rFonts w:cs="Arial"/>
          <w:b/>
          <w:color w:val="auto"/>
          <w:u w:val="single"/>
        </w:rPr>
      </w:pPr>
      <w:r w:rsidRPr="002C095B">
        <w:rPr>
          <w:rFonts w:cs="Arial"/>
          <w:b/>
          <w:color w:val="auto"/>
          <w:u w:val="single"/>
        </w:rPr>
        <w:t xml:space="preserve">Appeal </w:t>
      </w:r>
      <w:proofErr w:type="gramStart"/>
      <w:r w:rsidRPr="002C095B">
        <w:rPr>
          <w:rFonts w:cs="Arial"/>
          <w:b/>
          <w:color w:val="auto"/>
          <w:u w:val="single"/>
        </w:rPr>
        <w:t>point</w:t>
      </w:r>
      <w:proofErr w:type="gramEnd"/>
      <w:r w:rsidRPr="002C095B">
        <w:rPr>
          <w:rFonts w:cs="Arial"/>
          <w:b/>
          <w:color w:val="auto"/>
          <w:u w:val="single"/>
        </w:rPr>
        <w:t xml:space="preserve"> 1(a).1</w:t>
      </w:r>
      <w:r w:rsidR="007A7F07" w:rsidRPr="002C095B">
        <w:rPr>
          <w:rFonts w:cs="Arial"/>
          <w:b/>
          <w:color w:val="auto"/>
          <w:u w:val="single"/>
        </w:rPr>
        <w:t xml:space="preserve">: </w:t>
      </w:r>
      <w:r w:rsidR="00C71B57" w:rsidRPr="002C095B">
        <w:rPr>
          <w:rFonts w:cs="Arial"/>
          <w:b/>
          <w:color w:val="auto"/>
          <w:u w:val="single"/>
        </w:rPr>
        <w:t xml:space="preserve">In making materially different evidential requirements in this appraisal versus TA705, NICE has undermined principles of procedural consistency and fairness and introduced an approach that biases against </w:t>
      </w:r>
      <w:proofErr w:type="spellStart"/>
      <w:r w:rsidR="00C71B57" w:rsidRPr="002C095B">
        <w:rPr>
          <w:rFonts w:cs="Arial"/>
          <w:b/>
          <w:color w:val="auto"/>
          <w:u w:val="single"/>
        </w:rPr>
        <w:t>cemiplimab</w:t>
      </w:r>
      <w:proofErr w:type="spellEnd"/>
      <w:r w:rsidR="00C71B57" w:rsidRPr="002C095B">
        <w:rPr>
          <w:rFonts w:cs="Arial"/>
          <w:b/>
          <w:color w:val="auto"/>
          <w:u w:val="single"/>
        </w:rPr>
        <w:t>.</w:t>
      </w:r>
    </w:p>
    <w:p w14:paraId="4E2DED58" w14:textId="21BACFA8" w:rsidR="00A50850" w:rsidRPr="00A50850" w:rsidRDefault="00E87F1E" w:rsidP="00A50850">
      <w:pPr>
        <w:pStyle w:val="BodyText"/>
        <w:jc w:val="both"/>
        <w:rPr>
          <w:rFonts w:cs="Arial"/>
          <w:color w:val="auto"/>
        </w:rPr>
      </w:pPr>
      <w:r w:rsidRPr="002C095B">
        <w:rPr>
          <w:rFonts w:cs="Arial"/>
          <w:color w:val="auto"/>
        </w:rPr>
        <w:t xml:space="preserve">I am minded </w:t>
      </w:r>
      <w:proofErr w:type="gramStart"/>
      <w:r w:rsidRPr="002C095B">
        <w:rPr>
          <w:rFonts w:cs="Arial"/>
          <w:color w:val="auto"/>
        </w:rPr>
        <w:t>to refer</w:t>
      </w:r>
      <w:proofErr w:type="gramEnd"/>
      <w:r w:rsidRPr="002C095B">
        <w:rPr>
          <w:rFonts w:cs="Arial"/>
          <w:color w:val="auto"/>
        </w:rPr>
        <w:t xml:space="preserve"> this appeal </w:t>
      </w:r>
      <w:proofErr w:type="gramStart"/>
      <w:r w:rsidRPr="002C095B">
        <w:rPr>
          <w:rFonts w:cs="Arial"/>
          <w:color w:val="auto"/>
        </w:rPr>
        <w:t>point</w:t>
      </w:r>
      <w:proofErr w:type="gramEnd"/>
      <w:r w:rsidRPr="002C095B">
        <w:rPr>
          <w:rFonts w:cs="Arial"/>
          <w:color w:val="auto"/>
        </w:rPr>
        <w:t xml:space="preserve"> to the Appeal Panel.   </w:t>
      </w:r>
    </w:p>
    <w:p w14:paraId="2DCD5E2C" w14:textId="15068C04" w:rsidR="00A50850" w:rsidRPr="002C095B" w:rsidRDefault="005065A9" w:rsidP="00E87F1E">
      <w:pPr>
        <w:pStyle w:val="BodyText"/>
        <w:jc w:val="both"/>
        <w:rPr>
          <w:rFonts w:cs="Arial"/>
          <w:color w:val="auto"/>
        </w:rPr>
      </w:pPr>
      <w:r w:rsidRPr="002C095B">
        <w:rPr>
          <w:rFonts w:cs="Arial"/>
          <w:color w:val="auto"/>
        </w:rPr>
        <w:t>In reaching this view I note that although the Committee is not bound by precedent</w:t>
      </w:r>
      <w:r w:rsidR="00503BE4" w:rsidRPr="002C095B">
        <w:rPr>
          <w:rFonts w:cs="Arial"/>
          <w:color w:val="auto"/>
        </w:rPr>
        <w:t>,</w:t>
      </w:r>
      <w:r w:rsidRPr="002C095B">
        <w:rPr>
          <w:rFonts w:cs="Arial"/>
          <w:color w:val="auto"/>
        </w:rPr>
        <w:t xml:space="preserve"> where </w:t>
      </w:r>
      <w:r w:rsidR="00CA66DD" w:rsidRPr="002C095B">
        <w:rPr>
          <w:rFonts w:cs="Arial"/>
          <w:color w:val="auto"/>
        </w:rPr>
        <w:t xml:space="preserve">it </w:t>
      </w:r>
      <w:r w:rsidR="00715C1C" w:rsidRPr="002C095B">
        <w:rPr>
          <w:rFonts w:cs="Arial"/>
          <w:color w:val="auto"/>
        </w:rPr>
        <w:t xml:space="preserve">takes a different </w:t>
      </w:r>
      <w:proofErr w:type="gramStart"/>
      <w:r w:rsidR="00715C1C" w:rsidRPr="002C095B">
        <w:rPr>
          <w:rFonts w:cs="Arial"/>
          <w:color w:val="auto"/>
        </w:rPr>
        <w:t>approach</w:t>
      </w:r>
      <w:proofErr w:type="gramEnd"/>
      <w:r w:rsidR="00715C1C" w:rsidRPr="002C095B">
        <w:rPr>
          <w:rFonts w:cs="Arial"/>
          <w:color w:val="auto"/>
        </w:rPr>
        <w:t xml:space="preserve"> it </w:t>
      </w:r>
      <w:r w:rsidR="00527690" w:rsidRPr="002C095B">
        <w:rPr>
          <w:rFonts w:cs="Arial"/>
          <w:color w:val="auto"/>
        </w:rPr>
        <w:t>should</w:t>
      </w:r>
      <w:r w:rsidR="00715C1C" w:rsidRPr="002C095B">
        <w:rPr>
          <w:rFonts w:cs="Arial"/>
          <w:color w:val="auto"/>
        </w:rPr>
        <w:t xml:space="preserve"> be able to explain the reasons</w:t>
      </w:r>
      <w:r w:rsidR="00673B74" w:rsidRPr="002C095B">
        <w:rPr>
          <w:rFonts w:cs="Arial"/>
          <w:color w:val="auto"/>
        </w:rPr>
        <w:t xml:space="preserve"> for its decision.  </w:t>
      </w:r>
      <w:r w:rsidR="00A50850" w:rsidRPr="002C095B">
        <w:rPr>
          <w:rFonts w:cs="Arial"/>
          <w:color w:val="auto"/>
        </w:rPr>
        <w:t xml:space="preserve">I consider that it is arguable that the Committee has applied a different threshold when comparing </w:t>
      </w:r>
      <w:proofErr w:type="spellStart"/>
      <w:r w:rsidR="00A50850" w:rsidRPr="002C095B">
        <w:rPr>
          <w:rFonts w:cs="Arial"/>
          <w:color w:val="auto"/>
        </w:rPr>
        <w:t>cemiplimab</w:t>
      </w:r>
      <w:proofErr w:type="spellEnd"/>
      <w:r w:rsidR="00A50850" w:rsidRPr="002C095B">
        <w:rPr>
          <w:rFonts w:cs="Arial"/>
          <w:color w:val="auto"/>
        </w:rPr>
        <w:t xml:space="preserve"> plus chemotherapy with pembrolizumab plus chemotherapy, </w:t>
      </w:r>
      <w:r w:rsidR="00627C6F" w:rsidRPr="002C095B">
        <w:rPr>
          <w:rFonts w:cs="Arial"/>
          <w:color w:val="auto"/>
        </w:rPr>
        <w:t>when compared with</w:t>
      </w:r>
      <w:r w:rsidR="00A50850" w:rsidRPr="002C095B">
        <w:rPr>
          <w:rFonts w:cs="Arial"/>
          <w:color w:val="auto"/>
        </w:rPr>
        <w:t xml:space="preserve"> that applied by the committee in TA705 comparing </w:t>
      </w:r>
      <w:r w:rsidR="00A50850" w:rsidRPr="00A50850">
        <w:rPr>
          <w:rFonts w:cs="Arial"/>
          <w:color w:val="auto"/>
        </w:rPr>
        <w:t>atezolizumab</w:t>
      </w:r>
      <w:r w:rsidR="00A50850" w:rsidRPr="002C095B">
        <w:rPr>
          <w:rFonts w:cs="Arial"/>
          <w:i/>
          <w:iCs/>
          <w:color w:val="auto"/>
        </w:rPr>
        <w:t xml:space="preserve"> </w:t>
      </w:r>
      <w:r w:rsidR="00A50850" w:rsidRPr="002C095B">
        <w:rPr>
          <w:rFonts w:cs="Arial"/>
          <w:color w:val="auto"/>
        </w:rPr>
        <w:t xml:space="preserve">with pembrolizumab.  </w:t>
      </w:r>
    </w:p>
    <w:p w14:paraId="310EC05C" w14:textId="174D1356" w:rsidR="00A50850" w:rsidRPr="002C095B" w:rsidRDefault="00A50850" w:rsidP="00E87F1E">
      <w:pPr>
        <w:pStyle w:val="BodyText"/>
        <w:jc w:val="both"/>
        <w:rPr>
          <w:rFonts w:cs="Arial"/>
          <w:color w:val="auto"/>
        </w:rPr>
      </w:pPr>
      <w:r w:rsidRPr="002C095B">
        <w:rPr>
          <w:rFonts w:cs="Arial"/>
          <w:color w:val="auto"/>
        </w:rPr>
        <w:t>In TA705, the committee note</w:t>
      </w:r>
      <w:r w:rsidR="00627C6F" w:rsidRPr="002C095B">
        <w:rPr>
          <w:rFonts w:cs="Arial"/>
          <w:color w:val="auto"/>
        </w:rPr>
        <w:t>d</w:t>
      </w:r>
      <w:r w:rsidRPr="002C095B">
        <w:rPr>
          <w:rFonts w:cs="Arial"/>
          <w:color w:val="auto"/>
        </w:rPr>
        <w:t xml:space="preserve"> that </w:t>
      </w:r>
      <w:r w:rsidRPr="002C095B">
        <w:rPr>
          <w:rFonts w:cs="Arial"/>
          <w:i/>
          <w:iCs/>
          <w:color w:val="auto"/>
        </w:rPr>
        <w:t xml:space="preserve">the results from the network meta-analysis </w:t>
      </w:r>
      <w:r w:rsidRPr="002C095B">
        <w:rPr>
          <w:rFonts w:cs="Arial"/>
          <w:color w:val="auto"/>
        </w:rPr>
        <w:t xml:space="preserve">[conducted by the </w:t>
      </w:r>
      <w:r w:rsidR="00627C6F" w:rsidRPr="002C095B">
        <w:rPr>
          <w:rFonts w:cs="Arial"/>
          <w:color w:val="auto"/>
        </w:rPr>
        <w:t>c</w:t>
      </w:r>
      <w:r w:rsidRPr="002C095B">
        <w:rPr>
          <w:rFonts w:cs="Arial"/>
          <w:color w:val="auto"/>
        </w:rPr>
        <w:t xml:space="preserve">ompany in that evaluation] </w:t>
      </w:r>
      <w:r w:rsidRPr="002C095B">
        <w:rPr>
          <w:rFonts w:cs="Arial"/>
          <w:i/>
          <w:iCs/>
          <w:color w:val="auto"/>
        </w:rPr>
        <w:t xml:space="preserve">suggested </w:t>
      </w:r>
      <w:r w:rsidRPr="002C095B">
        <w:rPr>
          <w:rFonts w:cs="Arial"/>
          <w:i/>
          <w:iCs/>
          <w:color w:val="auto"/>
          <w:u w:val="single"/>
        </w:rPr>
        <w:t>no significant differences</w:t>
      </w:r>
      <w:r w:rsidRPr="002C095B">
        <w:rPr>
          <w:rFonts w:cs="Arial"/>
          <w:i/>
          <w:iCs/>
          <w:color w:val="auto"/>
        </w:rPr>
        <w:t xml:space="preserve"> between atezolizumab and pembrolizumab</w:t>
      </w:r>
      <w:r w:rsidRPr="002C095B">
        <w:rPr>
          <w:rFonts w:cs="Arial"/>
          <w:color w:val="auto"/>
        </w:rPr>
        <w:t xml:space="preserve">, and that </w:t>
      </w:r>
      <w:r w:rsidRPr="00A50850">
        <w:rPr>
          <w:rFonts w:cs="Arial"/>
          <w:i/>
          <w:iCs/>
          <w:color w:val="auto"/>
        </w:rPr>
        <w:t xml:space="preserve">Clinical expert input suggested atezolizumab is </w:t>
      </w:r>
      <w:r w:rsidRPr="00A50850">
        <w:rPr>
          <w:rFonts w:cs="Arial"/>
          <w:i/>
          <w:iCs/>
          <w:color w:val="auto"/>
          <w:u w:val="single"/>
        </w:rPr>
        <w:t xml:space="preserve">very similar </w:t>
      </w:r>
      <w:r w:rsidRPr="002C095B">
        <w:rPr>
          <w:rFonts w:cs="Arial"/>
          <w:i/>
          <w:iCs/>
          <w:color w:val="auto"/>
          <w:u w:val="single"/>
        </w:rPr>
        <w:t>to</w:t>
      </w:r>
      <w:r w:rsidRPr="002C095B">
        <w:rPr>
          <w:rFonts w:cs="Arial"/>
          <w:i/>
          <w:iCs/>
          <w:color w:val="auto"/>
        </w:rPr>
        <w:t xml:space="preserve"> pembrolizumab, with no robust differences in toxicity or efficacy.</w:t>
      </w:r>
      <w:r w:rsidR="00627C6F" w:rsidRPr="002C095B">
        <w:rPr>
          <w:rFonts w:cs="Arial"/>
          <w:i/>
          <w:iCs/>
          <w:color w:val="auto"/>
        </w:rPr>
        <w:t xml:space="preserve"> </w:t>
      </w:r>
      <w:r w:rsidR="00627C6F" w:rsidRPr="002C095B">
        <w:rPr>
          <w:rFonts w:cs="Arial"/>
          <w:color w:val="auto"/>
        </w:rPr>
        <w:t>(my emphases added)</w:t>
      </w:r>
    </w:p>
    <w:p w14:paraId="4975B2CA" w14:textId="740CE316" w:rsidR="00F65FEC" w:rsidRPr="002C095B" w:rsidRDefault="00A50850" w:rsidP="00F65FEC">
      <w:pPr>
        <w:pStyle w:val="BodyText"/>
        <w:jc w:val="both"/>
        <w:rPr>
          <w:rFonts w:cs="Arial"/>
          <w:color w:val="auto"/>
        </w:rPr>
      </w:pPr>
      <w:r w:rsidRPr="002C095B">
        <w:rPr>
          <w:rFonts w:cs="Arial"/>
          <w:color w:val="auto"/>
        </w:rPr>
        <w:t xml:space="preserve">In the current appraisal, the Committee </w:t>
      </w:r>
      <w:r w:rsidR="00F65FEC" w:rsidRPr="00F65FEC">
        <w:rPr>
          <w:rFonts w:cs="Arial"/>
          <w:i/>
          <w:iCs/>
          <w:color w:val="auto"/>
        </w:rPr>
        <w:t>noted that the results not being statistically significantly</w:t>
      </w:r>
      <w:r w:rsidR="00F65FEC" w:rsidRPr="002C095B">
        <w:rPr>
          <w:rFonts w:cs="Arial"/>
          <w:color w:val="auto"/>
        </w:rPr>
        <w:t xml:space="preserve"> </w:t>
      </w:r>
      <w:r w:rsidR="00F65FEC" w:rsidRPr="00F65FEC">
        <w:rPr>
          <w:rFonts w:cs="Arial"/>
          <w:i/>
          <w:iCs/>
          <w:color w:val="auto"/>
        </w:rPr>
        <w:t xml:space="preserve">different </w:t>
      </w:r>
      <w:r w:rsidR="00627C6F" w:rsidRPr="002C095B">
        <w:rPr>
          <w:rFonts w:cs="Arial"/>
          <w:color w:val="auto"/>
        </w:rPr>
        <w:t xml:space="preserve">[between </w:t>
      </w:r>
      <w:proofErr w:type="spellStart"/>
      <w:r w:rsidR="00627C6F" w:rsidRPr="002C095B">
        <w:rPr>
          <w:rFonts w:cs="Arial"/>
          <w:color w:val="auto"/>
        </w:rPr>
        <w:t>cemiplimab</w:t>
      </w:r>
      <w:proofErr w:type="spellEnd"/>
      <w:r w:rsidR="00627C6F" w:rsidRPr="002C095B">
        <w:rPr>
          <w:rFonts w:cs="Arial"/>
          <w:color w:val="auto"/>
        </w:rPr>
        <w:t xml:space="preserve"> and pembrolizumab] </w:t>
      </w:r>
      <w:r w:rsidR="00F65FEC" w:rsidRPr="00F65FEC">
        <w:rPr>
          <w:rFonts w:cs="Arial"/>
          <w:i/>
          <w:iCs/>
          <w:color w:val="auto"/>
        </w:rPr>
        <w:t xml:space="preserve">did not equate to the treatments being </w:t>
      </w:r>
      <w:r w:rsidR="00F65FEC" w:rsidRPr="00F65FEC">
        <w:rPr>
          <w:rFonts w:cs="Arial"/>
          <w:i/>
          <w:iCs/>
          <w:color w:val="auto"/>
          <w:u w:val="single"/>
        </w:rPr>
        <w:t>equivalent in efficacy</w:t>
      </w:r>
      <w:r w:rsidR="00F65FEC" w:rsidRPr="00F65FEC">
        <w:rPr>
          <w:rFonts w:cs="Arial"/>
          <w:i/>
          <w:iCs/>
          <w:color w:val="auto"/>
        </w:rPr>
        <w:t xml:space="preserve"> or </w:t>
      </w:r>
      <w:r w:rsidR="00F65FEC" w:rsidRPr="00F65FEC">
        <w:rPr>
          <w:rFonts w:cs="Arial"/>
          <w:i/>
          <w:iCs/>
          <w:color w:val="auto"/>
          <w:u w:val="single"/>
        </w:rPr>
        <w:t>non-inferior</w:t>
      </w:r>
      <w:r w:rsidR="00F65FEC" w:rsidRPr="00F65FEC">
        <w:rPr>
          <w:rFonts w:cs="Arial"/>
          <w:i/>
          <w:iCs/>
          <w:color w:val="auto"/>
        </w:rPr>
        <w:t>.</w:t>
      </w:r>
      <w:r w:rsidR="00627C6F" w:rsidRPr="002C095B">
        <w:rPr>
          <w:rFonts w:cs="Arial"/>
          <w:i/>
          <w:iCs/>
          <w:color w:val="auto"/>
        </w:rPr>
        <w:t xml:space="preserve"> </w:t>
      </w:r>
      <w:r w:rsidR="00627C6F" w:rsidRPr="002C095B">
        <w:rPr>
          <w:rFonts w:cs="Arial"/>
          <w:color w:val="auto"/>
        </w:rPr>
        <w:t>(my emphases added)</w:t>
      </w:r>
      <w:r w:rsidR="00F65FEC" w:rsidRPr="00F65FEC">
        <w:rPr>
          <w:rFonts w:cs="Arial"/>
          <w:color w:val="auto"/>
        </w:rPr>
        <w:t xml:space="preserve"> </w:t>
      </w:r>
    </w:p>
    <w:p w14:paraId="1772D0B1" w14:textId="79413A5C" w:rsidR="00F16161" w:rsidRPr="002C095B" w:rsidRDefault="00F65FEC" w:rsidP="00627C6F">
      <w:pPr>
        <w:pStyle w:val="BodyText"/>
        <w:jc w:val="both"/>
        <w:rPr>
          <w:rFonts w:cs="Arial"/>
          <w:color w:val="auto"/>
        </w:rPr>
      </w:pPr>
      <w:r w:rsidRPr="002C095B">
        <w:rPr>
          <w:rFonts w:cs="Arial"/>
          <w:color w:val="auto"/>
        </w:rPr>
        <w:t xml:space="preserve">It appears </w:t>
      </w:r>
      <w:r w:rsidR="00627C6F" w:rsidRPr="002C095B">
        <w:rPr>
          <w:rFonts w:cs="Arial"/>
          <w:color w:val="auto"/>
        </w:rPr>
        <w:t>to me</w:t>
      </w:r>
      <w:r w:rsidRPr="002C095B">
        <w:rPr>
          <w:rFonts w:cs="Arial"/>
          <w:color w:val="auto"/>
        </w:rPr>
        <w:t xml:space="preserve"> that the Committee is seeking to establish in the current appraisal whether the two treatments are 'equivalent in efficacy' or 'non-inferior', whereas in TA705, the question asked was whether there were 'significant differences' or the comparators were 'very similar'.  </w:t>
      </w:r>
      <w:r w:rsidR="00627C6F" w:rsidRPr="002C095B">
        <w:rPr>
          <w:rFonts w:cs="Arial"/>
          <w:color w:val="auto"/>
        </w:rPr>
        <w:t>I agree that it is arguable that these are different tests, and that if so, it is also arguable that the Committee has not provided adequate reasons for the approach taken in the current evaluation.</w:t>
      </w:r>
    </w:p>
    <w:p w14:paraId="2E4D05E6" w14:textId="2FB7FE77" w:rsidR="00C71B57" w:rsidRPr="002C095B" w:rsidRDefault="00C71B57" w:rsidP="00C71B57">
      <w:pPr>
        <w:spacing w:before="240" w:after="240" w:line="276" w:lineRule="auto"/>
        <w:jc w:val="both"/>
        <w:rPr>
          <w:rFonts w:cs="Arial"/>
          <w:b/>
          <w:color w:val="auto"/>
          <w:u w:val="single"/>
        </w:rPr>
      </w:pPr>
      <w:r w:rsidRPr="002C095B">
        <w:rPr>
          <w:rFonts w:cs="Arial"/>
          <w:b/>
          <w:color w:val="auto"/>
          <w:u w:val="single"/>
        </w:rPr>
        <w:t xml:space="preserve">Appeal </w:t>
      </w:r>
      <w:proofErr w:type="gramStart"/>
      <w:r w:rsidRPr="002C095B">
        <w:rPr>
          <w:rFonts w:cs="Arial"/>
          <w:b/>
          <w:color w:val="auto"/>
          <w:u w:val="single"/>
        </w:rPr>
        <w:t>point</w:t>
      </w:r>
      <w:proofErr w:type="gramEnd"/>
      <w:r w:rsidRPr="002C095B">
        <w:rPr>
          <w:rFonts w:cs="Arial"/>
          <w:b/>
          <w:color w:val="auto"/>
          <w:u w:val="single"/>
        </w:rPr>
        <w:t xml:space="preserve"> 1(a).2: </w:t>
      </w:r>
      <w:r w:rsidR="00401CEA" w:rsidRPr="002C095B">
        <w:rPr>
          <w:rFonts w:cs="Arial"/>
          <w:b/>
          <w:color w:val="auto"/>
          <w:u w:val="single"/>
        </w:rPr>
        <w:t xml:space="preserve">The Appraisal Committee failed to consider adequately material evidence regarding PFS provided by Regeneron.  Public bodies are required to </w:t>
      </w:r>
      <w:proofErr w:type="gramStart"/>
      <w:r w:rsidR="00401CEA" w:rsidRPr="002C095B">
        <w:rPr>
          <w:rFonts w:cs="Arial"/>
          <w:b/>
          <w:color w:val="auto"/>
          <w:u w:val="single"/>
        </w:rPr>
        <w:t>give proper consideration to</w:t>
      </w:r>
      <w:proofErr w:type="gramEnd"/>
      <w:r w:rsidR="00401CEA" w:rsidRPr="002C095B">
        <w:rPr>
          <w:rFonts w:cs="Arial"/>
          <w:b/>
          <w:color w:val="auto"/>
          <w:u w:val="single"/>
        </w:rPr>
        <w:t xml:space="preserve"> stakeholder submissions and, where relevant, to justify any decision to not accept them.  The Appraisal Committee’s failure to do so was procedurally unfair and prejudiced Regeneron and its product.</w:t>
      </w:r>
    </w:p>
    <w:p w14:paraId="5BE8258A" w14:textId="4AE1C6B3" w:rsidR="00C71B57" w:rsidRPr="002C095B" w:rsidRDefault="00C71B57" w:rsidP="00C71B57">
      <w:pPr>
        <w:pStyle w:val="BodyText"/>
        <w:jc w:val="both"/>
        <w:rPr>
          <w:rFonts w:cs="Arial"/>
          <w:color w:val="auto"/>
        </w:rPr>
      </w:pPr>
      <w:r w:rsidRPr="002C095B">
        <w:rPr>
          <w:rFonts w:cs="Arial"/>
          <w:color w:val="auto"/>
        </w:rPr>
        <w:t xml:space="preserve">I am not minded </w:t>
      </w:r>
      <w:proofErr w:type="gramStart"/>
      <w:r w:rsidRPr="002C095B">
        <w:rPr>
          <w:rFonts w:cs="Arial"/>
          <w:color w:val="auto"/>
        </w:rPr>
        <w:t>to refer</w:t>
      </w:r>
      <w:proofErr w:type="gramEnd"/>
      <w:r w:rsidRPr="002C095B">
        <w:rPr>
          <w:rFonts w:cs="Arial"/>
          <w:color w:val="auto"/>
        </w:rPr>
        <w:t xml:space="preserve"> this appeal </w:t>
      </w:r>
      <w:proofErr w:type="gramStart"/>
      <w:r w:rsidRPr="002C095B">
        <w:rPr>
          <w:rFonts w:cs="Arial"/>
          <w:color w:val="auto"/>
        </w:rPr>
        <w:t>point</w:t>
      </w:r>
      <w:proofErr w:type="gramEnd"/>
      <w:r w:rsidRPr="002C095B">
        <w:rPr>
          <w:rFonts w:cs="Arial"/>
          <w:color w:val="auto"/>
        </w:rPr>
        <w:t xml:space="preserve"> to the Appeal Panel.   </w:t>
      </w:r>
    </w:p>
    <w:p w14:paraId="13E4E20B" w14:textId="282A3208" w:rsidR="00437E9F" w:rsidRPr="002C095B" w:rsidRDefault="00437E9F" w:rsidP="00C71B57">
      <w:pPr>
        <w:pStyle w:val="BodyText"/>
        <w:jc w:val="both"/>
        <w:rPr>
          <w:rFonts w:cs="Arial"/>
          <w:color w:val="auto"/>
        </w:rPr>
      </w:pPr>
      <w:r w:rsidRPr="002C095B">
        <w:rPr>
          <w:rFonts w:cs="Arial"/>
          <w:color w:val="auto"/>
        </w:rPr>
        <w:t xml:space="preserve">I understand </w:t>
      </w:r>
      <w:r w:rsidR="0082213C" w:rsidRPr="002C095B">
        <w:rPr>
          <w:rFonts w:cs="Arial"/>
          <w:color w:val="auto"/>
        </w:rPr>
        <w:t xml:space="preserve">the argument made in the appeal letter to be, in essence, that the Committee must have </w:t>
      </w:r>
      <w:proofErr w:type="gramStart"/>
      <w:r w:rsidR="00580816">
        <w:rPr>
          <w:rFonts w:cs="Arial"/>
          <w:color w:val="auto"/>
        </w:rPr>
        <w:t xml:space="preserve">given </w:t>
      </w:r>
      <w:r w:rsidR="0082213C" w:rsidRPr="002C095B">
        <w:rPr>
          <w:rFonts w:cs="Arial"/>
          <w:color w:val="auto"/>
        </w:rPr>
        <w:t>inadequate consideration to</w:t>
      </w:r>
      <w:proofErr w:type="gramEnd"/>
      <w:r w:rsidR="0082213C" w:rsidRPr="002C095B">
        <w:rPr>
          <w:rFonts w:cs="Arial"/>
          <w:color w:val="auto"/>
        </w:rPr>
        <w:t xml:space="preserve"> the MAIC-based PFS analysis submitted by the Company, and that this is shown by the conclusions that the Committee reached.  The Company's position is that the Committee would not have reached those conclusions if it </w:t>
      </w:r>
      <w:r w:rsidR="00580816">
        <w:rPr>
          <w:rFonts w:cs="Arial"/>
          <w:color w:val="auto"/>
        </w:rPr>
        <w:t xml:space="preserve">had </w:t>
      </w:r>
      <w:r w:rsidR="00580816" w:rsidRPr="002C095B">
        <w:rPr>
          <w:rFonts w:cs="Arial"/>
          <w:color w:val="auto"/>
        </w:rPr>
        <w:t xml:space="preserve">adequately </w:t>
      </w:r>
      <w:r w:rsidR="0082213C" w:rsidRPr="002C095B">
        <w:rPr>
          <w:rFonts w:cs="Arial"/>
          <w:color w:val="auto"/>
        </w:rPr>
        <w:t xml:space="preserve">considered the MAIC-based PFS analysis.  </w:t>
      </w:r>
      <w:r w:rsidR="00B65E80" w:rsidRPr="002C095B">
        <w:rPr>
          <w:rFonts w:cs="Arial"/>
          <w:color w:val="auto"/>
        </w:rPr>
        <w:t xml:space="preserve">  </w:t>
      </w:r>
    </w:p>
    <w:p w14:paraId="14317BDA" w14:textId="516C4513" w:rsidR="0082213C" w:rsidRPr="002C095B" w:rsidRDefault="0082213C" w:rsidP="00C71B57">
      <w:pPr>
        <w:pStyle w:val="BodyText"/>
        <w:jc w:val="both"/>
        <w:rPr>
          <w:rFonts w:cs="Arial"/>
          <w:color w:val="auto"/>
        </w:rPr>
      </w:pPr>
      <w:r w:rsidRPr="002C095B">
        <w:rPr>
          <w:rFonts w:cs="Arial"/>
          <w:color w:val="auto"/>
        </w:rPr>
        <w:t xml:space="preserve">I am reminded that, </w:t>
      </w:r>
      <w:proofErr w:type="gramStart"/>
      <w:r w:rsidRPr="002C095B">
        <w:rPr>
          <w:rFonts w:cs="Arial"/>
          <w:color w:val="auto"/>
        </w:rPr>
        <w:t>as long as</w:t>
      </w:r>
      <w:proofErr w:type="gramEnd"/>
      <w:r w:rsidRPr="002C095B">
        <w:rPr>
          <w:rFonts w:cs="Arial"/>
          <w:color w:val="auto"/>
        </w:rPr>
        <w:t xml:space="preserve"> its approach is in line with the Manual and not unreasonable, the question of what weight to place on evidence submitted to it is for the expert Committee.  I note that t</w:t>
      </w:r>
      <w:r w:rsidR="005A2187" w:rsidRPr="002C095B">
        <w:rPr>
          <w:rFonts w:cs="Arial"/>
          <w:color w:val="auto"/>
        </w:rPr>
        <w:t xml:space="preserve">he </w:t>
      </w:r>
      <w:r w:rsidR="005E622A" w:rsidRPr="002C095B">
        <w:rPr>
          <w:rFonts w:cs="Arial"/>
          <w:color w:val="auto"/>
        </w:rPr>
        <w:t>Comm</w:t>
      </w:r>
      <w:r w:rsidR="009B1E12" w:rsidRPr="002C095B">
        <w:rPr>
          <w:rFonts w:cs="Arial"/>
          <w:color w:val="auto"/>
        </w:rPr>
        <w:t xml:space="preserve">ittee </w:t>
      </w:r>
      <w:r w:rsidR="005A2187" w:rsidRPr="002C095B">
        <w:rPr>
          <w:rFonts w:cs="Arial"/>
          <w:color w:val="auto"/>
        </w:rPr>
        <w:t xml:space="preserve">explains its </w:t>
      </w:r>
      <w:r w:rsidR="006E04CF" w:rsidRPr="002C095B">
        <w:rPr>
          <w:rFonts w:cs="Arial"/>
          <w:color w:val="auto"/>
        </w:rPr>
        <w:t>consideration of the MAIC Analyses at paragraph 3.7 of the FDG.   It is my initial view that the Committee ha</w:t>
      </w:r>
      <w:r w:rsidR="002B362A" w:rsidRPr="002C095B">
        <w:rPr>
          <w:rFonts w:cs="Arial"/>
          <w:color w:val="auto"/>
        </w:rPr>
        <w:t>s</w:t>
      </w:r>
      <w:r w:rsidR="00E45CA2" w:rsidRPr="002C095B">
        <w:rPr>
          <w:rFonts w:cs="Arial"/>
          <w:color w:val="auto"/>
        </w:rPr>
        <w:t xml:space="preserve"> considered and understood the </w:t>
      </w:r>
      <w:proofErr w:type="gramStart"/>
      <w:r w:rsidR="00E45CA2" w:rsidRPr="002C095B">
        <w:rPr>
          <w:rFonts w:cs="Arial"/>
          <w:color w:val="auto"/>
        </w:rPr>
        <w:t>evidence</w:t>
      </w:r>
      <w:r w:rsidRPr="002C095B">
        <w:rPr>
          <w:rFonts w:cs="Arial"/>
          <w:color w:val="auto"/>
        </w:rPr>
        <w:t>, and</w:t>
      </w:r>
      <w:proofErr w:type="gramEnd"/>
      <w:r w:rsidRPr="002C095B">
        <w:rPr>
          <w:rFonts w:cs="Arial"/>
          <w:color w:val="auto"/>
        </w:rPr>
        <w:t xml:space="preserve"> reached its own view of </w:t>
      </w:r>
      <w:r w:rsidR="00580816">
        <w:rPr>
          <w:rFonts w:cs="Arial"/>
          <w:color w:val="auto"/>
        </w:rPr>
        <w:t>its</w:t>
      </w:r>
      <w:r w:rsidR="00B8732D" w:rsidRPr="002C095B">
        <w:rPr>
          <w:rFonts w:cs="Arial"/>
          <w:color w:val="auto"/>
        </w:rPr>
        <w:t xml:space="preserve"> value and limitations.  </w:t>
      </w:r>
    </w:p>
    <w:p w14:paraId="2CEA3698" w14:textId="5A8AC2A9" w:rsidR="004C60E8" w:rsidRPr="002C095B" w:rsidRDefault="0082213C" w:rsidP="00C71B57">
      <w:pPr>
        <w:pStyle w:val="BodyText"/>
        <w:jc w:val="both"/>
        <w:rPr>
          <w:rFonts w:cs="Arial"/>
          <w:color w:val="auto"/>
        </w:rPr>
      </w:pPr>
      <w:r w:rsidRPr="002C095B">
        <w:rPr>
          <w:rFonts w:cs="Arial"/>
          <w:color w:val="auto"/>
        </w:rPr>
        <w:t>That being the case, I do not accept that there is an arguable ground for challenge under Gr</w:t>
      </w:r>
      <w:r w:rsidR="003E45C9" w:rsidRPr="002C095B">
        <w:rPr>
          <w:rFonts w:cs="Arial"/>
          <w:color w:val="auto"/>
        </w:rPr>
        <w:t>ound 1</w:t>
      </w:r>
      <w:r w:rsidR="004C60E8" w:rsidRPr="002C095B">
        <w:rPr>
          <w:rFonts w:cs="Arial"/>
          <w:color w:val="auto"/>
        </w:rPr>
        <w:t>.</w:t>
      </w:r>
    </w:p>
    <w:p w14:paraId="699F1CE8" w14:textId="3FBAB45F" w:rsidR="00DB79B8" w:rsidRPr="002C095B" w:rsidRDefault="00DB79B8" w:rsidP="00C71B57">
      <w:pPr>
        <w:pStyle w:val="BodyText"/>
        <w:jc w:val="both"/>
        <w:rPr>
          <w:rFonts w:cs="Arial"/>
          <w:color w:val="auto"/>
        </w:rPr>
      </w:pPr>
      <w:r w:rsidRPr="002C095B">
        <w:rPr>
          <w:rFonts w:cs="Arial"/>
          <w:color w:val="auto"/>
        </w:rPr>
        <w:lastRenderedPageBreak/>
        <w:t xml:space="preserve">I also note that </w:t>
      </w:r>
      <w:r w:rsidR="009F61E6" w:rsidRPr="002C095B">
        <w:rPr>
          <w:rFonts w:cs="Arial"/>
          <w:color w:val="auto"/>
        </w:rPr>
        <w:t xml:space="preserve">your first bullet point at the bottom of page 8 refers to </w:t>
      </w:r>
      <w:r w:rsidR="009F61E6" w:rsidRPr="002C095B">
        <w:rPr>
          <w:rFonts w:cs="Arial"/>
          <w:i/>
          <w:iCs/>
          <w:color w:val="auto"/>
        </w:rPr>
        <w:t>"A PFS-driven Markov model, as requested by t is not required to determine that would be the case</w:t>
      </w:r>
      <w:r w:rsidR="009F61E6" w:rsidRPr="002C095B">
        <w:rPr>
          <w:rFonts w:cs="Arial"/>
          <w:color w:val="auto"/>
        </w:rPr>
        <w:t xml:space="preserve">."  </w:t>
      </w:r>
      <w:r w:rsidR="008D1C0D">
        <w:rPr>
          <w:rFonts w:cs="Arial"/>
          <w:color w:val="auto"/>
        </w:rPr>
        <w:t>I have assumed that “t” was meant to mean “the committee”. Please clarify if this is incorrect.</w:t>
      </w:r>
    </w:p>
    <w:p w14:paraId="1C353B87" w14:textId="04A47566" w:rsidR="00C71B57" w:rsidRPr="002C095B" w:rsidRDefault="00C71B57" w:rsidP="00C71B57">
      <w:pPr>
        <w:spacing w:before="240" w:after="240" w:line="276" w:lineRule="auto"/>
        <w:jc w:val="both"/>
        <w:rPr>
          <w:rFonts w:cs="Arial"/>
          <w:b/>
          <w:color w:val="auto"/>
          <w:u w:val="single"/>
        </w:rPr>
      </w:pPr>
      <w:r w:rsidRPr="002C095B">
        <w:rPr>
          <w:rFonts w:cs="Arial"/>
          <w:b/>
          <w:color w:val="auto"/>
          <w:u w:val="single"/>
        </w:rPr>
        <w:t xml:space="preserve">Appeal </w:t>
      </w:r>
      <w:proofErr w:type="gramStart"/>
      <w:r w:rsidRPr="002C095B">
        <w:rPr>
          <w:rFonts w:cs="Arial"/>
          <w:b/>
          <w:color w:val="auto"/>
          <w:u w:val="single"/>
        </w:rPr>
        <w:t>point</w:t>
      </w:r>
      <w:proofErr w:type="gramEnd"/>
      <w:r w:rsidRPr="002C095B">
        <w:rPr>
          <w:rFonts w:cs="Arial"/>
          <w:b/>
          <w:color w:val="auto"/>
          <w:u w:val="single"/>
        </w:rPr>
        <w:t xml:space="preserve"> 1(a).3: </w:t>
      </w:r>
      <w:r w:rsidR="001D21B1" w:rsidRPr="002C095B">
        <w:rPr>
          <w:rFonts w:cs="Arial"/>
          <w:b/>
          <w:color w:val="auto"/>
          <w:u w:val="single"/>
        </w:rPr>
        <w:t>At critical stages, NICE’s conduct of the appraisal process itself has been opaque and inconsistent.  Taken cumulatively, these factors have stymied Regeneron’s ability to put forward its case and the Appraisal Committee’s ability to carry out a well-informed assessment.  This amounts to procedural unfairness.</w:t>
      </w:r>
    </w:p>
    <w:p w14:paraId="41395C78" w14:textId="7D2A1711" w:rsidR="00C71B57" w:rsidRPr="002C095B" w:rsidRDefault="00C71B57" w:rsidP="00C71B57">
      <w:pPr>
        <w:pStyle w:val="BodyText"/>
        <w:jc w:val="both"/>
        <w:rPr>
          <w:rFonts w:cs="Arial"/>
          <w:color w:val="auto"/>
        </w:rPr>
      </w:pPr>
      <w:r w:rsidRPr="002C095B">
        <w:rPr>
          <w:rFonts w:cs="Arial"/>
          <w:color w:val="auto"/>
        </w:rPr>
        <w:t>I am</w:t>
      </w:r>
      <w:r w:rsidR="00070129" w:rsidRPr="002C095B">
        <w:rPr>
          <w:rFonts w:cs="Arial"/>
          <w:color w:val="auto"/>
        </w:rPr>
        <w:t xml:space="preserve"> not </w:t>
      </w:r>
      <w:r w:rsidRPr="002C095B">
        <w:rPr>
          <w:rFonts w:cs="Arial"/>
          <w:color w:val="auto"/>
        </w:rPr>
        <w:t xml:space="preserve">minded </w:t>
      </w:r>
      <w:proofErr w:type="gramStart"/>
      <w:r w:rsidRPr="002C095B">
        <w:rPr>
          <w:rFonts w:cs="Arial"/>
          <w:color w:val="auto"/>
        </w:rPr>
        <w:t>to refer</w:t>
      </w:r>
      <w:proofErr w:type="gramEnd"/>
      <w:r w:rsidRPr="002C095B">
        <w:rPr>
          <w:rFonts w:cs="Arial"/>
          <w:color w:val="auto"/>
        </w:rPr>
        <w:t xml:space="preserve"> this appeal </w:t>
      </w:r>
      <w:proofErr w:type="gramStart"/>
      <w:r w:rsidRPr="002C095B">
        <w:rPr>
          <w:rFonts w:cs="Arial"/>
          <w:color w:val="auto"/>
        </w:rPr>
        <w:t>point</w:t>
      </w:r>
      <w:proofErr w:type="gramEnd"/>
      <w:r w:rsidRPr="002C095B">
        <w:rPr>
          <w:rFonts w:cs="Arial"/>
          <w:color w:val="auto"/>
        </w:rPr>
        <w:t xml:space="preserve"> to the Appeal Panel.  </w:t>
      </w:r>
    </w:p>
    <w:p w14:paraId="7E561B7B" w14:textId="22F35B6C" w:rsidR="00E150FC" w:rsidRPr="002C095B" w:rsidRDefault="00E150FC" w:rsidP="00C71B57">
      <w:pPr>
        <w:pStyle w:val="BodyText"/>
        <w:jc w:val="both"/>
        <w:rPr>
          <w:rFonts w:cs="Arial"/>
          <w:color w:val="auto"/>
        </w:rPr>
      </w:pPr>
      <w:r w:rsidRPr="002C095B">
        <w:rPr>
          <w:rFonts w:cs="Arial"/>
          <w:color w:val="auto"/>
        </w:rPr>
        <w:t xml:space="preserve">I understand this appeal point </w:t>
      </w:r>
      <w:r w:rsidR="008C1167" w:rsidRPr="002C095B">
        <w:rPr>
          <w:rFonts w:cs="Arial"/>
          <w:color w:val="auto"/>
        </w:rPr>
        <w:t xml:space="preserve">argues that four </w:t>
      </w:r>
      <w:r w:rsidR="00B4768C" w:rsidRPr="002C095B">
        <w:rPr>
          <w:rFonts w:cs="Arial"/>
          <w:color w:val="auto"/>
        </w:rPr>
        <w:t>d</w:t>
      </w:r>
      <w:r w:rsidR="008C1167" w:rsidRPr="002C095B">
        <w:rPr>
          <w:rFonts w:cs="Arial"/>
          <w:color w:val="auto"/>
        </w:rPr>
        <w:t xml:space="preserve">iscrete issues, which are acknowledged not to be 'standalone appeal grounds', </w:t>
      </w:r>
      <w:r w:rsidR="00580816">
        <w:rPr>
          <w:rFonts w:cs="Arial"/>
          <w:color w:val="auto"/>
        </w:rPr>
        <w:t>amount</w:t>
      </w:r>
      <w:r w:rsidR="008C1167" w:rsidRPr="002C095B">
        <w:rPr>
          <w:rFonts w:cs="Arial"/>
          <w:color w:val="auto"/>
        </w:rPr>
        <w:t xml:space="preserve"> </w:t>
      </w:r>
      <w:r w:rsidR="00580816">
        <w:rPr>
          <w:rFonts w:cs="Arial"/>
          <w:color w:val="auto"/>
        </w:rPr>
        <w:t xml:space="preserve">to </w:t>
      </w:r>
      <w:r w:rsidR="00580816" w:rsidRPr="002C095B">
        <w:rPr>
          <w:rFonts w:cs="Arial"/>
          <w:color w:val="auto"/>
        </w:rPr>
        <w:t xml:space="preserve">procedural unfairness </w:t>
      </w:r>
      <w:r w:rsidR="008C1167" w:rsidRPr="002C095B">
        <w:rPr>
          <w:rFonts w:cs="Arial"/>
          <w:color w:val="auto"/>
        </w:rPr>
        <w:t>when taken cumulatively</w:t>
      </w:r>
      <w:r w:rsidR="00B4768C" w:rsidRPr="002C095B">
        <w:rPr>
          <w:rFonts w:cs="Arial"/>
          <w:color w:val="auto"/>
        </w:rPr>
        <w:t xml:space="preserve">.  </w:t>
      </w:r>
    </w:p>
    <w:p w14:paraId="1CD0B044" w14:textId="77777777" w:rsidR="008C1167" w:rsidRPr="002C095B" w:rsidRDefault="008C1167" w:rsidP="00C71B57">
      <w:pPr>
        <w:pStyle w:val="BodyText"/>
        <w:jc w:val="both"/>
        <w:rPr>
          <w:rFonts w:cs="Arial"/>
          <w:color w:val="auto"/>
        </w:rPr>
      </w:pPr>
      <w:r w:rsidRPr="002C095B">
        <w:rPr>
          <w:rFonts w:cs="Arial"/>
          <w:color w:val="auto"/>
        </w:rPr>
        <w:t>Taking each in turn:</w:t>
      </w:r>
    </w:p>
    <w:p w14:paraId="13CFDB23" w14:textId="6ABE2E1E" w:rsidR="0045535A" w:rsidRPr="002C095B" w:rsidRDefault="008C1167" w:rsidP="00C71B57">
      <w:pPr>
        <w:pStyle w:val="BodyText"/>
        <w:jc w:val="both"/>
        <w:rPr>
          <w:rFonts w:cs="Arial"/>
          <w:color w:val="auto"/>
        </w:rPr>
      </w:pPr>
      <w:r w:rsidRPr="002C095B">
        <w:rPr>
          <w:rFonts w:cs="Arial"/>
          <w:color w:val="auto"/>
        </w:rPr>
        <w:t xml:space="preserve">First, the appeal point raises </w:t>
      </w:r>
      <w:r w:rsidR="0045535A" w:rsidRPr="002C095B">
        <w:rPr>
          <w:rFonts w:cs="Arial"/>
          <w:color w:val="auto"/>
        </w:rPr>
        <w:t>t</w:t>
      </w:r>
      <w:r w:rsidRPr="002C095B">
        <w:rPr>
          <w:rFonts w:cs="Arial"/>
          <w:color w:val="auto"/>
        </w:rPr>
        <w:t>wo</w:t>
      </w:r>
      <w:r w:rsidR="0045535A" w:rsidRPr="002C095B">
        <w:rPr>
          <w:rFonts w:cs="Arial"/>
          <w:color w:val="auto"/>
        </w:rPr>
        <w:t xml:space="preserve"> decision</w:t>
      </w:r>
      <w:r w:rsidRPr="002C095B">
        <w:rPr>
          <w:rFonts w:cs="Arial"/>
          <w:color w:val="auto"/>
        </w:rPr>
        <w:t>s</w:t>
      </w:r>
      <w:r w:rsidR="0045535A" w:rsidRPr="002C095B">
        <w:rPr>
          <w:rFonts w:cs="Arial"/>
          <w:color w:val="auto"/>
        </w:rPr>
        <w:t xml:space="preserve"> not to allow company </w:t>
      </w:r>
      <w:r w:rsidR="00C06DFD" w:rsidRPr="002C095B">
        <w:rPr>
          <w:rFonts w:cs="Arial"/>
          <w:color w:val="auto"/>
        </w:rPr>
        <w:t>representatives to attend the second part of ACM2</w:t>
      </w:r>
      <w:r w:rsidRPr="002C095B">
        <w:rPr>
          <w:rFonts w:cs="Arial"/>
          <w:color w:val="auto"/>
        </w:rPr>
        <w:t>.</w:t>
      </w:r>
      <w:r w:rsidR="00C06DFD" w:rsidRPr="002C095B">
        <w:rPr>
          <w:rFonts w:cs="Arial"/>
          <w:color w:val="auto"/>
        </w:rPr>
        <w:t xml:space="preserve"> I refer to section </w:t>
      </w:r>
      <w:r w:rsidR="00815FA1" w:rsidRPr="002C095B">
        <w:rPr>
          <w:rFonts w:cs="Arial"/>
          <w:color w:val="auto"/>
        </w:rPr>
        <w:t>5.8.17 of the NICE Health Technology Evaluations Manual (the "</w:t>
      </w:r>
      <w:r w:rsidR="00815FA1" w:rsidRPr="002C095B">
        <w:rPr>
          <w:rFonts w:cs="Arial"/>
          <w:b/>
          <w:bCs/>
          <w:color w:val="auto"/>
        </w:rPr>
        <w:t>Manual</w:t>
      </w:r>
      <w:r w:rsidR="00815FA1" w:rsidRPr="002C095B">
        <w:rPr>
          <w:rFonts w:cs="Arial"/>
          <w:color w:val="auto"/>
        </w:rPr>
        <w:t>") which states:</w:t>
      </w:r>
    </w:p>
    <w:p w14:paraId="62A16FB7" w14:textId="705830A7" w:rsidR="00815FA1" w:rsidRPr="002C095B" w:rsidRDefault="005D7C56" w:rsidP="005D7C56">
      <w:pPr>
        <w:pStyle w:val="BodyText"/>
        <w:ind w:left="720"/>
        <w:jc w:val="both"/>
        <w:rPr>
          <w:rFonts w:cs="Arial"/>
          <w:i/>
          <w:iCs/>
          <w:color w:val="auto"/>
        </w:rPr>
      </w:pPr>
      <w:r w:rsidRPr="002C095B">
        <w:rPr>
          <w:rFonts w:cs="Arial"/>
          <w:i/>
          <w:iCs/>
          <w:color w:val="auto"/>
        </w:rPr>
        <w:t>"The chair may ask certain experts, company representatives or EAG representatives to remain when confidential information is discussed but the chair will ask them to leave before the committee agrees the recommendations."</w:t>
      </w:r>
    </w:p>
    <w:p w14:paraId="522A0F76" w14:textId="5743FC1E" w:rsidR="005D7C56" w:rsidRPr="002C095B" w:rsidRDefault="000D7F42" w:rsidP="00C71B57">
      <w:pPr>
        <w:pStyle w:val="BodyText"/>
        <w:jc w:val="both"/>
        <w:rPr>
          <w:rFonts w:cs="Arial"/>
          <w:color w:val="auto"/>
        </w:rPr>
      </w:pPr>
      <w:r w:rsidRPr="002C095B">
        <w:rPr>
          <w:rFonts w:cs="Arial"/>
          <w:color w:val="auto"/>
        </w:rPr>
        <w:t xml:space="preserve">This provides the chair with discretion </w:t>
      </w:r>
      <w:r w:rsidR="00680F43" w:rsidRPr="002C095B">
        <w:rPr>
          <w:rFonts w:cs="Arial"/>
          <w:color w:val="auto"/>
        </w:rPr>
        <w:t xml:space="preserve">to </w:t>
      </w:r>
      <w:r w:rsidR="004D21B0">
        <w:rPr>
          <w:rFonts w:cs="Arial"/>
          <w:color w:val="auto"/>
        </w:rPr>
        <w:t>invite</w:t>
      </w:r>
      <w:r w:rsidRPr="002C095B">
        <w:rPr>
          <w:rFonts w:cs="Arial"/>
          <w:color w:val="auto"/>
        </w:rPr>
        <w:t xml:space="preserve"> company representatives </w:t>
      </w:r>
      <w:r w:rsidR="004D21B0">
        <w:rPr>
          <w:rFonts w:cs="Arial"/>
          <w:color w:val="auto"/>
        </w:rPr>
        <w:t>to</w:t>
      </w:r>
      <w:r w:rsidR="00680F43" w:rsidRPr="002C095B">
        <w:rPr>
          <w:rFonts w:cs="Arial"/>
          <w:color w:val="auto"/>
        </w:rPr>
        <w:t xml:space="preserve"> remain during </w:t>
      </w:r>
      <w:r w:rsidR="008C1167" w:rsidRPr="002C095B">
        <w:rPr>
          <w:rFonts w:cs="Arial"/>
          <w:color w:val="auto"/>
        </w:rPr>
        <w:t xml:space="preserve">parts of </w:t>
      </w:r>
      <w:r w:rsidR="00D24B6F" w:rsidRPr="002C095B">
        <w:rPr>
          <w:rFonts w:cs="Arial"/>
          <w:color w:val="auto"/>
        </w:rPr>
        <w:t xml:space="preserve">the second part of the meeting.  </w:t>
      </w:r>
      <w:r w:rsidR="008C1167" w:rsidRPr="002C095B">
        <w:rPr>
          <w:rFonts w:cs="Arial"/>
          <w:color w:val="auto"/>
        </w:rPr>
        <w:t>Given the broad discretion provided in the Manual, I am not persuaded that it was arguably</w:t>
      </w:r>
      <w:r w:rsidR="002A339C" w:rsidRPr="002C095B">
        <w:rPr>
          <w:rFonts w:cs="Arial"/>
          <w:color w:val="auto"/>
        </w:rPr>
        <w:t xml:space="preserve"> procedurally unfair for the </w:t>
      </w:r>
      <w:r w:rsidR="00057006" w:rsidRPr="002C095B">
        <w:rPr>
          <w:rFonts w:cs="Arial"/>
          <w:color w:val="auto"/>
        </w:rPr>
        <w:t xml:space="preserve">chair to reject </w:t>
      </w:r>
      <w:r w:rsidR="008C1167" w:rsidRPr="002C095B">
        <w:rPr>
          <w:rFonts w:cs="Arial"/>
          <w:color w:val="auto"/>
        </w:rPr>
        <w:t>the Company's</w:t>
      </w:r>
      <w:r w:rsidR="00057006" w:rsidRPr="002C095B">
        <w:rPr>
          <w:rFonts w:cs="Arial"/>
          <w:color w:val="auto"/>
        </w:rPr>
        <w:t xml:space="preserve"> request.</w:t>
      </w:r>
    </w:p>
    <w:p w14:paraId="0970751E" w14:textId="6DBEBA41" w:rsidR="00AE697A" w:rsidRPr="002C095B" w:rsidRDefault="008C1167" w:rsidP="00C71B57">
      <w:pPr>
        <w:pStyle w:val="BodyText"/>
        <w:jc w:val="both"/>
        <w:rPr>
          <w:rFonts w:cs="Arial"/>
          <w:color w:val="auto"/>
        </w:rPr>
      </w:pPr>
      <w:r w:rsidRPr="002C095B">
        <w:rPr>
          <w:rFonts w:cs="Arial"/>
          <w:color w:val="auto"/>
        </w:rPr>
        <w:t>Secondly,</w:t>
      </w:r>
      <w:r w:rsidR="002D531A" w:rsidRPr="002C095B">
        <w:rPr>
          <w:rFonts w:cs="Arial"/>
          <w:color w:val="auto"/>
        </w:rPr>
        <w:t xml:space="preserve"> </w:t>
      </w:r>
      <w:r w:rsidR="00FA1015" w:rsidRPr="002C095B">
        <w:rPr>
          <w:rFonts w:cs="Arial"/>
          <w:color w:val="auto"/>
        </w:rPr>
        <w:t xml:space="preserve">I am </w:t>
      </w:r>
      <w:r w:rsidR="004D21B0">
        <w:rPr>
          <w:rFonts w:cs="Arial"/>
          <w:color w:val="auto"/>
        </w:rPr>
        <w:t xml:space="preserve">not </w:t>
      </w:r>
      <w:r w:rsidR="00FA1015" w:rsidRPr="002C095B">
        <w:rPr>
          <w:rFonts w:cs="Arial"/>
          <w:color w:val="auto"/>
        </w:rPr>
        <w:t xml:space="preserve">of the view that </w:t>
      </w:r>
      <w:r w:rsidR="00EC2CE0" w:rsidRPr="002C095B">
        <w:rPr>
          <w:rFonts w:cs="Arial"/>
          <w:color w:val="auto"/>
        </w:rPr>
        <w:t xml:space="preserve">there is </w:t>
      </w:r>
      <w:r w:rsidR="004D21B0">
        <w:rPr>
          <w:rFonts w:cs="Arial"/>
          <w:color w:val="auto"/>
        </w:rPr>
        <w:t>a</w:t>
      </w:r>
      <w:r w:rsidR="00EC2CE0" w:rsidRPr="002C095B">
        <w:rPr>
          <w:rFonts w:cs="Arial"/>
          <w:color w:val="auto"/>
        </w:rPr>
        <w:t xml:space="preserve"> procedural requirement for </w:t>
      </w:r>
      <w:r w:rsidR="00FA1015" w:rsidRPr="002C095B">
        <w:rPr>
          <w:rFonts w:cs="Arial"/>
          <w:color w:val="auto"/>
        </w:rPr>
        <w:t xml:space="preserve">Professor Peter Clark </w:t>
      </w:r>
      <w:r w:rsidR="00EC2CE0" w:rsidRPr="002C095B">
        <w:rPr>
          <w:rFonts w:cs="Arial"/>
          <w:color w:val="auto"/>
        </w:rPr>
        <w:t xml:space="preserve">to attend </w:t>
      </w:r>
      <w:proofErr w:type="gramStart"/>
      <w:r w:rsidR="00781029" w:rsidRPr="002C095B">
        <w:rPr>
          <w:rFonts w:cs="Arial"/>
          <w:color w:val="auto"/>
        </w:rPr>
        <w:t xml:space="preserve">all </w:t>
      </w:r>
      <w:r w:rsidR="00EE1572" w:rsidRPr="002C095B">
        <w:rPr>
          <w:rFonts w:cs="Arial"/>
          <w:color w:val="auto"/>
        </w:rPr>
        <w:t>of</w:t>
      </w:r>
      <w:proofErr w:type="gramEnd"/>
      <w:r w:rsidR="00EE1572" w:rsidRPr="002C095B">
        <w:rPr>
          <w:rFonts w:cs="Arial"/>
          <w:color w:val="auto"/>
        </w:rPr>
        <w:t xml:space="preserve"> </w:t>
      </w:r>
      <w:r w:rsidR="00781029" w:rsidRPr="002C095B">
        <w:rPr>
          <w:rFonts w:cs="Arial"/>
          <w:color w:val="auto"/>
        </w:rPr>
        <w:t>the ACMs</w:t>
      </w:r>
      <w:r w:rsidR="001C7A06" w:rsidRPr="002C095B">
        <w:rPr>
          <w:rFonts w:cs="Arial"/>
          <w:color w:val="auto"/>
        </w:rPr>
        <w:t>.</w:t>
      </w:r>
      <w:r w:rsidR="00440BA2">
        <w:rPr>
          <w:rFonts w:cs="Arial"/>
          <w:color w:val="auto"/>
        </w:rPr>
        <w:t xml:space="preserve">  If you would like me to consider this as a standalone </w:t>
      </w:r>
      <w:proofErr w:type="gramStart"/>
      <w:r w:rsidR="00440BA2">
        <w:rPr>
          <w:rFonts w:cs="Arial"/>
          <w:color w:val="auto"/>
        </w:rPr>
        <w:t>point</w:t>
      </w:r>
      <w:proofErr w:type="gramEnd"/>
      <w:r w:rsidR="00440BA2">
        <w:rPr>
          <w:rFonts w:cs="Arial"/>
          <w:color w:val="auto"/>
        </w:rPr>
        <w:t xml:space="preserve"> please explain the procedural basis on which this point is made</w:t>
      </w:r>
      <w:r w:rsidR="00FA5EF9">
        <w:rPr>
          <w:rFonts w:cs="Arial"/>
          <w:color w:val="auto"/>
        </w:rPr>
        <w:t>, and whether the complaint relates specifically to Professor Clark's absence from part 2 of ACM2</w:t>
      </w:r>
      <w:r w:rsidR="00440BA2">
        <w:rPr>
          <w:rFonts w:cs="Arial"/>
          <w:color w:val="auto"/>
        </w:rPr>
        <w:t>.</w:t>
      </w:r>
    </w:p>
    <w:p w14:paraId="22F1F1F2" w14:textId="77777777" w:rsidR="008C1167" w:rsidRPr="002C095B" w:rsidRDefault="008C1167" w:rsidP="00C71B57">
      <w:pPr>
        <w:pStyle w:val="BodyText"/>
        <w:jc w:val="both"/>
        <w:rPr>
          <w:rFonts w:cs="Arial"/>
          <w:color w:val="auto"/>
        </w:rPr>
      </w:pPr>
      <w:r w:rsidRPr="002C095B">
        <w:rPr>
          <w:rFonts w:cs="Arial"/>
          <w:color w:val="auto"/>
        </w:rPr>
        <w:t xml:space="preserve">Thirdly, a change of Chair can occur for many reasons, and cannot amount to procedural unfairness per se.  </w:t>
      </w:r>
    </w:p>
    <w:p w14:paraId="03E946AF" w14:textId="5755A3B8" w:rsidR="007E24F3" w:rsidRPr="002C095B" w:rsidRDefault="008C1167" w:rsidP="00C71B57">
      <w:pPr>
        <w:pStyle w:val="BodyText"/>
        <w:jc w:val="both"/>
        <w:rPr>
          <w:rFonts w:cs="Arial"/>
          <w:color w:val="auto"/>
        </w:rPr>
      </w:pPr>
      <w:r w:rsidRPr="002C095B">
        <w:rPr>
          <w:rFonts w:cs="Arial"/>
          <w:color w:val="auto"/>
        </w:rPr>
        <w:t xml:space="preserve">Finally, </w:t>
      </w:r>
      <w:r w:rsidR="00EE1572" w:rsidRPr="002C095B">
        <w:rPr>
          <w:rFonts w:cs="Arial"/>
          <w:color w:val="auto"/>
        </w:rPr>
        <w:t xml:space="preserve">the </w:t>
      </w:r>
      <w:r w:rsidRPr="002C095B">
        <w:rPr>
          <w:rFonts w:cs="Arial"/>
          <w:color w:val="auto"/>
        </w:rPr>
        <w:t>details of</w:t>
      </w:r>
      <w:r w:rsidR="001E7D33" w:rsidRPr="002C095B">
        <w:rPr>
          <w:rFonts w:cs="Arial"/>
          <w:color w:val="auto"/>
        </w:rPr>
        <w:t xml:space="preserve"> ACM slides</w:t>
      </w:r>
      <w:r w:rsidRPr="002C095B">
        <w:rPr>
          <w:rFonts w:cs="Arial"/>
          <w:color w:val="auto"/>
        </w:rPr>
        <w:t>, and corrections to them</w:t>
      </w:r>
      <w:r w:rsidR="001E7D33" w:rsidRPr="002C095B">
        <w:rPr>
          <w:rFonts w:cs="Arial"/>
          <w:color w:val="auto"/>
        </w:rPr>
        <w:t xml:space="preserve"> are normal considerations within the appraisal process</w:t>
      </w:r>
      <w:r w:rsidR="00462B13" w:rsidRPr="002C095B">
        <w:rPr>
          <w:rFonts w:cs="Arial"/>
          <w:color w:val="auto"/>
        </w:rPr>
        <w:t xml:space="preserve"> and </w:t>
      </w:r>
      <w:r w:rsidRPr="002C095B">
        <w:rPr>
          <w:rFonts w:cs="Arial"/>
          <w:color w:val="auto"/>
        </w:rPr>
        <w:t xml:space="preserve">I do not understand the Company to be arguing that the alleged failure to make a </w:t>
      </w:r>
      <w:r w:rsidR="00761546" w:rsidRPr="002C095B">
        <w:rPr>
          <w:rFonts w:cs="Arial"/>
          <w:color w:val="auto"/>
        </w:rPr>
        <w:t>clarification</w:t>
      </w:r>
      <w:r w:rsidRPr="002C095B">
        <w:rPr>
          <w:rFonts w:cs="Arial"/>
          <w:color w:val="auto"/>
        </w:rPr>
        <w:t xml:space="preserve"> has had any</w:t>
      </w:r>
      <w:r w:rsidR="00462B13" w:rsidRPr="002C095B">
        <w:rPr>
          <w:rFonts w:cs="Arial"/>
          <w:color w:val="auto"/>
        </w:rPr>
        <w:t xml:space="preserve"> bearing on the outcome of the </w:t>
      </w:r>
      <w:r w:rsidR="004D21B0">
        <w:rPr>
          <w:rFonts w:cs="Arial"/>
          <w:color w:val="auto"/>
        </w:rPr>
        <w:t>evaluation</w:t>
      </w:r>
      <w:r w:rsidR="00462B13" w:rsidRPr="002C095B">
        <w:rPr>
          <w:rFonts w:cs="Arial"/>
          <w:color w:val="auto"/>
        </w:rPr>
        <w:t xml:space="preserve"> process.  </w:t>
      </w:r>
    </w:p>
    <w:p w14:paraId="62A1CB50" w14:textId="1C9C3A91" w:rsidR="00F97101" w:rsidRPr="002C095B" w:rsidRDefault="00462B13" w:rsidP="00C71B57">
      <w:pPr>
        <w:pStyle w:val="BodyText"/>
        <w:jc w:val="both"/>
        <w:rPr>
          <w:rFonts w:cs="Arial"/>
          <w:color w:val="auto"/>
        </w:rPr>
      </w:pPr>
      <w:r w:rsidRPr="002C095B">
        <w:rPr>
          <w:rFonts w:cs="Arial"/>
          <w:color w:val="auto"/>
        </w:rPr>
        <w:t xml:space="preserve">On this basis it is my initial view that </w:t>
      </w:r>
      <w:r w:rsidR="00875D05" w:rsidRPr="002C095B">
        <w:rPr>
          <w:rFonts w:cs="Arial"/>
          <w:color w:val="auto"/>
        </w:rPr>
        <w:t>the</w:t>
      </w:r>
      <w:r w:rsidR="00F97101" w:rsidRPr="002C095B">
        <w:rPr>
          <w:rFonts w:cs="Arial"/>
          <w:color w:val="auto"/>
        </w:rPr>
        <w:t>se</w:t>
      </w:r>
      <w:r w:rsidR="00875D05" w:rsidRPr="002C095B">
        <w:rPr>
          <w:rFonts w:cs="Arial"/>
          <w:color w:val="auto"/>
        </w:rPr>
        <w:t xml:space="preserve"> points, taken individually or cumulatively, </w:t>
      </w:r>
      <w:r w:rsidR="00F97101" w:rsidRPr="002C095B">
        <w:rPr>
          <w:rFonts w:cs="Arial"/>
          <w:color w:val="auto"/>
        </w:rPr>
        <w:t>do not present an arguable ground for procedural unfairness.</w:t>
      </w:r>
    </w:p>
    <w:p w14:paraId="30C9C65F" w14:textId="77777777" w:rsidR="00C638BF" w:rsidRPr="002C095B" w:rsidRDefault="00C638BF" w:rsidP="00C638BF">
      <w:pPr>
        <w:pStyle w:val="Paragraph"/>
        <w:numPr>
          <w:ilvl w:val="0"/>
          <w:numId w:val="0"/>
        </w:numPr>
        <w:spacing w:before="120"/>
        <w:jc w:val="both"/>
        <w:rPr>
          <w:rFonts w:cs="Arial"/>
          <w:b/>
          <w:i/>
          <w:sz w:val="20"/>
          <w:szCs w:val="20"/>
        </w:rPr>
      </w:pPr>
      <w:r w:rsidRPr="002C095B">
        <w:rPr>
          <w:rFonts w:cs="Arial"/>
          <w:b/>
          <w:i/>
          <w:sz w:val="20"/>
          <w:szCs w:val="20"/>
        </w:rPr>
        <w:t>Ground 1(b): In making the assessment that preceded the recommendation, NICE has exceeded its powers</w:t>
      </w:r>
    </w:p>
    <w:p w14:paraId="47CC0639" w14:textId="1C0EB516" w:rsidR="00C638BF" w:rsidRPr="002C095B" w:rsidRDefault="00C638BF" w:rsidP="00C638BF">
      <w:pPr>
        <w:pStyle w:val="Paragraph"/>
        <w:numPr>
          <w:ilvl w:val="0"/>
          <w:numId w:val="0"/>
        </w:numPr>
        <w:spacing w:before="120"/>
        <w:jc w:val="both"/>
        <w:rPr>
          <w:rFonts w:cs="Arial"/>
          <w:b/>
          <w:sz w:val="20"/>
          <w:szCs w:val="20"/>
          <w:u w:val="single"/>
        </w:rPr>
      </w:pPr>
      <w:r w:rsidRPr="002C095B">
        <w:rPr>
          <w:rFonts w:cs="Arial"/>
          <w:b/>
          <w:sz w:val="20"/>
          <w:szCs w:val="20"/>
          <w:u w:val="single"/>
        </w:rPr>
        <w:t xml:space="preserve">Appeal </w:t>
      </w:r>
      <w:proofErr w:type="gramStart"/>
      <w:r w:rsidRPr="002C095B">
        <w:rPr>
          <w:rFonts w:cs="Arial"/>
          <w:b/>
          <w:sz w:val="20"/>
          <w:szCs w:val="20"/>
          <w:u w:val="single"/>
        </w:rPr>
        <w:t>point</w:t>
      </w:r>
      <w:proofErr w:type="gramEnd"/>
      <w:r w:rsidRPr="002C095B">
        <w:rPr>
          <w:rFonts w:cs="Arial"/>
          <w:b/>
          <w:sz w:val="20"/>
          <w:szCs w:val="20"/>
          <w:u w:val="single"/>
        </w:rPr>
        <w:t xml:space="preserve"> 1(b).1:</w:t>
      </w:r>
      <w:r w:rsidR="00974E32" w:rsidRPr="002C095B">
        <w:rPr>
          <w:rFonts w:cs="Arial"/>
          <w:b/>
          <w:sz w:val="20"/>
          <w:szCs w:val="20"/>
          <w:u w:val="single"/>
        </w:rPr>
        <w:t xml:space="preserve"> NICE has breached its legal obligations under human rights and equalities laws.</w:t>
      </w:r>
    </w:p>
    <w:p w14:paraId="1ED43349" w14:textId="2A3A124A" w:rsidR="00C638BF" w:rsidRPr="002C095B" w:rsidRDefault="00C638BF" w:rsidP="00C638BF">
      <w:pPr>
        <w:pStyle w:val="BodyText"/>
        <w:jc w:val="both"/>
        <w:rPr>
          <w:rFonts w:cs="Arial"/>
          <w:color w:val="auto"/>
        </w:rPr>
      </w:pPr>
      <w:r w:rsidRPr="002C095B">
        <w:rPr>
          <w:rFonts w:cs="Arial"/>
          <w:color w:val="auto"/>
        </w:rPr>
        <w:t xml:space="preserve">I am not minded </w:t>
      </w:r>
      <w:proofErr w:type="gramStart"/>
      <w:r w:rsidRPr="002C095B">
        <w:rPr>
          <w:rFonts w:cs="Arial"/>
          <w:color w:val="auto"/>
        </w:rPr>
        <w:t>to refer</w:t>
      </w:r>
      <w:proofErr w:type="gramEnd"/>
      <w:r w:rsidRPr="002C095B">
        <w:rPr>
          <w:rFonts w:cs="Arial"/>
          <w:color w:val="auto"/>
        </w:rPr>
        <w:t xml:space="preserve"> this appeal </w:t>
      </w:r>
      <w:proofErr w:type="gramStart"/>
      <w:r w:rsidRPr="002C095B">
        <w:rPr>
          <w:rFonts w:cs="Arial"/>
          <w:color w:val="auto"/>
        </w:rPr>
        <w:t>point</w:t>
      </w:r>
      <w:proofErr w:type="gramEnd"/>
      <w:r w:rsidRPr="002C095B">
        <w:rPr>
          <w:rFonts w:cs="Arial"/>
          <w:color w:val="auto"/>
        </w:rPr>
        <w:t xml:space="preserve"> to the Appeal Panel.   </w:t>
      </w:r>
    </w:p>
    <w:p w14:paraId="51DBCE5A" w14:textId="0F01DE71" w:rsidR="007C6BBD" w:rsidRPr="002C095B" w:rsidRDefault="00E322DA" w:rsidP="004D21B0">
      <w:pPr>
        <w:pStyle w:val="BodyText"/>
        <w:jc w:val="both"/>
        <w:rPr>
          <w:rFonts w:cs="Arial"/>
          <w:color w:val="auto"/>
        </w:rPr>
      </w:pPr>
      <w:r w:rsidRPr="002C095B">
        <w:rPr>
          <w:rFonts w:cs="Arial"/>
          <w:color w:val="auto"/>
        </w:rPr>
        <w:lastRenderedPageBreak/>
        <w:t xml:space="preserve">I understand this appeal point </w:t>
      </w:r>
      <w:r w:rsidR="00761546" w:rsidRPr="002C095B">
        <w:rPr>
          <w:rFonts w:cs="Arial"/>
          <w:color w:val="auto"/>
        </w:rPr>
        <w:t xml:space="preserve">argues </w:t>
      </w:r>
      <w:r w:rsidR="007C6BBD" w:rsidRPr="002C095B">
        <w:rPr>
          <w:rFonts w:cs="Arial"/>
          <w:color w:val="auto"/>
        </w:rPr>
        <w:t xml:space="preserve">firstly </w:t>
      </w:r>
      <w:r w:rsidR="00761546" w:rsidRPr="002C095B">
        <w:rPr>
          <w:rFonts w:cs="Arial"/>
          <w:color w:val="auto"/>
        </w:rPr>
        <w:t>that</w:t>
      </w:r>
      <w:r w:rsidRPr="002C095B">
        <w:rPr>
          <w:rFonts w:cs="Arial"/>
          <w:color w:val="auto"/>
        </w:rPr>
        <w:t xml:space="preserve"> th</w:t>
      </w:r>
      <w:r w:rsidR="003F1A37" w:rsidRPr="002C095B">
        <w:rPr>
          <w:rFonts w:cs="Arial"/>
          <w:color w:val="auto"/>
        </w:rPr>
        <w:t xml:space="preserve">e </w:t>
      </w:r>
      <w:r w:rsidR="00761546" w:rsidRPr="002C095B">
        <w:rPr>
          <w:rFonts w:cs="Arial"/>
          <w:color w:val="auto"/>
        </w:rPr>
        <w:t>negative recommendation will have a greater impact on</w:t>
      </w:r>
      <w:r w:rsidR="004D21B0">
        <w:rPr>
          <w:rFonts w:cs="Arial"/>
          <w:color w:val="auto"/>
        </w:rPr>
        <w:t xml:space="preserve"> </w:t>
      </w:r>
      <w:r w:rsidR="00761546" w:rsidRPr="002C095B">
        <w:rPr>
          <w:rFonts w:cs="Arial"/>
          <w:color w:val="auto"/>
        </w:rPr>
        <w:t>patients who cannot tolerate pemetrexed, who</w:t>
      </w:r>
      <w:r w:rsidR="004D21B0">
        <w:rPr>
          <w:rFonts w:cs="Arial"/>
          <w:color w:val="auto"/>
        </w:rPr>
        <w:t>m</w:t>
      </w:r>
      <w:r w:rsidR="00761546" w:rsidRPr="002C095B">
        <w:rPr>
          <w:rFonts w:cs="Arial"/>
          <w:color w:val="auto"/>
        </w:rPr>
        <w:t xml:space="preserve"> the Company considers are likely to be older (a protected characteristic) and 'the least fit' (this is not a protected characteristic)</w:t>
      </w:r>
      <w:r w:rsidR="007C6BBD" w:rsidRPr="002C095B">
        <w:rPr>
          <w:rFonts w:cs="Arial"/>
          <w:color w:val="auto"/>
        </w:rPr>
        <w:t>.</w:t>
      </w:r>
    </w:p>
    <w:p w14:paraId="046D2B26" w14:textId="1A1D55D3" w:rsidR="00761546" w:rsidRPr="002C095B" w:rsidRDefault="007C6BBD" w:rsidP="007C6BBD">
      <w:pPr>
        <w:pStyle w:val="BodyText"/>
        <w:jc w:val="both"/>
        <w:rPr>
          <w:rFonts w:cs="Arial"/>
          <w:color w:val="auto"/>
        </w:rPr>
      </w:pPr>
      <w:r w:rsidRPr="002C095B">
        <w:rPr>
          <w:rFonts w:cs="Arial"/>
          <w:color w:val="auto"/>
        </w:rPr>
        <w:t xml:space="preserve">I note that the Committee considered this issue carefully, hearing first from a clinical expert and then inviting further comment during draft guidance consultation on any </w:t>
      </w:r>
      <w:proofErr w:type="gramStart"/>
      <w:r w:rsidRPr="002C095B">
        <w:rPr>
          <w:rFonts w:cs="Arial"/>
          <w:color w:val="auto"/>
        </w:rPr>
        <w:t>particular groups</w:t>
      </w:r>
      <w:proofErr w:type="gramEnd"/>
      <w:r w:rsidRPr="002C095B">
        <w:rPr>
          <w:rFonts w:cs="Arial"/>
          <w:color w:val="auto"/>
        </w:rPr>
        <w:t xml:space="preserve"> with a protected characteristic for whom pemetrexed would not be suitable.  No comments on this were received during consultation</w:t>
      </w:r>
      <w:r w:rsidR="00D42FB1" w:rsidRPr="002C095B">
        <w:rPr>
          <w:rFonts w:cs="Arial"/>
          <w:color w:val="auto"/>
        </w:rPr>
        <w:t>.  The Committee evidently sought evidence from all stakeholders about this issue, and no stakeholder provided any.</w:t>
      </w:r>
    </w:p>
    <w:p w14:paraId="0B9D778C" w14:textId="2CA6BBEA" w:rsidR="00761546" w:rsidRPr="004D21B0" w:rsidRDefault="004D21B0" w:rsidP="004D21B0">
      <w:pPr>
        <w:pStyle w:val="BodyText"/>
        <w:jc w:val="both"/>
        <w:rPr>
          <w:rFonts w:cs="Arial"/>
          <w:color w:val="auto"/>
        </w:rPr>
      </w:pPr>
      <w:r>
        <w:rPr>
          <w:rFonts w:cs="Arial"/>
          <w:color w:val="auto"/>
        </w:rPr>
        <w:t xml:space="preserve">The appeal point also posits that the negative recommendation would have a greater impact on </w:t>
      </w:r>
      <w:r w:rsidR="00761546" w:rsidRPr="002C095B">
        <w:rPr>
          <w:rFonts w:cs="Arial"/>
          <w:color w:val="auto"/>
        </w:rPr>
        <w:t>older patients who can tolerate carboplatin AUC6 but who would find the treatment 'disproportionately arduous'</w:t>
      </w:r>
      <w:r>
        <w:rPr>
          <w:rFonts w:cs="Arial"/>
          <w:color w:val="auto"/>
        </w:rPr>
        <w:t xml:space="preserve">, as a higher dose (AUC6) can be required with pembrolizumab than with </w:t>
      </w:r>
      <w:proofErr w:type="spellStart"/>
      <w:r>
        <w:rPr>
          <w:rFonts w:cs="Arial"/>
          <w:color w:val="auto"/>
        </w:rPr>
        <w:t>cemiplimab</w:t>
      </w:r>
      <w:proofErr w:type="spellEnd"/>
      <w:r>
        <w:rPr>
          <w:rFonts w:cs="Arial"/>
          <w:color w:val="auto"/>
        </w:rPr>
        <w:t xml:space="preserve"> (AUC5 "</w:t>
      </w:r>
      <w:r w:rsidRPr="004D21B0">
        <w:rPr>
          <w:rFonts w:cs="Arial"/>
          <w:i/>
          <w:iCs/>
          <w:color w:val="auto"/>
        </w:rPr>
        <w:t>where clinically appropriate</w:t>
      </w:r>
      <w:r>
        <w:rPr>
          <w:rFonts w:cs="Arial"/>
          <w:color w:val="auto"/>
        </w:rPr>
        <w:t>")</w:t>
      </w:r>
      <w:r w:rsidR="00761546" w:rsidRPr="002C095B">
        <w:rPr>
          <w:rFonts w:cs="Arial"/>
          <w:color w:val="auto"/>
        </w:rPr>
        <w:t>.</w:t>
      </w:r>
      <w:r>
        <w:rPr>
          <w:rFonts w:cs="Arial"/>
          <w:color w:val="auto"/>
        </w:rPr>
        <w:t xml:space="preserve">  I note that this assertion is not factually straightforward, and that the Committee reported in paragraph 3.16 of the FDG that "</w:t>
      </w:r>
      <w:r>
        <w:rPr>
          <w:rFonts w:cs="Arial"/>
          <w:i/>
          <w:iCs/>
          <w:color w:val="auto"/>
        </w:rPr>
        <w:t>the EAG noted that the AUC5 carboplatin dose is not routinely used for squamous NSCLC in the UK</w:t>
      </w:r>
      <w:r w:rsidR="00644AF1">
        <w:rPr>
          <w:rFonts w:cs="Arial"/>
          <w:i/>
          <w:iCs/>
          <w:color w:val="auto"/>
        </w:rPr>
        <w:t>”</w:t>
      </w:r>
      <w:r>
        <w:rPr>
          <w:rFonts w:cs="Arial"/>
          <w:i/>
          <w:iCs/>
          <w:color w:val="auto"/>
        </w:rPr>
        <w:t>.</w:t>
      </w:r>
      <w:r>
        <w:rPr>
          <w:rFonts w:cs="Arial"/>
          <w:color w:val="auto"/>
        </w:rPr>
        <w:t xml:space="preserve">  I also note that this does not appear to have been raised as an equality issue by any stakeholder during the evaluation.</w:t>
      </w:r>
    </w:p>
    <w:p w14:paraId="6113E487" w14:textId="7993A7AD" w:rsidR="00AF09B3" w:rsidRDefault="007C6BBD" w:rsidP="00761546">
      <w:pPr>
        <w:pStyle w:val="BodyText"/>
        <w:jc w:val="both"/>
        <w:rPr>
          <w:rFonts w:cs="Arial"/>
          <w:color w:val="auto"/>
        </w:rPr>
      </w:pPr>
      <w:r w:rsidRPr="002C095B">
        <w:rPr>
          <w:rFonts w:cs="Arial"/>
          <w:color w:val="auto"/>
        </w:rPr>
        <w:t xml:space="preserve">In almost all NICE evaluations, a negative recommendation will impact some patients sharing a protected characteristic more than other patients not sharing that </w:t>
      </w:r>
      <w:r w:rsidR="00AF09B3">
        <w:rPr>
          <w:rFonts w:cs="Arial"/>
          <w:color w:val="auto"/>
        </w:rPr>
        <w:t xml:space="preserve">protected </w:t>
      </w:r>
      <w:r w:rsidRPr="002C095B">
        <w:rPr>
          <w:rFonts w:cs="Arial"/>
          <w:color w:val="auto"/>
        </w:rPr>
        <w:t xml:space="preserve">characteristic.  This is indirect discrimination, which can be </w:t>
      </w:r>
      <w:r w:rsidR="00AF09B3">
        <w:rPr>
          <w:rFonts w:cs="Arial"/>
          <w:color w:val="auto"/>
        </w:rPr>
        <w:t>objectively</w:t>
      </w:r>
      <w:r w:rsidRPr="002C095B">
        <w:rPr>
          <w:rFonts w:cs="Arial"/>
          <w:color w:val="auto"/>
        </w:rPr>
        <w:t xml:space="preserve"> justified </w:t>
      </w:r>
      <w:r w:rsidR="00AF09B3">
        <w:rPr>
          <w:rFonts w:cs="Arial"/>
          <w:color w:val="auto"/>
        </w:rPr>
        <w:t>as</w:t>
      </w:r>
      <w:r w:rsidRPr="002C095B">
        <w:rPr>
          <w:rFonts w:cs="Arial"/>
          <w:color w:val="auto"/>
        </w:rPr>
        <w:t xml:space="preserve"> a proportionate means of meeting a legitimate aim.  The legitimate aim </w:t>
      </w:r>
      <w:r w:rsidR="00AF09B3">
        <w:rPr>
          <w:rFonts w:cs="Arial"/>
          <w:color w:val="auto"/>
        </w:rPr>
        <w:t xml:space="preserve">of a NICE evaluation </w:t>
      </w:r>
      <w:r w:rsidRPr="002C095B">
        <w:rPr>
          <w:rFonts w:cs="Arial"/>
          <w:color w:val="auto"/>
        </w:rPr>
        <w:t xml:space="preserve">is that of only recommending technologies which </w:t>
      </w:r>
      <w:proofErr w:type="gramStart"/>
      <w:r w:rsidRPr="002C095B">
        <w:rPr>
          <w:rFonts w:cs="Arial"/>
          <w:color w:val="auto"/>
        </w:rPr>
        <w:t>are considered to be</w:t>
      </w:r>
      <w:proofErr w:type="gramEnd"/>
      <w:r w:rsidRPr="002C095B">
        <w:rPr>
          <w:rFonts w:cs="Arial"/>
          <w:color w:val="auto"/>
        </w:rPr>
        <w:t xml:space="preserve"> both clinically and cost effective.</w:t>
      </w:r>
      <w:r w:rsidR="00AF09B3">
        <w:rPr>
          <w:rFonts w:cs="Arial"/>
          <w:color w:val="auto"/>
        </w:rPr>
        <w:t xml:space="preserve">  It would not be proportionate to require the Committee to identify </w:t>
      </w:r>
      <w:r w:rsidR="00AF09B3" w:rsidRPr="00AF09B3">
        <w:rPr>
          <w:rFonts w:cs="Arial"/>
          <w:color w:val="auto"/>
          <w:u w:val="single"/>
        </w:rPr>
        <w:t>every</w:t>
      </w:r>
      <w:r w:rsidR="00AF09B3">
        <w:rPr>
          <w:rFonts w:cs="Arial"/>
          <w:color w:val="auto"/>
        </w:rPr>
        <w:t xml:space="preserve"> possible group of patients sharing a protected characteristic who may be disproportionately affected by a negative recommendation.  Here, the Committee has plainly taken careful steps to seek to identify any such groups.  It is proportionate to run a fair evaluation process in line with NICE's published process.</w:t>
      </w:r>
    </w:p>
    <w:p w14:paraId="77DB0BD8" w14:textId="3D222D87" w:rsidR="007C6BBD" w:rsidRPr="002C095B" w:rsidRDefault="007C6BBD" w:rsidP="00761546">
      <w:pPr>
        <w:pStyle w:val="BodyText"/>
        <w:jc w:val="both"/>
        <w:rPr>
          <w:rFonts w:cs="Arial"/>
          <w:color w:val="auto"/>
        </w:rPr>
      </w:pPr>
      <w:r w:rsidRPr="002C095B">
        <w:rPr>
          <w:rFonts w:cs="Arial"/>
          <w:color w:val="auto"/>
        </w:rPr>
        <w:t xml:space="preserve">I understand the Company </w:t>
      </w:r>
      <w:r w:rsidR="00AF09B3">
        <w:rPr>
          <w:rFonts w:cs="Arial"/>
          <w:color w:val="auto"/>
        </w:rPr>
        <w:t xml:space="preserve">to be making a further </w:t>
      </w:r>
      <w:r w:rsidRPr="002C095B">
        <w:rPr>
          <w:rFonts w:cs="Arial"/>
          <w:color w:val="auto"/>
        </w:rPr>
        <w:t xml:space="preserve">argument here that the indirect discrimination is not proportionate, essentially because of the other procedural failings and unreasonable conclusions that the Company believes it has identified in its other appeal points.  I have accepted several of those appeal points as </w:t>
      </w:r>
      <w:proofErr w:type="gramStart"/>
      <w:r w:rsidRPr="002C095B">
        <w:rPr>
          <w:rFonts w:cs="Arial"/>
          <w:color w:val="auto"/>
        </w:rPr>
        <w:t>arguable</w:t>
      </w:r>
      <w:proofErr w:type="gramEnd"/>
      <w:r w:rsidRPr="002C095B">
        <w:rPr>
          <w:rFonts w:cs="Arial"/>
          <w:color w:val="auto"/>
        </w:rPr>
        <w:t xml:space="preserve"> and they will be considered by the Appeal Panel.  I do not accept that this adds anything to those other appeal points</w:t>
      </w:r>
      <w:r w:rsidR="00D42FB1" w:rsidRPr="002C095B">
        <w:rPr>
          <w:rFonts w:cs="Arial"/>
          <w:color w:val="auto"/>
        </w:rPr>
        <w:t xml:space="preserve"> as</w:t>
      </w:r>
      <w:r w:rsidRPr="002C095B">
        <w:rPr>
          <w:rFonts w:cs="Arial"/>
          <w:color w:val="auto"/>
        </w:rPr>
        <w:t xml:space="preserve"> it c</w:t>
      </w:r>
      <w:r w:rsidR="00AF09B3">
        <w:rPr>
          <w:rFonts w:cs="Arial"/>
          <w:color w:val="auto"/>
        </w:rPr>
        <w:t>ould not</w:t>
      </w:r>
      <w:r w:rsidRPr="002C095B">
        <w:rPr>
          <w:rFonts w:cs="Arial"/>
          <w:color w:val="auto"/>
        </w:rPr>
        <w:t xml:space="preserve"> succeed </w:t>
      </w:r>
      <w:r w:rsidR="00AF09B3">
        <w:rPr>
          <w:rFonts w:cs="Arial"/>
          <w:color w:val="auto"/>
        </w:rPr>
        <w:t>unless they do</w:t>
      </w:r>
      <w:r w:rsidR="00D42FB1" w:rsidRPr="002C095B">
        <w:rPr>
          <w:rFonts w:cs="Arial"/>
          <w:color w:val="auto"/>
        </w:rPr>
        <w:t>.</w:t>
      </w:r>
      <w:r w:rsidR="00AF09B3">
        <w:rPr>
          <w:rFonts w:cs="Arial"/>
          <w:color w:val="auto"/>
        </w:rPr>
        <w:t xml:space="preserve">  </w:t>
      </w:r>
      <w:r w:rsidR="00D42FB1" w:rsidRPr="002C095B">
        <w:rPr>
          <w:rFonts w:cs="Arial"/>
          <w:color w:val="auto"/>
        </w:rPr>
        <w:t>This appears to be acknowledged in the final paragraph of the appeal letter setting out this ground:</w:t>
      </w:r>
    </w:p>
    <w:p w14:paraId="3E89D776" w14:textId="77777777" w:rsidR="00D42FB1" w:rsidRPr="002C095B" w:rsidRDefault="00D42FB1" w:rsidP="00D42FB1">
      <w:pPr>
        <w:spacing w:before="120" w:after="120"/>
        <w:ind w:left="720"/>
        <w:jc w:val="both"/>
        <w:rPr>
          <w:rFonts w:cs="Arial"/>
          <w:i/>
          <w:iCs/>
          <w:color w:val="auto"/>
        </w:rPr>
      </w:pPr>
      <w:r w:rsidRPr="002C095B">
        <w:rPr>
          <w:rFonts w:cs="Arial"/>
          <w:i/>
          <w:iCs/>
          <w:color w:val="auto"/>
        </w:rPr>
        <w:t xml:space="preserve">Put another way, although NICE is entitled to identify clinical priorities and recommend the allocation of the NHS’s limited funds accordingly, there are no objective or reasonably justifiable reasons for failing to consider the available evidence properly or consistently.  Nor, for that matter is there any justification for failing to ensure that its recommendations are reasonable </w:t>
      </w:r>
      <w:proofErr w:type="gramStart"/>
      <w:r w:rsidRPr="002C095B">
        <w:rPr>
          <w:rFonts w:cs="Arial"/>
          <w:i/>
          <w:iCs/>
          <w:color w:val="auto"/>
        </w:rPr>
        <w:t>in light of</w:t>
      </w:r>
      <w:proofErr w:type="gramEnd"/>
      <w:r w:rsidRPr="002C095B">
        <w:rPr>
          <w:rFonts w:cs="Arial"/>
          <w:i/>
          <w:iCs/>
          <w:color w:val="auto"/>
        </w:rPr>
        <w:t xml:space="preserve"> the evidence before it, or for failing to exercise its discretion mindful of the need not to avoid discrimination of those with protected characteristics.  These themes permeate the procedural fairness 1a grounds and the reasonableness grounds that follow. </w:t>
      </w:r>
    </w:p>
    <w:p w14:paraId="79E3C168" w14:textId="77777777" w:rsidR="00D42FB1" w:rsidRPr="002C095B" w:rsidRDefault="00D42FB1" w:rsidP="00D42FB1">
      <w:pPr>
        <w:pStyle w:val="BodyText"/>
        <w:ind w:left="720"/>
        <w:jc w:val="both"/>
        <w:rPr>
          <w:rFonts w:cs="Arial"/>
          <w:color w:val="auto"/>
        </w:rPr>
      </w:pPr>
    </w:p>
    <w:p w14:paraId="25FB955A" w14:textId="4DC048D1" w:rsidR="00B62869" w:rsidRPr="002C095B" w:rsidRDefault="007A7F07" w:rsidP="00B62869">
      <w:pPr>
        <w:spacing w:before="240" w:after="240" w:line="276" w:lineRule="auto"/>
        <w:jc w:val="both"/>
        <w:rPr>
          <w:rFonts w:cs="Arial"/>
          <w:b/>
          <w:i/>
          <w:color w:val="auto"/>
        </w:rPr>
      </w:pPr>
      <w:r w:rsidRPr="002C095B">
        <w:rPr>
          <w:rFonts w:cs="Arial"/>
          <w:b/>
          <w:i/>
          <w:color w:val="auto"/>
        </w:rPr>
        <w:t>G</w:t>
      </w:r>
      <w:r w:rsidR="00491045" w:rsidRPr="002C095B">
        <w:rPr>
          <w:rFonts w:cs="Arial"/>
          <w:b/>
          <w:i/>
          <w:color w:val="auto"/>
        </w:rPr>
        <w:t xml:space="preserve">round 2: </w:t>
      </w:r>
      <w:r w:rsidR="00B62869" w:rsidRPr="002C095B">
        <w:rPr>
          <w:rFonts w:cs="Arial"/>
          <w:b/>
          <w:i/>
          <w:color w:val="auto"/>
        </w:rPr>
        <w:t>the recommendation is unreasonable in the light of the evidence submitted to NIC</w:t>
      </w:r>
    </w:p>
    <w:p w14:paraId="41564A14" w14:textId="53A36CA2" w:rsidR="00491045" w:rsidRPr="002C095B" w:rsidRDefault="00B62869" w:rsidP="007A7F07">
      <w:pPr>
        <w:pStyle w:val="Paragraph"/>
        <w:numPr>
          <w:ilvl w:val="0"/>
          <w:numId w:val="0"/>
        </w:numPr>
        <w:jc w:val="both"/>
        <w:rPr>
          <w:rFonts w:cs="Arial"/>
          <w:b/>
          <w:sz w:val="20"/>
          <w:szCs w:val="20"/>
          <w:u w:val="single"/>
        </w:rPr>
      </w:pPr>
      <w:r w:rsidRPr="002C095B">
        <w:rPr>
          <w:rFonts w:cs="Arial"/>
          <w:b/>
          <w:sz w:val="20"/>
          <w:szCs w:val="20"/>
          <w:u w:val="single"/>
        </w:rPr>
        <w:t xml:space="preserve">Appeal </w:t>
      </w:r>
      <w:proofErr w:type="gramStart"/>
      <w:r w:rsidRPr="002C095B">
        <w:rPr>
          <w:rFonts w:cs="Arial"/>
          <w:b/>
          <w:sz w:val="20"/>
          <w:szCs w:val="20"/>
          <w:u w:val="single"/>
        </w:rPr>
        <w:t>point</w:t>
      </w:r>
      <w:proofErr w:type="gramEnd"/>
      <w:r w:rsidRPr="002C095B">
        <w:rPr>
          <w:rFonts w:cs="Arial"/>
          <w:b/>
          <w:sz w:val="20"/>
          <w:szCs w:val="20"/>
          <w:u w:val="single"/>
        </w:rPr>
        <w:t xml:space="preserve"> 2.1: </w:t>
      </w:r>
      <w:r w:rsidR="0057589A" w:rsidRPr="002C095B">
        <w:rPr>
          <w:rFonts w:cs="Arial"/>
          <w:b/>
          <w:sz w:val="20"/>
          <w:szCs w:val="20"/>
          <w:u w:val="single"/>
        </w:rPr>
        <w:t>The Appraisal Committee’s insistence upon a Markov model is unreasonable based on the evidence before it.</w:t>
      </w:r>
    </w:p>
    <w:p w14:paraId="2664B26B" w14:textId="4CC8FF33" w:rsidR="00491045" w:rsidRPr="002C095B" w:rsidRDefault="00491045" w:rsidP="00491045">
      <w:pPr>
        <w:pStyle w:val="BodyText"/>
        <w:jc w:val="both"/>
        <w:rPr>
          <w:rFonts w:cs="Arial"/>
          <w:color w:val="auto"/>
        </w:rPr>
      </w:pPr>
      <w:r w:rsidRPr="002C095B">
        <w:rPr>
          <w:rFonts w:cs="Arial"/>
          <w:color w:val="auto"/>
        </w:rPr>
        <w:t xml:space="preserve">I am minded </w:t>
      </w:r>
      <w:proofErr w:type="gramStart"/>
      <w:r w:rsidRPr="002C095B">
        <w:rPr>
          <w:rFonts w:cs="Arial"/>
          <w:color w:val="auto"/>
        </w:rPr>
        <w:t>to refer</w:t>
      </w:r>
      <w:proofErr w:type="gramEnd"/>
      <w:r w:rsidRPr="002C095B">
        <w:rPr>
          <w:rFonts w:cs="Arial"/>
          <w:color w:val="auto"/>
        </w:rPr>
        <w:t xml:space="preserve"> this appeal </w:t>
      </w:r>
      <w:proofErr w:type="gramStart"/>
      <w:r w:rsidRPr="002C095B">
        <w:rPr>
          <w:rFonts w:cs="Arial"/>
          <w:color w:val="auto"/>
        </w:rPr>
        <w:t>point</w:t>
      </w:r>
      <w:proofErr w:type="gramEnd"/>
      <w:r w:rsidRPr="002C095B">
        <w:rPr>
          <w:rFonts w:cs="Arial"/>
          <w:color w:val="auto"/>
        </w:rPr>
        <w:t xml:space="preserve"> to the Appeal Panel.  </w:t>
      </w:r>
    </w:p>
    <w:p w14:paraId="7770A76C" w14:textId="19801714" w:rsidR="001B6F5A" w:rsidRPr="002C095B" w:rsidRDefault="001B6F5A" w:rsidP="00491045">
      <w:pPr>
        <w:pStyle w:val="BodyText"/>
        <w:jc w:val="both"/>
        <w:rPr>
          <w:rFonts w:cs="Arial"/>
          <w:color w:val="auto"/>
        </w:rPr>
      </w:pPr>
      <w:r w:rsidRPr="002C095B">
        <w:rPr>
          <w:rFonts w:cs="Arial"/>
          <w:color w:val="auto"/>
        </w:rPr>
        <w:lastRenderedPageBreak/>
        <w:t xml:space="preserve">In reaching my initial view I </w:t>
      </w:r>
      <w:r w:rsidR="0092339D" w:rsidRPr="002C095B">
        <w:rPr>
          <w:rFonts w:cs="Arial"/>
          <w:color w:val="auto"/>
        </w:rPr>
        <w:t xml:space="preserve">consider it is </w:t>
      </w:r>
      <w:r w:rsidR="00407BBD" w:rsidRPr="002C095B">
        <w:rPr>
          <w:rFonts w:cs="Arial"/>
          <w:color w:val="auto"/>
        </w:rPr>
        <w:t>arguable</w:t>
      </w:r>
      <w:r w:rsidR="0092339D" w:rsidRPr="002C095B">
        <w:rPr>
          <w:rFonts w:cs="Arial"/>
          <w:color w:val="auto"/>
        </w:rPr>
        <w:t xml:space="preserve"> that the Committee</w:t>
      </w:r>
      <w:r w:rsidR="006E7486" w:rsidRPr="002C095B">
        <w:rPr>
          <w:rFonts w:cs="Arial"/>
          <w:color w:val="auto"/>
        </w:rPr>
        <w:t xml:space="preserve"> acted unreasonably by</w:t>
      </w:r>
      <w:r w:rsidR="0092339D" w:rsidRPr="002C095B">
        <w:rPr>
          <w:rFonts w:cs="Arial"/>
          <w:color w:val="auto"/>
        </w:rPr>
        <w:t xml:space="preserve"> insist</w:t>
      </w:r>
      <w:r w:rsidR="006E7486" w:rsidRPr="002C095B">
        <w:rPr>
          <w:rFonts w:cs="Arial"/>
          <w:color w:val="auto"/>
        </w:rPr>
        <w:t>ing</w:t>
      </w:r>
      <w:r w:rsidR="0092339D" w:rsidRPr="002C095B">
        <w:rPr>
          <w:rFonts w:cs="Arial"/>
          <w:color w:val="auto"/>
        </w:rPr>
        <w:t xml:space="preserve"> on a Markov Model and </w:t>
      </w:r>
      <w:r w:rsidR="00571790" w:rsidRPr="002C095B">
        <w:rPr>
          <w:rFonts w:cs="Arial"/>
          <w:color w:val="auto"/>
        </w:rPr>
        <w:t xml:space="preserve">that other approaches may have been able to address </w:t>
      </w:r>
      <w:r w:rsidR="00492084" w:rsidRPr="002C095B">
        <w:rPr>
          <w:rFonts w:cs="Arial"/>
          <w:color w:val="auto"/>
        </w:rPr>
        <w:t>the uncertainties identified by the Committee.</w:t>
      </w:r>
    </w:p>
    <w:p w14:paraId="689A9DB2" w14:textId="603F4EEF" w:rsidR="00C71B57" w:rsidRPr="002C095B" w:rsidRDefault="00C71B57" w:rsidP="00C71B57">
      <w:pPr>
        <w:pStyle w:val="Paragraph"/>
        <w:numPr>
          <w:ilvl w:val="0"/>
          <w:numId w:val="0"/>
        </w:numPr>
        <w:jc w:val="both"/>
        <w:rPr>
          <w:rFonts w:cs="Arial"/>
          <w:b/>
          <w:sz w:val="20"/>
          <w:szCs w:val="20"/>
          <w:u w:val="single"/>
        </w:rPr>
      </w:pPr>
      <w:r w:rsidRPr="002C095B">
        <w:rPr>
          <w:rFonts w:cs="Arial"/>
          <w:b/>
          <w:sz w:val="20"/>
          <w:szCs w:val="20"/>
          <w:u w:val="single"/>
        </w:rPr>
        <w:t xml:space="preserve">Appeal </w:t>
      </w:r>
      <w:proofErr w:type="gramStart"/>
      <w:r w:rsidRPr="002C095B">
        <w:rPr>
          <w:rFonts w:cs="Arial"/>
          <w:b/>
          <w:sz w:val="20"/>
          <w:szCs w:val="20"/>
          <w:u w:val="single"/>
        </w:rPr>
        <w:t>point</w:t>
      </w:r>
      <w:proofErr w:type="gramEnd"/>
      <w:r w:rsidRPr="002C095B">
        <w:rPr>
          <w:rFonts w:cs="Arial"/>
          <w:b/>
          <w:sz w:val="20"/>
          <w:szCs w:val="20"/>
          <w:u w:val="single"/>
        </w:rPr>
        <w:t xml:space="preserve"> 2.2: </w:t>
      </w:r>
      <w:r w:rsidR="00D76F7A" w:rsidRPr="002C095B">
        <w:rPr>
          <w:rFonts w:cs="Arial"/>
          <w:b/>
          <w:sz w:val="20"/>
          <w:szCs w:val="20"/>
          <w:u w:val="single"/>
        </w:rPr>
        <w:t xml:space="preserve">The Committee’s requested approach for modelling time on treatment/time to treatment discontinuation is internally inconsistent, biased and unreasonable </w:t>
      </w:r>
      <w:proofErr w:type="gramStart"/>
      <w:r w:rsidR="00D76F7A" w:rsidRPr="002C095B">
        <w:rPr>
          <w:rFonts w:cs="Arial"/>
          <w:b/>
          <w:sz w:val="20"/>
          <w:szCs w:val="20"/>
          <w:u w:val="single"/>
        </w:rPr>
        <w:t>in light of</w:t>
      </w:r>
      <w:proofErr w:type="gramEnd"/>
      <w:r w:rsidR="00D76F7A" w:rsidRPr="002C095B">
        <w:rPr>
          <w:rFonts w:cs="Arial"/>
          <w:b/>
          <w:sz w:val="20"/>
          <w:szCs w:val="20"/>
          <w:u w:val="single"/>
        </w:rPr>
        <w:t xml:space="preserve"> the evidence before it.</w:t>
      </w:r>
    </w:p>
    <w:p w14:paraId="7118D7E3" w14:textId="77777777" w:rsidR="00591301" w:rsidRPr="002C095B" w:rsidRDefault="001813EF" w:rsidP="001813EF">
      <w:pPr>
        <w:pStyle w:val="BodyText"/>
        <w:jc w:val="both"/>
        <w:rPr>
          <w:rFonts w:cs="Arial"/>
          <w:color w:val="auto"/>
        </w:rPr>
      </w:pPr>
      <w:r w:rsidRPr="002C095B">
        <w:rPr>
          <w:rFonts w:cs="Arial"/>
          <w:color w:val="auto"/>
        </w:rPr>
        <w:t xml:space="preserve">I am minded </w:t>
      </w:r>
      <w:proofErr w:type="gramStart"/>
      <w:r w:rsidRPr="002C095B">
        <w:rPr>
          <w:rFonts w:cs="Arial"/>
          <w:color w:val="auto"/>
        </w:rPr>
        <w:t>to refer</w:t>
      </w:r>
      <w:proofErr w:type="gramEnd"/>
      <w:r w:rsidRPr="002C095B">
        <w:rPr>
          <w:rFonts w:cs="Arial"/>
          <w:color w:val="auto"/>
        </w:rPr>
        <w:t xml:space="preserve"> this appeal </w:t>
      </w:r>
      <w:proofErr w:type="gramStart"/>
      <w:r w:rsidRPr="002C095B">
        <w:rPr>
          <w:rFonts w:cs="Arial"/>
          <w:color w:val="auto"/>
        </w:rPr>
        <w:t>point</w:t>
      </w:r>
      <w:proofErr w:type="gramEnd"/>
      <w:r w:rsidRPr="002C095B">
        <w:rPr>
          <w:rFonts w:cs="Arial"/>
          <w:color w:val="auto"/>
        </w:rPr>
        <w:t xml:space="preserve"> to the Appeal Panel. </w:t>
      </w:r>
    </w:p>
    <w:p w14:paraId="46660641" w14:textId="0F94FA71" w:rsidR="00C71B57" w:rsidRPr="002C095B" w:rsidRDefault="00C71B57" w:rsidP="00C71B57">
      <w:pPr>
        <w:pStyle w:val="Paragraph"/>
        <w:numPr>
          <w:ilvl w:val="0"/>
          <w:numId w:val="0"/>
        </w:numPr>
        <w:jc w:val="both"/>
        <w:rPr>
          <w:rFonts w:cs="Arial"/>
          <w:b/>
          <w:sz w:val="20"/>
          <w:szCs w:val="20"/>
          <w:u w:val="single"/>
        </w:rPr>
      </w:pPr>
      <w:r w:rsidRPr="002C095B">
        <w:rPr>
          <w:rFonts w:cs="Arial"/>
          <w:b/>
          <w:sz w:val="20"/>
          <w:szCs w:val="20"/>
          <w:u w:val="single"/>
        </w:rPr>
        <w:t xml:space="preserve">Appeal </w:t>
      </w:r>
      <w:proofErr w:type="gramStart"/>
      <w:r w:rsidRPr="002C095B">
        <w:rPr>
          <w:rFonts w:cs="Arial"/>
          <w:b/>
          <w:sz w:val="20"/>
          <w:szCs w:val="20"/>
          <w:u w:val="single"/>
        </w:rPr>
        <w:t>point</w:t>
      </w:r>
      <w:proofErr w:type="gramEnd"/>
      <w:r w:rsidRPr="002C095B">
        <w:rPr>
          <w:rFonts w:cs="Arial"/>
          <w:b/>
          <w:sz w:val="20"/>
          <w:szCs w:val="20"/>
          <w:u w:val="single"/>
        </w:rPr>
        <w:t xml:space="preserve"> 2.3: </w:t>
      </w:r>
      <w:r w:rsidR="001F0195" w:rsidRPr="002C095B">
        <w:rPr>
          <w:rFonts w:cs="Arial"/>
          <w:b/>
          <w:sz w:val="20"/>
          <w:szCs w:val="20"/>
          <w:u w:val="single"/>
        </w:rPr>
        <w:t xml:space="preserve">The Appraisal Committee’s conclusion that the company’s original submissions were insufficient to assess similarity between </w:t>
      </w:r>
      <w:proofErr w:type="spellStart"/>
      <w:r w:rsidR="001F0195" w:rsidRPr="002C095B">
        <w:rPr>
          <w:rFonts w:cs="Arial"/>
          <w:b/>
          <w:sz w:val="20"/>
          <w:szCs w:val="20"/>
          <w:u w:val="single"/>
        </w:rPr>
        <w:t>cemiplimab</w:t>
      </w:r>
      <w:proofErr w:type="spellEnd"/>
      <w:r w:rsidR="001F0195" w:rsidRPr="002C095B">
        <w:rPr>
          <w:rFonts w:cs="Arial"/>
          <w:b/>
          <w:sz w:val="20"/>
          <w:szCs w:val="20"/>
          <w:u w:val="single"/>
        </w:rPr>
        <w:t xml:space="preserve"> and pembrolizumab was unreasonable </w:t>
      </w:r>
      <w:proofErr w:type="gramStart"/>
      <w:r w:rsidR="001F0195" w:rsidRPr="002C095B">
        <w:rPr>
          <w:rFonts w:cs="Arial"/>
          <w:b/>
          <w:sz w:val="20"/>
          <w:szCs w:val="20"/>
          <w:u w:val="single"/>
        </w:rPr>
        <w:t>in light of</w:t>
      </w:r>
      <w:proofErr w:type="gramEnd"/>
      <w:r w:rsidR="001F0195" w:rsidRPr="002C095B">
        <w:rPr>
          <w:rFonts w:cs="Arial"/>
          <w:b/>
          <w:sz w:val="20"/>
          <w:szCs w:val="20"/>
          <w:u w:val="single"/>
        </w:rPr>
        <w:t xml:space="preserve"> the evidence before it.</w:t>
      </w:r>
    </w:p>
    <w:p w14:paraId="0F843ED5" w14:textId="092C2CDF" w:rsidR="00546453" w:rsidRPr="002C095B" w:rsidRDefault="001813EF" w:rsidP="001813EF">
      <w:pPr>
        <w:pStyle w:val="BodyText"/>
        <w:jc w:val="both"/>
        <w:rPr>
          <w:rFonts w:cs="Arial"/>
          <w:color w:val="auto"/>
        </w:rPr>
      </w:pPr>
      <w:r w:rsidRPr="002C095B">
        <w:rPr>
          <w:rFonts w:cs="Arial"/>
          <w:color w:val="auto"/>
        </w:rPr>
        <w:t xml:space="preserve">I am </w:t>
      </w:r>
      <w:r w:rsidR="005F0822" w:rsidRPr="002C095B">
        <w:rPr>
          <w:rFonts w:cs="Arial"/>
          <w:color w:val="auto"/>
        </w:rPr>
        <w:t xml:space="preserve">not </w:t>
      </w:r>
      <w:r w:rsidRPr="002C095B">
        <w:rPr>
          <w:rFonts w:cs="Arial"/>
          <w:color w:val="auto"/>
        </w:rPr>
        <w:t xml:space="preserve">minded </w:t>
      </w:r>
      <w:proofErr w:type="gramStart"/>
      <w:r w:rsidRPr="002C095B">
        <w:rPr>
          <w:rFonts w:cs="Arial"/>
          <w:color w:val="auto"/>
        </w:rPr>
        <w:t>to refer</w:t>
      </w:r>
      <w:proofErr w:type="gramEnd"/>
      <w:r w:rsidRPr="002C095B">
        <w:rPr>
          <w:rFonts w:cs="Arial"/>
          <w:color w:val="auto"/>
        </w:rPr>
        <w:t xml:space="preserve"> this appeal </w:t>
      </w:r>
      <w:proofErr w:type="gramStart"/>
      <w:r w:rsidRPr="002C095B">
        <w:rPr>
          <w:rFonts w:cs="Arial"/>
          <w:color w:val="auto"/>
        </w:rPr>
        <w:t>point</w:t>
      </w:r>
      <w:proofErr w:type="gramEnd"/>
      <w:r w:rsidRPr="002C095B">
        <w:rPr>
          <w:rFonts w:cs="Arial"/>
          <w:color w:val="auto"/>
        </w:rPr>
        <w:t xml:space="preserve"> to the Appeal Panel.</w:t>
      </w:r>
    </w:p>
    <w:p w14:paraId="1851EC01" w14:textId="2E672FAC" w:rsidR="005F0822" w:rsidRPr="002C095B" w:rsidRDefault="00C5284E" w:rsidP="001813EF">
      <w:pPr>
        <w:pStyle w:val="BodyText"/>
        <w:jc w:val="both"/>
        <w:rPr>
          <w:rFonts w:cs="Arial"/>
          <w:color w:val="auto"/>
        </w:rPr>
      </w:pPr>
      <w:r w:rsidRPr="002C095B">
        <w:rPr>
          <w:rFonts w:cs="Arial"/>
          <w:color w:val="auto"/>
        </w:rPr>
        <w:t xml:space="preserve">In reaching this </w:t>
      </w:r>
      <w:r w:rsidR="00473CC1" w:rsidRPr="002C095B">
        <w:rPr>
          <w:rFonts w:cs="Arial"/>
          <w:color w:val="auto"/>
        </w:rPr>
        <w:t xml:space="preserve">initial </w:t>
      </w:r>
      <w:r w:rsidRPr="002C095B">
        <w:rPr>
          <w:rFonts w:cs="Arial"/>
          <w:color w:val="auto"/>
        </w:rPr>
        <w:t>view I</w:t>
      </w:r>
      <w:r w:rsidR="005F0822" w:rsidRPr="002C095B">
        <w:rPr>
          <w:rFonts w:cs="Arial"/>
          <w:color w:val="auto"/>
        </w:rPr>
        <w:t xml:space="preserve"> note that the unreasonableness contended for by the Company is based fundamentally on the argument that:</w:t>
      </w:r>
    </w:p>
    <w:p w14:paraId="5E39EF9F" w14:textId="6F0FF3AF" w:rsidR="005F0822" w:rsidRPr="002C095B" w:rsidRDefault="005F0822" w:rsidP="005F0822">
      <w:pPr>
        <w:pStyle w:val="BodyText"/>
        <w:ind w:left="720"/>
        <w:jc w:val="both"/>
        <w:rPr>
          <w:rFonts w:cs="Arial"/>
          <w:i/>
          <w:iCs/>
          <w:color w:val="auto"/>
        </w:rPr>
      </w:pPr>
      <w:r w:rsidRPr="002C095B">
        <w:rPr>
          <w:rFonts w:cs="Arial"/>
          <w:i/>
          <w:iCs/>
          <w:color w:val="auto"/>
        </w:rPr>
        <w:t>Requiring equivalence or non-inferiority goes beyond the argument of ‘similarity’ (i.e., no clinically meaningful differences) put forward by the company and which is also supported by clinicians consulted by Regeneron, previously published meta-analyses and accepted by other HTA agencies and professional bodies.</w:t>
      </w:r>
    </w:p>
    <w:p w14:paraId="0F1E22E1" w14:textId="39BD838B" w:rsidR="005F0822" w:rsidRPr="002C095B" w:rsidRDefault="005F0822" w:rsidP="001813EF">
      <w:pPr>
        <w:pStyle w:val="BodyText"/>
        <w:jc w:val="both"/>
        <w:rPr>
          <w:rFonts w:cs="Arial"/>
          <w:color w:val="auto"/>
        </w:rPr>
      </w:pPr>
      <w:r w:rsidRPr="002C095B">
        <w:rPr>
          <w:rFonts w:cs="Arial"/>
          <w:color w:val="auto"/>
        </w:rPr>
        <w:t>This argument forms the basis of appeal point 1(a).1, in which I have accepted that it is arguably procedurally unfair.</w:t>
      </w:r>
    </w:p>
    <w:p w14:paraId="1D0282B6" w14:textId="788944AF" w:rsidR="005F0822" w:rsidRPr="002C095B" w:rsidRDefault="005F0822" w:rsidP="001813EF">
      <w:pPr>
        <w:pStyle w:val="BodyText"/>
        <w:jc w:val="both"/>
        <w:rPr>
          <w:rFonts w:cs="Arial"/>
          <w:color w:val="auto"/>
        </w:rPr>
      </w:pPr>
      <w:r w:rsidRPr="002C095B">
        <w:rPr>
          <w:rFonts w:cs="Arial"/>
          <w:color w:val="auto"/>
        </w:rPr>
        <w:t xml:space="preserve">I am not currently minded </w:t>
      </w:r>
      <w:proofErr w:type="gramStart"/>
      <w:r w:rsidRPr="002C095B">
        <w:rPr>
          <w:rFonts w:cs="Arial"/>
          <w:color w:val="auto"/>
        </w:rPr>
        <w:t>to accept</w:t>
      </w:r>
      <w:proofErr w:type="gramEnd"/>
      <w:r w:rsidRPr="002C095B">
        <w:rPr>
          <w:rFonts w:cs="Arial"/>
          <w:color w:val="auto"/>
        </w:rPr>
        <w:t xml:space="preserve"> that there is also arguable unreasonableness in the Committee's conclusions, if the procedural unfairness point were to fall away.</w:t>
      </w:r>
    </w:p>
    <w:p w14:paraId="2F0894FE" w14:textId="7AC7A0EF" w:rsidR="00C71B57" w:rsidRPr="002C095B" w:rsidRDefault="00C71B57" w:rsidP="00C71B57">
      <w:pPr>
        <w:pStyle w:val="Paragraph"/>
        <w:numPr>
          <w:ilvl w:val="0"/>
          <w:numId w:val="0"/>
        </w:numPr>
        <w:jc w:val="both"/>
        <w:rPr>
          <w:rFonts w:cs="Arial"/>
          <w:b/>
          <w:sz w:val="20"/>
          <w:szCs w:val="20"/>
          <w:u w:val="single"/>
        </w:rPr>
      </w:pPr>
      <w:r w:rsidRPr="002C095B">
        <w:rPr>
          <w:rFonts w:cs="Arial"/>
          <w:b/>
          <w:sz w:val="20"/>
          <w:szCs w:val="20"/>
          <w:u w:val="single"/>
        </w:rPr>
        <w:t xml:space="preserve">Appeal </w:t>
      </w:r>
      <w:proofErr w:type="gramStart"/>
      <w:r w:rsidRPr="002C095B">
        <w:rPr>
          <w:rFonts w:cs="Arial"/>
          <w:b/>
          <w:sz w:val="20"/>
          <w:szCs w:val="20"/>
          <w:u w:val="single"/>
        </w:rPr>
        <w:t>point</w:t>
      </w:r>
      <w:proofErr w:type="gramEnd"/>
      <w:r w:rsidRPr="002C095B">
        <w:rPr>
          <w:rFonts w:cs="Arial"/>
          <w:b/>
          <w:sz w:val="20"/>
          <w:szCs w:val="20"/>
          <w:u w:val="single"/>
        </w:rPr>
        <w:t xml:space="preserve"> 2.4: </w:t>
      </w:r>
      <w:r w:rsidR="004A5653" w:rsidRPr="002C095B">
        <w:rPr>
          <w:rFonts w:cs="Arial"/>
          <w:b/>
          <w:sz w:val="20"/>
          <w:szCs w:val="20"/>
          <w:u w:val="single"/>
        </w:rPr>
        <w:t xml:space="preserve">The Committee’s conclusions on the suitability of a cost-comparison analysis are unreasonable </w:t>
      </w:r>
      <w:proofErr w:type="gramStart"/>
      <w:r w:rsidR="004A5653" w:rsidRPr="002C095B">
        <w:rPr>
          <w:rFonts w:cs="Arial"/>
          <w:b/>
          <w:sz w:val="20"/>
          <w:szCs w:val="20"/>
          <w:u w:val="single"/>
        </w:rPr>
        <w:t>in light of</w:t>
      </w:r>
      <w:proofErr w:type="gramEnd"/>
      <w:r w:rsidR="004A5653" w:rsidRPr="002C095B">
        <w:rPr>
          <w:rFonts w:cs="Arial"/>
          <w:b/>
          <w:sz w:val="20"/>
          <w:szCs w:val="20"/>
          <w:u w:val="single"/>
        </w:rPr>
        <w:t xml:space="preserve"> the evidence submitted.</w:t>
      </w:r>
    </w:p>
    <w:p w14:paraId="7748AABD" w14:textId="49BA0965" w:rsidR="00C71B57" w:rsidRPr="002C095B" w:rsidRDefault="00C71B57" w:rsidP="00C71B57">
      <w:pPr>
        <w:pStyle w:val="BodyText"/>
        <w:jc w:val="both"/>
        <w:rPr>
          <w:rFonts w:cs="Arial"/>
          <w:color w:val="auto"/>
        </w:rPr>
      </w:pPr>
      <w:r w:rsidRPr="002C095B">
        <w:rPr>
          <w:rFonts w:cs="Arial"/>
          <w:color w:val="auto"/>
        </w:rPr>
        <w:t xml:space="preserve">I am not minded </w:t>
      </w:r>
      <w:proofErr w:type="gramStart"/>
      <w:r w:rsidRPr="002C095B">
        <w:rPr>
          <w:rFonts w:cs="Arial"/>
          <w:color w:val="auto"/>
        </w:rPr>
        <w:t>to refer</w:t>
      </w:r>
      <w:proofErr w:type="gramEnd"/>
      <w:r w:rsidRPr="002C095B">
        <w:rPr>
          <w:rFonts w:cs="Arial"/>
          <w:color w:val="auto"/>
        </w:rPr>
        <w:t xml:space="preserve"> this appeal </w:t>
      </w:r>
      <w:proofErr w:type="gramStart"/>
      <w:r w:rsidRPr="002C095B">
        <w:rPr>
          <w:rFonts w:cs="Arial"/>
          <w:color w:val="auto"/>
        </w:rPr>
        <w:t>point</w:t>
      </w:r>
      <w:proofErr w:type="gramEnd"/>
      <w:r w:rsidRPr="002C095B">
        <w:rPr>
          <w:rFonts w:cs="Arial"/>
          <w:color w:val="auto"/>
        </w:rPr>
        <w:t xml:space="preserve"> to the Appeal Panel.   </w:t>
      </w:r>
    </w:p>
    <w:p w14:paraId="7FDD7E7C" w14:textId="77777777" w:rsidR="00C1267E" w:rsidRPr="002C095B" w:rsidRDefault="00A71720" w:rsidP="00C71B57">
      <w:pPr>
        <w:pStyle w:val="BodyText"/>
        <w:jc w:val="both"/>
        <w:rPr>
          <w:rFonts w:cs="Arial"/>
          <w:color w:val="auto"/>
        </w:rPr>
      </w:pPr>
      <w:r w:rsidRPr="002C095B">
        <w:rPr>
          <w:rFonts w:cs="Arial"/>
          <w:color w:val="auto"/>
        </w:rPr>
        <w:t xml:space="preserve">I understand </w:t>
      </w:r>
      <w:r w:rsidR="00E819CC" w:rsidRPr="002C095B">
        <w:rPr>
          <w:rFonts w:cs="Arial"/>
          <w:color w:val="auto"/>
        </w:rPr>
        <w:t xml:space="preserve">this appeal point challenges the Committee's view that the </w:t>
      </w:r>
      <w:r w:rsidR="001438A9" w:rsidRPr="002C095B">
        <w:rPr>
          <w:rFonts w:cs="Arial"/>
          <w:color w:val="auto"/>
        </w:rPr>
        <w:t xml:space="preserve">evidence for clinical </w:t>
      </w:r>
      <w:r w:rsidR="00C1267E" w:rsidRPr="002C095B">
        <w:rPr>
          <w:rFonts w:cs="Arial"/>
          <w:color w:val="auto"/>
        </w:rPr>
        <w:t>similarity</w:t>
      </w:r>
      <w:r w:rsidR="001438A9" w:rsidRPr="002C095B">
        <w:rPr>
          <w:rFonts w:cs="Arial"/>
          <w:color w:val="auto"/>
        </w:rPr>
        <w:t xml:space="preserve"> was not robus</w:t>
      </w:r>
      <w:r w:rsidR="00732DEF" w:rsidRPr="002C095B">
        <w:rPr>
          <w:rFonts w:cs="Arial"/>
          <w:color w:val="auto"/>
        </w:rPr>
        <w:t>t</w:t>
      </w:r>
      <w:r w:rsidR="001438A9" w:rsidRPr="002C095B">
        <w:rPr>
          <w:rFonts w:cs="Arial"/>
          <w:color w:val="auto"/>
        </w:rPr>
        <w:t xml:space="preserve"> enough for cost-comparison analysis. </w:t>
      </w:r>
      <w:r w:rsidR="00C1267E" w:rsidRPr="002C095B">
        <w:rPr>
          <w:rFonts w:cs="Arial"/>
          <w:color w:val="auto"/>
        </w:rPr>
        <w:t xml:space="preserve"> </w:t>
      </w:r>
    </w:p>
    <w:p w14:paraId="3B7FDEA6" w14:textId="570E351B" w:rsidR="00276CE9" w:rsidRPr="002C095B" w:rsidRDefault="00C1267E" w:rsidP="00C1267E">
      <w:pPr>
        <w:pStyle w:val="BodyText"/>
        <w:jc w:val="both"/>
        <w:rPr>
          <w:rFonts w:cs="Arial"/>
          <w:color w:val="auto"/>
        </w:rPr>
      </w:pPr>
      <w:r w:rsidRPr="002C095B">
        <w:rPr>
          <w:rFonts w:cs="Arial"/>
          <w:color w:val="auto"/>
        </w:rPr>
        <w:t xml:space="preserve">As I read the appeal point, in support of its primary contention the Company essentially repeats submissions made in support of appeal point 1(a).1, appeal point 2.1 (both of which I have referred to the Appeal Panel), and appeal point 1(a).2 (which I am not currently persuaded is arguable).  I do not see how this appeal point adds to those other appeal points, and for that reason, I am not minded </w:t>
      </w:r>
      <w:proofErr w:type="gramStart"/>
      <w:r w:rsidRPr="002C095B">
        <w:rPr>
          <w:rFonts w:cs="Arial"/>
          <w:color w:val="auto"/>
        </w:rPr>
        <w:t>to refer</w:t>
      </w:r>
      <w:proofErr w:type="gramEnd"/>
      <w:r w:rsidRPr="002C095B">
        <w:rPr>
          <w:rFonts w:cs="Arial"/>
          <w:color w:val="auto"/>
        </w:rPr>
        <w:t xml:space="preserve"> it.</w:t>
      </w:r>
    </w:p>
    <w:p w14:paraId="0ED8ADAA" w14:textId="14DDD4C1" w:rsidR="00C71B57" w:rsidRPr="002C095B" w:rsidRDefault="00C71B57" w:rsidP="00C71B57">
      <w:pPr>
        <w:pStyle w:val="Paragraph"/>
        <w:numPr>
          <w:ilvl w:val="0"/>
          <w:numId w:val="0"/>
        </w:numPr>
        <w:jc w:val="both"/>
        <w:rPr>
          <w:rFonts w:cs="Arial"/>
          <w:b/>
          <w:sz w:val="20"/>
          <w:szCs w:val="20"/>
          <w:u w:val="single"/>
        </w:rPr>
      </w:pPr>
      <w:r w:rsidRPr="002C095B">
        <w:rPr>
          <w:rFonts w:cs="Arial"/>
          <w:b/>
          <w:sz w:val="20"/>
          <w:szCs w:val="20"/>
          <w:u w:val="single"/>
        </w:rPr>
        <w:t xml:space="preserve">Appeal </w:t>
      </w:r>
      <w:proofErr w:type="gramStart"/>
      <w:r w:rsidRPr="002C095B">
        <w:rPr>
          <w:rFonts w:cs="Arial"/>
          <w:b/>
          <w:sz w:val="20"/>
          <w:szCs w:val="20"/>
          <w:u w:val="single"/>
        </w:rPr>
        <w:t>point</w:t>
      </w:r>
      <w:proofErr w:type="gramEnd"/>
      <w:r w:rsidRPr="002C095B">
        <w:rPr>
          <w:rFonts w:cs="Arial"/>
          <w:b/>
          <w:sz w:val="20"/>
          <w:szCs w:val="20"/>
          <w:u w:val="single"/>
        </w:rPr>
        <w:t xml:space="preserve"> 2.5: </w:t>
      </w:r>
      <w:r w:rsidR="00481B4A" w:rsidRPr="002C095B">
        <w:rPr>
          <w:rFonts w:cs="Arial"/>
          <w:b/>
          <w:sz w:val="20"/>
          <w:szCs w:val="20"/>
          <w:u w:val="single"/>
        </w:rPr>
        <w:t>The Appraisal Committee unreasonably fails to recognize and take adequate account of the conservative approach Regeneron adopted in its modelling, which directly affects the Committee’s conclusions on cost-effectiveness.</w:t>
      </w:r>
    </w:p>
    <w:p w14:paraId="298AFF44" w14:textId="393B6D3D" w:rsidR="00C71B57" w:rsidRPr="002C095B" w:rsidRDefault="00C71B57" w:rsidP="00C71B57">
      <w:pPr>
        <w:pStyle w:val="BodyText"/>
        <w:jc w:val="both"/>
        <w:rPr>
          <w:rFonts w:cs="Arial"/>
          <w:color w:val="auto"/>
        </w:rPr>
      </w:pPr>
      <w:r w:rsidRPr="002C095B">
        <w:rPr>
          <w:rFonts w:cs="Arial"/>
          <w:color w:val="auto"/>
        </w:rPr>
        <w:t xml:space="preserve">I am not minded </w:t>
      </w:r>
      <w:proofErr w:type="gramStart"/>
      <w:r w:rsidRPr="002C095B">
        <w:rPr>
          <w:rFonts w:cs="Arial"/>
          <w:color w:val="auto"/>
        </w:rPr>
        <w:t>to refer</w:t>
      </w:r>
      <w:proofErr w:type="gramEnd"/>
      <w:r w:rsidRPr="002C095B">
        <w:rPr>
          <w:rFonts w:cs="Arial"/>
          <w:color w:val="auto"/>
        </w:rPr>
        <w:t xml:space="preserve"> this appeal </w:t>
      </w:r>
      <w:proofErr w:type="gramStart"/>
      <w:r w:rsidRPr="002C095B">
        <w:rPr>
          <w:rFonts w:cs="Arial"/>
          <w:color w:val="auto"/>
        </w:rPr>
        <w:t>point</w:t>
      </w:r>
      <w:proofErr w:type="gramEnd"/>
      <w:r w:rsidRPr="002C095B">
        <w:rPr>
          <w:rFonts w:cs="Arial"/>
          <w:color w:val="auto"/>
        </w:rPr>
        <w:t xml:space="preserve"> to the Appeal Panel.   </w:t>
      </w:r>
    </w:p>
    <w:p w14:paraId="53190CD1" w14:textId="20C6763D" w:rsidR="00A71720" w:rsidRPr="002C095B" w:rsidRDefault="00A71720" w:rsidP="00A71720">
      <w:pPr>
        <w:pStyle w:val="BodyText"/>
        <w:jc w:val="both"/>
        <w:rPr>
          <w:rFonts w:cs="Arial"/>
          <w:color w:val="auto"/>
        </w:rPr>
      </w:pPr>
      <w:r w:rsidRPr="002C095B">
        <w:rPr>
          <w:rFonts w:cs="Arial"/>
          <w:color w:val="auto"/>
        </w:rPr>
        <w:lastRenderedPageBreak/>
        <w:t xml:space="preserve">I understand </w:t>
      </w:r>
      <w:r w:rsidR="00FE053C" w:rsidRPr="002C095B">
        <w:rPr>
          <w:rFonts w:cs="Arial"/>
          <w:color w:val="auto"/>
        </w:rPr>
        <w:t xml:space="preserve">this appeal point </w:t>
      </w:r>
      <w:r w:rsidR="002C095B" w:rsidRPr="002C095B">
        <w:rPr>
          <w:rFonts w:cs="Arial"/>
          <w:color w:val="auto"/>
        </w:rPr>
        <w:t>argues</w:t>
      </w:r>
      <w:r w:rsidR="008D698F" w:rsidRPr="002C095B">
        <w:rPr>
          <w:rFonts w:cs="Arial"/>
          <w:color w:val="auto"/>
        </w:rPr>
        <w:t xml:space="preserve"> </w:t>
      </w:r>
      <w:r w:rsidR="00AF09B3">
        <w:rPr>
          <w:rFonts w:cs="Arial"/>
          <w:color w:val="auto"/>
        </w:rPr>
        <w:t xml:space="preserve">that </w:t>
      </w:r>
      <w:r w:rsidR="008D698F" w:rsidRPr="002C095B">
        <w:rPr>
          <w:rFonts w:cs="Arial"/>
          <w:color w:val="auto"/>
        </w:rPr>
        <w:t xml:space="preserve">the Committee </w:t>
      </w:r>
      <w:r w:rsidR="00AE3BD2" w:rsidRPr="002C095B">
        <w:rPr>
          <w:rFonts w:cs="Arial"/>
          <w:color w:val="auto"/>
        </w:rPr>
        <w:t xml:space="preserve">failed to recognise the conservative approach that </w:t>
      </w:r>
      <w:r w:rsidR="003825AD" w:rsidRPr="002C095B">
        <w:rPr>
          <w:rFonts w:cs="Arial"/>
          <w:color w:val="auto"/>
        </w:rPr>
        <w:t xml:space="preserve">the Company took </w:t>
      </w:r>
      <w:proofErr w:type="gramStart"/>
      <w:r w:rsidR="003825AD" w:rsidRPr="002C095B">
        <w:rPr>
          <w:rFonts w:cs="Arial"/>
          <w:color w:val="auto"/>
        </w:rPr>
        <w:t>in regard to</w:t>
      </w:r>
      <w:proofErr w:type="gramEnd"/>
      <w:r w:rsidR="003825AD" w:rsidRPr="002C095B">
        <w:rPr>
          <w:rFonts w:cs="Arial"/>
          <w:color w:val="auto"/>
        </w:rPr>
        <w:t xml:space="preserve"> cost-effectiveness</w:t>
      </w:r>
      <w:r w:rsidR="00727500" w:rsidRPr="002C095B">
        <w:rPr>
          <w:rFonts w:cs="Arial"/>
          <w:color w:val="auto"/>
        </w:rPr>
        <w:t xml:space="preserve">.  The appeal </w:t>
      </w:r>
      <w:proofErr w:type="gramStart"/>
      <w:r w:rsidR="00727500" w:rsidRPr="002C095B">
        <w:rPr>
          <w:rFonts w:cs="Arial"/>
          <w:color w:val="auto"/>
        </w:rPr>
        <w:t>point</w:t>
      </w:r>
      <w:proofErr w:type="gramEnd"/>
      <w:r w:rsidR="00727500" w:rsidRPr="002C095B">
        <w:rPr>
          <w:rFonts w:cs="Arial"/>
          <w:color w:val="auto"/>
        </w:rPr>
        <w:t xml:space="preserve"> </w:t>
      </w:r>
      <w:r w:rsidR="003F7219" w:rsidRPr="002C095B">
        <w:rPr>
          <w:rFonts w:cs="Arial"/>
          <w:color w:val="auto"/>
        </w:rPr>
        <w:t>states</w:t>
      </w:r>
      <w:r w:rsidR="00727500" w:rsidRPr="002C095B">
        <w:rPr>
          <w:rFonts w:cs="Arial"/>
          <w:color w:val="auto"/>
        </w:rPr>
        <w:t xml:space="preserve"> </w:t>
      </w:r>
      <w:r w:rsidR="00727500" w:rsidRPr="002C095B">
        <w:rPr>
          <w:rFonts w:cs="Arial"/>
          <w:i/>
          <w:iCs/>
          <w:color w:val="auto"/>
        </w:rPr>
        <w:t>"the Committee's sole basis for reaching this conclusion is the absence of a PFS-driven Markov model</w:t>
      </w:r>
      <w:r w:rsidR="00727500" w:rsidRPr="002C095B">
        <w:rPr>
          <w:rFonts w:cs="Arial"/>
          <w:color w:val="auto"/>
        </w:rPr>
        <w:t xml:space="preserve">."  </w:t>
      </w:r>
    </w:p>
    <w:p w14:paraId="14BC7CE0" w14:textId="66F6A5AA" w:rsidR="0036500D" w:rsidRPr="002C095B" w:rsidRDefault="0036500D" w:rsidP="00A71720">
      <w:pPr>
        <w:pStyle w:val="BodyText"/>
        <w:jc w:val="both"/>
        <w:rPr>
          <w:rFonts w:cs="Arial"/>
          <w:color w:val="auto"/>
        </w:rPr>
      </w:pPr>
      <w:r w:rsidRPr="002C095B">
        <w:rPr>
          <w:rFonts w:cs="Arial"/>
          <w:color w:val="auto"/>
        </w:rPr>
        <w:t>I</w:t>
      </w:r>
      <w:r w:rsidR="00891F47" w:rsidRPr="002C095B">
        <w:rPr>
          <w:rFonts w:cs="Arial"/>
          <w:color w:val="auto"/>
        </w:rPr>
        <w:t xml:space="preserve">t appears this appeal point stems from the </w:t>
      </w:r>
      <w:r w:rsidR="00AA095E" w:rsidRPr="002C095B">
        <w:rPr>
          <w:rFonts w:cs="Arial"/>
          <w:color w:val="auto"/>
        </w:rPr>
        <w:t xml:space="preserve">Committee's request for a Markov model to be provided by the company.  In reaching my initial view I note that Appeal </w:t>
      </w:r>
      <w:proofErr w:type="gramStart"/>
      <w:r w:rsidR="00AA095E" w:rsidRPr="002C095B">
        <w:rPr>
          <w:rFonts w:cs="Arial"/>
          <w:color w:val="auto"/>
        </w:rPr>
        <w:t>point</w:t>
      </w:r>
      <w:proofErr w:type="gramEnd"/>
      <w:r w:rsidR="00AA095E" w:rsidRPr="002C095B">
        <w:rPr>
          <w:rFonts w:cs="Arial"/>
          <w:color w:val="auto"/>
        </w:rPr>
        <w:t xml:space="preserve"> 2.1, which considers whether the committee was unreasonable to </w:t>
      </w:r>
      <w:r w:rsidR="00B57C00" w:rsidRPr="002C095B">
        <w:rPr>
          <w:rFonts w:cs="Arial"/>
          <w:color w:val="auto"/>
        </w:rPr>
        <w:t>insist upon a Markov model</w:t>
      </w:r>
      <w:r w:rsidR="004B40EB" w:rsidRPr="002C095B">
        <w:rPr>
          <w:rFonts w:cs="Arial"/>
          <w:color w:val="auto"/>
        </w:rPr>
        <w:t>,</w:t>
      </w:r>
      <w:r w:rsidR="00B57C00" w:rsidRPr="002C095B">
        <w:rPr>
          <w:rFonts w:cs="Arial"/>
          <w:color w:val="auto"/>
        </w:rPr>
        <w:t xml:space="preserve"> has been referred to the Appeal Panel.  </w:t>
      </w:r>
      <w:r w:rsidR="00E34469" w:rsidRPr="002C095B">
        <w:rPr>
          <w:rFonts w:cs="Arial"/>
          <w:color w:val="auto"/>
        </w:rPr>
        <w:t xml:space="preserve">On this basis </w:t>
      </w:r>
      <w:r w:rsidR="00A9655D" w:rsidRPr="002C095B">
        <w:rPr>
          <w:rFonts w:cs="Arial"/>
          <w:color w:val="auto"/>
        </w:rPr>
        <w:t xml:space="preserve">it is my initial view that this does not present a separate appeal point </w:t>
      </w:r>
      <w:r w:rsidR="004B40EB" w:rsidRPr="002C095B">
        <w:rPr>
          <w:rFonts w:cs="Arial"/>
          <w:color w:val="auto"/>
        </w:rPr>
        <w:t xml:space="preserve">and </w:t>
      </w:r>
      <w:r w:rsidR="002C095B" w:rsidRPr="002C095B">
        <w:rPr>
          <w:rFonts w:cs="Arial"/>
          <w:color w:val="auto"/>
        </w:rPr>
        <w:t>the</w:t>
      </w:r>
      <w:r w:rsidR="00A9655D" w:rsidRPr="002C095B">
        <w:rPr>
          <w:rFonts w:cs="Arial"/>
          <w:color w:val="auto"/>
        </w:rPr>
        <w:t xml:space="preserve"> </w:t>
      </w:r>
      <w:r w:rsidR="004B40EB" w:rsidRPr="002C095B">
        <w:rPr>
          <w:rFonts w:cs="Arial"/>
          <w:color w:val="auto"/>
        </w:rPr>
        <w:t xml:space="preserve">relevant </w:t>
      </w:r>
      <w:r w:rsidR="00FB1B47" w:rsidRPr="002C095B">
        <w:rPr>
          <w:rFonts w:cs="Arial"/>
          <w:color w:val="auto"/>
        </w:rPr>
        <w:t xml:space="preserve">arguments </w:t>
      </w:r>
      <w:r w:rsidR="004B40EB" w:rsidRPr="002C095B">
        <w:rPr>
          <w:rFonts w:cs="Arial"/>
          <w:color w:val="auto"/>
        </w:rPr>
        <w:t>will</w:t>
      </w:r>
      <w:r w:rsidR="00A9655D" w:rsidRPr="002C095B">
        <w:rPr>
          <w:rFonts w:cs="Arial"/>
          <w:color w:val="auto"/>
        </w:rPr>
        <w:t xml:space="preserve"> be considered under Appeal Point 2.1</w:t>
      </w:r>
    </w:p>
    <w:p w14:paraId="17684C5E" w14:textId="50E341CB" w:rsidR="00C71B57" w:rsidRPr="002C095B" w:rsidRDefault="00C71B57" w:rsidP="00C71B57">
      <w:pPr>
        <w:pStyle w:val="Paragraph"/>
        <w:numPr>
          <w:ilvl w:val="0"/>
          <w:numId w:val="0"/>
        </w:numPr>
        <w:jc w:val="both"/>
        <w:rPr>
          <w:rFonts w:cs="Arial"/>
          <w:b/>
          <w:sz w:val="20"/>
          <w:szCs w:val="20"/>
          <w:u w:val="single"/>
        </w:rPr>
      </w:pPr>
      <w:r w:rsidRPr="002C095B">
        <w:rPr>
          <w:rFonts w:cs="Arial"/>
          <w:b/>
          <w:sz w:val="20"/>
          <w:szCs w:val="20"/>
          <w:u w:val="single"/>
        </w:rPr>
        <w:t xml:space="preserve">Appeal </w:t>
      </w:r>
      <w:proofErr w:type="gramStart"/>
      <w:r w:rsidRPr="002C095B">
        <w:rPr>
          <w:rFonts w:cs="Arial"/>
          <w:b/>
          <w:sz w:val="20"/>
          <w:szCs w:val="20"/>
          <w:u w:val="single"/>
        </w:rPr>
        <w:t>point</w:t>
      </w:r>
      <w:proofErr w:type="gramEnd"/>
      <w:r w:rsidRPr="002C095B">
        <w:rPr>
          <w:rFonts w:cs="Arial"/>
          <w:b/>
          <w:sz w:val="20"/>
          <w:szCs w:val="20"/>
          <w:u w:val="single"/>
        </w:rPr>
        <w:t xml:space="preserve"> 2.6: </w:t>
      </w:r>
      <w:r w:rsidR="00E13544" w:rsidRPr="002C095B">
        <w:rPr>
          <w:rFonts w:cs="Arial"/>
          <w:b/>
          <w:sz w:val="20"/>
          <w:szCs w:val="20"/>
          <w:u w:val="single"/>
        </w:rPr>
        <w:t xml:space="preserve">The Appraisal Committee’s conclusions on the comparative effectiveness evidence are unreasonable </w:t>
      </w:r>
      <w:proofErr w:type="gramStart"/>
      <w:r w:rsidR="00E13544" w:rsidRPr="002C095B">
        <w:rPr>
          <w:rFonts w:cs="Arial"/>
          <w:b/>
          <w:sz w:val="20"/>
          <w:szCs w:val="20"/>
          <w:u w:val="single"/>
        </w:rPr>
        <w:t>in light of</w:t>
      </w:r>
      <w:proofErr w:type="gramEnd"/>
      <w:r w:rsidR="00E13544" w:rsidRPr="002C095B">
        <w:rPr>
          <w:rFonts w:cs="Arial"/>
          <w:b/>
          <w:sz w:val="20"/>
          <w:szCs w:val="20"/>
          <w:u w:val="single"/>
        </w:rPr>
        <w:t xml:space="preserve"> the evidence submitted.</w:t>
      </w:r>
    </w:p>
    <w:p w14:paraId="1CC69078" w14:textId="77777777" w:rsidR="001813EF" w:rsidRPr="002C095B" w:rsidRDefault="001813EF" w:rsidP="001813EF">
      <w:pPr>
        <w:pStyle w:val="BodyText"/>
        <w:jc w:val="both"/>
        <w:rPr>
          <w:rFonts w:cs="Arial"/>
          <w:color w:val="auto"/>
        </w:rPr>
      </w:pPr>
      <w:r w:rsidRPr="002C095B">
        <w:rPr>
          <w:rFonts w:cs="Arial"/>
          <w:color w:val="auto"/>
        </w:rPr>
        <w:t xml:space="preserve">I am minded </w:t>
      </w:r>
      <w:proofErr w:type="gramStart"/>
      <w:r w:rsidRPr="002C095B">
        <w:rPr>
          <w:rFonts w:cs="Arial"/>
          <w:color w:val="auto"/>
        </w:rPr>
        <w:t>to refer</w:t>
      </w:r>
      <w:proofErr w:type="gramEnd"/>
      <w:r w:rsidRPr="002C095B">
        <w:rPr>
          <w:rFonts w:cs="Arial"/>
          <w:color w:val="auto"/>
        </w:rPr>
        <w:t xml:space="preserve"> this appeal </w:t>
      </w:r>
      <w:proofErr w:type="gramStart"/>
      <w:r w:rsidRPr="002C095B">
        <w:rPr>
          <w:rFonts w:cs="Arial"/>
          <w:color w:val="auto"/>
        </w:rPr>
        <w:t>point</w:t>
      </w:r>
      <w:proofErr w:type="gramEnd"/>
      <w:r w:rsidRPr="002C095B">
        <w:rPr>
          <w:rFonts w:cs="Arial"/>
          <w:color w:val="auto"/>
        </w:rPr>
        <w:t xml:space="preserve"> to the Appeal Panel.  </w:t>
      </w:r>
    </w:p>
    <w:p w14:paraId="1C3EA91E" w14:textId="3170EA9F" w:rsidR="000B46C7" w:rsidRPr="002C095B" w:rsidRDefault="004C667C" w:rsidP="001813EF">
      <w:pPr>
        <w:pStyle w:val="BodyText"/>
        <w:jc w:val="both"/>
        <w:rPr>
          <w:rFonts w:cs="Arial"/>
          <w:color w:val="auto"/>
        </w:rPr>
      </w:pPr>
      <w:r w:rsidRPr="002C095B">
        <w:rPr>
          <w:rFonts w:cs="Arial"/>
          <w:color w:val="auto"/>
        </w:rPr>
        <w:t>In reaching my initial view I consider it is arguable that the Committee have misunderstood the impact</w:t>
      </w:r>
      <w:r w:rsidR="00994428" w:rsidRPr="002C095B">
        <w:rPr>
          <w:rFonts w:cs="Arial"/>
          <w:color w:val="auto"/>
        </w:rPr>
        <w:t>s on PFS and OS after treatment is stopped.</w:t>
      </w:r>
    </w:p>
    <w:p w14:paraId="4AE6A487" w14:textId="6BDD7B15" w:rsidR="007E4EDC" w:rsidRPr="002C095B" w:rsidRDefault="007E4EDC" w:rsidP="00623213">
      <w:pPr>
        <w:pStyle w:val="Paragraph"/>
        <w:numPr>
          <w:ilvl w:val="0"/>
          <w:numId w:val="0"/>
        </w:numPr>
        <w:jc w:val="both"/>
        <w:rPr>
          <w:rFonts w:cs="Arial"/>
          <w:sz w:val="20"/>
          <w:szCs w:val="20"/>
          <w:u w:val="single"/>
          <w:lang w:eastAsia="en-US"/>
        </w:rPr>
      </w:pPr>
      <w:r w:rsidRPr="002C095B">
        <w:rPr>
          <w:rFonts w:cs="Arial"/>
          <w:sz w:val="20"/>
          <w:szCs w:val="20"/>
          <w:u w:val="single"/>
          <w:lang w:eastAsia="en-US"/>
        </w:rPr>
        <w:t xml:space="preserve">Conclusion </w:t>
      </w:r>
    </w:p>
    <w:p w14:paraId="259A7A09" w14:textId="77777777" w:rsidR="00613CE8" w:rsidRPr="002C095B" w:rsidRDefault="00613CE8" w:rsidP="00613CE8">
      <w:pPr>
        <w:pStyle w:val="Paragraph"/>
        <w:numPr>
          <w:ilvl w:val="0"/>
          <w:numId w:val="0"/>
        </w:numPr>
        <w:spacing w:before="120"/>
        <w:jc w:val="both"/>
        <w:rPr>
          <w:rFonts w:cs="Arial"/>
          <w:sz w:val="20"/>
          <w:szCs w:val="20"/>
          <w:lang w:eastAsia="en-US"/>
        </w:rPr>
      </w:pPr>
      <w:r w:rsidRPr="002C095B">
        <w:rPr>
          <w:rFonts w:cs="Arial"/>
          <w:sz w:val="20"/>
          <w:szCs w:val="20"/>
          <w:lang w:eastAsia="en-US"/>
        </w:rPr>
        <w:t xml:space="preserve">The above sets out above my initial views on </w:t>
      </w:r>
      <w:proofErr w:type="gramStart"/>
      <w:r w:rsidRPr="002C095B">
        <w:rPr>
          <w:rFonts w:cs="Arial"/>
          <w:sz w:val="20"/>
          <w:szCs w:val="20"/>
          <w:lang w:eastAsia="en-US"/>
        </w:rPr>
        <w:t>all of</w:t>
      </w:r>
      <w:proofErr w:type="gramEnd"/>
      <w:r w:rsidRPr="002C095B">
        <w:rPr>
          <w:rFonts w:cs="Arial"/>
          <w:sz w:val="20"/>
          <w:szCs w:val="20"/>
          <w:lang w:eastAsia="en-US"/>
        </w:rPr>
        <w:t xml:space="preserve"> your appeal points.</w:t>
      </w:r>
    </w:p>
    <w:p w14:paraId="324863C4" w14:textId="6535DD66" w:rsidR="00613CE8" w:rsidRPr="002C095B" w:rsidRDefault="00613CE8" w:rsidP="00613CE8">
      <w:pPr>
        <w:pStyle w:val="Paragraph"/>
        <w:numPr>
          <w:ilvl w:val="0"/>
          <w:numId w:val="0"/>
        </w:numPr>
        <w:spacing w:before="120"/>
        <w:jc w:val="both"/>
        <w:rPr>
          <w:rFonts w:cs="Arial"/>
          <w:sz w:val="20"/>
          <w:szCs w:val="20"/>
          <w:lang w:eastAsia="en-US"/>
        </w:rPr>
      </w:pPr>
      <w:r w:rsidRPr="65553CB2">
        <w:rPr>
          <w:rFonts w:cs="Arial"/>
          <w:sz w:val="20"/>
          <w:szCs w:val="20"/>
          <w:lang w:eastAsia="en-US"/>
        </w:rPr>
        <w:t xml:space="preserve">In respect of your points which I am not minded </w:t>
      </w:r>
      <w:proofErr w:type="gramStart"/>
      <w:r w:rsidRPr="65553CB2">
        <w:rPr>
          <w:rFonts w:cs="Arial"/>
          <w:sz w:val="20"/>
          <w:szCs w:val="20"/>
          <w:lang w:eastAsia="en-US"/>
        </w:rPr>
        <w:t>to refer</w:t>
      </w:r>
      <w:proofErr w:type="gramEnd"/>
      <w:r w:rsidRPr="65553CB2">
        <w:rPr>
          <w:rFonts w:cs="Arial"/>
          <w:sz w:val="20"/>
          <w:szCs w:val="20"/>
          <w:lang w:eastAsia="en-US"/>
        </w:rPr>
        <w:t xml:space="preserve"> on you are entitled to submit further clarification and/or evidence to me within </w:t>
      </w:r>
      <w:r w:rsidR="00A56991">
        <w:rPr>
          <w:rFonts w:cs="Arial"/>
          <w:sz w:val="20"/>
          <w:szCs w:val="20"/>
          <w:lang w:eastAsia="en-US"/>
        </w:rPr>
        <w:t>by 5pm on 30 June</w:t>
      </w:r>
      <w:r w:rsidRPr="65553CB2">
        <w:rPr>
          <w:rFonts w:cs="Arial"/>
          <w:sz w:val="20"/>
          <w:szCs w:val="20"/>
          <w:lang w:eastAsia="en-US"/>
        </w:rPr>
        <w:t>, and I will then give a final decision on the points to put before an appeal panel.  Responses must deal only with requested clarifications, or arguments or comments about the lead non-executive director for appeals' initial view that an appeal point is not valid. For the points I am already content to refer on, an oral appeal will be held</w:t>
      </w:r>
      <w:r w:rsidR="62611CCE" w:rsidRPr="65553CB2">
        <w:rPr>
          <w:rFonts w:cs="Arial"/>
          <w:sz w:val="20"/>
          <w:szCs w:val="20"/>
          <w:lang w:eastAsia="en-US"/>
        </w:rPr>
        <w:t xml:space="preserve"> remotely via Zoom.</w:t>
      </w:r>
    </w:p>
    <w:p w14:paraId="1E282E65" w14:textId="53CDA2B3" w:rsidR="00613CE8" w:rsidRPr="002C095B" w:rsidRDefault="00613CE8" w:rsidP="00613CE8">
      <w:pPr>
        <w:pStyle w:val="Paragraph"/>
        <w:numPr>
          <w:ilvl w:val="0"/>
          <w:numId w:val="0"/>
        </w:numPr>
        <w:spacing w:before="120"/>
        <w:jc w:val="both"/>
        <w:rPr>
          <w:rFonts w:cs="Arial"/>
          <w:sz w:val="20"/>
          <w:szCs w:val="20"/>
        </w:rPr>
      </w:pPr>
      <w:r w:rsidRPr="65553CB2">
        <w:rPr>
          <w:rFonts w:cs="Arial"/>
          <w:sz w:val="20"/>
          <w:szCs w:val="20"/>
          <w:lang w:eastAsia="en-US"/>
        </w:rPr>
        <w:t xml:space="preserve">If the appeal letter and/or responses to scrutiny contain confidential </w:t>
      </w:r>
      <w:proofErr w:type="gramStart"/>
      <w:r w:rsidRPr="65553CB2">
        <w:rPr>
          <w:rFonts w:cs="Arial"/>
          <w:sz w:val="20"/>
          <w:szCs w:val="20"/>
          <w:lang w:eastAsia="en-US"/>
        </w:rPr>
        <w:t>information</w:t>
      </w:r>
      <w:proofErr w:type="gramEnd"/>
      <w:r w:rsidRPr="65553CB2">
        <w:rPr>
          <w:rFonts w:cs="Arial"/>
          <w:sz w:val="20"/>
          <w:szCs w:val="20"/>
        </w:rPr>
        <w:t xml:space="preserve"> please ensure you have provided a version with this information redacted by </w:t>
      </w:r>
      <w:r w:rsidR="00EA5310">
        <w:rPr>
          <w:rFonts w:cs="Arial"/>
          <w:sz w:val="20"/>
          <w:szCs w:val="20"/>
        </w:rPr>
        <w:t>30 June</w:t>
      </w:r>
      <w:r w:rsidR="000F5019" w:rsidRPr="65553CB2">
        <w:rPr>
          <w:rFonts w:cs="Arial"/>
          <w:sz w:val="20"/>
          <w:szCs w:val="20"/>
        </w:rPr>
        <w:t xml:space="preserve"> 2025.</w:t>
      </w:r>
    </w:p>
    <w:p w14:paraId="0688AA84" w14:textId="33C5F48C" w:rsidR="00613CE8" w:rsidRPr="002C095B" w:rsidRDefault="00613CE8" w:rsidP="00613CE8">
      <w:pPr>
        <w:pStyle w:val="Paragraph"/>
        <w:numPr>
          <w:ilvl w:val="0"/>
          <w:numId w:val="0"/>
        </w:numPr>
        <w:spacing w:before="120"/>
        <w:jc w:val="both"/>
        <w:rPr>
          <w:rFonts w:cs="Arial"/>
          <w:sz w:val="20"/>
          <w:szCs w:val="20"/>
        </w:rPr>
      </w:pPr>
      <w:r w:rsidRPr="65553CB2">
        <w:rPr>
          <w:rFonts w:cs="Arial"/>
          <w:sz w:val="20"/>
          <w:szCs w:val="20"/>
        </w:rPr>
        <w:t xml:space="preserve">Ordinarily appeals are conducted </w:t>
      </w:r>
      <w:proofErr w:type="gramStart"/>
      <w:r w:rsidRPr="65553CB2">
        <w:rPr>
          <w:rFonts w:cs="Arial"/>
          <w:sz w:val="20"/>
          <w:szCs w:val="20"/>
        </w:rPr>
        <w:t>on the basis of</w:t>
      </w:r>
      <w:proofErr w:type="gramEnd"/>
      <w:r w:rsidRPr="65553CB2">
        <w:rPr>
          <w:rFonts w:cs="Arial"/>
          <w:sz w:val="20"/>
          <w:szCs w:val="20"/>
        </w:rPr>
        <w:t xml:space="preserve"> the appellants’ written appeal letters, and the material generated during the appraisal process.  Use of additional written material is discouraged, and the panel cannot receive any new evidence.  If, exceptionally, you feel there is written material that will not be before the panel that you would wish to rely on you must let the NICE Appeal team know by return of letter, indicating what the material is, why it is desirable to submit it, and when it will be available, by no later than </w:t>
      </w:r>
      <w:r w:rsidR="06EC64C6" w:rsidRPr="65553CB2">
        <w:rPr>
          <w:rFonts w:cs="Arial"/>
          <w:sz w:val="20"/>
          <w:szCs w:val="20"/>
        </w:rPr>
        <w:t>13 August 2025</w:t>
      </w:r>
      <w:r w:rsidRPr="65553CB2">
        <w:rPr>
          <w:rFonts w:cs="Arial"/>
          <w:sz w:val="20"/>
          <w:szCs w:val="20"/>
        </w:rPr>
        <w:t>.  Please note that the appeal panel cannot accept papers that are tabled late or ad hoc, as this affects the preparation of the panel and other parties for the appeal.</w:t>
      </w:r>
    </w:p>
    <w:p w14:paraId="44024AEB" w14:textId="77777777" w:rsidR="00613CE8" w:rsidRPr="002C095B" w:rsidRDefault="00613CE8" w:rsidP="00613CE8">
      <w:pPr>
        <w:jc w:val="both"/>
        <w:rPr>
          <w:rFonts w:cs="Arial"/>
          <w:color w:val="auto"/>
        </w:rPr>
      </w:pPr>
      <w:r w:rsidRPr="65553CB2">
        <w:rPr>
          <w:rFonts w:cs="Arial"/>
          <w:color w:val="auto"/>
        </w:rPr>
        <w:t>Yours sincerely</w:t>
      </w:r>
    </w:p>
    <w:p w14:paraId="155C4CC1" w14:textId="77777777" w:rsidR="00426E54" w:rsidRDefault="00426E54" w:rsidP="00613CE8">
      <w:pPr>
        <w:spacing w:line="360" w:lineRule="auto"/>
        <w:jc w:val="both"/>
        <w:rPr>
          <w:rFonts w:cs="Arial"/>
          <w:color w:val="auto"/>
        </w:rPr>
      </w:pPr>
      <w:r w:rsidRPr="00426E54">
        <w:rPr>
          <w:rFonts w:cs="Arial"/>
          <w:color w:val="auto"/>
          <w:highlight w:val="black"/>
        </w:rPr>
        <w:t>XXXXXXXXXXXXX</w:t>
      </w:r>
    </w:p>
    <w:p w14:paraId="6785728F" w14:textId="02446827" w:rsidR="00613CE8" w:rsidRPr="002C095B" w:rsidRDefault="00333C9C" w:rsidP="00613CE8">
      <w:pPr>
        <w:spacing w:line="360" w:lineRule="auto"/>
        <w:jc w:val="both"/>
        <w:rPr>
          <w:rFonts w:cs="Arial"/>
          <w:color w:val="auto"/>
        </w:rPr>
      </w:pPr>
      <w:r>
        <w:rPr>
          <w:rFonts w:cs="Arial"/>
          <w:color w:val="auto"/>
        </w:rPr>
        <w:t>Dr Mark Chakravarty</w:t>
      </w:r>
    </w:p>
    <w:p w14:paraId="12988AD0" w14:textId="6208465D" w:rsidR="00BB0C6F" w:rsidRPr="00CC6C94" w:rsidRDefault="00BB0C6F" w:rsidP="00BB0C6F">
      <w:pPr>
        <w:spacing w:before="120" w:after="240"/>
        <w:jc w:val="both"/>
        <w:rPr>
          <w:rFonts w:cs="Arial"/>
        </w:rPr>
      </w:pPr>
      <w:r w:rsidRPr="00CC6C94">
        <w:rPr>
          <w:rFonts w:cs="Arial"/>
        </w:rPr>
        <w:t>Lead Non-Executive Director for Appeals &amp; Vice Chair</w:t>
      </w:r>
    </w:p>
    <w:p w14:paraId="0C61E456" w14:textId="2AFC2AF0" w:rsidR="002B21D4" w:rsidRPr="00736057" w:rsidRDefault="00613CE8" w:rsidP="00736057">
      <w:pPr>
        <w:spacing w:line="360" w:lineRule="auto"/>
        <w:jc w:val="both"/>
        <w:rPr>
          <w:rFonts w:cs="Arial"/>
          <w:color w:val="auto"/>
        </w:rPr>
      </w:pPr>
      <w:r w:rsidRPr="002C095B">
        <w:rPr>
          <w:rFonts w:cs="Arial"/>
          <w:color w:val="auto"/>
        </w:rPr>
        <w:t>National Institute for Health and Care Excellence</w:t>
      </w:r>
    </w:p>
    <w:sectPr w:rsidR="002B21D4" w:rsidRPr="00736057" w:rsidSect="00DC03BB">
      <w:headerReference w:type="even" r:id="rId10"/>
      <w:headerReference w:type="default" r:id="rId11"/>
      <w:footerReference w:type="even" r:id="rId12"/>
      <w:footerReference w:type="default" r:id="rId13"/>
      <w:headerReference w:type="first" r:id="rId14"/>
      <w:footerReference w:type="first" r:id="rId15"/>
      <w:pgSz w:w="11907" w:h="16840" w:code="9"/>
      <w:pgMar w:top="1848" w:right="1418" w:bottom="1418" w:left="1418" w:header="113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15F3B8" w14:textId="77777777" w:rsidR="00BC218D" w:rsidRDefault="00BC218D">
      <w:r>
        <w:separator/>
      </w:r>
    </w:p>
  </w:endnote>
  <w:endnote w:type="continuationSeparator" w:id="0">
    <w:p w14:paraId="1398EAC4" w14:textId="77777777" w:rsidR="00BC218D" w:rsidRDefault="00BC2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B3A02" w14:textId="77777777" w:rsidR="00ED2ADC" w:rsidRDefault="00ED2A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FA69C" w14:textId="3A8305C2" w:rsidR="00E308B8" w:rsidRPr="00E10C0E" w:rsidRDefault="00E308B8" w:rsidP="00832D34">
    <w:pPr>
      <w:pStyle w:val="Footer"/>
      <w:tabs>
        <w:tab w:val="clear" w:pos="4153"/>
        <w:tab w:val="clear" w:pos="8306"/>
        <w:tab w:val="center" w:pos="4536"/>
        <w:tab w:val="right" w:pos="9072"/>
      </w:tabs>
      <w:spacing w:line="240" w:lineRule="auto"/>
      <w:rPr>
        <w:color w:val="808080"/>
        <w:sz w:val="18"/>
        <w:szCs w:val="18"/>
      </w:rPr>
    </w:pPr>
    <w:r>
      <w:rPr>
        <w:rStyle w:val="PageNumber"/>
        <w:color w:val="808080"/>
        <w:szCs w:val="18"/>
      </w:rPr>
      <w:tab/>
    </w:r>
    <w:r>
      <w:rPr>
        <w:rStyle w:val="PageNumber"/>
        <w:color w:val="808080"/>
        <w:szCs w:val="18"/>
      </w:rPr>
      <w:tab/>
    </w:r>
    <w:r w:rsidRPr="00E10C0E">
      <w:rPr>
        <w:rStyle w:val="PageNumber"/>
        <w:color w:val="808080"/>
        <w:szCs w:val="18"/>
      </w:rPr>
      <w:t xml:space="preserve">Page </w:t>
    </w:r>
    <w:r w:rsidRPr="00E10C0E">
      <w:rPr>
        <w:rStyle w:val="PageNumber"/>
        <w:bCs/>
        <w:color w:val="808080"/>
        <w:szCs w:val="18"/>
      </w:rPr>
      <w:fldChar w:fldCharType="begin"/>
    </w:r>
    <w:r w:rsidRPr="00E10C0E">
      <w:rPr>
        <w:rStyle w:val="PageNumber"/>
        <w:bCs/>
        <w:color w:val="808080"/>
        <w:szCs w:val="18"/>
      </w:rPr>
      <w:instrText xml:space="preserve"> PAGE </w:instrText>
    </w:r>
    <w:r w:rsidRPr="00E10C0E">
      <w:rPr>
        <w:rStyle w:val="PageNumber"/>
        <w:bCs/>
        <w:color w:val="808080"/>
        <w:szCs w:val="18"/>
      </w:rPr>
      <w:fldChar w:fldCharType="separate"/>
    </w:r>
    <w:r w:rsidR="00811421">
      <w:rPr>
        <w:rStyle w:val="PageNumber"/>
        <w:bCs/>
        <w:noProof/>
        <w:color w:val="808080"/>
        <w:szCs w:val="18"/>
      </w:rPr>
      <w:t>2</w:t>
    </w:r>
    <w:r w:rsidRPr="00E10C0E">
      <w:rPr>
        <w:rStyle w:val="PageNumber"/>
        <w:bCs/>
        <w:color w:val="808080"/>
        <w:szCs w:val="18"/>
      </w:rPr>
      <w:fldChar w:fldCharType="end"/>
    </w:r>
    <w:r w:rsidRPr="00E10C0E">
      <w:rPr>
        <w:rStyle w:val="PageNumber"/>
        <w:color w:val="808080"/>
        <w:szCs w:val="18"/>
      </w:rPr>
      <w:t xml:space="preserve"> of </w:t>
    </w:r>
    <w:r w:rsidRPr="00E10C0E">
      <w:rPr>
        <w:rStyle w:val="PageNumber"/>
        <w:b/>
        <w:color w:val="808080"/>
        <w:szCs w:val="18"/>
      </w:rPr>
      <w:fldChar w:fldCharType="begin"/>
    </w:r>
    <w:r w:rsidRPr="00E10C0E">
      <w:rPr>
        <w:rStyle w:val="PageNumber"/>
        <w:b/>
        <w:color w:val="808080"/>
        <w:szCs w:val="18"/>
      </w:rPr>
      <w:instrText xml:space="preserve"> NUMPAGES  \* MERGEFORMAT </w:instrText>
    </w:r>
    <w:r w:rsidRPr="00E10C0E">
      <w:rPr>
        <w:rStyle w:val="PageNumber"/>
        <w:b/>
        <w:color w:val="808080"/>
        <w:szCs w:val="18"/>
      </w:rPr>
      <w:fldChar w:fldCharType="separate"/>
    </w:r>
    <w:r w:rsidR="00811421" w:rsidRPr="00811421">
      <w:rPr>
        <w:rStyle w:val="PageNumber"/>
        <w:noProof/>
        <w:color w:val="808080"/>
        <w:szCs w:val="18"/>
      </w:rPr>
      <w:t>2</w:t>
    </w:r>
    <w:r w:rsidRPr="00E10C0E">
      <w:rPr>
        <w:rStyle w:val="PageNumber"/>
        <w:b/>
        <w:color w:val="808080"/>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9013B" w14:textId="0A4FBAFA" w:rsidR="00E308B8" w:rsidRPr="00832D34" w:rsidRDefault="00811421" w:rsidP="00EF043B">
    <w:pPr>
      <w:pStyle w:val="Footer"/>
      <w:tabs>
        <w:tab w:val="clear" w:pos="4153"/>
        <w:tab w:val="clear" w:pos="8306"/>
        <w:tab w:val="left" w:pos="0"/>
        <w:tab w:val="center" w:pos="4536"/>
        <w:tab w:val="right" w:pos="9072"/>
      </w:tabs>
      <w:spacing w:line="240" w:lineRule="auto"/>
      <w:jc w:val="right"/>
      <w:rPr>
        <w:color w:val="808080"/>
        <w:sz w:val="18"/>
        <w:szCs w:val="18"/>
      </w:rPr>
    </w:pPr>
    <w:r>
      <w:rPr>
        <w:noProof/>
        <w:lang w:eastAsia="en-GB"/>
      </w:rPr>
      <w:drawing>
        <wp:anchor distT="0" distB="0" distL="114300" distR="114300" simplePos="0" relativeHeight="251661312" behindDoc="0" locked="0" layoutInCell="1" allowOverlap="1" wp14:anchorId="762011F8" wp14:editId="211A3AF0">
          <wp:simplePos x="0" y="0"/>
          <wp:positionH relativeFrom="margin">
            <wp:align>center</wp:align>
          </wp:positionH>
          <wp:positionV relativeFrom="margin">
            <wp:posOffset>7708265</wp:posOffset>
          </wp:positionV>
          <wp:extent cx="7000002" cy="509268"/>
          <wp:effectExtent l="0" t="0" r="0" b="5715"/>
          <wp:wrapNone/>
          <wp:docPr id="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000002" cy="509268"/>
                  </a:xfrm>
                  <a:prstGeom prst="rect">
                    <a:avLst/>
                  </a:prstGeom>
                  <a:noFill/>
                </pic:spPr>
              </pic:pic>
            </a:graphicData>
          </a:graphic>
          <wp14:sizeRelH relativeFrom="page">
            <wp14:pctWidth>0</wp14:pctWidth>
          </wp14:sizeRelH>
          <wp14:sizeRelV relativeFrom="page">
            <wp14:pctHeight>0</wp14:pctHeight>
          </wp14:sizeRelV>
        </wp:anchor>
      </w:drawing>
    </w:r>
    <w:r w:rsidR="00E308B8" w:rsidRPr="00832D34">
      <w:rPr>
        <w:color w:val="808080"/>
        <w:sz w:val="18"/>
        <w:szCs w:val="18"/>
      </w:rPr>
      <w:fldChar w:fldCharType="begin"/>
    </w:r>
    <w:r w:rsidR="00E308B8" w:rsidRPr="00832D34">
      <w:rPr>
        <w:color w:val="808080"/>
        <w:sz w:val="18"/>
        <w:szCs w:val="18"/>
      </w:rPr>
      <w:instrText xml:space="preserve"> FILENAME \* Upper </w:instrText>
    </w:r>
    <w:r w:rsidR="00E308B8" w:rsidRPr="00832D34">
      <w:rPr>
        <w:color w:val="808080"/>
        <w:sz w:val="18"/>
        <w:szCs w:val="18"/>
      </w:rPr>
      <w:fldChar w:fldCharType="separate"/>
    </w:r>
    <w:r w:rsidR="00E308B8">
      <w:rPr>
        <w:noProof/>
        <w:color w:val="808080"/>
        <w:sz w:val="18"/>
        <w:szCs w:val="18"/>
      </w:rPr>
      <w:t>DOCUMENT3</w:t>
    </w:r>
    <w:r w:rsidR="00E308B8" w:rsidRPr="00832D34">
      <w:rPr>
        <w:color w:val="808080"/>
        <w:sz w:val="18"/>
        <w:szCs w:val="18"/>
      </w:rPr>
      <w:fldChar w:fldCharType="end"/>
    </w:r>
    <w:r w:rsidR="00E308B8">
      <w:rPr>
        <w:snapToGrid w:val="0"/>
        <w:color w:val="808080"/>
        <w:sz w:val="18"/>
        <w:szCs w:val="18"/>
      </w:rPr>
      <w:tab/>
    </w:r>
    <w:r w:rsidR="00E308B8">
      <w:rPr>
        <w:snapToGrid w:val="0"/>
        <w:color w:val="808080"/>
        <w:sz w:val="18"/>
        <w:szCs w:val="18"/>
      </w:rPr>
      <w:tab/>
    </w:r>
    <w:r w:rsidR="00E308B8" w:rsidRPr="00EF043B">
      <w:rPr>
        <w:snapToGrid w:val="0"/>
        <w:color w:val="808080"/>
        <w:sz w:val="18"/>
        <w:szCs w:val="18"/>
      </w:rPr>
      <w:t xml:space="preserve">Page </w:t>
    </w:r>
    <w:r w:rsidR="00E308B8" w:rsidRPr="00EF043B">
      <w:rPr>
        <w:snapToGrid w:val="0"/>
        <w:color w:val="808080"/>
        <w:sz w:val="18"/>
        <w:szCs w:val="18"/>
      </w:rPr>
      <w:fldChar w:fldCharType="begin"/>
    </w:r>
    <w:r w:rsidR="00E308B8" w:rsidRPr="00EF043B">
      <w:rPr>
        <w:snapToGrid w:val="0"/>
        <w:color w:val="808080"/>
        <w:sz w:val="18"/>
        <w:szCs w:val="18"/>
      </w:rPr>
      <w:instrText xml:space="preserve"> PAGE </w:instrText>
    </w:r>
    <w:r w:rsidR="00E308B8" w:rsidRPr="00EF043B">
      <w:rPr>
        <w:snapToGrid w:val="0"/>
        <w:color w:val="808080"/>
        <w:sz w:val="18"/>
        <w:szCs w:val="18"/>
      </w:rPr>
      <w:fldChar w:fldCharType="separate"/>
    </w:r>
    <w:r>
      <w:rPr>
        <w:noProof/>
        <w:snapToGrid w:val="0"/>
        <w:color w:val="808080"/>
        <w:sz w:val="18"/>
        <w:szCs w:val="18"/>
      </w:rPr>
      <w:t>1</w:t>
    </w:r>
    <w:r w:rsidR="00E308B8" w:rsidRPr="00EF043B">
      <w:rPr>
        <w:snapToGrid w:val="0"/>
        <w:color w:val="808080"/>
        <w:sz w:val="18"/>
        <w:szCs w:val="18"/>
      </w:rPr>
      <w:fldChar w:fldCharType="end"/>
    </w:r>
    <w:r w:rsidR="00E308B8" w:rsidRPr="00EF043B">
      <w:rPr>
        <w:snapToGrid w:val="0"/>
        <w:color w:val="808080"/>
        <w:sz w:val="18"/>
        <w:szCs w:val="18"/>
      </w:rPr>
      <w:t xml:space="preserve"> of </w:t>
    </w:r>
    <w:r w:rsidR="00E308B8" w:rsidRPr="00EF043B">
      <w:rPr>
        <w:snapToGrid w:val="0"/>
        <w:color w:val="808080"/>
        <w:sz w:val="18"/>
        <w:szCs w:val="18"/>
      </w:rPr>
      <w:fldChar w:fldCharType="begin"/>
    </w:r>
    <w:r w:rsidR="00E308B8" w:rsidRPr="00EF043B">
      <w:rPr>
        <w:snapToGrid w:val="0"/>
        <w:color w:val="808080"/>
        <w:sz w:val="18"/>
        <w:szCs w:val="18"/>
      </w:rPr>
      <w:instrText xml:space="preserve"> NUMPAGES </w:instrText>
    </w:r>
    <w:r w:rsidR="00E308B8" w:rsidRPr="00EF043B">
      <w:rPr>
        <w:snapToGrid w:val="0"/>
        <w:color w:val="808080"/>
        <w:sz w:val="18"/>
        <w:szCs w:val="18"/>
      </w:rPr>
      <w:fldChar w:fldCharType="separate"/>
    </w:r>
    <w:r>
      <w:rPr>
        <w:noProof/>
        <w:snapToGrid w:val="0"/>
        <w:color w:val="808080"/>
        <w:sz w:val="18"/>
        <w:szCs w:val="18"/>
      </w:rPr>
      <w:t>2</w:t>
    </w:r>
    <w:r w:rsidR="00E308B8" w:rsidRPr="00EF043B">
      <w:rPr>
        <w:snapToGrid w:val="0"/>
        <w:color w:val="80808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688FE" w14:textId="77777777" w:rsidR="00BC218D" w:rsidRDefault="00BC218D">
      <w:r>
        <w:separator/>
      </w:r>
    </w:p>
  </w:footnote>
  <w:footnote w:type="continuationSeparator" w:id="0">
    <w:p w14:paraId="3CFEE7D9" w14:textId="77777777" w:rsidR="00BC218D" w:rsidRDefault="00BC2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F6E16" w14:textId="77777777" w:rsidR="00ED2ADC" w:rsidRDefault="00ED2A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A021D" w14:textId="77777777" w:rsidR="00ED2ADC" w:rsidRDefault="00ED2A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13CC1" w14:textId="77777777" w:rsidR="00491045" w:rsidRDefault="00491045" w:rsidP="00491045">
    <w:pPr>
      <w:pStyle w:val="Header"/>
      <w:tabs>
        <w:tab w:val="right" w:pos="10065"/>
      </w:tabs>
      <w:spacing w:after="0"/>
      <w:ind w:right="-1039"/>
      <w:jc w:val="right"/>
      <w:rPr>
        <w:rFonts w:cs="Arial"/>
        <w:color w:val="0E0E0E"/>
      </w:rPr>
    </w:pPr>
    <w:r w:rsidRPr="005E0434">
      <w:rPr>
        <w:noProof/>
        <w:color w:val="0E0E0E"/>
        <w:lang w:eastAsia="en-GB"/>
      </w:rPr>
      <w:drawing>
        <wp:anchor distT="0" distB="0" distL="114300" distR="114300" simplePos="0" relativeHeight="251659264" behindDoc="0" locked="0" layoutInCell="1" allowOverlap="1" wp14:anchorId="334CDC48" wp14:editId="26AB789F">
          <wp:simplePos x="0" y="0"/>
          <wp:positionH relativeFrom="margin">
            <wp:posOffset>-699770</wp:posOffset>
          </wp:positionH>
          <wp:positionV relativeFrom="margin">
            <wp:posOffset>-1206817</wp:posOffset>
          </wp:positionV>
          <wp:extent cx="2800350" cy="49657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00350" cy="496570"/>
                  </a:xfrm>
                  <a:prstGeom prst="rect">
                    <a:avLst/>
                  </a:prstGeom>
                  <a:noFill/>
                </pic:spPr>
              </pic:pic>
            </a:graphicData>
          </a:graphic>
          <wp14:sizeRelH relativeFrom="page">
            <wp14:pctWidth>0</wp14:pctWidth>
          </wp14:sizeRelH>
          <wp14:sizeRelV relativeFrom="page">
            <wp14:pctHeight>0</wp14:pctHeight>
          </wp14:sizeRelV>
        </wp:anchor>
      </w:drawing>
    </w:r>
    <w:r>
      <w:tab/>
    </w:r>
    <w:r w:rsidRPr="005E0434">
      <w:rPr>
        <w:noProof/>
        <w:color w:val="0E0E0E"/>
        <w:lang w:eastAsia="en-GB"/>
      </w:rPr>
      <w:softHyphen/>
    </w:r>
    <w:r>
      <w:rPr>
        <w:rFonts w:cs="Arial"/>
        <w:color w:val="0E0E0E"/>
      </w:rPr>
      <w:t>2</w:t>
    </w:r>
    <w:r w:rsidRPr="0003729F">
      <w:rPr>
        <w:rFonts w:cs="Arial"/>
        <w:color w:val="0E0E0E"/>
        <w:vertAlign w:val="superscript"/>
      </w:rPr>
      <w:t>nd</w:t>
    </w:r>
    <w:r>
      <w:rPr>
        <w:rFonts w:cs="Arial"/>
        <w:color w:val="0E0E0E"/>
      </w:rPr>
      <w:t xml:space="preserve"> Floor</w:t>
    </w:r>
  </w:p>
  <w:p w14:paraId="2DD48BCF"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2 Redman Place</w:t>
    </w:r>
  </w:p>
  <w:p w14:paraId="4E0459EB"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softHyphen/>
      <w:t>London</w:t>
    </w:r>
  </w:p>
  <w:p w14:paraId="17FA5E6C" w14:textId="77777777" w:rsidR="00491045" w:rsidRPr="005E0434" w:rsidRDefault="00491045" w:rsidP="00491045">
    <w:pPr>
      <w:pStyle w:val="Header"/>
      <w:tabs>
        <w:tab w:val="right" w:pos="10065"/>
      </w:tabs>
      <w:spacing w:after="0"/>
      <w:ind w:right="-1039"/>
      <w:jc w:val="right"/>
      <w:rPr>
        <w:rFonts w:cs="Arial"/>
        <w:color w:val="0E0E0E"/>
      </w:rPr>
    </w:pPr>
    <w:r>
      <w:rPr>
        <w:rFonts w:cs="Arial"/>
        <w:color w:val="0E0E0E"/>
      </w:rPr>
      <w:t>E20 1JQ</w:t>
    </w:r>
  </w:p>
  <w:p w14:paraId="7B0504BC" w14:textId="77777777" w:rsidR="00491045" w:rsidRPr="005E0434" w:rsidRDefault="00491045" w:rsidP="00491045">
    <w:pPr>
      <w:pStyle w:val="Header"/>
      <w:tabs>
        <w:tab w:val="right" w:pos="10065"/>
      </w:tabs>
      <w:spacing w:after="0"/>
      <w:ind w:right="-1039"/>
      <w:jc w:val="right"/>
      <w:rPr>
        <w:rFonts w:cs="Arial"/>
        <w:color w:val="0E0E0E"/>
      </w:rPr>
    </w:pPr>
    <w:r w:rsidRPr="005E0434">
      <w:rPr>
        <w:rFonts w:cs="Arial"/>
        <w:color w:val="0E0E0E"/>
      </w:rPr>
      <w:t>United Kingdom</w:t>
    </w:r>
  </w:p>
  <w:p w14:paraId="0A93A6A6" w14:textId="77777777" w:rsidR="00491045" w:rsidRPr="005E0434" w:rsidRDefault="00491045" w:rsidP="00491045">
    <w:pPr>
      <w:pStyle w:val="Header"/>
      <w:tabs>
        <w:tab w:val="right" w:pos="10065"/>
      </w:tabs>
      <w:spacing w:after="0"/>
      <w:ind w:right="-1039"/>
      <w:jc w:val="right"/>
      <w:rPr>
        <w:rFonts w:cs="Arial"/>
        <w:color w:val="0E0E0E"/>
      </w:rPr>
    </w:pPr>
  </w:p>
  <w:p w14:paraId="5D6CD5A4" w14:textId="77777777" w:rsidR="00491045" w:rsidRPr="003A3E2E" w:rsidRDefault="00491045" w:rsidP="00491045">
    <w:pPr>
      <w:pStyle w:val="Header"/>
      <w:tabs>
        <w:tab w:val="right" w:pos="10065"/>
      </w:tabs>
      <w:spacing w:after="0"/>
      <w:ind w:right="-1039"/>
      <w:jc w:val="right"/>
      <w:rPr>
        <w:rFonts w:ascii="Lato" w:hAnsi="Lato" w:cs="Arial"/>
        <w:color w:val="0E0E0E"/>
      </w:rPr>
    </w:pPr>
    <w:r w:rsidRPr="003A3E2E">
      <w:rPr>
        <w:rFonts w:ascii="Lato" w:hAnsi="Lato" w:cs="Segoe UI"/>
        <w:color w:val="000000"/>
      </w:rPr>
      <w:t>+44 (0)300 323 0140</w:t>
    </w:r>
  </w:p>
  <w:p w14:paraId="1C9776DF" w14:textId="21D4BFDB" w:rsidR="00E308B8" w:rsidRPr="00491045" w:rsidRDefault="00E308B8" w:rsidP="004910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352E09"/>
    <w:multiLevelType w:val="hybridMultilevel"/>
    <w:tmpl w:val="D08DC7B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78997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FB"/>
    <w:multiLevelType w:val="multilevel"/>
    <w:tmpl w:val="FAD21376"/>
    <w:lvl w:ilvl="0">
      <w:start w:val="1"/>
      <w:numFmt w:val="decimal"/>
      <w:pStyle w:val="Heading1"/>
      <w:lvlText w:val="%1."/>
      <w:legacy w:legacy="1" w:legacySpace="0" w:legacyIndent="708"/>
      <w:lvlJc w:val="left"/>
      <w:pPr>
        <w:ind w:left="720" w:hanging="708"/>
      </w:pPr>
    </w:lvl>
    <w:lvl w:ilvl="1">
      <w:start w:val="1"/>
      <w:numFmt w:val="decimal"/>
      <w:pStyle w:val="Heading2"/>
      <w:lvlText w:val="%1.%2."/>
      <w:legacy w:legacy="1" w:legacySpace="0" w:legacyIndent="708"/>
      <w:lvlJc w:val="left"/>
      <w:pPr>
        <w:ind w:left="1440" w:hanging="708"/>
      </w:pPr>
    </w:lvl>
    <w:lvl w:ilvl="2">
      <w:start w:val="1"/>
      <w:numFmt w:val="decimal"/>
      <w:pStyle w:val="Heading3"/>
      <w:lvlText w:val="%1.%2.%3."/>
      <w:legacy w:legacy="1" w:legacySpace="0" w:legacyIndent="708"/>
      <w:lvlJc w:val="left"/>
      <w:pPr>
        <w:ind w:left="2404"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egacy w:legacy="1" w:legacySpace="0" w:legacyIndent="708"/>
      <w:lvlJc w:val="left"/>
      <w:pPr>
        <w:ind w:left="3612" w:hanging="708"/>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Heading5"/>
      <w:lvlText w:val="(%5)"/>
      <w:legacy w:legacy="1" w:legacySpace="0" w:legacyIndent="708"/>
      <w:lvlJc w:val="left"/>
      <w:pPr>
        <w:ind w:left="4349" w:hanging="708"/>
      </w:pPr>
    </w:lvl>
    <w:lvl w:ilvl="5">
      <w:start w:val="1"/>
      <w:numFmt w:val="lowerRoman"/>
      <w:pStyle w:val="Heading6"/>
      <w:lvlText w:val="(%6)"/>
      <w:legacy w:legacy="1" w:legacySpace="0" w:legacyIndent="708"/>
      <w:lvlJc w:val="left"/>
      <w:pPr>
        <w:ind w:left="5058" w:hanging="708"/>
      </w:pPr>
    </w:lvl>
    <w:lvl w:ilvl="6">
      <w:start w:val="1"/>
      <w:numFmt w:val="none"/>
      <w:pStyle w:val="Heading7"/>
      <w:lvlText w:val=""/>
      <w:legacy w:legacy="1" w:legacySpace="0" w:legacyIndent="708"/>
      <w:lvlJc w:val="left"/>
      <w:pPr>
        <w:ind w:left="5761" w:hanging="708"/>
      </w:pPr>
      <w:rPr>
        <w:rFonts w:ascii="Symbol" w:hAnsi="Symbol" w:hint="default"/>
      </w:rPr>
    </w:lvl>
    <w:lvl w:ilvl="7">
      <w:start w:val="1"/>
      <w:numFmt w:val="none"/>
      <w:pStyle w:val="Heading8"/>
      <w:lvlText w:val=""/>
      <w:legacy w:legacy="1" w:legacySpace="0" w:legacyIndent="708"/>
      <w:lvlJc w:val="left"/>
      <w:pPr>
        <w:ind w:left="6447" w:hanging="708"/>
      </w:pPr>
      <w:rPr>
        <w:rFonts w:ascii="Symbol" w:hAnsi="Symbol" w:hint="default"/>
      </w:rPr>
    </w:lvl>
    <w:lvl w:ilvl="8">
      <w:start w:val="1"/>
      <w:numFmt w:val="none"/>
      <w:pStyle w:val="Heading9"/>
      <w:lvlText w:val=""/>
      <w:legacy w:legacy="1" w:legacySpace="0" w:legacyIndent="708"/>
      <w:lvlJc w:val="left"/>
      <w:pPr>
        <w:ind w:left="7155" w:hanging="708"/>
      </w:pPr>
      <w:rPr>
        <w:rFonts w:ascii="Symbol" w:hAnsi="Symbol" w:hint="default"/>
      </w:rPr>
    </w:lvl>
  </w:abstractNum>
  <w:abstractNum w:abstractNumId="3" w15:restartNumberingAfterBreak="0">
    <w:nsid w:val="19DF3CAE"/>
    <w:multiLevelType w:val="hybridMultilevel"/>
    <w:tmpl w:val="32A2F77E"/>
    <w:lvl w:ilvl="0" w:tplc="A5FC299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D159CD"/>
    <w:multiLevelType w:val="hybridMultilevel"/>
    <w:tmpl w:val="343EBF1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C41087"/>
    <w:multiLevelType w:val="hybridMultilevel"/>
    <w:tmpl w:val="D2ACA6B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4E225A"/>
    <w:multiLevelType w:val="hybridMultilevel"/>
    <w:tmpl w:val="441A1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0013B"/>
    <w:multiLevelType w:val="hybridMultilevel"/>
    <w:tmpl w:val="523C42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A90BB6"/>
    <w:multiLevelType w:val="hybridMultilevel"/>
    <w:tmpl w:val="0F766B3A"/>
    <w:lvl w:ilvl="0" w:tplc="678AA1F2">
      <w:start w:val="3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66D9B"/>
    <w:multiLevelType w:val="hybridMultilevel"/>
    <w:tmpl w:val="4ADC2D60"/>
    <w:lvl w:ilvl="0" w:tplc="E63053E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7E073F"/>
    <w:multiLevelType w:val="hybridMultilevel"/>
    <w:tmpl w:val="FC3AD13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9715A4"/>
    <w:multiLevelType w:val="hybridMultilevel"/>
    <w:tmpl w:val="91C4AE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46CA6"/>
    <w:multiLevelType w:val="hybridMultilevel"/>
    <w:tmpl w:val="E894F61E"/>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3" w15:restartNumberingAfterBreak="0">
    <w:nsid w:val="3BAE5383"/>
    <w:multiLevelType w:val="hybridMultilevel"/>
    <w:tmpl w:val="20C23D0E"/>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C8632C"/>
    <w:multiLevelType w:val="hybridMultilevel"/>
    <w:tmpl w:val="26E460D6"/>
    <w:lvl w:ilvl="0" w:tplc="A5FC299A">
      <w:start w:val="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D037D2"/>
    <w:multiLevelType w:val="hybridMultilevel"/>
    <w:tmpl w:val="5C8A9156"/>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490189A"/>
    <w:multiLevelType w:val="hybridMultilevel"/>
    <w:tmpl w:val="E2E64854"/>
    <w:lvl w:ilvl="0" w:tplc="510A83D8">
      <w:numFmt w:val="bullet"/>
      <w:lvlText w:val=""/>
      <w:lvlJc w:val="left"/>
      <w:pPr>
        <w:ind w:left="502" w:hanging="285"/>
      </w:pPr>
      <w:rPr>
        <w:rFonts w:ascii="Symbol" w:eastAsia="Symbol" w:hAnsi="Symbol" w:cs="Symbol" w:hint="default"/>
        <w:w w:val="100"/>
        <w:sz w:val="24"/>
        <w:szCs w:val="24"/>
      </w:rPr>
    </w:lvl>
    <w:lvl w:ilvl="1" w:tplc="70E68858">
      <w:numFmt w:val="bullet"/>
      <w:lvlText w:val="•"/>
      <w:lvlJc w:val="left"/>
      <w:pPr>
        <w:ind w:left="1326" w:hanging="285"/>
      </w:pPr>
      <w:rPr>
        <w:rFonts w:hint="default"/>
      </w:rPr>
    </w:lvl>
    <w:lvl w:ilvl="2" w:tplc="14A8D234">
      <w:numFmt w:val="bullet"/>
      <w:lvlText w:val="•"/>
      <w:lvlJc w:val="left"/>
      <w:pPr>
        <w:ind w:left="2152" w:hanging="285"/>
      </w:pPr>
      <w:rPr>
        <w:rFonts w:hint="default"/>
      </w:rPr>
    </w:lvl>
    <w:lvl w:ilvl="3" w:tplc="D340D50A">
      <w:numFmt w:val="bullet"/>
      <w:lvlText w:val="•"/>
      <w:lvlJc w:val="left"/>
      <w:pPr>
        <w:ind w:left="2978" w:hanging="285"/>
      </w:pPr>
      <w:rPr>
        <w:rFonts w:hint="default"/>
      </w:rPr>
    </w:lvl>
    <w:lvl w:ilvl="4" w:tplc="91BE99B2">
      <w:numFmt w:val="bullet"/>
      <w:lvlText w:val="•"/>
      <w:lvlJc w:val="left"/>
      <w:pPr>
        <w:ind w:left="3804" w:hanging="285"/>
      </w:pPr>
      <w:rPr>
        <w:rFonts w:hint="default"/>
      </w:rPr>
    </w:lvl>
    <w:lvl w:ilvl="5" w:tplc="E594F0CC">
      <w:numFmt w:val="bullet"/>
      <w:lvlText w:val="•"/>
      <w:lvlJc w:val="left"/>
      <w:pPr>
        <w:ind w:left="4630" w:hanging="285"/>
      </w:pPr>
      <w:rPr>
        <w:rFonts w:hint="default"/>
      </w:rPr>
    </w:lvl>
    <w:lvl w:ilvl="6" w:tplc="7AFA5F86">
      <w:numFmt w:val="bullet"/>
      <w:lvlText w:val="•"/>
      <w:lvlJc w:val="left"/>
      <w:pPr>
        <w:ind w:left="5456" w:hanging="285"/>
      </w:pPr>
      <w:rPr>
        <w:rFonts w:hint="default"/>
      </w:rPr>
    </w:lvl>
    <w:lvl w:ilvl="7" w:tplc="2C2CF4D6">
      <w:numFmt w:val="bullet"/>
      <w:lvlText w:val="•"/>
      <w:lvlJc w:val="left"/>
      <w:pPr>
        <w:ind w:left="6282" w:hanging="285"/>
      </w:pPr>
      <w:rPr>
        <w:rFonts w:hint="default"/>
      </w:rPr>
    </w:lvl>
    <w:lvl w:ilvl="8" w:tplc="75FCA95C">
      <w:numFmt w:val="bullet"/>
      <w:lvlText w:val="•"/>
      <w:lvlJc w:val="left"/>
      <w:pPr>
        <w:ind w:left="7108" w:hanging="285"/>
      </w:pPr>
      <w:rPr>
        <w:rFonts w:hint="default"/>
      </w:rPr>
    </w:lvl>
  </w:abstractNum>
  <w:abstractNum w:abstractNumId="17" w15:restartNumberingAfterBreak="0">
    <w:nsid w:val="4633557D"/>
    <w:multiLevelType w:val="hybridMultilevel"/>
    <w:tmpl w:val="DCDC7B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8561894"/>
    <w:multiLevelType w:val="hybridMultilevel"/>
    <w:tmpl w:val="52341780"/>
    <w:lvl w:ilvl="0" w:tplc="28D6E95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9C93D14"/>
    <w:multiLevelType w:val="multilevel"/>
    <w:tmpl w:val="EDC2B0A0"/>
    <w:lvl w:ilvl="0">
      <w:start w:val="1"/>
      <w:numFmt w:val="decimal"/>
      <w:pStyle w:val="Paragraph"/>
      <w:lvlText w:val="%1."/>
      <w:lvlJc w:val="left"/>
      <w:pPr>
        <w:ind w:left="851" w:hanging="851"/>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61A545E2"/>
    <w:multiLevelType w:val="hybridMultilevel"/>
    <w:tmpl w:val="9028B44C"/>
    <w:lvl w:ilvl="0" w:tplc="A6907310">
      <w:start w:val="1"/>
      <w:numFmt w:val="lowerRoman"/>
      <w:lvlText w:val="(%1)"/>
      <w:lvlJc w:val="left"/>
      <w:pPr>
        <w:ind w:left="1110" w:hanging="720"/>
      </w:pPr>
      <w:rPr>
        <w:rFonts w:hint="default"/>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1" w15:restartNumberingAfterBreak="0">
    <w:nsid w:val="6614533C"/>
    <w:multiLevelType w:val="hybridMultilevel"/>
    <w:tmpl w:val="C8E82536"/>
    <w:lvl w:ilvl="0" w:tplc="678AA1F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145E95"/>
    <w:multiLevelType w:val="hybridMultilevel"/>
    <w:tmpl w:val="010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5055A4"/>
    <w:multiLevelType w:val="hybridMultilevel"/>
    <w:tmpl w:val="96104B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A83406B"/>
    <w:multiLevelType w:val="hybridMultilevel"/>
    <w:tmpl w:val="FAC87EC8"/>
    <w:lvl w:ilvl="0" w:tplc="535C66D2">
      <w:start w:val="1"/>
      <w:numFmt w:val="decimal"/>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B10FCC"/>
    <w:multiLevelType w:val="hybridMultilevel"/>
    <w:tmpl w:val="AC6C282E"/>
    <w:lvl w:ilvl="0" w:tplc="93440DB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1440061">
    <w:abstractNumId w:val="2"/>
  </w:num>
  <w:num w:numId="2" w16cid:durableId="1940479412">
    <w:abstractNumId w:val="5"/>
  </w:num>
  <w:num w:numId="3" w16cid:durableId="735858711">
    <w:abstractNumId w:val="19"/>
  </w:num>
  <w:num w:numId="4" w16cid:durableId="791437817">
    <w:abstractNumId w:val="19"/>
  </w:num>
  <w:num w:numId="5" w16cid:durableId="589656231">
    <w:abstractNumId w:val="20"/>
  </w:num>
  <w:num w:numId="6" w16cid:durableId="1033071542">
    <w:abstractNumId w:val="0"/>
  </w:num>
  <w:num w:numId="7" w16cid:durableId="692002320">
    <w:abstractNumId w:val="19"/>
  </w:num>
  <w:num w:numId="8" w16cid:durableId="893390988">
    <w:abstractNumId w:val="19"/>
  </w:num>
  <w:num w:numId="9" w16cid:durableId="1036344506">
    <w:abstractNumId w:val="19"/>
  </w:num>
  <w:num w:numId="10" w16cid:durableId="1081758715">
    <w:abstractNumId w:val="14"/>
  </w:num>
  <w:num w:numId="11" w16cid:durableId="1324700156">
    <w:abstractNumId w:val="3"/>
  </w:num>
  <w:num w:numId="12" w16cid:durableId="297996532">
    <w:abstractNumId w:val="13"/>
  </w:num>
  <w:num w:numId="13" w16cid:durableId="1315715874">
    <w:abstractNumId w:val="15"/>
  </w:num>
  <w:num w:numId="14" w16cid:durableId="1234002226">
    <w:abstractNumId w:val="18"/>
  </w:num>
  <w:num w:numId="15" w16cid:durableId="682052213">
    <w:abstractNumId w:val="11"/>
  </w:num>
  <w:num w:numId="16" w16cid:durableId="1741825062">
    <w:abstractNumId w:val="17"/>
  </w:num>
  <w:num w:numId="17" w16cid:durableId="1644236023">
    <w:abstractNumId w:val="23"/>
  </w:num>
  <w:num w:numId="18" w16cid:durableId="530655038">
    <w:abstractNumId w:val="4"/>
  </w:num>
  <w:num w:numId="19" w16cid:durableId="2126733805">
    <w:abstractNumId w:val="21"/>
  </w:num>
  <w:num w:numId="20" w16cid:durableId="621762274">
    <w:abstractNumId w:val="12"/>
  </w:num>
  <w:num w:numId="21" w16cid:durableId="170607788">
    <w:abstractNumId w:val="6"/>
  </w:num>
  <w:num w:numId="22" w16cid:durableId="460727966">
    <w:abstractNumId w:val="24"/>
  </w:num>
  <w:num w:numId="23" w16cid:durableId="2105420001">
    <w:abstractNumId w:val="1"/>
  </w:num>
  <w:num w:numId="24" w16cid:durableId="2048407580">
    <w:abstractNumId w:val="16"/>
  </w:num>
  <w:num w:numId="25" w16cid:durableId="1798986414">
    <w:abstractNumId w:val="8"/>
  </w:num>
  <w:num w:numId="26" w16cid:durableId="1415205502">
    <w:abstractNumId w:val="22"/>
  </w:num>
  <w:num w:numId="27" w16cid:durableId="368603691">
    <w:abstractNumId w:val="7"/>
  </w:num>
  <w:num w:numId="28" w16cid:durableId="217009139">
    <w:abstractNumId w:val="19"/>
  </w:num>
  <w:num w:numId="29" w16cid:durableId="1991011021">
    <w:abstractNumId w:val="19"/>
  </w:num>
  <w:num w:numId="30" w16cid:durableId="840006877">
    <w:abstractNumId w:val="10"/>
  </w:num>
  <w:num w:numId="31" w16cid:durableId="324751170">
    <w:abstractNumId w:val="19"/>
  </w:num>
  <w:num w:numId="32" w16cid:durableId="1909340188">
    <w:abstractNumId w:val="19"/>
  </w:num>
  <w:num w:numId="33" w16cid:durableId="334496126">
    <w:abstractNumId w:val="25"/>
  </w:num>
  <w:num w:numId="34" w16cid:durableId="1519734071">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200"/>
    <w:rsid w:val="00001138"/>
    <w:rsid w:val="00003026"/>
    <w:rsid w:val="00010318"/>
    <w:rsid w:val="000111DB"/>
    <w:rsid w:val="0001311E"/>
    <w:rsid w:val="00017139"/>
    <w:rsid w:val="0002043D"/>
    <w:rsid w:val="000218C9"/>
    <w:rsid w:val="000223BD"/>
    <w:rsid w:val="00023665"/>
    <w:rsid w:val="00024DA5"/>
    <w:rsid w:val="00025D77"/>
    <w:rsid w:val="0003036E"/>
    <w:rsid w:val="000329FE"/>
    <w:rsid w:val="00035E2A"/>
    <w:rsid w:val="0004302C"/>
    <w:rsid w:val="000444E0"/>
    <w:rsid w:val="00044A59"/>
    <w:rsid w:val="00047383"/>
    <w:rsid w:val="00051AB4"/>
    <w:rsid w:val="00052894"/>
    <w:rsid w:val="000532DA"/>
    <w:rsid w:val="00056CD2"/>
    <w:rsid w:val="00057006"/>
    <w:rsid w:val="0006099E"/>
    <w:rsid w:val="0006785D"/>
    <w:rsid w:val="00070129"/>
    <w:rsid w:val="0007095A"/>
    <w:rsid w:val="000709E5"/>
    <w:rsid w:val="00080FCA"/>
    <w:rsid w:val="00082FAB"/>
    <w:rsid w:val="00083604"/>
    <w:rsid w:val="00084FD0"/>
    <w:rsid w:val="000853F6"/>
    <w:rsid w:val="00085837"/>
    <w:rsid w:val="00087222"/>
    <w:rsid w:val="000878D5"/>
    <w:rsid w:val="000921E6"/>
    <w:rsid w:val="000928C5"/>
    <w:rsid w:val="000941E7"/>
    <w:rsid w:val="0009492F"/>
    <w:rsid w:val="00096EBF"/>
    <w:rsid w:val="000977EB"/>
    <w:rsid w:val="000A050A"/>
    <w:rsid w:val="000A490C"/>
    <w:rsid w:val="000A4DFC"/>
    <w:rsid w:val="000B1D36"/>
    <w:rsid w:val="000B3C21"/>
    <w:rsid w:val="000B46C7"/>
    <w:rsid w:val="000B5760"/>
    <w:rsid w:val="000B73F9"/>
    <w:rsid w:val="000C5827"/>
    <w:rsid w:val="000C7189"/>
    <w:rsid w:val="000D1E58"/>
    <w:rsid w:val="000D7F42"/>
    <w:rsid w:val="000E020F"/>
    <w:rsid w:val="000E16D3"/>
    <w:rsid w:val="000E40C4"/>
    <w:rsid w:val="000E6117"/>
    <w:rsid w:val="000F014D"/>
    <w:rsid w:val="000F2FD0"/>
    <w:rsid w:val="000F3523"/>
    <w:rsid w:val="000F5019"/>
    <w:rsid w:val="000F6BB5"/>
    <w:rsid w:val="000F766B"/>
    <w:rsid w:val="001004C7"/>
    <w:rsid w:val="00102F59"/>
    <w:rsid w:val="001034B8"/>
    <w:rsid w:val="00106505"/>
    <w:rsid w:val="001068F7"/>
    <w:rsid w:val="00107520"/>
    <w:rsid w:val="00111749"/>
    <w:rsid w:val="00116523"/>
    <w:rsid w:val="00120071"/>
    <w:rsid w:val="001204F6"/>
    <w:rsid w:val="00120FFA"/>
    <w:rsid w:val="001232BE"/>
    <w:rsid w:val="00123922"/>
    <w:rsid w:val="00123B83"/>
    <w:rsid w:val="00131602"/>
    <w:rsid w:val="001319CF"/>
    <w:rsid w:val="00132DDC"/>
    <w:rsid w:val="00136B54"/>
    <w:rsid w:val="00136C94"/>
    <w:rsid w:val="001438A9"/>
    <w:rsid w:val="00145246"/>
    <w:rsid w:val="001465BD"/>
    <w:rsid w:val="0014692A"/>
    <w:rsid w:val="001470EF"/>
    <w:rsid w:val="00150421"/>
    <w:rsid w:val="00151269"/>
    <w:rsid w:val="0015279F"/>
    <w:rsid w:val="00155422"/>
    <w:rsid w:val="00156C49"/>
    <w:rsid w:val="00160A2A"/>
    <w:rsid w:val="00163C9B"/>
    <w:rsid w:val="00170F86"/>
    <w:rsid w:val="001760DF"/>
    <w:rsid w:val="0017732F"/>
    <w:rsid w:val="001813EF"/>
    <w:rsid w:val="00182BDA"/>
    <w:rsid w:val="00184EE2"/>
    <w:rsid w:val="00190698"/>
    <w:rsid w:val="00190763"/>
    <w:rsid w:val="001908C4"/>
    <w:rsid w:val="00193ADB"/>
    <w:rsid w:val="001945C8"/>
    <w:rsid w:val="00194EE4"/>
    <w:rsid w:val="001969C2"/>
    <w:rsid w:val="001A0143"/>
    <w:rsid w:val="001A18CA"/>
    <w:rsid w:val="001B0102"/>
    <w:rsid w:val="001B23C6"/>
    <w:rsid w:val="001B6F5A"/>
    <w:rsid w:val="001B71EA"/>
    <w:rsid w:val="001C655B"/>
    <w:rsid w:val="001C7A06"/>
    <w:rsid w:val="001D0082"/>
    <w:rsid w:val="001D21B1"/>
    <w:rsid w:val="001D26C0"/>
    <w:rsid w:val="001D736F"/>
    <w:rsid w:val="001D7FD8"/>
    <w:rsid w:val="001E0293"/>
    <w:rsid w:val="001E615E"/>
    <w:rsid w:val="001E7D33"/>
    <w:rsid w:val="001F0195"/>
    <w:rsid w:val="001F02A7"/>
    <w:rsid w:val="001F15B2"/>
    <w:rsid w:val="001F15C2"/>
    <w:rsid w:val="001F1CF7"/>
    <w:rsid w:val="001F2364"/>
    <w:rsid w:val="001F4B8B"/>
    <w:rsid w:val="001F649E"/>
    <w:rsid w:val="001F6DCA"/>
    <w:rsid w:val="001F7A9F"/>
    <w:rsid w:val="00200442"/>
    <w:rsid w:val="002014D0"/>
    <w:rsid w:val="0020343A"/>
    <w:rsid w:val="0020398C"/>
    <w:rsid w:val="00203BE8"/>
    <w:rsid w:val="00203EE8"/>
    <w:rsid w:val="00205000"/>
    <w:rsid w:val="002064F0"/>
    <w:rsid w:val="00206A41"/>
    <w:rsid w:val="00207A92"/>
    <w:rsid w:val="00211AE9"/>
    <w:rsid w:val="00211FE0"/>
    <w:rsid w:val="002129C1"/>
    <w:rsid w:val="00217D5F"/>
    <w:rsid w:val="00220DE8"/>
    <w:rsid w:val="002215B6"/>
    <w:rsid w:val="002216BB"/>
    <w:rsid w:val="00223EBE"/>
    <w:rsid w:val="00232FF4"/>
    <w:rsid w:val="0023747F"/>
    <w:rsid w:val="00237C6C"/>
    <w:rsid w:val="002428EF"/>
    <w:rsid w:val="0024377B"/>
    <w:rsid w:val="00247966"/>
    <w:rsid w:val="0025046D"/>
    <w:rsid w:val="00254235"/>
    <w:rsid w:val="00254708"/>
    <w:rsid w:val="00255C8A"/>
    <w:rsid w:val="00256BF4"/>
    <w:rsid w:val="00262058"/>
    <w:rsid w:val="00271E0A"/>
    <w:rsid w:val="00274609"/>
    <w:rsid w:val="00275528"/>
    <w:rsid w:val="00276CE9"/>
    <w:rsid w:val="002776A3"/>
    <w:rsid w:val="00283C5A"/>
    <w:rsid w:val="00283D6E"/>
    <w:rsid w:val="00284917"/>
    <w:rsid w:val="00284CBA"/>
    <w:rsid w:val="0028620E"/>
    <w:rsid w:val="00294EB1"/>
    <w:rsid w:val="002977B7"/>
    <w:rsid w:val="002A254E"/>
    <w:rsid w:val="002A339C"/>
    <w:rsid w:val="002A4E90"/>
    <w:rsid w:val="002B1924"/>
    <w:rsid w:val="002B21D4"/>
    <w:rsid w:val="002B362A"/>
    <w:rsid w:val="002C095B"/>
    <w:rsid w:val="002C14B2"/>
    <w:rsid w:val="002C3E42"/>
    <w:rsid w:val="002C4202"/>
    <w:rsid w:val="002C5356"/>
    <w:rsid w:val="002D2F52"/>
    <w:rsid w:val="002D412A"/>
    <w:rsid w:val="002D4715"/>
    <w:rsid w:val="002D531A"/>
    <w:rsid w:val="002E1A92"/>
    <w:rsid w:val="002E4D13"/>
    <w:rsid w:val="002E6A1E"/>
    <w:rsid w:val="002E7FE1"/>
    <w:rsid w:val="002F25FC"/>
    <w:rsid w:val="002F374D"/>
    <w:rsid w:val="002F6526"/>
    <w:rsid w:val="003027BC"/>
    <w:rsid w:val="00307C69"/>
    <w:rsid w:val="00310221"/>
    <w:rsid w:val="00310279"/>
    <w:rsid w:val="00314589"/>
    <w:rsid w:val="00316D28"/>
    <w:rsid w:val="00317646"/>
    <w:rsid w:val="00321A60"/>
    <w:rsid w:val="00323185"/>
    <w:rsid w:val="00326AFE"/>
    <w:rsid w:val="00326E72"/>
    <w:rsid w:val="003278CF"/>
    <w:rsid w:val="00327E95"/>
    <w:rsid w:val="003308CE"/>
    <w:rsid w:val="00332149"/>
    <w:rsid w:val="00332C05"/>
    <w:rsid w:val="00333C9C"/>
    <w:rsid w:val="0033740C"/>
    <w:rsid w:val="0034257D"/>
    <w:rsid w:val="00343CE3"/>
    <w:rsid w:val="0034577B"/>
    <w:rsid w:val="00345918"/>
    <w:rsid w:val="003478F6"/>
    <w:rsid w:val="00351496"/>
    <w:rsid w:val="00360D39"/>
    <w:rsid w:val="003627D7"/>
    <w:rsid w:val="0036323C"/>
    <w:rsid w:val="0036500D"/>
    <w:rsid w:val="00371C6B"/>
    <w:rsid w:val="00381E46"/>
    <w:rsid w:val="003825AD"/>
    <w:rsid w:val="00382D01"/>
    <w:rsid w:val="00383DDC"/>
    <w:rsid w:val="0038454F"/>
    <w:rsid w:val="00393619"/>
    <w:rsid w:val="00393DB3"/>
    <w:rsid w:val="00395196"/>
    <w:rsid w:val="0039570A"/>
    <w:rsid w:val="00396B85"/>
    <w:rsid w:val="003A5491"/>
    <w:rsid w:val="003A74FD"/>
    <w:rsid w:val="003A78CC"/>
    <w:rsid w:val="003A7A38"/>
    <w:rsid w:val="003B052B"/>
    <w:rsid w:val="003B056B"/>
    <w:rsid w:val="003B0952"/>
    <w:rsid w:val="003B29ED"/>
    <w:rsid w:val="003B5308"/>
    <w:rsid w:val="003C0430"/>
    <w:rsid w:val="003C4D96"/>
    <w:rsid w:val="003C5792"/>
    <w:rsid w:val="003C7489"/>
    <w:rsid w:val="003D1A18"/>
    <w:rsid w:val="003D2B50"/>
    <w:rsid w:val="003D3448"/>
    <w:rsid w:val="003E0894"/>
    <w:rsid w:val="003E09ED"/>
    <w:rsid w:val="003E2CBA"/>
    <w:rsid w:val="003E45C9"/>
    <w:rsid w:val="003E5293"/>
    <w:rsid w:val="003E64E4"/>
    <w:rsid w:val="003E67E7"/>
    <w:rsid w:val="003F0380"/>
    <w:rsid w:val="003F1A37"/>
    <w:rsid w:val="003F7219"/>
    <w:rsid w:val="0040061D"/>
    <w:rsid w:val="00401CEA"/>
    <w:rsid w:val="00406D54"/>
    <w:rsid w:val="00407BBD"/>
    <w:rsid w:val="00413F89"/>
    <w:rsid w:val="00414D6F"/>
    <w:rsid w:val="00415BEE"/>
    <w:rsid w:val="00417F57"/>
    <w:rsid w:val="00421ACC"/>
    <w:rsid w:val="00424E76"/>
    <w:rsid w:val="00426E54"/>
    <w:rsid w:val="004309B6"/>
    <w:rsid w:val="00431B23"/>
    <w:rsid w:val="00434670"/>
    <w:rsid w:val="00436264"/>
    <w:rsid w:val="00437E9F"/>
    <w:rsid w:val="00440BA2"/>
    <w:rsid w:val="00444494"/>
    <w:rsid w:val="004445BE"/>
    <w:rsid w:val="00453E92"/>
    <w:rsid w:val="0045535A"/>
    <w:rsid w:val="0045574A"/>
    <w:rsid w:val="00456870"/>
    <w:rsid w:val="00456D3B"/>
    <w:rsid w:val="00460C24"/>
    <w:rsid w:val="00462B13"/>
    <w:rsid w:val="00465F46"/>
    <w:rsid w:val="00467662"/>
    <w:rsid w:val="00473CC1"/>
    <w:rsid w:val="004768DE"/>
    <w:rsid w:val="00476A37"/>
    <w:rsid w:val="00481B4A"/>
    <w:rsid w:val="00481D88"/>
    <w:rsid w:val="00482E97"/>
    <w:rsid w:val="00491045"/>
    <w:rsid w:val="00491E3A"/>
    <w:rsid w:val="00492084"/>
    <w:rsid w:val="0049446F"/>
    <w:rsid w:val="0049578D"/>
    <w:rsid w:val="004A5653"/>
    <w:rsid w:val="004A61CA"/>
    <w:rsid w:val="004A65E4"/>
    <w:rsid w:val="004A76D5"/>
    <w:rsid w:val="004B3E6C"/>
    <w:rsid w:val="004B40EB"/>
    <w:rsid w:val="004C4422"/>
    <w:rsid w:val="004C4AED"/>
    <w:rsid w:val="004C60E8"/>
    <w:rsid w:val="004C667C"/>
    <w:rsid w:val="004D0511"/>
    <w:rsid w:val="004D1394"/>
    <w:rsid w:val="004D17B4"/>
    <w:rsid w:val="004D21B0"/>
    <w:rsid w:val="004D24D5"/>
    <w:rsid w:val="004D284F"/>
    <w:rsid w:val="004D2CE5"/>
    <w:rsid w:val="004D348E"/>
    <w:rsid w:val="004D3D80"/>
    <w:rsid w:val="004D44D5"/>
    <w:rsid w:val="004D4E54"/>
    <w:rsid w:val="004D5E08"/>
    <w:rsid w:val="004D6F91"/>
    <w:rsid w:val="004D7840"/>
    <w:rsid w:val="004E169F"/>
    <w:rsid w:val="004E5E43"/>
    <w:rsid w:val="004F1061"/>
    <w:rsid w:val="004F2DC1"/>
    <w:rsid w:val="004F360D"/>
    <w:rsid w:val="004F44BE"/>
    <w:rsid w:val="004F531C"/>
    <w:rsid w:val="00500AEB"/>
    <w:rsid w:val="00503BE4"/>
    <w:rsid w:val="005065A9"/>
    <w:rsid w:val="005069FD"/>
    <w:rsid w:val="00507B77"/>
    <w:rsid w:val="0051022D"/>
    <w:rsid w:val="00510BE0"/>
    <w:rsid w:val="00512A63"/>
    <w:rsid w:val="00513648"/>
    <w:rsid w:val="00515176"/>
    <w:rsid w:val="005160F0"/>
    <w:rsid w:val="005203AB"/>
    <w:rsid w:val="005252CF"/>
    <w:rsid w:val="00526F8A"/>
    <w:rsid w:val="00527690"/>
    <w:rsid w:val="005302B1"/>
    <w:rsid w:val="005308AC"/>
    <w:rsid w:val="005310C8"/>
    <w:rsid w:val="00532E15"/>
    <w:rsid w:val="00533F44"/>
    <w:rsid w:val="00534486"/>
    <w:rsid w:val="00535B05"/>
    <w:rsid w:val="00535B14"/>
    <w:rsid w:val="0054085B"/>
    <w:rsid w:val="005456A4"/>
    <w:rsid w:val="00546453"/>
    <w:rsid w:val="005467C7"/>
    <w:rsid w:val="0055476A"/>
    <w:rsid w:val="00554B22"/>
    <w:rsid w:val="00556358"/>
    <w:rsid w:val="00562D4E"/>
    <w:rsid w:val="00562E65"/>
    <w:rsid w:val="005631ED"/>
    <w:rsid w:val="005632AA"/>
    <w:rsid w:val="0056409C"/>
    <w:rsid w:val="005641A8"/>
    <w:rsid w:val="00564E8F"/>
    <w:rsid w:val="00570E77"/>
    <w:rsid w:val="00571790"/>
    <w:rsid w:val="00573C72"/>
    <w:rsid w:val="00574C95"/>
    <w:rsid w:val="00574FB3"/>
    <w:rsid w:val="0057589A"/>
    <w:rsid w:val="00580816"/>
    <w:rsid w:val="00581037"/>
    <w:rsid w:val="00581C7E"/>
    <w:rsid w:val="00582449"/>
    <w:rsid w:val="00582FC4"/>
    <w:rsid w:val="00583336"/>
    <w:rsid w:val="00583F62"/>
    <w:rsid w:val="00584E26"/>
    <w:rsid w:val="00587762"/>
    <w:rsid w:val="00591301"/>
    <w:rsid w:val="00597457"/>
    <w:rsid w:val="00597A7F"/>
    <w:rsid w:val="005A0B8C"/>
    <w:rsid w:val="005A2187"/>
    <w:rsid w:val="005B066D"/>
    <w:rsid w:val="005B0EA5"/>
    <w:rsid w:val="005B2915"/>
    <w:rsid w:val="005B2FEC"/>
    <w:rsid w:val="005B4253"/>
    <w:rsid w:val="005B5299"/>
    <w:rsid w:val="005B7585"/>
    <w:rsid w:val="005B775D"/>
    <w:rsid w:val="005C4A8E"/>
    <w:rsid w:val="005D163C"/>
    <w:rsid w:val="005D2833"/>
    <w:rsid w:val="005D4CF7"/>
    <w:rsid w:val="005D7C56"/>
    <w:rsid w:val="005E0186"/>
    <w:rsid w:val="005E20D0"/>
    <w:rsid w:val="005E2CE9"/>
    <w:rsid w:val="005E339C"/>
    <w:rsid w:val="005E622A"/>
    <w:rsid w:val="005E70E7"/>
    <w:rsid w:val="005E7923"/>
    <w:rsid w:val="005E7DAF"/>
    <w:rsid w:val="005E7EB6"/>
    <w:rsid w:val="005F0822"/>
    <w:rsid w:val="005F6045"/>
    <w:rsid w:val="005F75A8"/>
    <w:rsid w:val="005F7C6F"/>
    <w:rsid w:val="0060170A"/>
    <w:rsid w:val="0060349F"/>
    <w:rsid w:val="006053B6"/>
    <w:rsid w:val="00605766"/>
    <w:rsid w:val="00605DB9"/>
    <w:rsid w:val="00613CE8"/>
    <w:rsid w:val="00620070"/>
    <w:rsid w:val="00620E00"/>
    <w:rsid w:val="006219C0"/>
    <w:rsid w:val="00621C42"/>
    <w:rsid w:val="00623213"/>
    <w:rsid w:val="006273E6"/>
    <w:rsid w:val="00627B61"/>
    <w:rsid w:val="00627C6F"/>
    <w:rsid w:val="00627E80"/>
    <w:rsid w:val="0063072C"/>
    <w:rsid w:val="00631165"/>
    <w:rsid w:val="006339CA"/>
    <w:rsid w:val="006347AD"/>
    <w:rsid w:val="006347EE"/>
    <w:rsid w:val="0063542C"/>
    <w:rsid w:val="006368DD"/>
    <w:rsid w:val="006404AD"/>
    <w:rsid w:val="00641577"/>
    <w:rsid w:val="00642D59"/>
    <w:rsid w:val="00643777"/>
    <w:rsid w:val="00644854"/>
    <w:rsid w:val="00644AF1"/>
    <w:rsid w:val="00654046"/>
    <w:rsid w:val="006574D6"/>
    <w:rsid w:val="00662619"/>
    <w:rsid w:val="00664690"/>
    <w:rsid w:val="00664C74"/>
    <w:rsid w:val="00666041"/>
    <w:rsid w:val="00671AC5"/>
    <w:rsid w:val="00671DEA"/>
    <w:rsid w:val="0067289D"/>
    <w:rsid w:val="00673B74"/>
    <w:rsid w:val="00677794"/>
    <w:rsid w:val="00680F43"/>
    <w:rsid w:val="00681AF3"/>
    <w:rsid w:val="00682902"/>
    <w:rsid w:val="00683436"/>
    <w:rsid w:val="00683585"/>
    <w:rsid w:val="00684176"/>
    <w:rsid w:val="006845FA"/>
    <w:rsid w:val="006863D5"/>
    <w:rsid w:val="006869AE"/>
    <w:rsid w:val="006941C5"/>
    <w:rsid w:val="00694D09"/>
    <w:rsid w:val="00696674"/>
    <w:rsid w:val="006970DC"/>
    <w:rsid w:val="00697B78"/>
    <w:rsid w:val="006A147E"/>
    <w:rsid w:val="006A7179"/>
    <w:rsid w:val="006B04FF"/>
    <w:rsid w:val="006B127A"/>
    <w:rsid w:val="006B1F0D"/>
    <w:rsid w:val="006B5A98"/>
    <w:rsid w:val="006B62CE"/>
    <w:rsid w:val="006B66E3"/>
    <w:rsid w:val="006B6C22"/>
    <w:rsid w:val="006C2992"/>
    <w:rsid w:val="006C3215"/>
    <w:rsid w:val="006C4724"/>
    <w:rsid w:val="006C5225"/>
    <w:rsid w:val="006C7AE3"/>
    <w:rsid w:val="006C7DD0"/>
    <w:rsid w:val="006D0BE6"/>
    <w:rsid w:val="006D2130"/>
    <w:rsid w:val="006D2181"/>
    <w:rsid w:val="006D2A19"/>
    <w:rsid w:val="006D3EE0"/>
    <w:rsid w:val="006D5A72"/>
    <w:rsid w:val="006D629B"/>
    <w:rsid w:val="006E04CF"/>
    <w:rsid w:val="006E1BA8"/>
    <w:rsid w:val="006E4876"/>
    <w:rsid w:val="006E5424"/>
    <w:rsid w:val="006E5BFE"/>
    <w:rsid w:val="006E73D2"/>
    <w:rsid w:val="006E7486"/>
    <w:rsid w:val="006F031B"/>
    <w:rsid w:val="006F0B11"/>
    <w:rsid w:val="006F417A"/>
    <w:rsid w:val="006F4507"/>
    <w:rsid w:val="006F57FC"/>
    <w:rsid w:val="006F64A0"/>
    <w:rsid w:val="007016D8"/>
    <w:rsid w:val="00704DBF"/>
    <w:rsid w:val="00704E57"/>
    <w:rsid w:val="007050BA"/>
    <w:rsid w:val="007129E7"/>
    <w:rsid w:val="00715C1C"/>
    <w:rsid w:val="00717A94"/>
    <w:rsid w:val="007232A5"/>
    <w:rsid w:val="007234F9"/>
    <w:rsid w:val="0072474B"/>
    <w:rsid w:val="00726B3B"/>
    <w:rsid w:val="00726F5A"/>
    <w:rsid w:val="00727500"/>
    <w:rsid w:val="00730789"/>
    <w:rsid w:val="00732580"/>
    <w:rsid w:val="00732B6F"/>
    <w:rsid w:val="00732C0C"/>
    <w:rsid w:val="00732DA3"/>
    <w:rsid w:val="00732DEF"/>
    <w:rsid w:val="007353F9"/>
    <w:rsid w:val="00736057"/>
    <w:rsid w:val="007405AA"/>
    <w:rsid w:val="00743499"/>
    <w:rsid w:val="00750A27"/>
    <w:rsid w:val="00750BB6"/>
    <w:rsid w:val="0075253A"/>
    <w:rsid w:val="00754E19"/>
    <w:rsid w:val="00755AA9"/>
    <w:rsid w:val="00761546"/>
    <w:rsid w:val="00763715"/>
    <w:rsid w:val="007778CF"/>
    <w:rsid w:val="00777DAC"/>
    <w:rsid w:val="00780FBA"/>
    <w:rsid w:val="00781029"/>
    <w:rsid w:val="0078157F"/>
    <w:rsid w:val="007822FB"/>
    <w:rsid w:val="007833CB"/>
    <w:rsid w:val="00783DBF"/>
    <w:rsid w:val="00784CF9"/>
    <w:rsid w:val="0078789F"/>
    <w:rsid w:val="007A0E5C"/>
    <w:rsid w:val="007A1D39"/>
    <w:rsid w:val="007A5823"/>
    <w:rsid w:val="007A7F07"/>
    <w:rsid w:val="007B275D"/>
    <w:rsid w:val="007B303B"/>
    <w:rsid w:val="007B3B1C"/>
    <w:rsid w:val="007B5AA3"/>
    <w:rsid w:val="007B68E4"/>
    <w:rsid w:val="007C0D4C"/>
    <w:rsid w:val="007C1467"/>
    <w:rsid w:val="007C57A8"/>
    <w:rsid w:val="007C6BBD"/>
    <w:rsid w:val="007D2528"/>
    <w:rsid w:val="007D7791"/>
    <w:rsid w:val="007D7C74"/>
    <w:rsid w:val="007E24F3"/>
    <w:rsid w:val="007E32CB"/>
    <w:rsid w:val="007E48AD"/>
    <w:rsid w:val="007E4EDC"/>
    <w:rsid w:val="007E6A42"/>
    <w:rsid w:val="007E7499"/>
    <w:rsid w:val="007F1C02"/>
    <w:rsid w:val="007F2E45"/>
    <w:rsid w:val="007F31DE"/>
    <w:rsid w:val="007F4051"/>
    <w:rsid w:val="007F426B"/>
    <w:rsid w:val="007F4A9D"/>
    <w:rsid w:val="008033ED"/>
    <w:rsid w:val="008077F7"/>
    <w:rsid w:val="00810794"/>
    <w:rsid w:val="00811421"/>
    <w:rsid w:val="008116A7"/>
    <w:rsid w:val="00812477"/>
    <w:rsid w:val="00813221"/>
    <w:rsid w:val="00814189"/>
    <w:rsid w:val="00814DEB"/>
    <w:rsid w:val="00815A94"/>
    <w:rsid w:val="00815FA1"/>
    <w:rsid w:val="008161FC"/>
    <w:rsid w:val="008208A7"/>
    <w:rsid w:val="0082213C"/>
    <w:rsid w:val="00824CB2"/>
    <w:rsid w:val="008268F9"/>
    <w:rsid w:val="008273FA"/>
    <w:rsid w:val="00832D34"/>
    <w:rsid w:val="008330F5"/>
    <w:rsid w:val="008333D8"/>
    <w:rsid w:val="008349BD"/>
    <w:rsid w:val="00836768"/>
    <w:rsid w:val="00836849"/>
    <w:rsid w:val="008378A5"/>
    <w:rsid w:val="00841DE5"/>
    <w:rsid w:val="00842D0D"/>
    <w:rsid w:val="00844BE5"/>
    <w:rsid w:val="0084519D"/>
    <w:rsid w:val="00855278"/>
    <w:rsid w:val="008576D4"/>
    <w:rsid w:val="00861527"/>
    <w:rsid w:val="00862B47"/>
    <w:rsid w:val="00862C1A"/>
    <w:rsid w:val="008630DF"/>
    <w:rsid w:val="008651F9"/>
    <w:rsid w:val="0086562E"/>
    <w:rsid w:val="00866DEA"/>
    <w:rsid w:val="00870284"/>
    <w:rsid w:val="008720F3"/>
    <w:rsid w:val="0087462B"/>
    <w:rsid w:val="00875D05"/>
    <w:rsid w:val="008763B3"/>
    <w:rsid w:val="008765DE"/>
    <w:rsid w:val="008847CD"/>
    <w:rsid w:val="00887461"/>
    <w:rsid w:val="00891042"/>
    <w:rsid w:val="00891B24"/>
    <w:rsid w:val="00891F47"/>
    <w:rsid w:val="00895F70"/>
    <w:rsid w:val="008A302A"/>
    <w:rsid w:val="008A3EEE"/>
    <w:rsid w:val="008A51D9"/>
    <w:rsid w:val="008A708E"/>
    <w:rsid w:val="008A77E3"/>
    <w:rsid w:val="008A7A7D"/>
    <w:rsid w:val="008B15CD"/>
    <w:rsid w:val="008B17F4"/>
    <w:rsid w:val="008B2046"/>
    <w:rsid w:val="008B29A5"/>
    <w:rsid w:val="008B3C53"/>
    <w:rsid w:val="008B3D16"/>
    <w:rsid w:val="008B43AF"/>
    <w:rsid w:val="008C114C"/>
    <w:rsid w:val="008C1167"/>
    <w:rsid w:val="008C27DA"/>
    <w:rsid w:val="008C522A"/>
    <w:rsid w:val="008D1C0D"/>
    <w:rsid w:val="008D3115"/>
    <w:rsid w:val="008D34AD"/>
    <w:rsid w:val="008D6691"/>
    <w:rsid w:val="008D698F"/>
    <w:rsid w:val="008D799D"/>
    <w:rsid w:val="008E0BC2"/>
    <w:rsid w:val="008E0DF1"/>
    <w:rsid w:val="008E3142"/>
    <w:rsid w:val="008E5DA7"/>
    <w:rsid w:val="008E6289"/>
    <w:rsid w:val="008E6AF9"/>
    <w:rsid w:val="008E722E"/>
    <w:rsid w:val="008F1EC8"/>
    <w:rsid w:val="008F2130"/>
    <w:rsid w:val="008F26A9"/>
    <w:rsid w:val="008F4CCF"/>
    <w:rsid w:val="00900450"/>
    <w:rsid w:val="00903256"/>
    <w:rsid w:val="0090619B"/>
    <w:rsid w:val="00906CBF"/>
    <w:rsid w:val="009110D1"/>
    <w:rsid w:val="00913200"/>
    <w:rsid w:val="00915F8D"/>
    <w:rsid w:val="00917ADE"/>
    <w:rsid w:val="00917DBD"/>
    <w:rsid w:val="009230E2"/>
    <w:rsid w:val="0092339D"/>
    <w:rsid w:val="00925794"/>
    <w:rsid w:val="00930029"/>
    <w:rsid w:val="00930425"/>
    <w:rsid w:val="00930E18"/>
    <w:rsid w:val="00930E2B"/>
    <w:rsid w:val="0093112A"/>
    <w:rsid w:val="009324E9"/>
    <w:rsid w:val="00932C74"/>
    <w:rsid w:val="00933199"/>
    <w:rsid w:val="00936354"/>
    <w:rsid w:val="009376A0"/>
    <w:rsid w:val="00937710"/>
    <w:rsid w:val="00940811"/>
    <w:rsid w:val="00942F13"/>
    <w:rsid w:val="0094600E"/>
    <w:rsid w:val="00951D67"/>
    <w:rsid w:val="00965082"/>
    <w:rsid w:val="00973C62"/>
    <w:rsid w:val="009742BF"/>
    <w:rsid w:val="00974E32"/>
    <w:rsid w:val="00976F99"/>
    <w:rsid w:val="0098532A"/>
    <w:rsid w:val="00986A5A"/>
    <w:rsid w:val="00990AD4"/>
    <w:rsid w:val="00990C9A"/>
    <w:rsid w:val="00990E22"/>
    <w:rsid w:val="00993784"/>
    <w:rsid w:val="00993EDE"/>
    <w:rsid w:val="00994428"/>
    <w:rsid w:val="009949CD"/>
    <w:rsid w:val="009955EE"/>
    <w:rsid w:val="00995ABD"/>
    <w:rsid w:val="00996EAC"/>
    <w:rsid w:val="009971A0"/>
    <w:rsid w:val="009A1A7D"/>
    <w:rsid w:val="009A23B7"/>
    <w:rsid w:val="009A4091"/>
    <w:rsid w:val="009A6017"/>
    <w:rsid w:val="009A7C87"/>
    <w:rsid w:val="009B1E12"/>
    <w:rsid w:val="009B2917"/>
    <w:rsid w:val="009B299F"/>
    <w:rsid w:val="009B5A06"/>
    <w:rsid w:val="009C2A6F"/>
    <w:rsid w:val="009C40F0"/>
    <w:rsid w:val="009D1532"/>
    <w:rsid w:val="009D28AA"/>
    <w:rsid w:val="009D4D95"/>
    <w:rsid w:val="009D58C9"/>
    <w:rsid w:val="009E04EF"/>
    <w:rsid w:val="009E1606"/>
    <w:rsid w:val="009E1E8C"/>
    <w:rsid w:val="009E22E6"/>
    <w:rsid w:val="009E28B2"/>
    <w:rsid w:val="009E314A"/>
    <w:rsid w:val="009E63ED"/>
    <w:rsid w:val="009E67A1"/>
    <w:rsid w:val="009E7442"/>
    <w:rsid w:val="009E7DFB"/>
    <w:rsid w:val="009F0F43"/>
    <w:rsid w:val="009F28F2"/>
    <w:rsid w:val="009F61E6"/>
    <w:rsid w:val="00A03ABC"/>
    <w:rsid w:val="00A055E8"/>
    <w:rsid w:val="00A06AE2"/>
    <w:rsid w:val="00A0770B"/>
    <w:rsid w:val="00A078BF"/>
    <w:rsid w:val="00A1040C"/>
    <w:rsid w:val="00A201EF"/>
    <w:rsid w:val="00A215F6"/>
    <w:rsid w:val="00A23060"/>
    <w:rsid w:val="00A236B3"/>
    <w:rsid w:val="00A25FCD"/>
    <w:rsid w:val="00A33CC2"/>
    <w:rsid w:val="00A34D95"/>
    <w:rsid w:val="00A35519"/>
    <w:rsid w:val="00A361B2"/>
    <w:rsid w:val="00A369B3"/>
    <w:rsid w:val="00A37034"/>
    <w:rsid w:val="00A40E7A"/>
    <w:rsid w:val="00A42AAB"/>
    <w:rsid w:val="00A43E73"/>
    <w:rsid w:val="00A44626"/>
    <w:rsid w:val="00A460E2"/>
    <w:rsid w:val="00A46840"/>
    <w:rsid w:val="00A47EFE"/>
    <w:rsid w:val="00A50850"/>
    <w:rsid w:val="00A50D8E"/>
    <w:rsid w:val="00A522B3"/>
    <w:rsid w:val="00A52E7E"/>
    <w:rsid w:val="00A54FC5"/>
    <w:rsid w:val="00A558C3"/>
    <w:rsid w:val="00A56991"/>
    <w:rsid w:val="00A5794D"/>
    <w:rsid w:val="00A618B0"/>
    <w:rsid w:val="00A71685"/>
    <w:rsid w:val="00A71720"/>
    <w:rsid w:val="00A74DFC"/>
    <w:rsid w:val="00A750E9"/>
    <w:rsid w:val="00A760B9"/>
    <w:rsid w:val="00A80603"/>
    <w:rsid w:val="00A82895"/>
    <w:rsid w:val="00A85576"/>
    <w:rsid w:val="00A87143"/>
    <w:rsid w:val="00A8715A"/>
    <w:rsid w:val="00A879C0"/>
    <w:rsid w:val="00A87CC1"/>
    <w:rsid w:val="00A95771"/>
    <w:rsid w:val="00A96044"/>
    <w:rsid w:val="00A9655D"/>
    <w:rsid w:val="00A9793D"/>
    <w:rsid w:val="00A97F1E"/>
    <w:rsid w:val="00AA07E3"/>
    <w:rsid w:val="00AA095E"/>
    <w:rsid w:val="00AA0FC2"/>
    <w:rsid w:val="00AA12CA"/>
    <w:rsid w:val="00AA2694"/>
    <w:rsid w:val="00AA48DE"/>
    <w:rsid w:val="00AB16DA"/>
    <w:rsid w:val="00AB2B6C"/>
    <w:rsid w:val="00AB36CF"/>
    <w:rsid w:val="00AC320B"/>
    <w:rsid w:val="00AC3CAE"/>
    <w:rsid w:val="00AC4915"/>
    <w:rsid w:val="00AC4D01"/>
    <w:rsid w:val="00AC61E2"/>
    <w:rsid w:val="00AC67D3"/>
    <w:rsid w:val="00AC6A97"/>
    <w:rsid w:val="00AD1760"/>
    <w:rsid w:val="00AD210E"/>
    <w:rsid w:val="00AD7649"/>
    <w:rsid w:val="00AD7ADD"/>
    <w:rsid w:val="00AE090B"/>
    <w:rsid w:val="00AE0C2D"/>
    <w:rsid w:val="00AE28FD"/>
    <w:rsid w:val="00AE3388"/>
    <w:rsid w:val="00AE3BD2"/>
    <w:rsid w:val="00AE51B1"/>
    <w:rsid w:val="00AE5910"/>
    <w:rsid w:val="00AE697A"/>
    <w:rsid w:val="00AF09B3"/>
    <w:rsid w:val="00AF1A26"/>
    <w:rsid w:val="00AF26DD"/>
    <w:rsid w:val="00AF2C0F"/>
    <w:rsid w:val="00AF35E5"/>
    <w:rsid w:val="00AF4D25"/>
    <w:rsid w:val="00B01601"/>
    <w:rsid w:val="00B0180D"/>
    <w:rsid w:val="00B041FE"/>
    <w:rsid w:val="00B06B79"/>
    <w:rsid w:val="00B11119"/>
    <w:rsid w:val="00B15DE3"/>
    <w:rsid w:val="00B2538A"/>
    <w:rsid w:val="00B32249"/>
    <w:rsid w:val="00B36320"/>
    <w:rsid w:val="00B37654"/>
    <w:rsid w:val="00B40DA1"/>
    <w:rsid w:val="00B43451"/>
    <w:rsid w:val="00B46004"/>
    <w:rsid w:val="00B4629A"/>
    <w:rsid w:val="00B4634E"/>
    <w:rsid w:val="00B47118"/>
    <w:rsid w:val="00B4768C"/>
    <w:rsid w:val="00B530F4"/>
    <w:rsid w:val="00B57C00"/>
    <w:rsid w:val="00B60AF4"/>
    <w:rsid w:val="00B62757"/>
    <w:rsid w:val="00B62869"/>
    <w:rsid w:val="00B65B79"/>
    <w:rsid w:val="00B65E80"/>
    <w:rsid w:val="00B67A28"/>
    <w:rsid w:val="00B7076F"/>
    <w:rsid w:val="00B71887"/>
    <w:rsid w:val="00B7333D"/>
    <w:rsid w:val="00B817B1"/>
    <w:rsid w:val="00B81EA3"/>
    <w:rsid w:val="00B86BDD"/>
    <w:rsid w:val="00B86C44"/>
    <w:rsid w:val="00B86D18"/>
    <w:rsid w:val="00B8732D"/>
    <w:rsid w:val="00B90347"/>
    <w:rsid w:val="00B91B1E"/>
    <w:rsid w:val="00B925D2"/>
    <w:rsid w:val="00B94A47"/>
    <w:rsid w:val="00B97C79"/>
    <w:rsid w:val="00BA0CC8"/>
    <w:rsid w:val="00BA170C"/>
    <w:rsid w:val="00BA1E44"/>
    <w:rsid w:val="00BA2AC0"/>
    <w:rsid w:val="00BA3214"/>
    <w:rsid w:val="00BA41B5"/>
    <w:rsid w:val="00BA498D"/>
    <w:rsid w:val="00BA74CA"/>
    <w:rsid w:val="00BB0C6F"/>
    <w:rsid w:val="00BB3112"/>
    <w:rsid w:val="00BB43EC"/>
    <w:rsid w:val="00BB67B2"/>
    <w:rsid w:val="00BC1B80"/>
    <w:rsid w:val="00BC218D"/>
    <w:rsid w:val="00BC2CBC"/>
    <w:rsid w:val="00BC3B5C"/>
    <w:rsid w:val="00BC53D9"/>
    <w:rsid w:val="00BC6861"/>
    <w:rsid w:val="00BD05D1"/>
    <w:rsid w:val="00BD0B0E"/>
    <w:rsid w:val="00BD2637"/>
    <w:rsid w:val="00BD2C9A"/>
    <w:rsid w:val="00BD4BF4"/>
    <w:rsid w:val="00BD54FF"/>
    <w:rsid w:val="00BD5A2B"/>
    <w:rsid w:val="00BE2210"/>
    <w:rsid w:val="00BE323B"/>
    <w:rsid w:val="00BE3A86"/>
    <w:rsid w:val="00BE3D27"/>
    <w:rsid w:val="00BE3F08"/>
    <w:rsid w:val="00BF15F6"/>
    <w:rsid w:val="00BF4FF8"/>
    <w:rsid w:val="00BF55D2"/>
    <w:rsid w:val="00BF5EBB"/>
    <w:rsid w:val="00BF68FF"/>
    <w:rsid w:val="00BF6B5B"/>
    <w:rsid w:val="00BF6BA1"/>
    <w:rsid w:val="00C00668"/>
    <w:rsid w:val="00C020FA"/>
    <w:rsid w:val="00C03935"/>
    <w:rsid w:val="00C0623F"/>
    <w:rsid w:val="00C06DFD"/>
    <w:rsid w:val="00C11255"/>
    <w:rsid w:val="00C12439"/>
    <w:rsid w:val="00C1267E"/>
    <w:rsid w:val="00C16396"/>
    <w:rsid w:val="00C16C68"/>
    <w:rsid w:val="00C2049A"/>
    <w:rsid w:val="00C204DE"/>
    <w:rsid w:val="00C214C1"/>
    <w:rsid w:val="00C26381"/>
    <w:rsid w:val="00C32256"/>
    <w:rsid w:val="00C34C6E"/>
    <w:rsid w:val="00C35743"/>
    <w:rsid w:val="00C37918"/>
    <w:rsid w:val="00C46B59"/>
    <w:rsid w:val="00C47D95"/>
    <w:rsid w:val="00C5006F"/>
    <w:rsid w:val="00C50C18"/>
    <w:rsid w:val="00C511EF"/>
    <w:rsid w:val="00C5284E"/>
    <w:rsid w:val="00C53573"/>
    <w:rsid w:val="00C54ED3"/>
    <w:rsid w:val="00C60B7F"/>
    <w:rsid w:val="00C610C3"/>
    <w:rsid w:val="00C638BF"/>
    <w:rsid w:val="00C70019"/>
    <w:rsid w:val="00C71B57"/>
    <w:rsid w:val="00C74328"/>
    <w:rsid w:val="00C743C2"/>
    <w:rsid w:val="00C74693"/>
    <w:rsid w:val="00C74C78"/>
    <w:rsid w:val="00C80712"/>
    <w:rsid w:val="00C821E5"/>
    <w:rsid w:val="00C9104F"/>
    <w:rsid w:val="00C92F2A"/>
    <w:rsid w:val="00C9408E"/>
    <w:rsid w:val="00C94787"/>
    <w:rsid w:val="00CA270F"/>
    <w:rsid w:val="00CA554E"/>
    <w:rsid w:val="00CA66DD"/>
    <w:rsid w:val="00CB4BB7"/>
    <w:rsid w:val="00CB4C80"/>
    <w:rsid w:val="00CB7FD7"/>
    <w:rsid w:val="00CC1355"/>
    <w:rsid w:val="00CC2B62"/>
    <w:rsid w:val="00CC33AA"/>
    <w:rsid w:val="00CC4BC2"/>
    <w:rsid w:val="00CC5A2C"/>
    <w:rsid w:val="00CD0242"/>
    <w:rsid w:val="00CD1D19"/>
    <w:rsid w:val="00CD2F35"/>
    <w:rsid w:val="00CD5503"/>
    <w:rsid w:val="00CD6C88"/>
    <w:rsid w:val="00CE450F"/>
    <w:rsid w:val="00CE48B1"/>
    <w:rsid w:val="00CE605D"/>
    <w:rsid w:val="00CE638F"/>
    <w:rsid w:val="00CF015A"/>
    <w:rsid w:val="00CF1FD6"/>
    <w:rsid w:val="00CF2EA0"/>
    <w:rsid w:val="00CF2FAD"/>
    <w:rsid w:val="00CF4345"/>
    <w:rsid w:val="00CF6F1B"/>
    <w:rsid w:val="00D110D9"/>
    <w:rsid w:val="00D1122F"/>
    <w:rsid w:val="00D131CC"/>
    <w:rsid w:val="00D13C31"/>
    <w:rsid w:val="00D1448F"/>
    <w:rsid w:val="00D159BE"/>
    <w:rsid w:val="00D22D12"/>
    <w:rsid w:val="00D235CC"/>
    <w:rsid w:val="00D24B6F"/>
    <w:rsid w:val="00D2633B"/>
    <w:rsid w:val="00D27DA4"/>
    <w:rsid w:val="00D30CC5"/>
    <w:rsid w:val="00D325D1"/>
    <w:rsid w:val="00D32D4E"/>
    <w:rsid w:val="00D336E0"/>
    <w:rsid w:val="00D42FB1"/>
    <w:rsid w:val="00D45FB6"/>
    <w:rsid w:val="00D50626"/>
    <w:rsid w:val="00D519CE"/>
    <w:rsid w:val="00D60DCA"/>
    <w:rsid w:val="00D622DA"/>
    <w:rsid w:val="00D64DBB"/>
    <w:rsid w:val="00D6630D"/>
    <w:rsid w:val="00D70D75"/>
    <w:rsid w:val="00D7181B"/>
    <w:rsid w:val="00D72C12"/>
    <w:rsid w:val="00D7448C"/>
    <w:rsid w:val="00D751F7"/>
    <w:rsid w:val="00D759C6"/>
    <w:rsid w:val="00D76F7A"/>
    <w:rsid w:val="00D800C5"/>
    <w:rsid w:val="00D81B09"/>
    <w:rsid w:val="00D83A27"/>
    <w:rsid w:val="00D84024"/>
    <w:rsid w:val="00D95A0F"/>
    <w:rsid w:val="00D96560"/>
    <w:rsid w:val="00D9695A"/>
    <w:rsid w:val="00DA35E1"/>
    <w:rsid w:val="00DA623F"/>
    <w:rsid w:val="00DB053C"/>
    <w:rsid w:val="00DB249A"/>
    <w:rsid w:val="00DB79B8"/>
    <w:rsid w:val="00DC0168"/>
    <w:rsid w:val="00DC03BB"/>
    <w:rsid w:val="00DC3759"/>
    <w:rsid w:val="00DC3C9A"/>
    <w:rsid w:val="00DC669A"/>
    <w:rsid w:val="00DD2838"/>
    <w:rsid w:val="00DD2AC8"/>
    <w:rsid w:val="00DD5E1F"/>
    <w:rsid w:val="00DD73C1"/>
    <w:rsid w:val="00DD7697"/>
    <w:rsid w:val="00DE1FEB"/>
    <w:rsid w:val="00DE4223"/>
    <w:rsid w:val="00DE52A4"/>
    <w:rsid w:val="00DF51C5"/>
    <w:rsid w:val="00DF61D3"/>
    <w:rsid w:val="00DF654A"/>
    <w:rsid w:val="00DF782D"/>
    <w:rsid w:val="00DF79CC"/>
    <w:rsid w:val="00E10345"/>
    <w:rsid w:val="00E10819"/>
    <w:rsid w:val="00E10C0E"/>
    <w:rsid w:val="00E11762"/>
    <w:rsid w:val="00E13544"/>
    <w:rsid w:val="00E140BF"/>
    <w:rsid w:val="00E150FC"/>
    <w:rsid w:val="00E15CAE"/>
    <w:rsid w:val="00E16BC6"/>
    <w:rsid w:val="00E1774B"/>
    <w:rsid w:val="00E20DF8"/>
    <w:rsid w:val="00E2547B"/>
    <w:rsid w:val="00E27656"/>
    <w:rsid w:val="00E308B8"/>
    <w:rsid w:val="00E322DA"/>
    <w:rsid w:val="00E34469"/>
    <w:rsid w:val="00E35C76"/>
    <w:rsid w:val="00E4124D"/>
    <w:rsid w:val="00E43304"/>
    <w:rsid w:val="00E44353"/>
    <w:rsid w:val="00E45413"/>
    <w:rsid w:val="00E45CA2"/>
    <w:rsid w:val="00E52A48"/>
    <w:rsid w:val="00E604D9"/>
    <w:rsid w:val="00E613A5"/>
    <w:rsid w:val="00E63295"/>
    <w:rsid w:val="00E64324"/>
    <w:rsid w:val="00E66927"/>
    <w:rsid w:val="00E671C3"/>
    <w:rsid w:val="00E71E47"/>
    <w:rsid w:val="00E7553E"/>
    <w:rsid w:val="00E76DAD"/>
    <w:rsid w:val="00E76ECF"/>
    <w:rsid w:val="00E80CA5"/>
    <w:rsid w:val="00E819CC"/>
    <w:rsid w:val="00E83B14"/>
    <w:rsid w:val="00E855E3"/>
    <w:rsid w:val="00E8776B"/>
    <w:rsid w:val="00E877ED"/>
    <w:rsid w:val="00E87F1E"/>
    <w:rsid w:val="00E90804"/>
    <w:rsid w:val="00E90947"/>
    <w:rsid w:val="00E91831"/>
    <w:rsid w:val="00E93CB4"/>
    <w:rsid w:val="00EA155E"/>
    <w:rsid w:val="00EA1D7B"/>
    <w:rsid w:val="00EA440D"/>
    <w:rsid w:val="00EA5310"/>
    <w:rsid w:val="00EA725B"/>
    <w:rsid w:val="00EB4615"/>
    <w:rsid w:val="00EB7F04"/>
    <w:rsid w:val="00EC1824"/>
    <w:rsid w:val="00EC2CE0"/>
    <w:rsid w:val="00EC2D3C"/>
    <w:rsid w:val="00EC51A8"/>
    <w:rsid w:val="00EC73B3"/>
    <w:rsid w:val="00ED0C09"/>
    <w:rsid w:val="00ED2ADC"/>
    <w:rsid w:val="00ED66BC"/>
    <w:rsid w:val="00EE03EE"/>
    <w:rsid w:val="00EE1572"/>
    <w:rsid w:val="00EE42AF"/>
    <w:rsid w:val="00EE5403"/>
    <w:rsid w:val="00EE5D52"/>
    <w:rsid w:val="00EF043B"/>
    <w:rsid w:val="00EF237E"/>
    <w:rsid w:val="00EF23DF"/>
    <w:rsid w:val="00EF2575"/>
    <w:rsid w:val="00EF46A7"/>
    <w:rsid w:val="00EF5FED"/>
    <w:rsid w:val="00F01B9D"/>
    <w:rsid w:val="00F0780D"/>
    <w:rsid w:val="00F15E9F"/>
    <w:rsid w:val="00F16161"/>
    <w:rsid w:val="00F16D65"/>
    <w:rsid w:val="00F17B83"/>
    <w:rsid w:val="00F20790"/>
    <w:rsid w:val="00F226F8"/>
    <w:rsid w:val="00F2351B"/>
    <w:rsid w:val="00F250D5"/>
    <w:rsid w:val="00F32B29"/>
    <w:rsid w:val="00F37B59"/>
    <w:rsid w:val="00F41597"/>
    <w:rsid w:val="00F4296D"/>
    <w:rsid w:val="00F442E9"/>
    <w:rsid w:val="00F46396"/>
    <w:rsid w:val="00F50573"/>
    <w:rsid w:val="00F535E8"/>
    <w:rsid w:val="00F53B8A"/>
    <w:rsid w:val="00F53FDC"/>
    <w:rsid w:val="00F54026"/>
    <w:rsid w:val="00F55118"/>
    <w:rsid w:val="00F551AD"/>
    <w:rsid w:val="00F553F1"/>
    <w:rsid w:val="00F56E8C"/>
    <w:rsid w:val="00F61308"/>
    <w:rsid w:val="00F61547"/>
    <w:rsid w:val="00F619F6"/>
    <w:rsid w:val="00F625A9"/>
    <w:rsid w:val="00F6461F"/>
    <w:rsid w:val="00F64D2D"/>
    <w:rsid w:val="00F65FEC"/>
    <w:rsid w:val="00F673F0"/>
    <w:rsid w:val="00F7163B"/>
    <w:rsid w:val="00F721F0"/>
    <w:rsid w:val="00F7476C"/>
    <w:rsid w:val="00F76D5B"/>
    <w:rsid w:val="00F80091"/>
    <w:rsid w:val="00F83300"/>
    <w:rsid w:val="00F868B9"/>
    <w:rsid w:val="00F8796D"/>
    <w:rsid w:val="00F912B1"/>
    <w:rsid w:val="00F91942"/>
    <w:rsid w:val="00F93B0E"/>
    <w:rsid w:val="00F93BEE"/>
    <w:rsid w:val="00F948D4"/>
    <w:rsid w:val="00F94A49"/>
    <w:rsid w:val="00F96B9C"/>
    <w:rsid w:val="00F97101"/>
    <w:rsid w:val="00F97147"/>
    <w:rsid w:val="00F97C09"/>
    <w:rsid w:val="00FA0AF2"/>
    <w:rsid w:val="00FA1015"/>
    <w:rsid w:val="00FA5C4D"/>
    <w:rsid w:val="00FA5EF9"/>
    <w:rsid w:val="00FA6626"/>
    <w:rsid w:val="00FB033D"/>
    <w:rsid w:val="00FB0606"/>
    <w:rsid w:val="00FB0DAB"/>
    <w:rsid w:val="00FB0E0D"/>
    <w:rsid w:val="00FB1B47"/>
    <w:rsid w:val="00FB3688"/>
    <w:rsid w:val="00FB3AE9"/>
    <w:rsid w:val="00FB79C9"/>
    <w:rsid w:val="00FC0076"/>
    <w:rsid w:val="00FC1156"/>
    <w:rsid w:val="00FC342C"/>
    <w:rsid w:val="00FD13E3"/>
    <w:rsid w:val="00FD5516"/>
    <w:rsid w:val="00FD6D44"/>
    <w:rsid w:val="00FD72D9"/>
    <w:rsid w:val="00FD7366"/>
    <w:rsid w:val="00FE053C"/>
    <w:rsid w:val="00FE7C65"/>
    <w:rsid w:val="00FF2267"/>
    <w:rsid w:val="00FF4009"/>
    <w:rsid w:val="00FF49EB"/>
    <w:rsid w:val="06EC64C6"/>
    <w:rsid w:val="0F34F3BB"/>
    <w:rsid w:val="14A98D24"/>
    <w:rsid w:val="1BB78048"/>
    <w:rsid w:val="226094EB"/>
    <w:rsid w:val="27550504"/>
    <w:rsid w:val="370C32B6"/>
    <w:rsid w:val="4535121C"/>
    <w:rsid w:val="5F387687"/>
    <w:rsid w:val="62611CCE"/>
    <w:rsid w:val="65553CB2"/>
    <w:rsid w:val="6AC87D4D"/>
    <w:rsid w:val="703ADB18"/>
    <w:rsid w:val="728B8EE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8E8AB"/>
  <w15:docId w15:val="{E7F9BA90-7B93-4FE7-B30A-79F1684EF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C02"/>
    <w:pPr>
      <w:spacing w:after="200" w:line="288" w:lineRule="auto"/>
    </w:pPr>
    <w:rPr>
      <w:rFonts w:ascii="Arial" w:hAnsi="Arial"/>
      <w:color w:val="333333"/>
      <w:lang w:eastAsia="en-US"/>
    </w:rPr>
  </w:style>
  <w:style w:type="paragraph" w:styleId="Heading1">
    <w:name w:val="heading 1"/>
    <w:basedOn w:val="Normal"/>
    <w:next w:val="Body1"/>
    <w:qFormat/>
    <w:rsid w:val="00C11255"/>
    <w:pPr>
      <w:numPr>
        <w:numId w:val="1"/>
      </w:numPr>
      <w:outlineLvl w:val="0"/>
    </w:pPr>
  </w:style>
  <w:style w:type="paragraph" w:styleId="Heading2">
    <w:name w:val="heading 2"/>
    <w:basedOn w:val="Normal"/>
    <w:next w:val="Body2"/>
    <w:qFormat/>
    <w:rsid w:val="00C11255"/>
    <w:pPr>
      <w:numPr>
        <w:ilvl w:val="1"/>
        <w:numId w:val="1"/>
      </w:numPr>
      <w:outlineLvl w:val="1"/>
    </w:pPr>
  </w:style>
  <w:style w:type="paragraph" w:styleId="Heading3">
    <w:name w:val="heading 3"/>
    <w:basedOn w:val="Normal"/>
    <w:next w:val="Body3"/>
    <w:qFormat/>
    <w:rsid w:val="005C4A8E"/>
    <w:pPr>
      <w:numPr>
        <w:ilvl w:val="2"/>
        <w:numId w:val="1"/>
      </w:numPr>
      <w:ind w:hanging="964"/>
      <w:outlineLvl w:val="2"/>
    </w:pPr>
  </w:style>
  <w:style w:type="paragraph" w:styleId="Heading4">
    <w:name w:val="heading 4"/>
    <w:basedOn w:val="Normal"/>
    <w:next w:val="Body4"/>
    <w:qFormat/>
    <w:rsid w:val="005C4A8E"/>
    <w:pPr>
      <w:numPr>
        <w:ilvl w:val="3"/>
        <w:numId w:val="1"/>
      </w:numPr>
      <w:ind w:left="3623" w:hanging="1219"/>
      <w:outlineLvl w:val="3"/>
    </w:pPr>
  </w:style>
  <w:style w:type="paragraph" w:styleId="Heading5">
    <w:name w:val="heading 5"/>
    <w:basedOn w:val="Normal"/>
    <w:next w:val="Body5"/>
    <w:qFormat/>
    <w:rsid w:val="00C11255"/>
    <w:pPr>
      <w:numPr>
        <w:ilvl w:val="4"/>
        <w:numId w:val="1"/>
      </w:numPr>
      <w:outlineLvl w:val="4"/>
    </w:pPr>
  </w:style>
  <w:style w:type="paragraph" w:styleId="Heading6">
    <w:name w:val="heading 6"/>
    <w:basedOn w:val="Normal"/>
    <w:next w:val="Body6"/>
    <w:qFormat/>
    <w:rsid w:val="00C11255"/>
    <w:pPr>
      <w:numPr>
        <w:ilvl w:val="5"/>
        <w:numId w:val="1"/>
      </w:numPr>
      <w:outlineLvl w:val="5"/>
    </w:pPr>
  </w:style>
  <w:style w:type="paragraph" w:styleId="Heading7">
    <w:name w:val="heading 7"/>
    <w:basedOn w:val="Normal"/>
    <w:next w:val="Body7"/>
    <w:qFormat/>
    <w:rsid w:val="00C11255"/>
    <w:pPr>
      <w:numPr>
        <w:ilvl w:val="6"/>
        <w:numId w:val="1"/>
      </w:numPr>
      <w:outlineLvl w:val="6"/>
    </w:pPr>
  </w:style>
  <w:style w:type="paragraph" w:styleId="Heading8">
    <w:name w:val="heading 8"/>
    <w:basedOn w:val="Normal"/>
    <w:next w:val="Body8"/>
    <w:qFormat/>
    <w:rsid w:val="00C11255"/>
    <w:pPr>
      <w:numPr>
        <w:ilvl w:val="7"/>
        <w:numId w:val="1"/>
      </w:numPr>
      <w:outlineLvl w:val="7"/>
    </w:pPr>
  </w:style>
  <w:style w:type="paragraph" w:styleId="Heading9">
    <w:name w:val="heading 9"/>
    <w:basedOn w:val="Normal"/>
    <w:next w:val="Body9"/>
    <w:qFormat/>
    <w:rsid w:val="00C11255"/>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1255"/>
    <w:pPr>
      <w:tabs>
        <w:tab w:val="center" w:pos="4153"/>
        <w:tab w:val="right" w:pos="8306"/>
      </w:tabs>
    </w:pPr>
  </w:style>
  <w:style w:type="paragraph" w:styleId="Footer">
    <w:name w:val="footer"/>
    <w:basedOn w:val="Normal"/>
    <w:rsid w:val="00C11255"/>
    <w:pPr>
      <w:tabs>
        <w:tab w:val="center" w:pos="4153"/>
        <w:tab w:val="right" w:pos="8306"/>
      </w:tabs>
    </w:pPr>
  </w:style>
  <w:style w:type="character" w:styleId="PageNumber">
    <w:name w:val="page number"/>
    <w:basedOn w:val="DefaultParagraphFont"/>
    <w:rsid w:val="00C11255"/>
    <w:rPr>
      <w:rFonts w:ascii="Arial" w:hAnsi="Arial"/>
      <w:sz w:val="18"/>
    </w:rPr>
  </w:style>
  <w:style w:type="paragraph" w:customStyle="1" w:styleId="Body1">
    <w:name w:val="Body1"/>
    <w:basedOn w:val="Normal"/>
    <w:rsid w:val="00C11255"/>
    <w:pPr>
      <w:ind w:left="720"/>
    </w:pPr>
  </w:style>
  <w:style w:type="paragraph" w:customStyle="1" w:styleId="Body2">
    <w:name w:val="Body2"/>
    <w:basedOn w:val="Normal"/>
    <w:rsid w:val="00C11255"/>
    <w:pPr>
      <w:ind w:left="1440"/>
    </w:pPr>
  </w:style>
  <w:style w:type="paragraph" w:customStyle="1" w:styleId="Body3">
    <w:name w:val="Body3"/>
    <w:basedOn w:val="Normal"/>
    <w:rsid w:val="00C11255"/>
    <w:pPr>
      <w:ind w:left="2404"/>
    </w:pPr>
  </w:style>
  <w:style w:type="paragraph" w:customStyle="1" w:styleId="Body4">
    <w:name w:val="Body4"/>
    <w:basedOn w:val="Normal"/>
    <w:rsid w:val="00C11255"/>
    <w:pPr>
      <w:ind w:left="3617"/>
    </w:pPr>
  </w:style>
  <w:style w:type="paragraph" w:customStyle="1" w:styleId="Body5">
    <w:name w:val="Body5"/>
    <w:basedOn w:val="Normal"/>
    <w:rsid w:val="00C11255"/>
    <w:pPr>
      <w:ind w:left="4349"/>
    </w:pPr>
  </w:style>
  <w:style w:type="paragraph" w:styleId="BodyTextIndent">
    <w:name w:val="Body Text Indent"/>
    <w:basedOn w:val="Normal"/>
    <w:rsid w:val="00C11255"/>
    <w:pPr>
      <w:ind w:left="709"/>
    </w:pPr>
  </w:style>
  <w:style w:type="paragraph" w:customStyle="1" w:styleId="Body6">
    <w:name w:val="Body6"/>
    <w:basedOn w:val="Normal"/>
    <w:rsid w:val="00C11255"/>
    <w:pPr>
      <w:ind w:left="5058"/>
    </w:pPr>
  </w:style>
  <w:style w:type="paragraph" w:customStyle="1" w:styleId="Body7">
    <w:name w:val="Body7"/>
    <w:basedOn w:val="Normal"/>
    <w:rsid w:val="00C11255"/>
    <w:pPr>
      <w:ind w:left="5761"/>
    </w:pPr>
  </w:style>
  <w:style w:type="paragraph" w:customStyle="1" w:styleId="Body8">
    <w:name w:val="Body8"/>
    <w:basedOn w:val="Normal"/>
    <w:rsid w:val="00C11255"/>
    <w:pPr>
      <w:ind w:left="6447"/>
    </w:pPr>
  </w:style>
  <w:style w:type="paragraph" w:customStyle="1" w:styleId="Body9">
    <w:name w:val="Body9"/>
    <w:basedOn w:val="Normal"/>
    <w:rsid w:val="00C11255"/>
    <w:pPr>
      <w:ind w:left="7156"/>
    </w:pPr>
  </w:style>
  <w:style w:type="paragraph" w:styleId="ListBullet">
    <w:name w:val="List Bullet"/>
    <w:basedOn w:val="Normal"/>
    <w:rsid w:val="00C11255"/>
    <w:pPr>
      <w:ind w:left="709" w:hanging="709"/>
    </w:pPr>
  </w:style>
  <w:style w:type="paragraph" w:styleId="ListBullet2">
    <w:name w:val="List Bullet 2"/>
    <w:basedOn w:val="Normal"/>
    <w:rsid w:val="00C11255"/>
    <w:pPr>
      <w:ind w:left="993" w:hanging="709"/>
    </w:pPr>
  </w:style>
  <w:style w:type="paragraph" w:styleId="ListBullet3">
    <w:name w:val="List Bullet 3"/>
    <w:basedOn w:val="Normal"/>
    <w:rsid w:val="00C11255"/>
    <w:pPr>
      <w:ind w:left="1276" w:hanging="709"/>
    </w:pPr>
  </w:style>
  <w:style w:type="paragraph" w:styleId="ListBullet4">
    <w:name w:val="List Bullet 4"/>
    <w:basedOn w:val="Normal"/>
    <w:rsid w:val="00C11255"/>
    <w:pPr>
      <w:ind w:left="1560" w:hanging="709"/>
    </w:pPr>
  </w:style>
  <w:style w:type="paragraph" w:styleId="ListBullet5">
    <w:name w:val="List Bullet 5"/>
    <w:basedOn w:val="Normal"/>
    <w:rsid w:val="00C11255"/>
    <w:pPr>
      <w:ind w:left="1843" w:hanging="709"/>
    </w:pPr>
  </w:style>
  <w:style w:type="paragraph" w:styleId="ListContinue">
    <w:name w:val="List Continue"/>
    <w:basedOn w:val="Normal"/>
    <w:rsid w:val="00C11255"/>
    <w:pPr>
      <w:ind w:left="709"/>
    </w:pPr>
  </w:style>
  <w:style w:type="paragraph" w:styleId="ListContinue2">
    <w:name w:val="List Continue 2"/>
    <w:basedOn w:val="Normal"/>
    <w:rsid w:val="00C11255"/>
    <w:pPr>
      <w:ind w:left="567"/>
    </w:pPr>
  </w:style>
  <w:style w:type="paragraph" w:styleId="ListNumber">
    <w:name w:val="List Number"/>
    <w:basedOn w:val="Normal"/>
    <w:rsid w:val="00C11255"/>
    <w:pPr>
      <w:ind w:left="709" w:hanging="709"/>
    </w:pPr>
  </w:style>
  <w:style w:type="paragraph" w:styleId="ListNumber2">
    <w:name w:val="List Number 2"/>
    <w:basedOn w:val="Normal"/>
    <w:rsid w:val="00C11255"/>
    <w:pPr>
      <w:ind w:left="993" w:hanging="709"/>
    </w:pPr>
  </w:style>
  <w:style w:type="paragraph" w:styleId="ListNumber3">
    <w:name w:val="List Number 3"/>
    <w:basedOn w:val="Normal"/>
    <w:rsid w:val="00C11255"/>
    <w:pPr>
      <w:ind w:left="1276" w:hanging="709"/>
    </w:pPr>
  </w:style>
  <w:style w:type="paragraph" w:styleId="ListNumber4">
    <w:name w:val="List Number 4"/>
    <w:basedOn w:val="Normal"/>
    <w:rsid w:val="00C11255"/>
    <w:pPr>
      <w:ind w:left="1560" w:hanging="709"/>
    </w:pPr>
  </w:style>
  <w:style w:type="paragraph" w:styleId="ListNumber5">
    <w:name w:val="List Number 5"/>
    <w:basedOn w:val="Normal"/>
    <w:rsid w:val="00C11255"/>
    <w:pPr>
      <w:ind w:left="1843" w:hanging="709"/>
    </w:pPr>
  </w:style>
  <w:style w:type="paragraph" w:styleId="BodyText">
    <w:name w:val="Body Text"/>
    <w:basedOn w:val="Normal"/>
    <w:rsid w:val="00C11255"/>
  </w:style>
  <w:style w:type="paragraph" w:customStyle="1" w:styleId="DocSpace">
    <w:name w:val="DocSpace"/>
    <w:basedOn w:val="Normal"/>
    <w:rsid w:val="00C11255"/>
  </w:style>
  <w:style w:type="paragraph" w:customStyle="1" w:styleId="SchTitle">
    <w:name w:val="Sch Title"/>
    <w:next w:val="Normal"/>
    <w:rsid w:val="00C11255"/>
    <w:pPr>
      <w:keepNext/>
      <w:spacing w:before="240" w:after="60"/>
      <w:jc w:val="center"/>
    </w:pPr>
    <w:rPr>
      <w:rFonts w:ascii="Arial" w:hAnsi="Arial"/>
      <w:b/>
      <w:noProof/>
      <w:lang w:eastAsia="en-US"/>
    </w:rPr>
  </w:style>
  <w:style w:type="paragraph" w:customStyle="1" w:styleId="SchedClauses">
    <w:name w:val="Sched Clauses"/>
    <w:basedOn w:val="Normal"/>
    <w:rsid w:val="00C11255"/>
  </w:style>
  <w:style w:type="paragraph" w:customStyle="1" w:styleId="STBody">
    <w:name w:val="STBody"/>
    <w:basedOn w:val="Normal"/>
    <w:rsid w:val="00C11255"/>
    <w:pPr>
      <w:keepNext/>
      <w:jc w:val="center"/>
    </w:pPr>
  </w:style>
  <w:style w:type="character" w:styleId="Hyperlink">
    <w:name w:val="Hyperlink"/>
    <w:basedOn w:val="DefaultParagraphFont"/>
    <w:uiPriority w:val="99"/>
    <w:rsid w:val="00C11255"/>
    <w:rPr>
      <w:color w:val="0000FF"/>
      <w:u w:val="single"/>
    </w:rPr>
  </w:style>
  <w:style w:type="paragraph" w:customStyle="1" w:styleId="SingleSpace">
    <w:name w:val="SingleSpace"/>
    <w:rsid w:val="007F1C02"/>
    <w:pPr>
      <w:tabs>
        <w:tab w:val="left" w:pos="993"/>
      </w:tabs>
    </w:pPr>
    <w:rPr>
      <w:rFonts w:ascii="Arial" w:hAnsi="Arial"/>
      <w:lang w:eastAsia="en-US"/>
    </w:rPr>
  </w:style>
  <w:style w:type="paragraph" w:styleId="BalloonText">
    <w:name w:val="Balloon Text"/>
    <w:basedOn w:val="Normal"/>
    <w:semiHidden/>
    <w:rsid w:val="00697B78"/>
    <w:rPr>
      <w:rFonts w:ascii="Tahoma" w:hAnsi="Tahoma" w:cs="Tahoma"/>
      <w:sz w:val="16"/>
      <w:szCs w:val="16"/>
    </w:rPr>
  </w:style>
  <w:style w:type="paragraph" w:styleId="ListParagraph">
    <w:name w:val="List Paragraph"/>
    <w:basedOn w:val="Normal"/>
    <w:uiPriority w:val="1"/>
    <w:qFormat/>
    <w:rsid w:val="004A76D5"/>
    <w:pPr>
      <w:spacing w:after="0"/>
      <w:ind w:left="720"/>
      <w:contextualSpacing/>
    </w:pPr>
    <w:rPr>
      <w:color w:val="auto"/>
    </w:rPr>
  </w:style>
  <w:style w:type="paragraph" w:styleId="NormalWeb">
    <w:name w:val="Normal (Web)"/>
    <w:basedOn w:val="Normal"/>
    <w:uiPriority w:val="99"/>
    <w:unhideWhenUsed/>
    <w:rsid w:val="004A76D5"/>
    <w:pPr>
      <w:spacing w:before="240" w:after="480" w:line="240" w:lineRule="auto"/>
    </w:pPr>
    <w:rPr>
      <w:rFonts w:ascii="Times New Roman" w:hAnsi="Times New Roman"/>
      <w:color w:val="auto"/>
      <w:sz w:val="24"/>
      <w:szCs w:val="24"/>
      <w:lang w:eastAsia="en-GB"/>
    </w:rPr>
  </w:style>
  <w:style w:type="character" w:styleId="Strong">
    <w:name w:val="Strong"/>
    <w:basedOn w:val="DefaultParagraphFont"/>
    <w:uiPriority w:val="1"/>
    <w:qFormat/>
    <w:rsid w:val="0020398C"/>
    <w:rPr>
      <w:b/>
      <w:bCs/>
    </w:rPr>
  </w:style>
  <w:style w:type="character" w:styleId="FollowedHyperlink">
    <w:name w:val="FollowedHyperlink"/>
    <w:basedOn w:val="DefaultParagraphFont"/>
    <w:semiHidden/>
    <w:unhideWhenUsed/>
    <w:rsid w:val="0020398C"/>
    <w:rPr>
      <w:color w:val="800080" w:themeColor="followedHyperlink"/>
      <w:u w:val="single"/>
    </w:rPr>
  </w:style>
  <w:style w:type="paragraph" w:customStyle="1" w:styleId="Default">
    <w:name w:val="Default"/>
    <w:rsid w:val="005E70E7"/>
    <w:pPr>
      <w:autoSpaceDE w:val="0"/>
      <w:autoSpaceDN w:val="0"/>
      <w:adjustRightInd w:val="0"/>
    </w:pPr>
    <w:rPr>
      <w:rFonts w:ascii="Arial" w:hAnsi="Arial" w:cs="Arial"/>
      <w:color w:val="000000"/>
      <w:sz w:val="24"/>
      <w:szCs w:val="24"/>
    </w:rPr>
  </w:style>
  <w:style w:type="paragraph" w:customStyle="1" w:styleId="Paragraph">
    <w:name w:val="Paragraph"/>
    <w:basedOn w:val="Normal"/>
    <w:uiPriority w:val="4"/>
    <w:qFormat/>
    <w:rsid w:val="000223BD"/>
    <w:pPr>
      <w:numPr>
        <w:numId w:val="4"/>
      </w:numPr>
      <w:spacing w:before="240" w:after="240" w:line="276" w:lineRule="auto"/>
    </w:pPr>
    <w:rPr>
      <w:color w:val="auto"/>
      <w:sz w:val="24"/>
      <w:szCs w:val="24"/>
      <w:lang w:eastAsia="en-GB"/>
    </w:rPr>
  </w:style>
  <w:style w:type="paragraph" w:styleId="Revision">
    <w:name w:val="Revision"/>
    <w:hidden/>
    <w:uiPriority w:val="99"/>
    <w:semiHidden/>
    <w:rsid w:val="000329FE"/>
    <w:rPr>
      <w:rFonts w:ascii="Arial" w:hAnsi="Arial"/>
      <w:color w:val="333333"/>
      <w:lang w:eastAsia="en-US"/>
    </w:rPr>
  </w:style>
  <w:style w:type="character" w:styleId="CommentReference">
    <w:name w:val="annotation reference"/>
    <w:basedOn w:val="DefaultParagraphFont"/>
    <w:uiPriority w:val="99"/>
    <w:semiHidden/>
    <w:unhideWhenUsed/>
    <w:rsid w:val="000329FE"/>
    <w:rPr>
      <w:sz w:val="16"/>
      <w:szCs w:val="16"/>
    </w:rPr>
  </w:style>
  <w:style w:type="paragraph" w:styleId="CommentText">
    <w:name w:val="annotation text"/>
    <w:basedOn w:val="Normal"/>
    <w:link w:val="CommentTextChar"/>
    <w:uiPriority w:val="99"/>
    <w:unhideWhenUsed/>
    <w:rsid w:val="000329FE"/>
    <w:pPr>
      <w:spacing w:line="240" w:lineRule="auto"/>
    </w:pPr>
  </w:style>
  <w:style w:type="character" w:customStyle="1" w:styleId="CommentTextChar">
    <w:name w:val="Comment Text Char"/>
    <w:basedOn w:val="DefaultParagraphFont"/>
    <w:link w:val="CommentText"/>
    <w:uiPriority w:val="99"/>
    <w:rsid w:val="000329FE"/>
    <w:rPr>
      <w:rFonts w:ascii="Arial" w:hAnsi="Arial"/>
      <w:color w:val="333333"/>
      <w:lang w:eastAsia="en-US"/>
    </w:rPr>
  </w:style>
  <w:style w:type="paragraph" w:styleId="CommentSubject">
    <w:name w:val="annotation subject"/>
    <w:basedOn w:val="CommentText"/>
    <w:next w:val="CommentText"/>
    <w:link w:val="CommentSubjectChar"/>
    <w:semiHidden/>
    <w:unhideWhenUsed/>
    <w:rsid w:val="000329FE"/>
    <w:rPr>
      <w:b/>
      <w:bCs/>
    </w:rPr>
  </w:style>
  <w:style w:type="character" w:customStyle="1" w:styleId="CommentSubjectChar">
    <w:name w:val="Comment Subject Char"/>
    <w:basedOn w:val="CommentTextChar"/>
    <w:link w:val="CommentSubject"/>
    <w:semiHidden/>
    <w:rsid w:val="000329FE"/>
    <w:rPr>
      <w:rFonts w:ascii="Arial" w:hAnsi="Arial"/>
      <w:b/>
      <w:bCs/>
      <w:color w:val="333333"/>
      <w:lang w:eastAsia="en-US"/>
    </w:rPr>
  </w:style>
  <w:style w:type="paragraph" w:styleId="FootnoteText">
    <w:name w:val="footnote text"/>
    <w:basedOn w:val="Normal"/>
    <w:link w:val="FootnoteTextChar"/>
    <w:semiHidden/>
    <w:unhideWhenUsed/>
    <w:rsid w:val="00C70019"/>
    <w:pPr>
      <w:spacing w:after="0" w:line="240" w:lineRule="auto"/>
    </w:pPr>
  </w:style>
  <w:style w:type="character" w:customStyle="1" w:styleId="FootnoteTextChar">
    <w:name w:val="Footnote Text Char"/>
    <w:basedOn w:val="DefaultParagraphFont"/>
    <w:link w:val="FootnoteText"/>
    <w:semiHidden/>
    <w:rsid w:val="00C70019"/>
    <w:rPr>
      <w:rFonts w:ascii="Arial" w:hAnsi="Arial"/>
      <w:color w:val="333333"/>
      <w:lang w:eastAsia="en-US"/>
    </w:rPr>
  </w:style>
  <w:style w:type="character" w:styleId="FootnoteReference">
    <w:name w:val="footnote reference"/>
    <w:basedOn w:val="DefaultParagraphFont"/>
    <w:uiPriority w:val="99"/>
    <w:semiHidden/>
    <w:unhideWhenUsed/>
    <w:rsid w:val="00C70019"/>
    <w:rPr>
      <w:vertAlign w:val="superscript"/>
    </w:rPr>
  </w:style>
  <w:style w:type="character" w:customStyle="1" w:styleId="NICEnormalChar">
    <w:name w:val="NICE normal Char"/>
    <w:basedOn w:val="DefaultParagraphFont"/>
    <w:link w:val="NICEnormal"/>
    <w:locked/>
    <w:rsid w:val="00B94A47"/>
    <w:rPr>
      <w:rFonts w:ascii="Arial" w:hAnsi="Arial" w:cs="Arial"/>
      <w:lang w:eastAsia="en-US"/>
    </w:rPr>
  </w:style>
  <w:style w:type="paragraph" w:customStyle="1" w:styleId="NICEnormal">
    <w:name w:val="NICE normal"/>
    <w:basedOn w:val="Normal"/>
    <w:link w:val="NICEnormalChar"/>
    <w:rsid w:val="00B94A47"/>
    <w:pPr>
      <w:spacing w:after="240" w:line="360" w:lineRule="auto"/>
    </w:pPr>
    <w:rPr>
      <w:rFonts w:cs="Arial"/>
      <w:color w:val="auto"/>
    </w:rPr>
  </w:style>
  <w:style w:type="character" w:customStyle="1" w:styleId="HeaderChar">
    <w:name w:val="Header Char"/>
    <w:basedOn w:val="DefaultParagraphFont"/>
    <w:link w:val="Header"/>
    <w:uiPriority w:val="99"/>
    <w:rsid w:val="00491045"/>
    <w:rPr>
      <w:rFonts w:ascii="Arial" w:hAnsi="Arial"/>
      <w:color w:val="333333"/>
      <w:lang w:eastAsia="en-US"/>
    </w:rPr>
  </w:style>
  <w:style w:type="character" w:styleId="UnresolvedMention">
    <w:name w:val="Unresolved Mention"/>
    <w:basedOn w:val="DefaultParagraphFont"/>
    <w:uiPriority w:val="99"/>
    <w:semiHidden/>
    <w:unhideWhenUsed/>
    <w:rsid w:val="00623213"/>
    <w:rPr>
      <w:color w:val="605E5C"/>
      <w:shd w:val="clear" w:color="auto" w:fill="E1DFDD"/>
    </w:rPr>
  </w:style>
  <w:style w:type="paragraph" w:customStyle="1" w:styleId="ParagraphNumbered">
    <w:name w:val="Paragraph Numbered"/>
    <w:basedOn w:val="Normal"/>
    <w:uiPriority w:val="4"/>
    <w:qFormat/>
    <w:rsid w:val="002D2F52"/>
    <w:pPr>
      <w:widowControl w:val="0"/>
      <w:tabs>
        <w:tab w:val="left" w:pos="426"/>
      </w:tabs>
      <w:spacing w:after="240" w:line="360" w:lineRule="auto"/>
      <w:ind w:left="425" w:hanging="425"/>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4286">
      <w:bodyDiv w:val="1"/>
      <w:marLeft w:val="0"/>
      <w:marRight w:val="0"/>
      <w:marTop w:val="0"/>
      <w:marBottom w:val="0"/>
      <w:divBdr>
        <w:top w:val="none" w:sz="0" w:space="0" w:color="auto"/>
        <w:left w:val="none" w:sz="0" w:space="0" w:color="auto"/>
        <w:bottom w:val="none" w:sz="0" w:space="0" w:color="auto"/>
        <w:right w:val="none" w:sz="0" w:space="0" w:color="auto"/>
      </w:divBdr>
    </w:div>
    <w:div w:id="46227694">
      <w:bodyDiv w:val="1"/>
      <w:marLeft w:val="0"/>
      <w:marRight w:val="0"/>
      <w:marTop w:val="0"/>
      <w:marBottom w:val="0"/>
      <w:divBdr>
        <w:top w:val="none" w:sz="0" w:space="0" w:color="auto"/>
        <w:left w:val="none" w:sz="0" w:space="0" w:color="auto"/>
        <w:bottom w:val="none" w:sz="0" w:space="0" w:color="auto"/>
        <w:right w:val="none" w:sz="0" w:space="0" w:color="auto"/>
      </w:divBdr>
    </w:div>
    <w:div w:id="77481885">
      <w:bodyDiv w:val="1"/>
      <w:marLeft w:val="0"/>
      <w:marRight w:val="0"/>
      <w:marTop w:val="0"/>
      <w:marBottom w:val="0"/>
      <w:divBdr>
        <w:top w:val="none" w:sz="0" w:space="0" w:color="auto"/>
        <w:left w:val="none" w:sz="0" w:space="0" w:color="auto"/>
        <w:bottom w:val="none" w:sz="0" w:space="0" w:color="auto"/>
        <w:right w:val="none" w:sz="0" w:space="0" w:color="auto"/>
      </w:divBdr>
    </w:div>
    <w:div w:id="357779098">
      <w:bodyDiv w:val="1"/>
      <w:marLeft w:val="0"/>
      <w:marRight w:val="0"/>
      <w:marTop w:val="0"/>
      <w:marBottom w:val="0"/>
      <w:divBdr>
        <w:top w:val="none" w:sz="0" w:space="0" w:color="auto"/>
        <w:left w:val="none" w:sz="0" w:space="0" w:color="auto"/>
        <w:bottom w:val="none" w:sz="0" w:space="0" w:color="auto"/>
        <w:right w:val="none" w:sz="0" w:space="0" w:color="auto"/>
      </w:divBdr>
    </w:div>
    <w:div w:id="993726166">
      <w:bodyDiv w:val="1"/>
      <w:marLeft w:val="0"/>
      <w:marRight w:val="0"/>
      <w:marTop w:val="0"/>
      <w:marBottom w:val="0"/>
      <w:divBdr>
        <w:top w:val="none" w:sz="0" w:space="0" w:color="auto"/>
        <w:left w:val="none" w:sz="0" w:space="0" w:color="auto"/>
        <w:bottom w:val="none" w:sz="0" w:space="0" w:color="auto"/>
        <w:right w:val="none" w:sz="0" w:space="0" w:color="auto"/>
      </w:divBdr>
    </w:div>
    <w:div w:id="1008215759">
      <w:bodyDiv w:val="1"/>
      <w:marLeft w:val="0"/>
      <w:marRight w:val="0"/>
      <w:marTop w:val="0"/>
      <w:marBottom w:val="0"/>
      <w:divBdr>
        <w:top w:val="none" w:sz="0" w:space="0" w:color="auto"/>
        <w:left w:val="none" w:sz="0" w:space="0" w:color="auto"/>
        <w:bottom w:val="none" w:sz="0" w:space="0" w:color="auto"/>
        <w:right w:val="none" w:sz="0" w:space="0" w:color="auto"/>
      </w:divBdr>
    </w:div>
    <w:div w:id="1180238150">
      <w:bodyDiv w:val="1"/>
      <w:marLeft w:val="0"/>
      <w:marRight w:val="0"/>
      <w:marTop w:val="0"/>
      <w:marBottom w:val="0"/>
      <w:divBdr>
        <w:top w:val="none" w:sz="0" w:space="0" w:color="auto"/>
        <w:left w:val="none" w:sz="0" w:space="0" w:color="auto"/>
        <w:bottom w:val="none" w:sz="0" w:space="0" w:color="auto"/>
        <w:right w:val="none" w:sz="0" w:space="0" w:color="auto"/>
      </w:divBdr>
    </w:div>
    <w:div w:id="1525746716">
      <w:bodyDiv w:val="1"/>
      <w:marLeft w:val="0"/>
      <w:marRight w:val="0"/>
      <w:marTop w:val="0"/>
      <w:marBottom w:val="0"/>
      <w:divBdr>
        <w:top w:val="none" w:sz="0" w:space="0" w:color="auto"/>
        <w:left w:val="none" w:sz="0" w:space="0" w:color="auto"/>
        <w:bottom w:val="none" w:sz="0" w:space="0" w:color="auto"/>
        <w:right w:val="none" w:sz="0" w:space="0" w:color="auto"/>
      </w:divBdr>
    </w:div>
    <w:div w:id="1724055910">
      <w:bodyDiv w:val="1"/>
      <w:marLeft w:val="0"/>
      <w:marRight w:val="0"/>
      <w:marTop w:val="0"/>
      <w:marBottom w:val="0"/>
      <w:divBdr>
        <w:top w:val="none" w:sz="0" w:space="0" w:color="auto"/>
        <w:left w:val="none" w:sz="0" w:space="0" w:color="auto"/>
        <w:bottom w:val="none" w:sz="0" w:space="0" w:color="auto"/>
        <w:right w:val="none" w:sz="0" w:space="0" w:color="auto"/>
      </w:divBdr>
    </w:div>
    <w:div w:id="20554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00E5E64B980D458C754FFE05DEE26D" ma:contentTypeVersion="10" ma:contentTypeDescription="Create a new document." ma:contentTypeScope="" ma:versionID="889b3d9d1cf5d0d6c2c12b21bc0836da">
  <xsd:schema xmlns:xsd="http://www.w3.org/2001/XMLSchema" xmlns:xs="http://www.w3.org/2001/XMLSchema" xmlns:p="http://schemas.microsoft.com/office/2006/metadata/properties" xmlns:ns2="465a54fe-435b-4423-8fe2-c9a3626b31f7" xmlns:ns3="68f19371-ebe6-4483-8e72-73d36cd7064e" targetNamespace="http://schemas.microsoft.com/office/2006/metadata/properties" ma:root="true" ma:fieldsID="50adbc2a1eb477ef22c267c29b62d3cc" ns2:_="" ns3:_="">
    <xsd:import namespace="465a54fe-435b-4423-8fe2-c9a3626b31f7"/>
    <xsd:import namespace="68f19371-ebe6-4483-8e72-73d36cd706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54fe-435b-4423-8fe2-c9a3626b3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f19371-ebe6-4483-8e72-73d36cd7064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62E0F8-82CF-4F6C-A7CD-67E2A2E98D22}">
  <ds:schemaRefs>
    <ds:schemaRef ds:uri="http://schemas.microsoft.com/sharepoint/v3/contenttype/forms"/>
  </ds:schemaRefs>
</ds:datastoreItem>
</file>

<file path=customXml/itemProps2.xml><?xml version="1.0" encoding="utf-8"?>
<ds:datastoreItem xmlns:ds="http://schemas.openxmlformats.org/officeDocument/2006/customXml" ds:itemID="{57D09D1A-2F93-4DF4-A460-5A31056853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DBC4690-7E29-4A0F-8CEE-F11529B33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54fe-435b-4423-8fe2-c9a3626b31f7"/>
    <ds:schemaRef ds:uri="68f19371-ebe6-4483-8e72-73d36cd706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2498</Words>
  <Characters>14243</Characters>
  <Application>Microsoft Office Word</Application>
  <DocSecurity>0</DocSecurity>
  <Lines>118</Lines>
  <Paragraphs>33</Paragraphs>
  <ScaleCrop>false</ScaleCrop>
  <Company/>
  <LinksUpToDate>false</LinksUpToDate>
  <CharactersWithSpaces>16708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Sana Issa</cp:lastModifiedBy>
  <cp:revision>9</cp:revision>
  <dcterms:created xsi:type="dcterms:W3CDTF">2025-06-16T12:57:00Z</dcterms:created>
  <dcterms:modified xsi:type="dcterms:W3CDTF">2025-08-21T14:02:00Z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0x0101003300E5E64B980D458C754FFE05DEE26D</vt:lpwstr>
  </property>
  <property fmtid="{D5CDD505-2E9C-101B-9397-08002B2CF9AE}" pid="3" name="MSIP_Label_c69d85d5-6d9e-4305-a294-1f636ec0f2d6_Enabled">
    <vt:lpwstr>true</vt:lpwstr>
  </property>
  <property fmtid="{D5CDD505-2E9C-101B-9397-08002B2CF9AE}" pid="4" name="MSIP_Label_c69d85d5-6d9e-4305-a294-1f636ec0f2d6_SetDate">
    <vt:lpwstr>2025-06-16T11:08:54Z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a7443cb8-8483-456a-9d19-b4f483b4c932</vt:lpwstr>
  </property>
  <property fmtid="{D5CDD505-2E9C-101B-9397-08002B2CF9AE}" pid="9" name="MSIP_Label_c69d85d5-6d9e-4305-a294-1f636ec0f2d6_ContentBits">
    <vt:lpwstr>0</vt:lpwstr>
  </property>
  <property fmtid="{D5CDD505-2E9C-101B-9397-08002B2CF9AE}" pid="10" name="MSIP_Label_c69d85d5-6d9e-4305-a294-1f636ec0f2d6_Tag">
    <vt:lpwstr>10, 3, 0, 2</vt:lpwstr>
  </property>
</Properties>
</file>