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2219" w14:textId="77777777" w:rsidR="001967F4" w:rsidRPr="00E970E0" w:rsidRDefault="001967F4">
      <w:pPr>
        <w:pStyle w:val="Title"/>
        <w:spacing w:after="240"/>
        <w:rPr>
          <w:rFonts w:cs="Arial"/>
          <w:sz w:val="22"/>
          <w:szCs w:val="22"/>
        </w:rPr>
      </w:pPr>
      <w:r w:rsidRPr="00E970E0">
        <w:rPr>
          <w:rFonts w:cs="Arial"/>
          <w:sz w:val="22"/>
          <w:szCs w:val="22"/>
        </w:rPr>
        <w:t>NATIONAL INSTITUTE FOR</w:t>
      </w:r>
      <w:r w:rsidR="00DF1722" w:rsidRPr="00E970E0">
        <w:rPr>
          <w:rFonts w:cs="Arial"/>
          <w:sz w:val="22"/>
          <w:szCs w:val="22"/>
        </w:rPr>
        <w:t xml:space="preserve"> HEALTH AND</w:t>
      </w:r>
      <w:r w:rsidR="00D345BC" w:rsidRPr="00E970E0">
        <w:rPr>
          <w:rFonts w:cs="Arial"/>
          <w:sz w:val="22"/>
          <w:szCs w:val="22"/>
        </w:rPr>
        <w:t xml:space="preserve"> CARE</w:t>
      </w:r>
      <w:r w:rsidRPr="00E970E0">
        <w:rPr>
          <w:rFonts w:cs="Arial"/>
          <w:sz w:val="22"/>
          <w:szCs w:val="22"/>
        </w:rPr>
        <w:t xml:space="preserve"> EXCELLENCE</w:t>
      </w:r>
    </w:p>
    <w:p w14:paraId="5FBEEE33" w14:textId="77777777" w:rsidR="001967F4" w:rsidRPr="005570C8" w:rsidRDefault="005570C8">
      <w:pPr>
        <w:pStyle w:val="Title"/>
        <w:spacing w:after="240"/>
        <w:rPr>
          <w:rFonts w:cs="Arial"/>
          <w:sz w:val="22"/>
          <w:szCs w:val="22"/>
          <w:lang w:val="en-GB"/>
        </w:rPr>
      </w:pPr>
      <w:r>
        <w:rPr>
          <w:rFonts w:cs="Arial"/>
          <w:sz w:val="22"/>
          <w:szCs w:val="22"/>
          <w:lang w:val="en-GB"/>
        </w:rPr>
        <w:t>Health Technology Evaluation</w:t>
      </w:r>
    </w:p>
    <w:p w14:paraId="54123BA4" w14:textId="77777777" w:rsidR="00C636AE" w:rsidRDefault="00C636AE">
      <w:pPr>
        <w:spacing w:after="240"/>
        <w:jc w:val="center"/>
        <w:rPr>
          <w:rFonts w:cs="Arial"/>
          <w:b/>
          <w:bCs/>
          <w:sz w:val="22"/>
          <w:szCs w:val="22"/>
        </w:rPr>
      </w:pPr>
      <w:bookmarkStart w:id="0" w:name="_Hlk151735140"/>
      <w:r w:rsidRPr="00C636AE">
        <w:rPr>
          <w:rFonts w:cs="Arial"/>
          <w:b/>
          <w:bCs/>
          <w:sz w:val="22"/>
          <w:szCs w:val="22"/>
        </w:rPr>
        <w:t xml:space="preserve">Natalizumab and </w:t>
      </w:r>
      <w:proofErr w:type="spellStart"/>
      <w:r w:rsidRPr="00C636AE">
        <w:rPr>
          <w:rFonts w:cs="Arial"/>
          <w:b/>
          <w:bCs/>
          <w:sz w:val="22"/>
          <w:szCs w:val="22"/>
        </w:rPr>
        <w:t>Tyruko</w:t>
      </w:r>
      <w:proofErr w:type="spellEnd"/>
      <w:r w:rsidRPr="00C636AE">
        <w:rPr>
          <w:rFonts w:cs="Arial"/>
          <w:b/>
          <w:bCs/>
          <w:sz w:val="22"/>
          <w:szCs w:val="22"/>
        </w:rPr>
        <w:t xml:space="preserve"> (natalizumab biosimilar) </w:t>
      </w:r>
      <w:bookmarkEnd w:id="0"/>
      <w:r w:rsidRPr="00C636AE">
        <w:rPr>
          <w:rFonts w:cs="Arial"/>
          <w:b/>
          <w:bCs/>
          <w:sz w:val="22"/>
          <w:szCs w:val="22"/>
        </w:rPr>
        <w:t xml:space="preserve">for treating highly active relapsing-remitting multiple sclerosis after at least one disease modifying </w:t>
      </w:r>
      <w:proofErr w:type="gramStart"/>
      <w:r w:rsidRPr="00C636AE">
        <w:rPr>
          <w:rFonts w:cs="Arial"/>
          <w:b/>
          <w:bCs/>
          <w:sz w:val="22"/>
          <w:szCs w:val="22"/>
        </w:rPr>
        <w:t>therapy</w:t>
      </w:r>
      <w:proofErr w:type="gramEnd"/>
    </w:p>
    <w:p w14:paraId="32D9750F" w14:textId="5E1E8E5B" w:rsidR="001967F4" w:rsidRPr="00E970E0" w:rsidRDefault="00CE2059">
      <w:pPr>
        <w:spacing w:after="240"/>
        <w:jc w:val="center"/>
        <w:rPr>
          <w:rFonts w:cs="Arial"/>
          <w:b/>
          <w:bCs/>
          <w:i/>
          <w:iCs/>
          <w:sz w:val="22"/>
          <w:szCs w:val="22"/>
        </w:rPr>
      </w:pPr>
      <w:r>
        <w:rPr>
          <w:rFonts w:cs="Arial"/>
          <w:b/>
          <w:bCs/>
          <w:sz w:val="22"/>
          <w:szCs w:val="22"/>
        </w:rPr>
        <w:t>Final</w:t>
      </w:r>
      <w:r w:rsidRPr="00E970E0">
        <w:rPr>
          <w:rFonts w:cs="Arial"/>
          <w:b/>
          <w:bCs/>
          <w:sz w:val="22"/>
          <w:szCs w:val="22"/>
        </w:rPr>
        <w:t xml:space="preserve"> </w:t>
      </w:r>
      <w:r w:rsidR="001967F4" w:rsidRPr="00E970E0">
        <w:rPr>
          <w:rFonts w:cs="Arial"/>
          <w:b/>
          <w:bCs/>
          <w:sz w:val="22"/>
          <w:szCs w:val="22"/>
        </w:rPr>
        <w:t>scope</w:t>
      </w:r>
    </w:p>
    <w:p w14:paraId="5B6C9D6F" w14:textId="554813A5" w:rsidR="001967F4" w:rsidRPr="00500945" w:rsidRDefault="00CE2059" w:rsidP="00DC68B6">
      <w:pPr>
        <w:pStyle w:val="Heading1"/>
        <w:rPr>
          <w:rFonts w:cs="Arial"/>
          <w:sz w:val="22"/>
          <w:szCs w:val="22"/>
        </w:rPr>
      </w:pPr>
      <w:r>
        <w:rPr>
          <w:rFonts w:cs="Arial"/>
          <w:sz w:val="22"/>
          <w:szCs w:val="22"/>
          <w:lang w:val="en-GB"/>
        </w:rPr>
        <w:t>Final</w:t>
      </w:r>
      <w:r w:rsidRPr="00500945">
        <w:rPr>
          <w:rFonts w:cs="Arial"/>
          <w:sz w:val="22"/>
          <w:szCs w:val="22"/>
        </w:rPr>
        <w:t xml:space="preserve"> </w:t>
      </w:r>
      <w:r w:rsidR="001967F4" w:rsidRPr="00500945">
        <w:rPr>
          <w:rFonts w:cs="Arial"/>
          <w:sz w:val="22"/>
          <w:szCs w:val="22"/>
        </w:rPr>
        <w:t>remit/</w:t>
      </w:r>
      <w:r w:rsidR="00620044" w:rsidRPr="00500945">
        <w:rPr>
          <w:rFonts w:cs="Arial"/>
          <w:sz w:val="22"/>
          <w:szCs w:val="22"/>
          <w:lang w:val="en-GB"/>
        </w:rPr>
        <w:t>evaluation</w:t>
      </w:r>
      <w:r w:rsidR="00620044" w:rsidRPr="00500945">
        <w:rPr>
          <w:rFonts w:cs="Arial"/>
          <w:sz w:val="22"/>
          <w:szCs w:val="22"/>
        </w:rPr>
        <w:t xml:space="preserve"> </w:t>
      </w:r>
      <w:r w:rsidR="001967F4" w:rsidRPr="00500945">
        <w:rPr>
          <w:rFonts w:cs="Arial"/>
          <w:sz w:val="22"/>
          <w:szCs w:val="22"/>
        </w:rPr>
        <w:t>objective</w:t>
      </w:r>
    </w:p>
    <w:p w14:paraId="70E0951F" w14:textId="492691EF" w:rsidR="00E9238E" w:rsidRPr="00500945" w:rsidRDefault="00E9238E" w:rsidP="00E9238E">
      <w:pPr>
        <w:pStyle w:val="Title"/>
        <w:spacing w:after="240"/>
        <w:jc w:val="left"/>
        <w:rPr>
          <w:rFonts w:cs="Arial"/>
          <w:b w:val="0"/>
          <w:sz w:val="22"/>
          <w:szCs w:val="22"/>
          <w:lang w:val="en-GB"/>
        </w:rPr>
      </w:pPr>
      <w:bookmarkStart w:id="1" w:name="_Hlk43898444"/>
      <w:r w:rsidRPr="00500945">
        <w:rPr>
          <w:rFonts w:cs="Arial"/>
          <w:b w:val="0"/>
          <w:sz w:val="22"/>
          <w:szCs w:val="22"/>
        </w:rPr>
        <w:t xml:space="preserve">To appraise the clinical and cost effectiveness of </w:t>
      </w:r>
      <w:bookmarkEnd w:id="1"/>
      <w:r w:rsidR="00D554F7" w:rsidRPr="00500945">
        <w:rPr>
          <w:rFonts w:cs="Arial"/>
          <w:b w:val="0"/>
          <w:sz w:val="22"/>
          <w:szCs w:val="22"/>
          <w:lang w:val="en-GB"/>
        </w:rPr>
        <w:t>n</w:t>
      </w:r>
      <w:proofErr w:type="spellStart"/>
      <w:r w:rsidR="00D554F7" w:rsidRPr="00500945">
        <w:rPr>
          <w:rFonts w:cs="Arial"/>
          <w:b w:val="0"/>
          <w:sz w:val="22"/>
          <w:szCs w:val="22"/>
        </w:rPr>
        <w:t>atalizumab</w:t>
      </w:r>
      <w:proofErr w:type="spellEnd"/>
      <w:r w:rsidR="00D554F7" w:rsidRPr="00500945">
        <w:rPr>
          <w:rFonts w:cs="Arial"/>
          <w:b w:val="0"/>
          <w:sz w:val="22"/>
          <w:szCs w:val="22"/>
        </w:rPr>
        <w:t xml:space="preserve"> </w:t>
      </w:r>
      <w:r w:rsidR="002532E7" w:rsidRPr="00500945">
        <w:rPr>
          <w:rFonts w:cs="Arial"/>
          <w:b w:val="0"/>
          <w:sz w:val="22"/>
          <w:szCs w:val="22"/>
          <w:lang w:val="en-GB"/>
        </w:rPr>
        <w:t xml:space="preserve">(Tysabri) </w:t>
      </w:r>
      <w:r w:rsidR="00D554F7" w:rsidRPr="00500945">
        <w:rPr>
          <w:rFonts w:cs="Arial"/>
          <w:b w:val="0"/>
          <w:sz w:val="22"/>
          <w:szCs w:val="22"/>
        </w:rPr>
        <w:t xml:space="preserve">and </w:t>
      </w:r>
      <w:r w:rsidR="00F8474D" w:rsidRPr="00500945">
        <w:rPr>
          <w:rFonts w:cs="Arial"/>
          <w:b w:val="0"/>
          <w:sz w:val="22"/>
          <w:szCs w:val="22"/>
        </w:rPr>
        <w:t xml:space="preserve">natalizumab biosimilar </w:t>
      </w:r>
      <w:r w:rsidR="00F8474D">
        <w:rPr>
          <w:rFonts w:cs="Arial"/>
          <w:b w:val="0"/>
          <w:sz w:val="22"/>
          <w:szCs w:val="22"/>
          <w:lang w:val="en-GB"/>
        </w:rPr>
        <w:t>(</w:t>
      </w:r>
      <w:proofErr w:type="spellStart"/>
      <w:r w:rsidR="00D554F7" w:rsidRPr="00500945">
        <w:rPr>
          <w:rFonts w:cs="Arial"/>
          <w:b w:val="0"/>
          <w:sz w:val="22"/>
          <w:szCs w:val="22"/>
        </w:rPr>
        <w:t>Tyruko</w:t>
      </w:r>
      <w:proofErr w:type="spellEnd"/>
      <w:r w:rsidR="00F8474D">
        <w:rPr>
          <w:rFonts w:cs="Arial"/>
          <w:b w:val="0"/>
          <w:sz w:val="22"/>
          <w:szCs w:val="22"/>
          <w:lang w:val="en-GB"/>
        </w:rPr>
        <w:t>)</w:t>
      </w:r>
      <w:r w:rsidR="00D554F7" w:rsidRPr="00500945">
        <w:rPr>
          <w:rFonts w:cs="Arial"/>
          <w:b w:val="0"/>
          <w:sz w:val="22"/>
          <w:szCs w:val="22"/>
        </w:rPr>
        <w:t xml:space="preserve"> </w:t>
      </w:r>
      <w:r w:rsidRPr="00500945">
        <w:rPr>
          <w:rFonts w:cs="Arial"/>
          <w:b w:val="0"/>
          <w:sz w:val="22"/>
          <w:szCs w:val="22"/>
        </w:rPr>
        <w:t xml:space="preserve">within its </w:t>
      </w:r>
      <w:r w:rsidR="00BC25DC" w:rsidRPr="00500945">
        <w:rPr>
          <w:rFonts w:cs="Arial"/>
          <w:b w:val="0"/>
          <w:sz w:val="22"/>
          <w:szCs w:val="22"/>
          <w:lang w:val="en-GB"/>
        </w:rPr>
        <w:t xml:space="preserve">marketing </w:t>
      </w:r>
      <w:r w:rsidR="00774F1E" w:rsidRPr="00500945">
        <w:rPr>
          <w:rFonts w:cs="Arial"/>
          <w:b w:val="0"/>
          <w:sz w:val="22"/>
          <w:szCs w:val="22"/>
          <w:lang w:val="en-GB"/>
        </w:rPr>
        <w:t>authorisation</w:t>
      </w:r>
      <w:r w:rsidRPr="00500945">
        <w:rPr>
          <w:rFonts w:cs="Arial"/>
          <w:b w:val="0"/>
          <w:sz w:val="22"/>
          <w:szCs w:val="22"/>
        </w:rPr>
        <w:t xml:space="preserve"> for </w:t>
      </w:r>
      <w:r w:rsidR="00D554F7" w:rsidRPr="00500945">
        <w:rPr>
          <w:rFonts w:cs="Arial"/>
          <w:b w:val="0"/>
          <w:sz w:val="22"/>
          <w:szCs w:val="22"/>
        </w:rPr>
        <w:t>treating highly active relapsing-remitting multiple sclerosis after at least one disease modifying therapy</w:t>
      </w:r>
      <w:r w:rsidR="00D554F7" w:rsidRPr="00500945">
        <w:rPr>
          <w:rFonts w:cs="Arial"/>
          <w:b w:val="0"/>
          <w:sz w:val="22"/>
          <w:szCs w:val="22"/>
          <w:lang w:val="en-GB"/>
        </w:rPr>
        <w:t>.</w:t>
      </w:r>
    </w:p>
    <w:p w14:paraId="72C5B261" w14:textId="77777777" w:rsidR="000F549C" w:rsidRPr="00500945" w:rsidRDefault="008252AD" w:rsidP="005779DB">
      <w:pPr>
        <w:pStyle w:val="Heading1"/>
        <w:rPr>
          <w:rFonts w:cs="Arial"/>
          <w:sz w:val="22"/>
          <w:szCs w:val="22"/>
        </w:rPr>
      </w:pPr>
      <w:r w:rsidRPr="00500945">
        <w:rPr>
          <w:rFonts w:cs="Arial"/>
          <w:sz w:val="22"/>
          <w:szCs w:val="22"/>
        </w:rPr>
        <w:t>Background</w:t>
      </w:r>
    </w:p>
    <w:p w14:paraId="004C37D2" w14:textId="4BE66C1F" w:rsidR="002B3C74" w:rsidRPr="00500945" w:rsidRDefault="002B3C74" w:rsidP="00534788">
      <w:pPr>
        <w:spacing w:after="240"/>
        <w:rPr>
          <w:rFonts w:cs="Arial"/>
          <w:sz w:val="22"/>
          <w:szCs w:val="22"/>
          <w:lang w:val="x-none"/>
        </w:rPr>
      </w:pPr>
      <w:bookmarkStart w:id="2" w:name="Text71"/>
      <w:r w:rsidRPr="00500945">
        <w:rPr>
          <w:rFonts w:cs="Arial"/>
          <w:sz w:val="22"/>
          <w:szCs w:val="22"/>
          <w:lang w:val="x-none"/>
        </w:rPr>
        <w:t xml:space="preserve">Multiple sclerosis is a chronic neurological condition which affects the brain and spinal cord. It often results in progressive neurological impairment and severe disability. Multiple sclerosis has an unpredictable course which varies in severity and rate of progression. Symptoms can include pain, disturbance to muscle tone including weakness or spasticity, chronic fatigue, unsteady gait, speech problems, incontinence, visual disturbance and cognitive impairment. Relapsing-remitting multiple sclerosis is the most common clinical form of multiple sclerosis. It is characterised by periods of remission (where people may have no symptoms, or they may </w:t>
      </w:r>
      <w:r w:rsidRPr="00500945">
        <w:rPr>
          <w:rFonts w:cs="Arial"/>
          <w:sz w:val="22"/>
          <w:szCs w:val="22"/>
        </w:rPr>
        <w:t xml:space="preserve">be </w:t>
      </w:r>
      <w:r w:rsidRPr="00500945">
        <w:rPr>
          <w:rFonts w:cs="Arial"/>
          <w:sz w:val="22"/>
          <w:szCs w:val="22"/>
          <w:lang w:val="x-none"/>
        </w:rPr>
        <w:t>relativel</w:t>
      </w:r>
      <w:r w:rsidRPr="00500945">
        <w:rPr>
          <w:rFonts w:cs="Arial"/>
          <w:sz w:val="22"/>
          <w:szCs w:val="22"/>
        </w:rPr>
        <w:t>y stable</w:t>
      </w:r>
      <w:r w:rsidRPr="00500945">
        <w:rPr>
          <w:rFonts w:cs="Arial"/>
          <w:sz w:val="22"/>
          <w:szCs w:val="22"/>
          <w:lang w:val="x-none"/>
        </w:rPr>
        <w:t xml:space="preserve">) followed by relapses (which may or may not result in residual disability). </w:t>
      </w:r>
      <w:r w:rsidRPr="00500945">
        <w:rPr>
          <w:rFonts w:cs="Arial"/>
          <w:sz w:val="22"/>
          <w:szCs w:val="22"/>
        </w:rPr>
        <w:t>R</w:t>
      </w:r>
      <w:r w:rsidRPr="00500945">
        <w:rPr>
          <w:rFonts w:cs="Arial"/>
          <w:sz w:val="22"/>
          <w:szCs w:val="22"/>
          <w:lang w:val="x-none"/>
        </w:rPr>
        <w:t>elapsing–remitting</w:t>
      </w:r>
      <w:r w:rsidRPr="00500945">
        <w:rPr>
          <w:rFonts w:cs="Arial"/>
          <w:sz w:val="22"/>
          <w:szCs w:val="22"/>
          <w:lang w:val="en-US"/>
        </w:rPr>
        <w:t xml:space="preserve"> </w:t>
      </w:r>
      <w:r w:rsidRPr="00500945">
        <w:rPr>
          <w:rFonts w:cs="Arial"/>
          <w:sz w:val="22"/>
          <w:szCs w:val="22"/>
          <w:lang w:val="x-none"/>
        </w:rPr>
        <w:t xml:space="preserve">multiple sclerosis </w:t>
      </w:r>
      <w:r w:rsidRPr="00500945">
        <w:rPr>
          <w:rFonts w:cs="Arial"/>
          <w:sz w:val="22"/>
          <w:szCs w:val="22"/>
        </w:rPr>
        <w:t>can progress to</w:t>
      </w:r>
      <w:r w:rsidRPr="00500945">
        <w:rPr>
          <w:rFonts w:cs="Arial"/>
          <w:sz w:val="22"/>
          <w:szCs w:val="22"/>
          <w:lang w:val="x-none"/>
        </w:rPr>
        <w:t xml:space="preserve"> secondary progressive multiple sclerosis</w:t>
      </w:r>
      <w:r w:rsidRPr="00500945">
        <w:rPr>
          <w:rFonts w:cs="Arial"/>
          <w:sz w:val="22"/>
          <w:szCs w:val="22"/>
        </w:rPr>
        <w:t>, which</w:t>
      </w:r>
      <w:r w:rsidRPr="00500945">
        <w:rPr>
          <w:rFonts w:cs="Arial"/>
          <w:sz w:val="22"/>
          <w:szCs w:val="22"/>
          <w:lang w:val="x-none"/>
        </w:rPr>
        <w:t xml:space="preserve"> is characterised by more persistent or gradually increasing disability</w:t>
      </w:r>
      <w:r w:rsidRPr="00500945">
        <w:rPr>
          <w:rFonts w:cs="Arial"/>
          <w:sz w:val="22"/>
          <w:szCs w:val="22"/>
        </w:rPr>
        <w:t>;</w:t>
      </w:r>
      <w:r w:rsidRPr="00500945">
        <w:rPr>
          <w:rFonts w:cs="Arial"/>
          <w:sz w:val="22"/>
          <w:szCs w:val="22"/>
          <w:lang w:val="x-none"/>
        </w:rPr>
        <w:t xml:space="preserve"> some people</w:t>
      </w:r>
      <w:r w:rsidRPr="00500945">
        <w:rPr>
          <w:rFonts w:cs="Arial"/>
          <w:sz w:val="22"/>
          <w:szCs w:val="22"/>
          <w:lang w:val="en-US"/>
        </w:rPr>
        <w:t xml:space="preserve"> with</w:t>
      </w:r>
      <w:r w:rsidRPr="00500945">
        <w:rPr>
          <w:rFonts w:cs="Arial"/>
          <w:sz w:val="22"/>
          <w:szCs w:val="22"/>
          <w:lang w:val="x-none"/>
        </w:rPr>
        <w:t xml:space="preserve"> </w:t>
      </w:r>
      <w:r w:rsidRPr="00500945">
        <w:rPr>
          <w:rFonts w:cs="Arial"/>
          <w:sz w:val="22"/>
          <w:szCs w:val="22"/>
        </w:rPr>
        <w:t xml:space="preserve">secondary progressive disease </w:t>
      </w:r>
      <w:r w:rsidRPr="00500945">
        <w:rPr>
          <w:rFonts w:cs="Arial"/>
          <w:sz w:val="22"/>
          <w:szCs w:val="22"/>
          <w:lang w:val="x-none"/>
        </w:rPr>
        <w:t xml:space="preserve">continue to </w:t>
      </w:r>
      <w:r w:rsidRPr="00500945">
        <w:rPr>
          <w:rFonts w:cs="Arial"/>
          <w:sz w:val="22"/>
          <w:szCs w:val="22"/>
        </w:rPr>
        <w:t>have</w:t>
      </w:r>
      <w:r w:rsidRPr="00500945">
        <w:rPr>
          <w:rFonts w:cs="Arial"/>
          <w:sz w:val="22"/>
          <w:szCs w:val="22"/>
          <w:lang w:val="x-none"/>
        </w:rPr>
        <w:t xml:space="preserve"> relapses.</w:t>
      </w:r>
    </w:p>
    <w:bookmarkEnd w:id="2"/>
    <w:p w14:paraId="7FD31C5F" w14:textId="42A7C8B2" w:rsidR="00534788" w:rsidRPr="00500945" w:rsidRDefault="00534788" w:rsidP="00534788">
      <w:pPr>
        <w:spacing w:after="240"/>
        <w:rPr>
          <w:sz w:val="22"/>
          <w:szCs w:val="22"/>
        </w:rPr>
      </w:pPr>
      <w:r w:rsidRPr="00500945">
        <w:rPr>
          <w:sz w:val="22"/>
          <w:szCs w:val="22"/>
        </w:rPr>
        <w:t>Over 130,000 people in the UK have multiple sclerosis, and about 7,000 people are diagnosed each year.</w:t>
      </w:r>
      <w:r w:rsidRPr="00500945">
        <w:rPr>
          <w:sz w:val="22"/>
          <w:szCs w:val="22"/>
          <w:vertAlign w:val="superscript"/>
        </w:rPr>
        <w:t>1</w:t>
      </w:r>
      <w:r w:rsidRPr="00500945">
        <w:rPr>
          <w:sz w:val="22"/>
          <w:szCs w:val="22"/>
        </w:rPr>
        <w:t xml:space="preserve"> Approximately 85% of people are diagnosed with relapsing–remitting multiple sclerosis</w:t>
      </w:r>
      <w:r w:rsidR="00F766A8" w:rsidRPr="00500945">
        <w:rPr>
          <w:sz w:val="22"/>
          <w:szCs w:val="22"/>
        </w:rPr>
        <w:t>,</w:t>
      </w:r>
      <w:r w:rsidRPr="00500945">
        <w:rPr>
          <w:sz w:val="22"/>
          <w:szCs w:val="22"/>
          <w:vertAlign w:val="superscript"/>
        </w:rPr>
        <w:t>2</w:t>
      </w:r>
      <w:r w:rsidRPr="00500945">
        <w:rPr>
          <w:sz w:val="22"/>
          <w:szCs w:val="22"/>
        </w:rPr>
        <w:t xml:space="preserve"> and around 50% of people transition to secondary progressive multiple sclerosis within 20 years.</w:t>
      </w:r>
      <w:r w:rsidR="00F766A8" w:rsidRPr="00500945">
        <w:rPr>
          <w:sz w:val="22"/>
          <w:szCs w:val="22"/>
          <w:vertAlign w:val="superscript"/>
        </w:rPr>
        <w:t>3</w:t>
      </w:r>
      <w:r w:rsidRPr="00500945">
        <w:rPr>
          <w:sz w:val="22"/>
          <w:szCs w:val="22"/>
        </w:rPr>
        <w:t xml:space="preserve"> A small number of people are diagnosed with secondary progressive multiple sclerosis without a previous diagnosis of relapsing–remitting multiple sclerosis.</w:t>
      </w:r>
    </w:p>
    <w:p w14:paraId="2E66C05D" w14:textId="2A9E670D" w:rsidR="00591883" w:rsidRPr="00500945" w:rsidRDefault="002B3C74" w:rsidP="00534788">
      <w:pPr>
        <w:spacing w:after="240"/>
        <w:rPr>
          <w:rFonts w:cs="Arial"/>
          <w:sz w:val="22"/>
          <w:szCs w:val="22"/>
          <w:lang w:val="x-none"/>
        </w:rPr>
      </w:pPr>
      <w:r w:rsidRPr="00500945">
        <w:rPr>
          <w:rFonts w:cs="Arial"/>
          <w:sz w:val="22"/>
          <w:szCs w:val="22"/>
          <w:lang w:val="x-none"/>
        </w:rPr>
        <w:t xml:space="preserve">Current pharmacological management of </w:t>
      </w:r>
      <w:r w:rsidRPr="00500945">
        <w:rPr>
          <w:rFonts w:cs="Arial"/>
          <w:sz w:val="22"/>
          <w:szCs w:val="22"/>
        </w:rPr>
        <w:t xml:space="preserve">relapsing–remitting </w:t>
      </w:r>
      <w:r w:rsidRPr="00500945">
        <w:rPr>
          <w:rFonts w:cs="Arial"/>
          <w:sz w:val="22"/>
          <w:szCs w:val="22"/>
          <w:lang w:val="x-none"/>
        </w:rPr>
        <w:t xml:space="preserve">multiple sclerosis includes disease-modifying agents to reduce the frequency and severity of relapses and the rate of disease progression. </w:t>
      </w:r>
    </w:p>
    <w:p w14:paraId="4C4127EA" w14:textId="0FB06A38" w:rsidR="002B3C74" w:rsidRPr="00500945" w:rsidRDefault="002B3C74" w:rsidP="00591883">
      <w:pPr>
        <w:spacing w:after="240"/>
        <w:rPr>
          <w:rFonts w:cs="Arial"/>
          <w:sz w:val="22"/>
          <w:szCs w:val="22"/>
          <w:lang w:val="x-none"/>
        </w:rPr>
      </w:pPr>
      <w:r w:rsidRPr="00500945">
        <w:rPr>
          <w:rFonts w:cs="Arial"/>
          <w:sz w:val="22"/>
          <w:szCs w:val="22"/>
        </w:rPr>
        <w:t xml:space="preserve">NICE recommends the following treatment options </w:t>
      </w:r>
      <w:r w:rsidRPr="00500945">
        <w:rPr>
          <w:rFonts w:cs="Arial"/>
          <w:sz w:val="22"/>
          <w:szCs w:val="22"/>
          <w:lang w:val="en-US"/>
        </w:rPr>
        <w:t xml:space="preserve">for previously treated </w:t>
      </w:r>
      <w:r w:rsidR="00FE2BF5" w:rsidRPr="00500945">
        <w:rPr>
          <w:rFonts w:cs="Arial"/>
          <w:sz w:val="22"/>
          <w:szCs w:val="22"/>
          <w:lang w:val="en-US"/>
        </w:rPr>
        <w:t xml:space="preserve">highly active </w:t>
      </w:r>
      <w:r w:rsidRPr="00500945">
        <w:rPr>
          <w:rFonts w:cs="Arial"/>
          <w:sz w:val="22"/>
          <w:szCs w:val="22"/>
          <w:lang w:val="en-US"/>
        </w:rPr>
        <w:t>relapsing–remitting multiple sclerosis</w:t>
      </w:r>
      <w:r w:rsidRPr="00500945">
        <w:rPr>
          <w:rFonts w:cs="Arial"/>
          <w:sz w:val="22"/>
          <w:szCs w:val="22"/>
        </w:rPr>
        <w:t>:</w:t>
      </w:r>
    </w:p>
    <w:p w14:paraId="4F8BDBAE" w14:textId="4841AB04" w:rsidR="00FD0104" w:rsidRPr="00500945" w:rsidRDefault="00FD0104" w:rsidP="00120F0E">
      <w:pPr>
        <w:pStyle w:val="BodyText"/>
        <w:numPr>
          <w:ilvl w:val="0"/>
          <w:numId w:val="7"/>
        </w:numPr>
        <w:rPr>
          <w:rFonts w:cs="Arial"/>
          <w:sz w:val="22"/>
          <w:szCs w:val="22"/>
          <w:lang w:val="en-GB"/>
        </w:rPr>
      </w:pPr>
      <w:r w:rsidRPr="00500945">
        <w:rPr>
          <w:rFonts w:cs="Arial"/>
          <w:sz w:val="22"/>
          <w:szCs w:val="22"/>
          <w:lang w:val="en-GB"/>
        </w:rPr>
        <w:t xml:space="preserve">ponesimod and </w:t>
      </w:r>
      <w:r w:rsidR="00500945" w:rsidRPr="00500945">
        <w:rPr>
          <w:sz w:val="22"/>
          <w:szCs w:val="22"/>
          <w:lang w:val="en-GB"/>
        </w:rPr>
        <w:t>o</w:t>
      </w:r>
      <w:proofErr w:type="spellStart"/>
      <w:r w:rsidRPr="00500945">
        <w:rPr>
          <w:rFonts w:cs="Arial"/>
          <w:sz w:val="22"/>
          <w:szCs w:val="22"/>
        </w:rPr>
        <w:t>fatumumab</w:t>
      </w:r>
      <w:proofErr w:type="spellEnd"/>
      <w:r w:rsidRPr="00500945">
        <w:rPr>
          <w:rFonts w:cs="Arial"/>
          <w:sz w:val="22"/>
          <w:szCs w:val="22"/>
        </w:rPr>
        <w:t xml:space="preserve"> </w:t>
      </w:r>
      <w:r w:rsidRPr="00500945">
        <w:rPr>
          <w:rFonts w:cs="Arial"/>
          <w:sz w:val="22"/>
          <w:szCs w:val="22"/>
          <w:lang w:val="en-GB"/>
        </w:rPr>
        <w:t>for active relapsing–remitting multiple sclerosis (</w:t>
      </w:r>
      <w:hyperlink r:id="rId8" w:history="1">
        <w:r w:rsidRPr="00500945">
          <w:rPr>
            <w:rStyle w:val="Hyperlink"/>
            <w:rFonts w:cs="Arial"/>
            <w:sz w:val="22"/>
            <w:szCs w:val="22"/>
            <w:lang w:val="en-GB"/>
          </w:rPr>
          <w:t>NICE TA76</w:t>
        </w:r>
      </w:hyperlink>
      <w:r w:rsidR="00A045A8">
        <w:rPr>
          <w:rStyle w:val="Hyperlink"/>
          <w:rFonts w:cs="Arial"/>
          <w:sz w:val="22"/>
          <w:szCs w:val="22"/>
          <w:lang w:val="en-GB"/>
        </w:rPr>
        <w:t>7</w:t>
      </w:r>
      <w:r w:rsidR="00A045A8">
        <w:rPr>
          <w:rFonts w:cs="Arial"/>
          <w:sz w:val="22"/>
          <w:szCs w:val="22"/>
          <w:lang w:val="en-GB"/>
        </w:rPr>
        <w:t xml:space="preserve"> and </w:t>
      </w:r>
      <w:hyperlink r:id="rId9" w:history="1">
        <w:r w:rsidR="00A045A8" w:rsidRPr="00A045A8">
          <w:rPr>
            <w:rStyle w:val="Hyperlink"/>
            <w:rFonts w:cs="Arial"/>
            <w:sz w:val="22"/>
            <w:szCs w:val="22"/>
            <w:lang w:val="en-GB"/>
          </w:rPr>
          <w:t>NICE TA699</w:t>
        </w:r>
      </w:hyperlink>
      <w:r w:rsidR="00A045A8">
        <w:rPr>
          <w:rFonts w:cs="Arial"/>
          <w:sz w:val="22"/>
          <w:szCs w:val="22"/>
          <w:lang w:val="en-GB"/>
        </w:rPr>
        <w:t>)</w:t>
      </w:r>
    </w:p>
    <w:p w14:paraId="3C667C31" w14:textId="30ABF2BC" w:rsidR="00534788" w:rsidRPr="00500945" w:rsidRDefault="00534788" w:rsidP="00120F0E">
      <w:pPr>
        <w:pStyle w:val="BodyText"/>
        <w:numPr>
          <w:ilvl w:val="0"/>
          <w:numId w:val="7"/>
        </w:numPr>
        <w:rPr>
          <w:rFonts w:cs="Arial"/>
          <w:sz w:val="22"/>
          <w:szCs w:val="22"/>
          <w:lang w:val="en-GB"/>
        </w:rPr>
      </w:pPr>
      <w:r w:rsidRPr="00500945">
        <w:rPr>
          <w:rFonts w:cs="Arial"/>
          <w:sz w:val="22"/>
          <w:szCs w:val="22"/>
          <w:lang w:val="en-GB"/>
        </w:rPr>
        <w:t>cladribine tablets for treating highly active multiple sclerosis only if the person has rapidly evolving severe relapsing–remitting disease or disease that has responded inadequately to treatment with disease-modifying therapy (</w:t>
      </w:r>
      <w:hyperlink r:id="rId10" w:history="1">
        <w:r w:rsidRPr="00500945">
          <w:rPr>
            <w:rStyle w:val="Hyperlink"/>
            <w:rFonts w:cs="Arial"/>
            <w:sz w:val="22"/>
            <w:szCs w:val="22"/>
            <w:lang w:val="en-GB"/>
          </w:rPr>
          <w:t>NICE TA616</w:t>
        </w:r>
      </w:hyperlink>
      <w:r w:rsidRPr="00500945">
        <w:rPr>
          <w:rFonts w:cs="Arial"/>
          <w:sz w:val="22"/>
          <w:szCs w:val="22"/>
          <w:lang w:val="en-GB"/>
        </w:rPr>
        <w:t>).</w:t>
      </w:r>
    </w:p>
    <w:p w14:paraId="7AA52218" w14:textId="108A76CA" w:rsidR="002B3C74" w:rsidRPr="00500945" w:rsidRDefault="002B3C74" w:rsidP="00120F0E">
      <w:pPr>
        <w:pStyle w:val="BodyText"/>
        <w:numPr>
          <w:ilvl w:val="0"/>
          <w:numId w:val="7"/>
        </w:numPr>
        <w:rPr>
          <w:rFonts w:cs="Arial"/>
          <w:sz w:val="22"/>
          <w:szCs w:val="22"/>
        </w:rPr>
      </w:pPr>
      <w:r w:rsidRPr="00500945">
        <w:rPr>
          <w:rFonts w:cs="Arial"/>
          <w:sz w:val="22"/>
          <w:szCs w:val="22"/>
          <w:lang w:val="en-GB"/>
        </w:rPr>
        <w:lastRenderedPageBreak/>
        <w:t>o</w:t>
      </w:r>
      <w:proofErr w:type="spellStart"/>
      <w:r w:rsidRPr="00500945">
        <w:rPr>
          <w:rFonts w:cs="Arial"/>
          <w:sz w:val="22"/>
          <w:szCs w:val="22"/>
        </w:rPr>
        <w:t>crelizumab</w:t>
      </w:r>
      <w:proofErr w:type="spellEnd"/>
      <w:r w:rsidRPr="00500945">
        <w:rPr>
          <w:rFonts w:cs="Arial"/>
          <w:sz w:val="22"/>
          <w:szCs w:val="22"/>
          <w:lang w:val="en-GB"/>
        </w:rPr>
        <w:t xml:space="preserve"> </w:t>
      </w:r>
      <w:r w:rsidR="00FD0104" w:rsidRPr="00500945">
        <w:rPr>
          <w:rFonts w:cs="Arial"/>
          <w:sz w:val="22"/>
          <w:szCs w:val="22"/>
          <w:lang w:val="en-GB"/>
        </w:rPr>
        <w:t xml:space="preserve">and </w:t>
      </w:r>
      <w:r w:rsidR="00FD0104" w:rsidRPr="00500945">
        <w:rPr>
          <w:sz w:val="22"/>
          <w:szCs w:val="22"/>
        </w:rPr>
        <w:t>o</w:t>
      </w:r>
      <w:r w:rsidR="00FD0104" w:rsidRPr="00500945">
        <w:rPr>
          <w:rFonts w:cs="Arial"/>
          <w:sz w:val="22"/>
          <w:szCs w:val="22"/>
        </w:rPr>
        <w:t xml:space="preserve">fatumumab </w:t>
      </w:r>
      <w:r w:rsidRPr="00500945">
        <w:rPr>
          <w:rFonts w:cs="Arial"/>
          <w:sz w:val="22"/>
          <w:szCs w:val="22"/>
          <w:lang w:val="en-GB"/>
        </w:rPr>
        <w:t>for active relapsing–remitting multiple sclerosis only if alemtuzumab is contraindicated or otherwise unsuitable (</w:t>
      </w:r>
      <w:hyperlink r:id="rId11" w:history="1">
        <w:r w:rsidRPr="00500945">
          <w:rPr>
            <w:rStyle w:val="Hyperlink"/>
            <w:rFonts w:cs="Arial"/>
            <w:sz w:val="22"/>
            <w:szCs w:val="22"/>
            <w:lang w:val="en-GB"/>
          </w:rPr>
          <w:t>NICE TA533</w:t>
        </w:r>
      </w:hyperlink>
      <w:r w:rsidR="00FD0104" w:rsidRPr="00500945">
        <w:rPr>
          <w:rFonts w:cs="Arial"/>
          <w:sz w:val="22"/>
          <w:szCs w:val="22"/>
          <w:lang w:val="en-GB"/>
        </w:rPr>
        <w:t xml:space="preserve"> and </w:t>
      </w:r>
      <w:hyperlink r:id="rId12" w:history="1">
        <w:r w:rsidR="00FD0104" w:rsidRPr="00500945">
          <w:rPr>
            <w:rStyle w:val="Hyperlink"/>
            <w:rFonts w:cs="Arial"/>
            <w:sz w:val="22"/>
            <w:szCs w:val="22"/>
            <w:lang w:val="en-GB"/>
          </w:rPr>
          <w:t>NICE TA706</w:t>
        </w:r>
      </w:hyperlink>
      <w:r w:rsidR="00FD0104" w:rsidRPr="00500945">
        <w:rPr>
          <w:rFonts w:cs="Arial"/>
          <w:sz w:val="22"/>
          <w:szCs w:val="22"/>
          <w:lang w:val="en-GB"/>
        </w:rPr>
        <w:t xml:space="preserve">) </w:t>
      </w:r>
    </w:p>
    <w:p w14:paraId="2C19F266" w14:textId="47A478E0" w:rsidR="002B3C74" w:rsidRPr="00500945" w:rsidRDefault="002B3C74" w:rsidP="00120F0E">
      <w:pPr>
        <w:pStyle w:val="BodyText"/>
        <w:numPr>
          <w:ilvl w:val="0"/>
          <w:numId w:val="7"/>
        </w:numPr>
        <w:ind w:left="714" w:hanging="357"/>
        <w:rPr>
          <w:rFonts w:cs="Arial"/>
          <w:sz w:val="22"/>
          <w:szCs w:val="22"/>
        </w:rPr>
      </w:pPr>
      <w:r w:rsidRPr="00500945">
        <w:rPr>
          <w:rFonts w:cs="Arial"/>
          <w:sz w:val="22"/>
          <w:szCs w:val="22"/>
        </w:rPr>
        <w:t xml:space="preserve">alemtuzumab for </w:t>
      </w:r>
      <w:r w:rsidRPr="00500945">
        <w:rPr>
          <w:rFonts w:cs="Arial"/>
          <w:sz w:val="22"/>
          <w:szCs w:val="22"/>
          <w:lang w:val="en-GB"/>
        </w:rPr>
        <w:t xml:space="preserve">highly </w:t>
      </w:r>
      <w:r w:rsidRPr="00500945">
        <w:rPr>
          <w:rFonts w:cs="Arial"/>
          <w:sz w:val="22"/>
          <w:szCs w:val="22"/>
        </w:rPr>
        <w:t>active relapsing–remitting multiple sclerosis</w:t>
      </w:r>
      <w:r w:rsidRPr="00500945">
        <w:rPr>
          <w:sz w:val="22"/>
          <w:szCs w:val="22"/>
          <w:lang w:val="en-GB"/>
        </w:rPr>
        <w:t xml:space="preserve"> </w:t>
      </w:r>
      <w:r w:rsidRPr="00500945">
        <w:rPr>
          <w:rFonts w:cs="Arial"/>
          <w:sz w:val="22"/>
          <w:szCs w:val="22"/>
        </w:rPr>
        <w:t>despite a full and adequate course of treatment with at least 1 disease-modifying therapy (</w:t>
      </w:r>
      <w:hyperlink r:id="rId13" w:history="1">
        <w:r w:rsidR="00534788" w:rsidRPr="00500945">
          <w:rPr>
            <w:rStyle w:val="Hyperlink"/>
            <w:rFonts w:cs="Arial"/>
            <w:sz w:val="22"/>
            <w:szCs w:val="22"/>
            <w:lang w:val="en-GB"/>
          </w:rPr>
          <w:t>NICE T</w:t>
        </w:r>
        <w:r w:rsidRPr="00500945">
          <w:rPr>
            <w:rStyle w:val="Hyperlink"/>
            <w:rFonts w:cs="Arial"/>
            <w:sz w:val="22"/>
            <w:szCs w:val="22"/>
            <w:lang w:val="en-GB"/>
          </w:rPr>
          <w:t>A</w:t>
        </w:r>
        <w:r w:rsidRPr="00500945">
          <w:rPr>
            <w:rStyle w:val="Hyperlink"/>
            <w:rFonts w:cs="Arial"/>
            <w:sz w:val="22"/>
            <w:szCs w:val="22"/>
          </w:rPr>
          <w:t>312</w:t>
        </w:r>
      </w:hyperlink>
      <w:r w:rsidRPr="00500945">
        <w:rPr>
          <w:rFonts w:cs="Arial"/>
          <w:sz w:val="22"/>
          <w:szCs w:val="22"/>
          <w:lang w:val="en-GB"/>
        </w:rPr>
        <w:t>)</w:t>
      </w:r>
    </w:p>
    <w:p w14:paraId="7A74FA4F" w14:textId="77777777" w:rsidR="002B3C74" w:rsidRPr="00500945" w:rsidRDefault="002B3C74" w:rsidP="00120F0E">
      <w:pPr>
        <w:pStyle w:val="BodyText"/>
        <w:numPr>
          <w:ilvl w:val="0"/>
          <w:numId w:val="7"/>
        </w:numPr>
        <w:rPr>
          <w:rFonts w:cs="Arial"/>
          <w:sz w:val="22"/>
          <w:szCs w:val="22"/>
        </w:rPr>
      </w:pPr>
      <w:r w:rsidRPr="00500945">
        <w:rPr>
          <w:rFonts w:cs="Arial"/>
          <w:sz w:val="22"/>
          <w:szCs w:val="22"/>
        </w:rPr>
        <w:t>fingolimod for highly active relapsing</w:t>
      </w:r>
      <w:r w:rsidRPr="00500945">
        <w:rPr>
          <w:rFonts w:cs="Arial"/>
          <w:sz w:val="22"/>
          <w:szCs w:val="22"/>
          <w:lang w:val="en-US"/>
        </w:rPr>
        <w:t>–</w:t>
      </w:r>
      <w:r w:rsidRPr="00500945">
        <w:rPr>
          <w:rFonts w:cs="Arial"/>
          <w:sz w:val="22"/>
          <w:szCs w:val="22"/>
        </w:rPr>
        <w:t>remitting multiple sclerosis in adults who have an unchanged or increased relapse rate or ongoing severe relapses compared with the previous year despite treatment with beta interferon (</w:t>
      </w:r>
      <w:hyperlink r:id="rId14" w:history="1">
        <w:r w:rsidRPr="00500945">
          <w:rPr>
            <w:rStyle w:val="Hyperlink"/>
            <w:rFonts w:cs="Arial"/>
            <w:sz w:val="22"/>
            <w:szCs w:val="22"/>
            <w:lang w:val="en-GB"/>
          </w:rPr>
          <w:t>NICE TA</w:t>
        </w:r>
        <w:r w:rsidRPr="00500945">
          <w:rPr>
            <w:rStyle w:val="Hyperlink"/>
            <w:rFonts w:cs="Arial"/>
            <w:sz w:val="22"/>
            <w:szCs w:val="22"/>
          </w:rPr>
          <w:t>254</w:t>
        </w:r>
      </w:hyperlink>
      <w:r w:rsidRPr="00500945">
        <w:rPr>
          <w:rFonts w:cs="Arial"/>
          <w:sz w:val="22"/>
          <w:szCs w:val="22"/>
        </w:rPr>
        <w:t xml:space="preserve">) </w:t>
      </w:r>
    </w:p>
    <w:p w14:paraId="36F531D2" w14:textId="77777777" w:rsidR="00B768BF" w:rsidRPr="00500945" w:rsidRDefault="005779DB" w:rsidP="005779DB">
      <w:pPr>
        <w:pStyle w:val="Heading1"/>
        <w:rPr>
          <w:rFonts w:cs="Arial"/>
          <w:sz w:val="22"/>
          <w:szCs w:val="22"/>
        </w:rPr>
      </w:pPr>
      <w:r w:rsidRPr="00500945">
        <w:rPr>
          <w:rFonts w:cs="Arial"/>
          <w:sz w:val="22"/>
          <w:szCs w:val="22"/>
        </w:rPr>
        <w:t>The technology</w:t>
      </w:r>
    </w:p>
    <w:p w14:paraId="6884659B" w14:textId="1A07FF38" w:rsidR="002B3C74" w:rsidRPr="00500945" w:rsidRDefault="002B3C74">
      <w:pPr>
        <w:rPr>
          <w:sz w:val="22"/>
          <w:szCs w:val="22"/>
        </w:rPr>
      </w:pPr>
      <w:r w:rsidRPr="00500945">
        <w:rPr>
          <w:sz w:val="22"/>
          <w:szCs w:val="22"/>
        </w:rPr>
        <w:t>Natalizumab (Tysabri, Biogen) and natalizumab biosimilar (</w:t>
      </w:r>
      <w:proofErr w:type="spellStart"/>
      <w:r w:rsidRPr="00500945">
        <w:rPr>
          <w:sz w:val="22"/>
          <w:szCs w:val="22"/>
        </w:rPr>
        <w:t>Tyruko</w:t>
      </w:r>
      <w:proofErr w:type="spellEnd"/>
      <w:r w:rsidRPr="00500945">
        <w:rPr>
          <w:sz w:val="22"/>
          <w:szCs w:val="22"/>
        </w:rPr>
        <w:t>, Sandoz) have been licensed as single disease modifying therapy in adults with highly active relapsing remitting multiple sclerosis for the following people:</w:t>
      </w:r>
    </w:p>
    <w:p w14:paraId="3A3AD961" w14:textId="77777777" w:rsidR="002B3C74" w:rsidRPr="00500945" w:rsidRDefault="002B3C74">
      <w:pPr>
        <w:rPr>
          <w:sz w:val="22"/>
          <w:szCs w:val="22"/>
        </w:rPr>
      </w:pPr>
    </w:p>
    <w:p w14:paraId="7048B2E0" w14:textId="77777777" w:rsidR="00591883" w:rsidRPr="00500945" w:rsidRDefault="00591883" w:rsidP="00591883">
      <w:pPr>
        <w:rPr>
          <w:sz w:val="22"/>
          <w:szCs w:val="22"/>
        </w:rPr>
      </w:pPr>
    </w:p>
    <w:p w14:paraId="3003276C" w14:textId="77777777" w:rsidR="00591883" w:rsidRPr="00500945" w:rsidRDefault="00591883" w:rsidP="00120F0E">
      <w:pPr>
        <w:pStyle w:val="ListParagraph"/>
        <w:numPr>
          <w:ilvl w:val="0"/>
          <w:numId w:val="8"/>
        </w:numPr>
        <w:rPr>
          <w:sz w:val="22"/>
          <w:szCs w:val="22"/>
        </w:rPr>
      </w:pPr>
      <w:r w:rsidRPr="00500945">
        <w:rPr>
          <w:sz w:val="22"/>
          <w:szCs w:val="22"/>
        </w:rPr>
        <w:t>People with rapidly evolving severe RRMS defined by 2 or more disabling relapses in one year, and with 1 or more Gadolinium enhancing lesions on brain Magnetic Resonance Imaging (MRI) or a significant increase in T2 lesion load as compared to a previous recent MRI.</w:t>
      </w:r>
    </w:p>
    <w:p w14:paraId="15241431" w14:textId="77777777" w:rsidR="002B3C74" w:rsidRPr="00500945" w:rsidRDefault="002B3C74">
      <w:pPr>
        <w:rPr>
          <w:sz w:val="22"/>
          <w:szCs w:val="22"/>
        </w:rPr>
      </w:pPr>
    </w:p>
    <w:p w14:paraId="24275C2B" w14:textId="77777777" w:rsidR="002B3C74" w:rsidRPr="00500945" w:rsidRDefault="002B3C74">
      <w:pPr>
        <w:rPr>
          <w:sz w:val="22"/>
          <w:szCs w:val="22"/>
        </w:rPr>
      </w:pPr>
      <w:r w:rsidRPr="00500945">
        <w:rPr>
          <w:sz w:val="22"/>
          <w:szCs w:val="22"/>
        </w:rPr>
        <w:t>OR</w:t>
      </w:r>
    </w:p>
    <w:p w14:paraId="15079239" w14:textId="77777777" w:rsidR="002B3C74" w:rsidRPr="00500945" w:rsidRDefault="002B3C74">
      <w:pPr>
        <w:rPr>
          <w:sz w:val="22"/>
          <w:szCs w:val="22"/>
        </w:rPr>
      </w:pPr>
    </w:p>
    <w:p w14:paraId="61D92F7B" w14:textId="77777777" w:rsidR="00591883" w:rsidRPr="00500945" w:rsidRDefault="00591883" w:rsidP="00591883">
      <w:pPr>
        <w:pStyle w:val="ListParagraph"/>
        <w:rPr>
          <w:sz w:val="22"/>
          <w:szCs w:val="22"/>
        </w:rPr>
      </w:pPr>
    </w:p>
    <w:p w14:paraId="507F30AA" w14:textId="77777777" w:rsidR="00591883" w:rsidRPr="00500945" w:rsidRDefault="00591883" w:rsidP="00120F0E">
      <w:pPr>
        <w:pStyle w:val="ListParagraph"/>
        <w:numPr>
          <w:ilvl w:val="0"/>
          <w:numId w:val="8"/>
        </w:numPr>
        <w:rPr>
          <w:sz w:val="22"/>
          <w:szCs w:val="22"/>
        </w:rPr>
      </w:pPr>
      <w:r w:rsidRPr="00500945">
        <w:rPr>
          <w:sz w:val="22"/>
          <w:szCs w:val="22"/>
        </w:rPr>
        <w:t xml:space="preserve">People with highly active disease despite a full and adequate course of treatment with at least one disease modifying </w:t>
      </w:r>
      <w:proofErr w:type="gramStart"/>
      <w:r w:rsidRPr="00500945">
        <w:rPr>
          <w:sz w:val="22"/>
          <w:szCs w:val="22"/>
        </w:rPr>
        <w:t>therapy</w:t>
      </w:r>
      <w:proofErr w:type="gramEnd"/>
    </w:p>
    <w:p w14:paraId="0191C6AB" w14:textId="21C99FD0" w:rsidR="00591883" w:rsidRPr="00500945" w:rsidRDefault="00591883" w:rsidP="00591883">
      <w:pPr>
        <w:rPr>
          <w:sz w:val="22"/>
          <w:szCs w:val="22"/>
        </w:rPr>
      </w:pPr>
    </w:p>
    <w:p w14:paraId="2D785550" w14:textId="77777777" w:rsidR="002B3C74" w:rsidRPr="00500945" w:rsidRDefault="002B3C74" w:rsidP="002B3C74">
      <w:pPr>
        <w:pStyle w:val="ListParagraph"/>
        <w:rPr>
          <w:sz w:val="22"/>
          <w:szCs w:val="22"/>
        </w:rPr>
      </w:pPr>
    </w:p>
    <w:p w14:paraId="655DE3F0" w14:textId="696724D9" w:rsidR="00FE2BF5" w:rsidRPr="00500945" w:rsidRDefault="00FE2BF5" w:rsidP="002B3C74">
      <w:pPr>
        <w:rPr>
          <w:sz w:val="22"/>
          <w:szCs w:val="22"/>
        </w:rPr>
      </w:pPr>
      <w:r w:rsidRPr="00500945">
        <w:rPr>
          <w:sz w:val="22"/>
          <w:szCs w:val="22"/>
        </w:rPr>
        <w:t xml:space="preserve">NICE already recommends natalizumab as a </w:t>
      </w:r>
      <w:r w:rsidR="00CC629E" w:rsidRPr="00500945">
        <w:rPr>
          <w:sz w:val="22"/>
          <w:szCs w:val="22"/>
        </w:rPr>
        <w:t>first-line</w:t>
      </w:r>
      <w:r w:rsidRPr="00500945">
        <w:rPr>
          <w:sz w:val="22"/>
          <w:szCs w:val="22"/>
        </w:rPr>
        <w:t xml:space="preserve"> treatment option for people with rapidly evolving severe relapsing–remitting multiple sclerosis (</w:t>
      </w:r>
      <w:hyperlink r:id="rId15" w:history="1">
        <w:r w:rsidR="00CC629E" w:rsidRPr="00500945">
          <w:rPr>
            <w:rStyle w:val="Hyperlink"/>
            <w:sz w:val="22"/>
            <w:szCs w:val="22"/>
          </w:rPr>
          <w:t>NICE TA127</w:t>
        </w:r>
      </w:hyperlink>
      <w:proofErr w:type="gramStart"/>
      <w:r w:rsidRPr="00500945">
        <w:rPr>
          <w:sz w:val="22"/>
          <w:szCs w:val="22"/>
        </w:rPr>
        <w:t>)</w:t>
      </w:r>
      <w:r w:rsidR="00CC629E" w:rsidRPr="00500945">
        <w:rPr>
          <w:sz w:val="22"/>
          <w:szCs w:val="22"/>
        </w:rPr>
        <w:t>;</w:t>
      </w:r>
      <w:proofErr w:type="gramEnd"/>
      <w:r w:rsidR="00CC629E" w:rsidRPr="00500945">
        <w:rPr>
          <w:sz w:val="22"/>
          <w:szCs w:val="22"/>
        </w:rPr>
        <w:t xml:space="preserve"> </w:t>
      </w:r>
      <w:r w:rsidRPr="00500945">
        <w:rPr>
          <w:sz w:val="22"/>
          <w:szCs w:val="22"/>
        </w:rPr>
        <w:t xml:space="preserve"> </w:t>
      </w:r>
    </w:p>
    <w:p w14:paraId="68FFF554" w14:textId="7F4D02C7" w:rsidR="001C2406" w:rsidRPr="00500945" w:rsidRDefault="00CC629E" w:rsidP="002B3C74">
      <w:pPr>
        <w:rPr>
          <w:sz w:val="22"/>
          <w:szCs w:val="22"/>
        </w:rPr>
      </w:pPr>
      <w:r w:rsidRPr="00500945">
        <w:rPr>
          <w:sz w:val="22"/>
          <w:szCs w:val="22"/>
        </w:rPr>
        <w:t>c</w:t>
      </w:r>
      <w:r w:rsidR="002B3C74" w:rsidRPr="00500945">
        <w:rPr>
          <w:sz w:val="22"/>
          <w:szCs w:val="22"/>
        </w:rPr>
        <w:t>over</w:t>
      </w:r>
      <w:r w:rsidRPr="00500945">
        <w:rPr>
          <w:sz w:val="22"/>
          <w:szCs w:val="22"/>
        </w:rPr>
        <w:t>ing</w:t>
      </w:r>
      <w:r w:rsidR="002B3C74" w:rsidRPr="00500945">
        <w:rPr>
          <w:sz w:val="22"/>
          <w:szCs w:val="22"/>
        </w:rPr>
        <w:t xml:space="preserve"> the </w:t>
      </w:r>
      <w:r w:rsidR="00591883" w:rsidRPr="00500945">
        <w:rPr>
          <w:sz w:val="22"/>
          <w:szCs w:val="22"/>
        </w:rPr>
        <w:t>first</w:t>
      </w:r>
      <w:r w:rsidR="002B3C74" w:rsidRPr="00500945">
        <w:rPr>
          <w:sz w:val="22"/>
          <w:szCs w:val="22"/>
        </w:rPr>
        <w:t xml:space="preserve"> part of the population above. </w:t>
      </w:r>
      <w:r w:rsidR="001C2406" w:rsidRPr="00500945">
        <w:rPr>
          <w:sz w:val="22"/>
          <w:szCs w:val="22"/>
        </w:rPr>
        <w:t>This is why this scope focuses only on highly active relapsing-remitting multiple sclerosis after at least one disease modifying therapy.</w:t>
      </w:r>
      <w:r w:rsidR="00B12E34" w:rsidRPr="00500945">
        <w:rPr>
          <w:sz w:val="22"/>
          <w:szCs w:val="22"/>
        </w:rPr>
        <w:t xml:space="preserve"> Natalizumab (Tysabri) has a marketing authorisation for subcutaneous and intravenous administration, whereas natalizumab biosimilar (</w:t>
      </w:r>
      <w:proofErr w:type="spellStart"/>
      <w:r w:rsidR="00B12E34" w:rsidRPr="00500945">
        <w:rPr>
          <w:sz w:val="22"/>
          <w:szCs w:val="22"/>
        </w:rPr>
        <w:t>Tyruko</w:t>
      </w:r>
      <w:proofErr w:type="spellEnd"/>
      <w:r w:rsidR="00B12E34" w:rsidRPr="00500945">
        <w:rPr>
          <w:sz w:val="22"/>
          <w:szCs w:val="22"/>
        </w:rPr>
        <w:t>) has a licence for intravenous administration only.</w:t>
      </w:r>
    </w:p>
    <w:p w14:paraId="5EA04FB0" w14:textId="77777777" w:rsidR="002B3C74" w:rsidRPr="00500945" w:rsidRDefault="002B3C74" w:rsidP="002B3C74">
      <w:pPr>
        <w:rPr>
          <w:sz w:val="22"/>
          <w:szCs w:val="22"/>
        </w:rPr>
      </w:pPr>
    </w:p>
    <w:p w14:paraId="2CF4CE83" w14:textId="77777777" w:rsidR="002B3C74" w:rsidRPr="00500945" w:rsidRDefault="002B3C74" w:rsidP="002B3C74">
      <w:pPr>
        <w:pStyle w:val="ListParagraph"/>
        <w:rPr>
          <w:sz w:val="22"/>
          <w:szCs w:val="22"/>
        </w:rPr>
      </w:pP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1967F4" w:rsidRPr="00500945" w14:paraId="661BB4D7" w14:textId="77777777" w:rsidTr="00F41649">
        <w:trPr>
          <w:cantSplit/>
        </w:trPr>
        <w:tc>
          <w:tcPr>
            <w:tcW w:w="2376" w:type="dxa"/>
            <w:shd w:val="clear" w:color="auto" w:fill="D9D9D9"/>
          </w:tcPr>
          <w:p w14:paraId="69D58C68" w14:textId="77777777" w:rsidR="001967F4" w:rsidRPr="00500945" w:rsidRDefault="001967F4">
            <w:pPr>
              <w:spacing w:before="120"/>
              <w:rPr>
                <w:rFonts w:cs="Arial"/>
                <w:b/>
                <w:bCs/>
                <w:sz w:val="22"/>
                <w:szCs w:val="22"/>
              </w:rPr>
            </w:pPr>
            <w:r w:rsidRPr="00500945">
              <w:rPr>
                <w:rFonts w:cs="Arial"/>
                <w:b/>
                <w:bCs/>
                <w:sz w:val="22"/>
                <w:szCs w:val="22"/>
              </w:rPr>
              <w:t>Intervention(s)</w:t>
            </w:r>
          </w:p>
        </w:tc>
        <w:tc>
          <w:tcPr>
            <w:tcW w:w="6237" w:type="dxa"/>
          </w:tcPr>
          <w:p w14:paraId="6EDC3F02" w14:textId="7F9BE7D0" w:rsidR="00CF4FD2" w:rsidRPr="00500945" w:rsidRDefault="00CF4FD2" w:rsidP="00120F0E">
            <w:pPr>
              <w:pStyle w:val="BodyText2"/>
              <w:numPr>
                <w:ilvl w:val="0"/>
                <w:numId w:val="8"/>
              </w:numPr>
              <w:rPr>
                <w:rFonts w:cs="Arial"/>
                <w:sz w:val="22"/>
                <w:szCs w:val="22"/>
                <w:lang w:val="en-GB"/>
              </w:rPr>
            </w:pPr>
            <w:r w:rsidRPr="00500945">
              <w:rPr>
                <w:rFonts w:cs="Arial"/>
                <w:sz w:val="22"/>
                <w:szCs w:val="22"/>
                <w:lang w:val="en-GB"/>
              </w:rPr>
              <w:t xml:space="preserve">natalizumab (Tysabri) </w:t>
            </w:r>
          </w:p>
          <w:p w14:paraId="40786732" w14:textId="4F24C819" w:rsidR="001967F4" w:rsidRPr="00500945" w:rsidRDefault="00CF4FD2" w:rsidP="00120F0E">
            <w:pPr>
              <w:pStyle w:val="BodyText2"/>
              <w:numPr>
                <w:ilvl w:val="0"/>
                <w:numId w:val="8"/>
              </w:numPr>
              <w:rPr>
                <w:rFonts w:cs="Arial"/>
                <w:sz w:val="22"/>
                <w:szCs w:val="22"/>
                <w:lang w:val="en-GB"/>
              </w:rPr>
            </w:pPr>
            <w:r w:rsidRPr="00500945">
              <w:rPr>
                <w:rFonts w:cs="Arial"/>
                <w:sz w:val="22"/>
                <w:szCs w:val="22"/>
                <w:lang w:val="en-GB"/>
              </w:rPr>
              <w:t>natalizumab biosimilar (</w:t>
            </w:r>
            <w:proofErr w:type="spellStart"/>
            <w:r w:rsidRPr="00500945">
              <w:rPr>
                <w:rFonts w:cs="Arial"/>
                <w:sz w:val="22"/>
                <w:szCs w:val="22"/>
                <w:lang w:val="en-GB"/>
              </w:rPr>
              <w:t>Tyruko</w:t>
            </w:r>
            <w:proofErr w:type="spellEnd"/>
            <w:r w:rsidRPr="00500945">
              <w:rPr>
                <w:rFonts w:cs="Arial"/>
                <w:sz w:val="22"/>
                <w:szCs w:val="22"/>
                <w:lang w:val="en-GB"/>
              </w:rPr>
              <w:t>)</w:t>
            </w:r>
          </w:p>
        </w:tc>
      </w:tr>
      <w:tr w:rsidR="001967F4" w:rsidRPr="00500945" w14:paraId="5B8C9C4C" w14:textId="77777777" w:rsidTr="00F41649">
        <w:trPr>
          <w:cantSplit/>
        </w:trPr>
        <w:tc>
          <w:tcPr>
            <w:tcW w:w="2376" w:type="dxa"/>
            <w:shd w:val="clear" w:color="auto" w:fill="D9D9D9"/>
          </w:tcPr>
          <w:p w14:paraId="4FF5877A" w14:textId="77777777" w:rsidR="001967F4" w:rsidRPr="00500945" w:rsidRDefault="001967F4">
            <w:pPr>
              <w:pStyle w:val="Header"/>
              <w:tabs>
                <w:tab w:val="clear" w:pos="4153"/>
                <w:tab w:val="clear" w:pos="8306"/>
              </w:tabs>
              <w:spacing w:before="120"/>
              <w:rPr>
                <w:rFonts w:cs="Arial"/>
                <w:sz w:val="22"/>
                <w:szCs w:val="22"/>
                <w:lang w:val="en-GB"/>
              </w:rPr>
            </w:pPr>
            <w:r w:rsidRPr="00500945">
              <w:rPr>
                <w:rFonts w:cs="Arial"/>
                <w:b/>
                <w:bCs/>
                <w:sz w:val="22"/>
                <w:szCs w:val="22"/>
                <w:lang w:val="en-GB"/>
              </w:rPr>
              <w:t>Population(s)</w:t>
            </w:r>
          </w:p>
        </w:tc>
        <w:tc>
          <w:tcPr>
            <w:tcW w:w="6237" w:type="dxa"/>
          </w:tcPr>
          <w:p w14:paraId="195B3854" w14:textId="5F7D0865" w:rsidR="001967F4" w:rsidRPr="00500945" w:rsidRDefault="001C2406" w:rsidP="00DC68B6">
            <w:pPr>
              <w:pStyle w:val="BodyText2"/>
              <w:rPr>
                <w:rFonts w:cs="Arial"/>
                <w:sz w:val="22"/>
                <w:szCs w:val="22"/>
                <w:lang w:val="en-GB"/>
              </w:rPr>
            </w:pPr>
            <w:r w:rsidRPr="00500945">
              <w:rPr>
                <w:rFonts w:cs="Arial"/>
                <w:sz w:val="22"/>
                <w:szCs w:val="22"/>
                <w:lang w:val="en-GB"/>
              </w:rPr>
              <w:t>Adults with highly active relapsing remitting multiple sclerosis despite a full and adequate course of treatment with at least one disease modifying therapy</w:t>
            </w:r>
            <w:r w:rsidR="00350DFC" w:rsidRPr="00500945">
              <w:rPr>
                <w:rFonts w:cs="Arial"/>
                <w:sz w:val="22"/>
                <w:szCs w:val="22"/>
                <w:lang w:val="en-GB"/>
              </w:rPr>
              <w:t xml:space="preserve"> </w:t>
            </w:r>
          </w:p>
        </w:tc>
      </w:tr>
      <w:tr w:rsidR="001967F4" w:rsidRPr="00500945" w14:paraId="53A64CDC" w14:textId="77777777" w:rsidTr="00F41649">
        <w:trPr>
          <w:cantSplit/>
        </w:trPr>
        <w:tc>
          <w:tcPr>
            <w:tcW w:w="2376" w:type="dxa"/>
            <w:shd w:val="clear" w:color="auto" w:fill="D9D9D9"/>
          </w:tcPr>
          <w:p w14:paraId="0A51D106" w14:textId="77777777" w:rsidR="001967F4" w:rsidRPr="00500945" w:rsidRDefault="00436848" w:rsidP="00747737">
            <w:pPr>
              <w:pStyle w:val="Header"/>
              <w:tabs>
                <w:tab w:val="clear" w:pos="4153"/>
                <w:tab w:val="clear" w:pos="8306"/>
              </w:tabs>
              <w:spacing w:before="120"/>
              <w:rPr>
                <w:rFonts w:cs="Arial"/>
                <w:sz w:val="22"/>
                <w:szCs w:val="22"/>
                <w:lang w:val="en-GB"/>
              </w:rPr>
            </w:pPr>
            <w:r w:rsidRPr="00500945">
              <w:rPr>
                <w:rFonts w:cs="Arial"/>
                <w:b/>
                <w:bCs/>
                <w:sz w:val="22"/>
                <w:szCs w:val="22"/>
                <w:lang w:val="en-GB"/>
              </w:rPr>
              <w:lastRenderedPageBreak/>
              <w:t>C</w:t>
            </w:r>
            <w:r w:rsidR="001967F4" w:rsidRPr="00500945">
              <w:rPr>
                <w:rFonts w:cs="Arial"/>
                <w:b/>
                <w:bCs/>
                <w:sz w:val="22"/>
                <w:szCs w:val="22"/>
                <w:lang w:val="en-GB"/>
              </w:rPr>
              <w:t>omparators</w:t>
            </w:r>
          </w:p>
        </w:tc>
        <w:tc>
          <w:tcPr>
            <w:tcW w:w="6237" w:type="dxa"/>
          </w:tcPr>
          <w:p w14:paraId="58C9CFE5" w14:textId="47637E06" w:rsidR="001C2406" w:rsidRPr="00500945" w:rsidRDefault="00F843CE" w:rsidP="001C2406">
            <w:pPr>
              <w:spacing w:before="120" w:after="120"/>
              <w:rPr>
                <w:rFonts w:cs="Arial"/>
                <w:sz w:val="22"/>
                <w:szCs w:val="22"/>
                <w:lang w:val="en-US"/>
              </w:rPr>
            </w:pPr>
            <w:r>
              <w:rPr>
                <w:rFonts w:cs="Arial"/>
                <w:sz w:val="22"/>
                <w:szCs w:val="22"/>
              </w:rPr>
              <w:t>St</w:t>
            </w:r>
            <w:proofErr w:type="spellStart"/>
            <w:r w:rsidRPr="00F843CE">
              <w:rPr>
                <w:rFonts w:cs="Arial"/>
                <w:sz w:val="22"/>
                <w:szCs w:val="22"/>
                <w:lang w:val="x-none"/>
              </w:rPr>
              <w:t>andard</w:t>
            </w:r>
            <w:proofErr w:type="spellEnd"/>
            <w:r w:rsidRPr="00F843CE">
              <w:rPr>
                <w:rFonts w:cs="Arial"/>
                <w:sz w:val="22"/>
                <w:szCs w:val="22"/>
                <w:lang w:val="x-none"/>
              </w:rPr>
              <w:t xml:space="preserve"> care without natalizumab or natalizumab biosimilar, including but not limited to</w:t>
            </w:r>
            <w:r w:rsidR="001C2406" w:rsidRPr="00500945">
              <w:rPr>
                <w:rFonts w:cs="Arial"/>
                <w:sz w:val="22"/>
                <w:szCs w:val="22"/>
                <w:lang w:val="en-US"/>
              </w:rPr>
              <w:t>:</w:t>
            </w:r>
          </w:p>
          <w:p w14:paraId="15AC2BAF" w14:textId="2CAF2051" w:rsidR="00FD5953" w:rsidRPr="005B3847" w:rsidRDefault="00F843CE" w:rsidP="00FD5953">
            <w:pPr>
              <w:pStyle w:val="ListParagraph"/>
              <w:numPr>
                <w:ilvl w:val="0"/>
                <w:numId w:val="10"/>
              </w:numPr>
              <w:tabs>
                <w:tab w:val="clear" w:pos="720"/>
                <w:tab w:val="num" w:pos="360"/>
              </w:tabs>
              <w:spacing w:before="120" w:after="120"/>
              <w:ind w:left="360"/>
              <w:rPr>
                <w:rFonts w:cs="Arial"/>
                <w:sz w:val="22"/>
                <w:szCs w:val="22"/>
                <w:lang w:val="en-US"/>
              </w:rPr>
            </w:pPr>
            <w:r>
              <w:rPr>
                <w:sz w:val="22"/>
                <w:szCs w:val="22"/>
              </w:rPr>
              <w:t xml:space="preserve">For people </w:t>
            </w:r>
            <w:r w:rsidR="00FD5953" w:rsidRPr="00204B6D">
              <w:rPr>
                <w:sz w:val="22"/>
                <w:szCs w:val="22"/>
              </w:rPr>
              <w:t xml:space="preserve">with disease activity </w:t>
            </w:r>
            <w:r w:rsidR="00FD5953">
              <w:rPr>
                <w:sz w:val="22"/>
                <w:szCs w:val="22"/>
              </w:rPr>
              <w:t>after 1</w:t>
            </w:r>
            <w:r w:rsidR="00FD5953" w:rsidRPr="00F10466">
              <w:rPr>
                <w:sz w:val="22"/>
                <w:szCs w:val="22"/>
              </w:rPr>
              <w:t xml:space="preserve"> disease modifying therapy (DMT)</w:t>
            </w:r>
            <w:r w:rsidR="00FD5953">
              <w:rPr>
                <w:sz w:val="22"/>
                <w:szCs w:val="22"/>
              </w:rPr>
              <w:t>:</w:t>
            </w:r>
          </w:p>
          <w:p w14:paraId="1B62EF3A" w14:textId="77777777" w:rsidR="00FD5953" w:rsidRPr="000332F9" w:rsidRDefault="00FD5953" w:rsidP="000332F9">
            <w:pPr>
              <w:numPr>
                <w:ilvl w:val="1"/>
                <w:numId w:val="10"/>
              </w:numPr>
              <w:spacing w:before="120" w:after="120"/>
              <w:ind w:left="1080"/>
              <w:rPr>
                <w:sz w:val="22"/>
                <w:szCs w:val="22"/>
              </w:rPr>
            </w:pPr>
            <w:r w:rsidRPr="000332F9">
              <w:rPr>
                <w:sz w:val="22"/>
                <w:szCs w:val="22"/>
              </w:rPr>
              <w:t xml:space="preserve">glatiramer acetate </w:t>
            </w:r>
          </w:p>
          <w:p w14:paraId="3D80324D" w14:textId="77777777" w:rsidR="00FD5953" w:rsidRPr="00204B6D" w:rsidRDefault="00FD5953" w:rsidP="00FD5953">
            <w:pPr>
              <w:numPr>
                <w:ilvl w:val="1"/>
                <w:numId w:val="10"/>
              </w:numPr>
              <w:spacing w:before="120" w:after="120"/>
              <w:ind w:left="1080"/>
              <w:rPr>
                <w:sz w:val="22"/>
                <w:szCs w:val="22"/>
              </w:rPr>
            </w:pPr>
            <w:r>
              <w:rPr>
                <w:sz w:val="22"/>
                <w:szCs w:val="22"/>
              </w:rPr>
              <w:t>i</w:t>
            </w:r>
            <w:r w:rsidRPr="00204B6D">
              <w:rPr>
                <w:sz w:val="22"/>
                <w:szCs w:val="22"/>
              </w:rPr>
              <w:t xml:space="preserve">nterferon beta 1a </w:t>
            </w:r>
          </w:p>
          <w:p w14:paraId="4EB59173" w14:textId="63D8F887" w:rsidR="00FD5953" w:rsidRPr="00C37EE6" w:rsidRDefault="00FD5953" w:rsidP="00E27D28">
            <w:pPr>
              <w:pStyle w:val="ListParagraph"/>
              <w:numPr>
                <w:ilvl w:val="1"/>
                <w:numId w:val="10"/>
              </w:numPr>
              <w:spacing w:before="120" w:after="120"/>
              <w:ind w:left="1080"/>
              <w:contextualSpacing w:val="0"/>
              <w:rPr>
                <w:sz w:val="22"/>
                <w:szCs w:val="22"/>
              </w:rPr>
            </w:pPr>
            <w:r>
              <w:rPr>
                <w:sz w:val="22"/>
                <w:szCs w:val="22"/>
              </w:rPr>
              <w:t>i</w:t>
            </w:r>
            <w:r w:rsidRPr="00204B6D">
              <w:rPr>
                <w:sz w:val="22"/>
                <w:szCs w:val="22"/>
              </w:rPr>
              <w:t xml:space="preserve">nterferon beta 1b </w:t>
            </w:r>
          </w:p>
          <w:p w14:paraId="73E2F808" w14:textId="485DCD77" w:rsidR="00FD5953" w:rsidRPr="00204B6D" w:rsidRDefault="00FD5953" w:rsidP="00FD5953">
            <w:pPr>
              <w:pStyle w:val="ListParagraph"/>
              <w:numPr>
                <w:ilvl w:val="1"/>
                <w:numId w:val="10"/>
              </w:numPr>
              <w:spacing w:before="120" w:after="120"/>
              <w:ind w:left="1080"/>
              <w:contextualSpacing w:val="0"/>
              <w:rPr>
                <w:sz w:val="22"/>
                <w:szCs w:val="22"/>
              </w:rPr>
            </w:pPr>
            <w:r>
              <w:rPr>
                <w:sz w:val="22"/>
                <w:szCs w:val="22"/>
              </w:rPr>
              <w:t>a</w:t>
            </w:r>
            <w:r w:rsidRPr="00204B6D">
              <w:rPr>
                <w:sz w:val="22"/>
                <w:szCs w:val="22"/>
              </w:rPr>
              <w:t>lemtuzumab</w:t>
            </w:r>
            <w:r>
              <w:rPr>
                <w:sz w:val="22"/>
                <w:szCs w:val="22"/>
              </w:rPr>
              <w:t xml:space="preserve"> </w:t>
            </w:r>
          </w:p>
          <w:p w14:paraId="6552500D" w14:textId="1B01F6C9" w:rsidR="00FD5953" w:rsidRDefault="00FD5953" w:rsidP="00FD5953">
            <w:pPr>
              <w:pStyle w:val="ListParagraph"/>
              <w:numPr>
                <w:ilvl w:val="1"/>
                <w:numId w:val="10"/>
              </w:numPr>
              <w:spacing w:before="120" w:after="120"/>
              <w:ind w:left="1080"/>
              <w:contextualSpacing w:val="0"/>
              <w:rPr>
                <w:sz w:val="22"/>
                <w:szCs w:val="22"/>
              </w:rPr>
            </w:pPr>
            <w:r w:rsidRPr="00204B6D">
              <w:rPr>
                <w:sz w:val="22"/>
                <w:szCs w:val="22"/>
              </w:rPr>
              <w:t xml:space="preserve">cladribine </w:t>
            </w:r>
            <w:r w:rsidR="00DE2191">
              <w:rPr>
                <w:sz w:val="22"/>
                <w:szCs w:val="22"/>
              </w:rPr>
              <w:t>tablets</w:t>
            </w:r>
          </w:p>
          <w:p w14:paraId="21D5FA63" w14:textId="77777777" w:rsidR="00FD5953" w:rsidRPr="00204B6D" w:rsidRDefault="00FD5953" w:rsidP="00FD5953">
            <w:pPr>
              <w:pStyle w:val="ListParagraph"/>
              <w:numPr>
                <w:ilvl w:val="1"/>
                <w:numId w:val="10"/>
              </w:numPr>
              <w:spacing w:before="120" w:after="120"/>
              <w:ind w:left="1080"/>
              <w:contextualSpacing w:val="0"/>
              <w:rPr>
                <w:sz w:val="22"/>
                <w:szCs w:val="22"/>
              </w:rPr>
            </w:pPr>
            <w:r w:rsidRPr="00204B6D">
              <w:rPr>
                <w:sz w:val="22"/>
                <w:szCs w:val="22"/>
              </w:rPr>
              <w:t>fingolimod</w:t>
            </w:r>
          </w:p>
          <w:p w14:paraId="1B7DAA6C" w14:textId="41D26DF4" w:rsidR="00FD5953" w:rsidRDefault="00FD5953" w:rsidP="00FD5953">
            <w:pPr>
              <w:pStyle w:val="ListParagraph"/>
              <w:numPr>
                <w:ilvl w:val="1"/>
                <w:numId w:val="10"/>
              </w:numPr>
              <w:spacing w:before="120" w:after="120"/>
              <w:ind w:left="1080"/>
              <w:contextualSpacing w:val="0"/>
              <w:rPr>
                <w:sz w:val="22"/>
                <w:szCs w:val="22"/>
              </w:rPr>
            </w:pPr>
            <w:r w:rsidRPr="00204B6D">
              <w:rPr>
                <w:sz w:val="22"/>
                <w:szCs w:val="22"/>
              </w:rPr>
              <w:t xml:space="preserve">ocrelizumab </w:t>
            </w:r>
            <w:r w:rsidR="003932EC">
              <w:rPr>
                <w:sz w:val="22"/>
                <w:szCs w:val="22"/>
              </w:rPr>
              <w:t>(if a</w:t>
            </w:r>
            <w:r w:rsidR="003932EC" w:rsidRPr="00204B6D">
              <w:rPr>
                <w:sz w:val="22"/>
                <w:szCs w:val="22"/>
              </w:rPr>
              <w:t>lemtuzumab</w:t>
            </w:r>
            <w:r w:rsidR="003932EC">
              <w:rPr>
                <w:sz w:val="22"/>
                <w:szCs w:val="22"/>
              </w:rPr>
              <w:t xml:space="preserve"> contraindicated or otherwise unsuitable)</w:t>
            </w:r>
          </w:p>
          <w:p w14:paraId="3EFFBB1D" w14:textId="77777777" w:rsidR="00FD5953" w:rsidRPr="00204B6D" w:rsidRDefault="00FD5953" w:rsidP="00FD5953">
            <w:pPr>
              <w:pStyle w:val="ListParagraph"/>
              <w:numPr>
                <w:ilvl w:val="1"/>
                <w:numId w:val="10"/>
              </w:numPr>
              <w:spacing w:before="120" w:after="120"/>
              <w:ind w:left="1080"/>
              <w:contextualSpacing w:val="0"/>
              <w:rPr>
                <w:sz w:val="22"/>
                <w:szCs w:val="22"/>
              </w:rPr>
            </w:pPr>
            <w:r w:rsidRPr="00204B6D">
              <w:rPr>
                <w:sz w:val="22"/>
                <w:szCs w:val="22"/>
              </w:rPr>
              <w:t>ofatumumab</w:t>
            </w:r>
          </w:p>
          <w:p w14:paraId="05D08688" w14:textId="1DDE2E5D" w:rsidR="003932EC" w:rsidRDefault="00FD5953" w:rsidP="00FD5953">
            <w:pPr>
              <w:pStyle w:val="ListParagraph"/>
              <w:numPr>
                <w:ilvl w:val="1"/>
                <w:numId w:val="10"/>
              </w:numPr>
              <w:spacing w:before="120" w:after="120"/>
              <w:ind w:left="1080"/>
              <w:contextualSpacing w:val="0"/>
              <w:rPr>
                <w:sz w:val="22"/>
                <w:szCs w:val="22"/>
              </w:rPr>
            </w:pPr>
            <w:r w:rsidRPr="00204B6D">
              <w:rPr>
                <w:sz w:val="22"/>
                <w:szCs w:val="22"/>
              </w:rPr>
              <w:t>ponesimod</w:t>
            </w:r>
          </w:p>
          <w:p w14:paraId="224F34B8" w14:textId="13ABA957" w:rsidR="00526C9B" w:rsidRPr="00C37EE6" w:rsidRDefault="003932EC" w:rsidP="00C37EE6">
            <w:pPr>
              <w:pStyle w:val="ListParagraph"/>
              <w:numPr>
                <w:ilvl w:val="1"/>
                <w:numId w:val="10"/>
              </w:numPr>
              <w:spacing w:before="120" w:after="120"/>
              <w:ind w:left="1080"/>
              <w:contextualSpacing w:val="0"/>
              <w:rPr>
                <w:rFonts w:cs="Arial"/>
                <w:sz w:val="22"/>
                <w:szCs w:val="22"/>
              </w:rPr>
            </w:pPr>
            <w:r w:rsidRPr="003932EC">
              <w:rPr>
                <w:rFonts w:cs="Arial"/>
                <w:sz w:val="22"/>
                <w:szCs w:val="22"/>
              </w:rPr>
              <w:t>autologous haematopoietic stem cell transplantation</w:t>
            </w:r>
          </w:p>
        </w:tc>
      </w:tr>
      <w:tr w:rsidR="001967F4" w:rsidRPr="00500945" w14:paraId="623E0027" w14:textId="77777777" w:rsidTr="00F41649">
        <w:trPr>
          <w:cantSplit/>
        </w:trPr>
        <w:tc>
          <w:tcPr>
            <w:tcW w:w="2376" w:type="dxa"/>
            <w:shd w:val="clear" w:color="auto" w:fill="D9D9D9"/>
          </w:tcPr>
          <w:p w14:paraId="2DDF81D8" w14:textId="77777777" w:rsidR="001967F4" w:rsidRPr="00500945" w:rsidRDefault="001967F4" w:rsidP="00747737">
            <w:pPr>
              <w:pStyle w:val="Header"/>
              <w:tabs>
                <w:tab w:val="clear" w:pos="4153"/>
                <w:tab w:val="clear" w:pos="8306"/>
              </w:tabs>
              <w:spacing w:before="120"/>
              <w:rPr>
                <w:rFonts w:cs="Arial"/>
                <w:sz w:val="22"/>
                <w:szCs w:val="22"/>
                <w:lang w:val="en-GB"/>
              </w:rPr>
            </w:pPr>
            <w:r w:rsidRPr="00500945">
              <w:rPr>
                <w:rFonts w:cs="Arial"/>
                <w:b/>
                <w:bCs/>
                <w:sz w:val="22"/>
                <w:szCs w:val="22"/>
                <w:lang w:val="en-GB"/>
              </w:rPr>
              <w:t>Outcomes</w:t>
            </w:r>
          </w:p>
        </w:tc>
        <w:tc>
          <w:tcPr>
            <w:tcW w:w="6237" w:type="dxa"/>
          </w:tcPr>
          <w:p w14:paraId="728500D9" w14:textId="77777777" w:rsidR="001967F4" w:rsidRPr="00500945" w:rsidRDefault="001967F4" w:rsidP="00DC68B6">
            <w:pPr>
              <w:pStyle w:val="BodyText2"/>
              <w:rPr>
                <w:rFonts w:cs="Arial"/>
                <w:sz w:val="22"/>
                <w:szCs w:val="22"/>
                <w:lang w:val="en-GB"/>
              </w:rPr>
            </w:pPr>
            <w:r w:rsidRPr="00500945">
              <w:rPr>
                <w:rFonts w:cs="Arial"/>
                <w:sz w:val="22"/>
                <w:szCs w:val="22"/>
                <w:lang w:val="en-GB"/>
              </w:rPr>
              <w:t>The outcome measures to be considered include:</w:t>
            </w:r>
          </w:p>
          <w:p w14:paraId="16EE19FA"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relapse rate</w:t>
            </w:r>
          </w:p>
          <w:p w14:paraId="47673AF3"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severity of relapse</w:t>
            </w:r>
          </w:p>
          <w:p w14:paraId="5E4D5FC8"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disability (for example, expanded disability status scale [EDSS])</w:t>
            </w:r>
          </w:p>
          <w:p w14:paraId="59605DE3"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disease progression</w:t>
            </w:r>
          </w:p>
          <w:p w14:paraId="60FEAC53"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 xml:space="preserve">symptoms of multiple sclerosis (such as </w:t>
            </w:r>
            <w:r w:rsidRPr="00500945">
              <w:rPr>
                <w:sz w:val="22"/>
                <w:szCs w:val="22"/>
              </w:rPr>
              <w:t>fatigue, cognition, and visual disturbance)</w:t>
            </w:r>
          </w:p>
          <w:p w14:paraId="5EC7537F" w14:textId="77777777" w:rsidR="00FE2BF5" w:rsidRPr="00500945" w:rsidRDefault="001C2406" w:rsidP="00120F0E">
            <w:pPr>
              <w:numPr>
                <w:ilvl w:val="0"/>
                <w:numId w:val="1"/>
              </w:numPr>
              <w:spacing w:before="120" w:after="120"/>
              <w:ind w:left="714" w:hanging="357"/>
              <w:rPr>
                <w:rFonts w:cs="Arial"/>
                <w:sz w:val="22"/>
                <w:szCs w:val="22"/>
              </w:rPr>
            </w:pPr>
            <w:r w:rsidRPr="00500945">
              <w:rPr>
                <w:sz w:val="22"/>
                <w:szCs w:val="22"/>
              </w:rPr>
              <w:t>freedom of disease activity</w:t>
            </w:r>
            <w:r w:rsidR="00FE2BF5" w:rsidRPr="00500945">
              <w:rPr>
                <w:sz w:val="22"/>
                <w:szCs w:val="22"/>
              </w:rPr>
              <w:t xml:space="preserve"> </w:t>
            </w:r>
            <w:r w:rsidR="00FE2BF5" w:rsidRPr="00500945">
              <w:rPr>
                <w:rFonts w:cs="Arial"/>
                <w:sz w:val="22"/>
                <w:szCs w:val="22"/>
              </w:rPr>
              <w:t>(for example lesions on MRI scans)</w:t>
            </w:r>
          </w:p>
          <w:p w14:paraId="34EA35CB"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mortality</w:t>
            </w:r>
          </w:p>
          <w:p w14:paraId="181E6DB6" w14:textId="77777777" w:rsidR="001C2406"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adverse effects of treatment</w:t>
            </w:r>
          </w:p>
          <w:p w14:paraId="4AF98A5D" w14:textId="6263A519" w:rsidR="00171A3A" w:rsidRPr="00500945" w:rsidRDefault="001C2406" w:rsidP="00120F0E">
            <w:pPr>
              <w:numPr>
                <w:ilvl w:val="0"/>
                <w:numId w:val="1"/>
              </w:numPr>
              <w:spacing w:before="120" w:after="120"/>
              <w:ind w:left="714" w:hanging="357"/>
              <w:rPr>
                <w:rFonts w:cs="Arial"/>
                <w:sz w:val="22"/>
                <w:szCs w:val="22"/>
              </w:rPr>
            </w:pPr>
            <w:r w:rsidRPr="00500945">
              <w:rPr>
                <w:rFonts w:cs="Arial"/>
                <w:sz w:val="22"/>
                <w:szCs w:val="22"/>
              </w:rPr>
              <w:t>health-related quality of life.</w:t>
            </w:r>
          </w:p>
        </w:tc>
      </w:tr>
      <w:tr w:rsidR="001967F4" w:rsidRPr="00500945" w14:paraId="75B6C011" w14:textId="77777777" w:rsidTr="00F41649">
        <w:trPr>
          <w:cantSplit/>
        </w:trPr>
        <w:tc>
          <w:tcPr>
            <w:tcW w:w="2376" w:type="dxa"/>
            <w:shd w:val="clear" w:color="auto" w:fill="D9D9D9"/>
          </w:tcPr>
          <w:p w14:paraId="7F98C75C" w14:textId="77777777" w:rsidR="001967F4" w:rsidRPr="00500945" w:rsidRDefault="001967F4" w:rsidP="00747737">
            <w:pPr>
              <w:pStyle w:val="Header"/>
              <w:tabs>
                <w:tab w:val="clear" w:pos="4153"/>
                <w:tab w:val="clear" w:pos="8306"/>
              </w:tabs>
              <w:spacing w:before="120"/>
              <w:rPr>
                <w:rFonts w:cs="Arial"/>
                <w:sz w:val="22"/>
                <w:szCs w:val="22"/>
                <w:lang w:val="en-GB"/>
              </w:rPr>
            </w:pPr>
            <w:r w:rsidRPr="00500945">
              <w:rPr>
                <w:rFonts w:cs="Arial"/>
                <w:b/>
                <w:bCs/>
                <w:sz w:val="22"/>
                <w:szCs w:val="22"/>
                <w:lang w:val="en-GB"/>
              </w:rPr>
              <w:lastRenderedPageBreak/>
              <w:t>Economic analysis</w:t>
            </w:r>
          </w:p>
        </w:tc>
        <w:tc>
          <w:tcPr>
            <w:tcW w:w="6237" w:type="dxa"/>
          </w:tcPr>
          <w:p w14:paraId="2325038B" w14:textId="77777777" w:rsidR="006246E7" w:rsidRPr="00500945" w:rsidRDefault="001967F4" w:rsidP="006246E7">
            <w:pPr>
              <w:pStyle w:val="BodyText2"/>
              <w:rPr>
                <w:rFonts w:cs="Arial"/>
                <w:sz w:val="22"/>
                <w:szCs w:val="22"/>
                <w:lang w:val="en-GB"/>
              </w:rPr>
            </w:pPr>
            <w:r w:rsidRPr="00500945">
              <w:rPr>
                <w:rFonts w:cs="Arial"/>
                <w:sz w:val="22"/>
                <w:szCs w:val="22"/>
                <w:lang w:val="en-GB"/>
              </w:rPr>
              <w:t>The reference case stipulates that the cost effectiveness of treatments should be expressed in terms of incremental cost per quality-adjusted life year.</w:t>
            </w:r>
          </w:p>
          <w:p w14:paraId="1AD86F4D" w14:textId="77777777" w:rsidR="00D000D2" w:rsidRPr="00500945" w:rsidRDefault="00D000D2" w:rsidP="00DC68B6">
            <w:pPr>
              <w:pStyle w:val="BodyText2"/>
              <w:rPr>
                <w:rFonts w:cs="Arial"/>
                <w:sz w:val="22"/>
                <w:szCs w:val="22"/>
                <w:lang w:val="en-GB"/>
              </w:rPr>
            </w:pPr>
            <w:r w:rsidRPr="00500945">
              <w:rPr>
                <w:rFonts w:cs="Arial"/>
                <w:sz w:val="22"/>
                <w:szCs w:val="22"/>
                <w:lang w:val="en-GB"/>
              </w:rPr>
              <w:t>The reference case stipulates that the time horizon for estimating clinical and cost effectiveness should be sufficiently long to reflect any differences in costs or outcomes between the technologies being compared.</w:t>
            </w:r>
          </w:p>
          <w:p w14:paraId="7C329E62" w14:textId="77777777" w:rsidR="001967F4" w:rsidRPr="00500945" w:rsidRDefault="001967F4" w:rsidP="00DC68B6">
            <w:pPr>
              <w:pStyle w:val="BodyText2"/>
              <w:rPr>
                <w:rFonts w:cs="Arial"/>
                <w:sz w:val="22"/>
                <w:szCs w:val="22"/>
                <w:lang w:val="en-GB"/>
              </w:rPr>
            </w:pPr>
            <w:r w:rsidRPr="00500945">
              <w:rPr>
                <w:rFonts w:cs="Arial"/>
                <w:sz w:val="22"/>
                <w:szCs w:val="22"/>
                <w:lang w:val="en-GB"/>
              </w:rPr>
              <w:t>Costs will be considered from an NHS and Personal Social Services perspective.</w:t>
            </w:r>
          </w:p>
          <w:p w14:paraId="3070EB80" w14:textId="77777777" w:rsidR="00BA2A7C" w:rsidRDefault="001C2406" w:rsidP="001C2406">
            <w:pPr>
              <w:pStyle w:val="BodyText2"/>
              <w:rPr>
                <w:rFonts w:cs="Arial"/>
                <w:sz w:val="22"/>
                <w:szCs w:val="22"/>
                <w:lang w:val="en-GB"/>
              </w:rPr>
            </w:pPr>
            <w:r w:rsidRPr="00500945">
              <w:rPr>
                <w:rFonts w:cs="Arial"/>
                <w:sz w:val="22"/>
                <w:szCs w:val="22"/>
                <w:lang w:val="en-GB"/>
              </w:rPr>
              <w:t>The availability of any commercial arrangements for the intervention, comparator and subsequent treatment technologies will be considered.</w:t>
            </w:r>
          </w:p>
          <w:p w14:paraId="24736DD4" w14:textId="429C6686" w:rsidR="0033394A" w:rsidRPr="00500945" w:rsidRDefault="002C129F" w:rsidP="001C2406">
            <w:pPr>
              <w:pStyle w:val="BodyText2"/>
              <w:rPr>
                <w:rFonts w:cs="Arial"/>
                <w:sz w:val="22"/>
                <w:szCs w:val="22"/>
                <w:lang w:val="en-GB"/>
              </w:rPr>
            </w:pPr>
            <w:r>
              <w:rPr>
                <w:rFonts w:cs="Arial"/>
                <w:sz w:val="22"/>
                <w:szCs w:val="22"/>
                <w:lang w:val="en-GB"/>
              </w:rPr>
              <w:t>N</w:t>
            </w:r>
            <w:r w:rsidRPr="00C37EE6">
              <w:rPr>
                <w:rFonts w:cs="Arial"/>
                <w:sz w:val="22"/>
                <w:szCs w:val="22"/>
                <w:lang w:val="en-GB"/>
              </w:rPr>
              <w:t>atalizumab</w:t>
            </w:r>
            <w:r w:rsidRPr="00C636AE">
              <w:rPr>
                <w:sz w:val="20"/>
              </w:rPr>
              <w:t xml:space="preserve"> </w:t>
            </w:r>
            <w:r>
              <w:rPr>
                <w:rFonts w:cs="Arial"/>
                <w:sz w:val="22"/>
                <w:szCs w:val="22"/>
                <w:lang w:val="en-GB"/>
              </w:rPr>
              <w:t xml:space="preserve">may increase the risk of </w:t>
            </w:r>
            <w:r w:rsidR="00427D18">
              <w:rPr>
                <w:rFonts w:cs="Arial"/>
                <w:sz w:val="22"/>
                <w:szCs w:val="22"/>
                <w:lang w:val="en-GB"/>
              </w:rPr>
              <w:t>developing p</w:t>
            </w:r>
            <w:r w:rsidR="00427D18" w:rsidRPr="00427D18">
              <w:rPr>
                <w:rFonts w:cs="Arial"/>
                <w:sz w:val="22"/>
                <w:szCs w:val="22"/>
                <w:lang w:val="en-GB"/>
              </w:rPr>
              <w:t xml:space="preserve">rogressive </w:t>
            </w:r>
            <w:r w:rsidR="00427D18">
              <w:rPr>
                <w:rFonts w:cs="Arial"/>
                <w:sz w:val="22"/>
                <w:szCs w:val="22"/>
                <w:lang w:val="en-GB"/>
              </w:rPr>
              <w:t>m</w:t>
            </w:r>
            <w:r w:rsidR="00427D18" w:rsidRPr="00427D18">
              <w:rPr>
                <w:rFonts w:cs="Arial"/>
                <w:sz w:val="22"/>
                <w:szCs w:val="22"/>
                <w:lang w:val="en-GB"/>
              </w:rPr>
              <w:t xml:space="preserve">ultifocal </w:t>
            </w:r>
            <w:r w:rsidR="00427D18">
              <w:rPr>
                <w:rFonts w:cs="Arial"/>
                <w:sz w:val="22"/>
                <w:szCs w:val="22"/>
                <w:lang w:val="en-GB"/>
              </w:rPr>
              <w:t>l</w:t>
            </w:r>
            <w:r w:rsidR="00427D18" w:rsidRPr="00427D18">
              <w:rPr>
                <w:rFonts w:cs="Arial"/>
                <w:sz w:val="22"/>
                <w:szCs w:val="22"/>
                <w:lang w:val="en-GB"/>
              </w:rPr>
              <w:t>eukoencephalopathy</w:t>
            </w:r>
            <w:r w:rsidR="00427D18" w:rsidRPr="00C37EE6">
              <w:rPr>
                <w:rFonts w:cs="Arial"/>
                <w:sz w:val="22"/>
                <w:szCs w:val="22"/>
                <w:lang w:val="en-GB"/>
              </w:rPr>
              <w:t xml:space="preserve"> caused by </w:t>
            </w:r>
            <w:r w:rsidR="00427D18">
              <w:rPr>
                <w:rFonts w:cs="Arial"/>
                <w:sz w:val="22"/>
                <w:szCs w:val="22"/>
                <w:lang w:val="en-GB"/>
              </w:rPr>
              <w:t xml:space="preserve">the </w:t>
            </w:r>
            <w:r w:rsidR="00427D18" w:rsidRPr="00C37EE6">
              <w:rPr>
                <w:rFonts w:cs="Arial"/>
                <w:sz w:val="22"/>
                <w:szCs w:val="22"/>
                <w:lang w:val="en-GB"/>
              </w:rPr>
              <w:t>JC vir</w:t>
            </w:r>
            <w:r w:rsidR="00427D18">
              <w:rPr>
                <w:rFonts w:cs="Arial"/>
                <w:sz w:val="22"/>
                <w:szCs w:val="22"/>
                <w:lang w:val="en-GB"/>
              </w:rPr>
              <w:t>u</w:t>
            </w:r>
            <w:r w:rsidR="00427D18" w:rsidRPr="00C37EE6">
              <w:rPr>
                <w:rFonts w:cs="Arial"/>
                <w:sz w:val="22"/>
                <w:szCs w:val="22"/>
                <w:lang w:val="en-GB"/>
              </w:rPr>
              <w:t>s</w:t>
            </w:r>
            <w:r w:rsidR="00427D18">
              <w:rPr>
                <w:rFonts w:cs="Arial"/>
                <w:sz w:val="22"/>
                <w:szCs w:val="22"/>
                <w:lang w:val="en-GB"/>
              </w:rPr>
              <w:t>.</w:t>
            </w:r>
            <w:r w:rsidR="0033394A" w:rsidRPr="00C37EE6">
              <w:rPr>
                <w:rFonts w:cs="Arial"/>
                <w:sz w:val="22"/>
                <w:szCs w:val="22"/>
                <w:lang w:val="en-GB"/>
              </w:rPr>
              <w:t xml:space="preserve"> The economic modelling should include the costs associated with </w:t>
            </w:r>
            <w:r>
              <w:rPr>
                <w:rFonts w:cs="Arial"/>
                <w:sz w:val="22"/>
                <w:szCs w:val="22"/>
                <w:lang w:val="en-GB"/>
              </w:rPr>
              <w:t>a</w:t>
            </w:r>
            <w:r w:rsidRPr="00C37EE6">
              <w:rPr>
                <w:rFonts w:cs="Arial"/>
                <w:sz w:val="22"/>
                <w:szCs w:val="22"/>
                <w:lang w:val="en-GB"/>
              </w:rPr>
              <w:t>nti-JCV antibody testing</w:t>
            </w:r>
            <w:r w:rsidRPr="002C129F">
              <w:rPr>
                <w:rFonts w:cs="Arial"/>
                <w:sz w:val="22"/>
                <w:szCs w:val="22"/>
                <w:lang w:val="en-GB"/>
              </w:rPr>
              <w:t xml:space="preserve"> </w:t>
            </w:r>
            <w:r w:rsidR="0033394A" w:rsidRPr="00C37EE6">
              <w:rPr>
                <w:rFonts w:cs="Arial"/>
                <w:sz w:val="22"/>
                <w:szCs w:val="22"/>
                <w:lang w:val="en-GB"/>
              </w:rPr>
              <w:t>in people with</w:t>
            </w:r>
            <w:r w:rsidR="00427D18">
              <w:t xml:space="preserve"> </w:t>
            </w:r>
            <w:r w:rsidR="00427D18" w:rsidRPr="00427D18">
              <w:rPr>
                <w:rFonts w:cs="Arial"/>
                <w:sz w:val="22"/>
                <w:szCs w:val="22"/>
                <w:lang w:val="en-GB"/>
              </w:rPr>
              <w:t>highly active relapsing-remitting multiple sclerosis</w:t>
            </w:r>
            <w:r w:rsidR="0033394A" w:rsidRPr="00C37EE6">
              <w:rPr>
                <w:rFonts w:cs="Arial"/>
                <w:sz w:val="22"/>
                <w:szCs w:val="22"/>
                <w:lang w:val="en-GB"/>
              </w:rPr>
              <w:t xml:space="preserve"> who would not otherwise have been tested. A sensitivity analysis should be provided without the cost of the test. See section 4.8 of the unified manual (available here: </w:t>
            </w:r>
            <w:hyperlink r:id="rId16" w:history="1">
              <w:r w:rsidR="0033394A" w:rsidRPr="00C37EE6">
                <w:rPr>
                  <w:rStyle w:val="Hyperlink"/>
                  <w:rFonts w:cs="Arial"/>
                  <w:sz w:val="22"/>
                  <w:szCs w:val="22"/>
                  <w:lang w:val="en-GB"/>
                </w:rPr>
                <w:t>https://www.nice.org.uk/about/what-we-do/our-programmes/nice-guidance/nice-technology-appraisal-guidance/changes-to-health-technology-evaluation</w:t>
              </w:r>
            </w:hyperlink>
            <w:r w:rsidR="0033394A" w:rsidRPr="00C37EE6">
              <w:rPr>
                <w:rFonts w:cs="Arial"/>
                <w:color w:val="000000"/>
                <w:sz w:val="22"/>
                <w:szCs w:val="22"/>
                <w:lang w:val="en-GB"/>
              </w:rPr>
              <w:t>).</w:t>
            </w:r>
          </w:p>
          <w:p w14:paraId="3E76FC38" w14:textId="784C14C6" w:rsidR="00573875" w:rsidRPr="00500945" w:rsidRDefault="00573875" w:rsidP="001C2406">
            <w:pPr>
              <w:pStyle w:val="BodyText2"/>
              <w:rPr>
                <w:rFonts w:cs="Arial"/>
                <w:sz w:val="22"/>
                <w:szCs w:val="22"/>
                <w:lang w:val="en-GB"/>
              </w:rPr>
            </w:pPr>
            <w:r w:rsidRPr="00500945">
              <w:rPr>
                <w:rFonts w:cs="Arial"/>
                <w:sz w:val="22"/>
                <w:szCs w:val="22"/>
                <w:lang w:val="en-GB"/>
              </w:rPr>
              <w:t xml:space="preserve">The availability and cost of biosimilar and generic products should be </w:t>
            </w:r>
            <w:proofErr w:type="gramStart"/>
            <w:r w:rsidRPr="00500945">
              <w:rPr>
                <w:rFonts w:cs="Arial"/>
                <w:sz w:val="22"/>
                <w:szCs w:val="22"/>
                <w:lang w:val="en-GB"/>
              </w:rPr>
              <w:t>taken into account</w:t>
            </w:r>
            <w:proofErr w:type="gramEnd"/>
            <w:r w:rsidRPr="00500945">
              <w:rPr>
                <w:rFonts w:cs="Arial"/>
                <w:sz w:val="22"/>
                <w:szCs w:val="22"/>
                <w:lang w:val="en-GB"/>
              </w:rPr>
              <w:t>.</w:t>
            </w:r>
          </w:p>
        </w:tc>
      </w:tr>
      <w:tr w:rsidR="001967F4" w:rsidRPr="00500945" w14:paraId="7ABFFF03" w14:textId="77777777" w:rsidTr="00F41649">
        <w:trPr>
          <w:cantSplit/>
        </w:trPr>
        <w:tc>
          <w:tcPr>
            <w:tcW w:w="2376" w:type="dxa"/>
            <w:shd w:val="clear" w:color="auto" w:fill="D9D9D9"/>
          </w:tcPr>
          <w:p w14:paraId="7EF33034" w14:textId="77777777" w:rsidR="001967F4" w:rsidRPr="00500945" w:rsidRDefault="001967F4" w:rsidP="00747737">
            <w:pPr>
              <w:pStyle w:val="Header"/>
              <w:tabs>
                <w:tab w:val="clear" w:pos="4153"/>
                <w:tab w:val="clear" w:pos="8306"/>
              </w:tabs>
              <w:spacing w:before="120"/>
              <w:rPr>
                <w:rFonts w:cs="Arial"/>
                <w:sz w:val="22"/>
                <w:szCs w:val="22"/>
                <w:lang w:val="en-GB"/>
              </w:rPr>
            </w:pPr>
            <w:r w:rsidRPr="00500945">
              <w:rPr>
                <w:rFonts w:cs="Arial"/>
                <w:b/>
                <w:bCs/>
                <w:sz w:val="22"/>
                <w:szCs w:val="22"/>
                <w:lang w:val="en-GB"/>
              </w:rPr>
              <w:t xml:space="preserve">Other considerations </w:t>
            </w:r>
          </w:p>
        </w:tc>
        <w:tc>
          <w:tcPr>
            <w:tcW w:w="6237" w:type="dxa"/>
          </w:tcPr>
          <w:p w14:paraId="0C357B18" w14:textId="7D96F103" w:rsidR="001967F4" w:rsidRPr="00500945" w:rsidRDefault="001C2406" w:rsidP="002E3A4D">
            <w:pPr>
              <w:pStyle w:val="BodyText2"/>
              <w:rPr>
                <w:rFonts w:cs="Arial"/>
                <w:sz w:val="22"/>
                <w:szCs w:val="22"/>
                <w:lang w:val="en-GB"/>
              </w:rPr>
            </w:pPr>
            <w:r w:rsidRPr="00500945">
              <w:rPr>
                <w:rFonts w:cs="Arial"/>
                <w:sz w:val="22"/>
                <w:szCs w:val="22"/>
                <w:lang w:val="en-GB"/>
              </w:rPr>
              <w:t>Guidance will only be issued in accordance with the marketing authorisation</w:t>
            </w:r>
            <w:bookmarkStart w:id="3" w:name="Text54"/>
            <w:r w:rsidRPr="00500945">
              <w:rPr>
                <w:rFonts w:cs="Arial"/>
                <w:sz w:val="22"/>
                <w:szCs w:val="22"/>
                <w:lang w:val="en-GB"/>
              </w:rPr>
              <w:t xml:space="preserve">. </w:t>
            </w:r>
            <w:r w:rsidRPr="00500945">
              <w:rPr>
                <w:rFonts w:cs="Arial"/>
                <w:sz w:val="22"/>
                <w:szCs w:val="22"/>
              </w:rPr>
              <w:t>Where the wording of the therapeutic indication does not include specific treatment combinations, guidance will be issued only in the context of the evidence that has underpinned the marketing authorisation granted by the regulator.</w:t>
            </w:r>
            <w:bookmarkEnd w:id="3"/>
          </w:p>
        </w:tc>
      </w:tr>
      <w:tr w:rsidR="00230DA7" w:rsidRPr="00500945" w14:paraId="7C709D17" w14:textId="77777777" w:rsidTr="00F416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32A7183E" w14:textId="77777777" w:rsidR="00230DA7" w:rsidRPr="00500945" w:rsidRDefault="00230DA7" w:rsidP="00230DA7">
            <w:pPr>
              <w:pStyle w:val="Header"/>
              <w:tabs>
                <w:tab w:val="clear" w:pos="4153"/>
                <w:tab w:val="clear" w:pos="8306"/>
              </w:tabs>
              <w:spacing w:before="120"/>
              <w:rPr>
                <w:rFonts w:cs="Arial"/>
                <w:sz w:val="22"/>
                <w:szCs w:val="22"/>
                <w:lang w:val="en-GB"/>
              </w:rPr>
            </w:pPr>
            <w:r w:rsidRPr="00500945">
              <w:rPr>
                <w:rFonts w:cs="Arial"/>
                <w:b/>
                <w:bCs/>
                <w:sz w:val="22"/>
                <w:szCs w:val="22"/>
                <w:lang w:val="en-GB"/>
              </w:rPr>
              <w:t>Related NICE recommendations</w:t>
            </w:r>
            <w:r w:rsidR="003A5AFC" w:rsidRPr="00500945">
              <w:rPr>
                <w:rFonts w:cs="Arial"/>
                <w:b/>
                <w:bCs/>
                <w:sz w:val="22"/>
                <w:szCs w:val="22"/>
                <w:lang w:val="en-GB"/>
              </w:rPr>
              <w:t xml:space="preserve"> </w:t>
            </w:r>
          </w:p>
        </w:tc>
        <w:tc>
          <w:tcPr>
            <w:tcW w:w="6237" w:type="dxa"/>
          </w:tcPr>
          <w:p w14:paraId="42990DCA" w14:textId="7F4FC0FD" w:rsidR="00230DA7" w:rsidRPr="00500945" w:rsidRDefault="00230DA7" w:rsidP="00123602">
            <w:pPr>
              <w:pStyle w:val="BodyText2"/>
              <w:rPr>
                <w:rFonts w:cs="Arial"/>
                <w:b/>
                <w:bCs/>
                <w:sz w:val="22"/>
                <w:szCs w:val="22"/>
                <w:lang w:val="en-GB"/>
              </w:rPr>
            </w:pPr>
            <w:r w:rsidRPr="00500945">
              <w:rPr>
                <w:rFonts w:cs="Arial"/>
                <w:b/>
                <w:bCs/>
                <w:sz w:val="22"/>
                <w:szCs w:val="22"/>
                <w:lang w:val="en-GB"/>
              </w:rPr>
              <w:t xml:space="preserve">Related </w:t>
            </w:r>
            <w:r w:rsidR="00BD2C43" w:rsidRPr="00500945">
              <w:rPr>
                <w:rFonts w:cs="Arial"/>
                <w:b/>
                <w:bCs/>
                <w:sz w:val="22"/>
                <w:szCs w:val="22"/>
                <w:lang w:val="en-GB"/>
              </w:rPr>
              <w:t>t</w:t>
            </w:r>
            <w:r w:rsidRPr="00500945">
              <w:rPr>
                <w:rFonts w:cs="Arial"/>
                <w:b/>
                <w:bCs/>
                <w:sz w:val="22"/>
                <w:szCs w:val="22"/>
                <w:lang w:val="en-GB"/>
              </w:rPr>
              <w:t xml:space="preserve">echnology </w:t>
            </w:r>
            <w:r w:rsidR="00BD2C43" w:rsidRPr="00500945">
              <w:rPr>
                <w:rFonts w:cs="Arial"/>
                <w:b/>
                <w:bCs/>
                <w:sz w:val="22"/>
                <w:szCs w:val="22"/>
                <w:lang w:val="en-GB"/>
              </w:rPr>
              <w:t>a</w:t>
            </w:r>
            <w:r w:rsidRPr="00500945">
              <w:rPr>
                <w:rFonts w:cs="Arial"/>
                <w:b/>
                <w:bCs/>
                <w:sz w:val="22"/>
                <w:szCs w:val="22"/>
                <w:lang w:val="en-GB"/>
              </w:rPr>
              <w:t>ppraisals:</w:t>
            </w:r>
          </w:p>
          <w:p w14:paraId="0FAD80BA" w14:textId="191858D5" w:rsidR="001C2406" w:rsidRPr="00500945" w:rsidRDefault="00A97F3C" w:rsidP="001C2406">
            <w:pPr>
              <w:pStyle w:val="BodyText2"/>
              <w:rPr>
                <w:color w:val="000000"/>
                <w:sz w:val="22"/>
                <w:szCs w:val="22"/>
              </w:rPr>
            </w:pPr>
            <w:hyperlink r:id="rId17" w:history="1">
              <w:r w:rsidR="001C2406" w:rsidRPr="00500945">
                <w:rPr>
                  <w:rStyle w:val="Hyperlink"/>
                  <w:rFonts w:cs="Arial"/>
                  <w:sz w:val="22"/>
                  <w:szCs w:val="22"/>
                  <w:lang w:val="en-GB"/>
                </w:rPr>
                <w:t>Diroximel fumarate for treating relapsing-remitting multiple sclerosis</w:t>
              </w:r>
            </w:hyperlink>
            <w:r w:rsidR="001C2406" w:rsidRPr="00500945">
              <w:rPr>
                <w:rFonts w:cs="Arial"/>
                <w:sz w:val="22"/>
                <w:szCs w:val="22"/>
                <w:lang w:val="en-GB"/>
              </w:rPr>
              <w:t xml:space="preserve"> (2022). </w:t>
            </w:r>
            <w:r w:rsidR="001C2406" w:rsidRPr="00500945">
              <w:rPr>
                <w:color w:val="000000"/>
                <w:sz w:val="22"/>
                <w:szCs w:val="22"/>
              </w:rPr>
              <w:t xml:space="preserve">NICE technology appraisals guidance </w:t>
            </w:r>
            <w:r w:rsidR="001C2406" w:rsidRPr="00500945">
              <w:rPr>
                <w:color w:val="000000"/>
                <w:sz w:val="22"/>
                <w:szCs w:val="22"/>
                <w:lang w:val="en-GB"/>
              </w:rPr>
              <w:t>794.</w:t>
            </w:r>
            <w:r w:rsidR="001C2406" w:rsidRPr="00500945">
              <w:rPr>
                <w:color w:val="000000"/>
                <w:sz w:val="22"/>
                <w:szCs w:val="22"/>
              </w:rPr>
              <w:t xml:space="preserve"> </w:t>
            </w:r>
          </w:p>
          <w:p w14:paraId="56BA3B34" w14:textId="01694844" w:rsidR="00573875" w:rsidRPr="00500945" w:rsidRDefault="00A97F3C" w:rsidP="001C2406">
            <w:pPr>
              <w:pStyle w:val="BodyText2"/>
              <w:rPr>
                <w:rFonts w:cs="Arial"/>
                <w:sz w:val="22"/>
                <w:szCs w:val="22"/>
                <w:lang w:val="en-GB"/>
              </w:rPr>
            </w:pPr>
            <w:hyperlink r:id="rId18" w:history="1">
              <w:r w:rsidR="00573875" w:rsidRPr="00500945">
                <w:rPr>
                  <w:rStyle w:val="Hyperlink"/>
                  <w:rFonts w:cs="Arial"/>
                  <w:sz w:val="22"/>
                  <w:szCs w:val="22"/>
                  <w:lang w:val="en-GB"/>
                </w:rPr>
                <w:t>Ponesimod for treating relapsing–remitting multiple sclerosis</w:t>
              </w:r>
            </w:hyperlink>
            <w:r w:rsidR="00573875" w:rsidRPr="00500945">
              <w:rPr>
                <w:rFonts w:cs="Arial"/>
                <w:sz w:val="22"/>
                <w:szCs w:val="22"/>
                <w:lang w:val="en-GB"/>
              </w:rPr>
              <w:t xml:space="preserve"> (2022). </w:t>
            </w:r>
            <w:r w:rsidR="00573875" w:rsidRPr="00500945">
              <w:rPr>
                <w:color w:val="000000"/>
                <w:sz w:val="22"/>
                <w:szCs w:val="22"/>
              </w:rPr>
              <w:t>NICE technology appraisals guidance</w:t>
            </w:r>
            <w:r w:rsidR="00573875" w:rsidRPr="00500945">
              <w:rPr>
                <w:color w:val="000000"/>
                <w:sz w:val="22"/>
                <w:szCs w:val="22"/>
                <w:lang w:val="en-GB"/>
              </w:rPr>
              <w:t xml:space="preserve"> 767.</w:t>
            </w:r>
          </w:p>
          <w:p w14:paraId="15964587" w14:textId="2EFFD0CF" w:rsidR="0087329B" w:rsidRPr="00500945" w:rsidRDefault="00A97F3C" w:rsidP="001C2406">
            <w:pPr>
              <w:spacing w:before="120" w:after="120"/>
              <w:rPr>
                <w:color w:val="000000"/>
                <w:sz w:val="22"/>
                <w:szCs w:val="22"/>
              </w:rPr>
            </w:pPr>
            <w:hyperlink r:id="rId19" w:history="1">
              <w:r w:rsidR="0087329B" w:rsidRPr="00500945">
                <w:rPr>
                  <w:rStyle w:val="Hyperlink"/>
                  <w:sz w:val="22"/>
                  <w:szCs w:val="22"/>
                </w:rPr>
                <w:t>Ozanimod for treating relapsing–remitting multiple sclerosis</w:t>
              </w:r>
            </w:hyperlink>
            <w:r w:rsidR="0087329B" w:rsidRPr="00500945">
              <w:rPr>
                <w:color w:val="000000"/>
                <w:sz w:val="22"/>
                <w:szCs w:val="22"/>
              </w:rPr>
              <w:t xml:space="preserve"> (2021). NICE technology appraisals guidance 706.</w:t>
            </w:r>
          </w:p>
          <w:p w14:paraId="44BD11C4" w14:textId="19E6EC73" w:rsidR="0087329B" w:rsidRPr="00500945" w:rsidRDefault="00A97F3C" w:rsidP="001C2406">
            <w:pPr>
              <w:spacing w:before="120" w:after="120"/>
              <w:rPr>
                <w:color w:val="000000"/>
                <w:sz w:val="22"/>
                <w:szCs w:val="22"/>
              </w:rPr>
            </w:pPr>
            <w:hyperlink r:id="rId20" w:history="1">
              <w:r w:rsidR="0087329B" w:rsidRPr="00500945">
                <w:rPr>
                  <w:rStyle w:val="Hyperlink"/>
                  <w:sz w:val="22"/>
                  <w:szCs w:val="22"/>
                </w:rPr>
                <w:t>Ofatumumab for treating relapsing multiple sclerosis</w:t>
              </w:r>
            </w:hyperlink>
            <w:r w:rsidR="0087329B" w:rsidRPr="00500945">
              <w:rPr>
                <w:color w:val="000000"/>
                <w:sz w:val="22"/>
                <w:szCs w:val="22"/>
              </w:rPr>
              <w:t xml:space="preserve"> (2021). NICE technology appraisals guidance 699.</w:t>
            </w:r>
          </w:p>
          <w:p w14:paraId="307A9F5F" w14:textId="10B1F1CF" w:rsidR="001C2406" w:rsidRPr="00500945" w:rsidRDefault="00A97F3C" w:rsidP="001C2406">
            <w:pPr>
              <w:spacing w:before="120" w:after="120"/>
              <w:rPr>
                <w:rFonts w:cs="Times New Roman"/>
                <w:color w:val="000000"/>
                <w:sz w:val="22"/>
                <w:szCs w:val="22"/>
              </w:rPr>
            </w:pPr>
            <w:hyperlink r:id="rId21" w:history="1">
              <w:r w:rsidR="001C2406" w:rsidRPr="00500945">
                <w:rPr>
                  <w:rStyle w:val="Hyperlink"/>
                  <w:rFonts w:cs="Times New Roman"/>
                  <w:sz w:val="22"/>
                  <w:szCs w:val="22"/>
                </w:rPr>
                <w:t>Cladribine tablets for treating relapsing–remitting multiple sclerosis</w:t>
              </w:r>
            </w:hyperlink>
            <w:r w:rsidR="001C2406" w:rsidRPr="00500945">
              <w:rPr>
                <w:rFonts w:cs="Times New Roman"/>
                <w:color w:val="000000"/>
                <w:sz w:val="22"/>
                <w:szCs w:val="22"/>
              </w:rPr>
              <w:t xml:space="preserve"> (2017). </w:t>
            </w:r>
            <w:r w:rsidR="001C2406" w:rsidRPr="00500945">
              <w:rPr>
                <w:rFonts w:cs="Arial"/>
                <w:bCs/>
                <w:color w:val="000000"/>
                <w:sz w:val="22"/>
                <w:szCs w:val="22"/>
                <w:lang w:val="en"/>
              </w:rPr>
              <w:t xml:space="preserve">NICE technology appraisal guidance 616. </w:t>
            </w:r>
          </w:p>
          <w:p w14:paraId="6B40C5A4" w14:textId="2113B4E5" w:rsidR="001C2406" w:rsidRPr="00500945" w:rsidRDefault="00A97F3C" w:rsidP="001C2406">
            <w:pPr>
              <w:spacing w:before="120" w:after="120"/>
              <w:rPr>
                <w:rFonts w:cs="Arial"/>
                <w:bCs/>
                <w:color w:val="000000"/>
                <w:sz w:val="22"/>
                <w:szCs w:val="22"/>
                <w:lang w:val="en"/>
              </w:rPr>
            </w:pPr>
            <w:hyperlink r:id="rId22" w:history="1">
              <w:r w:rsidR="001C2406" w:rsidRPr="00500945">
                <w:rPr>
                  <w:rStyle w:val="Hyperlink"/>
                  <w:rFonts w:cs="Times New Roman"/>
                  <w:sz w:val="22"/>
                  <w:szCs w:val="22"/>
                </w:rPr>
                <w:t>Ocrelizumab for treating relapsing–remitting multiple sclerosis</w:t>
              </w:r>
            </w:hyperlink>
            <w:r w:rsidR="001C2406" w:rsidRPr="00500945">
              <w:rPr>
                <w:rFonts w:cs="Times New Roman"/>
                <w:color w:val="000000"/>
                <w:sz w:val="22"/>
                <w:szCs w:val="22"/>
              </w:rPr>
              <w:t xml:space="preserve"> (2018). </w:t>
            </w:r>
            <w:r w:rsidR="001C2406" w:rsidRPr="00500945">
              <w:rPr>
                <w:rFonts w:cs="Arial"/>
                <w:bCs/>
                <w:color w:val="000000"/>
                <w:sz w:val="22"/>
                <w:szCs w:val="22"/>
                <w:lang w:val="en"/>
              </w:rPr>
              <w:t xml:space="preserve">NICE technology appraisal guidance 533. </w:t>
            </w:r>
          </w:p>
          <w:p w14:paraId="60490FE6" w14:textId="77777777" w:rsidR="00534788" w:rsidRPr="00500945" w:rsidRDefault="00A97F3C" w:rsidP="00534788">
            <w:pPr>
              <w:spacing w:before="120" w:after="120"/>
              <w:rPr>
                <w:rFonts w:cs="Arial"/>
                <w:bCs/>
                <w:sz w:val="22"/>
                <w:szCs w:val="22"/>
                <w:lang w:val="en"/>
              </w:rPr>
            </w:pPr>
            <w:hyperlink r:id="rId23" w:tgtFrame="_blank" w:tooltip="View TA312 at NICE website" w:history="1">
              <w:r w:rsidR="00534788" w:rsidRPr="00500945">
                <w:rPr>
                  <w:rFonts w:cs="Arial"/>
                  <w:bCs/>
                  <w:color w:val="0000FF"/>
                  <w:sz w:val="22"/>
                  <w:szCs w:val="22"/>
                  <w:u w:val="single"/>
                  <w:lang w:val="en"/>
                </w:rPr>
                <w:t>Alemtuzumab for treating relapsing–remitting multiple sclerosis</w:t>
              </w:r>
            </w:hyperlink>
            <w:r w:rsidR="00534788" w:rsidRPr="00500945">
              <w:rPr>
                <w:rFonts w:cs="Arial"/>
                <w:bCs/>
                <w:color w:val="000000"/>
                <w:sz w:val="22"/>
                <w:szCs w:val="22"/>
                <w:lang w:val="en"/>
              </w:rPr>
              <w:t xml:space="preserve"> (updated 2020). NICE technology appraisal guidance 312. </w:t>
            </w:r>
          </w:p>
          <w:p w14:paraId="0E05DD5F" w14:textId="46E451A5" w:rsidR="001C2406" w:rsidRPr="00500945" w:rsidRDefault="00A97F3C" w:rsidP="001C2406">
            <w:pPr>
              <w:spacing w:before="120" w:after="120"/>
              <w:rPr>
                <w:rFonts w:cs="Arial"/>
                <w:bCs/>
                <w:color w:val="000000"/>
                <w:sz w:val="22"/>
                <w:szCs w:val="22"/>
                <w:lang w:val="en"/>
              </w:rPr>
            </w:pPr>
            <w:hyperlink r:id="rId24" w:tgtFrame="_blank" w:tooltip="View TA254 at NICE website" w:history="1">
              <w:r w:rsidR="001C2406" w:rsidRPr="00500945">
                <w:rPr>
                  <w:rFonts w:cs="Arial"/>
                  <w:bCs/>
                  <w:color w:val="0000FF"/>
                  <w:sz w:val="22"/>
                  <w:szCs w:val="22"/>
                  <w:u w:val="single"/>
                  <w:lang w:val="en"/>
                </w:rPr>
                <w:t>Fingolimod for the treatment of highly active relapsing–remitting multiple sclerosis</w:t>
              </w:r>
            </w:hyperlink>
            <w:r w:rsidR="001C2406" w:rsidRPr="00500945">
              <w:rPr>
                <w:rFonts w:cs="Arial"/>
                <w:bCs/>
                <w:color w:val="000000"/>
                <w:sz w:val="22"/>
                <w:szCs w:val="22"/>
                <w:lang w:val="en"/>
              </w:rPr>
              <w:t xml:space="preserve"> (2012). NICE technology appraisal guidance 254. </w:t>
            </w:r>
          </w:p>
          <w:p w14:paraId="120A44E7" w14:textId="401D093F" w:rsidR="001C2406" w:rsidRPr="00500945" w:rsidRDefault="00A97F3C" w:rsidP="001C2406">
            <w:pPr>
              <w:spacing w:before="120" w:after="120"/>
              <w:rPr>
                <w:rFonts w:cs="Arial"/>
                <w:bCs/>
                <w:sz w:val="22"/>
                <w:szCs w:val="22"/>
                <w:lang w:val="en"/>
              </w:rPr>
            </w:pPr>
            <w:hyperlink r:id="rId25" w:tgtFrame="_blank" w:tooltip="View TA127 at NICE website" w:history="1">
              <w:r w:rsidR="001C2406" w:rsidRPr="00500945">
                <w:rPr>
                  <w:rFonts w:cs="Arial"/>
                  <w:bCs/>
                  <w:color w:val="0000FF"/>
                  <w:sz w:val="22"/>
                  <w:szCs w:val="22"/>
                  <w:u w:val="single"/>
                  <w:lang w:val="en"/>
                </w:rPr>
                <w:t>Natalizumab for the treatment of adults with highly active relapsing–remitting multiple sclerosis</w:t>
              </w:r>
            </w:hyperlink>
            <w:r w:rsidR="001C2406" w:rsidRPr="00500945">
              <w:rPr>
                <w:rFonts w:cs="Arial"/>
                <w:bCs/>
                <w:color w:val="000000"/>
                <w:sz w:val="22"/>
                <w:szCs w:val="22"/>
                <w:lang w:val="en"/>
              </w:rPr>
              <w:t xml:space="preserve"> (2007). NICE technology appraisal guidance 1</w:t>
            </w:r>
            <w:r w:rsidR="001C2406" w:rsidRPr="00500945">
              <w:rPr>
                <w:rFonts w:cs="Arial"/>
                <w:bCs/>
                <w:sz w:val="22"/>
                <w:szCs w:val="22"/>
                <w:lang w:val="en"/>
              </w:rPr>
              <w:t xml:space="preserve">27. </w:t>
            </w:r>
          </w:p>
          <w:p w14:paraId="46C0D90E" w14:textId="53AC8633" w:rsidR="008C523D" w:rsidRPr="00500945" w:rsidRDefault="008C523D" w:rsidP="008C523D">
            <w:pPr>
              <w:pStyle w:val="BodyText2"/>
              <w:rPr>
                <w:rFonts w:cs="Arial"/>
                <w:b/>
                <w:bCs/>
                <w:sz w:val="22"/>
                <w:szCs w:val="22"/>
                <w:lang w:val="en-GB"/>
              </w:rPr>
            </w:pPr>
            <w:r w:rsidRPr="00500945">
              <w:rPr>
                <w:rFonts w:cs="Arial"/>
                <w:b/>
                <w:bCs/>
                <w:sz w:val="22"/>
                <w:szCs w:val="22"/>
                <w:lang w:val="en-GB"/>
              </w:rPr>
              <w:t>Technology appraisals in development:</w:t>
            </w:r>
          </w:p>
          <w:p w14:paraId="673B95D2" w14:textId="73EF7C44" w:rsidR="008C523D" w:rsidRPr="00500945" w:rsidRDefault="00A97F3C" w:rsidP="001C2406">
            <w:pPr>
              <w:spacing w:before="120" w:after="120"/>
              <w:rPr>
                <w:rFonts w:cs="Arial"/>
                <w:sz w:val="22"/>
                <w:szCs w:val="22"/>
              </w:rPr>
            </w:pPr>
            <w:hyperlink r:id="rId26" w:history="1">
              <w:r w:rsidR="008C523D" w:rsidRPr="00500945">
                <w:rPr>
                  <w:rStyle w:val="Hyperlink"/>
                  <w:rFonts w:cs="Arial"/>
                  <w:sz w:val="22"/>
                  <w:szCs w:val="22"/>
                </w:rPr>
                <w:t>Cladribine for treating relapsing multiple sclerosis</w:t>
              </w:r>
            </w:hyperlink>
            <w:r w:rsidR="008C523D" w:rsidRPr="00500945">
              <w:rPr>
                <w:rFonts w:cs="Arial"/>
                <w:sz w:val="22"/>
                <w:szCs w:val="22"/>
              </w:rPr>
              <w:t>. NICE technology appraisal [ID6263]</w:t>
            </w:r>
          </w:p>
          <w:p w14:paraId="01B9EC7F" w14:textId="438A0C16" w:rsidR="00230DA7" w:rsidRPr="00500945" w:rsidRDefault="00230DA7" w:rsidP="00123602">
            <w:pPr>
              <w:pStyle w:val="BodyText2"/>
              <w:rPr>
                <w:rFonts w:cs="Arial"/>
                <w:b/>
                <w:bCs/>
                <w:sz w:val="22"/>
                <w:szCs w:val="22"/>
                <w:lang w:val="en-GB"/>
              </w:rPr>
            </w:pPr>
            <w:r w:rsidRPr="00500945">
              <w:rPr>
                <w:rFonts w:cs="Arial"/>
                <w:b/>
                <w:bCs/>
                <w:sz w:val="22"/>
                <w:szCs w:val="22"/>
                <w:lang w:val="en-GB"/>
              </w:rPr>
              <w:t xml:space="preserve">Related </w:t>
            </w:r>
            <w:r w:rsidR="001502DA" w:rsidRPr="00500945">
              <w:rPr>
                <w:rFonts w:cs="Arial"/>
                <w:b/>
                <w:bCs/>
                <w:sz w:val="22"/>
                <w:szCs w:val="22"/>
                <w:lang w:val="en-GB"/>
              </w:rPr>
              <w:t>NICE g</w:t>
            </w:r>
            <w:r w:rsidRPr="00500945">
              <w:rPr>
                <w:rFonts w:cs="Arial"/>
                <w:b/>
                <w:bCs/>
                <w:sz w:val="22"/>
                <w:szCs w:val="22"/>
                <w:lang w:val="en-GB"/>
              </w:rPr>
              <w:t>uidelines:</w:t>
            </w:r>
          </w:p>
          <w:p w14:paraId="69F75143" w14:textId="45848F03" w:rsidR="00591883" w:rsidRPr="00500945" w:rsidRDefault="00A97F3C" w:rsidP="00591883">
            <w:pPr>
              <w:rPr>
                <w:rFonts w:cs="Arial"/>
                <w:iCs/>
                <w:sz w:val="22"/>
                <w:szCs w:val="22"/>
              </w:rPr>
            </w:pPr>
            <w:hyperlink r:id="rId27" w:history="1">
              <w:r w:rsidR="00591883" w:rsidRPr="00500945">
                <w:rPr>
                  <w:rStyle w:val="Hyperlink"/>
                  <w:sz w:val="22"/>
                  <w:szCs w:val="22"/>
                </w:rPr>
                <w:t>Multiple sclerosis in adults: management</w:t>
              </w:r>
            </w:hyperlink>
            <w:r w:rsidR="00591883" w:rsidRPr="00500945">
              <w:rPr>
                <w:sz w:val="22"/>
                <w:szCs w:val="22"/>
              </w:rPr>
              <w:t xml:space="preserve"> (2022) NICE clinical guideline NG220</w:t>
            </w:r>
            <w:r w:rsidR="00591883" w:rsidRPr="00500945">
              <w:rPr>
                <w:rFonts w:cs="Arial"/>
                <w:iCs/>
                <w:sz w:val="22"/>
                <w:szCs w:val="22"/>
              </w:rPr>
              <w:t xml:space="preserve">. </w:t>
            </w:r>
          </w:p>
          <w:p w14:paraId="3961EF88" w14:textId="3935D7FB" w:rsidR="00230DA7" w:rsidRPr="00500945" w:rsidRDefault="00230DA7" w:rsidP="00123602">
            <w:pPr>
              <w:pStyle w:val="BodyText2"/>
              <w:rPr>
                <w:rFonts w:cs="Arial"/>
                <w:b/>
                <w:bCs/>
                <w:sz w:val="22"/>
                <w:szCs w:val="22"/>
                <w:lang w:val="en-GB"/>
              </w:rPr>
            </w:pPr>
            <w:r w:rsidRPr="00500945">
              <w:rPr>
                <w:rFonts w:cs="Arial"/>
                <w:b/>
                <w:bCs/>
                <w:sz w:val="22"/>
                <w:szCs w:val="22"/>
                <w:lang w:val="en-GB"/>
              </w:rPr>
              <w:t xml:space="preserve">Related </w:t>
            </w:r>
            <w:r w:rsidR="001502DA" w:rsidRPr="00500945">
              <w:rPr>
                <w:rFonts w:cs="Arial"/>
                <w:b/>
                <w:bCs/>
                <w:sz w:val="22"/>
                <w:szCs w:val="22"/>
                <w:lang w:val="en-GB"/>
              </w:rPr>
              <w:t>i</w:t>
            </w:r>
            <w:r w:rsidRPr="00500945">
              <w:rPr>
                <w:rFonts w:cs="Arial"/>
                <w:b/>
                <w:bCs/>
                <w:sz w:val="22"/>
                <w:szCs w:val="22"/>
                <w:lang w:val="en-GB"/>
              </w:rPr>
              <w:t xml:space="preserve">nterventional </w:t>
            </w:r>
            <w:r w:rsidR="001502DA" w:rsidRPr="00500945">
              <w:rPr>
                <w:rFonts w:cs="Arial"/>
                <w:b/>
                <w:bCs/>
                <w:sz w:val="22"/>
                <w:szCs w:val="22"/>
                <w:lang w:val="en-GB"/>
              </w:rPr>
              <w:t>p</w:t>
            </w:r>
            <w:r w:rsidRPr="00500945">
              <w:rPr>
                <w:rFonts w:cs="Arial"/>
                <w:b/>
                <w:bCs/>
                <w:sz w:val="22"/>
                <w:szCs w:val="22"/>
                <w:lang w:val="en-GB"/>
              </w:rPr>
              <w:t>rocedures:</w:t>
            </w:r>
          </w:p>
          <w:p w14:paraId="3CD5ADFE" w14:textId="77777777" w:rsidR="001C2406" w:rsidRPr="00500945" w:rsidRDefault="00A97F3C" w:rsidP="001C2406">
            <w:pPr>
              <w:spacing w:before="120" w:after="120"/>
              <w:rPr>
                <w:rFonts w:cs="Arial"/>
                <w:bCs/>
                <w:color w:val="000000"/>
                <w:sz w:val="22"/>
                <w:szCs w:val="22"/>
                <w:lang w:val="en"/>
              </w:rPr>
            </w:pPr>
            <w:hyperlink r:id="rId28" w:tgtFrame="_blank" w:tooltip="View IPG420 at NICE website" w:history="1">
              <w:r w:rsidR="001C2406" w:rsidRPr="00500945">
                <w:rPr>
                  <w:rFonts w:cs="Arial"/>
                  <w:bCs/>
                  <w:color w:val="0000FF"/>
                  <w:sz w:val="22"/>
                  <w:szCs w:val="22"/>
                  <w:u w:val="single"/>
                  <w:lang w:val="en"/>
                </w:rPr>
                <w:t xml:space="preserve">Percutaneous </w:t>
              </w:r>
              <w:proofErr w:type="spellStart"/>
              <w:r w:rsidR="001C2406" w:rsidRPr="00500945">
                <w:rPr>
                  <w:rFonts w:cs="Arial"/>
                  <w:bCs/>
                  <w:color w:val="0000FF"/>
                  <w:sz w:val="22"/>
                  <w:szCs w:val="22"/>
                  <w:u w:val="single"/>
                  <w:lang w:val="en"/>
                </w:rPr>
                <w:t>venoplasty</w:t>
              </w:r>
              <w:proofErr w:type="spellEnd"/>
              <w:r w:rsidR="001C2406" w:rsidRPr="00500945">
                <w:rPr>
                  <w:rFonts w:cs="Arial"/>
                  <w:bCs/>
                  <w:color w:val="0000FF"/>
                  <w:sz w:val="22"/>
                  <w:szCs w:val="22"/>
                  <w:u w:val="single"/>
                  <w:lang w:val="en"/>
                </w:rPr>
                <w:t xml:space="preserve"> for chronic cerebrospinal venous insufficiency for multiple sclerosis</w:t>
              </w:r>
            </w:hyperlink>
            <w:r w:rsidR="001C2406" w:rsidRPr="00500945">
              <w:rPr>
                <w:rFonts w:cs="Arial"/>
                <w:bCs/>
                <w:color w:val="000000"/>
                <w:sz w:val="22"/>
                <w:szCs w:val="22"/>
                <w:lang w:val="en"/>
              </w:rPr>
              <w:t xml:space="preserve"> (2012). NICE interventional procedure guidance 420.</w:t>
            </w:r>
          </w:p>
          <w:p w14:paraId="20E6715C" w14:textId="081D4B21" w:rsidR="00230DA7" w:rsidRPr="00500945" w:rsidRDefault="00230DA7" w:rsidP="00123602">
            <w:pPr>
              <w:pStyle w:val="BodyText2"/>
              <w:rPr>
                <w:rFonts w:cs="Arial"/>
                <w:b/>
                <w:bCs/>
                <w:sz w:val="22"/>
                <w:szCs w:val="22"/>
                <w:lang w:val="en-GB"/>
              </w:rPr>
            </w:pPr>
            <w:r w:rsidRPr="00500945">
              <w:rPr>
                <w:rFonts w:cs="Arial"/>
                <w:b/>
                <w:bCs/>
                <w:sz w:val="22"/>
                <w:szCs w:val="22"/>
                <w:lang w:val="en-GB"/>
              </w:rPr>
              <w:t xml:space="preserve">Related </w:t>
            </w:r>
            <w:r w:rsidR="008A6067" w:rsidRPr="00500945">
              <w:rPr>
                <w:rFonts w:cs="Arial"/>
                <w:b/>
                <w:bCs/>
                <w:sz w:val="22"/>
                <w:szCs w:val="22"/>
                <w:lang w:val="en-GB"/>
              </w:rPr>
              <w:t>q</w:t>
            </w:r>
            <w:r w:rsidRPr="00500945">
              <w:rPr>
                <w:rFonts w:cs="Arial"/>
                <w:b/>
                <w:bCs/>
                <w:sz w:val="22"/>
                <w:szCs w:val="22"/>
                <w:lang w:val="en-GB"/>
              </w:rPr>
              <w:t xml:space="preserve">uality </w:t>
            </w:r>
            <w:r w:rsidR="008A6067" w:rsidRPr="00500945">
              <w:rPr>
                <w:rFonts w:cs="Arial"/>
                <w:b/>
                <w:bCs/>
                <w:sz w:val="22"/>
                <w:szCs w:val="22"/>
                <w:lang w:val="en-GB"/>
              </w:rPr>
              <w:t>s</w:t>
            </w:r>
            <w:r w:rsidRPr="00500945">
              <w:rPr>
                <w:rFonts w:cs="Arial"/>
                <w:b/>
                <w:bCs/>
                <w:sz w:val="22"/>
                <w:szCs w:val="22"/>
                <w:lang w:val="en-GB"/>
              </w:rPr>
              <w:t>tandards</w:t>
            </w:r>
            <w:r w:rsidR="00AE26EF" w:rsidRPr="00500945">
              <w:rPr>
                <w:rFonts w:cs="Arial"/>
                <w:b/>
                <w:bCs/>
                <w:sz w:val="22"/>
                <w:szCs w:val="22"/>
                <w:lang w:val="en-GB"/>
              </w:rPr>
              <w:t>:</w:t>
            </w:r>
          </w:p>
          <w:p w14:paraId="2938A076" w14:textId="391CF69A" w:rsidR="007676E9" w:rsidRPr="00500945" w:rsidRDefault="00A97F3C" w:rsidP="00123602">
            <w:pPr>
              <w:pStyle w:val="BodyText2"/>
              <w:rPr>
                <w:rFonts w:cs="Arial"/>
                <w:sz w:val="22"/>
                <w:szCs w:val="22"/>
                <w:lang w:val="en-GB"/>
              </w:rPr>
            </w:pPr>
            <w:hyperlink r:id="rId29" w:history="1">
              <w:r w:rsidR="001C2406" w:rsidRPr="00500945">
                <w:rPr>
                  <w:rStyle w:val="Hyperlink"/>
                  <w:rFonts w:cs="Arial"/>
                  <w:sz w:val="22"/>
                  <w:szCs w:val="22"/>
                  <w:lang w:val="en-GB"/>
                </w:rPr>
                <w:t>Multiple sclerosis</w:t>
              </w:r>
            </w:hyperlink>
            <w:r w:rsidR="001C2406" w:rsidRPr="00500945">
              <w:rPr>
                <w:rFonts w:cs="Arial"/>
                <w:sz w:val="22"/>
                <w:szCs w:val="22"/>
                <w:lang w:val="en-GB"/>
              </w:rPr>
              <w:t xml:space="preserve"> (2016). NICE quality standard QS108.</w:t>
            </w:r>
          </w:p>
        </w:tc>
      </w:tr>
      <w:tr w:rsidR="001C2406" w:rsidRPr="00500945" w14:paraId="00A66F15" w14:textId="77777777" w:rsidTr="00F04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07476D7A" w14:textId="77777777" w:rsidR="001C2406" w:rsidRPr="00500945" w:rsidRDefault="001C2406" w:rsidP="001C2406">
            <w:pPr>
              <w:pStyle w:val="Header"/>
              <w:tabs>
                <w:tab w:val="clear" w:pos="4153"/>
                <w:tab w:val="clear" w:pos="8306"/>
              </w:tabs>
              <w:spacing w:before="120"/>
              <w:rPr>
                <w:rFonts w:cs="Arial"/>
                <w:b/>
                <w:bCs/>
                <w:sz w:val="22"/>
                <w:szCs w:val="22"/>
                <w:lang w:val="en-GB"/>
              </w:rPr>
            </w:pPr>
            <w:r w:rsidRPr="00500945">
              <w:rPr>
                <w:rFonts w:cs="Arial"/>
                <w:b/>
                <w:bCs/>
                <w:sz w:val="22"/>
                <w:szCs w:val="22"/>
                <w:lang w:val="en-GB"/>
              </w:rPr>
              <w:lastRenderedPageBreak/>
              <w:t xml:space="preserve">Related National Policy </w:t>
            </w:r>
          </w:p>
        </w:tc>
        <w:tc>
          <w:tcPr>
            <w:tcW w:w="6237" w:type="dxa"/>
          </w:tcPr>
          <w:p w14:paraId="1B5432DD" w14:textId="77777777" w:rsidR="001C2406" w:rsidRPr="00500945" w:rsidRDefault="001C2406" w:rsidP="001C2406">
            <w:pPr>
              <w:rPr>
                <w:rFonts w:cs="Arial"/>
                <w:sz w:val="22"/>
                <w:szCs w:val="22"/>
              </w:rPr>
            </w:pPr>
            <w:r w:rsidRPr="00500945">
              <w:rPr>
                <w:rFonts w:cs="Arial"/>
                <w:sz w:val="22"/>
                <w:szCs w:val="22"/>
              </w:rPr>
              <w:t xml:space="preserve">The NHS Long Term Plan, 2019. </w:t>
            </w:r>
            <w:hyperlink r:id="rId30" w:history="1">
              <w:r w:rsidRPr="00500945">
                <w:rPr>
                  <w:rStyle w:val="Hyperlink"/>
                  <w:rFonts w:cs="Arial"/>
                  <w:sz w:val="22"/>
                  <w:szCs w:val="22"/>
                </w:rPr>
                <w:t>NHS Long Term Plan</w:t>
              </w:r>
            </w:hyperlink>
          </w:p>
          <w:p w14:paraId="0830008F" w14:textId="1F53116F" w:rsidR="001C2406" w:rsidRPr="00500945" w:rsidRDefault="001C2406" w:rsidP="001C2406">
            <w:pPr>
              <w:spacing w:before="120" w:after="120"/>
              <w:rPr>
                <w:rFonts w:cs="Arial"/>
                <w:bCs/>
                <w:sz w:val="22"/>
                <w:szCs w:val="22"/>
              </w:rPr>
            </w:pPr>
            <w:r w:rsidRPr="00500945">
              <w:rPr>
                <w:rFonts w:cs="Arial"/>
                <w:sz w:val="22"/>
                <w:szCs w:val="22"/>
              </w:rPr>
              <w:t xml:space="preserve">NHS England (2023) </w:t>
            </w:r>
            <w:hyperlink r:id="rId31" w:history="1">
              <w:r w:rsidRPr="00500945">
                <w:rPr>
                  <w:rStyle w:val="Hyperlink"/>
                  <w:rFonts w:cs="Arial"/>
                  <w:sz w:val="22"/>
                  <w:szCs w:val="22"/>
                </w:rPr>
                <w:t>NHS manual for prescribed specialist services (2023)</w:t>
              </w:r>
            </w:hyperlink>
            <w:r w:rsidRPr="00500945">
              <w:rPr>
                <w:rFonts w:cs="Arial"/>
                <w:bCs/>
                <w:sz w:val="22"/>
                <w:szCs w:val="22"/>
              </w:rPr>
              <w:t xml:space="preserve"> Chapter 11. Adult specialist neurosciences services.</w:t>
            </w:r>
          </w:p>
          <w:p w14:paraId="3F00115A" w14:textId="3A5797B9" w:rsidR="001C2406" w:rsidRPr="00500945" w:rsidRDefault="001C2406" w:rsidP="001C2406">
            <w:pPr>
              <w:pStyle w:val="BodyText2"/>
              <w:rPr>
                <w:rFonts w:cs="Arial"/>
                <w:sz w:val="22"/>
                <w:szCs w:val="22"/>
              </w:rPr>
            </w:pPr>
            <w:r w:rsidRPr="00500945">
              <w:rPr>
                <w:rFonts w:cs="Arial"/>
                <w:sz w:val="22"/>
                <w:szCs w:val="22"/>
              </w:rPr>
              <w:t>NHS England (20</w:t>
            </w:r>
            <w:r w:rsidR="00421380">
              <w:rPr>
                <w:rFonts w:cs="Arial"/>
                <w:sz w:val="22"/>
                <w:szCs w:val="22"/>
                <w:lang w:val="en-GB"/>
              </w:rPr>
              <w:t>23</w:t>
            </w:r>
            <w:r w:rsidRPr="00500945">
              <w:rPr>
                <w:rFonts w:cs="Arial"/>
                <w:sz w:val="22"/>
                <w:szCs w:val="22"/>
              </w:rPr>
              <w:t xml:space="preserve">9) </w:t>
            </w:r>
            <w:hyperlink r:id="rId32" w:history="1">
              <w:r w:rsidRPr="00500945">
                <w:rPr>
                  <w:rStyle w:val="Hyperlink"/>
                  <w:rFonts w:cs="Arial"/>
                  <w:sz w:val="22"/>
                  <w:szCs w:val="22"/>
                </w:rPr>
                <w:t>Treatment Algorithm for Multiple Sclerosis: Disease-Modifying Therapies</w:t>
              </w:r>
            </w:hyperlink>
            <w:hyperlink w:history="1"/>
          </w:p>
        </w:tc>
      </w:tr>
    </w:tbl>
    <w:p w14:paraId="0C0033C0" w14:textId="77777777" w:rsidR="00230DA7" w:rsidRPr="00500945" w:rsidRDefault="00230DA7" w:rsidP="00230DA7">
      <w:pPr>
        <w:pStyle w:val="Title"/>
        <w:rPr>
          <w:rFonts w:cs="Arial"/>
          <w:sz w:val="22"/>
          <w:szCs w:val="22"/>
        </w:rPr>
      </w:pPr>
    </w:p>
    <w:p w14:paraId="2DC5F6B8" w14:textId="77777777" w:rsidR="00D95441" w:rsidRPr="00500945" w:rsidRDefault="00D95441" w:rsidP="00D95441">
      <w:pPr>
        <w:pStyle w:val="Heading1"/>
        <w:spacing w:before="240"/>
        <w:rPr>
          <w:rFonts w:cs="Arial"/>
          <w:sz w:val="22"/>
          <w:szCs w:val="22"/>
          <w:lang w:val="en-GB"/>
        </w:rPr>
      </w:pPr>
      <w:r w:rsidRPr="00500945">
        <w:rPr>
          <w:rFonts w:cs="Arial"/>
          <w:sz w:val="22"/>
          <w:szCs w:val="22"/>
          <w:lang w:val="en-GB"/>
        </w:rPr>
        <w:t>References</w:t>
      </w:r>
    </w:p>
    <w:p w14:paraId="239165A8" w14:textId="727BF509" w:rsidR="00534788" w:rsidRPr="00500945" w:rsidRDefault="00534788" w:rsidP="00120F0E">
      <w:pPr>
        <w:pStyle w:val="Title"/>
        <w:numPr>
          <w:ilvl w:val="0"/>
          <w:numId w:val="11"/>
        </w:numPr>
        <w:ind w:left="360"/>
        <w:jc w:val="left"/>
        <w:rPr>
          <w:rFonts w:cs="Arial"/>
          <w:b w:val="0"/>
          <w:bCs w:val="0"/>
          <w:sz w:val="22"/>
          <w:szCs w:val="22"/>
          <w:lang w:val="en-GB"/>
        </w:rPr>
      </w:pPr>
      <w:r w:rsidRPr="00500945">
        <w:rPr>
          <w:rFonts w:cs="Arial"/>
          <w:b w:val="0"/>
          <w:bCs w:val="0"/>
          <w:sz w:val="22"/>
          <w:szCs w:val="22"/>
          <w:lang w:val="en-GB"/>
        </w:rPr>
        <w:t>Multiple Sclerosis Society</w:t>
      </w:r>
      <w:r w:rsidR="00761700" w:rsidRPr="00500945">
        <w:rPr>
          <w:rFonts w:cs="Arial"/>
          <w:b w:val="0"/>
          <w:bCs w:val="0"/>
          <w:sz w:val="22"/>
          <w:szCs w:val="22"/>
          <w:lang w:val="en-GB"/>
        </w:rPr>
        <w:t xml:space="preserve"> (2020)</w:t>
      </w:r>
      <w:r w:rsidRPr="00500945">
        <w:rPr>
          <w:rFonts w:cs="Arial"/>
          <w:b w:val="0"/>
          <w:bCs w:val="0"/>
          <w:sz w:val="22"/>
          <w:szCs w:val="22"/>
          <w:lang w:val="en-GB"/>
        </w:rPr>
        <w:t xml:space="preserve"> </w:t>
      </w:r>
      <w:hyperlink r:id="rId33" w:history="1">
        <w:r w:rsidRPr="00500945">
          <w:rPr>
            <w:rStyle w:val="Hyperlink"/>
            <w:rFonts w:cs="Arial"/>
            <w:b w:val="0"/>
            <w:bCs w:val="0"/>
            <w:sz w:val="22"/>
            <w:szCs w:val="22"/>
            <w:lang w:val="en-GB"/>
          </w:rPr>
          <w:t>MS in the UK</w:t>
        </w:r>
      </w:hyperlink>
      <w:r w:rsidR="00761700" w:rsidRPr="00500945">
        <w:rPr>
          <w:rStyle w:val="Hyperlink"/>
          <w:rFonts w:cs="Arial"/>
          <w:b w:val="0"/>
          <w:bCs w:val="0"/>
          <w:sz w:val="22"/>
          <w:szCs w:val="22"/>
          <w:lang w:val="en-GB"/>
        </w:rPr>
        <w:t xml:space="preserve"> report</w:t>
      </w:r>
      <w:r w:rsidRPr="00500945">
        <w:rPr>
          <w:rFonts w:cs="Arial"/>
          <w:b w:val="0"/>
          <w:bCs w:val="0"/>
          <w:sz w:val="22"/>
          <w:szCs w:val="22"/>
          <w:lang w:val="en-GB"/>
        </w:rPr>
        <w:t xml:space="preserve"> [accessed </w:t>
      </w:r>
      <w:r w:rsidR="00FE2BF5" w:rsidRPr="00500945">
        <w:rPr>
          <w:rFonts w:cs="Arial"/>
          <w:b w:val="0"/>
          <w:bCs w:val="0"/>
          <w:sz w:val="22"/>
          <w:szCs w:val="22"/>
          <w:lang w:val="en-GB"/>
        </w:rPr>
        <w:t>November</w:t>
      </w:r>
      <w:r w:rsidRPr="00500945">
        <w:rPr>
          <w:rFonts w:cs="Arial"/>
          <w:b w:val="0"/>
          <w:bCs w:val="0"/>
          <w:sz w:val="22"/>
          <w:szCs w:val="22"/>
          <w:lang w:val="en-GB"/>
        </w:rPr>
        <w:t xml:space="preserve"> 2023].</w:t>
      </w:r>
    </w:p>
    <w:p w14:paraId="1BF5A6A4" w14:textId="77777777" w:rsidR="00534788" w:rsidRPr="00500945" w:rsidRDefault="00534788" w:rsidP="00534788">
      <w:pPr>
        <w:pStyle w:val="Title"/>
        <w:ind w:left="360"/>
        <w:jc w:val="left"/>
        <w:rPr>
          <w:rFonts w:cs="Arial"/>
          <w:b w:val="0"/>
          <w:bCs w:val="0"/>
          <w:sz w:val="22"/>
          <w:szCs w:val="22"/>
          <w:lang w:val="en-GB"/>
        </w:rPr>
      </w:pPr>
    </w:p>
    <w:p w14:paraId="3A06956E" w14:textId="4762342C" w:rsidR="00534788" w:rsidRPr="00500945" w:rsidRDefault="00534788" w:rsidP="00120F0E">
      <w:pPr>
        <w:pStyle w:val="ListParagraph"/>
        <w:numPr>
          <w:ilvl w:val="0"/>
          <w:numId w:val="11"/>
        </w:numPr>
        <w:spacing w:after="240"/>
        <w:ind w:left="360"/>
        <w:rPr>
          <w:sz w:val="22"/>
          <w:szCs w:val="22"/>
        </w:rPr>
      </w:pPr>
      <w:r w:rsidRPr="00500945">
        <w:rPr>
          <w:sz w:val="22"/>
          <w:szCs w:val="22"/>
        </w:rPr>
        <w:t xml:space="preserve">Multiple Sclerosis Society (2019) </w:t>
      </w:r>
      <w:hyperlink r:id="rId34" w:history="1">
        <w:r w:rsidRPr="00500945">
          <w:rPr>
            <w:color w:val="0000FF"/>
            <w:sz w:val="22"/>
            <w:szCs w:val="22"/>
            <w:u w:val="single"/>
          </w:rPr>
          <w:t>Relapsing remitting MS</w:t>
        </w:r>
      </w:hyperlink>
      <w:r w:rsidRPr="00500945">
        <w:rPr>
          <w:color w:val="0000FF"/>
          <w:sz w:val="22"/>
          <w:szCs w:val="22"/>
          <w:u w:val="single"/>
        </w:rPr>
        <w:t xml:space="preserve"> (RRMS)</w:t>
      </w:r>
      <w:r w:rsidRPr="00500945">
        <w:rPr>
          <w:sz w:val="22"/>
          <w:szCs w:val="22"/>
        </w:rPr>
        <w:t xml:space="preserve"> [accessed </w:t>
      </w:r>
      <w:r w:rsidR="00FE2BF5" w:rsidRPr="00500945">
        <w:rPr>
          <w:sz w:val="22"/>
          <w:szCs w:val="22"/>
        </w:rPr>
        <w:t>November</w:t>
      </w:r>
      <w:r w:rsidRPr="00500945">
        <w:rPr>
          <w:sz w:val="22"/>
          <w:szCs w:val="22"/>
        </w:rPr>
        <w:t xml:space="preserve"> 2023].</w:t>
      </w:r>
    </w:p>
    <w:p w14:paraId="2FC8A5E4" w14:textId="77777777" w:rsidR="00534788" w:rsidRPr="00500945" w:rsidRDefault="00534788" w:rsidP="00534788">
      <w:pPr>
        <w:pStyle w:val="ListParagraph"/>
        <w:ind w:left="360"/>
        <w:rPr>
          <w:sz w:val="22"/>
          <w:szCs w:val="22"/>
        </w:rPr>
      </w:pPr>
    </w:p>
    <w:p w14:paraId="675E47C8" w14:textId="4EA42648" w:rsidR="004C1536" w:rsidRPr="00500945" w:rsidRDefault="00534788" w:rsidP="00120F0E">
      <w:pPr>
        <w:pStyle w:val="ListParagraph"/>
        <w:numPr>
          <w:ilvl w:val="0"/>
          <w:numId w:val="11"/>
        </w:numPr>
        <w:spacing w:after="240"/>
        <w:ind w:left="360"/>
        <w:rPr>
          <w:rFonts w:cs="Arial"/>
          <w:sz w:val="22"/>
          <w:szCs w:val="22"/>
        </w:rPr>
      </w:pPr>
      <w:r w:rsidRPr="00500945">
        <w:rPr>
          <w:sz w:val="22"/>
          <w:szCs w:val="22"/>
        </w:rPr>
        <w:t xml:space="preserve">Barzegar M, </w:t>
      </w:r>
      <w:proofErr w:type="spellStart"/>
      <w:r w:rsidRPr="00500945">
        <w:rPr>
          <w:sz w:val="22"/>
          <w:szCs w:val="22"/>
        </w:rPr>
        <w:t>Najdaghi</w:t>
      </w:r>
      <w:proofErr w:type="spellEnd"/>
      <w:r w:rsidRPr="00500945">
        <w:rPr>
          <w:sz w:val="22"/>
          <w:szCs w:val="22"/>
        </w:rPr>
        <w:t xml:space="preserve"> S, Afshari-Safavi A et al (2021). </w:t>
      </w:r>
      <w:hyperlink r:id="rId35" w:history="1">
        <w:r w:rsidRPr="00500945">
          <w:rPr>
            <w:rStyle w:val="Hyperlink"/>
            <w:sz w:val="22"/>
            <w:szCs w:val="22"/>
          </w:rPr>
          <w:t>Early predictors of conversion to secondary progressive multiple sclerosis</w:t>
        </w:r>
      </w:hyperlink>
      <w:r w:rsidRPr="00500945">
        <w:rPr>
          <w:sz w:val="22"/>
          <w:szCs w:val="22"/>
        </w:rPr>
        <w:t xml:space="preserve">. </w:t>
      </w:r>
      <w:r w:rsidR="00761700" w:rsidRPr="00500945">
        <w:rPr>
          <w:sz w:val="22"/>
          <w:szCs w:val="22"/>
        </w:rPr>
        <w:t>Multiple sclerosis and related disorders, 54, 103115.</w:t>
      </w:r>
    </w:p>
    <w:sectPr w:rsidR="004C1536" w:rsidRPr="00500945" w:rsidSect="00792C5C">
      <w:headerReference w:type="default" r:id="rId36"/>
      <w:footerReference w:type="default" r:id="rId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372C" w14:textId="77777777" w:rsidR="00F66B46" w:rsidRDefault="00F66B46">
      <w:r>
        <w:separator/>
      </w:r>
    </w:p>
  </w:endnote>
  <w:endnote w:type="continuationSeparator" w:id="0">
    <w:p w14:paraId="0D4C386A" w14:textId="77777777" w:rsidR="00F66B46" w:rsidRDefault="00F6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AB64" w14:textId="77777777" w:rsidR="00C67E2F" w:rsidRDefault="00C67E2F">
    <w:pPr>
      <w:pStyle w:val="Footer"/>
      <w:rPr>
        <w:sz w:val="20"/>
      </w:rPr>
    </w:pPr>
  </w:p>
  <w:p w14:paraId="3638FA90" w14:textId="1D8FB156" w:rsidR="00C67E2F" w:rsidRDefault="00CE2059">
    <w:pPr>
      <w:pStyle w:val="Footer"/>
      <w:rPr>
        <w:sz w:val="20"/>
      </w:rPr>
    </w:pPr>
    <w:r>
      <w:rPr>
        <w:sz w:val="20"/>
      </w:rPr>
      <w:t xml:space="preserve">Final </w:t>
    </w:r>
    <w:r w:rsidR="00C67E2F">
      <w:rPr>
        <w:sz w:val="20"/>
      </w:rPr>
      <w:t xml:space="preserve">scope for the </w:t>
    </w:r>
    <w:r w:rsidR="000C52F6">
      <w:rPr>
        <w:sz w:val="20"/>
      </w:rPr>
      <w:t xml:space="preserve">evaluation </w:t>
    </w:r>
    <w:r w:rsidR="00C67E2F">
      <w:rPr>
        <w:sz w:val="20"/>
      </w:rPr>
      <w:t xml:space="preserve">of </w:t>
    </w:r>
    <w:r w:rsidR="00C636AE">
      <w:rPr>
        <w:sz w:val="20"/>
      </w:rPr>
      <w:t>n</w:t>
    </w:r>
    <w:r w:rsidR="00C636AE" w:rsidRPr="00C636AE">
      <w:rPr>
        <w:sz w:val="20"/>
      </w:rPr>
      <w:t xml:space="preserve">atalizumab and </w:t>
    </w:r>
    <w:proofErr w:type="spellStart"/>
    <w:r w:rsidR="00C636AE" w:rsidRPr="00C636AE">
      <w:rPr>
        <w:sz w:val="20"/>
      </w:rPr>
      <w:t>Tyruko</w:t>
    </w:r>
    <w:proofErr w:type="spellEnd"/>
    <w:r w:rsidR="00C636AE" w:rsidRPr="00C636AE">
      <w:rPr>
        <w:sz w:val="20"/>
      </w:rPr>
      <w:t xml:space="preserve"> (natalizumab biosimilar) for treating highly active relapsing-remitting multiple sclerosis after at least one disease modifying </w:t>
    </w:r>
    <w:proofErr w:type="gramStart"/>
    <w:r w:rsidR="00C636AE" w:rsidRPr="00C636AE">
      <w:rPr>
        <w:sz w:val="20"/>
      </w:rPr>
      <w:t>therapy</w:t>
    </w:r>
    <w:proofErr w:type="gramEnd"/>
  </w:p>
  <w:p w14:paraId="42F13AFB" w14:textId="1F1C2322" w:rsidR="00C67E2F" w:rsidRDefault="00C67E2F">
    <w:pPr>
      <w:pStyle w:val="Footer"/>
      <w:rPr>
        <w:sz w:val="20"/>
      </w:rPr>
    </w:pPr>
    <w:r>
      <w:rPr>
        <w:sz w:val="20"/>
      </w:rPr>
      <w:t xml:space="preserve">Issue Date:  </w:t>
    </w:r>
    <w:r w:rsidR="00C427F1">
      <w:rPr>
        <w:sz w:val="20"/>
      </w:rPr>
      <w:t>March 2024</w:t>
    </w: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sidR="006A16FD">
      <w:rPr>
        <w:noProof/>
        <w:sz w:val="20"/>
      </w:rPr>
      <w:t>11</w:t>
    </w:r>
    <w:r>
      <w:rPr>
        <w:sz w:val="20"/>
      </w:rPr>
      <w:fldChar w:fldCharType="end"/>
    </w:r>
    <w:r>
      <w:rPr>
        <w:sz w:val="20"/>
      </w:rPr>
      <w:t xml:space="preserve"> of </w:t>
    </w:r>
    <w:r w:rsidRPr="004C25A1">
      <w:rPr>
        <w:sz w:val="20"/>
      </w:rPr>
      <w:fldChar w:fldCharType="begin"/>
    </w:r>
    <w:r w:rsidRPr="004C25A1">
      <w:rPr>
        <w:sz w:val="20"/>
      </w:rPr>
      <w:instrText xml:space="preserve"> NUMPAGES </w:instrText>
    </w:r>
    <w:r w:rsidRPr="004C25A1">
      <w:rPr>
        <w:sz w:val="20"/>
      </w:rPr>
      <w:fldChar w:fldCharType="separate"/>
    </w:r>
    <w:r w:rsidR="006A16FD">
      <w:rPr>
        <w:noProof/>
        <w:sz w:val="20"/>
      </w:rPr>
      <w:t>11</w:t>
    </w:r>
    <w:r w:rsidRPr="004C25A1">
      <w:rPr>
        <w:sz w:val="20"/>
      </w:rPr>
      <w:fldChar w:fldCharType="end"/>
    </w:r>
  </w:p>
  <w:p w14:paraId="3B7092C4" w14:textId="28C5CC04" w:rsidR="00B10464" w:rsidRPr="004C25A1" w:rsidRDefault="00B10464">
    <w:pPr>
      <w:pStyle w:val="Footer"/>
      <w:rPr>
        <w:sz w:val="20"/>
      </w:rPr>
    </w:pPr>
    <w:r w:rsidRPr="00B10464">
      <w:rPr>
        <w:sz w:val="20"/>
      </w:rPr>
      <w:t xml:space="preserve">© National Institute for Health and Care Excellence </w:t>
    </w:r>
    <w:r w:rsidR="0061007B">
      <w:rPr>
        <w:sz w:val="20"/>
      </w:rPr>
      <w:t>2024</w:t>
    </w:r>
    <w:r w:rsidRPr="00B10464">
      <w:rPr>
        <w:sz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15BF" w14:textId="77777777" w:rsidR="00F66B46" w:rsidRDefault="00F66B46">
      <w:r>
        <w:separator/>
      </w:r>
    </w:p>
  </w:footnote>
  <w:footnote w:type="continuationSeparator" w:id="0">
    <w:p w14:paraId="32F4582E" w14:textId="77777777" w:rsidR="00F66B46" w:rsidRDefault="00F6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1C2" w14:textId="2EA4BE1F" w:rsidR="00C67E2F" w:rsidRDefault="006B5D1A" w:rsidP="00406CE0">
    <w:pPr>
      <w:pStyle w:val="Header"/>
      <w:rPr>
        <w:b/>
      </w:rPr>
    </w:pPr>
    <w:r>
      <w:rPr>
        <w:b/>
      </w:rPr>
      <w:tab/>
    </w:r>
    <w:r w:rsidR="00C67E2F">
      <w:rPr>
        <w:b/>
      </w:rPr>
      <w:tab/>
      <w:t>Appendix B</w:t>
    </w:r>
  </w:p>
  <w:p w14:paraId="55C38C3B" w14:textId="77777777" w:rsidR="00C67E2F" w:rsidRDefault="00C67E2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478"/>
    <w:multiLevelType w:val="hybridMultilevel"/>
    <w:tmpl w:val="C486EF64"/>
    <w:lvl w:ilvl="0" w:tplc="798EAC88">
      <w:start w:val="1"/>
      <w:numFmt w:val="bullet"/>
      <w:lvlText w:val=""/>
      <w:lvlJc w:val="left"/>
      <w:pPr>
        <w:ind w:left="720" w:hanging="360"/>
      </w:pPr>
      <w:rPr>
        <w:rFonts w:ascii="Symbol" w:hAnsi="Symbol"/>
      </w:rPr>
    </w:lvl>
    <w:lvl w:ilvl="1" w:tplc="5FA0E3A4">
      <w:start w:val="1"/>
      <w:numFmt w:val="bullet"/>
      <w:lvlText w:val=""/>
      <w:lvlJc w:val="left"/>
      <w:pPr>
        <w:ind w:left="720" w:hanging="360"/>
      </w:pPr>
      <w:rPr>
        <w:rFonts w:ascii="Symbol" w:hAnsi="Symbol"/>
      </w:rPr>
    </w:lvl>
    <w:lvl w:ilvl="2" w:tplc="C8F28616">
      <w:start w:val="1"/>
      <w:numFmt w:val="bullet"/>
      <w:lvlText w:val=""/>
      <w:lvlJc w:val="left"/>
      <w:pPr>
        <w:ind w:left="720" w:hanging="360"/>
      </w:pPr>
      <w:rPr>
        <w:rFonts w:ascii="Symbol" w:hAnsi="Symbol"/>
      </w:rPr>
    </w:lvl>
    <w:lvl w:ilvl="3" w:tplc="7728CEC6">
      <w:start w:val="1"/>
      <w:numFmt w:val="bullet"/>
      <w:lvlText w:val=""/>
      <w:lvlJc w:val="left"/>
      <w:pPr>
        <w:ind w:left="720" w:hanging="360"/>
      </w:pPr>
      <w:rPr>
        <w:rFonts w:ascii="Symbol" w:hAnsi="Symbol"/>
      </w:rPr>
    </w:lvl>
    <w:lvl w:ilvl="4" w:tplc="0078367A">
      <w:start w:val="1"/>
      <w:numFmt w:val="bullet"/>
      <w:lvlText w:val=""/>
      <w:lvlJc w:val="left"/>
      <w:pPr>
        <w:ind w:left="720" w:hanging="360"/>
      </w:pPr>
      <w:rPr>
        <w:rFonts w:ascii="Symbol" w:hAnsi="Symbol"/>
      </w:rPr>
    </w:lvl>
    <w:lvl w:ilvl="5" w:tplc="656E95CC">
      <w:start w:val="1"/>
      <w:numFmt w:val="bullet"/>
      <w:lvlText w:val=""/>
      <w:lvlJc w:val="left"/>
      <w:pPr>
        <w:ind w:left="720" w:hanging="360"/>
      </w:pPr>
      <w:rPr>
        <w:rFonts w:ascii="Symbol" w:hAnsi="Symbol"/>
      </w:rPr>
    </w:lvl>
    <w:lvl w:ilvl="6" w:tplc="20F24006">
      <w:start w:val="1"/>
      <w:numFmt w:val="bullet"/>
      <w:lvlText w:val=""/>
      <w:lvlJc w:val="left"/>
      <w:pPr>
        <w:ind w:left="720" w:hanging="360"/>
      </w:pPr>
      <w:rPr>
        <w:rFonts w:ascii="Symbol" w:hAnsi="Symbol"/>
      </w:rPr>
    </w:lvl>
    <w:lvl w:ilvl="7" w:tplc="9FF40646">
      <w:start w:val="1"/>
      <w:numFmt w:val="bullet"/>
      <w:lvlText w:val=""/>
      <w:lvlJc w:val="left"/>
      <w:pPr>
        <w:ind w:left="720" w:hanging="360"/>
      </w:pPr>
      <w:rPr>
        <w:rFonts w:ascii="Symbol" w:hAnsi="Symbol"/>
      </w:rPr>
    </w:lvl>
    <w:lvl w:ilvl="8" w:tplc="FD86C310">
      <w:start w:val="1"/>
      <w:numFmt w:val="bullet"/>
      <w:lvlText w:val=""/>
      <w:lvlJc w:val="left"/>
      <w:pPr>
        <w:ind w:left="720" w:hanging="360"/>
      </w:pPr>
      <w:rPr>
        <w:rFonts w:ascii="Symbol" w:hAnsi="Symbol"/>
      </w:rPr>
    </w:lvl>
  </w:abstractNum>
  <w:abstractNum w:abstractNumId="1" w15:restartNumberingAfterBreak="0">
    <w:nsid w:val="0D21593B"/>
    <w:multiLevelType w:val="hybridMultilevel"/>
    <w:tmpl w:val="CE44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36DDA"/>
    <w:multiLevelType w:val="hybridMultilevel"/>
    <w:tmpl w:val="770A2EF4"/>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0D6E09"/>
    <w:multiLevelType w:val="hybridMultilevel"/>
    <w:tmpl w:val="8CB2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F3969"/>
    <w:multiLevelType w:val="hybridMultilevel"/>
    <w:tmpl w:val="4CE0B5AC"/>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23AAF"/>
    <w:multiLevelType w:val="hybridMultilevel"/>
    <w:tmpl w:val="2D8C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F1987"/>
    <w:multiLevelType w:val="hybridMultilevel"/>
    <w:tmpl w:val="AB128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64D4D"/>
    <w:multiLevelType w:val="hybridMultilevel"/>
    <w:tmpl w:val="A762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766D5"/>
    <w:multiLevelType w:val="hybridMultilevel"/>
    <w:tmpl w:val="5EAA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F7CE0"/>
    <w:multiLevelType w:val="hybridMultilevel"/>
    <w:tmpl w:val="C5D4D602"/>
    <w:lvl w:ilvl="0" w:tplc="915E2650">
      <w:start w:val="1"/>
      <w:numFmt w:val="bullet"/>
      <w:lvlText w:val=""/>
      <w:lvlJc w:val="left"/>
      <w:pPr>
        <w:ind w:left="720" w:hanging="360"/>
      </w:pPr>
      <w:rPr>
        <w:rFonts w:ascii="Symbol" w:hAnsi="Symbol"/>
      </w:rPr>
    </w:lvl>
    <w:lvl w:ilvl="1" w:tplc="0F9E8FC8">
      <w:start w:val="1"/>
      <w:numFmt w:val="bullet"/>
      <w:lvlText w:val=""/>
      <w:lvlJc w:val="left"/>
      <w:pPr>
        <w:ind w:left="720" w:hanging="360"/>
      </w:pPr>
      <w:rPr>
        <w:rFonts w:ascii="Symbol" w:hAnsi="Symbol"/>
      </w:rPr>
    </w:lvl>
    <w:lvl w:ilvl="2" w:tplc="63925202">
      <w:start w:val="1"/>
      <w:numFmt w:val="bullet"/>
      <w:lvlText w:val=""/>
      <w:lvlJc w:val="left"/>
      <w:pPr>
        <w:ind w:left="720" w:hanging="360"/>
      </w:pPr>
      <w:rPr>
        <w:rFonts w:ascii="Symbol" w:hAnsi="Symbol"/>
      </w:rPr>
    </w:lvl>
    <w:lvl w:ilvl="3" w:tplc="80BAF390">
      <w:start w:val="1"/>
      <w:numFmt w:val="bullet"/>
      <w:lvlText w:val=""/>
      <w:lvlJc w:val="left"/>
      <w:pPr>
        <w:ind w:left="720" w:hanging="360"/>
      </w:pPr>
      <w:rPr>
        <w:rFonts w:ascii="Symbol" w:hAnsi="Symbol"/>
      </w:rPr>
    </w:lvl>
    <w:lvl w:ilvl="4" w:tplc="9E7A186C">
      <w:start w:val="1"/>
      <w:numFmt w:val="bullet"/>
      <w:lvlText w:val=""/>
      <w:lvlJc w:val="left"/>
      <w:pPr>
        <w:ind w:left="720" w:hanging="360"/>
      </w:pPr>
      <w:rPr>
        <w:rFonts w:ascii="Symbol" w:hAnsi="Symbol"/>
      </w:rPr>
    </w:lvl>
    <w:lvl w:ilvl="5" w:tplc="569C2920">
      <w:start w:val="1"/>
      <w:numFmt w:val="bullet"/>
      <w:lvlText w:val=""/>
      <w:lvlJc w:val="left"/>
      <w:pPr>
        <w:ind w:left="720" w:hanging="360"/>
      </w:pPr>
      <w:rPr>
        <w:rFonts w:ascii="Symbol" w:hAnsi="Symbol"/>
      </w:rPr>
    </w:lvl>
    <w:lvl w:ilvl="6" w:tplc="38B4D028">
      <w:start w:val="1"/>
      <w:numFmt w:val="bullet"/>
      <w:lvlText w:val=""/>
      <w:lvlJc w:val="left"/>
      <w:pPr>
        <w:ind w:left="720" w:hanging="360"/>
      </w:pPr>
      <w:rPr>
        <w:rFonts w:ascii="Symbol" w:hAnsi="Symbol"/>
      </w:rPr>
    </w:lvl>
    <w:lvl w:ilvl="7" w:tplc="3680549A">
      <w:start w:val="1"/>
      <w:numFmt w:val="bullet"/>
      <w:lvlText w:val=""/>
      <w:lvlJc w:val="left"/>
      <w:pPr>
        <w:ind w:left="720" w:hanging="360"/>
      </w:pPr>
      <w:rPr>
        <w:rFonts w:ascii="Symbol" w:hAnsi="Symbol"/>
      </w:rPr>
    </w:lvl>
    <w:lvl w:ilvl="8" w:tplc="F54648DC">
      <w:start w:val="1"/>
      <w:numFmt w:val="bullet"/>
      <w:lvlText w:val=""/>
      <w:lvlJc w:val="left"/>
      <w:pPr>
        <w:ind w:left="720" w:hanging="360"/>
      </w:pPr>
      <w:rPr>
        <w:rFonts w:ascii="Symbol" w:hAnsi="Symbol"/>
      </w:rPr>
    </w:lvl>
  </w:abstractNum>
  <w:abstractNum w:abstractNumId="10" w15:restartNumberingAfterBreak="0">
    <w:nsid w:val="32D553A7"/>
    <w:multiLevelType w:val="hybridMultilevel"/>
    <w:tmpl w:val="0CFA31E2"/>
    <w:lvl w:ilvl="0" w:tplc="399C9700">
      <w:start w:val="1"/>
      <w:numFmt w:val="bullet"/>
      <w:lvlText w:val=""/>
      <w:lvlJc w:val="left"/>
      <w:pPr>
        <w:ind w:left="720" w:hanging="360"/>
      </w:pPr>
      <w:rPr>
        <w:rFonts w:ascii="Symbol" w:hAnsi="Symbol"/>
      </w:rPr>
    </w:lvl>
    <w:lvl w:ilvl="1" w:tplc="58A40650">
      <w:start w:val="1"/>
      <w:numFmt w:val="bullet"/>
      <w:lvlText w:val=""/>
      <w:lvlJc w:val="left"/>
      <w:pPr>
        <w:ind w:left="720" w:hanging="360"/>
      </w:pPr>
      <w:rPr>
        <w:rFonts w:ascii="Symbol" w:hAnsi="Symbol"/>
      </w:rPr>
    </w:lvl>
    <w:lvl w:ilvl="2" w:tplc="74B6CABC">
      <w:start w:val="1"/>
      <w:numFmt w:val="bullet"/>
      <w:lvlText w:val=""/>
      <w:lvlJc w:val="left"/>
      <w:pPr>
        <w:ind w:left="720" w:hanging="360"/>
      </w:pPr>
      <w:rPr>
        <w:rFonts w:ascii="Symbol" w:hAnsi="Symbol"/>
      </w:rPr>
    </w:lvl>
    <w:lvl w:ilvl="3" w:tplc="181A1CAC">
      <w:start w:val="1"/>
      <w:numFmt w:val="bullet"/>
      <w:lvlText w:val=""/>
      <w:lvlJc w:val="left"/>
      <w:pPr>
        <w:ind w:left="720" w:hanging="360"/>
      </w:pPr>
      <w:rPr>
        <w:rFonts w:ascii="Symbol" w:hAnsi="Symbol"/>
      </w:rPr>
    </w:lvl>
    <w:lvl w:ilvl="4" w:tplc="6DF0F532">
      <w:start w:val="1"/>
      <w:numFmt w:val="bullet"/>
      <w:lvlText w:val=""/>
      <w:lvlJc w:val="left"/>
      <w:pPr>
        <w:ind w:left="720" w:hanging="360"/>
      </w:pPr>
      <w:rPr>
        <w:rFonts w:ascii="Symbol" w:hAnsi="Symbol"/>
      </w:rPr>
    </w:lvl>
    <w:lvl w:ilvl="5" w:tplc="46CED666">
      <w:start w:val="1"/>
      <w:numFmt w:val="bullet"/>
      <w:lvlText w:val=""/>
      <w:lvlJc w:val="left"/>
      <w:pPr>
        <w:ind w:left="720" w:hanging="360"/>
      </w:pPr>
      <w:rPr>
        <w:rFonts w:ascii="Symbol" w:hAnsi="Symbol"/>
      </w:rPr>
    </w:lvl>
    <w:lvl w:ilvl="6" w:tplc="83A4D164">
      <w:start w:val="1"/>
      <w:numFmt w:val="bullet"/>
      <w:lvlText w:val=""/>
      <w:lvlJc w:val="left"/>
      <w:pPr>
        <w:ind w:left="720" w:hanging="360"/>
      </w:pPr>
      <w:rPr>
        <w:rFonts w:ascii="Symbol" w:hAnsi="Symbol"/>
      </w:rPr>
    </w:lvl>
    <w:lvl w:ilvl="7" w:tplc="6DE0A692">
      <w:start w:val="1"/>
      <w:numFmt w:val="bullet"/>
      <w:lvlText w:val=""/>
      <w:lvlJc w:val="left"/>
      <w:pPr>
        <w:ind w:left="720" w:hanging="360"/>
      </w:pPr>
      <w:rPr>
        <w:rFonts w:ascii="Symbol" w:hAnsi="Symbol"/>
      </w:rPr>
    </w:lvl>
    <w:lvl w:ilvl="8" w:tplc="AD68F9D0">
      <w:start w:val="1"/>
      <w:numFmt w:val="bullet"/>
      <w:lvlText w:val=""/>
      <w:lvlJc w:val="left"/>
      <w:pPr>
        <w:ind w:left="720" w:hanging="360"/>
      </w:pPr>
      <w:rPr>
        <w:rFonts w:ascii="Symbol" w:hAnsi="Symbol"/>
      </w:rPr>
    </w:lvl>
  </w:abstractNum>
  <w:abstractNum w:abstractNumId="11" w15:restartNumberingAfterBreak="0">
    <w:nsid w:val="37587C82"/>
    <w:multiLevelType w:val="hybridMultilevel"/>
    <w:tmpl w:val="CC9E8728"/>
    <w:lvl w:ilvl="0" w:tplc="82EAB43E">
      <w:start w:val="1"/>
      <w:numFmt w:val="bullet"/>
      <w:lvlText w:val=""/>
      <w:lvlJc w:val="left"/>
      <w:pPr>
        <w:ind w:left="720" w:hanging="360"/>
      </w:pPr>
      <w:rPr>
        <w:rFonts w:ascii="Symbol" w:hAnsi="Symbol"/>
      </w:rPr>
    </w:lvl>
    <w:lvl w:ilvl="1" w:tplc="5CC0A302">
      <w:start w:val="1"/>
      <w:numFmt w:val="bullet"/>
      <w:lvlText w:val=""/>
      <w:lvlJc w:val="left"/>
      <w:pPr>
        <w:ind w:left="720" w:hanging="360"/>
      </w:pPr>
      <w:rPr>
        <w:rFonts w:ascii="Symbol" w:hAnsi="Symbol"/>
      </w:rPr>
    </w:lvl>
    <w:lvl w:ilvl="2" w:tplc="2D22F6A6">
      <w:start w:val="1"/>
      <w:numFmt w:val="bullet"/>
      <w:lvlText w:val=""/>
      <w:lvlJc w:val="left"/>
      <w:pPr>
        <w:ind w:left="720" w:hanging="360"/>
      </w:pPr>
      <w:rPr>
        <w:rFonts w:ascii="Symbol" w:hAnsi="Symbol"/>
      </w:rPr>
    </w:lvl>
    <w:lvl w:ilvl="3" w:tplc="F9FE16EA">
      <w:start w:val="1"/>
      <w:numFmt w:val="bullet"/>
      <w:lvlText w:val=""/>
      <w:lvlJc w:val="left"/>
      <w:pPr>
        <w:ind w:left="720" w:hanging="360"/>
      </w:pPr>
      <w:rPr>
        <w:rFonts w:ascii="Symbol" w:hAnsi="Symbol"/>
      </w:rPr>
    </w:lvl>
    <w:lvl w:ilvl="4" w:tplc="62AA9396">
      <w:start w:val="1"/>
      <w:numFmt w:val="bullet"/>
      <w:lvlText w:val=""/>
      <w:lvlJc w:val="left"/>
      <w:pPr>
        <w:ind w:left="720" w:hanging="360"/>
      </w:pPr>
      <w:rPr>
        <w:rFonts w:ascii="Symbol" w:hAnsi="Symbol"/>
      </w:rPr>
    </w:lvl>
    <w:lvl w:ilvl="5" w:tplc="8BBC4D5C">
      <w:start w:val="1"/>
      <w:numFmt w:val="bullet"/>
      <w:lvlText w:val=""/>
      <w:lvlJc w:val="left"/>
      <w:pPr>
        <w:ind w:left="720" w:hanging="360"/>
      </w:pPr>
      <w:rPr>
        <w:rFonts w:ascii="Symbol" w:hAnsi="Symbol"/>
      </w:rPr>
    </w:lvl>
    <w:lvl w:ilvl="6" w:tplc="5B50A100">
      <w:start w:val="1"/>
      <w:numFmt w:val="bullet"/>
      <w:lvlText w:val=""/>
      <w:lvlJc w:val="left"/>
      <w:pPr>
        <w:ind w:left="720" w:hanging="360"/>
      </w:pPr>
      <w:rPr>
        <w:rFonts w:ascii="Symbol" w:hAnsi="Symbol"/>
      </w:rPr>
    </w:lvl>
    <w:lvl w:ilvl="7" w:tplc="EE108926">
      <w:start w:val="1"/>
      <w:numFmt w:val="bullet"/>
      <w:lvlText w:val=""/>
      <w:lvlJc w:val="left"/>
      <w:pPr>
        <w:ind w:left="720" w:hanging="360"/>
      </w:pPr>
      <w:rPr>
        <w:rFonts w:ascii="Symbol" w:hAnsi="Symbol"/>
      </w:rPr>
    </w:lvl>
    <w:lvl w:ilvl="8" w:tplc="00D41E5E">
      <w:start w:val="1"/>
      <w:numFmt w:val="bullet"/>
      <w:lvlText w:val=""/>
      <w:lvlJc w:val="left"/>
      <w:pPr>
        <w:ind w:left="720" w:hanging="360"/>
      </w:pPr>
      <w:rPr>
        <w:rFonts w:ascii="Symbol" w:hAnsi="Symbol"/>
      </w:rPr>
    </w:lvl>
  </w:abstractNum>
  <w:abstractNum w:abstractNumId="12" w15:restartNumberingAfterBreak="0">
    <w:nsid w:val="3BC41F6D"/>
    <w:multiLevelType w:val="hybridMultilevel"/>
    <w:tmpl w:val="A910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5549B"/>
    <w:multiLevelType w:val="hybridMultilevel"/>
    <w:tmpl w:val="10923206"/>
    <w:lvl w:ilvl="0" w:tplc="70362E02">
      <w:start w:val="1"/>
      <w:numFmt w:val="bullet"/>
      <w:lvlText w:val=""/>
      <w:lvlJc w:val="left"/>
      <w:pPr>
        <w:ind w:left="720" w:hanging="360"/>
      </w:pPr>
      <w:rPr>
        <w:rFonts w:ascii="Symbol" w:hAnsi="Symbol"/>
      </w:rPr>
    </w:lvl>
    <w:lvl w:ilvl="1" w:tplc="7AC68A82">
      <w:start w:val="1"/>
      <w:numFmt w:val="bullet"/>
      <w:lvlText w:val=""/>
      <w:lvlJc w:val="left"/>
      <w:pPr>
        <w:ind w:left="720" w:hanging="360"/>
      </w:pPr>
      <w:rPr>
        <w:rFonts w:ascii="Symbol" w:hAnsi="Symbol"/>
      </w:rPr>
    </w:lvl>
    <w:lvl w:ilvl="2" w:tplc="23306384">
      <w:start w:val="1"/>
      <w:numFmt w:val="bullet"/>
      <w:lvlText w:val=""/>
      <w:lvlJc w:val="left"/>
      <w:pPr>
        <w:ind w:left="720" w:hanging="360"/>
      </w:pPr>
      <w:rPr>
        <w:rFonts w:ascii="Symbol" w:hAnsi="Symbol"/>
      </w:rPr>
    </w:lvl>
    <w:lvl w:ilvl="3" w:tplc="501EF512">
      <w:start w:val="1"/>
      <w:numFmt w:val="bullet"/>
      <w:lvlText w:val=""/>
      <w:lvlJc w:val="left"/>
      <w:pPr>
        <w:ind w:left="720" w:hanging="360"/>
      </w:pPr>
      <w:rPr>
        <w:rFonts w:ascii="Symbol" w:hAnsi="Symbol"/>
      </w:rPr>
    </w:lvl>
    <w:lvl w:ilvl="4" w:tplc="4FACF41E">
      <w:start w:val="1"/>
      <w:numFmt w:val="bullet"/>
      <w:lvlText w:val=""/>
      <w:lvlJc w:val="left"/>
      <w:pPr>
        <w:ind w:left="720" w:hanging="360"/>
      </w:pPr>
      <w:rPr>
        <w:rFonts w:ascii="Symbol" w:hAnsi="Symbol"/>
      </w:rPr>
    </w:lvl>
    <w:lvl w:ilvl="5" w:tplc="BE764326">
      <w:start w:val="1"/>
      <w:numFmt w:val="bullet"/>
      <w:lvlText w:val=""/>
      <w:lvlJc w:val="left"/>
      <w:pPr>
        <w:ind w:left="720" w:hanging="360"/>
      </w:pPr>
      <w:rPr>
        <w:rFonts w:ascii="Symbol" w:hAnsi="Symbol"/>
      </w:rPr>
    </w:lvl>
    <w:lvl w:ilvl="6" w:tplc="8BDA8C3C">
      <w:start w:val="1"/>
      <w:numFmt w:val="bullet"/>
      <w:lvlText w:val=""/>
      <w:lvlJc w:val="left"/>
      <w:pPr>
        <w:ind w:left="720" w:hanging="360"/>
      </w:pPr>
      <w:rPr>
        <w:rFonts w:ascii="Symbol" w:hAnsi="Symbol"/>
      </w:rPr>
    </w:lvl>
    <w:lvl w:ilvl="7" w:tplc="569876C2">
      <w:start w:val="1"/>
      <w:numFmt w:val="bullet"/>
      <w:lvlText w:val=""/>
      <w:lvlJc w:val="left"/>
      <w:pPr>
        <w:ind w:left="720" w:hanging="360"/>
      </w:pPr>
      <w:rPr>
        <w:rFonts w:ascii="Symbol" w:hAnsi="Symbol"/>
      </w:rPr>
    </w:lvl>
    <w:lvl w:ilvl="8" w:tplc="7C6EFC22">
      <w:start w:val="1"/>
      <w:numFmt w:val="bullet"/>
      <w:lvlText w:val=""/>
      <w:lvlJc w:val="left"/>
      <w:pPr>
        <w:ind w:left="720" w:hanging="360"/>
      </w:pPr>
      <w:rPr>
        <w:rFonts w:ascii="Symbol" w:hAnsi="Symbol"/>
      </w:rPr>
    </w:lvl>
  </w:abstractNum>
  <w:abstractNum w:abstractNumId="14" w15:restartNumberingAfterBreak="0">
    <w:nsid w:val="437D4384"/>
    <w:multiLevelType w:val="hybridMultilevel"/>
    <w:tmpl w:val="6D2A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17F7B"/>
    <w:multiLevelType w:val="hybridMultilevel"/>
    <w:tmpl w:val="70B8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E2489"/>
    <w:multiLevelType w:val="multilevel"/>
    <w:tmpl w:val="CF7423B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963241A"/>
    <w:multiLevelType w:val="hybridMultilevel"/>
    <w:tmpl w:val="7D5A58F8"/>
    <w:lvl w:ilvl="0" w:tplc="79E4C420">
      <w:start w:val="1"/>
      <w:numFmt w:val="bullet"/>
      <w:lvlText w:val=""/>
      <w:lvlJc w:val="left"/>
      <w:pPr>
        <w:ind w:left="1440" w:hanging="360"/>
      </w:pPr>
      <w:rPr>
        <w:rFonts w:ascii="Symbol" w:hAnsi="Symbol"/>
      </w:rPr>
    </w:lvl>
    <w:lvl w:ilvl="1" w:tplc="8F2E726E">
      <w:start w:val="1"/>
      <w:numFmt w:val="bullet"/>
      <w:lvlText w:val=""/>
      <w:lvlJc w:val="left"/>
      <w:pPr>
        <w:ind w:left="1440" w:hanging="360"/>
      </w:pPr>
      <w:rPr>
        <w:rFonts w:ascii="Symbol" w:hAnsi="Symbol"/>
      </w:rPr>
    </w:lvl>
    <w:lvl w:ilvl="2" w:tplc="51FEFACA">
      <w:start w:val="1"/>
      <w:numFmt w:val="bullet"/>
      <w:lvlText w:val=""/>
      <w:lvlJc w:val="left"/>
      <w:pPr>
        <w:ind w:left="1440" w:hanging="360"/>
      </w:pPr>
      <w:rPr>
        <w:rFonts w:ascii="Symbol" w:hAnsi="Symbol"/>
      </w:rPr>
    </w:lvl>
    <w:lvl w:ilvl="3" w:tplc="AA5AEDA8">
      <w:start w:val="1"/>
      <w:numFmt w:val="bullet"/>
      <w:lvlText w:val=""/>
      <w:lvlJc w:val="left"/>
      <w:pPr>
        <w:ind w:left="1440" w:hanging="360"/>
      </w:pPr>
      <w:rPr>
        <w:rFonts w:ascii="Symbol" w:hAnsi="Symbol"/>
      </w:rPr>
    </w:lvl>
    <w:lvl w:ilvl="4" w:tplc="EE46BB1A">
      <w:start w:val="1"/>
      <w:numFmt w:val="bullet"/>
      <w:lvlText w:val=""/>
      <w:lvlJc w:val="left"/>
      <w:pPr>
        <w:ind w:left="1440" w:hanging="360"/>
      </w:pPr>
      <w:rPr>
        <w:rFonts w:ascii="Symbol" w:hAnsi="Symbol"/>
      </w:rPr>
    </w:lvl>
    <w:lvl w:ilvl="5" w:tplc="6478B538">
      <w:start w:val="1"/>
      <w:numFmt w:val="bullet"/>
      <w:lvlText w:val=""/>
      <w:lvlJc w:val="left"/>
      <w:pPr>
        <w:ind w:left="1440" w:hanging="360"/>
      </w:pPr>
      <w:rPr>
        <w:rFonts w:ascii="Symbol" w:hAnsi="Symbol"/>
      </w:rPr>
    </w:lvl>
    <w:lvl w:ilvl="6" w:tplc="C20E4B9A">
      <w:start w:val="1"/>
      <w:numFmt w:val="bullet"/>
      <w:lvlText w:val=""/>
      <w:lvlJc w:val="left"/>
      <w:pPr>
        <w:ind w:left="1440" w:hanging="360"/>
      </w:pPr>
      <w:rPr>
        <w:rFonts w:ascii="Symbol" w:hAnsi="Symbol"/>
      </w:rPr>
    </w:lvl>
    <w:lvl w:ilvl="7" w:tplc="E59A0A30">
      <w:start w:val="1"/>
      <w:numFmt w:val="bullet"/>
      <w:lvlText w:val=""/>
      <w:lvlJc w:val="left"/>
      <w:pPr>
        <w:ind w:left="1440" w:hanging="360"/>
      </w:pPr>
      <w:rPr>
        <w:rFonts w:ascii="Symbol" w:hAnsi="Symbol"/>
      </w:rPr>
    </w:lvl>
    <w:lvl w:ilvl="8" w:tplc="5844C116">
      <w:start w:val="1"/>
      <w:numFmt w:val="bullet"/>
      <w:lvlText w:val=""/>
      <w:lvlJc w:val="left"/>
      <w:pPr>
        <w:ind w:left="1440" w:hanging="360"/>
      </w:pPr>
      <w:rPr>
        <w:rFonts w:ascii="Symbol" w:hAnsi="Symbol"/>
      </w:rPr>
    </w:lvl>
  </w:abstractNum>
  <w:abstractNum w:abstractNumId="18" w15:restartNumberingAfterBreak="0">
    <w:nsid w:val="56414D40"/>
    <w:multiLevelType w:val="hybridMultilevel"/>
    <w:tmpl w:val="02D60D2E"/>
    <w:lvl w:ilvl="0" w:tplc="C5FABAC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0A37DA"/>
    <w:multiLevelType w:val="hybridMultilevel"/>
    <w:tmpl w:val="CFFEB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A02383"/>
    <w:multiLevelType w:val="hybridMultilevel"/>
    <w:tmpl w:val="1DD83882"/>
    <w:lvl w:ilvl="0" w:tplc="4ECC5364">
      <w:start w:val="1"/>
      <w:numFmt w:val="bullet"/>
      <w:lvlText w:val=""/>
      <w:lvlJc w:val="left"/>
      <w:pPr>
        <w:ind w:left="1440" w:hanging="360"/>
      </w:pPr>
      <w:rPr>
        <w:rFonts w:ascii="Symbol" w:hAnsi="Symbol"/>
      </w:rPr>
    </w:lvl>
    <w:lvl w:ilvl="1" w:tplc="9BE05AFA">
      <w:start w:val="1"/>
      <w:numFmt w:val="bullet"/>
      <w:lvlText w:val=""/>
      <w:lvlJc w:val="left"/>
      <w:pPr>
        <w:ind w:left="1440" w:hanging="360"/>
      </w:pPr>
      <w:rPr>
        <w:rFonts w:ascii="Symbol" w:hAnsi="Symbol"/>
      </w:rPr>
    </w:lvl>
    <w:lvl w:ilvl="2" w:tplc="BD68DB52">
      <w:start w:val="1"/>
      <w:numFmt w:val="bullet"/>
      <w:lvlText w:val=""/>
      <w:lvlJc w:val="left"/>
      <w:pPr>
        <w:ind w:left="1440" w:hanging="360"/>
      </w:pPr>
      <w:rPr>
        <w:rFonts w:ascii="Symbol" w:hAnsi="Symbol"/>
      </w:rPr>
    </w:lvl>
    <w:lvl w:ilvl="3" w:tplc="8B408142">
      <w:start w:val="1"/>
      <w:numFmt w:val="bullet"/>
      <w:lvlText w:val=""/>
      <w:lvlJc w:val="left"/>
      <w:pPr>
        <w:ind w:left="1440" w:hanging="360"/>
      </w:pPr>
      <w:rPr>
        <w:rFonts w:ascii="Symbol" w:hAnsi="Symbol"/>
      </w:rPr>
    </w:lvl>
    <w:lvl w:ilvl="4" w:tplc="593CBFB4">
      <w:start w:val="1"/>
      <w:numFmt w:val="bullet"/>
      <w:lvlText w:val=""/>
      <w:lvlJc w:val="left"/>
      <w:pPr>
        <w:ind w:left="1440" w:hanging="360"/>
      </w:pPr>
      <w:rPr>
        <w:rFonts w:ascii="Symbol" w:hAnsi="Symbol"/>
      </w:rPr>
    </w:lvl>
    <w:lvl w:ilvl="5" w:tplc="FA08CECA">
      <w:start w:val="1"/>
      <w:numFmt w:val="bullet"/>
      <w:lvlText w:val=""/>
      <w:lvlJc w:val="left"/>
      <w:pPr>
        <w:ind w:left="1440" w:hanging="360"/>
      </w:pPr>
      <w:rPr>
        <w:rFonts w:ascii="Symbol" w:hAnsi="Symbol"/>
      </w:rPr>
    </w:lvl>
    <w:lvl w:ilvl="6" w:tplc="DB5E67F0">
      <w:start w:val="1"/>
      <w:numFmt w:val="bullet"/>
      <w:lvlText w:val=""/>
      <w:lvlJc w:val="left"/>
      <w:pPr>
        <w:ind w:left="1440" w:hanging="360"/>
      </w:pPr>
      <w:rPr>
        <w:rFonts w:ascii="Symbol" w:hAnsi="Symbol"/>
      </w:rPr>
    </w:lvl>
    <w:lvl w:ilvl="7" w:tplc="ED2E9BB8">
      <w:start w:val="1"/>
      <w:numFmt w:val="bullet"/>
      <w:lvlText w:val=""/>
      <w:lvlJc w:val="left"/>
      <w:pPr>
        <w:ind w:left="1440" w:hanging="360"/>
      </w:pPr>
      <w:rPr>
        <w:rFonts w:ascii="Symbol" w:hAnsi="Symbol"/>
      </w:rPr>
    </w:lvl>
    <w:lvl w:ilvl="8" w:tplc="6D1EA136">
      <w:start w:val="1"/>
      <w:numFmt w:val="bullet"/>
      <w:lvlText w:val=""/>
      <w:lvlJc w:val="left"/>
      <w:pPr>
        <w:ind w:left="1440" w:hanging="360"/>
      </w:pPr>
      <w:rPr>
        <w:rFonts w:ascii="Symbol" w:hAnsi="Symbol"/>
      </w:rPr>
    </w:lvl>
  </w:abstractNum>
  <w:abstractNum w:abstractNumId="2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007337"/>
    <w:multiLevelType w:val="hybridMultilevel"/>
    <w:tmpl w:val="8B723932"/>
    <w:lvl w:ilvl="0" w:tplc="BF2A57CC">
      <w:start w:val="1"/>
      <w:numFmt w:val="bullet"/>
      <w:lvlText w:val=""/>
      <w:lvlJc w:val="left"/>
      <w:pPr>
        <w:ind w:left="720" w:hanging="360"/>
      </w:pPr>
      <w:rPr>
        <w:rFonts w:ascii="Symbol" w:hAnsi="Symbol"/>
      </w:rPr>
    </w:lvl>
    <w:lvl w:ilvl="1" w:tplc="C8A89338">
      <w:start w:val="1"/>
      <w:numFmt w:val="bullet"/>
      <w:lvlText w:val=""/>
      <w:lvlJc w:val="left"/>
      <w:pPr>
        <w:ind w:left="720" w:hanging="360"/>
      </w:pPr>
      <w:rPr>
        <w:rFonts w:ascii="Symbol" w:hAnsi="Symbol"/>
      </w:rPr>
    </w:lvl>
    <w:lvl w:ilvl="2" w:tplc="44C0D528">
      <w:start w:val="1"/>
      <w:numFmt w:val="bullet"/>
      <w:lvlText w:val=""/>
      <w:lvlJc w:val="left"/>
      <w:pPr>
        <w:ind w:left="720" w:hanging="360"/>
      </w:pPr>
      <w:rPr>
        <w:rFonts w:ascii="Symbol" w:hAnsi="Symbol"/>
      </w:rPr>
    </w:lvl>
    <w:lvl w:ilvl="3" w:tplc="04CA27D8">
      <w:start w:val="1"/>
      <w:numFmt w:val="bullet"/>
      <w:lvlText w:val=""/>
      <w:lvlJc w:val="left"/>
      <w:pPr>
        <w:ind w:left="720" w:hanging="360"/>
      </w:pPr>
      <w:rPr>
        <w:rFonts w:ascii="Symbol" w:hAnsi="Symbol"/>
      </w:rPr>
    </w:lvl>
    <w:lvl w:ilvl="4" w:tplc="F9C254FC">
      <w:start w:val="1"/>
      <w:numFmt w:val="bullet"/>
      <w:lvlText w:val=""/>
      <w:lvlJc w:val="left"/>
      <w:pPr>
        <w:ind w:left="720" w:hanging="360"/>
      </w:pPr>
      <w:rPr>
        <w:rFonts w:ascii="Symbol" w:hAnsi="Symbol"/>
      </w:rPr>
    </w:lvl>
    <w:lvl w:ilvl="5" w:tplc="B40231AE">
      <w:start w:val="1"/>
      <w:numFmt w:val="bullet"/>
      <w:lvlText w:val=""/>
      <w:lvlJc w:val="left"/>
      <w:pPr>
        <w:ind w:left="720" w:hanging="360"/>
      </w:pPr>
      <w:rPr>
        <w:rFonts w:ascii="Symbol" w:hAnsi="Symbol"/>
      </w:rPr>
    </w:lvl>
    <w:lvl w:ilvl="6" w:tplc="5F76CE16">
      <w:start w:val="1"/>
      <w:numFmt w:val="bullet"/>
      <w:lvlText w:val=""/>
      <w:lvlJc w:val="left"/>
      <w:pPr>
        <w:ind w:left="720" w:hanging="360"/>
      </w:pPr>
      <w:rPr>
        <w:rFonts w:ascii="Symbol" w:hAnsi="Symbol"/>
      </w:rPr>
    </w:lvl>
    <w:lvl w:ilvl="7" w:tplc="AA4A6784">
      <w:start w:val="1"/>
      <w:numFmt w:val="bullet"/>
      <w:lvlText w:val=""/>
      <w:lvlJc w:val="left"/>
      <w:pPr>
        <w:ind w:left="720" w:hanging="360"/>
      </w:pPr>
      <w:rPr>
        <w:rFonts w:ascii="Symbol" w:hAnsi="Symbol"/>
      </w:rPr>
    </w:lvl>
    <w:lvl w:ilvl="8" w:tplc="899E1D98">
      <w:start w:val="1"/>
      <w:numFmt w:val="bullet"/>
      <w:lvlText w:val=""/>
      <w:lvlJc w:val="left"/>
      <w:pPr>
        <w:ind w:left="720" w:hanging="360"/>
      </w:pPr>
      <w:rPr>
        <w:rFonts w:ascii="Symbol" w:hAnsi="Symbol"/>
      </w:rPr>
    </w:lvl>
  </w:abstractNum>
  <w:abstractNum w:abstractNumId="23" w15:restartNumberingAfterBreak="0">
    <w:nsid w:val="5D247AA2"/>
    <w:multiLevelType w:val="hybridMultilevel"/>
    <w:tmpl w:val="1EDA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54F4139"/>
    <w:multiLevelType w:val="hybridMultilevel"/>
    <w:tmpl w:val="B908F194"/>
    <w:lvl w:ilvl="0" w:tplc="78A03862">
      <w:start w:val="1"/>
      <w:numFmt w:val="bullet"/>
      <w:lvlText w:val=""/>
      <w:lvlJc w:val="left"/>
      <w:pPr>
        <w:ind w:left="720" w:hanging="360"/>
      </w:pPr>
      <w:rPr>
        <w:rFonts w:ascii="Symbol" w:hAnsi="Symbol"/>
      </w:rPr>
    </w:lvl>
    <w:lvl w:ilvl="1" w:tplc="61B84C0E">
      <w:start w:val="1"/>
      <w:numFmt w:val="bullet"/>
      <w:lvlText w:val=""/>
      <w:lvlJc w:val="left"/>
      <w:pPr>
        <w:ind w:left="720" w:hanging="360"/>
      </w:pPr>
      <w:rPr>
        <w:rFonts w:ascii="Symbol" w:hAnsi="Symbol"/>
      </w:rPr>
    </w:lvl>
    <w:lvl w:ilvl="2" w:tplc="03EA6F56">
      <w:start w:val="1"/>
      <w:numFmt w:val="bullet"/>
      <w:lvlText w:val=""/>
      <w:lvlJc w:val="left"/>
      <w:pPr>
        <w:ind w:left="720" w:hanging="360"/>
      </w:pPr>
      <w:rPr>
        <w:rFonts w:ascii="Symbol" w:hAnsi="Symbol"/>
      </w:rPr>
    </w:lvl>
    <w:lvl w:ilvl="3" w:tplc="D1FEA6F2">
      <w:start w:val="1"/>
      <w:numFmt w:val="bullet"/>
      <w:lvlText w:val=""/>
      <w:lvlJc w:val="left"/>
      <w:pPr>
        <w:ind w:left="720" w:hanging="360"/>
      </w:pPr>
      <w:rPr>
        <w:rFonts w:ascii="Symbol" w:hAnsi="Symbol"/>
      </w:rPr>
    </w:lvl>
    <w:lvl w:ilvl="4" w:tplc="059A6436">
      <w:start w:val="1"/>
      <w:numFmt w:val="bullet"/>
      <w:lvlText w:val=""/>
      <w:lvlJc w:val="left"/>
      <w:pPr>
        <w:ind w:left="720" w:hanging="360"/>
      </w:pPr>
      <w:rPr>
        <w:rFonts w:ascii="Symbol" w:hAnsi="Symbol"/>
      </w:rPr>
    </w:lvl>
    <w:lvl w:ilvl="5" w:tplc="C3ECB942">
      <w:start w:val="1"/>
      <w:numFmt w:val="bullet"/>
      <w:lvlText w:val=""/>
      <w:lvlJc w:val="left"/>
      <w:pPr>
        <w:ind w:left="720" w:hanging="360"/>
      </w:pPr>
      <w:rPr>
        <w:rFonts w:ascii="Symbol" w:hAnsi="Symbol"/>
      </w:rPr>
    </w:lvl>
    <w:lvl w:ilvl="6" w:tplc="8AFEC646">
      <w:start w:val="1"/>
      <w:numFmt w:val="bullet"/>
      <w:lvlText w:val=""/>
      <w:lvlJc w:val="left"/>
      <w:pPr>
        <w:ind w:left="720" w:hanging="360"/>
      </w:pPr>
      <w:rPr>
        <w:rFonts w:ascii="Symbol" w:hAnsi="Symbol"/>
      </w:rPr>
    </w:lvl>
    <w:lvl w:ilvl="7" w:tplc="EBBE7DCC">
      <w:start w:val="1"/>
      <w:numFmt w:val="bullet"/>
      <w:lvlText w:val=""/>
      <w:lvlJc w:val="left"/>
      <w:pPr>
        <w:ind w:left="720" w:hanging="360"/>
      </w:pPr>
      <w:rPr>
        <w:rFonts w:ascii="Symbol" w:hAnsi="Symbol"/>
      </w:rPr>
    </w:lvl>
    <w:lvl w:ilvl="8" w:tplc="6A7462FE">
      <w:start w:val="1"/>
      <w:numFmt w:val="bullet"/>
      <w:lvlText w:val=""/>
      <w:lvlJc w:val="left"/>
      <w:pPr>
        <w:ind w:left="720" w:hanging="360"/>
      </w:pPr>
      <w:rPr>
        <w:rFonts w:ascii="Symbol" w:hAnsi="Symbol"/>
      </w:rPr>
    </w:lvl>
  </w:abstractNum>
  <w:abstractNum w:abstractNumId="26"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7574C"/>
    <w:multiLevelType w:val="hybridMultilevel"/>
    <w:tmpl w:val="C9CA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11D43"/>
    <w:multiLevelType w:val="hybridMultilevel"/>
    <w:tmpl w:val="973415A4"/>
    <w:lvl w:ilvl="0" w:tplc="96A264CA">
      <w:start w:val="1"/>
      <w:numFmt w:val="bullet"/>
      <w:lvlText w:val=""/>
      <w:lvlJc w:val="left"/>
      <w:pPr>
        <w:ind w:left="720" w:hanging="360"/>
      </w:pPr>
      <w:rPr>
        <w:rFonts w:ascii="Symbol" w:hAnsi="Symbol"/>
      </w:rPr>
    </w:lvl>
    <w:lvl w:ilvl="1" w:tplc="0B80A336">
      <w:start w:val="1"/>
      <w:numFmt w:val="bullet"/>
      <w:lvlText w:val=""/>
      <w:lvlJc w:val="left"/>
      <w:pPr>
        <w:ind w:left="720" w:hanging="360"/>
      </w:pPr>
      <w:rPr>
        <w:rFonts w:ascii="Symbol" w:hAnsi="Symbol"/>
      </w:rPr>
    </w:lvl>
    <w:lvl w:ilvl="2" w:tplc="C4D6EE44">
      <w:start w:val="1"/>
      <w:numFmt w:val="bullet"/>
      <w:lvlText w:val=""/>
      <w:lvlJc w:val="left"/>
      <w:pPr>
        <w:ind w:left="720" w:hanging="360"/>
      </w:pPr>
      <w:rPr>
        <w:rFonts w:ascii="Symbol" w:hAnsi="Symbol"/>
      </w:rPr>
    </w:lvl>
    <w:lvl w:ilvl="3" w:tplc="402C3A34">
      <w:start w:val="1"/>
      <w:numFmt w:val="bullet"/>
      <w:lvlText w:val=""/>
      <w:lvlJc w:val="left"/>
      <w:pPr>
        <w:ind w:left="720" w:hanging="360"/>
      </w:pPr>
      <w:rPr>
        <w:rFonts w:ascii="Symbol" w:hAnsi="Symbol"/>
      </w:rPr>
    </w:lvl>
    <w:lvl w:ilvl="4" w:tplc="5AD06456">
      <w:start w:val="1"/>
      <w:numFmt w:val="bullet"/>
      <w:lvlText w:val=""/>
      <w:lvlJc w:val="left"/>
      <w:pPr>
        <w:ind w:left="720" w:hanging="360"/>
      </w:pPr>
      <w:rPr>
        <w:rFonts w:ascii="Symbol" w:hAnsi="Symbol"/>
      </w:rPr>
    </w:lvl>
    <w:lvl w:ilvl="5" w:tplc="C194FADC">
      <w:start w:val="1"/>
      <w:numFmt w:val="bullet"/>
      <w:lvlText w:val=""/>
      <w:lvlJc w:val="left"/>
      <w:pPr>
        <w:ind w:left="720" w:hanging="360"/>
      </w:pPr>
      <w:rPr>
        <w:rFonts w:ascii="Symbol" w:hAnsi="Symbol"/>
      </w:rPr>
    </w:lvl>
    <w:lvl w:ilvl="6" w:tplc="64ACAB3E">
      <w:start w:val="1"/>
      <w:numFmt w:val="bullet"/>
      <w:lvlText w:val=""/>
      <w:lvlJc w:val="left"/>
      <w:pPr>
        <w:ind w:left="720" w:hanging="360"/>
      </w:pPr>
      <w:rPr>
        <w:rFonts w:ascii="Symbol" w:hAnsi="Symbol"/>
      </w:rPr>
    </w:lvl>
    <w:lvl w:ilvl="7" w:tplc="0EECDC6C">
      <w:start w:val="1"/>
      <w:numFmt w:val="bullet"/>
      <w:lvlText w:val=""/>
      <w:lvlJc w:val="left"/>
      <w:pPr>
        <w:ind w:left="720" w:hanging="360"/>
      </w:pPr>
      <w:rPr>
        <w:rFonts w:ascii="Symbol" w:hAnsi="Symbol"/>
      </w:rPr>
    </w:lvl>
    <w:lvl w:ilvl="8" w:tplc="C9D2F346">
      <w:start w:val="1"/>
      <w:numFmt w:val="bullet"/>
      <w:lvlText w:val=""/>
      <w:lvlJc w:val="left"/>
      <w:pPr>
        <w:ind w:left="720" w:hanging="360"/>
      </w:pPr>
      <w:rPr>
        <w:rFonts w:ascii="Symbol" w:hAnsi="Symbol"/>
      </w:rPr>
    </w:lvl>
  </w:abstractNum>
  <w:num w:numId="1" w16cid:durableId="624895275">
    <w:abstractNumId w:val="26"/>
  </w:num>
  <w:num w:numId="2" w16cid:durableId="1843159828">
    <w:abstractNumId w:val="21"/>
  </w:num>
  <w:num w:numId="3" w16cid:durableId="140110088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913544">
    <w:abstractNumId w:val="16"/>
  </w:num>
  <w:num w:numId="5" w16cid:durableId="2026248575">
    <w:abstractNumId w:val="23"/>
  </w:num>
  <w:num w:numId="6" w16cid:durableId="206527562">
    <w:abstractNumId w:val="19"/>
  </w:num>
  <w:num w:numId="7" w16cid:durableId="309940834">
    <w:abstractNumId w:val="5"/>
  </w:num>
  <w:num w:numId="8" w16cid:durableId="1540127089">
    <w:abstractNumId w:val="15"/>
  </w:num>
  <w:num w:numId="9" w16cid:durableId="339813073">
    <w:abstractNumId w:val="8"/>
  </w:num>
  <w:num w:numId="10" w16cid:durableId="1912616753">
    <w:abstractNumId w:val="4"/>
  </w:num>
  <w:num w:numId="11" w16cid:durableId="655230654">
    <w:abstractNumId w:val="6"/>
  </w:num>
  <w:num w:numId="12" w16cid:durableId="448159957">
    <w:abstractNumId w:val="25"/>
  </w:num>
  <w:num w:numId="13" w16cid:durableId="256135632">
    <w:abstractNumId w:val="18"/>
  </w:num>
  <w:num w:numId="14" w16cid:durableId="699823088">
    <w:abstractNumId w:val="3"/>
  </w:num>
  <w:num w:numId="15" w16cid:durableId="157969006">
    <w:abstractNumId w:val="20"/>
  </w:num>
  <w:num w:numId="16" w16cid:durableId="956333475">
    <w:abstractNumId w:val="7"/>
  </w:num>
  <w:num w:numId="17" w16cid:durableId="1868372733">
    <w:abstractNumId w:val="2"/>
  </w:num>
  <w:num w:numId="18" w16cid:durableId="640773619">
    <w:abstractNumId w:val="14"/>
  </w:num>
  <w:num w:numId="19" w16cid:durableId="1090470345">
    <w:abstractNumId w:val="1"/>
  </w:num>
  <w:num w:numId="20" w16cid:durableId="182746330">
    <w:abstractNumId w:val="17"/>
  </w:num>
  <w:num w:numId="21" w16cid:durableId="222134046">
    <w:abstractNumId w:val="27"/>
  </w:num>
  <w:num w:numId="22" w16cid:durableId="1628854950">
    <w:abstractNumId w:val="22"/>
  </w:num>
  <w:num w:numId="23" w16cid:durableId="572468117">
    <w:abstractNumId w:val="13"/>
  </w:num>
  <w:num w:numId="24" w16cid:durableId="536167577">
    <w:abstractNumId w:val="11"/>
  </w:num>
  <w:num w:numId="25" w16cid:durableId="696125694">
    <w:abstractNumId w:val="10"/>
  </w:num>
  <w:num w:numId="26" w16cid:durableId="1622568582">
    <w:abstractNumId w:val="0"/>
  </w:num>
  <w:num w:numId="27" w16cid:durableId="1319191041">
    <w:abstractNumId w:val="9"/>
  </w:num>
  <w:num w:numId="28" w16cid:durableId="759176731">
    <w:abstractNumId w:val="28"/>
  </w:num>
  <w:num w:numId="29" w16cid:durableId="7802974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5D"/>
    <w:rsid w:val="00001A5D"/>
    <w:rsid w:val="00002A35"/>
    <w:rsid w:val="000177B7"/>
    <w:rsid w:val="00020A8A"/>
    <w:rsid w:val="00031720"/>
    <w:rsid w:val="00031B99"/>
    <w:rsid w:val="0003308F"/>
    <w:rsid w:val="000332F9"/>
    <w:rsid w:val="000511D1"/>
    <w:rsid w:val="00051A0D"/>
    <w:rsid w:val="00052337"/>
    <w:rsid w:val="00055B33"/>
    <w:rsid w:val="00055E82"/>
    <w:rsid w:val="00056261"/>
    <w:rsid w:val="00056EC4"/>
    <w:rsid w:val="00064F06"/>
    <w:rsid w:val="00065C8F"/>
    <w:rsid w:val="000661B6"/>
    <w:rsid w:val="00073DC5"/>
    <w:rsid w:val="00077FA3"/>
    <w:rsid w:val="00085BEE"/>
    <w:rsid w:val="00092AF1"/>
    <w:rsid w:val="00095E14"/>
    <w:rsid w:val="00096B24"/>
    <w:rsid w:val="000A2CE3"/>
    <w:rsid w:val="000A424C"/>
    <w:rsid w:val="000A7EBA"/>
    <w:rsid w:val="000B09BA"/>
    <w:rsid w:val="000B199A"/>
    <w:rsid w:val="000B2758"/>
    <w:rsid w:val="000B57C1"/>
    <w:rsid w:val="000B5B4F"/>
    <w:rsid w:val="000C0813"/>
    <w:rsid w:val="000C2E94"/>
    <w:rsid w:val="000C44FC"/>
    <w:rsid w:val="000C52F6"/>
    <w:rsid w:val="000D05D0"/>
    <w:rsid w:val="000D2C86"/>
    <w:rsid w:val="000D7256"/>
    <w:rsid w:val="000E1E94"/>
    <w:rsid w:val="000E2FFA"/>
    <w:rsid w:val="000E6D9A"/>
    <w:rsid w:val="000F549C"/>
    <w:rsid w:val="000F54B1"/>
    <w:rsid w:val="000F6101"/>
    <w:rsid w:val="001026B2"/>
    <w:rsid w:val="00103AF4"/>
    <w:rsid w:val="001112DA"/>
    <w:rsid w:val="00113123"/>
    <w:rsid w:val="001136C7"/>
    <w:rsid w:val="00120F0E"/>
    <w:rsid w:val="00121949"/>
    <w:rsid w:val="00123602"/>
    <w:rsid w:val="00123ADE"/>
    <w:rsid w:val="00127D24"/>
    <w:rsid w:val="001308AD"/>
    <w:rsid w:val="00130F12"/>
    <w:rsid w:val="001435D4"/>
    <w:rsid w:val="001502DA"/>
    <w:rsid w:val="00154C62"/>
    <w:rsid w:val="00170AFE"/>
    <w:rsid w:val="00171A3A"/>
    <w:rsid w:val="00173B86"/>
    <w:rsid w:val="00175525"/>
    <w:rsid w:val="00175783"/>
    <w:rsid w:val="00180785"/>
    <w:rsid w:val="001876A5"/>
    <w:rsid w:val="00192D7C"/>
    <w:rsid w:val="001967F4"/>
    <w:rsid w:val="001A2C73"/>
    <w:rsid w:val="001A4164"/>
    <w:rsid w:val="001A44DC"/>
    <w:rsid w:val="001B21DD"/>
    <w:rsid w:val="001C153E"/>
    <w:rsid w:val="001C2406"/>
    <w:rsid w:val="001C5190"/>
    <w:rsid w:val="001D14E9"/>
    <w:rsid w:val="001D3DB6"/>
    <w:rsid w:val="001D5467"/>
    <w:rsid w:val="001E0A33"/>
    <w:rsid w:val="001E1A33"/>
    <w:rsid w:val="001E2112"/>
    <w:rsid w:val="001E6A44"/>
    <w:rsid w:val="001F04FD"/>
    <w:rsid w:val="001F72CD"/>
    <w:rsid w:val="00204AC5"/>
    <w:rsid w:val="00214A4C"/>
    <w:rsid w:val="00215C13"/>
    <w:rsid w:val="00215E38"/>
    <w:rsid w:val="00217ACA"/>
    <w:rsid w:val="00220BB6"/>
    <w:rsid w:val="00220F28"/>
    <w:rsid w:val="00222069"/>
    <w:rsid w:val="002236A0"/>
    <w:rsid w:val="002246EC"/>
    <w:rsid w:val="0022623D"/>
    <w:rsid w:val="00230DA7"/>
    <w:rsid w:val="002354C1"/>
    <w:rsid w:val="002423B0"/>
    <w:rsid w:val="00245358"/>
    <w:rsid w:val="00245E73"/>
    <w:rsid w:val="002532E7"/>
    <w:rsid w:val="00256901"/>
    <w:rsid w:val="002569BC"/>
    <w:rsid w:val="002633C1"/>
    <w:rsid w:val="002653DF"/>
    <w:rsid w:val="002662BC"/>
    <w:rsid w:val="00266725"/>
    <w:rsid w:val="00281E93"/>
    <w:rsid w:val="002A2014"/>
    <w:rsid w:val="002A2BB4"/>
    <w:rsid w:val="002B3C74"/>
    <w:rsid w:val="002C129F"/>
    <w:rsid w:val="002C2160"/>
    <w:rsid w:val="002C2511"/>
    <w:rsid w:val="002C2706"/>
    <w:rsid w:val="002D02C4"/>
    <w:rsid w:val="002D1C81"/>
    <w:rsid w:val="002D2D1E"/>
    <w:rsid w:val="002D4894"/>
    <w:rsid w:val="002D7C9D"/>
    <w:rsid w:val="002E00A8"/>
    <w:rsid w:val="002E0758"/>
    <w:rsid w:val="002E36B2"/>
    <w:rsid w:val="002E3A4D"/>
    <w:rsid w:val="002E3C2E"/>
    <w:rsid w:val="002F06BD"/>
    <w:rsid w:val="00301273"/>
    <w:rsid w:val="003106ED"/>
    <w:rsid w:val="00310C93"/>
    <w:rsid w:val="00312972"/>
    <w:rsid w:val="00324643"/>
    <w:rsid w:val="003253DB"/>
    <w:rsid w:val="00327E3E"/>
    <w:rsid w:val="00331643"/>
    <w:rsid w:val="0033394A"/>
    <w:rsid w:val="003348B9"/>
    <w:rsid w:val="00350DFC"/>
    <w:rsid w:val="00371AE7"/>
    <w:rsid w:val="00375328"/>
    <w:rsid w:val="003768EB"/>
    <w:rsid w:val="00377E80"/>
    <w:rsid w:val="00380788"/>
    <w:rsid w:val="0038582C"/>
    <w:rsid w:val="003872E8"/>
    <w:rsid w:val="003932EC"/>
    <w:rsid w:val="00393454"/>
    <w:rsid w:val="003A1D54"/>
    <w:rsid w:val="003A34E7"/>
    <w:rsid w:val="003A4334"/>
    <w:rsid w:val="003A5AFC"/>
    <w:rsid w:val="003A7D5C"/>
    <w:rsid w:val="003B3DD3"/>
    <w:rsid w:val="003B57C9"/>
    <w:rsid w:val="003C1801"/>
    <w:rsid w:val="003C1BB0"/>
    <w:rsid w:val="003C1CDD"/>
    <w:rsid w:val="003C23E7"/>
    <w:rsid w:val="003D01D0"/>
    <w:rsid w:val="003E10B8"/>
    <w:rsid w:val="003E33EC"/>
    <w:rsid w:val="003E36E8"/>
    <w:rsid w:val="003E7D4F"/>
    <w:rsid w:val="003F1CE2"/>
    <w:rsid w:val="003F1DA0"/>
    <w:rsid w:val="003F365F"/>
    <w:rsid w:val="003F422E"/>
    <w:rsid w:val="003F4319"/>
    <w:rsid w:val="003F5D14"/>
    <w:rsid w:val="003F6D5D"/>
    <w:rsid w:val="00400151"/>
    <w:rsid w:val="00401B20"/>
    <w:rsid w:val="00401C06"/>
    <w:rsid w:val="004063B3"/>
    <w:rsid w:val="00406CE0"/>
    <w:rsid w:val="00406E51"/>
    <w:rsid w:val="004073AF"/>
    <w:rsid w:val="00411957"/>
    <w:rsid w:val="00413050"/>
    <w:rsid w:val="00416301"/>
    <w:rsid w:val="00421380"/>
    <w:rsid w:val="004247C6"/>
    <w:rsid w:val="004250B5"/>
    <w:rsid w:val="00425941"/>
    <w:rsid w:val="004264D6"/>
    <w:rsid w:val="00426691"/>
    <w:rsid w:val="00427D18"/>
    <w:rsid w:val="00430F2E"/>
    <w:rsid w:val="004323CF"/>
    <w:rsid w:val="004328C4"/>
    <w:rsid w:val="00432AEF"/>
    <w:rsid w:val="004335F0"/>
    <w:rsid w:val="00436848"/>
    <w:rsid w:val="004419D6"/>
    <w:rsid w:val="00441EC4"/>
    <w:rsid w:val="00456921"/>
    <w:rsid w:val="00461A4E"/>
    <w:rsid w:val="00462D23"/>
    <w:rsid w:val="00470940"/>
    <w:rsid w:val="004742F7"/>
    <w:rsid w:val="00476581"/>
    <w:rsid w:val="00476B35"/>
    <w:rsid w:val="00483E50"/>
    <w:rsid w:val="00485524"/>
    <w:rsid w:val="00486199"/>
    <w:rsid w:val="00491BED"/>
    <w:rsid w:val="0049471E"/>
    <w:rsid w:val="00497DE7"/>
    <w:rsid w:val="004A1E6C"/>
    <w:rsid w:val="004A2B79"/>
    <w:rsid w:val="004A2C55"/>
    <w:rsid w:val="004A3658"/>
    <w:rsid w:val="004A413B"/>
    <w:rsid w:val="004A4738"/>
    <w:rsid w:val="004A4F98"/>
    <w:rsid w:val="004A7611"/>
    <w:rsid w:val="004C02EF"/>
    <w:rsid w:val="004C1536"/>
    <w:rsid w:val="004C25A1"/>
    <w:rsid w:val="004D20E3"/>
    <w:rsid w:val="004D6213"/>
    <w:rsid w:val="004E0647"/>
    <w:rsid w:val="004E74DC"/>
    <w:rsid w:val="004F0E82"/>
    <w:rsid w:val="004F23E4"/>
    <w:rsid w:val="004F4873"/>
    <w:rsid w:val="004F4D49"/>
    <w:rsid w:val="004F6CCF"/>
    <w:rsid w:val="00500945"/>
    <w:rsid w:val="00501C57"/>
    <w:rsid w:val="00502583"/>
    <w:rsid w:val="0050422C"/>
    <w:rsid w:val="0050480E"/>
    <w:rsid w:val="00505867"/>
    <w:rsid w:val="0051137D"/>
    <w:rsid w:val="00511EEA"/>
    <w:rsid w:val="00513DD1"/>
    <w:rsid w:val="00516297"/>
    <w:rsid w:val="00517C9E"/>
    <w:rsid w:val="0052151C"/>
    <w:rsid w:val="00526C9B"/>
    <w:rsid w:val="005304FF"/>
    <w:rsid w:val="005318C8"/>
    <w:rsid w:val="00533483"/>
    <w:rsid w:val="00534788"/>
    <w:rsid w:val="0053684A"/>
    <w:rsid w:val="0054193F"/>
    <w:rsid w:val="00541E7C"/>
    <w:rsid w:val="00541E81"/>
    <w:rsid w:val="005451E1"/>
    <w:rsid w:val="0055049C"/>
    <w:rsid w:val="00556857"/>
    <w:rsid w:val="00556D21"/>
    <w:rsid w:val="005570C8"/>
    <w:rsid w:val="005605A4"/>
    <w:rsid w:val="00564002"/>
    <w:rsid w:val="00565CEE"/>
    <w:rsid w:val="00571C1C"/>
    <w:rsid w:val="005723A3"/>
    <w:rsid w:val="00573875"/>
    <w:rsid w:val="00574C33"/>
    <w:rsid w:val="00575313"/>
    <w:rsid w:val="0057696B"/>
    <w:rsid w:val="005779DB"/>
    <w:rsid w:val="005854A5"/>
    <w:rsid w:val="005858DD"/>
    <w:rsid w:val="00586AEC"/>
    <w:rsid w:val="00591883"/>
    <w:rsid w:val="0059219C"/>
    <w:rsid w:val="00595BDD"/>
    <w:rsid w:val="00595CDD"/>
    <w:rsid w:val="00595E96"/>
    <w:rsid w:val="005A1A51"/>
    <w:rsid w:val="005A401B"/>
    <w:rsid w:val="005A6E30"/>
    <w:rsid w:val="005B08F0"/>
    <w:rsid w:val="005B1D62"/>
    <w:rsid w:val="005B297F"/>
    <w:rsid w:val="005B3847"/>
    <w:rsid w:val="005B4FFB"/>
    <w:rsid w:val="005B7D32"/>
    <w:rsid w:val="005C06F6"/>
    <w:rsid w:val="005C38C6"/>
    <w:rsid w:val="005C509A"/>
    <w:rsid w:val="005C6231"/>
    <w:rsid w:val="005C6270"/>
    <w:rsid w:val="005C6410"/>
    <w:rsid w:val="005C68FB"/>
    <w:rsid w:val="005D4447"/>
    <w:rsid w:val="005D49E7"/>
    <w:rsid w:val="005E52DA"/>
    <w:rsid w:val="005E576F"/>
    <w:rsid w:val="005E62F9"/>
    <w:rsid w:val="005F2DE8"/>
    <w:rsid w:val="00600F0E"/>
    <w:rsid w:val="006044ED"/>
    <w:rsid w:val="0061007B"/>
    <w:rsid w:val="006116CA"/>
    <w:rsid w:val="00613250"/>
    <w:rsid w:val="006169DF"/>
    <w:rsid w:val="00620044"/>
    <w:rsid w:val="006223DA"/>
    <w:rsid w:val="006246E7"/>
    <w:rsid w:val="006312CE"/>
    <w:rsid w:val="006326DA"/>
    <w:rsid w:val="00643BFA"/>
    <w:rsid w:val="00643C40"/>
    <w:rsid w:val="00652E05"/>
    <w:rsid w:val="0065509F"/>
    <w:rsid w:val="006604A0"/>
    <w:rsid w:val="00663CD0"/>
    <w:rsid w:val="00664C48"/>
    <w:rsid w:val="00673874"/>
    <w:rsid w:val="00675147"/>
    <w:rsid w:val="0068107B"/>
    <w:rsid w:val="006933EC"/>
    <w:rsid w:val="00694E23"/>
    <w:rsid w:val="00695657"/>
    <w:rsid w:val="006A16FD"/>
    <w:rsid w:val="006A266C"/>
    <w:rsid w:val="006A364D"/>
    <w:rsid w:val="006A6C98"/>
    <w:rsid w:val="006A7FF5"/>
    <w:rsid w:val="006B5D1A"/>
    <w:rsid w:val="006B79C7"/>
    <w:rsid w:val="006C22AE"/>
    <w:rsid w:val="006C2337"/>
    <w:rsid w:val="006C2654"/>
    <w:rsid w:val="006C275B"/>
    <w:rsid w:val="006C3A49"/>
    <w:rsid w:val="006C418B"/>
    <w:rsid w:val="006C5034"/>
    <w:rsid w:val="006C57FB"/>
    <w:rsid w:val="006D0EA5"/>
    <w:rsid w:val="006D142A"/>
    <w:rsid w:val="006D2928"/>
    <w:rsid w:val="006D63CA"/>
    <w:rsid w:val="006E4BB8"/>
    <w:rsid w:val="006E7FF4"/>
    <w:rsid w:val="006F36DD"/>
    <w:rsid w:val="006F52B1"/>
    <w:rsid w:val="006F7A5B"/>
    <w:rsid w:val="0070098A"/>
    <w:rsid w:val="00702D8B"/>
    <w:rsid w:val="00713182"/>
    <w:rsid w:val="007153FC"/>
    <w:rsid w:val="00715783"/>
    <w:rsid w:val="0072175E"/>
    <w:rsid w:val="00721D0D"/>
    <w:rsid w:val="0072298F"/>
    <w:rsid w:val="00722C21"/>
    <w:rsid w:val="00730CC5"/>
    <w:rsid w:val="00734FD5"/>
    <w:rsid w:val="007375E5"/>
    <w:rsid w:val="00740274"/>
    <w:rsid w:val="00747737"/>
    <w:rsid w:val="0075179E"/>
    <w:rsid w:val="00753D8D"/>
    <w:rsid w:val="00754398"/>
    <w:rsid w:val="00755944"/>
    <w:rsid w:val="00761700"/>
    <w:rsid w:val="00762216"/>
    <w:rsid w:val="007676E9"/>
    <w:rsid w:val="0077165B"/>
    <w:rsid w:val="00773AD0"/>
    <w:rsid w:val="00774192"/>
    <w:rsid w:val="00774F1E"/>
    <w:rsid w:val="0078721E"/>
    <w:rsid w:val="00787268"/>
    <w:rsid w:val="00792C5C"/>
    <w:rsid w:val="0079526E"/>
    <w:rsid w:val="00795EA3"/>
    <w:rsid w:val="00797B1F"/>
    <w:rsid w:val="007A098D"/>
    <w:rsid w:val="007A4019"/>
    <w:rsid w:val="007A40B9"/>
    <w:rsid w:val="007A5DA7"/>
    <w:rsid w:val="007A75FD"/>
    <w:rsid w:val="007B084A"/>
    <w:rsid w:val="007B14F9"/>
    <w:rsid w:val="007B7D7A"/>
    <w:rsid w:val="007C2105"/>
    <w:rsid w:val="007C2578"/>
    <w:rsid w:val="007D616A"/>
    <w:rsid w:val="007D6B2B"/>
    <w:rsid w:val="007E12C6"/>
    <w:rsid w:val="007E1B95"/>
    <w:rsid w:val="007E3100"/>
    <w:rsid w:val="007E5C05"/>
    <w:rsid w:val="007E67D1"/>
    <w:rsid w:val="007E7E7C"/>
    <w:rsid w:val="007F043C"/>
    <w:rsid w:val="007F2BA7"/>
    <w:rsid w:val="007F3F09"/>
    <w:rsid w:val="007F5886"/>
    <w:rsid w:val="007F6E28"/>
    <w:rsid w:val="0080050F"/>
    <w:rsid w:val="00806641"/>
    <w:rsid w:val="008252AD"/>
    <w:rsid w:val="00826364"/>
    <w:rsid w:val="00830F78"/>
    <w:rsid w:val="00832E0D"/>
    <w:rsid w:val="00832E10"/>
    <w:rsid w:val="008338E0"/>
    <w:rsid w:val="00837F0D"/>
    <w:rsid w:val="00843B81"/>
    <w:rsid w:val="0084696F"/>
    <w:rsid w:val="00847413"/>
    <w:rsid w:val="00850018"/>
    <w:rsid w:val="00863795"/>
    <w:rsid w:val="0086652B"/>
    <w:rsid w:val="008704E9"/>
    <w:rsid w:val="0087329B"/>
    <w:rsid w:val="008817A7"/>
    <w:rsid w:val="00893DF9"/>
    <w:rsid w:val="008A6067"/>
    <w:rsid w:val="008B158F"/>
    <w:rsid w:val="008C03C9"/>
    <w:rsid w:val="008C0E1D"/>
    <w:rsid w:val="008C523D"/>
    <w:rsid w:val="008C7760"/>
    <w:rsid w:val="008D2600"/>
    <w:rsid w:val="008D29D7"/>
    <w:rsid w:val="008D4858"/>
    <w:rsid w:val="008D6420"/>
    <w:rsid w:val="008D7CFA"/>
    <w:rsid w:val="008D7F26"/>
    <w:rsid w:val="008E08DA"/>
    <w:rsid w:val="008E60AA"/>
    <w:rsid w:val="008E6B2F"/>
    <w:rsid w:val="008F7317"/>
    <w:rsid w:val="008F7799"/>
    <w:rsid w:val="009007E2"/>
    <w:rsid w:val="00902C22"/>
    <w:rsid w:val="009031DE"/>
    <w:rsid w:val="009122E6"/>
    <w:rsid w:val="00921CC5"/>
    <w:rsid w:val="009221E3"/>
    <w:rsid w:val="0092328B"/>
    <w:rsid w:val="00923340"/>
    <w:rsid w:val="00924CEA"/>
    <w:rsid w:val="00926C8C"/>
    <w:rsid w:val="00930420"/>
    <w:rsid w:val="00931746"/>
    <w:rsid w:val="00931C24"/>
    <w:rsid w:val="009324BE"/>
    <w:rsid w:val="0093633E"/>
    <w:rsid w:val="009368E4"/>
    <w:rsid w:val="00940FB4"/>
    <w:rsid w:val="0094232E"/>
    <w:rsid w:val="00943FDF"/>
    <w:rsid w:val="009469F5"/>
    <w:rsid w:val="00956AE4"/>
    <w:rsid w:val="0096406A"/>
    <w:rsid w:val="009655DE"/>
    <w:rsid w:val="00972241"/>
    <w:rsid w:val="00972C6B"/>
    <w:rsid w:val="009750AA"/>
    <w:rsid w:val="009750DE"/>
    <w:rsid w:val="009756A3"/>
    <w:rsid w:val="009764F1"/>
    <w:rsid w:val="0097795D"/>
    <w:rsid w:val="00980306"/>
    <w:rsid w:val="00987B0D"/>
    <w:rsid w:val="0099359F"/>
    <w:rsid w:val="00997D36"/>
    <w:rsid w:val="009A1449"/>
    <w:rsid w:val="009A1B50"/>
    <w:rsid w:val="009A7CD7"/>
    <w:rsid w:val="009B1BD6"/>
    <w:rsid w:val="009B1D30"/>
    <w:rsid w:val="009B3672"/>
    <w:rsid w:val="009C0B9D"/>
    <w:rsid w:val="009C12DA"/>
    <w:rsid w:val="009C2B6E"/>
    <w:rsid w:val="009C3473"/>
    <w:rsid w:val="009C43DA"/>
    <w:rsid w:val="009D2A8F"/>
    <w:rsid w:val="009D6742"/>
    <w:rsid w:val="009E150B"/>
    <w:rsid w:val="009E6416"/>
    <w:rsid w:val="009F2CEC"/>
    <w:rsid w:val="009F7F15"/>
    <w:rsid w:val="00A030B3"/>
    <w:rsid w:val="00A045A8"/>
    <w:rsid w:val="00A120CC"/>
    <w:rsid w:val="00A139A4"/>
    <w:rsid w:val="00A14FC9"/>
    <w:rsid w:val="00A21B1D"/>
    <w:rsid w:val="00A27799"/>
    <w:rsid w:val="00A322B6"/>
    <w:rsid w:val="00A341FE"/>
    <w:rsid w:val="00A34AC7"/>
    <w:rsid w:val="00A34D07"/>
    <w:rsid w:val="00A36D32"/>
    <w:rsid w:val="00A41452"/>
    <w:rsid w:val="00A43457"/>
    <w:rsid w:val="00A65926"/>
    <w:rsid w:val="00A702AE"/>
    <w:rsid w:val="00A81315"/>
    <w:rsid w:val="00A85E51"/>
    <w:rsid w:val="00A862F1"/>
    <w:rsid w:val="00A91FF8"/>
    <w:rsid w:val="00A941EB"/>
    <w:rsid w:val="00A9643C"/>
    <w:rsid w:val="00A97F3C"/>
    <w:rsid w:val="00AA1B87"/>
    <w:rsid w:val="00AA28BD"/>
    <w:rsid w:val="00AA5710"/>
    <w:rsid w:val="00AB002D"/>
    <w:rsid w:val="00AB082F"/>
    <w:rsid w:val="00AB27D7"/>
    <w:rsid w:val="00AC3461"/>
    <w:rsid w:val="00AC79CC"/>
    <w:rsid w:val="00AC79DB"/>
    <w:rsid w:val="00AE26EF"/>
    <w:rsid w:val="00AE3851"/>
    <w:rsid w:val="00AE6AB1"/>
    <w:rsid w:val="00AE7AD1"/>
    <w:rsid w:val="00AE7D10"/>
    <w:rsid w:val="00AF7008"/>
    <w:rsid w:val="00B024D4"/>
    <w:rsid w:val="00B06788"/>
    <w:rsid w:val="00B07F1A"/>
    <w:rsid w:val="00B10464"/>
    <w:rsid w:val="00B12E34"/>
    <w:rsid w:val="00B24030"/>
    <w:rsid w:val="00B26243"/>
    <w:rsid w:val="00B31077"/>
    <w:rsid w:val="00B32888"/>
    <w:rsid w:val="00B34617"/>
    <w:rsid w:val="00B37C3B"/>
    <w:rsid w:val="00B37DB3"/>
    <w:rsid w:val="00B400E8"/>
    <w:rsid w:val="00B40F51"/>
    <w:rsid w:val="00B42BB1"/>
    <w:rsid w:val="00B43455"/>
    <w:rsid w:val="00B43567"/>
    <w:rsid w:val="00B74E39"/>
    <w:rsid w:val="00B7518A"/>
    <w:rsid w:val="00B768BF"/>
    <w:rsid w:val="00B83462"/>
    <w:rsid w:val="00B834AF"/>
    <w:rsid w:val="00B8656F"/>
    <w:rsid w:val="00B86C6D"/>
    <w:rsid w:val="00B87C5C"/>
    <w:rsid w:val="00B87EBF"/>
    <w:rsid w:val="00B9206B"/>
    <w:rsid w:val="00B92932"/>
    <w:rsid w:val="00BA2A7C"/>
    <w:rsid w:val="00BA7A34"/>
    <w:rsid w:val="00BB0508"/>
    <w:rsid w:val="00BB3553"/>
    <w:rsid w:val="00BB7F1B"/>
    <w:rsid w:val="00BC0234"/>
    <w:rsid w:val="00BC1B6D"/>
    <w:rsid w:val="00BC25DC"/>
    <w:rsid w:val="00BC35E7"/>
    <w:rsid w:val="00BC432E"/>
    <w:rsid w:val="00BC768A"/>
    <w:rsid w:val="00BC7BC2"/>
    <w:rsid w:val="00BC7C30"/>
    <w:rsid w:val="00BD207D"/>
    <w:rsid w:val="00BD2C43"/>
    <w:rsid w:val="00BD3DD8"/>
    <w:rsid w:val="00BD44D2"/>
    <w:rsid w:val="00BD5BCF"/>
    <w:rsid w:val="00BE0267"/>
    <w:rsid w:val="00BE42AD"/>
    <w:rsid w:val="00BE4A73"/>
    <w:rsid w:val="00BF032A"/>
    <w:rsid w:val="00BF1535"/>
    <w:rsid w:val="00BF3A78"/>
    <w:rsid w:val="00BF3D54"/>
    <w:rsid w:val="00BF5BA2"/>
    <w:rsid w:val="00BF67AA"/>
    <w:rsid w:val="00C00E52"/>
    <w:rsid w:val="00C00E63"/>
    <w:rsid w:val="00C035BF"/>
    <w:rsid w:val="00C045BD"/>
    <w:rsid w:val="00C05A72"/>
    <w:rsid w:val="00C06050"/>
    <w:rsid w:val="00C07203"/>
    <w:rsid w:val="00C07AD1"/>
    <w:rsid w:val="00C119C3"/>
    <w:rsid w:val="00C1601B"/>
    <w:rsid w:val="00C24DA1"/>
    <w:rsid w:val="00C256ED"/>
    <w:rsid w:val="00C267E4"/>
    <w:rsid w:val="00C37EE6"/>
    <w:rsid w:val="00C41DFF"/>
    <w:rsid w:val="00C427F1"/>
    <w:rsid w:val="00C44D14"/>
    <w:rsid w:val="00C527C6"/>
    <w:rsid w:val="00C54723"/>
    <w:rsid w:val="00C5586E"/>
    <w:rsid w:val="00C569C0"/>
    <w:rsid w:val="00C62FAB"/>
    <w:rsid w:val="00C636AE"/>
    <w:rsid w:val="00C6393E"/>
    <w:rsid w:val="00C65500"/>
    <w:rsid w:val="00C67E2F"/>
    <w:rsid w:val="00C70CBA"/>
    <w:rsid w:val="00C74567"/>
    <w:rsid w:val="00C77511"/>
    <w:rsid w:val="00C8110A"/>
    <w:rsid w:val="00C83FE5"/>
    <w:rsid w:val="00C8689B"/>
    <w:rsid w:val="00C97A63"/>
    <w:rsid w:val="00CA4D70"/>
    <w:rsid w:val="00CB0D20"/>
    <w:rsid w:val="00CB249E"/>
    <w:rsid w:val="00CB44A8"/>
    <w:rsid w:val="00CB5DA8"/>
    <w:rsid w:val="00CC0DA6"/>
    <w:rsid w:val="00CC2A71"/>
    <w:rsid w:val="00CC629E"/>
    <w:rsid w:val="00CC7424"/>
    <w:rsid w:val="00CD001B"/>
    <w:rsid w:val="00CD1BCF"/>
    <w:rsid w:val="00CD42ED"/>
    <w:rsid w:val="00CD5D6C"/>
    <w:rsid w:val="00CE2059"/>
    <w:rsid w:val="00CE365F"/>
    <w:rsid w:val="00CE52CC"/>
    <w:rsid w:val="00CE5EAE"/>
    <w:rsid w:val="00CF27E7"/>
    <w:rsid w:val="00CF4FD2"/>
    <w:rsid w:val="00CF7461"/>
    <w:rsid w:val="00D000D2"/>
    <w:rsid w:val="00D026E6"/>
    <w:rsid w:val="00D03282"/>
    <w:rsid w:val="00D03BFB"/>
    <w:rsid w:val="00D07D2E"/>
    <w:rsid w:val="00D118A7"/>
    <w:rsid w:val="00D11FEE"/>
    <w:rsid w:val="00D15937"/>
    <w:rsid w:val="00D245A1"/>
    <w:rsid w:val="00D25AA1"/>
    <w:rsid w:val="00D2621D"/>
    <w:rsid w:val="00D27902"/>
    <w:rsid w:val="00D27E95"/>
    <w:rsid w:val="00D31B2C"/>
    <w:rsid w:val="00D31C02"/>
    <w:rsid w:val="00D345BC"/>
    <w:rsid w:val="00D36557"/>
    <w:rsid w:val="00D37C70"/>
    <w:rsid w:val="00D44A86"/>
    <w:rsid w:val="00D469C4"/>
    <w:rsid w:val="00D46D5D"/>
    <w:rsid w:val="00D51DAF"/>
    <w:rsid w:val="00D554F7"/>
    <w:rsid w:val="00D5711F"/>
    <w:rsid w:val="00D60BFA"/>
    <w:rsid w:val="00D60C6D"/>
    <w:rsid w:val="00D610E0"/>
    <w:rsid w:val="00D614DD"/>
    <w:rsid w:val="00D633F4"/>
    <w:rsid w:val="00D663F3"/>
    <w:rsid w:val="00D667C0"/>
    <w:rsid w:val="00D72073"/>
    <w:rsid w:val="00D74287"/>
    <w:rsid w:val="00D91C5F"/>
    <w:rsid w:val="00D93A50"/>
    <w:rsid w:val="00D95441"/>
    <w:rsid w:val="00D95EAE"/>
    <w:rsid w:val="00DA0174"/>
    <w:rsid w:val="00DA351F"/>
    <w:rsid w:val="00DA4483"/>
    <w:rsid w:val="00DA4E1F"/>
    <w:rsid w:val="00DA5311"/>
    <w:rsid w:val="00DA7B05"/>
    <w:rsid w:val="00DB0D9C"/>
    <w:rsid w:val="00DB4D15"/>
    <w:rsid w:val="00DB6D14"/>
    <w:rsid w:val="00DC137A"/>
    <w:rsid w:val="00DC5A33"/>
    <w:rsid w:val="00DC68B6"/>
    <w:rsid w:val="00DC69C1"/>
    <w:rsid w:val="00DC7660"/>
    <w:rsid w:val="00DD04DC"/>
    <w:rsid w:val="00DD0885"/>
    <w:rsid w:val="00DD1D6A"/>
    <w:rsid w:val="00DD7E8C"/>
    <w:rsid w:val="00DE2191"/>
    <w:rsid w:val="00DE4605"/>
    <w:rsid w:val="00DF1722"/>
    <w:rsid w:val="00DF5211"/>
    <w:rsid w:val="00E01D92"/>
    <w:rsid w:val="00E04C4A"/>
    <w:rsid w:val="00E100CD"/>
    <w:rsid w:val="00E1448B"/>
    <w:rsid w:val="00E15DE9"/>
    <w:rsid w:val="00E1609A"/>
    <w:rsid w:val="00E2261B"/>
    <w:rsid w:val="00E2434F"/>
    <w:rsid w:val="00E27D28"/>
    <w:rsid w:val="00E27E74"/>
    <w:rsid w:val="00E3430A"/>
    <w:rsid w:val="00E370A5"/>
    <w:rsid w:val="00E47782"/>
    <w:rsid w:val="00E52AD6"/>
    <w:rsid w:val="00E54C12"/>
    <w:rsid w:val="00E57250"/>
    <w:rsid w:val="00E63084"/>
    <w:rsid w:val="00E67706"/>
    <w:rsid w:val="00E72A0C"/>
    <w:rsid w:val="00E7523F"/>
    <w:rsid w:val="00E76755"/>
    <w:rsid w:val="00E774F2"/>
    <w:rsid w:val="00E826FF"/>
    <w:rsid w:val="00E84742"/>
    <w:rsid w:val="00E84B66"/>
    <w:rsid w:val="00E90964"/>
    <w:rsid w:val="00E91FDA"/>
    <w:rsid w:val="00E9238E"/>
    <w:rsid w:val="00E94D6C"/>
    <w:rsid w:val="00E94FC7"/>
    <w:rsid w:val="00E96F29"/>
    <w:rsid w:val="00E970E0"/>
    <w:rsid w:val="00E973CF"/>
    <w:rsid w:val="00EA0ABF"/>
    <w:rsid w:val="00EB09C6"/>
    <w:rsid w:val="00EB0B1F"/>
    <w:rsid w:val="00EB7DE2"/>
    <w:rsid w:val="00EC1E3B"/>
    <w:rsid w:val="00EC2498"/>
    <w:rsid w:val="00EC3B07"/>
    <w:rsid w:val="00EC4D53"/>
    <w:rsid w:val="00EC620A"/>
    <w:rsid w:val="00EC66EB"/>
    <w:rsid w:val="00ED0353"/>
    <w:rsid w:val="00ED08CD"/>
    <w:rsid w:val="00ED0D7D"/>
    <w:rsid w:val="00ED2A0D"/>
    <w:rsid w:val="00ED2C11"/>
    <w:rsid w:val="00ED3D9D"/>
    <w:rsid w:val="00ED4549"/>
    <w:rsid w:val="00ED5A4F"/>
    <w:rsid w:val="00ED6BDA"/>
    <w:rsid w:val="00EE01C4"/>
    <w:rsid w:val="00EE662A"/>
    <w:rsid w:val="00EE70CB"/>
    <w:rsid w:val="00F015DF"/>
    <w:rsid w:val="00F04CC4"/>
    <w:rsid w:val="00F10466"/>
    <w:rsid w:val="00F11DC1"/>
    <w:rsid w:val="00F1205F"/>
    <w:rsid w:val="00F20158"/>
    <w:rsid w:val="00F20F07"/>
    <w:rsid w:val="00F26E3F"/>
    <w:rsid w:val="00F274C5"/>
    <w:rsid w:val="00F27920"/>
    <w:rsid w:val="00F33638"/>
    <w:rsid w:val="00F33A58"/>
    <w:rsid w:val="00F362EF"/>
    <w:rsid w:val="00F41649"/>
    <w:rsid w:val="00F44EFA"/>
    <w:rsid w:val="00F54CAA"/>
    <w:rsid w:val="00F6050C"/>
    <w:rsid w:val="00F66B46"/>
    <w:rsid w:val="00F70960"/>
    <w:rsid w:val="00F72362"/>
    <w:rsid w:val="00F74B90"/>
    <w:rsid w:val="00F76164"/>
    <w:rsid w:val="00F766A8"/>
    <w:rsid w:val="00F807D2"/>
    <w:rsid w:val="00F843CE"/>
    <w:rsid w:val="00F8474D"/>
    <w:rsid w:val="00F84999"/>
    <w:rsid w:val="00F91822"/>
    <w:rsid w:val="00FA0C47"/>
    <w:rsid w:val="00FA2EE4"/>
    <w:rsid w:val="00FA3FC8"/>
    <w:rsid w:val="00FA7094"/>
    <w:rsid w:val="00FB3BA2"/>
    <w:rsid w:val="00FB3EBD"/>
    <w:rsid w:val="00FC0550"/>
    <w:rsid w:val="00FC0982"/>
    <w:rsid w:val="00FC0AC3"/>
    <w:rsid w:val="00FC1952"/>
    <w:rsid w:val="00FC452A"/>
    <w:rsid w:val="00FC4DEE"/>
    <w:rsid w:val="00FD0104"/>
    <w:rsid w:val="00FD044C"/>
    <w:rsid w:val="00FD0B07"/>
    <w:rsid w:val="00FD2706"/>
    <w:rsid w:val="00FD2DA5"/>
    <w:rsid w:val="00FD5953"/>
    <w:rsid w:val="00FD6924"/>
    <w:rsid w:val="00FE0CF6"/>
    <w:rsid w:val="00FE1E7B"/>
    <w:rsid w:val="00FE2BF5"/>
    <w:rsid w:val="00FE66ED"/>
    <w:rsid w:val="00FE7C8E"/>
    <w:rsid w:val="00FF363F"/>
    <w:rsid w:val="00FF6135"/>
    <w:rsid w:val="00FF6981"/>
    <w:rsid w:val="00FF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F4B6"/>
  <w15:docId w15:val="{C7ACB1D5-2711-408F-BFA8-CF1BD168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406"/>
    <w:rPr>
      <w:rFonts w:ascii="Arial" w:hAnsi="Arial" w:cs="Courier New"/>
      <w:sz w:val="24"/>
      <w:lang w:eastAsia="en-US"/>
    </w:rPr>
  </w:style>
  <w:style w:type="paragraph" w:styleId="Heading1">
    <w:name w:val="heading 1"/>
    <w:basedOn w:val="BodyText"/>
    <w:next w:val="Normal"/>
    <w:qFormat/>
    <w:rsid w:val="00DC68B6"/>
    <w:pPr>
      <w:keepNext/>
      <w:spacing w:before="360" w:after="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C5C"/>
    <w:pPr>
      <w:jc w:val="center"/>
    </w:pPr>
    <w:rPr>
      <w:rFonts w:cs="Times New Roman"/>
      <w:b/>
      <w:bCs/>
      <w:lang w:val="x-none"/>
    </w:rPr>
  </w:style>
  <w:style w:type="paragraph" w:styleId="Header">
    <w:name w:val="header"/>
    <w:basedOn w:val="Normal"/>
    <w:link w:val="HeaderChar"/>
    <w:rsid w:val="00792C5C"/>
    <w:pPr>
      <w:tabs>
        <w:tab w:val="center" w:pos="4153"/>
        <w:tab w:val="right" w:pos="8306"/>
      </w:tabs>
    </w:pPr>
    <w:rPr>
      <w:rFonts w:cs="Times New Roman"/>
      <w:lang w:val="x-none"/>
    </w:rPr>
  </w:style>
  <w:style w:type="paragraph" w:styleId="Subtitle">
    <w:name w:val="Subtitle"/>
    <w:basedOn w:val="Normal"/>
    <w:qFormat/>
    <w:rsid w:val="00792C5C"/>
    <w:rPr>
      <w:b/>
      <w:bCs/>
    </w:rPr>
  </w:style>
  <w:style w:type="paragraph" w:styleId="FootnoteText">
    <w:name w:val="footnote text"/>
    <w:basedOn w:val="Normal"/>
    <w:semiHidden/>
    <w:rsid w:val="00792C5C"/>
    <w:rPr>
      <w:sz w:val="20"/>
    </w:rPr>
  </w:style>
  <w:style w:type="paragraph" w:styleId="Footer">
    <w:name w:val="footer"/>
    <w:basedOn w:val="Normal"/>
    <w:rsid w:val="00792C5C"/>
    <w:pPr>
      <w:tabs>
        <w:tab w:val="center" w:pos="4153"/>
        <w:tab w:val="right" w:pos="8306"/>
      </w:tabs>
    </w:pPr>
  </w:style>
  <w:style w:type="paragraph" w:styleId="EndnoteText">
    <w:name w:val="endnote text"/>
    <w:basedOn w:val="Normal"/>
    <w:semiHidden/>
    <w:rsid w:val="00792C5C"/>
    <w:rPr>
      <w:sz w:val="20"/>
    </w:rPr>
  </w:style>
  <w:style w:type="character" w:styleId="EndnoteReference">
    <w:name w:val="endnote reference"/>
    <w:semiHidden/>
    <w:rsid w:val="00792C5C"/>
    <w:rPr>
      <w:vertAlign w:val="superscript"/>
    </w:rPr>
  </w:style>
  <w:style w:type="paragraph" w:styleId="BodyText2">
    <w:name w:val="Body Text 2"/>
    <w:basedOn w:val="BodyText"/>
    <w:link w:val="BodyText2Char"/>
    <w:rsid w:val="00DC68B6"/>
    <w:pPr>
      <w:spacing w:before="120" w:after="120"/>
    </w:pPr>
  </w:style>
  <w:style w:type="character" w:styleId="FootnoteReference">
    <w:name w:val="footnote reference"/>
    <w:semiHidden/>
    <w:rsid w:val="00792C5C"/>
    <w:rPr>
      <w:vertAlign w:val="superscript"/>
    </w:rPr>
  </w:style>
  <w:style w:type="character" w:styleId="Hyperlink">
    <w:name w:val="Hyperlink"/>
    <w:rsid w:val="00792C5C"/>
    <w:rPr>
      <w:color w:val="0000FF"/>
      <w:u w:val="single"/>
    </w:rPr>
  </w:style>
  <w:style w:type="paragraph" w:styleId="BodyText">
    <w:name w:val="Body Text"/>
    <w:basedOn w:val="Normal"/>
    <w:link w:val="BodyTextChar"/>
    <w:rsid w:val="00DC68B6"/>
    <w:pPr>
      <w:spacing w:after="240"/>
    </w:pPr>
    <w:rPr>
      <w:rFonts w:cs="Times New Roman"/>
      <w:lang w:val="x-none"/>
    </w:rPr>
  </w:style>
  <w:style w:type="paragraph" w:styleId="BalloonText">
    <w:name w:val="Balloon Text"/>
    <w:basedOn w:val="Normal"/>
    <w:semiHidden/>
    <w:rsid w:val="00792C5C"/>
    <w:rPr>
      <w:rFonts w:ascii="Tahoma" w:hAnsi="Tahoma" w:cs="Tahoma"/>
      <w:sz w:val="16"/>
      <w:szCs w:val="16"/>
    </w:rPr>
  </w:style>
  <w:style w:type="character" w:styleId="CommentReference">
    <w:name w:val="annotation reference"/>
    <w:rsid w:val="00792C5C"/>
    <w:rPr>
      <w:sz w:val="16"/>
      <w:szCs w:val="16"/>
    </w:rPr>
  </w:style>
  <w:style w:type="paragraph" w:styleId="CommentText">
    <w:name w:val="annotation text"/>
    <w:basedOn w:val="Normal"/>
    <w:link w:val="CommentTextChar"/>
    <w:uiPriority w:val="99"/>
    <w:semiHidden/>
    <w:rsid w:val="00792C5C"/>
    <w:rPr>
      <w:rFonts w:cs="Times New Roman"/>
      <w:sz w:val="20"/>
      <w:lang w:val="x-none"/>
    </w:rPr>
  </w:style>
  <w:style w:type="paragraph" w:styleId="CommentSubject">
    <w:name w:val="annotation subject"/>
    <w:basedOn w:val="CommentText"/>
    <w:next w:val="CommentText"/>
    <w:semiHidden/>
    <w:rsid w:val="00792C5C"/>
    <w:rPr>
      <w:b/>
      <w:bCs/>
    </w:rPr>
  </w:style>
  <w:style w:type="character" w:styleId="PageNumber">
    <w:name w:val="page number"/>
    <w:basedOn w:val="DefaultParagraphFont"/>
    <w:rsid w:val="004C25A1"/>
  </w:style>
  <w:style w:type="character" w:styleId="PlaceholderText">
    <w:name w:val="Placeholder Text"/>
    <w:uiPriority w:val="99"/>
    <w:semiHidden/>
    <w:rsid w:val="00F33A58"/>
    <w:rPr>
      <w:color w:val="808080"/>
    </w:rPr>
  </w:style>
  <w:style w:type="character" w:customStyle="1" w:styleId="BodyTextChar">
    <w:name w:val="Body Text Char"/>
    <w:link w:val="BodyText"/>
    <w:rsid w:val="006C22AE"/>
    <w:rPr>
      <w:rFonts w:ascii="Arial" w:hAnsi="Arial" w:cs="Arial"/>
      <w:sz w:val="24"/>
      <w:lang w:eastAsia="en-US"/>
    </w:rPr>
  </w:style>
  <w:style w:type="paragraph" w:styleId="ListParagraph">
    <w:name w:val="List Paragraph"/>
    <w:basedOn w:val="Normal"/>
    <w:uiPriority w:val="34"/>
    <w:qFormat/>
    <w:rsid w:val="00CD1BCF"/>
    <w:pPr>
      <w:ind w:left="720"/>
      <w:contextualSpacing/>
    </w:pPr>
  </w:style>
  <w:style w:type="table" w:styleId="TableGrid">
    <w:name w:val="Table Grid"/>
    <w:basedOn w:val="TableNormal"/>
    <w:rsid w:val="00CD1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semiHidden/>
    <w:rsid w:val="006169DF"/>
    <w:rPr>
      <w:rFonts w:ascii="Arial" w:hAnsi="Arial" w:cs="Courier New"/>
      <w:lang w:eastAsia="en-US"/>
    </w:rPr>
  </w:style>
  <w:style w:type="paragraph" w:styleId="DocumentMap">
    <w:name w:val="Document Map"/>
    <w:basedOn w:val="Normal"/>
    <w:link w:val="DocumentMapChar"/>
    <w:rsid w:val="000F549C"/>
    <w:rPr>
      <w:rFonts w:ascii="Tahoma" w:hAnsi="Tahoma" w:cs="Times New Roman"/>
      <w:sz w:val="16"/>
      <w:szCs w:val="16"/>
      <w:lang w:val="x-none"/>
    </w:rPr>
  </w:style>
  <w:style w:type="character" w:customStyle="1" w:styleId="DocumentMapChar">
    <w:name w:val="Document Map Char"/>
    <w:link w:val="DocumentMap"/>
    <w:rsid w:val="000F549C"/>
    <w:rPr>
      <w:rFonts w:ascii="Tahoma" w:hAnsi="Tahoma" w:cs="Tahoma"/>
      <w:sz w:val="16"/>
      <w:szCs w:val="16"/>
      <w:lang w:eastAsia="en-US"/>
    </w:rPr>
  </w:style>
  <w:style w:type="paragraph" w:customStyle="1" w:styleId="Paragraph">
    <w:name w:val="Paragraph"/>
    <w:basedOn w:val="Normal"/>
    <w:uiPriority w:val="4"/>
    <w:qFormat/>
    <w:rsid w:val="000F549C"/>
    <w:pPr>
      <w:numPr>
        <w:numId w:val="2"/>
      </w:numPr>
      <w:spacing w:before="240" w:after="240" w:line="276" w:lineRule="auto"/>
      <w:ind w:left="709" w:hanging="709"/>
    </w:pPr>
    <w:rPr>
      <w:rFonts w:cs="Times New Roman"/>
      <w:szCs w:val="24"/>
      <w:lang w:eastAsia="en-GB"/>
    </w:rPr>
  </w:style>
  <w:style w:type="paragraph" w:customStyle="1" w:styleId="NICEnormal">
    <w:name w:val="NICE normal"/>
    <w:rsid w:val="007F3F09"/>
    <w:pPr>
      <w:spacing w:after="240" w:line="360" w:lineRule="auto"/>
    </w:pPr>
    <w:rPr>
      <w:rFonts w:ascii="Arial" w:hAnsi="Arial"/>
      <w:sz w:val="24"/>
      <w:szCs w:val="24"/>
      <w:lang w:val="en-US" w:eastAsia="en-US"/>
    </w:rPr>
  </w:style>
  <w:style w:type="character" w:customStyle="1" w:styleId="TitleChar">
    <w:name w:val="Title Char"/>
    <w:link w:val="Title"/>
    <w:rsid w:val="00230DA7"/>
    <w:rPr>
      <w:rFonts w:ascii="Arial" w:hAnsi="Arial" w:cs="Courier New"/>
      <w:b/>
      <w:bCs/>
      <w:sz w:val="24"/>
      <w:lang w:eastAsia="en-US"/>
    </w:rPr>
  </w:style>
  <w:style w:type="character" w:customStyle="1" w:styleId="HeaderChar">
    <w:name w:val="Header Char"/>
    <w:link w:val="Header"/>
    <w:rsid w:val="00230DA7"/>
    <w:rPr>
      <w:rFonts w:ascii="Arial" w:hAnsi="Arial" w:cs="Courier New"/>
      <w:sz w:val="24"/>
      <w:lang w:eastAsia="en-US"/>
    </w:rPr>
  </w:style>
  <w:style w:type="character" w:customStyle="1" w:styleId="BodyText2Char">
    <w:name w:val="Body Text 2 Char"/>
    <w:link w:val="BodyText2"/>
    <w:rsid w:val="00230DA7"/>
    <w:rPr>
      <w:rFonts w:ascii="Arial" w:hAnsi="Arial"/>
      <w:sz w:val="24"/>
      <w:lang w:eastAsia="en-US"/>
    </w:rPr>
  </w:style>
  <w:style w:type="character" w:styleId="FollowedHyperlink">
    <w:name w:val="FollowedHyperlink"/>
    <w:rsid w:val="00170AFE"/>
    <w:rPr>
      <w:color w:val="800080"/>
      <w:u w:val="single"/>
    </w:rPr>
  </w:style>
  <w:style w:type="paragraph" w:customStyle="1" w:styleId="Default">
    <w:name w:val="Default"/>
    <w:basedOn w:val="Normal"/>
    <w:rsid w:val="006D0EA5"/>
    <w:pPr>
      <w:autoSpaceDE w:val="0"/>
      <w:autoSpaceDN w:val="0"/>
    </w:pPr>
    <w:rPr>
      <w:rFonts w:eastAsia="Calibri" w:cs="Arial"/>
      <w:color w:val="000000"/>
      <w:szCs w:val="24"/>
      <w:lang w:eastAsia="en-GB"/>
    </w:rPr>
  </w:style>
  <w:style w:type="paragraph" w:styleId="Revision">
    <w:name w:val="Revision"/>
    <w:hidden/>
    <w:uiPriority w:val="99"/>
    <w:semiHidden/>
    <w:rsid w:val="00CC7424"/>
    <w:rPr>
      <w:rFonts w:ascii="Arial" w:hAnsi="Arial" w:cs="Courier New"/>
      <w:sz w:val="24"/>
      <w:lang w:eastAsia="en-US"/>
    </w:rPr>
  </w:style>
  <w:style w:type="paragraph" w:customStyle="1" w:styleId="Bulletindent1">
    <w:name w:val="Bullet indent 1"/>
    <w:basedOn w:val="NICEnormal"/>
    <w:link w:val="Bulletindent1Char"/>
    <w:rsid w:val="00C00E63"/>
    <w:pPr>
      <w:numPr>
        <w:numId w:val="4"/>
      </w:numPr>
      <w:spacing w:after="0"/>
    </w:pPr>
  </w:style>
  <w:style w:type="character" w:customStyle="1" w:styleId="Bulletindent1Char">
    <w:name w:val="Bullet indent 1 Char"/>
    <w:link w:val="Bulletindent1"/>
    <w:rsid w:val="00C00E63"/>
    <w:rPr>
      <w:rFonts w:ascii="Arial" w:hAnsi="Arial"/>
      <w:sz w:val="24"/>
      <w:szCs w:val="24"/>
      <w:lang w:val="en-US" w:eastAsia="en-US"/>
    </w:rPr>
  </w:style>
  <w:style w:type="character" w:styleId="UnresolvedMention">
    <w:name w:val="Unresolved Mention"/>
    <w:uiPriority w:val="99"/>
    <w:semiHidden/>
    <w:unhideWhenUsed/>
    <w:rsid w:val="007375E5"/>
    <w:rPr>
      <w:color w:val="605E5C"/>
      <w:shd w:val="clear" w:color="auto" w:fill="E1DFDD"/>
    </w:rPr>
  </w:style>
  <w:style w:type="character" w:customStyle="1" w:styleId="cf01">
    <w:name w:val="cf01"/>
    <w:basedOn w:val="DefaultParagraphFont"/>
    <w:rsid w:val="00350DFC"/>
    <w:rPr>
      <w:rFonts w:ascii="Segoe UI" w:hAnsi="Segoe UI" w:cs="Segoe UI" w:hint="default"/>
      <w:i/>
      <w:iCs/>
      <w:sz w:val="18"/>
      <w:szCs w:val="18"/>
    </w:rPr>
  </w:style>
  <w:style w:type="table" w:styleId="TableGridLight">
    <w:name w:val="Grid Table Light"/>
    <w:basedOn w:val="TableNormal"/>
    <w:uiPriority w:val="40"/>
    <w:rsid w:val="005738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5B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7004">
      <w:bodyDiv w:val="1"/>
      <w:marLeft w:val="0"/>
      <w:marRight w:val="0"/>
      <w:marTop w:val="0"/>
      <w:marBottom w:val="0"/>
      <w:divBdr>
        <w:top w:val="none" w:sz="0" w:space="0" w:color="auto"/>
        <w:left w:val="none" w:sz="0" w:space="0" w:color="auto"/>
        <w:bottom w:val="none" w:sz="0" w:space="0" w:color="auto"/>
        <w:right w:val="none" w:sz="0" w:space="0" w:color="auto"/>
      </w:divBdr>
    </w:div>
    <w:div w:id="184440044">
      <w:bodyDiv w:val="1"/>
      <w:marLeft w:val="0"/>
      <w:marRight w:val="0"/>
      <w:marTop w:val="0"/>
      <w:marBottom w:val="0"/>
      <w:divBdr>
        <w:top w:val="none" w:sz="0" w:space="0" w:color="auto"/>
        <w:left w:val="none" w:sz="0" w:space="0" w:color="auto"/>
        <w:bottom w:val="none" w:sz="0" w:space="0" w:color="auto"/>
        <w:right w:val="none" w:sz="0" w:space="0" w:color="auto"/>
      </w:divBdr>
    </w:div>
    <w:div w:id="215437193">
      <w:bodyDiv w:val="1"/>
      <w:marLeft w:val="0"/>
      <w:marRight w:val="0"/>
      <w:marTop w:val="0"/>
      <w:marBottom w:val="0"/>
      <w:divBdr>
        <w:top w:val="none" w:sz="0" w:space="0" w:color="auto"/>
        <w:left w:val="none" w:sz="0" w:space="0" w:color="auto"/>
        <w:bottom w:val="none" w:sz="0" w:space="0" w:color="auto"/>
        <w:right w:val="none" w:sz="0" w:space="0" w:color="auto"/>
      </w:divBdr>
    </w:div>
    <w:div w:id="227620738">
      <w:bodyDiv w:val="1"/>
      <w:marLeft w:val="0"/>
      <w:marRight w:val="0"/>
      <w:marTop w:val="0"/>
      <w:marBottom w:val="0"/>
      <w:divBdr>
        <w:top w:val="none" w:sz="0" w:space="0" w:color="auto"/>
        <w:left w:val="none" w:sz="0" w:space="0" w:color="auto"/>
        <w:bottom w:val="none" w:sz="0" w:space="0" w:color="auto"/>
        <w:right w:val="none" w:sz="0" w:space="0" w:color="auto"/>
      </w:divBdr>
    </w:div>
    <w:div w:id="380598941">
      <w:bodyDiv w:val="1"/>
      <w:marLeft w:val="0"/>
      <w:marRight w:val="0"/>
      <w:marTop w:val="0"/>
      <w:marBottom w:val="0"/>
      <w:divBdr>
        <w:top w:val="none" w:sz="0" w:space="0" w:color="auto"/>
        <w:left w:val="none" w:sz="0" w:space="0" w:color="auto"/>
        <w:bottom w:val="none" w:sz="0" w:space="0" w:color="auto"/>
        <w:right w:val="none" w:sz="0" w:space="0" w:color="auto"/>
      </w:divBdr>
    </w:div>
    <w:div w:id="410128687">
      <w:bodyDiv w:val="1"/>
      <w:marLeft w:val="0"/>
      <w:marRight w:val="0"/>
      <w:marTop w:val="0"/>
      <w:marBottom w:val="0"/>
      <w:divBdr>
        <w:top w:val="none" w:sz="0" w:space="0" w:color="auto"/>
        <w:left w:val="none" w:sz="0" w:space="0" w:color="auto"/>
        <w:bottom w:val="none" w:sz="0" w:space="0" w:color="auto"/>
        <w:right w:val="none" w:sz="0" w:space="0" w:color="auto"/>
      </w:divBdr>
    </w:div>
    <w:div w:id="442922443">
      <w:bodyDiv w:val="1"/>
      <w:marLeft w:val="0"/>
      <w:marRight w:val="0"/>
      <w:marTop w:val="0"/>
      <w:marBottom w:val="0"/>
      <w:divBdr>
        <w:top w:val="none" w:sz="0" w:space="0" w:color="auto"/>
        <w:left w:val="none" w:sz="0" w:space="0" w:color="auto"/>
        <w:bottom w:val="none" w:sz="0" w:space="0" w:color="auto"/>
        <w:right w:val="none" w:sz="0" w:space="0" w:color="auto"/>
      </w:divBdr>
    </w:div>
    <w:div w:id="454786717">
      <w:bodyDiv w:val="1"/>
      <w:marLeft w:val="0"/>
      <w:marRight w:val="0"/>
      <w:marTop w:val="0"/>
      <w:marBottom w:val="0"/>
      <w:divBdr>
        <w:top w:val="none" w:sz="0" w:space="0" w:color="auto"/>
        <w:left w:val="none" w:sz="0" w:space="0" w:color="auto"/>
        <w:bottom w:val="none" w:sz="0" w:space="0" w:color="auto"/>
        <w:right w:val="none" w:sz="0" w:space="0" w:color="auto"/>
      </w:divBdr>
    </w:div>
    <w:div w:id="491414565">
      <w:bodyDiv w:val="1"/>
      <w:marLeft w:val="0"/>
      <w:marRight w:val="0"/>
      <w:marTop w:val="0"/>
      <w:marBottom w:val="0"/>
      <w:divBdr>
        <w:top w:val="none" w:sz="0" w:space="0" w:color="auto"/>
        <w:left w:val="none" w:sz="0" w:space="0" w:color="auto"/>
        <w:bottom w:val="none" w:sz="0" w:space="0" w:color="auto"/>
        <w:right w:val="none" w:sz="0" w:space="0" w:color="auto"/>
      </w:divBdr>
    </w:div>
    <w:div w:id="509297236">
      <w:bodyDiv w:val="1"/>
      <w:marLeft w:val="0"/>
      <w:marRight w:val="0"/>
      <w:marTop w:val="0"/>
      <w:marBottom w:val="0"/>
      <w:divBdr>
        <w:top w:val="none" w:sz="0" w:space="0" w:color="auto"/>
        <w:left w:val="none" w:sz="0" w:space="0" w:color="auto"/>
        <w:bottom w:val="none" w:sz="0" w:space="0" w:color="auto"/>
        <w:right w:val="none" w:sz="0" w:space="0" w:color="auto"/>
      </w:divBdr>
    </w:div>
    <w:div w:id="551576253">
      <w:bodyDiv w:val="1"/>
      <w:marLeft w:val="0"/>
      <w:marRight w:val="0"/>
      <w:marTop w:val="0"/>
      <w:marBottom w:val="0"/>
      <w:divBdr>
        <w:top w:val="none" w:sz="0" w:space="0" w:color="auto"/>
        <w:left w:val="none" w:sz="0" w:space="0" w:color="auto"/>
        <w:bottom w:val="none" w:sz="0" w:space="0" w:color="auto"/>
        <w:right w:val="none" w:sz="0" w:space="0" w:color="auto"/>
      </w:divBdr>
    </w:div>
    <w:div w:id="593050458">
      <w:bodyDiv w:val="1"/>
      <w:marLeft w:val="0"/>
      <w:marRight w:val="0"/>
      <w:marTop w:val="0"/>
      <w:marBottom w:val="0"/>
      <w:divBdr>
        <w:top w:val="none" w:sz="0" w:space="0" w:color="auto"/>
        <w:left w:val="none" w:sz="0" w:space="0" w:color="auto"/>
        <w:bottom w:val="none" w:sz="0" w:space="0" w:color="auto"/>
        <w:right w:val="none" w:sz="0" w:space="0" w:color="auto"/>
      </w:divBdr>
    </w:div>
    <w:div w:id="604115629">
      <w:bodyDiv w:val="1"/>
      <w:marLeft w:val="0"/>
      <w:marRight w:val="0"/>
      <w:marTop w:val="0"/>
      <w:marBottom w:val="0"/>
      <w:divBdr>
        <w:top w:val="none" w:sz="0" w:space="0" w:color="auto"/>
        <w:left w:val="none" w:sz="0" w:space="0" w:color="auto"/>
        <w:bottom w:val="none" w:sz="0" w:space="0" w:color="auto"/>
        <w:right w:val="none" w:sz="0" w:space="0" w:color="auto"/>
      </w:divBdr>
    </w:div>
    <w:div w:id="617219634">
      <w:bodyDiv w:val="1"/>
      <w:marLeft w:val="0"/>
      <w:marRight w:val="0"/>
      <w:marTop w:val="0"/>
      <w:marBottom w:val="0"/>
      <w:divBdr>
        <w:top w:val="none" w:sz="0" w:space="0" w:color="auto"/>
        <w:left w:val="none" w:sz="0" w:space="0" w:color="auto"/>
        <w:bottom w:val="none" w:sz="0" w:space="0" w:color="auto"/>
        <w:right w:val="none" w:sz="0" w:space="0" w:color="auto"/>
      </w:divBdr>
    </w:div>
    <w:div w:id="730426602">
      <w:bodyDiv w:val="1"/>
      <w:marLeft w:val="0"/>
      <w:marRight w:val="0"/>
      <w:marTop w:val="0"/>
      <w:marBottom w:val="0"/>
      <w:divBdr>
        <w:top w:val="none" w:sz="0" w:space="0" w:color="auto"/>
        <w:left w:val="none" w:sz="0" w:space="0" w:color="auto"/>
        <w:bottom w:val="none" w:sz="0" w:space="0" w:color="auto"/>
        <w:right w:val="none" w:sz="0" w:space="0" w:color="auto"/>
      </w:divBdr>
    </w:div>
    <w:div w:id="753093834">
      <w:bodyDiv w:val="1"/>
      <w:marLeft w:val="0"/>
      <w:marRight w:val="0"/>
      <w:marTop w:val="0"/>
      <w:marBottom w:val="0"/>
      <w:divBdr>
        <w:top w:val="none" w:sz="0" w:space="0" w:color="auto"/>
        <w:left w:val="none" w:sz="0" w:space="0" w:color="auto"/>
        <w:bottom w:val="none" w:sz="0" w:space="0" w:color="auto"/>
        <w:right w:val="none" w:sz="0" w:space="0" w:color="auto"/>
      </w:divBdr>
    </w:div>
    <w:div w:id="772866926">
      <w:bodyDiv w:val="1"/>
      <w:marLeft w:val="0"/>
      <w:marRight w:val="0"/>
      <w:marTop w:val="0"/>
      <w:marBottom w:val="0"/>
      <w:divBdr>
        <w:top w:val="none" w:sz="0" w:space="0" w:color="auto"/>
        <w:left w:val="none" w:sz="0" w:space="0" w:color="auto"/>
        <w:bottom w:val="none" w:sz="0" w:space="0" w:color="auto"/>
        <w:right w:val="none" w:sz="0" w:space="0" w:color="auto"/>
      </w:divBdr>
    </w:div>
    <w:div w:id="877355082">
      <w:bodyDiv w:val="1"/>
      <w:marLeft w:val="0"/>
      <w:marRight w:val="0"/>
      <w:marTop w:val="0"/>
      <w:marBottom w:val="0"/>
      <w:divBdr>
        <w:top w:val="none" w:sz="0" w:space="0" w:color="auto"/>
        <w:left w:val="none" w:sz="0" w:space="0" w:color="auto"/>
        <w:bottom w:val="none" w:sz="0" w:space="0" w:color="auto"/>
        <w:right w:val="none" w:sz="0" w:space="0" w:color="auto"/>
      </w:divBdr>
    </w:div>
    <w:div w:id="879126836">
      <w:bodyDiv w:val="1"/>
      <w:marLeft w:val="0"/>
      <w:marRight w:val="0"/>
      <w:marTop w:val="0"/>
      <w:marBottom w:val="0"/>
      <w:divBdr>
        <w:top w:val="none" w:sz="0" w:space="0" w:color="auto"/>
        <w:left w:val="none" w:sz="0" w:space="0" w:color="auto"/>
        <w:bottom w:val="none" w:sz="0" w:space="0" w:color="auto"/>
        <w:right w:val="none" w:sz="0" w:space="0" w:color="auto"/>
      </w:divBdr>
    </w:div>
    <w:div w:id="1007320544">
      <w:bodyDiv w:val="1"/>
      <w:marLeft w:val="0"/>
      <w:marRight w:val="0"/>
      <w:marTop w:val="0"/>
      <w:marBottom w:val="0"/>
      <w:divBdr>
        <w:top w:val="none" w:sz="0" w:space="0" w:color="auto"/>
        <w:left w:val="none" w:sz="0" w:space="0" w:color="auto"/>
        <w:bottom w:val="none" w:sz="0" w:space="0" w:color="auto"/>
        <w:right w:val="none" w:sz="0" w:space="0" w:color="auto"/>
      </w:divBdr>
    </w:div>
    <w:div w:id="1015767959">
      <w:bodyDiv w:val="1"/>
      <w:marLeft w:val="0"/>
      <w:marRight w:val="0"/>
      <w:marTop w:val="0"/>
      <w:marBottom w:val="0"/>
      <w:divBdr>
        <w:top w:val="none" w:sz="0" w:space="0" w:color="auto"/>
        <w:left w:val="none" w:sz="0" w:space="0" w:color="auto"/>
        <w:bottom w:val="none" w:sz="0" w:space="0" w:color="auto"/>
        <w:right w:val="none" w:sz="0" w:space="0" w:color="auto"/>
      </w:divBdr>
    </w:div>
    <w:div w:id="1052920603">
      <w:bodyDiv w:val="1"/>
      <w:marLeft w:val="0"/>
      <w:marRight w:val="0"/>
      <w:marTop w:val="0"/>
      <w:marBottom w:val="0"/>
      <w:divBdr>
        <w:top w:val="none" w:sz="0" w:space="0" w:color="auto"/>
        <w:left w:val="none" w:sz="0" w:space="0" w:color="auto"/>
        <w:bottom w:val="none" w:sz="0" w:space="0" w:color="auto"/>
        <w:right w:val="none" w:sz="0" w:space="0" w:color="auto"/>
      </w:divBdr>
    </w:div>
    <w:div w:id="1133865497">
      <w:bodyDiv w:val="1"/>
      <w:marLeft w:val="0"/>
      <w:marRight w:val="0"/>
      <w:marTop w:val="0"/>
      <w:marBottom w:val="0"/>
      <w:divBdr>
        <w:top w:val="none" w:sz="0" w:space="0" w:color="auto"/>
        <w:left w:val="none" w:sz="0" w:space="0" w:color="auto"/>
        <w:bottom w:val="none" w:sz="0" w:space="0" w:color="auto"/>
        <w:right w:val="none" w:sz="0" w:space="0" w:color="auto"/>
      </w:divBdr>
    </w:div>
    <w:div w:id="1144740001">
      <w:bodyDiv w:val="1"/>
      <w:marLeft w:val="0"/>
      <w:marRight w:val="0"/>
      <w:marTop w:val="0"/>
      <w:marBottom w:val="0"/>
      <w:divBdr>
        <w:top w:val="none" w:sz="0" w:space="0" w:color="auto"/>
        <w:left w:val="none" w:sz="0" w:space="0" w:color="auto"/>
        <w:bottom w:val="none" w:sz="0" w:space="0" w:color="auto"/>
        <w:right w:val="none" w:sz="0" w:space="0" w:color="auto"/>
      </w:divBdr>
    </w:div>
    <w:div w:id="1214734801">
      <w:bodyDiv w:val="1"/>
      <w:marLeft w:val="0"/>
      <w:marRight w:val="0"/>
      <w:marTop w:val="0"/>
      <w:marBottom w:val="0"/>
      <w:divBdr>
        <w:top w:val="none" w:sz="0" w:space="0" w:color="auto"/>
        <w:left w:val="none" w:sz="0" w:space="0" w:color="auto"/>
        <w:bottom w:val="none" w:sz="0" w:space="0" w:color="auto"/>
        <w:right w:val="none" w:sz="0" w:space="0" w:color="auto"/>
      </w:divBdr>
    </w:div>
    <w:div w:id="1247035124">
      <w:bodyDiv w:val="1"/>
      <w:marLeft w:val="0"/>
      <w:marRight w:val="0"/>
      <w:marTop w:val="0"/>
      <w:marBottom w:val="0"/>
      <w:divBdr>
        <w:top w:val="none" w:sz="0" w:space="0" w:color="auto"/>
        <w:left w:val="none" w:sz="0" w:space="0" w:color="auto"/>
        <w:bottom w:val="none" w:sz="0" w:space="0" w:color="auto"/>
        <w:right w:val="none" w:sz="0" w:space="0" w:color="auto"/>
      </w:divBdr>
    </w:div>
    <w:div w:id="1265452917">
      <w:bodyDiv w:val="1"/>
      <w:marLeft w:val="0"/>
      <w:marRight w:val="0"/>
      <w:marTop w:val="0"/>
      <w:marBottom w:val="0"/>
      <w:divBdr>
        <w:top w:val="none" w:sz="0" w:space="0" w:color="auto"/>
        <w:left w:val="none" w:sz="0" w:space="0" w:color="auto"/>
        <w:bottom w:val="none" w:sz="0" w:space="0" w:color="auto"/>
        <w:right w:val="none" w:sz="0" w:space="0" w:color="auto"/>
      </w:divBdr>
    </w:div>
    <w:div w:id="1312054168">
      <w:bodyDiv w:val="1"/>
      <w:marLeft w:val="0"/>
      <w:marRight w:val="0"/>
      <w:marTop w:val="0"/>
      <w:marBottom w:val="0"/>
      <w:divBdr>
        <w:top w:val="none" w:sz="0" w:space="0" w:color="auto"/>
        <w:left w:val="none" w:sz="0" w:space="0" w:color="auto"/>
        <w:bottom w:val="none" w:sz="0" w:space="0" w:color="auto"/>
        <w:right w:val="none" w:sz="0" w:space="0" w:color="auto"/>
      </w:divBdr>
    </w:div>
    <w:div w:id="1378360923">
      <w:bodyDiv w:val="1"/>
      <w:marLeft w:val="0"/>
      <w:marRight w:val="0"/>
      <w:marTop w:val="0"/>
      <w:marBottom w:val="0"/>
      <w:divBdr>
        <w:top w:val="none" w:sz="0" w:space="0" w:color="auto"/>
        <w:left w:val="none" w:sz="0" w:space="0" w:color="auto"/>
        <w:bottom w:val="none" w:sz="0" w:space="0" w:color="auto"/>
        <w:right w:val="none" w:sz="0" w:space="0" w:color="auto"/>
      </w:divBdr>
    </w:div>
    <w:div w:id="1380789306">
      <w:bodyDiv w:val="1"/>
      <w:marLeft w:val="0"/>
      <w:marRight w:val="0"/>
      <w:marTop w:val="0"/>
      <w:marBottom w:val="0"/>
      <w:divBdr>
        <w:top w:val="none" w:sz="0" w:space="0" w:color="auto"/>
        <w:left w:val="none" w:sz="0" w:space="0" w:color="auto"/>
        <w:bottom w:val="none" w:sz="0" w:space="0" w:color="auto"/>
        <w:right w:val="none" w:sz="0" w:space="0" w:color="auto"/>
      </w:divBdr>
    </w:div>
    <w:div w:id="1541937604">
      <w:bodyDiv w:val="1"/>
      <w:marLeft w:val="0"/>
      <w:marRight w:val="0"/>
      <w:marTop w:val="0"/>
      <w:marBottom w:val="0"/>
      <w:divBdr>
        <w:top w:val="none" w:sz="0" w:space="0" w:color="auto"/>
        <w:left w:val="none" w:sz="0" w:space="0" w:color="auto"/>
        <w:bottom w:val="none" w:sz="0" w:space="0" w:color="auto"/>
        <w:right w:val="none" w:sz="0" w:space="0" w:color="auto"/>
      </w:divBdr>
    </w:div>
    <w:div w:id="1580098192">
      <w:bodyDiv w:val="1"/>
      <w:marLeft w:val="0"/>
      <w:marRight w:val="0"/>
      <w:marTop w:val="0"/>
      <w:marBottom w:val="0"/>
      <w:divBdr>
        <w:top w:val="none" w:sz="0" w:space="0" w:color="auto"/>
        <w:left w:val="none" w:sz="0" w:space="0" w:color="auto"/>
        <w:bottom w:val="none" w:sz="0" w:space="0" w:color="auto"/>
        <w:right w:val="none" w:sz="0" w:space="0" w:color="auto"/>
      </w:divBdr>
    </w:div>
    <w:div w:id="1641838292">
      <w:bodyDiv w:val="1"/>
      <w:marLeft w:val="0"/>
      <w:marRight w:val="0"/>
      <w:marTop w:val="0"/>
      <w:marBottom w:val="0"/>
      <w:divBdr>
        <w:top w:val="none" w:sz="0" w:space="0" w:color="auto"/>
        <w:left w:val="none" w:sz="0" w:space="0" w:color="auto"/>
        <w:bottom w:val="none" w:sz="0" w:space="0" w:color="auto"/>
        <w:right w:val="none" w:sz="0" w:space="0" w:color="auto"/>
      </w:divBdr>
    </w:div>
    <w:div w:id="1682123461">
      <w:bodyDiv w:val="1"/>
      <w:marLeft w:val="0"/>
      <w:marRight w:val="0"/>
      <w:marTop w:val="0"/>
      <w:marBottom w:val="0"/>
      <w:divBdr>
        <w:top w:val="none" w:sz="0" w:space="0" w:color="auto"/>
        <w:left w:val="none" w:sz="0" w:space="0" w:color="auto"/>
        <w:bottom w:val="none" w:sz="0" w:space="0" w:color="auto"/>
        <w:right w:val="none" w:sz="0" w:space="0" w:color="auto"/>
      </w:divBdr>
    </w:div>
    <w:div w:id="1700622303">
      <w:bodyDiv w:val="1"/>
      <w:marLeft w:val="0"/>
      <w:marRight w:val="0"/>
      <w:marTop w:val="0"/>
      <w:marBottom w:val="0"/>
      <w:divBdr>
        <w:top w:val="none" w:sz="0" w:space="0" w:color="auto"/>
        <w:left w:val="none" w:sz="0" w:space="0" w:color="auto"/>
        <w:bottom w:val="none" w:sz="0" w:space="0" w:color="auto"/>
        <w:right w:val="none" w:sz="0" w:space="0" w:color="auto"/>
      </w:divBdr>
    </w:div>
    <w:div w:id="1866554304">
      <w:bodyDiv w:val="1"/>
      <w:marLeft w:val="0"/>
      <w:marRight w:val="0"/>
      <w:marTop w:val="0"/>
      <w:marBottom w:val="0"/>
      <w:divBdr>
        <w:top w:val="none" w:sz="0" w:space="0" w:color="auto"/>
        <w:left w:val="none" w:sz="0" w:space="0" w:color="auto"/>
        <w:bottom w:val="none" w:sz="0" w:space="0" w:color="auto"/>
        <w:right w:val="none" w:sz="0" w:space="0" w:color="auto"/>
      </w:divBdr>
    </w:div>
    <w:div w:id="1890023946">
      <w:bodyDiv w:val="1"/>
      <w:marLeft w:val="0"/>
      <w:marRight w:val="0"/>
      <w:marTop w:val="0"/>
      <w:marBottom w:val="0"/>
      <w:divBdr>
        <w:top w:val="none" w:sz="0" w:space="0" w:color="auto"/>
        <w:left w:val="none" w:sz="0" w:space="0" w:color="auto"/>
        <w:bottom w:val="none" w:sz="0" w:space="0" w:color="auto"/>
        <w:right w:val="none" w:sz="0" w:space="0" w:color="auto"/>
      </w:divBdr>
    </w:div>
    <w:div w:id="1936554097">
      <w:bodyDiv w:val="1"/>
      <w:marLeft w:val="0"/>
      <w:marRight w:val="0"/>
      <w:marTop w:val="0"/>
      <w:marBottom w:val="0"/>
      <w:divBdr>
        <w:top w:val="none" w:sz="0" w:space="0" w:color="auto"/>
        <w:left w:val="none" w:sz="0" w:space="0" w:color="auto"/>
        <w:bottom w:val="none" w:sz="0" w:space="0" w:color="auto"/>
        <w:right w:val="none" w:sz="0" w:space="0" w:color="auto"/>
      </w:divBdr>
    </w:div>
    <w:div w:id="1964649288">
      <w:bodyDiv w:val="1"/>
      <w:marLeft w:val="0"/>
      <w:marRight w:val="0"/>
      <w:marTop w:val="0"/>
      <w:marBottom w:val="0"/>
      <w:divBdr>
        <w:top w:val="none" w:sz="0" w:space="0" w:color="auto"/>
        <w:left w:val="none" w:sz="0" w:space="0" w:color="auto"/>
        <w:bottom w:val="none" w:sz="0" w:space="0" w:color="auto"/>
        <w:right w:val="none" w:sz="0" w:space="0" w:color="auto"/>
      </w:divBdr>
    </w:div>
    <w:div w:id="198141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312" TargetMode="External"/><Relationship Id="rId18" Type="http://schemas.openxmlformats.org/officeDocument/2006/relationships/hyperlink" Target="https://www.nice.org.uk/guidance/ta767" TargetMode="External"/><Relationship Id="rId26" Type="http://schemas.openxmlformats.org/officeDocument/2006/relationships/hyperlink" Target="https://www.nice.org.uk/guidance/indevelopment/gid-ta11293" TargetMode="External"/><Relationship Id="rId39" Type="http://schemas.openxmlformats.org/officeDocument/2006/relationships/theme" Target="theme/theme1.xml"/><Relationship Id="rId21" Type="http://schemas.openxmlformats.org/officeDocument/2006/relationships/hyperlink" Target="https://www.nice.org.uk/guidance/TA616" TargetMode="External"/><Relationship Id="rId34" Type="http://schemas.openxmlformats.org/officeDocument/2006/relationships/hyperlink" Target="https://www.mssociety.org.uk/about-ms/types-of-ms/relapsing-remitting-ms" TargetMode="External"/><Relationship Id="rId7" Type="http://schemas.openxmlformats.org/officeDocument/2006/relationships/endnotes" Target="endnotes.xml"/><Relationship Id="rId12" Type="http://schemas.openxmlformats.org/officeDocument/2006/relationships/hyperlink" Target="https://www.nice.org.uk/guidance/ta706" TargetMode="External"/><Relationship Id="rId17" Type="http://schemas.openxmlformats.org/officeDocument/2006/relationships/hyperlink" Target="https://www.nice.org.uk/guidance/indevelopment/gid-ta10714" TargetMode="External"/><Relationship Id="rId25" Type="http://schemas.openxmlformats.org/officeDocument/2006/relationships/hyperlink" Target="http://www.nice.org.uk/Guidance/TA127" TargetMode="External"/><Relationship Id="rId33" Type="http://schemas.openxmlformats.org/officeDocument/2006/relationships/hyperlink" Target="https://www.mssociety.org.uk/care-and-support/resources-and-publications/publications-search/ms-in-the-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about/what-we-do/our-programmes/nice-guidance/nice-technology-appraisal-guidance/changes-to-health-technology-evaluation" TargetMode="External"/><Relationship Id="rId20" Type="http://schemas.openxmlformats.org/officeDocument/2006/relationships/hyperlink" Target="https://www.nice.org.uk/guidance/ta699" TargetMode="External"/><Relationship Id="rId29" Type="http://schemas.openxmlformats.org/officeDocument/2006/relationships/hyperlink" Target="https://www.nice.org.uk/guidance/qs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533" TargetMode="External"/><Relationship Id="rId24" Type="http://schemas.openxmlformats.org/officeDocument/2006/relationships/hyperlink" Target="http://www.nice.org.uk/Guidance/TA254" TargetMode="External"/><Relationship Id="rId32" Type="http://schemas.openxmlformats.org/officeDocument/2006/relationships/hyperlink" Target="https://www.england.nhs.uk/wp-content/uploads/2018/09/ms-algorithm-v5.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ta127" TargetMode="External"/><Relationship Id="rId23" Type="http://schemas.openxmlformats.org/officeDocument/2006/relationships/hyperlink" Target="http://www.nice.org.uk/Guidance/TA312" TargetMode="External"/><Relationship Id="rId28" Type="http://schemas.openxmlformats.org/officeDocument/2006/relationships/hyperlink" Target="http://www.nice.org.uk/Guidance/IPG420" TargetMode="External"/><Relationship Id="rId36" Type="http://schemas.openxmlformats.org/officeDocument/2006/relationships/header" Target="header1.xml"/><Relationship Id="rId10" Type="http://schemas.openxmlformats.org/officeDocument/2006/relationships/hyperlink" Target="https://www.nice.org.uk/guidance/ta616" TargetMode="External"/><Relationship Id="rId19" Type="http://schemas.openxmlformats.org/officeDocument/2006/relationships/hyperlink" Target="https://www.nice.org.uk/guidance/ta706" TargetMode="External"/><Relationship Id="rId31" Type="http://schemas.openxmlformats.org/officeDocument/2006/relationships/hyperlink" Target="https://www.england.nhs.uk/publication/manual-for-prescribed-specialised-services/" TargetMode="External"/><Relationship Id="rId4" Type="http://schemas.openxmlformats.org/officeDocument/2006/relationships/settings" Target="settings.xml"/><Relationship Id="rId9" Type="http://schemas.openxmlformats.org/officeDocument/2006/relationships/hyperlink" Target="https://www.nice.org.uk/guidance/ta699" TargetMode="External"/><Relationship Id="rId14" Type="http://schemas.openxmlformats.org/officeDocument/2006/relationships/hyperlink" Target="https://www.nice.org.uk/guidance/ta254" TargetMode="External"/><Relationship Id="rId22" Type="http://schemas.openxmlformats.org/officeDocument/2006/relationships/hyperlink" Target="https://www.nice.org.uk/guidance/TA533" TargetMode="External"/><Relationship Id="rId27" Type="http://schemas.openxmlformats.org/officeDocument/2006/relationships/hyperlink" Target="https://www.nice.org.uk/guidance/NG220" TargetMode="External"/><Relationship Id="rId30" Type="http://schemas.openxmlformats.org/officeDocument/2006/relationships/hyperlink" Target="https://www.longtermplan.nhs.uk/publication/nhs-long-term-plan/" TargetMode="External"/><Relationship Id="rId35" Type="http://schemas.openxmlformats.org/officeDocument/2006/relationships/hyperlink" Target="https://www.msard-journal.com/article/S2211-0348(21)00382-5/fulltext" TargetMode="External"/><Relationship Id="rId8" Type="http://schemas.openxmlformats.org/officeDocument/2006/relationships/hyperlink" Target="https://www.nice.org.uk/guidance/ta76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D95E-3949-4BF0-862D-70519CA5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11466</CharactersWithSpaces>
  <SharedDoc>false</SharedDoc>
  <HLinks>
    <vt:vector size="24" baseType="variant">
      <vt:variant>
        <vt:i4>6553637</vt:i4>
      </vt:variant>
      <vt:variant>
        <vt:i4>126</vt:i4>
      </vt:variant>
      <vt:variant>
        <vt:i4>0</vt:i4>
      </vt:variant>
      <vt:variant>
        <vt:i4>5</vt:i4>
      </vt:variant>
      <vt:variant>
        <vt:lpwstr>https://www.england.nhs.uk/publication/manual-for-prescribed-specialised-services/</vt:lpwstr>
      </vt:variant>
      <vt:variant>
        <vt:lpwstr/>
      </vt:variant>
      <vt:variant>
        <vt:i4>2556000</vt:i4>
      </vt:variant>
      <vt:variant>
        <vt:i4>120</vt:i4>
      </vt:variant>
      <vt:variant>
        <vt:i4>0</vt:i4>
      </vt:variant>
      <vt:variant>
        <vt:i4>5</vt:i4>
      </vt:variant>
      <vt:variant>
        <vt:lpwstr>https://www.longtermplan.nhs.uk/publication/nhs-long-term-plan/</vt:lpwstr>
      </vt:variant>
      <vt:variant>
        <vt:lpwstr/>
      </vt:variant>
      <vt:variant>
        <vt:i4>4456532</vt:i4>
      </vt:variant>
      <vt:variant>
        <vt:i4>111</vt:i4>
      </vt:variant>
      <vt:variant>
        <vt:i4>0</vt:i4>
      </vt:variant>
      <vt:variant>
        <vt:i4>5</vt:i4>
      </vt:variant>
      <vt:variant>
        <vt:lpwstr>http://www.nice.org.uk/guidance/qualitystandards/qualitystandards.jsp</vt:lpwstr>
      </vt:variant>
      <vt:variant>
        <vt:lpwstr/>
      </vt:variant>
      <vt:variant>
        <vt:i4>1835076</vt:i4>
      </vt:variant>
      <vt:variant>
        <vt:i4>93</vt:i4>
      </vt:variant>
      <vt:variant>
        <vt:i4>0</vt:i4>
      </vt:variant>
      <vt:variant>
        <vt:i4>5</vt:i4>
      </vt:variant>
      <vt:variant>
        <vt:lpwstr>https://www.nice.org.uk/about/what-we-do/our-programmes/nice-guidance/nice-technology-appraisal-guidance/changes-to-health-technology-evaluation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Michelle Green</dc:creator>
  <cp:keywords/>
  <dc:description/>
  <cp:lastModifiedBy>Wajeeha Asim</cp:lastModifiedBy>
  <cp:revision>2</cp:revision>
  <cp:lastPrinted>2004-04-14T09:59:00Z</cp:lastPrinted>
  <dcterms:created xsi:type="dcterms:W3CDTF">2024-05-02T13:11:00Z</dcterms:created>
  <dcterms:modified xsi:type="dcterms:W3CDTF">2024-05-02T13:11:00Z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2023-07-28T10:23:49Z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103dcb77-a4e6-408f-809b-3bd634601b97</vt:lpwstr>
  </property>
  <property fmtid="{D5CDD505-2E9C-101B-9397-08002B2CF9AE}" pid="8" name="MSIP_Label_c69d85d5-6d9e-4305-a294-1f636ec0f2d6_ContentBits">
    <vt:lpwstr>0</vt:lpwstr>
  </property>
  <property fmtid="{D5CDD505-2E9C-101B-9397-08002B2CF9AE}" pid="9" name="GrammarlyDocumentId">
    <vt:lpwstr>f15c6977db9bff297aa267baf7f7b60dbc446ad1771362cb7dcc2c2f070d0ea3</vt:lpwstr>
  </property>
</Properties>
</file>