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4D7D" w14:textId="3DBD9A86" w:rsidR="00F43E2B" w:rsidRPr="00442AFD" w:rsidRDefault="00560647" w:rsidP="00F43E2B">
      <w:pPr>
        <w:spacing w:line="240" w:lineRule="auto"/>
      </w:pPr>
      <w:bookmarkStart w:id="0" w:name="_Hlk128421167"/>
      <w:bookmarkEnd w:id="0"/>
      <w:r>
        <w:t xml:space="preserve"> </w:t>
      </w:r>
    </w:p>
    <w:p w14:paraId="40D38DF3" w14:textId="77777777" w:rsidR="00F43E2B" w:rsidRPr="00442AFD" w:rsidRDefault="00F43E2B" w:rsidP="00F43E2B">
      <w:pPr>
        <w:jc w:val="center"/>
      </w:pPr>
      <w:r w:rsidRPr="00442AFD">
        <w:rPr>
          <w:noProof/>
          <w:color w:val="2B579A"/>
        </w:rPr>
        <w:drawing>
          <wp:inline distT="0" distB="0" distL="0" distR="0" wp14:anchorId="35C2E056" wp14:editId="1025240E">
            <wp:extent cx="2466975" cy="24669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7213" cy="2467213"/>
                    </a:xfrm>
                    <a:prstGeom prst="rect">
                      <a:avLst/>
                    </a:prstGeom>
                  </pic:spPr>
                </pic:pic>
              </a:graphicData>
            </a:graphic>
          </wp:inline>
        </w:drawing>
      </w:r>
    </w:p>
    <w:p w14:paraId="0EF97F71" w14:textId="77777777" w:rsidR="00F43E2B" w:rsidRPr="00442AFD" w:rsidRDefault="00F43E2B" w:rsidP="00F43E2B"/>
    <w:p w14:paraId="41D3C7D5" w14:textId="77777777" w:rsidR="00570B7B" w:rsidRPr="00390BE6" w:rsidRDefault="00570B7B" w:rsidP="00570B7B">
      <w:pPr>
        <w:pStyle w:val="Heading1exTOC"/>
        <w:jc w:val="center"/>
      </w:pPr>
      <w:r w:rsidRPr="00051718">
        <w:t>Natalizumab and Tyruko (natalizumab biosimilar) for treating highly active relapsing-remitting multiple sclerosis after at least one disease modifying therapy</w:t>
      </w:r>
      <w:r w:rsidRPr="00390BE6">
        <w:t>: a systematic review and economic model</w:t>
      </w:r>
    </w:p>
    <w:p w14:paraId="6A4162AA" w14:textId="77777777" w:rsidR="00570B7B" w:rsidRDefault="00570B7B" w:rsidP="00570B7B">
      <w:pPr>
        <w:pStyle w:val="Heading1"/>
        <w:jc w:val="center"/>
        <w:rPr>
          <w:b/>
          <w:bCs/>
          <w:sz w:val="48"/>
          <w:szCs w:val="48"/>
          <w:lang w:val="it-IT"/>
        </w:rPr>
      </w:pPr>
      <w:r>
        <w:rPr>
          <w:b/>
          <w:bCs/>
          <w:sz w:val="48"/>
          <w:szCs w:val="48"/>
          <w:lang w:val="it-IT"/>
        </w:rPr>
        <w:t>ADDENDUM</w:t>
      </w:r>
    </w:p>
    <w:p w14:paraId="1BE9983B" w14:textId="77777777" w:rsidR="00A26C38" w:rsidRPr="00442AFD" w:rsidRDefault="00A26C38" w:rsidP="00A26C38">
      <w:pPr>
        <w:jc w:val="center"/>
      </w:pPr>
    </w:p>
    <w:p w14:paraId="0B949AA2" w14:textId="77777777" w:rsidR="00F43E2B" w:rsidRPr="00442AFD" w:rsidRDefault="00F43E2B" w:rsidP="00F43E2B">
      <w:r w:rsidRPr="00442AFD">
        <w:t xml:space="preserve">  </w:t>
      </w:r>
    </w:p>
    <w:p w14:paraId="5EFCEC07" w14:textId="77777777" w:rsidR="00F43E2B" w:rsidRPr="00442AFD" w:rsidRDefault="00F43E2B" w:rsidP="00F43E2B">
      <w:r w:rsidRPr="00442AFD">
        <w:rPr>
          <w:rStyle w:val="Heading2noTOCChar"/>
          <w:rFonts w:eastAsia="DengXian"/>
        </w:rPr>
        <w:t>Produced by:</w:t>
      </w:r>
      <w:r>
        <w:rPr>
          <w:rStyle w:val="Heading2noTOCChar"/>
          <w:rFonts w:eastAsia="DengXian"/>
        </w:rPr>
        <w:tab/>
      </w:r>
      <w:r w:rsidRPr="00442AFD">
        <w:t>Bristol Technology Assessment Group</w:t>
      </w:r>
    </w:p>
    <w:p w14:paraId="27F7A4B5" w14:textId="77777777" w:rsidR="00F43E2B" w:rsidRPr="00442AFD" w:rsidRDefault="00F43E2B" w:rsidP="00F43E2B"/>
    <w:p w14:paraId="06C721DE" w14:textId="352F3ABA" w:rsidR="00F43E2B" w:rsidRDefault="00F43E2B" w:rsidP="00F43E2B">
      <w:pPr>
        <w:rPr>
          <w:lang w:val="it-IT"/>
        </w:rPr>
      </w:pPr>
    </w:p>
    <w:p w14:paraId="1E822A60" w14:textId="43FBD395" w:rsidR="00477DEA" w:rsidRDefault="00477DEA" w:rsidP="00BD1AC6">
      <w:pPr>
        <w:pStyle w:val="Heading1"/>
        <w:jc w:val="center"/>
        <w:rPr>
          <w:rFonts w:eastAsia="Aptos"/>
          <w:lang w:eastAsia="en-US"/>
        </w:rPr>
      </w:pPr>
      <w:r>
        <w:rPr>
          <w:rFonts w:eastAsia="Aptos"/>
          <w:lang w:eastAsia="en-US"/>
        </w:rPr>
        <w:t xml:space="preserve">Handling of </w:t>
      </w:r>
      <w:r w:rsidR="00437BC5">
        <w:rPr>
          <w:rFonts w:eastAsia="Aptos"/>
          <w:lang w:eastAsia="en-US"/>
        </w:rPr>
        <w:t>information from the company submissions</w:t>
      </w:r>
    </w:p>
    <w:p w14:paraId="101268EC" w14:textId="77777777" w:rsidR="00437BC5" w:rsidRDefault="00437BC5" w:rsidP="003F259C">
      <w:pPr>
        <w:spacing w:after="160" w:line="259" w:lineRule="auto"/>
        <w:rPr>
          <w:rFonts w:ascii="Aptos" w:eastAsia="Aptos" w:hAnsi="Aptos" w:cs="Times New Roman"/>
          <w:kern w:val="2"/>
          <w:sz w:val="22"/>
          <w:szCs w:val="22"/>
          <w:lang w:eastAsia="en-US"/>
          <w14:ligatures w14:val="standardContextual"/>
        </w:rPr>
      </w:pPr>
    </w:p>
    <w:p w14:paraId="450BF188" w14:textId="3D9B04A5" w:rsidR="009E3DD4" w:rsidRDefault="001D4014" w:rsidP="001D4014">
      <w:pPr>
        <w:pStyle w:val="Heading2"/>
        <w:rPr>
          <w:rFonts w:eastAsia="Aptos"/>
          <w:lang w:eastAsia="en-US"/>
        </w:rPr>
      </w:pPr>
      <w:r>
        <w:rPr>
          <w:rFonts w:eastAsia="Aptos"/>
          <w:lang w:eastAsia="en-US"/>
        </w:rPr>
        <w:t>Assessment of clinical effectiveness</w:t>
      </w:r>
    </w:p>
    <w:p w14:paraId="6BD6E359" w14:textId="435F2D9C" w:rsidR="00C477B7" w:rsidRDefault="00437BC5" w:rsidP="00C477B7">
      <w:r>
        <w:rPr>
          <w:rFonts w:ascii="Aptos" w:eastAsia="Aptos" w:hAnsi="Aptos" w:cs="Times New Roman"/>
          <w:kern w:val="2"/>
          <w:sz w:val="22"/>
          <w:szCs w:val="22"/>
          <w:lang w:eastAsia="en-US"/>
          <w14:ligatures w14:val="standardContextual"/>
        </w:rPr>
        <w:t>All information submitted by the company was reviewed by the EAG to determine whether any studies referenced in the submission fulfilled inclusion criteria for the review</w:t>
      </w:r>
      <w:r w:rsidR="00BC2F4A">
        <w:rPr>
          <w:rFonts w:ascii="Aptos" w:eastAsia="Aptos" w:hAnsi="Aptos" w:cs="Times New Roman"/>
          <w:kern w:val="2"/>
          <w:sz w:val="22"/>
          <w:szCs w:val="22"/>
          <w:lang w:eastAsia="en-US"/>
          <w14:ligatures w14:val="standardContextual"/>
        </w:rPr>
        <w:t xml:space="preserve"> (section 4.1 of the </w:t>
      </w:r>
      <w:r w:rsidR="00AD1242">
        <w:rPr>
          <w:rFonts w:ascii="Aptos" w:eastAsia="Aptos" w:hAnsi="Aptos" w:cs="Times New Roman"/>
          <w:kern w:val="2"/>
          <w:sz w:val="22"/>
          <w:szCs w:val="22"/>
          <w:lang w:eastAsia="en-US"/>
          <w14:ligatures w14:val="standardContextual"/>
        </w:rPr>
        <w:t xml:space="preserve">EAG </w:t>
      </w:r>
      <w:r w:rsidR="00BC2F4A">
        <w:rPr>
          <w:rFonts w:ascii="Aptos" w:eastAsia="Aptos" w:hAnsi="Aptos" w:cs="Times New Roman"/>
          <w:kern w:val="2"/>
          <w:sz w:val="22"/>
          <w:szCs w:val="22"/>
          <w:lang w:eastAsia="en-US"/>
          <w14:ligatures w14:val="standardContextual"/>
        </w:rPr>
        <w:t>report)</w:t>
      </w:r>
      <w:r w:rsidR="004C66CA">
        <w:rPr>
          <w:rFonts w:ascii="Aptos" w:eastAsia="Aptos" w:hAnsi="Aptos" w:cs="Times New Roman"/>
          <w:kern w:val="2"/>
          <w:sz w:val="22"/>
          <w:szCs w:val="22"/>
          <w:lang w:eastAsia="en-US"/>
          <w14:ligatures w14:val="standardContextual"/>
        </w:rPr>
        <w:t xml:space="preserve">.  These specified that to be included studies </w:t>
      </w:r>
      <w:r w:rsidR="00A4490A">
        <w:rPr>
          <w:rFonts w:ascii="Aptos" w:eastAsia="Aptos" w:hAnsi="Aptos" w:cs="Times New Roman"/>
          <w:kern w:val="2"/>
          <w:sz w:val="22"/>
          <w:szCs w:val="22"/>
          <w:lang w:eastAsia="en-US"/>
          <w14:ligatures w14:val="standardContextual"/>
        </w:rPr>
        <w:t xml:space="preserve">had to be randomised controlled trials </w:t>
      </w:r>
      <w:r w:rsidR="00C477B7">
        <w:rPr>
          <w:rFonts w:ascii="Aptos" w:eastAsia="Aptos" w:hAnsi="Aptos" w:cs="Times New Roman"/>
          <w:kern w:val="2"/>
          <w:sz w:val="22"/>
          <w:szCs w:val="22"/>
          <w:lang w:eastAsia="en-US"/>
          <w14:ligatures w14:val="standardContextual"/>
        </w:rPr>
        <w:t xml:space="preserve">conducted in a population with RRMS.  </w:t>
      </w:r>
      <w:r w:rsidR="00C477B7" w:rsidRPr="00B84E4F">
        <w:t xml:space="preserve">Studies </w:t>
      </w:r>
      <w:r w:rsidR="00C477B7">
        <w:t>were</w:t>
      </w:r>
      <w:r w:rsidR="00C477B7" w:rsidRPr="00B84E4F">
        <w:t xml:space="preserve"> required to compare one of the </w:t>
      </w:r>
      <w:r w:rsidR="00C477B7">
        <w:t xml:space="preserve">eligible </w:t>
      </w:r>
      <w:r w:rsidR="00C477B7" w:rsidRPr="00B84E4F">
        <w:t xml:space="preserve">interventions to an alternative </w:t>
      </w:r>
      <w:r w:rsidR="00C477B7">
        <w:t xml:space="preserve">eligible </w:t>
      </w:r>
      <w:r w:rsidR="00C477B7" w:rsidRPr="00B84E4F">
        <w:t>interventio</w:t>
      </w:r>
      <w:r w:rsidR="00C477B7">
        <w:t>n, or to placebo,</w:t>
      </w:r>
      <w:r w:rsidR="00C477B7" w:rsidRPr="00FC559F">
        <w:t xml:space="preserve"> </w:t>
      </w:r>
      <w:r w:rsidR="00C477B7" w:rsidRPr="00B84E4F">
        <w:t xml:space="preserve">so that only studies that </w:t>
      </w:r>
      <w:r w:rsidR="00621961">
        <w:t>we</w:t>
      </w:r>
      <w:r w:rsidR="00C477B7" w:rsidRPr="00B84E4F">
        <w:t xml:space="preserve">re informative for the network </w:t>
      </w:r>
      <w:r w:rsidR="00C477B7">
        <w:t>we</w:t>
      </w:r>
      <w:r w:rsidR="00C477B7" w:rsidRPr="00B84E4F">
        <w:t xml:space="preserve">re included.  </w:t>
      </w:r>
      <w:r w:rsidR="00C477B7">
        <w:t>S</w:t>
      </w:r>
      <w:r w:rsidR="00C477B7" w:rsidRPr="00B84E4F">
        <w:t>tudies that only compared different doses, modes of administration, or manufacturers of the same intervention</w:t>
      </w:r>
      <w:r w:rsidR="00C477B7">
        <w:t xml:space="preserve"> were excluded, </w:t>
      </w:r>
      <w:r w:rsidR="00C477B7" w:rsidRPr="00B84E4F">
        <w:t xml:space="preserve">unless these </w:t>
      </w:r>
      <w:r w:rsidR="00C477B7">
        <w:t>we</w:t>
      </w:r>
      <w:r w:rsidR="00C477B7" w:rsidRPr="00B84E4F">
        <w:t>re needed to create a connected network.</w:t>
      </w:r>
    </w:p>
    <w:p w14:paraId="1D3F0FBD" w14:textId="77777777" w:rsidR="003F799C" w:rsidRDefault="003F799C" w:rsidP="00C477B7"/>
    <w:p w14:paraId="4A35CE8D" w14:textId="2F57BD98" w:rsidR="003F799C" w:rsidRPr="00B84E4F" w:rsidRDefault="003F799C" w:rsidP="00C477B7">
      <w:r>
        <w:t>The EAG also reviewed the company submission to determine whether these included any data not available in published sources, including previous technology appraisals.</w:t>
      </w:r>
    </w:p>
    <w:p w14:paraId="0CAEEF61" w14:textId="77777777" w:rsidR="003F799C" w:rsidRDefault="003F799C" w:rsidP="00437BC5">
      <w:pPr>
        <w:spacing w:after="160" w:line="259" w:lineRule="auto"/>
        <w:rPr>
          <w:rFonts w:ascii="Aptos" w:eastAsia="Aptos" w:hAnsi="Aptos" w:cs="Times New Roman"/>
          <w:kern w:val="2"/>
          <w:sz w:val="22"/>
          <w:szCs w:val="22"/>
          <w:lang w:eastAsia="en-US"/>
          <w14:ligatures w14:val="standardContextual"/>
        </w:rPr>
      </w:pPr>
    </w:p>
    <w:p w14:paraId="5C55551A" w14:textId="214968EC" w:rsidR="004C66CA" w:rsidRDefault="004C66CA" w:rsidP="00437BC5">
      <w:pPr>
        <w:spacing w:after="160" w:line="259" w:lineRule="auto"/>
        <w:rPr>
          <w:rFonts w:ascii="Aptos" w:eastAsia="Aptos" w:hAnsi="Aptos" w:cs="Times New Roman"/>
          <w:kern w:val="2"/>
          <w:sz w:val="22"/>
          <w:szCs w:val="22"/>
          <w:lang w:eastAsia="en-US"/>
          <w14:ligatures w14:val="standardContextual"/>
        </w:rPr>
      </w:pPr>
      <w:r>
        <w:rPr>
          <w:rFonts w:ascii="Aptos" w:eastAsia="Aptos" w:hAnsi="Aptos" w:cs="Times New Roman"/>
          <w:kern w:val="2"/>
          <w:sz w:val="22"/>
          <w:szCs w:val="22"/>
          <w:lang w:eastAsia="en-US"/>
          <w14:ligatures w14:val="standardContextual"/>
        </w:rPr>
        <w:t>This approach is summarised in the methods section of the report</w:t>
      </w:r>
      <w:r w:rsidR="00D56771">
        <w:rPr>
          <w:rFonts w:ascii="Aptos" w:eastAsia="Aptos" w:hAnsi="Aptos" w:cs="Times New Roman"/>
          <w:kern w:val="2"/>
          <w:sz w:val="22"/>
          <w:szCs w:val="22"/>
          <w:lang w:eastAsia="en-US"/>
          <w14:ligatures w14:val="standardContextual"/>
        </w:rPr>
        <w:t xml:space="preserve"> (section 4.2.1)</w:t>
      </w:r>
      <w:r>
        <w:rPr>
          <w:rFonts w:ascii="Aptos" w:eastAsia="Aptos" w:hAnsi="Aptos" w:cs="Times New Roman"/>
          <w:kern w:val="2"/>
          <w:sz w:val="22"/>
          <w:szCs w:val="22"/>
          <w:lang w:eastAsia="en-US"/>
          <w14:ligatures w14:val="standardContextual"/>
        </w:rPr>
        <w:t xml:space="preserve">: </w:t>
      </w:r>
    </w:p>
    <w:p w14:paraId="399DD4A1" w14:textId="45C97333" w:rsidR="00437BC5" w:rsidRPr="00437BC5" w:rsidRDefault="00437BC5" w:rsidP="00437BC5">
      <w:pPr>
        <w:spacing w:after="160" w:line="259" w:lineRule="auto"/>
        <w:rPr>
          <w:rFonts w:ascii="Aptos" w:eastAsia="Aptos" w:hAnsi="Aptos" w:cs="Times New Roman"/>
          <w:i/>
          <w:kern w:val="2"/>
          <w:sz w:val="22"/>
          <w:szCs w:val="22"/>
          <w:lang w:eastAsia="en-US"/>
          <w14:ligatures w14:val="standardContextual"/>
        </w:rPr>
      </w:pPr>
      <w:r w:rsidRPr="00437BC5">
        <w:rPr>
          <w:rFonts w:ascii="Aptos" w:eastAsia="Aptos" w:hAnsi="Aptos" w:cs="Times New Roman"/>
          <w:i/>
          <w:kern w:val="2"/>
          <w:sz w:val="22"/>
          <w:szCs w:val="22"/>
          <w:lang w:eastAsia="en-US"/>
          <w14:ligatures w14:val="standardContextual"/>
        </w:rPr>
        <w:t>“NICE requested submissions from Companies with technologies in scope for this appraisal (See Table 3). We checked the submissions for studies (and study data) which align with our inclusion criteria. Any studies identified through this process were tabulated to show where they contributed to our review or why they were excluded (Appendix 2).”</w:t>
      </w:r>
    </w:p>
    <w:p w14:paraId="0C9B78C5" w14:textId="13A7CC0E" w:rsidR="00726A57" w:rsidRDefault="003F799C" w:rsidP="003F259C">
      <w:pPr>
        <w:spacing w:after="160" w:line="259" w:lineRule="auto"/>
        <w:rPr>
          <w:rFonts w:ascii="Aptos" w:eastAsia="Aptos" w:hAnsi="Aptos" w:cs="Times New Roman"/>
          <w:kern w:val="2"/>
          <w:sz w:val="22"/>
          <w:szCs w:val="22"/>
          <w:lang w:eastAsia="en-US"/>
          <w14:ligatures w14:val="standardContextual"/>
        </w:rPr>
      </w:pPr>
      <w:r>
        <w:rPr>
          <w:rFonts w:ascii="Aptos" w:eastAsia="Aptos" w:hAnsi="Aptos" w:cs="Times New Roman"/>
          <w:kern w:val="2"/>
          <w:sz w:val="22"/>
          <w:szCs w:val="22"/>
          <w:lang w:eastAsia="en-US"/>
          <w14:ligatures w14:val="standardContextual"/>
        </w:rPr>
        <w:t xml:space="preserve">All RCT evidence included in the company submissions was also </w:t>
      </w:r>
      <w:r w:rsidRPr="003F259C">
        <w:rPr>
          <w:rFonts w:ascii="Aptos" w:eastAsia="Aptos" w:hAnsi="Aptos" w:cs="Times New Roman"/>
          <w:kern w:val="2"/>
          <w:sz w:val="22"/>
          <w:szCs w:val="22"/>
          <w:lang w:eastAsia="en-US"/>
          <w14:ligatures w14:val="standardContextual"/>
        </w:rPr>
        <w:t xml:space="preserve">identified </w:t>
      </w:r>
      <w:r>
        <w:rPr>
          <w:rFonts w:ascii="Aptos" w:eastAsia="Aptos" w:hAnsi="Aptos" w:cs="Times New Roman"/>
          <w:kern w:val="2"/>
          <w:sz w:val="22"/>
          <w:szCs w:val="22"/>
          <w:lang w:eastAsia="en-US"/>
          <w14:ligatures w14:val="standardContextual"/>
        </w:rPr>
        <w:t xml:space="preserve">by the EAGs </w:t>
      </w:r>
      <w:r w:rsidRPr="003F259C">
        <w:rPr>
          <w:rFonts w:ascii="Aptos" w:eastAsia="Aptos" w:hAnsi="Aptos" w:cs="Times New Roman"/>
          <w:kern w:val="2"/>
          <w:sz w:val="22"/>
          <w:szCs w:val="22"/>
          <w:lang w:eastAsia="en-US"/>
          <w14:ligatures w14:val="standardContextual"/>
        </w:rPr>
        <w:t>literature search</w:t>
      </w:r>
      <w:r>
        <w:rPr>
          <w:rFonts w:ascii="Aptos" w:eastAsia="Aptos" w:hAnsi="Aptos" w:cs="Times New Roman"/>
          <w:kern w:val="2"/>
          <w:sz w:val="22"/>
          <w:szCs w:val="22"/>
          <w:lang w:eastAsia="en-US"/>
          <w14:ligatures w14:val="standardContextual"/>
        </w:rPr>
        <w:t>es; no additional relevant information was included in the company submissions</w:t>
      </w:r>
      <w:r w:rsidR="00FD7B30">
        <w:rPr>
          <w:rFonts w:ascii="Aptos" w:eastAsia="Aptos" w:hAnsi="Aptos" w:cs="Times New Roman"/>
          <w:kern w:val="2"/>
          <w:sz w:val="22"/>
          <w:szCs w:val="22"/>
          <w:lang w:eastAsia="en-US"/>
          <w14:ligatures w14:val="standardContextual"/>
        </w:rPr>
        <w:t xml:space="preserve"> beyond what was available in published sources.  </w:t>
      </w:r>
      <w:r w:rsidR="00726A57">
        <w:rPr>
          <w:rFonts w:ascii="Aptos" w:eastAsia="Aptos" w:hAnsi="Aptos" w:cs="Times New Roman"/>
          <w:kern w:val="2"/>
          <w:sz w:val="22"/>
          <w:szCs w:val="22"/>
          <w:lang w:eastAsia="en-US"/>
          <w14:ligatures w14:val="standardContextual"/>
        </w:rPr>
        <w:t xml:space="preserve">This is reported in section </w:t>
      </w:r>
      <w:r w:rsidR="008B25CE">
        <w:rPr>
          <w:rFonts w:ascii="Aptos" w:eastAsia="Aptos" w:hAnsi="Aptos" w:cs="Times New Roman"/>
          <w:kern w:val="2"/>
          <w:sz w:val="22"/>
          <w:szCs w:val="22"/>
          <w:lang w:eastAsia="en-US"/>
          <w14:ligatures w14:val="standardContextual"/>
        </w:rPr>
        <w:t>5 of the report:</w:t>
      </w:r>
    </w:p>
    <w:p w14:paraId="2EAF0173" w14:textId="77777777" w:rsidR="008B25CE" w:rsidRPr="008B25CE" w:rsidRDefault="008B25CE" w:rsidP="008B25CE">
      <w:pPr>
        <w:spacing w:after="160" w:line="259" w:lineRule="auto"/>
        <w:rPr>
          <w:rFonts w:ascii="Aptos" w:eastAsia="Aptos" w:hAnsi="Aptos" w:cs="Times New Roman"/>
          <w:i/>
          <w:iCs/>
          <w:kern w:val="2"/>
          <w:sz w:val="22"/>
          <w:szCs w:val="22"/>
          <w:lang w:eastAsia="en-US"/>
          <w14:ligatures w14:val="standardContextual"/>
        </w:rPr>
      </w:pPr>
      <w:r w:rsidRPr="008B25CE">
        <w:rPr>
          <w:rFonts w:ascii="Aptos" w:eastAsia="Aptos" w:hAnsi="Aptos" w:cs="Times New Roman"/>
          <w:i/>
          <w:iCs/>
          <w:kern w:val="2"/>
          <w:sz w:val="22"/>
          <w:szCs w:val="22"/>
          <w:lang w:eastAsia="en-US"/>
          <w14:ligatures w14:val="standardContextual"/>
        </w:rPr>
        <w:t>“The submissions from the manufacturers for the two drugs of interest for this appraisal (Biogen and Sandos) did not include any relevant studies that we had not identified in our searches – studies included in these submissions, review decision, and reasons for exclusion (where appropriate) are summarised in Table 39 and Table 40 (Appendix 3).”</w:t>
      </w:r>
    </w:p>
    <w:p w14:paraId="6B5755EF" w14:textId="219AAAF0" w:rsidR="003F799C" w:rsidRDefault="001C504C" w:rsidP="003F259C">
      <w:pPr>
        <w:spacing w:after="160" w:line="259" w:lineRule="auto"/>
        <w:rPr>
          <w:rFonts w:ascii="Aptos" w:eastAsia="Aptos" w:hAnsi="Aptos" w:cs="Times New Roman"/>
          <w:kern w:val="2"/>
          <w:sz w:val="22"/>
          <w:szCs w:val="22"/>
          <w:lang w:eastAsia="en-US"/>
          <w14:ligatures w14:val="standardContextual"/>
        </w:rPr>
      </w:pPr>
      <w:r>
        <w:rPr>
          <w:rFonts w:ascii="Aptos" w:eastAsia="Aptos" w:hAnsi="Aptos" w:cs="Times New Roman"/>
          <w:kern w:val="2"/>
          <w:sz w:val="22"/>
          <w:szCs w:val="22"/>
          <w:lang w:eastAsia="en-US"/>
          <w14:ligatures w14:val="standardContextual"/>
        </w:rPr>
        <w:t>The company submission included some additional evidence that did not fulfil inclusion criteria for the review.</w:t>
      </w:r>
      <w:r w:rsidR="006B568E">
        <w:rPr>
          <w:rFonts w:ascii="Aptos" w:eastAsia="Aptos" w:hAnsi="Aptos" w:cs="Times New Roman"/>
          <w:kern w:val="2"/>
          <w:sz w:val="22"/>
          <w:szCs w:val="22"/>
          <w:lang w:eastAsia="en-US"/>
          <w14:ligatures w14:val="standardContextual"/>
        </w:rPr>
        <w:t xml:space="preserve">  Details on </w:t>
      </w:r>
      <w:r w:rsidR="0092590B">
        <w:rPr>
          <w:rFonts w:ascii="Aptos" w:eastAsia="Aptos" w:hAnsi="Aptos" w:cs="Times New Roman"/>
          <w:kern w:val="2"/>
          <w:sz w:val="22"/>
          <w:szCs w:val="22"/>
          <w:lang w:eastAsia="en-US"/>
          <w14:ligatures w14:val="standardContextual"/>
        </w:rPr>
        <w:t>whether</w:t>
      </w:r>
      <w:r w:rsidR="006B568E">
        <w:rPr>
          <w:rFonts w:ascii="Aptos" w:eastAsia="Aptos" w:hAnsi="Aptos" w:cs="Times New Roman"/>
          <w:kern w:val="2"/>
          <w:sz w:val="22"/>
          <w:szCs w:val="22"/>
          <w:lang w:eastAsia="en-US"/>
          <w14:ligatures w14:val="standardContextual"/>
        </w:rPr>
        <w:t xml:space="preserve"> each of the studies included in the company submission were </w:t>
      </w:r>
      <w:r w:rsidR="0092590B">
        <w:rPr>
          <w:rFonts w:ascii="Aptos" w:eastAsia="Aptos" w:hAnsi="Aptos" w:cs="Times New Roman"/>
          <w:kern w:val="2"/>
          <w:sz w:val="22"/>
          <w:szCs w:val="22"/>
          <w:lang w:eastAsia="en-US"/>
          <w14:ligatures w14:val="standardContextual"/>
        </w:rPr>
        <w:t xml:space="preserve">eligible for inclusion in </w:t>
      </w:r>
      <w:r w:rsidR="006B568E">
        <w:rPr>
          <w:rFonts w:ascii="Aptos" w:eastAsia="Aptos" w:hAnsi="Aptos" w:cs="Times New Roman"/>
          <w:kern w:val="2"/>
          <w:sz w:val="22"/>
          <w:szCs w:val="22"/>
          <w:lang w:eastAsia="en-US"/>
          <w14:ligatures w14:val="standardContextual"/>
        </w:rPr>
        <w:t>the clinical effectiveness review</w:t>
      </w:r>
      <w:r w:rsidR="0092590B">
        <w:rPr>
          <w:rFonts w:ascii="Aptos" w:eastAsia="Aptos" w:hAnsi="Aptos" w:cs="Times New Roman"/>
          <w:kern w:val="2"/>
          <w:sz w:val="22"/>
          <w:szCs w:val="22"/>
          <w:lang w:eastAsia="en-US"/>
          <w14:ligatures w14:val="standardContextual"/>
        </w:rPr>
        <w:t>, with reasons for exclusion as appropriate,</w:t>
      </w:r>
      <w:r w:rsidR="006B568E">
        <w:rPr>
          <w:rFonts w:ascii="Aptos" w:eastAsia="Aptos" w:hAnsi="Aptos" w:cs="Times New Roman"/>
          <w:kern w:val="2"/>
          <w:sz w:val="22"/>
          <w:szCs w:val="22"/>
          <w:lang w:eastAsia="en-US"/>
          <w14:ligatures w14:val="standardContextual"/>
        </w:rPr>
        <w:t xml:space="preserve"> are outlined </w:t>
      </w:r>
      <w:r w:rsidR="00922D1D">
        <w:rPr>
          <w:rFonts w:ascii="Aptos" w:eastAsia="Aptos" w:hAnsi="Aptos" w:cs="Times New Roman"/>
          <w:kern w:val="2"/>
          <w:sz w:val="22"/>
          <w:szCs w:val="22"/>
          <w:lang w:eastAsia="en-US"/>
          <w14:ligatures w14:val="standardContextual"/>
        </w:rPr>
        <w:t xml:space="preserve">in </w:t>
      </w:r>
      <w:r w:rsidR="006B568E">
        <w:rPr>
          <w:rFonts w:ascii="Aptos" w:eastAsia="Aptos" w:hAnsi="Aptos" w:cs="Times New Roman"/>
          <w:kern w:val="2"/>
          <w:sz w:val="22"/>
          <w:szCs w:val="22"/>
          <w:lang w:eastAsia="en-US"/>
          <w14:ligatures w14:val="standardContextual"/>
        </w:rPr>
        <w:t>Table 39 (</w:t>
      </w:r>
      <w:r w:rsidR="00B6399D">
        <w:rPr>
          <w:rFonts w:ascii="Aptos" w:eastAsia="Aptos" w:hAnsi="Aptos" w:cs="Times New Roman"/>
          <w:kern w:val="2"/>
          <w:sz w:val="22"/>
          <w:szCs w:val="22"/>
          <w:lang w:eastAsia="en-US"/>
          <w14:ligatures w14:val="standardContextual"/>
        </w:rPr>
        <w:t>studies included in the Biogen submission) and Table 40 studies included in the Sando</w:t>
      </w:r>
      <w:r w:rsidR="0092590B">
        <w:rPr>
          <w:rFonts w:ascii="Aptos" w:eastAsia="Aptos" w:hAnsi="Aptos" w:cs="Times New Roman"/>
          <w:kern w:val="2"/>
          <w:sz w:val="22"/>
          <w:szCs w:val="22"/>
          <w:lang w:eastAsia="en-US"/>
          <w14:ligatures w14:val="standardContextual"/>
        </w:rPr>
        <w:t>z submission)</w:t>
      </w:r>
      <w:r w:rsidR="00922D1D">
        <w:rPr>
          <w:rFonts w:ascii="Aptos" w:eastAsia="Aptos" w:hAnsi="Aptos" w:cs="Times New Roman"/>
          <w:kern w:val="2"/>
          <w:sz w:val="22"/>
          <w:szCs w:val="22"/>
          <w:lang w:eastAsia="en-US"/>
          <w14:ligatures w14:val="standardContextual"/>
        </w:rPr>
        <w:t xml:space="preserve"> in Appendix 2.</w:t>
      </w:r>
    </w:p>
    <w:p w14:paraId="20930C1B" w14:textId="1B5F0B1D" w:rsidR="00437BC5" w:rsidRDefault="007408EE" w:rsidP="003F259C">
      <w:pPr>
        <w:spacing w:after="160" w:line="259" w:lineRule="auto"/>
        <w:rPr>
          <w:rFonts w:ascii="Aptos" w:eastAsia="Aptos" w:hAnsi="Aptos" w:cs="Times New Roman"/>
          <w:kern w:val="2"/>
          <w:sz w:val="22"/>
          <w:szCs w:val="22"/>
          <w:lang w:eastAsia="en-US"/>
          <w14:ligatures w14:val="standardContextual"/>
        </w:rPr>
      </w:pPr>
      <w:r>
        <w:rPr>
          <w:rFonts w:ascii="Aptos" w:eastAsia="Aptos" w:hAnsi="Aptos" w:cs="Times New Roman"/>
          <w:kern w:val="2"/>
          <w:sz w:val="22"/>
          <w:szCs w:val="22"/>
          <w:lang w:eastAsia="en-US"/>
          <w14:ligatures w14:val="standardContextual"/>
        </w:rPr>
        <w:t xml:space="preserve">Studies that did not fulfil the </w:t>
      </w:r>
      <w:r w:rsidR="00F9086C">
        <w:rPr>
          <w:rFonts w:ascii="Aptos" w:eastAsia="Aptos" w:hAnsi="Aptos" w:cs="Times New Roman"/>
          <w:kern w:val="2"/>
          <w:sz w:val="22"/>
          <w:szCs w:val="22"/>
          <w:lang w:eastAsia="en-US"/>
          <w14:ligatures w14:val="standardContextual"/>
        </w:rPr>
        <w:t xml:space="preserve">pre-specified review inclusion criteria were </w:t>
      </w:r>
      <w:r w:rsidR="001C504C" w:rsidRPr="003F259C">
        <w:rPr>
          <w:rFonts w:ascii="Aptos" w:eastAsia="Aptos" w:hAnsi="Aptos" w:cs="Times New Roman"/>
          <w:kern w:val="2"/>
          <w:sz w:val="22"/>
          <w:szCs w:val="22"/>
          <w:lang w:eastAsia="en-US"/>
          <w14:ligatures w14:val="standardContextual"/>
        </w:rPr>
        <w:t>not critiqued in detail</w:t>
      </w:r>
      <w:r w:rsidR="00F9086C">
        <w:rPr>
          <w:rFonts w:ascii="Aptos" w:eastAsia="Aptos" w:hAnsi="Aptos" w:cs="Times New Roman"/>
          <w:kern w:val="2"/>
          <w:sz w:val="22"/>
          <w:szCs w:val="22"/>
          <w:lang w:eastAsia="en-US"/>
          <w14:ligatures w14:val="standardContextual"/>
        </w:rPr>
        <w:t>.  However, the EAG do draw on these in the discussion section of the report (section 8.1</w:t>
      </w:r>
      <w:r w:rsidR="007723D2">
        <w:rPr>
          <w:rFonts w:ascii="Aptos" w:eastAsia="Aptos" w:hAnsi="Aptos" w:cs="Times New Roman"/>
          <w:kern w:val="2"/>
          <w:sz w:val="22"/>
          <w:szCs w:val="22"/>
          <w:lang w:eastAsia="en-US"/>
          <w14:ligatures w14:val="standardContextual"/>
        </w:rPr>
        <w:t>.1</w:t>
      </w:r>
      <w:r w:rsidR="00F9086C">
        <w:rPr>
          <w:rFonts w:ascii="Aptos" w:eastAsia="Aptos" w:hAnsi="Aptos" w:cs="Times New Roman"/>
          <w:kern w:val="2"/>
          <w:sz w:val="22"/>
          <w:szCs w:val="22"/>
          <w:lang w:eastAsia="en-US"/>
          <w14:ligatures w14:val="standardContextual"/>
        </w:rPr>
        <w:t xml:space="preserve">) </w:t>
      </w:r>
      <w:r w:rsidR="00D95F8B" w:rsidRPr="003F259C">
        <w:rPr>
          <w:rFonts w:ascii="Aptos" w:eastAsia="Aptos" w:hAnsi="Aptos" w:cs="Times New Roman"/>
          <w:kern w:val="2"/>
          <w:sz w:val="22"/>
          <w:szCs w:val="22"/>
          <w:lang w:eastAsia="en-US"/>
          <w14:ligatures w14:val="standardContextual"/>
        </w:rPr>
        <w:t>in the context of evidence included in our review</w:t>
      </w:r>
      <w:r w:rsidR="00D95F8B">
        <w:rPr>
          <w:rFonts w:ascii="Aptos" w:eastAsia="Aptos" w:hAnsi="Aptos" w:cs="Times New Roman"/>
          <w:kern w:val="2"/>
          <w:sz w:val="22"/>
          <w:szCs w:val="22"/>
          <w:lang w:eastAsia="en-US"/>
          <w14:ligatures w14:val="standardContextual"/>
        </w:rPr>
        <w:t xml:space="preserve">, </w:t>
      </w:r>
      <w:r w:rsidR="00F9086C">
        <w:rPr>
          <w:rFonts w:ascii="Aptos" w:eastAsia="Aptos" w:hAnsi="Aptos" w:cs="Times New Roman"/>
          <w:kern w:val="2"/>
          <w:sz w:val="22"/>
          <w:szCs w:val="22"/>
          <w:lang w:eastAsia="en-US"/>
          <w14:ligatures w14:val="standardContextual"/>
        </w:rPr>
        <w:t>as follows:</w:t>
      </w:r>
    </w:p>
    <w:p w14:paraId="4E9B7085" w14:textId="30D01B48" w:rsidR="003F259C" w:rsidRPr="003F259C" w:rsidRDefault="003F259C" w:rsidP="003F259C">
      <w:pPr>
        <w:spacing w:after="160" w:line="259" w:lineRule="auto"/>
        <w:rPr>
          <w:rFonts w:ascii="Aptos" w:eastAsia="Aptos" w:hAnsi="Aptos" w:cs="Times New Roman"/>
          <w:i/>
          <w:kern w:val="2"/>
          <w:sz w:val="22"/>
          <w:szCs w:val="22"/>
          <w:lang w:eastAsia="en-US"/>
          <w14:ligatures w14:val="standardContextual"/>
        </w:rPr>
      </w:pPr>
      <w:r w:rsidRPr="003F259C">
        <w:rPr>
          <w:rFonts w:ascii="Aptos" w:eastAsia="Aptos" w:hAnsi="Aptos" w:cs="Times New Roman"/>
          <w:i/>
          <w:kern w:val="2"/>
          <w:sz w:val="22"/>
          <w:szCs w:val="22"/>
          <w:lang w:eastAsia="en-US"/>
          <w14:ligatures w14:val="standardContextual"/>
        </w:rPr>
        <w:t xml:space="preserve">“All trials of natalizumab evaluated natalizumab administered intravenously - there were no studies of natalizumab administered subcutaneously.   We did not identify any studies that compared subcutaneous administration of natalizumab with another intervention of interest for this appraisal. We are aware of a small number of trials that have compared different modes of administration of natalizumab, but none met inclusion criteria for our review.  </w:t>
      </w:r>
      <w:r w:rsidRPr="003F259C">
        <w:rPr>
          <w:rFonts w:ascii="Aptos" w:eastAsia="Aptos" w:hAnsi="Aptos" w:cs="Times New Roman"/>
          <w:i/>
          <w:iCs/>
          <w:kern w:val="2"/>
          <w:sz w:val="22"/>
          <w:szCs w:val="22"/>
          <w:lang w:eastAsia="en-US"/>
          <w14:ligatures w14:val="standardContextual"/>
        </w:rPr>
        <w:t>DELIVER</w:t>
      </w:r>
      <w:r w:rsidRPr="003F259C">
        <w:rPr>
          <w:rFonts w:ascii="Aptos" w:eastAsia="Aptos" w:hAnsi="Aptos" w:cs="Times New Roman"/>
          <w:i/>
          <w:kern w:val="2"/>
          <w:sz w:val="22"/>
          <w:szCs w:val="22"/>
          <w:lang w:eastAsia="en-US"/>
          <w14:ligatures w14:val="standardContextual"/>
        </w:rPr>
        <w:t xml:space="preserve"> compared the pharmacokinetics and pharmacodynamics of single subcutaneous or intramuscular 300 mg doses of natalizumab with IV 300 mg doses in patients with MS with a short follow-up duration of 24 weeks and </w:t>
      </w:r>
      <w:r w:rsidRPr="003F259C">
        <w:rPr>
          <w:rFonts w:ascii="Aptos" w:eastAsia="Aptos" w:hAnsi="Aptos" w:cs="Times New Roman"/>
          <w:i/>
          <w:iCs/>
          <w:kern w:val="2"/>
          <w:sz w:val="22"/>
          <w:szCs w:val="22"/>
          <w:lang w:eastAsia="en-US"/>
          <w14:ligatures w14:val="standardContextual"/>
        </w:rPr>
        <w:t>REFINE</w:t>
      </w:r>
      <w:r w:rsidRPr="003F259C">
        <w:rPr>
          <w:rFonts w:ascii="Aptos" w:eastAsia="Aptos" w:hAnsi="Aptos" w:cs="Times New Roman"/>
          <w:i/>
          <w:kern w:val="2"/>
          <w:sz w:val="22"/>
          <w:szCs w:val="22"/>
          <w:lang w:eastAsia="en-US"/>
          <w14:ligatures w14:val="standardContextual"/>
        </w:rPr>
        <w:t xml:space="preserve"> compared switching to different dosing regimens in stable patients with RRMS who were treated with natalizumab.  This study did not meet inclusion criteria for our review as all participants were already receiving natalizumab.  These two studies found that natalizumab administered as a 300 mg SC injection every 4 weeks was comparable to 300 mg IV infusion natalizumab every 4 weeks in terms of ARR and CDP3 at week 60 as well as for pharmacokinetics, pharmacodynamics, and safety outcomes.”</w:t>
      </w:r>
    </w:p>
    <w:p w14:paraId="2672EE06" w14:textId="0B853B25" w:rsidR="003F259C" w:rsidRPr="005B3F1F" w:rsidRDefault="003F259C" w:rsidP="003F259C">
      <w:pPr>
        <w:spacing w:after="160" w:line="259" w:lineRule="auto"/>
        <w:rPr>
          <w:rFonts w:ascii="Aptos" w:eastAsia="Aptos" w:hAnsi="Aptos" w:cs="Times New Roman"/>
          <w:i/>
          <w:kern w:val="2"/>
          <w:sz w:val="22"/>
          <w:szCs w:val="22"/>
          <w:lang w:eastAsia="en-US"/>
          <w14:ligatures w14:val="standardContextual"/>
        </w:rPr>
      </w:pPr>
      <w:r w:rsidRPr="003F259C">
        <w:rPr>
          <w:rFonts w:ascii="Aptos" w:eastAsia="Aptos" w:hAnsi="Aptos" w:cs="Times New Roman"/>
          <w:i/>
          <w:kern w:val="2"/>
          <w:sz w:val="22"/>
          <w:szCs w:val="22"/>
          <w:lang w:eastAsia="en-US"/>
          <w14:ligatures w14:val="standardContextual"/>
        </w:rPr>
        <w:t xml:space="preserve">“In addition to the data from RCTs in people with HARRMS, there is some evidence from non-randomised studies on the effectiveness of natalizumab in people with HARRMS; these studies were not included in our SLR and NMA as our inclusion criteria specified that only RCTs were eligible. A recent targeted literature review and meta-analysis of natalizumab for the treatment of highly active </w:t>
      </w:r>
      <w:r w:rsidR="005B3F1F" w:rsidRPr="001F20B6">
        <w:rPr>
          <w:rFonts w:ascii="Aptos" w:eastAsia="Aptos" w:hAnsi="Aptos" w:cs="Times New Roman"/>
          <w:i/>
          <w:iCs/>
          <w:kern w:val="2"/>
          <w:sz w:val="22"/>
          <w:szCs w:val="22"/>
          <w:lang w:eastAsia="en-US"/>
          <w14:ligatures w14:val="standardContextual"/>
        </w:rPr>
        <w:t>RRMS</w:t>
      </w:r>
      <w:r w:rsidRPr="003F259C">
        <w:rPr>
          <w:rFonts w:ascii="Aptos" w:eastAsia="Aptos" w:hAnsi="Aptos" w:cs="Times New Roman"/>
          <w:i/>
          <w:kern w:val="2"/>
          <w:sz w:val="22"/>
          <w:szCs w:val="22"/>
          <w:lang w:eastAsia="en-US"/>
          <w14:ligatures w14:val="standardContextual"/>
        </w:rPr>
        <w:t xml:space="preserve"> included studies in adults (≥ 18 years) with a confirmed diagnosis of RRMS who had an unchanged or increased relapse rate compared with the previous year, failed to respond to a full and adequate course of disease modifying therapy (DMT), and had experienced at least one relapse in the previous year while on therapy. They included 16 non-randomised studies that compared natalizumab to interferon beta, glatiramer acetate, teriflunomide, dimethyl fumarate and fingolimod and 11 case series of people treated with natalizumab.  Data in the HARRMS population are also available for the TOP study, the largest real world study of natalizumab, that evaluated the long-term safety and efficacy of natalizumab in 6321 patients (134 UK patients) with RRMS with a follow-up pf 15 years. </w:t>
      </w:r>
      <w:r w:rsidR="005B3F1F" w:rsidRPr="001F20B6">
        <w:rPr>
          <w:rFonts w:ascii="Aptos" w:eastAsia="Aptos" w:hAnsi="Aptos" w:cs="Times New Roman"/>
          <w:i/>
          <w:iCs/>
          <w:kern w:val="2"/>
          <w:sz w:val="22"/>
          <w:szCs w:val="22"/>
          <w:lang w:eastAsia="en-US"/>
          <w14:ligatures w14:val="standardContextual"/>
        </w:rPr>
        <w:fldChar w:fldCharType="begin"/>
      </w:r>
      <w:r w:rsidR="005B3F1F" w:rsidRPr="001F20B6">
        <w:rPr>
          <w:rFonts w:ascii="Aptos" w:eastAsia="Aptos" w:hAnsi="Aptos" w:cs="Times New Roman"/>
          <w:i/>
          <w:iCs/>
          <w:kern w:val="2"/>
          <w:sz w:val="22"/>
          <w:szCs w:val="22"/>
          <w:lang w:eastAsia="en-US"/>
          <w14:ligatures w14:val="standardContextual"/>
        </w:rPr>
        <w:instrText xml:space="preserve"> ADDIN EN.CITE &lt;EndNote&gt;&lt;Cite&gt;&lt;Author&gt;Biogen&lt;/Author&gt;&lt;Year&gt;2024&lt;/Year&gt;&lt;RecNum&gt;5837&lt;/RecNum&gt;&lt;DisplayText&gt;&lt;style face="superscript"&gt;151&lt;/style&gt;&lt;/DisplayText&gt;&lt;record&gt;&lt;rec-number&gt;5837&lt;/rec-number&gt;&lt;foreign-keys&gt;&lt;key app="EN" db-id="zvpvet22kzafd6e0raapv50vf5s5ep2sae9v" timestamp="1731009384"&gt;5837&lt;/key&gt;&lt;/foreign-keys&gt;&lt;ref-type name="Journal Article"&gt;17&lt;/ref-type&gt;&lt;contributors&gt;&lt;authors&gt;&lt;author&gt;Biogen&lt;/author&gt;&lt;/authors&gt;&lt;/contributors&gt;&lt;titles&gt;&lt;title&gt;[Biogen Company Submission] Multiple sclerosis (relapsing, remitting, highly active) – natalizumab and Tyruko (natalizumab biosimilar) (after disease modifying therapy) [ID6369]&lt;/title&gt;&lt;secondary-title&gt;Data on file&lt;/secondary-title&gt;&lt;/titles&gt;&lt;periodical&gt;&lt;full-title&gt;Data on file&lt;/full-title&gt;&lt;/periodical&gt;&lt;dates&gt;&lt;year&gt;2024&lt;/year&gt;&lt;/dates&gt;&lt;label&gt; REFSSUNDAY RESSUNDAYv2 Reportwed20&lt;/label&gt;&lt;urls&gt;&lt;/urls&gt;&lt;/record&gt;&lt;/Cite&gt;&lt;/EndNote&gt;</w:instrText>
      </w:r>
      <w:r w:rsidR="005B3F1F" w:rsidRPr="001F20B6">
        <w:rPr>
          <w:rFonts w:ascii="Aptos" w:eastAsia="Aptos" w:hAnsi="Aptos" w:cs="Times New Roman"/>
          <w:i/>
          <w:iCs/>
          <w:kern w:val="2"/>
          <w:sz w:val="22"/>
          <w:szCs w:val="22"/>
          <w:lang w:eastAsia="en-US"/>
          <w14:ligatures w14:val="standardContextual"/>
        </w:rPr>
        <w:fldChar w:fldCharType="separate"/>
      </w:r>
      <w:r w:rsidR="005B3F1F" w:rsidRPr="001F20B6">
        <w:rPr>
          <w:rFonts w:ascii="Aptos" w:eastAsia="Aptos" w:hAnsi="Aptos" w:cs="Times New Roman"/>
          <w:i/>
          <w:iCs/>
          <w:kern w:val="2"/>
          <w:sz w:val="22"/>
          <w:szCs w:val="22"/>
          <w:lang w:eastAsia="en-US"/>
          <w14:ligatures w14:val="standardContextual"/>
        </w:rPr>
        <w:t>151</w:t>
      </w:r>
      <w:r w:rsidR="005B3F1F" w:rsidRPr="001F20B6">
        <w:rPr>
          <w:rFonts w:ascii="Aptos" w:eastAsia="Aptos" w:hAnsi="Aptos" w:cs="Times New Roman"/>
          <w:i/>
          <w:iCs/>
          <w:kern w:val="2"/>
          <w:sz w:val="22"/>
          <w:szCs w:val="22"/>
          <w:lang w:eastAsia="en-US"/>
          <w14:ligatures w14:val="standardContextual"/>
        </w:rPr>
        <w:fldChar w:fldCharType="end"/>
      </w:r>
      <w:r w:rsidR="005B3F1F" w:rsidRPr="001F20B6">
        <w:rPr>
          <w:rFonts w:ascii="Aptos" w:eastAsia="Aptos" w:hAnsi="Aptos" w:cs="Times New Roman"/>
          <w:i/>
          <w:iCs/>
          <w:kern w:val="2"/>
          <w:sz w:val="22"/>
          <w:szCs w:val="22"/>
          <w:lang w:eastAsia="en-US"/>
          <w14:ligatures w14:val="standardContextual"/>
        </w:rPr>
        <w:t xml:space="preserve"> </w:t>
      </w:r>
      <w:r w:rsidR="005B3F1F" w:rsidRPr="001F20B6">
        <w:rPr>
          <w:rFonts w:ascii="Aptos" w:eastAsia="Aptos" w:hAnsi="Aptos" w:cs="Times New Roman" w:hint="eastAsia"/>
          <w:i/>
          <w:iCs/>
          <w:kern w:val="2"/>
          <w:sz w:val="22"/>
          <w:szCs w:val="22"/>
          <w:lang w:eastAsia="en-US"/>
          <w14:ligatures w14:val="standardContextual"/>
        </w:rPr>
        <w:t xml:space="preserve">A post-hoc subgroup analysis </w:t>
      </w:r>
      <w:r w:rsidR="005B3F1F" w:rsidRPr="001F20B6">
        <w:rPr>
          <w:rFonts w:ascii="Aptos" w:eastAsia="Aptos" w:hAnsi="Aptos" w:cs="Times New Roman"/>
          <w:i/>
          <w:iCs/>
          <w:kern w:val="2"/>
          <w:sz w:val="22"/>
          <w:szCs w:val="22"/>
          <w:lang w:eastAsia="en-US"/>
          <w14:ligatures w14:val="standardContextual"/>
        </w:rPr>
        <w:t>in</w:t>
      </w:r>
      <w:r w:rsidR="005B3F1F" w:rsidRPr="001F20B6">
        <w:rPr>
          <w:rFonts w:ascii="Aptos" w:eastAsia="Aptos" w:hAnsi="Aptos" w:cs="Times New Roman" w:hint="eastAsia"/>
          <w:i/>
          <w:iCs/>
          <w:kern w:val="2"/>
          <w:sz w:val="22"/>
          <w:szCs w:val="22"/>
          <w:lang w:eastAsia="en-US"/>
          <w14:ligatures w14:val="standardContextual"/>
        </w:rPr>
        <w:t xml:space="preserve"> </w:t>
      </w:r>
      <w:r w:rsidR="005B3F1F" w:rsidRPr="001F20B6">
        <w:rPr>
          <w:rFonts w:ascii="Aptos" w:eastAsia="Aptos" w:hAnsi="Aptos" w:cs="Times New Roman"/>
          <w:i/>
          <w:iCs/>
          <w:kern w:val="2"/>
          <w:sz w:val="22"/>
          <w:szCs w:val="22"/>
          <w:lang w:eastAsia="en-US"/>
          <w14:ligatures w14:val="standardContextual"/>
        </w:rPr>
        <w:t>a subset of patients with HARRMS, defined as those</w:t>
      </w:r>
      <w:r w:rsidR="005B3F1F" w:rsidRPr="001F20B6">
        <w:rPr>
          <w:rFonts w:ascii="Aptos" w:eastAsia="Aptos" w:hAnsi="Aptos" w:cs="Times New Roman" w:hint="eastAsia"/>
          <w:i/>
          <w:iCs/>
          <w:kern w:val="2"/>
          <w:sz w:val="22"/>
          <w:szCs w:val="22"/>
          <w:lang w:eastAsia="en-US"/>
          <w14:ligatures w14:val="standardContextual"/>
        </w:rPr>
        <w:t xml:space="preserve"> who had received prior treatment with ≥1 DMT and had experienced 1 relapse </w:t>
      </w:r>
      <w:r w:rsidR="005B3F1F" w:rsidRPr="001F20B6">
        <w:rPr>
          <w:rFonts w:ascii="Aptos" w:eastAsia="Aptos" w:hAnsi="Aptos" w:cs="Times New Roman"/>
          <w:i/>
          <w:iCs/>
          <w:kern w:val="2"/>
          <w:sz w:val="22"/>
          <w:szCs w:val="22"/>
          <w:lang w:eastAsia="en-US"/>
          <w14:ligatures w14:val="standardContextual"/>
        </w:rPr>
        <w:t xml:space="preserve">reported similar findings to the findings in the general RRMS population of a reduction of over 90% compared to the year before starting natalizumab. </w:t>
      </w:r>
      <w:r w:rsidRPr="003F259C">
        <w:rPr>
          <w:rFonts w:ascii="Aptos" w:eastAsia="Aptos" w:hAnsi="Aptos" w:cs="Times New Roman"/>
          <w:i/>
          <w:kern w:val="2"/>
          <w:sz w:val="22"/>
          <w:szCs w:val="22"/>
          <w:lang w:eastAsia="en-US"/>
          <w14:ligatures w14:val="standardContextual"/>
        </w:rPr>
        <w:t>These findings support natalizumab improving outcomes for patients with RRMS and HARRMS, but do not provide a comparison with other interventions.”</w:t>
      </w:r>
    </w:p>
    <w:p w14:paraId="08CF4020" w14:textId="39A8E377" w:rsidR="0067644C" w:rsidRPr="003F259C" w:rsidRDefault="0067644C" w:rsidP="0067644C">
      <w:pPr>
        <w:pStyle w:val="Heading2"/>
        <w:rPr>
          <w:rFonts w:eastAsia="Aptos"/>
          <w:lang w:eastAsia="en-US"/>
        </w:rPr>
      </w:pPr>
      <w:r>
        <w:rPr>
          <w:rFonts w:eastAsia="Aptos"/>
          <w:lang w:eastAsia="en-US"/>
        </w:rPr>
        <w:t>Assessment of cost effectiveness</w:t>
      </w:r>
    </w:p>
    <w:p w14:paraId="7ED4B816" w14:textId="2B2847E8" w:rsidR="00EA2D90" w:rsidRDefault="00EA2D90" w:rsidP="0067644C">
      <w:pPr>
        <w:pStyle w:val="Heading3"/>
        <w:rPr>
          <w:rFonts w:eastAsia="Aptos"/>
          <w:lang w:eastAsia="en-US"/>
        </w:rPr>
      </w:pPr>
      <w:r>
        <w:rPr>
          <w:rFonts w:eastAsia="Aptos"/>
          <w:lang w:eastAsia="en-US"/>
        </w:rPr>
        <w:t xml:space="preserve">Assumptions in the </w:t>
      </w:r>
      <w:r w:rsidR="0074271F">
        <w:rPr>
          <w:rFonts w:eastAsia="Aptos"/>
          <w:lang w:eastAsia="en-US"/>
        </w:rPr>
        <w:t>EAG model and manufacturer submitted cost-comparisons</w:t>
      </w:r>
    </w:p>
    <w:p w14:paraId="65A4116F" w14:textId="7C931123" w:rsidR="00EA2D90" w:rsidRPr="00EA2D90" w:rsidRDefault="0074271F" w:rsidP="00EA2D90">
      <w:r>
        <w:t>Both Biogen and Sandoz submitted cost-comparisons.</w:t>
      </w:r>
      <w:r w:rsidR="00E918FE">
        <w:t xml:space="preserve"> </w:t>
      </w:r>
      <w:r w:rsidR="00526169">
        <w:t xml:space="preserve"> </w:t>
      </w:r>
      <w:r w:rsidR="00BE2779">
        <w:t xml:space="preserve">We </w:t>
      </w:r>
      <w:r w:rsidR="00E918FE">
        <w:t>consider</w:t>
      </w:r>
      <w:r w:rsidR="00BE2779">
        <w:t>ed</w:t>
      </w:r>
      <w:r w:rsidR="00E918FE">
        <w:t xml:space="preserve"> the assumptions of the manufacturer submission when developing our model. </w:t>
      </w:r>
      <w:r w:rsidR="00E918FE">
        <w:fldChar w:fldCharType="begin"/>
      </w:r>
      <w:r w:rsidR="00E918FE">
        <w:instrText xml:space="preserve"> REF _Ref184210220 \h </w:instrText>
      </w:r>
      <w:r w:rsidR="00E918FE">
        <w:fldChar w:fldCharType="separate"/>
      </w:r>
      <w:r w:rsidR="00E918FE">
        <w:t xml:space="preserve">Table </w:t>
      </w:r>
      <w:r w:rsidR="00E918FE">
        <w:rPr>
          <w:noProof/>
        </w:rPr>
        <w:t>1</w:t>
      </w:r>
      <w:r w:rsidR="00E918FE">
        <w:fldChar w:fldCharType="end"/>
      </w:r>
      <w:r w:rsidR="00E918FE">
        <w:t xml:space="preserve"> presents a comparison of </w:t>
      </w:r>
      <w:r w:rsidR="00A40951">
        <w:t>manufacturer</w:t>
      </w:r>
      <w:r w:rsidR="00E918FE">
        <w:t xml:space="preserve"> </w:t>
      </w:r>
      <w:r w:rsidR="00EA2D90" w:rsidRPr="00EA2D90">
        <w:t xml:space="preserve">costing assumptions </w:t>
      </w:r>
      <w:r w:rsidR="00A40951">
        <w:t xml:space="preserve">with the EAG </w:t>
      </w:r>
      <w:r w:rsidR="00EA2D90" w:rsidRPr="00EA2D90">
        <w:t xml:space="preserve">base case. Our assumptions were formed after reviewing TAs within the scope and discussions with clinical advisors, </w:t>
      </w:r>
      <w:r w:rsidR="00592321">
        <w:t>and these</w:t>
      </w:r>
      <w:r w:rsidR="00EA2D90" w:rsidRPr="00EA2D90">
        <w:t xml:space="preserve"> are detailed in the</w:t>
      </w:r>
      <w:r w:rsidR="00592321">
        <w:t xml:space="preserve"> main</w:t>
      </w:r>
      <w:r w:rsidR="00EA2D90" w:rsidRPr="00EA2D90">
        <w:t xml:space="preserve"> report.</w:t>
      </w:r>
      <w:r w:rsidR="00526169">
        <w:t xml:space="preserve"> Note that interventions and comparators were restricted and not aligned with the PICOS of our </w:t>
      </w:r>
      <w:r w:rsidR="004B5A10">
        <w:t>assessment</w:t>
      </w:r>
      <w:r w:rsidR="00526169">
        <w:t>.</w:t>
      </w:r>
      <w:r w:rsidR="00526169" w:rsidRPr="00EA2D90">
        <w:t xml:space="preserve"> </w:t>
      </w:r>
      <w:r w:rsidR="00EA2D90" w:rsidRPr="00EA2D90">
        <w:t xml:space="preserve"> Treatment list prices are published list prices by the British National Formulary and not considered in the comparison.</w:t>
      </w:r>
    </w:p>
    <w:p w14:paraId="7591DF44" w14:textId="4E20F452" w:rsidR="00EA2D90" w:rsidRPr="00EA2D90" w:rsidRDefault="00EA2D90" w:rsidP="00EA2D90">
      <w:r w:rsidRPr="00EA2D90">
        <w:t> </w:t>
      </w:r>
    </w:p>
    <w:p w14:paraId="4B026790" w14:textId="6E5EE67E" w:rsidR="00E918FE" w:rsidRDefault="00E918FE" w:rsidP="00E918FE">
      <w:pPr>
        <w:pStyle w:val="Caption"/>
      </w:pPr>
      <w:bookmarkStart w:id="1" w:name="_Ref184210220"/>
      <w:r>
        <w:t xml:space="preserve">Table </w:t>
      </w:r>
      <w:r>
        <w:fldChar w:fldCharType="begin"/>
      </w:r>
      <w:r>
        <w:instrText xml:space="preserve"> SEQ Table \* ARABIC </w:instrText>
      </w:r>
      <w:r>
        <w:fldChar w:fldCharType="separate"/>
      </w:r>
      <w:r>
        <w:rPr>
          <w:noProof/>
        </w:rPr>
        <w:t>1</w:t>
      </w:r>
      <w:r>
        <w:rPr>
          <w:noProof/>
        </w:rPr>
        <w:fldChar w:fldCharType="end"/>
      </w:r>
      <w:bookmarkEnd w:id="1"/>
      <w:r>
        <w:t xml:space="preserve"> </w:t>
      </w:r>
      <w:r w:rsidRPr="008F1A41">
        <w:t>Comparison of costing assumptions from EAG’s base case with manufactures’ submissions</w:t>
      </w:r>
    </w:p>
    <w:tbl>
      <w:tblPr>
        <w:tblW w:w="0" w:type="auto"/>
        <w:shd w:val="clear" w:color="auto" w:fill="FFFFFF"/>
        <w:tblCellMar>
          <w:left w:w="0" w:type="dxa"/>
          <w:right w:w="0" w:type="dxa"/>
        </w:tblCellMar>
        <w:tblLook w:val="04A0" w:firstRow="1" w:lastRow="0" w:firstColumn="1" w:lastColumn="0" w:noHBand="0" w:noVBand="1"/>
      </w:tblPr>
      <w:tblGrid>
        <w:gridCol w:w="2672"/>
        <w:gridCol w:w="1996"/>
        <w:gridCol w:w="1418"/>
        <w:gridCol w:w="1428"/>
        <w:gridCol w:w="1492"/>
      </w:tblGrid>
      <w:tr w:rsidR="00EA2D90" w:rsidRPr="00EA2D90" w14:paraId="5D8932E3" w14:textId="77777777" w:rsidTr="002D01E9">
        <w:trPr>
          <w:trHeight w:val="275"/>
          <w:tblHeader/>
        </w:trPr>
        <w:tc>
          <w:tcPr>
            <w:tcW w:w="2672" w:type="dxa"/>
            <w:vMerge w:val="restart"/>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782F3B8C"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b/>
                <w:sz w:val="20"/>
                <w:szCs w:val="20"/>
              </w:rPr>
              <w:t>Treatments</w:t>
            </w:r>
          </w:p>
        </w:tc>
        <w:tc>
          <w:tcPr>
            <w:tcW w:w="1996"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470C4FD6"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b/>
                <w:sz w:val="20"/>
                <w:szCs w:val="20"/>
              </w:rPr>
              <w:t>EAG base case</w:t>
            </w:r>
          </w:p>
        </w:tc>
        <w:tc>
          <w:tcPr>
            <w:tcW w:w="141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3E5FA6D3"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b/>
                <w:sz w:val="20"/>
                <w:szCs w:val="20"/>
              </w:rPr>
              <w:t>Biogen</w:t>
            </w:r>
          </w:p>
        </w:tc>
        <w:tc>
          <w:tcPr>
            <w:tcW w:w="142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768FBD92"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b/>
                <w:sz w:val="20"/>
                <w:szCs w:val="20"/>
              </w:rPr>
              <w:t>Sandoz</w:t>
            </w:r>
          </w:p>
        </w:tc>
        <w:tc>
          <w:tcPr>
            <w:tcW w:w="1492" w:type="dxa"/>
            <w:vMerge w:val="restart"/>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36890D7"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b/>
                <w:sz w:val="20"/>
                <w:szCs w:val="20"/>
              </w:rPr>
              <w:t>Rationale behind EAG base case assumptions</w:t>
            </w:r>
          </w:p>
        </w:tc>
      </w:tr>
      <w:tr w:rsidR="00EA2D90" w:rsidRPr="00EA2D90" w14:paraId="4C2B17DD" w14:textId="77777777" w:rsidTr="002D01E9">
        <w:trPr>
          <w:trHeight w:val="1026"/>
          <w:tblHeader/>
        </w:trPr>
        <w:tc>
          <w:tcPr>
            <w:tcW w:w="0" w:type="auto"/>
            <w:vMerge/>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hideMark/>
          </w:tcPr>
          <w:p w14:paraId="737223CD" w14:textId="77777777" w:rsidR="00EA2D90" w:rsidRPr="002F07DE" w:rsidRDefault="00EA2D90" w:rsidP="00EA2D90">
            <w:pPr>
              <w:rPr>
                <w:rFonts w:asciiTheme="minorHAnsi" w:hAnsiTheme="minorHAnsi" w:cstheme="minorHAnsi"/>
                <w:sz w:val="20"/>
                <w:szCs w:val="20"/>
              </w:rPr>
            </w:pPr>
          </w:p>
        </w:tc>
        <w:tc>
          <w:tcPr>
            <w:tcW w:w="1996" w:type="dxa"/>
            <w:tcBorders>
              <w:top w:val="nil"/>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7CD45A8B"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Natalizumab-IV</w:t>
            </w:r>
          </w:p>
          <w:p w14:paraId="79A27610"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Natalizumab-biosimilar-IV</w:t>
            </w:r>
          </w:p>
          <w:p w14:paraId="68982F7B"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Natalizumab-SC</w:t>
            </w:r>
          </w:p>
        </w:tc>
        <w:tc>
          <w:tcPr>
            <w:tcW w:w="1418" w:type="dxa"/>
            <w:tcBorders>
              <w:top w:val="nil"/>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316282A3"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Natalizumab-IV</w:t>
            </w:r>
          </w:p>
          <w:p w14:paraId="2B3A71D8"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Natalizumab-SC</w:t>
            </w:r>
          </w:p>
        </w:tc>
        <w:tc>
          <w:tcPr>
            <w:tcW w:w="1428" w:type="dxa"/>
            <w:tcBorders>
              <w:top w:val="nil"/>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7C2E4202"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Natalizumab-biosimilar-IV</w:t>
            </w:r>
          </w:p>
        </w:tc>
        <w:tc>
          <w:tcPr>
            <w:tcW w:w="0" w:type="auto"/>
            <w:vMerge/>
            <w:tcBorders>
              <w:top w:val="single" w:sz="8" w:space="0" w:color="auto"/>
              <w:left w:val="nil"/>
              <w:bottom w:val="single" w:sz="8" w:space="0" w:color="auto"/>
              <w:right w:val="single" w:sz="8" w:space="0" w:color="auto"/>
            </w:tcBorders>
            <w:shd w:val="clear" w:color="auto" w:fill="D9E2F3" w:themeFill="accent1" w:themeFillTint="33"/>
            <w:vAlign w:val="center"/>
            <w:hideMark/>
          </w:tcPr>
          <w:p w14:paraId="15A73F10" w14:textId="77777777" w:rsidR="00EA2D90" w:rsidRPr="002F07DE" w:rsidRDefault="00EA2D90" w:rsidP="00EA2D90">
            <w:pPr>
              <w:rPr>
                <w:rFonts w:asciiTheme="minorHAnsi" w:hAnsiTheme="minorHAnsi" w:cstheme="minorHAnsi"/>
                <w:sz w:val="20"/>
                <w:szCs w:val="20"/>
              </w:rPr>
            </w:pPr>
          </w:p>
        </w:tc>
      </w:tr>
      <w:tr w:rsidR="00A40951" w:rsidRPr="00EA2D90" w14:paraId="47184BC8" w14:textId="77777777" w:rsidTr="009F6310">
        <w:trPr>
          <w:trHeight w:val="1026"/>
        </w:trPr>
        <w:tc>
          <w:tcPr>
            <w:tcW w:w="0" w:type="auto"/>
            <w:tcBorders>
              <w:top w:val="single" w:sz="8" w:space="0" w:color="auto"/>
              <w:left w:val="single" w:sz="8" w:space="0" w:color="auto"/>
              <w:bottom w:val="single" w:sz="8" w:space="0" w:color="auto"/>
              <w:right w:val="single" w:sz="8" w:space="0" w:color="auto"/>
            </w:tcBorders>
            <w:shd w:val="clear" w:color="auto" w:fill="FFFFFF"/>
            <w:vAlign w:val="center"/>
          </w:tcPr>
          <w:p w14:paraId="7F770414" w14:textId="540F65AA" w:rsidR="00A40951" w:rsidRPr="002F07DE" w:rsidRDefault="00A40951" w:rsidP="00EA2D90">
            <w:pPr>
              <w:rPr>
                <w:rFonts w:asciiTheme="minorHAnsi" w:hAnsiTheme="minorHAnsi" w:cstheme="minorHAnsi"/>
                <w:sz w:val="20"/>
                <w:szCs w:val="20"/>
              </w:rPr>
            </w:pPr>
            <w:r w:rsidRPr="002F07DE">
              <w:rPr>
                <w:rFonts w:asciiTheme="minorHAnsi" w:hAnsiTheme="minorHAnsi" w:cstheme="minorHAnsi"/>
                <w:sz w:val="20"/>
                <w:szCs w:val="20"/>
              </w:rPr>
              <w:t>Comparators</w:t>
            </w:r>
          </w:p>
        </w:tc>
        <w:tc>
          <w:tcPr>
            <w:tcW w:w="19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96A579" w14:textId="17CAF787" w:rsidR="004F1D3A" w:rsidRPr="00B9036E" w:rsidRDefault="008C7E24" w:rsidP="00B9036E">
            <w:pPr>
              <w:rPr>
                <w:rFonts w:asciiTheme="minorHAnsi" w:hAnsiTheme="minorHAnsi" w:cstheme="minorHAnsi"/>
                <w:sz w:val="20"/>
                <w:szCs w:val="20"/>
              </w:rPr>
            </w:pPr>
            <w:r w:rsidRPr="00B9036E">
              <w:rPr>
                <w:rFonts w:asciiTheme="minorHAnsi" w:hAnsiTheme="minorHAnsi" w:cstheme="minorHAnsi"/>
                <w:sz w:val="20"/>
                <w:szCs w:val="20"/>
              </w:rPr>
              <w:t>Alemtuzumab</w:t>
            </w:r>
          </w:p>
          <w:p w14:paraId="42669DF7" w14:textId="7F16C827" w:rsidR="00CB7A2E" w:rsidRPr="00B9036E" w:rsidRDefault="004F1D3A" w:rsidP="00B9036E">
            <w:pPr>
              <w:rPr>
                <w:rFonts w:asciiTheme="minorHAnsi" w:hAnsiTheme="minorHAnsi" w:cstheme="minorHAnsi"/>
                <w:sz w:val="20"/>
                <w:szCs w:val="20"/>
              </w:rPr>
            </w:pPr>
            <w:r w:rsidRPr="00B9036E">
              <w:rPr>
                <w:rFonts w:asciiTheme="minorHAnsi" w:hAnsiTheme="minorHAnsi" w:cstheme="minorHAnsi"/>
                <w:sz w:val="20"/>
                <w:szCs w:val="20"/>
              </w:rPr>
              <w:t>Cladribine</w:t>
            </w:r>
            <w:r w:rsidR="008B47CB">
              <w:rPr>
                <w:rFonts w:asciiTheme="minorHAnsi" w:hAnsiTheme="minorHAnsi" w:cstheme="minorHAnsi"/>
                <w:sz w:val="20"/>
                <w:szCs w:val="20"/>
              </w:rPr>
              <w:t xml:space="preserve"> </w:t>
            </w:r>
            <w:r w:rsidR="001F6D05" w:rsidRPr="00B9036E">
              <w:rPr>
                <w:rFonts w:asciiTheme="minorHAnsi" w:hAnsiTheme="minorHAnsi" w:cstheme="minorHAnsi"/>
                <w:sz w:val="20"/>
                <w:szCs w:val="20"/>
              </w:rPr>
              <w:t>t</w:t>
            </w:r>
            <w:r w:rsidR="008C3D9F" w:rsidRPr="00B9036E">
              <w:rPr>
                <w:rFonts w:asciiTheme="minorHAnsi" w:hAnsiTheme="minorHAnsi" w:cstheme="minorHAnsi"/>
                <w:sz w:val="20"/>
                <w:szCs w:val="20"/>
              </w:rPr>
              <w:t>ablets</w:t>
            </w:r>
          </w:p>
          <w:p w14:paraId="129F6DB5" w14:textId="0375345E" w:rsidR="00CB7A2E" w:rsidRPr="00B9036E" w:rsidRDefault="00CB7A2E" w:rsidP="00B9036E">
            <w:pPr>
              <w:rPr>
                <w:rFonts w:asciiTheme="minorHAnsi" w:hAnsiTheme="minorHAnsi" w:cstheme="minorHAnsi"/>
                <w:sz w:val="20"/>
                <w:szCs w:val="20"/>
              </w:rPr>
            </w:pPr>
            <w:r w:rsidRPr="00B9036E">
              <w:rPr>
                <w:rFonts w:asciiTheme="minorHAnsi" w:hAnsiTheme="minorHAnsi" w:cstheme="minorHAnsi"/>
                <w:sz w:val="20"/>
                <w:szCs w:val="20"/>
              </w:rPr>
              <w:t>Fingolimod</w:t>
            </w:r>
          </w:p>
          <w:p w14:paraId="01D578D1" w14:textId="065568CB" w:rsidR="003977D0" w:rsidRPr="00B9036E" w:rsidRDefault="003977D0" w:rsidP="00B9036E">
            <w:pPr>
              <w:rPr>
                <w:rFonts w:asciiTheme="minorHAnsi" w:hAnsiTheme="minorHAnsi" w:cstheme="minorHAnsi"/>
                <w:sz w:val="20"/>
                <w:szCs w:val="20"/>
              </w:rPr>
            </w:pPr>
            <w:r w:rsidRPr="00B9036E">
              <w:rPr>
                <w:rFonts w:asciiTheme="minorHAnsi" w:hAnsiTheme="minorHAnsi" w:cstheme="minorHAnsi"/>
                <w:sz w:val="20"/>
                <w:szCs w:val="20"/>
              </w:rPr>
              <w:t>Ocrelizumab</w:t>
            </w:r>
          </w:p>
          <w:p w14:paraId="5D0D6EC0" w14:textId="69495DAD" w:rsidR="00F71A14" w:rsidRPr="00B9036E" w:rsidRDefault="00F71A14" w:rsidP="00B9036E">
            <w:pPr>
              <w:rPr>
                <w:rFonts w:asciiTheme="minorHAnsi" w:hAnsiTheme="minorHAnsi" w:cstheme="minorHAnsi"/>
                <w:sz w:val="20"/>
                <w:szCs w:val="20"/>
              </w:rPr>
            </w:pPr>
            <w:r w:rsidRPr="00B9036E">
              <w:rPr>
                <w:rFonts w:asciiTheme="minorHAnsi" w:hAnsiTheme="minorHAnsi" w:cstheme="minorHAnsi"/>
                <w:sz w:val="20"/>
                <w:szCs w:val="20"/>
              </w:rPr>
              <w:t>Ofatumumab</w:t>
            </w:r>
          </w:p>
          <w:p w14:paraId="11946DC1" w14:textId="22838175" w:rsidR="001F6D05" w:rsidRPr="00B9036E" w:rsidRDefault="001F6D05" w:rsidP="00B9036E">
            <w:pPr>
              <w:rPr>
                <w:rFonts w:asciiTheme="minorHAnsi" w:hAnsiTheme="minorHAnsi" w:cstheme="minorHAnsi"/>
                <w:sz w:val="20"/>
                <w:szCs w:val="20"/>
              </w:rPr>
            </w:pPr>
            <w:r w:rsidRPr="00B9036E">
              <w:rPr>
                <w:rFonts w:asciiTheme="minorHAnsi" w:hAnsiTheme="minorHAnsi" w:cstheme="minorHAnsi"/>
                <w:sz w:val="20"/>
                <w:szCs w:val="20"/>
              </w:rPr>
              <w:t>Ponesimod</w:t>
            </w:r>
          </w:p>
          <w:p w14:paraId="32EE1A68" w14:textId="14FB9568" w:rsidR="00C06360" w:rsidRPr="00B9036E" w:rsidRDefault="00C06360" w:rsidP="00B9036E">
            <w:pPr>
              <w:rPr>
                <w:rFonts w:asciiTheme="minorHAnsi" w:hAnsiTheme="minorHAnsi" w:cstheme="minorHAnsi"/>
                <w:sz w:val="20"/>
                <w:szCs w:val="20"/>
              </w:rPr>
            </w:pPr>
            <w:r w:rsidRPr="00B9036E">
              <w:rPr>
                <w:rFonts w:asciiTheme="minorHAnsi" w:hAnsiTheme="minorHAnsi" w:cstheme="minorHAnsi"/>
                <w:sz w:val="20"/>
                <w:szCs w:val="20"/>
              </w:rPr>
              <w:t xml:space="preserve">Interferon beta 1a </w:t>
            </w:r>
            <w:r w:rsidR="007C7EB5" w:rsidRPr="00B9036E">
              <w:rPr>
                <w:rFonts w:asciiTheme="minorHAnsi" w:hAnsiTheme="minorHAnsi" w:cstheme="minorHAnsi"/>
                <w:sz w:val="20"/>
                <w:szCs w:val="20"/>
              </w:rPr>
              <w:t>30</w:t>
            </w:r>
            <w:r w:rsidRPr="00B9036E">
              <w:rPr>
                <w:rFonts w:asciiTheme="minorHAnsi" w:hAnsiTheme="minorHAnsi" w:cstheme="minorHAnsi"/>
                <w:sz w:val="20"/>
                <w:szCs w:val="20"/>
              </w:rPr>
              <w:t xml:space="preserve"> mcg</w:t>
            </w:r>
          </w:p>
          <w:p w14:paraId="5D96674C" w14:textId="089636BD" w:rsidR="00D203C1" w:rsidRPr="00B9036E" w:rsidRDefault="00D203C1" w:rsidP="00B9036E">
            <w:pPr>
              <w:rPr>
                <w:rFonts w:asciiTheme="minorHAnsi" w:hAnsiTheme="minorHAnsi" w:cstheme="minorHAnsi"/>
                <w:sz w:val="20"/>
                <w:szCs w:val="20"/>
              </w:rPr>
            </w:pPr>
            <w:r w:rsidRPr="00B9036E">
              <w:rPr>
                <w:rFonts w:asciiTheme="minorHAnsi" w:hAnsiTheme="minorHAnsi" w:cstheme="minorHAnsi"/>
                <w:sz w:val="20"/>
                <w:szCs w:val="20"/>
              </w:rPr>
              <w:t>Interferon beta 1a 22 mcg</w:t>
            </w:r>
          </w:p>
          <w:p w14:paraId="296C0366" w14:textId="425E9B23" w:rsidR="00D203C1" w:rsidRPr="00B9036E" w:rsidRDefault="00D203C1" w:rsidP="00B9036E">
            <w:pPr>
              <w:rPr>
                <w:rFonts w:asciiTheme="minorHAnsi" w:hAnsiTheme="minorHAnsi" w:cstheme="minorHAnsi"/>
                <w:sz w:val="20"/>
                <w:szCs w:val="20"/>
              </w:rPr>
            </w:pPr>
            <w:r w:rsidRPr="00B9036E">
              <w:rPr>
                <w:rFonts w:asciiTheme="minorHAnsi" w:hAnsiTheme="minorHAnsi" w:cstheme="minorHAnsi"/>
                <w:sz w:val="20"/>
                <w:szCs w:val="20"/>
              </w:rPr>
              <w:t>Interferon beta 1a 44 mcg</w:t>
            </w:r>
          </w:p>
          <w:p w14:paraId="0342EBC1" w14:textId="77777777" w:rsidR="00A40951" w:rsidRPr="00B9036E" w:rsidRDefault="00092FC1" w:rsidP="00B9036E">
            <w:pPr>
              <w:rPr>
                <w:rFonts w:asciiTheme="minorHAnsi" w:hAnsiTheme="minorHAnsi" w:cstheme="minorHAnsi"/>
                <w:sz w:val="20"/>
                <w:szCs w:val="20"/>
              </w:rPr>
            </w:pPr>
            <w:r w:rsidRPr="00B9036E">
              <w:rPr>
                <w:rFonts w:asciiTheme="minorHAnsi" w:hAnsiTheme="minorHAnsi" w:cstheme="minorHAnsi"/>
                <w:sz w:val="20"/>
                <w:szCs w:val="20"/>
              </w:rPr>
              <w:t>Peginterferon beta 1a 125 mcg</w:t>
            </w:r>
          </w:p>
          <w:p w14:paraId="1353E702" w14:textId="77777777" w:rsidR="005D2BD2" w:rsidRPr="00B9036E" w:rsidRDefault="005D2BD2" w:rsidP="00B9036E">
            <w:pPr>
              <w:rPr>
                <w:rFonts w:asciiTheme="minorHAnsi" w:hAnsiTheme="minorHAnsi" w:cstheme="minorHAnsi"/>
                <w:sz w:val="20"/>
                <w:szCs w:val="20"/>
              </w:rPr>
            </w:pPr>
            <w:r w:rsidRPr="00B9036E">
              <w:rPr>
                <w:rFonts w:asciiTheme="minorHAnsi" w:hAnsiTheme="minorHAnsi" w:cstheme="minorHAnsi"/>
                <w:sz w:val="20"/>
                <w:szCs w:val="20"/>
              </w:rPr>
              <w:t>Glatiramer acetate 20 mg</w:t>
            </w:r>
          </w:p>
          <w:p w14:paraId="13E46815" w14:textId="551544D4" w:rsidR="00A40951" w:rsidRPr="00B9036E" w:rsidRDefault="005D2BD2" w:rsidP="00EA2D90">
            <w:pPr>
              <w:rPr>
                <w:rFonts w:asciiTheme="minorHAnsi" w:hAnsiTheme="minorHAnsi" w:cstheme="minorHAnsi"/>
                <w:sz w:val="20"/>
                <w:szCs w:val="20"/>
              </w:rPr>
            </w:pPr>
            <w:r w:rsidRPr="00B9036E">
              <w:rPr>
                <w:rFonts w:asciiTheme="minorHAnsi" w:hAnsiTheme="minorHAnsi" w:cstheme="minorHAnsi"/>
                <w:sz w:val="20"/>
                <w:szCs w:val="20"/>
              </w:rPr>
              <w:t>Glatiramer acetate 40 mg</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79A800" w14:textId="30D3FBBB" w:rsidR="00A40951" w:rsidRPr="002F07DE" w:rsidRDefault="00767679" w:rsidP="00EA2D90">
            <w:pPr>
              <w:rPr>
                <w:rFonts w:asciiTheme="minorHAnsi" w:hAnsiTheme="minorHAnsi" w:cstheme="minorHAnsi"/>
                <w:sz w:val="20"/>
                <w:szCs w:val="20"/>
              </w:rPr>
            </w:pPr>
            <w:r>
              <w:rPr>
                <w:rFonts w:asciiTheme="minorHAnsi" w:hAnsiTheme="minorHAnsi" w:cstheme="minorHAnsi"/>
                <w:sz w:val="20"/>
                <w:szCs w:val="20"/>
              </w:rPr>
              <w:t>None</w:t>
            </w:r>
          </w:p>
        </w:tc>
        <w:tc>
          <w:tcPr>
            <w:tcW w:w="1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7A61A2" w14:textId="77777777" w:rsidR="00A70E55" w:rsidRPr="002F07DE" w:rsidRDefault="00A70E55" w:rsidP="00A70E55">
            <w:pPr>
              <w:rPr>
                <w:rFonts w:asciiTheme="minorHAnsi" w:hAnsiTheme="minorHAnsi" w:cstheme="minorHAnsi"/>
                <w:sz w:val="20"/>
                <w:szCs w:val="20"/>
              </w:rPr>
            </w:pPr>
            <w:r w:rsidRPr="002F07DE">
              <w:rPr>
                <w:rFonts w:asciiTheme="minorHAnsi" w:hAnsiTheme="minorHAnsi" w:cstheme="minorHAnsi"/>
                <w:sz w:val="20"/>
                <w:szCs w:val="20"/>
              </w:rPr>
              <w:t>Natalizumab-IV</w:t>
            </w:r>
          </w:p>
          <w:p w14:paraId="05AEE1A2" w14:textId="77777777" w:rsidR="00A40951" w:rsidRDefault="00A70E55" w:rsidP="00A70E55">
            <w:pPr>
              <w:rPr>
                <w:rFonts w:asciiTheme="minorHAnsi" w:hAnsiTheme="minorHAnsi" w:cstheme="minorHAnsi"/>
                <w:sz w:val="20"/>
                <w:szCs w:val="20"/>
              </w:rPr>
            </w:pPr>
            <w:r w:rsidRPr="002F07DE">
              <w:rPr>
                <w:rFonts w:asciiTheme="minorHAnsi" w:hAnsiTheme="minorHAnsi" w:cstheme="minorHAnsi"/>
                <w:sz w:val="20"/>
                <w:szCs w:val="20"/>
              </w:rPr>
              <w:t>Natalizumab-SC</w:t>
            </w:r>
          </w:p>
          <w:p w14:paraId="2112C75D" w14:textId="77777777" w:rsidR="00307BDC" w:rsidRPr="00B9036E" w:rsidRDefault="00307BDC" w:rsidP="00307BDC">
            <w:pPr>
              <w:rPr>
                <w:rFonts w:asciiTheme="minorHAnsi" w:hAnsiTheme="minorHAnsi" w:cstheme="minorHAnsi"/>
                <w:sz w:val="20"/>
                <w:szCs w:val="20"/>
              </w:rPr>
            </w:pPr>
            <w:r w:rsidRPr="00B9036E">
              <w:rPr>
                <w:rFonts w:asciiTheme="minorHAnsi" w:hAnsiTheme="minorHAnsi" w:cstheme="minorHAnsi"/>
                <w:sz w:val="20"/>
                <w:szCs w:val="20"/>
              </w:rPr>
              <w:t>Ocrelizumab</w:t>
            </w:r>
          </w:p>
          <w:p w14:paraId="222ECE96" w14:textId="2A686B5A" w:rsidR="00A40951" w:rsidRPr="002F07DE" w:rsidRDefault="00307BDC" w:rsidP="00EA2D90">
            <w:pPr>
              <w:rPr>
                <w:rFonts w:asciiTheme="minorHAnsi" w:hAnsiTheme="minorHAnsi" w:cstheme="minorHAnsi"/>
                <w:sz w:val="20"/>
                <w:szCs w:val="20"/>
              </w:rPr>
            </w:pPr>
            <w:r w:rsidRPr="00B9036E">
              <w:rPr>
                <w:rFonts w:asciiTheme="minorHAnsi" w:hAnsiTheme="minorHAnsi" w:cstheme="minorHAnsi"/>
                <w:sz w:val="20"/>
                <w:szCs w:val="20"/>
              </w:rPr>
              <w:t>Ofatumumab</w:t>
            </w:r>
          </w:p>
        </w:tc>
        <w:tc>
          <w:tcPr>
            <w:tcW w:w="0" w:type="auto"/>
            <w:tcBorders>
              <w:top w:val="single" w:sz="8" w:space="0" w:color="auto"/>
              <w:left w:val="nil"/>
              <w:bottom w:val="single" w:sz="8" w:space="0" w:color="auto"/>
              <w:right w:val="single" w:sz="8" w:space="0" w:color="auto"/>
            </w:tcBorders>
            <w:shd w:val="clear" w:color="auto" w:fill="FFFFFF"/>
            <w:vAlign w:val="center"/>
          </w:tcPr>
          <w:p w14:paraId="78B80803" w14:textId="7865D5FD" w:rsidR="00A40951" w:rsidRPr="002F07DE" w:rsidRDefault="00640496" w:rsidP="00EA2D90">
            <w:pPr>
              <w:rPr>
                <w:rFonts w:asciiTheme="minorHAnsi" w:hAnsiTheme="minorHAnsi" w:cstheme="minorHAnsi"/>
                <w:sz w:val="20"/>
                <w:szCs w:val="20"/>
              </w:rPr>
            </w:pPr>
            <w:r>
              <w:rPr>
                <w:rFonts w:asciiTheme="minorHAnsi" w:hAnsiTheme="minorHAnsi" w:cstheme="minorHAnsi"/>
                <w:sz w:val="20"/>
                <w:szCs w:val="20"/>
              </w:rPr>
              <w:t>As per scope</w:t>
            </w:r>
            <w:r w:rsidR="00575340">
              <w:rPr>
                <w:rFonts w:asciiTheme="minorHAnsi" w:hAnsiTheme="minorHAnsi" w:cstheme="minorHAnsi"/>
                <w:sz w:val="20"/>
                <w:szCs w:val="20"/>
              </w:rPr>
              <w:t>.</w:t>
            </w:r>
          </w:p>
        </w:tc>
      </w:tr>
      <w:tr w:rsidR="00EA2D90" w:rsidRPr="00EA2D90" w14:paraId="01480451" w14:textId="77777777" w:rsidTr="009F6310">
        <w:trPr>
          <w:trHeight w:val="258"/>
        </w:trPr>
        <w:tc>
          <w:tcPr>
            <w:tcW w:w="26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3F44F7"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Cost-effectiveness analysis</w:t>
            </w:r>
          </w:p>
        </w:tc>
        <w:tc>
          <w:tcPr>
            <w:tcW w:w="19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457CBE"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yes</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CF43AB"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no</w:t>
            </w:r>
          </w:p>
        </w:tc>
        <w:tc>
          <w:tcPr>
            <w:tcW w:w="1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63A4E7"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no</w:t>
            </w:r>
          </w:p>
        </w:tc>
        <w:tc>
          <w:tcPr>
            <w:tcW w:w="14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BA0B15"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w:t>
            </w:r>
          </w:p>
        </w:tc>
      </w:tr>
      <w:tr w:rsidR="00EA2D90" w:rsidRPr="00EA2D90" w14:paraId="51D6305C" w14:textId="77777777" w:rsidTr="009F6310">
        <w:trPr>
          <w:trHeight w:val="258"/>
        </w:trPr>
        <w:tc>
          <w:tcPr>
            <w:tcW w:w="26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DA492E"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No of doses per year</w:t>
            </w:r>
          </w:p>
        </w:tc>
        <w:tc>
          <w:tcPr>
            <w:tcW w:w="19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363491"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yes</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8B6F38"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yes</w:t>
            </w:r>
          </w:p>
        </w:tc>
        <w:tc>
          <w:tcPr>
            <w:tcW w:w="1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36C1A9"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yes</w:t>
            </w:r>
          </w:p>
        </w:tc>
        <w:tc>
          <w:tcPr>
            <w:tcW w:w="14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B05639"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As per clinical advisors.</w:t>
            </w:r>
          </w:p>
          <w:p w14:paraId="17E89CDB"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 </w:t>
            </w:r>
          </w:p>
        </w:tc>
      </w:tr>
      <w:tr w:rsidR="00EA2D90" w:rsidRPr="00EA2D90" w14:paraId="038D207B" w14:textId="77777777" w:rsidTr="009F6310">
        <w:trPr>
          <w:trHeight w:val="275"/>
        </w:trPr>
        <w:tc>
          <w:tcPr>
            <w:tcW w:w="26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0A191C"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Treatment administration (HRG) costing –day case</w:t>
            </w:r>
          </w:p>
        </w:tc>
        <w:tc>
          <w:tcPr>
            <w:tcW w:w="19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71F8ED"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yes</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6766F3"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no</w:t>
            </w:r>
          </w:p>
        </w:tc>
        <w:tc>
          <w:tcPr>
            <w:tcW w:w="1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E563B9"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yes</w:t>
            </w:r>
          </w:p>
        </w:tc>
        <w:tc>
          <w:tcPr>
            <w:tcW w:w="14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2F9C53"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Day case is required as per clinical advisors.</w:t>
            </w:r>
          </w:p>
        </w:tc>
      </w:tr>
      <w:tr w:rsidR="00EA2D90" w:rsidRPr="00EA2D90" w14:paraId="26AF2C38" w14:textId="77777777" w:rsidTr="009F6310">
        <w:trPr>
          <w:trHeight w:val="275"/>
        </w:trPr>
        <w:tc>
          <w:tcPr>
            <w:tcW w:w="26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23B9C4"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Treatment administration activity-based costing:</w:t>
            </w:r>
          </w:p>
          <w:p w14:paraId="6D9A7F0C" w14:textId="77777777" w:rsidR="00EA2D90" w:rsidRPr="002F07DE" w:rsidRDefault="00EA2D90" w:rsidP="00EA2D90">
            <w:pPr>
              <w:numPr>
                <w:ilvl w:val="0"/>
                <w:numId w:val="6"/>
              </w:numPr>
              <w:rPr>
                <w:rFonts w:asciiTheme="minorHAnsi" w:hAnsiTheme="minorHAnsi" w:cstheme="minorHAnsi"/>
                <w:sz w:val="20"/>
                <w:szCs w:val="20"/>
              </w:rPr>
            </w:pPr>
            <w:r w:rsidRPr="002F07DE">
              <w:rPr>
                <w:rFonts w:asciiTheme="minorHAnsi" w:hAnsiTheme="minorHAnsi" w:cstheme="minorHAnsi"/>
                <w:sz w:val="20"/>
                <w:szCs w:val="20"/>
              </w:rPr>
              <w:t>Treatment administration time in minutes</w:t>
            </w:r>
          </w:p>
          <w:p w14:paraId="5B08F04F" w14:textId="77777777" w:rsidR="00EA2D90" w:rsidRPr="002F07DE" w:rsidRDefault="00EA2D90" w:rsidP="00EA2D90">
            <w:pPr>
              <w:numPr>
                <w:ilvl w:val="0"/>
                <w:numId w:val="6"/>
              </w:numPr>
              <w:rPr>
                <w:rFonts w:asciiTheme="minorHAnsi" w:hAnsiTheme="minorHAnsi" w:cstheme="minorHAnsi"/>
                <w:sz w:val="20"/>
                <w:szCs w:val="20"/>
              </w:rPr>
            </w:pPr>
            <w:r w:rsidRPr="002F07DE">
              <w:rPr>
                <w:rFonts w:asciiTheme="minorHAnsi" w:hAnsiTheme="minorHAnsi" w:cstheme="minorHAnsi"/>
                <w:sz w:val="20"/>
                <w:szCs w:val="20"/>
              </w:rPr>
              <w:t>Treatment preparation time in minutes</w:t>
            </w:r>
          </w:p>
          <w:p w14:paraId="00F7F7C5" w14:textId="77777777" w:rsidR="00EA2D90" w:rsidRPr="002F07DE" w:rsidRDefault="00EA2D90" w:rsidP="00EA2D90">
            <w:pPr>
              <w:numPr>
                <w:ilvl w:val="0"/>
                <w:numId w:val="6"/>
              </w:numPr>
              <w:rPr>
                <w:rFonts w:asciiTheme="minorHAnsi" w:hAnsiTheme="minorHAnsi" w:cstheme="minorHAnsi"/>
                <w:sz w:val="20"/>
                <w:szCs w:val="20"/>
              </w:rPr>
            </w:pPr>
            <w:r w:rsidRPr="002F07DE">
              <w:rPr>
                <w:rFonts w:asciiTheme="minorHAnsi" w:hAnsiTheme="minorHAnsi" w:cstheme="minorHAnsi"/>
                <w:sz w:val="20"/>
                <w:szCs w:val="20"/>
              </w:rPr>
              <w:t>Nurse hourly rates</w:t>
            </w:r>
          </w:p>
          <w:p w14:paraId="43E8F7B7" w14:textId="77777777" w:rsidR="00EA2D90" w:rsidRPr="002F07DE" w:rsidRDefault="00EA2D90" w:rsidP="00EA2D90">
            <w:pPr>
              <w:numPr>
                <w:ilvl w:val="0"/>
                <w:numId w:val="6"/>
              </w:numPr>
              <w:rPr>
                <w:rFonts w:asciiTheme="minorHAnsi" w:hAnsiTheme="minorHAnsi" w:cstheme="minorHAnsi"/>
                <w:sz w:val="20"/>
                <w:szCs w:val="20"/>
              </w:rPr>
            </w:pPr>
            <w:r w:rsidRPr="002F07DE">
              <w:rPr>
                <w:rFonts w:asciiTheme="minorHAnsi" w:hAnsiTheme="minorHAnsi" w:cstheme="minorHAnsi"/>
                <w:sz w:val="20"/>
                <w:szCs w:val="20"/>
              </w:rPr>
              <w:t>equipment costs per administration</w:t>
            </w:r>
          </w:p>
          <w:p w14:paraId="5B73F555" w14:textId="77777777" w:rsidR="00EA2D90" w:rsidRPr="002F07DE" w:rsidRDefault="00EA2D90" w:rsidP="00EA2D90">
            <w:pPr>
              <w:numPr>
                <w:ilvl w:val="0"/>
                <w:numId w:val="6"/>
              </w:numPr>
              <w:rPr>
                <w:rFonts w:asciiTheme="minorHAnsi" w:hAnsiTheme="minorHAnsi" w:cstheme="minorHAnsi"/>
                <w:sz w:val="20"/>
                <w:szCs w:val="20"/>
              </w:rPr>
            </w:pPr>
            <w:r w:rsidRPr="002F07DE">
              <w:rPr>
                <w:rFonts w:asciiTheme="minorHAnsi" w:hAnsiTheme="minorHAnsi" w:cstheme="minorHAnsi"/>
                <w:sz w:val="20"/>
                <w:szCs w:val="20"/>
              </w:rPr>
              <w:t>number of patients per nurse</w:t>
            </w:r>
          </w:p>
        </w:tc>
        <w:tc>
          <w:tcPr>
            <w:tcW w:w="19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97989F"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no</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6BDF6"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yes</w:t>
            </w:r>
          </w:p>
        </w:tc>
        <w:tc>
          <w:tcPr>
            <w:tcW w:w="1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727B09"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no</w:t>
            </w:r>
          </w:p>
        </w:tc>
        <w:tc>
          <w:tcPr>
            <w:tcW w:w="0" w:type="auto"/>
            <w:vMerge/>
            <w:tcBorders>
              <w:top w:val="nil"/>
              <w:left w:val="nil"/>
              <w:bottom w:val="single" w:sz="8" w:space="0" w:color="auto"/>
              <w:right w:val="single" w:sz="8" w:space="0" w:color="auto"/>
            </w:tcBorders>
            <w:shd w:val="clear" w:color="auto" w:fill="FFFFFF"/>
            <w:vAlign w:val="center"/>
            <w:hideMark/>
          </w:tcPr>
          <w:p w14:paraId="4DE6B4B4" w14:textId="77777777" w:rsidR="00EA2D90" w:rsidRPr="002F07DE" w:rsidRDefault="00EA2D90" w:rsidP="00EA2D90">
            <w:pPr>
              <w:rPr>
                <w:rFonts w:asciiTheme="minorHAnsi" w:hAnsiTheme="minorHAnsi" w:cstheme="minorHAnsi"/>
                <w:sz w:val="20"/>
                <w:szCs w:val="20"/>
              </w:rPr>
            </w:pPr>
          </w:p>
        </w:tc>
      </w:tr>
      <w:tr w:rsidR="00EA2D90" w:rsidRPr="00EA2D90" w14:paraId="588C0660" w14:textId="77777777" w:rsidTr="009F6310">
        <w:trPr>
          <w:trHeight w:val="275"/>
        </w:trPr>
        <w:tc>
          <w:tcPr>
            <w:tcW w:w="26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40171E"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Reduction in administration time</w:t>
            </w:r>
          </w:p>
        </w:tc>
        <w:tc>
          <w:tcPr>
            <w:tcW w:w="19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C3AB46"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no</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8E59F2"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yes</w:t>
            </w:r>
          </w:p>
        </w:tc>
        <w:tc>
          <w:tcPr>
            <w:tcW w:w="1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1D779F"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no</w:t>
            </w:r>
          </w:p>
        </w:tc>
        <w:tc>
          <w:tcPr>
            <w:tcW w:w="14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82FF61"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IV and SC patients are treated the same as per clinical advisors.</w:t>
            </w:r>
          </w:p>
        </w:tc>
      </w:tr>
      <w:tr w:rsidR="00EA2D90" w:rsidRPr="00EA2D90" w14:paraId="30EF7567" w14:textId="77777777" w:rsidTr="009F6310">
        <w:trPr>
          <w:trHeight w:val="275"/>
        </w:trPr>
        <w:tc>
          <w:tcPr>
            <w:tcW w:w="26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DD7E6C"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Reduction in observation:</w:t>
            </w:r>
          </w:p>
          <w:p w14:paraId="6247BE23" w14:textId="77777777" w:rsidR="00EA2D90" w:rsidRPr="002F07DE" w:rsidRDefault="00EA2D90" w:rsidP="00EA2D90">
            <w:pPr>
              <w:numPr>
                <w:ilvl w:val="0"/>
                <w:numId w:val="7"/>
              </w:numPr>
              <w:rPr>
                <w:rFonts w:asciiTheme="minorHAnsi" w:hAnsiTheme="minorHAnsi" w:cstheme="minorHAnsi"/>
                <w:sz w:val="20"/>
                <w:szCs w:val="20"/>
              </w:rPr>
            </w:pPr>
            <w:r w:rsidRPr="002F07DE">
              <w:rPr>
                <w:rFonts w:asciiTheme="minorHAnsi" w:hAnsiTheme="minorHAnsi" w:cstheme="minorHAnsi"/>
                <w:sz w:val="20"/>
                <w:szCs w:val="20"/>
              </w:rPr>
              <w:t>time</w:t>
            </w:r>
          </w:p>
          <w:p w14:paraId="75563ACD" w14:textId="77777777" w:rsidR="00EA2D90" w:rsidRPr="002F07DE" w:rsidRDefault="00EA2D90" w:rsidP="00EA2D90">
            <w:pPr>
              <w:numPr>
                <w:ilvl w:val="0"/>
                <w:numId w:val="7"/>
              </w:numPr>
              <w:rPr>
                <w:rFonts w:asciiTheme="minorHAnsi" w:hAnsiTheme="minorHAnsi" w:cstheme="minorHAnsi"/>
                <w:sz w:val="20"/>
                <w:szCs w:val="20"/>
              </w:rPr>
            </w:pPr>
            <w:r w:rsidRPr="002F07DE">
              <w:rPr>
                <w:rFonts w:asciiTheme="minorHAnsi" w:hAnsiTheme="minorHAnsi" w:cstheme="minorHAnsi"/>
                <w:sz w:val="20"/>
                <w:szCs w:val="20"/>
              </w:rPr>
              <w:t>number of patients</w:t>
            </w:r>
          </w:p>
        </w:tc>
        <w:tc>
          <w:tcPr>
            <w:tcW w:w="19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1AAE81"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no</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A5513A"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yes</w:t>
            </w:r>
          </w:p>
        </w:tc>
        <w:tc>
          <w:tcPr>
            <w:tcW w:w="1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29C0B1"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no</w:t>
            </w:r>
          </w:p>
        </w:tc>
        <w:tc>
          <w:tcPr>
            <w:tcW w:w="0" w:type="auto"/>
            <w:vMerge/>
            <w:tcBorders>
              <w:top w:val="nil"/>
              <w:left w:val="nil"/>
              <w:bottom w:val="single" w:sz="8" w:space="0" w:color="auto"/>
              <w:right w:val="single" w:sz="8" w:space="0" w:color="auto"/>
            </w:tcBorders>
            <w:shd w:val="clear" w:color="auto" w:fill="FFFFFF"/>
            <w:vAlign w:val="center"/>
            <w:hideMark/>
          </w:tcPr>
          <w:p w14:paraId="2BD1F6A2" w14:textId="77777777" w:rsidR="00EA2D90" w:rsidRPr="002F07DE" w:rsidRDefault="00EA2D90" w:rsidP="00EA2D90">
            <w:pPr>
              <w:rPr>
                <w:rFonts w:asciiTheme="minorHAnsi" w:hAnsiTheme="minorHAnsi" w:cstheme="minorHAnsi"/>
                <w:sz w:val="20"/>
                <w:szCs w:val="20"/>
              </w:rPr>
            </w:pPr>
          </w:p>
        </w:tc>
      </w:tr>
      <w:tr w:rsidR="00EA2D90" w:rsidRPr="00EA2D90" w14:paraId="4D5A7495" w14:textId="77777777" w:rsidTr="009F6310">
        <w:trPr>
          <w:trHeight w:val="275"/>
        </w:trPr>
        <w:tc>
          <w:tcPr>
            <w:tcW w:w="26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77AE02"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Annual treatment Monitoring visits with health care professionals and associated costs (in patient/out patient care, tests, etc..)</w:t>
            </w:r>
          </w:p>
        </w:tc>
        <w:tc>
          <w:tcPr>
            <w:tcW w:w="19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5B6868"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yes</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C123FE"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no</w:t>
            </w:r>
          </w:p>
        </w:tc>
        <w:tc>
          <w:tcPr>
            <w:tcW w:w="1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8E8252"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no</w:t>
            </w:r>
          </w:p>
        </w:tc>
        <w:tc>
          <w:tcPr>
            <w:tcW w:w="14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2A3C5B" w14:textId="77777777" w:rsidR="00EA2D90" w:rsidRPr="002F07DE" w:rsidRDefault="00EA2D90" w:rsidP="00EA2D90">
            <w:pPr>
              <w:rPr>
                <w:rFonts w:asciiTheme="minorHAnsi" w:hAnsiTheme="minorHAnsi" w:cstheme="minorHAnsi"/>
                <w:sz w:val="20"/>
                <w:szCs w:val="20"/>
              </w:rPr>
            </w:pPr>
            <w:r w:rsidRPr="002F07DE">
              <w:rPr>
                <w:rFonts w:asciiTheme="minorHAnsi" w:hAnsiTheme="minorHAnsi" w:cstheme="minorHAnsi"/>
                <w:sz w:val="20"/>
                <w:szCs w:val="20"/>
              </w:rPr>
              <w:t>Required as per clinical advisors.</w:t>
            </w:r>
          </w:p>
        </w:tc>
      </w:tr>
    </w:tbl>
    <w:p w14:paraId="16BDAF4B" w14:textId="77777777" w:rsidR="00EA2D90" w:rsidRDefault="00EA2D90" w:rsidP="00343398"/>
    <w:sectPr w:rsidR="00EA2D90" w:rsidSect="0050594F">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754D2" w14:textId="77777777" w:rsidR="004E3DF3" w:rsidRDefault="004E3DF3" w:rsidP="00747727">
      <w:pPr>
        <w:spacing w:line="240" w:lineRule="auto"/>
      </w:pPr>
      <w:r>
        <w:separator/>
      </w:r>
    </w:p>
  </w:endnote>
  <w:endnote w:type="continuationSeparator" w:id="0">
    <w:p w14:paraId="52297A9B" w14:textId="77777777" w:rsidR="004E3DF3" w:rsidRDefault="004E3DF3" w:rsidP="00747727">
      <w:pPr>
        <w:spacing w:line="240" w:lineRule="auto"/>
      </w:pPr>
      <w:r>
        <w:continuationSeparator/>
      </w:r>
    </w:p>
  </w:endnote>
  <w:endnote w:type="continuationNotice" w:id="1">
    <w:p w14:paraId="7A4CCB86" w14:textId="77777777" w:rsidR="004E3DF3" w:rsidRDefault="004E3D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7B5F" w14:textId="77777777" w:rsidR="00747727" w:rsidRDefault="00747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1B8A" w14:textId="77777777" w:rsidR="004E3DF3" w:rsidRDefault="004E3DF3" w:rsidP="00747727">
      <w:pPr>
        <w:spacing w:line="240" w:lineRule="auto"/>
      </w:pPr>
      <w:r>
        <w:separator/>
      </w:r>
    </w:p>
  </w:footnote>
  <w:footnote w:type="continuationSeparator" w:id="0">
    <w:p w14:paraId="42653DFD" w14:textId="77777777" w:rsidR="004E3DF3" w:rsidRDefault="004E3DF3" w:rsidP="00747727">
      <w:pPr>
        <w:spacing w:line="240" w:lineRule="auto"/>
      </w:pPr>
      <w:r>
        <w:continuationSeparator/>
      </w:r>
    </w:p>
  </w:footnote>
  <w:footnote w:type="continuationNotice" w:id="1">
    <w:p w14:paraId="65F02BFE" w14:textId="77777777" w:rsidR="004E3DF3" w:rsidRDefault="004E3DF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5CB"/>
    <w:multiLevelType w:val="hybridMultilevel"/>
    <w:tmpl w:val="6BE49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D64EC"/>
    <w:multiLevelType w:val="hybridMultilevel"/>
    <w:tmpl w:val="4B1E571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32C72E37"/>
    <w:multiLevelType w:val="multilevel"/>
    <w:tmpl w:val="6CC2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D1031D"/>
    <w:multiLevelType w:val="hybridMultilevel"/>
    <w:tmpl w:val="43B4B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C334D9"/>
    <w:multiLevelType w:val="hybridMultilevel"/>
    <w:tmpl w:val="33D2861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586C6318"/>
    <w:multiLevelType w:val="hybridMultilevel"/>
    <w:tmpl w:val="1B120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B26C36"/>
    <w:multiLevelType w:val="hybridMultilevel"/>
    <w:tmpl w:val="51A6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4C4BAD"/>
    <w:multiLevelType w:val="multilevel"/>
    <w:tmpl w:val="E26E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1266829">
    <w:abstractNumId w:val="3"/>
  </w:num>
  <w:num w:numId="2" w16cid:durableId="103697354">
    <w:abstractNumId w:val="4"/>
  </w:num>
  <w:num w:numId="3" w16cid:durableId="696854203">
    <w:abstractNumId w:val="1"/>
  </w:num>
  <w:num w:numId="4" w16cid:durableId="1979337148">
    <w:abstractNumId w:val="0"/>
  </w:num>
  <w:num w:numId="5" w16cid:durableId="1567372007">
    <w:abstractNumId w:val="5"/>
  </w:num>
  <w:num w:numId="6" w16cid:durableId="1615214069">
    <w:abstractNumId w:val="7"/>
  </w:num>
  <w:num w:numId="7" w16cid:durableId="1196506899">
    <w:abstractNumId w:val="2"/>
  </w:num>
  <w:num w:numId="8" w16cid:durableId="853033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2B"/>
    <w:rsid w:val="00004504"/>
    <w:rsid w:val="00024075"/>
    <w:rsid w:val="0003372E"/>
    <w:rsid w:val="000454D1"/>
    <w:rsid w:val="00046A32"/>
    <w:rsid w:val="00075DFD"/>
    <w:rsid w:val="00091980"/>
    <w:rsid w:val="00092FC1"/>
    <w:rsid w:val="00093326"/>
    <w:rsid w:val="00095556"/>
    <w:rsid w:val="0009731B"/>
    <w:rsid w:val="000A6DAC"/>
    <w:rsid w:val="000B1B91"/>
    <w:rsid w:val="000C12E6"/>
    <w:rsid w:val="000D55F8"/>
    <w:rsid w:val="00144B3E"/>
    <w:rsid w:val="001561E0"/>
    <w:rsid w:val="00174A42"/>
    <w:rsid w:val="00187E0C"/>
    <w:rsid w:val="00195874"/>
    <w:rsid w:val="001A4540"/>
    <w:rsid w:val="001B15B0"/>
    <w:rsid w:val="001C504C"/>
    <w:rsid w:val="001D3723"/>
    <w:rsid w:val="001D4014"/>
    <w:rsid w:val="001E416E"/>
    <w:rsid w:val="001E5567"/>
    <w:rsid w:val="001E7E36"/>
    <w:rsid w:val="001F042F"/>
    <w:rsid w:val="001F20B6"/>
    <w:rsid w:val="001F4F30"/>
    <w:rsid w:val="001F6D05"/>
    <w:rsid w:val="00223131"/>
    <w:rsid w:val="0023280C"/>
    <w:rsid w:val="002334C9"/>
    <w:rsid w:val="00255C23"/>
    <w:rsid w:val="00256BE6"/>
    <w:rsid w:val="00291D13"/>
    <w:rsid w:val="002A0E49"/>
    <w:rsid w:val="002A1557"/>
    <w:rsid w:val="002B079F"/>
    <w:rsid w:val="002C1FAF"/>
    <w:rsid w:val="002D01E9"/>
    <w:rsid w:val="002F07DE"/>
    <w:rsid w:val="00301AAE"/>
    <w:rsid w:val="00307BDC"/>
    <w:rsid w:val="0032617B"/>
    <w:rsid w:val="00343398"/>
    <w:rsid w:val="00356D1E"/>
    <w:rsid w:val="00382F7B"/>
    <w:rsid w:val="00396134"/>
    <w:rsid w:val="003977D0"/>
    <w:rsid w:val="003A759E"/>
    <w:rsid w:val="003C1BB3"/>
    <w:rsid w:val="003C6CDC"/>
    <w:rsid w:val="003E756C"/>
    <w:rsid w:val="003F259C"/>
    <w:rsid w:val="003F799C"/>
    <w:rsid w:val="00403B64"/>
    <w:rsid w:val="00404F60"/>
    <w:rsid w:val="00413253"/>
    <w:rsid w:val="0043014A"/>
    <w:rsid w:val="00437BC5"/>
    <w:rsid w:val="00463793"/>
    <w:rsid w:val="00477DEA"/>
    <w:rsid w:val="004977C6"/>
    <w:rsid w:val="004B5A10"/>
    <w:rsid w:val="004C66CA"/>
    <w:rsid w:val="004C79C6"/>
    <w:rsid w:val="004D2DB5"/>
    <w:rsid w:val="004D3C74"/>
    <w:rsid w:val="004E1324"/>
    <w:rsid w:val="004E3DF3"/>
    <w:rsid w:val="004F1D3A"/>
    <w:rsid w:val="0050594F"/>
    <w:rsid w:val="00526169"/>
    <w:rsid w:val="00534241"/>
    <w:rsid w:val="005550D5"/>
    <w:rsid w:val="00560647"/>
    <w:rsid w:val="00570B7B"/>
    <w:rsid w:val="00575340"/>
    <w:rsid w:val="00592321"/>
    <w:rsid w:val="005B3F1F"/>
    <w:rsid w:val="005D0880"/>
    <w:rsid w:val="005D2BD2"/>
    <w:rsid w:val="005D3653"/>
    <w:rsid w:val="005D4CBE"/>
    <w:rsid w:val="005E054D"/>
    <w:rsid w:val="005E4B71"/>
    <w:rsid w:val="00610D8E"/>
    <w:rsid w:val="006168FA"/>
    <w:rsid w:val="00621961"/>
    <w:rsid w:val="00630094"/>
    <w:rsid w:val="006347B2"/>
    <w:rsid w:val="00640496"/>
    <w:rsid w:val="00644B4D"/>
    <w:rsid w:val="00644C7B"/>
    <w:rsid w:val="00644F42"/>
    <w:rsid w:val="00653397"/>
    <w:rsid w:val="00653921"/>
    <w:rsid w:val="0067644C"/>
    <w:rsid w:val="00687560"/>
    <w:rsid w:val="006975E6"/>
    <w:rsid w:val="006B1304"/>
    <w:rsid w:val="006B2EB7"/>
    <w:rsid w:val="006B49C4"/>
    <w:rsid w:val="006B568E"/>
    <w:rsid w:val="006C268B"/>
    <w:rsid w:val="006C6CF9"/>
    <w:rsid w:val="006D2D8D"/>
    <w:rsid w:val="006D727B"/>
    <w:rsid w:val="006E2970"/>
    <w:rsid w:val="006E4075"/>
    <w:rsid w:val="006E56A9"/>
    <w:rsid w:val="006F069F"/>
    <w:rsid w:val="00705FBC"/>
    <w:rsid w:val="00720F44"/>
    <w:rsid w:val="00726614"/>
    <w:rsid w:val="00726A57"/>
    <w:rsid w:val="007408EE"/>
    <w:rsid w:val="0074271F"/>
    <w:rsid w:val="00747727"/>
    <w:rsid w:val="007546EF"/>
    <w:rsid w:val="0075707E"/>
    <w:rsid w:val="00767679"/>
    <w:rsid w:val="007723D2"/>
    <w:rsid w:val="00782BAE"/>
    <w:rsid w:val="007C132F"/>
    <w:rsid w:val="007C3A2E"/>
    <w:rsid w:val="007C7EB5"/>
    <w:rsid w:val="007E13BE"/>
    <w:rsid w:val="007E3817"/>
    <w:rsid w:val="008058EE"/>
    <w:rsid w:val="00814BC8"/>
    <w:rsid w:val="0085458B"/>
    <w:rsid w:val="008A3BF4"/>
    <w:rsid w:val="008B25CE"/>
    <w:rsid w:val="008B47CB"/>
    <w:rsid w:val="008B779F"/>
    <w:rsid w:val="008C18AA"/>
    <w:rsid w:val="008C3D9F"/>
    <w:rsid w:val="008C7DC7"/>
    <w:rsid w:val="008C7E24"/>
    <w:rsid w:val="008D6BEA"/>
    <w:rsid w:val="00912FAE"/>
    <w:rsid w:val="0092214D"/>
    <w:rsid w:val="00922D1D"/>
    <w:rsid w:val="0092590B"/>
    <w:rsid w:val="0093479D"/>
    <w:rsid w:val="00941FE5"/>
    <w:rsid w:val="0094627D"/>
    <w:rsid w:val="00951BF0"/>
    <w:rsid w:val="00973536"/>
    <w:rsid w:val="00973C82"/>
    <w:rsid w:val="00992182"/>
    <w:rsid w:val="009B43A3"/>
    <w:rsid w:val="009B64F1"/>
    <w:rsid w:val="009B700F"/>
    <w:rsid w:val="009C6C52"/>
    <w:rsid w:val="009E3DD4"/>
    <w:rsid w:val="009E460D"/>
    <w:rsid w:val="009F3707"/>
    <w:rsid w:val="009F4045"/>
    <w:rsid w:val="009F6310"/>
    <w:rsid w:val="00A04E63"/>
    <w:rsid w:val="00A26C38"/>
    <w:rsid w:val="00A40951"/>
    <w:rsid w:val="00A4490A"/>
    <w:rsid w:val="00A50338"/>
    <w:rsid w:val="00A70E55"/>
    <w:rsid w:val="00AA3BED"/>
    <w:rsid w:val="00AD1242"/>
    <w:rsid w:val="00AE0242"/>
    <w:rsid w:val="00AE3D87"/>
    <w:rsid w:val="00B124D0"/>
    <w:rsid w:val="00B17B2A"/>
    <w:rsid w:val="00B331A3"/>
    <w:rsid w:val="00B6399D"/>
    <w:rsid w:val="00B67102"/>
    <w:rsid w:val="00B76229"/>
    <w:rsid w:val="00B81E89"/>
    <w:rsid w:val="00B8408D"/>
    <w:rsid w:val="00B9036E"/>
    <w:rsid w:val="00BA127F"/>
    <w:rsid w:val="00BB102E"/>
    <w:rsid w:val="00BB5942"/>
    <w:rsid w:val="00BC2F4A"/>
    <w:rsid w:val="00BC5440"/>
    <w:rsid w:val="00BD1AC6"/>
    <w:rsid w:val="00BE2779"/>
    <w:rsid w:val="00BF3255"/>
    <w:rsid w:val="00C00412"/>
    <w:rsid w:val="00C06360"/>
    <w:rsid w:val="00C2655D"/>
    <w:rsid w:val="00C40834"/>
    <w:rsid w:val="00C477B7"/>
    <w:rsid w:val="00C60859"/>
    <w:rsid w:val="00C6091C"/>
    <w:rsid w:val="00C64C6C"/>
    <w:rsid w:val="00C7294A"/>
    <w:rsid w:val="00C92FE2"/>
    <w:rsid w:val="00CB1236"/>
    <w:rsid w:val="00CB21E5"/>
    <w:rsid w:val="00CB6596"/>
    <w:rsid w:val="00CB7A2E"/>
    <w:rsid w:val="00CF3022"/>
    <w:rsid w:val="00D143FF"/>
    <w:rsid w:val="00D203C1"/>
    <w:rsid w:val="00D23532"/>
    <w:rsid w:val="00D44C27"/>
    <w:rsid w:val="00D5059E"/>
    <w:rsid w:val="00D56771"/>
    <w:rsid w:val="00D84F46"/>
    <w:rsid w:val="00D90BBD"/>
    <w:rsid w:val="00D93902"/>
    <w:rsid w:val="00D95F8B"/>
    <w:rsid w:val="00DA2FBD"/>
    <w:rsid w:val="00DC24A5"/>
    <w:rsid w:val="00DE1F0D"/>
    <w:rsid w:val="00DE5345"/>
    <w:rsid w:val="00E009EC"/>
    <w:rsid w:val="00E241AD"/>
    <w:rsid w:val="00E31599"/>
    <w:rsid w:val="00E34C83"/>
    <w:rsid w:val="00E605D9"/>
    <w:rsid w:val="00E67E1A"/>
    <w:rsid w:val="00E75B7A"/>
    <w:rsid w:val="00E86A05"/>
    <w:rsid w:val="00E8723F"/>
    <w:rsid w:val="00E90480"/>
    <w:rsid w:val="00E918FE"/>
    <w:rsid w:val="00EA2D90"/>
    <w:rsid w:val="00EC3DEB"/>
    <w:rsid w:val="00F066E0"/>
    <w:rsid w:val="00F1007A"/>
    <w:rsid w:val="00F43E2B"/>
    <w:rsid w:val="00F56447"/>
    <w:rsid w:val="00F61F3E"/>
    <w:rsid w:val="00F71A14"/>
    <w:rsid w:val="00F9086C"/>
    <w:rsid w:val="00F92932"/>
    <w:rsid w:val="00F9662E"/>
    <w:rsid w:val="00FA629B"/>
    <w:rsid w:val="00FA74FB"/>
    <w:rsid w:val="00FC792D"/>
    <w:rsid w:val="00FD7B30"/>
    <w:rsid w:val="00FF23C0"/>
    <w:rsid w:val="733E1B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C09D"/>
  <w15:chartTrackingRefBased/>
  <w15:docId w15:val="{D7F549AB-6998-4C75-B985-8DBBC50E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2B"/>
    <w:pPr>
      <w:spacing w:after="0" w:line="264" w:lineRule="auto"/>
    </w:pPr>
    <w:rPr>
      <w:rFonts w:ascii="Calibri" w:eastAsia="DengXian" w:hAnsi="Calibri" w:cs="Calibri"/>
      <w:sz w:val="24"/>
      <w:szCs w:val="24"/>
      <w:lang w:eastAsia="zh-CN"/>
    </w:rPr>
  </w:style>
  <w:style w:type="paragraph" w:styleId="Heading1">
    <w:name w:val="heading 1"/>
    <w:basedOn w:val="Normal"/>
    <w:next w:val="Normal"/>
    <w:link w:val="Heading1Char"/>
    <w:uiPriority w:val="9"/>
    <w:qFormat/>
    <w:rsid w:val="00F43E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3E2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A454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05FB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24A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43E2B"/>
    <w:pPr>
      <w:spacing w:line="240" w:lineRule="auto"/>
      <w:contextualSpacing/>
      <w:jc w:val="center"/>
    </w:pPr>
    <w:rPr>
      <w:rFonts w:ascii="Calibri Light" w:eastAsia="SimSun" w:hAnsi="Calibri Light" w:cs="Times New Roman"/>
      <w:color w:val="002F5F"/>
      <w:spacing w:val="-10"/>
      <w:sz w:val="56"/>
      <w:szCs w:val="56"/>
    </w:rPr>
  </w:style>
  <w:style w:type="character" w:customStyle="1" w:styleId="TitleChar">
    <w:name w:val="Title Char"/>
    <w:basedOn w:val="DefaultParagraphFont"/>
    <w:link w:val="Title"/>
    <w:uiPriority w:val="10"/>
    <w:rsid w:val="00F43E2B"/>
    <w:rPr>
      <w:rFonts w:ascii="Calibri Light" w:eastAsia="SimSun" w:hAnsi="Calibri Light" w:cs="Times New Roman"/>
      <w:color w:val="002F5F"/>
      <w:spacing w:val="-10"/>
      <w:sz w:val="56"/>
      <w:szCs w:val="56"/>
      <w:lang w:eastAsia="zh-CN"/>
    </w:rPr>
  </w:style>
  <w:style w:type="character" w:styleId="CommentReference">
    <w:name w:val="annotation reference"/>
    <w:basedOn w:val="DefaultParagraphFont"/>
    <w:uiPriority w:val="99"/>
    <w:semiHidden/>
    <w:unhideWhenUsed/>
    <w:rsid w:val="00F43E2B"/>
    <w:rPr>
      <w:sz w:val="16"/>
      <w:szCs w:val="16"/>
    </w:rPr>
  </w:style>
  <w:style w:type="paragraph" w:styleId="CommentText">
    <w:name w:val="annotation text"/>
    <w:basedOn w:val="Normal"/>
    <w:link w:val="CommentTextChar"/>
    <w:uiPriority w:val="99"/>
    <w:unhideWhenUsed/>
    <w:rsid w:val="00F43E2B"/>
    <w:pPr>
      <w:spacing w:line="240" w:lineRule="auto"/>
    </w:pPr>
    <w:rPr>
      <w:sz w:val="20"/>
      <w:szCs w:val="20"/>
    </w:rPr>
  </w:style>
  <w:style w:type="character" w:customStyle="1" w:styleId="CommentTextChar">
    <w:name w:val="Comment Text Char"/>
    <w:basedOn w:val="DefaultParagraphFont"/>
    <w:link w:val="CommentText"/>
    <w:uiPriority w:val="99"/>
    <w:rsid w:val="00F43E2B"/>
    <w:rPr>
      <w:rFonts w:ascii="Calibri" w:eastAsia="DengXian" w:hAnsi="Calibri" w:cs="Calibri"/>
      <w:sz w:val="20"/>
      <w:szCs w:val="20"/>
      <w:lang w:eastAsia="zh-CN"/>
    </w:rPr>
  </w:style>
  <w:style w:type="character" w:styleId="Hyperlink">
    <w:name w:val="Hyperlink"/>
    <w:basedOn w:val="DefaultParagraphFont"/>
    <w:uiPriority w:val="99"/>
    <w:unhideWhenUsed/>
    <w:rsid w:val="00F43E2B"/>
    <w:rPr>
      <w:color w:val="0563C1" w:themeColor="hyperlink"/>
      <w:u w:val="single"/>
    </w:rPr>
  </w:style>
  <w:style w:type="paragraph" w:customStyle="1" w:styleId="Heading2noTOC">
    <w:name w:val="Heading2 no TOC"/>
    <w:basedOn w:val="Heading2"/>
    <w:link w:val="Heading2noTOCChar"/>
    <w:qFormat/>
    <w:rsid w:val="00F43E2B"/>
    <w:pPr>
      <w:keepLines w:val="0"/>
      <w:spacing w:before="0"/>
      <w:ind w:left="576" w:hanging="576"/>
    </w:pPr>
    <w:rPr>
      <w:rFonts w:ascii="Calibri Light" w:eastAsia="Times New Roman" w:hAnsi="Calibri Light" w:cs="Calibri Light"/>
      <w:bCs/>
      <w:iCs/>
      <w:color w:val="002F5F"/>
      <w:sz w:val="28"/>
      <w:szCs w:val="28"/>
    </w:rPr>
  </w:style>
  <w:style w:type="character" w:customStyle="1" w:styleId="Heading2noTOCChar">
    <w:name w:val="Heading2 no TOC Char"/>
    <w:basedOn w:val="Heading2Char"/>
    <w:link w:val="Heading2noTOC"/>
    <w:rsid w:val="00F43E2B"/>
    <w:rPr>
      <w:rFonts w:ascii="Calibri Light" w:eastAsia="Times New Roman" w:hAnsi="Calibri Light" w:cs="Calibri Light"/>
      <w:bCs/>
      <w:iCs/>
      <w:color w:val="002F5F"/>
      <w:sz w:val="28"/>
      <w:szCs w:val="28"/>
      <w:lang w:eastAsia="zh-CN"/>
    </w:rPr>
  </w:style>
  <w:style w:type="character" w:customStyle="1" w:styleId="Heading2Char">
    <w:name w:val="Heading 2 Char"/>
    <w:basedOn w:val="DefaultParagraphFont"/>
    <w:link w:val="Heading2"/>
    <w:uiPriority w:val="9"/>
    <w:rsid w:val="00F43E2B"/>
    <w:rPr>
      <w:rFonts w:asciiTheme="majorHAnsi" w:eastAsiaTheme="majorEastAsia" w:hAnsiTheme="majorHAnsi" w:cstheme="majorBidi"/>
      <w:color w:val="2F5496" w:themeColor="accent1" w:themeShade="BF"/>
      <w:sz w:val="26"/>
      <w:szCs w:val="26"/>
      <w:lang w:eastAsia="zh-CN"/>
    </w:rPr>
  </w:style>
  <w:style w:type="character" w:customStyle="1" w:styleId="Heading1Char">
    <w:name w:val="Heading 1 Char"/>
    <w:basedOn w:val="DefaultParagraphFont"/>
    <w:link w:val="Heading1"/>
    <w:uiPriority w:val="9"/>
    <w:rsid w:val="00F43E2B"/>
    <w:rPr>
      <w:rFonts w:asciiTheme="majorHAnsi" w:eastAsiaTheme="majorEastAsia" w:hAnsiTheme="majorHAnsi" w:cstheme="majorBidi"/>
      <w:color w:val="2F5496" w:themeColor="accent1" w:themeShade="BF"/>
      <w:sz w:val="32"/>
      <w:szCs w:val="32"/>
      <w:lang w:eastAsia="zh-CN"/>
    </w:rPr>
  </w:style>
  <w:style w:type="paragraph" w:styleId="ListParagraph">
    <w:name w:val="List Paragraph"/>
    <w:basedOn w:val="Normal"/>
    <w:uiPriority w:val="34"/>
    <w:qFormat/>
    <w:rsid w:val="00F43E2B"/>
    <w:pPr>
      <w:ind w:left="720"/>
      <w:contextualSpacing/>
    </w:pPr>
  </w:style>
  <w:style w:type="table" w:styleId="TableGrid">
    <w:name w:val="Table Grid"/>
    <w:basedOn w:val="TableNormal"/>
    <w:uiPriority w:val="39"/>
    <w:rsid w:val="00F43E2B"/>
    <w:pPr>
      <w:spacing w:after="0" w:line="240" w:lineRule="auto"/>
    </w:pPr>
    <w:rPr>
      <w:rFonts w:ascii="Calibri" w:eastAsia="DengXia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 Caption 1,Figure caption,Figure caption1 Char Char,Figure Source,Caption Char1 Char,Caption Char Char Char,Caption Char1,Caption Table...,Caption Char1 + 8 pt,Not B....,Caption Table,...,Caption 3,figure,Caption-FUSA,caption,Char,12,12+"/>
    <w:basedOn w:val="Normal"/>
    <w:next w:val="Normal"/>
    <w:link w:val="CaptionChar"/>
    <w:uiPriority w:val="35"/>
    <w:unhideWhenUsed/>
    <w:qFormat/>
    <w:rsid w:val="00F43E2B"/>
    <w:pPr>
      <w:keepNext/>
      <w:spacing w:line="240" w:lineRule="auto"/>
    </w:pPr>
    <w:rPr>
      <w:b/>
      <w:bCs/>
      <w:color w:val="002060"/>
      <w:spacing w:val="6"/>
    </w:rPr>
  </w:style>
  <w:style w:type="character" w:customStyle="1" w:styleId="CaptionChar">
    <w:name w:val="Caption Char"/>
    <w:aliases w:val="Table Caption 1 Char,Figure caption Char,Figure caption1 Char Char Char,Figure Source Char,Caption Char1 Char Char,Caption Char Char Char Char,Caption Char1 Char1,Caption Table... Char,Caption Char1 + 8 pt Char,Not B.... Char,... Char"/>
    <w:link w:val="Caption"/>
    <w:uiPriority w:val="35"/>
    <w:rsid w:val="00F43E2B"/>
    <w:rPr>
      <w:rFonts w:ascii="Calibri" w:eastAsia="DengXian" w:hAnsi="Calibri" w:cs="Calibri"/>
      <w:b/>
      <w:bCs/>
      <w:color w:val="002060"/>
      <w:spacing w:val="6"/>
      <w:sz w:val="24"/>
      <w:szCs w:val="24"/>
      <w:lang w:eastAsia="zh-CN"/>
    </w:rPr>
  </w:style>
  <w:style w:type="character" w:customStyle="1" w:styleId="cf01">
    <w:name w:val="cf01"/>
    <w:basedOn w:val="DefaultParagraphFont"/>
    <w:rsid w:val="00F43E2B"/>
    <w:rPr>
      <w:rFonts w:ascii="Segoe UI" w:hAnsi="Segoe UI" w:cs="Segoe UI" w:hint="default"/>
      <w:sz w:val="18"/>
      <w:szCs w:val="18"/>
    </w:rPr>
  </w:style>
  <w:style w:type="character" w:customStyle="1" w:styleId="Heading5Char">
    <w:name w:val="Heading 5 Char"/>
    <w:basedOn w:val="DefaultParagraphFont"/>
    <w:link w:val="Heading5"/>
    <w:uiPriority w:val="9"/>
    <w:semiHidden/>
    <w:rsid w:val="00DC24A5"/>
    <w:rPr>
      <w:rFonts w:asciiTheme="majorHAnsi" w:eastAsiaTheme="majorEastAsia" w:hAnsiTheme="majorHAnsi" w:cstheme="majorBidi"/>
      <w:color w:val="2F5496" w:themeColor="accent1" w:themeShade="BF"/>
      <w:sz w:val="24"/>
      <w:szCs w:val="24"/>
      <w:lang w:eastAsia="zh-CN"/>
    </w:rPr>
  </w:style>
  <w:style w:type="paragraph" w:styleId="Header">
    <w:name w:val="header"/>
    <w:basedOn w:val="Normal"/>
    <w:link w:val="HeaderChar"/>
    <w:uiPriority w:val="99"/>
    <w:unhideWhenUsed/>
    <w:rsid w:val="00747727"/>
    <w:pPr>
      <w:tabs>
        <w:tab w:val="center" w:pos="4513"/>
        <w:tab w:val="right" w:pos="9026"/>
      </w:tabs>
      <w:spacing w:line="240" w:lineRule="auto"/>
    </w:pPr>
  </w:style>
  <w:style w:type="character" w:customStyle="1" w:styleId="HeaderChar">
    <w:name w:val="Header Char"/>
    <w:basedOn w:val="DefaultParagraphFont"/>
    <w:link w:val="Header"/>
    <w:uiPriority w:val="99"/>
    <w:rsid w:val="00747727"/>
    <w:rPr>
      <w:rFonts w:ascii="Calibri" w:eastAsia="DengXian" w:hAnsi="Calibri" w:cs="Calibri"/>
      <w:sz w:val="24"/>
      <w:szCs w:val="24"/>
      <w:lang w:eastAsia="zh-CN"/>
    </w:rPr>
  </w:style>
  <w:style w:type="paragraph" w:styleId="Footer">
    <w:name w:val="footer"/>
    <w:basedOn w:val="Normal"/>
    <w:link w:val="FooterChar"/>
    <w:uiPriority w:val="99"/>
    <w:unhideWhenUsed/>
    <w:rsid w:val="00747727"/>
    <w:pPr>
      <w:tabs>
        <w:tab w:val="center" w:pos="4513"/>
        <w:tab w:val="right" w:pos="9026"/>
      </w:tabs>
      <w:spacing w:line="240" w:lineRule="auto"/>
    </w:pPr>
  </w:style>
  <w:style w:type="character" w:customStyle="1" w:styleId="FooterChar">
    <w:name w:val="Footer Char"/>
    <w:basedOn w:val="DefaultParagraphFont"/>
    <w:link w:val="Footer"/>
    <w:uiPriority w:val="99"/>
    <w:rsid w:val="00747727"/>
    <w:rPr>
      <w:rFonts w:ascii="Calibri" w:eastAsia="DengXian" w:hAnsi="Calibri" w:cs="Calibri"/>
      <w:sz w:val="24"/>
      <w:szCs w:val="24"/>
      <w:lang w:eastAsia="zh-CN"/>
    </w:rPr>
  </w:style>
  <w:style w:type="character" w:customStyle="1" w:styleId="Heading4Char">
    <w:name w:val="Heading 4 Char"/>
    <w:basedOn w:val="DefaultParagraphFont"/>
    <w:link w:val="Heading4"/>
    <w:uiPriority w:val="9"/>
    <w:semiHidden/>
    <w:rsid w:val="00705FBC"/>
    <w:rPr>
      <w:rFonts w:asciiTheme="majorHAnsi" w:eastAsiaTheme="majorEastAsia" w:hAnsiTheme="majorHAnsi" w:cstheme="majorBidi"/>
      <w:i/>
      <w:iCs/>
      <w:color w:val="2F5496" w:themeColor="accent1" w:themeShade="BF"/>
      <w:sz w:val="24"/>
      <w:szCs w:val="24"/>
      <w:lang w:eastAsia="zh-CN"/>
    </w:rPr>
  </w:style>
  <w:style w:type="character" w:customStyle="1" w:styleId="Heading3Char">
    <w:name w:val="Heading 3 Char"/>
    <w:basedOn w:val="DefaultParagraphFont"/>
    <w:link w:val="Heading3"/>
    <w:uiPriority w:val="9"/>
    <w:rsid w:val="001A4540"/>
    <w:rPr>
      <w:rFonts w:asciiTheme="majorHAnsi" w:eastAsiaTheme="majorEastAsia" w:hAnsiTheme="majorHAnsi" w:cstheme="majorBidi"/>
      <w:color w:val="1F3763" w:themeColor="accent1" w:themeShade="7F"/>
      <w:sz w:val="24"/>
      <w:szCs w:val="24"/>
      <w:lang w:eastAsia="zh-CN"/>
    </w:rPr>
  </w:style>
  <w:style w:type="table" w:customStyle="1" w:styleId="TableGrid1">
    <w:name w:val="Table Grid1"/>
    <w:basedOn w:val="TableNormal"/>
    <w:next w:val="TableGrid"/>
    <w:uiPriority w:val="39"/>
    <w:rsid w:val="0000450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56BE6"/>
    <w:rPr>
      <w:b/>
      <w:bCs/>
    </w:rPr>
  </w:style>
  <w:style w:type="character" w:customStyle="1" w:styleId="CommentSubjectChar">
    <w:name w:val="Comment Subject Char"/>
    <w:basedOn w:val="CommentTextChar"/>
    <w:link w:val="CommentSubject"/>
    <w:uiPriority w:val="99"/>
    <w:semiHidden/>
    <w:rsid w:val="00256BE6"/>
    <w:rPr>
      <w:rFonts w:ascii="Calibri" w:eastAsia="DengXian" w:hAnsi="Calibri" w:cs="Calibri"/>
      <w:b/>
      <w:bCs/>
      <w:sz w:val="20"/>
      <w:szCs w:val="20"/>
      <w:lang w:eastAsia="zh-CN"/>
    </w:rPr>
  </w:style>
  <w:style w:type="paragraph" w:customStyle="1" w:styleId="Heading1exTOC">
    <w:name w:val="Heading1 ex TOC"/>
    <w:basedOn w:val="Heading1"/>
    <w:link w:val="Heading1exTOCChar"/>
    <w:qFormat/>
    <w:rsid w:val="00570B7B"/>
    <w:pPr>
      <w:tabs>
        <w:tab w:val="left" w:pos="0"/>
      </w:tabs>
      <w:spacing w:before="0" w:line="240" w:lineRule="auto"/>
    </w:pPr>
    <w:rPr>
      <w:rFonts w:ascii="Calibri Light" w:eastAsia="SimSun" w:hAnsi="Calibri Light" w:cs="Times New Roman"/>
      <w:b/>
      <w:bCs/>
      <w:noProof/>
      <w:color w:val="002F5F"/>
      <w:lang w:val="en-US"/>
    </w:rPr>
  </w:style>
  <w:style w:type="character" w:customStyle="1" w:styleId="Heading1exTOCChar">
    <w:name w:val="Heading1 ex TOC Char"/>
    <w:basedOn w:val="DefaultParagraphFont"/>
    <w:link w:val="Heading1exTOC"/>
    <w:rsid w:val="00570B7B"/>
    <w:rPr>
      <w:rFonts w:ascii="Calibri Light" w:eastAsia="SimSun" w:hAnsi="Calibri Light" w:cs="Times New Roman"/>
      <w:b/>
      <w:bCs/>
      <w:noProof/>
      <w:color w:val="002F5F"/>
      <w:sz w:val="32"/>
      <w:szCs w:val="32"/>
      <w:lang w:val="en-US" w:eastAsia="zh-CN"/>
    </w:rPr>
  </w:style>
  <w:style w:type="character" w:styleId="Mention">
    <w:name w:val="Mention"/>
    <w:basedOn w:val="DefaultParagraphFont"/>
    <w:uiPriority w:val="99"/>
    <w:unhideWhenUsed/>
    <w:rsid w:val="00A409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69529">
      <w:bodyDiv w:val="1"/>
      <w:marLeft w:val="0"/>
      <w:marRight w:val="0"/>
      <w:marTop w:val="0"/>
      <w:marBottom w:val="0"/>
      <w:divBdr>
        <w:top w:val="none" w:sz="0" w:space="0" w:color="auto"/>
        <w:left w:val="none" w:sz="0" w:space="0" w:color="auto"/>
        <w:bottom w:val="none" w:sz="0" w:space="0" w:color="auto"/>
        <w:right w:val="none" w:sz="0" w:space="0" w:color="auto"/>
      </w:divBdr>
    </w:div>
    <w:div w:id="193273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64B6419967F4F9BC885BCC38080FE" ma:contentTypeVersion="11" ma:contentTypeDescription="Create a new document." ma:contentTypeScope="" ma:versionID="6516a2bc60fbe0d773c60f25fbb427f8">
  <xsd:schema xmlns:xsd="http://www.w3.org/2001/XMLSchema" xmlns:xs="http://www.w3.org/2001/XMLSchema" xmlns:p="http://schemas.microsoft.com/office/2006/metadata/properties" xmlns:ns2="6113f790-c252-4bfe-890a-0e01b9de803a" xmlns:ns3="0eb656aa-4e79-4e95-9076-bc119a23e0cc" targetNamespace="http://schemas.microsoft.com/office/2006/metadata/properties" ma:root="true" ma:fieldsID="c1ec19c2f9f8c8a5aaea9ad470486144" ns2:_="" ns3:_="">
    <xsd:import namespace="6113f790-c252-4bfe-890a-0e01b9de803a"/>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f790-c252-4bfe-890a-0e01b9de8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d3fad2-883a-4eaf-9e1c-8c20d986e5dc}" ma:internalName="TaxCatchAll" ma:showField="CatchAllData" ma:web="c484c3bf-3e79-421f-a326-5c77b32e9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13f790-c252-4bfe-890a-0e01b9de803a">
      <Terms xmlns="http://schemas.microsoft.com/office/infopath/2007/PartnerControls"/>
    </lcf76f155ced4ddcb4097134ff3c332f>
    <TaxCatchAll xmlns="0eb656aa-4e79-4e95-9076-bc119a23e0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A3E82C-B9E3-4B8E-B044-D78E2E457D55}">
  <ds:schemaRefs>
    <ds:schemaRef ds:uri="http://schemas.openxmlformats.org/officeDocument/2006/bibliography"/>
  </ds:schemaRefs>
</ds:datastoreItem>
</file>

<file path=customXml/itemProps2.xml><?xml version="1.0" encoding="utf-8"?>
<ds:datastoreItem xmlns:ds="http://schemas.openxmlformats.org/officeDocument/2006/customXml" ds:itemID="{71D0EB0B-FB59-4A35-934B-2CD0F6F8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3f790-c252-4bfe-890a-0e01b9de803a"/>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BA678-B5D0-4418-AA6A-8F06940B1FE3}">
  <ds:schemaRefs>
    <ds:schemaRef ds:uri="http://schemas.microsoft.com/office/2006/metadata/properties"/>
    <ds:schemaRef ds:uri="http://schemas.microsoft.com/office/infopath/2007/PartnerControls"/>
    <ds:schemaRef ds:uri="a4e98822-f433-4c96-8830-5cb2d7491f7d"/>
    <ds:schemaRef ds:uri="adc125f1-7df9-46f4-a9a7-022dd426a2bb"/>
    <ds:schemaRef ds:uri="6113f790-c252-4bfe-890a-0e01b9de803a"/>
    <ds:schemaRef ds:uri="0eb656aa-4e79-4e95-9076-bc119a23e0cc"/>
  </ds:schemaRefs>
</ds:datastoreItem>
</file>

<file path=customXml/itemProps4.xml><?xml version="1.0" encoding="utf-8"?>
<ds:datastoreItem xmlns:ds="http://schemas.openxmlformats.org/officeDocument/2006/customXml" ds:itemID="{D7F88F13-1268-4F0A-AA4E-95CE76483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1315</Words>
  <Characters>7496</Characters>
  <Application>Microsoft Office Word</Application>
  <DocSecurity>0</DocSecurity>
  <Lines>62</Lines>
  <Paragraphs>17</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Whiting</dc:creator>
  <cp:keywords/>
  <dc:description/>
  <cp:lastModifiedBy>Vonda Murray</cp:lastModifiedBy>
  <cp:revision>32</cp:revision>
  <dcterms:created xsi:type="dcterms:W3CDTF">2024-12-05T22:09:00Z</dcterms:created>
  <dcterms:modified xsi:type="dcterms:W3CDTF">2024-12-05T22:09:00Z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0x010100C3164B6419967F4F9BC885BCC38080FE</vt:lpwstr>
  </property>
  <property fmtid="{D5CDD505-2E9C-101B-9397-08002B2CF9AE}" pid="4" name="MSIP_Label_c69d85d5-6d9e-4305-a294-1f636ec0f2d6_Enabled">
    <vt:lpwstr>true</vt:lpwstr>
  </property>
  <property fmtid="{D5CDD505-2E9C-101B-9397-08002B2CF9AE}" pid="5" name="MSIP_Label_c69d85d5-6d9e-4305-a294-1f636ec0f2d6_SetDate">
    <vt:lpwstr>2024-12-05T22:09:38Z</vt:lpwstr>
  </property>
  <property fmtid="{D5CDD505-2E9C-101B-9397-08002B2CF9AE}" pid="6" name="MSIP_Label_c69d85d5-6d9e-4305-a294-1f636ec0f2d6_Method">
    <vt:lpwstr>Standard</vt:lpwstr>
  </property>
  <property fmtid="{D5CDD505-2E9C-101B-9397-08002B2CF9AE}" pid="7" name="MSIP_Label_c69d85d5-6d9e-4305-a294-1f636ec0f2d6_Name">
    <vt:lpwstr>OFFICIAL</vt:lpwstr>
  </property>
  <property fmtid="{D5CDD505-2E9C-101B-9397-08002B2CF9AE}" pid="8" name="MSIP_Label_c69d85d5-6d9e-4305-a294-1f636ec0f2d6_SiteId">
    <vt:lpwstr>6030f479-b342-472d-a5dd-740ff7538de9</vt:lpwstr>
  </property>
  <property fmtid="{D5CDD505-2E9C-101B-9397-08002B2CF9AE}" pid="9" name="MSIP_Label_c69d85d5-6d9e-4305-a294-1f636ec0f2d6_ActionId">
    <vt:lpwstr>27495f62-dde2-42c2-ad6e-36af1b125674</vt:lpwstr>
  </property>
  <property fmtid="{D5CDD505-2E9C-101B-9397-08002B2CF9AE}" pid="10" name="MSIP_Label_c69d85d5-6d9e-4305-a294-1f636ec0f2d6_ContentBits">
    <vt:lpwstr>0</vt:lpwstr>
  </property>
</Properties>
</file>