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2BA2" w14:textId="51B65145" w:rsidR="000F48EC" w:rsidRPr="00CF632A" w:rsidRDefault="000F48EC" w:rsidP="0093671F">
      <w:pPr>
        <w:pStyle w:val="Title2"/>
      </w:pPr>
      <w:r w:rsidRPr="00CF632A">
        <w:t>NATIONAL INSTITUTE FOR HEALTH AND C</w:t>
      </w:r>
      <w:r w:rsidR="00CC63EB" w:rsidRPr="00CF632A">
        <w:t>ARE</w:t>
      </w:r>
      <w:r w:rsidRPr="00CF632A">
        <w:t xml:space="preserve"> EXCELLENCE</w:t>
      </w:r>
    </w:p>
    <w:p w14:paraId="58FDE5D4" w14:textId="47C26259" w:rsidR="000E5D65" w:rsidRPr="00CF632A" w:rsidRDefault="003171F7" w:rsidP="00034110">
      <w:pPr>
        <w:pStyle w:val="Title1"/>
        <w:rPr>
          <w:sz w:val="32"/>
        </w:rPr>
      </w:pPr>
      <w:r w:rsidRPr="00CF632A">
        <w:rPr>
          <w:sz w:val="32"/>
        </w:rPr>
        <w:t>Final draft guidance</w:t>
      </w:r>
    </w:p>
    <w:p w14:paraId="1F66D926" w14:textId="5EDFBFFE" w:rsidR="00C7539F" w:rsidRPr="00CF632A" w:rsidRDefault="00A47F65" w:rsidP="0077200F">
      <w:pPr>
        <w:pStyle w:val="Title1"/>
      </w:pPr>
      <w:r w:rsidRPr="00CF632A">
        <w:t>B</w:t>
      </w:r>
      <w:r w:rsidR="004518E0" w:rsidRPr="00CF632A">
        <w:t>evacizumab (</w:t>
      </w:r>
      <w:r w:rsidR="00403188" w:rsidRPr="00CF632A">
        <w:t>originator</w:t>
      </w:r>
      <w:r w:rsidR="004518E0" w:rsidRPr="00CF632A">
        <w:t xml:space="preserve"> and biosimilars) with fluoropyrimidine-based chemotherapy for metastatic colorectal cancer</w:t>
      </w:r>
    </w:p>
    <w:p w14:paraId="52CC6C96" w14:textId="43BB4294" w:rsidR="000F48EC" w:rsidRPr="00CF632A" w:rsidRDefault="00B379C5" w:rsidP="00802BD9">
      <w:pPr>
        <w:pStyle w:val="Numberedheading1"/>
      </w:pPr>
      <w:bookmarkStart w:id="0" w:name="Recommendations"/>
      <w:r w:rsidRPr="00CF632A">
        <w:t>Recommendations</w:t>
      </w:r>
    </w:p>
    <w:bookmarkEnd w:id="0"/>
    <w:p w14:paraId="7D813727" w14:textId="39400D05" w:rsidR="00103052" w:rsidRPr="00CF632A" w:rsidRDefault="00103052" w:rsidP="00103052">
      <w:pPr>
        <w:pStyle w:val="Numberedlevel2text"/>
        <w:rPr>
          <w:lang w:val="en-GB"/>
        </w:rPr>
      </w:pPr>
      <w:r w:rsidRPr="00CF632A">
        <w:rPr>
          <w:lang w:val="en-GB"/>
        </w:rPr>
        <w:t xml:space="preserve">Bevacizumab (originator and biosimilars) with fluoropyrimidine-based chemotherapy can be used as an option </w:t>
      </w:r>
      <w:r w:rsidR="0030101C" w:rsidRPr="00A9020B">
        <w:rPr>
          <w:lang w:val="en-GB"/>
        </w:rPr>
        <w:t xml:space="preserve">to treat </w:t>
      </w:r>
      <w:r w:rsidRPr="00CF632A">
        <w:rPr>
          <w:lang w:val="en-GB"/>
        </w:rPr>
        <w:t xml:space="preserve">metastatic colorectal </w:t>
      </w:r>
      <w:r w:rsidR="006963D3" w:rsidRPr="00A9020B">
        <w:rPr>
          <w:lang w:val="en-GB"/>
        </w:rPr>
        <w:t xml:space="preserve">carcinoma </w:t>
      </w:r>
      <w:r w:rsidRPr="00CF632A">
        <w:rPr>
          <w:lang w:val="en-GB"/>
        </w:rPr>
        <w:t>in adults:</w:t>
      </w:r>
    </w:p>
    <w:p w14:paraId="3F401868" w14:textId="42BA600B" w:rsidR="0030101C" w:rsidRPr="006E7C55" w:rsidRDefault="0030101C">
      <w:pPr>
        <w:pStyle w:val="Bulletindent1"/>
      </w:pPr>
      <w:r w:rsidRPr="00A9020B">
        <w:t xml:space="preserve">as first- </w:t>
      </w:r>
      <w:r w:rsidR="00F916C1">
        <w:t>and</w:t>
      </w:r>
      <w:r w:rsidR="00F916C1" w:rsidRPr="00A9020B">
        <w:t xml:space="preserve"> </w:t>
      </w:r>
      <w:r w:rsidR="00713206" w:rsidRPr="00A9020B">
        <w:t xml:space="preserve">second-line treatment </w:t>
      </w:r>
      <w:r w:rsidR="00627A10">
        <w:t>only</w:t>
      </w:r>
      <w:r w:rsidR="00700386">
        <w:t>,</w:t>
      </w:r>
      <w:r w:rsidR="00627A10">
        <w:t xml:space="preserve"> </w:t>
      </w:r>
      <w:r w:rsidR="00713206" w:rsidRPr="00A9020B">
        <w:t>when</w:t>
      </w:r>
    </w:p>
    <w:p w14:paraId="53A59044" w14:textId="32C4B427" w:rsidR="00103052" w:rsidRPr="00CF632A" w:rsidRDefault="00103052" w:rsidP="006E7C55">
      <w:pPr>
        <w:pStyle w:val="Bulletindent1"/>
      </w:pPr>
      <w:r w:rsidRPr="00CF632A">
        <w:rPr>
          <w:rFonts w:eastAsiaTheme="majorEastAsia"/>
        </w:rPr>
        <w:t>targeted treatments or immunotherapy are unsuitable, and</w:t>
      </w:r>
    </w:p>
    <w:p w14:paraId="335B148E" w14:textId="78A19E69" w:rsidR="00103052" w:rsidRPr="00CF632A" w:rsidRDefault="00103052" w:rsidP="00A81A18">
      <w:pPr>
        <w:pStyle w:val="Bulletindent1last"/>
      </w:pPr>
      <w:r w:rsidRPr="00CF632A">
        <w:rPr>
          <w:rFonts w:eastAsiaTheme="majorEastAsia"/>
        </w:rPr>
        <w:t>chemotherapy</w:t>
      </w:r>
      <w:r w:rsidRPr="00CF632A">
        <w:t xml:space="preserve"> </w:t>
      </w:r>
      <w:r w:rsidRPr="00CF632A">
        <w:rPr>
          <w:rFonts w:eastAsiaTheme="majorEastAsia"/>
        </w:rPr>
        <w:t>would otherwise be offered.</w:t>
      </w:r>
      <w:r w:rsidR="00CF632A">
        <w:br/>
      </w:r>
      <w:r w:rsidR="00CF632A">
        <w:br/>
      </w:r>
      <w:r w:rsidRPr="00CF632A">
        <w:t xml:space="preserve">Bevacizumab </w:t>
      </w:r>
      <w:r w:rsidRPr="00CF632A" w:rsidDel="00AD1659">
        <w:t xml:space="preserve">with fluoropyrimidine-based chemotherapy </w:t>
      </w:r>
      <w:r w:rsidRPr="00CF632A">
        <w:rPr>
          <w:rStyle w:val="Numberedlevel2textChar"/>
          <w:lang w:val="en-GB"/>
        </w:rPr>
        <w:t xml:space="preserve">can only be used if the </w:t>
      </w:r>
      <w:r w:rsidRPr="00CF632A">
        <w:t>compan</w:t>
      </w:r>
      <w:r w:rsidR="00883013" w:rsidRPr="00CF632A">
        <w:t>ies</w:t>
      </w:r>
      <w:r w:rsidRPr="00CF632A">
        <w:t xml:space="preserve"> </w:t>
      </w:r>
      <w:r w:rsidR="00FD6E89" w:rsidRPr="00CF632A">
        <w:t>have an agreed price withi</w:t>
      </w:r>
      <w:r w:rsidR="00962D52" w:rsidRPr="00CF632A">
        <w:t>n the Medicines Procurement and Supply Chain</w:t>
      </w:r>
      <w:r w:rsidRPr="00CF632A">
        <w:t>.</w:t>
      </w:r>
    </w:p>
    <w:p w14:paraId="657BC972" w14:textId="30756E81" w:rsidR="00664E2B" w:rsidRDefault="00103052" w:rsidP="00883013">
      <w:pPr>
        <w:pStyle w:val="Numberedlevel2text"/>
        <w:numPr>
          <w:ilvl w:val="1"/>
          <w:numId w:val="12"/>
        </w:numPr>
        <w:rPr>
          <w:lang w:val="en-GB"/>
        </w:rPr>
      </w:pPr>
      <w:r w:rsidRPr="00CF632A">
        <w:rPr>
          <w:lang w:val="en-GB"/>
        </w:rPr>
        <w:t xml:space="preserve">This recommendation is not intended to affect treatment with bevacizumab </w:t>
      </w:r>
      <w:r w:rsidRPr="00CF632A" w:rsidDel="00AD1659">
        <w:rPr>
          <w:lang w:val="en-GB"/>
        </w:rPr>
        <w:t xml:space="preserve">with fluoropyrimidine-based chemotherapy </w:t>
      </w:r>
      <w:r w:rsidRPr="00CF632A">
        <w:rPr>
          <w:lang w:val="en-GB"/>
        </w:rPr>
        <w:t xml:space="preserve">that was started in the NHS before this guidance was published. People having treatment outside this recommendation may continue without change to the funding arrangements in place for them before this guidance was published, until they and their NHS healthcare professional consider it appropriate to stop. </w:t>
      </w:r>
    </w:p>
    <w:p w14:paraId="2AA62BB5" w14:textId="49AFE679" w:rsidR="00EA0596" w:rsidRDefault="00EA0596" w:rsidP="00C11C1F">
      <w:pPr>
        <w:pStyle w:val="Heading2"/>
      </w:pPr>
      <w:r w:rsidRPr="00EA0596">
        <w:t>What this means in practice</w:t>
      </w:r>
    </w:p>
    <w:tbl>
      <w:tblPr>
        <w:tblStyle w:val="PanelPrimary1"/>
        <w:tblW w:w="0" w:type="auto"/>
        <w:tblLook w:val="0000" w:firstRow="0" w:lastRow="0" w:firstColumn="0" w:lastColumn="0" w:noHBand="0" w:noVBand="0"/>
        <w:tblCaption w:val="Primary panel"/>
      </w:tblPr>
      <w:tblGrid>
        <w:gridCol w:w="8901"/>
      </w:tblGrid>
      <w:tr w:rsidR="00947033" w:rsidRPr="00A43B55" w14:paraId="7ACEEE8C" w14:textId="77777777">
        <w:tc>
          <w:tcPr>
            <w:tcW w:w="8901" w:type="dxa"/>
          </w:tcPr>
          <w:p w14:paraId="0D8EAC8A" w14:textId="233B0A27" w:rsidR="00947033" w:rsidRPr="00CF632A" w:rsidRDefault="00947033" w:rsidP="00947033">
            <w:pPr>
              <w:pStyle w:val="NICEnormal"/>
            </w:pPr>
            <w:r w:rsidRPr="00CF632A">
              <w:t xml:space="preserve">Bevacizumab (originator and biosimilars) </w:t>
            </w:r>
            <w:r w:rsidR="00952F99" w:rsidRPr="00A9020B">
              <w:t xml:space="preserve">with fluoropyrimidine-based chemotherapy </w:t>
            </w:r>
            <w:r w:rsidRPr="00A9020B">
              <w:t xml:space="preserve">must be funded in </w:t>
            </w:r>
            <w:r w:rsidRPr="00CF632A">
              <w:t xml:space="preserve">the NHS in England for the condition and population in the recommendations, if it is considered the most suitable treatment </w:t>
            </w:r>
            <w:r w:rsidRPr="00CF632A">
              <w:lastRenderedPageBreak/>
              <w:t xml:space="preserve">option. Bevacizumab </w:t>
            </w:r>
            <w:r w:rsidRPr="00CF632A" w:rsidDel="00937291">
              <w:t xml:space="preserve">with fluoropyrimidine-based chemotherapy </w:t>
            </w:r>
            <w:r w:rsidRPr="00CF632A">
              <w:t xml:space="preserve">must be funded in England within 90 days of final publication of this guidance. </w:t>
            </w:r>
          </w:p>
          <w:p w14:paraId="5B76E228" w14:textId="52E40920" w:rsidR="00947033" w:rsidRPr="00A43B55" w:rsidRDefault="00947033" w:rsidP="00947033">
            <w:pPr>
              <w:pStyle w:val="NICEnormal"/>
            </w:pPr>
            <w:r w:rsidRPr="00CF632A">
              <w:t xml:space="preserve">There is enough evidence to show that </w:t>
            </w:r>
            <w:r w:rsidR="00937291">
              <w:t>b</w:t>
            </w:r>
            <w:r w:rsidRPr="00CF632A">
              <w:t xml:space="preserve">evacizumab </w:t>
            </w:r>
            <w:r w:rsidRPr="00CF632A" w:rsidDel="00937291">
              <w:t xml:space="preserve">with fluoropyrimidine-based chemotherapy </w:t>
            </w:r>
            <w:r w:rsidRPr="00CF632A">
              <w:t>provides benefits and value for money, so it can be used routinely across the NHS in this population.</w:t>
            </w:r>
          </w:p>
        </w:tc>
      </w:tr>
    </w:tbl>
    <w:p w14:paraId="35D84D55" w14:textId="77777777" w:rsidR="00CA1E14" w:rsidRPr="00CF632A" w:rsidRDefault="00CA1E14" w:rsidP="005D3BC4">
      <w:pPr>
        <w:pStyle w:val="NICEnormal"/>
      </w:pPr>
    </w:p>
    <w:p w14:paraId="2CC8F116" w14:textId="77777777" w:rsidR="00925095" w:rsidRPr="00CF632A" w:rsidRDefault="006D22C5" w:rsidP="144C5D92">
      <w:pPr>
        <w:pStyle w:val="NICEnormal"/>
        <w:rPr>
          <w:b/>
          <w:bCs/>
        </w:rPr>
      </w:pPr>
      <w:r w:rsidRPr="00CF632A">
        <w:rPr>
          <w:rStyle w:val="Heading2Char"/>
        </w:rPr>
        <w:t>Why the committee made these recommendations</w:t>
      </w:r>
    </w:p>
    <w:p w14:paraId="415EB77A" w14:textId="7EF29739" w:rsidR="007B1591" w:rsidRPr="00CF632A" w:rsidRDefault="007B1591" w:rsidP="007B1591">
      <w:pPr>
        <w:pStyle w:val="NICEnormal"/>
      </w:pPr>
      <w:r w:rsidRPr="00CF632A">
        <w:t>For this evaluation, bevacizumab</w:t>
      </w:r>
      <w:r w:rsidR="00BA2C1A">
        <w:t xml:space="preserve"> (originator and biosimilars)</w:t>
      </w:r>
      <w:r w:rsidRPr="00CF632A">
        <w:t xml:space="preserve"> plus </w:t>
      </w:r>
      <w:r w:rsidR="001D4987" w:rsidRPr="00A9020B">
        <w:t xml:space="preserve">fluoropyrimidine-based </w:t>
      </w:r>
      <w:r w:rsidRPr="00CF632A">
        <w:t xml:space="preserve">chemotherapy was considered only for </w:t>
      </w:r>
      <w:r w:rsidR="006963D3" w:rsidRPr="00A9020B">
        <w:t xml:space="preserve">the first- and second-line treatment of </w:t>
      </w:r>
      <w:r w:rsidRPr="00CF632A">
        <w:t xml:space="preserve">metastatic colorectal </w:t>
      </w:r>
      <w:r w:rsidR="00952F99" w:rsidRPr="00A9020B">
        <w:t xml:space="preserve">carcinoma </w:t>
      </w:r>
      <w:r w:rsidRPr="00CF632A">
        <w:t xml:space="preserve">when targeted treatments or immunotherapy are not suitable, and chemotherapy </w:t>
      </w:r>
      <w:r w:rsidR="00CB6439" w:rsidRPr="00A9020B">
        <w:t xml:space="preserve">alone </w:t>
      </w:r>
      <w:r w:rsidRPr="00CF632A">
        <w:t xml:space="preserve">would otherwise be offered. This does not include </w:t>
      </w:r>
      <w:r w:rsidR="00CB6439" w:rsidRPr="00A9020B">
        <w:t xml:space="preserve">the whole population </w:t>
      </w:r>
      <w:r w:rsidRPr="00CF632A">
        <w:t>it is licensed for.</w:t>
      </w:r>
    </w:p>
    <w:p w14:paraId="69B19E0E" w14:textId="44AA6C3B" w:rsidR="007B1591" w:rsidRPr="00CF632A" w:rsidRDefault="007B1591" w:rsidP="007B1591">
      <w:pPr>
        <w:pStyle w:val="NICEnormal"/>
      </w:pPr>
      <w:r w:rsidRPr="00CF632A">
        <w:t>Usual first- and second-line treatment for metastatic colorectal cancer when targeted treatments or immunotherapy are not suitable is fluoropyrimidine-based chemotherapy</w:t>
      </w:r>
      <w:r w:rsidR="00520D46" w:rsidRPr="00A9020B">
        <w:t xml:space="preserve"> alone</w:t>
      </w:r>
      <w:r w:rsidRPr="00A9020B">
        <w:t>.</w:t>
      </w:r>
      <w:r w:rsidRPr="00CF632A">
        <w:t xml:space="preserve"> Bevacizumab would be used as </w:t>
      </w:r>
      <w:r w:rsidR="00AA24E2">
        <w:t>well as</w:t>
      </w:r>
      <w:r w:rsidRPr="00CF632A">
        <w:t xml:space="preserve"> chemotherapy.</w:t>
      </w:r>
    </w:p>
    <w:p w14:paraId="5E097E03" w14:textId="32B9E7C0" w:rsidR="007B1591" w:rsidRPr="00CF632A" w:rsidRDefault="007B1591" w:rsidP="007B1591">
      <w:pPr>
        <w:pStyle w:val="NICEnormal"/>
      </w:pPr>
      <w:r w:rsidRPr="00CF632A">
        <w:t xml:space="preserve">Clinical trial evidence shows that bevacizumab plus chemotherapy increases how long people have before their cancer gets worse and how long they live compared with placebo plus chemotherapy. </w:t>
      </w:r>
    </w:p>
    <w:p w14:paraId="41305492" w14:textId="787FC8A3" w:rsidR="00CE755B" w:rsidRPr="00CF632A" w:rsidRDefault="007B1591" w:rsidP="007B1591">
      <w:pPr>
        <w:pStyle w:val="NICEnormal"/>
      </w:pPr>
      <w:r w:rsidRPr="00A9020B">
        <w:t>The</w:t>
      </w:r>
      <w:r w:rsidR="001E78C2" w:rsidRPr="00A9020B">
        <w:t xml:space="preserve"> economic model h</w:t>
      </w:r>
      <w:r w:rsidR="00667D33" w:rsidRPr="00A9020B">
        <w:t>as</w:t>
      </w:r>
      <w:r w:rsidRPr="00CF632A">
        <w:t xml:space="preserve"> uncertainties </w:t>
      </w:r>
      <w:r w:rsidR="00667D33" w:rsidRPr="00A9020B">
        <w:t xml:space="preserve">because of </w:t>
      </w:r>
      <w:r w:rsidRPr="00CF632A">
        <w:t>the assumptions used. But</w:t>
      </w:r>
      <w:r w:rsidR="00667D33" w:rsidRPr="00A9020B">
        <w:t xml:space="preserve"> when</w:t>
      </w:r>
      <w:r w:rsidRPr="00CF632A">
        <w:t xml:space="preserve"> considering the condition’s severity, and its effect on quality and length of life, the cost-effectiveness estimates are within the range NICE considers an acceptable use of NHS resources. So, bevacizumab (originator </w:t>
      </w:r>
      <w:r w:rsidR="00C44404">
        <w:t>or</w:t>
      </w:r>
      <w:r w:rsidR="00C44404" w:rsidRPr="00171077">
        <w:t xml:space="preserve"> </w:t>
      </w:r>
      <w:r w:rsidRPr="00CF632A">
        <w:t xml:space="preserve">biosimilars) </w:t>
      </w:r>
      <w:r w:rsidRPr="00CF632A" w:rsidDel="007F441B">
        <w:t xml:space="preserve">with fluoropyrimidine-based chemotherapy </w:t>
      </w:r>
      <w:r w:rsidRPr="00CF632A">
        <w:t>can be used.</w:t>
      </w:r>
    </w:p>
    <w:p w14:paraId="7629300A" w14:textId="1D9B2279" w:rsidR="00EA1CB1" w:rsidRPr="00CF632A" w:rsidRDefault="00EA1CB1" w:rsidP="00802BD9">
      <w:pPr>
        <w:pStyle w:val="Numberedheading1"/>
        <w:keepLines/>
      </w:pPr>
      <w:r w:rsidRPr="00CF632A">
        <w:lastRenderedPageBreak/>
        <w:t xml:space="preserve">Information about </w:t>
      </w:r>
      <w:r w:rsidR="00C3302D" w:rsidRPr="00CF632A">
        <w:t>bevacizumab (</w:t>
      </w:r>
      <w:r w:rsidR="00CA1E14" w:rsidRPr="00CF632A">
        <w:t>originator</w:t>
      </w:r>
      <w:r w:rsidR="00C3302D" w:rsidRPr="00CF632A">
        <w:t xml:space="preserve"> and biosimilars) with fluoropyrimidine-based chemotherapy</w:t>
      </w:r>
    </w:p>
    <w:p w14:paraId="2524E905" w14:textId="378646C0" w:rsidR="001A4FA6" w:rsidRPr="00CF632A" w:rsidRDefault="00B82A82" w:rsidP="001A4FA6">
      <w:pPr>
        <w:pStyle w:val="Heading2"/>
      </w:pPr>
      <w:bookmarkStart w:id="1" w:name="_Marketing_authorisation_indication"/>
      <w:bookmarkEnd w:id="1"/>
      <w:r w:rsidRPr="00CF632A">
        <w:t>Marketing authorisation indication</w:t>
      </w:r>
      <w:r w:rsidR="0017392B" w:rsidRPr="00CF632A">
        <w:t xml:space="preserve"> </w:t>
      </w:r>
    </w:p>
    <w:p w14:paraId="308835D9" w14:textId="37A2A2D1" w:rsidR="00317B47" w:rsidRPr="00CF632A" w:rsidRDefault="005C32EF" w:rsidP="00502DCD">
      <w:pPr>
        <w:pStyle w:val="Numberedlevel2text"/>
        <w:numPr>
          <w:ilvl w:val="1"/>
          <w:numId w:val="1"/>
        </w:numPr>
        <w:rPr>
          <w:lang w:val="en-GB"/>
        </w:rPr>
      </w:pPr>
      <w:r w:rsidRPr="00CF632A">
        <w:rPr>
          <w:rStyle w:val="Numberedlevel2textChar"/>
          <w:bCs/>
          <w:iCs/>
          <w:lang w:val="en-GB"/>
        </w:rPr>
        <w:t xml:space="preserve">Bevacizumab </w:t>
      </w:r>
      <w:r w:rsidR="00791631" w:rsidRPr="00CF632A">
        <w:rPr>
          <w:rStyle w:val="Numberedlevel2textChar"/>
          <w:bCs/>
          <w:iCs/>
          <w:lang w:val="en-GB"/>
        </w:rPr>
        <w:t>(Avastin, Roche</w:t>
      </w:r>
      <w:r w:rsidR="00D20753" w:rsidRPr="00CF632A">
        <w:rPr>
          <w:rStyle w:val="Numberedlevel2textChar"/>
          <w:bCs/>
          <w:iCs/>
          <w:lang w:val="en-GB"/>
        </w:rPr>
        <w:t xml:space="preserve"> [originator]</w:t>
      </w:r>
      <w:r w:rsidR="00410619" w:rsidRPr="00CF632A">
        <w:rPr>
          <w:rStyle w:val="Numberedlevel2textChar"/>
          <w:bCs/>
          <w:iCs/>
          <w:lang w:val="en-GB"/>
        </w:rPr>
        <w:t xml:space="preserve"> and biosimilars</w:t>
      </w:r>
      <w:r w:rsidR="00791631" w:rsidRPr="00CF632A">
        <w:rPr>
          <w:rStyle w:val="Numberedlevel2textChar"/>
          <w:bCs/>
          <w:iCs/>
          <w:lang w:val="en-GB"/>
        </w:rPr>
        <w:t xml:space="preserve">) </w:t>
      </w:r>
      <w:r w:rsidR="00E14190" w:rsidRPr="00CF632A">
        <w:rPr>
          <w:rStyle w:val="Numberedlevel2textChar"/>
          <w:bCs/>
          <w:iCs/>
          <w:lang w:val="en-GB"/>
        </w:rPr>
        <w:t>with fluoropyrimidine-based chemotherapy</w:t>
      </w:r>
      <w:r w:rsidR="00502DCD" w:rsidRPr="00CF632A">
        <w:rPr>
          <w:rStyle w:val="Numberedlevel2textChar"/>
          <w:bCs/>
          <w:iCs/>
          <w:lang w:val="en-GB"/>
        </w:rPr>
        <w:t xml:space="preserve"> </w:t>
      </w:r>
      <w:r w:rsidR="00A56693" w:rsidRPr="00CF632A">
        <w:rPr>
          <w:rStyle w:val="Numberedlevel2textChar"/>
          <w:bCs/>
          <w:iCs/>
          <w:lang w:val="en-GB"/>
        </w:rPr>
        <w:t xml:space="preserve">is indicated for </w:t>
      </w:r>
      <w:r w:rsidR="002A5915">
        <w:rPr>
          <w:rStyle w:val="Numberedlevel2textChar"/>
          <w:bCs/>
          <w:iCs/>
          <w:lang w:val="en-GB"/>
        </w:rPr>
        <w:t>the ‘</w:t>
      </w:r>
      <w:r w:rsidR="00A56693" w:rsidRPr="00CF632A">
        <w:rPr>
          <w:rStyle w:val="Numberedlevel2textChar"/>
          <w:bCs/>
          <w:iCs/>
          <w:lang w:val="en-GB"/>
        </w:rPr>
        <w:t>treatment of adult patients with metastatic carcinoma of the colon or rectum</w:t>
      </w:r>
      <w:r w:rsidR="002A5915">
        <w:rPr>
          <w:rStyle w:val="Numberedlevel2textChar"/>
          <w:bCs/>
          <w:iCs/>
          <w:lang w:val="en-GB"/>
        </w:rPr>
        <w:t>’</w:t>
      </w:r>
      <w:r w:rsidR="00191620" w:rsidRPr="00CF632A">
        <w:rPr>
          <w:lang w:val="en-GB"/>
        </w:rPr>
        <w:t>.</w:t>
      </w:r>
    </w:p>
    <w:p w14:paraId="4E686C1B" w14:textId="77777777" w:rsidR="00B82A82" w:rsidRPr="00CF632A" w:rsidRDefault="00B82A82" w:rsidP="00B82A82">
      <w:pPr>
        <w:pStyle w:val="Heading2"/>
      </w:pPr>
      <w:r w:rsidRPr="00CF632A">
        <w:t>Dosage in the marketing authorisation</w:t>
      </w:r>
    </w:p>
    <w:p w14:paraId="17083A27" w14:textId="36A30929" w:rsidR="00B82A82" w:rsidRPr="00CF632A" w:rsidRDefault="00FE2CE3" w:rsidP="00057D39">
      <w:pPr>
        <w:pStyle w:val="Numberedlevel2text"/>
        <w:numPr>
          <w:ilvl w:val="1"/>
          <w:numId w:val="14"/>
        </w:numPr>
        <w:rPr>
          <w:rFonts w:cs="Arial"/>
          <w:b/>
          <w:lang w:val="en-GB"/>
        </w:rPr>
      </w:pPr>
      <w:r w:rsidRPr="00CF632A">
        <w:rPr>
          <w:lang w:val="en-GB"/>
        </w:rPr>
        <w:t>The dosage schedule is</w:t>
      </w:r>
      <w:r w:rsidR="00570524" w:rsidRPr="00CF632A">
        <w:rPr>
          <w:lang w:val="en-GB"/>
        </w:rPr>
        <w:t xml:space="preserve"> available in the </w:t>
      </w:r>
      <w:hyperlink r:id="rId11" w:history="1">
        <w:r w:rsidR="00570524" w:rsidRPr="00CF632A">
          <w:rPr>
            <w:rStyle w:val="Hyperlink"/>
            <w:lang w:val="en-GB"/>
          </w:rPr>
          <w:t>summary of product characteristics</w:t>
        </w:r>
        <w:r w:rsidR="00047E58" w:rsidRPr="00CF632A">
          <w:rPr>
            <w:rStyle w:val="Hyperlink"/>
            <w:lang w:val="en-GB"/>
          </w:rPr>
          <w:t xml:space="preserve"> for </w:t>
        </w:r>
        <w:r w:rsidR="0044081E" w:rsidRPr="00CF632A">
          <w:rPr>
            <w:rStyle w:val="Hyperlink"/>
            <w:lang w:val="en-GB"/>
          </w:rPr>
          <w:t>b</w:t>
        </w:r>
        <w:r w:rsidR="00A00758" w:rsidRPr="00CF632A">
          <w:rPr>
            <w:rStyle w:val="Hyperlink"/>
            <w:lang w:val="en-GB"/>
          </w:rPr>
          <w:t>evacizumab (</w:t>
        </w:r>
        <w:r w:rsidR="0044081E" w:rsidRPr="00CF632A">
          <w:rPr>
            <w:rStyle w:val="Hyperlink"/>
            <w:lang w:val="en-GB"/>
          </w:rPr>
          <w:t>originator</w:t>
        </w:r>
        <w:r w:rsidR="00A00758" w:rsidRPr="00CF632A">
          <w:rPr>
            <w:rStyle w:val="Hyperlink"/>
            <w:lang w:val="en-GB"/>
          </w:rPr>
          <w:t>) in combination with fluoropyrimidine-based chemotherapy</w:t>
        </w:r>
      </w:hyperlink>
      <w:r w:rsidR="00570524" w:rsidRPr="00CF632A">
        <w:rPr>
          <w:lang w:val="en-GB"/>
        </w:rPr>
        <w:t>.</w:t>
      </w:r>
    </w:p>
    <w:p w14:paraId="31ABA4B0" w14:textId="787432E3" w:rsidR="00B82A82" w:rsidRPr="00CF632A" w:rsidRDefault="00B82A82" w:rsidP="00B82A82">
      <w:pPr>
        <w:pStyle w:val="Heading2"/>
      </w:pPr>
      <w:bookmarkStart w:id="2" w:name="_Price"/>
      <w:bookmarkEnd w:id="2"/>
      <w:r w:rsidRPr="00CF632A">
        <w:t>Price</w:t>
      </w:r>
    </w:p>
    <w:p w14:paraId="20D9C875" w14:textId="37E15CB2" w:rsidR="004C3CED" w:rsidRPr="00CF632A" w:rsidRDefault="003E78CE" w:rsidP="004C3CED">
      <w:pPr>
        <w:pStyle w:val="Numberedlevel2text"/>
        <w:numPr>
          <w:ilvl w:val="1"/>
          <w:numId w:val="1"/>
        </w:numPr>
        <w:rPr>
          <w:lang w:val="en-GB"/>
        </w:rPr>
      </w:pPr>
      <w:bookmarkStart w:id="3" w:name="_Hlk66279497"/>
      <w:r w:rsidRPr="00CF632A">
        <w:rPr>
          <w:rStyle w:val="NICEnormalChar"/>
          <w:rFonts w:cs="Arial"/>
        </w:rPr>
        <w:t xml:space="preserve">The list price </w:t>
      </w:r>
      <w:r w:rsidR="00DB6259" w:rsidRPr="00CF632A">
        <w:rPr>
          <w:rStyle w:val="NICEnormalChar"/>
          <w:rFonts w:cs="Arial"/>
        </w:rPr>
        <w:t>for</w:t>
      </w:r>
      <w:r w:rsidR="00BE66A2" w:rsidRPr="00CF632A">
        <w:rPr>
          <w:rFonts w:cs="Arial"/>
          <w:bCs w:val="0"/>
          <w:iCs w:val="0"/>
          <w:szCs w:val="24"/>
          <w:lang w:val="en-GB"/>
        </w:rPr>
        <w:t xml:space="preserve"> </w:t>
      </w:r>
      <w:r w:rsidR="00C82CB6" w:rsidRPr="00CF632A">
        <w:rPr>
          <w:rFonts w:cs="Arial"/>
          <w:bCs w:val="0"/>
          <w:iCs w:val="0"/>
          <w:szCs w:val="24"/>
          <w:lang w:val="en-GB"/>
        </w:rPr>
        <w:t>bevacizumab (</w:t>
      </w:r>
      <w:r w:rsidR="000A75A7" w:rsidRPr="00CF632A">
        <w:rPr>
          <w:rFonts w:cs="Arial"/>
          <w:bCs w:val="0"/>
          <w:iCs w:val="0"/>
          <w:szCs w:val="24"/>
          <w:lang w:val="en-GB"/>
        </w:rPr>
        <w:t>originator)</w:t>
      </w:r>
      <w:r w:rsidR="000A75A7" w:rsidRPr="00CF632A">
        <w:rPr>
          <w:rFonts w:cs="Arial"/>
          <w:szCs w:val="24"/>
          <w:lang w:val="en-GB"/>
        </w:rPr>
        <w:t xml:space="preserve"> for a</w:t>
      </w:r>
      <w:r w:rsidR="00BE66A2" w:rsidRPr="00CF632A">
        <w:rPr>
          <w:rFonts w:cs="Arial"/>
          <w:szCs w:val="24"/>
          <w:lang w:val="en-GB"/>
        </w:rPr>
        <w:t xml:space="preserve"> 100</w:t>
      </w:r>
      <w:r w:rsidR="00E62BAA" w:rsidRPr="00CF632A">
        <w:rPr>
          <w:rFonts w:cs="Arial"/>
          <w:szCs w:val="24"/>
          <w:lang w:val="en-GB"/>
        </w:rPr>
        <w:t>-</w:t>
      </w:r>
      <w:r w:rsidR="00BE66A2" w:rsidRPr="00CF632A">
        <w:rPr>
          <w:rFonts w:cs="Arial"/>
          <w:szCs w:val="24"/>
          <w:lang w:val="en-GB"/>
        </w:rPr>
        <w:t>mg vial is £242.66, and a 400-mg vial is £924.40</w:t>
      </w:r>
      <w:r w:rsidR="00994F2C" w:rsidRPr="00CF632A">
        <w:rPr>
          <w:rFonts w:cs="Arial"/>
          <w:szCs w:val="24"/>
          <w:lang w:val="en-GB"/>
        </w:rPr>
        <w:t xml:space="preserve">. </w:t>
      </w:r>
      <w:r w:rsidR="00130B61" w:rsidRPr="00CF632A">
        <w:rPr>
          <w:rFonts w:cs="Arial"/>
          <w:szCs w:val="24"/>
          <w:lang w:val="en-GB"/>
        </w:rPr>
        <w:t xml:space="preserve">The list price of biosimilars range from </w:t>
      </w:r>
      <w:r w:rsidR="00111AEB" w:rsidRPr="00CF632A">
        <w:rPr>
          <w:rFonts w:cs="Arial"/>
          <w:szCs w:val="24"/>
          <w:lang w:val="en-GB"/>
        </w:rPr>
        <w:t>£202.50</w:t>
      </w:r>
      <w:r w:rsidR="009F6F9B" w:rsidRPr="00CF632A">
        <w:rPr>
          <w:rFonts w:cs="Arial"/>
          <w:szCs w:val="24"/>
          <w:lang w:val="en-GB"/>
        </w:rPr>
        <w:t xml:space="preserve"> </w:t>
      </w:r>
      <w:r w:rsidR="008F2074" w:rsidRPr="00CF632A">
        <w:rPr>
          <w:rFonts w:cs="Arial"/>
          <w:szCs w:val="24"/>
          <w:lang w:val="en-GB"/>
        </w:rPr>
        <w:t xml:space="preserve">to </w:t>
      </w:r>
      <w:r w:rsidR="00394F90" w:rsidRPr="00CF632A">
        <w:rPr>
          <w:rFonts w:cs="Arial"/>
          <w:szCs w:val="24"/>
          <w:lang w:val="en-GB"/>
        </w:rPr>
        <w:t>£</w:t>
      </w:r>
      <w:r w:rsidR="0045383B" w:rsidRPr="00CF632A">
        <w:rPr>
          <w:rFonts w:cs="Arial"/>
          <w:szCs w:val="24"/>
          <w:lang w:val="en-GB"/>
        </w:rPr>
        <w:t>242.66</w:t>
      </w:r>
      <w:r w:rsidR="008F2074" w:rsidRPr="00CF632A">
        <w:rPr>
          <w:rFonts w:cs="Arial"/>
          <w:szCs w:val="24"/>
          <w:lang w:val="en-GB"/>
        </w:rPr>
        <w:t xml:space="preserve"> </w:t>
      </w:r>
      <w:r w:rsidR="009F6F9B" w:rsidRPr="00CF632A">
        <w:rPr>
          <w:rFonts w:cs="Arial"/>
          <w:szCs w:val="24"/>
          <w:lang w:val="en-GB"/>
        </w:rPr>
        <w:t>for a 100-mg vial</w:t>
      </w:r>
      <w:r w:rsidR="008F2074" w:rsidRPr="00CF632A">
        <w:rPr>
          <w:rFonts w:cs="Arial"/>
          <w:szCs w:val="24"/>
          <w:lang w:val="en-GB"/>
        </w:rPr>
        <w:t xml:space="preserve"> and from </w:t>
      </w:r>
      <w:r w:rsidR="00E911E3" w:rsidRPr="00CF632A">
        <w:rPr>
          <w:rFonts w:cs="Arial"/>
          <w:szCs w:val="24"/>
          <w:lang w:val="en-GB"/>
        </w:rPr>
        <w:t>£</w:t>
      </w:r>
      <w:r w:rsidR="001F14AF" w:rsidRPr="00CF632A">
        <w:rPr>
          <w:rFonts w:cs="Arial"/>
          <w:szCs w:val="24"/>
          <w:lang w:val="en-GB"/>
        </w:rPr>
        <w:t>810.00</w:t>
      </w:r>
      <w:r w:rsidR="008F2074" w:rsidRPr="00CF632A">
        <w:rPr>
          <w:rFonts w:cs="Arial"/>
          <w:szCs w:val="24"/>
          <w:lang w:val="en-GB"/>
        </w:rPr>
        <w:t xml:space="preserve"> to </w:t>
      </w:r>
      <w:r w:rsidR="00E911E3" w:rsidRPr="00CF632A">
        <w:rPr>
          <w:rFonts w:cs="Arial"/>
          <w:szCs w:val="24"/>
          <w:lang w:val="en-GB"/>
        </w:rPr>
        <w:t>£</w:t>
      </w:r>
      <w:r w:rsidR="00414849" w:rsidRPr="00CF632A">
        <w:rPr>
          <w:rFonts w:cs="Arial"/>
          <w:szCs w:val="24"/>
          <w:lang w:val="en-GB"/>
        </w:rPr>
        <w:t>924.40</w:t>
      </w:r>
      <w:r w:rsidR="008F2074" w:rsidRPr="00CF632A">
        <w:rPr>
          <w:rFonts w:cs="Arial"/>
          <w:szCs w:val="24"/>
          <w:lang w:val="en-GB"/>
        </w:rPr>
        <w:t xml:space="preserve"> for a 400-mg vial</w:t>
      </w:r>
      <w:r w:rsidR="00BE66A2" w:rsidRPr="00CF632A">
        <w:rPr>
          <w:rFonts w:cs="Arial"/>
          <w:szCs w:val="24"/>
          <w:lang w:val="en-GB"/>
        </w:rPr>
        <w:t xml:space="preserve"> (excluding VAT; BNF</w:t>
      </w:r>
      <w:r w:rsidR="00C0330F" w:rsidRPr="00CF632A">
        <w:rPr>
          <w:rFonts w:cs="Arial"/>
          <w:szCs w:val="24"/>
          <w:lang w:val="en-GB"/>
        </w:rPr>
        <w:t xml:space="preserve"> online</w:t>
      </w:r>
      <w:r w:rsidR="0065553F" w:rsidRPr="00CF632A">
        <w:rPr>
          <w:rFonts w:cs="Arial"/>
          <w:szCs w:val="24"/>
          <w:lang w:val="en-GB"/>
        </w:rPr>
        <w:t>,</w:t>
      </w:r>
      <w:r w:rsidR="00C0330F" w:rsidRPr="00CF632A">
        <w:rPr>
          <w:rFonts w:cs="Arial"/>
          <w:szCs w:val="24"/>
          <w:lang w:val="en-GB"/>
        </w:rPr>
        <w:t xml:space="preserve"> accessed November 2025</w:t>
      </w:r>
      <w:r w:rsidR="00BE66A2" w:rsidRPr="00CF632A">
        <w:rPr>
          <w:szCs w:val="24"/>
          <w:lang w:val="en-GB"/>
        </w:rPr>
        <w:t>).</w:t>
      </w:r>
      <w:r w:rsidR="00DB6259" w:rsidRPr="00CF632A">
        <w:rPr>
          <w:rStyle w:val="NICEnormalChar"/>
        </w:rPr>
        <w:t xml:space="preserve"> </w:t>
      </w:r>
      <w:bookmarkEnd w:id="3"/>
    </w:p>
    <w:p w14:paraId="0A030BE2" w14:textId="7033524B" w:rsidR="00B82A82" w:rsidRPr="00CF632A" w:rsidRDefault="00FB7A47" w:rsidP="137CDEE8">
      <w:pPr>
        <w:pStyle w:val="Numberedlevel2text"/>
        <w:rPr>
          <w:lang w:val="en-GB"/>
        </w:rPr>
      </w:pPr>
      <w:r>
        <w:rPr>
          <w:lang w:val="en-GB"/>
        </w:rPr>
        <w:t>N</w:t>
      </w:r>
      <w:r w:rsidR="259F7992" w:rsidRPr="137CDEE8">
        <w:rPr>
          <w:lang w:val="en-GB"/>
        </w:rPr>
        <w:t>ationally available price reduction</w:t>
      </w:r>
      <w:r w:rsidR="00C43A18">
        <w:rPr>
          <w:lang w:val="en-GB"/>
        </w:rPr>
        <w:t>s</w:t>
      </w:r>
      <w:r w:rsidR="259F7992" w:rsidRPr="137CDEE8">
        <w:rPr>
          <w:lang w:val="en-GB"/>
        </w:rPr>
        <w:t xml:space="preserve"> for </w:t>
      </w:r>
      <w:r w:rsidR="46A709ED" w:rsidRPr="137CDEE8">
        <w:rPr>
          <w:lang w:val="en-GB"/>
        </w:rPr>
        <w:t>bevacizumab (originator and biosimilars)</w:t>
      </w:r>
      <w:r w:rsidR="259F7992" w:rsidRPr="137CDEE8">
        <w:rPr>
          <w:lang w:val="en-GB"/>
        </w:rPr>
        <w:t xml:space="preserve"> </w:t>
      </w:r>
      <w:r w:rsidR="1505CD03" w:rsidRPr="137CDEE8">
        <w:rPr>
          <w:lang w:val="en-GB"/>
        </w:rPr>
        <w:t>ha</w:t>
      </w:r>
      <w:r w:rsidR="00C43A18">
        <w:rPr>
          <w:lang w:val="en-GB"/>
        </w:rPr>
        <w:t>ve</w:t>
      </w:r>
      <w:r w:rsidR="1505CD03" w:rsidRPr="137CDEE8">
        <w:rPr>
          <w:lang w:val="en-GB"/>
        </w:rPr>
        <w:t xml:space="preserve"> been agreed </w:t>
      </w:r>
      <w:r w:rsidR="259F7992" w:rsidRPr="137CDEE8">
        <w:rPr>
          <w:lang w:val="en-GB"/>
        </w:rPr>
        <w:t xml:space="preserve">with the </w:t>
      </w:r>
      <w:r w:rsidR="172EED65" w:rsidRPr="137CDEE8">
        <w:rPr>
          <w:lang w:val="en-GB"/>
        </w:rPr>
        <w:t>Medicines Procurement and Supply Chain</w:t>
      </w:r>
      <w:r w:rsidR="259F7992" w:rsidRPr="137CDEE8">
        <w:rPr>
          <w:lang w:val="en-GB"/>
        </w:rPr>
        <w:t xml:space="preserve">. The prices agreed through the framework are </w:t>
      </w:r>
      <w:r w:rsidR="6B10EE33" w:rsidRPr="137CDEE8">
        <w:rPr>
          <w:lang w:val="en-GB"/>
        </w:rPr>
        <w:t xml:space="preserve">commercial </w:t>
      </w:r>
      <w:r w:rsidR="00862E39">
        <w:rPr>
          <w:lang w:val="en-GB"/>
        </w:rPr>
        <w:t>in confidence.</w:t>
      </w:r>
    </w:p>
    <w:p w14:paraId="31EB85B7" w14:textId="0466EE29" w:rsidR="00D16779" w:rsidRPr="00CF632A" w:rsidRDefault="00393FEB" w:rsidP="00D16779">
      <w:pPr>
        <w:pStyle w:val="Heading2"/>
      </w:pPr>
      <w:r>
        <w:t>Sustainability</w:t>
      </w:r>
    </w:p>
    <w:p w14:paraId="14320D98" w14:textId="0A8502A8" w:rsidR="003C2833" w:rsidRPr="00CF632A" w:rsidRDefault="00BF2685" w:rsidP="47259761">
      <w:pPr>
        <w:pStyle w:val="Numberedlevel2text"/>
        <w:rPr>
          <w:lang w:val="en-GB"/>
        </w:rPr>
      </w:pPr>
      <w:r>
        <w:rPr>
          <w:lang w:val="en-GB"/>
        </w:rPr>
        <w:t>A</w:t>
      </w:r>
      <w:r w:rsidR="00154CCB" w:rsidRPr="00154CCB">
        <w:rPr>
          <w:lang w:val="en-GB"/>
        </w:rPr>
        <w:t xml:space="preserve"> Carbon Reduction Plan for UK carbon emissions is not included because there are multiple companies that manufacture </w:t>
      </w:r>
      <w:r w:rsidR="00154CCB">
        <w:rPr>
          <w:lang w:val="en-GB"/>
        </w:rPr>
        <w:t>bevacizumab</w:t>
      </w:r>
      <w:r w:rsidR="00154CCB" w:rsidRPr="00154CCB">
        <w:rPr>
          <w:lang w:val="en-GB"/>
        </w:rPr>
        <w:t xml:space="preserve">. </w:t>
      </w:r>
    </w:p>
    <w:p w14:paraId="4525CC45" w14:textId="77777777" w:rsidR="00F130AD" w:rsidRPr="00CF632A" w:rsidRDefault="00222BEA" w:rsidP="00057D39">
      <w:pPr>
        <w:pStyle w:val="Numberedheading1"/>
        <w:numPr>
          <w:ilvl w:val="0"/>
          <w:numId w:val="13"/>
        </w:numPr>
      </w:pPr>
      <w:r w:rsidRPr="00CF632A">
        <w:t>Committee discussion</w:t>
      </w:r>
    </w:p>
    <w:p w14:paraId="561A5885" w14:textId="6A49298E" w:rsidR="002B5772" w:rsidRPr="00CF632A" w:rsidRDefault="00BC7D9E" w:rsidP="002B5772">
      <w:pPr>
        <w:pStyle w:val="NICEnormal"/>
      </w:pPr>
      <w:r w:rsidRPr="00CF632A">
        <w:t xml:space="preserve">The </w:t>
      </w:r>
      <w:hyperlink w:anchor="_Appraisal_committee_members" w:history="1">
        <w:r w:rsidR="00CE5968" w:rsidRPr="00CF632A">
          <w:rPr>
            <w:rStyle w:val="Hyperlink"/>
          </w:rPr>
          <w:t>evaluation</w:t>
        </w:r>
        <w:r w:rsidRPr="00CF632A">
          <w:rPr>
            <w:rStyle w:val="Hyperlink"/>
          </w:rPr>
          <w:t xml:space="preserve"> </w:t>
        </w:r>
        <w:r w:rsidR="00343B53" w:rsidRPr="00CF632A">
          <w:rPr>
            <w:rStyle w:val="Hyperlink"/>
          </w:rPr>
          <w:t>c</w:t>
        </w:r>
        <w:r w:rsidRPr="00CF632A">
          <w:rPr>
            <w:rStyle w:val="Hyperlink"/>
          </w:rPr>
          <w:t>ommittee</w:t>
        </w:r>
      </w:hyperlink>
      <w:r w:rsidRPr="00CF632A">
        <w:t xml:space="preserve"> considered evidence </w:t>
      </w:r>
      <w:r w:rsidR="00ED5855" w:rsidRPr="00CF632A">
        <w:t xml:space="preserve">submitted by the external assessment group (EAG). </w:t>
      </w:r>
      <w:r w:rsidR="002B5772" w:rsidRPr="00CF632A">
        <w:t xml:space="preserve">See the </w:t>
      </w:r>
      <w:hyperlink r:id="rId12" w:history="1">
        <w:r w:rsidR="002B5772" w:rsidRPr="00CF632A">
          <w:rPr>
            <w:rStyle w:val="Hyperlink"/>
          </w:rPr>
          <w:t>committee papers</w:t>
        </w:r>
      </w:hyperlink>
      <w:r w:rsidR="002B5772" w:rsidRPr="00CF632A">
        <w:t xml:space="preserve"> for full details of the evidence.</w:t>
      </w:r>
    </w:p>
    <w:p w14:paraId="7015F8D1" w14:textId="77777777" w:rsidR="00BE38ED" w:rsidRPr="00CF632A" w:rsidRDefault="00FB2B26" w:rsidP="00BE38ED">
      <w:pPr>
        <w:pStyle w:val="Heading2"/>
      </w:pPr>
      <w:bookmarkStart w:id="4" w:name="_Pilot_of_a"/>
      <w:bookmarkEnd w:id="4"/>
      <w:r w:rsidRPr="00CF632A">
        <w:lastRenderedPageBreak/>
        <w:t>Pilot of a streamlined revi</w:t>
      </w:r>
      <w:r w:rsidR="00E5073F" w:rsidRPr="00CF632A">
        <w:t>ew of originator and biosimilar</w:t>
      </w:r>
    </w:p>
    <w:p w14:paraId="712C297B" w14:textId="1663E015" w:rsidR="00E45873" w:rsidRDefault="00B434E2" w:rsidP="00BE38ED">
      <w:pPr>
        <w:pStyle w:val="Numberedlevel2text"/>
        <w:rPr>
          <w:lang w:val="en-GB"/>
        </w:rPr>
      </w:pPr>
      <w:r w:rsidRPr="00CF632A">
        <w:rPr>
          <w:bCs w:val="0"/>
          <w:iCs w:val="0"/>
          <w:lang w:val="en-GB"/>
        </w:rPr>
        <w:t xml:space="preserve">The </w:t>
      </w:r>
      <w:r w:rsidR="00045E18" w:rsidRPr="00CF632A">
        <w:rPr>
          <w:bCs w:val="0"/>
          <w:iCs w:val="0"/>
          <w:lang w:val="en-GB"/>
        </w:rPr>
        <w:t>Government’s</w:t>
      </w:r>
      <w:r w:rsidR="006D4530" w:rsidRPr="00CF632A">
        <w:rPr>
          <w:bCs w:val="0"/>
          <w:iCs w:val="0"/>
          <w:lang w:val="en-GB"/>
        </w:rPr>
        <w:t xml:space="preserve"> </w:t>
      </w:r>
      <w:r w:rsidRPr="00CF632A">
        <w:rPr>
          <w:bCs w:val="0"/>
          <w:iCs w:val="0"/>
          <w:lang w:val="en-GB"/>
        </w:rPr>
        <w:t>10 Year</w:t>
      </w:r>
      <w:r w:rsidR="00045E18" w:rsidRPr="00CF632A">
        <w:rPr>
          <w:bCs w:val="0"/>
          <w:iCs w:val="0"/>
          <w:lang w:val="en-GB"/>
        </w:rPr>
        <w:t xml:space="preserve"> Health</w:t>
      </w:r>
      <w:r w:rsidRPr="00CF632A">
        <w:rPr>
          <w:bCs w:val="0"/>
          <w:iCs w:val="0"/>
          <w:lang w:val="en-GB"/>
        </w:rPr>
        <w:t xml:space="preserve"> Plan empowers NICE to move from </w:t>
      </w:r>
      <w:r w:rsidR="002471E5" w:rsidRPr="00CF632A">
        <w:rPr>
          <w:bCs w:val="0"/>
          <w:iCs w:val="0"/>
          <w:lang w:val="en-GB"/>
        </w:rPr>
        <w:t xml:space="preserve">a </w:t>
      </w:r>
      <w:r w:rsidRPr="00CF632A">
        <w:rPr>
          <w:bCs w:val="0"/>
          <w:iCs w:val="0"/>
          <w:lang w:val="en-GB"/>
        </w:rPr>
        <w:t xml:space="preserve">static to </w:t>
      </w:r>
      <w:r w:rsidR="004A0640" w:rsidRPr="00CF632A">
        <w:rPr>
          <w:bCs w:val="0"/>
          <w:iCs w:val="0"/>
          <w:lang w:val="en-GB"/>
        </w:rPr>
        <w:t xml:space="preserve">a </w:t>
      </w:r>
      <w:r w:rsidRPr="00CF632A">
        <w:rPr>
          <w:bCs w:val="0"/>
          <w:iCs w:val="0"/>
          <w:lang w:val="en-GB"/>
        </w:rPr>
        <w:t xml:space="preserve">dynamic assessment, reviewing its guidance and helping the NHS maximise the health benefit for every pound spent </w:t>
      </w:r>
      <w:r w:rsidR="00A6685D" w:rsidRPr="00CF632A">
        <w:rPr>
          <w:bCs w:val="0"/>
          <w:iCs w:val="0"/>
          <w:lang w:val="en-GB"/>
        </w:rPr>
        <w:t>through a</w:t>
      </w:r>
      <w:r w:rsidRPr="00CF632A">
        <w:rPr>
          <w:bCs w:val="0"/>
          <w:iCs w:val="0"/>
          <w:lang w:val="en-GB"/>
        </w:rPr>
        <w:t xml:space="preserve"> </w:t>
      </w:r>
      <w:r w:rsidR="00E456C3">
        <w:rPr>
          <w:bCs w:val="0"/>
          <w:iCs w:val="0"/>
          <w:lang w:val="en-GB"/>
        </w:rPr>
        <w:t>‘w</w:t>
      </w:r>
      <w:r w:rsidRPr="00CF632A">
        <w:rPr>
          <w:bCs w:val="0"/>
          <w:iCs w:val="0"/>
          <w:lang w:val="en-GB"/>
        </w:rPr>
        <w:t xml:space="preserve">hole </w:t>
      </w:r>
      <w:r w:rsidR="00E456C3">
        <w:rPr>
          <w:bCs w:val="0"/>
          <w:iCs w:val="0"/>
          <w:lang w:val="en-GB"/>
        </w:rPr>
        <w:t>l</w:t>
      </w:r>
      <w:r w:rsidRPr="00CF632A">
        <w:rPr>
          <w:bCs w:val="0"/>
          <w:iCs w:val="0"/>
          <w:lang w:val="en-GB"/>
        </w:rPr>
        <w:t xml:space="preserve">ifecycle </w:t>
      </w:r>
      <w:r w:rsidR="00E456C3">
        <w:rPr>
          <w:bCs w:val="0"/>
          <w:iCs w:val="0"/>
          <w:lang w:val="en-GB"/>
        </w:rPr>
        <w:t>a</w:t>
      </w:r>
      <w:r w:rsidRPr="00CF632A">
        <w:rPr>
          <w:bCs w:val="0"/>
          <w:iCs w:val="0"/>
          <w:lang w:val="en-GB"/>
        </w:rPr>
        <w:t>pproach’</w:t>
      </w:r>
      <w:r w:rsidR="00E456C3">
        <w:rPr>
          <w:bCs w:val="0"/>
          <w:iCs w:val="0"/>
          <w:lang w:val="en-GB"/>
        </w:rPr>
        <w:t>.</w:t>
      </w:r>
      <w:r w:rsidR="00011F29" w:rsidRPr="00CF632A">
        <w:rPr>
          <w:bCs w:val="0"/>
          <w:iCs w:val="0"/>
          <w:lang w:val="en-GB"/>
        </w:rPr>
        <w:t xml:space="preserve"> </w:t>
      </w:r>
      <w:r w:rsidR="00E105F3" w:rsidRPr="00CF632A">
        <w:rPr>
          <w:bCs w:val="0"/>
          <w:iCs w:val="0"/>
          <w:lang w:val="en-GB"/>
        </w:rPr>
        <w:t>As part of thi</w:t>
      </w:r>
      <w:r w:rsidR="00133A0D" w:rsidRPr="00CF632A">
        <w:rPr>
          <w:bCs w:val="0"/>
          <w:iCs w:val="0"/>
          <w:lang w:val="en-GB"/>
        </w:rPr>
        <w:t>s</w:t>
      </w:r>
      <w:r w:rsidR="00986915" w:rsidRPr="00CF632A">
        <w:rPr>
          <w:bCs w:val="0"/>
          <w:iCs w:val="0"/>
          <w:lang w:val="en-GB"/>
        </w:rPr>
        <w:t>,</w:t>
      </w:r>
      <w:r w:rsidR="00133A0D" w:rsidRPr="00CF632A">
        <w:rPr>
          <w:bCs w:val="0"/>
          <w:iCs w:val="0"/>
          <w:lang w:val="en-GB"/>
        </w:rPr>
        <w:t xml:space="preserve"> methods and processes are being </w:t>
      </w:r>
      <w:r w:rsidR="47C077EC" w:rsidRPr="612BA310">
        <w:rPr>
          <w:lang w:val="en-GB"/>
        </w:rPr>
        <w:t xml:space="preserve">reviewed and </w:t>
      </w:r>
      <w:r w:rsidR="00133A0D" w:rsidRPr="00CF632A">
        <w:rPr>
          <w:bCs w:val="0"/>
          <w:iCs w:val="0"/>
          <w:lang w:val="en-GB"/>
        </w:rPr>
        <w:t xml:space="preserve">developed </w:t>
      </w:r>
      <w:r w:rsidR="00E456C3">
        <w:rPr>
          <w:bCs w:val="0"/>
          <w:iCs w:val="0"/>
          <w:lang w:val="en-GB"/>
        </w:rPr>
        <w:t>to evaluate</w:t>
      </w:r>
      <w:r w:rsidR="00011F29" w:rsidRPr="00CF632A">
        <w:rPr>
          <w:bCs w:val="0"/>
          <w:iCs w:val="0"/>
          <w:lang w:val="en-GB"/>
        </w:rPr>
        <w:t xml:space="preserve"> biosimilars whe</w:t>
      </w:r>
      <w:r w:rsidR="00E45873">
        <w:rPr>
          <w:bCs w:val="0"/>
          <w:iCs w:val="0"/>
          <w:lang w:val="en-GB"/>
        </w:rPr>
        <w:t>n</w:t>
      </w:r>
      <w:r w:rsidR="00011F29" w:rsidRPr="00CF632A">
        <w:rPr>
          <w:bCs w:val="0"/>
          <w:iCs w:val="0"/>
          <w:lang w:val="en-GB"/>
        </w:rPr>
        <w:t xml:space="preserve"> </w:t>
      </w:r>
      <w:r w:rsidR="00E45873">
        <w:rPr>
          <w:bCs w:val="0"/>
          <w:iCs w:val="0"/>
          <w:lang w:val="en-GB"/>
        </w:rPr>
        <w:t xml:space="preserve">NICE did not recommend </w:t>
      </w:r>
      <w:r w:rsidR="00011F29" w:rsidRPr="00CF632A">
        <w:rPr>
          <w:bCs w:val="0"/>
          <w:iCs w:val="0"/>
          <w:lang w:val="en-GB"/>
        </w:rPr>
        <w:t>the originator</w:t>
      </w:r>
      <w:r w:rsidR="00BA602F">
        <w:rPr>
          <w:bCs w:val="0"/>
          <w:iCs w:val="0"/>
          <w:lang w:val="en-GB"/>
        </w:rPr>
        <w:t>,</w:t>
      </w:r>
      <w:r w:rsidR="00011F29" w:rsidRPr="00CF632A">
        <w:rPr>
          <w:bCs w:val="0"/>
          <w:iCs w:val="0"/>
          <w:lang w:val="en-GB"/>
        </w:rPr>
        <w:t xml:space="preserve"> </w:t>
      </w:r>
      <w:r w:rsidR="0064341D" w:rsidRPr="00CF632A">
        <w:rPr>
          <w:bCs w:val="0"/>
          <w:iCs w:val="0"/>
          <w:lang w:val="en-GB"/>
        </w:rPr>
        <w:t xml:space="preserve">and biosimilar </w:t>
      </w:r>
      <w:r w:rsidR="00A456C9">
        <w:rPr>
          <w:bCs w:val="0"/>
          <w:iCs w:val="0"/>
          <w:lang w:val="en-GB"/>
        </w:rPr>
        <w:t xml:space="preserve">availability and </w:t>
      </w:r>
      <w:r w:rsidR="0064341D" w:rsidRPr="00CF632A">
        <w:rPr>
          <w:bCs w:val="0"/>
          <w:iCs w:val="0"/>
          <w:lang w:val="en-GB"/>
        </w:rPr>
        <w:t>competition has reduced the price</w:t>
      </w:r>
      <w:r w:rsidR="00886905" w:rsidRPr="00CF632A">
        <w:rPr>
          <w:bCs w:val="0"/>
          <w:iCs w:val="0"/>
          <w:lang w:val="en-GB"/>
        </w:rPr>
        <w:t xml:space="preserve"> of the technology</w:t>
      </w:r>
      <w:r w:rsidR="00260F55" w:rsidRPr="00CF632A">
        <w:rPr>
          <w:bCs w:val="0"/>
          <w:iCs w:val="0"/>
          <w:lang w:val="en-GB"/>
        </w:rPr>
        <w:t>.</w:t>
      </w:r>
      <w:r w:rsidR="0090379A" w:rsidRPr="00CF632A">
        <w:rPr>
          <w:bCs w:val="0"/>
          <w:iCs w:val="0"/>
          <w:lang w:val="en-GB"/>
        </w:rPr>
        <w:t xml:space="preserve"> </w:t>
      </w:r>
      <w:r w:rsidR="00E45873">
        <w:rPr>
          <w:bCs w:val="0"/>
          <w:iCs w:val="0"/>
          <w:lang w:val="en-GB"/>
        </w:rPr>
        <w:t>NICE has not previously recommended b</w:t>
      </w:r>
      <w:r w:rsidRPr="00CF632A">
        <w:rPr>
          <w:bCs w:val="0"/>
          <w:iCs w:val="0"/>
          <w:lang w:val="en-GB"/>
        </w:rPr>
        <w:t xml:space="preserve">evacizumab </w:t>
      </w:r>
      <w:r w:rsidR="00E45873">
        <w:rPr>
          <w:bCs w:val="0"/>
          <w:iCs w:val="0"/>
          <w:lang w:val="en-GB"/>
        </w:rPr>
        <w:t>for treating</w:t>
      </w:r>
      <w:r w:rsidRPr="00CF632A">
        <w:rPr>
          <w:bCs w:val="0"/>
          <w:iCs w:val="0"/>
          <w:lang w:val="en-GB"/>
        </w:rPr>
        <w:t xml:space="preserve"> </w:t>
      </w:r>
      <w:r w:rsidR="00540A40">
        <w:rPr>
          <w:bCs w:val="0"/>
          <w:iCs w:val="0"/>
          <w:lang w:val="en-GB"/>
        </w:rPr>
        <w:t xml:space="preserve">metastatic </w:t>
      </w:r>
      <w:r w:rsidRPr="00CF632A">
        <w:rPr>
          <w:bCs w:val="0"/>
          <w:iCs w:val="0"/>
          <w:lang w:val="en-GB"/>
        </w:rPr>
        <w:t>colorectal cancer</w:t>
      </w:r>
      <w:r w:rsidR="00E45873">
        <w:rPr>
          <w:bCs w:val="0"/>
          <w:iCs w:val="0"/>
          <w:lang w:val="en-GB"/>
        </w:rPr>
        <w:t>;</w:t>
      </w:r>
      <w:r w:rsidRPr="00CF632A">
        <w:rPr>
          <w:bCs w:val="0"/>
          <w:iCs w:val="0"/>
          <w:lang w:val="en-GB"/>
        </w:rPr>
        <w:t xml:space="preserve"> </w:t>
      </w:r>
      <w:r w:rsidR="00E911E3" w:rsidRPr="00CF632A">
        <w:rPr>
          <w:lang w:val="en-GB"/>
        </w:rPr>
        <w:t>see</w:t>
      </w:r>
      <w:r w:rsidR="00E45873">
        <w:rPr>
          <w:lang w:val="en-GB"/>
        </w:rPr>
        <w:t>:</w:t>
      </w:r>
    </w:p>
    <w:p w14:paraId="6DE3CAB0" w14:textId="3EE86541" w:rsidR="00575C30" w:rsidRDefault="00E911E3" w:rsidP="00E45873">
      <w:pPr>
        <w:pStyle w:val="Bulletindent1"/>
      </w:pPr>
      <w:hyperlink r:id="rId13" w:history="1">
        <w:r w:rsidRPr="00B00A52">
          <w:rPr>
            <w:rStyle w:val="Hyperlink"/>
          </w:rPr>
          <w:t>NICE technology appraisal guidance</w:t>
        </w:r>
        <w:r w:rsidR="0020041B" w:rsidRPr="00B00A52">
          <w:rPr>
            <w:rStyle w:val="Hyperlink"/>
          </w:rPr>
          <w:t xml:space="preserve"> on bevacizumab and cetuximab for the treatment of metastatic colorectal cancer</w:t>
        </w:r>
      </w:hyperlink>
      <w:r w:rsidRPr="00CF632A">
        <w:t xml:space="preserve"> </w:t>
      </w:r>
      <w:r w:rsidR="0020041B">
        <w:t>(</w:t>
      </w:r>
      <w:r w:rsidR="002D024F" w:rsidRPr="009C1561">
        <w:t>TA118</w:t>
      </w:r>
      <w:r w:rsidR="0020041B">
        <w:t>)</w:t>
      </w:r>
    </w:p>
    <w:p w14:paraId="18C9DA30" w14:textId="42A5CDE3" w:rsidR="00575C30" w:rsidRDefault="002D024F" w:rsidP="00E45873">
      <w:pPr>
        <w:pStyle w:val="Bulletindent1"/>
      </w:pPr>
      <w:hyperlink r:id="rId14" w:history="1">
        <w:r w:rsidRPr="00B00A52">
          <w:rPr>
            <w:rStyle w:val="Hyperlink"/>
          </w:rPr>
          <w:t>NICE technology appraisal guidance on</w:t>
        </w:r>
        <w:r w:rsidR="00B00A52" w:rsidRPr="00B00A52">
          <w:rPr>
            <w:rStyle w:val="Hyperlink"/>
          </w:rPr>
          <w:t xml:space="preserve"> bevacizumab in combination with oxaliplatin and either fluorouracil plus folinic acid or capecitabine for the treatment of metastatic colorectal cancer</w:t>
        </w:r>
      </w:hyperlink>
      <w:r w:rsidR="00B00A52">
        <w:t xml:space="preserve"> (</w:t>
      </w:r>
      <w:r w:rsidR="00B00A52" w:rsidRPr="009C1561">
        <w:t>TA212</w:t>
      </w:r>
      <w:r w:rsidR="00B00A52">
        <w:t>)</w:t>
      </w:r>
    </w:p>
    <w:p w14:paraId="2AB74D26" w14:textId="552F33A4" w:rsidR="002C1B41" w:rsidRPr="00CF632A" w:rsidRDefault="002D024F" w:rsidP="009C1561">
      <w:pPr>
        <w:pStyle w:val="Bulletindent1last"/>
      </w:pPr>
      <w:hyperlink r:id="rId15">
        <w:r w:rsidRPr="612BA310">
          <w:rPr>
            <w:rStyle w:val="Hyperlink"/>
          </w:rPr>
          <w:t xml:space="preserve">NICE technology appraisal guidance on </w:t>
        </w:r>
        <w:r w:rsidR="00737436" w:rsidRPr="612BA310">
          <w:rPr>
            <w:rStyle w:val="Hyperlink"/>
          </w:rPr>
          <w:t>cetuximab, bevacizumab and panitumumab for the treatment of metastatic colorectal cancer after first-line chemotherapy</w:t>
        </w:r>
      </w:hyperlink>
      <w:r w:rsidR="00737436" w:rsidRPr="00737436">
        <w:t xml:space="preserve"> </w:t>
      </w:r>
      <w:r w:rsidR="00737436">
        <w:t>(</w:t>
      </w:r>
      <w:r w:rsidR="00737436" w:rsidRPr="009C1561">
        <w:t>TA242</w:t>
      </w:r>
      <w:r w:rsidR="00162F14" w:rsidRPr="00CF632A">
        <w:t>)</w:t>
      </w:r>
      <w:r w:rsidR="00737436">
        <w:t>.</w:t>
      </w:r>
      <w:r w:rsidR="00162F14" w:rsidRPr="00CF632A">
        <w:t xml:space="preserve"> </w:t>
      </w:r>
      <w:r w:rsidR="00575C30">
        <w:br/>
      </w:r>
      <w:r w:rsidR="00575C30">
        <w:br/>
        <w:t xml:space="preserve">Because of </w:t>
      </w:r>
      <w:r w:rsidR="00233B47" w:rsidRPr="00CF632A">
        <w:t xml:space="preserve">the </w:t>
      </w:r>
      <w:r w:rsidR="00B434E2" w:rsidRPr="00CF632A">
        <w:t>demand for a new evaluation of bevacizumab from stakeholders</w:t>
      </w:r>
      <w:r w:rsidR="005C683A" w:rsidRPr="00CF632A">
        <w:t>,</w:t>
      </w:r>
      <w:r w:rsidR="00521DD8" w:rsidRPr="00CF632A">
        <w:t xml:space="preserve"> this topic was selected</w:t>
      </w:r>
      <w:r w:rsidR="00886905" w:rsidRPr="00CF632A">
        <w:t xml:space="preserve"> for this pilot</w:t>
      </w:r>
      <w:r w:rsidR="00521DD8" w:rsidRPr="00CF632A">
        <w:t>.</w:t>
      </w:r>
      <w:bookmarkStart w:id="5" w:name="_Piloting_a_‘pragmatic"/>
      <w:bookmarkEnd w:id="5"/>
      <w:r w:rsidR="005C683A" w:rsidRPr="00CF632A">
        <w:t xml:space="preserve"> </w:t>
      </w:r>
      <w:r w:rsidR="00540A40">
        <w:t>NICE developed t</w:t>
      </w:r>
      <w:r w:rsidR="00AD5439" w:rsidRPr="00CF632A">
        <w:t xml:space="preserve">he pilot </w:t>
      </w:r>
      <w:r w:rsidR="00462B90" w:rsidRPr="00CF632A">
        <w:t>as</w:t>
      </w:r>
      <w:r w:rsidR="00AD5439" w:rsidRPr="00CF632A">
        <w:t xml:space="preserve"> a </w:t>
      </w:r>
      <w:r w:rsidR="00540A40">
        <w:t xml:space="preserve">faster </w:t>
      </w:r>
      <w:r w:rsidR="00AD5439" w:rsidRPr="00CF632A">
        <w:t>alternative to the standard multiple technology appraisal process</w:t>
      </w:r>
      <w:r w:rsidR="00DB07B3">
        <w:t>, which was streamlined as follows</w:t>
      </w:r>
      <w:r w:rsidR="002C1B41" w:rsidRPr="00CF632A">
        <w:t>:</w:t>
      </w:r>
    </w:p>
    <w:p w14:paraId="16B71AF1" w14:textId="16A9D123" w:rsidR="002C1B41" w:rsidRPr="00CF632A" w:rsidRDefault="007B612F" w:rsidP="007B612F">
      <w:pPr>
        <w:pStyle w:val="Bulletindent1"/>
      </w:pPr>
      <w:r w:rsidRPr="00CF632A">
        <w:t xml:space="preserve">The scope included a narrower population than that covered by the marketing authorisation </w:t>
      </w:r>
      <w:r w:rsidR="00B5006F" w:rsidRPr="00CF632A">
        <w:t>for bevacizumab</w:t>
      </w:r>
      <w:r w:rsidR="0027319A" w:rsidRPr="00CF632A">
        <w:t xml:space="preserve"> </w:t>
      </w:r>
      <w:r w:rsidR="0027319A" w:rsidRPr="00CF632A" w:rsidDel="007F441B">
        <w:t>with fluoropyrimidine-based chemotherapy</w:t>
      </w:r>
      <w:r w:rsidR="009C069C" w:rsidRPr="00CF632A">
        <w:t>.</w:t>
      </w:r>
      <w:r w:rsidR="00B5006F" w:rsidRPr="00CF632A">
        <w:t xml:space="preserve"> </w:t>
      </w:r>
      <w:r w:rsidR="009C069C" w:rsidRPr="00CF632A">
        <w:t>T</w:t>
      </w:r>
      <w:r w:rsidR="00B5006F" w:rsidRPr="00CF632A">
        <w:t>hat is</w:t>
      </w:r>
      <w:r w:rsidR="009C069C" w:rsidRPr="00CF632A">
        <w:t>,</w:t>
      </w:r>
      <w:r w:rsidR="00B5006F" w:rsidRPr="00CF632A">
        <w:t xml:space="preserve"> metastatic colorectal cancer </w:t>
      </w:r>
      <w:r w:rsidR="004D20BC" w:rsidRPr="00CF632A">
        <w:t xml:space="preserve">(mCRC) </w:t>
      </w:r>
      <w:r w:rsidR="00CE2C29">
        <w:t xml:space="preserve">when </w:t>
      </w:r>
      <w:r w:rsidR="00F56C2A" w:rsidRPr="00CF632A">
        <w:t xml:space="preserve">targeted therapies or immunotherapies </w:t>
      </w:r>
      <w:r w:rsidR="00CE2C29">
        <w:t xml:space="preserve">are not suitable, when </w:t>
      </w:r>
      <w:r w:rsidR="00F56C2A" w:rsidRPr="00CF632A">
        <w:t>chemotherapy alone</w:t>
      </w:r>
      <w:r w:rsidR="00CE2C29">
        <w:t xml:space="preserve"> would otherwise be offered.</w:t>
      </w:r>
    </w:p>
    <w:p w14:paraId="55A2C1BD" w14:textId="5BFFE14F" w:rsidR="00AD5439" w:rsidRPr="00CF632A" w:rsidRDefault="00AD5439" w:rsidP="0012001C">
      <w:pPr>
        <w:pStyle w:val="Bulletindent1last"/>
      </w:pPr>
      <w:r w:rsidRPr="00CF632A">
        <w:t>The process did not include company or stakeholder submissions, an</w:t>
      </w:r>
      <w:r w:rsidR="00367802" w:rsidRPr="00CF632A">
        <w:t>d</w:t>
      </w:r>
      <w:r w:rsidR="004D20BC" w:rsidRPr="00CF632A">
        <w:t xml:space="preserve"> </w:t>
      </w:r>
      <w:r w:rsidRPr="00CF632A">
        <w:t xml:space="preserve">there was no technical engagement phase. </w:t>
      </w:r>
      <w:r w:rsidR="00DE3B7E">
        <w:br/>
      </w:r>
      <w:r w:rsidR="00DE3B7E">
        <w:br/>
      </w:r>
      <w:r w:rsidR="005E64B7" w:rsidRPr="00CF632A">
        <w:t xml:space="preserve">The </w:t>
      </w:r>
      <w:r w:rsidR="002C1B41" w:rsidRPr="00CF632A">
        <w:t>EAG evaluat</w:t>
      </w:r>
      <w:r w:rsidR="006F607B">
        <w:t>ed</w:t>
      </w:r>
      <w:r w:rsidR="002C1B41" w:rsidRPr="00CF632A">
        <w:t xml:space="preserve"> the cost effectiveness of bevacizumab (originator </w:t>
      </w:r>
      <w:r w:rsidR="002C1B41" w:rsidRPr="00CF632A">
        <w:lastRenderedPageBreak/>
        <w:t>and biosimilars</w:t>
      </w:r>
      <w:r w:rsidR="003949BE">
        <w:t xml:space="preserve">; </w:t>
      </w:r>
      <w:r w:rsidR="002C1B41" w:rsidRPr="00CF632A">
        <w:t>from here, bevacizumab) using efficient and resource</w:t>
      </w:r>
      <w:r w:rsidR="003949BE">
        <w:t>-</w:t>
      </w:r>
      <w:r w:rsidR="002C1B41" w:rsidRPr="00CF632A">
        <w:t xml:space="preserve">conscious methods. </w:t>
      </w:r>
      <w:r w:rsidR="003949BE">
        <w:t>T</w:t>
      </w:r>
      <w:r w:rsidRPr="00CF632A">
        <w:t>he EAG made the following</w:t>
      </w:r>
      <w:r w:rsidR="00804B82" w:rsidRPr="00CF632A">
        <w:t xml:space="preserve"> key</w:t>
      </w:r>
      <w:r w:rsidRPr="00CF632A">
        <w:t xml:space="preserve"> methodological simplifications</w:t>
      </w:r>
      <w:r w:rsidR="0077162A" w:rsidRPr="00CF632A">
        <w:t>:</w:t>
      </w:r>
    </w:p>
    <w:p w14:paraId="468D47F9" w14:textId="53D1835A" w:rsidR="001D51C3" w:rsidRPr="00CF632A" w:rsidRDefault="002929C9" w:rsidP="0012001C">
      <w:pPr>
        <w:pStyle w:val="Bulletindent1"/>
      </w:pPr>
      <w:r w:rsidRPr="00CF632A">
        <w:t>No new systematic reviews</w:t>
      </w:r>
      <w:r w:rsidR="000C5EB6" w:rsidRPr="00CF632A">
        <w:t xml:space="preserve"> were </w:t>
      </w:r>
      <w:r w:rsidR="00336705">
        <w:t>done</w:t>
      </w:r>
      <w:r w:rsidRPr="00CF632A">
        <w:t xml:space="preserve">; </w:t>
      </w:r>
      <w:proofErr w:type="gramStart"/>
      <w:r w:rsidR="000C5EB6" w:rsidRPr="00CF632A">
        <w:t>instead</w:t>
      </w:r>
      <w:proofErr w:type="gramEnd"/>
      <w:r w:rsidR="000C5EB6" w:rsidRPr="00CF632A">
        <w:t xml:space="preserve"> </w:t>
      </w:r>
      <w:r w:rsidR="00D91476" w:rsidRPr="00CF632A">
        <w:t xml:space="preserve">the </w:t>
      </w:r>
      <w:r w:rsidRPr="00CF632A">
        <w:t xml:space="preserve">EAG reviewed previous </w:t>
      </w:r>
      <w:r w:rsidR="00700E7B" w:rsidRPr="00CF632A">
        <w:t>technology appraisal</w:t>
      </w:r>
      <w:r w:rsidRPr="00CF632A">
        <w:t xml:space="preserve"> submissions and </w:t>
      </w:r>
      <w:r w:rsidR="000C5EB6" w:rsidRPr="00CF632A">
        <w:t>consulted with clinical experts to identify relevant new data</w:t>
      </w:r>
      <w:r w:rsidR="008C70D7" w:rsidRPr="00CF632A">
        <w:t xml:space="preserve"> (</w:t>
      </w:r>
      <w:hyperlink w:anchor="_Methods_for_reviewing" w:history="1">
        <w:r w:rsidR="00630EF4" w:rsidRPr="00CF632A">
          <w:rPr>
            <w:rStyle w:val="Hyperlink"/>
          </w:rPr>
          <w:t>see section 3.5</w:t>
        </w:r>
      </w:hyperlink>
      <w:r w:rsidR="00B570B7" w:rsidRPr="00CF632A">
        <w:t>)</w:t>
      </w:r>
      <w:r w:rsidR="006658B7">
        <w:t>.</w:t>
      </w:r>
    </w:p>
    <w:p w14:paraId="6AA57C75" w14:textId="48B955C4" w:rsidR="001D51C3" w:rsidRPr="00CF632A" w:rsidRDefault="00D91476" w:rsidP="0012001C">
      <w:pPr>
        <w:pStyle w:val="Bulletindent1"/>
      </w:pPr>
      <w:r w:rsidRPr="00CF632A">
        <w:t>The E</w:t>
      </w:r>
      <w:r w:rsidR="002929C9" w:rsidRPr="00CF632A">
        <w:t xml:space="preserve">AG extracted key clinical data, </w:t>
      </w:r>
      <w:r w:rsidR="00614825" w:rsidRPr="00CF632A">
        <w:t xml:space="preserve">with a </w:t>
      </w:r>
      <w:r w:rsidR="002929C9" w:rsidRPr="00CF632A">
        <w:t xml:space="preserve">reduced </w:t>
      </w:r>
      <w:r w:rsidR="00614825" w:rsidRPr="00CF632A">
        <w:t xml:space="preserve">level of </w:t>
      </w:r>
      <w:r w:rsidR="002929C9" w:rsidRPr="00CF632A">
        <w:t xml:space="preserve">critical appraisal </w:t>
      </w:r>
      <w:r w:rsidR="006658B7">
        <w:t>than for</w:t>
      </w:r>
      <w:r w:rsidR="00614825" w:rsidRPr="00CF632A">
        <w:t xml:space="preserve"> a </w:t>
      </w:r>
      <w:r w:rsidR="002929C9" w:rsidRPr="00CF632A">
        <w:t xml:space="preserve">standard </w:t>
      </w:r>
      <w:r w:rsidR="00700E7B" w:rsidRPr="00CF632A">
        <w:t>technology appraisal</w:t>
      </w:r>
      <w:r w:rsidR="006658B7">
        <w:t>.</w:t>
      </w:r>
    </w:p>
    <w:p w14:paraId="67CA0A48" w14:textId="37663A01" w:rsidR="00A562D6" w:rsidRPr="00CF632A" w:rsidRDefault="006658B7" w:rsidP="0012001C">
      <w:pPr>
        <w:pStyle w:val="Bulletindent1last"/>
      </w:pPr>
      <w:r>
        <w:t>The EAG developed a</w:t>
      </w:r>
      <w:r w:rsidR="00614825" w:rsidRPr="00CF632A">
        <w:t xml:space="preserve"> n</w:t>
      </w:r>
      <w:r w:rsidR="002929C9" w:rsidRPr="00CF632A">
        <w:t xml:space="preserve">ew model </w:t>
      </w:r>
      <w:r w:rsidR="00614825" w:rsidRPr="00CF632A">
        <w:t>using</w:t>
      </w:r>
      <w:r w:rsidR="002929C9" w:rsidRPr="00CF632A">
        <w:t xml:space="preserve"> simplifying assumptions</w:t>
      </w:r>
      <w:r w:rsidR="00614825" w:rsidRPr="00CF632A">
        <w:t xml:space="preserve"> (see </w:t>
      </w:r>
      <w:hyperlink w:anchor="_Economic_model" w:history="1">
        <w:r w:rsidR="00630EF4" w:rsidRPr="00CF632A">
          <w:rPr>
            <w:rStyle w:val="Hyperlink"/>
          </w:rPr>
          <w:t>section 3.8</w:t>
        </w:r>
      </w:hyperlink>
      <w:r w:rsidR="0099562C" w:rsidRPr="00CF632A">
        <w:t>)</w:t>
      </w:r>
      <w:r>
        <w:t>.</w:t>
      </w:r>
      <w:r w:rsidR="003949BE">
        <w:br/>
      </w:r>
      <w:r w:rsidR="003949BE">
        <w:br/>
      </w:r>
      <w:r w:rsidR="005344F7" w:rsidRPr="00CF632A">
        <w:t xml:space="preserve">The committee noted that this </w:t>
      </w:r>
      <w:r w:rsidR="009D3722">
        <w:t>evaluation</w:t>
      </w:r>
      <w:r w:rsidR="009D3722" w:rsidRPr="00CF632A">
        <w:t xml:space="preserve"> </w:t>
      </w:r>
      <w:r w:rsidR="005344F7" w:rsidRPr="00CF632A">
        <w:t xml:space="preserve">was a pilot of a new, pragmatic approach </w:t>
      </w:r>
      <w:r w:rsidR="00B707A8" w:rsidRPr="00CF632A">
        <w:t xml:space="preserve">designed </w:t>
      </w:r>
      <w:r w:rsidR="00B341E7" w:rsidRPr="00CF632A">
        <w:t>to</w:t>
      </w:r>
      <w:r w:rsidR="005344F7" w:rsidRPr="00CF632A">
        <w:t xml:space="preserve"> support decision making using simplified methods and assumptions</w:t>
      </w:r>
      <w:r w:rsidR="0035019B" w:rsidRPr="00CF632A">
        <w:t xml:space="preserve"> specifically for reviewing </w:t>
      </w:r>
      <w:r w:rsidR="000F124D" w:rsidRPr="00CF632A">
        <w:t xml:space="preserve">NICE </w:t>
      </w:r>
      <w:r w:rsidR="000F6A21">
        <w:t>guidance</w:t>
      </w:r>
      <w:r w:rsidR="000F6A21" w:rsidRPr="00CF632A">
        <w:t xml:space="preserve"> </w:t>
      </w:r>
      <w:r w:rsidR="000F124D" w:rsidRPr="00CF632A">
        <w:t xml:space="preserve">when biosimilar products </w:t>
      </w:r>
      <w:r w:rsidR="00986915" w:rsidRPr="00CF632A">
        <w:t>become</w:t>
      </w:r>
      <w:r w:rsidR="000F124D" w:rsidRPr="00CF632A">
        <w:t xml:space="preserve"> available</w:t>
      </w:r>
      <w:r w:rsidR="00E1541F" w:rsidRPr="00CF632A">
        <w:t>.</w:t>
      </w:r>
      <w:r w:rsidR="00CA3904" w:rsidRPr="00CF632A">
        <w:t xml:space="preserve"> </w:t>
      </w:r>
      <w:r w:rsidR="00E1541F" w:rsidRPr="00CF632A">
        <w:t>It</w:t>
      </w:r>
      <w:r w:rsidR="0042460E" w:rsidRPr="00CF632A">
        <w:t xml:space="preserve"> concluded it</w:t>
      </w:r>
      <w:r w:rsidR="00CA3904" w:rsidRPr="00CF632A">
        <w:t xml:space="preserve"> would make its decision in this cont</w:t>
      </w:r>
      <w:r w:rsidR="003940E3" w:rsidRPr="00CF632A">
        <w:t>ext</w:t>
      </w:r>
      <w:r w:rsidR="00F84B8B" w:rsidRPr="00CF632A">
        <w:t>.</w:t>
      </w:r>
      <w:bookmarkStart w:id="6" w:name="_Bevacizumab_weighted_mean"/>
      <w:bookmarkEnd w:id="6"/>
      <w:r w:rsidR="003B126D" w:rsidRPr="00CF632A">
        <w:rPr>
          <w:color w:val="000000" w:themeColor="text1"/>
        </w:rPr>
        <w:t xml:space="preserve"> </w:t>
      </w:r>
    </w:p>
    <w:p w14:paraId="19A7BA43" w14:textId="4BE92906" w:rsidR="003A0B7B" w:rsidRPr="00CF632A" w:rsidRDefault="003A0B7B" w:rsidP="006208EB">
      <w:pPr>
        <w:pStyle w:val="Heading2"/>
      </w:pPr>
      <w:r w:rsidRPr="00CF632A">
        <w:t xml:space="preserve">Clinical management </w:t>
      </w:r>
    </w:p>
    <w:p w14:paraId="473DEC70" w14:textId="77777777" w:rsidR="00CE38F8" w:rsidRPr="00CF632A" w:rsidRDefault="00874F4D" w:rsidP="00CE38F8">
      <w:pPr>
        <w:pStyle w:val="Heading3"/>
      </w:pPr>
      <w:bookmarkStart w:id="7" w:name="_Treatment_options"/>
      <w:bookmarkStart w:id="8" w:name="_Treatment_pathway_and"/>
      <w:bookmarkEnd w:id="7"/>
      <w:bookmarkEnd w:id="8"/>
      <w:r w:rsidRPr="00CF632A">
        <w:t>Treatment pathway and positioning of bevacizumab</w:t>
      </w:r>
      <w:bookmarkStart w:id="9" w:name="_Ref171925854"/>
    </w:p>
    <w:p w14:paraId="4F6A9A09" w14:textId="473E7118" w:rsidR="00193DF4" w:rsidRPr="00CF632A" w:rsidRDefault="00442307" w:rsidP="00CE38F8">
      <w:pPr>
        <w:pStyle w:val="Numberedlevel2text"/>
        <w:spacing w:after="0"/>
        <w:rPr>
          <w:lang w:val="en-GB"/>
        </w:rPr>
      </w:pPr>
      <w:r w:rsidRPr="00CF632A">
        <w:rPr>
          <w:rStyle w:val="Numberedlevel2textChar"/>
          <w:lang w:val="en-GB"/>
        </w:rPr>
        <w:t xml:space="preserve">mCRC is a tumour arising from the lining of the large intestine (colon and rectum) that has spread beyond the large intestine, most often to the liver, lungs or peritoneum. </w:t>
      </w:r>
      <w:r w:rsidR="00193DF4" w:rsidRPr="00CF632A">
        <w:rPr>
          <w:rStyle w:val="Numberedlevel2textChar"/>
          <w:lang w:val="en-GB"/>
        </w:rPr>
        <w:t>The aim of treatment for mCRC is to prolong survival and improve quality of life. The</w:t>
      </w:r>
      <w:r w:rsidR="009D3D1E" w:rsidRPr="00CF632A">
        <w:rPr>
          <w:rStyle w:val="Numberedlevel2textChar"/>
          <w:lang w:val="en-GB"/>
        </w:rPr>
        <w:t>re are targeted</w:t>
      </w:r>
      <w:r w:rsidR="007807B9" w:rsidRPr="00CF632A">
        <w:rPr>
          <w:rStyle w:val="Numberedlevel2textChar"/>
          <w:lang w:val="en-GB"/>
        </w:rPr>
        <w:t xml:space="preserve"> treatment options</w:t>
      </w:r>
      <w:r w:rsidR="009D3D1E" w:rsidRPr="00CF632A">
        <w:rPr>
          <w:lang w:val="en-GB"/>
        </w:rPr>
        <w:t xml:space="preserve"> </w:t>
      </w:r>
      <w:r w:rsidR="00D75252" w:rsidRPr="00CF632A">
        <w:rPr>
          <w:lang w:val="en-GB"/>
        </w:rPr>
        <w:t>and immu</w:t>
      </w:r>
      <w:r w:rsidR="007807B9" w:rsidRPr="00CF632A">
        <w:rPr>
          <w:lang w:val="en-GB"/>
        </w:rPr>
        <w:t>notherapies</w:t>
      </w:r>
      <w:r w:rsidR="00574E6E" w:rsidRPr="00CF632A">
        <w:rPr>
          <w:lang w:val="en-GB"/>
        </w:rPr>
        <w:t xml:space="preserve"> </w:t>
      </w:r>
      <w:r w:rsidR="00193DF4" w:rsidRPr="00CF632A">
        <w:rPr>
          <w:lang w:val="en-GB"/>
        </w:rPr>
        <w:t>for mCRC</w:t>
      </w:r>
      <w:r w:rsidR="005006CB">
        <w:rPr>
          <w:lang w:val="en-GB"/>
        </w:rPr>
        <w:t>,</w:t>
      </w:r>
      <w:r w:rsidR="00ED5D35" w:rsidRPr="00CF632A">
        <w:rPr>
          <w:lang w:val="en-GB"/>
        </w:rPr>
        <w:t xml:space="preserve"> which</w:t>
      </w:r>
      <w:r w:rsidR="00193DF4" w:rsidRPr="00CF632A">
        <w:rPr>
          <w:lang w:val="en-GB"/>
        </w:rPr>
        <w:t xml:space="preserve"> include:</w:t>
      </w:r>
      <w:bookmarkEnd w:id="9"/>
    </w:p>
    <w:p w14:paraId="1DDA1476" w14:textId="0AC87C93" w:rsidR="00F702ED" w:rsidRPr="00CF632A" w:rsidRDefault="00F702ED" w:rsidP="00193DF4">
      <w:pPr>
        <w:pStyle w:val="Bulletindent1"/>
      </w:pPr>
      <w:r w:rsidRPr="00CF632A">
        <w:t>First line</w:t>
      </w:r>
      <w:r w:rsidR="000F6E7F" w:rsidRPr="00CF632A">
        <w:t>:</w:t>
      </w:r>
    </w:p>
    <w:p w14:paraId="47A43BBD" w14:textId="364D905D" w:rsidR="00193DF4" w:rsidRPr="00CF632A" w:rsidRDefault="00193DF4" w:rsidP="0012001C">
      <w:pPr>
        <w:pStyle w:val="Bulletindent2"/>
      </w:pPr>
      <w:r w:rsidRPr="00CF632A">
        <w:t>pembrolizumab (see </w:t>
      </w:r>
      <w:r w:rsidR="009B6330">
        <w:t xml:space="preserve">the </w:t>
      </w:r>
      <w:hyperlink r:id="rId16" w:tgtFrame="_top" w:history="1">
        <w:r w:rsidR="00997499" w:rsidRPr="00CF632A">
          <w:rPr>
            <w:rStyle w:val="Hyperlink"/>
          </w:rPr>
          <w:t>NICE technology appraisal guidance on pembrolizumab for untreated mCRC with high microsatellite instability or mismatch repair deficiency</w:t>
        </w:r>
      </w:hyperlink>
      <w:r w:rsidRPr="00CF632A">
        <w:t>)</w:t>
      </w:r>
    </w:p>
    <w:p w14:paraId="02948DCB" w14:textId="370DB1C1" w:rsidR="00193DF4" w:rsidRPr="00CF632A" w:rsidRDefault="00193DF4" w:rsidP="0012001C">
      <w:pPr>
        <w:pStyle w:val="Bulletindent2"/>
      </w:pPr>
      <w:r w:rsidRPr="00CF632A">
        <w:t>cetuximab and panitumumab (see</w:t>
      </w:r>
      <w:r w:rsidR="009B6330">
        <w:t xml:space="preserve"> the</w:t>
      </w:r>
      <w:r w:rsidRPr="00CF632A">
        <w:t> </w:t>
      </w:r>
      <w:hyperlink r:id="rId17" w:history="1">
        <w:r w:rsidR="00DC17C0" w:rsidRPr="00CF632A">
          <w:rPr>
            <w:rStyle w:val="Hyperlink"/>
          </w:rPr>
          <w:t>NICE technology appraisal guidance on cetuximab and panitumumab for previously untreated mCRC</w:t>
        </w:r>
      </w:hyperlink>
      <w:r w:rsidRPr="00CF632A">
        <w:t>)</w:t>
      </w:r>
    </w:p>
    <w:p w14:paraId="16D29662" w14:textId="73CB6778" w:rsidR="004239AC" w:rsidRPr="00CF632A" w:rsidRDefault="004239AC" w:rsidP="00A81A18">
      <w:pPr>
        <w:pStyle w:val="Bulletindent2"/>
      </w:pPr>
      <w:r w:rsidRPr="009B6330">
        <w:lastRenderedPageBreak/>
        <w:t>nivolumab</w:t>
      </w:r>
      <w:r w:rsidRPr="00CF632A">
        <w:t xml:space="preserve"> plus ipilimumab (see </w:t>
      </w:r>
      <w:r w:rsidR="009B6330">
        <w:t xml:space="preserve">the </w:t>
      </w:r>
      <w:hyperlink r:id="rId18" w:history="1">
        <w:r w:rsidRPr="00CF632A">
          <w:rPr>
            <w:rStyle w:val="Hyperlink"/>
          </w:rPr>
          <w:t xml:space="preserve">NICE technology appraisal guidance on nivolumab plus ipilimumab for untreated unresectable or </w:t>
        </w:r>
        <w:r w:rsidR="002A4C25">
          <w:rPr>
            <w:rStyle w:val="Hyperlink"/>
          </w:rPr>
          <w:t>mCRC</w:t>
        </w:r>
        <w:r w:rsidRPr="00CF632A">
          <w:rPr>
            <w:rStyle w:val="Hyperlink"/>
          </w:rPr>
          <w:t xml:space="preserve"> with high microsatellite instability or mismatch repair deficiency</w:t>
        </w:r>
      </w:hyperlink>
      <w:r w:rsidRPr="00CF632A">
        <w:t>)</w:t>
      </w:r>
    </w:p>
    <w:p w14:paraId="51D9734B" w14:textId="04D41ABD" w:rsidR="00566EF5" w:rsidRPr="00CF632A" w:rsidRDefault="004239AC" w:rsidP="000F6E7F">
      <w:pPr>
        <w:pStyle w:val="Bulletindent1"/>
        <w:numPr>
          <w:ilvl w:val="0"/>
          <w:numId w:val="41"/>
        </w:numPr>
      </w:pPr>
      <w:r w:rsidRPr="00CF632A">
        <w:t>Second line</w:t>
      </w:r>
      <w:r w:rsidR="000F6E7F" w:rsidRPr="00CF632A">
        <w:t>:</w:t>
      </w:r>
    </w:p>
    <w:p w14:paraId="4510355A" w14:textId="128F89AA" w:rsidR="007E4698" w:rsidRPr="00CF632A" w:rsidRDefault="007E4698" w:rsidP="0012001C">
      <w:pPr>
        <w:pStyle w:val="Bulletindent2"/>
      </w:pPr>
      <w:proofErr w:type="spellStart"/>
      <w:r w:rsidRPr="00CF632A">
        <w:t>encorafenib</w:t>
      </w:r>
      <w:proofErr w:type="spellEnd"/>
      <w:r w:rsidRPr="00CF632A">
        <w:t xml:space="preserve"> plus cetuximab (see </w:t>
      </w:r>
      <w:r w:rsidR="0031278C">
        <w:t xml:space="preserve">the </w:t>
      </w:r>
      <w:hyperlink r:id="rId19" w:history="1">
        <w:r w:rsidRPr="00CF632A">
          <w:rPr>
            <w:rStyle w:val="Hyperlink"/>
          </w:rPr>
          <w:t xml:space="preserve">NICE technology appraisal guidance on </w:t>
        </w:r>
        <w:proofErr w:type="spellStart"/>
        <w:r w:rsidRPr="00CF632A">
          <w:rPr>
            <w:rStyle w:val="Hyperlink"/>
          </w:rPr>
          <w:t>encorafenib</w:t>
        </w:r>
        <w:proofErr w:type="spellEnd"/>
        <w:r w:rsidRPr="00CF632A">
          <w:rPr>
            <w:rStyle w:val="Hyperlink"/>
          </w:rPr>
          <w:t xml:space="preserve"> plus cetuximab for previously treated BRAF V600E mutation-positive mCRC</w:t>
        </w:r>
      </w:hyperlink>
      <w:r w:rsidRPr="00CF632A">
        <w:t>)</w:t>
      </w:r>
    </w:p>
    <w:p w14:paraId="437A7263" w14:textId="20E38E27" w:rsidR="00193DF4" w:rsidRDefault="00193DF4" w:rsidP="0012001C">
      <w:pPr>
        <w:pStyle w:val="Bulletindent2"/>
      </w:pPr>
      <w:r w:rsidRPr="00CF632A">
        <w:t>nivolumab with ipilimumab (see </w:t>
      </w:r>
      <w:r w:rsidR="00851BE2">
        <w:t xml:space="preserve">the </w:t>
      </w:r>
      <w:hyperlink r:id="rId20" w:tgtFrame="_top" w:history="1">
        <w:r w:rsidR="00705A55" w:rsidRPr="00CF632A">
          <w:rPr>
            <w:rStyle w:val="Hyperlink"/>
          </w:rPr>
          <w:t>NICE technology appraisal guidance on nivolumab with ipilimumab for previously treated mCRC with high microsatellite instability or mismatch repair deficiency</w:t>
        </w:r>
      </w:hyperlink>
      <w:r w:rsidRPr="00CF632A">
        <w:t>)</w:t>
      </w:r>
    </w:p>
    <w:p w14:paraId="3FD75086" w14:textId="5AA89484" w:rsidR="00FC30CD" w:rsidRPr="00CF632A" w:rsidRDefault="007272DB" w:rsidP="0012001C">
      <w:pPr>
        <w:pStyle w:val="Bulletindent2"/>
      </w:pPr>
      <w:r>
        <w:t xml:space="preserve">pembrolizumab (see </w:t>
      </w:r>
      <w:hyperlink r:id="rId21" w:history="1">
        <w:r w:rsidRPr="00CE2A08">
          <w:rPr>
            <w:rStyle w:val="Hyperlink"/>
          </w:rPr>
          <w:t xml:space="preserve">the </w:t>
        </w:r>
        <w:r w:rsidR="00CA603A" w:rsidRPr="00CE2A08">
          <w:rPr>
            <w:rStyle w:val="Hyperlink"/>
          </w:rPr>
          <w:t>NICE technology appraisal guidance on pembrolizumab for previously treated endometrial, biliary, colorectal, gastric or small intestine cancer with high microsatellite instability or mismatch repair deficiency</w:t>
        </w:r>
      </w:hyperlink>
      <w:r w:rsidR="00CE2A08">
        <w:t>)</w:t>
      </w:r>
    </w:p>
    <w:p w14:paraId="7F65C523" w14:textId="5C48FC93" w:rsidR="004239AC" w:rsidRPr="00CF632A" w:rsidRDefault="000F6E7F" w:rsidP="00193DF4">
      <w:pPr>
        <w:pStyle w:val="Bulletindent1"/>
      </w:pPr>
      <w:r w:rsidRPr="00CF632A">
        <w:t>T</w:t>
      </w:r>
      <w:r w:rsidR="004239AC" w:rsidRPr="00CF632A">
        <w:t>hird line and later</w:t>
      </w:r>
      <w:r w:rsidR="0092697B">
        <w:t>:</w:t>
      </w:r>
    </w:p>
    <w:p w14:paraId="4B8306FF" w14:textId="3BBA5F93" w:rsidR="00193DF4" w:rsidRPr="00CF632A" w:rsidRDefault="00193DF4" w:rsidP="0012001C">
      <w:pPr>
        <w:pStyle w:val="Bulletindent2"/>
      </w:pPr>
      <w:r>
        <w:t>trifluridine–</w:t>
      </w:r>
      <w:proofErr w:type="spellStart"/>
      <w:r>
        <w:t>tipiracil</w:t>
      </w:r>
      <w:proofErr w:type="spellEnd"/>
      <w:r>
        <w:t xml:space="preserve"> with bevacizumab (see</w:t>
      </w:r>
      <w:r w:rsidR="003144F8">
        <w:t xml:space="preserve"> the</w:t>
      </w:r>
      <w:r>
        <w:t xml:space="preserve"> </w:t>
      </w:r>
      <w:hyperlink r:id="rId22">
        <w:r w:rsidR="002E4372" w:rsidRPr="612BA310">
          <w:rPr>
            <w:rStyle w:val="Hyperlink"/>
          </w:rPr>
          <w:t>NICE technology appraisal guidance on trifluridine</w:t>
        </w:r>
        <w:r w:rsidR="003144F8" w:rsidRPr="612BA310">
          <w:rPr>
            <w:rStyle w:val="Hyperlink"/>
          </w:rPr>
          <w:t>–</w:t>
        </w:r>
        <w:proofErr w:type="spellStart"/>
        <w:r w:rsidR="002E4372" w:rsidRPr="612BA310">
          <w:rPr>
            <w:rStyle w:val="Hyperlink"/>
          </w:rPr>
          <w:t>tipiracil</w:t>
        </w:r>
        <w:proofErr w:type="spellEnd"/>
        <w:r w:rsidR="002E4372" w:rsidRPr="612BA310">
          <w:rPr>
            <w:rStyle w:val="Hyperlink"/>
          </w:rPr>
          <w:t xml:space="preserve"> with bevacizumab for treating mCRC after 2 systemic treatments</w:t>
        </w:r>
        <w:r w:rsidR="003144F8" w:rsidRPr="612BA310">
          <w:rPr>
            <w:rStyle w:val="Hyperlink"/>
          </w:rPr>
          <w:t>;</w:t>
        </w:r>
        <w:r w:rsidR="002E4372">
          <w:t xml:space="preserve"> TA1008</w:t>
        </w:r>
      </w:hyperlink>
      <w:r>
        <w:t>)</w:t>
      </w:r>
    </w:p>
    <w:p w14:paraId="7CB045F7" w14:textId="143EDA5D" w:rsidR="00193DF4" w:rsidRPr="00CF632A" w:rsidRDefault="004239AC" w:rsidP="0012001C">
      <w:pPr>
        <w:pStyle w:val="Bulletindent2"/>
      </w:pPr>
      <w:r w:rsidRPr="00CF632A">
        <w:t xml:space="preserve"> </w:t>
      </w:r>
      <w:r w:rsidR="00193DF4" w:rsidRPr="00CF632A">
        <w:t>trifluridine–</w:t>
      </w:r>
      <w:proofErr w:type="spellStart"/>
      <w:r w:rsidR="00193DF4" w:rsidRPr="00CF632A">
        <w:t>tipiracil</w:t>
      </w:r>
      <w:proofErr w:type="spellEnd"/>
      <w:r w:rsidR="00193DF4" w:rsidRPr="00CF632A">
        <w:t xml:space="preserve"> alone (see</w:t>
      </w:r>
      <w:r w:rsidR="00250DC0">
        <w:t xml:space="preserve"> the</w:t>
      </w:r>
      <w:r w:rsidR="00193DF4" w:rsidRPr="00CF632A">
        <w:t> </w:t>
      </w:r>
      <w:hyperlink r:id="rId23" w:history="1">
        <w:r w:rsidR="00193DF4" w:rsidRPr="00CF632A">
          <w:rPr>
            <w:rStyle w:val="Hyperlink"/>
          </w:rPr>
          <w:t>NICE technology appraisal guidance on trifluridine–</w:t>
        </w:r>
        <w:proofErr w:type="spellStart"/>
        <w:r w:rsidR="00193DF4" w:rsidRPr="00CF632A">
          <w:rPr>
            <w:rStyle w:val="Hyperlink"/>
          </w:rPr>
          <w:t>tipiracil</w:t>
        </w:r>
        <w:proofErr w:type="spellEnd"/>
        <w:r w:rsidR="00193DF4" w:rsidRPr="00CF632A">
          <w:rPr>
            <w:rStyle w:val="Hyperlink"/>
          </w:rPr>
          <w:t xml:space="preserve"> for previously treated mCRC</w:t>
        </w:r>
      </w:hyperlink>
      <w:r w:rsidR="00193DF4" w:rsidRPr="00CF632A">
        <w:t>)</w:t>
      </w:r>
    </w:p>
    <w:p w14:paraId="11791310" w14:textId="1950CEB0" w:rsidR="00193DF4" w:rsidRPr="00CF632A" w:rsidRDefault="00193DF4" w:rsidP="0012001C">
      <w:pPr>
        <w:pStyle w:val="Bulletindent2"/>
      </w:pPr>
      <w:r w:rsidRPr="00CF632A">
        <w:t>regorafenib (see</w:t>
      </w:r>
      <w:r w:rsidR="00546C3A">
        <w:t xml:space="preserve"> the</w:t>
      </w:r>
      <w:r w:rsidRPr="00CF632A">
        <w:t> </w:t>
      </w:r>
      <w:hyperlink r:id="rId24" w:tgtFrame="_top" w:history="1">
        <w:r w:rsidRPr="00CF632A">
          <w:rPr>
            <w:rStyle w:val="Hyperlink"/>
          </w:rPr>
          <w:t>NICE technology appraisal guidance on regorafenib for previously treated mCRC</w:t>
        </w:r>
      </w:hyperlink>
      <w:r w:rsidRPr="00CF632A">
        <w:t>)</w:t>
      </w:r>
    </w:p>
    <w:p w14:paraId="100DCCE5" w14:textId="02BECA61" w:rsidR="00C44699" w:rsidRPr="00CF632A" w:rsidRDefault="00105C0F" w:rsidP="0012001C">
      <w:pPr>
        <w:pStyle w:val="Bulletindent2last"/>
      </w:pPr>
      <w:proofErr w:type="spellStart"/>
      <w:r w:rsidRPr="00CF632A">
        <w:t>fruquintinib</w:t>
      </w:r>
      <w:proofErr w:type="spellEnd"/>
      <w:r w:rsidRPr="00CF632A">
        <w:t xml:space="preserve"> </w:t>
      </w:r>
      <w:r w:rsidR="006E493F" w:rsidRPr="00CF632A">
        <w:t>(see</w:t>
      </w:r>
      <w:r w:rsidR="00546C3A">
        <w:t xml:space="preserve"> the</w:t>
      </w:r>
      <w:r w:rsidR="006E493F" w:rsidRPr="00CF632A">
        <w:t xml:space="preserve"> </w:t>
      </w:r>
      <w:hyperlink r:id="rId25">
        <w:r w:rsidR="006E493F" w:rsidRPr="612BA310">
          <w:rPr>
            <w:rStyle w:val="Hyperlink"/>
          </w:rPr>
          <w:t xml:space="preserve">NICE technology appraisal guidance on </w:t>
        </w:r>
        <w:proofErr w:type="spellStart"/>
        <w:r w:rsidR="006E493F" w:rsidRPr="612BA310">
          <w:rPr>
            <w:rStyle w:val="Hyperlink"/>
          </w:rPr>
          <w:t>fruquintinib</w:t>
        </w:r>
        <w:proofErr w:type="spellEnd"/>
        <w:r w:rsidR="006E493F" w:rsidRPr="612BA310">
          <w:rPr>
            <w:rStyle w:val="Hyperlink"/>
          </w:rPr>
          <w:t xml:space="preserve"> for previously treated metastatic colorectal cancer</w:t>
        </w:r>
      </w:hyperlink>
      <w:r w:rsidR="006E493F" w:rsidRPr="00CF632A">
        <w:t>)</w:t>
      </w:r>
      <w:r w:rsidR="00546C3A">
        <w:t>.</w:t>
      </w:r>
      <w:r w:rsidR="00620C8E">
        <w:br/>
      </w:r>
      <w:r w:rsidR="00620C8E">
        <w:br/>
      </w:r>
      <w:r w:rsidR="00ED5D35" w:rsidRPr="00CF632A">
        <w:t>The choice of first</w:t>
      </w:r>
      <w:r w:rsidR="00681001">
        <w:t>-</w:t>
      </w:r>
      <w:r w:rsidR="00ED5D35" w:rsidRPr="00CF632A">
        <w:t xml:space="preserve"> or second</w:t>
      </w:r>
      <w:r w:rsidR="00681001">
        <w:t>-</w:t>
      </w:r>
      <w:r w:rsidR="00ED5D35" w:rsidRPr="00CF632A">
        <w:t>line targeted therapy</w:t>
      </w:r>
      <w:r w:rsidR="00F06ADB" w:rsidRPr="00CF632A">
        <w:t xml:space="preserve"> or immunotherapy</w:t>
      </w:r>
      <w:r w:rsidR="00ED5D35" w:rsidRPr="00CF632A">
        <w:t xml:space="preserve"> </w:t>
      </w:r>
      <w:r w:rsidR="007427E0" w:rsidRPr="00CF632A">
        <w:t xml:space="preserve">depends on the presence or absence of 3 molecular markers: </w:t>
      </w:r>
      <w:r w:rsidR="001A63EB" w:rsidRPr="00CF632A">
        <w:t>BRAF 600, RAS wild</w:t>
      </w:r>
      <w:r w:rsidR="0045046E">
        <w:t xml:space="preserve"> type</w:t>
      </w:r>
      <w:r w:rsidR="001A63EB" w:rsidRPr="00CF632A">
        <w:t>, and microsatellite instability or mismatch repair deficiency.</w:t>
      </w:r>
      <w:r w:rsidR="00615D3C" w:rsidRPr="00CF632A">
        <w:t xml:space="preserve"> </w:t>
      </w:r>
      <w:r w:rsidR="00AD0D09" w:rsidRPr="00CF632A">
        <w:t>If targeted treatments</w:t>
      </w:r>
      <w:r w:rsidR="00067DA3" w:rsidRPr="00CF632A">
        <w:t xml:space="preserve"> </w:t>
      </w:r>
      <w:r w:rsidR="002F7E48">
        <w:t xml:space="preserve">are not suitable, </w:t>
      </w:r>
      <w:r w:rsidR="00067DA3" w:rsidRPr="00CF632A">
        <w:t>fluoropyrimidine-based</w:t>
      </w:r>
      <w:r w:rsidR="001A63EB" w:rsidRPr="00CF632A">
        <w:t xml:space="preserve"> chemotherapy </w:t>
      </w:r>
      <w:r w:rsidR="00067DA3" w:rsidRPr="00CF632A">
        <w:t>is</w:t>
      </w:r>
      <w:r w:rsidR="001A63EB" w:rsidRPr="00CF632A">
        <w:t xml:space="preserve"> usually offered as first</w:t>
      </w:r>
      <w:r w:rsidR="002F7E48">
        <w:t>-</w:t>
      </w:r>
      <w:r w:rsidR="00B579DD" w:rsidRPr="00CF632A">
        <w:t xml:space="preserve"> </w:t>
      </w:r>
      <w:r w:rsidR="00E70412" w:rsidRPr="00CF632A">
        <w:t>or</w:t>
      </w:r>
      <w:r w:rsidR="001A63EB" w:rsidRPr="00CF632A">
        <w:t xml:space="preserve"> second-line treatment</w:t>
      </w:r>
      <w:r w:rsidR="00AD0D09" w:rsidRPr="00CF632A">
        <w:t xml:space="preserve"> </w:t>
      </w:r>
      <w:r w:rsidR="00615D3C" w:rsidRPr="00CF632A">
        <w:t>(</w:t>
      </w:r>
      <w:r w:rsidR="00AD0D09" w:rsidRPr="00CF632A">
        <w:t>see </w:t>
      </w:r>
      <w:hyperlink r:id="rId26">
        <w:r w:rsidR="00AD0D09" w:rsidRPr="612BA310">
          <w:rPr>
            <w:rStyle w:val="Hyperlink"/>
          </w:rPr>
          <w:t>NICE's guideline on colorectal cancer</w:t>
        </w:r>
      </w:hyperlink>
      <w:r w:rsidR="00AD0D09">
        <w:t>)</w:t>
      </w:r>
      <w:r w:rsidR="00104131" w:rsidRPr="612BA310">
        <w:rPr>
          <w:rFonts w:ascii="Times New Roman" w:hAnsi="Times New Roman"/>
        </w:rPr>
        <w:t>.</w:t>
      </w:r>
      <w:r w:rsidR="00615D3C" w:rsidRPr="00F2733F">
        <w:rPr>
          <w:rFonts w:ascii="Times New Roman" w:hAnsi="Times New Roman"/>
        </w:rPr>
        <w:t xml:space="preserve"> </w:t>
      </w:r>
      <w:r w:rsidR="005C1BBA" w:rsidRPr="00CF632A">
        <w:lastRenderedPageBreak/>
        <w:t xml:space="preserve">The </w:t>
      </w:r>
      <w:r w:rsidR="00E70412" w:rsidRPr="00CF632A">
        <w:t>EAG n</w:t>
      </w:r>
      <w:r w:rsidR="00A36A17" w:rsidRPr="00CF632A">
        <w:t xml:space="preserve">oted that bevacizumab could be </w:t>
      </w:r>
      <w:r w:rsidR="00961409" w:rsidRPr="00CF632A">
        <w:t xml:space="preserve">added on to </w:t>
      </w:r>
      <w:r w:rsidR="00326251" w:rsidRPr="00CF632A">
        <w:t xml:space="preserve">chemotherapy </w:t>
      </w:r>
      <w:r w:rsidR="008A7452">
        <w:t xml:space="preserve">that is </w:t>
      </w:r>
      <w:r w:rsidR="00326251" w:rsidRPr="00CF632A">
        <w:t xml:space="preserve">currently </w:t>
      </w:r>
      <w:r w:rsidR="00497835" w:rsidRPr="00CF632A">
        <w:t xml:space="preserve">used as a </w:t>
      </w:r>
      <w:r w:rsidR="00615D3C" w:rsidRPr="00CF632A">
        <w:t>first- or second-line</w:t>
      </w:r>
      <w:r w:rsidR="00497835" w:rsidRPr="00CF632A">
        <w:t xml:space="preserve"> treatment option</w:t>
      </w:r>
      <w:r w:rsidR="00615D3C" w:rsidRPr="00CF632A">
        <w:t>.</w:t>
      </w:r>
      <w:r w:rsidR="005C1BBA" w:rsidRPr="00CF632A">
        <w:t xml:space="preserve"> </w:t>
      </w:r>
      <w:r w:rsidR="00F2733F">
        <w:br/>
      </w:r>
      <w:r w:rsidR="00F2733F">
        <w:br/>
      </w:r>
      <w:r w:rsidR="00FE019F">
        <w:t>The EAG’s</w:t>
      </w:r>
      <w:r w:rsidR="00C44699" w:rsidRPr="00CF632A">
        <w:t xml:space="preserve"> assessment focused on </w:t>
      </w:r>
      <w:r w:rsidR="00FE019F">
        <w:t>2</w:t>
      </w:r>
      <w:r w:rsidR="00FE019F" w:rsidRPr="00CF632A">
        <w:t xml:space="preserve"> </w:t>
      </w:r>
      <w:r w:rsidR="00C44699" w:rsidRPr="00CF632A">
        <w:t>populations:</w:t>
      </w:r>
    </w:p>
    <w:p w14:paraId="7C7A20AA" w14:textId="1E9534A9" w:rsidR="00C44699" w:rsidRPr="00CF632A" w:rsidRDefault="00E2602D" w:rsidP="00892E67">
      <w:pPr>
        <w:pStyle w:val="Bulletindent1"/>
      </w:pPr>
      <w:r>
        <w:t>p</w:t>
      </w:r>
      <w:r w:rsidR="00C44699" w:rsidRPr="00CF632A">
        <w:t xml:space="preserve">eople with untreated metastatic carcinoma of the colon or rectum who would </w:t>
      </w:r>
      <w:r>
        <w:t>be offered</w:t>
      </w:r>
      <w:r w:rsidRPr="00CF632A">
        <w:t xml:space="preserve"> </w:t>
      </w:r>
      <w:r w:rsidR="00C44699" w:rsidRPr="00CF632A">
        <w:t>fluoropyrimidine-based chemotherapy</w:t>
      </w:r>
      <w:r>
        <w:t>,</w:t>
      </w:r>
      <w:r w:rsidR="00C44699" w:rsidRPr="00CF632A">
        <w:t xml:space="preserve"> and</w:t>
      </w:r>
    </w:p>
    <w:p w14:paraId="2386A174" w14:textId="3931B26C" w:rsidR="000B1E83" w:rsidRPr="00CF632A" w:rsidRDefault="00E2602D" w:rsidP="00892E67">
      <w:pPr>
        <w:pStyle w:val="Bulletindent1last"/>
      </w:pPr>
      <w:r>
        <w:t>p</w:t>
      </w:r>
      <w:r w:rsidR="00C44699" w:rsidRPr="00CF632A">
        <w:t xml:space="preserve">eople with metastatic carcinoma of the colon or rectum who have previously </w:t>
      </w:r>
      <w:r>
        <w:t>had</w:t>
      </w:r>
      <w:r w:rsidRPr="00CF632A">
        <w:t xml:space="preserve"> </w:t>
      </w:r>
      <w:r w:rsidR="00C44699" w:rsidRPr="00CF632A">
        <w:t xml:space="preserve">fluoropyrimidine-based chemotherapy and would be </w:t>
      </w:r>
      <w:r>
        <w:t>offered</w:t>
      </w:r>
      <w:r w:rsidRPr="00CF632A">
        <w:t xml:space="preserve"> </w:t>
      </w:r>
      <w:r w:rsidR="00C44699" w:rsidRPr="00CF632A">
        <w:t>second-line fluoropyrimidine-based chemotherapy</w:t>
      </w:r>
      <w:r>
        <w:t>.</w:t>
      </w:r>
      <w:r w:rsidR="00F2733F">
        <w:br/>
      </w:r>
      <w:r w:rsidR="00F2733F">
        <w:br/>
      </w:r>
      <w:r w:rsidR="004D2F0D" w:rsidRPr="00CF632A">
        <w:t xml:space="preserve">The committee noted </w:t>
      </w:r>
      <w:r w:rsidR="00C446AD" w:rsidRPr="00CF632A">
        <w:t>t</w:t>
      </w:r>
      <w:r w:rsidR="00144310" w:rsidRPr="00CF632A">
        <w:t>he</w:t>
      </w:r>
      <w:r w:rsidR="006C688A" w:rsidRPr="00CF632A">
        <w:t xml:space="preserve"> NICE scope</w:t>
      </w:r>
      <w:r w:rsidR="003708C0" w:rsidRPr="00CF632A">
        <w:t xml:space="preserve"> </w:t>
      </w:r>
      <w:r w:rsidR="00131F8B" w:rsidRPr="00CF632A">
        <w:t>restricted the population</w:t>
      </w:r>
      <w:r w:rsidR="00DA776B" w:rsidRPr="00CF632A">
        <w:t xml:space="preserve"> (</w:t>
      </w:r>
      <w:r w:rsidR="00131F8B" w:rsidRPr="00CF632A">
        <w:t>at first and second line) to people</w:t>
      </w:r>
      <w:r w:rsidR="00DD181F" w:rsidRPr="00CF632A">
        <w:t xml:space="preserve"> </w:t>
      </w:r>
      <w:r w:rsidR="00131F8B" w:rsidRPr="00CF632A">
        <w:t>for whom t</w:t>
      </w:r>
      <w:r w:rsidR="00DD181F" w:rsidRPr="00CF632A">
        <w:t xml:space="preserve">argeted treatments or immunotherapy are not suitable, and </w:t>
      </w:r>
      <w:r w:rsidR="00DF2568">
        <w:t>to</w:t>
      </w:r>
      <w:r>
        <w:t xml:space="preserve"> whom </w:t>
      </w:r>
      <w:r w:rsidR="00DD181F" w:rsidRPr="00CF632A">
        <w:t>chemotherapy would otherwise be offered</w:t>
      </w:r>
      <w:r w:rsidR="00C83C18" w:rsidRPr="00CF632A">
        <w:t>.</w:t>
      </w:r>
      <w:r w:rsidR="004D2F0D" w:rsidRPr="00CF632A">
        <w:t xml:space="preserve"> </w:t>
      </w:r>
      <w:r w:rsidR="00C83C18" w:rsidRPr="00CF632A">
        <w:t>Th</w:t>
      </w:r>
      <w:r w:rsidR="004D2F0D" w:rsidRPr="00CF632A">
        <w:t>is</w:t>
      </w:r>
      <w:r w:rsidR="00DE12E0" w:rsidRPr="00CF632A">
        <w:t xml:space="preserve"> </w:t>
      </w:r>
      <w:r w:rsidR="00F449FB" w:rsidRPr="00CF632A">
        <w:t xml:space="preserve">did not include everyone who </w:t>
      </w:r>
      <w:r w:rsidR="004D2F0D" w:rsidRPr="00CF632A">
        <w:t>bevacizum</w:t>
      </w:r>
      <w:r w:rsidR="0034503A" w:rsidRPr="00CF632A">
        <w:t>a</w:t>
      </w:r>
      <w:r w:rsidR="004D2F0D" w:rsidRPr="00CF632A">
        <w:t>b</w:t>
      </w:r>
      <w:r w:rsidR="00F449FB" w:rsidRPr="00CF632A">
        <w:t xml:space="preserve"> is licensed for</w:t>
      </w:r>
      <w:r w:rsidR="00CF195F" w:rsidRPr="00CF632A">
        <w:t xml:space="preserve"> (see </w:t>
      </w:r>
      <w:hyperlink r:id="rId27">
        <w:r w:rsidR="00CF195F" w:rsidRPr="612BA310">
          <w:rPr>
            <w:rStyle w:val="Hyperlink"/>
          </w:rPr>
          <w:t>section 2.1</w:t>
        </w:r>
      </w:hyperlink>
      <w:r w:rsidR="00CF195F">
        <w:t>).</w:t>
      </w:r>
      <w:r w:rsidR="006164B9" w:rsidRPr="00CF632A">
        <w:t xml:space="preserve"> </w:t>
      </w:r>
      <w:r w:rsidR="00743286" w:rsidRPr="00CF632A">
        <w:rPr>
          <w:color w:val="000000" w:themeColor="text1"/>
        </w:rPr>
        <w:t xml:space="preserve">The </w:t>
      </w:r>
      <w:r w:rsidR="008061E5" w:rsidRPr="00CF632A">
        <w:rPr>
          <w:color w:val="000000" w:themeColor="text1"/>
        </w:rPr>
        <w:t>clinical expert</w:t>
      </w:r>
      <w:r w:rsidR="00716D67" w:rsidRPr="00CF632A">
        <w:rPr>
          <w:color w:val="000000" w:themeColor="text1"/>
        </w:rPr>
        <w:t xml:space="preserve">s </w:t>
      </w:r>
      <w:r w:rsidR="00DF2568">
        <w:rPr>
          <w:color w:val="000000" w:themeColor="text1"/>
        </w:rPr>
        <w:t xml:space="preserve">stated </w:t>
      </w:r>
      <w:r w:rsidR="00716D67" w:rsidRPr="00CF632A">
        <w:rPr>
          <w:color w:val="000000" w:themeColor="text1"/>
        </w:rPr>
        <w:t>that adding bevacizumab to chemotherapy</w:t>
      </w:r>
      <w:r w:rsidR="006B4628" w:rsidRPr="00CF632A">
        <w:rPr>
          <w:color w:val="000000" w:themeColor="text1"/>
        </w:rPr>
        <w:t xml:space="preserve"> gave additional clinical benefit. </w:t>
      </w:r>
      <w:r w:rsidR="006B4628" w:rsidRPr="00CF632A">
        <w:t xml:space="preserve">The patient expert </w:t>
      </w:r>
      <w:r w:rsidR="00417281" w:rsidRPr="00CF632A">
        <w:t>noted</w:t>
      </w:r>
      <w:r w:rsidR="006B4628" w:rsidRPr="00CF632A">
        <w:t xml:space="preserve"> that bevacizumab </w:t>
      </w:r>
      <w:proofErr w:type="gramStart"/>
      <w:r w:rsidR="006B4628" w:rsidRPr="00CF632A">
        <w:t>ha</w:t>
      </w:r>
      <w:r w:rsidR="00C71F37">
        <w:t>s</w:t>
      </w:r>
      <w:r w:rsidR="006B4628" w:rsidRPr="00CF632A">
        <w:t xml:space="preserve"> the ability to</w:t>
      </w:r>
      <w:proofErr w:type="gramEnd"/>
      <w:r w:rsidR="006B4628" w:rsidRPr="00CF632A">
        <w:t xml:space="preserve"> shrink tumours to make surgery </w:t>
      </w:r>
      <w:r w:rsidR="00EA2475">
        <w:t xml:space="preserve">viable for </w:t>
      </w:r>
      <w:r w:rsidR="006B4628" w:rsidRPr="00CF632A">
        <w:t>people who</w:t>
      </w:r>
      <w:r w:rsidR="00EA2475">
        <w:t>se</w:t>
      </w:r>
      <w:r w:rsidR="006B4628" w:rsidRPr="00CF632A">
        <w:t xml:space="preserve"> </w:t>
      </w:r>
      <w:r w:rsidR="00EA2475">
        <w:t>tumours</w:t>
      </w:r>
      <w:r w:rsidR="00C71F37">
        <w:t xml:space="preserve"> were</w:t>
      </w:r>
      <w:r w:rsidR="00C71F37" w:rsidRPr="00CF632A">
        <w:t xml:space="preserve"> </w:t>
      </w:r>
      <w:r w:rsidR="006B4628" w:rsidRPr="00CF632A">
        <w:t xml:space="preserve">previously inoperable. They described this as having a significant impact on their overall outcome. </w:t>
      </w:r>
      <w:r w:rsidR="00257679" w:rsidRPr="00CF632A">
        <w:t xml:space="preserve">The committee concluded that </w:t>
      </w:r>
      <w:r w:rsidR="006B4628" w:rsidRPr="00CF632A">
        <w:t>people</w:t>
      </w:r>
      <w:r w:rsidR="00257679" w:rsidRPr="00CF632A">
        <w:t xml:space="preserve"> having </w:t>
      </w:r>
      <w:r w:rsidR="003D2D18" w:rsidRPr="00CF632A">
        <w:t>chemotherapy a</w:t>
      </w:r>
      <w:r w:rsidR="009F4D82">
        <w:t xml:space="preserve">t </w:t>
      </w:r>
      <w:r w:rsidR="000D4FDF" w:rsidRPr="00CF632A">
        <w:t>first</w:t>
      </w:r>
      <w:r w:rsidR="009F4D82">
        <w:t xml:space="preserve"> line,</w:t>
      </w:r>
      <w:r w:rsidR="000D4FDF" w:rsidRPr="00CF632A">
        <w:t xml:space="preserve"> second</w:t>
      </w:r>
      <w:r w:rsidR="009F4D82">
        <w:t xml:space="preserve"> </w:t>
      </w:r>
      <w:r w:rsidR="000D4FDF" w:rsidRPr="00CF632A">
        <w:t>line</w:t>
      </w:r>
      <w:r w:rsidR="00727E60">
        <w:t xml:space="preserve"> or</w:t>
      </w:r>
      <w:r w:rsidR="07F1A69C">
        <w:t xml:space="preserve"> </w:t>
      </w:r>
      <w:r w:rsidR="009F4D82">
        <w:t xml:space="preserve">both </w:t>
      </w:r>
      <w:r w:rsidR="00574A22" w:rsidRPr="00CF632A">
        <w:t>for mCRC</w:t>
      </w:r>
      <w:r w:rsidR="006B4628" w:rsidRPr="00CF632A">
        <w:t xml:space="preserve"> would welcome a new treatment option.</w:t>
      </w:r>
    </w:p>
    <w:p w14:paraId="7231FF40" w14:textId="4DB79E2D" w:rsidR="00FF3B7A" w:rsidRPr="00CF632A" w:rsidRDefault="00543450" w:rsidP="00FF3B7A">
      <w:pPr>
        <w:pStyle w:val="Heading3"/>
      </w:pPr>
      <w:bookmarkStart w:id="10" w:name="_NICE’s_proposed_positioning"/>
      <w:bookmarkEnd w:id="10"/>
      <w:r w:rsidRPr="00CF632A">
        <w:t xml:space="preserve">Subgroups </w:t>
      </w:r>
      <w:r w:rsidR="006D5BF1" w:rsidRPr="00CF632A">
        <w:t>based on m</w:t>
      </w:r>
      <w:r w:rsidR="007E5436" w:rsidRPr="00CF632A">
        <w:t>olecular markers</w:t>
      </w:r>
    </w:p>
    <w:p w14:paraId="2388B760" w14:textId="26F92024" w:rsidR="00BF056D" w:rsidRPr="00CF632A" w:rsidRDefault="0090279F" w:rsidP="00DF073A">
      <w:pPr>
        <w:pStyle w:val="Numberedlevel2text"/>
        <w:rPr>
          <w:lang w:val="en-GB"/>
        </w:rPr>
      </w:pPr>
      <w:r w:rsidRPr="00CF632A">
        <w:rPr>
          <w:lang w:val="en-GB"/>
        </w:rPr>
        <w:t>The</w:t>
      </w:r>
      <w:r w:rsidR="007E5436" w:rsidRPr="00CF632A">
        <w:rPr>
          <w:lang w:val="en-GB"/>
        </w:rPr>
        <w:t xml:space="preserve"> EAG </w:t>
      </w:r>
      <w:r w:rsidR="006B504A">
        <w:rPr>
          <w:lang w:val="en-GB"/>
        </w:rPr>
        <w:t>did</w:t>
      </w:r>
      <w:r w:rsidR="006B504A" w:rsidRPr="00CF632A">
        <w:rPr>
          <w:lang w:val="en-GB"/>
        </w:rPr>
        <w:t xml:space="preserve"> </w:t>
      </w:r>
      <w:r w:rsidR="00982E47" w:rsidRPr="00CF632A">
        <w:rPr>
          <w:lang w:val="en-GB"/>
        </w:rPr>
        <w:t xml:space="preserve">not specifically </w:t>
      </w:r>
      <w:r w:rsidR="003249C5" w:rsidRPr="00CF632A">
        <w:rPr>
          <w:lang w:val="en-GB"/>
        </w:rPr>
        <w:t>assess</w:t>
      </w:r>
      <w:r w:rsidR="00982E47" w:rsidRPr="00CF632A">
        <w:rPr>
          <w:lang w:val="en-GB"/>
        </w:rPr>
        <w:t xml:space="preserve"> </w:t>
      </w:r>
      <w:r w:rsidR="0008433C">
        <w:rPr>
          <w:lang w:val="en-GB"/>
        </w:rPr>
        <w:t>the</w:t>
      </w:r>
      <w:r w:rsidR="00982E47" w:rsidRPr="00CF632A">
        <w:rPr>
          <w:lang w:val="en-GB"/>
        </w:rPr>
        <w:t xml:space="preserve"> RAS wild type</w:t>
      </w:r>
      <w:r w:rsidR="00E465FE" w:rsidRPr="00CF632A">
        <w:rPr>
          <w:lang w:val="en-GB"/>
        </w:rPr>
        <w:t>, BRAF V600 mutation</w:t>
      </w:r>
      <w:r w:rsidR="0008433C">
        <w:rPr>
          <w:lang w:val="en-GB"/>
        </w:rPr>
        <w:t>,</w:t>
      </w:r>
      <w:r w:rsidR="00E465FE" w:rsidRPr="00CF632A">
        <w:rPr>
          <w:lang w:val="en-GB"/>
        </w:rPr>
        <w:t xml:space="preserve"> or microsatellite instability or mismatch repair</w:t>
      </w:r>
      <w:r w:rsidR="00470057" w:rsidRPr="00CF632A">
        <w:rPr>
          <w:lang w:val="en-GB"/>
        </w:rPr>
        <w:t xml:space="preserve"> molecular marker</w:t>
      </w:r>
      <w:r w:rsidR="0008433C">
        <w:rPr>
          <w:lang w:val="en-GB"/>
        </w:rPr>
        <w:t xml:space="preserve"> subgroups,</w:t>
      </w:r>
      <w:r w:rsidR="00B7657A" w:rsidRPr="00CF632A">
        <w:rPr>
          <w:lang w:val="en-GB"/>
        </w:rPr>
        <w:t xml:space="preserve"> </w:t>
      </w:r>
      <w:r w:rsidR="00443394" w:rsidRPr="00CF632A">
        <w:rPr>
          <w:lang w:val="en-GB"/>
        </w:rPr>
        <w:t>which have targeted treatment options</w:t>
      </w:r>
      <w:r w:rsidR="005410D7" w:rsidRPr="00CF632A">
        <w:rPr>
          <w:lang w:val="en-GB"/>
        </w:rPr>
        <w:t xml:space="preserve">. </w:t>
      </w:r>
      <w:r w:rsidR="00060813" w:rsidRPr="00CF632A">
        <w:rPr>
          <w:lang w:val="en-GB"/>
        </w:rPr>
        <w:t>The patient experts</w:t>
      </w:r>
      <w:r w:rsidR="00B7657A" w:rsidRPr="00CF632A">
        <w:rPr>
          <w:lang w:val="en-GB"/>
        </w:rPr>
        <w:t xml:space="preserve"> </w:t>
      </w:r>
      <w:r w:rsidR="00060813" w:rsidRPr="00CF632A">
        <w:rPr>
          <w:lang w:val="en-GB"/>
        </w:rPr>
        <w:t xml:space="preserve">highlighted the importance of considering the KRAS mutation status in </w:t>
      </w:r>
      <w:r w:rsidR="005410D7" w:rsidRPr="00CF632A">
        <w:rPr>
          <w:lang w:val="en-GB"/>
        </w:rPr>
        <w:t>mCRC and</w:t>
      </w:r>
      <w:r w:rsidR="00060813" w:rsidRPr="00CF632A">
        <w:rPr>
          <w:lang w:val="en-GB"/>
        </w:rPr>
        <w:t xml:space="preserve"> noted that bevacizumab has been seen as an advantageous treatment in this subgroup.</w:t>
      </w:r>
      <w:r w:rsidR="009A0D2B" w:rsidRPr="00CF632A">
        <w:rPr>
          <w:lang w:val="en-GB"/>
        </w:rPr>
        <w:t xml:space="preserve"> T</w:t>
      </w:r>
      <w:r w:rsidR="00470057" w:rsidRPr="00CF632A">
        <w:rPr>
          <w:lang w:val="en-GB"/>
        </w:rPr>
        <w:t xml:space="preserve">he committee noted that some people </w:t>
      </w:r>
      <w:r w:rsidR="003249C5" w:rsidRPr="00CF632A">
        <w:rPr>
          <w:lang w:val="en-GB"/>
        </w:rPr>
        <w:t xml:space="preserve">in </w:t>
      </w:r>
      <w:r w:rsidR="003249C5" w:rsidRPr="00CF632A">
        <w:rPr>
          <w:lang w:val="en-GB"/>
        </w:rPr>
        <w:lastRenderedPageBreak/>
        <w:t>these groups would be having chemotherapy rather than targeted treatments.</w:t>
      </w:r>
      <w:r w:rsidRPr="00CF632A">
        <w:rPr>
          <w:lang w:val="en-GB"/>
        </w:rPr>
        <w:t xml:space="preserve"> </w:t>
      </w:r>
      <w:r w:rsidR="00BF056D" w:rsidRPr="00CF632A">
        <w:rPr>
          <w:lang w:val="en-GB"/>
        </w:rPr>
        <w:t>In particular:</w:t>
      </w:r>
    </w:p>
    <w:p w14:paraId="61D80DA7" w14:textId="00F895A4" w:rsidR="0009298D" w:rsidRPr="00CF632A" w:rsidRDefault="0009298D" w:rsidP="00107338">
      <w:pPr>
        <w:pStyle w:val="Bulletindent1"/>
      </w:pPr>
      <w:r w:rsidRPr="00CF632A">
        <w:t xml:space="preserve">KRAS mutation: </w:t>
      </w:r>
      <w:r w:rsidR="00D55EA4" w:rsidRPr="00CF632A">
        <w:t xml:space="preserve">people would be having </w:t>
      </w:r>
      <w:r w:rsidR="000E5081" w:rsidRPr="00CF632A">
        <w:t xml:space="preserve">chemotherapy </w:t>
      </w:r>
      <w:r w:rsidR="00747D8F">
        <w:t xml:space="preserve">at </w:t>
      </w:r>
      <w:r w:rsidR="000E5081" w:rsidRPr="00CF632A">
        <w:t>fir</w:t>
      </w:r>
      <w:r w:rsidR="00464F97" w:rsidRPr="00CF632A">
        <w:t>st</w:t>
      </w:r>
      <w:r w:rsidR="000E5081" w:rsidRPr="00CF632A">
        <w:t xml:space="preserve"> </w:t>
      </w:r>
      <w:r w:rsidR="00F61841">
        <w:t xml:space="preserve">and </w:t>
      </w:r>
      <w:r w:rsidR="000E5081" w:rsidRPr="00CF632A">
        <w:t xml:space="preserve">second line because </w:t>
      </w:r>
      <w:r w:rsidRPr="00CF632A">
        <w:t xml:space="preserve">there </w:t>
      </w:r>
      <w:r w:rsidR="000E5081" w:rsidRPr="00CF632A">
        <w:t>are</w:t>
      </w:r>
      <w:r w:rsidRPr="00CF632A">
        <w:t xml:space="preserve"> no NICE</w:t>
      </w:r>
      <w:r w:rsidR="00747D8F">
        <w:t>-</w:t>
      </w:r>
      <w:r w:rsidRPr="00CF632A">
        <w:t xml:space="preserve">recommended </w:t>
      </w:r>
      <w:r w:rsidR="00750AA5" w:rsidRPr="00CF632A">
        <w:t>first</w:t>
      </w:r>
      <w:r w:rsidR="00747D8F">
        <w:t>-</w:t>
      </w:r>
      <w:r w:rsidR="00750AA5" w:rsidRPr="00CF632A">
        <w:t xml:space="preserve"> or second</w:t>
      </w:r>
      <w:r w:rsidR="00747D8F">
        <w:t>-</w:t>
      </w:r>
      <w:r w:rsidR="00750AA5" w:rsidRPr="00CF632A">
        <w:t xml:space="preserve">line </w:t>
      </w:r>
      <w:r w:rsidRPr="00CF632A">
        <w:t>targeted treatment</w:t>
      </w:r>
      <w:r w:rsidR="000E5081" w:rsidRPr="00CF632A">
        <w:t>s</w:t>
      </w:r>
      <w:r w:rsidR="00A9095A" w:rsidRPr="00CF632A">
        <w:t xml:space="preserve"> for tumours with this mutation</w:t>
      </w:r>
      <w:r w:rsidR="00747D8F">
        <w:t>.</w:t>
      </w:r>
    </w:p>
    <w:p w14:paraId="006651AB" w14:textId="3C2BC841" w:rsidR="008E0154" w:rsidRPr="00CF632A" w:rsidRDefault="0009298D" w:rsidP="00107338">
      <w:pPr>
        <w:pStyle w:val="Bulletindent1"/>
      </w:pPr>
      <w:r w:rsidRPr="00CF632A">
        <w:t>RAS wild type</w:t>
      </w:r>
      <w:r w:rsidR="00AC7E5A" w:rsidRPr="00CF632A">
        <w:t xml:space="preserve">: </w:t>
      </w:r>
      <w:r w:rsidR="001475BA" w:rsidRPr="00CF632A">
        <w:t>c</w:t>
      </w:r>
      <w:r w:rsidR="005C17A4" w:rsidRPr="00CF632A">
        <w:t xml:space="preserve">etuximab </w:t>
      </w:r>
      <w:r w:rsidR="00AB54E1" w:rsidRPr="00CF632A">
        <w:t xml:space="preserve">or panitumumab are </w:t>
      </w:r>
      <w:r w:rsidR="00747D8F">
        <w:t xml:space="preserve">the only </w:t>
      </w:r>
      <w:r w:rsidR="00AB54E1" w:rsidRPr="00CF632A">
        <w:t>first</w:t>
      </w:r>
      <w:r w:rsidR="00747D8F">
        <w:t>-</w:t>
      </w:r>
      <w:r w:rsidR="00AB54E1" w:rsidRPr="00CF632A">
        <w:t>line treatment options</w:t>
      </w:r>
      <w:r w:rsidR="00A257C4" w:rsidRPr="00CF632A">
        <w:t>. F</w:t>
      </w:r>
      <w:r w:rsidR="00AB54E1" w:rsidRPr="00CF632A">
        <w:t>urther</w:t>
      </w:r>
      <w:r w:rsidR="009B6346" w:rsidRPr="00CF632A">
        <w:t xml:space="preserve">more, </w:t>
      </w:r>
      <w:r w:rsidR="00AB54E1" w:rsidRPr="00CF632A">
        <w:t>t</w:t>
      </w:r>
      <w:r w:rsidR="006345E5" w:rsidRPr="00CF632A">
        <w:t xml:space="preserve">he clinical experts explained </w:t>
      </w:r>
      <w:r w:rsidR="00837956">
        <w:t xml:space="preserve">that </w:t>
      </w:r>
      <w:r w:rsidR="00BA3770" w:rsidRPr="00CF632A">
        <w:t>people with right</w:t>
      </w:r>
      <w:r w:rsidR="00F44A05">
        <w:t>-</w:t>
      </w:r>
      <w:r w:rsidR="00BA3770" w:rsidRPr="00CF632A">
        <w:t>sided tumours</w:t>
      </w:r>
      <w:r w:rsidR="00837956">
        <w:t xml:space="preserve"> </w:t>
      </w:r>
      <w:r w:rsidR="0029323D" w:rsidRPr="00CF632A">
        <w:t xml:space="preserve">may be having chemotherapy and </w:t>
      </w:r>
      <w:r w:rsidR="00BE71D5">
        <w:t xml:space="preserve">so </w:t>
      </w:r>
      <w:r w:rsidR="00DA4BE2" w:rsidRPr="00CF632A">
        <w:t xml:space="preserve">bevacizumab </w:t>
      </w:r>
      <w:r w:rsidR="006345E5" w:rsidRPr="00CF632A">
        <w:t xml:space="preserve">may </w:t>
      </w:r>
      <w:r w:rsidR="00DA4BE2" w:rsidRPr="00CF632A">
        <w:t>be beneficial</w:t>
      </w:r>
      <w:r w:rsidR="006345E5" w:rsidRPr="00CF632A">
        <w:t xml:space="preserve"> in the first</w:t>
      </w:r>
      <w:r w:rsidR="00BA3770">
        <w:t>-</w:t>
      </w:r>
      <w:r w:rsidR="006345E5" w:rsidRPr="00CF632A">
        <w:t>line setting</w:t>
      </w:r>
      <w:r w:rsidR="671A0718">
        <w:t>. This is</w:t>
      </w:r>
      <w:r w:rsidR="00392435" w:rsidRPr="00CF632A">
        <w:t xml:space="preserve"> because cetu</w:t>
      </w:r>
      <w:r w:rsidR="00A257C4" w:rsidRPr="00CF632A">
        <w:t xml:space="preserve">ximab and panitumumab do not appear </w:t>
      </w:r>
      <w:r w:rsidR="003A0612">
        <w:t xml:space="preserve">to be </w:t>
      </w:r>
      <w:r w:rsidR="00A257C4" w:rsidRPr="00CF632A">
        <w:t>benefi</w:t>
      </w:r>
      <w:r w:rsidR="00E22E9A" w:rsidRPr="00CF632A">
        <w:t xml:space="preserve">cial </w:t>
      </w:r>
      <w:r w:rsidR="00A4704F">
        <w:t xml:space="preserve">for </w:t>
      </w:r>
      <w:r w:rsidR="1B6E7550">
        <w:t>right-sided</w:t>
      </w:r>
      <w:r w:rsidR="00A4704F">
        <w:t xml:space="preserve"> </w:t>
      </w:r>
      <w:r w:rsidR="00E22E9A" w:rsidRPr="00CF632A">
        <w:t>tumours</w:t>
      </w:r>
      <w:r w:rsidR="00A4704F">
        <w:t>.</w:t>
      </w:r>
      <w:r w:rsidR="00E22E9A" w:rsidRPr="00CF632A">
        <w:t xml:space="preserve"> </w:t>
      </w:r>
    </w:p>
    <w:p w14:paraId="025ED146" w14:textId="6A4DE68B" w:rsidR="008502E5" w:rsidRPr="00CF632A" w:rsidRDefault="008502E5" w:rsidP="00107338">
      <w:pPr>
        <w:pStyle w:val="Bulletindent1"/>
      </w:pPr>
      <w:r w:rsidRPr="00CF632A">
        <w:t>B</w:t>
      </w:r>
      <w:r w:rsidR="00180000" w:rsidRPr="00CF632A">
        <w:t>RAF 600 mutation</w:t>
      </w:r>
      <w:r w:rsidR="00EA5C75" w:rsidRPr="00CF632A">
        <w:t xml:space="preserve">: </w:t>
      </w:r>
      <w:r w:rsidR="0029323D" w:rsidRPr="00CF632A">
        <w:t xml:space="preserve">people may be having </w:t>
      </w:r>
      <w:r w:rsidR="00BE71D5">
        <w:t xml:space="preserve">first-line </w:t>
      </w:r>
      <w:r w:rsidR="0029323D" w:rsidRPr="00CF632A">
        <w:t xml:space="preserve">chemotherapy because </w:t>
      </w:r>
      <w:proofErr w:type="spellStart"/>
      <w:r w:rsidR="0029323D" w:rsidRPr="00CF632A">
        <w:t>e</w:t>
      </w:r>
      <w:r w:rsidR="00AD3870" w:rsidRPr="00CF632A">
        <w:t>ncorafenib</w:t>
      </w:r>
      <w:proofErr w:type="spellEnd"/>
      <w:r w:rsidR="00AD3870" w:rsidRPr="00CF632A">
        <w:t xml:space="preserve"> plus cetuximab</w:t>
      </w:r>
      <w:r w:rsidR="00E22E9A" w:rsidRPr="00CF632A">
        <w:t xml:space="preserve"> is </w:t>
      </w:r>
      <w:r w:rsidR="00D524C4" w:rsidRPr="00CF632A">
        <w:t>only recommended as a second</w:t>
      </w:r>
      <w:r w:rsidR="00BE71D5">
        <w:t>-</w:t>
      </w:r>
      <w:r w:rsidR="00D524C4" w:rsidRPr="00CF632A">
        <w:t>line treatment</w:t>
      </w:r>
      <w:r w:rsidR="00BE71D5">
        <w:t>.</w:t>
      </w:r>
    </w:p>
    <w:p w14:paraId="66C1E40D" w14:textId="79DEEF90" w:rsidR="0090279F" w:rsidRPr="00CF632A" w:rsidRDefault="009857C6" w:rsidP="00B10E55">
      <w:pPr>
        <w:pStyle w:val="Bulletindent1last"/>
      </w:pPr>
      <w:r w:rsidRPr="00CF632A">
        <w:t>Microsatellite</w:t>
      </w:r>
      <w:r w:rsidR="008502E5" w:rsidRPr="00CF632A">
        <w:t xml:space="preserve"> instability or mismatch repair</w:t>
      </w:r>
      <w:r w:rsidR="00A951CC" w:rsidRPr="00CF632A">
        <w:t>:</w:t>
      </w:r>
      <w:r w:rsidR="00125F68" w:rsidRPr="00CF632A">
        <w:t xml:space="preserve"> </w:t>
      </w:r>
      <w:r w:rsidR="009C07AE">
        <w:t>t</w:t>
      </w:r>
      <w:r w:rsidR="00565FE4" w:rsidRPr="00CF632A">
        <w:t>here may be people who have chemotherapy after initial immunotherapy, because immunotherapy can only be used once in the treatment pathway</w:t>
      </w:r>
      <w:r w:rsidR="00C23ABD" w:rsidRPr="00CF632A">
        <w:t xml:space="preserve">. </w:t>
      </w:r>
      <w:r w:rsidR="009C07AE">
        <w:t>T</w:t>
      </w:r>
      <w:r w:rsidR="00C23ABD" w:rsidRPr="00CF632A">
        <w:t>his would be a small number because of the rarity of this subgroup and</w:t>
      </w:r>
      <w:r w:rsidR="003552F7" w:rsidRPr="00CF632A">
        <w:t xml:space="preserve"> because most people in this subgroup (approximately 60% to 70%) do not </w:t>
      </w:r>
      <w:r w:rsidR="00322892">
        <w:t xml:space="preserve">appear to </w:t>
      </w:r>
      <w:r w:rsidR="00C70C81">
        <w:t xml:space="preserve">have disease </w:t>
      </w:r>
      <w:r w:rsidR="003552F7" w:rsidRPr="00CF632A">
        <w:t>progress</w:t>
      </w:r>
      <w:r w:rsidR="00C70C81">
        <w:t>ion</w:t>
      </w:r>
      <w:r w:rsidR="003552F7" w:rsidRPr="00CF632A">
        <w:t xml:space="preserve"> after first-line immunotherapy</w:t>
      </w:r>
      <w:r w:rsidRPr="00CF632A">
        <w:t>.</w:t>
      </w:r>
      <w:r w:rsidR="003552F7" w:rsidRPr="00CF632A" w:rsidDel="00565FE4">
        <w:t xml:space="preserve"> </w:t>
      </w:r>
      <w:r w:rsidR="00167EC4">
        <w:br/>
      </w:r>
      <w:r w:rsidR="00167EC4">
        <w:br/>
      </w:r>
      <w:r w:rsidR="0090279F" w:rsidRPr="00CF632A">
        <w:t xml:space="preserve">The committee acknowledged that the EAG’s analysis focused on </w:t>
      </w:r>
      <w:r w:rsidR="00020929" w:rsidRPr="00CF632A">
        <w:t>people without known mutations</w:t>
      </w:r>
      <w:r w:rsidR="00184721">
        <w:t xml:space="preserve">, who </w:t>
      </w:r>
      <w:r w:rsidR="00520F92">
        <w:t>make up most</w:t>
      </w:r>
      <w:r w:rsidR="00184721">
        <w:t xml:space="preserve"> people with mCRC</w:t>
      </w:r>
      <w:r w:rsidR="00AE1692" w:rsidRPr="00CF632A">
        <w:t xml:space="preserve">. </w:t>
      </w:r>
      <w:r w:rsidR="00DC1F12" w:rsidRPr="00CF632A">
        <w:t>A</w:t>
      </w:r>
      <w:r w:rsidR="00AE1692" w:rsidRPr="00CF632A">
        <w:t xml:space="preserve"> clinical expert highlighted that mCRC was not routinely </w:t>
      </w:r>
      <w:r w:rsidR="00AB2941">
        <w:t>tested for molecular markers</w:t>
      </w:r>
      <w:r w:rsidR="00AB2941" w:rsidRPr="00CF632A">
        <w:t xml:space="preserve"> </w:t>
      </w:r>
      <w:r w:rsidR="00AE1692" w:rsidRPr="00CF632A">
        <w:t xml:space="preserve">in the studies reviewed by the EAG, </w:t>
      </w:r>
      <w:r w:rsidR="00F41F2D">
        <w:t>because</w:t>
      </w:r>
      <w:r w:rsidR="00F41F2D" w:rsidRPr="00171077">
        <w:t xml:space="preserve"> </w:t>
      </w:r>
      <w:r w:rsidR="00AE1692" w:rsidRPr="00CF632A">
        <w:t xml:space="preserve">they were older. </w:t>
      </w:r>
      <w:r w:rsidR="0065093D">
        <w:t>T</w:t>
      </w:r>
      <w:r w:rsidR="00526C15" w:rsidRPr="00CF632A">
        <w:t>his meant that</w:t>
      </w:r>
      <w:r w:rsidR="00A70F94" w:rsidRPr="00CF632A">
        <w:t xml:space="preserve"> although not specifically identified</w:t>
      </w:r>
      <w:r w:rsidR="00D4747B" w:rsidRPr="00CF632A">
        <w:t>,</w:t>
      </w:r>
      <w:r w:rsidR="00674AC4" w:rsidRPr="00CF632A">
        <w:t xml:space="preserve"> people with these molecular markers may have been </w:t>
      </w:r>
      <w:r w:rsidR="004669E9" w:rsidRPr="00CF632A">
        <w:t>included</w:t>
      </w:r>
      <w:r w:rsidR="00167A97" w:rsidRPr="00CF632A">
        <w:t xml:space="preserve"> </w:t>
      </w:r>
      <w:r w:rsidR="00674AC4" w:rsidRPr="00CF632A">
        <w:t>in the trial</w:t>
      </w:r>
      <w:r w:rsidR="004669E9" w:rsidRPr="00CF632A">
        <w:t>s.</w:t>
      </w:r>
      <w:r w:rsidR="00526C15" w:rsidRPr="00CF632A">
        <w:t xml:space="preserve"> </w:t>
      </w:r>
      <w:r w:rsidR="00FA2A03" w:rsidRPr="00CF632A">
        <w:t>The clinical experts noted that</w:t>
      </w:r>
      <w:r w:rsidR="00AB1DC1" w:rsidRPr="00CF632A">
        <w:t xml:space="preserve"> prognosis differs across the subgroups</w:t>
      </w:r>
      <w:r w:rsidR="00FC2356" w:rsidRPr="00CF632A">
        <w:t xml:space="preserve"> based on molecular markers</w:t>
      </w:r>
      <w:r w:rsidR="00AB1DC1" w:rsidRPr="00CF632A">
        <w:t>, but the</w:t>
      </w:r>
      <w:r w:rsidR="001575C0" w:rsidRPr="00CF632A">
        <w:t xml:space="preserve">y expected a benefit of bevacizumab </w:t>
      </w:r>
      <w:r w:rsidR="00AE1692" w:rsidRPr="00CF632A">
        <w:t>added on to chemotherapy</w:t>
      </w:r>
      <w:r w:rsidR="00FC2356" w:rsidRPr="00CF632A">
        <w:t xml:space="preserve"> across all groups</w:t>
      </w:r>
      <w:r w:rsidR="00BE1143" w:rsidRPr="00CF632A">
        <w:t>. The clinical experts noted that</w:t>
      </w:r>
      <w:r w:rsidR="00FC2356" w:rsidRPr="00CF632A">
        <w:t xml:space="preserve"> even</w:t>
      </w:r>
      <w:r w:rsidR="00BE1143" w:rsidRPr="00CF632A">
        <w:t xml:space="preserve"> if data </w:t>
      </w:r>
      <w:r w:rsidR="009D42CD">
        <w:t>was</w:t>
      </w:r>
      <w:r w:rsidR="009D42CD" w:rsidRPr="00CF632A">
        <w:t xml:space="preserve"> </w:t>
      </w:r>
      <w:r w:rsidR="00BE1143" w:rsidRPr="00CF632A">
        <w:t>available</w:t>
      </w:r>
      <w:r w:rsidR="00351A6D" w:rsidRPr="00CF632A">
        <w:t>,</w:t>
      </w:r>
      <w:r w:rsidR="00BE1143" w:rsidRPr="00CF632A">
        <w:t xml:space="preserve"> subgroup analys</w:t>
      </w:r>
      <w:r w:rsidR="00351A6D" w:rsidRPr="00CF632A">
        <w:t>e</w:t>
      </w:r>
      <w:r w:rsidR="00BE1143" w:rsidRPr="00CF632A">
        <w:t>s would be</w:t>
      </w:r>
      <w:r w:rsidR="007901F1" w:rsidRPr="00CF632A">
        <w:t xml:space="preserve"> difficult because </w:t>
      </w:r>
      <w:r w:rsidR="009D385E">
        <w:t>the</w:t>
      </w:r>
      <w:r w:rsidR="00437B94" w:rsidRPr="00CF632A">
        <w:t xml:space="preserve"> small number of people (</w:t>
      </w:r>
      <w:r w:rsidR="007901F1" w:rsidRPr="00CF632A">
        <w:t>only 5</w:t>
      </w:r>
      <w:r w:rsidR="009D385E">
        <w:t xml:space="preserve">% to </w:t>
      </w:r>
      <w:r w:rsidR="007901F1" w:rsidRPr="00CF632A">
        <w:t xml:space="preserve">10% of </w:t>
      </w:r>
      <w:r w:rsidR="007901F1" w:rsidRPr="00CF632A">
        <w:lastRenderedPageBreak/>
        <w:t>people with mCR</w:t>
      </w:r>
      <w:r w:rsidR="008A47AE" w:rsidRPr="00CF632A">
        <w:t>C</w:t>
      </w:r>
      <w:r w:rsidR="00437B94" w:rsidRPr="00CF632A">
        <w:t>)</w:t>
      </w:r>
      <w:r w:rsidR="008A47AE" w:rsidRPr="00CF632A">
        <w:t xml:space="preserve"> have BRAF 600 mutations</w:t>
      </w:r>
      <w:r w:rsidR="009D385E">
        <w:t>,</w:t>
      </w:r>
      <w:r w:rsidR="008A47AE" w:rsidRPr="00CF632A">
        <w:t xml:space="preserve"> </w:t>
      </w:r>
      <w:r w:rsidR="00351A6D" w:rsidRPr="00CF632A">
        <w:t>microsatellite instability or mismatch repair.</w:t>
      </w:r>
      <w:r w:rsidR="0090279F" w:rsidRPr="00CF632A">
        <w:t xml:space="preserve"> </w:t>
      </w:r>
      <w:r w:rsidR="00CD2D0A" w:rsidRPr="00CF632A">
        <w:t>The</w:t>
      </w:r>
      <w:r w:rsidR="00437B94" w:rsidRPr="00CF632A">
        <w:t xml:space="preserve"> committee</w:t>
      </w:r>
      <w:r w:rsidR="00CD2D0A" w:rsidRPr="00CF632A">
        <w:t xml:space="preserve"> </w:t>
      </w:r>
      <w:r w:rsidR="0090279F" w:rsidRPr="00CF632A">
        <w:t xml:space="preserve">concluded </w:t>
      </w:r>
      <w:r w:rsidR="004D13A3" w:rsidRPr="00CF632A">
        <w:t>that</w:t>
      </w:r>
      <w:r w:rsidR="00F9483E" w:rsidRPr="00CF632A">
        <w:t xml:space="preserve"> it would appraise</w:t>
      </w:r>
      <w:r w:rsidR="004D13A3" w:rsidRPr="00CF632A">
        <w:t xml:space="preserve"> </w:t>
      </w:r>
      <w:r w:rsidR="0090279F" w:rsidRPr="00CF632A">
        <w:t xml:space="preserve">bevacizumab </w:t>
      </w:r>
      <w:r w:rsidR="007F2770" w:rsidRPr="00CF632A">
        <w:t>as an add on to</w:t>
      </w:r>
      <w:r w:rsidR="00834613" w:rsidRPr="00834613">
        <w:t xml:space="preserve"> </w:t>
      </w:r>
      <w:r w:rsidR="00834613" w:rsidRPr="00A9020B">
        <w:t>fluoropyrimidine-based</w:t>
      </w:r>
      <w:r w:rsidR="007F2770" w:rsidRPr="00CF632A">
        <w:t xml:space="preserve"> </w:t>
      </w:r>
      <w:r w:rsidR="00351A6D" w:rsidRPr="00CF632A">
        <w:t>chemotherapy</w:t>
      </w:r>
      <w:r w:rsidR="002D46E8">
        <w:t xml:space="preserve"> </w:t>
      </w:r>
      <w:r w:rsidR="002D46E8" w:rsidRPr="002D46E8">
        <w:t xml:space="preserve">for first- and </w:t>
      </w:r>
      <w:r w:rsidR="001611CE">
        <w:t>for</w:t>
      </w:r>
      <w:r w:rsidR="002D46E8" w:rsidRPr="002D46E8">
        <w:t xml:space="preserve"> second-line treatment</w:t>
      </w:r>
      <w:r w:rsidR="00351A6D" w:rsidRPr="00CF632A">
        <w:t xml:space="preserve"> </w:t>
      </w:r>
      <w:r w:rsidR="00622514">
        <w:t>of</w:t>
      </w:r>
      <w:r w:rsidR="00B97066" w:rsidRPr="00CF632A">
        <w:t xml:space="preserve"> mCRC, </w:t>
      </w:r>
      <w:r w:rsidR="000373DC" w:rsidRPr="00CF632A">
        <w:t xml:space="preserve">when targeted treatments and immunotherapy </w:t>
      </w:r>
      <w:r w:rsidR="00351A6D" w:rsidRPr="00CF632A">
        <w:t xml:space="preserve">are </w:t>
      </w:r>
      <w:r w:rsidR="000373DC" w:rsidRPr="00CF632A">
        <w:t xml:space="preserve">not </w:t>
      </w:r>
      <w:r w:rsidR="003865EE" w:rsidRPr="00CF632A">
        <w:t>suitable and chemotherapy would otherwise be offered</w:t>
      </w:r>
      <w:r w:rsidR="006379D2" w:rsidRPr="00CF632A">
        <w:t xml:space="preserve">. This </w:t>
      </w:r>
      <w:r w:rsidR="001D532C">
        <w:t>evaluation</w:t>
      </w:r>
      <w:r w:rsidR="001D532C" w:rsidRPr="00CF632A">
        <w:t xml:space="preserve"> </w:t>
      </w:r>
      <w:r w:rsidR="00DF073A" w:rsidRPr="00CF632A">
        <w:t>includ</w:t>
      </w:r>
      <w:r w:rsidR="006379D2" w:rsidRPr="00CF632A">
        <w:t>es</w:t>
      </w:r>
      <w:r w:rsidR="00DF073A" w:rsidRPr="00CF632A">
        <w:t xml:space="preserve"> </w:t>
      </w:r>
      <w:r w:rsidR="003865EE" w:rsidRPr="00CF632A">
        <w:t>people whose tumours have</w:t>
      </w:r>
      <w:r w:rsidR="00DF073A" w:rsidRPr="00CF632A">
        <w:t xml:space="preserve"> molecular markers</w:t>
      </w:r>
      <w:r w:rsidR="00B97066" w:rsidRPr="00CF632A">
        <w:t xml:space="preserve">. </w:t>
      </w:r>
      <w:r w:rsidR="001D532C">
        <w:t>But the committee</w:t>
      </w:r>
      <w:r w:rsidR="00A92D08" w:rsidRPr="00CF632A">
        <w:t xml:space="preserve"> noted </w:t>
      </w:r>
      <w:r w:rsidR="00D2634B" w:rsidRPr="00CF632A">
        <w:t xml:space="preserve">that </w:t>
      </w:r>
      <w:r w:rsidR="00350FAE" w:rsidRPr="00CF632A">
        <w:t xml:space="preserve">it would </w:t>
      </w:r>
      <w:r w:rsidR="00B92C4A" w:rsidRPr="00CF632A">
        <w:t>consider</w:t>
      </w:r>
      <w:r w:rsidR="00D2634B" w:rsidRPr="00CF632A">
        <w:t xml:space="preserve"> </w:t>
      </w:r>
      <w:r w:rsidR="00B92C4A" w:rsidRPr="00CF632A">
        <w:t xml:space="preserve">the </w:t>
      </w:r>
      <w:r w:rsidR="00A92D08" w:rsidRPr="00CF632A">
        <w:t>uncertainty because no evidence</w:t>
      </w:r>
      <w:r w:rsidR="00B417DF" w:rsidRPr="00CF632A">
        <w:t xml:space="preserve"> had been provided</w:t>
      </w:r>
      <w:r w:rsidR="00705674" w:rsidRPr="00CF632A">
        <w:t xml:space="preserve"> for the clinical </w:t>
      </w:r>
      <w:r w:rsidR="009E3169" w:rsidRPr="00CF632A">
        <w:t>or cost effectiveness</w:t>
      </w:r>
      <w:r w:rsidR="00B417DF" w:rsidRPr="00CF632A">
        <w:t xml:space="preserve"> for the subgroup</w:t>
      </w:r>
      <w:r w:rsidR="00731306" w:rsidRPr="00CF632A">
        <w:t>s</w:t>
      </w:r>
      <w:r w:rsidR="00C438A4">
        <w:t xml:space="preserve"> with molecular markers</w:t>
      </w:r>
      <w:r w:rsidR="00A92D08" w:rsidRPr="00CF632A">
        <w:t>.</w:t>
      </w:r>
    </w:p>
    <w:p w14:paraId="4EA1D075" w14:textId="61A181BC" w:rsidR="00041D6F" w:rsidRPr="00CF632A" w:rsidRDefault="00041D6F" w:rsidP="00041D6F">
      <w:pPr>
        <w:pStyle w:val="Heading3"/>
      </w:pPr>
      <w:bookmarkStart w:id="11" w:name="_Microsatellite_instability,_or"/>
      <w:bookmarkStart w:id="12" w:name="_Comparators"/>
      <w:bookmarkStart w:id="13" w:name="_Chemotherapy_options_in"/>
      <w:bookmarkEnd w:id="11"/>
      <w:bookmarkEnd w:id="12"/>
      <w:bookmarkEnd w:id="13"/>
      <w:r w:rsidRPr="00CF632A">
        <w:t>C</w:t>
      </w:r>
      <w:r w:rsidR="00B773C9" w:rsidRPr="00CF632A">
        <w:t>hemotherapy options in clinical practice</w:t>
      </w:r>
    </w:p>
    <w:p w14:paraId="5E177353" w14:textId="77777777" w:rsidR="00B773C9" w:rsidRPr="00CF632A" w:rsidRDefault="004018F1" w:rsidP="00F00771">
      <w:pPr>
        <w:pStyle w:val="Numberedlevel2text"/>
        <w:rPr>
          <w:lang w:val="en-GB"/>
        </w:rPr>
      </w:pPr>
      <w:r w:rsidRPr="00CF632A">
        <w:rPr>
          <w:lang w:val="en-GB"/>
        </w:rPr>
        <w:t>The comparators listed in the final NICE scope</w:t>
      </w:r>
      <w:r w:rsidR="00B773C9" w:rsidRPr="00CF632A">
        <w:rPr>
          <w:lang w:val="en-GB"/>
        </w:rPr>
        <w:t xml:space="preserve"> were:</w:t>
      </w:r>
    </w:p>
    <w:p w14:paraId="0B67BE0D" w14:textId="5775C664" w:rsidR="00EC2EA7" w:rsidRPr="00CF632A" w:rsidRDefault="004018F1" w:rsidP="00B773C9">
      <w:pPr>
        <w:pStyle w:val="Bulletindent1"/>
      </w:pPr>
      <w:r w:rsidRPr="00CF632A">
        <w:t>FOLFOX</w:t>
      </w:r>
      <w:r w:rsidR="00EC2EA7" w:rsidRPr="00CF632A">
        <w:t xml:space="preserve"> (folinic acid, </w:t>
      </w:r>
      <w:r w:rsidR="00002768" w:rsidRPr="00CF632A">
        <w:t>fluorouracil</w:t>
      </w:r>
      <w:r w:rsidR="00EC2EA7" w:rsidRPr="00CF632A">
        <w:t xml:space="preserve">, </w:t>
      </w:r>
      <w:r w:rsidR="00F30362" w:rsidRPr="00CF632A">
        <w:t>oxaliplatin</w:t>
      </w:r>
      <w:r w:rsidR="00EC2EA7" w:rsidRPr="00CF632A">
        <w:t>)</w:t>
      </w:r>
    </w:p>
    <w:p w14:paraId="3E6769A0" w14:textId="28F323B7" w:rsidR="00DD436F" w:rsidRPr="00CF632A" w:rsidRDefault="004018F1" w:rsidP="00B773C9">
      <w:pPr>
        <w:pStyle w:val="Bulletindent1"/>
      </w:pPr>
      <w:r w:rsidRPr="00CF632A">
        <w:t>FOLFIRI</w:t>
      </w:r>
      <w:r w:rsidR="00EC2EA7" w:rsidRPr="00CF632A">
        <w:t xml:space="preserve"> </w:t>
      </w:r>
      <w:r w:rsidR="00F30362" w:rsidRPr="00CF632A">
        <w:t>(folinic acid, fluoro</w:t>
      </w:r>
      <w:r w:rsidR="00DD436F" w:rsidRPr="00CF632A">
        <w:t>uracil, irinotecan)</w:t>
      </w:r>
    </w:p>
    <w:p w14:paraId="48FE9660" w14:textId="41BBF331" w:rsidR="003F26C7" w:rsidRPr="00CF632A" w:rsidRDefault="004018F1" w:rsidP="00B773C9">
      <w:pPr>
        <w:pStyle w:val="Bulletindent1"/>
      </w:pPr>
      <w:r w:rsidRPr="00CF632A">
        <w:t>CAPOX</w:t>
      </w:r>
      <w:r w:rsidR="00DD436F" w:rsidRPr="00CF632A">
        <w:t xml:space="preserve"> (</w:t>
      </w:r>
      <w:r w:rsidR="003F26C7" w:rsidRPr="00CF632A">
        <w:t>capecitabine, oxaliplatin</w:t>
      </w:r>
      <w:r w:rsidR="0010667B" w:rsidRPr="00CF632A">
        <w:t>)</w:t>
      </w:r>
    </w:p>
    <w:p w14:paraId="102FE852" w14:textId="0BC23A7F" w:rsidR="008B3F62" w:rsidRPr="008B3F62" w:rsidRDefault="004018F1" w:rsidP="004514CB">
      <w:pPr>
        <w:pStyle w:val="Bulletindent1"/>
      </w:pPr>
      <w:r w:rsidRPr="00CF632A">
        <w:t xml:space="preserve">capecitabine monotherapy. </w:t>
      </w:r>
      <w:r w:rsidR="00002768">
        <w:br/>
      </w:r>
      <w:r w:rsidR="00002768">
        <w:br/>
      </w:r>
      <w:r w:rsidR="00B81366" w:rsidRPr="00CF632A">
        <w:t xml:space="preserve">The clinical expert explained that in UK clinical practice, both FOLFIRI and FOLFOX are commonly used as first-line treatments, with the </w:t>
      </w:r>
      <w:r w:rsidR="004C7036">
        <w:t>CAPOX</w:t>
      </w:r>
      <w:r w:rsidR="004C7036" w:rsidRPr="00CF632A">
        <w:t xml:space="preserve"> </w:t>
      </w:r>
      <w:r w:rsidR="00B81366" w:rsidRPr="00CF632A">
        <w:t xml:space="preserve">regimen typically used at second line. They noted the choice of chemotherapy is influenced by a range of individual patient factors and most people would </w:t>
      </w:r>
      <w:r w:rsidR="002A468A">
        <w:t>have</w:t>
      </w:r>
      <w:r w:rsidR="002A468A" w:rsidRPr="00CF632A">
        <w:t xml:space="preserve"> </w:t>
      </w:r>
      <w:r w:rsidR="00B81366" w:rsidRPr="00CF632A">
        <w:t xml:space="preserve">both oxaliplatin- and irinotecan-based regimens over the course of treatment. The clinical expert emphasised a preference for flexibility in clinical practice </w:t>
      </w:r>
      <w:r w:rsidR="004301EC" w:rsidRPr="00CF632A">
        <w:t>and</w:t>
      </w:r>
      <w:r w:rsidR="00584313">
        <w:t>,</w:t>
      </w:r>
      <w:r w:rsidR="004301EC" w:rsidRPr="00CF632A">
        <w:t xml:space="preserve"> if recommended</w:t>
      </w:r>
      <w:r w:rsidR="00F17CAB" w:rsidRPr="00CF632A">
        <w:t>,</w:t>
      </w:r>
      <w:r w:rsidR="004301EC" w:rsidRPr="00CF632A">
        <w:t xml:space="preserve"> </w:t>
      </w:r>
      <w:r w:rsidR="00B81366" w:rsidRPr="00CF632A">
        <w:t>bevacizumab</w:t>
      </w:r>
      <w:r w:rsidR="004301EC" w:rsidRPr="00CF632A">
        <w:t xml:space="preserve"> should be </w:t>
      </w:r>
      <w:r w:rsidR="00DF60EC" w:rsidRPr="00CF632A">
        <w:t>able</w:t>
      </w:r>
      <w:r w:rsidR="00B81366" w:rsidRPr="00CF632A">
        <w:t xml:space="preserve"> to be used with </w:t>
      </w:r>
      <w:r w:rsidR="009462E2" w:rsidRPr="00CF632A">
        <w:t>either</w:t>
      </w:r>
      <w:r w:rsidR="00B81366" w:rsidRPr="00CF632A">
        <w:t xml:space="preserve"> oxaliplatin- </w:t>
      </w:r>
      <w:r w:rsidR="00E91F67">
        <w:t>or</w:t>
      </w:r>
      <w:r w:rsidR="00E91F67" w:rsidRPr="00171077">
        <w:t xml:space="preserve"> </w:t>
      </w:r>
      <w:r w:rsidR="00B81366" w:rsidRPr="00CF632A">
        <w:t>irinotecan-based regimens at first and second line</w:t>
      </w:r>
      <w:r w:rsidR="009462E2" w:rsidRPr="00CF632A">
        <w:t>.</w:t>
      </w:r>
      <w:r w:rsidR="00B81366" w:rsidRPr="00CF632A">
        <w:t xml:space="preserve"> </w:t>
      </w:r>
      <w:r w:rsidR="00DF60EC" w:rsidRPr="00CF632A">
        <w:t xml:space="preserve">The </w:t>
      </w:r>
      <w:r w:rsidR="00B81366" w:rsidRPr="00CF632A">
        <w:t>NHS</w:t>
      </w:r>
      <w:r w:rsidR="00F17CAB" w:rsidRPr="00CF632A">
        <w:t xml:space="preserve"> England clinical lead (from here, NHSE</w:t>
      </w:r>
      <w:r w:rsidR="00B81366" w:rsidRPr="00CF632A">
        <w:t xml:space="preserve"> lead</w:t>
      </w:r>
      <w:r w:rsidR="00F17CAB" w:rsidRPr="00CF632A">
        <w:t>)</w:t>
      </w:r>
      <w:r w:rsidR="00624ABD" w:rsidRPr="00CF632A">
        <w:t xml:space="preserve"> and patient expert</w:t>
      </w:r>
      <w:r w:rsidR="00B81366" w:rsidRPr="00CF632A">
        <w:t xml:space="preserve"> supported the need for flexibility in how bevacizumab is used with different chemotherapy </w:t>
      </w:r>
      <w:r w:rsidR="00EA0F86">
        <w:t>regimens</w:t>
      </w:r>
      <w:r w:rsidR="00B81366" w:rsidRPr="00171077">
        <w:t>.</w:t>
      </w:r>
      <w:r w:rsidR="00B81366" w:rsidRPr="00CF632A">
        <w:t xml:space="preserve"> </w:t>
      </w:r>
      <w:r w:rsidR="00C638A8" w:rsidRPr="00CF632A">
        <w:t xml:space="preserve">The clinical expert </w:t>
      </w:r>
      <w:r w:rsidR="00542CC9" w:rsidRPr="00CF632A">
        <w:t>stated</w:t>
      </w:r>
      <w:r w:rsidR="00C638A8" w:rsidRPr="00CF632A">
        <w:t xml:space="preserve"> </w:t>
      </w:r>
      <w:r w:rsidR="00C638A8" w:rsidRPr="00CB5C85">
        <w:t xml:space="preserve">that frailer, older people may be </w:t>
      </w:r>
      <w:r w:rsidR="009B7E0E" w:rsidRPr="00CB5C85">
        <w:t>more likely to have</w:t>
      </w:r>
      <w:r w:rsidR="00C638A8" w:rsidRPr="00CB5C85">
        <w:t xml:space="preserve"> bevacizumab with a </w:t>
      </w:r>
      <w:proofErr w:type="gramStart"/>
      <w:r w:rsidR="00C638A8" w:rsidRPr="00CB5C85">
        <w:t>single-agent</w:t>
      </w:r>
      <w:proofErr w:type="gramEnd"/>
      <w:r w:rsidR="00C638A8" w:rsidRPr="00CB5C85">
        <w:t xml:space="preserve"> fluoropyrimidine</w:t>
      </w:r>
      <w:r w:rsidR="000305F5" w:rsidRPr="00CB5C85">
        <w:t xml:space="preserve"> (such as capecitabine monotherapy)</w:t>
      </w:r>
      <w:r w:rsidR="00097E40" w:rsidRPr="00CB5C85">
        <w:t xml:space="preserve"> rather than </w:t>
      </w:r>
      <w:r w:rsidR="00097E40" w:rsidRPr="00CB5C85">
        <w:lastRenderedPageBreak/>
        <w:t>combination regimens because of toxicity</w:t>
      </w:r>
      <w:r w:rsidR="00145891" w:rsidRPr="00CB5C85">
        <w:t xml:space="preserve">. </w:t>
      </w:r>
      <w:r w:rsidR="00AF4DF8">
        <w:br/>
      </w:r>
      <w:r w:rsidR="00AF4DF8">
        <w:br/>
      </w:r>
      <w:r w:rsidR="006F7C04" w:rsidRPr="00CB5C85">
        <w:t>The</w:t>
      </w:r>
      <w:r w:rsidR="006F7C04" w:rsidRPr="00CF632A">
        <w:t xml:space="preserve"> EAG did not identify any NICE technology appraisals or clinical studies evaluating bevacizumab plus capecitabine </w:t>
      </w:r>
      <w:r w:rsidR="00EB66B1">
        <w:t>compared with</w:t>
      </w:r>
      <w:r w:rsidR="00EB66B1" w:rsidRPr="00171077">
        <w:t xml:space="preserve"> </w:t>
      </w:r>
      <w:r w:rsidR="006F7C04" w:rsidRPr="00CF632A">
        <w:t xml:space="preserve">capecitabine alone for first- or </w:t>
      </w:r>
      <w:r w:rsidR="003C2148">
        <w:t xml:space="preserve">for </w:t>
      </w:r>
      <w:r w:rsidR="006F7C04" w:rsidRPr="00CF632A">
        <w:t xml:space="preserve">second-line treatment of mCRC. </w:t>
      </w:r>
      <w:r w:rsidR="005108ED">
        <w:t>Previous</w:t>
      </w:r>
      <w:r w:rsidR="006B25DB">
        <w:t xml:space="preserve"> NICE appraisals </w:t>
      </w:r>
      <w:r w:rsidR="005108ED">
        <w:t>were</w:t>
      </w:r>
      <w:r w:rsidR="00866696">
        <w:t xml:space="preserve"> informed by the regulatory trials informing the licen</w:t>
      </w:r>
      <w:r w:rsidR="000C582C">
        <w:t>c</w:t>
      </w:r>
      <w:r w:rsidR="00866696">
        <w:t xml:space="preserve">e for bevacizumab </w:t>
      </w:r>
      <w:r w:rsidR="007A316E">
        <w:t>with</w:t>
      </w:r>
      <w:r w:rsidR="004303CF">
        <w:t xml:space="preserve"> </w:t>
      </w:r>
      <w:r w:rsidR="00583F06">
        <w:t>fluoropyrimidine-based chemotherapy</w:t>
      </w:r>
      <w:r w:rsidR="003A5EAE">
        <w:t xml:space="preserve">, in which the </w:t>
      </w:r>
      <w:r w:rsidR="0048792B">
        <w:t>chemotherap</w:t>
      </w:r>
      <w:r w:rsidR="00C939F9">
        <w:t xml:space="preserve">ies were </w:t>
      </w:r>
      <w:r w:rsidR="00853F93">
        <w:t>FOLFIRI</w:t>
      </w:r>
      <w:r w:rsidR="00086728">
        <w:t>, CAPOX and FOLFOX.</w:t>
      </w:r>
      <w:r w:rsidR="006F7C04" w:rsidRPr="00CF632A">
        <w:t xml:space="preserve"> </w:t>
      </w:r>
      <w:r w:rsidR="006F7C04">
        <w:t>So</w:t>
      </w:r>
      <w:r w:rsidR="005108ED">
        <w:t>,</w:t>
      </w:r>
      <w:r w:rsidR="006F7C04" w:rsidRPr="00CF632A">
        <w:t xml:space="preserve"> </w:t>
      </w:r>
      <w:r w:rsidR="005108ED">
        <w:t>the EAG</w:t>
      </w:r>
      <w:r w:rsidR="006F7C04" w:rsidRPr="00CF632A">
        <w:t xml:space="preserve"> could not consider capecitabine monotherapy as a comparator in its assessment</w:t>
      </w:r>
      <w:r w:rsidR="006F7C04" w:rsidRPr="0084099C">
        <w:t xml:space="preserve">. </w:t>
      </w:r>
      <w:r w:rsidR="00145891" w:rsidRPr="0084099C">
        <w:t>A</w:t>
      </w:r>
      <w:r w:rsidR="0052074B" w:rsidRPr="0084099C">
        <w:t xml:space="preserve"> clinical expert </w:t>
      </w:r>
      <w:r w:rsidR="00DD076C" w:rsidRPr="0084099C">
        <w:t xml:space="preserve">explained </w:t>
      </w:r>
      <w:r w:rsidR="0052074B" w:rsidRPr="0084099C">
        <w:t>that a</w:t>
      </w:r>
      <w:r w:rsidR="00145891" w:rsidRPr="0084099C">
        <w:t xml:space="preserve"> common strategy in clinical practice is maintenance therapy. This typically involves </w:t>
      </w:r>
      <w:r w:rsidR="0071360F" w:rsidRPr="0084099C">
        <w:t xml:space="preserve">using </w:t>
      </w:r>
      <w:r w:rsidR="00145891" w:rsidRPr="0084099C">
        <w:t xml:space="preserve">first-line treatments such as oxaliplatin for 4 to 6 months, then switching to a maintenance drug </w:t>
      </w:r>
      <w:r w:rsidR="008425E7" w:rsidRPr="0084099C">
        <w:t xml:space="preserve">such as </w:t>
      </w:r>
      <w:r w:rsidR="00145891" w:rsidRPr="0084099C">
        <w:t xml:space="preserve">oral capecitabine to reduce toxicity and improve progression-free survival. </w:t>
      </w:r>
      <w:r w:rsidR="0094311B" w:rsidRPr="0084099C">
        <w:t>The clinical expert noted that combining bevacizumab with oral capecitabine is common outside the UK and is increasingly used in colorectal cancer care because there is a clinical benefit of this strategy</w:t>
      </w:r>
      <w:r w:rsidR="00B972EA" w:rsidRPr="0084099C">
        <w:t xml:space="preserve">. The </w:t>
      </w:r>
      <w:r w:rsidR="00ED3665" w:rsidRPr="0084099C">
        <w:t xml:space="preserve">regulatory trials had not assessed </w:t>
      </w:r>
      <w:r w:rsidR="00C040D9" w:rsidRPr="0084099C">
        <w:t xml:space="preserve">using </w:t>
      </w:r>
      <w:r w:rsidR="00727226" w:rsidRPr="0084099C">
        <w:t xml:space="preserve">bevacizumab </w:t>
      </w:r>
      <w:r w:rsidR="00EE48ED" w:rsidRPr="0084099C">
        <w:t>in addition to m</w:t>
      </w:r>
      <w:r w:rsidR="00B5745E" w:rsidRPr="0084099C">
        <w:t>aint</w:t>
      </w:r>
      <w:r w:rsidR="0019320B" w:rsidRPr="0084099C">
        <w:t>enance</w:t>
      </w:r>
      <w:r w:rsidR="00FC0029" w:rsidRPr="0084099C">
        <w:t xml:space="preserve"> capecitabin</w:t>
      </w:r>
      <w:r w:rsidR="00FC0029">
        <w:t>e</w:t>
      </w:r>
      <w:r w:rsidR="00C81CD5">
        <w:t>.</w:t>
      </w:r>
      <w:r w:rsidR="00314708">
        <w:t xml:space="preserve"> </w:t>
      </w:r>
      <w:r w:rsidR="6201CEA1">
        <w:t>But</w:t>
      </w:r>
      <w:r w:rsidR="7F5BEC30" w:rsidRPr="0084099C">
        <w:t xml:space="preserve"> </w:t>
      </w:r>
      <w:r w:rsidR="444BAAAC" w:rsidRPr="0084099C">
        <w:t xml:space="preserve">the </w:t>
      </w:r>
      <w:r w:rsidR="19920FAA" w:rsidRPr="0084099C">
        <w:t>marketing authorisation</w:t>
      </w:r>
      <w:r w:rsidR="00052BDF" w:rsidRPr="0084099C">
        <w:t xml:space="preserve"> allows </w:t>
      </w:r>
      <w:r w:rsidR="00D421E5" w:rsidRPr="0084099C">
        <w:t xml:space="preserve">bevacizumab to be used with fluoropyrimidine-based chemotherapy and does not specify </w:t>
      </w:r>
      <w:r w:rsidR="4F8641EB" w:rsidRPr="7BCD81F4">
        <w:t xml:space="preserve">whether the chemotherapy should be fluoropyrimidine </w:t>
      </w:r>
      <w:r w:rsidR="00254E3A">
        <w:t xml:space="preserve">in </w:t>
      </w:r>
      <w:r w:rsidR="00D421E5" w:rsidRPr="7BCD81F4">
        <w:t xml:space="preserve">combination or </w:t>
      </w:r>
      <w:r w:rsidR="4F8641EB" w:rsidRPr="7BCD81F4">
        <w:t xml:space="preserve">fluoropyrimidine </w:t>
      </w:r>
      <w:r w:rsidR="005F4E91" w:rsidRPr="7BCD81F4">
        <w:t>monotherapy</w:t>
      </w:r>
      <w:r w:rsidR="00C81CD5" w:rsidRPr="7BCD81F4">
        <w:t>.</w:t>
      </w:r>
      <w:r w:rsidR="00314708" w:rsidRPr="7BCD81F4">
        <w:t xml:space="preserve"> </w:t>
      </w:r>
      <w:r w:rsidR="000256CF">
        <w:t>After</w:t>
      </w:r>
      <w:r w:rsidR="00BE29B6" w:rsidRPr="000C751C">
        <w:t xml:space="preserve"> the committee meeting</w:t>
      </w:r>
      <w:r w:rsidR="000256CF">
        <w:t>,</w:t>
      </w:r>
      <w:r w:rsidR="00BE29B6" w:rsidRPr="000C751C">
        <w:t xml:space="preserve"> </w:t>
      </w:r>
      <w:r w:rsidR="0078045F" w:rsidRPr="000C751C">
        <w:t>t</w:t>
      </w:r>
      <w:r w:rsidR="00236D77" w:rsidRPr="000C751C">
        <w:t>he NHS</w:t>
      </w:r>
      <w:r w:rsidR="00BA5CBB" w:rsidRPr="000C751C">
        <w:t xml:space="preserve"> England </w:t>
      </w:r>
      <w:r w:rsidR="00786CE5">
        <w:t>n</w:t>
      </w:r>
      <w:r w:rsidR="00BE29B6" w:rsidRPr="00AD6EB4">
        <w:t>a</w:t>
      </w:r>
      <w:r w:rsidR="0078045F" w:rsidRPr="00AD6EB4">
        <w:t xml:space="preserve">tional </w:t>
      </w:r>
      <w:r w:rsidR="00786CE5">
        <w:t>s</w:t>
      </w:r>
      <w:r w:rsidR="0078045F" w:rsidRPr="000C751C">
        <w:t xml:space="preserve">pecialty </w:t>
      </w:r>
      <w:r w:rsidR="00786CE5">
        <w:t>a</w:t>
      </w:r>
      <w:r w:rsidR="007B69CE" w:rsidRPr="000C751C">
        <w:t>dviser</w:t>
      </w:r>
      <w:r w:rsidR="0078045F" w:rsidRPr="000C751C">
        <w:t xml:space="preserve"> for cancer drugs stated that </w:t>
      </w:r>
      <w:r w:rsidR="001436C3" w:rsidRPr="000C751C">
        <w:t xml:space="preserve">it was appropriate for the </w:t>
      </w:r>
      <w:r w:rsidR="00E8757C" w:rsidRPr="000C751C">
        <w:t xml:space="preserve">recommendation to cover bevacizumab </w:t>
      </w:r>
      <w:r w:rsidR="005B0D89" w:rsidRPr="000C751C">
        <w:t>added on to any fluoropyrimidine</w:t>
      </w:r>
      <w:r w:rsidR="00786CE5">
        <w:t>-</w:t>
      </w:r>
      <w:r w:rsidR="005B0D89" w:rsidRPr="000C751C">
        <w:t>based chemotherapy</w:t>
      </w:r>
      <w:r w:rsidR="00786CE5">
        <w:t>,</w:t>
      </w:r>
      <w:r w:rsidR="005B0D89" w:rsidRPr="000C751C">
        <w:t xml:space="preserve"> inclu</w:t>
      </w:r>
      <w:r w:rsidR="00921CA2" w:rsidRPr="000C751C">
        <w:t>ding capecitabine</w:t>
      </w:r>
      <w:r w:rsidR="00786CE5">
        <w:t>,</w:t>
      </w:r>
      <w:r w:rsidR="00921CA2" w:rsidRPr="000C751C">
        <w:t xml:space="preserve"> to align with the marketing authorisation</w:t>
      </w:r>
      <w:r w:rsidR="00326761">
        <w:t xml:space="preserve"> for </w:t>
      </w:r>
      <w:r w:rsidR="00326761" w:rsidRPr="00202668">
        <w:t>bevacizumab</w:t>
      </w:r>
      <w:r w:rsidR="00921CA2" w:rsidRPr="00D11DC5">
        <w:t xml:space="preserve"> and </w:t>
      </w:r>
      <w:r w:rsidR="004F08E7" w:rsidRPr="00D11DC5">
        <w:t>clinical practice.</w:t>
      </w:r>
      <w:r w:rsidR="2990B7F5" w:rsidRPr="00D11DC5">
        <w:t xml:space="preserve"> </w:t>
      </w:r>
      <w:r w:rsidR="00140C24">
        <w:br/>
      </w:r>
      <w:r w:rsidR="00140C24">
        <w:br/>
      </w:r>
      <w:r w:rsidR="00314708" w:rsidRPr="00D11DC5">
        <w:t xml:space="preserve">The committee concluded </w:t>
      </w:r>
      <w:r w:rsidR="00A01ED7" w:rsidRPr="00D11DC5">
        <w:t xml:space="preserve">that </w:t>
      </w:r>
      <w:r w:rsidR="00582F24" w:rsidRPr="00D11DC5">
        <w:t>the chemotherapy regimens outlined in the scope were used in clinical practice</w:t>
      </w:r>
      <w:r w:rsidR="007005B7" w:rsidRPr="00D11DC5">
        <w:t>,</w:t>
      </w:r>
      <w:r w:rsidR="002D764C" w:rsidRPr="00D11DC5">
        <w:t xml:space="preserve"> and </w:t>
      </w:r>
      <w:r w:rsidR="007005B7" w:rsidRPr="00D11DC5">
        <w:t xml:space="preserve">that it </w:t>
      </w:r>
      <w:r w:rsidR="002D764C" w:rsidRPr="00D11DC5">
        <w:t xml:space="preserve">would consider the available evidence for all comparators </w:t>
      </w:r>
      <w:r w:rsidR="006A3985" w:rsidRPr="00D11DC5">
        <w:t>in the first</w:t>
      </w:r>
      <w:r w:rsidR="007005B7" w:rsidRPr="00D11DC5">
        <w:t>-</w:t>
      </w:r>
      <w:r w:rsidR="006A3985" w:rsidRPr="00D11DC5">
        <w:t xml:space="preserve"> and second</w:t>
      </w:r>
      <w:r w:rsidR="007005B7" w:rsidRPr="00D11DC5">
        <w:t>-</w:t>
      </w:r>
      <w:r w:rsidR="006A3985" w:rsidRPr="00D11DC5">
        <w:t xml:space="preserve">line </w:t>
      </w:r>
      <w:r w:rsidR="3868F87C" w:rsidRPr="00D11DC5">
        <w:t>setting</w:t>
      </w:r>
      <w:r w:rsidR="7E567FCF" w:rsidRPr="00D11DC5">
        <w:t>s</w:t>
      </w:r>
      <w:r w:rsidR="160AAE44">
        <w:t>.</w:t>
      </w:r>
      <w:r w:rsidR="00AE79B1">
        <w:t xml:space="preserve"> The committee </w:t>
      </w:r>
      <w:r w:rsidR="00F3734F">
        <w:t>acknowledged</w:t>
      </w:r>
      <w:r w:rsidR="00AE79B1" w:rsidRPr="00CF632A">
        <w:t xml:space="preserve"> th</w:t>
      </w:r>
      <w:r w:rsidR="007516EC">
        <w:t>e lack o</w:t>
      </w:r>
      <w:r w:rsidR="00884BCE">
        <w:t xml:space="preserve">f evidence from the </w:t>
      </w:r>
      <w:r w:rsidR="00884BCE">
        <w:lastRenderedPageBreak/>
        <w:t>regulatory trials for</w:t>
      </w:r>
      <w:r w:rsidR="0052392E">
        <w:t xml:space="preserve"> the clinical effectiveness of</w:t>
      </w:r>
      <w:r w:rsidR="00884BCE">
        <w:t xml:space="preserve"> bevacizuma</w:t>
      </w:r>
      <w:r w:rsidR="00174B75">
        <w:t>b added on to capecitabine</w:t>
      </w:r>
      <w:r w:rsidR="00FF5F72">
        <w:t xml:space="preserve">. </w:t>
      </w:r>
      <w:r w:rsidR="00FE4C80">
        <w:t>But</w:t>
      </w:r>
      <w:r w:rsidR="00FF5F72">
        <w:t xml:space="preserve"> it</w:t>
      </w:r>
      <w:r w:rsidR="00174B75">
        <w:t xml:space="preserve"> </w:t>
      </w:r>
      <w:r w:rsidR="00DD0A5A">
        <w:t>noted that</w:t>
      </w:r>
      <w:r w:rsidR="00174B75">
        <w:t xml:space="preserve"> </w:t>
      </w:r>
      <w:r w:rsidR="007A6C02">
        <w:t xml:space="preserve">the </w:t>
      </w:r>
      <w:r w:rsidR="00174B75">
        <w:t>clinic</w:t>
      </w:r>
      <w:r w:rsidR="007A6C02">
        <w:t>al experts</w:t>
      </w:r>
      <w:r w:rsidR="00174B75">
        <w:t xml:space="preserve"> </w:t>
      </w:r>
      <w:r w:rsidR="000E0782">
        <w:t>stated</w:t>
      </w:r>
      <w:r w:rsidR="00BB0E5E">
        <w:t xml:space="preserve"> that bevacizumab </w:t>
      </w:r>
      <w:r w:rsidR="0044613D">
        <w:t>has an observed benefit when added to capecitabine</w:t>
      </w:r>
      <w:r w:rsidR="00D20BD0">
        <w:t xml:space="preserve">, offering flexibility for the </w:t>
      </w:r>
      <w:r w:rsidR="00D51D37">
        <w:t xml:space="preserve">choice of </w:t>
      </w:r>
      <w:r w:rsidR="00D20BD0" w:rsidRPr="00202668">
        <w:t>fluoropyrimidine</w:t>
      </w:r>
      <w:r w:rsidR="00FE4C80">
        <w:t>-</w:t>
      </w:r>
      <w:r w:rsidR="00D20BD0" w:rsidRPr="00202668">
        <w:t>based</w:t>
      </w:r>
      <w:r w:rsidR="00D20BD0">
        <w:t xml:space="preserve"> </w:t>
      </w:r>
      <w:r w:rsidR="006D5F89">
        <w:t>chemotherapy backbone</w:t>
      </w:r>
      <w:r w:rsidR="13FBFFA2">
        <w:t xml:space="preserve">. </w:t>
      </w:r>
      <w:r w:rsidR="00B066B8">
        <w:t>The c</w:t>
      </w:r>
      <w:r w:rsidR="13FBFFA2">
        <w:t>ommittee</w:t>
      </w:r>
      <w:r w:rsidR="13FBFFA2">
        <w:t xml:space="preserve"> also </w:t>
      </w:r>
      <w:r w:rsidR="00FE4C80">
        <w:t>thought</w:t>
      </w:r>
      <w:r w:rsidR="13FBFFA2">
        <w:t xml:space="preserve"> that </w:t>
      </w:r>
      <w:r w:rsidR="0A7E069B">
        <w:t>use with capecitabin</w:t>
      </w:r>
      <w:r w:rsidR="090BFC52">
        <w:t xml:space="preserve">e </w:t>
      </w:r>
      <w:r w:rsidR="00F5713F">
        <w:t xml:space="preserve">monotherapy </w:t>
      </w:r>
      <w:r w:rsidR="00125225">
        <w:t xml:space="preserve">fell within the marketing </w:t>
      </w:r>
      <w:r w:rsidR="6FA26490">
        <w:t>authori</w:t>
      </w:r>
      <w:r w:rsidR="17B7E71D">
        <w:t>s</w:t>
      </w:r>
      <w:r w:rsidR="6FA26490">
        <w:t>ation</w:t>
      </w:r>
      <w:r w:rsidR="39F83E48">
        <w:t xml:space="preserve"> for </w:t>
      </w:r>
      <w:r w:rsidR="39F83E48" w:rsidRPr="7BCD81F4">
        <w:t>bevacizumab</w:t>
      </w:r>
      <w:r w:rsidR="6FA26490">
        <w:t>.</w:t>
      </w:r>
      <w:r w:rsidR="00125225">
        <w:t xml:space="preserve"> It therefore </w:t>
      </w:r>
      <w:r w:rsidR="00643365">
        <w:t xml:space="preserve">agreed it would </w:t>
      </w:r>
      <w:r w:rsidR="00D34E2B">
        <w:t>reach a decision for bevacizumab added on t</w:t>
      </w:r>
      <w:r w:rsidR="00D27A3B">
        <w:t>o any of the</w:t>
      </w:r>
      <w:r w:rsidR="00A34C7E">
        <w:t xml:space="preserve"> </w:t>
      </w:r>
      <w:r w:rsidR="00D27A3B">
        <w:t>fluoropyrimidine-based chemotherapies used in clinical practice</w:t>
      </w:r>
      <w:r w:rsidR="0996325D">
        <w:t>.</w:t>
      </w:r>
      <w:r w:rsidR="3E506839">
        <w:t xml:space="preserve"> </w:t>
      </w:r>
    </w:p>
    <w:p w14:paraId="0576DAB2" w14:textId="18F04019" w:rsidR="004018F1" w:rsidRPr="00CF632A" w:rsidRDefault="004018F1" w:rsidP="004C7036">
      <w:pPr>
        <w:pStyle w:val="NICEnormalindented"/>
      </w:pPr>
    </w:p>
    <w:p w14:paraId="3AAEB808" w14:textId="1B5E478F" w:rsidR="00EE4B04" w:rsidRPr="00CF632A" w:rsidRDefault="00424D46" w:rsidP="00FE5C8A">
      <w:pPr>
        <w:pStyle w:val="Heading2"/>
      </w:pPr>
      <w:r w:rsidRPr="00CF632A">
        <w:t>Clinical effectiveness</w:t>
      </w:r>
      <w:bookmarkStart w:id="14" w:name="_Methods_for_reviewing"/>
      <w:bookmarkEnd w:id="14"/>
      <w:r w:rsidR="006F138D" w:rsidRPr="00CF632A">
        <w:t xml:space="preserve"> </w:t>
      </w:r>
    </w:p>
    <w:p w14:paraId="16E88F06" w14:textId="330AD75A" w:rsidR="006B30C1" w:rsidRPr="00CF632A" w:rsidRDefault="00520BCD" w:rsidP="006B30C1">
      <w:pPr>
        <w:pStyle w:val="Heading3"/>
      </w:pPr>
      <w:bookmarkStart w:id="15" w:name="_First_line_data"/>
      <w:bookmarkEnd w:id="15"/>
      <w:r w:rsidRPr="00CF632A">
        <w:t>First</w:t>
      </w:r>
      <w:r w:rsidR="00A7590C">
        <w:t>-</w:t>
      </w:r>
      <w:r w:rsidRPr="00CF632A">
        <w:t xml:space="preserve">line </w:t>
      </w:r>
      <w:r w:rsidR="00366754" w:rsidRPr="00CF632A">
        <w:t>clinical effectiveness</w:t>
      </w:r>
      <w:r w:rsidRPr="00CF632A">
        <w:t xml:space="preserve"> </w:t>
      </w:r>
    </w:p>
    <w:p w14:paraId="6174E166" w14:textId="1B4FDDAD" w:rsidR="00D06B3D" w:rsidRDefault="004C7C89" w:rsidP="00217B6B">
      <w:pPr>
        <w:pStyle w:val="Numberedlevel2text"/>
        <w:rPr>
          <w:lang w:val="en-GB"/>
        </w:rPr>
      </w:pPr>
      <w:r w:rsidRPr="00CF632A">
        <w:rPr>
          <w:lang w:val="en-GB"/>
        </w:rPr>
        <w:t xml:space="preserve">The EAG’s main evidence on the clinical effectiveness of bevacizumab </w:t>
      </w:r>
      <w:r w:rsidR="00532F4D" w:rsidRPr="00CF632A">
        <w:rPr>
          <w:lang w:val="en-GB"/>
        </w:rPr>
        <w:t>plus</w:t>
      </w:r>
      <w:r w:rsidRPr="00CF632A">
        <w:rPr>
          <w:lang w:val="en-GB"/>
        </w:rPr>
        <w:t xml:space="preserve"> fluoropyrimidine-based chemotherapy </w:t>
      </w:r>
      <w:r w:rsidR="008933C0" w:rsidRPr="00CF632A">
        <w:rPr>
          <w:lang w:val="en-GB"/>
        </w:rPr>
        <w:t xml:space="preserve">came from </w:t>
      </w:r>
      <w:r w:rsidR="00081A66" w:rsidRPr="00CF632A">
        <w:rPr>
          <w:lang w:val="en-GB"/>
        </w:rPr>
        <w:t>different</w:t>
      </w:r>
      <w:r w:rsidR="008933C0" w:rsidRPr="00CF632A">
        <w:rPr>
          <w:lang w:val="en-GB"/>
        </w:rPr>
        <w:t xml:space="preserve"> sources. </w:t>
      </w:r>
      <w:r w:rsidR="00196820" w:rsidRPr="00CF632A">
        <w:rPr>
          <w:lang w:val="en-GB"/>
        </w:rPr>
        <w:t xml:space="preserve">The EAG identified </w:t>
      </w:r>
      <w:r w:rsidR="0025274D">
        <w:rPr>
          <w:lang w:val="en-GB"/>
        </w:rPr>
        <w:t>2</w:t>
      </w:r>
      <w:r w:rsidR="0025274D" w:rsidRPr="00CF632A">
        <w:rPr>
          <w:lang w:val="en-GB"/>
        </w:rPr>
        <w:t xml:space="preserve"> </w:t>
      </w:r>
      <w:r w:rsidR="00196820" w:rsidRPr="00CF632A">
        <w:rPr>
          <w:lang w:val="en-GB"/>
        </w:rPr>
        <w:t xml:space="preserve">clinical studies related to the first-line treatment of mCRC with bevacizumab </w:t>
      </w:r>
      <w:r w:rsidR="00532F4D" w:rsidRPr="00CF632A">
        <w:rPr>
          <w:lang w:val="en-GB"/>
        </w:rPr>
        <w:t>plus</w:t>
      </w:r>
      <w:r w:rsidR="00196820" w:rsidRPr="00CF632A">
        <w:rPr>
          <w:lang w:val="en-GB"/>
        </w:rPr>
        <w:t xml:space="preserve"> fluoropyrimidine-based chemotherapy.</w:t>
      </w:r>
      <w:r w:rsidR="00301431" w:rsidRPr="00CF632A">
        <w:rPr>
          <w:lang w:val="en-GB"/>
        </w:rPr>
        <w:t xml:space="preserve"> </w:t>
      </w:r>
      <w:r w:rsidR="00AA5DAD" w:rsidRPr="00CF632A">
        <w:rPr>
          <w:lang w:val="en-GB"/>
        </w:rPr>
        <w:t>These were</w:t>
      </w:r>
      <w:r w:rsidR="00D06B3D">
        <w:rPr>
          <w:lang w:val="en-GB"/>
        </w:rPr>
        <w:t>:</w:t>
      </w:r>
    </w:p>
    <w:p w14:paraId="005098A1" w14:textId="1F7B7613" w:rsidR="00D06B3D" w:rsidRDefault="00AA5DAD" w:rsidP="00D06B3D">
      <w:pPr>
        <w:pStyle w:val="Bulletindent1"/>
      </w:pPr>
      <w:r w:rsidRPr="00CF632A">
        <w:t>Study NO16966 (the primary source of clinical</w:t>
      </w:r>
      <w:r w:rsidR="00BC48A5">
        <w:t>-</w:t>
      </w:r>
      <w:r w:rsidRPr="00CF632A">
        <w:t xml:space="preserve">effectiveness </w:t>
      </w:r>
      <w:r w:rsidR="00BC48A5">
        <w:t xml:space="preserve">data </w:t>
      </w:r>
      <w:r w:rsidRPr="00CF632A">
        <w:t>for bevacizumab plus FOLFOX or CAPOX</w:t>
      </w:r>
      <w:r w:rsidR="00024AB7">
        <w:t>,</w:t>
      </w:r>
      <w:r w:rsidRPr="00CF632A">
        <w:t xml:space="preserve"> and FOLFOX or CAPOX alone in </w:t>
      </w:r>
      <w:hyperlink r:id="rId28" w:history="1">
        <w:r w:rsidR="00301431" w:rsidRPr="00CF632A">
          <w:rPr>
            <w:rStyle w:val="Hyperlink"/>
          </w:rPr>
          <w:t>TA212</w:t>
        </w:r>
      </w:hyperlink>
      <w:r w:rsidRPr="00CF632A">
        <w:t xml:space="preserve">) </w:t>
      </w:r>
    </w:p>
    <w:p w14:paraId="1B039BF8" w14:textId="47E3F603" w:rsidR="00FC6BF7" w:rsidRPr="00CF632A" w:rsidRDefault="00AA5DAD" w:rsidP="00A15B8A">
      <w:pPr>
        <w:pStyle w:val="Bulletindent1last"/>
      </w:pPr>
      <w:r w:rsidRPr="00CF632A">
        <w:t>Study AVF2107g (the primary source of clinical</w:t>
      </w:r>
      <w:r w:rsidR="001416EA">
        <w:t>-</w:t>
      </w:r>
      <w:r w:rsidRPr="00CF632A">
        <w:t xml:space="preserve">effectiveness </w:t>
      </w:r>
      <w:r w:rsidR="001416EA">
        <w:t xml:space="preserve">data </w:t>
      </w:r>
      <w:r w:rsidRPr="00CF632A">
        <w:t>for bevacizumab plus FOLFIRI</w:t>
      </w:r>
      <w:r w:rsidR="001416EA">
        <w:t>,</w:t>
      </w:r>
      <w:r w:rsidRPr="00CF632A">
        <w:t xml:space="preserve"> and FOLFIRI alone in </w:t>
      </w:r>
      <w:hyperlink r:id="rId29">
        <w:r w:rsidR="00D170C1" w:rsidRPr="49BDD36F">
          <w:rPr>
            <w:rStyle w:val="Hyperlink"/>
          </w:rPr>
          <w:t>TA118</w:t>
        </w:r>
      </w:hyperlink>
      <w:r>
        <w:t>)</w:t>
      </w:r>
      <w:r w:rsidR="001416EA">
        <w:t>.</w:t>
      </w:r>
      <w:r w:rsidR="001416EA">
        <w:br/>
      </w:r>
      <w:r w:rsidR="001416EA">
        <w:br/>
      </w:r>
      <w:r w:rsidR="00967034" w:rsidRPr="00CF632A">
        <w:t>Study NO16966</w:t>
      </w:r>
      <w:r w:rsidR="00E659CA" w:rsidRPr="00CF632A">
        <w:t xml:space="preserve"> </w:t>
      </w:r>
      <w:r w:rsidR="00967034" w:rsidRPr="00CF632A">
        <w:t>was a phase 3, multicentre, multinational, randomised, open</w:t>
      </w:r>
      <w:r w:rsidR="007263D4">
        <w:t>-</w:t>
      </w:r>
      <w:r w:rsidR="00967034" w:rsidRPr="00CF632A">
        <w:t>label study</w:t>
      </w:r>
      <w:r w:rsidR="00BC4B13" w:rsidRPr="00CF632A">
        <w:t xml:space="preserve">. </w:t>
      </w:r>
      <w:r w:rsidR="0051142B" w:rsidRPr="00CF632A">
        <w:t>Data was from</w:t>
      </w:r>
      <w:r w:rsidR="00967034" w:rsidRPr="00CF632A">
        <w:t xml:space="preserve"> a </w:t>
      </w:r>
      <w:r w:rsidR="00277DEE">
        <w:t>2</w:t>
      </w:r>
      <w:r w:rsidR="000C3200" w:rsidRPr="00CF632A">
        <w:t>-by-</w:t>
      </w:r>
      <w:r w:rsidR="00277DEE">
        <w:t>2</w:t>
      </w:r>
      <w:r w:rsidR="00277DEE" w:rsidRPr="00CF632A">
        <w:t xml:space="preserve"> </w:t>
      </w:r>
      <w:r w:rsidR="00967034" w:rsidRPr="00CF632A">
        <w:t xml:space="preserve">factorial </w:t>
      </w:r>
      <w:r w:rsidR="0051142B" w:rsidRPr="00CF632A">
        <w:t xml:space="preserve">part </w:t>
      </w:r>
      <w:r w:rsidR="006C7038" w:rsidRPr="00CF632A">
        <w:t>o</w:t>
      </w:r>
      <w:r w:rsidR="0051142B" w:rsidRPr="00CF632A">
        <w:t>f the trial</w:t>
      </w:r>
      <w:r w:rsidR="00A8038E" w:rsidRPr="00CF632A">
        <w:t xml:space="preserve"> assessing</w:t>
      </w:r>
      <w:r w:rsidR="00374BDB" w:rsidRPr="00CF632A">
        <w:t xml:space="preserve"> </w:t>
      </w:r>
      <w:r w:rsidR="00277DEE">
        <w:t xml:space="preserve">the </w:t>
      </w:r>
      <w:r w:rsidR="00967034" w:rsidRPr="00CF632A">
        <w:t xml:space="preserve">superiority of bevacizumab </w:t>
      </w:r>
      <w:r w:rsidR="0077133F" w:rsidRPr="00CF632A">
        <w:t>plus</w:t>
      </w:r>
      <w:r w:rsidR="00967034" w:rsidRPr="00CF632A">
        <w:t xml:space="preserve"> chemotherapy </w:t>
      </w:r>
      <w:r w:rsidR="000E0844" w:rsidRPr="000E0844">
        <w:t>compared with placebo plus chemotherapy</w:t>
      </w:r>
      <w:r w:rsidR="008312BE">
        <w:t xml:space="preserve">. </w:t>
      </w:r>
      <w:r w:rsidR="00D74CEC">
        <w:t xml:space="preserve">The chemotherapy </w:t>
      </w:r>
      <w:r w:rsidR="006634C1">
        <w:t xml:space="preserve">regimen </w:t>
      </w:r>
      <w:r w:rsidR="00D74CEC">
        <w:t>was</w:t>
      </w:r>
      <w:r w:rsidR="000E0844" w:rsidRPr="000E0844">
        <w:t xml:space="preserve"> </w:t>
      </w:r>
      <w:r w:rsidR="00967034" w:rsidRPr="00CF632A">
        <w:t xml:space="preserve">either FOLFOX-4 </w:t>
      </w:r>
      <w:r w:rsidR="00D74CEC">
        <w:t>(</w:t>
      </w:r>
      <w:r w:rsidR="001520BE">
        <w:t>t</w:t>
      </w:r>
      <w:r w:rsidR="001520BE" w:rsidRPr="00F63607">
        <w:t>hat is, the FOLFOX regimen given every 2 weeks, with 2 long infusions in the first 48 hours</w:t>
      </w:r>
      <w:r w:rsidR="00D74CEC">
        <w:t>)</w:t>
      </w:r>
      <w:r w:rsidR="001520BE" w:rsidRPr="62068577">
        <w:t xml:space="preserve"> </w:t>
      </w:r>
      <w:r w:rsidR="00967034" w:rsidRPr="00CF632A">
        <w:t xml:space="preserve">or CAPOX. </w:t>
      </w:r>
      <w:r w:rsidR="00554483" w:rsidRPr="00CF632A">
        <w:t>In TA212</w:t>
      </w:r>
      <w:r w:rsidR="008A4B98">
        <w:t>,</w:t>
      </w:r>
      <w:r w:rsidR="00096EBA" w:rsidRPr="00CF632A">
        <w:t xml:space="preserve"> the committee concluded it was appropriate to assume CAPOX </w:t>
      </w:r>
      <w:r w:rsidR="00096EBA" w:rsidRPr="00CF632A">
        <w:lastRenderedPageBreak/>
        <w:t xml:space="preserve">and FOLFOX were clinically </w:t>
      </w:r>
      <w:r w:rsidR="0029064A" w:rsidRPr="00CF632A">
        <w:t xml:space="preserve">equivalent and </w:t>
      </w:r>
      <w:r w:rsidR="00761507">
        <w:t xml:space="preserve">that </w:t>
      </w:r>
      <w:r w:rsidR="0029064A" w:rsidRPr="00CF632A">
        <w:t>data from the CAPOX and FOLFOX</w:t>
      </w:r>
      <w:r w:rsidR="00862E6B" w:rsidRPr="00CF632A">
        <w:t xml:space="preserve"> arms could be </w:t>
      </w:r>
      <w:r w:rsidR="005C3862" w:rsidRPr="00CF632A">
        <w:t>combined</w:t>
      </w:r>
      <w:r w:rsidR="00761507">
        <w:t>,</w:t>
      </w:r>
      <w:r w:rsidR="00862E6B" w:rsidRPr="00CF632A">
        <w:t xml:space="preserve"> as could data from the bevacizumab plus CAPOX and </w:t>
      </w:r>
      <w:r w:rsidR="00D118AA" w:rsidRPr="00CF632A">
        <w:t>bevacizumab plus FOLFO</w:t>
      </w:r>
      <w:r w:rsidR="004C5BA8" w:rsidRPr="00CF632A">
        <w:t>X</w:t>
      </w:r>
      <w:r w:rsidR="00D118AA" w:rsidRPr="00CF632A">
        <w:t xml:space="preserve"> arm</w:t>
      </w:r>
      <w:r w:rsidR="00761507">
        <w:t>s</w:t>
      </w:r>
      <w:r w:rsidR="00D118AA" w:rsidRPr="00CF632A">
        <w:t xml:space="preserve">. </w:t>
      </w:r>
      <w:r w:rsidR="00EB5751" w:rsidRPr="00CF632A">
        <w:t>Results</w:t>
      </w:r>
      <w:r w:rsidR="005148D7" w:rsidRPr="00CF632A">
        <w:t xml:space="preserve"> from </w:t>
      </w:r>
      <w:r w:rsidR="006A33A6" w:rsidRPr="00CF632A">
        <w:t>the</w:t>
      </w:r>
      <w:r w:rsidR="005148D7" w:rsidRPr="00CF632A">
        <w:t xml:space="preserve"> 2</w:t>
      </w:r>
      <w:r w:rsidR="00761507">
        <w:t>-by-</w:t>
      </w:r>
      <w:r w:rsidR="005148D7" w:rsidRPr="00CF632A">
        <w:t xml:space="preserve">2 part of the </w:t>
      </w:r>
      <w:r w:rsidR="00D14448">
        <w:t>trial</w:t>
      </w:r>
      <w:r w:rsidR="00D14448" w:rsidRPr="00171077">
        <w:t xml:space="preserve"> </w:t>
      </w:r>
      <w:r w:rsidR="003B12E8">
        <w:t>(</w:t>
      </w:r>
      <w:r w:rsidR="00842192">
        <w:t>secondary pooled analysis</w:t>
      </w:r>
      <w:r w:rsidR="00870128">
        <w:t xml:space="preserve">) </w:t>
      </w:r>
      <w:r w:rsidR="005148D7" w:rsidRPr="00CF632A">
        <w:t xml:space="preserve">showed </w:t>
      </w:r>
      <w:r w:rsidR="00EA2B24" w:rsidRPr="00CF632A">
        <w:t xml:space="preserve">that </w:t>
      </w:r>
      <w:r w:rsidR="00CD586D" w:rsidRPr="00CF632A">
        <w:t>bevacizumab plus</w:t>
      </w:r>
      <w:r w:rsidR="00EA2B24" w:rsidRPr="00CF632A">
        <w:t xml:space="preserve"> chemotherapy (bevacizumab plus CAPOX </w:t>
      </w:r>
      <w:r w:rsidR="00157A5A">
        <w:t>and</w:t>
      </w:r>
      <w:r w:rsidR="00157A5A" w:rsidRPr="00CF632A">
        <w:t xml:space="preserve"> </w:t>
      </w:r>
      <w:r w:rsidR="00EA2B24" w:rsidRPr="00CF632A">
        <w:t xml:space="preserve">bevacizumab plus FOLFOX-4 combined) </w:t>
      </w:r>
      <w:r w:rsidR="00DE4621" w:rsidRPr="00CF632A">
        <w:t xml:space="preserve">significantly </w:t>
      </w:r>
      <w:r w:rsidR="00EA2B24" w:rsidRPr="00CF632A">
        <w:t>improved progression-free survival compared with chemotherapy alone (placebo plus CAPOX</w:t>
      </w:r>
      <w:r w:rsidR="00450FBF" w:rsidRPr="00CF632A">
        <w:t xml:space="preserve"> </w:t>
      </w:r>
      <w:r w:rsidR="00B371F0">
        <w:t>and</w:t>
      </w:r>
      <w:r w:rsidR="00B371F0" w:rsidRPr="00CF632A">
        <w:t xml:space="preserve"> </w:t>
      </w:r>
      <w:r w:rsidR="00EA2B24" w:rsidRPr="00CF632A">
        <w:t>placebo plus FOLFOX-4 combined). For the intention</w:t>
      </w:r>
      <w:r w:rsidR="00B371F0">
        <w:t>-</w:t>
      </w:r>
      <w:r w:rsidR="00EA2B24" w:rsidRPr="00CF632A">
        <w:t>to</w:t>
      </w:r>
      <w:r w:rsidR="00B371F0">
        <w:t>-</w:t>
      </w:r>
      <w:r w:rsidR="00EA2B24" w:rsidRPr="00CF632A">
        <w:t>treat</w:t>
      </w:r>
      <w:r w:rsidR="009F0B53" w:rsidRPr="00CF632A">
        <w:t xml:space="preserve"> population</w:t>
      </w:r>
      <w:r w:rsidR="00EA2B24" w:rsidRPr="00CF632A">
        <w:t xml:space="preserve">, </w:t>
      </w:r>
      <w:r w:rsidR="001B45C6" w:rsidRPr="00CF632A">
        <w:t>median progression-free survival was 9.4</w:t>
      </w:r>
      <w:r w:rsidR="0003624D">
        <w:t> </w:t>
      </w:r>
      <w:r w:rsidR="001B45C6" w:rsidRPr="00CF632A">
        <w:t>months in the bevacizumab plus chemotherapy group, and 8.0 months in the chemotherapy group (a difference of 1.4 months). T</w:t>
      </w:r>
      <w:r w:rsidR="00EA2B24" w:rsidRPr="00CF632A">
        <w:t xml:space="preserve">he hazard ratio for </w:t>
      </w:r>
      <w:r w:rsidDel="00EA2B24">
        <w:t>r</w:t>
      </w:r>
      <w:r w:rsidR="00EA2B24">
        <w:t>emaining</w:t>
      </w:r>
      <w:r w:rsidR="00EA2B24" w:rsidRPr="00CF632A">
        <w:t xml:space="preserve"> free of disease progression</w:t>
      </w:r>
      <w:r w:rsidR="0064032A" w:rsidRPr="00CF632A">
        <w:t xml:space="preserve"> </w:t>
      </w:r>
      <w:r w:rsidR="00EA2B24" w:rsidRPr="00CF632A">
        <w:t>was 0.83</w:t>
      </w:r>
      <w:r w:rsidR="005F7685">
        <w:t>,</w:t>
      </w:r>
      <w:r w:rsidR="00D36110" w:rsidRPr="00CF632A">
        <w:t xml:space="preserve"> and m</w:t>
      </w:r>
      <w:r w:rsidR="00EA2B24" w:rsidRPr="00CF632A">
        <w:t>edian follow</w:t>
      </w:r>
      <w:r w:rsidR="00565280">
        <w:t xml:space="preserve"> </w:t>
      </w:r>
      <w:r w:rsidR="00EA2B24" w:rsidRPr="00CF632A">
        <w:t xml:space="preserve">up </w:t>
      </w:r>
      <w:r w:rsidR="009F0B53" w:rsidRPr="00CF632A">
        <w:t xml:space="preserve">was </w:t>
      </w:r>
      <w:r w:rsidR="00EA2B24" w:rsidRPr="00CF632A">
        <w:t xml:space="preserve">28 </w:t>
      </w:r>
      <w:r w:rsidR="00EA2B24" w:rsidRPr="007263D4">
        <w:rPr>
          <w:color w:val="000000" w:themeColor="text1"/>
        </w:rPr>
        <w:t>months</w:t>
      </w:r>
      <w:r w:rsidR="001B45C6" w:rsidRPr="007263D4">
        <w:rPr>
          <w:color w:val="000000" w:themeColor="text1"/>
        </w:rPr>
        <w:t xml:space="preserve">. </w:t>
      </w:r>
      <w:r w:rsidR="00DA3B71" w:rsidRPr="00CF632A">
        <w:t>B</w:t>
      </w:r>
      <w:r w:rsidR="00A542BC" w:rsidRPr="00CF632A">
        <w:t xml:space="preserve">evacizumab </w:t>
      </w:r>
      <w:r w:rsidR="00DA3B71" w:rsidRPr="00CF632A">
        <w:t>plus</w:t>
      </w:r>
      <w:r w:rsidR="00A542BC" w:rsidRPr="00CF632A">
        <w:t xml:space="preserve"> chemotherapy </w:t>
      </w:r>
      <w:r w:rsidR="003F6765" w:rsidRPr="00CF632A">
        <w:t xml:space="preserve">also improved overall survival </w:t>
      </w:r>
      <w:r w:rsidR="00A542BC" w:rsidRPr="00CF632A">
        <w:t>compared with chemotherapy alone</w:t>
      </w:r>
      <w:r w:rsidR="003F4388">
        <w:t xml:space="preserve">. </w:t>
      </w:r>
      <w:r w:rsidR="00181569" w:rsidRPr="00CF632A">
        <w:t>For the intention</w:t>
      </w:r>
      <w:r w:rsidR="00565280">
        <w:t>-</w:t>
      </w:r>
      <w:r w:rsidR="00181569" w:rsidRPr="00CF632A">
        <w:t>to</w:t>
      </w:r>
      <w:r w:rsidR="00565280">
        <w:t>-</w:t>
      </w:r>
      <w:r w:rsidR="00181569" w:rsidRPr="00CF632A">
        <w:t>treat</w:t>
      </w:r>
      <w:r w:rsidR="003154CB" w:rsidRPr="00CF632A">
        <w:t xml:space="preserve"> population</w:t>
      </w:r>
      <w:r w:rsidR="00181569" w:rsidRPr="00CF632A">
        <w:t xml:space="preserve">, median overall survival was </w:t>
      </w:r>
      <w:r w:rsidR="001C313F" w:rsidRPr="00CF632A">
        <w:t>21.3</w:t>
      </w:r>
      <w:r w:rsidR="00C10FFF">
        <w:t> </w:t>
      </w:r>
      <w:r w:rsidR="00181569" w:rsidRPr="00CF632A">
        <w:t xml:space="preserve">months in the bevacizumab plus chemotherapy group, and </w:t>
      </w:r>
      <w:r w:rsidR="001C313F" w:rsidRPr="00CF632A">
        <w:t>19.9</w:t>
      </w:r>
      <w:r w:rsidR="00C10FFF">
        <w:t> </w:t>
      </w:r>
      <w:r w:rsidR="00181569" w:rsidRPr="00CF632A">
        <w:t xml:space="preserve">months in the chemotherapy group (a difference of 1.4 months). The hazard ratio </w:t>
      </w:r>
      <w:r w:rsidR="001943C4" w:rsidRPr="00CF632A">
        <w:t>for death</w:t>
      </w:r>
      <w:r w:rsidR="00181569" w:rsidRPr="00CF632A">
        <w:t xml:space="preserve"> was 0.8</w:t>
      </w:r>
      <w:r w:rsidR="001943C4" w:rsidRPr="00CF632A">
        <w:t>9</w:t>
      </w:r>
      <w:r w:rsidR="000F775A" w:rsidRPr="00CF632A">
        <w:t xml:space="preserve"> at a</w:t>
      </w:r>
      <w:r w:rsidR="00181569" w:rsidRPr="00CF632A">
        <w:t xml:space="preserve"> </w:t>
      </w:r>
      <w:r w:rsidR="000F775A" w:rsidRPr="00CF632A">
        <w:t>m</w:t>
      </w:r>
      <w:r w:rsidR="00181569" w:rsidRPr="00CF632A">
        <w:t>edian follow</w:t>
      </w:r>
      <w:r w:rsidR="00565280">
        <w:t xml:space="preserve"> </w:t>
      </w:r>
      <w:r w:rsidR="00181569" w:rsidRPr="00CF632A">
        <w:t>up of 28</w:t>
      </w:r>
      <w:r w:rsidR="00C10FFF">
        <w:t> </w:t>
      </w:r>
      <w:r w:rsidR="00181569" w:rsidRPr="00CF632A">
        <w:t xml:space="preserve">months. </w:t>
      </w:r>
      <w:r w:rsidR="00D369EA" w:rsidRPr="007263D4">
        <w:rPr>
          <w:color w:val="000000" w:themeColor="text1"/>
        </w:rPr>
        <w:t>Excluding data from people</w:t>
      </w:r>
      <w:r w:rsidR="005C3862" w:rsidRPr="007263D4">
        <w:rPr>
          <w:color w:val="000000" w:themeColor="text1"/>
        </w:rPr>
        <w:t xml:space="preserve"> in the trial</w:t>
      </w:r>
      <w:r w:rsidR="00D369EA" w:rsidRPr="007263D4">
        <w:rPr>
          <w:color w:val="000000" w:themeColor="text1"/>
        </w:rPr>
        <w:t xml:space="preserve"> who had prior adjuvant therapy (</w:t>
      </w:r>
      <w:r w:rsidR="006C771A">
        <w:rPr>
          <w:color w:val="000000" w:themeColor="text1"/>
        </w:rPr>
        <w:t xml:space="preserve">the </w:t>
      </w:r>
      <w:r w:rsidR="00D369EA" w:rsidRPr="007263D4">
        <w:rPr>
          <w:color w:val="000000" w:themeColor="text1"/>
        </w:rPr>
        <w:t xml:space="preserve">committee’s preference in </w:t>
      </w:r>
      <w:r w:rsidR="006C771A" w:rsidRPr="00B10E55">
        <w:t>TA212</w:t>
      </w:r>
      <w:r w:rsidR="00F17B78">
        <w:t>, which was</w:t>
      </w:r>
      <w:r w:rsidR="00D369EA" w:rsidRPr="00B10E55">
        <w:t xml:space="preserve"> </w:t>
      </w:r>
      <w:r w:rsidR="00D369EA" w:rsidRPr="007263D4">
        <w:rPr>
          <w:color w:val="000000" w:themeColor="text1"/>
        </w:rPr>
        <w:t xml:space="preserve">used in the EAG’s model for the current </w:t>
      </w:r>
      <w:r w:rsidR="00F17B78">
        <w:rPr>
          <w:color w:val="000000" w:themeColor="text1"/>
        </w:rPr>
        <w:t>evaluation</w:t>
      </w:r>
      <w:r w:rsidR="00D369EA" w:rsidRPr="007263D4">
        <w:rPr>
          <w:color w:val="000000" w:themeColor="text1"/>
        </w:rPr>
        <w:t>) decreased the hazard ratio for progression-free survival and overall survival.</w:t>
      </w:r>
      <w:r w:rsidR="007263D4">
        <w:br/>
      </w:r>
      <w:r w:rsidR="007263D4">
        <w:br/>
      </w:r>
      <w:r w:rsidR="00B846E9" w:rsidRPr="00CF632A">
        <w:t>Study AVF2107g was a multicentre, international</w:t>
      </w:r>
      <w:r w:rsidR="004F41EC">
        <w:t>,</w:t>
      </w:r>
      <w:r w:rsidR="00B846E9" w:rsidRPr="00CF632A">
        <w:t xml:space="preserve"> </w:t>
      </w:r>
      <w:r w:rsidR="004F41EC">
        <w:t>p</w:t>
      </w:r>
      <w:r w:rsidR="00B846E9" w:rsidRPr="00CF632A">
        <w:t xml:space="preserve">hase 3 </w:t>
      </w:r>
      <w:r w:rsidR="00986407" w:rsidRPr="00CF632A">
        <w:t>randomised controlled trial</w:t>
      </w:r>
      <w:r w:rsidR="00B846E9" w:rsidRPr="00CF632A">
        <w:t xml:space="preserve"> comparing first-line bevacizumab plus FOLFIRI compared with </w:t>
      </w:r>
      <w:r w:rsidR="00E27F95">
        <w:t xml:space="preserve">placebo plus </w:t>
      </w:r>
      <w:r w:rsidR="00B846E9" w:rsidRPr="00CF632A">
        <w:t xml:space="preserve">FOLFIRI. </w:t>
      </w:r>
      <w:r w:rsidR="005C3862" w:rsidRPr="00CF632A">
        <w:t>B</w:t>
      </w:r>
      <w:r w:rsidR="00E9440C" w:rsidRPr="00CF632A">
        <w:t>evacizumab</w:t>
      </w:r>
      <w:r w:rsidR="007B0401" w:rsidRPr="00CF632A">
        <w:t xml:space="preserve"> plus FOLFIRI</w:t>
      </w:r>
      <w:r w:rsidR="00E9440C" w:rsidRPr="00CF632A">
        <w:t xml:space="preserve"> improved progression-free survival compared with </w:t>
      </w:r>
      <w:r w:rsidR="007D407E">
        <w:t xml:space="preserve">placebo plus </w:t>
      </w:r>
      <w:r w:rsidR="007B0401" w:rsidRPr="00CF632A">
        <w:t>FOLFIRI</w:t>
      </w:r>
      <w:r w:rsidR="00E9440C" w:rsidRPr="00CF632A">
        <w:t xml:space="preserve">. </w:t>
      </w:r>
      <w:r w:rsidR="007B0401" w:rsidRPr="00CF632A">
        <w:t>M</w:t>
      </w:r>
      <w:r w:rsidR="00E9440C" w:rsidRPr="00CF632A">
        <w:t xml:space="preserve">edian progression-free survival was </w:t>
      </w:r>
      <w:r w:rsidR="002975A9" w:rsidRPr="00CF632A">
        <w:t>10.6</w:t>
      </w:r>
      <w:r w:rsidR="00E9440C" w:rsidRPr="00CF632A">
        <w:t xml:space="preserve"> months in the bevacizumab plus </w:t>
      </w:r>
      <w:r w:rsidR="002975A9" w:rsidRPr="00CF632A">
        <w:t xml:space="preserve">FOLFIRI </w:t>
      </w:r>
      <w:r w:rsidR="00E9440C" w:rsidRPr="00CF632A">
        <w:t xml:space="preserve">group, and </w:t>
      </w:r>
      <w:r w:rsidR="002975A9" w:rsidRPr="00CF632A">
        <w:t>6.2</w:t>
      </w:r>
      <w:r w:rsidR="00E9440C" w:rsidRPr="00CF632A">
        <w:t xml:space="preserve"> months in the </w:t>
      </w:r>
      <w:r w:rsidR="007D407E">
        <w:t xml:space="preserve">placebo plus </w:t>
      </w:r>
      <w:r w:rsidR="002975A9" w:rsidRPr="00CF632A">
        <w:t>FOLFIRI group</w:t>
      </w:r>
      <w:r w:rsidR="00E9440C" w:rsidRPr="00CF632A">
        <w:t xml:space="preserve"> (a difference of </w:t>
      </w:r>
      <w:r w:rsidR="002975A9" w:rsidRPr="00CF632A">
        <w:t>4.4</w:t>
      </w:r>
      <w:r w:rsidR="00E9440C" w:rsidRPr="00CF632A">
        <w:t xml:space="preserve"> months). The hazard ratio for remaining free of disease progression was 0.</w:t>
      </w:r>
      <w:r w:rsidR="007B487F" w:rsidRPr="00CF632A">
        <w:t>54</w:t>
      </w:r>
      <w:r w:rsidR="00E9440C" w:rsidRPr="00CF632A">
        <w:t xml:space="preserve">. </w:t>
      </w:r>
      <w:r w:rsidR="00FC59AE" w:rsidRPr="00CF632A">
        <w:t>M</w:t>
      </w:r>
      <w:r w:rsidR="00FC6BF7" w:rsidRPr="00CF632A">
        <w:t xml:space="preserve">edian </w:t>
      </w:r>
      <w:r w:rsidR="00FC59AE" w:rsidRPr="00CF632A">
        <w:t xml:space="preserve">overall survival was </w:t>
      </w:r>
      <w:r w:rsidR="00FC6BF7" w:rsidRPr="00CF632A">
        <w:t>20.3</w:t>
      </w:r>
      <w:r w:rsidR="00A15B8A">
        <w:t> </w:t>
      </w:r>
      <w:r w:rsidR="00FC6BF7" w:rsidRPr="00CF632A">
        <w:t>months for</w:t>
      </w:r>
      <w:r w:rsidR="00FC59AE" w:rsidRPr="00CF632A">
        <w:t xml:space="preserve"> bevacizumab plus</w:t>
      </w:r>
      <w:r w:rsidR="00FC6BF7" w:rsidRPr="00CF632A">
        <w:t xml:space="preserve"> FOLFIRI and </w:t>
      </w:r>
      <w:r w:rsidR="00FC6BF7" w:rsidRPr="00CF632A">
        <w:lastRenderedPageBreak/>
        <w:t>15.6</w:t>
      </w:r>
      <w:r w:rsidR="006C4B35">
        <w:t> </w:t>
      </w:r>
      <w:r w:rsidR="00FC6BF7" w:rsidRPr="00CF632A">
        <w:t xml:space="preserve">months for </w:t>
      </w:r>
      <w:r w:rsidR="007D407E">
        <w:t xml:space="preserve">placebo plus </w:t>
      </w:r>
      <w:r w:rsidR="00FC6BF7" w:rsidRPr="00CF632A">
        <w:t xml:space="preserve">FOLFIRI </w:t>
      </w:r>
      <w:r w:rsidR="00862D15" w:rsidRPr="00CF632A">
        <w:t>(</w:t>
      </w:r>
      <w:r w:rsidR="00FC6BF7" w:rsidRPr="00CF632A">
        <w:t xml:space="preserve">improving median </w:t>
      </w:r>
      <w:r w:rsidR="00FC59AE" w:rsidRPr="00CF632A">
        <w:t>overall survival</w:t>
      </w:r>
      <w:r w:rsidR="00FC6BF7" w:rsidRPr="00CF632A">
        <w:t xml:space="preserve"> by 4.7</w:t>
      </w:r>
      <w:r w:rsidR="005C6714">
        <w:t> </w:t>
      </w:r>
      <w:r w:rsidR="00FC6BF7" w:rsidRPr="00CF632A">
        <w:t>months</w:t>
      </w:r>
      <w:r w:rsidR="00862D15" w:rsidRPr="00CF632A">
        <w:t>)</w:t>
      </w:r>
      <w:r w:rsidR="006D570D" w:rsidRPr="00CF632A">
        <w:t xml:space="preserve">. The hazard ratio </w:t>
      </w:r>
      <w:r w:rsidR="3989E1D5">
        <w:t xml:space="preserve">for death </w:t>
      </w:r>
      <w:r w:rsidR="006D570D">
        <w:t>was</w:t>
      </w:r>
      <w:r w:rsidR="00FC6BF7">
        <w:t xml:space="preserve"> 0.66</w:t>
      </w:r>
      <w:r w:rsidR="006D570D">
        <w:t>.</w:t>
      </w:r>
      <w:r w:rsidR="00FC6BF7" w:rsidRPr="00CF632A">
        <w:t xml:space="preserve"> </w:t>
      </w:r>
      <w:r w:rsidR="00460BCD" w:rsidRPr="00CF632A">
        <w:t xml:space="preserve">The committee concluded that bevacizumab plus </w:t>
      </w:r>
      <w:r w:rsidR="006E6761">
        <w:t>FOLFOX, CAPOX or FOLFIRI</w:t>
      </w:r>
      <w:r w:rsidR="00820EE8">
        <w:t xml:space="preserve"> </w:t>
      </w:r>
      <w:r w:rsidR="00460BCD" w:rsidRPr="00CF632A">
        <w:t>offered better overall and progression-free survival than chemotherapy alone</w:t>
      </w:r>
      <w:r w:rsidR="001A29D7" w:rsidRPr="00CF632A">
        <w:t>.</w:t>
      </w:r>
    </w:p>
    <w:p w14:paraId="1209B4C6" w14:textId="7D808FD9" w:rsidR="00520BCD" w:rsidRPr="00CF632A" w:rsidRDefault="00520BCD" w:rsidP="00111001">
      <w:pPr>
        <w:pStyle w:val="Heading3"/>
        <w:tabs>
          <w:tab w:val="left" w:pos="4844"/>
        </w:tabs>
      </w:pPr>
      <w:bookmarkStart w:id="16" w:name="_Second-line_clinical_effectiveness"/>
      <w:bookmarkStart w:id="17" w:name="_Ref200532355"/>
      <w:bookmarkStart w:id="18" w:name="_Toc208237456"/>
      <w:bookmarkEnd w:id="16"/>
      <w:r w:rsidRPr="00CF632A">
        <w:t>S</w:t>
      </w:r>
      <w:r w:rsidR="00457E44" w:rsidRPr="00CF632A">
        <w:t xml:space="preserve">econd-line </w:t>
      </w:r>
      <w:r w:rsidR="00366754" w:rsidRPr="00CF632A">
        <w:t>clinical effectiveness</w:t>
      </w:r>
      <w:r w:rsidRPr="00CF632A">
        <w:t xml:space="preserve"> </w:t>
      </w:r>
      <w:bookmarkEnd w:id="17"/>
      <w:bookmarkEnd w:id="18"/>
      <w:r w:rsidR="00111001" w:rsidRPr="00CF632A">
        <w:tab/>
      </w:r>
    </w:p>
    <w:p w14:paraId="330F5487" w14:textId="2DBDB849" w:rsidR="008017A4" w:rsidRPr="00BF2A95" w:rsidRDefault="00F65FCF" w:rsidP="002B2684">
      <w:pPr>
        <w:pStyle w:val="Numberedlevel2text"/>
        <w:rPr>
          <w:lang w:val="en-GB"/>
        </w:rPr>
      </w:pPr>
      <w:r w:rsidRPr="00BF2A95">
        <w:rPr>
          <w:lang w:val="en-GB"/>
        </w:rPr>
        <w:t>The</w:t>
      </w:r>
      <w:r w:rsidR="00566868" w:rsidRPr="00BF2A95">
        <w:rPr>
          <w:lang w:val="en-GB"/>
        </w:rPr>
        <w:t xml:space="preserve"> EAG identified </w:t>
      </w:r>
      <w:r w:rsidRPr="00BF2A95">
        <w:rPr>
          <w:lang w:val="en-GB"/>
        </w:rPr>
        <w:t>Study E3200</w:t>
      </w:r>
      <w:r w:rsidR="00C03B6E">
        <w:rPr>
          <w:lang w:val="en-GB"/>
        </w:rPr>
        <w:t>, which was</w:t>
      </w:r>
      <w:r w:rsidR="00334B28" w:rsidRPr="00BF2A95">
        <w:rPr>
          <w:lang w:val="en-GB"/>
        </w:rPr>
        <w:t xml:space="preserve"> </w:t>
      </w:r>
      <w:r w:rsidR="00307896" w:rsidRPr="00BF2A95">
        <w:rPr>
          <w:lang w:val="en-GB"/>
        </w:rPr>
        <w:t xml:space="preserve">the only clinical evidence informing the effectiveness of bevacizumab plus FOLFOX and FOLFOX alone </w:t>
      </w:r>
      <w:r w:rsidR="702C942F" w:rsidRPr="0A19846F">
        <w:rPr>
          <w:lang w:val="en-GB"/>
        </w:rPr>
        <w:t xml:space="preserve">for </w:t>
      </w:r>
      <w:r w:rsidR="702C942F" w:rsidRPr="629AC6F3">
        <w:rPr>
          <w:lang w:val="en-GB"/>
        </w:rPr>
        <w:t xml:space="preserve">second-line </w:t>
      </w:r>
      <w:r w:rsidR="702C942F" w:rsidRPr="6BE6245F">
        <w:rPr>
          <w:lang w:val="en-GB"/>
        </w:rPr>
        <w:t>treatment</w:t>
      </w:r>
      <w:r w:rsidR="702C942F" w:rsidRPr="629AC6F3">
        <w:rPr>
          <w:lang w:val="en-GB"/>
        </w:rPr>
        <w:t xml:space="preserve"> of mCRC</w:t>
      </w:r>
      <w:r w:rsidR="00307896" w:rsidRPr="62068577">
        <w:rPr>
          <w:lang w:val="en-GB"/>
        </w:rPr>
        <w:t xml:space="preserve"> </w:t>
      </w:r>
      <w:r w:rsidR="00307896" w:rsidRPr="00BF2A95">
        <w:rPr>
          <w:lang w:val="en-GB"/>
        </w:rPr>
        <w:t xml:space="preserve">in </w:t>
      </w:r>
      <w:hyperlink r:id="rId30">
        <w:r w:rsidR="00307896" w:rsidRPr="00BF2A95">
          <w:rPr>
            <w:rStyle w:val="Hyperlink"/>
            <w:lang w:val="en-GB"/>
          </w:rPr>
          <w:t>TA212</w:t>
        </w:r>
      </w:hyperlink>
      <w:r w:rsidR="007C756B" w:rsidRPr="00BF2A95">
        <w:rPr>
          <w:lang w:val="en-GB"/>
        </w:rPr>
        <w:t>.</w:t>
      </w:r>
      <w:r w:rsidR="00B7191B" w:rsidRPr="00BF2A95">
        <w:rPr>
          <w:lang w:val="en-GB"/>
        </w:rPr>
        <w:t xml:space="preserve"> </w:t>
      </w:r>
      <w:r w:rsidR="007C756B" w:rsidRPr="00BF2A95">
        <w:rPr>
          <w:lang w:val="en-GB"/>
        </w:rPr>
        <w:t>It also</w:t>
      </w:r>
      <w:r w:rsidR="00FA28D6" w:rsidRPr="00BF2A95">
        <w:rPr>
          <w:lang w:val="en-GB"/>
        </w:rPr>
        <w:t xml:space="preserve"> </w:t>
      </w:r>
      <w:r w:rsidRPr="00BF2A95">
        <w:rPr>
          <w:lang w:val="en-GB"/>
        </w:rPr>
        <w:t>identified</w:t>
      </w:r>
      <w:r w:rsidR="00FA28D6" w:rsidRPr="00BF2A95">
        <w:rPr>
          <w:lang w:val="en-GB"/>
        </w:rPr>
        <w:t xml:space="preserve"> </w:t>
      </w:r>
      <w:r w:rsidR="007C756B" w:rsidRPr="00BF2A95">
        <w:rPr>
          <w:lang w:val="en-GB"/>
        </w:rPr>
        <w:t xml:space="preserve">a </w:t>
      </w:r>
      <w:r w:rsidRPr="00BF2A95">
        <w:rPr>
          <w:lang w:val="en-GB"/>
        </w:rPr>
        <w:t>meta-analysis</w:t>
      </w:r>
      <w:r w:rsidR="00E318DD" w:rsidRPr="00BF2A95">
        <w:rPr>
          <w:lang w:val="en-GB"/>
        </w:rPr>
        <w:t xml:space="preserve"> </w:t>
      </w:r>
      <w:r w:rsidRPr="00BF2A95">
        <w:rPr>
          <w:lang w:val="en-GB"/>
        </w:rPr>
        <w:t xml:space="preserve">by </w:t>
      </w:r>
      <w:hyperlink r:id="rId31">
        <w:proofErr w:type="spellStart"/>
        <w:r w:rsidRPr="00BF2A95">
          <w:rPr>
            <w:rStyle w:val="Hyperlink"/>
            <w:lang w:val="en-GB"/>
          </w:rPr>
          <w:t>Mocellin</w:t>
        </w:r>
        <w:proofErr w:type="spellEnd"/>
        <w:r w:rsidRPr="00BF2A95">
          <w:rPr>
            <w:rStyle w:val="Hyperlink"/>
            <w:lang w:val="en-GB"/>
          </w:rPr>
          <w:t xml:space="preserve"> </w:t>
        </w:r>
        <w:r w:rsidRPr="002B2684">
          <w:rPr>
            <w:rStyle w:val="Hyperlink"/>
            <w:lang w:val="en-GB"/>
          </w:rPr>
          <w:t>et al</w:t>
        </w:r>
        <w:r w:rsidRPr="00BF2A95">
          <w:rPr>
            <w:rStyle w:val="Hyperlink"/>
            <w:lang w:val="en-GB"/>
          </w:rPr>
          <w:t>.</w:t>
        </w:r>
        <w:r w:rsidR="00F35052" w:rsidRPr="00BF2A95">
          <w:rPr>
            <w:rStyle w:val="Hyperlink"/>
            <w:lang w:val="en-GB"/>
          </w:rPr>
          <w:t xml:space="preserve"> (2017)</w:t>
        </w:r>
      </w:hyperlink>
      <w:r w:rsidRPr="00BF2A95">
        <w:rPr>
          <w:lang w:val="en-GB"/>
        </w:rPr>
        <w:t xml:space="preserve">. </w:t>
      </w:r>
      <w:r w:rsidR="00913693" w:rsidRPr="00BF2A95">
        <w:rPr>
          <w:lang w:val="en-GB"/>
        </w:rPr>
        <w:t xml:space="preserve">The EAG did not identify any previous NICE technology appraisals or relevant clinical studies for the UK population evaluating bevacizumab </w:t>
      </w:r>
      <w:r w:rsidR="00252576" w:rsidRPr="00BF2A95">
        <w:rPr>
          <w:lang w:val="en-GB"/>
        </w:rPr>
        <w:t>plus</w:t>
      </w:r>
      <w:r w:rsidR="00913693" w:rsidRPr="00BF2A95">
        <w:rPr>
          <w:lang w:val="en-GB"/>
        </w:rPr>
        <w:t xml:space="preserve"> FOLFIRI </w:t>
      </w:r>
      <w:r w:rsidR="00B43A53">
        <w:rPr>
          <w:lang w:val="en-GB"/>
        </w:rPr>
        <w:t>compared with</w:t>
      </w:r>
      <w:r w:rsidR="00B43A53" w:rsidRPr="00171077">
        <w:rPr>
          <w:lang w:val="en-GB"/>
        </w:rPr>
        <w:t xml:space="preserve"> </w:t>
      </w:r>
      <w:r w:rsidR="00913693" w:rsidRPr="00BF2A95">
        <w:rPr>
          <w:lang w:val="en-GB"/>
        </w:rPr>
        <w:t>FOLFIRI alone for the second-line treatment of mCRC.</w:t>
      </w:r>
      <w:r w:rsidR="00BF2A95">
        <w:br/>
      </w:r>
      <w:r w:rsidR="00BF2A95">
        <w:br/>
      </w:r>
      <w:r w:rsidR="00CC2734" w:rsidRPr="62068577">
        <w:rPr>
          <w:lang w:val="en-GB"/>
        </w:rPr>
        <w:t>Study E3200</w:t>
      </w:r>
      <w:r w:rsidR="002F1BFE" w:rsidRPr="62068577">
        <w:rPr>
          <w:b/>
          <w:lang w:val="en-GB"/>
        </w:rPr>
        <w:t xml:space="preserve"> </w:t>
      </w:r>
      <w:r w:rsidR="00CC2734" w:rsidRPr="62068577">
        <w:rPr>
          <w:lang w:val="en-GB"/>
        </w:rPr>
        <w:t xml:space="preserve">was a </w:t>
      </w:r>
      <w:r w:rsidR="00CE248C" w:rsidRPr="62068577">
        <w:rPr>
          <w:lang w:val="en-GB"/>
        </w:rPr>
        <w:t>phase</w:t>
      </w:r>
      <w:r w:rsidR="00662060" w:rsidRPr="62068577">
        <w:rPr>
          <w:lang w:val="en-GB"/>
        </w:rPr>
        <w:t xml:space="preserve"> 3, </w:t>
      </w:r>
      <w:r w:rsidR="00CC2734" w:rsidRPr="62068577">
        <w:rPr>
          <w:lang w:val="en-GB"/>
        </w:rPr>
        <w:t xml:space="preserve">multicentre, </w:t>
      </w:r>
      <w:r w:rsidR="00662060" w:rsidRPr="62068577">
        <w:rPr>
          <w:lang w:val="en-GB"/>
        </w:rPr>
        <w:t>3-arm, randomised</w:t>
      </w:r>
      <w:r w:rsidR="00790867" w:rsidRPr="62068577">
        <w:rPr>
          <w:lang w:val="en-GB"/>
        </w:rPr>
        <w:t>,</w:t>
      </w:r>
      <w:r w:rsidR="00662060" w:rsidRPr="62068577">
        <w:rPr>
          <w:lang w:val="en-GB"/>
        </w:rPr>
        <w:t xml:space="preserve"> </w:t>
      </w:r>
      <w:r w:rsidR="00CC2734" w:rsidRPr="62068577">
        <w:rPr>
          <w:lang w:val="en-GB"/>
        </w:rPr>
        <w:t>open-label</w:t>
      </w:r>
      <w:r w:rsidR="00662060" w:rsidRPr="62068577">
        <w:rPr>
          <w:lang w:val="en-GB"/>
        </w:rPr>
        <w:t xml:space="preserve"> study. </w:t>
      </w:r>
      <w:r w:rsidR="006E7076" w:rsidRPr="62068577">
        <w:rPr>
          <w:lang w:val="en-GB"/>
        </w:rPr>
        <w:t xml:space="preserve">It compared </w:t>
      </w:r>
      <w:r w:rsidR="00252576" w:rsidRPr="62068577">
        <w:rPr>
          <w:lang w:val="en-GB"/>
        </w:rPr>
        <w:t xml:space="preserve">bevacizumab plus </w:t>
      </w:r>
      <w:r w:rsidR="006E7076" w:rsidRPr="62068577">
        <w:rPr>
          <w:lang w:val="en-GB"/>
        </w:rPr>
        <w:t>FOLFOX-4, FOLFOX-4</w:t>
      </w:r>
      <w:r w:rsidR="19CB2C9F" w:rsidRPr="4151F651">
        <w:rPr>
          <w:lang w:val="en-GB"/>
        </w:rPr>
        <w:t xml:space="preserve"> </w:t>
      </w:r>
      <w:r w:rsidR="19CB2C9F" w:rsidRPr="36168763">
        <w:rPr>
          <w:lang w:val="en-GB"/>
        </w:rPr>
        <w:t>alone</w:t>
      </w:r>
      <w:r w:rsidR="006E7076" w:rsidRPr="62068577">
        <w:rPr>
          <w:lang w:val="en-GB"/>
        </w:rPr>
        <w:t xml:space="preserve">, and bevacizumab alone in </w:t>
      </w:r>
      <w:r w:rsidR="00252576" w:rsidRPr="62068577">
        <w:rPr>
          <w:lang w:val="en-GB"/>
        </w:rPr>
        <w:t>adults</w:t>
      </w:r>
      <w:r w:rsidR="006E7076" w:rsidRPr="62068577">
        <w:rPr>
          <w:lang w:val="en-GB"/>
        </w:rPr>
        <w:t xml:space="preserve"> with advanced or mCRC </w:t>
      </w:r>
      <w:r w:rsidR="0031415F" w:rsidRPr="62068577">
        <w:rPr>
          <w:lang w:val="en-GB"/>
        </w:rPr>
        <w:t xml:space="preserve">that had been </w:t>
      </w:r>
      <w:r w:rsidR="006E7076" w:rsidRPr="62068577">
        <w:rPr>
          <w:lang w:val="en-GB"/>
        </w:rPr>
        <w:t>treated with a fluoropyrimidine and irinotecan, either separately or in combination.</w:t>
      </w:r>
      <w:r w:rsidR="005C4F3B" w:rsidRPr="62068577">
        <w:rPr>
          <w:lang w:val="en-GB"/>
        </w:rPr>
        <w:t xml:space="preserve"> T</w:t>
      </w:r>
      <w:r w:rsidR="00F81A90" w:rsidRPr="62068577">
        <w:rPr>
          <w:lang w:val="en-GB"/>
        </w:rPr>
        <w:t>he bevacizumab-alone arm was</w:t>
      </w:r>
      <w:r w:rsidR="005C4F3B" w:rsidRPr="62068577">
        <w:rPr>
          <w:lang w:val="en-GB"/>
        </w:rPr>
        <w:t xml:space="preserve"> </w:t>
      </w:r>
      <w:r w:rsidR="00E07F1C" w:rsidRPr="62068577">
        <w:rPr>
          <w:lang w:val="en-GB"/>
        </w:rPr>
        <w:t xml:space="preserve">stopped </w:t>
      </w:r>
      <w:r w:rsidR="0031415F" w:rsidRPr="62068577">
        <w:rPr>
          <w:lang w:val="en-GB"/>
        </w:rPr>
        <w:t>early because of</w:t>
      </w:r>
      <w:r w:rsidR="00F81A90" w:rsidRPr="62068577">
        <w:rPr>
          <w:lang w:val="en-GB"/>
        </w:rPr>
        <w:t xml:space="preserve"> poor</w:t>
      </w:r>
      <w:r w:rsidR="00A652B9" w:rsidRPr="62068577">
        <w:rPr>
          <w:lang w:val="en-GB"/>
        </w:rPr>
        <w:t xml:space="preserve"> </w:t>
      </w:r>
      <w:r w:rsidR="00F81A90" w:rsidRPr="62068577">
        <w:rPr>
          <w:lang w:val="en-GB"/>
        </w:rPr>
        <w:t xml:space="preserve">efficacy. </w:t>
      </w:r>
      <w:r w:rsidR="000E3EC2" w:rsidRPr="62068577">
        <w:rPr>
          <w:lang w:val="en-GB"/>
        </w:rPr>
        <w:t>The primary endpoint was overall survival, with additional determinations of progression-free survival, response, and toxicity.</w:t>
      </w:r>
      <w:r w:rsidR="00F81A90" w:rsidRPr="62068577">
        <w:rPr>
          <w:lang w:val="en-GB"/>
        </w:rPr>
        <w:t xml:space="preserve"> </w:t>
      </w:r>
      <w:r w:rsidR="00C04989" w:rsidRPr="00BF2A95">
        <w:rPr>
          <w:lang w:val="en-GB"/>
        </w:rPr>
        <w:t xml:space="preserve">Median </w:t>
      </w:r>
      <w:r w:rsidR="00366029" w:rsidRPr="00BF2A95">
        <w:rPr>
          <w:lang w:val="en-GB"/>
        </w:rPr>
        <w:t>progression-free survival</w:t>
      </w:r>
      <w:r w:rsidR="00C04989" w:rsidRPr="00BF2A95">
        <w:rPr>
          <w:lang w:val="en-GB"/>
        </w:rPr>
        <w:t xml:space="preserve"> was </w:t>
      </w:r>
      <w:r w:rsidR="00887946" w:rsidRPr="00BF2A95">
        <w:rPr>
          <w:lang w:val="en-GB"/>
        </w:rPr>
        <w:t>7.3</w:t>
      </w:r>
      <w:r w:rsidR="00C04989" w:rsidRPr="00BF2A95">
        <w:rPr>
          <w:lang w:val="en-GB"/>
        </w:rPr>
        <w:t xml:space="preserve"> months in the bevacizumab plus </w:t>
      </w:r>
      <w:r w:rsidR="00887946" w:rsidRPr="00BF2A95">
        <w:rPr>
          <w:lang w:val="en-GB"/>
        </w:rPr>
        <w:t xml:space="preserve">FOLFOX </w:t>
      </w:r>
      <w:r w:rsidR="00C04989" w:rsidRPr="00BF2A95">
        <w:rPr>
          <w:lang w:val="en-GB"/>
        </w:rPr>
        <w:t xml:space="preserve">group, and </w:t>
      </w:r>
      <w:r w:rsidR="00887946" w:rsidRPr="00BF2A95">
        <w:rPr>
          <w:lang w:val="en-GB"/>
        </w:rPr>
        <w:t>4.7</w:t>
      </w:r>
      <w:r w:rsidR="00C04989" w:rsidRPr="00BF2A95">
        <w:rPr>
          <w:lang w:val="en-GB"/>
        </w:rPr>
        <w:t xml:space="preserve"> months in the </w:t>
      </w:r>
      <w:r w:rsidR="00887946" w:rsidRPr="00BF2A95">
        <w:rPr>
          <w:lang w:val="en-GB"/>
        </w:rPr>
        <w:t>FOLFOX</w:t>
      </w:r>
      <w:r w:rsidR="00366029" w:rsidRPr="00BF2A95">
        <w:rPr>
          <w:lang w:val="en-GB"/>
        </w:rPr>
        <w:t xml:space="preserve"> </w:t>
      </w:r>
      <w:r w:rsidR="00092168" w:rsidRPr="00BF2A95">
        <w:rPr>
          <w:lang w:val="en-GB"/>
        </w:rPr>
        <w:t xml:space="preserve">alone </w:t>
      </w:r>
      <w:r w:rsidR="00366029" w:rsidRPr="00BF2A95">
        <w:rPr>
          <w:lang w:val="en-GB"/>
        </w:rPr>
        <w:t>group</w:t>
      </w:r>
      <w:r w:rsidR="00213B33" w:rsidRPr="00BF2A95">
        <w:rPr>
          <w:lang w:val="en-GB"/>
        </w:rPr>
        <w:t xml:space="preserve"> </w:t>
      </w:r>
      <w:r w:rsidR="00C04989" w:rsidRPr="00BF2A95">
        <w:rPr>
          <w:lang w:val="en-GB"/>
        </w:rPr>
        <w:t xml:space="preserve">(a difference of </w:t>
      </w:r>
      <w:r w:rsidR="00213B33" w:rsidRPr="00BF2A95">
        <w:rPr>
          <w:lang w:val="en-GB"/>
        </w:rPr>
        <w:t>2.6</w:t>
      </w:r>
      <w:r w:rsidR="00C04989" w:rsidRPr="00BF2A95">
        <w:rPr>
          <w:lang w:val="en-GB"/>
        </w:rPr>
        <w:t xml:space="preserve"> months). The hazard ratio for remaining free of disease progression was 0.</w:t>
      </w:r>
      <w:r w:rsidR="00213B33" w:rsidRPr="00BF2A95">
        <w:rPr>
          <w:lang w:val="en-GB"/>
        </w:rPr>
        <w:t>61</w:t>
      </w:r>
      <w:r w:rsidR="00C04989" w:rsidRPr="00BF2A95">
        <w:rPr>
          <w:lang w:val="en-GB"/>
        </w:rPr>
        <w:t xml:space="preserve">. </w:t>
      </w:r>
      <w:r w:rsidR="001C5E86" w:rsidRPr="00BF2A95">
        <w:rPr>
          <w:lang w:val="en-GB"/>
        </w:rPr>
        <w:t xml:space="preserve">Median overall survival was </w:t>
      </w:r>
      <w:r w:rsidR="00715124" w:rsidRPr="00BF2A95">
        <w:rPr>
          <w:lang w:val="en-GB"/>
        </w:rPr>
        <w:t>12.9</w:t>
      </w:r>
      <w:r w:rsidR="001C5E86" w:rsidRPr="00BF2A95">
        <w:rPr>
          <w:lang w:val="en-GB"/>
        </w:rPr>
        <w:t xml:space="preserve"> months in the bevacizumab plus FOLFOX group, and </w:t>
      </w:r>
      <w:r w:rsidR="00715124" w:rsidRPr="00BF2A95">
        <w:rPr>
          <w:lang w:val="en-GB"/>
        </w:rPr>
        <w:t>10.8</w:t>
      </w:r>
      <w:r w:rsidR="001C5E86" w:rsidRPr="00BF2A95">
        <w:rPr>
          <w:lang w:val="en-GB"/>
        </w:rPr>
        <w:t xml:space="preserve"> months in the FOLFOX alone group (a difference of 2.</w:t>
      </w:r>
      <w:r w:rsidR="00715124" w:rsidRPr="00BF2A95">
        <w:rPr>
          <w:lang w:val="en-GB"/>
        </w:rPr>
        <w:t>1</w:t>
      </w:r>
      <w:r w:rsidR="001C5E86" w:rsidRPr="00BF2A95">
        <w:rPr>
          <w:lang w:val="en-GB"/>
        </w:rPr>
        <w:t xml:space="preserve"> months). The hazard ratio for </w:t>
      </w:r>
      <w:r w:rsidR="2FFC82EA" w:rsidRPr="0D57ED4A">
        <w:rPr>
          <w:lang w:val="en-GB"/>
        </w:rPr>
        <w:t>death</w:t>
      </w:r>
      <w:r w:rsidR="001C5E86" w:rsidRPr="00BF2A95">
        <w:rPr>
          <w:lang w:val="en-GB"/>
        </w:rPr>
        <w:t xml:space="preserve"> </w:t>
      </w:r>
      <w:r w:rsidR="001C5E86" w:rsidRPr="037066E1">
        <w:rPr>
          <w:lang w:val="en-GB"/>
        </w:rPr>
        <w:t>was</w:t>
      </w:r>
      <w:r w:rsidR="001C5E86" w:rsidRPr="00BF2A95">
        <w:rPr>
          <w:lang w:val="en-GB"/>
        </w:rPr>
        <w:t xml:space="preserve"> 0</w:t>
      </w:r>
      <w:r w:rsidR="00715124" w:rsidRPr="00BF2A95">
        <w:rPr>
          <w:lang w:val="en-GB"/>
        </w:rPr>
        <w:t>.75</w:t>
      </w:r>
      <w:r w:rsidR="001C5E86" w:rsidRPr="00BF2A95">
        <w:rPr>
          <w:lang w:val="en-GB"/>
        </w:rPr>
        <w:t xml:space="preserve">. </w:t>
      </w:r>
      <w:r w:rsidR="004F2B8D" w:rsidRPr="00BF2A95">
        <w:rPr>
          <w:lang w:val="en-GB"/>
        </w:rPr>
        <w:t>The committee noted that</w:t>
      </w:r>
      <w:r w:rsidR="00BE4749" w:rsidRPr="00BF2A95">
        <w:rPr>
          <w:lang w:val="en-GB"/>
        </w:rPr>
        <w:t xml:space="preserve"> the</w:t>
      </w:r>
      <w:r w:rsidR="004F2B8D" w:rsidRPr="00BF2A95">
        <w:rPr>
          <w:lang w:val="en-GB"/>
        </w:rPr>
        <w:t xml:space="preserve"> studies included in the </w:t>
      </w:r>
      <w:proofErr w:type="spellStart"/>
      <w:r w:rsidR="002768AA" w:rsidRPr="00171077">
        <w:rPr>
          <w:lang w:val="en-GB"/>
        </w:rPr>
        <w:t>Mocellin</w:t>
      </w:r>
      <w:proofErr w:type="spellEnd"/>
      <w:r w:rsidR="002768AA" w:rsidRPr="00171077">
        <w:rPr>
          <w:lang w:val="en-GB"/>
        </w:rPr>
        <w:t xml:space="preserve"> et al. (2017)</w:t>
      </w:r>
      <w:r w:rsidR="00BE4749" w:rsidRPr="00BF2A95">
        <w:rPr>
          <w:lang w:val="en-GB"/>
        </w:rPr>
        <w:t xml:space="preserve"> </w:t>
      </w:r>
      <w:r w:rsidR="005632C6" w:rsidRPr="00BF2A95">
        <w:rPr>
          <w:lang w:val="en-GB"/>
        </w:rPr>
        <w:t>meta-analysis</w:t>
      </w:r>
      <w:r w:rsidR="00BE4749" w:rsidRPr="00BF2A95">
        <w:rPr>
          <w:lang w:val="en-GB"/>
        </w:rPr>
        <w:t>,</w:t>
      </w:r>
      <w:r w:rsidR="00C201E9" w:rsidRPr="00BF2A95">
        <w:rPr>
          <w:lang w:val="en-GB"/>
        </w:rPr>
        <w:t xml:space="preserve"> wh</w:t>
      </w:r>
      <w:r w:rsidR="005134F0" w:rsidRPr="00BF2A95">
        <w:rPr>
          <w:lang w:val="en-GB"/>
        </w:rPr>
        <w:t xml:space="preserve">ich included studies </w:t>
      </w:r>
      <w:r w:rsidR="005C27E6" w:rsidRPr="00BF2A95">
        <w:rPr>
          <w:lang w:val="en-GB"/>
        </w:rPr>
        <w:t>differing in flu</w:t>
      </w:r>
      <w:r w:rsidR="00D97C13" w:rsidRPr="00BF2A95">
        <w:rPr>
          <w:lang w:val="en-GB"/>
        </w:rPr>
        <w:t>o</w:t>
      </w:r>
      <w:r w:rsidR="005C27E6" w:rsidRPr="00BF2A95">
        <w:rPr>
          <w:lang w:val="en-GB"/>
        </w:rPr>
        <w:t>ropyrimidine chemotherapy regimens, study location and bevacizumab dose</w:t>
      </w:r>
      <w:r w:rsidR="00932BCC" w:rsidRPr="00A9020B">
        <w:rPr>
          <w:lang w:val="en-GB"/>
        </w:rPr>
        <w:t>,</w:t>
      </w:r>
      <w:r w:rsidR="005C27E6" w:rsidRPr="00BF2A95">
        <w:rPr>
          <w:lang w:val="en-GB"/>
        </w:rPr>
        <w:t xml:space="preserve"> gave similar hazard ratios for </w:t>
      </w:r>
      <w:r w:rsidR="007026CB" w:rsidRPr="00BF2A95">
        <w:rPr>
          <w:lang w:val="en-GB"/>
        </w:rPr>
        <w:t>progression-free survival</w:t>
      </w:r>
      <w:r w:rsidR="005C27E6" w:rsidRPr="00BF2A95">
        <w:rPr>
          <w:lang w:val="en-GB"/>
        </w:rPr>
        <w:t xml:space="preserve"> and </w:t>
      </w:r>
      <w:r w:rsidR="007026CB" w:rsidRPr="00BF2A95">
        <w:rPr>
          <w:lang w:val="en-GB"/>
        </w:rPr>
        <w:t>overall survival</w:t>
      </w:r>
      <w:r w:rsidR="005C27E6" w:rsidRPr="00BF2A95">
        <w:rPr>
          <w:lang w:val="en-GB"/>
        </w:rPr>
        <w:t xml:space="preserve"> </w:t>
      </w:r>
      <w:r w:rsidR="00AE23E1" w:rsidRPr="00A9020B">
        <w:rPr>
          <w:lang w:val="en-GB"/>
        </w:rPr>
        <w:t xml:space="preserve">to those from </w:t>
      </w:r>
      <w:r w:rsidR="005C27E6" w:rsidRPr="00BF2A95">
        <w:rPr>
          <w:lang w:val="en-GB"/>
        </w:rPr>
        <w:t>Study E3</w:t>
      </w:r>
      <w:r w:rsidR="00224666" w:rsidRPr="00BF2A95">
        <w:rPr>
          <w:lang w:val="en-GB"/>
        </w:rPr>
        <w:t>2</w:t>
      </w:r>
      <w:r w:rsidR="005C27E6" w:rsidRPr="00BF2A95">
        <w:rPr>
          <w:lang w:val="en-GB"/>
        </w:rPr>
        <w:t>00</w:t>
      </w:r>
      <w:r w:rsidR="00591D1E" w:rsidRPr="00BF2A95">
        <w:rPr>
          <w:lang w:val="en-GB"/>
        </w:rPr>
        <w:t>.</w:t>
      </w:r>
      <w:r w:rsidR="00D767DD" w:rsidRPr="62068577">
        <w:rPr>
          <w:lang w:val="en-GB"/>
        </w:rPr>
        <w:t xml:space="preserve"> </w:t>
      </w:r>
      <w:r w:rsidR="00386785" w:rsidRPr="00BF2A95">
        <w:rPr>
          <w:lang w:val="en-GB"/>
        </w:rPr>
        <w:t xml:space="preserve">People in </w:t>
      </w:r>
      <w:r w:rsidR="007C4F0C" w:rsidRPr="00BF2A95">
        <w:rPr>
          <w:lang w:val="en-GB"/>
        </w:rPr>
        <w:t xml:space="preserve">Study E3200 had not </w:t>
      </w:r>
      <w:r w:rsidR="00AE23E1" w:rsidRPr="00A9020B">
        <w:rPr>
          <w:lang w:val="en-GB"/>
        </w:rPr>
        <w:t xml:space="preserve">previously </w:t>
      </w:r>
      <w:r w:rsidR="007C4F0C" w:rsidRPr="00BF2A95">
        <w:rPr>
          <w:lang w:val="en-GB"/>
        </w:rPr>
        <w:t xml:space="preserve">had </w:t>
      </w:r>
      <w:r w:rsidR="007C4F0C" w:rsidRPr="00BF2A95">
        <w:rPr>
          <w:lang w:val="en-GB"/>
        </w:rPr>
        <w:lastRenderedPageBreak/>
        <w:t xml:space="preserve">bevacizumab, which the EAG noted </w:t>
      </w:r>
      <w:r w:rsidR="00D97C32" w:rsidRPr="00A9020B">
        <w:rPr>
          <w:lang w:val="en-GB"/>
        </w:rPr>
        <w:t xml:space="preserve">was </w:t>
      </w:r>
      <w:r w:rsidR="007C4F0C" w:rsidRPr="00BF2A95">
        <w:rPr>
          <w:lang w:val="en-GB"/>
        </w:rPr>
        <w:t>a limitation</w:t>
      </w:r>
      <w:r w:rsidR="00AE23E1" w:rsidRPr="00A9020B">
        <w:rPr>
          <w:lang w:val="en-GB"/>
        </w:rPr>
        <w:t>,</w:t>
      </w:r>
      <w:r w:rsidR="007C4F0C" w:rsidRPr="00A9020B">
        <w:rPr>
          <w:lang w:val="en-GB"/>
        </w:rPr>
        <w:t xml:space="preserve"> </w:t>
      </w:r>
      <w:r w:rsidR="00AE23E1" w:rsidRPr="00A9020B">
        <w:rPr>
          <w:lang w:val="en-GB"/>
        </w:rPr>
        <w:t>because</w:t>
      </w:r>
      <w:r w:rsidR="007C4F0C" w:rsidRPr="00BF2A95">
        <w:rPr>
          <w:lang w:val="en-GB"/>
        </w:rPr>
        <w:t xml:space="preserve"> the model for second-line treatment </w:t>
      </w:r>
      <w:r w:rsidR="00AE23E1" w:rsidRPr="00A9020B">
        <w:rPr>
          <w:lang w:val="en-GB"/>
        </w:rPr>
        <w:t xml:space="preserve">did </w:t>
      </w:r>
      <w:r w:rsidR="007C4F0C" w:rsidRPr="00BF2A95">
        <w:rPr>
          <w:lang w:val="en-GB"/>
        </w:rPr>
        <w:t>not consider previous treatments</w:t>
      </w:r>
      <w:r w:rsidR="00E07F1C" w:rsidRPr="00BF2A95">
        <w:rPr>
          <w:lang w:val="en-GB"/>
        </w:rPr>
        <w:t xml:space="preserve"> (see </w:t>
      </w:r>
      <w:hyperlink w:anchor="_Model_includes_one" w:history="1">
        <w:r w:rsidR="00152823" w:rsidRPr="7BCD81F4">
          <w:rPr>
            <w:rStyle w:val="Hyperlink"/>
            <w:lang w:val="en-GB"/>
          </w:rPr>
          <w:t>section 3.</w:t>
        </w:r>
        <w:r w:rsidR="00CE6D70" w:rsidRPr="7BCD81F4">
          <w:rPr>
            <w:rStyle w:val="Hyperlink"/>
            <w:lang w:val="en-GB"/>
          </w:rPr>
          <w:t>9</w:t>
        </w:r>
      </w:hyperlink>
      <w:r w:rsidR="00E07F1C" w:rsidRPr="7BCD81F4">
        <w:rPr>
          <w:lang w:val="en-GB"/>
        </w:rPr>
        <w:t>)</w:t>
      </w:r>
      <w:r w:rsidR="007C4F0C" w:rsidRPr="7BCD81F4">
        <w:rPr>
          <w:lang w:val="en-GB"/>
        </w:rPr>
        <w:t>.</w:t>
      </w:r>
      <w:r w:rsidR="007C4F0C" w:rsidRPr="00BF2A95">
        <w:rPr>
          <w:lang w:val="en-GB"/>
        </w:rPr>
        <w:t xml:space="preserve"> </w:t>
      </w:r>
      <w:r w:rsidR="00D97C32" w:rsidRPr="00A9020B">
        <w:rPr>
          <w:lang w:val="en-GB"/>
        </w:rPr>
        <w:t xml:space="preserve">But </w:t>
      </w:r>
      <w:r w:rsidR="003B568A" w:rsidRPr="00A9020B">
        <w:rPr>
          <w:lang w:val="en-GB"/>
        </w:rPr>
        <w:t>the EAG</w:t>
      </w:r>
      <w:r w:rsidR="007C4F0C" w:rsidRPr="00A9020B">
        <w:rPr>
          <w:lang w:val="en-GB"/>
        </w:rPr>
        <w:t xml:space="preserve"> noted that data reported </w:t>
      </w:r>
      <w:r w:rsidR="007C4F0C" w:rsidRPr="00A9020B">
        <w:rPr>
          <w:rFonts w:cs="Arial"/>
          <w:lang w:val="en-GB"/>
        </w:rPr>
        <w:t xml:space="preserve">by </w:t>
      </w:r>
      <w:hyperlink r:id="rId32">
        <w:r w:rsidR="007C4F0C" w:rsidRPr="62068577">
          <w:rPr>
            <w:rStyle w:val="Hyperlink"/>
            <w:rFonts w:cs="Arial"/>
            <w:lang w:val="en-GB"/>
          </w:rPr>
          <w:t>Masi et al.</w:t>
        </w:r>
        <w:r w:rsidR="00A032AA" w:rsidRPr="62068577">
          <w:rPr>
            <w:rStyle w:val="Hyperlink"/>
            <w:rFonts w:cs="Arial"/>
            <w:lang w:val="en-GB"/>
          </w:rPr>
          <w:t xml:space="preserve"> </w:t>
        </w:r>
        <w:r w:rsidR="005931D8" w:rsidRPr="62068577">
          <w:rPr>
            <w:rStyle w:val="Hyperlink"/>
            <w:rFonts w:cs="Arial"/>
            <w:lang w:val="en-GB"/>
          </w:rPr>
          <w:t>(2</w:t>
        </w:r>
        <w:r w:rsidR="00C42533" w:rsidRPr="62068577">
          <w:rPr>
            <w:rStyle w:val="Hyperlink"/>
            <w:rFonts w:cs="Arial"/>
            <w:lang w:val="en-GB"/>
          </w:rPr>
          <w:t>015)</w:t>
        </w:r>
      </w:hyperlink>
      <w:r w:rsidR="003B568A" w:rsidRPr="00A9020B">
        <w:rPr>
          <w:lang w:val="en-GB"/>
        </w:rPr>
        <w:t>,</w:t>
      </w:r>
      <w:r w:rsidR="003B568A" w:rsidRPr="00BF2A95">
        <w:rPr>
          <w:lang w:val="en-GB"/>
        </w:rPr>
        <w:t xml:space="preserve"> a trial included in the </w:t>
      </w:r>
      <w:proofErr w:type="spellStart"/>
      <w:r w:rsidR="003B568A" w:rsidRPr="00BF2A95">
        <w:rPr>
          <w:lang w:val="en-GB"/>
        </w:rPr>
        <w:t>Mocellin</w:t>
      </w:r>
      <w:proofErr w:type="spellEnd"/>
      <w:r w:rsidR="003B568A" w:rsidRPr="00BF2A95">
        <w:rPr>
          <w:lang w:val="en-GB"/>
        </w:rPr>
        <w:t xml:space="preserve"> meta</w:t>
      </w:r>
      <w:r w:rsidR="00A61B1B" w:rsidRPr="00BF2A95">
        <w:rPr>
          <w:lang w:val="en-GB"/>
        </w:rPr>
        <w:t>-</w:t>
      </w:r>
      <w:r w:rsidR="003B568A" w:rsidRPr="00BF2A95">
        <w:rPr>
          <w:lang w:val="en-GB"/>
        </w:rPr>
        <w:t>analysis</w:t>
      </w:r>
      <w:r w:rsidR="00C42533" w:rsidRPr="62068577">
        <w:rPr>
          <w:rFonts w:cs="Arial"/>
          <w:lang w:val="en-GB"/>
        </w:rPr>
        <w:t>,</w:t>
      </w:r>
      <w:r w:rsidR="007C4F0C" w:rsidRPr="62068577">
        <w:rPr>
          <w:rFonts w:cs="Arial"/>
          <w:i/>
          <w:lang w:val="en-GB"/>
        </w:rPr>
        <w:t xml:space="preserve"> </w:t>
      </w:r>
      <w:r w:rsidR="007C4F0C" w:rsidRPr="62068577">
        <w:rPr>
          <w:rFonts w:cs="Arial"/>
          <w:lang w:val="en-GB"/>
        </w:rPr>
        <w:t>indicate</w:t>
      </w:r>
      <w:r w:rsidR="00E07F1C" w:rsidRPr="62068577">
        <w:rPr>
          <w:rFonts w:cs="Arial"/>
          <w:lang w:val="en-GB"/>
        </w:rPr>
        <w:t>d</w:t>
      </w:r>
      <w:r w:rsidR="007C4F0C" w:rsidRPr="62068577">
        <w:rPr>
          <w:rFonts w:cs="Arial"/>
          <w:lang w:val="en-GB"/>
        </w:rPr>
        <w:t xml:space="preserve"> that </w:t>
      </w:r>
      <w:r w:rsidR="00FC5313" w:rsidRPr="62068577">
        <w:rPr>
          <w:rFonts w:cs="Arial"/>
          <w:lang w:val="en-GB"/>
        </w:rPr>
        <w:t xml:space="preserve">previous </w:t>
      </w:r>
      <w:r w:rsidR="007C4F0C" w:rsidRPr="62068577">
        <w:rPr>
          <w:rFonts w:cs="Arial"/>
          <w:lang w:val="en-GB"/>
        </w:rPr>
        <w:t xml:space="preserve">bevacizumab use may not influence the efficacy of </w:t>
      </w:r>
      <w:r w:rsidR="00FC5313" w:rsidRPr="62068577">
        <w:rPr>
          <w:rFonts w:cs="Arial"/>
          <w:lang w:val="en-GB"/>
        </w:rPr>
        <w:t xml:space="preserve">second-line </w:t>
      </w:r>
      <w:r w:rsidR="007C4F0C" w:rsidRPr="62068577">
        <w:rPr>
          <w:rFonts w:cs="Arial"/>
          <w:lang w:val="en-GB"/>
        </w:rPr>
        <w:t>bevacizumab.</w:t>
      </w:r>
      <w:r w:rsidR="00D167D9" w:rsidRPr="00BF2A95">
        <w:rPr>
          <w:lang w:val="en-GB"/>
        </w:rPr>
        <w:t xml:space="preserve"> </w:t>
      </w:r>
      <w:r w:rsidR="00CF7C49" w:rsidRPr="00BF2A95">
        <w:rPr>
          <w:lang w:val="en-GB"/>
        </w:rPr>
        <w:t xml:space="preserve">The </w:t>
      </w:r>
      <w:r w:rsidR="0069124D" w:rsidRPr="00BF2A95">
        <w:rPr>
          <w:lang w:val="en-GB"/>
        </w:rPr>
        <w:t>committee concluded</w:t>
      </w:r>
      <w:r w:rsidR="00E07F1C" w:rsidRPr="00BF2A95">
        <w:rPr>
          <w:lang w:val="en-GB"/>
        </w:rPr>
        <w:t xml:space="preserve"> </w:t>
      </w:r>
      <w:r w:rsidR="00916060" w:rsidRPr="00BF2A95">
        <w:rPr>
          <w:lang w:val="en-GB"/>
        </w:rPr>
        <w:t xml:space="preserve">that bevacizumab </w:t>
      </w:r>
      <w:r w:rsidR="00E07F1C" w:rsidRPr="00BF2A95">
        <w:rPr>
          <w:lang w:val="en-GB"/>
        </w:rPr>
        <w:t>plus</w:t>
      </w:r>
      <w:r w:rsidR="00916060" w:rsidRPr="00BF2A95">
        <w:rPr>
          <w:lang w:val="en-GB"/>
        </w:rPr>
        <w:t xml:space="preserve"> FOLFOX offered better overall and progression-free survival than FOLFOX alone.</w:t>
      </w:r>
    </w:p>
    <w:p w14:paraId="247ED9FC" w14:textId="45DB0FE5" w:rsidR="00193D5B" w:rsidRPr="00CF632A" w:rsidRDefault="00605BC9" w:rsidP="00125588">
      <w:pPr>
        <w:pStyle w:val="Heading2"/>
      </w:pPr>
      <w:bookmarkStart w:id="19" w:name="_Chemotherapy_regimens_"/>
      <w:bookmarkEnd w:id="19"/>
      <w:r w:rsidRPr="00CF632A">
        <w:t>Methods for reviewing cost-effectiveness evidence</w:t>
      </w:r>
    </w:p>
    <w:p w14:paraId="20815E53" w14:textId="7736E62C" w:rsidR="00605BC9" w:rsidRPr="00CF632A" w:rsidRDefault="00605BC9" w:rsidP="00FF457B">
      <w:pPr>
        <w:pStyle w:val="Numberedlevel2text"/>
        <w:rPr>
          <w:lang w:val="en-GB"/>
        </w:rPr>
      </w:pPr>
      <w:r w:rsidRPr="00CF632A">
        <w:rPr>
          <w:lang w:val="en-GB"/>
        </w:rPr>
        <w:t>Given the expedited approach of this appraisal (</w:t>
      </w:r>
      <w:r w:rsidR="33DECF76" w:rsidRPr="78423B97">
        <w:rPr>
          <w:lang w:val="en-GB"/>
        </w:rPr>
        <w:t xml:space="preserve">see </w:t>
      </w:r>
      <w:hyperlink w:anchor="_Pilot_of_a" w:history="1">
        <w:r w:rsidR="33DECF76" w:rsidRPr="008B7F0D">
          <w:rPr>
            <w:rStyle w:val="Hyperlink"/>
            <w:lang w:val="en-GB"/>
          </w:rPr>
          <w:t>section 3.1</w:t>
        </w:r>
      </w:hyperlink>
      <w:r w:rsidRPr="78423B97">
        <w:rPr>
          <w:lang w:val="en-GB"/>
        </w:rPr>
        <w:t>)</w:t>
      </w:r>
      <w:r w:rsidR="001565B8" w:rsidRPr="78423B97">
        <w:rPr>
          <w:lang w:val="en-GB"/>
        </w:rPr>
        <w:t>,</w:t>
      </w:r>
      <w:r w:rsidR="001565B8" w:rsidRPr="00CF632A">
        <w:rPr>
          <w:lang w:val="en-GB"/>
        </w:rPr>
        <w:t xml:space="preserve"> t</w:t>
      </w:r>
      <w:r w:rsidRPr="00CF632A">
        <w:rPr>
          <w:lang w:val="en-GB"/>
        </w:rPr>
        <w:t xml:space="preserve">he EAG used a pragmatic approach for reviewing the cost-effectiveness evidence. </w:t>
      </w:r>
      <w:proofErr w:type="gramStart"/>
      <w:r w:rsidR="005357F4" w:rsidRPr="00A9020B">
        <w:rPr>
          <w:lang w:val="en-GB"/>
        </w:rPr>
        <w:t>So</w:t>
      </w:r>
      <w:proofErr w:type="gramEnd"/>
      <w:r w:rsidRPr="00CF632A">
        <w:rPr>
          <w:lang w:val="en-GB"/>
        </w:rPr>
        <w:t xml:space="preserve"> a systematic literature search was not </w:t>
      </w:r>
      <w:r w:rsidR="005357F4" w:rsidRPr="00A9020B">
        <w:rPr>
          <w:lang w:val="en-GB"/>
        </w:rPr>
        <w:t xml:space="preserve">done, and the manufacturers did not submit </w:t>
      </w:r>
      <w:r w:rsidR="001565B8" w:rsidRPr="00CF632A">
        <w:rPr>
          <w:lang w:val="en-GB"/>
        </w:rPr>
        <w:t xml:space="preserve">economic models. </w:t>
      </w:r>
      <w:r w:rsidRPr="00CF632A">
        <w:rPr>
          <w:lang w:val="en-GB"/>
        </w:rPr>
        <w:t>Instead</w:t>
      </w:r>
      <w:r w:rsidR="007515AE">
        <w:rPr>
          <w:lang w:val="en-GB"/>
        </w:rPr>
        <w:t>,</w:t>
      </w:r>
      <w:r w:rsidRPr="00CF632A">
        <w:rPr>
          <w:lang w:val="en-GB"/>
        </w:rPr>
        <w:t xml:space="preserve"> the EAG reviewed previous NICE technology appraisals </w:t>
      </w:r>
      <w:r w:rsidR="005357F4" w:rsidRPr="00A9020B">
        <w:rPr>
          <w:lang w:val="en-GB"/>
        </w:rPr>
        <w:t xml:space="preserve">on </w:t>
      </w:r>
      <w:r w:rsidRPr="00CF632A">
        <w:rPr>
          <w:lang w:val="en-GB"/>
        </w:rPr>
        <w:t xml:space="preserve">bevacizumab </w:t>
      </w:r>
      <w:r w:rsidR="009C3C02" w:rsidRPr="00CF632A">
        <w:rPr>
          <w:lang w:val="en-GB"/>
        </w:rPr>
        <w:t>plus</w:t>
      </w:r>
      <w:r w:rsidRPr="00CF632A">
        <w:rPr>
          <w:lang w:val="en-GB"/>
        </w:rPr>
        <w:t xml:space="preserve"> fluoropyrimidine-based chemotherapy </w:t>
      </w:r>
      <w:r w:rsidR="00C60184" w:rsidRPr="00A9020B">
        <w:rPr>
          <w:lang w:val="en-GB"/>
        </w:rPr>
        <w:t xml:space="preserve">as </w:t>
      </w:r>
      <w:r w:rsidR="00E307D6" w:rsidRPr="00CF632A">
        <w:rPr>
          <w:lang w:val="en-GB"/>
        </w:rPr>
        <w:t>first</w:t>
      </w:r>
      <w:r w:rsidR="00C60184" w:rsidRPr="00A9020B">
        <w:rPr>
          <w:lang w:val="en-GB"/>
        </w:rPr>
        <w:t>-</w:t>
      </w:r>
      <w:r w:rsidR="00E307D6" w:rsidRPr="00CF632A">
        <w:rPr>
          <w:lang w:val="en-GB"/>
        </w:rPr>
        <w:t xml:space="preserve"> and </w:t>
      </w:r>
      <w:r w:rsidR="00E307D6" w:rsidRPr="7BCD81F4">
        <w:rPr>
          <w:lang w:val="en-GB"/>
        </w:rPr>
        <w:t>second</w:t>
      </w:r>
      <w:r w:rsidR="00C60184" w:rsidRPr="00A9020B">
        <w:rPr>
          <w:lang w:val="en-GB"/>
        </w:rPr>
        <w:t>-</w:t>
      </w:r>
      <w:r w:rsidR="00E307D6" w:rsidRPr="00CF632A">
        <w:rPr>
          <w:lang w:val="en-GB"/>
        </w:rPr>
        <w:t xml:space="preserve">line treatments </w:t>
      </w:r>
      <w:r w:rsidR="00C60184" w:rsidRPr="00A9020B">
        <w:rPr>
          <w:lang w:val="en-GB"/>
        </w:rPr>
        <w:t xml:space="preserve">for </w:t>
      </w:r>
      <w:r w:rsidRPr="00CF632A">
        <w:rPr>
          <w:lang w:val="en-GB"/>
        </w:rPr>
        <w:t>mCRC.</w:t>
      </w:r>
      <w:r w:rsidR="00E307D6" w:rsidRPr="00CF632A">
        <w:rPr>
          <w:lang w:val="en-GB"/>
        </w:rPr>
        <w:t xml:space="preserve"> The EAG identified </w:t>
      </w:r>
      <w:r w:rsidR="009303BE" w:rsidRPr="00A9020B">
        <w:rPr>
          <w:lang w:val="en-GB"/>
        </w:rPr>
        <w:t xml:space="preserve">2 </w:t>
      </w:r>
      <w:r w:rsidR="00E307D6" w:rsidRPr="00CF632A">
        <w:rPr>
          <w:lang w:val="en-GB"/>
        </w:rPr>
        <w:t>NICE technology appraisals for first-line treatment (</w:t>
      </w:r>
      <w:r w:rsidR="00741FE0" w:rsidRPr="00CF632A">
        <w:rPr>
          <w:lang w:val="en-GB"/>
        </w:rPr>
        <w:t xml:space="preserve">see </w:t>
      </w:r>
      <w:hyperlink r:id="rId33">
        <w:r w:rsidR="007133FD" w:rsidRPr="00171077">
          <w:rPr>
            <w:rStyle w:val="Hyperlink"/>
            <w:lang w:val="en-GB"/>
          </w:rPr>
          <w:t>TA118</w:t>
        </w:r>
      </w:hyperlink>
      <w:r w:rsidR="00B039AD" w:rsidRPr="00CF632A">
        <w:rPr>
          <w:lang w:val="en-GB"/>
        </w:rPr>
        <w:t xml:space="preserve"> </w:t>
      </w:r>
      <w:r w:rsidR="00E307D6" w:rsidRPr="00CF632A">
        <w:rPr>
          <w:lang w:val="en-GB"/>
        </w:rPr>
        <w:t xml:space="preserve">and </w:t>
      </w:r>
      <w:hyperlink r:id="rId34">
        <w:r w:rsidR="007133FD" w:rsidRPr="7BCD81F4">
          <w:rPr>
            <w:rStyle w:val="Hyperlink"/>
            <w:lang w:val="en-GB"/>
          </w:rPr>
          <w:t>TA212</w:t>
        </w:r>
      </w:hyperlink>
      <w:r w:rsidR="00E307D6" w:rsidRPr="78423B97">
        <w:rPr>
          <w:lang w:val="en-GB"/>
        </w:rPr>
        <w:t>)</w:t>
      </w:r>
      <w:r w:rsidR="00E307D6" w:rsidRPr="00CF632A">
        <w:rPr>
          <w:lang w:val="en-GB"/>
        </w:rPr>
        <w:t xml:space="preserve"> and </w:t>
      </w:r>
      <w:r w:rsidR="00C60184" w:rsidRPr="00A9020B">
        <w:rPr>
          <w:lang w:val="en-GB"/>
        </w:rPr>
        <w:t xml:space="preserve">1 </w:t>
      </w:r>
      <w:r w:rsidR="00E307D6" w:rsidRPr="00CF632A">
        <w:rPr>
          <w:lang w:val="en-GB"/>
        </w:rPr>
        <w:t>NICE technology appraisal for second-line treatment (</w:t>
      </w:r>
      <w:r w:rsidR="00124D2E">
        <w:rPr>
          <w:lang w:val="en-GB"/>
        </w:rPr>
        <w:t xml:space="preserve">see </w:t>
      </w:r>
      <w:hyperlink r:id="rId35">
        <w:r w:rsidR="33DECF76" w:rsidRPr="7BCD81F4">
          <w:rPr>
            <w:rStyle w:val="Hyperlink"/>
            <w:lang w:val="en-GB"/>
          </w:rPr>
          <w:t>TA242</w:t>
        </w:r>
      </w:hyperlink>
      <w:r w:rsidR="00E307D6" w:rsidRPr="7BCD81F4">
        <w:rPr>
          <w:lang w:val="en-GB"/>
        </w:rPr>
        <w:t>).</w:t>
      </w:r>
      <w:r w:rsidR="003459D2" w:rsidRPr="00CF632A">
        <w:rPr>
          <w:lang w:val="en-GB"/>
        </w:rPr>
        <w:t xml:space="preserve"> </w:t>
      </w:r>
      <w:r w:rsidR="00C2612A" w:rsidRPr="776BC032">
        <w:rPr>
          <w:lang w:val="en-GB"/>
        </w:rPr>
        <w:t>The committee considered th</w:t>
      </w:r>
      <w:r w:rsidR="007E5068" w:rsidRPr="776BC032">
        <w:rPr>
          <w:lang w:val="en-GB"/>
        </w:rPr>
        <w:t>is</w:t>
      </w:r>
      <w:r w:rsidR="00C2612A" w:rsidRPr="776BC032">
        <w:rPr>
          <w:lang w:val="en-GB"/>
        </w:rPr>
        <w:t xml:space="preserve"> approach</w:t>
      </w:r>
      <w:r w:rsidR="6782CC89" w:rsidRPr="281C8104">
        <w:rPr>
          <w:lang w:val="en-GB"/>
        </w:rPr>
        <w:t xml:space="preserve"> and</w:t>
      </w:r>
      <w:r w:rsidR="00C2612A" w:rsidRPr="776BC032">
        <w:rPr>
          <w:lang w:val="en-GB"/>
        </w:rPr>
        <w:t xml:space="preserve"> concluded that, for </w:t>
      </w:r>
      <w:r w:rsidR="00C2612A" w:rsidRPr="5F8836E9">
        <w:rPr>
          <w:lang w:val="en-GB"/>
        </w:rPr>
        <w:t>t</w:t>
      </w:r>
      <w:r w:rsidR="4D72F12B" w:rsidRPr="5F8836E9">
        <w:rPr>
          <w:lang w:val="en-GB"/>
        </w:rPr>
        <w:t>h</w:t>
      </w:r>
      <w:r w:rsidR="00C2612A" w:rsidRPr="4366BBE5">
        <w:rPr>
          <w:lang w:val="en-GB"/>
        </w:rPr>
        <w:t>e</w:t>
      </w:r>
      <w:r w:rsidR="00C2612A" w:rsidRPr="776BC032">
        <w:rPr>
          <w:lang w:val="en-GB"/>
        </w:rPr>
        <w:t xml:space="preserve"> purposes of this </w:t>
      </w:r>
      <w:r w:rsidR="6BD1F1C6" w:rsidRPr="618C89C1">
        <w:rPr>
          <w:lang w:val="en-GB"/>
        </w:rPr>
        <w:t xml:space="preserve">pragmatic </w:t>
      </w:r>
      <w:r w:rsidR="00C2612A" w:rsidRPr="618C89C1">
        <w:rPr>
          <w:lang w:val="en-GB"/>
        </w:rPr>
        <w:t>appraisal</w:t>
      </w:r>
      <w:r w:rsidR="00C2612A" w:rsidRPr="776BC032">
        <w:rPr>
          <w:lang w:val="en-GB"/>
        </w:rPr>
        <w:t xml:space="preserve">, </w:t>
      </w:r>
      <w:r w:rsidR="00FF457B" w:rsidRPr="776BC032">
        <w:rPr>
          <w:lang w:val="en-GB"/>
        </w:rPr>
        <w:t xml:space="preserve">the </w:t>
      </w:r>
      <w:r w:rsidR="007E5068" w:rsidRPr="776BC032">
        <w:rPr>
          <w:lang w:val="en-GB"/>
        </w:rPr>
        <w:t>EAG’s</w:t>
      </w:r>
      <w:r w:rsidR="00FF457B" w:rsidRPr="776BC032">
        <w:rPr>
          <w:lang w:val="en-GB"/>
        </w:rPr>
        <w:t xml:space="preserve"> approach </w:t>
      </w:r>
      <w:r w:rsidR="00216AE6" w:rsidRPr="00CF632A">
        <w:rPr>
          <w:lang w:val="en-GB"/>
        </w:rPr>
        <w:t>was appropriate.</w:t>
      </w:r>
    </w:p>
    <w:p w14:paraId="7D72EABD" w14:textId="55789C9D" w:rsidR="00FA089F" w:rsidRPr="00CF632A" w:rsidRDefault="00FA089F" w:rsidP="00FA089F">
      <w:pPr>
        <w:pStyle w:val="Heading2"/>
      </w:pPr>
      <w:bookmarkStart w:id="20" w:name="_Economic_model"/>
      <w:bookmarkEnd w:id="20"/>
      <w:r w:rsidRPr="00CF632A">
        <w:t>Economic model</w:t>
      </w:r>
    </w:p>
    <w:p w14:paraId="6C153C6A" w14:textId="5176EBE5" w:rsidR="00605712" w:rsidRPr="00CF632A" w:rsidRDefault="00B0128E" w:rsidP="000D4213">
      <w:pPr>
        <w:pStyle w:val="Numberedlevel2text"/>
        <w:rPr>
          <w:lang w:val="en-GB"/>
        </w:rPr>
      </w:pPr>
      <w:r w:rsidRPr="00CF632A">
        <w:rPr>
          <w:lang w:val="en-GB"/>
        </w:rPr>
        <w:t>The EAG used a partitioned</w:t>
      </w:r>
      <w:r w:rsidR="00D319AA">
        <w:rPr>
          <w:lang w:val="en-GB"/>
        </w:rPr>
        <w:t xml:space="preserve"> </w:t>
      </w:r>
      <w:r w:rsidRPr="00CF632A">
        <w:rPr>
          <w:lang w:val="en-GB"/>
        </w:rPr>
        <w:t>survival model</w:t>
      </w:r>
      <w:r w:rsidR="00D14518" w:rsidRPr="00CF632A">
        <w:rPr>
          <w:lang w:val="en-GB"/>
        </w:rPr>
        <w:t xml:space="preserve"> approach</w:t>
      </w:r>
      <w:r w:rsidRPr="00CF632A">
        <w:rPr>
          <w:lang w:val="en-GB"/>
        </w:rPr>
        <w:t xml:space="preserve"> to estimate the </w:t>
      </w:r>
      <w:r w:rsidR="000D4213" w:rsidRPr="00CF632A">
        <w:rPr>
          <w:lang w:val="en-GB"/>
        </w:rPr>
        <w:t>cost</w:t>
      </w:r>
      <w:r w:rsidR="009303BE" w:rsidRPr="00A9020B">
        <w:rPr>
          <w:lang w:val="en-GB"/>
        </w:rPr>
        <w:t xml:space="preserve"> </w:t>
      </w:r>
      <w:r w:rsidR="000D4213" w:rsidRPr="00CF632A">
        <w:rPr>
          <w:lang w:val="en-GB"/>
        </w:rPr>
        <w:t xml:space="preserve">effectiveness of bevacizumab </w:t>
      </w:r>
      <w:r w:rsidR="00736E4A" w:rsidRPr="00CF632A">
        <w:rPr>
          <w:lang w:val="en-GB"/>
        </w:rPr>
        <w:t>plus</w:t>
      </w:r>
      <w:r w:rsidR="000D4213" w:rsidRPr="00CF632A">
        <w:rPr>
          <w:lang w:val="en-GB"/>
        </w:rPr>
        <w:t xml:space="preserve"> fluoropyrimidine-based chemotherapy </w:t>
      </w:r>
      <w:r w:rsidR="007500C0" w:rsidRPr="00CF632A">
        <w:rPr>
          <w:lang w:val="en-GB"/>
        </w:rPr>
        <w:t xml:space="preserve">(FOLFOX, FOLFIRI, CAPOX) </w:t>
      </w:r>
      <w:r w:rsidR="00736E4A" w:rsidRPr="00CF632A">
        <w:rPr>
          <w:lang w:val="en-GB"/>
        </w:rPr>
        <w:t>compared with</w:t>
      </w:r>
      <w:r w:rsidR="000D4213" w:rsidRPr="00CF632A">
        <w:rPr>
          <w:lang w:val="en-GB"/>
        </w:rPr>
        <w:t xml:space="preserve"> fluoropyrimidine-based chemotherapy alone, for </w:t>
      </w:r>
      <w:r w:rsidR="00DE5507" w:rsidRPr="00A9020B">
        <w:rPr>
          <w:lang w:val="en-GB"/>
        </w:rPr>
        <w:t xml:space="preserve">the first- and </w:t>
      </w:r>
      <w:r w:rsidR="00DE5507" w:rsidRPr="7BCD81F4">
        <w:rPr>
          <w:lang w:val="en-GB"/>
        </w:rPr>
        <w:t>second</w:t>
      </w:r>
      <w:r w:rsidR="00DE5507" w:rsidRPr="00A9020B">
        <w:rPr>
          <w:lang w:val="en-GB"/>
        </w:rPr>
        <w:t>-line treatment of</w:t>
      </w:r>
      <w:r w:rsidR="000D4213" w:rsidRPr="00CF632A">
        <w:rPr>
          <w:lang w:val="en-GB"/>
        </w:rPr>
        <w:t xml:space="preserve"> mCRC. </w:t>
      </w:r>
      <w:r w:rsidR="00FB5A84" w:rsidRPr="7BCD81F4">
        <w:rPr>
          <w:lang w:val="en-GB"/>
        </w:rPr>
        <w:t xml:space="preserve">Given the lack of identified evidence </w:t>
      </w:r>
      <w:r w:rsidR="007225FF" w:rsidRPr="7BCD81F4">
        <w:rPr>
          <w:lang w:val="en-GB"/>
        </w:rPr>
        <w:t xml:space="preserve">on </w:t>
      </w:r>
      <w:r w:rsidR="00FB5A84" w:rsidRPr="7BCD81F4">
        <w:rPr>
          <w:lang w:val="en-GB"/>
        </w:rPr>
        <w:t xml:space="preserve">the clinical efficacy of bevacizumab </w:t>
      </w:r>
      <w:r w:rsidR="00736E4A" w:rsidRPr="7BCD81F4">
        <w:rPr>
          <w:lang w:val="en-GB"/>
        </w:rPr>
        <w:t>plus</w:t>
      </w:r>
      <w:r w:rsidR="00FB5A84" w:rsidRPr="7BCD81F4">
        <w:rPr>
          <w:lang w:val="en-GB"/>
        </w:rPr>
        <w:t xml:space="preserve"> capecitabine</w:t>
      </w:r>
      <w:r w:rsidR="00CD3359" w:rsidRPr="7BCD81F4">
        <w:rPr>
          <w:lang w:val="en-GB"/>
        </w:rPr>
        <w:t xml:space="preserve"> (</w:t>
      </w:r>
      <w:hyperlink w:anchor="_Methods_for_reviewing" w:history="1">
        <w:r w:rsidR="00807ED8" w:rsidRPr="7BCD81F4">
          <w:rPr>
            <w:rStyle w:val="Hyperlink"/>
            <w:lang w:val="en-GB"/>
          </w:rPr>
          <w:t>see section 3.4</w:t>
        </w:r>
      </w:hyperlink>
      <w:r w:rsidR="00CD3359" w:rsidRPr="7BCD81F4">
        <w:rPr>
          <w:lang w:val="en-GB"/>
        </w:rPr>
        <w:t>)</w:t>
      </w:r>
      <w:r w:rsidR="00FB5A84" w:rsidRPr="7BCD81F4">
        <w:rPr>
          <w:lang w:val="en-GB"/>
        </w:rPr>
        <w:t xml:space="preserve">, this combination was excluded from the analysis. </w:t>
      </w:r>
      <w:r w:rsidR="00E7076B" w:rsidRPr="7BCD81F4">
        <w:rPr>
          <w:lang w:val="en-GB"/>
        </w:rPr>
        <w:t xml:space="preserve">The economic analysis included </w:t>
      </w:r>
      <w:r w:rsidR="00CE6D70" w:rsidRPr="7BCD81F4">
        <w:rPr>
          <w:lang w:val="en-GB"/>
        </w:rPr>
        <w:t xml:space="preserve">3 </w:t>
      </w:r>
      <w:r w:rsidR="00E7076B" w:rsidRPr="7BCD81F4">
        <w:rPr>
          <w:lang w:val="en-GB"/>
        </w:rPr>
        <w:t>pairwise comparisons:</w:t>
      </w:r>
    </w:p>
    <w:p w14:paraId="6629ECE7" w14:textId="5D0DC99E" w:rsidR="00605712" w:rsidRPr="00A9020B" w:rsidRDefault="00605712" w:rsidP="002B2684">
      <w:pPr>
        <w:pStyle w:val="Bulletindent1"/>
      </w:pPr>
      <w:r w:rsidRPr="00A9020B">
        <w:t xml:space="preserve">Model 1: </w:t>
      </w:r>
      <w:r w:rsidR="001A2836" w:rsidRPr="00A9020B">
        <w:t xml:space="preserve">bevacizumab </w:t>
      </w:r>
      <w:r w:rsidR="00CE6D70" w:rsidRPr="00A9020B">
        <w:t>plus</w:t>
      </w:r>
      <w:r w:rsidR="001A2836" w:rsidRPr="00A9020B">
        <w:t xml:space="preserve"> FOLFOX compared with FOLOX</w:t>
      </w:r>
      <w:r w:rsidR="00CE6D70" w:rsidRPr="00A9020B">
        <w:t xml:space="preserve"> alone</w:t>
      </w:r>
    </w:p>
    <w:p w14:paraId="66CD5378" w14:textId="5DFDFD8B" w:rsidR="001A2836" w:rsidRPr="00A9020B" w:rsidRDefault="001A2836" w:rsidP="002B2684">
      <w:pPr>
        <w:pStyle w:val="Bulletindent1"/>
      </w:pPr>
      <w:r w:rsidRPr="00A9020B">
        <w:t xml:space="preserve">Model 2: bevacizumab </w:t>
      </w:r>
      <w:r w:rsidR="00CE6D70" w:rsidRPr="00A9020B">
        <w:t>plus</w:t>
      </w:r>
      <w:r w:rsidRPr="00A9020B">
        <w:t xml:space="preserve"> FOLFIRI compared with FOLFIRI</w:t>
      </w:r>
      <w:r w:rsidR="00CE6D70" w:rsidRPr="00A9020B">
        <w:t xml:space="preserve"> alone</w:t>
      </w:r>
    </w:p>
    <w:p w14:paraId="77442CAB" w14:textId="2FD29384" w:rsidR="00554E9E" w:rsidRPr="00CF632A" w:rsidRDefault="001A2836" w:rsidP="002B2684">
      <w:pPr>
        <w:pStyle w:val="Bulletindent1last"/>
        <w:rPr>
          <w:color w:val="FF0000"/>
        </w:rPr>
      </w:pPr>
      <w:r w:rsidRPr="00A9020B">
        <w:lastRenderedPageBreak/>
        <w:t xml:space="preserve">Model 3: bevacizumab </w:t>
      </w:r>
      <w:r w:rsidR="00CE6D70" w:rsidRPr="00A9020B">
        <w:t>plus</w:t>
      </w:r>
      <w:r w:rsidRPr="00A9020B">
        <w:t xml:space="preserve"> CAPOX compared with CAPOX</w:t>
      </w:r>
      <w:r w:rsidR="00CE6D70" w:rsidRPr="00A9020B">
        <w:t xml:space="preserve"> alone.</w:t>
      </w:r>
      <w:r w:rsidR="00CE6D70" w:rsidRPr="00A9020B">
        <w:br/>
      </w:r>
      <w:r w:rsidR="00CE6D70" w:rsidRPr="00A9020B">
        <w:br/>
      </w:r>
      <w:r w:rsidR="00957203" w:rsidRPr="00A9020B">
        <w:t>The model</w:t>
      </w:r>
      <w:r w:rsidR="007E0859" w:rsidRPr="00A9020B">
        <w:t>s</w:t>
      </w:r>
      <w:r w:rsidR="00957203" w:rsidRPr="00A9020B">
        <w:t xml:space="preserve"> included 3 mutually exclusive and exhaustive health states: </w:t>
      </w:r>
      <w:r w:rsidR="00957203">
        <w:t>progression</w:t>
      </w:r>
      <w:r w:rsidR="00CE6D70">
        <w:t xml:space="preserve"> </w:t>
      </w:r>
      <w:r w:rsidR="00957203">
        <w:t xml:space="preserve">free, post-progression and dead. </w:t>
      </w:r>
      <w:r w:rsidR="00957203" w:rsidRPr="00A9020B">
        <w:t>All people enter</w:t>
      </w:r>
      <w:r w:rsidR="00214243" w:rsidRPr="00A9020B">
        <w:t>ed</w:t>
      </w:r>
      <w:r w:rsidR="00957203" w:rsidRPr="00A9020B">
        <w:t xml:space="preserve"> the model in the progression-free state and </w:t>
      </w:r>
      <w:r w:rsidR="00CE6D70" w:rsidRPr="00A9020B">
        <w:t xml:space="preserve">had </w:t>
      </w:r>
      <w:r w:rsidR="00957203" w:rsidRPr="00A9020B">
        <w:t xml:space="preserve">treatment with either bevacizumab </w:t>
      </w:r>
      <w:r w:rsidR="00AC3D84" w:rsidRPr="00A9020B">
        <w:t>plus</w:t>
      </w:r>
      <w:r w:rsidR="00957203" w:rsidRPr="00A9020B">
        <w:t xml:space="preserve"> chemotherapy, or chemotherapy alone. </w:t>
      </w:r>
      <w:r w:rsidR="00957203">
        <w:t xml:space="preserve">For simplicity, the model assumed people only </w:t>
      </w:r>
      <w:r w:rsidR="00CE6D70">
        <w:t xml:space="preserve">had </w:t>
      </w:r>
      <w:r w:rsidR="00957203">
        <w:t xml:space="preserve">best supportive care </w:t>
      </w:r>
      <w:r w:rsidR="00CE6D70">
        <w:t xml:space="preserve">after </w:t>
      </w:r>
      <w:r w:rsidR="00957203">
        <w:t>disease progression</w:t>
      </w:r>
      <w:r w:rsidR="00CE6D70">
        <w:t>,</w:t>
      </w:r>
      <w:r w:rsidR="00AC3D84">
        <w:t xml:space="preserve"> which was highlighted as a limitation by the EAG (see </w:t>
      </w:r>
      <w:hyperlink w:anchor="_Model_includes_one">
        <w:r w:rsidR="00152823" w:rsidRPr="24536945">
          <w:rPr>
            <w:rStyle w:val="Hyperlink"/>
          </w:rPr>
          <w:t>section 3.9</w:t>
        </w:r>
      </w:hyperlink>
      <w:r w:rsidR="00AC3D84">
        <w:t>)</w:t>
      </w:r>
      <w:r w:rsidR="00957203">
        <w:t>.</w:t>
      </w:r>
      <w:r w:rsidR="00957203" w:rsidRPr="00A9020B">
        <w:t xml:space="preserve"> People in the model </w:t>
      </w:r>
      <w:r w:rsidR="00AC3D84" w:rsidRPr="00A9020B">
        <w:t>were</w:t>
      </w:r>
      <w:r w:rsidR="00957203" w:rsidRPr="00A9020B">
        <w:t xml:space="preserve"> redistributed across the 3 health states at the end of each monthly cycle. </w:t>
      </w:r>
      <w:r w:rsidR="006359F3" w:rsidRPr="00A9020B">
        <w:rPr>
          <w:color w:val="000000" w:themeColor="text1"/>
        </w:rPr>
        <w:t xml:space="preserve">The committee considered the structure of the </w:t>
      </w:r>
      <w:r w:rsidR="00B74978" w:rsidRPr="00A9020B">
        <w:rPr>
          <w:color w:val="000000" w:themeColor="text1"/>
        </w:rPr>
        <w:t xml:space="preserve">EAG’s </w:t>
      </w:r>
      <w:r w:rsidR="006359F3" w:rsidRPr="00A9020B">
        <w:rPr>
          <w:color w:val="000000" w:themeColor="text1"/>
        </w:rPr>
        <w:t xml:space="preserve">partitioned survival model. </w:t>
      </w:r>
      <w:r w:rsidR="000C71EB" w:rsidRPr="00A9020B">
        <w:rPr>
          <w:color w:val="000000" w:themeColor="text1"/>
        </w:rPr>
        <w:t>It</w:t>
      </w:r>
      <w:r w:rsidR="00554E9E" w:rsidRPr="00A9020B">
        <w:rPr>
          <w:color w:val="000000" w:themeColor="text1"/>
        </w:rPr>
        <w:t xml:space="preserve"> acknowledged that </w:t>
      </w:r>
      <w:r w:rsidR="00B74978" w:rsidRPr="00A9020B">
        <w:rPr>
          <w:color w:val="000000" w:themeColor="text1"/>
        </w:rPr>
        <w:t>the</w:t>
      </w:r>
      <w:r w:rsidR="00554E9E" w:rsidRPr="00A9020B">
        <w:rPr>
          <w:color w:val="000000" w:themeColor="text1"/>
        </w:rPr>
        <w:t xml:space="preserve"> model </w:t>
      </w:r>
      <w:r w:rsidR="00B74978" w:rsidRPr="00A9020B">
        <w:rPr>
          <w:color w:val="000000" w:themeColor="text1"/>
        </w:rPr>
        <w:t xml:space="preserve">used </w:t>
      </w:r>
      <w:r w:rsidR="00554E9E" w:rsidRPr="00A9020B">
        <w:rPr>
          <w:color w:val="000000" w:themeColor="text1"/>
        </w:rPr>
        <w:t xml:space="preserve">a standard approach to estimate the cost effectiveness of cancer medicines and </w:t>
      </w:r>
      <w:r w:rsidR="00B000AA">
        <w:rPr>
          <w:color w:val="000000" w:themeColor="text1"/>
        </w:rPr>
        <w:t>decided</w:t>
      </w:r>
      <w:r w:rsidR="00B000AA" w:rsidRPr="00171077">
        <w:rPr>
          <w:color w:val="000000" w:themeColor="text1"/>
        </w:rPr>
        <w:t xml:space="preserve"> </w:t>
      </w:r>
      <w:r w:rsidR="00554E9E" w:rsidRPr="00A9020B">
        <w:rPr>
          <w:color w:val="000000" w:themeColor="text1"/>
        </w:rPr>
        <w:t xml:space="preserve">it </w:t>
      </w:r>
      <w:r w:rsidR="17AE34FE" w:rsidRPr="5640384E">
        <w:rPr>
          <w:color w:val="000000" w:themeColor="text1"/>
        </w:rPr>
        <w:t xml:space="preserve">was </w:t>
      </w:r>
      <w:r w:rsidR="00554E9E" w:rsidRPr="5640384E">
        <w:rPr>
          <w:color w:val="000000" w:themeColor="text1"/>
        </w:rPr>
        <w:t>appropriate</w:t>
      </w:r>
      <w:r w:rsidR="00554E9E" w:rsidRPr="00A9020B">
        <w:rPr>
          <w:color w:val="000000" w:themeColor="text1"/>
        </w:rPr>
        <w:t xml:space="preserve"> for decision making. </w:t>
      </w:r>
    </w:p>
    <w:p w14:paraId="011CCFA7" w14:textId="38DB91F3" w:rsidR="00C55D8A" w:rsidRPr="00CF632A" w:rsidRDefault="00C55D8A" w:rsidP="00A274D6">
      <w:pPr>
        <w:pStyle w:val="Heading3"/>
      </w:pPr>
      <w:r w:rsidRPr="00CF632A">
        <w:t xml:space="preserve">Key principles </w:t>
      </w:r>
    </w:p>
    <w:p w14:paraId="2BC932FD" w14:textId="32EB1F4E" w:rsidR="00A274D6" w:rsidRPr="00CF632A" w:rsidRDefault="00BE4A10" w:rsidP="00A81A18">
      <w:pPr>
        <w:pStyle w:val="Heading4"/>
      </w:pPr>
      <w:bookmarkStart w:id="21" w:name="_Model_includes_one"/>
      <w:bookmarkEnd w:id="21"/>
      <w:r w:rsidRPr="00CF632A">
        <w:t>Model includes one line of treatment</w:t>
      </w:r>
    </w:p>
    <w:p w14:paraId="774C4888" w14:textId="5A384D37" w:rsidR="001E125C" w:rsidRPr="00CF632A" w:rsidRDefault="00683714" w:rsidP="006809B7">
      <w:pPr>
        <w:pStyle w:val="Numberedlevel2text"/>
        <w:rPr>
          <w:lang w:val="en-GB"/>
        </w:rPr>
      </w:pPr>
      <w:r w:rsidRPr="00CF632A">
        <w:rPr>
          <w:lang w:val="en-GB"/>
        </w:rPr>
        <w:t xml:space="preserve">Given the expedited </w:t>
      </w:r>
      <w:r w:rsidR="007B70E4" w:rsidRPr="00CF632A">
        <w:rPr>
          <w:lang w:val="en-GB"/>
        </w:rPr>
        <w:t xml:space="preserve">nature </w:t>
      </w:r>
      <w:r w:rsidRPr="00CF632A">
        <w:rPr>
          <w:lang w:val="en-GB"/>
        </w:rPr>
        <w:t>of this</w:t>
      </w:r>
      <w:r w:rsidR="004D2488" w:rsidRPr="00CF632A">
        <w:rPr>
          <w:lang w:val="en-GB"/>
        </w:rPr>
        <w:t xml:space="preserve"> </w:t>
      </w:r>
      <w:r w:rsidR="00CA76B1" w:rsidRPr="00A9020B">
        <w:rPr>
          <w:lang w:val="en-GB"/>
        </w:rPr>
        <w:t>evaluation</w:t>
      </w:r>
      <w:r w:rsidRPr="00CF632A">
        <w:rPr>
          <w:lang w:val="en-GB"/>
        </w:rPr>
        <w:t xml:space="preserve">, </w:t>
      </w:r>
      <w:r w:rsidR="00597964" w:rsidRPr="00CF632A">
        <w:rPr>
          <w:lang w:val="en-GB"/>
        </w:rPr>
        <w:t>and because the model was informed by</w:t>
      </w:r>
      <w:r w:rsidR="00365711" w:rsidRPr="00CF632A">
        <w:rPr>
          <w:lang w:val="en-GB"/>
        </w:rPr>
        <w:t xml:space="preserve"> </w:t>
      </w:r>
      <w:r w:rsidR="00D13BB3" w:rsidRPr="00CF632A">
        <w:rPr>
          <w:lang w:val="en-GB"/>
        </w:rPr>
        <w:t>historical trial data</w:t>
      </w:r>
      <w:r w:rsidR="00AF7B31" w:rsidRPr="00A9020B">
        <w:rPr>
          <w:lang w:val="en-GB"/>
        </w:rPr>
        <w:t>,</w:t>
      </w:r>
      <w:r w:rsidR="00E92B1F" w:rsidRPr="00CF632A">
        <w:rPr>
          <w:lang w:val="en-GB"/>
        </w:rPr>
        <w:t xml:space="preserve"> </w:t>
      </w:r>
      <w:r w:rsidRPr="00CF632A">
        <w:rPr>
          <w:lang w:val="en-GB"/>
        </w:rPr>
        <w:t xml:space="preserve">the EAG did not </w:t>
      </w:r>
      <w:r w:rsidR="007B70E4" w:rsidRPr="00CF632A">
        <w:rPr>
          <w:lang w:val="en-GB"/>
        </w:rPr>
        <w:t>run</w:t>
      </w:r>
      <w:r w:rsidRPr="00CF632A">
        <w:rPr>
          <w:lang w:val="en-GB"/>
        </w:rPr>
        <w:t xml:space="preserve"> full sequential treatment models including interventions used later in the mCRC treatment pathway. </w:t>
      </w:r>
      <w:r w:rsidR="00EA247D" w:rsidRPr="00CF632A">
        <w:rPr>
          <w:lang w:val="en-GB"/>
        </w:rPr>
        <w:t xml:space="preserve">The EAG highlighted </w:t>
      </w:r>
      <w:r w:rsidR="00AF7B31" w:rsidRPr="00A9020B">
        <w:rPr>
          <w:lang w:val="en-GB"/>
        </w:rPr>
        <w:t xml:space="preserve">that, </w:t>
      </w:r>
      <w:r w:rsidR="003A2A58" w:rsidRPr="00CF632A">
        <w:rPr>
          <w:lang w:val="en-GB"/>
        </w:rPr>
        <w:t xml:space="preserve">given </w:t>
      </w:r>
      <w:r w:rsidR="00566663" w:rsidRPr="00CF632A">
        <w:rPr>
          <w:lang w:val="en-GB"/>
        </w:rPr>
        <w:t>that the</w:t>
      </w:r>
      <w:r w:rsidR="003A2A58" w:rsidRPr="00CF632A">
        <w:rPr>
          <w:lang w:val="en-GB"/>
        </w:rPr>
        <w:t xml:space="preserve"> available data</w:t>
      </w:r>
      <w:r w:rsidR="00566663" w:rsidRPr="00CF632A">
        <w:rPr>
          <w:lang w:val="en-GB"/>
        </w:rPr>
        <w:t xml:space="preserve"> was from a time before</w:t>
      </w:r>
      <w:r w:rsidR="002D20C7" w:rsidRPr="00CF632A">
        <w:rPr>
          <w:lang w:val="en-GB"/>
        </w:rPr>
        <w:t xml:space="preserve"> current </w:t>
      </w:r>
      <w:r w:rsidR="00586A01" w:rsidRPr="00CF632A">
        <w:rPr>
          <w:lang w:val="en-GB"/>
        </w:rPr>
        <w:t xml:space="preserve">follow-on </w:t>
      </w:r>
      <w:r w:rsidR="0075015E" w:rsidRPr="00CF632A">
        <w:rPr>
          <w:lang w:val="en-GB"/>
        </w:rPr>
        <w:t>treatments were available</w:t>
      </w:r>
      <w:r w:rsidR="00586A01" w:rsidRPr="00CF632A">
        <w:rPr>
          <w:lang w:val="en-GB"/>
        </w:rPr>
        <w:t>,</w:t>
      </w:r>
      <w:r w:rsidR="009B78F5" w:rsidRPr="00CF632A">
        <w:rPr>
          <w:lang w:val="en-GB"/>
        </w:rPr>
        <w:t xml:space="preserve"> </w:t>
      </w:r>
      <w:r w:rsidR="00EA247D" w:rsidRPr="00CF632A">
        <w:rPr>
          <w:lang w:val="en-GB"/>
        </w:rPr>
        <w:t xml:space="preserve">developing full sequential models across all treatment lines was not feasible. </w:t>
      </w:r>
      <w:r w:rsidR="00360AE7" w:rsidRPr="00CF632A">
        <w:rPr>
          <w:lang w:val="en-GB"/>
        </w:rPr>
        <w:t xml:space="preserve">Instead, the </w:t>
      </w:r>
      <w:r w:rsidR="00AB6E85" w:rsidRPr="00CF632A">
        <w:rPr>
          <w:lang w:val="en-GB"/>
        </w:rPr>
        <w:t xml:space="preserve">model </w:t>
      </w:r>
      <w:r w:rsidR="00405C63" w:rsidRPr="00CF632A">
        <w:rPr>
          <w:lang w:val="en-GB"/>
        </w:rPr>
        <w:t>assume</w:t>
      </w:r>
      <w:r w:rsidR="00360AE7" w:rsidRPr="00CF632A">
        <w:rPr>
          <w:lang w:val="en-GB"/>
        </w:rPr>
        <w:t>d</w:t>
      </w:r>
      <w:r w:rsidR="00405C63" w:rsidRPr="00CF632A">
        <w:rPr>
          <w:lang w:val="en-GB"/>
        </w:rPr>
        <w:t xml:space="preserve"> that </w:t>
      </w:r>
      <w:r w:rsidR="00AF7B31" w:rsidRPr="00A9020B">
        <w:rPr>
          <w:lang w:val="en-GB"/>
        </w:rPr>
        <w:t xml:space="preserve">after </w:t>
      </w:r>
      <w:r w:rsidR="00405C63" w:rsidRPr="00CF632A">
        <w:rPr>
          <w:lang w:val="en-GB"/>
        </w:rPr>
        <w:t>disease progression, p</w:t>
      </w:r>
      <w:r w:rsidR="00431786" w:rsidRPr="00CF632A">
        <w:rPr>
          <w:lang w:val="en-GB"/>
        </w:rPr>
        <w:t>eople</w:t>
      </w:r>
      <w:r w:rsidR="00405C63" w:rsidRPr="00CF632A">
        <w:rPr>
          <w:lang w:val="en-GB"/>
        </w:rPr>
        <w:t xml:space="preserve"> would</w:t>
      </w:r>
      <w:r w:rsidR="003E2C8E" w:rsidRPr="00CF632A">
        <w:rPr>
          <w:lang w:val="en-GB"/>
        </w:rPr>
        <w:t xml:space="preserve"> </w:t>
      </w:r>
      <w:r w:rsidR="00AF7B31" w:rsidRPr="00A9020B">
        <w:rPr>
          <w:lang w:val="en-GB"/>
        </w:rPr>
        <w:t xml:space="preserve">have </w:t>
      </w:r>
      <w:r w:rsidR="003E2C8E" w:rsidRPr="00CF632A">
        <w:rPr>
          <w:lang w:val="en-GB"/>
        </w:rPr>
        <w:t>best supportive care</w:t>
      </w:r>
      <w:r w:rsidR="00EA294A" w:rsidRPr="00CF632A">
        <w:rPr>
          <w:lang w:val="en-GB"/>
        </w:rPr>
        <w:t>. As a result,</w:t>
      </w:r>
      <w:r w:rsidR="003B4D1B" w:rsidRPr="00CF632A">
        <w:rPr>
          <w:lang w:val="en-GB"/>
        </w:rPr>
        <w:t xml:space="preserve"> </w:t>
      </w:r>
      <w:r w:rsidR="00D7625C" w:rsidRPr="00CF632A">
        <w:rPr>
          <w:lang w:val="en-GB"/>
        </w:rPr>
        <w:t xml:space="preserve">costs and </w:t>
      </w:r>
      <w:r w:rsidR="00AF7B31" w:rsidRPr="00A9020B">
        <w:rPr>
          <w:lang w:val="en-GB"/>
        </w:rPr>
        <w:t>quality-adjusted life years (</w:t>
      </w:r>
      <w:r w:rsidR="00D7625C" w:rsidRPr="00CF632A">
        <w:rPr>
          <w:lang w:val="en-GB"/>
        </w:rPr>
        <w:t>QALYs</w:t>
      </w:r>
      <w:r w:rsidR="00AF7B31" w:rsidRPr="00A9020B">
        <w:rPr>
          <w:lang w:val="en-GB"/>
        </w:rPr>
        <w:t>)</w:t>
      </w:r>
      <w:r w:rsidR="00D7625C" w:rsidRPr="00CF632A">
        <w:rPr>
          <w:lang w:val="en-GB"/>
        </w:rPr>
        <w:t xml:space="preserve"> associated with subsequent treatments </w:t>
      </w:r>
      <w:r w:rsidR="003B4D1B" w:rsidRPr="00CF632A">
        <w:rPr>
          <w:lang w:val="en-GB"/>
        </w:rPr>
        <w:t>were not included</w:t>
      </w:r>
      <w:r w:rsidR="003B4D1B" w:rsidRPr="00CF632A">
        <w:rPr>
          <w:color w:val="FF0000"/>
          <w:lang w:val="en-GB"/>
        </w:rPr>
        <w:t>.</w:t>
      </w:r>
      <w:r w:rsidR="00A7591D" w:rsidRPr="00CF632A">
        <w:rPr>
          <w:color w:val="FF0000"/>
          <w:lang w:val="en-GB"/>
        </w:rPr>
        <w:t xml:space="preserve"> </w:t>
      </w:r>
      <w:r w:rsidR="00FE3464" w:rsidRPr="00CF632A">
        <w:rPr>
          <w:lang w:val="en-GB"/>
        </w:rPr>
        <w:t>The EAG</w:t>
      </w:r>
      <w:r w:rsidR="009B78F5" w:rsidRPr="00CF632A">
        <w:rPr>
          <w:lang w:val="en-GB"/>
        </w:rPr>
        <w:t xml:space="preserve"> </w:t>
      </w:r>
      <w:r w:rsidR="00AF7B31" w:rsidRPr="00A9020B">
        <w:rPr>
          <w:lang w:val="en-GB"/>
        </w:rPr>
        <w:t xml:space="preserve">thought </w:t>
      </w:r>
      <w:r w:rsidR="00615F0D" w:rsidRPr="00CF632A">
        <w:rPr>
          <w:lang w:val="en-GB"/>
        </w:rPr>
        <w:t xml:space="preserve">that this approach was satisfactory in the context of this </w:t>
      </w:r>
      <w:r w:rsidR="00AF7B31" w:rsidRPr="00A9020B">
        <w:rPr>
          <w:lang w:val="en-GB"/>
        </w:rPr>
        <w:t>evaluation</w:t>
      </w:r>
      <w:r w:rsidR="00615F0D" w:rsidRPr="00CF632A">
        <w:rPr>
          <w:lang w:val="en-GB"/>
        </w:rPr>
        <w:t xml:space="preserve"> because:</w:t>
      </w:r>
    </w:p>
    <w:p w14:paraId="686B92C3" w14:textId="74D28102" w:rsidR="00C572FB" w:rsidRPr="00CF632A" w:rsidRDefault="00353977" w:rsidP="001E125C">
      <w:pPr>
        <w:pStyle w:val="Bulletindent1"/>
      </w:pPr>
      <w:r w:rsidRPr="00A9020B">
        <w:t>S</w:t>
      </w:r>
      <w:r w:rsidR="00EC3DAA" w:rsidRPr="00CF632A">
        <w:t>u</w:t>
      </w:r>
      <w:r w:rsidR="003B5778" w:rsidRPr="00CF632A">
        <w:t>bsequent</w:t>
      </w:r>
      <w:r w:rsidR="00316EE4" w:rsidRPr="00CF632A">
        <w:t xml:space="preserve"> treatments recommended by</w:t>
      </w:r>
      <w:r w:rsidR="003B5778" w:rsidRPr="00CF632A">
        <w:t xml:space="preserve"> NICE after the relevant treatment line are cost</w:t>
      </w:r>
      <w:r w:rsidRPr="00A9020B">
        <w:t xml:space="preserve"> </w:t>
      </w:r>
      <w:r w:rsidR="003B5778" w:rsidRPr="00CF632A">
        <w:t>effective</w:t>
      </w:r>
      <w:r w:rsidR="00615F0D" w:rsidRPr="00CF632A">
        <w:t xml:space="preserve">. </w:t>
      </w:r>
      <w:proofErr w:type="gramStart"/>
      <w:r w:rsidR="006E3292" w:rsidRPr="00A9020B">
        <w:t>So</w:t>
      </w:r>
      <w:proofErr w:type="gramEnd"/>
      <w:r w:rsidR="006E3292" w:rsidRPr="00A9020B">
        <w:t xml:space="preserve"> </w:t>
      </w:r>
      <w:r w:rsidR="003B5778" w:rsidRPr="00CF632A">
        <w:t>extending</w:t>
      </w:r>
      <w:r w:rsidR="00E43AD2" w:rsidRPr="00CF632A">
        <w:t xml:space="preserve"> </w:t>
      </w:r>
      <w:r w:rsidR="003B5778" w:rsidRPr="00CF632A">
        <w:t>life</w:t>
      </w:r>
      <w:r w:rsidR="00805C14" w:rsidRPr="00CF632A">
        <w:t xml:space="preserve"> </w:t>
      </w:r>
      <w:r w:rsidR="003B5778" w:rsidRPr="00CF632A">
        <w:t xml:space="preserve">with first-line bevacizumab </w:t>
      </w:r>
      <w:r w:rsidR="00B45CAC" w:rsidRPr="00CF632A">
        <w:t xml:space="preserve">plus chemotherapy </w:t>
      </w:r>
      <w:r w:rsidR="003B5778" w:rsidRPr="00CF632A">
        <w:t>would</w:t>
      </w:r>
      <w:r w:rsidR="00C959BF" w:rsidRPr="00CF632A">
        <w:t xml:space="preserve"> increase the overall</w:t>
      </w:r>
      <w:r w:rsidR="00CD323A" w:rsidRPr="00CF632A">
        <w:t xml:space="preserve"> net </w:t>
      </w:r>
      <w:r w:rsidR="00CD323A" w:rsidRPr="00CF632A">
        <w:lastRenderedPageBreak/>
        <w:t>monetary benefit of a treatment</w:t>
      </w:r>
      <w:r w:rsidR="003809D7" w:rsidRPr="00CF632A">
        <w:t xml:space="preserve"> st</w:t>
      </w:r>
      <w:r w:rsidR="00273053" w:rsidRPr="00CF632A">
        <w:t>rategy.</w:t>
      </w:r>
      <w:r w:rsidR="000022CF" w:rsidRPr="00CF632A">
        <w:t xml:space="preserve"> </w:t>
      </w:r>
      <w:r w:rsidR="00C959BF" w:rsidRPr="00CF632A">
        <w:t>If</w:t>
      </w:r>
      <w:r w:rsidR="000022CF" w:rsidRPr="00CF632A">
        <w:t xml:space="preserve"> subsequent treatments are cost</w:t>
      </w:r>
      <w:r w:rsidRPr="00A9020B">
        <w:t xml:space="preserve"> </w:t>
      </w:r>
      <w:r w:rsidR="000022CF" w:rsidRPr="00CF632A">
        <w:t xml:space="preserve">effective, then for each pound spent, </w:t>
      </w:r>
      <w:r w:rsidR="00ED488F" w:rsidRPr="00CF632A">
        <w:t xml:space="preserve">they would generate health benefits that meet </w:t>
      </w:r>
      <w:r w:rsidR="00DF41CC">
        <w:t>the</w:t>
      </w:r>
      <w:r w:rsidR="000B1C74" w:rsidRPr="00CF632A">
        <w:t xml:space="preserve"> thres</w:t>
      </w:r>
      <w:r w:rsidR="0010111B" w:rsidRPr="00CF632A">
        <w:t>hold needed for</w:t>
      </w:r>
      <w:r w:rsidR="00ED488F" w:rsidRPr="00CF632A">
        <w:t xml:space="preserve"> cost</w:t>
      </w:r>
      <w:r w:rsidR="007B6537" w:rsidRPr="00A9020B">
        <w:t xml:space="preserve"> </w:t>
      </w:r>
      <w:r w:rsidR="00ED488F" w:rsidRPr="00CF632A">
        <w:t>effectiveness.</w:t>
      </w:r>
    </w:p>
    <w:p w14:paraId="26FAF557" w14:textId="2D3A4382" w:rsidR="000B1CE9" w:rsidRPr="00CF632A" w:rsidRDefault="00187FAE" w:rsidP="004A348A">
      <w:pPr>
        <w:pStyle w:val="Bulletindent1last"/>
      </w:pPr>
      <w:r w:rsidRPr="00CF632A">
        <w:t xml:space="preserve">It </w:t>
      </w:r>
      <w:r w:rsidR="006A0ABA" w:rsidRPr="00A9020B">
        <w:t xml:space="preserve">was </w:t>
      </w:r>
      <w:r w:rsidRPr="00CF632A">
        <w:t xml:space="preserve">reasonable to </w:t>
      </w:r>
      <w:r w:rsidR="004B4119" w:rsidRPr="00CF632A">
        <w:t xml:space="preserve">assume </w:t>
      </w:r>
      <w:r w:rsidR="00C572FB" w:rsidRPr="00CF632A">
        <w:t xml:space="preserve">that </w:t>
      </w:r>
      <w:r w:rsidR="007B6537" w:rsidRPr="00A9020B">
        <w:t xml:space="preserve">the </w:t>
      </w:r>
      <w:r w:rsidR="00C572FB" w:rsidRPr="00CF632A">
        <w:t xml:space="preserve">relative effectiveness </w:t>
      </w:r>
      <w:r w:rsidR="007B6537" w:rsidRPr="00A9020B">
        <w:t xml:space="preserve">of subsequent treatments would </w:t>
      </w:r>
      <w:r w:rsidR="00C572FB" w:rsidRPr="00CF632A">
        <w:t xml:space="preserve">not </w:t>
      </w:r>
      <w:r w:rsidR="007B6537" w:rsidRPr="00A9020B">
        <w:t xml:space="preserve">be </w:t>
      </w:r>
      <w:r w:rsidR="00C572FB" w:rsidRPr="00CF632A">
        <w:t>affected by earlier use of bevacizumab</w:t>
      </w:r>
      <w:r w:rsidR="00353977" w:rsidRPr="00A9020B">
        <w:t xml:space="preserve">. </w:t>
      </w:r>
      <w:r w:rsidR="00353977" w:rsidRPr="00A9020B">
        <w:br/>
      </w:r>
      <w:r w:rsidR="00353977" w:rsidRPr="00A9020B">
        <w:br/>
      </w:r>
      <w:r w:rsidR="00615F0D" w:rsidRPr="00CF632A">
        <w:t>T</w:t>
      </w:r>
      <w:r w:rsidR="00E74C69" w:rsidRPr="00CF632A">
        <w:t>he EAG noted that this approach</w:t>
      </w:r>
      <w:r w:rsidR="005974C6" w:rsidRPr="00CF632A">
        <w:t xml:space="preserve"> </w:t>
      </w:r>
      <w:r w:rsidR="006A0ABA" w:rsidRPr="00A9020B">
        <w:t xml:space="preserve">was </w:t>
      </w:r>
      <w:r w:rsidR="00E74C69" w:rsidRPr="00CF632A">
        <w:t xml:space="preserve">likely to underestimate life expectancy and QALYs associated with the standard care arm, which </w:t>
      </w:r>
      <w:r w:rsidR="006A0ABA" w:rsidRPr="00A9020B">
        <w:t xml:space="preserve">was </w:t>
      </w:r>
      <w:r w:rsidR="00E74C69" w:rsidRPr="00CF632A">
        <w:t xml:space="preserve">important when considering whether the severity modifier </w:t>
      </w:r>
      <w:r w:rsidR="006A0ABA" w:rsidRPr="00A9020B">
        <w:t xml:space="preserve">was </w:t>
      </w:r>
      <w:r w:rsidR="00E74C69" w:rsidRPr="00CF632A">
        <w:t xml:space="preserve">applicable (see </w:t>
      </w:r>
      <w:hyperlink w:anchor="_Severity_modifier_1">
        <w:r w:rsidR="00152823" w:rsidRPr="6A27DEE6">
          <w:rPr>
            <w:rStyle w:val="Hyperlink"/>
          </w:rPr>
          <w:t>section 3.16</w:t>
        </w:r>
      </w:hyperlink>
      <w:r w:rsidR="00E74C69">
        <w:t>).</w:t>
      </w:r>
      <w:r w:rsidR="001366AA" w:rsidRPr="00CF632A">
        <w:t xml:space="preserve"> </w:t>
      </w:r>
      <w:r w:rsidR="00A935F5" w:rsidRPr="00CF632A">
        <w:t>The committee</w:t>
      </w:r>
      <w:r w:rsidR="0009157F" w:rsidRPr="00CF632A">
        <w:t xml:space="preserve"> agree</w:t>
      </w:r>
      <w:r w:rsidR="00D56D6F" w:rsidRPr="00CF632A">
        <w:t xml:space="preserve">d </w:t>
      </w:r>
      <w:r w:rsidR="000C4712" w:rsidRPr="00CF632A">
        <w:t>that</w:t>
      </w:r>
      <w:r w:rsidR="004D2E2F" w:rsidRPr="00CF632A">
        <w:t>,</w:t>
      </w:r>
      <w:r w:rsidR="000C4712" w:rsidRPr="00CF632A">
        <w:t xml:space="preserve"> </w:t>
      </w:r>
      <w:r w:rsidR="00AE6EA8" w:rsidRPr="00CF632A">
        <w:t xml:space="preserve">given the data </w:t>
      </w:r>
      <w:r w:rsidR="29966781">
        <w:t>and time</w:t>
      </w:r>
      <w:r w:rsidR="00AE6EA8">
        <w:t xml:space="preserve"> </w:t>
      </w:r>
      <w:r w:rsidR="00AE6EA8" w:rsidRPr="00CF632A">
        <w:t>limitations</w:t>
      </w:r>
      <w:r w:rsidR="006A0ABA" w:rsidRPr="00A9020B">
        <w:t>,</w:t>
      </w:r>
      <w:r w:rsidR="00AE6EA8" w:rsidRPr="00CF632A">
        <w:t xml:space="preserve"> the approach was reasonable</w:t>
      </w:r>
      <w:r w:rsidR="004D2E2F" w:rsidRPr="00CF632A">
        <w:t xml:space="preserve"> for this type of review</w:t>
      </w:r>
      <w:r w:rsidR="00AE6EA8" w:rsidRPr="00CF632A">
        <w:t xml:space="preserve">. It further agreed that </w:t>
      </w:r>
      <w:r w:rsidR="00044F7A" w:rsidRPr="00CF632A">
        <w:t xml:space="preserve">it was </w:t>
      </w:r>
      <w:r w:rsidR="00D04C41" w:rsidRPr="00CF632A">
        <w:t>reasonable t</w:t>
      </w:r>
      <w:r w:rsidR="00271E51" w:rsidRPr="00CF632A">
        <w:t xml:space="preserve">o </w:t>
      </w:r>
      <w:r w:rsidR="00EC172D" w:rsidRPr="00CF632A">
        <w:t>assume that the</w:t>
      </w:r>
      <w:r w:rsidR="002C7EC1" w:rsidRPr="00CF632A">
        <w:t xml:space="preserve"> relative</w:t>
      </w:r>
      <w:r w:rsidR="00EC172D" w:rsidRPr="00CF632A">
        <w:t xml:space="preserve"> effectiveness of l</w:t>
      </w:r>
      <w:r w:rsidR="000B1CE9" w:rsidRPr="00CF632A">
        <w:t>ater treatments and their cost effectiveness would not be affected by earlier bevacizumab because:</w:t>
      </w:r>
    </w:p>
    <w:p w14:paraId="73491F13" w14:textId="7081B7D5" w:rsidR="005923FA" w:rsidRPr="00CF632A" w:rsidRDefault="005923FA" w:rsidP="000B1CE9">
      <w:pPr>
        <w:pStyle w:val="Bulletindent1"/>
      </w:pPr>
      <w:r w:rsidRPr="00A9020B">
        <w:t>T</w:t>
      </w:r>
      <w:r w:rsidR="007E7C67" w:rsidRPr="00A9020B">
        <w:t xml:space="preserve">he hazard ratios reported by </w:t>
      </w:r>
      <w:hyperlink r:id="rId36" w:history="1">
        <w:r w:rsidR="007E7C67" w:rsidRPr="00A9020B">
          <w:rPr>
            <w:rStyle w:val="Hyperlink"/>
            <w:rFonts w:cs="Arial"/>
            <w:szCs w:val="22"/>
          </w:rPr>
          <w:t>Masi et al.</w:t>
        </w:r>
        <w:r w:rsidR="001C14CE" w:rsidRPr="00A9020B">
          <w:rPr>
            <w:rStyle w:val="Hyperlink"/>
            <w:rFonts w:cs="Arial"/>
            <w:szCs w:val="22"/>
          </w:rPr>
          <w:t xml:space="preserve"> </w:t>
        </w:r>
        <w:r w:rsidR="007E7C67" w:rsidRPr="00A9020B">
          <w:rPr>
            <w:rStyle w:val="Hyperlink"/>
            <w:rFonts w:cs="Arial"/>
            <w:szCs w:val="22"/>
          </w:rPr>
          <w:t>(2015)</w:t>
        </w:r>
      </w:hyperlink>
      <w:r w:rsidR="007E7C67" w:rsidRPr="00CF632A">
        <w:t xml:space="preserve"> (</w:t>
      </w:r>
      <w:r w:rsidR="00581D91">
        <w:t>for</w:t>
      </w:r>
      <w:r w:rsidR="007E7C67" w:rsidRPr="00CF632A">
        <w:t xml:space="preserve"> bevacizumab used </w:t>
      </w:r>
      <w:r w:rsidR="000928D1" w:rsidRPr="00A9020B">
        <w:t xml:space="preserve">at </w:t>
      </w:r>
      <w:r w:rsidR="007E7C67" w:rsidRPr="00CF632A">
        <w:t>second</w:t>
      </w:r>
      <w:r w:rsidR="000928D1" w:rsidRPr="00A9020B">
        <w:t xml:space="preserve"> </w:t>
      </w:r>
      <w:r w:rsidR="007E7C67" w:rsidRPr="00CF632A">
        <w:t xml:space="preserve">line </w:t>
      </w:r>
      <w:r w:rsidR="000928D1" w:rsidRPr="00A9020B">
        <w:t xml:space="preserve">after </w:t>
      </w:r>
      <w:r w:rsidR="007E7C67" w:rsidRPr="00CF632A">
        <w:t xml:space="preserve">first-line bevacizumab) </w:t>
      </w:r>
      <w:r w:rsidR="000928D1" w:rsidRPr="00A9020B">
        <w:t xml:space="preserve">were </w:t>
      </w:r>
      <w:r w:rsidR="007E7C67" w:rsidRPr="00CF632A">
        <w:t xml:space="preserve">similar to those from studies </w:t>
      </w:r>
      <w:r w:rsidR="00784962">
        <w:t>in which</w:t>
      </w:r>
      <w:r w:rsidR="00784962" w:rsidRPr="00171077">
        <w:t xml:space="preserve"> </w:t>
      </w:r>
      <w:r w:rsidR="007E7C67" w:rsidRPr="00CF632A">
        <w:t xml:space="preserve">bevacizumab was not used </w:t>
      </w:r>
      <w:r w:rsidR="00486BFD" w:rsidRPr="00A9020B">
        <w:t xml:space="preserve">at </w:t>
      </w:r>
      <w:r w:rsidR="007E7C67" w:rsidRPr="00CF632A">
        <w:t>first</w:t>
      </w:r>
      <w:r w:rsidR="00486BFD" w:rsidRPr="00A9020B">
        <w:t xml:space="preserve"> </w:t>
      </w:r>
      <w:r w:rsidR="007E7C67" w:rsidRPr="00CF632A">
        <w:t xml:space="preserve">line. </w:t>
      </w:r>
      <w:r w:rsidR="009D5627" w:rsidRPr="00CF632A">
        <w:t>A clinical expert</w:t>
      </w:r>
      <w:r w:rsidR="00EE397A" w:rsidRPr="00CF632A">
        <w:t xml:space="preserve"> noted</w:t>
      </w:r>
      <w:r w:rsidR="0042642A" w:rsidRPr="00CF632A">
        <w:t xml:space="preserve"> that </w:t>
      </w:r>
      <w:r w:rsidR="00486BFD" w:rsidRPr="00A9020B">
        <w:t xml:space="preserve">they </w:t>
      </w:r>
      <w:r w:rsidR="0042642A" w:rsidRPr="00CF632A">
        <w:t>e</w:t>
      </w:r>
      <w:r w:rsidR="009E51EE" w:rsidRPr="00CF632A">
        <w:t>xpected maintained efficac</w:t>
      </w:r>
      <w:r w:rsidR="00F81CC5" w:rsidRPr="00CF632A">
        <w:t>y</w:t>
      </w:r>
      <w:r w:rsidR="009D0DF7" w:rsidRPr="00CF632A">
        <w:t xml:space="preserve"> of bevacizumab</w:t>
      </w:r>
      <w:r w:rsidR="00074209" w:rsidRPr="00CF632A">
        <w:t xml:space="preserve"> on repeated use</w:t>
      </w:r>
      <w:r w:rsidR="001C11D0" w:rsidRPr="00CF632A">
        <w:t xml:space="preserve">, </w:t>
      </w:r>
      <w:r w:rsidR="00486BFD" w:rsidRPr="00A9020B">
        <w:t xml:space="preserve">and that </w:t>
      </w:r>
      <w:r w:rsidR="00EE397A" w:rsidRPr="00CF632A">
        <w:t xml:space="preserve">if </w:t>
      </w:r>
      <w:r w:rsidR="00486BFD" w:rsidRPr="00A9020B">
        <w:t>efficacy</w:t>
      </w:r>
      <w:r w:rsidR="00EE397A" w:rsidRPr="00CF632A">
        <w:t xml:space="preserve"> decreased</w:t>
      </w:r>
      <w:r w:rsidR="00D05D3F" w:rsidRPr="00CF632A">
        <w:t>, the decrease</w:t>
      </w:r>
      <w:r w:rsidR="009071CD" w:rsidRPr="00CF632A">
        <w:t xml:space="preserve"> would be expected to be small</w:t>
      </w:r>
      <w:r w:rsidR="00B673E0" w:rsidRPr="00CF632A">
        <w:t>.</w:t>
      </w:r>
    </w:p>
    <w:p w14:paraId="3A5162A6" w14:textId="6291A352" w:rsidR="00FC75D9" w:rsidRPr="00CF632A" w:rsidRDefault="00486BFD" w:rsidP="004A348A">
      <w:pPr>
        <w:pStyle w:val="Bulletindent1last"/>
      </w:pPr>
      <w:r w:rsidRPr="00A9020B">
        <w:t>T</w:t>
      </w:r>
      <w:r w:rsidR="005923FA" w:rsidRPr="00A9020B">
        <w:t>he</w:t>
      </w:r>
      <w:r w:rsidR="005923FA" w:rsidRPr="00CF632A">
        <w:t xml:space="preserve"> </w:t>
      </w:r>
      <w:r w:rsidR="00E53CC8" w:rsidRPr="00CF632A">
        <w:t xml:space="preserve">clinical experts </w:t>
      </w:r>
      <w:r w:rsidRPr="00A9020B">
        <w:t xml:space="preserve">stated </w:t>
      </w:r>
      <w:r w:rsidR="00E53CC8" w:rsidRPr="00CF632A">
        <w:t xml:space="preserve">that the </w:t>
      </w:r>
      <w:r w:rsidR="00D140BB" w:rsidRPr="00CF632A">
        <w:t xml:space="preserve">clinical trials used to inform the </w:t>
      </w:r>
      <w:proofErr w:type="gramStart"/>
      <w:r w:rsidR="00D140BB" w:rsidRPr="00CF632A">
        <w:t>clinical</w:t>
      </w:r>
      <w:r w:rsidRPr="00A9020B">
        <w:t>-</w:t>
      </w:r>
      <w:r w:rsidR="002C52D7" w:rsidRPr="00CF632A">
        <w:t>effectiveness</w:t>
      </w:r>
      <w:proofErr w:type="gramEnd"/>
      <w:r w:rsidR="002C52D7" w:rsidRPr="00CF632A">
        <w:t xml:space="preserve"> estimates of subsequent treatments</w:t>
      </w:r>
      <w:r w:rsidR="00233543" w:rsidRPr="00CF632A">
        <w:t xml:space="preserve"> (in the</w:t>
      </w:r>
      <w:r w:rsidR="009D7E93" w:rsidRPr="00CF632A">
        <w:t xml:space="preserve"> NICE appraisa</w:t>
      </w:r>
      <w:r w:rsidR="00D46D2D" w:rsidRPr="00CF632A">
        <w:t>ls</w:t>
      </w:r>
      <w:r w:rsidR="00290427" w:rsidRPr="00CF632A">
        <w:t xml:space="preserve"> of those medicines</w:t>
      </w:r>
      <w:r w:rsidR="00D46D2D" w:rsidRPr="00CF632A">
        <w:t>)</w:t>
      </w:r>
      <w:r w:rsidR="006008D0" w:rsidRPr="00CF632A">
        <w:t xml:space="preserve"> were international and had included people who had previous</w:t>
      </w:r>
      <w:r w:rsidR="001032AD" w:rsidRPr="00CF632A">
        <w:t>ly had bevacizumab</w:t>
      </w:r>
      <w:r w:rsidR="00D4541B" w:rsidRPr="00CF632A">
        <w:t xml:space="preserve">. </w:t>
      </w:r>
      <w:proofErr w:type="gramStart"/>
      <w:r w:rsidR="00CE5188" w:rsidRPr="00A9020B">
        <w:t>So</w:t>
      </w:r>
      <w:proofErr w:type="gramEnd"/>
      <w:r w:rsidR="00D4541B" w:rsidRPr="00CF632A">
        <w:t xml:space="preserve"> the impac</w:t>
      </w:r>
      <w:r w:rsidR="005D2CE7" w:rsidRPr="00CF632A">
        <w:t>t o</w:t>
      </w:r>
      <w:r w:rsidR="00901254" w:rsidRPr="00CF632A">
        <w:t>f</w:t>
      </w:r>
      <w:r w:rsidR="009A7337" w:rsidRPr="00CF632A">
        <w:t xml:space="preserve"> having</w:t>
      </w:r>
      <w:r w:rsidR="00901254" w:rsidRPr="00CF632A">
        <w:t xml:space="preserve"> </w:t>
      </w:r>
      <w:r w:rsidR="00CE5188" w:rsidRPr="00A9020B">
        <w:t xml:space="preserve">previous </w:t>
      </w:r>
      <w:r w:rsidR="00901254" w:rsidRPr="00CF632A">
        <w:t>beva</w:t>
      </w:r>
      <w:r w:rsidR="009A7337" w:rsidRPr="00CF632A">
        <w:t>cizumab may have been captured to some extent</w:t>
      </w:r>
      <w:r w:rsidR="00CE5188" w:rsidRPr="00A9020B">
        <w:t>.</w:t>
      </w:r>
      <w:r w:rsidR="001C14CE" w:rsidRPr="00A9020B">
        <w:br/>
      </w:r>
      <w:r w:rsidR="001C14CE" w:rsidRPr="00A9020B">
        <w:br/>
      </w:r>
      <w:r w:rsidR="009A7337" w:rsidRPr="00CF632A">
        <w:t>The</w:t>
      </w:r>
      <w:r w:rsidR="006C135B" w:rsidRPr="00CF632A">
        <w:t xml:space="preserve"> committee</w:t>
      </w:r>
      <w:r w:rsidR="006008D0" w:rsidRPr="00CF632A">
        <w:t xml:space="preserve"> </w:t>
      </w:r>
      <w:r w:rsidR="00A935F5" w:rsidRPr="00CF632A">
        <w:t>acknowledged that</w:t>
      </w:r>
      <w:r w:rsidR="0036716F" w:rsidRPr="00CF632A">
        <w:t xml:space="preserve"> </w:t>
      </w:r>
      <w:r w:rsidR="00A935F5" w:rsidRPr="00CF632A">
        <w:t xml:space="preserve">the EAG did not model full treatment sequences beyond the relevant line of therapy. The committee would have preferred </w:t>
      </w:r>
      <w:r w:rsidR="41794D29">
        <w:t>subsequent</w:t>
      </w:r>
      <w:r w:rsidR="00A935F5" w:rsidRPr="00CF632A">
        <w:t xml:space="preserve"> treatments</w:t>
      </w:r>
      <w:r w:rsidR="00CE5188" w:rsidRPr="00A9020B">
        <w:t xml:space="preserve"> to be modelled</w:t>
      </w:r>
      <w:r w:rsidR="00A935F5" w:rsidRPr="00CF632A">
        <w:t>, but</w:t>
      </w:r>
      <w:r w:rsidR="00186562" w:rsidRPr="00CF632A">
        <w:t xml:space="preserve"> it</w:t>
      </w:r>
      <w:r w:rsidR="00A935F5" w:rsidRPr="00CF632A">
        <w:t xml:space="preserve"> agreed that the EAG’s approach was appropriate in </w:t>
      </w:r>
      <w:r w:rsidR="00E2267F">
        <w:t>the context o</w:t>
      </w:r>
      <w:r w:rsidR="00464797">
        <w:t>f this pilot</w:t>
      </w:r>
      <w:r w:rsidR="0010065E" w:rsidRPr="00A9020B">
        <w:t xml:space="preserve">. It </w:t>
      </w:r>
      <w:r w:rsidR="0010065E" w:rsidRPr="00A9020B">
        <w:lastRenderedPageBreak/>
        <w:t>noted that it</w:t>
      </w:r>
      <w:r w:rsidR="00A935F5" w:rsidRPr="00CF632A">
        <w:t xml:space="preserve"> </w:t>
      </w:r>
      <w:r w:rsidR="003F0505" w:rsidRPr="00CF632A">
        <w:t xml:space="preserve">would take the uncertainty resulting from this </w:t>
      </w:r>
      <w:r w:rsidR="00B439E0" w:rsidRPr="00CF632A">
        <w:t>approach int</w:t>
      </w:r>
      <w:r w:rsidR="00A24D92" w:rsidRPr="00CF632A">
        <w:t xml:space="preserve">o account in </w:t>
      </w:r>
      <w:r w:rsidR="00E01916" w:rsidRPr="00CF632A">
        <w:t>its decision making.</w:t>
      </w:r>
    </w:p>
    <w:p w14:paraId="6E238FF8" w14:textId="18C9F2DB" w:rsidR="009F6058" w:rsidRPr="00CF632A" w:rsidRDefault="00353ECE" w:rsidP="00A77D8C">
      <w:pPr>
        <w:pStyle w:val="Heading3"/>
      </w:pPr>
      <w:bookmarkStart w:id="22" w:name="_Early_treatment_with"/>
      <w:bookmarkEnd w:id="22"/>
      <w:r w:rsidRPr="00CF632A">
        <w:t>Survival extrapolations</w:t>
      </w:r>
    </w:p>
    <w:p w14:paraId="60A00B21" w14:textId="105D2CDE" w:rsidR="00905FDC" w:rsidRPr="00CF632A" w:rsidRDefault="00E47B03" w:rsidP="004A348A">
      <w:pPr>
        <w:pStyle w:val="Numberedlevel2text"/>
        <w:rPr>
          <w:bCs w:val="0"/>
          <w:iCs w:val="0"/>
          <w:lang w:val="en-GB"/>
        </w:rPr>
      </w:pPr>
      <w:r w:rsidRPr="00CF632A">
        <w:rPr>
          <w:bCs w:val="0"/>
          <w:iCs w:val="0"/>
          <w:lang w:val="en-GB"/>
        </w:rPr>
        <w:t>Studies NO169665 and AVF2107g were the primary sources of first-line clinical</w:t>
      </w:r>
      <w:r w:rsidR="00C60CEE" w:rsidRPr="00A9020B">
        <w:rPr>
          <w:lang w:val="en-GB"/>
        </w:rPr>
        <w:t>-</w:t>
      </w:r>
      <w:r w:rsidRPr="00CF632A">
        <w:rPr>
          <w:bCs w:val="0"/>
          <w:iCs w:val="0"/>
          <w:lang w:val="en-GB"/>
        </w:rPr>
        <w:t xml:space="preserve">effectiveness evidence </w:t>
      </w:r>
      <w:r w:rsidR="00D2257E">
        <w:rPr>
          <w:bCs w:val="0"/>
          <w:iCs w:val="0"/>
          <w:lang w:val="en-GB"/>
        </w:rPr>
        <w:t>for</w:t>
      </w:r>
      <w:r w:rsidR="00D2257E" w:rsidRPr="00171077">
        <w:rPr>
          <w:bCs w:val="0"/>
          <w:iCs w:val="0"/>
          <w:lang w:val="en-GB"/>
        </w:rPr>
        <w:t xml:space="preserve"> </w:t>
      </w:r>
      <w:r w:rsidRPr="00CF632A">
        <w:rPr>
          <w:bCs w:val="0"/>
          <w:iCs w:val="0"/>
          <w:lang w:val="en-GB"/>
        </w:rPr>
        <w:t xml:space="preserve">bevacizumab plus FOLFOX or CAPOX </w:t>
      </w:r>
      <w:r w:rsidR="00B43A53">
        <w:rPr>
          <w:bCs w:val="0"/>
          <w:iCs w:val="0"/>
          <w:lang w:val="en-GB"/>
        </w:rPr>
        <w:t>compared with</w:t>
      </w:r>
      <w:r w:rsidR="00B43A53" w:rsidRPr="00171077">
        <w:rPr>
          <w:bCs w:val="0"/>
          <w:iCs w:val="0"/>
          <w:lang w:val="en-GB"/>
        </w:rPr>
        <w:t xml:space="preserve"> </w:t>
      </w:r>
      <w:r w:rsidRPr="00CF632A">
        <w:rPr>
          <w:bCs w:val="0"/>
          <w:iCs w:val="0"/>
          <w:lang w:val="en-GB"/>
        </w:rPr>
        <w:t>FOLFOX or CAPOX alone</w:t>
      </w:r>
      <w:r w:rsidR="00C60CEE" w:rsidRPr="00A9020B">
        <w:rPr>
          <w:lang w:val="en-GB"/>
        </w:rPr>
        <w:t>,</w:t>
      </w:r>
      <w:r w:rsidRPr="00CF632A">
        <w:rPr>
          <w:bCs w:val="0"/>
          <w:iCs w:val="0"/>
          <w:lang w:val="en-GB"/>
        </w:rPr>
        <w:t xml:space="preserve"> and bevacizumab plus FOLFIRI </w:t>
      </w:r>
      <w:r w:rsidR="00B43A53">
        <w:rPr>
          <w:bCs w:val="0"/>
          <w:iCs w:val="0"/>
          <w:lang w:val="en-GB"/>
        </w:rPr>
        <w:t>compared with</w:t>
      </w:r>
      <w:r w:rsidR="00B43A53" w:rsidRPr="00171077">
        <w:rPr>
          <w:bCs w:val="0"/>
          <w:iCs w:val="0"/>
          <w:lang w:val="en-GB"/>
        </w:rPr>
        <w:t xml:space="preserve"> </w:t>
      </w:r>
      <w:r w:rsidRPr="00CF632A">
        <w:rPr>
          <w:bCs w:val="0"/>
          <w:iCs w:val="0"/>
          <w:lang w:val="en-GB"/>
        </w:rPr>
        <w:t xml:space="preserve">FOLFIRI alone, respectively </w:t>
      </w:r>
      <w:r w:rsidRPr="00171077">
        <w:rPr>
          <w:bCs w:val="0"/>
          <w:iCs w:val="0"/>
          <w:lang w:val="en-GB"/>
        </w:rPr>
        <w:t>(</w:t>
      </w:r>
      <w:r w:rsidR="006A209C">
        <w:rPr>
          <w:bCs w:val="0"/>
          <w:iCs w:val="0"/>
          <w:lang w:val="en-GB"/>
        </w:rPr>
        <w:t xml:space="preserve">see </w:t>
      </w:r>
      <w:hyperlink w:anchor="_First_line_data" w:history="1">
        <w:r w:rsidR="006A209C">
          <w:rPr>
            <w:rStyle w:val="Hyperlink"/>
            <w:bCs w:val="0"/>
            <w:iCs w:val="0"/>
            <w:lang w:val="en-GB"/>
          </w:rPr>
          <w:t>section 3.5</w:t>
        </w:r>
      </w:hyperlink>
      <w:r w:rsidR="00EE202B" w:rsidRPr="00171077">
        <w:rPr>
          <w:bCs w:val="0"/>
          <w:iCs w:val="0"/>
          <w:lang w:val="en-GB"/>
        </w:rPr>
        <w:t>)</w:t>
      </w:r>
      <w:r w:rsidRPr="00171077">
        <w:rPr>
          <w:bCs w:val="0"/>
          <w:iCs w:val="0"/>
          <w:lang w:val="en-GB"/>
        </w:rPr>
        <w:t>.</w:t>
      </w:r>
      <w:r w:rsidRPr="00CF632A">
        <w:rPr>
          <w:bCs w:val="0"/>
          <w:iCs w:val="0"/>
          <w:lang w:val="en-GB"/>
        </w:rPr>
        <w:t xml:space="preserve"> </w:t>
      </w:r>
      <w:r w:rsidR="00545621" w:rsidRPr="00CF632A">
        <w:rPr>
          <w:bCs w:val="0"/>
          <w:iCs w:val="0"/>
          <w:lang w:val="en-GB"/>
        </w:rPr>
        <w:t>E</w:t>
      </w:r>
      <w:r w:rsidR="007A566E" w:rsidRPr="00CF632A">
        <w:rPr>
          <w:bCs w:val="0"/>
          <w:iCs w:val="0"/>
          <w:lang w:val="en-GB"/>
        </w:rPr>
        <w:t>3200</w:t>
      </w:r>
      <w:r w:rsidR="00963811" w:rsidRPr="00CF632A">
        <w:rPr>
          <w:bCs w:val="0"/>
          <w:iCs w:val="0"/>
          <w:lang w:val="en-GB"/>
        </w:rPr>
        <w:t xml:space="preserve"> </w:t>
      </w:r>
      <w:r w:rsidR="001D1F16" w:rsidRPr="00CF632A">
        <w:rPr>
          <w:bCs w:val="0"/>
          <w:iCs w:val="0"/>
          <w:lang w:val="en-GB"/>
        </w:rPr>
        <w:t>was the primary sourc</w:t>
      </w:r>
      <w:r w:rsidR="00F85E3D" w:rsidRPr="00CF632A">
        <w:rPr>
          <w:bCs w:val="0"/>
          <w:iCs w:val="0"/>
          <w:lang w:val="en-GB"/>
        </w:rPr>
        <w:t xml:space="preserve">e of second-line </w:t>
      </w:r>
      <w:r w:rsidR="00400763" w:rsidRPr="00CF632A">
        <w:rPr>
          <w:bCs w:val="0"/>
          <w:iCs w:val="0"/>
          <w:lang w:val="en-GB"/>
        </w:rPr>
        <w:t>clinical</w:t>
      </w:r>
      <w:r w:rsidR="008C014F" w:rsidRPr="00A9020B">
        <w:rPr>
          <w:lang w:val="en-GB"/>
        </w:rPr>
        <w:t>-</w:t>
      </w:r>
      <w:r w:rsidR="00400763" w:rsidRPr="00CF632A">
        <w:rPr>
          <w:bCs w:val="0"/>
          <w:iCs w:val="0"/>
          <w:lang w:val="en-GB"/>
        </w:rPr>
        <w:t xml:space="preserve">effectiveness evidence </w:t>
      </w:r>
      <w:r w:rsidR="00855FCF">
        <w:rPr>
          <w:bCs w:val="0"/>
          <w:iCs w:val="0"/>
          <w:lang w:val="en-GB"/>
        </w:rPr>
        <w:t>for</w:t>
      </w:r>
      <w:r w:rsidR="00855FCF" w:rsidRPr="00171077">
        <w:rPr>
          <w:bCs w:val="0"/>
          <w:iCs w:val="0"/>
          <w:lang w:val="en-GB"/>
        </w:rPr>
        <w:t xml:space="preserve"> </w:t>
      </w:r>
      <w:r w:rsidR="008B4B31" w:rsidRPr="00CF632A">
        <w:rPr>
          <w:bCs w:val="0"/>
          <w:iCs w:val="0"/>
          <w:lang w:val="en-GB"/>
        </w:rPr>
        <w:t>beva</w:t>
      </w:r>
      <w:r w:rsidR="004A1FB5" w:rsidRPr="00CF632A">
        <w:rPr>
          <w:bCs w:val="0"/>
          <w:iCs w:val="0"/>
          <w:lang w:val="en-GB"/>
        </w:rPr>
        <w:t xml:space="preserve">cizumab plus </w:t>
      </w:r>
      <w:r w:rsidR="005A61AE" w:rsidRPr="00CF632A">
        <w:rPr>
          <w:bCs w:val="0"/>
          <w:iCs w:val="0"/>
          <w:lang w:val="en-GB"/>
        </w:rPr>
        <w:t xml:space="preserve">FOLFOX </w:t>
      </w:r>
      <w:r w:rsidR="00B43A53">
        <w:rPr>
          <w:lang w:val="en-GB"/>
        </w:rPr>
        <w:t>compared with</w:t>
      </w:r>
      <w:r w:rsidR="00B43A53" w:rsidRPr="00171077">
        <w:rPr>
          <w:bCs w:val="0"/>
          <w:iCs w:val="0"/>
          <w:lang w:val="en-GB"/>
        </w:rPr>
        <w:t xml:space="preserve"> </w:t>
      </w:r>
      <w:r w:rsidR="005A61AE" w:rsidRPr="00CF632A">
        <w:rPr>
          <w:bCs w:val="0"/>
          <w:iCs w:val="0"/>
          <w:lang w:val="en-GB"/>
        </w:rPr>
        <w:t xml:space="preserve">FOLFOX alone </w:t>
      </w:r>
      <w:r w:rsidR="005A61AE" w:rsidRPr="00171077">
        <w:rPr>
          <w:bCs w:val="0"/>
          <w:iCs w:val="0"/>
          <w:lang w:val="en-GB"/>
        </w:rPr>
        <w:t>(</w:t>
      </w:r>
      <w:r w:rsidR="006A209C">
        <w:rPr>
          <w:bCs w:val="0"/>
          <w:iCs w:val="0"/>
          <w:lang w:val="en-GB"/>
        </w:rPr>
        <w:t xml:space="preserve">see </w:t>
      </w:r>
      <w:hyperlink w:anchor="_Second-line_clinical_effectiveness" w:history="1">
        <w:r w:rsidR="006A209C">
          <w:rPr>
            <w:rStyle w:val="Hyperlink"/>
            <w:bCs w:val="0"/>
            <w:iCs w:val="0"/>
            <w:lang w:val="en-GB"/>
          </w:rPr>
          <w:t>section 3.6</w:t>
        </w:r>
      </w:hyperlink>
      <w:r w:rsidR="005A61AE" w:rsidRPr="00CF632A">
        <w:rPr>
          <w:bCs w:val="0"/>
          <w:iCs w:val="0"/>
          <w:lang w:val="en-GB"/>
        </w:rPr>
        <w:t xml:space="preserve">) </w:t>
      </w:r>
      <w:r w:rsidR="00B968A3" w:rsidRPr="00CF632A">
        <w:rPr>
          <w:bCs w:val="0"/>
          <w:iCs w:val="0"/>
          <w:lang w:val="en-GB"/>
        </w:rPr>
        <w:t>The EAG did not have access to individual patient-level data from these studies</w:t>
      </w:r>
      <w:r w:rsidR="00D1362D" w:rsidRPr="00A9020B">
        <w:rPr>
          <w:lang w:val="en-GB"/>
        </w:rPr>
        <w:t>,</w:t>
      </w:r>
      <w:r w:rsidR="000C66A8" w:rsidRPr="00CF632A">
        <w:rPr>
          <w:bCs w:val="0"/>
          <w:iCs w:val="0"/>
          <w:lang w:val="en-GB"/>
        </w:rPr>
        <w:t xml:space="preserve"> so </w:t>
      </w:r>
      <w:r w:rsidR="00D1362D" w:rsidRPr="00A9020B">
        <w:rPr>
          <w:lang w:val="en-GB"/>
        </w:rPr>
        <w:t>it</w:t>
      </w:r>
      <w:r w:rsidR="00B968A3" w:rsidRPr="00CF632A">
        <w:rPr>
          <w:bCs w:val="0"/>
          <w:iCs w:val="0"/>
          <w:lang w:val="en-GB"/>
        </w:rPr>
        <w:t xml:space="preserve"> generated pseudo-</w:t>
      </w:r>
      <w:r w:rsidR="005E1644" w:rsidRPr="00CF632A">
        <w:rPr>
          <w:bCs w:val="0"/>
          <w:iCs w:val="0"/>
          <w:lang w:val="en-GB"/>
        </w:rPr>
        <w:t>individual patient data</w:t>
      </w:r>
      <w:r w:rsidR="00B968A3" w:rsidRPr="00CF632A">
        <w:rPr>
          <w:bCs w:val="0"/>
          <w:iCs w:val="0"/>
          <w:lang w:val="en-GB"/>
        </w:rPr>
        <w:t xml:space="preserve"> for </w:t>
      </w:r>
      <w:r w:rsidR="008767C3" w:rsidRPr="00CF632A">
        <w:rPr>
          <w:bCs w:val="0"/>
          <w:iCs w:val="0"/>
          <w:lang w:val="en-GB"/>
        </w:rPr>
        <w:t>progression-free survival</w:t>
      </w:r>
      <w:r w:rsidR="00B968A3" w:rsidRPr="00CF632A">
        <w:rPr>
          <w:bCs w:val="0"/>
          <w:iCs w:val="0"/>
          <w:lang w:val="en-GB"/>
        </w:rPr>
        <w:t xml:space="preserve"> and </w:t>
      </w:r>
      <w:r w:rsidR="008767C3" w:rsidRPr="00CF632A">
        <w:rPr>
          <w:bCs w:val="0"/>
          <w:iCs w:val="0"/>
          <w:lang w:val="en-GB"/>
        </w:rPr>
        <w:t>overall survival</w:t>
      </w:r>
      <w:r w:rsidR="00B968A3" w:rsidRPr="00CF632A">
        <w:rPr>
          <w:bCs w:val="0"/>
          <w:iCs w:val="0"/>
          <w:lang w:val="en-GB"/>
        </w:rPr>
        <w:t xml:space="preserve">. The EAG independently fitted standard parametric survival models to the </w:t>
      </w:r>
      <w:r w:rsidR="008767C3" w:rsidRPr="00CF632A">
        <w:rPr>
          <w:bCs w:val="0"/>
          <w:iCs w:val="0"/>
          <w:lang w:val="en-GB"/>
        </w:rPr>
        <w:t>pseudo-individual patient data</w:t>
      </w:r>
      <w:r w:rsidR="00944360" w:rsidRPr="00CF632A">
        <w:rPr>
          <w:bCs w:val="0"/>
          <w:iCs w:val="0"/>
          <w:lang w:val="en-GB"/>
        </w:rPr>
        <w:t xml:space="preserve"> </w:t>
      </w:r>
      <w:r w:rsidR="005A61AE" w:rsidRPr="00CF632A">
        <w:rPr>
          <w:bCs w:val="0"/>
          <w:iCs w:val="0"/>
          <w:lang w:val="en-GB"/>
        </w:rPr>
        <w:t xml:space="preserve">to extrapolate </w:t>
      </w:r>
      <w:r w:rsidR="00206674" w:rsidRPr="00CF632A">
        <w:rPr>
          <w:bCs w:val="0"/>
          <w:iCs w:val="0"/>
          <w:lang w:val="en-GB"/>
        </w:rPr>
        <w:t>beyond the period for which there was trial data.</w:t>
      </w:r>
      <w:r w:rsidR="00944360" w:rsidRPr="00CF632A">
        <w:rPr>
          <w:bCs w:val="0"/>
          <w:iCs w:val="0"/>
          <w:lang w:val="en-GB"/>
        </w:rPr>
        <w:t xml:space="preserve"> </w:t>
      </w:r>
      <w:r w:rsidR="00206674" w:rsidRPr="00CF632A">
        <w:rPr>
          <w:bCs w:val="0"/>
          <w:iCs w:val="0"/>
          <w:lang w:val="en-GB"/>
        </w:rPr>
        <w:t>To</w:t>
      </w:r>
      <w:r w:rsidR="003807DE" w:rsidRPr="00CF632A">
        <w:rPr>
          <w:bCs w:val="0"/>
          <w:iCs w:val="0"/>
          <w:lang w:val="en-GB"/>
        </w:rPr>
        <w:t xml:space="preserve"> select the most appropriate parametri</w:t>
      </w:r>
      <w:r w:rsidR="00A91AE1" w:rsidRPr="00CF632A">
        <w:rPr>
          <w:bCs w:val="0"/>
          <w:iCs w:val="0"/>
          <w:lang w:val="en-GB"/>
        </w:rPr>
        <w:t>c</w:t>
      </w:r>
      <w:r w:rsidR="003807DE" w:rsidRPr="00CF632A">
        <w:rPr>
          <w:bCs w:val="0"/>
          <w:iCs w:val="0"/>
          <w:lang w:val="en-GB"/>
        </w:rPr>
        <w:t xml:space="preserve"> </w:t>
      </w:r>
      <w:r w:rsidR="00E249F7" w:rsidRPr="00CF632A">
        <w:rPr>
          <w:bCs w:val="0"/>
          <w:iCs w:val="0"/>
          <w:lang w:val="en-GB"/>
        </w:rPr>
        <w:t>distributions</w:t>
      </w:r>
      <w:r w:rsidR="003807DE" w:rsidRPr="00CF632A">
        <w:rPr>
          <w:bCs w:val="0"/>
          <w:iCs w:val="0"/>
          <w:lang w:val="en-GB"/>
        </w:rPr>
        <w:t xml:space="preserve"> to model </w:t>
      </w:r>
      <w:r w:rsidR="008767C3" w:rsidRPr="00CF632A">
        <w:rPr>
          <w:bCs w:val="0"/>
          <w:iCs w:val="0"/>
          <w:lang w:val="en-GB"/>
        </w:rPr>
        <w:t>progression-free survival and overall survival</w:t>
      </w:r>
      <w:r w:rsidR="003807DE" w:rsidRPr="00CF632A">
        <w:rPr>
          <w:bCs w:val="0"/>
          <w:iCs w:val="0"/>
          <w:lang w:val="en-GB"/>
        </w:rPr>
        <w:t>, the EAG ass</w:t>
      </w:r>
      <w:r w:rsidR="00ED40CD" w:rsidRPr="00CF632A">
        <w:rPr>
          <w:bCs w:val="0"/>
          <w:iCs w:val="0"/>
          <w:lang w:val="en-GB"/>
        </w:rPr>
        <w:t>essed</w:t>
      </w:r>
      <w:r w:rsidR="00D1362D" w:rsidRPr="00A9020B">
        <w:rPr>
          <w:lang w:val="en-GB"/>
        </w:rPr>
        <w:t>:</w:t>
      </w:r>
    </w:p>
    <w:p w14:paraId="6D8A75BC" w14:textId="76F23426" w:rsidR="00905FDC" w:rsidRPr="00CF632A" w:rsidRDefault="003767D8" w:rsidP="00905FDC">
      <w:pPr>
        <w:pStyle w:val="Bulletindent1"/>
      </w:pPr>
      <w:r w:rsidRPr="00CF632A">
        <w:t xml:space="preserve">the statistical </w:t>
      </w:r>
      <w:r w:rsidR="001D1930" w:rsidRPr="00CF632A">
        <w:t xml:space="preserve">fit to the </w:t>
      </w:r>
      <w:r w:rsidR="001B2C1E" w:rsidRPr="00CF632A">
        <w:t>Kaplan</w:t>
      </w:r>
      <w:r w:rsidR="00D1362D" w:rsidRPr="00A9020B">
        <w:t>–</w:t>
      </w:r>
      <w:r w:rsidR="001B2C1E" w:rsidRPr="00CF632A">
        <w:t>Meier</w:t>
      </w:r>
      <w:r w:rsidR="001D1930" w:rsidRPr="00CF632A">
        <w:t xml:space="preserve"> data using the </w:t>
      </w:r>
      <w:r w:rsidR="00D2376D" w:rsidRPr="00CF632A">
        <w:t xml:space="preserve">Akaike </w:t>
      </w:r>
      <w:r w:rsidR="00D1362D" w:rsidRPr="00A9020B">
        <w:t>i</w:t>
      </w:r>
      <w:r w:rsidR="00D2376D" w:rsidRPr="00A9020B">
        <w:t xml:space="preserve">nformation </w:t>
      </w:r>
      <w:r w:rsidR="00D1362D" w:rsidRPr="00A9020B">
        <w:t>c</w:t>
      </w:r>
      <w:r w:rsidR="00D2376D" w:rsidRPr="00A9020B">
        <w:t>riterion</w:t>
      </w:r>
      <w:r w:rsidR="00D2376D" w:rsidRPr="00CF632A">
        <w:t xml:space="preserve"> and Bayesian </w:t>
      </w:r>
      <w:r w:rsidR="00D1362D" w:rsidRPr="00A9020B">
        <w:t>i</w:t>
      </w:r>
      <w:r w:rsidR="00D2376D" w:rsidRPr="00A9020B">
        <w:t xml:space="preserve">nformation </w:t>
      </w:r>
      <w:r w:rsidR="00D1362D" w:rsidRPr="00A9020B">
        <w:t>c</w:t>
      </w:r>
      <w:r w:rsidR="00D2376D" w:rsidRPr="00A9020B">
        <w:t>riterion</w:t>
      </w:r>
      <w:r w:rsidR="00D2376D" w:rsidRPr="00CF632A">
        <w:t xml:space="preserve"> </w:t>
      </w:r>
    </w:p>
    <w:p w14:paraId="408DBE58" w14:textId="124568C9" w:rsidR="004473F4" w:rsidRPr="00CF632A" w:rsidRDefault="001956CA" w:rsidP="00905FDC">
      <w:pPr>
        <w:pStyle w:val="Bulletindent1"/>
      </w:pPr>
      <w:r w:rsidRPr="00CF632A">
        <w:t xml:space="preserve">the </w:t>
      </w:r>
      <w:r w:rsidR="00D2376D" w:rsidRPr="00CF632A">
        <w:t xml:space="preserve">visual </w:t>
      </w:r>
      <w:r w:rsidR="004473F4" w:rsidRPr="00CF632A">
        <w:t>fit of</w:t>
      </w:r>
      <w:r w:rsidR="00D2376D" w:rsidRPr="00CF632A">
        <w:t xml:space="preserve"> fitted survival </w:t>
      </w:r>
      <w:r w:rsidR="00D1362D" w:rsidRPr="00A9020B">
        <w:t xml:space="preserve">curves </w:t>
      </w:r>
      <w:r w:rsidR="00D2376D" w:rsidRPr="00CF632A">
        <w:t xml:space="preserve">against the </w:t>
      </w:r>
      <w:r w:rsidR="004473F4" w:rsidRPr="00CF632A">
        <w:t>trial data</w:t>
      </w:r>
      <w:r w:rsidR="002D4032" w:rsidRPr="00CF632A">
        <w:t xml:space="preserve"> </w:t>
      </w:r>
    </w:p>
    <w:p w14:paraId="10E9E75A" w14:textId="0F466E4E" w:rsidR="00B30BDF" w:rsidRPr="00CF632A" w:rsidRDefault="00D2376D" w:rsidP="00A81A18">
      <w:pPr>
        <w:pStyle w:val="Bulletindent1last"/>
      </w:pPr>
      <w:r w:rsidRPr="00CF632A">
        <w:t xml:space="preserve">the clinical plausibility of the survival model predictions (based on hazard plots and input from clinical experts). </w:t>
      </w:r>
      <w:r w:rsidR="00DA43C8" w:rsidRPr="00CF632A">
        <w:t>C</w:t>
      </w:r>
      <w:r w:rsidR="00785FE4" w:rsidRPr="00CF632A">
        <w:t>linical expert</w:t>
      </w:r>
      <w:r w:rsidR="00D0428D" w:rsidRPr="00CF632A">
        <w:t xml:space="preserve"> advice to the EAG was </w:t>
      </w:r>
      <w:r w:rsidR="00785FE4" w:rsidRPr="00CF632A">
        <w:t xml:space="preserve">that the hazards should be </w:t>
      </w:r>
      <w:r w:rsidR="00172877">
        <w:t>consistently</w:t>
      </w:r>
      <w:r w:rsidR="00785FE4" w:rsidRPr="00CF632A">
        <w:t xml:space="preserve"> increasing </w:t>
      </w:r>
      <w:r w:rsidR="000A0A89" w:rsidRPr="00CF632A">
        <w:t xml:space="preserve">for both </w:t>
      </w:r>
      <w:r w:rsidR="008767C3" w:rsidRPr="00CF632A">
        <w:t>progression-free survival and overall survival</w:t>
      </w:r>
      <w:r w:rsidR="000A0A89" w:rsidRPr="00CF632A">
        <w:t>.</w:t>
      </w:r>
      <w:r w:rsidR="00C34050" w:rsidRPr="00CF632A">
        <w:t xml:space="preserve"> </w:t>
      </w:r>
      <w:r w:rsidR="00E0611C" w:rsidRPr="00A9020B">
        <w:t>So</w:t>
      </w:r>
      <w:r w:rsidR="008702CB">
        <w:t>,</w:t>
      </w:r>
      <w:r w:rsidR="00C34050" w:rsidRPr="00CF632A">
        <w:t xml:space="preserve"> the EAG prioritised models with </w:t>
      </w:r>
      <w:r w:rsidR="00172877">
        <w:t>consistently</w:t>
      </w:r>
      <w:r w:rsidR="00C34050" w:rsidRPr="00CF632A">
        <w:t xml:space="preserve"> increasing hazard trends in </w:t>
      </w:r>
      <w:r w:rsidR="00D15065" w:rsidRPr="00CF632A">
        <w:t xml:space="preserve">its </w:t>
      </w:r>
      <w:r w:rsidR="00C34050" w:rsidRPr="00CF632A">
        <w:t>base case and explored alternative models in scenario analyses</w:t>
      </w:r>
      <w:r w:rsidR="007B5295" w:rsidRPr="00CF632A">
        <w:t>.</w:t>
      </w:r>
      <w:r w:rsidR="00D1362D" w:rsidRPr="00A9020B">
        <w:br/>
      </w:r>
      <w:r w:rsidR="00D1362D" w:rsidRPr="00A9020B">
        <w:br/>
      </w:r>
      <w:r w:rsidR="00F46E5B" w:rsidRPr="00CF632A">
        <w:t xml:space="preserve">The same distributions were </w:t>
      </w:r>
      <w:r w:rsidR="00615F12" w:rsidRPr="00CF632A">
        <w:t xml:space="preserve">applied </w:t>
      </w:r>
      <w:r w:rsidR="00F46E5B" w:rsidRPr="00CF632A">
        <w:t>across treatment arms. The EAG also preferred to use the same distribution for both progression-free survival and overall survival within each pairwise comparison.</w:t>
      </w:r>
      <w:r w:rsidR="00615F12" w:rsidRPr="00CF632A">
        <w:t xml:space="preserve"> </w:t>
      </w:r>
      <w:r w:rsidR="00FF43CA" w:rsidRPr="00CF632A">
        <w:t>The EAG selected scenarios</w:t>
      </w:r>
      <w:r w:rsidR="0066140E" w:rsidRPr="00CF632A">
        <w:t xml:space="preserve"> of alternative parametric distribut</w:t>
      </w:r>
      <w:r w:rsidR="001A3CFF" w:rsidRPr="00CF632A">
        <w:t>ions</w:t>
      </w:r>
      <w:r w:rsidR="00FF43CA" w:rsidRPr="00CF632A">
        <w:t xml:space="preserve"> that were </w:t>
      </w:r>
      <w:r w:rsidR="00FF43CA" w:rsidRPr="00CF632A">
        <w:lastRenderedPageBreak/>
        <w:t xml:space="preserve">plausible and provided the widest possible range of plausible </w:t>
      </w:r>
      <w:r w:rsidR="00127B20" w:rsidRPr="00A9020B">
        <w:t>incremental cost-effectiveness ratios (</w:t>
      </w:r>
      <w:r w:rsidR="00FF43CA" w:rsidRPr="00A9020B">
        <w:t>ICERs</w:t>
      </w:r>
      <w:r w:rsidR="00127B20" w:rsidRPr="00A9020B">
        <w:t>)</w:t>
      </w:r>
      <w:r w:rsidR="00FF43CA" w:rsidRPr="00A9020B">
        <w:t>.</w:t>
      </w:r>
      <w:r w:rsidR="00766FA0">
        <w:t xml:space="preserve"> These </w:t>
      </w:r>
      <w:r w:rsidR="0079501A">
        <w:t>were</w:t>
      </w:r>
      <w:r w:rsidR="007F32CD">
        <w:t>:</w:t>
      </w:r>
    </w:p>
    <w:p w14:paraId="156ED7E5" w14:textId="5E433C3A" w:rsidR="00B30BDF" w:rsidRPr="00CF632A" w:rsidRDefault="00FF43CA" w:rsidP="00B30BDF">
      <w:pPr>
        <w:pStyle w:val="Bulletindent1"/>
      </w:pPr>
      <w:r w:rsidRPr="00CF632A">
        <w:t xml:space="preserve"> </w:t>
      </w:r>
      <w:r w:rsidR="00595C71">
        <w:t xml:space="preserve">for </w:t>
      </w:r>
      <w:r w:rsidR="001B4DB7">
        <w:t>first</w:t>
      </w:r>
      <w:r w:rsidR="007D758B" w:rsidRPr="00CF632A">
        <w:t xml:space="preserve">-line </w:t>
      </w:r>
      <w:r w:rsidR="001B4DB7">
        <w:t>treatment</w:t>
      </w:r>
      <w:r w:rsidR="00B30BDF" w:rsidRPr="00CF632A">
        <w:t>:</w:t>
      </w:r>
    </w:p>
    <w:p w14:paraId="51CEBF62" w14:textId="2B5F9D46" w:rsidR="00B30BDF" w:rsidRPr="00CF632A" w:rsidRDefault="007D758B" w:rsidP="00B30BDF">
      <w:pPr>
        <w:pStyle w:val="Bulletindent2"/>
      </w:pPr>
      <w:r w:rsidRPr="00CF632A">
        <w:t>the gamma distribution for progression-free survival and overall survival in</w:t>
      </w:r>
      <w:r w:rsidR="00BB048F" w:rsidRPr="00CF632A">
        <w:t xml:space="preserve"> models 1 and 3</w:t>
      </w:r>
      <w:r w:rsidRPr="00CF632A">
        <w:t xml:space="preserve"> </w:t>
      </w:r>
      <w:r w:rsidR="00533BB4" w:rsidRPr="00CF632A">
        <w:t xml:space="preserve">(with </w:t>
      </w:r>
      <w:r w:rsidR="002E12C0" w:rsidRPr="00A9020B">
        <w:t xml:space="preserve">the </w:t>
      </w:r>
      <w:r w:rsidR="00533BB4" w:rsidRPr="00CF632A">
        <w:t>log</w:t>
      </w:r>
      <w:r w:rsidR="002E12C0" w:rsidRPr="00A9020B">
        <w:t>-</w:t>
      </w:r>
      <w:r w:rsidR="00533BB4" w:rsidRPr="00CF632A">
        <w:t xml:space="preserve">logistic </w:t>
      </w:r>
      <w:r w:rsidR="002E12C0" w:rsidRPr="00A9020B">
        <w:t xml:space="preserve">used </w:t>
      </w:r>
      <w:r w:rsidR="00B30BDF" w:rsidRPr="00CF632A">
        <w:t>in scenario analyses)</w:t>
      </w:r>
    </w:p>
    <w:p w14:paraId="55F47B44" w14:textId="0533F5E0" w:rsidR="002D7630" w:rsidRPr="00CF632A" w:rsidRDefault="007D758B" w:rsidP="00B30BDF">
      <w:pPr>
        <w:pStyle w:val="Bulletindent2"/>
      </w:pPr>
      <w:r w:rsidRPr="00CF632A">
        <w:t xml:space="preserve">the Weibull distribution for </w:t>
      </w:r>
      <w:r w:rsidR="002D7630" w:rsidRPr="00CF632A">
        <w:t>progression-free and overall survival in model 2</w:t>
      </w:r>
      <w:r w:rsidR="00EA2C6C" w:rsidRPr="00CF632A">
        <w:t xml:space="preserve"> (with generalised gamma in scenario analyses)</w:t>
      </w:r>
    </w:p>
    <w:p w14:paraId="72D022DA" w14:textId="2AE85F40" w:rsidR="00FF43CA" w:rsidRPr="00CF632A" w:rsidRDefault="00595C71" w:rsidP="004A348A">
      <w:pPr>
        <w:pStyle w:val="Bulletindent1last"/>
      </w:pPr>
      <w:r>
        <w:t>for</w:t>
      </w:r>
      <w:r w:rsidRPr="00171077">
        <w:t xml:space="preserve"> </w:t>
      </w:r>
      <w:r w:rsidR="00355E66" w:rsidRPr="00CF632A">
        <w:t>second</w:t>
      </w:r>
      <w:r w:rsidR="002E12C0" w:rsidRPr="00A9020B">
        <w:t>-</w:t>
      </w:r>
      <w:r w:rsidR="00355E66" w:rsidRPr="00CF632A">
        <w:t>line</w:t>
      </w:r>
      <w:r w:rsidR="002D7630" w:rsidRPr="00CF632A">
        <w:t xml:space="preserve"> </w:t>
      </w:r>
      <w:r>
        <w:t>treatment</w:t>
      </w:r>
      <w:r w:rsidR="00356980">
        <w:t>:</w:t>
      </w:r>
      <w:r w:rsidR="002D7630" w:rsidRPr="00CF632A">
        <w:t xml:space="preserve"> </w:t>
      </w:r>
      <w:r w:rsidR="0013780B" w:rsidRPr="00CF632A">
        <w:t xml:space="preserve">the gamma </w:t>
      </w:r>
      <w:r w:rsidR="00D81B17" w:rsidRPr="00CF632A">
        <w:t>distribut</w:t>
      </w:r>
      <w:r w:rsidR="00355E66" w:rsidRPr="00CF632A">
        <w:t>ion</w:t>
      </w:r>
      <w:r w:rsidR="00FF0F18">
        <w:t xml:space="preserve"> </w:t>
      </w:r>
      <w:r w:rsidR="7526E9AE">
        <w:t xml:space="preserve">for progression-free survival and overall survival </w:t>
      </w:r>
      <w:r w:rsidR="009844E3" w:rsidRPr="00CF632A">
        <w:t xml:space="preserve">in models 1 and 3 (with </w:t>
      </w:r>
      <w:r w:rsidR="002E12C0" w:rsidRPr="00A9020B">
        <w:t xml:space="preserve">the </w:t>
      </w:r>
      <w:r w:rsidR="009844E3" w:rsidRPr="00CF632A">
        <w:t xml:space="preserve">log-logistic </w:t>
      </w:r>
      <w:r w:rsidR="002E12C0" w:rsidRPr="00A9020B">
        <w:t xml:space="preserve">used </w:t>
      </w:r>
      <w:r w:rsidR="009844E3" w:rsidRPr="00CF632A">
        <w:t>in scenario analyses)</w:t>
      </w:r>
      <w:r w:rsidR="00355E66" w:rsidRPr="00CF632A">
        <w:t xml:space="preserve">. </w:t>
      </w:r>
      <w:r w:rsidR="002E12C0" w:rsidRPr="00A9020B">
        <w:br/>
      </w:r>
      <w:r w:rsidR="002E12C0" w:rsidRPr="00A9020B">
        <w:br/>
      </w:r>
      <w:r w:rsidR="001108F0" w:rsidRPr="00CF632A">
        <w:t xml:space="preserve">The choice of distribution had a moderate impact on the ICER. </w:t>
      </w:r>
      <w:r w:rsidR="002E12C0" w:rsidRPr="00A9020B">
        <w:t xml:space="preserve">The committee </w:t>
      </w:r>
      <w:r w:rsidR="001108F0" w:rsidRPr="00CF632A">
        <w:t xml:space="preserve">noted that, in principle, it would prefer </w:t>
      </w:r>
      <w:r w:rsidR="00A0628E" w:rsidRPr="00A9020B">
        <w:t xml:space="preserve">the distributions for progression-free survival and overall survival </w:t>
      </w:r>
      <w:r w:rsidR="001108F0" w:rsidRPr="00CF632A">
        <w:t>not to</w:t>
      </w:r>
      <w:r w:rsidR="0044568E" w:rsidRPr="00CF632A">
        <w:t xml:space="preserve"> </w:t>
      </w:r>
      <w:r w:rsidR="00A0628E" w:rsidRPr="00A9020B">
        <w:t xml:space="preserve">be </w:t>
      </w:r>
      <w:r w:rsidR="0044568E" w:rsidRPr="00A9020B">
        <w:t>re</w:t>
      </w:r>
      <w:r w:rsidR="009B3FAF" w:rsidRPr="00A9020B">
        <w:t>st</w:t>
      </w:r>
      <w:r w:rsidR="0044568E" w:rsidRPr="00A9020B">
        <w:t>rict</w:t>
      </w:r>
      <w:r w:rsidR="00A0628E" w:rsidRPr="00A9020B">
        <w:t>ed</w:t>
      </w:r>
      <w:r w:rsidR="0044568E" w:rsidRPr="00CF632A">
        <w:t xml:space="preserve"> to</w:t>
      </w:r>
      <w:r w:rsidR="001108F0" w:rsidRPr="00CF632A">
        <w:t xml:space="preserve"> us</w:t>
      </w:r>
      <w:r w:rsidR="0044568E" w:rsidRPr="00CF632A">
        <w:t>ing</w:t>
      </w:r>
      <w:r w:rsidR="001108F0" w:rsidRPr="00CF632A">
        <w:t xml:space="preserve"> the same distribution. </w:t>
      </w:r>
      <w:r w:rsidR="000F234E" w:rsidRPr="00A9020B">
        <w:t>But</w:t>
      </w:r>
      <w:r w:rsidR="001108F0" w:rsidRPr="00CF632A">
        <w:t xml:space="preserve"> after reviewing the distributions used, it </w:t>
      </w:r>
      <w:r w:rsidR="000F234E" w:rsidRPr="00A9020B">
        <w:t xml:space="preserve">noted </w:t>
      </w:r>
      <w:r w:rsidR="001108F0" w:rsidRPr="00CF632A">
        <w:t xml:space="preserve">that using </w:t>
      </w:r>
      <w:r w:rsidR="00E426D6">
        <w:t xml:space="preserve">different distributions for progression-free survival and overall survival </w:t>
      </w:r>
      <w:r w:rsidR="001108F0" w:rsidRPr="00CF632A">
        <w:t>made very little difference to the results. The committee</w:t>
      </w:r>
      <w:r w:rsidR="00323C4A" w:rsidRPr="00CF632A">
        <w:t xml:space="preserve"> concluded it</w:t>
      </w:r>
      <w:r w:rsidR="001108F0" w:rsidRPr="00CF632A">
        <w:t xml:space="preserve"> </w:t>
      </w:r>
      <w:r w:rsidR="004F724F" w:rsidRPr="00CF632A">
        <w:t xml:space="preserve">agreed with the </w:t>
      </w:r>
      <w:r w:rsidR="000F234E" w:rsidRPr="00A9020B">
        <w:t xml:space="preserve">EAG’s base-case </w:t>
      </w:r>
      <w:r w:rsidR="005E4B6D" w:rsidRPr="00CF632A">
        <w:t>parametric distri</w:t>
      </w:r>
      <w:r w:rsidR="00521226" w:rsidRPr="00CF632A">
        <w:t>bution</w:t>
      </w:r>
      <w:r w:rsidR="006642AA" w:rsidRPr="00CF632A">
        <w:t xml:space="preserve">s </w:t>
      </w:r>
      <w:r w:rsidR="000F234E" w:rsidRPr="00A9020B">
        <w:t>for</w:t>
      </w:r>
      <w:r w:rsidR="006642AA" w:rsidRPr="00A9020B">
        <w:t xml:space="preserve"> extrapolat</w:t>
      </w:r>
      <w:r w:rsidR="000F234E" w:rsidRPr="00A9020B">
        <w:t>ing</w:t>
      </w:r>
      <w:r w:rsidR="006642AA" w:rsidRPr="00CF632A">
        <w:t xml:space="preserve"> </w:t>
      </w:r>
      <w:r w:rsidR="00355E66" w:rsidRPr="00CF632A">
        <w:t>progression-free survival and overall survival</w:t>
      </w:r>
      <w:r w:rsidR="006642AA" w:rsidRPr="00CF632A">
        <w:t>.</w:t>
      </w:r>
    </w:p>
    <w:p w14:paraId="68F1BA22" w14:textId="77777777" w:rsidR="00F84B8B" w:rsidRPr="00CF632A" w:rsidRDefault="00F84B8B" w:rsidP="00F84B8B">
      <w:pPr>
        <w:pStyle w:val="Heading3"/>
      </w:pPr>
      <w:r w:rsidRPr="00CF632A">
        <w:t xml:space="preserve">Bevacizumab weighted mean price </w:t>
      </w:r>
    </w:p>
    <w:p w14:paraId="3DA22250" w14:textId="209D484F" w:rsidR="00F84B8B" w:rsidRPr="00CF632A" w:rsidRDefault="000163DD" w:rsidP="004C1586">
      <w:pPr>
        <w:pStyle w:val="Numberedlevel2text"/>
        <w:rPr>
          <w:lang w:val="en-GB"/>
        </w:rPr>
      </w:pPr>
      <w:r w:rsidRPr="00A9020B">
        <w:rPr>
          <w:lang w:val="en-GB"/>
        </w:rPr>
        <w:t>A</w:t>
      </w:r>
      <w:r w:rsidR="00F84B8B" w:rsidRPr="00CF632A">
        <w:rPr>
          <w:lang w:val="en-GB"/>
        </w:rPr>
        <w:t xml:space="preserve"> range of confidential prices for bevacizumab originator and biosimilars </w:t>
      </w:r>
      <w:r w:rsidR="00217F71" w:rsidRPr="00A9020B">
        <w:rPr>
          <w:lang w:val="en-GB"/>
        </w:rPr>
        <w:t xml:space="preserve">is </w:t>
      </w:r>
      <w:r w:rsidR="00F84B8B" w:rsidRPr="00CF632A">
        <w:rPr>
          <w:lang w:val="en-GB"/>
        </w:rPr>
        <w:t xml:space="preserve">listed in the </w:t>
      </w:r>
      <w:r w:rsidR="00716DA4" w:rsidRPr="00A9020B">
        <w:rPr>
          <w:lang w:val="en-GB"/>
        </w:rPr>
        <w:t xml:space="preserve">Medicines </w:t>
      </w:r>
      <w:r w:rsidR="0019665B" w:rsidRPr="00A9020B">
        <w:rPr>
          <w:lang w:val="en-GB"/>
        </w:rPr>
        <w:t>P</w:t>
      </w:r>
      <w:r w:rsidR="00716DA4" w:rsidRPr="00A9020B">
        <w:rPr>
          <w:lang w:val="en-GB"/>
        </w:rPr>
        <w:t xml:space="preserve">rocurement and </w:t>
      </w:r>
      <w:r w:rsidR="0019665B" w:rsidRPr="00A9020B">
        <w:rPr>
          <w:lang w:val="en-GB"/>
        </w:rPr>
        <w:t>S</w:t>
      </w:r>
      <w:r w:rsidR="00716DA4" w:rsidRPr="00A9020B">
        <w:rPr>
          <w:lang w:val="en-GB"/>
        </w:rPr>
        <w:t xml:space="preserve">upply </w:t>
      </w:r>
      <w:r w:rsidR="0019665B" w:rsidRPr="00A9020B">
        <w:rPr>
          <w:lang w:val="en-GB"/>
        </w:rPr>
        <w:t>C</w:t>
      </w:r>
      <w:r w:rsidR="00716DA4" w:rsidRPr="00A9020B">
        <w:rPr>
          <w:lang w:val="en-GB"/>
        </w:rPr>
        <w:t xml:space="preserve">hain </w:t>
      </w:r>
      <w:r w:rsidR="0019665B" w:rsidRPr="00A9020B">
        <w:rPr>
          <w:lang w:val="en-GB"/>
        </w:rPr>
        <w:t>(</w:t>
      </w:r>
      <w:r w:rsidR="00F84B8B" w:rsidRPr="00CF632A">
        <w:rPr>
          <w:lang w:val="en-GB"/>
        </w:rPr>
        <w:t>MPSC</w:t>
      </w:r>
      <w:r w:rsidR="0019665B" w:rsidRPr="00A9020B">
        <w:rPr>
          <w:lang w:val="en-GB"/>
        </w:rPr>
        <w:t>;</w:t>
      </w:r>
      <w:r w:rsidR="009E36DC" w:rsidRPr="00CF632A">
        <w:rPr>
          <w:lang w:val="en-GB"/>
        </w:rPr>
        <w:t xml:space="preserve"> see </w:t>
      </w:r>
      <w:hyperlink r:id="rId37" w:anchor="evidence-on-resource-use-and-costs">
        <w:r w:rsidR="00CF0EF9" w:rsidRPr="612BA310">
          <w:rPr>
            <w:rStyle w:val="Hyperlink"/>
            <w:lang w:val="en-GB"/>
          </w:rPr>
          <w:t>section 4.4.4 in NICE’s health technology evaluations manual</w:t>
        </w:r>
      </w:hyperlink>
      <w:r w:rsidR="00F84B8B" w:rsidRPr="612BA310">
        <w:rPr>
          <w:lang w:val="en-GB"/>
        </w:rPr>
        <w:t>).</w:t>
      </w:r>
      <w:r w:rsidR="00F84B8B" w:rsidRPr="00CF632A">
        <w:rPr>
          <w:lang w:val="en-GB"/>
        </w:rPr>
        <w:t xml:space="preserve"> NICE </w:t>
      </w:r>
      <w:r w:rsidR="00E07220" w:rsidRPr="00A9020B">
        <w:rPr>
          <w:lang w:val="en-GB"/>
        </w:rPr>
        <w:t xml:space="preserve">originally </w:t>
      </w:r>
      <w:r w:rsidR="00F84B8B" w:rsidRPr="00CF632A">
        <w:rPr>
          <w:lang w:val="en-GB"/>
        </w:rPr>
        <w:t xml:space="preserve">advised the EAG to use the unweighted mean MPSC price of bevacizumab, and the EAG </w:t>
      </w:r>
      <w:r w:rsidR="00E07220" w:rsidRPr="00A9020B">
        <w:rPr>
          <w:lang w:val="en-GB"/>
        </w:rPr>
        <w:t xml:space="preserve">was </w:t>
      </w:r>
      <w:r w:rsidR="00F84B8B" w:rsidRPr="00CF632A">
        <w:rPr>
          <w:lang w:val="en-GB"/>
        </w:rPr>
        <w:t>not provided with data on market share</w:t>
      </w:r>
      <w:r w:rsidR="464A7E65" w:rsidRPr="612BA310">
        <w:rPr>
          <w:lang w:val="en-GB"/>
        </w:rPr>
        <w:t xml:space="preserve"> for the originator and </w:t>
      </w:r>
      <w:r w:rsidR="2F2DDA1C" w:rsidRPr="612BA310">
        <w:rPr>
          <w:lang w:val="en-GB"/>
        </w:rPr>
        <w:t>for e</w:t>
      </w:r>
      <w:r w:rsidR="464A7E65" w:rsidRPr="612BA310">
        <w:rPr>
          <w:lang w:val="en-GB"/>
        </w:rPr>
        <w:t>ach biosimilar</w:t>
      </w:r>
      <w:r w:rsidR="00F84B8B" w:rsidRPr="612BA310">
        <w:rPr>
          <w:lang w:val="en-GB"/>
        </w:rPr>
        <w:t>.</w:t>
      </w:r>
      <w:r w:rsidR="00F84B8B" w:rsidRPr="00CF632A">
        <w:rPr>
          <w:lang w:val="en-GB"/>
        </w:rPr>
        <w:t xml:space="preserve"> </w:t>
      </w:r>
      <w:r w:rsidR="00E07220" w:rsidRPr="00A9020B">
        <w:rPr>
          <w:lang w:val="en-GB"/>
        </w:rPr>
        <w:t xml:space="preserve">The </w:t>
      </w:r>
      <w:r w:rsidR="00A61DD1" w:rsidRPr="00A9020B">
        <w:rPr>
          <w:lang w:val="en-GB"/>
        </w:rPr>
        <w:t>EAG</w:t>
      </w:r>
      <w:r w:rsidR="00E07220" w:rsidRPr="00A9020B">
        <w:rPr>
          <w:lang w:val="en-GB"/>
        </w:rPr>
        <w:t>’s report</w:t>
      </w:r>
      <w:r w:rsidR="00A61DD1" w:rsidRPr="00CF632A">
        <w:rPr>
          <w:lang w:val="en-GB"/>
        </w:rPr>
        <w:t xml:space="preserve"> noted that </w:t>
      </w:r>
      <w:r w:rsidR="003E4D77" w:rsidRPr="00CF632A">
        <w:rPr>
          <w:lang w:val="en-GB"/>
        </w:rPr>
        <w:t>because of the</w:t>
      </w:r>
      <w:r w:rsidR="009B558D" w:rsidRPr="00CF632A">
        <w:rPr>
          <w:lang w:val="en-GB"/>
        </w:rPr>
        <w:t xml:space="preserve"> range of prices </w:t>
      </w:r>
      <w:r w:rsidR="00161597" w:rsidRPr="00CF632A">
        <w:rPr>
          <w:lang w:val="en-GB"/>
        </w:rPr>
        <w:t>for products in the MPSC</w:t>
      </w:r>
      <w:r w:rsidR="00B11EDD" w:rsidRPr="00A9020B">
        <w:rPr>
          <w:lang w:val="en-GB"/>
        </w:rPr>
        <w:t>,</w:t>
      </w:r>
      <w:r w:rsidR="00161597" w:rsidRPr="00CF632A">
        <w:rPr>
          <w:lang w:val="en-GB"/>
        </w:rPr>
        <w:t xml:space="preserve"> </w:t>
      </w:r>
      <w:r w:rsidR="00E07220" w:rsidRPr="00A9020B">
        <w:rPr>
          <w:lang w:val="en-GB"/>
        </w:rPr>
        <w:t xml:space="preserve">it </w:t>
      </w:r>
      <w:r w:rsidR="00951643" w:rsidRPr="00CF632A">
        <w:rPr>
          <w:lang w:val="en-GB"/>
        </w:rPr>
        <w:t xml:space="preserve">would prefer </w:t>
      </w:r>
      <w:r w:rsidR="25180A5B" w:rsidRPr="3C4848E0">
        <w:rPr>
          <w:lang w:val="en-GB"/>
        </w:rPr>
        <w:t>to use</w:t>
      </w:r>
      <w:r w:rsidR="00951643" w:rsidRPr="20C9F121">
        <w:rPr>
          <w:lang w:val="en-GB"/>
        </w:rPr>
        <w:t xml:space="preserve"> </w:t>
      </w:r>
      <w:r w:rsidR="00951643" w:rsidRPr="00CF632A">
        <w:rPr>
          <w:lang w:val="en-GB"/>
        </w:rPr>
        <w:t>a w</w:t>
      </w:r>
      <w:r w:rsidR="00DA5192" w:rsidRPr="00CF632A">
        <w:rPr>
          <w:lang w:val="en-GB"/>
        </w:rPr>
        <w:t xml:space="preserve">eighted mean </w:t>
      </w:r>
      <w:r w:rsidR="07A84CF7" w:rsidRPr="612BA310">
        <w:rPr>
          <w:lang w:val="en-GB"/>
        </w:rPr>
        <w:t xml:space="preserve">based on market share </w:t>
      </w:r>
      <w:r w:rsidR="00B11EDD" w:rsidRPr="00A9020B">
        <w:rPr>
          <w:lang w:val="en-GB"/>
        </w:rPr>
        <w:t>to</w:t>
      </w:r>
      <w:r w:rsidR="00DA5192" w:rsidRPr="00A9020B">
        <w:rPr>
          <w:lang w:val="en-GB"/>
        </w:rPr>
        <w:t xml:space="preserve"> </w:t>
      </w:r>
      <w:r w:rsidR="00DA5192" w:rsidRPr="00CF632A">
        <w:rPr>
          <w:lang w:val="en-GB"/>
        </w:rPr>
        <w:t xml:space="preserve">reflect </w:t>
      </w:r>
      <w:r w:rsidR="00B81BF3" w:rsidRPr="00CF632A">
        <w:rPr>
          <w:lang w:val="en-GB"/>
        </w:rPr>
        <w:t xml:space="preserve">usage </w:t>
      </w:r>
      <w:r w:rsidR="00133466" w:rsidRPr="00CF632A">
        <w:rPr>
          <w:lang w:val="en-GB"/>
        </w:rPr>
        <w:t xml:space="preserve">in </w:t>
      </w:r>
      <w:r w:rsidR="00B11EDD" w:rsidRPr="00A9020B">
        <w:rPr>
          <w:lang w:val="en-GB"/>
        </w:rPr>
        <w:t xml:space="preserve">the </w:t>
      </w:r>
      <w:r w:rsidR="00133466" w:rsidRPr="00CF632A">
        <w:rPr>
          <w:lang w:val="en-GB"/>
        </w:rPr>
        <w:t>NHS</w:t>
      </w:r>
      <w:r w:rsidR="00F469F0" w:rsidRPr="00CF632A">
        <w:rPr>
          <w:lang w:val="en-GB"/>
        </w:rPr>
        <w:t xml:space="preserve">. </w:t>
      </w:r>
      <w:r w:rsidR="00A508BD">
        <w:rPr>
          <w:lang w:val="en-GB"/>
        </w:rPr>
        <w:t xml:space="preserve">After further consideration, </w:t>
      </w:r>
      <w:r w:rsidR="00F84B8B" w:rsidRPr="00CF632A">
        <w:rPr>
          <w:lang w:val="en-GB"/>
        </w:rPr>
        <w:t xml:space="preserve">NICE </w:t>
      </w:r>
      <w:r w:rsidR="00B11EDD" w:rsidRPr="00A9020B">
        <w:rPr>
          <w:lang w:val="en-GB"/>
        </w:rPr>
        <w:t xml:space="preserve">asked </w:t>
      </w:r>
      <w:r w:rsidR="00F84B8B" w:rsidRPr="00CF632A">
        <w:rPr>
          <w:lang w:val="en-GB"/>
        </w:rPr>
        <w:t>the EAG</w:t>
      </w:r>
      <w:r w:rsidR="00F84B8B" w:rsidRPr="00A9020B">
        <w:rPr>
          <w:lang w:val="en-GB"/>
        </w:rPr>
        <w:t xml:space="preserve"> </w:t>
      </w:r>
      <w:r w:rsidR="00B11EDD" w:rsidRPr="00A9020B">
        <w:rPr>
          <w:lang w:val="en-GB"/>
        </w:rPr>
        <w:t>to</w:t>
      </w:r>
      <w:r w:rsidR="00F84B8B" w:rsidRPr="00CF632A">
        <w:rPr>
          <w:lang w:val="en-GB"/>
        </w:rPr>
        <w:t xml:space="preserve"> use the mean MPSC price weighted by market share (based on bevacizumab usage across all </w:t>
      </w:r>
      <w:r w:rsidR="00F84B8B" w:rsidRPr="00CF632A">
        <w:rPr>
          <w:lang w:val="en-GB"/>
        </w:rPr>
        <w:lastRenderedPageBreak/>
        <w:t>indications) in its analyses. For this pilot approach,</w:t>
      </w:r>
      <w:r w:rsidR="003420F0" w:rsidRPr="00CF632A">
        <w:rPr>
          <w:lang w:val="en-GB"/>
        </w:rPr>
        <w:t xml:space="preserve"> </w:t>
      </w:r>
      <w:r w:rsidR="004C1586" w:rsidRPr="00CF632A">
        <w:rPr>
          <w:lang w:val="en-GB"/>
        </w:rPr>
        <w:t xml:space="preserve">NICE asked </w:t>
      </w:r>
      <w:r w:rsidR="003420F0" w:rsidRPr="00CF632A">
        <w:rPr>
          <w:lang w:val="en-GB"/>
        </w:rPr>
        <w:t xml:space="preserve">the committee to use the weighted mean </w:t>
      </w:r>
      <w:r w:rsidR="00320D0B" w:rsidRPr="00CF632A">
        <w:rPr>
          <w:lang w:val="en-GB"/>
        </w:rPr>
        <w:t>price in its decision making</w:t>
      </w:r>
      <w:r w:rsidR="00F84B8B" w:rsidRPr="00CF632A">
        <w:rPr>
          <w:lang w:val="en-GB"/>
        </w:rPr>
        <w:t xml:space="preserve">. </w:t>
      </w:r>
      <w:r w:rsidR="00F469F0" w:rsidRPr="00CF632A">
        <w:rPr>
          <w:lang w:val="en-GB"/>
        </w:rPr>
        <w:t>The committee</w:t>
      </w:r>
      <w:r w:rsidR="00F84B8B" w:rsidRPr="00CF632A">
        <w:rPr>
          <w:lang w:val="en-GB"/>
        </w:rPr>
        <w:t xml:space="preserve"> noted that regional variation in procurement practices may lead to differences in access to bevacizumab biosimilars across the NHS, and the cheapest product may not always be selected. </w:t>
      </w:r>
      <w:r w:rsidR="00F53E88" w:rsidRPr="00CF632A">
        <w:rPr>
          <w:lang w:val="en-GB"/>
        </w:rPr>
        <w:t xml:space="preserve">The committee noted that </w:t>
      </w:r>
      <w:r w:rsidR="00191BB1" w:rsidRPr="00CF632A">
        <w:rPr>
          <w:lang w:val="en-GB"/>
        </w:rPr>
        <w:t xml:space="preserve">although </w:t>
      </w:r>
      <w:r w:rsidR="004E1492" w:rsidRPr="00CF632A">
        <w:rPr>
          <w:lang w:val="en-GB"/>
        </w:rPr>
        <w:t xml:space="preserve">mean </w:t>
      </w:r>
      <w:r w:rsidR="00191BB1" w:rsidRPr="00CF632A">
        <w:rPr>
          <w:lang w:val="en-GB"/>
        </w:rPr>
        <w:t>biosimilar pr</w:t>
      </w:r>
      <w:r w:rsidR="00C82A27" w:rsidRPr="00CF632A">
        <w:rPr>
          <w:lang w:val="en-GB"/>
        </w:rPr>
        <w:t xml:space="preserve">ices </w:t>
      </w:r>
      <w:r w:rsidR="008816F7" w:rsidRPr="00A9020B">
        <w:rPr>
          <w:lang w:val="en-GB"/>
        </w:rPr>
        <w:t>would be</w:t>
      </w:r>
      <w:r w:rsidR="005F7F81" w:rsidRPr="00A9020B">
        <w:rPr>
          <w:lang w:val="en-GB"/>
        </w:rPr>
        <w:t xml:space="preserve"> expected to </w:t>
      </w:r>
      <w:r w:rsidR="009A5067">
        <w:rPr>
          <w:lang w:val="en-GB"/>
        </w:rPr>
        <w:t>remain stable or</w:t>
      </w:r>
      <w:r w:rsidR="005F7F81" w:rsidRPr="00A9020B">
        <w:rPr>
          <w:lang w:val="en-GB"/>
        </w:rPr>
        <w:t xml:space="preserve"> </w:t>
      </w:r>
      <w:r w:rsidR="00C82A27" w:rsidRPr="00CF632A">
        <w:rPr>
          <w:lang w:val="en-GB"/>
        </w:rPr>
        <w:t>redu</w:t>
      </w:r>
      <w:r w:rsidR="00850363" w:rsidRPr="00CF632A">
        <w:rPr>
          <w:lang w:val="en-GB"/>
        </w:rPr>
        <w:t>ce over tim</w:t>
      </w:r>
      <w:r w:rsidR="004E1492" w:rsidRPr="00CF632A">
        <w:rPr>
          <w:lang w:val="en-GB"/>
        </w:rPr>
        <w:t>e</w:t>
      </w:r>
      <w:r w:rsidR="005F7F81" w:rsidRPr="00A9020B">
        <w:rPr>
          <w:lang w:val="en-GB"/>
        </w:rPr>
        <w:t xml:space="preserve">, this was </w:t>
      </w:r>
      <w:r w:rsidR="004E1492" w:rsidRPr="00CF632A">
        <w:rPr>
          <w:lang w:val="en-GB"/>
        </w:rPr>
        <w:t>uncertain</w:t>
      </w:r>
      <w:r w:rsidR="00CF360B" w:rsidRPr="00CF632A">
        <w:rPr>
          <w:lang w:val="en-GB"/>
        </w:rPr>
        <w:t xml:space="preserve">. The </w:t>
      </w:r>
      <w:r w:rsidR="002A551F" w:rsidRPr="00A9020B">
        <w:rPr>
          <w:lang w:val="en-GB"/>
        </w:rPr>
        <w:t>price</w:t>
      </w:r>
      <w:r w:rsidR="008816F7" w:rsidRPr="00A9020B">
        <w:rPr>
          <w:lang w:val="en-GB"/>
        </w:rPr>
        <w:t>s</w:t>
      </w:r>
      <w:r w:rsidR="002A551F" w:rsidRPr="00CF632A">
        <w:rPr>
          <w:lang w:val="en-GB"/>
        </w:rPr>
        <w:t xml:space="preserve"> of bevacizumab products in the MPSC are confidential </w:t>
      </w:r>
      <w:r w:rsidR="008816F7" w:rsidRPr="00A9020B">
        <w:rPr>
          <w:lang w:val="en-GB"/>
        </w:rPr>
        <w:t xml:space="preserve">so </w:t>
      </w:r>
      <w:r w:rsidR="002A551F" w:rsidRPr="00CF632A">
        <w:rPr>
          <w:lang w:val="en-GB"/>
        </w:rPr>
        <w:t xml:space="preserve">the </w:t>
      </w:r>
      <w:r w:rsidR="008B0B86" w:rsidRPr="00CF632A">
        <w:rPr>
          <w:lang w:val="en-GB"/>
        </w:rPr>
        <w:t xml:space="preserve">weighted </w:t>
      </w:r>
      <w:r w:rsidR="00AC7A6D" w:rsidRPr="00A9020B">
        <w:rPr>
          <w:lang w:val="en-GB"/>
        </w:rPr>
        <w:t xml:space="preserve">and </w:t>
      </w:r>
      <w:r w:rsidR="008B0B86" w:rsidRPr="00CF632A">
        <w:rPr>
          <w:lang w:val="en-GB"/>
        </w:rPr>
        <w:t xml:space="preserve">unweighted mean </w:t>
      </w:r>
      <w:r w:rsidR="008B0B86" w:rsidRPr="00A9020B">
        <w:rPr>
          <w:lang w:val="en-GB"/>
        </w:rPr>
        <w:t>price</w:t>
      </w:r>
      <w:r w:rsidR="00AC7A6D" w:rsidRPr="00A9020B">
        <w:rPr>
          <w:lang w:val="en-GB"/>
        </w:rPr>
        <w:t>s cannot be reported</w:t>
      </w:r>
      <w:r w:rsidR="008B0B86" w:rsidRPr="00CF632A">
        <w:rPr>
          <w:lang w:val="en-GB"/>
        </w:rPr>
        <w:t xml:space="preserve"> </w:t>
      </w:r>
      <w:r w:rsidR="008816F7" w:rsidRPr="00A9020B">
        <w:rPr>
          <w:lang w:val="en-GB"/>
        </w:rPr>
        <w:t>here</w:t>
      </w:r>
      <w:r w:rsidR="0018401A" w:rsidRPr="00A9020B">
        <w:rPr>
          <w:lang w:val="en-GB"/>
        </w:rPr>
        <w:t>.</w:t>
      </w:r>
      <w:r w:rsidR="0018401A" w:rsidRPr="00CF632A">
        <w:rPr>
          <w:lang w:val="en-GB"/>
        </w:rPr>
        <w:t xml:space="preserve"> The comm</w:t>
      </w:r>
      <w:r w:rsidR="0070152A" w:rsidRPr="00CF632A">
        <w:rPr>
          <w:lang w:val="en-GB"/>
        </w:rPr>
        <w:t xml:space="preserve">ittee concluded that it would use the </w:t>
      </w:r>
      <w:r w:rsidR="006C3F83" w:rsidRPr="00CF632A">
        <w:rPr>
          <w:lang w:val="en-GB"/>
        </w:rPr>
        <w:t>weighted mean pric</w:t>
      </w:r>
      <w:r w:rsidR="003554BE" w:rsidRPr="00CF632A">
        <w:rPr>
          <w:lang w:val="en-GB"/>
        </w:rPr>
        <w:t xml:space="preserve">e of bevacizumab products in the MPSC </w:t>
      </w:r>
      <w:r w:rsidR="00F40C56" w:rsidRPr="00CF632A">
        <w:rPr>
          <w:lang w:val="en-GB"/>
        </w:rPr>
        <w:t>as indicative of</w:t>
      </w:r>
      <w:r w:rsidR="008F02D3" w:rsidRPr="00CF632A">
        <w:rPr>
          <w:lang w:val="en-GB"/>
        </w:rPr>
        <w:t xml:space="preserve"> the cost of </w:t>
      </w:r>
      <w:proofErr w:type="gramStart"/>
      <w:r w:rsidR="008F02D3" w:rsidRPr="00CF632A">
        <w:rPr>
          <w:lang w:val="en-GB"/>
        </w:rPr>
        <w:t>bevacizumab</w:t>
      </w:r>
      <w:r w:rsidR="007A65E6" w:rsidRPr="00CF632A">
        <w:rPr>
          <w:lang w:val="en-GB"/>
        </w:rPr>
        <w:t>, and</w:t>
      </w:r>
      <w:proofErr w:type="gramEnd"/>
      <w:r w:rsidR="00F40C56" w:rsidRPr="00CF632A">
        <w:rPr>
          <w:lang w:val="en-GB"/>
        </w:rPr>
        <w:t xml:space="preserve"> </w:t>
      </w:r>
      <w:proofErr w:type="gramStart"/>
      <w:r w:rsidR="00F40C56" w:rsidRPr="00CF632A">
        <w:rPr>
          <w:lang w:val="en-GB"/>
        </w:rPr>
        <w:t>take into account</w:t>
      </w:r>
      <w:proofErr w:type="gramEnd"/>
      <w:r w:rsidR="00F40C56" w:rsidRPr="00CF632A">
        <w:rPr>
          <w:lang w:val="en-GB"/>
        </w:rPr>
        <w:t xml:space="preserve"> the uncertainty </w:t>
      </w:r>
      <w:r w:rsidR="00347C28" w:rsidRPr="00A9020B">
        <w:rPr>
          <w:lang w:val="en-GB"/>
        </w:rPr>
        <w:t xml:space="preserve">about </w:t>
      </w:r>
      <w:r w:rsidR="00F40C56" w:rsidRPr="00CF632A">
        <w:rPr>
          <w:lang w:val="en-GB"/>
        </w:rPr>
        <w:t>this estimate in its decision making</w:t>
      </w:r>
      <w:r w:rsidR="000E1B54" w:rsidRPr="00CF632A">
        <w:rPr>
          <w:lang w:val="en-GB"/>
        </w:rPr>
        <w:t>.</w:t>
      </w:r>
      <w:r w:rsidR="007A65E6" w:rsidRPr="00CF632A">
        <w:rPr>
          <w:lang w:val="en-GB"/>
        </w:rPr>
        <w:t xml:space="preserve"> </w:t>
      </w:r>
    </w:p>
    <w:p w14:paraId="01B44FA6" w14:textId="77777777" w:rsidR="00592C2D" w:rsidRPr="00CF632A" w:rsidRDefault="00592C2D" w:rsidP="00592C2D">
      <w:pPr>
        <w:pStyle w:val="Heading3"/>
      </w:pPr>
      <w:r w:rsidRPr="00CF632A">
        <w:t>Vial sharing</w:t>
      </w:r>
    </w:p>
    <w:p w14:paraId="785F53F9" w14:textId="1127A09F" w:rsidR="00BD0E64" w:rsidRPr="00CF632A" w:rsidRDefault="00BC219F" w:rsidP="00C70B97">
      <w:pPr>
        <w:pStyle w:val="Numberedlevel2text"/>
        <w:rPr>
          <w:lang w:val="en-GB"/>
        </w:rPr>
      </w:pPr>
      <w:r w:rsidRPr="00CF632A">
        <w:rPr>
          <w:color w:val="000000" w:themeColor="text1"/>
          <w:lang w:val="en-GB"/>
        </w:rPr>
        <w:t xml:space="preserve">The NHSE lead asked whether the EAG had incorporated vial sharing in its analyses. They noted that colorectal cancer is common, and bevacizumab is also used in other tumour types (such as hepatocellular carcinoma and gynaecological cancers). </w:t>
      </w:r>
      <w:proofErr w:type="gramStart"/>
      <w:r w:rsidR="00A839D5" w:rsidRPr="00A9020B">
        <w:rPr>
          <w:color w:val="000000" w:themeColor="text1"/>
          <w:lang w:val="en-GB"/>
        </w:rPr>
        <w:t>So</w:t>
      </w:r>
      <w:proofErr w:type="gramEnd"/>
      <w:r w:rsidRPr="00CF632A">
        <w:rPr>
          <w:color w:val="000000" w:themeColor="text1"/>
          <w:lang w:val="en-GB"/>
        </w:rPr>
        <w:t xml:space="preserve"> if bevacizumab were </w:t>
      </w:r>
      <w:r w:rsidR="00A839D5" w:rsidRPr="00A9020B">
        <w:rPr>
          <w:color w:val="000000" w:themeColor="text1"/>
          <w:lang w:val="en-GB"/>
        </w:rPr>
        <w:t>recommended</w:t>
      </w:r>
      <w:r w:rsidRPr="00CF632A">
        <w:rPr>
          <w:color w:val="000000" w:themeColor="text1"/>
          <w:lang w:val="en-GB"/>
        </w:rPr>
        <w:t xml:space="preserve">, there would be significant opportunity for vial sharing across the NHS. </w:t>
      </w:r>
      <w:r w:rsidR="00474231" w:rsidRPr="00CF632A">
        <w:rPr>
          <w:color w:val="000000" w:themeColor="text1"/>
          <w:lang w:val="en-GB"/>
        </w:rPr>
        <w:t xml:space="preserve">The clinical expert </w:t>
      </w:r>
      <w:r w:rsidR="00BD0E64" w:rsidRPr="00CF632A">
        <w:rPr>
          <w:color w:val="000000" w:themeColor="text1"/>
          <w:lang w:val="en-GB"/>
        </w:rPr>
        <w:t>agreed and</w:t>
      </w:r>
      <w:r w:rsidR="00474231" w:rsidRPr="00CF632A">
        <w:rPr>
          <w:color w:val="000000" w:themeColor="text1"/>
          <w:lang w:val="en-GB"/>
        </w:rPr>
        <w:t xml:space="preserve"> </w:t>
      </w:r>
      <w:r w:rsidR="00E16E03" w:rsidRPr="00CF632A">
        <w:rPr>
          <w:color w:val="000000" w:themeColor="text1"/>
          <w:lang w:val="en-GB"/>
        </w:rPr>
        <w:t>highlighted</w:t>
      </w:r>
      <w:r w:rsidR="00474231" w:rsidRPr="00CF632A">
        <w:rPr>
          <w:color w:val="000000" w:themeColor="text1"/>
          <w:lang w:val="en-GB"/>
        </w:rPr>
        <w:t xml:space="preserve"> that vial sharing is standard practice in many cancers and is </w:t>
      </w:r>
      <w:r w:rsidR="007615D5" w:rsidRPr="00A9020B">
        <w:rPr>
          <w:color w:val="000000" w:themeColor="text1"/>
          <w:lang w:val="en-GB"/>
        </w:rPr>
        <w:t xml:space="preserve">done </w:t>
      </w:r>
      <w:r w:rsidR="00474231" w:rsidRPr="00CF632A">
        <w:rPr>
          <w:color w:val="000000" w:themeColor="text1"/>
          <w:lang w:val="en-GB"/>
        </w:rPr>
        <w:t>routinely by hospital pharmacies.</w:t>
      </w:r>
      <w:r w:rsidR="00474231" w:rsidRPr="00CF632A">
        <w:rPr>
          <w:lang w:val="en-GB"/>
        </w:rPr>
        <w:t xml:space="preserve"> </w:t>
      </w:r>
      <w:r w:rsidRPr="00CF632A">
        <w:rPr>
          <w:color w:val="000000" w:themeColor="text1"/>
          <w:lang w:val="en-GB"/>
        </w:rPr>
        <w:t>The EAG</w:t>
      </w:r>
      <w:r w:rsidR="00474231" w:rsidRPr="00CF632A">
        <w:rPr>
          <w:color w:val="000000" w:themeColor="text1"/>
          <w:lang w:val="en-GB"/>
        </w:rPr>
        <w:t xml:space="preserve"> explained that</w:t>
      </w:r>
      <w:r w:rsidRPr="00CF632A">
        <w:rPr>
          <w:color w:val="000000" w:themeColor="text1"/>
          <w:lang w:val="en-GB"/>
        </w:rPr>
        <w:t xml:space="preserve"> vial sharing was explored in a scenario analysis, which showed a </w:t>
      </w:r>
      <w:r w:rsidR="00005122" w:rsidRPr="00CF632A">
        <w:rPr>
          <w:color w:val="000000" w:themeColor="text1"/>
          <w:lang w:val="en-GB"/>
        </w:rPr>
        <w:t>minimal reduction</w:t>
      </w:r>
      <w:r w:rsidRPr="00CF632A">
        <w:rPr>
          <w:color w:val="000000" w:themeColor="text1"/>
          <w:lang w:val="en-GB"/>
        </w:rPr>
        <w:t xml:space="preserve"> in the ICER, but it was not included in</w:t>
      </w:r>
      <w:r w:rsidR="00474231" w:rsidRPr="00CF632A">
        <w:rPr>
          <w:color w:val="000000" w:themeColor="text1"/>
          <w:lang w:val="en-GB"/>
        </w:rPr>
        <w:t xml:space="preserve"> </w:t>
      </w:r>
      <w:r w:rsidR="00592C2D" w:rsidRPr="00CF632A">
        <w:rPr>
          <w:color w:val="000000" w:themeColor="text1"/>
          <w:lang w:val="en-GB"/>
        </w:rPr>
        <w:t>its base case</w:t>
      </w:r>
      <w:r w:rsidR="00C70B97" w:rsidRPr="00CF632A">
        <w:rPr>
          <w:color w:val="000000" w:themeColor="text1"/>
          <w:lang w:val="en-GB"/>
        </w:rPr>
        <w:t>.</w:t>
      </w:r>
      <w:r w:rsidR="004101F1" w:rsidRPr="00CF632A">
        <w:rPr>
          <w:color w:val="000000" w:themeColor="text1"/>
          <w:lang w:val="en-GB"/>
        </w:rPr>
        <w:t xml:space="preserve"> The committee acknowledged that vial sharing is standard practice and is likely to be feasible for bevacizumab. It acknowledged that the EAG had explored vial sharing in a scenario analysis and concluded the impact was minimal.</w:t>
      </w:r>
    </w:p>
    <w:p w14:paraId="65BBBBEC" w14:textId="77777777" w:rsidR="002F1BB4" w:rsidRPr="00CF632A" w:rsidRDefault="002F1BB4" w:rsidP="002F1BB4">
      <w:pPr>
        <w:pStyle w:val="Heading2"/>
      </w:pPr>
      <w:r w:rsidRPr="00CF632A">
        <w:t>Utility values</w:t>
      </w:r>
    </w:p>
    <w:p w14:paraId="6E2528AB" w14:textId="617A7C46" w:rsidR="002F1BB4" w:rsidRPr="00CF632A" w:rsidRDefault="00B0061F" w:rsidP="002F1BB4">
      <w:pPr>
        <w:pStyle w:val="Heading3"/>
      </w:pPr>
      <w:r w:rsidRPr="00CF632A">
        <w:t>S</w:t>
      </w:r>
      <w:r w:rsidR="006C7E9B" w:rsidRPr="00CF632A">
        <w:t>ource of utility values</w:t>
      </w:r>
    </w:p>
    <w:p w14:paraId="003C512E" w14:textId="239FAF6B" w:rsidR="00CB431A" w:rsidRPr="00CF632A" w:rsidRDefault="0044088B" w:rsidP="005E4452">
      <w:pPr>
        <w:pStyle w:val="Numberedlevel2text"/>
        <w:rPr>
          <w:lang w:val="en-GB"/>
        </w:rPr>
      </w:pPr>
      <w:r w:rsidRPr="00CF632A">
        <w:rPr>
          <w:lang w:val="en-GB"/>
        </w:rPr>
        <w:t xml:space="preserve">The EAG </w:t>
      </w:r>
      <w:r w:rsidR="00655EF5" w:rsidRPr="00CF632A">
        <w:rPr>
          <w:lang w:val="en-GB"/>
        </w:rPr>
        <w:t>considered</w:t>
      </w:r>
      <w:r w:rsidR="00896E57" w:rsidRPr="00CF632A">
        <w:rPr>
          <w:lang w:val="en-GB"/>
        </w:rPr>
        <w:t xml:space="preserve"> utility values reported from previous NICE </w:t>
      </w:r>
      <w:r w:rsidR="003E208D" w:rsidRPr="00CF632A">
        <w:rPr>
          <w:lang w:val="en-GB"/>
        </w:rPr>
        <w:t xml:space="preserve">technology </w:t>
      </w:r>
      <w:r w:rsidR="00896E57" w:rsidRPr="00CF632A">
        <w:rPr>
          <w:lang w:val="en-GB"/>
        </w:rPr>
        <w:t>appraisals</w:t>
      </w:r>
      <w:r w:rsidR="00AD65FA" w:rsidRPr="00CF632A">
        <w:rPr>
          <w:lang w:val="en-GB"/>
        </w:rPr>
        <w:t xml:space="preserve"> </w:t>
      </w:r>
      <w:r w:rsidR="003E208D" w:rsidRPr="00CF632A">
        <w:rPr>
          <w:lang w:val="en-GB"/>
        </w:rPr>
        <w:t>for first-line</w:t>
      </w:r>
      <w:r w:rsidR="00572C05" w:rsidRPr="00CF632A">
        <w:rPr>
          <w:lang w:val="en-GB"/>
        </w:rPr>
        <w:t xml:space="preserve"> </w:t>
      </w:r>
      <w:r w:rsidR="00F65474" w:rsidRPr="00CF632A">
        <w:rPr>
          <w:lang w:val="en-GB"/>
        </w:rPr>
        <w:t>treatment</w:t>
      </w:r>
      <w:r w:rsidR="003E208D" w:rsidRPr="00CF632A">
        <w:rPr>
          <w:lang w:val="en-GB"/>
        </w:rPr>
        <w:t xml:space="preserve"> </w:t>
      </w:r>
      <w:r w:rsidR="00AD65FA" w:rsidRPr="00CF632A">
        <w:rPr>
          <w:lang w:val="en-GB"/>
        </w:rPr>
        <w:t>(</w:t>
      </w:r>
      <w:hyperlink r:id="rId38" w:history="1">
        <w:r w:rsidR="00DA6A89" w:rsidRPr="00CF632A">
          <w:rPr>
            <w:rStyle w:val="Hyperlink"/>
            <w:lang w:val="en-GB"/>
          </w:rPr>
          <w:t>TA118</w:t>
        </w:r>
      </w:hyperlink>
      <w:r w:rsidR="00AD65FA" w:rsidRPr="00CF632A">
        <w:rPr>
          <w:lang w:val="en-GB"/>
        </w:rPr>
        <w:t xml:space="preserve"> and </w:t>
      </w:r>
      <w:hyperlink r:id="rId39" w:history="1">
        <w:r w:rsidR="00235A37" w:rsidRPr="00CF632A">
          <w:rPr>
            <w:rStyle w:val="Hyperlink"/>
            <w:lang w:val="en-GB"/>
          </w:rPr>
          <w:t>TA212</w:t>
        </w:r>
      </w:hyperlink>
      <w:r w:rsidR="003E208D" w:rsidRPr="00CF632A">
        <w:rPr>
          <w:lang w:val="en-GB"/>
        </w:rPr>
        <w:t>)</w:t>
      </w:r>
      <w:r w:rsidR="00AD65FA" w:rsidRPr="00CF632A">
        <w:rPr>
          <w:lang w:val="en-GB"/>
        </w:rPr>
        <w:t xml:space="preserve"> and </w:t>
      </w:r>
      <w:r w:rsidR="00AD65FA" w:rsidRPr="00CF632A">
        <w:rPr>
          <w:lang w:val="en-GB"/>
        </w:rPr>
        <w:lastRenderedPageBreak/>
        <w:t>second</w:t>
      </w:r>
      <w:r w:rsidR="008F5672" w:rsidRPr="00CF632A">
        <w:rPr>
          <w:lang w:val="en-GB"/>
        </w:rPr>
        <w:t xml:space="preserve">-line </w:t>
      </w:r>
      <w:r w:rsidR="00F65474" w:rsidRPr="00CF632A">
        <w:rPr>
          <w:lang w:val="en-GB"/>
        </w:rPr>
        <w:t>treatment</w:t>
      </w:r>
      <w:r w:rsidR="008F5672" w:rsidRPr="00CF632A">
        <w:rPr>
          <w:lang w:val="en-GB"/>
        </w:rPr>
        <w:t xml:space="preserve"> </w:t>
      </w:r>
      <w:r w:rsidR="003E208D" w:rsidRPr="00CF632A">
        <w:rPr>
          <w:lang w:val="en-GB"/>
        </w:rPr>
        <w:t>(</w:t>
      </w:r>
      <w:hyperlink r:id="rId40" w:history="1">
        <w:r w:rsidR="003E208D" w:rsidRPr="00CF632A">
          <w:rPr>
            <w:rStyle w:val="Hyperlink"/>
            <w:lang w:val="en-GB"/>
          </w:rPr>
          <w:t>TA1008</w:t>
        </w:r>
      </w:hyperlink>
      <w:r w:rsidR="00402CCF" w:rsidRPr="00CF632A">
        <w:rPr>
          <w:lang w:val="en-GB"/>
        </w:rPr>
        <w:t>)</w:t>
      </w:r>
      <w:r w:rsidR="0014263E" w:rsidRPr="00CF632A">
        <w:rPr>
          <w:lang w:val="en-GB"/>
        </w:rPr>
        <w:t xml:space="preserve"> to select its preferred estimates for th</w:t>
      </w:r>
      <w:r w:rsidR="008A58C6" w:rsidRPr="00CF632A">
        <w:rPr>
          <w:lang w:val="en-GB"/>
        </w:rPr>
        <w:t>is evaluation</w:t>
      </w:r>
      <w:r w:rsidR="00402CCF" w:rsidRPr="00CF632A">
        <w:rPr>
          <w:lang w:val="en-GB"/>
        </w:rPr>
        <w:t>.</w:t>
      </w:r>
      <w:r w:rsidR="00402CCF" w:rsidRPr="00CF632A">
        <w:rPr>
          <w:rFonts w:ascii="Times New Roman" w:hAnsi="Times New Roman"/>
          <w:bCs w:val="0"/>
          <w:iCs w:val="0"/>
          <w:szCs w:val="24"/>
          <w:lang w:val="en-GB"/>
        </w:rPr>
        <w:t xml:space="preserve"> </w:t>
      </w:r>
      <w:r w:rsidR="00402CCF" w:rsidRPr="00CF632A">
        <w:rPr>
          <w:lang w:val="en-GB"/>
        </w:rPr>
        <w:t xml:space="preserve">It also included </w:t>
      </w:r>
      <w:proofErr w:type="spellStart"/>
      <w:r w:rsidR="00402CCF" w:rsidRPr="00CF632A">
        <w:rPr>
          <w:lang w:val="en-GB"/>
        </w:rPr>
        <w:t>disutilities</w:t>
      </w:r>
      <w:proofErr w:type="spellEnd"/>
      <w:r w:rsidR="00402CCF" w:rsidRPr="00CF632A">
        <w:rPr>
          <w:lang w:val="en-GB"/>
        </w:rPr>
        <w:t xml:space="preserve"> related to adverse events, which had not been considered in these appraisals </w:t>
      </w:r>
      <w:r w:rsidR="003C0A29" w:rsidRPr="00CF632A">
        <w:rPr>
          <w:lang w:val="en-GB"/>
        </w:rPr>
        <w:t xml:space="preserve">(see </w:t>
      </w:r>
      <w:hyperlink w:anchor="_Disutility_for_adverse" w:history="1">
        <w:r w:rsidR="00152823" w:rsidRPr="00CF632A">
          <w:rPr>
            <w:rStyle w:val="Hyperlink"/>
            <w:lang w:val="en-GB"/>
          </w:rPr>
          <w:t>section 3.14</w:t>
        </w:r>
      </w:hyperlink>
      <w:r w:rsidR="003C0A29" w:rsidRPr="00CF632A">
        <w:rPr>
          <w:lang w:val="en-GB"/>
        </w:rPr>
        <w:t>)</w:t>
      </w:r>
      <w:r w:rsidR="00AD65FA" w:rsidRPr="00CF632A">
        <w:rPr>
          <w:lang w:val="en-GB"/>
        </w:rPr>
        <w:t>.</w:t>
      </w:r>
      <w:r w:rsidR="00DD07E0" w:rsidRPr="00CF632A">
        <w:rPr>
          <w:lang w:val="en-GB"/>
        </w:rPr>
        <w:t xml:space="preserve"> </w:t>
      </w:r>
      <w:r w:rsidR="00783907" w:rsidRPr="00CF632A">
        <w:rPr>
          <w:szCs w:val="22"/>
          <w:lang w:val="en-GB"/>
        </w:rPr>
        <w:t>For the first-line setting, the</w:t>
      </w:r>
      <w:r w:rsidR="00E53FC6" w:rsidRPr="00CF632A">
        <w:rPr>
          <w:szCs w:val="22"/>
          <w:lang w:val="en-GB"/>
        </w:rPr>
        <w:t xml:space="preserve"> EAG followed the </w:t>
      </w:r>
      <w:r w:rsidR="00FB6FC6" w:rsidRPr="00A9020B">
        <w:rPr>
          <w:szCs w:val="22"/>
          <w:lang w:val="en-GB"/>
        </w:rPr>
        <w:t>external review group (</w:t>
      </w:r>
      <w:r w:rsidR="00E53FC6" w:rsidRPr="00A9020B">
        <w:rPr>
          <w:szCs w:val="22"/>
          <w:lang w:val="en-GB"/>
        </w:rPr>
        <w:t>ERG</w:t>
      </w:r>
      <w:r w:rsidR="00FB6FC6" w:rsidRPr="00A9020B">
        <w:rPr>
          <w:szCs w:val="22"/>
          <w:lang w:val="en-GB"/>
        </w:rPr>
        <w:t>)</w:t>
      </w:r>
      <w:r w:rsidR="00E53FC6" w:rsidRPr="00A9020B">
        <w:rPr>
          <w:szCs w:val="22"/>
          <w:lang w:val="en-GB"/>
        </w:rPr>
        <w:t>’s</w:t>
      </w:r>
      <w:r w:rsidR="00E53FC6" w:rsidRPr="00CF632A">
        <w:rPr>
          <w:szCs w:val="22"/>
          <w:lang w:val="en-GB"/>
        </w:rPr>
        <w:t xml:space="preserve"> model assumptions from </w:t>
      </w:r>
      <w:r w:rsidR="00F72E74" w:rsidRPr="00171077">
        <w:rPr>
          <w:lang w:val="en-GB"/>
        </w:rPr>
        <w:t>TA212</w:t>
      </w:r>
      <w:r w:rsidR="00443820" w:rsidRPr="00CF632A">
        <w:rPr>
          <w:lang w:val="en-GB"/>
        </w:rPr>
        <w:t xml:space="preserve"> </w:t>
      </w:r>
      <w:r w:rsidR="00E53FC6" w:rsidRPr="00CF632A">
        <w:rPr>
          <w:szCs w:val="22"/>
          <w:lang w:val="en-GB"/>
        </w:rPr>
        <w:t>by assuming a utility value of 0.77 for the progression-free health state and 0.68 for the progressed</w:t>
      </w:r>
      <w:r w:rsidR="007E2688" w:rsidRPr="00A9020B">
        <w:rPr>
          <w:szCs w:val="22"/>
          <w:lang w:val="en-GB"/>
        </w:rPr>
        <w:t>-</w:t>
      </w:r>
      <w:r w:rsidR="0069624B" w:rsidRPr="00CF632A">
        <w:rPr>
          <w:szCs w:val="22"/>
          <w:lang w:val="en-GB"/>
        </w:rPr>
        <w:t>disease</w:t>
      </w:r>
      <w:r w:rsidR="00E53FC6" w:rsidRPr="00CF632A">
        <w:rPr>
          <w:szCs w:val="22"/>
          <w:lang w:val="en-GB"/>
        </w:rPr>
        <w:t xml:space="preserve"> </w:t>
      </w:r>
      <w:r w:rsidR="00E53FC6" w:rsidRPr="00A9020B">
        <w:rPr>
          <w:szCs w:val="22"/>
          <w:lang w:val="en-GB"/>
        </w:rPr>
        <w:t>hea</w:t>
      </w:r>
      <w:r w:rsidR="00D86EE5">
        <w:rPr>
          <w:szCs w:val="22"/>
          <w:lang w:val="en-GB"/>
        </w:rPr>
        <w:t>lth</w:t>
      </w:r>
      <w:r w:rsidR="00E53FC6" w:rsidRPr="00CF632A">
        <w:rPr>
          <w:szCs w:val="22"/>
          <w:lang w:val="en-GB"/>
        </w:rPr>
        <w:t xml:space="preserve"> state in </w:t>
      </w:r>
      <w:r w:rsidR="0077013B" w:rsidRPr="00A9020B">
        <w:rPr>
          <w:szCs w:val="22"/>
          <w:lang w:val="en-GB"/>
        </w:rPr>
        <w:t xml:space="preserve">its </w:t>
      </w:r>
      <w:r w:rsidR="00E53FC6" w:rsidRPr="00CF632A">
        <w:rPr>
          <w:szCs w:val="22"/>
          <w:lang w:val="en-GB"/>
        </w:rPr>
        <w:t>base case.</w:t>
      </w:r>
      <w:r w:rsidR="00234F84" w:rsidRPr="00CF632A">
        <w:rPr>
          <w:lang w:val="en-GB"/>
        </w:rPr>
        <w:t xml:space="preserve"> </w:t>
      </w:r>
      <w:r w:rsidR="00783907" w:rsidRPr="00CF632A">
        <w:rPr>
          <w:szCs w:val="22"/>
          <w:lang w:val="en-GB"/>
        </w:rPr>
        <w:t>Fo</w:t>
      </w:r>
      <w:r w:rsidR="00F216C0" w:rsidRPr="00CF632A">
        <w:rPr>
          <w:szCs w:val="22"/>
          <w:lang w:val="en-GB"/>
        </w:rPr>
        <w:t xml:space="preserve">r the second-line setting, the EAG followed the </w:t>
      </w:r>
      <w:r w:rsidR="00234F84" w:rsidRPr="00CF632A">
        <w:rPr>
          <w:szCs w:val="22"/>
          <w:lang w:val="en-GB"/>
        </w:rPr>
        <w:t>committee’s</w:t>
      </w:r>
      <w:r w:rsidR="00F216C0" w:rsidRPr="00CF632A">
        <w:rPr>
          <w:szCs w:val="22"/>
          <w:lang w:val="en-GB"/>
        </w:rPr>
        <w:t xml:space="preserve"> preferences from </w:t>
      </w:r>
      <w:r w:rsidR="00F72E74" w:rsidRPr="00171077">
        <w:rPr>
          <w:lang w:val="en-GB"/>
        </w:rPr>
        <w:t>TA1008</w:t>
      </w:r>
      <w:r w:rsidR="00F216C0" w:rsidRPr="00CF632A">
        <w:rPr>
          <w:szCs w:val="22"/>
          <w:lang w:val="en-GB"/>
        </w:rPr>
        <w:t xml:space="preserve"> by assuming a utility value of 0.73 for the progression-free health state and 0.64 for the progressed</w:t>
      </w:r>
      <w:r w:rsidR="007E2688" w:rsidRPr="00A9020B">
        <w:rPr>
          <w:szCs w:val="22"/>
          <w:lang w:val="en-GB"/>
        </w:rPr>
        <w:t>-</w:t>
      </w:r>
      <w:r w:rsidR="00EF63DB" w:rsidRPr="00CF632A">
        <w:rPr>
          <w:szCs w:val="22"/>
          <w:lang w:val="en-GB"/>
        </w:rPr>
        <w:t xml:space="preserve">disease </w:t>
      </w:r>
      <w:r w:rsidR="00F216C0" w:rsidRPr="00A9020B">
        <w:rPr>
          <w:szCs w:val="22"/>
          <w:lang w:val="en-GB"/>
        </w:rPr>
        <w:t>hea</w:t>
      </w:r>
      <w:r w:rsidR="00D86EE5">
        <w:rPr>
          <w:szCs w:val="22"/>
          <w:lang w:val="en-GB"/>
        </w:rPr>
        <w:t>lth</w:t>
      </w:r>
      <w:r w:rsidR="00F216C0" w:rsidRPr="00CF632A">
        <w:rPr>
          <w:szCs w:val="22"/>
          <w:lang w:val="en-GB"/>
        </w:rPr>
        <w:t xml:space="preserve"> state in </w:t>
      </w:r>
      <w:r w:rsidR="00E93595" w:rsidRPr="00A9020B">
        <w:rPr>
          <w:szCs w:val="22"/>
          <w:lang w:val="en-GB"/>
        </w:rPr>
        <w:t xml:space="preserve">its </w:t>
      </w:r>
      <w:r w:rsidR="00F216C0" w:rsidRPr="00CF632A">
        <w:rPr>
          <w:szCs w:val="22"/>
          <w:lang w:val="en-GB"/>
        </w:rPr>
        <w:t>base case</w:t>
      </w:r>
      <w:r w:rsidR="00234F84" w:rsidRPr="00CF632A">
        <w:rPr>
          <w:szCs w:val="22"/>
          <w:lang w:val="en-GB"/>
        </w:rPr>
        <w:t xml:space="preserve">. </w:t>
      </w:r>
      <w:r w:rsidR="00640BB5" w:rsidRPr="00CF632A">
        <w:rPr>
          <w:szCs w:val="22"/>
          <w:lang w:val="en-GB"/>
        </w:rPr>
        <w:t xml:space="preserve">All </w:t>
      </w:r>
      <w:r w:rsidR="00640BB5" w:rsidRPr="00A9020B">
        <w:rPr>
          <w:szCs w:val="22"/>
          <w:lang w:val="en-GB"/>
        </w:rPr>
        <w:t>hea</w:t>
      </w:r>
      <w:r w:rsidR="00D86EE5">
        <w:rPr>
          <w:szCs w:val="22"/>
          <w:lang w:val="en-GB"/>
        </w:rPr>
        <w:t>lth</w:t>
      </w:r>
      <w:r w:rsidR="00E93595" w:rsidRPr="00A9020B">
        <w:rPr>
          <w:szCs w:val="22"/>
          <w:lang w:val="en-GB"/>
        </w:rPr>
        <w:t>-</w:t>
      </w:r>
      <w:r w:rsidR="00640BB5" w:rsidRPr="00CF632A">
        <w:rPr>
          <w:szCs w:val="22"/>
          <w:lang w:val="en-GB"/>
        </w:rPr>
        <w:t xml:space="preserve">state utility values were adjusted for </w:t>
      </w:r>
      <w:r w:rsidR="00640BB5" w:rsidRPr="00A9020B">
        <w:rPr>
          <w:szCs w:val="22"/>
          <w:lang w:val="en-GB"/>
        </w:rPr>
        <w:t>ag</w:t>
      </w:r>
      <w:r w:rsidR="0045046E">
        <w:rPr>
          <w:szCs w:val="22"/>
          <w:lang w:val="en-GB"/>
        </w:rPr>
        <w:t>eing</w:t>
      </w:r>
      <w:r w:rsidR="00640BB5" w:rsidRPr="00CF632A">
        <w:rPr>
          <w:szCs w:val="22"/>
          <w:lang w:val="en-GB"/>
        </w:rPr>
        <w:t xml:space="preserve"> using </w:t>
      </w:r>
      <w:hyperlink r:id="rId41" w:history="1">
        <w:r w:rsidR="00640BB5" w:rsidRPr="00CF632A">
          <w:rPr>
            <w:rStyle w:val="Hyperlink"/>
            <w:szCs w:val="22"/>
            <w:lang w:val="en-GB"/>
          </w:rPr>
          <w:t>Hernandez Alava et al</w:t>
        </w:r>
        <w:r w:rsidR="00F72E74" w:rsidRPr="00A9020B">
          <w:rPr>
            <w:rStyle w:val="Hyperlink"/>
            <w:szCs w:val="22"/>
            <w:lang w:val="en-GB"/>
          </w:rPr>
          <w:t>.</w:t>
        </w:r>
        <w:r w:rsidR="000C557C" w:rsidRPr="00CF632A">
          <w:rPr>
            <w:rStyle w:val="Hyperlink"/>
            <w:szCs w:val="22"/>
            <w:lang w:val="en-GB"/>
          </w:rPr>
          <w:t xml:space="preserve"> (2022)</w:t>
        </w:r>
      </w:hyperlink>
      <w:r w:rsidR="0069003D">
        <w:rPr>
          <w:rStyle w:val="CommentReference"/>
          <w:sz w:val="24"/>
          <w:szCs w:val="22"/>
          <w:lang w:val="en-GB"/>
        </w:rPr>
        <w:t xml:space="preserve"> (</w:t>
      </w:r>
      <w:r w:rsidR="0069003D" w:rsidRPr="00CF632A">
        <w:rPr>
          <w:lang w:val="en-GB"/>
        </w:rPr>
        <w:t xml:space="preserve">see </w:t>
      </w:r>
      <w:hyperlink r:id="rId42" w:anchor="measuring-and-valuing-health-effects-in-cost-utility-analyses" w:tgtFrame="_blank" w:history="1">
        <w:r w:rsidR="00077807">
          <w:rPr>
            <w:rStyle w:val="Hyperlink"/>
            <w:lang w:val="en-GB"/>
          </w:rPr>
          <w:t>section 4.3.16 in NICE’s health technology evaluations manual</w:t>
        </w:r>
      </w:hyperlink>
      <w:r w:rsidR="00EB2A29" w:rsidRPr="00171077">
        <w:rPr>
          <w:lang w:val="en-GB"/>
        </w:rPr>
        <w:t>)</w:t>
      </w:r>
      <w:r w:rsidR="000C557C" w:rsidRPr="00A9020B">
        <w:rPr>
          <w:szCs w:val="22"/>
          <w:lang w:val="en-GB"/>
        </w:rPr>
        <w:t>.</w:t>
      </w:r>
      <w:r w:rsidR="00640BB5" w:rsidRPr="00CF632A">
        <w:rPr>
          <w:szCs w:val="22"/>
          <w:lang w:val="en-GB"/>
        </w:rPr>
        <w:t xml:space="preserve"> </w:t>
      </w:r>
      <w:r w:rsidR="00DD7DE2" w:rsidRPr="00CF632A">
        <w:rPr>
          <w:szCs w:val="22"/>
          <w:lang w:val="en-GB"/>
        </w:rPr>
        <w:t>The EAG explored uncertainty in the utility values in the first- and second-line settings by arbitrarily increasing and decreasing them by 5% in scenario analyses</w:t>
      </w:r>
      <w:r w:rsidR="00857278" w:rsidRPr="00CF632A">
        <w:rPr>
          <w:lang w:val="en-GB"/>
        </w:rPr>
        <w:t xml:space="preserve">. </w:t>
      </w:r>
      <w:r w:rsidR="0099415B" w:rsidRPr="00A9020B">
        <w:rPr>
          <w:lang w:val="en-GB"/>
        </w:rPr>
        <w:br/>
      </w:r>
      <w:r w:rsidR="0099415B" w:rsidRPr="00A9020B">
        <w:rPr>
          <w:lang w:val="en-GB"/>
        </w:rPr>
        <w:br/>
      </w:r>
      <w:r w:rsidR="00AB0FE6" w:rsidRPr="00CF632A">
        <w:rPr>
          <w:lang w:val="en-GB"/>
        </w:rPr>
        <w:t xml:space="preserve">The committee noted that the </w:t>
      </w:r>
      <w:r w:rsidR="00423FC7" w:rsidRPr="00CF632A">
        <w:rPr>
          <w:lang w:val="en-GB"/>
        </w:rPr>
        <w:t xml:space="preserve">utility values in the previous appraisals were not based on data collected in the </w:t>
      </w:r>
      <w:r w:rsidR="003462B1" w:rsidRPr="00CF632A">
        <w:rPr>
          <w:lang w:val="en-GB"/>
        </w:rPr>
        <w:t>bevacizumab trial</w:t>
      </w:r>
      <w:r w:rsidR="000E1B54" w:rsidRPr="00CF632A">
        <w:rPr>
          <w:lang w:val="en-GB"/>
        </w:rPr>
        <w:t>s</w:t>
      </w:r>
      <w:r w:rsidR="003462B1" w:rsidRPr="00CF632A">
        <w:rPr>
          <w:lang w:val="en-GB"/>
        </w:rPr>
        <w:t xml:space="preserve">. </w:t>
      </w:r>
      <w:r w:rsidR="00106ED5" w:rsidRPr="00A9020B">
        <w:rPr>
          <w:lang w:val="en-GB"/>
        </w:rPr>
        <w:t>It</w:t>
      </w:r>
      <w:r w:rsidR="00E26F0B" w:rsidRPr="00CF632A">
        <w:rPr>
          <w:lang w:val="en-GB"/>
        </w:rPr>
        <w:t xml:space="preserve"> also noted that the utility values used in the second-line setting were </w:t>
      </w:r>
      <w:proofErr w:type="gramStart"/>
      <w:r w:rsidR="00E26F0B" w:rsidRPr="00CF632A">
        <w:rPr>
          <w:lang w:val="en-GB"/>
        </w:rPr>
        <w:t>similar to</w:t>
      </w:r>
      <w:proofErr w:type="gramEnd"/>
      <w:r w:rsidR="00E26F0B" w:rsidRPr="00CF632A">
        <w:rPr>
          <w:lang w:val="en-GB"/>
        </w:rPr>
        <w:t xml:space="preserve"> those used in the first-line setting. </w:t>
      </w:r>
      <w:r w:rsidR="007C64AC" w:rsidRPr="00CF632A">
        <w:rPr>
          <w:lang w:val="en-GB"/>
        </w:rPr>
        <w:t xml:space="preserve">The clinical expert highlighted that people considered for second-line treatment are generally similar to those </w:t>
      </w:r>
      <w:r w:rsidR="00106ED5" w:rsidRPr="00A9020B">
        <w:rPr>
          <w:lang w:val="en-GB"/>
        </w:rPr>
        <w:t xml:space="preserve">having </w:t>
      </w:r>
      <w:r w:rsidR="007C64AC" w:rsidRPr="00CF632A">
        <w:rPr>
          <w:lang w:val="en-GB"/>
        </w:rPr>
        <w:t xml:space="preserve">first-line </w:t>
      </w:r>
      <w:r w:rsidR="007E2AE2" w:rsidRPr="00CF632A">
        <w:rPr>
          <w:lang w:val="en-GB"/>
        </w:rPr>
        <w:t>treatment and</w:t>
      </w:r>
      <w:r w:rsidR="007C64AC" w:rsidRPr="00CF632A">
        <w:rPr>
          <w:lang w:val="en-GB"/>
        </w:rPr>
        <w:t xml:space="preserve"> therefore considered it reasonable for the utility values to be </w:t>
      </w:r>
      <w:r w:rsidR="00F378E4" w:rsidRPr="00CF632A">
        <w:rPr>
          <w:lang w:val="en-GB"/>
        </w:rPr>
        <w:t>comparable.</w:t>
      </w:r>
      <w:r w:rsidR="00857278" w:rsidRPr="00CF632A">
        <w:rPr>
          <w:lang w:val="en-GB"/>
        </w:rPr>
        <w:t xml:space="preserve"> </w:t>
      </w:r>
      <w:r w:rsidR="00C51951" w:rsidRPr="00CF632A">
        <w:rPr>
          <w:lang w:val="en-GB"/>
        </w:rPr>
        <w:t xml:space="preserve">The committee acknowledged that the utility values were sourced from previous technology appraisals. It would have preferred to use trial-based data but concluded that the EAG’s approach was pragmatic given the limitations in </w:t>
      </w:r>
      <w:r w:rsidR="00106ED5" w:rsidRPr="00A9020B">
        <w:rPr>
          <w:lang w:val="en-GB"/>
        </w:rPr>
        <w:t xml:space="preserve">the </w:t>
      </w:r>
      <w:r w:rsidR="00C51951" w:rsidRPr="00CF632A">
        <w:rPr>
          <w:lang w:val="en-GB"/>
        </w:rPr>
        <w:t xml:space="preserve">available evidence. The committee noted </w:t>
      </w:r>
      <w:r w:rsidR="00106ED5" w:rsidRPr="00A9020B">
        <w:rPr>
          <w:lang w:val="en-GB"/>
        </w:rPr>
        <w:t xml:space="preserve">that </w:t>
      </w:r>
      <w:r w:rsidR="00C51951" w:rsidRPr="00CF632A">
        <w:rPr>
          <w:lang w:val="en-GB"/>
        </w:rPr>
        <w:t xml:space="preserve">the utility values chosen by the EAG for </w:t>
      </w:r>
      <w:r w:rsidR="00106ED5" w:rsidRPr="00A9020B">
        <w:rPr>
          <w:lang w:val="en-GB"/>
        </w:rPr>
        <w:t xml:space="preserve">the </w:t>
      </w:r>
      <w:r w:rsidR="00C51951" w:rsidRPr="00CF632A">
        <w:rPr>
          <w:lang w:val="en-GB"/>
        </w:rPr>
        <w:t xml:space="preserve">first- and second-line settings were </w:t>
      </w:r>
      <w:proofErr w:type="gramStart"/>
      <w:r w:rsidR="007E2AE2" w:rsidRPr="00CF632A">
        <w:rPr>
          <w:lang w:val="en-GB"/>
        </w:rPr>
        <w:t>similar</w:t>
      </w:r>
      <w:r w:rsidR="00106ED5" w:rsidRPr="00A9020B">
        <w:rPr>
          <w:lang w:val="en-GB"/>
        </w:rPr>
        <w:t>,</w:t>
      </w:r>
      <w:r w:rsidR="007E2AE2" w:rsidRPr="00CF632A">
        <w:rPr>
          <w:lang w:val="en-GB"/>
        </w:rPr>
        <w:t xml:space="preserve"> but</w:t>
      </w:r>
      <w:proofErr w:type="gramEnd"/>
      <w:r w:rsidR="00C51951" w:rsidRPr="00CF632A">
        <w:rPr>
          <w:lang w:val="en-GB"/>
        </w:rPr>
        <w:t xml:space="preserve"> concluded </w:t>
      </w:r>
      <w:r w:rsidR="009A4180" w:rsidRPr="00A9020B">
        <w:rPr>
          <w:lang w:val="en-GB"/>
        </w:rPr>
        <w:t xml:space="preserve">this </w:t>
      </w:r>
      <w:r w:rsidR="00C51951" w:rsidRPr="00CF632A">
        <w:rPr>
          <w:lang w:val="en-GB"/>
        </w:rPr>
        <w:t>was reasonable.</w:t>
      </w:r>
    </w:p>
    <w:p w14:paraId="1F03EED9" w14:textId="4BFCF076" w:rsidR="00017072" w:rsidRPr="00CF632A" w:rsidRDefault="003B76AF" w:rsidP="003B76AF">
      <w:pPr>
        <w:pStyle w:val="Heading3"/>
        <w:rPr>
          <w:szCs w:val="22"/>
        </w:rPr>
      </w:pPr>
      <w:bookmarkStart w:id="23" w:name="_Disutility_for_adverse"/>
      <w:bookmarkEnd w:id="23"/>
      <w:r w:rsidRPr="00CF632A">
        <w:t>Disutility for adverse events</w:t>
      </w:r>
    </w:p>
    <w:p w14:paraId="01483D08" w14:textId="5AB75CBE" w:rsidR="00C03007" w:rsidRPr="00CF632A" w:rsidRDefault="00E4471F" w:rsidP="003E4543">
      <w:pPr>
        <w:pStyle w:val="Numberedlevel2text"/>
        <w:rPr>
          <w:lang w:val="en-GB"/>
        </w:rPr>
      </w:pPr>
      <w:r w:rsidRPr="00CF632A">
        <w:rPr>
          <w:lang w:val="en-GB"/>
        </w:rPr>
        <w:t xml:space="preserve">The EAG applied adverse event-related </w:t>
      </w:r>
      <w:proofErr w:type="spellStart"/>
      <w:r w:rsidRPr="00CF632A">
        <w:rPr>
          <w:lang w:val="en-GB"/>
        </w:rPr>
        <w:t>disutilities</w:t>
      </w:r>
      <w:proofErr w:type="spellEnd"/>
      <w:r w:rsidRPr="00CF632A">
        <w:rPr>
          <w:lang w:val="en-GB"/>
        </w:rPr>
        <w:t xml:space="preserve"> in the model to estimate the reduction in </w:t>
      </w:r>
      <w:r w:rsidR="004D6621" w:rsidRPr="3C87FCA0">
        <w:rPr>
          <w:lang w:val="en-GB"/>
        </w:rPr>
        <w:t>health-related quality of life</w:t>
      </w:r>
      <w:r w:rsidR="004D6621" w:rsidRPr="00A9020B">
        <w:rPr>
          <w:lang w:val="en-GB"/>
        </w:rPr>
        <w:t xml:space="preserve"> </w:t>
      </w:r>
      <w:r w:rsidRPr="00CF632A">
        <w:rPr>
          <w:lang w:val="en-GB"/>
        </w:rPr>
        <w:t xml:space="preserve">for the duration of </w:t>
      </w:r>
      <w:r w:rsidR="004D6621" w:rsidRPr="00A9020B">
        <w:rPr>
          <w:lang w:val="en-GB"/>
        </w:rPr>
        <w:t xml:space="preserve">the </w:t>
      </w:r>
      <w:r w:rsidRPr="00CF632A">
        <w:rPr>
          <w:lang w:val="en-GB"/>
        </w:rPr>
        <w:t>adverse events.</w:t>
      </w:r>
      <w:r w:rsidR="00D517FC" w:rsidRPr="00CF632A">
        <w:rPr>
          <w:lang w:val="en-GB"/>
        </w:rPr>
        <w:t xml:space="preserve"> </w:t>
      </w:r>
      <w:r w:rsidR="00B036F6" w:rsidRPr="00CF632A">
        <w:rPr>
          <w:lang w:val="en-GB"/>
        </w:rPr>
        <w:t>In the first</w:t>
      </w:r>
      <w:r w:rsidR="004D6621" w:rsidRPr="00A9020B">
        <w:rPr>
          <w:lang w:val="en-GB"/>
        </w:rPr>
        <w:t>-</w:t>
      </w:r>
      <w:r w:rsidR="00B036F6" w:rsidRPr="00CF632A">
        <w:rPr>
          <w:lang w:val="en-GB"/>
        </w:rPr>
        <w:t xml:space="preserve">line setting, </w:t>
      </w:r>
      <w:r w:rsidR="00962944">
        <w:rPr>
          <w:lang w:val="en-GB"/>
        </w:rPr>
        <w:t xml:space="preserve">adverse event </w:t>
      </w:r>
      <w:r w:rsidR="00D517FC" w:rsidRPr="00CF632A">
        <w:rPr>
          <w:lang w:val="en-GB"/>
        </w:rPr>
        <w:t xml:space="preserve">frequencies for bevacizumab plus FOLFOX or CAPOX and FOLFOX or CAPOX alone </w:t>
      </w:r>
      <w:r w:rsidR="00D517FC" w:rsidRPr="00CF632A">
        <w:rPr>
          <w:lang w:val="en-GB"/>
        </w:rPr>
        <w:lastRenderedPageBreak/>
        <w:t>were based on Study NO16966</w:t>
      </w:r>
      <w:r w:rsidR="00962944">
        <w:rPr>
          <w:lang w:val="en-GB"/>
        </w:rPr>
        <w:t>.</w:t>
      </w:r>
      <w:r w:rsidR="00D517FC" w:rsidRPr="00CF632A">
        <w:rPr>
          <w:lang w:val="en-GB"/>
        </w:rPr>
        <w:t xml:space="preserve"> </w:t>
      </w:r>
      <w:r w:rsidR="00962944">
        <w:rPr>
          <w:lang w:val="en-GB"/>
        </w:rPr>
        <w:t>A</w:t>
      </w:r>
      <w:r w:rsidR="00D517FC" w:rsidRPr="00CF632A">
        <w:rPr>
          <w:lang w:val="en-GB"/>
        </w:rPr>
        <w:t xml:space="preserve">dverse event data for bevacizumab plus FOLFIRI and FOLFIRI alone </w:t>
      </w:r>
      <w:r w:rsidR="003F4A34">
        <w:rPr>
          <w:lang w:val="en-GB"/>
        </w:rPr>
        <w:t>came</w:t>
      </w:r>
      <w:r w:rsidR="00D517FC" w:rsidRPr="00CF632A">
        <w:rPr>
          <w:lang w:val="en-GB"/>
        </w:rPr>
        <w:t xml:space="preserve"> from Study AVF2107g.</w:t>
      </w:r>
      <w:r w:rsidR="00741185" w:rsidRPr="00CF632A">
        <w:rPr>
          <w:lang w:val="en-GB"/>
        </w:rPr>
        <w:t xml:space="preserve"> </w:t>
      </w:r>
      <w:r w:rsidR="00B036F6" w:rsidRPr="00CF632A">
        <w:rPr>
          <w:lang w:val="en-GB"/>
        </w:rPr>
        <w:t>In the second</w:t>
      </w:r>
      <w:r w:rsidR="001520B6" w:rsidRPr="00A9020B">
        <w:rPr>
          <w:lang w:val="en-GB"/>
        </w:rPr>
        <w:t>-</w:t>
      </w:r>
      <w:r w:rsidR="00B036F6" w:rsidRPr="00CF632A">
        <w:rPr>
          <w:lang w:val="en-GB"/>
        </w:rPr>
        <w:t xml:space="preserve">line </w:t>
      </w:r>
      <w:r w:rsidR="00B036F6" w:rsidRPr="3C87FCA0">
        <w:rPr>
          <w:lang w:val="en-GB"/>
        </w:rPr>
        <w:t>setting</w:t>
      </w:r>
      <w:r w:rsidR="00B036F6" w:rsidRPr="00CF632A">
        <w:rPr>
          <w:lang w:val="en-GB"/>
        </w:rPr>
        <w:t xml:space="preserve">, the frequencies of adverse events were taken from Study </w:t>
      </w:r>
      <w:r w:rsidR="009145E9" w:rsidRPr="00A9020B">
        <w:rPr>
          <w:lang w:val="en-GB"/>
        </w:rPr>
        <w:t>E</w:t>
      </w:r>
      <w:r w:rsidR="00B036F6" w:rsidRPr="00A9020B">
        <w:rPr>
          <w:lang w:val="en-GB"/>
        </w:rPr>
        <w:t>3200.</w:t>
      </w:r>
      <w:r w:rsidR="00B036F6" w:rsidRPr="00CF632A">
        <w:rPr>
          <w:lang w:val="en-GB"/>
        </w:rPr>
        <w:t xml:space="preserve"> </w:t>
      </w:r>
      <w:r w:rsidR="00D61134" w:rsidRPr="00CF632A">
        <w:rPr>
          <w:lang w:val="en-GB"/>
        </w:rPr>
        <w:t>T</w:t>
      </w:r>
      <w:r w:rsidR="00C1497F" w:rsidRPr="00CF632A">
        <w:rPr>
          <w:lang w:val="en-GB"/>
        </w:rPr>
        <w:t>he EAG applied a one</w:t>
      </w:r>
      <w:r w:rsidR="00F20A32" w:rsidRPr="00CF632A">
        <w:rPr>
          <w:lang w:val="en-GB"/>
        </w:rPr>
        <w:t>-</w:t>
      </w:r>
      <w:r w:rsidR="00C1497F" w:rsidRPr="00CF632A">
        <w:rPr>
          <w:lang w:val="en-GB"/>
        </w:rPr>
        <w:t xml:space="preserve">off disutility </w:t>
      </w:r>
      <w:r w:rsidR="00300A40" w:rsidRPr="00CF632A">
        <w:rPr>
          <w:lang w:val="en-GB"/>
        </w:rPr>
        <w:t xml:space="preserve">for adverse events </w:t>
      </w:r>
      <w:r w:rsidR="005E7B40" w:rsidRPr="00CF632A">
        <w:rPr>
          <w:lang w:val="en-GB"/>
        </w:rPr>
        <w:t xml:space="preserve">by </w:t>
      </w:r>
      <w:r w:rsidR="00CE1A10" w:rsidRPr="00CF632A">
        <w:rPr>
          <w:lang w:val="en-GB"/>
        </w:rPr>
        <w:t xml:space="preserve">multiplying the estimated disutility of each </w:t>
      </w:r>
      <w:r w:rsidR="00E07829" w:rsidRPr="00CF632A">
        <w:rPr>
          <w:lang w:val="en-GB"/>
        </w:rPr>
        <w:t>adverse</w:t>
      </w:r>
      <w:r w:rsidR="00CE1A10" w:rsidRPr="00CF632A">
        <w:rPr>
          <w:lang w:val="en-GB"/>
        </w:rPr>
        <w:t xml:space="preserve"> </w:t>
      </w:r>
      <w:r w:rsidR="00D61134" w:rsidRPr="00CF632A">
        <w:rPr>
          <w:lang w:val="en-GB"/>
        </w:rPr>
        <w:t xml:space="preserve">event </w:t>
      </w:r>
      <w:r w:rsidR="00CE1A10" w:rsidRPr="00CF632A">
        <w:rPr>
          <w:lang w:val="en-GB"/>
        </w:rPr>
        <w:t xml:space="preserve">by its respective duration and frequency. </w:t>
      </w:r>
      <w:r w:rsidR="00900638" w:rsidRPr="00CF632A">
        <w:rPr>
          <w:lang w:val="en-GB"/>
        </w:rPr>
        <w:t>I</w:t>
      </w:r>
      <w:r w:rsidR="00540D8F" w:rsidRPr="00CF632A">
        <w:rPr>
          <w:lang w:val="en-GB"/>
        </w:rPr>
        <w:t>t</w:t>
      </w:r>
      <w:r w:rsidR="00CE1A10" w:rsidRPr="00CF632A">
        <w:rPr>
          <w:lang w:val="en-GB"/>
        </w:rPr>
        <w:t xml:space="preserve"> assumed that each </w:t>
      </w:r>
      <w:r w:rsidR="00505A11" w:rsidRPr="00CF632A">
        <w:rPr>
          <w:lang w:val="en-GB"/>
        </w:rPr>
        <w:t>adverse event</w:t>
      </w:r>
      <w:r w:rsidR="00CE1A10" w:rsidRPr="00CF632A">
        <w:rPr>
          <w:lang w:val="en-GB"/>
        </w:rPr>
        <w:t xml:space="preserve"> </w:t>
      </w:r>
      <w:r w:rsidR="00CE1A10" w:rsidRPr="00A9020B">
        <w:rPr>
          <w:lang w:val="en-GB"/>
        </w:rPr>
        <w:t>last</w:t>
      </w:r>
      <w:r w:rsidR="009145E9" w:rsidRPr="00A9020B">
        <w:rPr>
          <w:lang w:val="en-GB"/>
        </w:rPr>
        <w:t>ed for</w:t>
      </w:r>
      <w:r w:rsidR="00CE1A10" w:rsidRPr="00A9020B">
        <w:rPr>
          <w:lang w:val="en-GB"/>
        </w:rPr>
        <w:t xml:space="preserve"> </w:t>
      </w:r>
      <w:r w:rsidR="00CE1A10" w:rsidRPr="00CF632A">
        <w:rPr>
          <w:lang w:val="en-GB"/>
        </w:rPr>
        <w:t>14 days</w:t>
      </w:r>
      <w:r w:rsidR="009145E9" w:rsidRPr="00A9020B">
        <w:rPr>
          <w:lang w:val="en-GB"/>
        </w:rPr>
        <w:t>,</w:t>
      </w:r>
      <w:r w:rsidR="00CE1A10" w:rsidRPr="00CF632A">
        <w:rPr>
          <w:lang w:val="en-GB"/>
        </w:rPr>
        <w:t xml:space="preserve"> based on clinical opinion.</w:t>
      </w:r>
      <w:r w:rsidR="00D61134" w:rsidRPr="00CF632A">
        <w:rPr>
          <w:lang w:val="en-GB"/>
        </w:rPr>
        <w:t xml:space="preserve"> The EAG </w:t>
      </w:r>
      <w:r w:rsidR="009145E9" w:rsidRPr="00A9020B">
        <w:rPr>
          <w:lang w:val="en-GB"/>
        </w:rPr>
        <w:t>did</w:t>
      </w:r>
      <w:r w:rsidR="00D61134" w:rsidRPr="00CF632A">
        <w:rPr>
          <w:lang w:val="en-GB"/>
        </w:rPr>
        <w:t xml:space="preserve"> a targeted literature search for disutility values, and the values used in the model were taken from the literature, previous NICE technology appraisals and assumptions relating to proxy conditions. </w:t>
      </w:r>
      <w:r w:rsidR="00B54D8C" w:rsidRPr="00CF632A">
        <w:rPr>
          <w:lang w:val="en-GB"/>
        </w:rPr>
        <w:t xml:space="preserve">The QALY losses for all adverse events </w:t>
      </w:r>
      <w:r w:rsidR="00140E2C" w:rsidRPr="00CF632A">
        <w:rPr>
          <w:lang w:val="en-GB"/>
        </w:rPr>
        <w:t>were added</w:t>
      </w:r>
      <w:r w:rsidR="00B54D8C" w:rsidRPr="00CF632A">
        <w:rPr>
          <w:lang w:val="en-GB"/>
        </w:rPr>
        <w:t xml:space="preserve"> to estimate a one-off QALY loss which was applied in the first model cycle</w:t>
      </w:r>
      <w:r w:rsidR="00F11EE7" w:rsidRPr="00CF632A">
        <w:rPr>
          <w:lang w:val="en-GB"/>
        </w:rPr>
        <w:t>.</w:t>
      </w:r>
      <w:r w:rsidR="00052C3A" w:rsidRPr="00CF632A">
        <w:rPr>
          <w:lang w:val="en-GB"/>
        </w:rPr>
        <w:t xml:space="preserve"> </w:t>
      </w:r>
      <w:r w:rsidR="00231D76" w:rsidRPr="00CF632A">
        <w:rPr>
          <w:lang w:val="en-GB"/>
        </w:rPr>
        <w:t>The committee noted that</w:t>
      </w:r>
      <w:r w:rsidR="00231C50" w:rsidRPr="00CF632A">
        <w:rPr>
          <w:lang w:val="en-GB"/>
        </w:rPr>
        <w:t xml:space="preserve"> the</w:t>
      </w:r>
      <w:r w:rsidR="00231D76" w:rsidRPr="00CF632A">
        <w:rPr>
          <w:lang w:val="en-GB"/>
        </w:rPr>
        <w:t xml:space="preserve"> previous technology appraisals did not include </w:t>
      </w:r>
      <w:proofErr w:type="spellStart"/>
      <w:r w:rsidR="00231D76" w:rsidRPr="00A9020B">
        <w:rPr>
          <w:lang w:val="en-GB"/>
        </w:rPr>
        <w:t>disutilit</w:t>
      </w:r>
      <w:r w:rsidR="00C9325D" w:rsidRPr="00A9020B">
        <w:rPr>
          <w:lang w:val="en-GB"/>
        </w:rPr>
        <w:t>ies</w:t>
      </w:r>
      <w:proofErr w:type="spellEnd"/>
      <w:r w:rsidR="00231D76" w:rsidRPr="00CF632A">
        <w:rPr>
          <w:lang w:val="en-GB"/>
        </w:rPr>
        <w:t xml:space="preserve"> for adverse events. The patient expert highlighted that adverse events are a routine part of chemotherapy and are managed through a </w:t>
      </w:r>
      <w:r w:rsidR="00C9325D" w:rsidRPr="00A9020B">
        <w:rPr>
          <w:lang w:val="en-GB"/>
        </w:rPr>
        <w:t xml:space="preserve">joint </w:t>
      </w:r>
      <w:r w:rsidR="00231D76" w:rsidRPr="00CF632A">
        <w:rPr>
          <w:lang w:val="en-GB"/>
        </w:rPr>
        <w:t>approach</w:t>
      </w:r>
      <w:r w:rsidR="00D85166" w:rsidRPr="00CF632A">
        <w:rPr>
          <w:lang w:val="en-GB"/>
        </w:rPr>
        <w:t xml:space="preserve"> between the </w:t>
      </w:r>
      <w:r w:rsidR="00C9325D" w:rsidRPr="00A9020B">
        <w:rPr>
          <w:lang w:val="en-GB"/>
        </w:rPr>
        <w:t xml:space="preserve">healthcare professionals </w:t>
      </w:r>
      <w:r w:rsidR="00D85166" w:rsidRPr="00A9020B">
        <w:rPr>
          <w:lang w:val="en-GB"/>
        </w:rPr>
        <w:t xml:space="preserve">and </w:t>
      </w:r>
      <w:r w:rsidR="00C9325D" w:rsidRPr="00A9020B">
        <w:rPr>
          <w:lang w:val="en-GB"/>
        </w:rPr>
        <w:t xml:space="preserve">the </w:t>
      </w:r>
      <w:r w:rsidR="008A0F94" w:rsidRPr="00A9020B">
        <w:rPr>
          <w:lang w:val="en-GB"/>
        </w:rPr>
        <w:t>patient.</w:t>
      </w:r>
      <w:r w:rsidR="008A0F94" w:rsidRPr="00CF632A">
        <w:rPr>
          <w:lang w:val="en-GB"/>
        </w:rPr>
        <w:t xml:space="preserve"> They explained that </w:t>
      </w:r>
      <w:r w:rsidR="00FB39B5" w:rsidRPr="00CF632A">
        <w:rPr>
          <w:lang w:val="en-GB"/>
        </w:rPr>
        <w:t xml:space="preserve">management is about balancing </w:t>
      </w:r>
      <w:r w:rsidR="00D53524" w:rsidRPr="00CF632A">
        <w:rPr>
          <w:lang w:val="en-GB"/>
        </w:rPr>
        <w:t>factors</w:t>
      </w:r>
      <w:r w:rsidR="00231D76" w:rsidRPr="00CF632A">
        <w:rPr>
          <w:lang w:val="en-GB"/>
        </w:rPr>
        <w:t xml:space="preserve"> </w:t>
      </w:r>
      <w:r w:rsidR="00D53524" w:rsidRPr="00CF632A">
        <w:rPr>
          <w:lang w:val="en-GB"/>
        </w:rPr>
        <w:t xml:space="preserve">such as </w:t>
      </w:r>
      <w:r w:rsidR="00231D76" w:rsidRPr="00CF632A">
        <w:rPr>
          <w:lang w:val="en-GB"/>
        </w:rPr>
        <w:t xml:space="preserve">dose adjustments and treatment breaks. </w:t>
      </w:r>
      <w:r w:rsidR="004417CF" w:rsidRPr="00CF632A">
        <w:rPr>
          <w:lang w:val="en-GB"/>
        </w:rPr>
        <w:t xml:space="preserve">They emphasised that adverse events should be taken into consideration, noting that bevacizumab has its own adverse event profile. </w:t>
      </w:r>
      <w:r w:rsidR="0016301D" w:rsidRPr="00CF632A">
        <w:rPr>
          <w:lang w:val="en-GB"/>
        </w:rPr>
        <w:t xml:space="preserve">The EAG </w:t>
      </w:r>
      <w:r w:rsidR="0078198F" w:rsidRPr="00CF632A">
        <w:rPr>
          <w:lang w:val="en-GB"/>
        </w:rPr>
        <w:t>highlighted</w:t>
      </w:r>
      <w:r w:rsidR="0016301D" w:rsidRPr="00CF632A">
        <w:rPr>
          <w:lang w:val="en-GB"/>
        </w:rPr>
        <w:t xml:space="preserve"> that it explored increasing adverse event </w:t>
      </w:r>
      <w:proofErr w:type="spellStart"/>
      <w:r w:rsidR="0016301D" w:rsidRPr="00CF632A">
        <w:rPr>
          <w:lang w:val="en-GB"/>
        </w:rPr>
        <w:t>disutilities</w:t>
      </w:r>
      <w:proofErr w:type="spellEnd"/>
      <w:r w:rsidR="0016301D" w:rsidRPr="00CF632A">
        <w:rPr>
          <w:lang w:val="en-GB"/>
        </w:rPr>
        <w:t xml:space="preserve"> by 10 times in scenario analyses, which had </w:t>
      </w:r>
      <w:r w:rsidR="005D6C2F" w:rsidRPr="00A9020B">
        <w:rPr>
          <w:lang w:val="en-GB"/>
        </w:rPr>
        <w:t xml:space="preserve">a </w:t>
      </w:r>
      <w:r w:rsidR="0016301D" w:rsidRPr="00CF632A">
        <w:rPr>
          <w:lang w:val="en-GB"/>
        </w:rPr>
        <w:t>minimal impact on the ICER.</w:t>
      </w:r>
      <w:r w:rsidR="008233CB" w:rsidRPr="00CF632A">
        <w:rPr>
          <w:lang w:val="en-GB"/>
        </w:rPr>
        <w:t xml:space="preserve"> </w:t>
      </w:r>
      <w:r w:rsidR="00C03007" w:rsidRPr="3C87FCA0">
        <w:rPr>
          <w:lang w:val="en-GB"/>
        </w:rPr>
        <w:t xml:space="preserve">The committee acknowledged the views of the patient and clinical </w:t>
      </w:r>
      <w:r w:rsidR="00684437" w:rsidRPr="3C87FCA0">
        <w:rPr>
          <w:lang w:val="en-GB"/>
        </w:rPr>
        <w:t>experts</w:t>
      </w:r>
      <w:r w:rsidR="00C03007" w:rsidRPr="3C87FCA0">
        <w:rPr>
          <w:lang w:val="en-GB"/>
        </w:rPr>
        <w:t xml:space="preserve">. </w:t>
      </w:r>
      <w:r w:rsidR="000E1B54" w:rsidRPr="3C87FCA0">
        <w:rPr>
          <w:lang w:val="en-GB"/>
        </w:rPr>
        <w:t>The</w:t>
      </w:r>
      <w:r w:rsidR="00A55ABD" w:rsidRPr="3C87FCA0">
        <w:rPr>
          <w:lang w:val="en-GB"/>
        </w:rPr>
        <w:t xml:space="preserve"> </w:t>
      </w:r>
      <w:r w:rsidR="00BB01EE" w:rsidRPr="3C87FCA0">
        <w:rPr>
          <w:lang w:val="en-GB"/>
        </w:rPr>
        <w:t xml:space="preserve">committee concluded that adverse event </w:t>
      </w:r>
      <w:proofErr w:type="spellStart"/>
      <w:r w:rsidR="00BB01EE" w:rsidRPr="3C87FCA0">
        <w:rPr>
          <w:lang w:val="en-GB"/>
        </w:rPr>
        <w:t>disutilities</w:t>
      </w:r>
      <w:proofErr w:type="spellEnd"/>
      <w:r w:rsidR="00A55ABD" w:rsidRPr="3C87FCA0">
        <w:rPr>
          <w:lang w:val="en-GB"/>
        </w:rPr>
        <w:t xml:space="preserve"> </w:t>
      </w:r>
      <w:r w:rsidR="00BB01EE" w:rsidRPr="3C87FCA0">
        <w:rPr>
          <w:lang w:val="en-GB"/>
        </w:rPr>
        <w:t>should be included in the model.</w:t>
      </w:r>
    </w:p>
    <w:p w14:paraId="62F890EB" w14:textId="1D472033" w:rsidR="00592C2D" w:rsidRPr="00CF632A" w:rsidRDefault="00592C2D" w:rsidP="00592C2D">
      <w:pPr>
        <w:pStyle w:val="Heading2"/>
      </w:pPr>
      <w:r w:rsidRPr="00CF632A">
        <w:t>Costs</w:t>
      </w:r>
    </w:p>
    <w:p w14:paraId="585D6B7E" w14:textId="6029ABE8" w:rsidR="00592C2D" w:rsidRPr="00CF632A" w:rsidRDefault="00592C2D" w:rsidP="00592C2D">
      <w:pPr>
        <w:pStyle w:val="Heading3"/>
      </w:pPr>
      <w:r w:rsidRPr="00CF632A">
        <w:t>Drug administration and monitoring costs</w:t>
      </w:r>
      <w:r w:rsidR="00A4780C" w:rsidRPr="00A9020B">
        <w:t xml:space="preserve"> </w:t>
      </w:r>
    </w:p>
    <w:p w14:paraId="59C3A3A1" w14:textId="421017D4" w:rsidR="00E67530" w:rsidRPr="00CF632A" w:rsidRDefault="0058682D" w:rsidP="00933AC5">
      <w:pPr>
        <w:pStyle w:val="Numberedlevel2text"/>
        <w:rPr>
          <w:lang w:val="en-GB"/>
        </w:rPr>
      </w:pPr>
      <w:bookmarkStart w:id="24" w:name="_Severity_modifier"/>
      <w:bookmarkEnd w:id="24"/>
      <w:r w:rsidRPr="00CF632A">
        <w:rPr>
          <w:lang w:val="en-GB"/>
        </w:rPr>
        <w:t>Unit costs and resource</w:t>
      </w:r>
      <w:r w:rsidRPr="00A9020B">
        <w:rPr>
          <w:lang w:val="en-GB"/>
        </w:rPr>
        <w:t xml:space="preserve"> </w:t>
      </w:r>
      <w:r w:rsidR="00A4780C" w:rsidRPr="00A9020B">
        <w:rPr>
          <w:lang w:val="en-GB"/>
        </w:rPr>
        <w:t>use</w:t>
      </w:r>
      <w:r w:rsidRPr="00CF632A">
        <w:rPr>
          <w:lang w:val="en-GB"/>
        </w:rPr>
        <w:t xml:space="preserve"> </w:t>
      </w:r>
      <w:r w:rsidR="001F068E" w:rsidRPr="00CF632A">
        <w:rPr>
          <w:lang w:val="en-GB"/>
        </w:rPr>
        <w:t>for each treatment were based on regimens</w:t>
      </w:r>
      <w:r w:rsidRPr="00CF632A">
        <w:rPr>
          <w:lang w:val="en-GB"/>
        </w:rPr>
        <w:t xml:space="preserve"> from Study NO16966 (first- and </w:t>
      </w:r>
      <w:proofErr w:type="gramStart"/>
      <w:r w:rsidRPr="00CF632A">
        <w:rPr>
          <w:lang w:val="en-GB"/>
        </w:rPr>
        <w:t>second-line</w:t>
      </w:r>
      <w:proofErr w:type="gramEnd"/>
      <w:r w:rsidRPr="00CF632A">
        <w:rPr>
          <w:lang w:val="en-GB"/>
        </w:rPr>
        <w:t>) and Study AVF2107g (</w:t>
      </w:r>
      <w:proofErr w:type="gramStart"/>
      <w:r w:rsidRPr="00CF632A">
        <w:rPr>
          <w:lang w:val="en-GB"/>
        </w:rPr>
        <w:t>first-line</w:t>
      </w:r>
      <w:proofErr w:type="gramEnd"/>
      <w:r w:rsidRPr="00CF632A">
        <w:rPr>
          <w:lang w:val="en-GB"/>
        </w:rPr>
        <w:t xml:space="preserve">). The EAG highlighted that current practice uses modified de Gramont regimens (for FOLFIRI-containing regimens only) and stops oxaliplatin after 6 months because of toxicity (FOLFOX and CAPOX regimens). These adaptations were explored in sensitivity analyses, </w:t>
      </w:r>
      <w:r w:rsidRPr="19171F9E">
        <w:rPr>
          <w:color w:val="000000" w:themeColor="text1"/>
          <w:lang w:val="en-GB" w:eastAsia="zh-CN"/>
        </w:rPr>
        <w:t xml:space="preserve">assuming the </w:t>
      </w:r>
      <w:r w:rsidRPr="19171F9E">
        <w:rPr>
          <w:color w:val="000000" w:themeColor="text1"/>
          <w:lang w:val="en-GB" w:eastAsia="zh-CN"/>
        </w:rPr>
        <w:lastRenderedPageBreak/>
        <w:t>same efficacy as in the base cas</w:t>
      </w:r>
      <w:r w:rsidR="009F25F8" w:rsidRPr="19171F9E">
        <w:rPr>
          <w:color w:val="000000" w:themeColor="text1"/>
          <w:lang w:val="en-GB" w:eastAsia="zh-CN"/>
        </w:rPr>
        <w:t>e</w:t>
      </w:r>
      <w:r w:rsidRPr="19171F9E">
        <w:rPr>
          <w:color w:val="000000" w:themeColor="text1"/>
          <w:lang w:val="en-GB" w:eastAsia="zh-CN"/>
        </w:rPr>
        <w:t xml:space="preserve">. The EAG noted the results from these may </w:t>
      </w:r>
      <w:r w:rsidR="006A6229" w:rsidRPr="19171F9E">
        <w:rPr>
          <w:color w:val="000000" w:themeColor="text1"/>
          <w:lang w:val="en-GB" w:eastAsia="zh-CN"/>
        </w:rPr>
        <w:t>better represent</w:t>
      </w:r>
      <w:r w:rsidRPr="19171F9E">
        <w:rPr>
          <w:color w:val="000000" w:themeColor="text1"/>
          <w:lang w:val="en-GB" w:eastAsia="zh-CN"/>
        </w:rPr>
        <w:t xml:space="preserve"> current clinical practice.</w:t>
      </w:r>
      <w:r w:rsidRPr="00CF632A">
        <w:rPr>
          <w:lang w:val="en-GB"/>
        </w:rPr>
        <w:t xml:space="preserve"> Results </w:t>
      </w:r>
      <w:r w:rsidR="000770CC" w:rsidRPr="00A9020B">
        <w:rPr>
          <w:lang w:val="en-GB"/>
        </w:rPr>
        <w:t xml:space="preserve">from </w:t>
      </w:r>
      <w:r w:rsidRPr="00CF632A">
        <w:rPr>
          <w:lang w:val="en-GB"/>
        </w:rPr>
        <w:t xml:space="preserve">the scenario analyses showed that </w:t>
      </w:r>
      <w:r w:rsidR="000770CC" w:rsidRPr="00A9020B">
        <w:rPr>
          <w:lang w:val="en-GB"/>
        </w:rPr>
        <w:t>stopping</w:t>
      </w:r>
      <w:r w:rsidRPr="00CF632A">
        <w:rPr>
          <w:lang w:val="en-GB"/>
        </w:rPr>
        <w:t xml:space="preserve"> oxaliplatin at 6 months had minimal </w:t>
      </w:r>
      <w:r w:rsidR="009F25F8" w:rsidRPr="00CF632A">
        <w:rPr>
          <w:lang w:val="en-GB"/>
        </w:rPr>
        <w:t xml:space="preserve">impact on the </w:t>
      </w:r>
      <w:r w:rsidRPr="00CF632A">
        <w:rPr>
          <w:lang w:val="en-GB"/>
        </w:rPr>
        <w:t>ICER</w:t>
      </w:r>
      <w:r w:rsidR="009F25F8" w:rsidRPr="00CF632A">
        <w:rPr>
          <w:lang w:val="en-GB"/>
        </w:rPr>
        <w:t>s for</w:t>
      </w:r>
      <w:r w:rsidRPr="00CF632A">
        <w:rPr>
          <w:lang w:val="en-GB"/>
        </w:rPr>
        <w:t xml:space="preserve"> bevacizumab plus FOLFOX or CAPOX</w:t>
      </w:r>
      <w:r w:rsidR="00D533E1" w:rsidRPr="00CF632A">
        <w:rPr>
          <w:lang w:val="en-GB"/>
        </w:rPr>
        <w:t xml:space="preserve">, </w:t>
      </w:r>
      <w:r w:rsidR="000770CC" w:rsidRPr="00A9020B">
        <w:rPr>
          <w:lang w:val="en-GB"/>
        </w:rPr>
        <w:t xml:space="preserve">and </w:t>
      </w:r>
      <w:r w:rsidR="00D533E1" w:rsidRPr="00CF632A">
        <w:rPr>
          <w:lang w:val="en-GB"/>
        </w:rPr>
        <w:t>using</w:t>
      </w:r>
      <w:r w:rsidR="00D533E1" w:rsidRPr="00A9020B">
        <w:rPr>
          <w:lang w:val="en-GB"/>
        </w:rPr>
        <w:t xml:space="preserve"> </w:t>
      </w:r>
      <w:r w:rsidR="000770CC" w:rsidRPr="00A9020B">
        <w:rPr>
          <w:lang w:val="en-GB"/>
        </w:rPr>
        <w:t>a</w:t>
      </w:r>
      <w:r w:rsidR="00D533E1" w:rsidRPr="00CF632A">
        <w:rPr>
          <w:lang w:val="en-GB"/>
        </w:rPr>
        <w:t xml:space="preserve"> modified de Gramont </w:t>
      </w:r>
      <w:r w:rsidR="000770CC" w:rsidRPr="00A9020B">
        <w:rPr>
          <w:lang w:val="en-GB"/>
        </w:rPr>
        <w:t xml:space="preserve">regimen </w:t>
      </w:r>
      <w:r w:rsidR="00D533E1" w:rsidRPr="00CF632A">
        <w:rPr>
          <w:lang w:val="en-GB"/>
        </w:rPr>
        <w:t>for FOLFIRI-containing regimens had a moderate impact</w:t>
      </w:r>
      <w:r w:rsidRPr="00CF632A">
        <w:rPr>
          <w:lang w:val="en-GB"/>
        </w:rPr>
        <w:t xml:space="preserve">. </w:t>
      </w:r>
      <w:r w:rsidR="001D4318" w:rsidRPr="00CF632A">
        <w:rPr>
          <w:lang w:val="en-GB"/>
        </w:rPr>
        <w:t xml:space="preserve">The committee acknowledged that the trial regimens informing the economic model were based on older protocols that differ from those currently used in NHS practice. </w:t>
      </w:r>
      <w:r w:rsidR="008A3C11" w:rsidRPr="00CF632A">
        <w:rPr>
          <w:lang w:val="en-GB"/>
        </w:rPr>
        <w:t xml:space="preserve">It </w:t>
      </w:r>
      <w:r w:rsidR="00F74268" w:rsidRPr="00CF632A">
        <w:rPr>
          <w:lang w:val="en-GB"/>
        </w:rPr>
        <w:t>noted t</w:t>
      </w:r>
      <w:r w:rsidR="008A3C11" w:rsidRPr="00CF632A">
        <w:rPr>
          <w:lang w:val="en-GB"/>
        </w:rPr>
        <w:t>hat t</w:t>
      </w:r>
      <w:r w:rsidR="00F74268" w:rsidRPr="00CF632A">
        <w:rPr>
          <w:lang w:val="en-GB"/>
        </w:rPr>
        <w:t>he second-line trial used a double dose of bevacizumab, and using th</w:t>
      </w:r>
      <w:r w:rsidR="008A3C11" w:rsidRPr="00CF632A">
        <w:rPr>
          <w:lang w:val="en-GB"/>
        </w:rPr>
        <w:t>e</w:t>
      </w:r>
      <w:r w:rsidR="00F74268" w:rsidRPr="00CF632A">
        <w:rPr>
          <w:lang w:val="en-GB"/>
        </w:rPr>
        <w:t xml:space="preserve"> FOLFIRI regimen </w:t>
      </w:r>
      <w:r w:rsidR="00506A48" w:rsidRPr="00CF632A">
        <w:rPr>
          <w:lang w:val="en-GB"/>
        </w:rPr>
        <w:t xml:space="preserve">(used in the NHS) </w:t>
      </w:r>
      <w:r w:rsidR="00F74268" w:rsidRPr="00CF632A">
        <w:rPr>
          <w:lang w:val="en-GB"/>
        </w:rPr>
        <w:t>reduced cost</w:t>
      </w:r>
      <w:r w:rsidR="00506A48" w:rsidRPr="00CF632A">
        <w:rPr>
          <w:lang w:val="en-GB"/>
        </w:rPr>
        <w:t xml:space="preserve">s. It concluded that it was appropriate to use dosing regimens used in </w:t>
      </w:r>
      <w:r w:rsidR="0045276B">
        <w:rPr>
          <w:lang w:val="en-GB"/>
        </w:rPr>
        <w:t xml:space="preserve">the </w:t>
      </w:r>
      <w:r w:rsidR="00506A48" w:rsidRPr="00CF632A">
        <w:rPr>
          <w:lang w:val="en-GB"/>
        </w:rPr>
        <w:t xml:space="preserve">NHS </w:t>
      </w:r>
      <w:r w:rsidR="00DE2D0A" w:rsidRPr="00CF632A">
        <w:rPr>
          <w:lang w:val="en-GB"/>
        </w:rPr>
        <w:t>to estimate costs</w:t>
      </w:r>
      <w:r w:rsidR="00506A48" w:rsidRPr="00CF632A">
        <w:rPr>
          <w:lang w:val="en-GB"/>
        </w:rPr>
        <w:t xml:space="preserve"> rather than</w:t>
      </w:r>
      <w:r w:rsidR="00933AC5" w:rsidRPr="00CF632A">
        <w:rPr>
          <w:lang w:val="en-GB"/>
        </w:rPr>
        <w:t xml:space="preserve"> </w:t>
      </w:r>
      <w:r w:rsidR="00DE2D0A" w:rsidRPr="00CF632A">
        <w:rPr>
          <w:lang w:val="en-GB"/>
        </w:rPr>
        <w:t>those used</w:t>
      </w:r>
      <w:r w:rsidR="00933AC5" w:rsidRPr="00CF632A">
        <w:rPr>
          <w:lang w:val="en-GB"/>
        </w:rPr>
        <w:t xml:space="preserve"> in the</w:t>
      </w:r>
      <w:r w:rsidR="00506A48" w:rsidRPr="00CF632A">
        <w:rPr>
          <w:lang w:val="en-GB"/>
        </w:rPr>
        <w:t xml:space="preserve"> trials.</w:t>
      </w:r>
    </w:p>
    <w:p w14:paraId="10933D65" w14:textId="77777777" w:rsidR="0038206C" w:rsidRPr="00CF632A" w:rsidRDefault="0038206C" w:rsidP="0038206C">
      <w:pPr>
        <w:pStyle w:val="Heading2"/>
      </w:pPr>
      <w:bookmarkStart w:id="25" w:name="_Severity_modifier_1"/>
      <w:bookmarkEnd w:id="25"/>
      <w:r w:rsidRPr="00CF632A">
        <w:t>Severity modifier</w:t>
      </w:r>
    </w:p>
    <w:p w14:paraId="31A4020B" w14:textId="58758CFB" w:rsidR="00C1104E" w:rsidRPr="00A9020B" w:rsidRDefault="00F861CE" w:rsidP="00A34B3D">
      <w:pPr>
        <w:pStyle w:val="Numberedlevel2text"/>
        <w:rPr>
          <w:lang w:val="en-GB"/>
        </w:rPr>
      </w:pPr>
      <w:r w:rsidRPr="00CF632A">
        <w:rPr>
          <w:lang w:val="en-GB"/>
        </w:rPr>
        <w:t xml:space="preserve">The committee considered the severity of the condition (the future health lost by people living with the condition and having standard care in the NHS). The committee may apply a greater weight to QALYs (a severity modifier) if technologies are indicated for conditions with a high degree of severity. </w:t>
      </w:r>
      <w:r w:rsidR="00230469" w:rsidRPr="00CF632A">
        <w:rPr>
          <w:bCs w:val="0"/>
          <w:lang w:val="en-GB"/>
        </w:rPr>
        <w:t xml:space="preserve">The </w:t>
      </w:r>
      <w:r w:rsidR="008A7335" w:rsidRPr="00CF632A">
        <w:rPr>
          <w:bCs w:val="0"/>
          <w:lang w:val="en-GB"/>
        </w:rPr>
        <w:t>EAG noted</w:t>
      </w:r>
      <w:r w:rsidR="00230469" w:rsidRPr="00A9020B">
        <w:rPr>
          <w:bCs w:val="0"/>
          <w:lang w:val="en-GB"/>
        </w:rPr>
        <w:t xml:space="preserve"> </w:t>
      </w:r>
      <w:r w:rsidR="003138CC" w:rsidRPr="00A9020B">
        <w:rPr>
          <w:bCs w:val="0"/>
          <w:lang w:val="en-GB"/>
        </w:rPr>
        <w:t>that</w:t>
      </w:r>
      <w:r w:rsidR="00230469" w:rsidRPr="00CF632A">
        <w:rPr>
          <w:bCs w:val="0"/>
          <w:lang w:val="en-GB"/>
        </w:rPr>
        <w:t xml:space="preserve"> its modelling approach</w:t>
      </w:r>
      <w:r w:rsidR="00154455" w:rsidRPr="00CF632A">
        <w:rPr>
          <w:bCs w:val="0"/>
          <w:lang w:val="en-GB"/>
        </w:rPr>
        <w:t xml:space="preserve"> (including </w:t>
      </w:r>
      <w:r w:rsidR="003138CC" w:rsidRPr="00A9020B">
        <w:rPr>
          <w:bCs w:val="0"/>
          <w:lang w:val="en-GB"/>
        </w:rPr>
        <w:t xml:space="preserve">1 </w:t>
      </w:r>
      <w:r w:rsidR="00154455" w:rsidRPr="00CF632A">
        <w:rPr>
          <w:bCs w:val="0"/>
          <w:lang w:val="en-GB"/>
        </w:rPr>
        <w:t>line of treatment)</w:t>
      </w:r>
      <w:r w:rsidR="008A7335" w:rsidRPr="00CF632A">
        <w:rPr>
          <w:bCs w:val="0"/>
          <w:lang w:val="en-GB"/>
        </w:rPr>
        <w:t xml:space="preserve"> </w:t>
      </w:r>
      <w:r w:rsidR="008A7335" w:rsidRPr="00A9020B">
        <w:rPr>
          <w:lang w:val="en-GB"/>
        </w:rPr>
        <w:t>underesti</w:t>
      </w:r>
      <w:r w:rsidR="003138CC" w:rsidRPr="00A9020B">
        <w:rPr>
          <w:lang w:val="en-GB"/>
        </w:rPr>
        <w:t>mated</w:t>
      </w:r>
      <w:r w:rsidR="008A7335" w:rsidRPr="00A9020B">
        <w:rPr>
          <w:lang w:val="en-GB"/>
        </w:rPr>
        <w:t xml:space="preserve"> </w:t>
      </w:r>
      <w:r w:rsidR="00426DDF" w:rsidRPr="00A9020B">
        <w:rPr>
          <w:lang w:val="en-GB"/>
        </w:rPr>
        <w:t>the</w:t>
      </w:r>
      <w:r w:rsidR="008A7335" w:rsidRPr="00CF632A">
        <w:rPr>
          <w:lang w:val="en-GB"/>
        </w:rPr>
        <w:t xml:space="preserve"> life expectancy and QALYs associated with standard care. To address this, the EAG attempted to estimate QALYs gained from later lines of treatment and add them to those accrued in the evaluated treatment line. </w:t>
      </w:r>
      <w:r w:rsidR="007D0C88" w:rsidRPr="00CF632A">
        <w:rPr>
          <w:lang w:val="en-GB"/>
        </w:rPr>
        <w:t>The EAG noted that</w:t>
      </w:r>
      <w:r w:rsidR="008A7335" w:rsidRPr="00CF632A">
        <w:rPr>
          <w:lang w:val="en-GB"/>
        </w:rPr>
        <w:t xml:space="preserve"> this approach </w:t>
      </w:r>
      <w:r w:rsidR="00D71C04" w:rsidRPr="00A9020B">
        <w:rPr>
          <w:lang w:val="en-GB"/>
        </w:rPr>
        <w:t xml:space="preserve">was </w:t>
      </w:r>
      <w:r w:rsidR="008A7335" w:rsidRPr="00CF632A">
        <w:rPr>
          <w:lang w:val="en-GB"/>
        </w:rPr>
        <w:t xml:space="preserve">likely to overestimate </w:t>
      </w:r>
      <w:r w:rsidR="00D71C04" w:rsidRPr="00A9020B">
        <w:rPr>
          <w:lang w:val="en-GB"/>
        </w:rPr>
        <w:t xml:space="preserve">the </w:t>
      </w:r>
      <w:r w:rsidR="008A7335" w:rsidRPr="00CF632A">
        <w:rPr>
          <w:lang w:val="en-GB"/>
        </w:rPr>
        <w:t xml:space="preserve">QALYs </w:t>
      </w:r>
      <w:r w:rsidR="00D71C04" w:rsidRPr="00A9020B">
        <w:rPr>
          <w:lang w:val="en-GB"/>
        </w:rPr>
        <w:t xml:space="preserve">of </w:t>
      </w:r>
      <w:r w:rsidR="008A7335" w:rsidRPr="00CF632A">
        <w:rPr>
          <w:lang w:val="en-GB"/>
        </w:rPr>
        <w:t>current care</w:t>
      </w:r>
      <w:r w:rsidR="00F66FA2">
        <w:rPr>
          <w:lang w:val="en-GB"/>
        </w:rPr>
        <w:t>. This is</w:t>
      </w:r>
      <w:r w:rsidR="00D758A1" w:rsidRPr="00CF632A">
        <w:rPr>
          <w:lang w:val="en-GB"/>
        </w:rPr>
        <w:t xml:space="preserve"> </w:t>
      </w:r>
      <w:r w:rsidR="00154455" w:rsidRPr="00CF632A">
        <w:rPr>
          <w:lang w:val="en-GB"/>
        </w:rPr>
        <w:t xml:space="preserve">because it </w:t>
      </w:r>
      <w:r w:rsidR="00372DC1" w:rsidRPr="00CF632A">
        <w:rPr>
          <w:lang w:val="en-GB"/>
        </w:rPr>
        <w:t xml:space="preserve">may </w:t>
      </w:r>
      <w:r w:rsidR="00D71C04" w:rsidRPr="00A9020B">
        <w:rPr>
          <w:lang w:val="en-GB"/>
        </w:rPr>
        <w:t xml:space="preserve">have </w:t>
      </w:r>
      <w:r w:rsidR="00372DC1" w:rsidRPr="00CF632A">
        <w:rPr>
          <w:lang w:val="en-GB"/>
        </w:rPr>
        <w:t xml:space="preserve">double </w:t>
      </w:r>
      <w:r w:rsidR="00372DC1" w:rsidRPr="00A9020B">
        <w:rPr>
          <w:lang w:val="en-GB"/>
        </w:rPr>
        <w:t>count</w:t>
      </w:r>
      <w:r w:rsidR="00D71C04" w:rsidRPr="00A9020B">
        <w:rPr>
          <w:lang w:val="en-GB"/>
        </w:rPr>
        <w:t>ed</w:t>
      </w:r>
      <w:r w:rsidR="004B4673" w:rsidRPr="00CF632A">
        <w:rPr>
          <w:lang w:val="en-GB"/>
        </w:rPr>
        <w:t xml:space="preserve"> the</w:t>
      </w:r>
      <w:r w:rsidR="00372DC1" w:rsidRPr="00CF632A">
        <w:rPr>
          <w:lang w:val="en-GB"/>
        </w:rPr>
        <w:t xml:space="preserve"> QALYs accrued between </w:t>
      </w:r>
      <w:r w:rsidR="002B2C9F" w:rsidRPr="00CF632A">
        <w:rPr>
          <w:lang w:val="en-GB"/>
        </w:rPr>
        <w:t xml:space="preserve">disease progression and </w:t>
      </w:r>
      <w:proofErr w:type="gramStart"/>
      <w:r w:rsidR="002B2C9F" w:rsidRPr="00CF632A">
        <w:rPr>
          <w:lang w:val="en-GB"/>
        </w:rPr>
        <w:t>death, and</w:t>
      </w:r>
      <w:proofErr w:type="gramEnd"/>
      <w:r w:rsidR="002B2C9F" w:rsidRPr="00CF632A">
        <w:rPr>
          <w:lang w:val="en-GB"/>
        </w:rPr>
        <w:t xml:space="preserve"> may not </w:t>
      </w:r>
      <w:r w:rsidR="00D71C04" w:rsidRPr="00A9020B">
        <w:rPr>
          <w:lang w:val="en-GB"/>
        </w:rPr>
        <w:t xml:space="preserve">have </w:t>
      </w:r>
      <w:r w:rsidR="002B2C9F" w:rsidRPr="00A9020B">
        <w:rPr>
          <w:lang w:val="en-GB"/>
        </w:rPr>
        <w:t>account</w:t>
      </w:r>
      <w:r w:rsidR="00D71C04" w:rsidRPr="00A9020B">
        <w:rPr>
          <w:lang w:val="en-GB"/>
        </w:rPr>
        <w:t>ed</w:t>
      </w:r>
      <w:r w:rsidR="002B2C9F" w:rsidRPr="00CF632A">
        <w:rPr>
          <w:lang w:val="en-GB"/>
        </w:rPr>
        <w:t xml:space="preserve"> for people who die before having subsequent treatment</w:t>
      </w:r>
      <w:r w:rsidR="004D18A7" w:rsidRPr="00A9020B">
        <w:rPr>
          <w:lang w:val="en-GB"/>
        </w:rPr>
        <w:t>,</w:t>
      </w:r>
      <w:r w:rsidR="002B2C9F" w:rsidRPr="00CF632A">
        <w:rPr>
          <w:lang w:val="en-GB"/>
        </w:rPr>
        <w:t xml:space="preserve"> </w:t>
      </w:r>
      <w:r w:rsidR="00D758A1" w:rsidRPr="00CF632A">
        <w:rPr>
          <w:lang w:val="en-GB"/>
        </w:rPr>
        <w:t xml:space="preserve">which </w:t>
      </w:r>
      <w:r w:rsidR="004D18A7" w:rsidRPr="00A9020B">
        <w:rPr>
          <w:lang w:val="en-GB"/>
        </w:rPr>
        <w:t xml:space="preserve">was </w:t>
      </w:r>
      <w:r w:rsidR="00D758A1" w:rsidRPr="00CF632A">
        <w:rPr>
          <w:lang w:val="en-GB"/>
        </w:rPr>
        <w:t xml:space="preserve">a </w:t>
      </w:r>
      <w:r w:rsidR="48660254" w:rsidRPr="5045C0ED">
        <w:rPr>
          <w:lang w:val="en-GB"/>
        </w:rPr>
        <w:t>methodological</w:t>
      </w:r>
      <w:r w:rsidR="00D758A1" w:rsidRPr="5045C0ED">
        <w:rPr>
          <w:lang w:val="en-GB"/>
        </w:rPr>
        <w:t xml:space="preserve"> </w:t>
      </w:r>
      <w:r w:rsidR="00D758A1" w:rsidRPr="00CF632A">
        <w:rPr>
          <w:lang w:val="en-GB"/>
        </w:rPr>
        <w:t>limitation</w:t>
      </w:r>
      <w:r w:rsidR="002B2C9F" w:rsidRPr="00CF632A">
        <w:rPr>
          <w:lang w:val="en-GB"/>
        </w:rPr>
        <w:t>. The EAG noted that</w:t>
      </w:r>
      <w:r w:rsidR="00F90AC4" w:rsidRPr="00CF632A">
        <w:rPr>
          <w:lang w:val="en-GB"/>
        </w:rPr>
        <w:t xml:space="preserve"> this</w:t>
      </w:r>
      <w:r w:rsidR="008A7335" w:rsidRPr="00CF632A">
        <w:rPr>
          <w:lang w:val="en-GB"/>
        </w:rPr>
        <w:t xml:space="preserve"> could be unfavourable to bevacizumab</w:t>
      </w:r>
      <w:r w:rsidR="004D18A7" w:rsidRPr="00A9020B">
        <w:rPr>
          <w:lang w:val="en-GB"/>
        </w:rPr>
        <w:t>,</w:t>
      </w:r>
      <w:r w:rsidR="00670A46" w:rsidRPr="00CF632A">
        <w:rPr>
          <w:lang w:val="en-GB"/>
        </w:rPr>
        <w:t xml:space="preserve"> </w:t>
      </w:r>
      <w:r w:rsidR="008A7335" w:rsidRPr="00CF632A">
        <w:rPr>
          <w:lang w:val="en-GB"/>
        </w:rPr>
        <w:t xml:space="preserve">if the proportional or absolute QALY shortfall </w:t>
      </w:r>
      <w:r w:rsidR="00F90AC4" w:rsidRPr="00CF632A">
        <w:rPr>
          <w:lang w:val="en-GB"/>
        </w:rPr>
        <w:t xml:space="preserve">calculated from this estimate </w:t>
      </w:r>
      <w:r w:rsidR="004D18A7" w:rsidRPr="00A9020B">
        <w:rPr>
          <w:lang w:val="en-GB"/>
        </w:rPr>
        <w:t xml:space="preserve">fell </w:t>
      </w:r>
      <w:r w:rsidR="008A7335" w:rsidRPr="00CF632A">
        <w:rPr>
          <w:lang w:val="en-GB"/>
        </w:rPr>
        <w:t xml:space="preserve">just below the threshold </w:t>
      </w:r>
      <w:r w:rsidR="004D18A7" w:rsidRPr="00A9020B">
        <w:rPr>
          <w:lang w:val="en-GB"/>
        </w:rPr>
        <w:t xml:space="preserve">needed </w:t>
      </w:r>
      <w:r w:rsidR="008A7335" w:rsidRPr="00CF632A">
        <w:rPr>
          <w:lang w:val="en-GB"/>
        </w:rPr>
        <w:t>for applying a higher QALY we</w:t>
      </w:r>
      <w:r w:rsidR="00742B92" w:rsidRPr="00CF632A">
        <w:rPr>
          <w:lang w:val="en-GB"/>
        </w:rPr>
        <w:t>ight.</w:t>
      </w:r>
      <w:r w:rsidR="0038206C" w:rsidRPr="00CF632A">
        <w:rPr>
          <w:lang w:val="en-GB"/>
        </w:rPr>
        <w:t xml:space="preserve"> </w:t>
      </w:r>
      <w:r w:rsidR="003419D6" w:rsidRPr="00171077">
        <w:rPr>
          <w:lang w:val="en-GB"/>
        </w:rPr>
        <w:br/>
      </w:r>
      <w:r w:rsidR="003419D6" w:rsidRPr="00171077">
        <w:rPr>
          <w:lang w:val="en-GB"/>
        </w:rPr>
        <w:br/>
      </w:r>
      <w:r w:rsidR="00DA334A" w:rsidRPr="00CF632A">
        <w:rPr>
          <w:lang w:val="en-GB"/>
        </w:rPr>
        <w:t>In the first-line setting</w:t>
      </w:r>
      <w:r w:rsidR="003419D6" w:rsidRPr="00A9020B">
        <w:rPr>
          <w:lang w:val="en-GB"/>
        </w:rPr>
        <w:t>,</w:t>
      </w:r>
      <w:r w:rsidR="00DA334A" w:rsidRPr="00CF632A">
        <w:rPr>
          <w:lang w:val="en-GB"/>
        </w:rPr>
        <w:t xml:space="preserve"> the expected total QALYs were estimated as the sum of total QALYs from the comparator group in the first-</w:t>
      </w:r>
      <w:r w:rsidR="003419D6" w:rsidRPr="00A9020B">
        <w:rPr>
          <w:lang w:val="en-GB"/>
        </w:rPr>
        <w:t xml:space="preserve"> </w:t>
      </w:r>
      <w:r w:rsidR="00DA334A" w:rsidRPr="00CF632A">
        <w:rPr>
          <w:lang w:val="en-GB"/>
        </w:rPr>
        <w:t xml:space="preserve">and the </w:t>
      </w:r>
      <w:r w:rsidR="00DA334A" w:rsidRPr="00CF632A">
        <w:rPr>
          <w:lang w:val="en-GB"/>
        </w:rPr>
        <w:lastRenderedPageBreak/>
        <w:t>second-line model</w:t>
      </w:r>
      <w:r w:rsidR="00FF092A" w:rsidRPr="00CF632A">
        <w:rPr>
          <w:lang w:val="en-GB"/>
        </w:rPr>
        <w:t>s</w:t>
      </w:r>
      <w:r w:rsidR="00DA334A" w:rsidRPr="00CF632A">
        <w:rPr>
          <w:lang w:val="en-GB"/>
        </w:rPr>
        <w:t xml:space="preserve"> and the reported QALYs for trifluridine</w:t>
      </w:r>
      <w:r w:rsidR="003419D6" w:rsidRPr="00A9020B">
        <w:rPr>
          <w:lang w:val="en-GB"/>
        </w:rPr>
        <w:t>–</w:t>
      </w:r>
      <w:proofErr w:type="spellStart"/>
      <w:r w:rsidR="00DA334A" w:rsidRPr="00CF632A">
        <w:rPr>
          <w:lang w:val="en-GB"/>
        </w:rPr>
        <w:t>tipiracil</w:t>
      </w:r>
      <w:proofErr w:type="spellEnd"/>
      <w:r w:rsidR="00DA334A" w:rsidRPr="00CF632A">
        <w:rPr>
          <w:lang w:val="en-GB"/>
        </w:rPr>
        <w:t xml:space="preserve"> plus bevacizumab reported in </w:t>
      </w:r>
      <w:hyperlink r:id="rId43">
        <w:r w:rsidR="00DA334A" w:rsidRPr="5045C0ED">
          <w:rPr>
            <w:rStyle w:val="Hyperlink"/>
            <w:lang w:val="en-GB"/>
          </w:rPr>
          <w:t>TA1008</w:t>
        </w:r>
      </w:hyperlink>
      <w:r w:rsidR="00DA334A" w:rsidRPr="5045C0ED">
        <w:rPr>
          <w:lang w:val="en-GB"/>
        </w:rPr>
        <w:t>.</w:t>
      </w:r>
      <w:r w:rsidR="00DA334A" w:rsidRPr="00CF632A">
        <w:rPr>
          <w:lang w:val="en-GB"/>
        </w:rPr>
        <w:t xml:space="preserve"> In the second-line setting</w:t>
      </w:r>
      <w:r w:rsidR="00CA0F4F" w:rsidRPr="00A9020B">
        <w:rPr>
          <w:lang w:val="en-GB"/>
        </w:rPr>
        <w:t>,</w:t>
      </w:r>
      <w:r w:rsidR="00DA334A" w:rsidRPr="00CF632A">
        <w:rPr>
          <w:lang w:val="en-GB"/>
        </w:rPr>
        <w:t xml:space="preserve"> the expected total QALYs were estimated as the sum of total QALYs from the comparator group in the second-line model and the trifluridine</w:t>
      </w:r>
      <w:r w:rsidR="00CA0F4F" w:rsidRPr="00A9020B">
        <w:rPr>
          <w:lang w:val="en-GB"/>
        </w:rPr>
        <w:t>–</w:t>
      </w:r>
      <w:proofErr w:type="spellStart"/>
      <w:r w:rsidR="00DA334A" w:rsidRPr="00CF632A">
        <w:rPr>
          <w:lang w:val="en-GB"/>
        </w:rPr>
        <w:t>tipiracil</w:t>
      </w:r>
      <w:proofErr w:type="spellEnd"/>
      <w:r w:rsidR="00DA334A" w:rsidRPr="00CF632A">
        <w:rPr>
          <w:lang w:val="en-GB"/>
        </w:rPr>
        <w:t xml:space="preserve"> plus bevacizumab group in </w:t>
      </w:r>
      <w:r w:rsidR="00CA0F4F" w:rsidRPr="00171077">
        <w:rPr>
          <w:lang w:val="en-GB"/>
        </w:rPr>
        <w:t>TA1008</w:t>
      </w:r>
      <w:r w:rsidR="00DA334A" w:rsidRPr="00A9020B">
        <w:rPr>
          <w:lang w:val="en-GB"/>
        </w:rPr>
        <w:t>.</w:t>
      </w:r>
      <w:r w:rsidR="00DA334A" w:rsidRPr="00CF632A">
        <w:rPr>
          <w:lang w:val="en-GB"/>
        </w:rPr>
        <w:t xml:space="preserve"> </w:t>
      </w:r>
      <w:r w:rsidR="0038206C" w:rsidRPr="00CF632A">
        <w:rPr>
          <w:lang w:val="en-GB"/>
        </w:rPr>
        <w:t>The absolute and proportional QALY shortfalls were estimated using the University of York QALY shortfall calculator</w:t>
      </w:r>
      <w:r w:rsidR="009C4AA4">
        <w:rPr>
          <w:lang w:val="en-GB"/>
        </w:rPr>
        <w:t>,</w:t>
      </w:r>
      <w:r w:rsidR="0038206C" w:rsidRPr="00CF632A">
        <w:rPr>
          <w:lang w:val="en-GB"/>
        </w:rPr>
        <w:t xml:space="preserve"> assuming</w:t>
      </w:r>
      <w:r w:rsidR="00C1104E" w:rsidRPr="00A9020B">
        <w:rPr>
          <w:lang w:val="en-GB"/>
        </w:rPr>
        <w:t>:</w:t>
      </w:r>
    </w:p>
    <w:p w14:paraId="0CB515D4" w14:textId="1967EE20" w:rsidR="00144D01" w:rsidRPr="00A9020B" w:rsidRDefault="00CA0F4F" w:rsidP="00C1104E">
      <w:pPr>
        <w:pStyle w:val="Bulletindent1"/>
      </w:pPr>
      <w:r w:rsidRPr="00A9020B">
        <w:t xml:space="preserve">people having </w:t>
      </w:r>
      <w:r w:rsidR="0038206C" w:rsidRPr="00A9020B">
        <w:t>first-line treatment had a mean age of 60 years</w:t>
      </w:r>
      <w:r w:rsidR="00144D01" w:rsidRPr="00A9020B">
        <w:t>,</w:t>
      </w:r>
      <w:r w:rsidR="0038206C" w:rsidRPr="00A9020B">
        <w:t xml:space="preserve"> with 40% of the cohort being female</w:t>
      </w:r>
    </w:p>
    <w:p w14:paraId="626D43F1" w14:textId="4C8CD2CA" w:rsidR="008F34FF" w:rsidRPr="00CF632A" w:rsidRDefault="00144D01" w:rsidP="00A81A18">
      <w:pPr>
        <w:pStyle w:val="Bulletindent1last"/>
      </w:pPr>
      <w:r w:rsidRPr="00A9020B">
        <w:t xml:space="preserve">people having </w:t>
      </w:r>
      <w:r w:rsidR="0038206C" w:rsidRPr="00A9020B">
        <w:t>second-line treatment had a mean age of 61 years</w:t>
      </w:r>
      <w:r w:rsidRPr="00A9020B">
        <w:t>,</w:t>
      </w:r>
      <w:r w:rsidR="0038206C" w:rsidRPr="00A9020B">
        <w:t xml:space="preserve"> with 39.5% of the cohort being female. </w:t>
      </w:r>
      <w:r w:rsidR="00FE780E" w:rsidRPr="00A9020B">
        <w:br/>
      </w:r>
      <w:r w:rsidR="00FE780E" w:rsidRPr="00A9020B">
        <w:br/>
      </w:r>
      <w:r w:rsidR="00C80D0E" w:rsidRPr="00A9020B">
        <w:t>The results</w:t>
      </w:r>
      <w:r w:rsidR="004D4615" w:rsidRPr="00A9020B">
        <w:t xml:space="preserve"> of the QALY shortfall analysis</w:t>
      </w:r>
      <w:r w:rsidR="0038206C" w:rsidRPr="00A9020B">
        <w:t xml:space="preserve"> estimated that in second-line treatment a disease severity modifier of 1.2 would apply, but that for first-line treatment</w:t>
      </w:r>
      <w:r w:rsidR="00C5053D" w:rsidRPr="00A9020B">
        <w:t xml:space="preserve"> no modifier would be appropriate</w:t>
      </w:r>
      <w:r w:rsidR="0038206C" w:rsidRPr="00A9020B">
        <w:t xml:space="preserve">. </w:t>
      </w:r>
      <w:r w:rsidR="008F34FF" w:rsidRPr="00A9020B">
        <w:t xml:space="preserve">The committee noted </w:t>
      </w:r>
      <w:r w:rsidR="00BF46CA" w:rsidRPr="00A9020B">
        <w:t xml:space="preserve">substantial </w:t>
      </w:r>
      <w:r w:rsidR="008F34FF" w:rsidRPr="00A9020B">
        <w:t xml:space="preserve">limitations in the EAG’s approach to estimating </w:t>
      </w:r>
      <w:r w:rsidR="00E8341B" w:rsidRPr="00A9020B">
        <w:t xml:space="preserve">the </w:t>
      </w:r>
      <w:r w:rsidR="008F34FF" w:rsidRPr="00A9020B">
        <w:t>QALY shortfall, which the EAG had acknowledged.</w:t>
      </w:r>
      <w:r w:rsidR="00343EFE" w:rsidRPr="00A9020B">
        <w:t xml:space="preserve"> </w:t>
      </w:r>
      <w:r w:rsidR="00FD267E" w:rsidRPr="00A9020B">
        <w:t>But</w:t>
      </w:r>
      <w:r w:rsidR="008F34FF" w:rsidRPr="00A9020B">
        <w:t xml:space="preserve"> </w:t>
      </w:r>
      <w:r w:rsidR="00FD267E" w:rsidRPr="00A9020B">
        <w:t>the committee thought</w:t>
      </w:r>
      <w:r w:rsidR="008F34FF" w:rsidRPr="00A9020B">
        <w:t xml:space="preserve"> that the </w:t>
      </w:r>
      <w:r w:rsidR="00E2318F" w:rsidRPr="00A9020B">
        <w:t xml:space="preserve">approach </w:t>
      </w:r>
      <w:r w:rsidR="008F34FF" w:rsidRPr="00A9020B">
        <w:t xml:space="preserve">likely overestimated </w:t>
      </w:r>
      <w:r w:rsidR="00D2261E" w:rsidRPr="00A9020B">
        <w:t>QALYs</w:t>
      </w:r>
      <w:r w:rsidR="008F34FF" w:rsidRPr="00A9020B">
        <w:t xml:space="preserve"> in the standard care arm, </w:t>
      </w:r>
      <w:r w:rsidR="00333699" w:rsidRPr="00A9020B">
        <w:t xml:space="preserve">increasing the </w:t>
      </w:r>
      <w:r w:rsidR="00D2261E" w:rsidRPr="00A9020B">
        <w:t xml:space="preserve">committee’s </w:t>
      </w:r>
      <w:r w:rsidR="00333699" w:rsidRPr="00A9020B">
        <w:t xml:space="preserve">confidence that </w:t>
      </w:r>
      <w:r w:rsidR="00E5092F" w:rsidRPr="00A9020B">
        <w:t>a 1.2 weighting in the second</w:t>
      </w:r>
      <w:r w:rsidR="00FD267E" w:rsidRPr="00A9020B">
        <w:t>-</w:t>
      </w:r>
      <w:r w:rsidR="00E5092F" w:rsidRPr="00A9020B">
        <w:t xml:space="preserve">line setting was </w:t>
      </w:r>
      <w:r w:rsidR="00FD267E" w:rsidRPr="00A9020B">
        <w:t>appropriate</w:t>
      </w:r>
      <w:r w:rsidR="00E5092F" w:rsidRPr="00A9020B">
        <w:t xml:space="preserve">. The committee noted that </w:t>
      </w:r>
      <w:r w:rsidR="00454F27" w:rsidRPr="00A9020B">
        <w:t xml:space="preserve">using a </w:t>
      </w:r>
      <w:r w:rsidR="001F4E04" w:rsidRPr="00A9020B">
        <w:t xml:space="preserve">modifier of </w:t>
      </w:r>
      <w:r w:rsidR="00454F27" w:rsidRPr="00A9020B">
        <w:t>1.2 was not inconsistent with severity modifiers applied in recent later</w:t>
      </w:r>
      <w:r w:rsidR="001F4E04" w:rsidRPr="00A9020B">
        <w:t>-</w:t>
      </w:r>
      <w:r w:rsidR="00454F27" w:rsidRPr="00A9020B">
        <w:t>line appraisals</w:t>
      </w:r>
      <w:r w:rsidR="008F34FF" w:rsidRPr="00A9020B">
        <w:t xml:space="preserve">. </w:t>
      </w:r>
      <w:r w:rsidR="001F4E04" w:rsidRPr="00A9020B">
        <w:t>It</w:t>
      </w:r>
      <w:r w:rsidR="008F34FF" w:rsidRPr="00A9020B">
        <w:t xml:space="preserve"> </w:t>
      </w:r>
      <w:r w:rsidR="00F96303" w:rsidRPr="00A9020B">
        <w:t>acknowledged</w:t>
      </w:r>
      <w:r w:rsidR="00FF092A" w:rsidRPr="00A9020B">
        <w:t xml:space="preserve"> the potential </w:t>
      </w:r>
      <w:r w:rsidR="00A05C70" w:rsidRPr="00A9020B">
        <w:t xml:space="preserve">limitations of the non-sequential modelling </w:t>
      </w:r>
      <w:r w:rsidR="004B4673" w:rsidRPr="00A9020B">
        <w:t xml:space="preserve">approach </w:t>
      </w:r>
      <w:r w:rsidR="005A32D4" w:rsidRPr="00A9020B">
        <w:t>in estimating QALY shortfall</w:t>
      </w:r>
      <w:r w:rsidR="009A4E0C">
        <w:t>.</w:t>
      </w:r>
      <w:r w:rsidR="004B4673" w:rsidRPr="00A9020B">
        <w:t xml:space="preserve"> </w:t>
      </w:r>
      <w:r w:rsidR="009A4E0C">
        <w:t>But it</w:t>
      </w:r>
      <w:r w:rsidR="00AA1B20" w:rsidRPr="00A9020B">
        <w:t xml:space="preserve"> concluded</w:t>
      </w:r>
      <w:r w:rsidR="00E2318F" w:rsidRPr="00A9020B">
        <w:t xml:space="preserve"> that it had been</w:t>
      </w:r>
      <w:r w:rsidR="008F34FF" w:rsidRPr="00A9020B">
        <w:t xml:space="preserve"> presented </w:t>
      </w:r>
      <w:r w:rsidR="00E2318F" w:rsidRPr="00A9020B">
        <w:t xml:space="preserve">with </w:t>
      </w:r>
      <w:r w:rsidR="008F34FF" w:rsidRPr="00A9020B">
        <w:t>a worst-case scenario</w:t>
      </w:r>
      <w:r w:rsidR="007874EE">
        <w:t>,</w:t>
      </w:r>
      <w:r w:rsidR="008F34FF" w:rsidRPr="00A9020B">
        <w:t xml:space="preserve"> </w:t>
      </w:r>
      <w:r w:rsidR="001F4E04" w:rsidRPr="00A9020B">
        <w:t xml:space="preserve">so </w:t>
      </w:r>
      <w:r w:rsidR="008F34FF" w:rsidRPr="00A9020B">
        <w:t xml:space="preserve">a severity modifier of 1.2 for second-line </w:t>
      </w:r>
      <w:r w:rsidR="00F96303" w:rsidRPr="00CF632A">
        <w:t>treatment</w:t>
      </w:r>
      <w:r w:rsidR="00986E24" w:rsidRPr="00CF632A">
        <w:t xml:space="preserve"> was appropriate</w:t>
      </w:r>
      <w:r w:rsidR="008F34FF" w:rsidRPr="00CF632A">
        <w:t>.</w:t>
      </w:r>
    </w:p>
    <w:p w14:paraId="4D428CC1" w14:textId="77777777" w:rsidR="00012C20" w:rsidRPr="00CF632A" w:rsidRDefault="00012C20" w:rsidP="00012C20">
      <w:pPr>
        <w:pStyle w:val="Heading2"/>
      </w:pPr>
      <w:bookmarkStart w:id="26" w:name="_Equality"/>
      <w:bookmarkEnd w:id="26"/>
      <w:r w:rsidRPr="00CF632A">
        <w:t xml:space="preserve">Equality </w:t>
      </w:r>
    </w:p>
    <w:p w14:paraId="77E9F983" w14:textId="4D627EED" w:rsidR="005261C3" w:rsidRPr="00CF632A" w:rsidRDefault="00012C20" w:rsidP="2BB0FC0C">
      <w:pPr>
        <w:pStyle w:val="Numberedlevel2text"/>
        <w:rPr>
          <w:lang w:val="en-GB"/>
        </w:rPr>
      </w:pPr>
      <w:r w:rsidRPr="00CF632A">
        <w:rPr>
          <w:lang w:val="en-GB"/>
        </w:rPr>
        <w:t xml:space="preserve">The committee noted that were no potential equality issues identified during the scoping process. </w:t>
      </w:r>
      <w:r w:rsidR="007F3D8E" w:rsidRPr="00A9020B">
        <w:rPr>
          <w:lang w:val="en-GB"/>
        </w:rPr>
        <w:t>T</w:t>
      </w:r>
      <w:r w:rsidRPr="00A9020B">
        <w:rPr>
          <w:lang w:val="en-GB"/>
        </w:rPr>
        <w:t>he</w:t>
      </w:r>
      <w:r w:rsidRPr="00CF632A">
        <w:rPr>
          <w:lang w:val="en-GB"/>
        </w:rPr>
        <w:t xml:space="preserve"> clinical and patient experts did not think there were any equality issues that had not been addressed in this </w:t>
      </w:r>
      <w:r w:rsidR="007F3D8E" w:rsidRPr="00A9020B">
        <w:rPr>
          <w:lang w:val="en-GB"/>
        </w:rPr>
        <w:t>evaluation</w:t>
      </w:r>
      <w:r w:rsidRPr="00A9020B">
        <w:rPr>
          <w:lang w:val="en-GB"/>
        </w:rPr>
        <w:t>.</w:t>
      </w:r>
      <w:r w:rsidRPr="00CF632A">
        <w:rPr>
          <w:lang w:val="en-GB"/>
        </w:rPr>
        <w:t xml:space="preserve"> </w:t>
      </w:r>
      <w:r w:rsidR="00A621CB" w:rsidRPr="00CF632A">
        <w:rPr>
          <w:lang w:val="en-GB"/>
        </w:rPr>
        <w:t xml:space="preserve">The committee </w:t>
      </w:r>
      <w:r w:rsidR="0007697E">
        <w:rPr>
          <w:lang w:val="en-GB"/>
        </w:rPr>
        <w:t>noted</w:t>
      </w:r>
      <w:r w:rsidR="0007697E" w:rsidRPr="00171077">
        <w:rPr>
          <w:lang w:val="en-GB"/>
        </w:rPr>
        <w:t xml:space="preserve"> </w:t>
      </w:r>
      <w:r w:rsidR="00A621CB" w:rsidRPr="00CF632A">
        <w:rPr>
          <w:lang w:val="en-GB"/>
        </w:rPr>
        <w:t>that c</w:t>
      </w:r>
      <w:r w:rsidR="00CC6425" w:rsidRPr="00CF632A">
        <w:rPr>
          <w:lang w:val="en-GB"/>
        </w:rPr>
        <w:t xml:space="preserve">apecitabine monotherapy may be </w:t>
      </w:r>
      <w:r w:rsidR="00CC6425" w:rsidRPr="00CF632A">
        <w:rPr>
          <w:lang w:val="en-GB"/>
        </w:rPr>
        <w:lastRenderedPageBreak/>
        <w:t xml:space="preserve">more likely to be used </w:t>
      </w:r>
      <w:r w:rsidR="009129CD">
        <w:rPr>
          <w:lang w:val="en-GB"/>
        </w:rPr>
        <w:t>by</w:t>
      </w:r>
      <w:r w:rsidR="009129CD" w:rsidRPr="00171077">
        <w:rPr>
          <w:lang w:val="en-GB"/>
        </w:rPr>
        <w:t xml:space="preserve"> </w:t>
      </w:r>
      <w:r w:rsidR="00CC6425" w:rsidRPr="00CF632A">
        <w:rPr>
          <w:lang w:val="en-GB"/>
        </w:rPr>
        <w:t>older and</w:t>
      </w:r>
      <w:r w:rsidR="00B360CE" w:rsidRPr="00CF632A">
        <w:rPr>
          <w:lang w:val="en-GB"/>
        </w:rPr>
        <w:t xml:space="preserve"> frailer people</w:t>
      </w:r>
      <w:r w:rsidR="00B360CE" w:rsidRPr="00CF632A" w:rsidDel="008725BE">
        <w:rPr>
          <w:lang w:val="en-GB"/>
        </w:rPr>
        <w:t xml:space="preserve"> </w:t>
      </w:r>
      <w:r w:rsidR="00DB43CB">
        <w:rPr>
          <w:lang w:val="en-GB"/>
        </w:rPr>
        <w:t>who</w:t>
      </w:r>
      <w:r w:rsidR="00FE5D40" w:rsidRPr="00FE5D40">
        <w:rPr>
          <w:lang w:val="en-GB"/>
        </w:rPr>
        <w:t xml:space="preserve"> cannot tolerate combination chemotherapy</w:t>
      </w:r>
      <w:r w:rsidR="00365B03" w:rsidRPr="00CF632A">
        <w:rPr>
          <w:lang w:val="en-GB"/>
        </w:rPr>
        <w:t xml:space="preserve">. </w:t>
      </w:r>
      <w:r w:rsidR="00383066">
        <w:rPr>
          <w:lang w:val="en-GB"/>
        </w:rPr>
        <w:t>But it had not been presented with evidence of a clinical benefit from</w:t>
      </w:r>
      <w:r w:rsidR="00383066" w:rsidRPr="000220B4">
        <w:rPr>
          <w:lang w:val="en-GB"/>
        </w:rPr>
        <w:t xml:space="preserve"> adding bevacizumab </w:t>
      </w:r>
      <w:r w:rsidR="00383066">
        <w:rPr>
          <w:lang w:val="en-GB"/>
        </w:rPr>
        <w:t>to capecitabine</w:t>
      </w:r>
      <w:r w:rsidR="00383066" w:rsidRPr="000220B4">
        <w:rPr>
          <w:lang w:val="en-GB"/>
        </w:rPr>
        <w:t xml:space="preserve"> </w:t>
      </w:r>
      <w:r w:rsidR="00383066">
        <w:rPr>
          <w:lang w:val="en-GB"/>
        </w:rPr>
        <w:t xml:space="preserve">for </w:t>
      </w:r>
      <w:r w:rsidR="00383066" w:rsidRPr="000220B4">
        <w:rPr>
          <w:lang w:val="en-GB"/>
        </w:rPr>
        <w:t xml:space="preserve">people who would otherwise have capecitabine </w:t>
      </w:r>
      <w:r w:rsidR="00383066">
        <w:rPr>
          <w:lang w:val="en-GB"/>
        </w:rPr>
        <w:t>alone</w:t>
      </w:r>
      <w:r w:rsidR="00383066" w:rsidRPr="7BCD81F4">
        <w:rPr>
          <w:lang w:val="en-GB"/>
        </w:rPr>
        <w:t xml:space="preserve">. The committee </w:t>
      </w:r>
      <w:r w:rsidR="00CA1139">
        <w:rPr>
          <w:lang w:val="en-GB"/>
        </w:rPr>
        <w:t>recalled</w:t>
      </w:r>
      <w:r w:rsidR="00383066">
        <w:rPr>
          <w:lang w:val="en-GB"/>
        </w:rPr>
        <w:t xml:space="preserve"> that </w:t>
      </w:r>
      <w:r w:rsidR="005B0C40">
        <w:rPr>
          <w:lang w:val="en-GB"/>
        </w:rPr>
        <w:t xml:space="preserve">the </w:t>
      </w:r>
      <w:r w:rsidR="00383066">
        <w:rPr>
          <w:lang w:val="en-GB"/>
        </w:rPr>
        <w:t>clinic</w:t>
      </w:r>
      <w:r w:rsidR="00CA1139">
        <w:rPr>
          <w:lang w:val="en-GB"/>
        </w:rPr>
        <w:t>al expert</w:t>
      </w:r>
      <w:r w:rsidR="00383066">
        <w:rPr>
          <w:lang w:val="en-GB"/>
        </w:rPr>
        <w:t xml:space="preserve">s </w:t>
      </w:r>
      <w:r w:rsidR="00CA1139" w:rsidRPr="00162881">
        <w:rPr>
          <w:lang w:val="en-GB"/>
        </w:rPr>
        <w:t>stated</w:t>
      </w:r>
      <w:r w:rsidR="00CA1139" w:rsidRPr="00CA1139">
        <w:rPr>
          <w:lang w:val="en-GB"/>
        </w:rPr>
        <w:t xml:space="preserve"> that bevacizumab has an observed benefit when added to capecitabine</w:t>
      </w:r>
      <w:r w:rsidR="00383066" w:rsidRPr="7BCD81F4">
        <w:rPr>
          <w:lang w:val="en-GB"/>
        </w:rPr>
        <w:t>.</w:t>
      </w:r>
      <w:r w:rsidR="00383066">
        <w:rPr>
          <w:lang w:val="en-GB"/>
        </w:rPr>
        <w:t xml:space="preserve"> </w:t>
      </w:r>
      <w:r w:rsidR="004929D7">
        <w:rPr>
          <w:lang w:val="en-GB"/>
        </w:rPr>
        <w:t xml:space="preserve">The committee </w:t>
      </w:r>
      <w:r w:rsidR="005B0C40">
        <w:rPr>
          <w:lang w:val="en-GB"/>
        </w:rPr>
        <w:t>noted</w:t>
      </w:r>
      <w:r w:rsidR="00383066">
        <w:rPr>
          <w:lang w:val="en-GB"/>
        </w:rPr>
        <w:t xml:space="preserve"> that</w:t>
      </w:r>
      <w:r w:rsidR="00383066" w:rsidRPr="00CF632A">
        <w:rPr>
          <w:lang w:val="en-GB"/>
        </w:rPr>
        <w:t xml:space="preserve"> its recommendations </w:t>
      </w:r>
      <w:r w:rsidR="00383066">
        <w:rPr>
          <w:lang w:val="en-GB"/>
        </w:rPr>
        <w:t>do</w:t>
      </w:r>
      <w:r w:rsidR="00383066" w:rsidRPr="00171077">
        <w:rPr>
          <w:lang w:val="en-GB"/>
        </w:rPr>
        <w:t xml:space="preserve"> </w:t>
      </w:r>
      <w:r w:rsidR="00383066" w:rsidRPr="00CF632A">
        <w:rPr>
          <w:lang w:val="en-GB"/>
        </w:rPr>
        <w:t xml:space="preserve">not state a preference for </w:t>
      </w:r>
      <w:r w:rsidR="00383066" w:rsidRPr="00A9020B">
        <w:rPr>
          <w:lang w:val="en-GB"/>
        </w:rPr>
        <w:t xml:space="preserve">any </w:t>
      </w:r>
      <w:r w:rsidR="003C4F1A">
        <w:rPr>
          <w:lang w:val="en-GB"/>
        </w:rPr>
        <w:t xml:space="preserve">specific </w:t>
      </w:r>
      <w:r w:rsidR="003C4F1A" w:rsidRPr="7BCD81F4">
        <w:rPr>
          <w:lang w:val="en-GB"/>
        </w:rPr>
        <w:t xml:space="preserve">fluoropyrimidine-based chemotherapy </w:t>
      </w:r>
      <w:r w:rsidR="00383066">
        <w:rPr>
          <w:lang w:val="en-GB"/>
        </w:rPr>
        <w:t>regimen</w:t>
      </w:r>
      <w:r w:rsidR="00383066" w:rsidRPr="00171077">
        <w:rPr>
          <w:lang w:val="en-GB"/>
        </w:rPr>
        <w:t xml:space="preserve"> </w:t>
      </w:r>
      <w:r w:rsidR="00383066" w:rsidRPr="00A9020B">
        <w:rPr>
          <w:lang w:val="en-GB"/>
        </w:rPr>
        <w:t>in</w:t>
      </w:r>
      <w:r w:rsidR="00383066" w:rsidRPr="00CF632A">
        <w:rPr>
          <w:lang w:val="en-GB"/>
        </w:rPr>
        <w:t xml:space="preserve"> first</w:t>
      </w:r>
      <w:r w:rsidR="00383066" w:rsidRPr="00A9020B">
        <w:rPr>
          <w:lang w:val="en-GB"/>
        </w:rPr>
        <w:t>-</w:t>
      </w:r>
      <w:r w:rsidR="00383066" w:rsidRPr="00CF632A">
        <w:rPr>
          <w:lang w:val="en-GB"/>
        </w:rPr>
        <w:t xml:space="preserve"> or second</w:t>
      </w:r>
      <w:r w:rsidR="00383066" w:rsidRPr="00A9020B">
        <w:rPr>
          <w:lang w:val="en-GB"/>
        </w:rPr>
        <w:t>-</w:t>
      </w:r>
      <w:r w:rsidR="00383066" w:rsidRPr="00CF632A">
        <w:rPr>
          <w:lang w:val="en-GB"/>
        </w:rPr>
        <w:t>line treatment</w:t>
      </w:r>
      <w:r w:rsidR="00BA3939">
        <w:rPr>
          <w:lang w:val="en-GB"/>
        </w:rPr>
        <w:t xml:space="preserve"> (see </w:t>
      </w:r>
      <w:hyperlink w:anchor="_Chemotherapy_options_in" w:history="1">
        <w:r w:rsidR="00BA3939" w:rsidRPr="00BA3939">
          <w:rPr>
            <w:rStyle w:val="Hyperlink"/>
            <w:lang w:val="en-GB"/>
          </w:rPr>
          <w:t>section 3.4</w:t>
        </w:r>
      </w:hyperlink>
      <w:r w:rsidR="00BA3939">
        <w:rPr>
          <w:lang w:val="en-GB"/>
        </w:rPr>
        <w:t>)</w:t>
      </w:r>
      <w:r w:rsidR="00383066">
        <w:rPr>
          <w:lang w:val="en-GB"/>
        </w:rPr>
        <w:t xml:space="preserve">. </w:t>
      </w:r>
      <w:r w:rsidR="00383066" w:rsidRPr="7BCD81F4">
        <w:rPr>
          <w:lang w:val="en-GB"/>
        </w:rPr>
        <w:t xml:space="preserve">This </w:t>
      </w:r>
      <w:r w:rsidR="00F6324D">
        <w:rPr>
          <w:lang w:val="en-GB"/>
        </w:rPr>
        <w:t>would allow</w:t>
      </w:r>
      <w:r w:rsidR="00383066" w:rsidRPr="7BCD81F4">
        <w:rPr>
          <w:lang w:val="en-GB"/>
        </w:rPr>
        <w:t xml:space="preserve"> flexibility for deciding which fluoropyrimidine-based chemotherapy bevacizumab is added on to.</w:t>
      </w:r>
    </w:p>
    <w:p w14:paraId="69BC23FA" w14:textId="52869555" w:rsidR="004658DE" w:rsidRPr="00CF632A" w:rsidRDefault="00B934A4" w:rsidP="004658DE">
      <w:pPr>
        <w:pStyle w:val="Heading2"/>
      </w:pPr>
      <w:r w:rsidRPr="00CF632A">
        <w:t>Cost-effectiveness estimates</w:t>
      </w:r>
    </w:p>
    <w:p w14:paraId="1421FC04" w14:textId="4302152E" w:rsidR="00980279" w:rsidRPr="00CF632A" w:rsidRDefault="006955B1" w:rsidP="006955B1">
      <w:pPr>
        <w:pStyle w:val="Heading3"/>
      </w:pPr>
      <w:r w:rsidRPr="00CF632A">
        <w:t xml:space="preserve">Acceptable </w:t>
      </w:r>
      <w:r w:rsidR="00371C90" w:rsidRPr="00CF632A">
        <w:t>ICER</w:t>
      </w:r>
    </w:p>
    <w:p w14:paraId="5F6E6FFF" w14:textId="206130AC" w:rsidR="0059227D" w:rsidRPr="00CF632A" w:rsidRDefault="0021706D" w:rsidP="005232EA">
      <w:pPr>
        <w:pStyle w:val="Numberedlevel2text"/>
        <w:rPr>
          <w:lang w:val="en-GB"/>
        </w:rPr>
      </w:pPr>
      <w:hyperlink r:id="rId44" w:history="1">
        <w:r w:rsidRPr="00CF632A">
          <w:rPr>
            <w:rStyle w:val="Hyperlink"/>
            <w:lang w:val="en-GB"/>
          </w:rPr>
          <w:t>NICE’s health technology evaluations manual</w:t>
        </w:r>
      </w:hyperlink>
      <w:r w:rsidRPr="00CF632A">
        <w:rPr>
          <w:lang w:val="en-GB"/>
        </w:rPr>
        <w:t xml:space="preserve"> notes that above a most plausible ICER of £20,000 per QALY gained, judgements about the acceptability of a technology as an effective use of NHS resources will </w:t>
      </w:r>
      <w:proofErr w:type="gramStart"/>
      <w:r w:rsidRPr="00CF632A">
        <w:rPr>
          <w:lang w:val="en-GB"/>
        </w:rPr>
        <w:t>take into account</w:t>
      </w:r>
      <w:proofErr w:type="gramEnd"/>
      <w:r w:rsidRPr="00CF632A">
        <w:rPr>
          <w:lang w:val="en-GB"/>
        </w:rPr>
        <w:t xml:space="preserve"> the degree of certainty around the ICER. The committee will be more cautious about recommending a technology if it is less certain about the ICERs presented. But it will also </w:t>
      </w:r>
      <w:proofErr w:type="gramStart"/>
      <w:r w:rsidRPr="00CF632A">
        <w:rPr>
          <w:lang w:val="en-GB"/>
        </w:rPr>
        <w:t>take into account</w:t>
      </w:r>
      <w:proofErr w:type="gramEnd"/>
      <w:r w:rsidRPr="00CF632A">
        <w:rPr>
          <w:lang w:val="en-GB"/>
        </w:rPr>
        <w:t xml:space="preserve"> other aspects including uncaptured health benefits. </w:t>
      </w:r>
      <w:r w:rsidR="005232EA" w:rsidRPr="00CF632A">
        <w:rPr>
          <w:lang w:val="en-GB"/>
        </w:rPr>
        <w:t xml:space="preserve">The committee acknowledged that there is an unmet need for people with mCRC. </w:t>
      </w:r>
      <w:r w:rsidRPr="00CF632A">
        <w:rPr>
          <w:lang w:val="en-GB"/>
        </w:rPr>
        <w:t xml:space="preserve">The committee noted the </w:t>
      </w:r>
      <w:r w:rsidRPr="00A9020B">
        <w:rPr>
          <w:lang w:val="en-GB"/>
        </w:rPr>
        <w:t>uncertaint</w:t>
      </w:r>
      <w:r w:rsidR="00C56068" w:rsidRPr="00A9020B">
        <w:rPr>
          <w:lang w:val="en-GB"/>
        </w:rPr>
        <w:t>ies</w:t>
      </w:r>
      <w:r w:rsidRPr="00CF632A">
        <w:rPr>
          <w:lang w:val="en-GB"/>
        </w:rPr>
        <w:t xml:space="preserve"> </w:t>
      </w:r>
      <w:r w:rsidR="00F13C32" w:rsidRPr="00CF632A">
        <w:rPr>
          <w:lang w:val="en-GB"/>
        </w:rPr>
        <w:t>in the costs of bevacizumab</w:t>
      </w:r>
      <w:r w:rsidR="00C56068" w:rsidRPr="00A9020B">
        <w:rPr>
          <w:lang w:val="en-GB"/>
        </w:rPr>
        <w:t xml:space="preserve"> and </w:t>
      </w:r>
      <w:r w:rsidR="00B66E02" w:rsidRPr="00CF632A">
        <w:rPr>
          <w:lang w:val="en-GB"/>
        </w:rPr>
        <w:t xml:space="preserve">the </w:t>
      </w:r>
      <w:r w:rsidR="005232EA" w:rsidRPr="00CF632A">
        <w:rPr>
          <w:lang w:val="en-GB"/>
        </w:rPr>
        <w:t>economic model</w:t>
      </w:r>
      <w:r w:rsidR="00B66E02" w:rsidRPr="00CF632A">
        <w:rPr>
          <w:lang w:val="en-GB"/>
        </w:rPr>
        <w:t xml:space="preserve"> </w:t>
      </w:r>
      <w:r w:rsidRPr="00CF632A">
        <w:rPr>
          <w:lang w:val="en-GB"/>
        </w:rPr>
        <w:t>assumptions</w:t>
      </w:r>
      <w:r w:rsidR="00C56068" w:rsidRPr="00A9020B">
        <w:rPr>
          <w:lang w:val="en-GB"/>
        </w:rPr>
        <w:t>,</w:t>
      </w:r>
      <w:r w:rsidR="005232EA" w:rsidRPr="00A9020B">
        <w:rPr>
          <w:lang w:val="en-GB"/>
        </w:rPr>
        <w:t xml:space="preserve"> </w:t>
      </w:r>
      <w:r w:rsidR="00C56068" w:rsidRPr="00A9020B">
        <w:rPr>
          <w:lang w:val="en-GB"/>
        </w:rPr>
        <w:t>and those</w:t>
      </w:r>
      <w:r w:rsidR="005232EA" w:rsidRPr="00CF632A">
        <w:rPr>
          <w:lang w:val="en-GB"/>
        </w:rPr>
        <w:t xml:space="preserve"> that came with the </w:t>
      </w:r>
      <w:r w:rsidR="00C56068" w:rsidRPr="00A9020B">
        <w:rPr>
          <w:lang w:val="en-GB"/>
        </w:rPr>
        <w:t xml:space="preserve">EAG’s </w:t>
      </w:r>
      <w:r w:rsidR="005232EA" w:rsidRPr="00CF632A">
        <w:rPr>
          <w:lang w:val="en-GB"/>
        </w:rPr>
        <w:t>pragmatic approach</w:t>
      </w:r>
      <w:r w:rsidRPr="00CF632A">
        <w:rPr>
          <w:lang w:val="en-GB"/>
        </w:rPr>
        <w:t xml:space="preserve">. </w:t>
      </w:r>
      <w:r w:rsidR="006A60DB">
        <w:rPr>
          <w:lang w:val="en-GB"/>
        </w:rPr>
        <w:t>Because of</w:t>
      </w:r>
      <w:r w:rsidRPr="00171077">
        <w:rPr>
          <w:lang w:val="en-GB"/>
        </w:rPr>
        <w:t xml:space="preserve"> the</w:t>
      </w:r>
      <w:r w:rsidR="006A60DB">
        <w:rPr>
          <w:lang w:val="en-GB"/>
        </w:rPr>
        <w:t>se</w:t>
      </w:r>
      <w:r w:rsidRPr="00CF632A">
        <w:rPr>
          <w:lang w:val="en-GB"/>
        </w:rPr>
        <w:t xml:space="preserve"> </w:t>
      </w:r>
      <w:r w:rsidRPr="00A9020B">
        <w:rPr>
          <w:lang w:val="en-GB"/>
        </w:rPr>
        <w:t>uncertaint</w:t>
      </w:r>
      <w:r w:rsidR="00404158" w:rsidRPr="00A9020B">
        <w:rPr>
          <w:lang w:val="en-GB"/>
        </w:rPr>
        <w:t>ies</w:t>
      </w:r>
      <w:r w:rsidRPr="00CF632A">
        <w:rPr>
          <w:lang w:val="en-GB"/>
        </w:rPr>
        <w:t>, the committee c</w:t>
      </w:r>
      <w:r w:rsidR="00472F55" w:rsidRPr="00CF632A">
        <w:rPr>
          <w:lang w:val="en-GB"/>
        </w:rPr>
        <w:t>oncluded</w:t>
      </w:r>
      <w:r w:rsidRPr="00CF632A">
        <w:rPr>
          <w:lang w:val="en-GB"/>
        </w:rPr>
        <w:t xml:space="preserve"> that an acceptable ICER would be </w:t>
      </w:r>
      <w:r w:rsidR="00BD7033" w:rsidRPr="00CF632A">
        <w:rPr>
          <w:lang w:val="en-GB"/>
        </w:rPr>
        <w:t>towards the lower end of the range NICE considers a cost-effective use of NHS resources (£20,000 to £30,000 per QALY gaine</w:t>
      </w:r>
      <w:r w:rsidR="00037812" w:rsidRPr="00CF632A">
        <w:rPr>
          <w:lang w:val="en-GB"/>
        </w:rPr>
        <w:t>d).</w:t>
      </w:r>
    </w:p>
    <w:p w14:paraId="11792508" w14:textId="77777777" w:rsidR="00C32EBE" w:rsidRPr="00CF632A" w:rsidRDefault="00C32EBE" w:rsidP="0059227D">
      <w:pPr>
        <w:pStyle w:val="Panelbullet1"/>
        <w:numPr>
          <w:ilvl w:val="0"/>
          <w:numId w:val="0"/>
        </w:numPr>
        <w:ind w:left="1134"/>
      </w:pPr>
    </w:p>
    <w:p w14:paraId="5741162A" w14:textId="2BD1FBC0" w:rsidR="0059227D" w:rsidRPr="00CF632A" w:rsidRDefault="000C36E6" w:rsidP="00DE3BC3">
      <w:pPr>
        <w:pStyle w:val="Heading3"/>
      </w:pPr>
      <w:r w:rsidRPr="00CF632A">
        <w:t>EAG</w:t>
      </w:r>
      <w:r w:rsidR="00DE3BC3" w:rsidRPr="00CF632A">
        <w:t xml:space="preserve"> cost-effectiveness estimates</w:t>
      </w:r>
    </w:p>
    <w:p w14:paraId="277D2887" w14:textId="77777777" w:rsidR="0059227D" w:rsidRPr="00CF632A" w:rsidRDefault="0059227D" w:rsidP="0059227D">
      <w:pPr>
        <w:pStyle w:val="Panelbullet1"/>
        <w:numPr>
          <w:ilvl w:val="0"/>
          <w:numId w:val="0"/>
        </w:numPr>
        <w:ind w:left="1134"/>
      </w:pPr>
    </w:p>
    <w:p w14:paraId="4D06F3CC" w14:textId="480F734F" w:rsidR="00B75F90" w:rsidRPr="001B6299" w:rsidRDefault="00B75F90" w:rsidP="00AE58B2">
      <w:pPr>
        <w:pStyle w:val="Numberedlevel2text"/>
        <w:rPr>
          <w:lang w:val="en-GB"/>
        </w:rPr>
      </w:pPr>
      <w:r w:rsidRPr="00CF632A">
        <w:rPr>
          <w:lang w:val="en-GB"/>
        </w:rPr>
        <w:t xml:space="preserve">The exact cost-effectiveness estimates cannot be reported here because of confidential discounts for </w:t>
      </w:r>
      <w:r w:rsidR="002A2F18" w:rsidRPr="00CF632A">
        <w:rPr>
          <w:lang w:val="en-GB"/>
        </w:rPr>
        <w:t>bevacizumab</w:t>
      </w:r>
      <w:r w:rsidRPr="00CF632A">
        <w:rPr>
          <w:lang w:val="en-GB"/>
        </w:rPr>
        <w:t xml:space="preserve">. </w:t>
      </w:r>
      <w:r w:rsidR="00A3108C" w:rsidRPr="00CF632A">
        <w:rPr>
          <w:lang w:val="en-GB"/>
        </w:rPr>
        <w:t xml:space="preserve">For the first-line setting, the </w:t>
      </w:r>
      <w:r w:rsidR="00A3108C" w:rsidRPr="00CF632A">
        <w:rPr>
          <w:lang w:val="en-GB"/>
        </w:rPr>
        <w:lastRenderedPageBreak/>
        <w:t xml:space="preserve">EAG’s base-case ICERs were </w:t>
      </w:r>
      <w:r w:rsidR="00002591" w:rsidRPr="00CF632A">
        <w:rPr>
          <w:lang w:val="en-GB"/>
        </w:rPr>
        <w:t>within the range that NICE considers an acceptable use of NHS resources</w:t>
      </w:r>
      <w:r w:rsidR="00ED3DDE" w:rsidRPr="00CF632A">
        <w:rPr>
          <w:lang w:val="en-GB"/>
        </w:rPr>
        <w:t xml:space="preserve"> for </w:t>
      </w:r>
      <w:r w:rsidR="007B40BF" w:rsidRPr="00A9020B">
        <w:rPr>
          <w:lang w:val="en-GB"/>
        </w:rPr>
        <w:t xml:space="preserve">the </w:t>
      </w:r>
      <w:r w:rsidR="00ED3DDE" w:rsidRPr="00CF632A">
        <w:rPr>
          <w:lang w:val="en-GB"/>
        </w:rPr>
        <w:t>models in which bevacizumab was an add on to FOLFOX, FOLFIRI or CAP</w:t>
      </w:r>
      <w:r w:rsidR="00042823" w:rsidRPr="00CF632A">
        <w:rPr>
          <w:lang w:val="en-GB"/>
        </w:rPr>
        <w:t>OX</w:t>
      </w:r>
      <w:r w:rsidR="00002591" w:rsidRPr="00CF632A">
        <w:rPr>
          <w:lang w:val="en-GB"/>
        </w:rPr>
        <w:t>. For the second-line setting, with a</w:t>
      </w:r>
      <w:r w:rsidRPr="00CF632A">
        <w:rPr>
          <w:lang w:val="en-GB"/>
        </w:rPr>
        <w:t xml:space="preserve"> 1.2</w:t>
      </w:r>
      <w:r w:rsidR="00AE58B2" w:rsidRPr="00CF632A">
        <w:rPr>
          <w:lang w:val="en-GB"/>
        </w:rPr>
        <w:t xml:space="preserve"> weighting applied for severity, the EAG’s base-case ICERs were </w:t>
      </w:r>
      <w:r w:rsidR="00F849DA" w:rsidRPr="00A9020B">
        <w:rPr>
          <w:lang w:val="en-GB"/>
        </w:rPr>
        <w:t xml:space="preserve">also within </w:t>
      </w:r>
      <w:r w:rsidR="00AE58B2" w:rsidRPr="00CF632A">
        <w:rPr>
          <w:lang w:val="en-GB"/>
        </w:rPr>
        <w:t>the range that NICE considers an acceptable use of NHS resources</w:t>
      </w:r>
      <w:r w:rsidR="00F849DA" w:rsidRPr="00A9020B">
        <w:rPr>
          <w:lang w:val="en-GB"/>
        </w:rPr>
        <w:t>, for the</w:t>
      </w:r>
      <w:r w:rsidR="00A87173" w:rsidRPr="00CF632A">
        <w:rPr>
          <w:lang w:val="en-GB"/>
        </w:rPr>
        <w:t xml:space="preserve"> m</w:t>
      </w:r>
      <w:r w:rsidR="00C43EB7" w:rsidRPr="00CF632A">
        <w:rPr>
          <w:lang w:val="en-GB"/>
        </w:rPr>
        <w:t>odels in which bevacizumab was an add on to FOLFOX or CAPOX</w:t>
      </w:r>
      <w:r w:rsidR="000B0253" w:rsidRPr="00CF632A">
        <w:rPr>
          <w:lang w:val="en-GB"/>
        </w:rPr>
        <w:t>. The committee</w:t>
      </w:r>
      <w:r w:rsidR="004F6856" w:rsidRPr="00CF632A">
        <w:rPr>
          <w:lang w:val="en-GB"/>
        </w:rPr>
        <w:t xml:space="preserve"> </w:t>
      </w:r>
      <w:r w:rsidR="005E2E98">
        <w:rPr>
          <w:lang w:val="en-GB"/>
        </w:rPr>
        <w:t>accepted</w:t>
      </w:r>
      <w:r w:rsidR="004F6856" w:rsidRPr="00CF632A">
        <w:rPr>
          <w:lang w:val="en-GB"/>
        </w:rPr>
        <w:t xml:space="preserve"> the EAG’s</w:t>
      </w:r>
      <w:r w:rsidR="00424E44" w:rsidRPr="00CF632A">
        <w:rPr>
          <w:lang w:val="en-GB"/>
        </w:rPr>
        <w:t xml:space="preserve"> base</w:t>
      </w:r>
      <w:r w:rsidR="000A4140" w:rsidRPr="00A9020B">
        <w:rPr>
          <w:lang w:val="en-GB"/>
        </w:rPr>
        <w:t>-</w:t>
      </w:r>
      <w:r w:rsidR="00424E44" w:rsidRPr="00CF632A">
        <w:rPr>
          <w:lang w:val="en-GB"/>
        </w:rPr>
        <w:t>case</w:t>
      </w:r>
      <w:r w:rsidR="007173FB" w:rsidRPr="00CF632A">
        <w:rPr>
          <w:lang w:val="en-GB"/>
        </w:rPr>
        <w:t xml:space="preserve"> assumptions</w:t>
      </w:r>
      <w:r w:rsidR="008B5FCD" w:rsidRPr="00A9020B">
        <w:rPr>
          <w:lang w:val="en-GB"/>
        </w:rPr>
        <w:t>. B</w:t>
      </w:r>
      <w:r w:rsidR="007173FB" w:rsidRPr="00CF632A">
        <w:rPr>
          <w:lang w:val="en-GB"/>
        </w:rPr>
        <w:t xml:space="preserve">ut </w:t>
      </w:r>
      <w:r w:rsidR="008B5FCD" w:rsidRPr="00A9020B">
        <w:rPr>
          <w:lang w:val="en-GB"/>
        </w:rPr>
        <w:t xml:space="preserve">it </w:t>
      </w:r>
      <w:r w:rsidR="007173FB" w:rsidRPr="00CF632A">
        <w:rPr>
          <w:lang w:val="en-GB"/>
        </w:rPr>
        <w:t>noted</w:t>
      </w:r>
      <w:r w:rsidR="007173FB" w:rsidRPr="00A9020B">
        <w:rPr>
          <w:lang w:val="en-GB"/>
        </w:rPr>
        <w:t xml:space="preserve"> </w:t>
      </w:r>
      <w:r w:rsidR="008B5FCD" w:rsidRPr="00A9020B">
        <w:rPr>
          <w:lang w:val="en-GB"/>
        </w:rPr>
        <w:t>that</w:t>
      </w:r>
      <w:r w:rsidR="007173FB" w:rsidRPr="00CF632A">
        <w:rPr>
          <w:lang w:val="en-GB"/>
        </w:rPr>
        <w:t xml:space="preserve"> scenarios reflecting the dosing regimen of chemotherapy </w:t>
      </w:r>
      <w:r w:rsidR="005E715D" w:rsidRPr="00CF632A">
        <w:rPr>
          <w:lang w:val="en-GB"/>
        </w:rPr>
        <w:t>used in the NHS should be included in the base case</w:t>
      </w:r>
      <w:r w:rsidR="00F76CBE">
        <w:rPr>
          <w:lang w:val="en-GB"/>
        </w:rPr>
        <w:t>.</w:t>
      </w:r>
      <w:r w:rsidR="00591B63" w:rsidRPr="00CF632A">
        <w:rPr>
          <w:lang w:val="en-GB"/>
        </w:rPr>
        <w:t xml:space="preserve"> </w:t>
      </w:r>
      <w:r w:rsidR="00B80291" w:rsidRPr="00CF632A">
        <w:rPr>
          <w:lang w:val="en-GB"/>
        </w:rPr>
        <w:t>In the absence of a specific model for bevacizumab plus FOLFIRI in the second</w:t>
      </w:r>
      <w:r w:rsidR="009C3DF6" w:rsidRPr="00A9020B">
        <w:rPr>
          <w:lang w:val="en-GB"/>
        </w:rPr>
        <w:t>-</w:t>
      </w:r>
      <w:r w:rsidR="00B80291" w:rsidRPr="00CF632A">
        <w:rPr>
          <w:lang w:val="en-GB"/>
        </w:rPr>
        <w:t xml:space="preserve">line setting, the committee </w:t>
      </w:r>
      <w:r w:rsidR="009C3DF6" w:rsidRPr="00A9020B">
        <w:rPr>
          <w:lang w:val="en-GB"/>
        </w:rPr>
        <w:t xml:space="preserve">thought </w:t>
      </w:r>
      <w:r w:rsidR="00B80291" w:rsidRPr="00CF632A">
        <w:rPr>
          <w:lang w:val="en-GB"/>
        </w:rPr>
        <w:t xml:space="preserve">it appropriate to use the </w:t>
      </w:r>
      <w:r w:rsidR="00B80291" w:rsidRPr="560E56BB">
        <w:rPr>
          <w:lang w:val="en-GB"/>
        </w:rPr>
        <w:t>ICERs</w:t>
      </w:r>
      <w:r w:rsidR="00B80291" w:rsidRPr="00CF632A">
        <w:rPr>
          <w:lang w:val="en-GB"/>
        </w:rPr>
        <w:t xml:space="preserve"> from </w:t>
      </w:r>
      <w:r w:rsidR="009C3DF6" w:rsidRPr="00A9020B">
        <w:rPr>
          <w:lang w:val="en-GB"/>
        </w:rPr>
        <w:t xml:space="preserve">the FOLFOX and CAPOX </w:t>
      </w:r>
      <w:r w:rsidR="00B80291" w:rsidRPr="00CF632A">
        <w:rPr>
          <w:lang w:val="en-GB"/>
        </w:rPr>
        <w:t xml:space="preserve">models </w:t>
      </w:r>
      <w:r w:rsidR="009C3DF6" w:rsidRPr="00A9020B">
        <w:rPr>
          <w:lang w:val="en-GB"/>
        </w:rPr>
        <w:t xml:space="preserve">to indicate </w:t>
      </w:r>
      <w:r w:rsidR="00B80291" w:rsidRPr="00CF632A">
        <w:rPr>
          <w:lang w:val="en-GB"/>
        </w:rPr>
        <w:t xml:space="preserve">the cost effectiveness of bevacizumab </w:t>
      </w:r>
      <w:r w:rsidR="007A4009" w:rsidRPr="00A9020B">
        <w:rPr>
          <w:lang w:val="en-GB"/>
        </w:rPr>
        <w:t>with</w:t>
      </w:r>
      <w:r w:rsidR="00B80291" w:rsidRPr="00CF632A">
        <w:rPr>
          <w:lang w:val="en-GB"/>
        </w:rPr>
        <w:t xml:space="preserve"> chemotherapy, regardless of the chemotherapy </w:t>
      </w:r>
      <w:r w:rsidR="005E3374">
        <w:rPr>
          <w:lang w:val="en-GB"/>
        </w:rPr>
        <w:t>regimen</w:t>
      </w:r>
      <w:r w:rsidR="00B80291" w:rsidRPr="00171077">
        <w:rPr>
          <w:lang w:val="en-GB"/>
        </w:rPr>
        <w:t xml:space="preserve">. </w:t>
      </w:r>
      <w:r w:rsidR="00E904E3" w:rsidRPr="001B6299">
        <w:rPr>
          <w:lang w:val="en-GB"/>
        </w:rPr>
        <w:t>The committee</w:t>
      </w:r>
      <w:r w:rsidR="000F4EEE" w:rsidRPr="001B6299">
        <w:rPr>
          <w:lang w:val="en-GB"/>
        </w:rPr>
        <w:t xml:space="preserve"> </w:t>
      </w:r>
      <w:r w:rsidR="008E00AE" w:rsidRPr="001B6299">
        <w:rPr>
          <w:lang w:val="en-GB"/>
        </w:rPr>
        <w:t xml:space="preserve">could not determine </w:t>
      </w:r>
      <w:r w:rsidR="00E904E3" w:rsidRPr="001B6299">
        <w:rPr>
          <w:lang w:val="en-GB"/>
        </w:rPr>
        <w:t>the</w:t>
      </w:r>
      <w:r w:rsidR="008E00AE" w:rsidRPr="001B6299">
        <w:rPr>
          <w:lang w:val="en-GB"/>
        </w:rPr>
        <w:t xml:space="preserve"> cost effectiveness </w:t>
      </w:r>
      <w:r w:rsidR="00E904E3" w:rsidRPr="001B6299">
        <w:rPr>
          <w:lang w:val="en-GB"/>
        </w:rPr>
        <w:t xml:space="preserve">of </w:t>
      </w:r>
      <w:r w:rsidR="00257BDF" w:rsidRPr="001B6299">
        <w:rPr>
          <w:lang w:val="en-GB"/>
        </w:rPr>
        <w:t xml:space="preserve">bevacizumab </w:t>
      </w:r>
      <w:r w:rsidR="004E3EE5" w:rsidRPr="001B6299">
        <w:rPr>
          <w:lang w:val="en-GB"/>
        </w:rPr>
        <w:t xml:space="preserve">with </w:t>
      </w:r>
      <w:r w:rsidR="000F4EEE" w:rsidRPr="001B6299">
        <w:rPr>
          <w:lang w:val="en-GB"/>
        </w:rPr>
        <w:t xml:space="preserve">capecitabine, </w:t>
      </w:r>
      <w:r w:rsidR="008E00AE" w:rsidRPr="001B6299">
        <w:rPr>
          <w:lang w:val="en-GB"/>
        </w:rPr>
        <w:t>because no evidence was provided</w:t>
      </w:r>
      <w:r w:rsidR="000F4EEE" w:rsidRPr="001B6299">
        <w:rPr>
          <w:lang w:val="en-GB"/>
        </w:rPr>
        <w:t>.</w:t>
      </w:r>
      <w:r w:rsidR="0019355D" w:rsidRPr="001B6299">
        <w:rPr>
          <w:lang w:val="en-GB"/>
        </w:rPr>
        <w:t xml:space="preserve"> </w:t>
      </w:r>
      <w:r w:rsidR="00B42596">
        <w:rPr>
          <w:lang w:val="en-GB"/>
        </w:rPr>
        <w:t>But the</w:t>
      </w:r>
      <w:r w:rsidR="00676512" w:rsidRPr="001B6299">
        <w:rPr>
          <w:lang w:val="en-GB"/>
        </w:rPr>
        <w:t xml:space="preserve"> </w:t>
      </w:r>
      <w:r w:rsidR="00FE4D72">
        <w:rPr>
          <w:lang w:val="en-GB"/>
        </w:rPr>
        <w:t>committee concluded</w:t>
      </w:r>
      <w:r w:rsidR="00676512" w:rsidRPr="001B6299">
        <w:rPr>
          <w:lang w:val="en-GB"/>
        </w:rPr>
        <w:t xml:space="preserve"> </w:t>
      </w:r>
      <w:r w:rsidR="00FE4D72">
        <w:rPr>
          <w:lang w:val="en-GB"/>
        </w:rPr>
        <w:t>that</w:t>
      </w:r>
      <w:r w:rsidR="00FE4D72" w:rsidRPr="001B6299">
        <w:rPr>
          <w:lang w:val="en-GB"/>
        </w:rPr>
        <w:t xml:space="preserve"> it</w:t>
      </w:r>
      <w:r w:rsidR="00676512" w:rsidRPr="001B6299">
        <w:rPr>
          <w:lang w:val="en-GB"/>
        </w:rPr>
        <w:t xml:space="preserve"> was reasonable </w:t>
      </w:r>
      <w:r w:rsidR="00D11C83">
        <w:rPr>
          <w:lang w:val="en-GB"/>
        </w:rPr>
        <w:t xml:space="preserve">not to </w:t>
      </w:r>
      <w:r w:rsidR="00676512" w:rsidRPr="001B6299">
        <w:rPr>
          <w:lang w:val="en-GB"/>
        </w:rPr>
        <w:t xml:space="preserve">restrict the recommendation to bevacizumab being added to combination fluoropyrimidine-based chemotherapy. This was because the clinical experts had stated that bevacizumab would have a clinical benefit being added on to any </w:t>
      </w:r>
      <w:bookmarkStart w:id="27" w:name="_Hlk220501577"/>
      <w:r w:rsidR="00676512" w:rsidRPr="001B6299">
        <w:rPr>
          <w:lang w:val="en-GB"/>
        </w:rPr>
        <w:t>fluoropyrimidine-based chemotherapy</w:t>
      </w:r>
      <w:bookmarkEnd w:id="27"/>
      <w:r w:rsidR="00565C1E">
        <w:rPr>
          <w:lang w:val="en-GB"/>
        </w:rPr>
        <w:t>,</w:t>
      </w:r>
      <w:r w:rsidR="00676512" w:rsidRPr="001B6299">
        <w:rPr>
          <w:lang w:val="en-GB"/>
        </w:rPr>
        <w:t xml:space="preserve"> and there was a need for flexibility in the backbone chemotherapy offered in clinical </w:t>
      </w:r>
      <w:r w:rsidR="0019355D" w:rsidRPr="001B6299">
        <w:rPr>
          <w:lang w:val="en-GB"/>
        </w:rPr>
        <w:t>practice.</w:t>
      </w:r>
    </w:p>
    <w:p w14:paraId="2D526D36" w14:textId="6611AECC" w:rsidR="00643582" w:rsidRPr="00CF632A" w:rsidRDefault="00F11610" w:rsidP="00643582">
      <w:pPr>
        <w:pStyle w:val="Heading2"/>
      </w:pPr>
      <w:r w:rsidRPr="00CF632A">
        <w:t>Conclusion</w:t>
      </w:r>
    </w:p>
    <w:p w14:paraId="4E34849C" w14:textId="46016A4A" w:rsidR="005463A4" w:rsidRPr="00CF632A" w:rsidRDefault="00F11610" w:rsidP="005463A4">
      <w:pPr>
        <w:pStyle w:val="Heading3"/>
      </w:pPr>
      <w:r w:rsidRPr="00CF632A">
        <w:t>Recommendation</w:t>
      </w:r>
    </w:p>
    <w:p w14:paraId="72E28353" w14:textId="0574A7C4" w:rsidR="006B7BD7" w:rsidRPr="00785F9F" w:rsidRDefault="00B652D1" w:rsidP="00BD1D0A">
      <w:pPr>
        <w:pStyle w:val="Numberedlevel2text"/>
        <w:rPr>
          <w:lang w:val="en-GB"/>
        </w:rPr>
      </w:pPr>
      <w:r w:rsidRPr="00CF632A">
        <w:t xml:space="preserve">The committee </w:t>
      </w:r>
      <w:r w:rsidR="00E904E3">
        <w:t xml:space="preserve">concluded </w:t>
      </w:r>
      <w:r w:rsidRPr="00CF632A">
        <w:t xml:space="preserve">that </w:t>
      </w:r>
      <w:r w:rsidR="005721C9" w:rsidRPr="00CF632A">
        <w:t xml:space="preserve">bevacizumab </w:t>
      </w:r>
      <w:r w:rsidR="00472F55" w:rsidRPr="00CF632A">
        <w:t xml:space="preserve">plus </w:t>
      </w:r>
      <w:r w:rsidR="005721C9" w:rsidRPr="00CF632A">
        <w:t xml:space="preserve">fluoropyrimidine-based chemotherapy </w:t>
      </w:r>
      <w:r w:rsidR="007F04A2">
        <w:t>improves</w:t>
      </w:r>
      <w:r w:rsidR="007F04A2" w:rsidRPr="00171077">
        <w:t xml:space="preserve"> </w:t>
      </w:r>
      <w:r w:rsidR="00855AF8" w:rsidRPr="00A9020B">
        <w:t>progression-</w:t>
      </w:r>
      <w:r w:rsidRPr="00CF632A">
        <w:t xml:space="preserve">free and overall survival </w:t>
      </w:r>
      <w:r w:rsidR="005721C9" w:rsidRPr="00CF632A">
        <w:t>in mCRC</w:t>
      </w:r>
      <w:r w:rsidRPr="00CF632A">
        <w:t xml:space="preserve"> compared with </w:t>
      </w:r>
      <w:r w:rsidR="005721C9" w:rsidRPr="00CF632A">
        <w:t>fluoropyrimidine-based chemotherapy alone</w:t>
      </w:r>
      <w:r w:rsidRPr="00CF632A">
        <w:t>.</w:t>
      </w:r>
      <w:r w:rsidR="008E5963" w:rsidRPr="00171077">
        <w:t xml:space="preserve"> </w:t>
      </w:r>
      <w:r w:rsidR="007F04A2">
        <w:t xml:space="preserve">The </w:t>
      </w:r>
      <w:r w:rsidRPr="00CF632A">
        <w:t xml:space="preserve">most likely cost-effectiveness estimates for </w:t>
      </w:r>
      <w:r w:rsidR="009A7A29" w:rsidRPr="00CF632A">
        <w:t xml:space="preserve">bevacizumab </w:t>
      </w:r>
      <w:r w:rsidR="00472F55" w:rsidRPr="00CF632A">
        <w:t xml:space="preserve">plus </w:t>
      </w:r>
      <w:r w:rsidR="009A7A29" w:rsidRPr="00CF632A">
        <w:t xml:space="preserve">fluoropyrimidine-based chemotherapy </w:t>
      </w:r>
      <w:r w:rsidR="007F04A2">
        <w:t>are</w:t>
      </w:r>
      <w:r w:rsidR="007F04A2" w:rsidRPr="00171077">
        <w:t xml:space="preserve"> </w:t>
      </w:r>
      <w:r w:rsidR="00E93FAB" w:rsidRPr="00CF632A">
        <w:t xml:space="preserve">below what NICE </w:t>
      </w:r>
      <w:r w:rsidR="00403188" w:rsidRPr="00CF632A">
        <w:t xml:space="preserve">considers a cost-effective use of NHS resources. </w:t>
      </w:r>
      <w:r w:rsidR="00BD1D0A" w:rsidRPr="00BD1D0A">
        <w:rPr>
          <w:lang w:val="en-GB"/>
        </w:rPr>
        <w:t xml:space="preserve">So, bevacizumab (originator and biosimilars) plus fluoropyrimidine-based chemotherapy can be used in the NHS as first- </w:t>
      </w:r>
      <w:r w:rsidR="00BD1D0A" w:rsidRPr="00BD1D0A">
        <w:rPr>
          <w:lang w:val="en-GB"/>
        </w:rPr>
        <w:lastRenderedPageBreak/>
        <w:t>and second-line treatment when targeted treatments or immunotherapy are unsuitable, and</w:t>
      </w:r>
      <w:r w:rsidR="00BD1D0A">
        <w:rPr>
          <w:lang w:val="en-GB"/>
        </w:rPr>
        <w:t xml:space="preserve"> </w:t>
      </w:r>
      <w:r w:rsidR="00BD1D0A" w:rsidRPr="00BD1D0A">
        <w:rPr>
          <w:lang w:val="en-GB"/>
        </w:rPr>
        <w:t>chemotherapy would otherwise be offered.</w:t>
      </w:r>
    </w:p>
    <w:p w14:paraId="76D4EF73" w14:textId="77777777" w:rsidR="000F48EC" w:rsidRPr="00CF632A" w:rsidRDefault="000F48EC" w:rsidP="00057D39">
      <w:pPr>
        <w:pStyle w:val="Numberedheading1"/>
        <w:numPr>
          <w:ilvl w:val="0"/>
          <w:numId w:val="13"/>
        </w:numPr>
      </w:pPr>
      <w:r w:rsidRPr="00CF632A">
        <w:t>Implementation</w:t>
      </w:r>
    </w:p>
    <w:p w14:paraId="4E016791" w14:textId="367533B0" w:rsidR="002A686F" w:rsidRPr="00CF632A" w:rsidRDefault="00336D9D" w:rsidP="00057D39">
      <w:pPr>
        <w:pStyle w:val="Numberedlevel2text"/>
        <w:numPr>
          <w:ilvl w:val="1"/>
          <w:numId w:val="13"/>
        </w:numPr>
        <w:rPr>
          <w:lang w:val="en-GB"/>
        </w:rPr>
      </w:pPr>
      <w:r w:rsidRPr="00CF632A">
        <w:rPr>
          <w:lang w:val="en-GB"/>
        </w:rPr>
        <w:t xml:space="preserve">Section 7 of the </w:t>
      </w:r>
      <w:hyperlink r:id="rId45" w:history="1">
        <w:r w:rsidR="002A686F" w:rsidRPr="00CF632A">
          <w:rPr>
            <w:rStyle w:val="Hyperlink"/>
            <w:lang w:val="en-GB"/>
          </w:rPr>
          <w:t>National Institute for Health and Care Excellence (Constitution and Functions) and the Health and Social Care Information Centre (Functions) Regulations 2013</w:t>
        </w:r>
      </w:hyperlink>
      <w:r w:rsidR="002A686F" w:rsidRPr="00CF632A">
        <w:rPr>
          <w:lang w:val="en-GB"/>
        </w:rPr>
        <w:t xml:space="preserve"> requires </w:t>
      </w:r>
      <w:r w:rsidR="00DD5C6D" w:rsidRPr="00CF632A">
        <w:rPr>
          <w:lang w:val="en-GB"/>
        </w:rPr>
        <w:t>integrated care boards</w:t>
      </w:r>
      <w:r w:rsidR="002A686F" w:rsidRPr="00CF632A">
        <w:rPr>
          <w:lang w:val="en-GB"/>
        </w:rPr>
        <w:t xml:space="preserve">, NHS England and, with respect to their public health functions, local authorities to comply with the recommendations in this </w:t>
      </w:r>
      <w:r w:rsidR="008639C8" w:rsidRPr="00CF632A">
        <w:rPr>
          <w:lang w:val="en-GB"/>
        </w:rPr>
        <w:t>evaluation</w:t>
      </w:r>
      <w:r w:rsidR="002A686F" w:rsidRPr="00CF632A">
        <w:rPr>
          <w:lang w:val="en-GB"/>
        </w:rPr>
        <w:t xml:space="preserve"> within </w:t>
      </w:r>
      <w:r w:rsidR="00697E97" w:rsidRPr="00CF632A">
        <w:rPr>
          <w:lang w:val="en-GB"/>
        </w:rPr>
        <w:t>90 days</w:t>
      </w:r>
      <w:r w:rsidR="002A686F" w:rsidRPr="00CF632A">
        <w:rPr>
          <w:lang w:val="en-GB"/>
        </w:rPr>
        <w:t xml:space="preserve"> of its date of publication. </w:t>
      </w:r>
    </w:p>
    <w:p w14:paraId="26EEF82C" w14:textId="1CE06E42" w:rsidR="002A686F" w:rsidRPr="00CF632A" w:rsidRDefault="00AB38A8" w:rsidP="00057D39">
      <w:pPr>
        <w:pStyle w:val="Numberedlevel2text"/>
        <w:numPr>
          <w:ilvl w:val="1"/>
          <w:numId w:val="13"/>
        </w:numPr>
        <w:rPr>
          <w:lang w:val="en-GB"/>
        </w:rPr>
      </w:pPr>
      <w:r w:rsidRPr="00CF632A">
        <w:rPr>
          <w:lang w:val="en-GB"/>
        </w:rPr>
        <w:t xml:space="preserve">Chapter 2 of </w:t>
      </w:r>
      <w:hyperlink r:id="rId46" w:history="1">
        <w:r w:rsidR="00693AB0" w:rsidRPr="00CF632A">
          <w:rPr>
            <w:rStyle w:val="Hyperlink"/>
            <w:lang w:val="en-GB"/>
          </w:rPr>
          <w:t>Appraisal</w:t>
        </w:r>
        <w:r w:rsidR="002A686F" w:rsidRPr="00CF632A">
          <w:rPr>
            <w:rStyle w:val="Hyperlink"/>
            <w:lang w:val="en-GB"/>
          </w:rPr>
          <w:t xml:space="preserve"> and funding of cancer drugs from July 2016 (including the new Cancer Drugs Fund) – A new deal for patients, taxpayers and industry</w:t>
        </w:r>
      </w:hyperlink>
      <w:r w:rsidR="002A686F" w:rsidRPr="00CF632A">
        <w:rPr>
          <w:lang w:val="en-GB"/>
        </w:rPr>
        <w:t xml:space="preserve"> states that for those drugs with a draft recommendation for routine commissioning, interim funding will be available (from the overall Cancer Drugs Fund budget) from the point of marketing authorisation, or from release of positive draft guidance, whichever is later. Interim funding will end 90</w:t>
      </w:r>
      <w:r w:rsidR="00994F8A" w:rsidRPr="00CF632A">
        <w:rPr>
          <w:lang w:val="en-GB"/>
        </w:rPr>
        <w:t> </w:t>
      </w:r>
      <w:r w:rsidR="002A686F" w:rsidRPr="00CF632A">
        <w:rPr>
          <w:lang w:val="en-GB"/>
        </w:rPr>
        <w:t>days after positive final guidance is published (or 30</w:t>
      </w:r>
      <w:r w:rsidR="00994F8A" w:rsidRPr="00CF632A">
        <w:rPr>
          <w:lang w:val="en-GB"/>
        </w:rPr>
        <w:t> </w:t>
      </w:r>
      <w:r w:rsidR="002A686F" w:rsidRPr="00CF632A">
        <w:rPr>
          <w:lang w:val="en-GB"/>
        </w:rPr>
        <w:t xml:space="preserve">days in the case of drugs with an Early Access to Medicines Scheme designation or </w:t>
      </w:r>
      <w:r w:rsidR="00D215C9" w:rsidRPr="00CF632A">
        <w:rPr>
          <w:lang w:val="en-GB"/>
        </w:rPr>
        <w:t>cost comparison</w:t>
      </w:r>
      <w:r w:rsidR="002A686F" w:rsidRPr="00CF632A">
        <w:rPr>
          <w:lang w:val="en-GB"/>
        </w:rPr>
        <w:t xml:space="preserve"> </w:t>
      </w:r>
      <w:r w:rsidR="005C16EC" w:rsidRPr="00CF632A">
        <w:rPr>
          <w:lang w:val="en-GB"/>
        </w:rPr>
        <w:t>evaluation</w:t>
      </w:r>
      <w:r w:rsidR="002A686F" w:rsidRPr="00CF632A">
        <w:rPr>
          <w:lang w:val="en-GB"/>
        </w:rPr>
        <w:t xml:space="preserve">), at which point funding will switch to routine commissioning budgets. The </w:t>
      </w:r>
      <w:hyperlink r:id="rId47" w:history="1">
        <w:r w:rsidR="002A686F" w:rsidRPr="00CF632A">
          <w:rPr>
            <w:rStyle w:val="Hyperlink"/>
            <w:lang w:val="en-GB"/>
          </w:rPr>
          <w:t>NHS England Cancer Drugs Fund list</w:t>
        </w:r>
      </w:hyperlink>
      <w:r w:rsidR="002A686F" w:rsidRPr="00CF632A">
        <w:rPr>
          <w:lang w:val="en-GB"/>
        </w:rPr>
        <w:t xml:space="preserve"> provides up-to-date information on all cancer treatments recommended by NICE since 2016. This includes whether they have received a marketing authorisation and been launched in the UK.</w:t>
      </w:r>
    </w:p>
    <w:p w14:paraId="5AA7163A" w14:textId="0002417F" w:rsidR="002A686F" w:rsidRPr="00CF632A" w:rsidRDefault="002A686F" w:rsidP="00057D39">
      <w:pPr>
        <w:pStyle w:val="Numberedlevel2text"/>
        <w:numPr>
          <w:ilvl w:val="1"/>
          <w:numId w:val="13"/>
        </w:numPr>
        <w:rPr>
          <w:lang w:val="en-GB"/>
        </w:rPr>
      </w:pPr>
      <w:r w:rsidRPr="00CF632A">
        <w:rPr>
          <w:lang w:val="en-GB"/>
        </w:rPr>
        <w:t xml:space="preserve">The Welsh ministers have issued directions to the NHS in Wales on implementing NICE technology </w:t>
      </w:r>
      <w:r w:rsidR="00932237" w:rsidRPr="00CF632A">
        <w:rPr>
          <w:lang w:val="en-GB"/>
        </w:rPr>
        <w:t xml:space="preserve">appraisal </w:t>
      </w:r>
      <w:r w:rsidRPr="00CF632A">
        <w:rPr>
          <w:lang w:val="en-GB"/>
        </w:rPr>
        <w:t xml:space="preserve">guidance. When a NICE technology </w:t>
      </w:r>
      <w:r w:rsidR="00932237" w:rsidRPr="00CF632A">
        <w:rPr>
          <w:lang w:val="en-GB"/>
        </w:rPr>
        <w:t>appraisal guidance</w:t>
      </w:r>
      <w:r w:rsidRPr="00CF632A">
        <w:rPr>
          <w:lang w:val="en-GB"/>
        </w:rPr>
        <w:t xml:space="preserve"> recommends the use of a drug or treatment, or other technology, the NHS in Wales must usually provide funding and resources for it within </w:t>
      </w:r>
      <w:r w:rsidR="00486D7A" w:rsidRPr="00CF632A">
        <w:rPr>
          <w:lang w:val="en-GB"/>
        </w:rPr>
        <w:t>60</w:t>
      </w:r>
      <w:r w:rsidRPr="00CF632A">
        <w:rPr>
          <w:lang w:val="en-GB"/>
        </w:rPr>
        <w:t> </w:t>
      </w:r>
      <w:r w:rsidR="00486D7A" w:rsidRPr="00CF632A">
        <w:rPr>
          <w:lang w:val="en-GB"/>
        </w:rPr>
        <w:t>days</w:t>
      </w:r>
      <w:r w:rsidRPr="00CF632A">
        <w:rPr>
          <w:lang w:val="en-GB"/>
        </w:rPr>
        <w:t xml:space="preserve"> of the first publication of the final </w:t>
      </w:r>
      <w:r w:rsidR="005C16EC" w:rsidRPr="00CF632A">
        <w:rPr>
          <w:lang w:val="en-GB"/>
        </w:rPr>
        <w:t>draft guidance</w:t>
      </w:r>
      <w:r w:rsidRPr="00CF632A">
        <w:rPr>
          <w:lang w:val="en-GB"/>
        </w:rPr>
        <w:t>.</w:t>
      </w:r>
    </w:p>
    <w:p w14:paraId="570CA54E" w14:textId="423ECDCD" w:rsidR="002A686F" w:rsidRPr="00CF632A" w:rsidRDefault="002A686F" w:rsidP="00057D39">
      <w:pPr>
        <w:pStyle w:val="Numberedlevel2text"/>
        <w:numPr>
          <w:ilvl w:val="1"/>
          <w:numId w:val="13"/>
        </w:numPr>
        <w:rPr>
          <w:lang w:val="en-GB"/>
        </w:rPr>
      </w:pPr>
      <w:r w:rsidRPr="00CF632A">
        <w:rPr>
          <w:lang w:val="en-GB"/>
        </w:rPr>
        <w:lastRenderedPageBreak/>
        <w:t xml:space="preserve">When NICE recommends a treatment ‘as an option’, the NHS must make sure it is available within the period set out in the paragraphs above. This means that, if a patient has </w:t>
      </w:r>
      <w:r w:rsidR="0064111D" w:rsidRPr="00CF632A">
        <w:rPr>
          <w:lang w:val="en-GB"/>
        </w:rPr>
        <w:t>metastatic colorectal cancer</w:t>
      </w:r>
      <w:r w:rsidRPr="00CF632A">
        <w:rPr>
          <w:lang w:val="en-GB"/>
        </w:rPr>
        <w:t xml:space="preserve"> and the </w:t>
      </w:r>
      <w:r w:rsidR="00133CEB" w:rsidRPr="00CF632A">
        <w:rPr>
          <w:lang w:val="en-GB"/>
        </w:rPr>
        <w:t>healthcare professional</w:t>
      </w:r>
      <w:r w:rsidRPr="00CF632A">
        <w:rPr>
          <w:lang w:val="en-GB"/>
        </w:rPr>
        <w:t xml:space="preserve"> responsible for their care thinks that</w:t>
      </w:r>
      <w:r w:rsidR="00F653B9" w:rsidRPr="00CF632A">
        <w:rPr>
          <w:lang w:val="en-GB"/>
        </w:rPr>
        <w:t xml:space="preserve"> </w:t>
      </w:r>
      <w:r w:rsidR="0064111D" w:rsidRPr="00CF632A">
        <w:rPr>
          <w:lang w:val="en-GB"/>
        </w:rPr>
        <w:t xml:space="preserve">bevacizumab (originator </w:t>
      </w:r>
      <w:r w:rsidR="00A919F7">
        <w:rPr>
          <w:lang w:val="en-GB"/>
        </w:rPr>
        <w:t>or</w:t>
      </w:r>
      <w:r w:rsidR="00A919F7" w:rsidRPr="00171077">
        <w:rPr>
          <w:lang w:val="en-GB"/>
        </w:rPr>
        <w:t xml:space="preserve"> </w:t>
      </w:r>
      <w:r w:rsidR="0064111D" w:rsidRPr="00CF632A">
        <w:rPr>
          <w:lang w:val="en-GB"/>
        </w:rPr>
        <w:t>biosimilars) with fluoropyrimidine-based chemotherapy</w:t>
      </w:r>
      <w:r w:rsidRPr="00CF632A">
        <w:rPr>
          <w:lang w:val="en-GB"/>
        </w:rPr>
        <w:t xml:space="preserve"> is the right treatment, it should be available for use, in line with NICE’s recommendations.</w:t>
      </w:r>
    </w:p>
    <w:p w14:paraId="37BFC300" w14:textId="77777777" w:rsidR="00B16431" w:rsidRPr="00CF632A" w:rsidRDefault="00FA2354" w:rsidP="00B16431">
      <w:pPr>
        <w:pStyle w:val="Numberedheading1"/>
        <w:numPr>
          <w:ilvl w:val="0"/>
          <w:numId w:val="1"/>
        </w:numPr>
      </w:pPr>
      <w:r w:rsidRPr="00CF632A">
        <w:t>Evaluation</w:t>
      </w:r>
      <w:r w:rsidR="00B16431" w:rsidRPr="00CF632A">
        <w:t xml:space="preserve"> </w:t>
      </w:r>
      <w:r w:rsidR="00343B53" w:rsidRPr="00CF632A">
        <w:t>c</w:t>
      </w:r>
      <w:r w:rsidR="00B16431" w:rsidRPr="00CF632A">
        <w:t>ommittee members and NICE project team</w:t>
      </w:r>
    </w:p>
    <w:p w14:paraId="52A89F61" w14:textId="77777777" w:rsidR="00B16431" w:rsidRPr="00CF632A" w:rsidRDefault="00FA2354" w:rsidP="00B16431">
      <w:pPr>
        <w:pStyle w:val="Heading2"/>
      </w:pPr>
      <w:bookmarkStart w:id="28" w:name="_Appraisal_committee_members"/>
      <w:bookmarkEnd w:id="28"/>
      <w:r w:rsidRPr="00CF632A">
        <w:t>Evaluation</w:t>
      </w:r>
      <w:r w:rsidR="00B16431" w:rsidRPr="00CF632A">
        <w:t xml:space="preserve"> </w:t>
      </w:r>
      <w:r w:rsidR="00343B53" w:rsidRPr="00CF632A">
        <w:t>c</w:t>
      </w:r>
      <w:r w:rsidR="00B16431" w:rsidRPr="00CF632A">
        <w:t>ommittee members</w:t>
      </w:r>
    </w:p>
    <w:p w14:paraId="0C28C029" w14:textId="1AAC51FC" w:rsidR="00573812" w:rsidRPr="00CF632A" w:rsidRDefault="002F2583" w:rsidP="002F2583">
      <w:pPr>
        <w:pStyle w:val="NICEnormal"/>
      </w:pPr>
      <w:r w:rsidRPr="00CF632A">
        <w:t>The 4 technology</w:t>
      </w:r>
      <w:r w:rsidR="008D5029" w:rsidRPr="00CF632A">
        <w:t xml:space="preserve"> appraisal</w:t>
      </w:r>
      <w:r w:rsidRPr="00CF632A">
        <w:t xml:space="preserve"> committees are standing advisory committees of NICE. This topic was considered by </w:t>
      </w:r>
      <w:hyperlink r:id="rId48" w:history="1">
        <w:r w:rsidR="00C71C48" w:rsidRPr="00CF632A">
          <w:rPr>
            <w:rStyle w:val="Hyperlink"/>
            <w:rFonts w:eastAsia="Calibri"/>
          </w:rPr>
          <w:t>committee B</w:t>
        </w:r>
      </w:hyperlink>
      <w:r w:rsidRPr="00CF632A">
        <w:t xml:space="preserve">. </w:t>
      </w:r>
    </w:p>
    <w:p w14:paraId="1260A88F" w14:textId="18C00C80" w:rsidR="002F2583" w:rsidRPr="00CF632A" w:rsidRDefault="002F2583" w:rsidP="002F2583">
      <w:pPr>
        <w:pStyle w:val="NICEnormal"/>
      </w:pPr>
      <w:r w:rsidRPr="00CF632A">
        <w:t xml:space="preserve">Committee members are asked to declare any interests in the </w:t>
      </w:r>
      <w:r w:rsidR="007D210E" w:rsidRPr="00CF632A">
        <w:rPr>
          <w:rStyle w:val="Numberedlevel2textChar"/>
          <w:bCs w:val="0"/>
          <w:iCs w:val="0"/>
          <w:lang w:val="en-GB"/>
        </w:rPr>
        <w:t>technologies</w:t>
      </w:r>
      <w:r w:rsidR="008617FC" w:rsidRPr="00CF632A">
        <w:rPr>
          <w:rStyle w:val="Numberedlevel2textChar"/>
          <w:bCs w:val="0"/>
          <w:iCs w:val="0"/>
          <w:lang w:val="en-GB"/>
        </w:rPr>
        <w:t xml:space="preserve"> </w:t>
      </w:r>
      <w:r w:rsidR="00B25CFA" w:rsidRPr="00CF632A">
        <w:t>being evaluated</w:t>
      </w:r>
      <w:r w:rsidRPr="00CF632A">
        <w:t xml:space="preserve">. If it is considered there is a conflict of interest, the member is excluded from participating further in that </w:t>
      </w:r>
      <w:r w:rsidR="00FA2354" w:rsidRPr="00CF632A">
        <w:t>evaluation</w:t>
      </w:r>
      <w:r w:rsidRPr="00CF632A">
        <w:t>.</w:t>
      </w:r>
    </w:p>
    <w:p w14:paraId="212F2A40" w14:textId="77777777" w:rsidR="002F2583" w:rsidRPr="00CF632A" w:rsidRDefault="002F2583" w:rsidP="002F2583">
      <w:pPr>
        <w:pStyle w:val="NICEnormal"/>
      </w:pPr>
      <w:r w:rsidRPr="00CF632A">
        <w:t xml:space="preserve">The </w:t>
      </w:r>
      <w:hyperlink r:id="rId49" w:history="1">
        <w:r w:rsidRPr="00CF632A">
          <w:rPr>
            <w:rStyle w:val="Hyperlink"/>
            <w:rFonts w:eastAsia="Calibri"/>
          </w:rPr>
          <w:t>minutes</w:t>
        </w:r>
        <w:r w:rsidRPr="00CF632A">
          <w:rPr>
            <w:rStyle w:val="Hyperlink"/>
          </w:rPr>
          <w:t xml:space="preserve"> of each </w:t>
        </w:r>
        <w:r w:rsidR="00FA2354" w:rsidRPr="00CF632A">
          <w:rPr>
            <w:rStyle w:val="Hyperlink"/>
          </w:rPr>
          <w:t>evaluation</w:t>
        </w:r>
        <w:r w:rsidRPr="00CF632A">
          <w:rPr>
            <w:rStyle w:val="Hyperlink"/>
          </w:rPr>
          <w:t xml:space="preserve"> committee meeting</w:t>
        </w:r>
      </w:hyperlink>
      <w:r w:rsidR="00D8513B" w:rsidRPr="00CF632A">
        <w:t xml:space="preserve">, </w:t>
      </w:r>
      <w:r w:rsidRPr="00CF632A">
        <w:t>which include the names of the members who attended and their declarations of interests, are posted on the NICE website.</w:t>
      </w:r>
    </w:p>
    <w:p w14:paraId="2974AAD9" w14:textId="77777777" w:rsidR="00576185" w:rsidRPr="00CF632A" w:rsidRDefault="005463A4" w:rsidP="005463A4">
      <w:pPr>
        <w:pStyle w:val="Heading2"/>
      </w:pPr>
      <w:r w:rsidRPr="00CF632A">
        <w:t>Chair</w:t>
      </w:r>
    </w:p>
    <w:p w14:paraId="7BCB1940" w14:textId="713F8B5E" w:rsidR="005463A4" w:rsidRPr="00CF632A" w:rsidRDefault="005129ED" w:rsidP="005463A4">
      <w:pPr>
        <w:pStyle w:val="NICEnormal"/>
      </w:pPr>
      <w:r w:rsidRPr="00CF632A">
        <w:rPr>
          <w:b/>
        </w:rPr>
        <w:t>Baljit Singh</w:t>
      </w:r>
      <w:r w:rsidR="005463A4" w:rsidRPr="00CF632A">
        <w:br/>
      </w:r>
      <w:r w:rsidRPr="00CF632A">
        <w:t xml:space="preserve">Vice </w:t>
      </w:r>
      <w:r w:rsidR="005463A4" w:rsidRPr="00CF632A">
        <w:t>Chair</w:t>
      </w:r>
      <w:r w:rsidR="003D39D7" w:rsidRPr="00CF632A">
        <w:t xml:space="preserve">, </w:t>
      </w:r>
      <w:r w:rsidR="00D00174" w:rsidRPr="00CF632A">
        <w:t>t</w:t>
      </w:r>
      <w:r w:rsidR="003D39D7" w:rsidRPr="00CF632A">
        <w:t xml:space="preserve">echnology </w:t>
      </w:r>
      <w:r w:rsidR="0094581D" w:rsidRPr="00CF632A">
        <w:t>a</w:t>
      </w:r>
      <w:r w:rsidR="003D39D7" w:rsidRPr="00CF632A">
        <w:t xml:space="preserve">ppraisal </w:t>
      </w:r>
      <w:r w:rsidR="0094581D" w:rsidRPr="00CF632A">
        <w:t>c</w:t>
      </w:r>
      <w:r w:rsidR="003D39D7" w:rsidRPr="00CF632A">
        <w:t xml:space="preserve">ommittee </w:t>
      </w:r>
      <w:r w:rsidRPr="00CF632A">
        <w:t>B</w:t>
      </w:r>
      <w:r w:rsidR="003D39D7" w:rsidRPr="00CF632A">
        <w:t xml:space="preserve"> </w:t>
      </w:r>
    </w:p>
    <w:p w14:paraId="3994A4F6" w14:textId="77777777" w:rsidR="00B16431" w:rsidRPr="00CF632A" w:rsidRDefault="00B16431" w:rsidP="00B16431">
      <w:pPr>
        <w:pStyle w:val="Heading2"/>
      </w:pPr>
      <w:r w:rsidRPr="00CF632A">
        <w:t>NICE project team</w:t>
      </w:r>
    </w:p>
    <w:p w14:paraId="16893CD3" w14:textId="394F61B8" w:rsidR="00B16431" w:rsidRPr="00CF632A" w:rsidRDefault="00B16431" w:rsidP="00B16431">
      <w:pPr>
        <w:pStyle w:val="NICEnormal"/>
      </w:pPr>
      <w:r w:rsidRPr="00CF632A">
        <w:t xml:space="preserve">Each </w:t>
      </w:r>
      <w:r w:rsidR="00FA2354" w:rsidRPr="00CF632A">
        <w:t>evaluation</w:t>
      </w:r>
      <w:r w:rsidRPr="00CF632A">
        <w:t xml:space="preserve"> is assigned to a team consisting of 1 or more health technology analysts (who act as technical leads for the </w:t>
      </w:r>
      <w:r w:rsidR="00FA2354" w:rsidRPr="00CF632A">
        <w:t>evaluation</w:t>
      </w:r>
      <w:r w:rsidRPr="00CF632A">
        <w:t>), a technical adviser</w:t>
      </w:r>
      <w:r w:rsidR="004605A0" w:rsidRPr="00CF632A">
        <w:t xml:space="preserve">, </w:t>
      </w:r>
      <w:r w:rsidRPr="00CF632A">
        <w:t>a project manager</w:t>
      </w:r>
      <w:r w:rsidR="00E52DF1" w:rsidRPr="00CF632A">
        <w:t xml:space="preserve"> and an associate director</w:t>
      </w:r>
      <w:r w:rsidRPr="00CF632A">
        <w:t xml:space="preserve">. </w:t>
      </w:r>
    </w:p>
    <w:p w14:paraId="29EF1AC2" w14:textId="3F9CD551" w:rsidR="00B16431" w:rsidRPr="00CF632A" w:rsidRDefault="008C74EA" w:rsidP="00B16431">
      <w:pPr>
        <w:pStyle w:val="NICEnormal"/>
      </w:pPr>
      <w:bookmarkStart w:id="29" w:name="Text45"/>
      <w:r w:rsidRPr="00CF632A">
        <w:rPr>
          <w:b/>
        </w:rPr>
        <w:t>Janet Boadu</w:t>
      </w:r>
      <w:r w:rsidR="00B16431" w:rsidRPr="00CF632A">
        <w:br/>
        <w:t xml:space="preserve">Technical </w:t>
      </w:r>
      <w:r w:rsidR="00E65C76" w:rsidRPr="00CF632A">
        <w:t>l</w:t>
      </w:r>
      <w:r w:rsidR="00B16431" w:rsidRPr="00CF632A">
        <w:t>ead</w:t>
      </w:r>
    </w:p>
    <w:p w14:paraId="54E24F7B" w14:textId="31740754" w:rsidR="00B16431" w:rsidRPr="00CF632A" w:rsidRDefault="008C74EA" w:rsidP="00B16431">
      <w:pPr>
        <w:pStyle w:val="NICEnormal"/>
      </w:pPr>
      <w:r w:rsidRPr="00CF632A">
        <w:rPr>
          <w:b/>
        </w:rPr>
        <w:lastRenderedPageBreak/>
        <w:t>Mary Hughes</w:t>
      </w:r>
      <w:r w:rsidR="00B16431" w:rsidRPr="00CF632A">
        <w:br/>
        <w:t xml:space="preserve">Technical </w:t>
      </w:r>
      <w:r w:rsidR="00E65C76" w:rsidRPr="00CF632A">
        <w:t>a</w:t>
      </w:r>
      <w:r w:rsidR="00B16431" w:rsidRPr="00CF632A">
        <w:t>dviser</w:t>
      </w:r>
    </w:p>
    <w:p w14:paraId="090FF4B5" w14:textId="19F83589" w:rsidR="00B16431" w:rsidRPr="00CF632A" w:rsidRDefault="008C74EA" w:rsidP="005D3FD9">
      <w:pPr>
        <w:pStyle w:val="NICEnormal"/>
      </w:pPr>
      <w:r w:rsidRPr="00CF632A">
        <w:rPr>
          <w:b/>
        </w:rPr>
        <w:t>Jeremy Powell</w:t>
      </w:r>
      <w:r w:rsidR="00B16431" w:rsidRPr="00CF632A">
        <w:br/>
        <w:t xml:space="preserve">Project </w:t>
      </w:r>
      <w:r w:rsidR="00E65C76" w:rsidRPr="00CF632A">
        <w:t>m</w:t>
      </w:r>
      <w:r w:rsidR="00B16431" w:rsidRPr="00CF632A">
        <w:t>anager</w:t>
      </w:r>
      <w:bookmarkEnd w:id="29"/>
    </w:p>
    <w:p w14:paraId="442B811F" w14:textId="211038D9" w:rsidR="00E52DF1" w:rsidRPr="00CF632A" w:rsidRDefault="00450CF3" w:rsidP="005D3FD9">
      <w:pPr>
        <w:pStyle w:val="NICEnormal"/>
      </w:pPr>
      <w:r w:rsidRPr="00CF632A">
        <w:rPr>
          <w:b/>
        </w:rPr>
        <w:t>Emily Crowe</w:t>
      </w:r>
      <w:r w:rsidR="00E52DF1" w:rsidRPr="00CF632A">
        <w:rPr>
          <w:b/>
        </w:rPr>
        <w:br/>
      </w:r>
      <w:r w:rsidR="00E52DF1" w:rsidRPr="00CF632A">
        <w:t>Associate director</w:t>
      </w:r>
    </w:p>
    <w:p w14:paraId="54055309" w14:textId="77777777" w:rsidR="006E7647" w:rsidRPr="00CF632A" w:rsidRDefault="006E7647" w:rsidP="00F05E37">
      <w:pPr>
        <w:pStyle w:val="NICEnormal"/>
      </w:pPr>
      <w:r w:rsidRPr="00CF632A">
        <w:t xml:space="preserve">ISBN: </w:t>
      </w:r>
      <w:r w:rsidRPr="00CF632A">
        <w:rPr>
          <w:highlight w:val="green"/>
        </w:rPr>
        <w:t>[to be added at publication]</w:t>
      </w:r>
    </w:p>
    <w:sectPr w:rsidR="006E7647" w:rsidRPr="00CF632A" w:rsidSect="0079376E">
      <w:headerReference w:type="default" r:id="rId50"/>
      <w:footerReference w:type="default" r:id="rId5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817C" w14:textId="77777777" w:rsidR="00F50E70" w:rsidRDefault="00F50E70">
      <w:r>
        <w:separator/>
      </w:r>
    </w:p>
  </w:endnote>
  <w:endnote w:type="continuationSeparator" w:id="0">
    <w:p w14:paraId="4DC04A04" w14:textId="77777777" w:rsidR="00F50E70" w:rsidRDefault="00F50E70">
      <w:r>
        <w:continuationSeparator/>
      </w:r>
    </w:p>
  </w:endnote>
  <w:endnote w:type="continuationNotice" w:id="1">
    <w:p w14:paraId="25390E56" w14:textId="77777777" w:rsidR="00F50E70" w:rsidRDefault="00F50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B8E9" w14:textId="1CF7D89D" w:rsidR="00832381" w:rsidRPr="003D33FB" w:rsidRDefault="000E5D65" w:rsidP="007A7EC8">
    <w:pPr>
      <w:pStyle w:val="NICEnormalsinglespacing"/>
      <w:spacing w:after="120"/>
      <w:rPr>
        <w:sz w:val="18"/>
        <w:szCs w:val="18"/>
      </w:rPr>
    </w:pPr>
    <w:r>
      <w:rPr>
        <w:sz w:val="18"/>
        <w:szCs w:val="18"/>
      </w:rPr>
      <w:t>Final draft guidance</w:t>
    </w:r>
    <w:r w:rsidR="00832381" w:rsidRPr="003D33FB">
      <w:rPr>
        <w:sz w:val="18"/>
        <w:szCs w:val="18"/>
      </w:rPr>
      <w:t xml:space="preserve"> – </w:t>
    </w:r>
    <w:r w:rsidR="00A47F65" w:rsidRPr="00A47F65">
      <w:rPr>
        <w:sz w:val="18"/>
        <w:szCs w:val="18"/>
      </w:rPr>
      <w:t>Bevacizumab (</w:t>
    </w:r>
    <w:r w:rsidR="003E66D3">
      <w:rPr>
        <w:sz w:val="18"/>
        <w:szCs w:val="18"/>
      </w:rPr>
      <w:t>originator</w:t>
    </w:r>
    <w:r w:rsidR="00A47F65" w:rsidRPr="00A47F65">
      <w:rPr>
        <w:sz w:val="18"/>
        <w:szCs w:val="18"/>
      </w:rPr>
      <w:t xml:space="preserve"> and biosimilars) with fluoropyrimidine-based chemotherapy for metastatic colorectal cancer</w:t>
    </w:r>
    <w:r w:rsidR="00A47F65">
      <w:rPr>
        <w:sz w:val="18"/>
        <w:szCs w:val="18"/>
      </w:rPr>
      <w:t xml:space="preserve"> </w:t>
    </w:r>
    <w:r w:rsidR="00832381">
      <w:rPr>
        <w:sz w:val="18"/>
        <w:szCs w:val="18"/>
      </w:rPr>
      <w:tab/>
    </w:r>
    <w:r w:rsidR="00832381" w:rsidRPr="0039118D">
      <w:rPr>
        <w:rStyle w:val="PageNumber"/>
        <w:sz w:val="20"/>
        <w:szCs w:val="20"/>
      </w:rPr>
      <w:t xml:space="preserve">Page </w:t>
    </w:r>
    <w:r w:rsidR="00832381" w:rsidRPr="0039118D">
      <w:rPr>
        <w:rStyle w:val="PageNumber"/>
        <w:sz w:val="20"/>
        <w:szCs w:val="20"/>
      </w:rPr>
      <w:fldChar w:fldCharType="begin"/>
    </w:r>
    <w:r w:rsidR="00832381" w:rsidRPr="0039118D">
      <w:rPr>
        <w:rStyle w:val="PageNumber"/>
        <w:sz w:val="20"/>
        <w:szCs w:val="20"/>
      </w:rPr>
      <w:instrText xml:space="preserve"> PAGE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r w:rsidR="00832381" w:rsidRPr="0039118D">
      <w:rPr>
        <w:rStyle w:val="PageNumber"/>
        <w:sz w:val="20"/>
        <w:szCs w:val="20"/>
      </w:rPr>
      <w:t xml:space="preserve"> of </w:t>
    </w:r>
    <w:r w:rsidR="00832381" w:rsidRPr="0039118D">
      <w:rPr>
        <w:rStyle w:val="PageNumber"/>
        <w:sz w:val="20"/>
        <w:szCs w:val="20"/>
      </w:rPr>
      <w:fldChar w:fldCharType="begin"/>
    </w:r>
    <w:r w:rsidR="00832381" w:rsidRPr="0039118D">
      <w:rPr>
        <w:rStyle w:val="PageNumber"/>
        <w:sz w:val="20"/>
        <w:szCs w:val="20"/>
      </w:rPr>
      <w:instrText xml:space="preserve"> NUMPAGES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p>
  <w:p w14:paraId="5517C0F9" w14:textId="0E53ED02" w:rsidR="00832381" w:rsidRDefault="00832381" w:rsidP="007A7EC8">
    <w:pPr>
      <w:pStyle w:val="NICEnormalsinglespacing"/>
      <w:spacing w:after="120"/>
      <w:rPr>
        <w:sz w:val="18"/>
        <w:szCs w:val="18"/>
      </w:rPr>
    </w:pPr>
    <w:r w:rsidRPr="003D33FB">
      <w:rPr>
        <w:sz w:val="18"/>
        <w:szCs w:val="18"/>
      </w:rPr>
      <w:t xml:space="preserve">Issue date: </w:t>
    </w:r>
    <w:r w:rsidR="7BCD81F4" w:rsidRPr="7BCD81F4">
      <w:rPr>
        <w:sz w:val="18"/>
        <w:szCs w:val="18"/>
      </w:rPr>
      <w:t>January 2026</w:t>
    </w:r>
  </w:p>
  <w:p w14:paraId="0B52F3BE" w14:textId="117CC4C0" w:rsidR="00832381" w:rsidRPr="007A7EC8" w:rsidRDefault="00832381" w:rsidP="007A7EC8">
    <w:pPr>
      <w:pStyle w:val="NICEnormalsinglespacing"/>
      <w:spacing w:after="120"/>
    </w:pPr>
    <w:r>
      <w:rPr>
        <w:sz w:val="18"/>
        <w:szCs w:val="18"/>
      </w:rPr>
      <w:t xml:space="preserve">© NICE </w:t>
    </w:r>
    <w:r w:rsidR="410FB424" w:rsidRPr="410FB424">
      <w:rPr>
        <w:sz w:val="18"/>
        <w:szCs w:val="18"/>
      </w:rPr>
      <w:t>2026.</w:t>
    </w:r>
    <w:r>
      <w:rPr>
        <w:sz w:val="18"/>
        <w:szCs w:val="18"/>
      </w:rPr>
      <w:t xml:space="preserve"> All rights reserved. Subject to </w:t>
    </w:r>
    <w:hyperlink r:id="rId1">
      <w:r w:rsidR="410FB424" w:rsidRPr="410FB424">
        <w:rPr>
          <w:rStyle w:val="Hyperlink"/>
          <w:sz w:val="18"/>
          <w:szCs w:val="18"/>
        </w:rPr>
        <w:t>Notice of rights</w:t>
      </w:r>
    </w:hyperlink>
    <w:r w:rsidR="410FB424" w:rsidRPr="410FB42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4897" w14:textId="77777777" w:rsidR="00F50E70" w:rsidRDefault="00F50E70">
      <w:r>
        <w:separator/>
      </w:r>
    </w:p>
  </w:footnote>
  <w:footnote w:type="continuationSeparator" w:id="0">
    <w:p w14:paraId="6CE2205A" w14:textId="77777777" w:rsidR="00F50E70" w:rsidRDefault="00F50E70">
      <w:r>
        <w:continuationSeparator/>
      </w:r>
    </w:p>
  </w:footnote>
  <w:footnote w:type="continuationNotice" w:id="1">
    <w:p w14:paraId="2F5C0C95" w14:textId="77777777" w:rsidR="00F50E70" w:rsidRDefault="00F50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DEC5" w14:textId="77777777" w:rsidR="00832381" w:rsidRPr="004E6427" w:rsidRDefault="0083238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213"/>
    <w:multiLevelType w:val="hybridMultilevel"/>
    <w:tmpl w:val="749867EC"/>
    <w:lvl w:ilvl="0" w:tplc="4948C044">
      <w:numFmt w:val="bullet"/>
      <w:lvlText w:val="-"/>
      <w:lvlJc w:val="left"/>
      <w:pPr>
        <w:ind w:left="1494" w:hanging="360"/>
      </w:pPr>
      <w:rPr>
        <w:rFonts w:ascii="Arial" w:eastAsiaTheme="majorEastAsia"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922F22"/>
    <w:multiLevelType w:val="hybridMultilevel"/>
    <w:tmpl w:val="B40A8A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566387"/>
    <w:multiLevelType w:val="hybridMultilevel"/>
    <w:tmpl w:val="EECEF112"/>
    <w:lvl w:ilvl="0" w:tplc="125212C8">
      <w:start w:val="1"/>
      <w:numFmt w:val="bullet"/>
      <w:lvlText w:val="•"/>
      <w:lvlJc w:val="left"/>
      <w:pPr>
        <w:ind w:left="1854" w:hanging="360"/>
      </w:pPr>
      <w:rPr>
        <w:rFonts w:ascii="Arial" w:hAnsi="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9E5F73"/>
    <w:multiLevelType w:val="hybridMultilevel"/>
    <w:tmpl w:val="23828AC2"/>
    <w:lvl w:ilvl="0" w:tplc="B8506D30">
      <w:start w:val="1"/>
      <w:numFmt w:val="bullet"/>
      <w:lvlText w:val=""/>
      <w:lvlJc w:val="left"/>
      <w:pPr>
        <w:ind w:left="2560" w:hanging="360"/>
      </w:pPr>
      <w:rPr>
        <w:rFonts w:ascii="Symbol" w:hAnsi="Symbol"/>
      </w:rPr>
    </w:lvl>
    <w:lvl w:ilvl="1" w:tplc="3A6820D8">
      <w:start w:val="1"/>
      <w:numFmt w:val="bullet"/>
      <w:lvlText w:val=""/>
      <w:lvlJc w:val="left"/>
      <w:pPr>
        <w:ind w:left="2560" w:hanging="360"/>
      </w:pPr>
      <w:rPr>
        <w:rFonts w:ascii="Symbol" w:hAnsi="Symbol"/>
      </w:rPr>
    </w:lvl>
    <w:lvl w:ilvl="2" w:tplc="53F675FC">
      <w:start w:val="1"/>
      <w:numFmt w:val="bullet"/>
      <w:lvlText w:val=""/>
      <w:lvlJc w:val="left"/>
      <w:pPr>
        <w:ind w:left="2560" w:hanging="360"/>
      </w:pPr>
      <w:rPr>
        <w:rFonts w:ascii="Symbol" w:hAnsi="Symbol"/>
      </w:rPr>
    </w:lvl>
    <w:lvl w:ilvl="3" w:tplc="B240B8EA">
      <w:start w:val="1"/>
      <w:numFmt w:val="bullet"/>
      <w:lvlText w:val=""/>
      <w:lvlJc w:val="left"/>
      <w:pPr>
        <w:ind w:left="2560" w:hanging="360"/>
      </w:pPr>
      <w:rPr>
        <w:rFonts w:ascii="Symbol" w:hAnsi="Symbol"/>
      </w:rPr>
    </w:lvl>
    <w:lvl w:ilvl="4" w:tplc="90966AA4">
      <w:start w:val="1"/>
      <w:numFmt w:val="bullet"/>
      <w:lvlText w:val=""/>
      <w:lvlJc w:val="left"/>
      <w:pPr>
        <w:ind w:left="2560" w:hanging="360"/>
      </w:pPr>
      <w:rPr>
        <w:rFonts w:ascii="Symbol" w:hAnsi="Symbol"/>
      </w:rPr>
    </w:lvl>
    <w:lvl w:ilvl="5" w:tplc="A3884956">
      <w:start w:val="1"/>
      <w:numFmt w:val="bullet"/>
      <w:lvlText w:val=""/>
      <w:lvlJc w:val="left"/>
      <w:pPr>
        <w:ind w:left="2560" w:hanging="360"/>
      </w:pPr>
      <w:rPr>
        <w:rFonts w:ascii="Symbol" w:hAnsi="Symbol"/>
      </w:rPr>
    </w:lvl>
    <w:lvl w:ilvl="6" w:tplc="DA5CA79C">
      <w:start w:val="1"/>
      <w:numFmt w:val="bullet"/>
      <w:lvlText w:val=""/>
      <w:lvlJc w:val="left"/>
      <w:pPr>
        <w:ind w:left="2560" w:hanging="360"/>
      </w:pPr>
      <w:rPr>
        <w:rFonts w:ascii="Symbol" w:hAnsi="Symbol"/>
      </w:rPr>
    </w:lvl>
    <w:lvl w:ilvl="7" w:tplc="AA225AFC">
      <w:start w:val="1"/>
      <w:numFmt w:val="bullet"/>
      <w:lvlText w:val=""/>
      <w:lvlJc w:val="left"/>
      <w:pPr>
        <w:ind w:left="2560" w:hanging="360"/>
      </w:pPr>
      <w:rPr>
        <w:rFonts w:ascii="Symbol" w:hAnsi="Symbol"/>
      </w:rPr>
    </w:lvl>
    <w:lvl w:ilvl="8" w:tplc="FF528B3E">
      <w:start w:val="1"/>
      <w:numFmt w:val="bullet"/>
      <w:lvlText w:val=""/>
      <w:lvlJc w:val="left"/>
      <w:pPr>
        <w:ind w:left="2560" w:hanging="360"/>
      </w:pPr>
      <w:rPr>
        <w:rFonts w:ascii="Symbol" w:hAnsi="Symbol"/>
      </w:rPr>
    </w:lvl>
  </w:abstractNum>
  <w:abstractNum w:abstractNumId="6" w15:restartNumberingAfterBreak="0">
    <w:nsid w:val="148570A6"/>
    <w:multiLevelType w:val="hybridMultilevel"/>
    <w:tmpl w:val="AEB031A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4)"/>
      <w:lvlJc w:val="left"/>
      <w:pPr>
        <w:tabs>
          <w:tab w:val="num" w:pos="2444"/>
        </w:tabs>
        <w:ind w:left="2444" w:hanging="360"/>
      </w:pPr>
      <w:rPr>
        <w:rFonts w:hint="default"/>
      </w:rPr>
    </w:lvl>
    <w:lvl w:ilvl="4">
      <w:start w:val="1"/>
      <w:numFmt w:val="lowerLetter"/>
      <w:lvlText w:val="(%5)"/>
      <w:lvlJc w:val="left"/>
      <w:pPr>
        <w:tabs>
          <w:tab w:val="num" w:pos="2804"/>
        </w:tabs>
        <w:ind w:left="2804" w:hanging="360"/>
      </w:pPr>
      <w:rPr>
        <w:rFonts w:hint="default"/>
      </w:rPr>
    </w:lvl>
    <w:lvl w:ilvl="5">
      <w:start w:val="1"/>
      <w:numFmt w:val="lowerRoman"/>
      <w:lvlText w:val="(%6)"/>
      <w:lvlJc w:val="left"/>
      <w:pPr>
        <w:tabs>
          <w:tab w:val="num" w:pos="3164"/>
        </w:tabs>
        <w:ind w:left="3164" w:hanging="360"/>
      </w:pPr>
      <w:rPr>
        <w:rFonts w:hint="default"/>
      </w:rPr>
    </w:lvl>
    <w:lvl w:ilvl="6">
      <w:start w:val="1"/>
      <w:numFmt w:val="decimal"/>
      <w:lvlText w:val="%7."/>
      <w:lvlJc w:val="left"/>
      <w:pPr>
        <w:tabs>
          <w:tab w:val="num" w:pos="3524"/>
        </w:tabs>
        <w:ind w:left="3524" w:hanging="360"/>
      </w:pPr>
      <w:rPr>
        <w:rFonts w:hint="default"/>
      </w:rPr>
    </w:lvl>
    <w:lvl w:ilvl="7">
      <w:start w:val="1"/>
      <w:numFmt w:val="lowerLetter"/>
      <w:lvlText w:val="%8."/>
      <w:lvlJc w:val="left"/>
      <w:pPr>
        <w:tabs>
          <w:tab w:val="num" w:pos="3884"/>
        </w:tabs>
        <w:ind w:left="3884" w:hanging="360"/>
      </w:pPr>
      <w:rPr>
        <w:rFonts w:hint="default"/>
      </w:rPr>
    </w:lvl>
    <w:lvl w:ilvl="8">
      <w:start w:val="1"/>
      <w:numFmt w:val="lowerRoman"/>
      <w:lvlText w:val="%9."/>
      <w:lvlJc w:val="left"/>
      <w:pPr>
        <w:tabs>
          <w:tab w:val="num" w:pos="4244"/>
        </w:tabs>
        <w:ind w:left="4244" w:hanging="360"/>
      </w:pPr>
      <w:rPr>
        <w:rFonts w:hint="default"/>
      </w:rPr>
    </w:lvl>
  </w:abstractNum>
  <w:abstractNum w:abstractNumId="8" w15:restartNumberingAfterBreak="0">
    <w:nsid w:val="16CE18C4"/>
    <w:multiLevelType w:val="hybridMultilevel"/>
    <w:tmpl w:val="B13A72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8FD558D"/>
    <w:multiLevelType w:val="multilevel"/>
    <w:tmpl w:val="FA10CB58"/>
    <w:lvl w:ilvl="0">
      <w:start w:val="1"/>
      <w:numFmt w:val="bullet"/>
      <w:lvlText w:val=""/>
      <w:lvlJc w:val="left"/>
      <w:pPr>
        <w:tabs>
          <w:tab w:val="num" w:pos="1418"/>
        </w:tabs>
        <w:ind w:left="1418" w:hanging="284"/>
      </w:pPr>
      <w:rPr>
        <w:rFonts w:ascii="Symbol" w:hAnsi="Symbol" w:hint="default"/>
        <w:color w:val="auto"/>
      </w:rPr>
    </w:lvl>
    <w:lvl w:ilvl="1">
      <w:numFmt w:val="bullet"/>
      <w:lvlText w:val="-"/>
      <w:lvlJc w:val="left"/>
      <w:pPr>
        <w:ind w:left="1778" w:hanging="360"/>
      </w:pPr>
      <w:rPr>
        <w:rFonts w:ascii="Times New Roman" w:eastAsia="DengXian" w:hAnsi="Times New Roman" w:cs="Times New Roman"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1B8449A9"/>
    <w:multiLevelType w:val="hybridMultilevel"/>
    <w:tmpl w:val="3CD4F174"/>
    <w:lvl w:ilvl="0" w:tplc="B2285390">
      <w:start w:val="1"/>
      <w:numFmt w:val="bullet"/>
      <w:lvlText w:val=""/>
      <w:lvlJc w:val="left"/>
      <w:pPr>
        <w:ind w:left="2560" w:hanging="360"/>
      </w:pPr>
      <w:rPr>
        <w:rFonts w:ascii="Symbol" w:hAnsi="Symbol"/>
      </w:rPr>
    </w:lvl>
    <w:lvl w:ilvl="1" w:tplc="444209B6">
      <w:start w:val="1"/>
      <w:numFmt w:val="bullet"/>
      <w:lvlText w:val=""/>
      <w:lvlJc w:val="left"/>
      <w:pPr>
        <w:ind w:left="2560" w:hanging="360"/>
      </w:pPr>
      <w:rPr>
        <w:rFonts w:ascii="Symbol" w:hAnsi="Symbol"/>
      </w:rPr>
    </w:lvl>
    <w:lvl w:ilvl="2" w:tplc="E320CB68">
      <w:start w:val="1"/>
      <w:numFmt w:val="bullet"/>
      <w:lvlText w:val=""/>
      <w:lvlJc w:val="left"/>
      <w:pPr>
        <w:ind w:left="2560" w:hanging="360"/>
      </w:pPr>
      <w:rPr>
        <w:rFonts w:ascii="Symbol" w:hAnsi="Symbol"/>
      </w:rPr>
    </w:lvl>
    <w:lvl w:ilvl="3" w:tplc="EF3C8542">
      <w:start w:val="1"/>
      <w:numFmt w:val="bullet"/>
      <w:lvlText w:val=""/>
      <w:lvlJc w:val="left"/>
      <w:pPr>
        <w:ind w:left="2560" w:hanging="360"/>
      </w:pPr>
      <w:rPr>
        <w:rFonts w:ascii="Symbol" w:hAnsi="Symbol"/>
      </w:rPr>
    </w:lvl>
    <w:lvl w:ilvl="4" w:tplc="D37023CC">
      <w:start w:val="1"/>
      <w:numFmt w:val="bullet"/>
      <w:lvlText w:val=""/>
      <w:lvlJc w:val="left"/>
      <w:pPr>
        <w:ind w:left="2560" w:hanging="360"/>
      </w:pPr>
      <w:rPr>
        <w:rFonts w:ascii="Symbol" w:hAnsi="Symbol"/>
      </w:rPr>
    </w:lvl>
    <w:lvl w:ilvl="5" w:tplc="A0685840">
      <w:start w:val="1"/>
      <w:numFmt w:val="bullet"/>
      <w:lvlText w:val=""/>
      <w:lvlJc w:val="left"/>
      <w:pPr>
        <w:ind w:left="2560" w:hanging="360"/>
      </w:pPr>
      <w:rPr>
        <w:rFonts w:ascii="Symbol" w:hAnsi="Symbol"/>
      </w:rPr>
    </w:lvl>
    <w:lvl w:ilvl="6" w:tplc="F8D216DC">
      <w:start w:val="1"/>
      <w:numFmt w:val="bullet"/>
      <w:lvlText w:val=""/>
      <w:lvlJc w:val="left"/>
      <w:pPr>
        <w:ind w:left="2560" w:hanging="360"/>
      </w:pPr>
      <w:rPr>
        <w:rFonts w:ascii="Symbol" w:hAnsi="Symbol"/>
      </w:rPr>
    </w:lvl>
    <w:lvl w:ilvl="7" w:tplc="748EE346">
      <w:start w:val="1"/>
      <w:numFmt w:val="bullet"/>
      <w:lvlText w:val=""/>
      <w:lvlJc w:val="left"/>
      <w:pPr>
        <w:ind w:left="2560" w:hanging="360"/>
      </w:pPr>
      <w:rPr>
        <w:rFonts w:ascii="Symbol" w:hAnsi="Symbol"/>
      </w:rPr>
    </w:lvl>
    <w:lvl w:ilvl="8" w:tplc="9D5C75C4">
      <w:start w:val="1"/>
      <w:numFmt w:val="bullet"/>
      <w:lvlText w:val=""/>
      <w:lvlJc w:val="left"/>
      <w:pPr>
        <w:ind w:left="2560" w:hanging="360"/>
      </w:pPr>
      <w:rPr>
        <w:rFonts w:ascii="Symbol" w:hAnsi="Symbol"/>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040BD3"/>
    <w:multiLevelType w:val="hybridMultilevel"/>
    <w:tmpl w:val="91AE2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27796E"/>
    <w:multiLevelType w:val="hybridMultilevel"/>
    <w:tmpl w:val="48FE97AA"/>
    <w:lvl w:ilvl="0" w:tplc="F6A23966">
      <w:numFmt w:val="bullet"/>
      <w:lvlText w:val="-"/>
      <w:lvlJc w:val="left"/>
      <w:pPr>
        <w:ind w:left="1854" w:hanging="360"/>
      </w:pPr>
      <w:rPr>
        <w:rFonts w:ascii="Times New Roman" w:eastAsia="DengXian"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27E81C5E"/>
    <w:multiLevelType w:val="hybridMultilevel"/>
    <w:tmpl w:val="D0A002DA"/>
    <w:lvl w:ilvl="0" w:tplc="125212C8">
      <w:start w:val="1"/>
      <w:numFmt w:val="bullet"/>
      <w:lvlText w:val="•"/>
      <w:lvlJc w:val="left"/>
      <w:pPr>
        <w:ind w:left="1494" w:hanging="360"/>
      </w:pPr>
      <w:rPr>
        <w:rFonts w:ascii="Arial" w:hAnsi="Aria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29CC3584"/>
    <w:multiLevelType w:val="multilevel"/>
    <w:tmpl w:val="FC7008D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80E29E9"/>
    <w:multiLevelType w:val="hybridMultilevel"/>
    <w:tmpl w:val="350207A0"/>
    <w:lvl w:ilvl="0" w:tplc="08090001">
      <w:start w:val="1"/>
      <w:numFmt w:val="bullet"/>
      <w:lvlText w:val=""/>
      <w:lvlJc w:val="left"/>
      <w:pPr>
        <w:ind w:left="1924" w:hanging="360"/>
      </w:pPr>
      <w:rPr>
        <w:rFonts w:ascii="Symbol" w:hAnsi="Symbol" w:hint="default"/>
      </w:rPr>
    </w:lvl>
    <w:lvl w:ilvl="1" w:tplc="08090003" w:tentative="1">
      <w:start w:val="1"/>
      <w:numFmt w:val="bullet"/>
      <w:lvlText w:val="o"/>
      <w:lvlJc w:val="left"/>
      <w:pPr>
        <w:ind w:left="2644" w:hanging="360"/>
      </w:pPr>
      <w:rPr>
        <w:rFonts w:ascii="Courier New" w:hAnsi="Courier New" w:cs="Courier New" w:hint="default"/>
      </w:rPr>
    </w:lvl>
    <w:lvl w:ilvl="2" w:tplc="08090005" w:tentative="1">
      <w:start w:val="1"/>
      <w:numFmt w:val="bullet"/>
      <w:lvlText w:val=""/>
      <w:lvlJc w:val="left"/>
      <w:pPr>
        <w:ind w:left="3364" w:hanging="360"/>
      </w:pPr>
      <w:rPr>
        <w:rFonts w:ascii="Wingdings" w:hAnsi="Wingdings" w:hint="default"/>
      </w:rPr>
    </w:lvl>
    <w:lvl w:ilvl="3" w:tplc="08090001" w:tentative="1">
      <w:start w:val="1"/>
      <w:numFmt w:val="bullet"/>
      <w:lvlText w:val=""/>
      <w:lvlJc w:val="left"/>
      <w:pPr>
        <w:ind w:left="4084" w:hanging="360"/>
      </w:pPr>
      <w:rPr>
        <w:rFonts w:ascii="Symbol" w:hAnsi="Symbol" w:hint="default"/>
      </w:rPr>
    </w:lvl>
    <w:lvl w:ilvl="4" w:tplc="08090003" w:tentative="1">
      <w:start w:val="1"/>
      <w:numFmt w:val="bullet"/>
      <w:lvlText w:val="o"/>
      <w:lvlJc w:val="left"/>
      <w:pPr>
        <w:ind w:left="4804" w:hanging="360"/>
      </w:pPr>
      <w:rPr>
        <w:rFonts w:ascii="Courier New" w:hAnsi="Courier New" w:cs="Courier New" w:hint="default"/>
      </w:rPr>
    </w:lvl>
    <w:lvl w:ilvl="5" w:tplc="08090005" w:tentative="1">
      <w:start w:val="1"/>
      <w:numFmt w:val="bullet"/>
      <w:lvlText w:val=""/>
      <w:lvlJc w:val="left"/>
      <w:pPr>
        <w:ind w:left="5524" w:hanging="360"/>
      </w:pPr>
      <w:rPr>
        <w:rFonts w:ascii="Wingdings" w:hAnsi="Wingdings" w:hint="default"/>
      </w:rPr>
    </w:lvl>
    <w:lvl w:ilvl="6" w:tplc="08090001" w:tentative="1">
      <w:start w:val="1"/>
      <w:numFmt w:val="bullet"/>
      <w:lvlText w:val=""/>
      <w:lvlJc w:val="left"/>
      <w:pPr>
        <w:ind w:left="6244" w:hanging="360"/>
      </w:pPr>
      <w:rPr>
        <w:rFonts w:ascii="Symbol" w:hAnsi="Symbol" w:hint="default"/>
      </w:rPr>
    </w:lvl>
    <w:lvl w:ilvl="7" w:tplc="08090003" w:tentative="1">
      <w:start w:val="1"/>
      <w:numFmt w:val="bullet"/>
      <w:lvlText w:val="o"/>
      <w:lvlJc w:val="left"/>
      <w:pPr>
        <w:ind w:left="6964" w:hanging="360"/>
      </w:pPr>
      <w:rPr>
        <w:rFonts w:ascii="Courier New" w:hAnsi="Courier New" w:cs="Courier New" w:hint="default"/>
      </w:rPr>
    </w:lvl>
    <w:lvl w:ilvl="8" w:tplc="08090005" w:tentative="1">
      <w:start w:val="1"/>
      <w:numFmt w:val="bullet"/>
      <w:lvlText w:val=""/>
      <w:lvlJc w:val="left"/>
      <w:pPr>
        <w:ind w:left="7684" w:hanging="360"/>
      </w:pPr>
      <w:rPr>
        <w:rFonts w:ascii="Wingdings" w:hAnsi="Wingdings" w:hint="default"/>
      </w:rPr>
    </w:lvl>
  </w:abstractNum>
  <w:abstractNum w:abstractNumId="18" w15:restartNumberingAfterBreak="0">
    <w:nsid w:val="3B45085A"/>
    <w:multiLevelType w:val="hybridMultilevel"/>
    <w:tmpl w:val="ED8A609E"/>
    <w:lvl w:ilvl="0" w:tplc="F6A23966">
      <w:numFmt w:val="bullet"/>
      <w:lvlText w:val="-"/>
      <w:lvlJc w:val="left"/>
      <w:pPr>
        <w:ind w:left="1854" w:hanging="360"/>
      </w:pPr>
      <w:rPr>
        <w:rFonts w:ascii="Times New Roman" w:eastAsia="DengXian"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BFB4D6F"/>
    <w:multiLevelType w:val="hybridMultilevel"/>
    <w:tmpl w:val="B2F615B4"/>
    <w:lvl w:ilvl="0" w:tplc="125212C8">
      <w:start w:val="1"/>
      <w:numFmt w:val="bullet"/>
      <w:lvlText w:val="•"/>
      <w:lvlJc w:val="left"/>
      <w:pPr>
        <w:tabs>
          <w:tab w:val="num" w:pos="720"/>
        </w:tabs>
        <w:ind w:left="720" w:hanging="360"/>
      </w:pPr>
      <w:rPr>
        <w:rFonts w:ascii="Arial" w:hAnsi="Arial" w:hint="default"/>
      </w:rPr>
    </w:lvl>
    <w:lvl w:ilvl="1" w:tplc="ECA2A372">
      <w:numFmt w:val="bullet"/>
      <w:lvlText w:val="•"/>
      <w:lvlJc w:val="left"/>
      <w:pPr>
        <w:tabs>
          <w:tab w:val="num" w:pos="1440"/>
        </w:tabs>
        <w:ind w:left="1440" w:hanging="360"/>
      </w:pPr>
      <w:rPr>
        <w:rFonts w:ascii="Arial" w:hAnsi="Arial" w:hint="default"/>
      </w:rPr>
    </w:lvl>
    <w:lvl w:ilvl="2" w:tplc="C45C7D82" w:tentative="1">
      <w:start w:val="1"/>
      <w:numFmt w:val="bullet"/>
      <w:lvlText w:val="•"/>
      <w:lvlJc w:val="left"/>
      <w:pPr>
        <w:tabs>
          <w:tab w:val="num" w:pos="2160"/>
        </w:tabs>
        <w:ind w:left="2160" w:hanging="360"/>
      </w:pPr>
      <w:rPr>
        <w:rFonts w:ascii="Arial" w:hAnsi="Arial" w:hint="default"/>
      </w:rPr>
    </w:lvl>
    <w:lvl w:ilvl="3" w:tplc="7AFC8FC2" w:tentative="1">
      <w:start w:val="1"/>
      <w:numFmt w:val="bullet"/>
      <w:lvlText w:val="•"/>
      <w:lvlJc w:val="left"/>
      <w:pPr>
        <w:tabs>
          <w:tab w:val="num" w:pos="2880"/>
        </w:tabs>
        <w:ind w:left="2880" w:hanging="360"/>
      </w:pPr>
      <w:rPr>
        <w:rFonts w:ascii="Arial" w:hAnsi="Arial" w:hint="default"/>
      </w:rPr>
    </w:lvl>
    <w:lvl w:ilvl="4" w:tplc="7A385420" w:tentative="1">
      <w:start w:val="1"/>
      <w:numFmt w:val="bullet"/>
      <w:lvlText w:val="•"/>
      <w:lvlJc w:val="left"/>
      <w:pPr>
        <w:tabs>
          <w:tab w:val="num" w:pos="3600"/>
        </w:tabs>
        <w:ind w:left="3600" w:hanging="360"/>
      </w:pPr>
      <w:rPr>
        <w:rFonts w:ascii="Arial" w:hAnsi="Arial" w:hint="default"/>
      </w:rPr>
    </w:lvl>
    <w:lvl w:ilvl="5" w:tplc="BF440414" w:tentative="1">
      <w:start w:val="1"/>
      <w:numFmt w:val="bullet"/>
      <w:lvlText w:val="•"/>
      <w:lvlJc w:val="left"/>
      <w:pPr>
        <w:tabs>
          <w:tab w:val="num" w:pos="4320"/>
        </w:tabs>
        <w:ind w:left="4320" w:hanging="360"/>
      </w:pPr>
      <w:rPr>
        <w:rFonts w:ascii="Arial" w:hAnsi="Arial" w:hint="default"/>
      </w:rPr>
    </w:lvl>
    <w:lvl w:ilvl="6" w:tplc="D71E30A0" w:tentative="1">
      <w:start w:val="1"/>
      <w:numFmt w:val="bullet"/>
      <w:lvlText w:val="•"/>
      <w:lvlJc w:val="left"/>
      <w:pPr>
        <w:tabs>
          <w:tab w:val="num" w:pos="5040"/>
        </w:tabs>
        <w:ind w:left="5040" w:hanging="360"/>
      </w:pPr>
      <w:rPr>
        <w:rFonts w:ascii="Arial" w:hAnsi="Arial" w:hint="default"/>
      </w:rPr>
    </w:lvl>
    <w:lvl w:ilvl="7" w:tplc="EDC085EC" w:tentative="1">
      <w:start w:val="1"/>
      <w:numFmt w:val="bullet"/>
      <w:lvlText w:val="•"/>
      <w:lvlJc w:val="left"/>
      <w:pPr>
        <w:tabs>
          <w:tab w:val="num" w:pos="5760"/>
        </w:tabs>
        <w:ind w:left="5760" w:hanging="360"/>
      </w:pPr>
      <w:rPr>
        <w:rFonts w:ascii="Arial" w:hAnsi="Arial" w:hint="default"/>
      </w:rPr>
    </w:lvl>
    <w:lvl w:ilvl="8" w:tplc="46163A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8B91BDA"/>
    <w:multiLevelType w:val="hybridMultilevel"/>
    <w:tmpl w:val="D46A800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4A73689B"/>
    <w:multiLevelType w:val="hybridMultilevel"/>
    <w:tmpl w:val="7CE8778C"/>
    <w:lvl w:ilvl="0" w:tplc="BD423586">
      <w:start w:val="1"/>
      <w:numFmt w:val="bullet"/>
      <w:lvlText w:val=""/>
      <w:lvlJc w:val="left"/>
      <w:pPr>
        <w:ind w:left="2560" w:hanging="360"/>
      </w:pPr>
      <w:rPr>
        <w:rFonts w:ascii="Symbol" w:hAnsi="Symbol"/>
      </w:rPr>
    </w:lvl>
    <w:lvl w:ilvl="1" w:tplc="C1F2D38A">
      <w:start w:val="1"/>
      <w:numFmt w:val="bullet"/>
      <w:lvlText w:val=""/>
      <w:lvlJc w:val="left"/>
      <w:pPr>
        <w:ind w:left="2560" w:hanging="360"/>
      </w:pPr>
      <w:rPr>
        <w:rFonts w:ascii="Symbol" w:hAnsi="Symbol"/>
      </w:rPr>
    </w:lvl>
    <w:lvl w:ilvl="2" w:tplc="DBD65E28">
      <w:start w:val="1"/>
      <w:numFmt w:val="bullet"/>
      <w:lvlText w:val=""/>
      <w:lvlJc w:val="left"/>
      <w:pPr>
        <w:ind w:left="2560" w:hanging="360"/>
      </w:pPr>
      <w:rPr>
        <w:rFonts w:ascii="Symbol" w:hAnsi="Symbol"/>
      </w:rPr>
    </w:lvl>
    <w:lvl w:ilvl="3" w:tplc="C23617D2">
      <w:start w:val="1"/>
      <w:numFmt w:val="bullet"/>
      <w:lvlText w:val=""/>
      <w:lvlJc w:val="left"/>
      <w:pPr>
        <w:ind w:left="2560" w:hanging="360"/>
      </w:pPr>
      <w:rPr>
        <w:rFonts w:ascii="Symbol" w:hAnsi="Symbol"/>
      </w:rPr>
    </w:lvl>
    <w:lvl w:ilvl="4" w:tplc="5B16F284">
      <w:start w:val="1"/>
      <w:numFmt w:val="bullet"/>
      <w:lvlText w:val=""/>
      <w:lvlJc w:val="left"/>
      <w:pPr>
        <w:ind w:left="2560" w:hanging="360"/>
      </w:pPr>
      <w:rPr>
        <w:rFonts w:ascii="Symbol" w:hAnsi="Symbol"/>
      </w:rPr>
    </w:lvl>
    <w:lvl w:ilvl="5" w:tplc="7CBE066A">
      <w:start w:val="1"/>
      <w:numFmt w:val="bullet"/>
      <w:lvlText w:val=""/>
      <w:lvlJc w:val="left"/>
      <w:pPr>
        <w:ind w:left="2560" w:hanging="360"/>
      </w:pPr>
      <w:rPr>
        <w:rFonts w:ascii="Symbol" w:hAnsi="Symbol"/>
      </w:rPr>
    </w:lvl>
    <w:lvl w:ilvl="6" w:tplc="822EBCD2">
      <w:start w:val="1"/>
      <w:numFmt w:val="bullet"/>
      <w:lvlText w:val=""/>
      <w:lvlJc w:val="left"/>
      <w:pPr>
        <w:ind w:left="2560" w:hanging="360"/>
      </w:pPr>
      <w:rPr>
        <w:rFonts w:ascii="Symbol" w:hAnsi="Symbol"/>
      </w:rPr>
    </w:lvl>
    <w:lvl w:ilvl="7" w:tplc="7B90BC40">
      <w:start w:val="1"/>
      <w:numFmt w:val="bullet"/>
      <w:lvlText w:val=""/>
      <w:lvlJc w:val="left"/>
      <w:pPr>
        <w:ind w:left="2560" w:hanging="360"/>
      </w:pPr>
      <w:rPr>
        <w:rFonts w:ascii="Symbol" w:hAnsi="Symbol"/>
      </w:rPr>
    </w:lvl>
    <w:lvl w:ilvl="8" w:tplc="66461742">
      <w:start w:val="1"/>
      <w:numFmt w:val="bullet"/>
      <w:lvlText w:val=""/>
      <w:lvlJc w:val="left"/>
      <w:pPr>
        <w:ind w:left="2560" w:hanging="360"/>
      </w:pPr>
      <w:rPr>
        <w:rFonts w:ascii="Symbol" w:hAnsi="Symbol"/>
      </w:rPr>
    </w:lvl>
  </w:abstractNum>
  <w:abstractNum w:abstractNumId="24" w15:restartNumberingAfterBreak="0">
    <w:nsid w:val="4D893853"/>
    <w:multiLevelType w:val="hybridMultilevel"/>
    <w:tmpl w:val="2B8619C0"/>
    <w:lvl w:ilvl="0" w:tplc="5BC05318">
      <w:start w:val="1"/>
      <w:numFmt w:val="bullet"/>
      <w:lvlText w:val=""/>
      <w:lvlJc w:val="left"/>
      <w:pPr>
        <w:ind w:left="2560" w:hanging="360"/>
      </w:pPr>
      <w:rPr>
        <w:rFonts w:ascii="Symbol" w:hAnsi="Symbol"/>
      </w:rPr>
    </w:lvl>
    <w:lvl w:ilvl="1" w:tplc="256E5404">
      <w:start w:val="1"/>
      <w:numFmt w:val="bullet"/>
      <w:lvlText w:val=""/>
      <w:lvlJc w:val="left"/>
      <w:pPr>
        <w:ind w:left="2560" w:hanging="360"/>
      </w:pPr>
      <w:rPr>
        <w:rFonts w:ascii="Symbol" w:hAnsi="Symbol"/>
      </w:rPr>
    </w:lvl>
    <w:lvl w:ilvl="2" w:tplc="90A0E236">
      <w:start w:val="1"/>
      <w:numFmt w:val="bullet"/>
      <w:lvlText w:val=""/>
      <w:lvlJc w:val="left"/>
      <w:pPr>
        <w:ind w:left="2560" w:hanging="360"/>
      </w:pPr>
      <w:rPr>
        <w:rFonts w:ascii="Symbol" w:hAnsi="Symbol"/>
      </w:rPr>
    </w:lvl>
    <w:lvl w:ilvl="3" w:tplc="DEDE8A2C">
      <w:start w:val="1"/>
      <w:numFmt w:val="bullet"/>
      <w:lvlText w:val=""/>
      <w:lvlJc w:val="left"/>
      <w:pPr>
        <w:ind w:left="2560" w:hanging="360"/>
      </w:pPr>
      <w:rPr>
        <w:rFonts w:ascii="Symbol" w:hAnsi="Symbol"/>
      </w:rPr>
    </w:lvl>
    <w:lvl w:ilvl="4" w:tplc="437A07C8">
      <w:start w:val="1"/>
      <w:numFmt w:val="bullet"/>
      <w:lvlText w:val=""/>
      <w:lvlJc w:val="left"/>
      <w:pPr>
        <w:ind w:left="2560" w:hanging="360"/>
      </w:pPr>
      <w:rPr>
        <w:rFonts w:ascii="Symbol" w:hAnsi="Symbol"/>
      </w:rPr>
    </w:lvl>
    <w:lvl w:ilvl="5" w:tplc="C98ED858">
      <w:start w:val="1"/>
      <w:numFmt w:val="bullet"/>
      <w:lvlText w:val=""/>
      <w:lvlJc w:val="left"/>
      <w:pPr>
        <w:ind w:left="2560" w:hanging="360"/>
      </w:pPr>
      <w:rPr>
        <w:rFonts w:ascii="Symbol" w:hAnsi="Symbol"/>
      </w:rPr>
    </w:lvl>
    <w:lvl w:ilvl="6" w:tplc="4F1AFF10">
      <w:start w:val="1"/>
      <w:numFmt w:val="bullet"/>
      <w:lvlText w:val=""/>
      <w:lvlJc w:val="left"/>
      <w:pPr>
        <w:ind w:left="2560" w:hanging="360"/>
      </w:pPr>
      <w:rPr>
        <w:rFonts w:ascii="Symbol" w:hAnsi="Symbol"/>
      </w:rPr>
    </w:lvl>
    <w:lvl w:ilvl="7" w:tplc="A44A2624">
      <w:start w:val="1"/>
      <w:numFmt w:val="bullet"/>
      <w:lvlText w:val=""/>
      <w:lvlJc w:val="left"/>
      <w:pPr>
        <w:ind w:left="2560" w:hanging="360"/>
      </w:pPr>
      <w:rPr>
        <w:rFonts w:ascii="Symbol" w:hAnsi="Symbol"/>
      </w:rPr>
    </w:lvl>
    <w:lvl w:ilvl="8" w:tplc="76065F08">
      <w:start w:val="1"/>
      <w:numFmt w:val="bullet"/>
      <w:lvlText w:val=""/>
      <w:lvlJc w:val="left"/>
      <w:pPr>
        <w:ind w:left="2560" w:hanging="360"/>
      </w:pPr>
      <w:rPr>
        <w:rFonts w:ascii="Symbol" w:hAnsi="Symbol"/>
      </w:rPr>
    </w:lvl>
  </w:abstractNum>
  <w:abstractNum w:abstractNumId="25" w15:restartNumberingAfterBreak="0">
    <w:nsid w:val="512E1A4B"/>
    <w:multiLevelType w:val="hybridMultilevel"/>
    <w:tmpl w:val="A76E95A6"/>
    <w:lvl w:ilvl="0" w:tplc="125212C8">
      <w:start w:val="1"/>
      <w:numFmt w:val="bullet"/>
      <w:lvlText w:val="•"/>
      <w:lvlJc w:val="left"/>
      <w:pPr>
        <w:tabs>
          <w:tab w:val="num" w:pos="1854"/>
        </w:tabs>
        <w:ind w:left="1854" w:hanging="360"/>
      </w:pPr>
      <w:rPr>
        <w:rFonts w:ascii="Arial" w:hAnsi="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3286538"/>
    <w:multiLevelType w:val="hybridMultilevel"/>
    <w:tmpl w:val="DD0E07FC"/>
    <w:lvl w:ilvl="0" w:tplc="C15A5666">
      <w:start w:val="1"/>
      <w:numFmt w:val="bullet"/>
      <w:lvlText w:val=""/>
      <w:lvlJc w:val="left"/>
      <w:pPr>
        <w:ind w:left="2160" w:hanging="360"/>
      </w:pPr>
      <w:rPr>
        <w:rFonts w:ascii="Symbol" w:hAnsi="Symbol"/>
      </w:rPr>
    </w:lvl>
    <w:lvl w:ilvl="1" w:tplc="EB48AE08">
      <w:start w:val="1"/>
      <w:numFmt w:val="bullet"/>
      <w:lvlText w:val=""/>
      <w:lvlJc w:val="left"/>
      <w:pPr>
        <w:ind w:left="2160" w:hanging="360"/>
      </w:pPr>
      <w:rPr>
        <w:rFonts w:ascii="Symbol" w:hAnsi="Symbol"/>
      </w:rPr>
    </w:lvl>
    <w:lvl w:ilvl="2" w:tplc="03D8D296">
      <w:start w:val="1"/>
      <w:numFmt w:val="bullet"/>
      <w:lvlText w:val=""/>
      <w:lvlJc w:val="left"/>
      <w:pPr>
        <w:ind w:left="2160" w:hanging="360"/>
      </w:pPr>
      <w:rPr>
        <w:rFonts w:ascii="Symbol" w:hAnsi="Symbol"/>
      </w:rPr>
    </w:lvl>
    <w:lvl w:ilvl="3" w:tplc="85B865B4">
      <w:start w:val="1"/>
      <w:numFmt w:val="bullet"/>
      <w:lvlText w:val=""/>
      <w:lvlJc w:val="left"/>
      <w:pPr>
        <w:ind w:left="2160" w:hanging="360"/>
      </w:pPr>
      <w:rPr>
        <w:rFonts w:ascii="Symbol" w:hAnsi="Symbol"/>
      </w:rPr>
    </w:lvl>
    <w:lvl w:ilvl="4" w:tplc="18061854">
      <w:start w:val="1"/>
      <w:numFmt w:val="bullet"/>
      <w:lvlText w:val=""/>
      <w:lvlJc w:val="left"/>
      <w:pPr>
        <w:ind w:left="2160" w:hanging="360"/>
      </w:pPr>
      <w:rPr>
        <w:rFonts w:ascii="Symbol" w:hAnsi="Symbol"/>
      </w:rPr>
    </w:lvl>
    <w:lvl w:ilvl="5" w:tplc="C478B2F6">
      <w:start w:val="1"/>
      <w:numFmt w:val="bullet"/>
      <w:lvlText w:val=""/>
      <w:lvlJc w:val="left"/>
      <w:pPr>
        <w:ind w:left="2160" w:hanging="360"/>
      </w:pPr>
      <w:rPr>
        <w:rFonts w:ascii="Symbol" w:hAnsi="Symbol"/>
      </w:rPr>
    </w:lvl>
    <w:lvl w:ilvl="6" w:tplc="18C2244C">
      <w:start w:val="1"/>
      <w:numFmt w:val="bullet"/>
      <w:lvlText w:val=""/>
      <w:lvlJc w:val="left"/>
      <w:pPr>
        <w:ind w:left="2160" w:hanging="360"/>
      </w:pPr>
      <w:rPr>
        <w:rFonts w:ascii="Symbol" w:hAnsi="Symbol"/>
      </w:rPr>
    </w:lvl>
    <w:lvl w:ilvl="7" w:tplc="BB727822">
      <w:start w:val="1"/>
      <w:numFmt w:val="bullet"/>
      <w:lvlText w:val=""/>
      <w:lvlJc w:val="left"/>
      <w:pPr>
        <w:ind w:left="2160" w:hanging="360"/>
      </w:pPr>
      <w:rPr>
        <w:rFonts w:ascii="Symbol" w:hAnsi="Symbol"/>
      </w:rPr>
    </w:lvl>
    <w:lvl w:ilvl="8" w:tplc="4A54F6CE">
      <w:start w:val="1"/>
      <w:numFmt w:val="bullet"/>
      <w:lvlText w:val=""/>
      <w:lvlJc w:val="left"/>
      <w:pPr>
        <w:ind w:left="2160" w:hanging="360"/>
      </w:pPr>
      <w:rPr>
        <w:rFonts w:ascii="Symbol" w:hAnsi="Symbol"/>
      </w:rPr>
    </w:lvl>
  </w:abstractNum>
  <w:abstractNum w:abstractNumId="28" w15:restartNumberingAfterBreak="0">
    <w:nsid w:val="53F63EA1"/>
    <w:multiLevelType w:val="hybridMultilevel"/>
    <w:tmpl w:val="D472DBE2"/>
    <w:lvl w:ilvl="0" w:tplc="1D1AC436">
      <w:start w:val="1"/>
      <w:numFmt w:val="bullet"/>
      <w:lvlText w:val=""/>
      <w:lvlJc w:val="left"/>
      <w:pPr>
        <w:ind w:left="2560" w:hanging="360"/>
      </w:pPr>
      <w:rPr>
        <w:rFonts w:ascii="Symbol" w:hAnsi="Symbol"/>
      </w:rPr>
    </w:lvl>
    <w:lvl w:ilvl="1" w:tplc="E71016AE">
      <w:start w:val="1"/>
      <w:numFmt w:val="bullet"/>
      <w:lvlText w:val=""/>
      <w:lvlJc w:val="left"/>
      <w:pPr>
        <w:ind w:left="2560" w:hanging="360"/>
      </w:pPr>
      <w:rPr>
        <w:rFonts w:ascii="Symbol" w:hAnsi="Symbol"/>
      </w:rPr>
    </w:lvl>
    <w:lvl w:ilvl="2" w:tplc="656C5CE8">
      <w:start w:val="1"/>
      <w:numFmt w:val="bullet"/>
      <w:lvlText w:val=""/>
      <w:lvlJc w:val="left"/>
      <w:pPr>
        <w:ind w:left="2560" w:hanging="360"/>
      </w:pPr>
      <w:rPr>
        <w:rFonts w:ascii="Symbol" w:hAnsi="Symbol"/>
      </w:rPr>
    </w:lvl>
    <w:lvl w:ilvl="3" w:tplc="C94AB954">
      <w:start w:val="1"/>
      <w:numFmt w:val="bullet"/>
      <w:lvlText w:val=""/>
      <w:lvlJc w:val="left"/>
      <w:pPr>
        <w:ind w:left="2560" w:hanging="360"/>
      </w:pPr>
      <w:rPr>
        <w:rFonts w:ascii="Symbol" w:hAnsi="Symbol"/>
      </w:rPr>
    </w:lvl>
    <w:lvl w:ilvl="4" w:tplc="5CB4D2EE">
      <w:start w:val="1"/>
      <w:numFmt w:val="bullet"/>
      <w:lvlText w:val=""/>
      <w:lvlJc w:val="left"/>
      <w:pPr>
        <w:ind w:left="2560" w:hanging="360"/>
      </w:pPr>
      <w:rPr>
        <w:rFonts w:ascii="Symbol" w:hAnsi="Symbol"/>
      </w:rPr>
    </w:lvl>
    <w:lvl w:ilvl="5" w:tplc="AFC24184">
      <w:start w:val="1"/>
      <w:numFmt w:val="bullet"/>
      <w:lvlText w:val=""/>
      <w:lvlJc w:val="left"/>
      <w:pPr>
        <w:ind w:left="2560" w:hanging="360"/>
      </w:pPr>
      <w:rPr>
        <w:rFonts w:ascii="Symbol" w:hAnsi="Symbol"/>
      </w:rPr>
    </w:lvl>
    <w:lvl w:ilvl="6" w:tplc="B406EADA">
      <w:start w:val="1"/>
      <w:numFmt w:val="bullet"/>
      <w:lvlText w:val=""/>
      <w:lvlJc w:val="left"/>
      <w:pPr>
        <w:ind w:left="2560" w:hanging="360"/>
      </w:pPr>
      <w:rPr>
        <w:rFonts w:ascii="Symbol" w:hAnsi="Symbol"/>
      </w:rPr>
    </w:lvl>
    <w:lvl w:ilvl="7" w:tplc="3E28123A">
      <w:start w:val="1"/>
      <w:numFmt w:val="bullet"/>
      <w:lvlText w:val=""/>
      <w:lvlJc w:val="left"/>
      <w:pPr>
        <w:ind w:left="2560" w:hanging="360"/>
      </w:pPr>
      <w:rPr>
        <w:rFonts w:ascii="Symbol" w:hAnsi="Symbol"/>
      </w:rPr>
    </w:lvl>
    <w:lvl w:ilvl="8" w:tplc="89805FC4">
      <w:start w:val="1"/>
      <w:numFmt w:val="bullet"/>
      <w:lvlText w:val=""/>
      <w:lvlJc w:val="left"/>
      <w:pPr>
        <w:ind w:left="2560" w:hanging="360"/>
      </w:pPr>
      <w:rPr>
        <w:rFonts w:ascii="Symbol" w:hAnsi="Symbol"/>
      </w:r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5785F"/>
    <w:multiLevelType w:val="hybridMultilevel"/>
    <w:tmpl w:val="4B0CA2EE"/>
    <w:lvl w:ilvl="0" w:tplc="AAAAE854">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E1A1ACF"/>
    <w:multiLevelType w:val="hybridMultilevel"/>
    <w:tmpl w:val="7CCAD614"/>
    <w:lvl w:ilvl="0" w:tplc="F5E03E28">
      <w:start w:val="646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27DA4"/>
    <w:multiLevelType w:val="hybridMultilevel"/>
    <w:tmpl w:val="98662D42"/>
    <w:lvl w:ilvl="0" w:tplc="9A4E40B4">
      <w:start w:val="1"/>
      <w:numFmt w:val="bullet"/>
      <w:lvlText w:val="•"/>
      <w:lvlJc w:val="left"/>
      <w:pPr>
        <w:tabs>
          <w:tab w:val="num" w:pos="720"/>
        </w:tabs>
        <w:ind w:left="720" w:hanging="360"/>
      </w:pPr>
      <w:rPr>
        <w:rFonts w:ascii="Arial" w:hAnsi="Arial" w:hint="default"/>
      </w:rPr>
    </w:lvl>
    <w:lvl w:ilvl="1" w:tplc="C93A6F68">
      <w:numFmt w:val="bullet"/>
      <w:lvlText w:val="•"/>
      <w:lvlJc w:val="left"/>
      <w:pPr>
        <w:tabs>
          <w:tab w:val="num" w:pos="1440"/>
        </w:tabs>
        <w:ind w:left="1440" w:hanging="360"/>
      </w:pPr>
      <w:rPr>
        <w:rFonts w:ascii="Arial" w:hAnsi="Arial" w:hint="default"/>
      </w:rPr>
    </w:lvl>
    <w:lvl w:ilvl="2" w:tplc="58AE9158" w:tentative="1">
      <w:start w:val="1"/>
      <w:numFmt w:val="bullet"/>
      <w:lvlText w:val="•"/>
      <w:lvlJc w:val="left"/>
      <w:pPr>
        <w:tabs>
          <w:tab w:val="num" w:pos="2160"/>
        </w:tabs>
        <w:ind w:left="2160" w:hanging="360"/>
      </w:pPr>
      <w:rPr>
        <w:rFonts w:ascii="Arial" w:hAnsi="Arial" w:hint="default"/>
      </w:rPr>
    </w:lvl>
    <w:lvl w:ilvl="3" w:tplc="87FE8236" w:tentative="1">
      <w:start w:val="1"/>
      <w:numFmt w:val="bullet"/>
      <w:lvlText w:val="•"/>
      <w:lvlJc w:val="left"/>
      <w:pPr>
        <w:tabs>
          <w:tab w:val="num" w:pos="2880"/>
        </w:tabs>
        <w:ind w:left="2880" w:hanging="360"/>
      </w:pPr>
      <w:rPr>
        <w:rFonts w:ascii="Arial" w:hAnsi="Arial" w:hint="default"/>
      </w:rPr>
    </w:lvl>
    <w:lvl w:ilvl="4" w:tplc="B9125B76" w:tentative="1">
      <w:start w:val="1"/>
      <w:numFmt w:val="bullet"/>
      <w:lvlText w:val="•"/>
      <w:lvlJc w:val="left"/>
      <w:pPr>
        <w:tabs>
          <w:tab w:val="num" w:pos="3600"/>
        </w:tabs>
        <w:ind w:left="3600" w:hanging="360"/>
      </w:pPr>
      <w:rPr>
        <w:rFonts w:ascii="Arial" w:hAnsi="Arial" w:hint="default"/>
      </w:rPr>
    </w:lvl>
    <w:lvl w:ilvl="5" w:tplc="52B0A778" w:tentative="1">
      <w:start w:val="1"/>
      <w:numFmt w:val="bullet"/>
      <w:lvlText w:val="•"/>
      <w:lvlJc w:val="left"/>
      <w:pPr>
        <w:tabs>
          <w:tab w:val="num" w:pos="4320"/>
        </w:tabs>
        <w:ind w:left="4320" w:hanging="360"/>
      </w:pPr>
      <w:rPr>
        <w:rFonts w:ascii="Arial" w:hAnsi="Arial" w:hint="default"/>
      </w:rPr>
    </w:lvl>
    <w:lvl w:ilvl="6" w:tplc="22CC3636" w:tentative="1">
      <w:start w:val="1"/>
      <w:numFmt w:val="bullet"/>
      <w:lvlText w:val="•"/>
      <w:lvlJc w:val="left"/>
      <w:pPr>
        <w:tabs>
          <w:tab w:val="num" w:pos="5040"/>
        </w:tabs>
        <w:ind w:left="5040" w:hanging="360"/>
      </w:pPr>
      <w:rPr>
        <w:rFonts w:ascii="Arial" w:hAnsi="Arial" w:hint="default"/>
      </w:rPr>
    </w:lvl>
    <w:lvl w:ilvl="7" w:tplc="0CDC8F56" w:tentative="1">
      <w:start w:val="1"/>
      <w:numFmt w:val="bullet"/>
      <w:lvlText w:val="•"/>
      <w:lvlJc w:val="left"/>
      <w:pPr>
        <w:tabs>
          <w:tab w:val="num" w:pos="5760"/>
        </w:tabs>
        <w:ind w:left="5760" w:hanging="360"/>
      </w:pPr>
      <w:rPr>
        <w:rFonts w:ascii="Arial" w:hAnsi="Arial" w:hint="default"/>
      </w:rPr>
    </w:lvl>
    <w:lvl w:ilvl="8" w:tplc="681A4CC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892071">
    <w:abstractNumId w:val="16"/>
  </w:num>
  <w:num w:numId="2" w16cid:durableId="927883589">
    <w:abstractNumId w:val="34"/>
  </w:num>
  <w:num w:numId="3" w16cid:durableId="1134366723">
    <w:abstractNumId w:val="20"/>
  </w:num>
  <w:num w:numId="4" w16cid:durableId="526791396">
    <w:abstractNumId w:val="1"/>
  </w:num>
  <w:num w:numId="5" w16cid:durableId="1789737020">
    <w:abstractNumId w:val="7"/>
  </w:num>
  <w:num w:numId="6" w16cid:durableId="1764186539">
    <w:abstractNumId w:val="11"/>
  </w:num>
  <w:num w:numId="7" w16cid:durableId="1006596376">
    <w:abstractNumId w:val="12"/>
  </w:num>
  <w:num w:numId="8" w16cid:durableId="984433388">
    <w:abstractNumId w:val="33"/>
  </w:num>
  <w:num w:numId="9" w16cid:durableId="1962954480">
    <w:abstractNumId w:val="31"/>
  </w:num>
  <w:num w:numId="10" w16cid:durableId="206456091">
    <w:abstractNumId w:val="26"/>
  </w:num>
  <w:num w:numId="11" w16cid:durableId="1648515991">
    <w:abstractNumId w:val="16"/>
  </w:num>
  <w:num w:numId="12" w16cid:durableId="174837972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3552265">
    <w:abstractNumId w:val="16"/>
  </w:num>
  <w:num w:numId="14" w16cid:durableId="1821925005">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9338132">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8674160">
    <w:abstractNumId w:val="30"/>
  </w:num>
  <w:num w:numId="17" w16cid:durableId="533884893">
    <w:abstractNumId w:val="21"/>
  </w:num>
  <w:num w:numId="18" w16cid:durableId="867183308">
    <w:abstractNumId w:val="3"/>
  </w:num>
  <w:num w:numId="19" w16cid:durableId="1392801149">
    <w:abstractNumId w:val="6"/>
  </w:num>
  <w:num w:numId="20" w16cid:durableId="69548860">
    <w:abstractNumId w:val="17"/>
  </w:num>
  <w:num w:numId="21" w16cid:durableId="747969557">
    <w:abstractNumId w:val="8"/>
  </w:num>
  <w:num w:numId="22" w16cid:durableId="169639841">
    <w:abstractNumId w:val="2"/>
  </w:num>
  <w:num w:numId="23" w16cid:durableId="1529221269">
    <w:abstractNumId w:val="22"/>
  </w:num>
  <w:num w:numId="24" w16cid:durableId="17786700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7070522">
    <w:abstractNumId w:val="19"/>
  </w:num>
  <w:num w:numId="26" w16cid:durableId="554394939">
    <w:abstractNumId w:val="36"/>
  </w:num>
  <w:num w:numId="27" w16cid:durableId="1601135903">
    <w:abstractNumId w:val="27"/>
  </w:num>
  <w:num w:numId="28" w16cid:durableId="699361276">
    <w:abstractNumId w:val="28"/>
  </w:num>
  <w:num w:numId="29" w16cid:durableId="434059844">
    <w:abstractNumId w:val="24"/>
  </w:num>
  <w:num w:numId="30" w16cid:durableId="386536772">
    <w:abstractNumId w:val="5"/>
  </w:num>
  <w:num w:numId="31" w16cid:durableId="1486967230">
    <w:abstractNumId w:val="23"/>
  </w:num>
  <w:num w:numId="32" w16cid:durableId="620497061">
    <w:abstractNumId w:val="25"/>
  </w:num>
  <w:num w:numId="33" w16cid:durableId="1104155199">
    <w:abstractNumId w:val="0"/>
  </w:num>
  <w:num w:numId="34" w16cid:durableId="1952546296">
    <w:abstractNumId w:val="15"/>
  </w:num>
  <w:num w:numId="35" w16cid:durableId="725569774">
    <w:abstractNumId w:val="4"/>
  </w:num>
  <w:num w:numId="36" w16cid:durableId="654645678">
    <w:abstractNumId w:val="10"/>
  </w:num>
  <w:num w:numId="37" w16cid:durableId="948665034">
    <w:abstractNumId w:val="35"/>
  </w:num>
  <w:num w:numId="38" w16cid:durableId="620496834">
    <w:abstractNumId w:val="18"/>
  </w:num>
  <w:num w:numId="39" w16cid:durableId="765812726">
    <w:abstractNumId w:val="14"/>
  </w:num>
  <w:num w:numId="40" w16cid:durableId="1500733995">
    <w:abstractNumId w:val="32"/>
  </w:num>
  <w:num w:numId="41" w16cid:durableId="892350000">
    <w:abstractNumId w:val="13"/>
  </w:num>
  <w:num w:numId="42" w16cid:durableId="94176642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89"/>
    <w:rsid w:val="00000323"/>
    <w:rsid w:val="00000441"/>
    <w:rsid w:val="000007CB"/>
    <w:rsid w:val="0000080E"/>
    <w:rsid w:val="00000985"/>
    <w:rsid w:val="00000D96"/>
    <w:rsid w:val="00001137"/>
    <w:rsid w:val="00001713"/>
    <w:rsid w:val="00001A97"/>
    <w:rsid w:val="00001D84"/>
    <w:rsid w:val="000020D5"/>
    <w:rsid w:val="000022CF"/>
    <w:rsid w:val="00002591"/>
    <w:rsid w:val="00002768"/>
    <w:rsid w:val="00002D60"/>
    <w:rsid w:val="00002E1A"/>
    <w:rsid w:val="00002F16"/>
    <w:rsid w:val="00003F60"/>
    <w:rsid w:val="00003FAF"/>
    <w:rsid w:val="000046F7"/>
    <w:rsid w:val="00004894"/>
    <w:rsid w:val="00004A9D"/>
    <w:rsid w:val="00005122"/>
    <w:rsid w:val="0000548F"/>
    <w:rsid w:val="000054BB"/>
    <w:rsid w:val="00005BAD"/>
    <w:rsid w:val="00005C63"/>
    <w:rsid w:val="00005EB6"/>
    <w:rsid w:val="0000606F"/>
    <w:rsid w:val="00006590"/>
    <w:rsid w:val="000069A4"/>
    <w:rsid w:val="000069E4"/>
    <w:rsid w:val="000069F9"/>
    <w:rsid w:val="0000727D"/>
    <w:rsid w:val="00007FAE"/>
    <w:rsid w:val="00007FE5"/>
    <w:rsid w:val="000102D8"/>
    <w:rsid w:val="000104E3"/>
    <w:rsid w:val="000105AF"/>
    <w:rsid w:val="00011756"/>
    <w:rsid w:val="000119FB"/>
    <w:rsid w:val="00011A5D"/>
    <w:rsid w:val="00011F29"/>
    <w:rsid w:val="00012A7F"/>
    <w:rsid w:val="00012A9A"/>
    <w:rsid w:val="00012C20"/>
    <w:rsid w:val="00013B66"/>
    <w:rsid w:val="00013F1C"/>
    <w:rsid w:val="00013F77"/>
    <w:rsid w:val="00014182"/>
    <w:rsid w:val="00014492"/>
    <w:rsid w:val="00014667"/>
    <w:rsid w:val="00014789"/>
    <w:rsid w:val="00014990"/>
    <w:rsid w:val="00014B05"/>
    <w:rsid w:val="00015084"/>
    <w:rsid w:val="0001555C"/>
    <w:rsid w:val="00015808"/>
    <w:rsid w:val="0001593E"/>
    <w:rsid w:val="000159FE"/>
    <w:rsid w:val="000163DD"/>
    <w:rsid w:val="000166FA"/>
    <w:rsid w:val="00016A22"/>
    <w:rsid w:val="00016DDB"/>
    <w:rsid w:val="00016E5E"/>
    <w:rsid w:val="00016E6F"/>
    <w:rsid w:val="00017072"/>
    <w:rsid w:val="00017610"/>
    <w:rsid w:val="00017746"/>
    <w:rsid w:val="000205C6"/>
    <w:rsid w:val="000206F1"/>
    <w:rsid w:val="00020929"/>
    <w:rsid w:val="00020C48"/>
    <w:rsid w:val="00020D51"/>
    <w:rsid w:val="000211FE"/>
    <w:rsid w:val="000217CD"/>
    <w:rsid w:val="0002199F"/>
    <w:rsid w:val="00021FB0"/>
    <w:rsid w:val="000220B4"/>
    <w:rsid w:val="000221AA"/>
    <w:rsid w:val="000224C1"/>
    <w:rsid w:val="00022793"/>
    <w:rsid w:val="00022C36"/>
    <w:rsid w:val="00022EFB"/>
    <w:rsid w:val="000232EC"/>
    <w:rsid w:val="0002331F"/>
    <w:rsid w:val="000233E3"/>
    <w:rsid w:val="00023CD0"/>
    <w:rsid w:val="00023F26"/>
    <w:rsid w:val="00023F50"/>
    <w:rsid w:val="000248EA"/>
    <w:rsid w:val="000249F8"/>
    <w:rsid w:val="00024AB7"/>
    <w:rsid w:val="00024DE2"/>
    <w:rsid w:val="000256CF"/>
    <w:rsid w:val="0002571C"/>
    <w:rsid w:val="00025B15"/>
    <w:rsid w:val="00025C20"/>
    <w:rsid w:val="00025C95"/>
    <w:rsid w:val="00025E02"/>
    <w:rsid w:val="000260C8"/>
    <w:rsid w:val="000264A2"/>
    <w:rsid w:val="0002656C"/>
    <w:rsid w:val="0002685F"/>
    <w:rsid w:val="000268AD"/>
    <w:rsid w:val="00026BDA"/>
    <w:rsid w:val="00026CF0"/>
    <w:rsid w:val="00026E82"/>
    <w:rsid w:val="00027079"/>
    <w:rsid w:val="0002732F"/>
    <w:rsid w:val="0002747B"/>
    <w:rsid w:val="00030007"/>
    <w:rsid w:val="000305F5"/>
    <w:rsid w:val="00030676"/>
    <w:rsid w:val="00030714"/>
    <w:rsid w:val="00030C94"/>
    <w:rsid w:val="00031021"/>
    <w:rsid w:val="0003140B"/>
    <w:rsid w:val="00031442"/>
    <w:rsid w:val="000325AE"/>
    <w:rsid w:val="00032758"/>
    <w:rsid w:val="00032E74"/>
    <w:rsid w:val="0003322C"/>
    <w:rsid w:val="00033945"/>
    <w:rsid w:val="00034110"/>
    <w:rsid w:val="0003467B"/>
    <w:rsid w:val="000351D9"/>
    <w:rsid w:val="0003532C"/>
    <w:rsid w:val="00035628"/>
    <w:rsid w:val="000356D5"/>
    <w:rsid w:val="00035AC1"/>
    <w:rsid w:val="00035BB8"/>
    <w:rsid w:val="00035EEB"/>
    <w:rsid w:val="0003624D"/>
    <w:rsid w:val="00036602"/>
    <w:rsid w:val="000368FC"/>
    <w:rsid w:val="0003738D"/>
    <w:rsid w:val="000373DC"/>
    <w:rsid w:val="000376EE"/>
    <w:rsid w:val="00037812"/>
    <w:rsid w:val="00037D5C"/>
    <w:rsid w:val="00037D75"/>
    <w:rsid w:val="000400B2"/>
    <w:rsid w:val="000405F4"/>
    <w:rsid w:val="0004175A"/>
    <w:rsid w:val="00041AA6"/>
    <w:rsid w:val="00041D36"/>
    <w:rsid w:val="00041D6F"/>
    <w:rsid w:val="0004200E"/>
    <w:rsid w:val="000421F8"/>
    <w:rsid w:val="0004221D"/>
    <w:rsid w:val="000423F9"/>
    <w:rsid w:val="00042430"/>
    <w:rsid w:val="00042518"/>
    <w:rsid w:val="00042823"/>
    <w:rsid w:val="00042957"/>
    <w:rsid w:val="00042B34"/>
    <w:rsid w:val="00043262"/>
    <w:rsid w:val="00043FCA"/>
    <w:rsid w:val="00044015"/>
    <w:rsid w:val="00044594"/>
    <w:rsid w:val="00044F00"/>
    <w:rsid w:val="00044F7A"/>
    <w:rsid w:val="00045019"/>
    <w:rsid w:val="00045528"/>
    <w:rsid w:val="000458E8"/>
    <w:rsid w:val="00045A14"/>
    <w:rsid w:val="00045A81"/>
    <w:rsid w:val="00045E18"/>
    <w:rsid w:val="00045E7D"/>
    <w:rsid w:val="000467BD"/>
    <w:rsid w:val="00047CA7"/>
    <w:rsid w:val="00047E4E"/>
    <w:rsid w:val="00047E58"/>
    <w:rsid w:val="00050241"/>
    <w:rsid w:val="000515C2"/>
    <w:rsid w:val="000517E3"/>
    <w:rsid w:val="00051C64"/>
    <w:rsid w:val="00051E35"/>
    <w:rsid w:val="00052063"/>
    <w:rsid w:val="00052832"/>
    <w:rsid w:val="00052B62"/>
    <w:rsid w:val="00052BDF"/>
    <w:rsid w:val="00052C3A"/>
    <w:rsid w:val="00052E5A"/>
    <w:rsid w:val="000537A7"/>
    <w:rsid w:val="00053B69"/>
    <w:rsid w:val="00053E80"/>
    <w:rsid w:val="000546C0"/>
    <w:rsid w:val="00054AB1"/>
    <w:rsid w:val="00055324"/>
    <w:rsid w:val="00055608"/>
    <w:rsid w:val="00055C0C"/>
    <w:rsid w:val="00055DDF"/>
    <w:rsid w:val="00056650"/>
    <w:rsid w:val="000567E4"/>
    <w:rsid w:val="00056AB5"/>
    <w:rsid w:val="00057000"/>
    <w:rsid w:val="00057724"/>
    <w:rsid w:val="00057D39"/>
    <w:rsid w:val="00057D6B"/>
    <w:rsid w:val="00057F76"/>
    <w:rsid w:val="000601EA"/>
    <w:rsid w:val="00060556"/>
    <w:rsid w:val="000606D8"/>
    <w:rsid w:val="00060813"/>
    <w:rsid w:val="00060F71"/>
    <w:rsid w:val="00061177"/>
    <w:rsid w:val="00061C83"/>
    <w:rsid w:val="0006269F"/>
    <w:rsid w:val="0006275B"/>
    <w:rsid w:val="00062C1D"/>
    <w:rsid w:val="00063008"/>
    <w:rsid w:val="000637A1"/>
    <w:rsid w:val="000646A5"/>
    <w:rsid w:val="00064750"/>
    <w:rsid w:val="00064E93"/>
    <w:rsid w:val="000650E4"/>
    <w:rsid w:val="00065910"/>
    <w:rsid w:val="0006624B"/>
    <w:rsid w:val="0006786D"/>
    <w:rsid w:val="00067878"/>
    <w:rsid w:val="00067AE4"/>
    <w:rsid w:val="00067DA3"/>
    <w:rsid w:val="00067E1D"/>
    <w:rsid w:val="00070795"/>
    <w:rsid w:val="00070F0A"/>
    <w:rsid w:val="000711F1"/>
    <w:rsid w:val="000717D4"/>
    <w:rsid w:val="00071B3E"/>
    <w:rsid w:val="00071EA8"/>
    <w:rsid w:val="000728BB"/>
    <w:rsid w:val="00072973"/>
    <w:rsid w:val="0007320C"/>
    <w:rsid w:val="000732F9"/>
    <w:rsid w:val="0007359A"/>
    <w:rsid w:val="00073A3B"/>
    <w:rsid w:val="00073CA4"/>
    <w:rsid w:val="00073DA8"/>
    <w:rsid w:val="00074209"/>
    <w:rsid w:val="0007432E"/>
    <w:rsid w:val="00074CB2"/>
    <w:rsid w:val="000753A5"/>
    <w:rsid w:val="000753C9"/>
    <w:rsid w:val="000755E6"/>
    <w:rsid w:val="000764D3"/>
    <w:rsid w:val="0007658C"/>
    <w:rsid w:val="000765B0"/>
    <w:rsid w:val="000768CA"/>
    <w:rsid w:val="0007697E"/>
    <w:rsid w:val="00076F56"/>
    <w:rsid w:val="00076F79"/>
    <w:rsid w:val="00076FD1"/>
    <w:rsid w:val="000770CC"/>
    <w:rsid w:val="000771C7"/>
    <w:rsid w:val="00077807"/>
    <w:rsid w:val="00077A08"/>
    <w:rsid w:val="00080061"/>
    <w:rsid w:val="000801C6"/>
    <w:rsid w:val="000805BA"/>
    <w:rsid w:val="00080A47"/>
    <w:rsid w:val="000810E3"/>
    <w:rsid w:val="00081316"/>
    <w:rsid w:val="00081A66"/>
    <w:rsid w:val="00081BC5"/>
    <w:rsid w:val="00081DD0"/>
    <w:rsid w:val="00082114"/>
    <w:rsid w:val="0008214C"/>
    <w:rsid w:val="00082F77"/>
    <w:rsid w:val="0008309F"/>
    <w:rsid w:val="000838C2"/>
    <w:rsid w:val="0008433C"/>
    <w:rsid w:val="00084B79"/>
    <w:rsid w:val="00084C07"/>
    <w:rsid w:val="00084D15"/>
    <w:rsid w:val="00085495"/>
    <w:rsid w:val="00085C31"/>
    <w:rsid w:val="00085C5A"/>
    <w:rsid w:val="00085D6F"/>
    <w:rsid w:val="000862FC"/>
    <w:rsid w:val="00086518"/>
    <w:rsid w:val="00086728"/>
    <w:rsid w:val="00087323"/>
    <w:rsid w:val="000874D0"/>
    <w:rsid w:val="000876B8"/>
    <w:rsid w:val="00087820"/>
    <w:rsid w:val="0008782E"/>
    <w:rsid w:val="00087886"/>
    <w:rsid w:val="000879ED"/>
    <w:rsid w:val="00087AAE"/>
    <w:rsid w:val="00087CB4"/>
    <w:rsid w:val="00090108"/>
    <w:rsid w:val="0009157F"/>
    <w:rsid w:val="00091B23"/>
    <w:rsid w:val="0009200B"/>
    <w:rsid w:val="00092168"/>
    <w:rsid w:val="00092712"/>
    <w:rsid w:val="000928A1"/>
    <w:rsid w:val="000928D1"/>
    <w:rsid w:val="0009298D"/>
    <w:rsid w:val="00092DB3"/>
    <w:rsid w:val="000931AC"/>
    <w:rsid w:val="00093649"/>
    <w:rsid w:val="00093DB9"/>
    <w:rsid w:val="00094F18"/>
    <w:rsid w:val="00095852"/>
    <w:rsid w:val="000959B1"/>
    <w:rsid w:val="000961EB"/>
    <w:rsid w:val="00096246"/>
    <w:rsid w:val="00096E97"/>
    <w:rsid w:val="00096EBA"/>
    <w:rsid w:val="0009732C"/>
    <w:rsid w:val="00097AB0"/>
    <w:rsid w:val="00097BFD"/>
    <w:rsid w:val="00097E40"/>
    <w:rsid w:val="00097EAF"/>
    <w:rsid w:val="00097F93"/>
    <w:rsid w:val="000A00DB"/>
    <w:rsid w:val="000A03E7"/>
    <w:rsid w:val="000A05F9"/>
    <w:rsid w:val="000A0A6E"/>
    <w:rsid w:val="000A0A89"/>
    <w:rsid w:val="000A0CD0"/>
    <w:rsid w:val="000A0FD1"/>
    <w:rsid w:val="000A12F3"/>
    <w:rsid w:val="000A16F9"/>
    <w:rsid w:val="000A1B1A"/>
    <w:rsid w:val="000A201F"/>
    <w:rsid w:val="000A28DA"/>
    <w:rsid w:val="000A29EF"/>
    <w:rsid w:val="000A2AF8"/>
    <w:rsid w:val="000A2CA1"/>
    <w:rsid w:val="000A347B"/>
    <w:rsid w:val="000A3687"/>
    <w:rsid w:val="000A399B"/>
    <w:rsid w:val="000A4016"/>
    <w:rsid w:val="000A4140"/>
    <w:rsid w:val="000A46FE"/>
    <w:rsid w:val="000A4E6C"/>
    <w:rsid w:val="000A5312"/>
    <w:rsid w:val="000A57D2"/>
    <w:rsid w:val="000A5A36"/>
    <w:rsid w:val="000A5E93"/>
    <w:rsid w:val="000A5F0F"/>
    <w:rsid w:val="000A6C40"/>
    <w:rsid w:val="000A6E4C"/>
    <w:rsid w:val="000A6EC9"/>
    <w:rsid w:val="000A75A7"/>
    <w:rsid w:val="000A7A9C"/>
    <w:rsid w:val="000B0253"/>
    <w:rsid w:val="000B033C"/>
    <w:rsid w:val="000B1027"/>
    <w:rsid w:val="000B1C74"/>
    <w:rsid w:val="000B1CE9"/>
    <w:rsid w:val="000B1E83"/>
    <w:rsid w:val="000B230E"/>
    <w:rsid w:val="000B2D79"/>
    <w:rsid w:val="000B4D8D"/>
    <w:rsid w:val="000B55EF"/>
    <w:rsid w:val="000B57BB"/>
    <w:rsid w:val="000B588A"/>
    <w:rsid w:val="000B59D2"/>
    <w:rsid w:val="000B66AF"/>
    <w:rsid w:val="000B6947"/>
    <w:rsid w:val="000B6E02"/>
    <w:rsid w:val="000B70D6"/>
    <w:rsid w:val="000B732F"/>
    <w:rsid w:val="000B76B3"/>
    <w:rsid w:val="000B7F7A"/>
    <w:rsid w:val="000C01DE"/>
    <w:rsid w:val="000C04A1"/>
    <w:rsid w:val="000C0824"/>
    <w:rsid w:val="000C0884"/>
    <w:rsid w:val="000C0C48"/>
    <w:rsid w:val="000C109E"/>
    <w:rsid w:val="000C1430"/>
    <w:rsid w:val="000C14DD"/>
    <w:rsid w:val="000C1542"/>
    <w:rsid w:val="000C194F"/>
    <w:rsid w:val="000C2222"/>
    <w:rsid w:val="000C2540"/>
    <w:rsid w:val="000C296C"/>
    <w:rsid w:val="000C3200"/>
    <w:rsid w:val="000C35F9"/>
    <w:rsid w:val="000C36E6"/>
    <w:rsid w:val="000C39A5"/>
    <w:rsid w:val="000C4712"/>
    <w:rsid w:val="000C477C"/>
    <w:rsid w:val="000C53C8"/>
    <w:rsid w:val="000C557C"/>
    <w:rsid w:val="000C55AC"/>
    <w:rsid w:val="000C572C"/>
    <w:rsid w:val="000C582C"/>
    <w:rsid w:val="000C5A8D"/>
    <w:rsid w:val="000C5C7D"/>
    <w:rsid w:val="000C5C8C"/>
    <w:rsid w:val="000C5EB6"/>
    <w:rsid w:val="000C650E"/>
    <w:rsid w:val="000C66A8"/>
    <w:rsid w:val="000C6D9D"/>
    <w:rsid w:val="000C6E86"/>
    <w:rsid w:val="000C71EB"/>
    <w:rsid w:val="000C751C"/>
    <w:rsid w:val="000C7E4A"/>
    <w:rsid w:val="000D0749"/>
    <w:rsid w:val="000D08BD"/>
    <w:rsid w:val="000D09ED"/>
    <w:rsid w:val="000D0A87"/>
    <w:rsid w:val="000D0FB1"/>
    <w:rsid w:val="000D11B8"/>
    <w:rsid w:val="000D145B"/>
    <w:rsid w:val="000D1FA3"/>
    <w:rsid w:val="000D349B"/>
    <w:rsid w:val="000D3C76"/>
    <w:rsid w:val="000D4128"/>
    <w:rsid w:val="000D4213"/>
    <w:rsid w:val="000D42ED"/>
    <w:rsid w:val="000D433F"/>
    <w:rsid w:val="000D447E"/>
    <w:rsid w:val="000D47CF"/>
    <w:rsid w:val="000D4FDF"/>
    <w:rsid w:val="000D55E3"/>
    <w:rsid w:val="000D6016"/>
    <w:rsid w:val="000D6476"/>
    <w:rsid w:val="000D7185"/>
    <w:rsid w:val="000D7281"/>
    <w:rsid w:val="000E0114"/>
    <w:rsid w:val="000E0350"/>
    <w:rsid w:val="000E0477"/>
    <w:rsid w:val="000E0772"/>
    <w:rsid w:val="000E0782"/>
    <w:rsid w:val="000E07C5"/>
    <w:rsid w:val="000E0844"/>
    <w:rsid w:val="000E0EA6"/>
    <w:rsid w:val="000E1123"/>
    <w:rsid w:val="000E197D"/>
    <w:rsid w:val="000E1B54"/>
    <w:rsid w:val="000E1C22"/>
    <w:rsid w:val="000E1CED"/>
    <w:rsid w:val="000E1EB3"/>
    <w:rsid w:val="000E24BD"/>
    <w:rsid w:val="000E2751"/>
    <w:rsid w:val="000E29D1"/>
    <w:rsid w:val="000E2E98"/>
    <w:rsid w:val="000E2EA9"/>
    <w:rsid w:val="000E3243"/>
    <w:rsid w:val="000E3DEE"/>
    <w:rsid w:val="000E3EC2"/>
    <w:rsid w:val="000E4C9E"/>
    <w:rsid w:val="000E5081"/>
    <w:rsid w:val="000E51B5"/>
    <w:rsid w:val="000E5334"/>
    <w:rsid w:val="000E5711"/>
    <w:rsid w:val="000E5D65"/>
    <w:rsid w:val="000E606F"/>
    <w:rsid w:val="000E6436"/>
    <w:rsid w:val="000E65A1"/>
    <w:rsid w:val="000E682E"/>
    <w:rsid w:val="000E6AF8"/>
    <w:rsid w:val="000E6D3B"/>
    <w:rsid w:val="000E6F19"/>
    <w:rsid w:val="000E6FE8"/>
    <w:rsid w:val="000E72B3"/>
    <w:rsid w:val="000E7B1D"/>
    <w:rsid w:val="000E7E52"/>
    <w:rsid w:val="000F0026"/>
    <w:rsid w:val="000F08BD"/>
    <w:rsid w:val="000F0B74"/>
    <w:rsid w:val="000F0F99"/>
    <w:rsid w:val="000F124D"/>
    <w:rsid w:val="000F144F"/>
    <w:rsid w:val="000F1B3B"/>
    <w:rsid w:val="000F1D1A"/>
    <w:rsid w:val="000F1E3F"/>
    <w:rsid w:val="000F234E"/>
    <w:rsid w:val="000F285B"/>
    <w:rsid w:val="000F2D33"/>
    <w:rsid w:val="000F3115"/>
    <w:rsid w:val="000F3286"/>
    <w:rsid w:val="000F337B"/>
    <w:rsid w:val="000F3DBC"/>
    <w:rsid w:val="000F48EC"/>
    <w:rsid w:val="000F4EEE"/>
    <w:rsid w:val="000F5178"/>
    <w:rsid w:val="000F53C8"/>
    <w:rsid w:val="000F586B"/>
    <w:rsid w:val="000F5D8D"/>
    <w:rsid w:val="000F5DF2"/>
    <w:rsid w:val="000F620E"/>
    <w:rsid w:val="000F6286"/>
    <w:rsid w:val="000F66E0"/>
    <w:rsid w:val="000F6913"/>
    <w:rsid w:val="000F6A21"/>
    <w:rsid w:val="000F6C67"/>
    <w:rsid w:val="000F6E7F"/>
    <w:rsid w:val="000F7274"/>
    <w:rsid w:val="000F75E2"/>
    <w:rsid w:val="000F775A"/>
    <w:rsid w:val="00100659"/>
    <w:rsid w:val="0010065E"/>
    <w:rsid w:val="00100BD6"/>
    <w:rsid w:val="00100C8E"/>
    <w:rsid w:val="0010111B"/>
    <w:rsid w:val="001017A9"/>
    <w:rsid w:val="001018EB"/>
    <w:rsid w:val="00101F34"/>
    <w:rsid w:val="00103052"/>
    <w:rsid w:val="001030E1"/>
    <w:rsid w:val="001032AD"/>
    <w:rsid w:val="001033D5"/>
    <w:rsid w:val="001038E9"/>
    <w:rsid w:val="001039F7"/>
    <w:rsid w:val="00103B1A"/>
    <w:rsid w:val="00104131"/>
    <w:rsid w:val="0010535B"/>
    <w:rsid w:val="00105409"/>
    <w:rsid w:val="00105857"/>
    <w:rsid w:val="00105C0B"/>
    <w:rsid w:val="00105C0F"/>
    <w:rsid w:val="00106025"/>
    <w:rsid w:val="0010667B"/>
    <w:rsid w:val="00106D8F"/>
    <w:rsid w:val="00106ED5"/>
    <w:rsid w:val="00106F86"/>
    <w:rsid w:val="00107338"/>
    <w:rsid w:val="0010777E"/>
    <w:rsid w:val="0010789D"/>
    <w:rsid w:val="00107C0E"/>
    <w:rsid w:val="00107DBD"/>
    <w:rsid w:val="001108F0"/>
    <w:rsid w:val="00110F28"/>
    <w:rsid w:val="00111001"/>
    <w:rsid w:val="0011115D"/>
    <w:rsid w:val="00111507"/>
    <w:rsid w:val="00111AEB"/>
    <w:rsid w:val="001129D0"/>
    <w:rsid w:val="00112B07"/>
    <w:rsid w:val="00112EA7"/>
    <w:rsid w:val="00113666"/>
    <w:rsid w:val="00113677"/>
    <w:rsid w:val="001142CF"/>
    <w:rsid w:val="001148E9"/>
    <w:rsid w:val="00115B59"/>
    <w:rsid w:val="00115D86"/>
    <w:rsid w:val="00115E6B"/>
    <w:rsid w:val="001169FE"/>
    <w:rsid w:val="00116D19"/>
    <w:rsid w:val="00116E43"/>
    <w:rsid w:val="00117513"/>
    <w:rsid w:val="00117A46"/>
    <w:rsid w:val="0012001C"/>
    <w:rsid w:val="00120468"/>
    <w:rsid w:val="001209CD"/>
    <w:rsid w:val="00120A49"/>
    <w:rsid w:val="00120B1F"/>
    <w:rsid w:val="00120C60"/>
    <w:rsid w:val="00120F72"/>
    <w:rsid w:val="00121606"/>
    <w:rsid w:val="00121E78"/>
    <w:rsid w:val="00122E11"/>
    <w:rsid w:val="00122F9D"/>
    <w:rsid w:val="00123022"/>
    <w:rsid w:val="001230AC"/>
    <w:rsid w:val="001232DD"/>
    <w:rsid w:val="00123377"/>
    <w:rsid w:val="001239BF"/>
    <w:rsid w:val="00123B20"/>
    <w:rsid w:val="00123F4B"/>
    <w:rsid w:val="001242B8"/>
    <w:rsid w:val="001245CC"/>
    <w:rsid w:val="00124604"/>
    <w:rsid w:val="00124D2E"/>
    <w:rsid w:val="00124FDC"/>
    <w:rsid w:val="0012509A"/>
    <w:rsid w:val="00125225"/>
    <w:rsid w:val="00125588"/>
    <w:rsid w:val="00125F68"/>
    <w:rsid w:val="00126086"/>
    <w:rsid w:val="001265C0"/>
    <w:rsid w:val="001267C1"/>
    <w:rsid w:val="001273E6"/>
    <w:rsid w:val="001276AF"/>
    <w:rsid w:val="00127B20"/>
    <w:rsid w:val="0013009D"/>
    <w:rsid w:val="00130286"/>
    <w:rsid w:val="0013032D"/>
    <w:rsid w:val="00130B61"/>
    <w:rsid w:val="00130E91"/>
    <w:rsid w:val="001313DE"/>
    <w:rsid w:val="001318AA"/>
    <w:rsid w:val="00131C7D"/>
    <w:rsid w:val="00131F8B"/>
    <w:rsid w:val="0013225B"/>
    <w:rsid w:val="001328C2"/>
    <w:rsid w:val="00133230"/>
    <w:rsid w:val="001332FA"/>
    <w:rsid w:val="001333DB"/>
    <w:rsid w:val="00133466"/>
    <w:rsid w:val="001337B7"/>
    <w:rsid w:val="00133921"/>
    <w:rsid w:val="00133965"/>
    <w:rsid w:val="0013396E"/>
    <w:rsid w:val="00133A0D"/>
    <w:rsid w:val="00133AD5"/>
    <w:rsid w:val="00133B09"/>
    <w:rsid w:val="00133CEB"/>
    <w:rsid w:val="00133F54"/>
    <w:rsid w:val="001344B3"/>
    <w:rsid w:val="001347FF"/>
    <w:rsid w:val="00134CD7"/>
    <w:rsid w:val="00135072"/>
    <w:rsid w:val="00135C88"/>
    <w:rsid w:val="00135D3A"/>
    <w:rsid w:val="00136338"/>
    <w:rsid w:val="001366AA"/>
    <w:rsid w:val="00136AB5"/>
    <w:rsid w:val="00136ABC"/>
    <w:rsid w:val="00136B4F"/>
    <w:rsid w:val="00136BAA"/>
    <w:rsid w:val="0013747E"/>
    <w:rsid w:val="0013780B"/>
    <w:rsid w:val="0013781F"/>
    <w:rsid w:val="00137B7D"/>
    <w:rsid w:val="00137D12"/>
    <w:rsid w:val="001400C8"/>
    <w:rsid w:val="00140BD7"/>
    <w:rsid w:val="00140C24"/>
    <w:rsid w:val="00140C31"/>
    <w:rsid w:val="00140C93"/>
    <w:rsid w:val="00140E2C"/>
    <w:rsid w:val="00140E7F"/>
    <w:rsid w:val="001411E3"/>
    <w:rsid w:val="001416EA"/>
    <w:rsid w:val="00142255"/>
    <w:rsid w:val="00142346"/>
    <w:rsid w:val="0014263E"/>
    <w:rsid w:val="001426DD"/>
    <w:rsid w:val="00142904"/>
    <w:rsid w:val="00142C9D"/>
    <w:rsid w:val="0014303F"/>
    <w:rsid w:val="00143536"/>
    <w:rsid w:val="001436C3"/>
    <w:rsid w:val="001442CE"/>
    <w:rsid w:val="00144310"/>
    <w:rsid w:val="0014455C"/>
    <w:rsid w:val="00144B01"/>
    <w:rsid w:val="00144D01"/>
    <w:rsid w:val="00145891"/>
    <w:rsid w:val="00145B2F"/>
    <w:rsid w:val="001462D1"/>
    <w:rsid w:val="0014637C"/>
    <w:rsid w:val="001464B2"/>
    <w:rsid w:val="00146627"/>
    <w:rsid w:val="00146A5D"/>
    <w:rsid w:val="00146EF9"/>
    <w:rsid w:val="001475BA"/>
    <w:rsid w:val="0015034E"/>
    <w:rsid w:val="001503B4"/>
    <w:rsid w:val="00150440"/>
    <w:rsid w:val="00150704"/>
    <w:rsid w:val="00150FCA"/>
    <w:rsid w:val="0015116C"/>
    <w:rsid w:val="001512A1"/>
    <w:rsid w:val="00151AE0"/>
    <w:rsid w:val="00151D8E"/>
    <w:rsid w:val="00151FC4"/>
    <w:rsid w:val="001520B6"/>
    <w:rsid w:val="001520BE"/>
    <w:rsid w:val="00152628"/>
    <w:rsid w:val="00152823"/>
    <w:rsid w:val="001532B4"/>
    <w:rsid w:val="001533D7"/>
    <w:rsid w:val="001538D4"/>
    <w:rsid w:val="00153E1B"/>
    <w:rsid w:val="0015428D"/>
    <w:rsid w:val="00154455"/>
    <w:rsid w:val="001549AB"/>
    <w:rsid w:val="00154CCB"/>
    <w:rsid w:val="00154DDC"/>
    <w:rsid w:val="001552D3"/>
    <w:rsid w:val="00155AF1"/>
    <w:rsid w:val="00155DA5"/>
    <w:rsid w:val="00155EBA"/>
    <w:rsid w:val="00155F7D"/>
    <w:rsid w:val="001565B8"/>
    <w:rsid w:val="00156CE5"/>
    <w:rsid w:val="001570BC"/>
    <w:rsid w:val="001575C0"/>
    <w:rsid w:val="00157798"/>
    <w:rsid w:val="001577E4"/>
    <w:rsid w:val="001579BF"/>
    <w:rsid w:val="00157A5A"/>
    <w:rsid w:val="00157B4A"/>
    <w:rsid w:val="00157CD4"/>
    <w:rsid w:val="00157D3D"/>
    <w:rsid w:val="001605E5"/>
    <w:rsid w:val="00160689"/>
    <w:rsid w:val="00160AC6"/>
    <w:rsid w:val="00160E0E"/>
    <w:rsid w:val="001611CE"/>
    <w:rsid w:val="00161597"/>
    <w:rsid w:val="001618B6"/>
    <w:rsid w:val="00161AA0"/>
    <w:rsid w:val="00161BD4"/>
    <w:rsid w:val="00161D26"/>
    <w:rsid w:val="00162881"/>
    <w:rsid w:val="001628BE"/>
    <w:rsid w:val="00162F14"/>
    <w:rsid w:val="0016301D"/>
    <w:rsid w:val="001633BF"/>
    <w:rsid w:val="001633EF"/>
    <w:rsid w:val="001662BC"/>
    <w:rsid w:val="001662CC"/>
    <w:rsid w:val="001663F6"/>
    <w:rsid w:val="00166990"/>
    <w:rsid w:val="00167010"/>
    <w:rsid w:val="001675DC"/>
    <w:rsid w:val="0016778A"/>
    <w:rsid w:val="00167A97"/>
    <w:rsid w:val="00167ABB"/>
    <w:rsid w:val="00167BAD"/>
    <w:rsid w:val="00167EC4"/>
    <w:rsid w:val="0017001F"/>
    <w:rsid w:val="001701F7"/>
    <w:rsid w:val="0017072D"/>
    <w:rsid w:val="00170907"/>
    <w:rsid w:val="00170B60"/>
    <w:rsid w:val="00170BF7"/>
    <w:rsid w:val="00171077"/>
    <w:rsid w:val="00171A2B"/>
    <w:rsid w:val="00171CED"/>
    <w:rsid w:val="00171E79"/>
    <w:rsid w:val="00171EC0"/>
    <w:rsid w:val="0017210D"/>
    <w:rsid w:val="00172877"/>
    <w:rsid w:val="00172C84"/>
    <w:rsid w:val="00173152"/>
    <w:rsid w:val="00173375"/>
    <w:rsid w:val="0017392B"/>
    <w:rsid w:val="00173B20"/>
    <w:rsid w:val="0017434E"/>
    <w:rsid w:val="0017497E"/>
    <w:rsid w:val="00174B75"/>
    <w:rsid w:val="00175550"/>
    <w:rsid w:val="001755A4"/>
    <w:rsid w:val="00175ABC"/>
    <w:rsid w:val="00175BC8"/>
    <w:rsid w:val="00176319"/>
    <w:rsid w:val="001768E0"/>
    <w:rsid w:val="00176CB5"/>
    <w:rsid w:val="00176FB2"/>
    <w:rsid w:val="001779B9"/>
    <w:rsid w:val="00177E4F"/>
    <w:rsid w:val="00177ECA"/>
    <w:rsid w:val="00180000"/>
    <w:rsid w:val="001803C1"/>
    <w:rsid w:val="001803FA"/>
    <w:rsid w:val="00180AC3"/>
    <w:rsid w:val="00180AE1"/>
    <w:rsid w:val="00180FD3"/>
    <w:rsid w:val="001813E5"/>
    <w:rsid w:val="00181569"/>
    <w:rsid w:val="001816DB"/>
    <w:rsid w:val="00182132"/>
    <w:rsid w:val="001821E2"/>
    <w:rsid w:val="001823EB"/>
    <w:rsid w:val="001825A0"/>
    <w:rsid w:val="00182F2E"/>
    <w:rsid w:val="00183CE9"/>
    <w:rsid w:val="0018401A"/>
    <w:rsid w:val="0018402B"/>
    <w:rsid w:val="001841A6"/>
    <w:rsid w:val="001845BC"/>
    <w:rsid w:val="00184721"/>
    <w:rsid w:val="00184A64"/>
    <w:rsid w:val="00186562"/>
    <w:rsid w:val="0018716E"/>
    <w:rsid w:val="00187247"/>
    <w:rsid w:val="0018737A"/>
    <w:rsid w:val="001873CB"/>
    <w:rsid w:val="001873FD"/>
    <w:rsid w:val="001874B5"/>
    <w:rsid w:val="001879D7"/>
    <w:rsid w:val="00187FAE"/>
    <w:rsid w:val="00190368"/>
    <w:rsid w:val="001904D1"/>
    <w:rsid w:val="00190853"/>
    <w:rsid w:val="001910DA"/>
    <w:rsid w:val="00191620"/>
    <w:rsid w:val="0019185E"/>
    <w:rsid w:val="00191B56"/>
    <w:rsid w:val="00191BB1"/>
    <w:rsid w:val="00191C3F"/>
    <w:rsid w:val="00191EEB"/>
    <w:rsid w:val="00192011"/>
    <w:rsid w:val="0019320B"/>
    <w:rsid w:val="0019355D"/>
    <w:rsid w:val="00193945"/>
    <w:rsid w:val="00193A40"/>
    <w:rsid w:val="00193AAF"/>
    <w:rsid w:val="00193D5B"/>
    <w:rsid w:val="00193DF4"/>
    <w:rsid w:val="0019439A"/>
    <w:rsid w:val="001943C4"/>
    <w:rsid w:val="00194585"/>
    <w:rsid w:val="001946F2"/>
    <w:rsid w:val="001947B3"/>
    <w:rsid w:val="00194AC5"/>
    <w:rsid w:val="00194ED9"/>
    <w:rsid w:val="00194EFC"/>
    <w:rsid w:val="001952EE"/>
    <w:rsid w:val="0019534C"/>
    <w:rsid w:val="001956CA"/>
    <w:rsid w:val="001956FC"/>
    <w:rsid w:val="0019576F"/>
    <w:rsid w:val="00195D91"/>
    <w:rsid w:val="0019665B"/>
    <w:rsid w:val="0019672E"/>
    <w:rsid w:val="00196820"/>
    <w:rsid w:val="00196D9B"/>
    <w:rsid w:val="00196FE1"/>
    <w:rsid w:val="0019718A"/>
    <w:rsid w:val="001971A1"/>
    <w:rsid w:val="001A02CB"/>
    <w:rsid w:val="001A0766"/>
    <w:rsid w:val="001A0F9B"/>
    <w:rsid w:val="001A145A"/>
    <w:rsid w:val="001A14B6"/>
    <w:rsid w:val="001A152F"/>
    <w:rsid w:val="001A189F"/>
    <w:rsid w:val="001A1AE2"/>
    <w:rsid w:val="001A1D95"/>
    <w:rsid w:val="001A2836"/>
    <w:rsid w:val="001A286F"/>
    <w:rsid w:val="001A29D7"/>
    <w:rsid w:val="001A341F"/>
    <w:rsid w:val="001A387C"/>
    <w:rsid w:val="001A38F9"/>
    <w:rsid w:val="001A3CFF"/>
    <w:rsid w:val="001A42B4"/>
    <w:rsid w:val="001A4550"/>
    <w:rsid w:val="001A4A89"/>
    <w:rsid w:val="001A4FA6"/>
    <w:rsid w:val="001A54E3"/>
    <w:rsid w:val="001A5561"/>
    <w:rsid w:val="001A6252"/>
    <w:rsid w:val="001A63EB"/>
    <w:rsid w:val="001A641D"/>
    <w:rsid w:val="001A6A46"/>
    <w:rsid w:val="001A6B0A"/>
    <w:rsid w:val="001A7016"/>
    <w:rsid w:val="001A73B3"/>
    <w:rsid w:val="001A7BD7"/>
    <w:rsid w:val="001B0866"/>
    <w:rsid w:val="001B0DDF"/>
    <w:rsid w:val="001B1044"/>
    <w:rsid w:val="001B14A2"/>
    <w:rsid w:val="001B1514"/>
    <w:rsid w:val="001B1565"/>
    <w:rsid w:val="001B1F9B"/>
    <w:rsid w:val="001B1FA5"/>
    <w:rsid w:val="001B2C1E"/>
    <w:rsid w:val="001B2DD8"/>
    <w:rsid w:val="001B4144"/>
    <w:rsid w:val="001B42CE"/>
    <w:rsid w:val="001B45C6"/>
    <w:rsid w:val="001B4BC1"/>
    <w:rsid w:val="001B4DB7"/>
    <w:rsid w:val="001B5134"/>
    <w:rsid w:val="001B55D6"/>
    <w:rsid w:val="001B6299"/>
    <w:rsid w:val="001B63B0"/>
    <w:rsid w:val="001B64FC"/>
    <w:rsid w:val="001B68CA"/>
    <w:rsid w:val="001B6BF6"/>
    <w:rsid w:val="001B70AC"/>
    <w:rsid w:val="001B71F8"/>
    <w:rsid w:val="001B7284"/>
    <w:rsid w:val="001B774D"/>
    <w:rsid w:val="001B78BF"/>
    <w:rsid w:val="001B7E00"/>
    <w:rsid w:val="001C0EF4"/>
    <w:rsid w:val="001C11D0"/>
    <w:rsid w:val="001C14CE"/>
    <w:rsid w:val="001C159E"/>
    <w:rsid w:val="001C1FD3"/>
    <w:rsid w:val="001C236D"/>
    <w:rsid w:val="001C277D"/>
    <w:rsid w:val="001C27EF"/>
    <w:rsid w:val="001C2B52"/>
    <w:rsid w:val="001C313F"/>
    <w:rsid w:val="001C35F4"/>
    <w:rsid w:val="001C3DFF"/>
    <w:rsid w:val="001C3FFD"/>
    <w:rsid w:val="001C47F6"/>
    <w:rsid w:val="001C4D52"/>
    <w:rsid w:val="001C5488"/>
    <w:rsid w:val="001C59E4"/>
    <w:rsid w:val="001C5E86"/>
    <w:rsid w:val="001C6A6B"/>
    <w:rsid w:val="001C6C88"/>
    <w:rsid w:val="001C706E"/>
    <w:rsid w:val="001C70C2"/>
    <w:rsid w:val="001C7764"/>
    <w:rsid w:val="001D011E"/>
    <w:rsid w:val="001D0598"/>
    <w:rsid w:val="001D067A"/>
    <w:rsid w:val="001D0841"/>
    <w:rsid w:val="001D091B"/>
    <w:rsid w:val="001D0E37"/>
    <w:rsid w:val="001D1701"/>
    <w:rsid w:val="001D1930"/>
    <w:rsid w:val="001D1D43"/>
    <w:rsid w:val="001D1F16"/>
    <w:rsid w:val="001D21A4"/>
    <w:rsid w:val="001D2C8D"/>
    <w:rsid w:val="001D3237"/>
    <w:rsid w:val="001D3564"/>
    <w:rsid w:val="001D407E"/>
    <w:rsid w:val="001D40DF"/>
    <w:rsid w:val="001D4318"/>
    <w:rsid w:val="001D4987"/>
    <w:rsid w:val="001D5029"/>
    <w:rsid w:val="001D5087"/>
    <w:rsid w:val="001D51C3"/>
    <w:rsid w:val="001D532C"/>
    <w:rsid w:val="001D5F67"/>
    <w:rsid w:val="001D61D7"/>
    <w:rsid w:val="001D6607"/>
    <w:rsid w:val="001D6BED"/>
    <w:rsid w:val="001D6D75"/>
    <w:rsid w:val="001D7056"/>
    <w:rsid w:val="001D78BE"/>
    <w:rsid w:val="001D78C4"/>
    <w:rsid w:val="001E032F"/>
    <w:rsid w:val="001E0451"/>
    <w:rsid w:val="001E05A7"/>
    <w:rsid w:val="001E069E"/>
    <w:rsid w:val="001E0D90"/>
    <w:rsid w:val="001E101E"/>
    <w:rsid w:val="001E1236"/>
    <w:rsid w:val="001E125C"/>
    <w:rsid w:val="001E12B9"/>
    <w:rsid w:val="001E1CC5"/>
    <w:rsid w:val="001E27E5"/>
    <w:rsid w:val="001E2CAF"/>
    <w:rsid w:val="001E2EF7"/>
    <w:rsid w:val="001E33F2"/>
    <w:rsid w:val="001E3490"/>
    <w:rsid w:val="001E3A8C"/>
    <w:rsid w:val="001E3B0C"/>
    <w:rsid w:val="001E4AF5"/>
    <w:rsid w:val="001E4D37"/>
    <w:rsid w:val="001E5593"/>
    <w:rsid w:val="001E5762"/>
    <w:rsid w:val="001E5D33"/>
    <w:rsid w:val="001E5EF6"/>
    <w:rsid w:val="001E61FF"/>
    <w:rsid w:val="001E6A9A"/>
    <w:rsid w:val="001E6D60"/>
    <w:rsid w:val="001E7637"/>
    <w:rsid w:val="001E77E5"/>
    <w:rsid w:val="001E786E"/>
    <w:rsid w:val="001E78A5"/>
    <w:rsid w:val="001E78C2"/>
    <w:rsid w:val="001F05F0"/>
    <w:rsid w:val="001F068E"/>
    <w:rsid w:val="001F1289"/>
    <w:rsid w:val="001F1400"/>
    <w:rsid w:val="001F14AF"/>
    <w:rsid w:val="001F1E40"/>
    <w:rsid w:val="001F2812"/>
    <w:rsid w:val="001F2AA8"/>
    <w:rsid w:val="001F2BCD"/>
    <w:rsid w:val="001F2C5B"/>
    <w:rsid w:val="001F2F67"/>
    <w:rsid w:val="001F321D"/>
    <w:rsid w:val="001F366F"/>
    <w:rsid w:val="001F3F94"/>
    <w:rsid w:val="001F42E1"/>
    <w:rsid w:val="001F46B4"/>
    <w:rsid w:val="001F492C"/>
    <w:rsid w:val="001F4D52"/>
    <w:rsid w:val="001F4E04"/>
    <w:rsid w:val="001F59E2"/>
    <w:rsid w:val="001F6066"/>
    <w:rsid w:val="001F6078"/>
    <w:rsid w:val="001F6564"/>
    <w:rsid w:val="001F6E06"/>
    <w:rsid w:val="001F7251"/>
    <w:rsid w:val="001F74A6"/>
    <w:rsid w:val="002002C0"/>
    <w:rsid w:val="0020041B"/>
    <w:rsid w:val="0020055C"/>
    <w:rsid w:val="002006E8"/>
    <w:rsid w:val="00200CE4"/>
    <w:rsid w:val="00200D1F"/>
    <w:rsid w:val="00201483"/>
    <w:rsid w:val="002014B1"/>
    <w:rsid w:val="00201539"/>
    <w:rsid w:val="002015CC"/>
    <w:rsid w:val="002019A4"/>
    <w:rsid w:val="002019A5"/>
    <w:rsid w:val="00202605"/>
    <w:rsid w:val="00202984"/>
    <w:rsid w:val="00202CCD"/>
    <w:rsid w:val="0020332B"/>
    <w:rsid w:val="0020339A"/>
    <w:rsid w:val="0020374C"/>
    <w:rsid w:val="0020396A"/>
    <w:rsid w:val="00204442"/>
    <w:rsid w:val="002046B9"/>
    <w:rsid w:val="00204B18"/>
    <w:rsid w:val="00204EBA"/>
    <w:rsid w:val="00204F82"/>
    <w:rsid w:val="002051B9"/>
    <w:rsid w:val="002052CD"/>
    <w:rsid w:val="00205771"/>
    <w:rsid w:val="0020597E"/>
    <w:rsid w:val="002063F6"/>
    <w:rsid w:val="00206674"/>
    <w:rsid w:val="002066C1"/>
    <w:rsid w:val="002066C7"/>
    <w:rsid w:val="00206AF4"/>
    <w:rsid w:val="0020705B"/>
    <w:rsid w:val="00207679"/>
    <w:rsid w:val="00207807"/>
    <w:rsid w:val="002100A2"/>
    <w:rsid w:val="002107B7"/>
    <w:rsid w:val="0021081C"/>
    <w:rsid w:val="002114D2"/>
    <w:rsid w:val="002116BB"/>
    <w:rsid w:val="0021176C"/>
    <w:rsid w:val="0021177B"/>
    <w:rsid w:val="002119CD"/>
    <w:rsid w:val="00211A84"/>
    <w:rsid w:val="00211C44"/>
    <w:rsid w:val="0021206A"/>
    <w:rsid w:val="00212216"/>
    <w:rsid w:val="00212AD2"/>
    <w:rsid w:val="002134C4"/>
    <w:rsid w:val="00213B33"/>
    <w:rsid w:val="002140C3"/>
    <w:rsid w:val="00214243"/>
    <w:rsid w:val="0021472F"/>
    <w:rsid w:val="0021574F"/>
    <w:rsid w:val="002159C9"/>
    <w:rsid w:val="00215AEB"/>
    <w:rsid w:val="00215DE3"/>
    <w:rsid w:val="00215E7B"/>
    <w:rsid w:val="00216282"/>
    <w:rsid w:val="00216AE6"/>
    <w:rsid w:val="0021706D"/>
    <w:rsid w:val="0021775A"/>
    <w:rsid w:val="00217B6B"/>
    <w:rsid w:val="00217F71"/>
    <w:rsid w:val="00217FB0"/>
    <w:rsid w:val="002202EF"/>
    <w:rsid w:val="002216FA"/>
    <w:rsid w:val="002218BC"/>
    <w:rsid w:val="00221AA8"/>
    <w:rsid w:val="002220A5"/>
    <w:rsid w:val="0022228F"/>
    <w:rsid w:val="00222A13"/>
    <w:rsid w:val="00222BEA"/>
    <w:rsid w:val="002231C1"/>
    <w:rsid w:val="00224666"/>
    <w:rsid w:val="00224C1C"/>
    <w:rsid w:val="00224E04"/>
    <w:rsid w:val="00225439"/>
    <w:rsid w:val="0022547B"/>
    <w:rsid w:val="002257A4"/>
    <w:rsid w:val="00225F9B"/>
    <w:rsid w:val="002273E1"/>
    <w:rsid w:val="00227AD1"/>
    <w:rsid w:val="00227C97"/>
    <w:rsid w:val="00227EC7"/>
    <w:rsid w:val="0023029F"/>
    <w:rsid w:val="00230469"/>
    <w:rsid w:val="00230F12"/>
    <w:rsid w:val="002312FA"/>
    <w:rsid w:val="00231666"/>
    <w:rsid w:val="0023166A"/>
    <w:rsid w:val="00231C50"/>
    <w:rsid w:val="00231D3A"/>
    <w:rsid w:val="00231D76"/>
    <w:rsid w:val="00231F6E"/>
    <w:rsid w:val="00232061"/>
    <w:rsid w:val="00232444"/>
    <w:rsid w:val="002329F2"/>
    <w:rsid w:val="00233206"/>
    <w:rsid w:val="00233543"/>
    <w:rsid w:val="00233545"/>
    <w:rsid w:val="00233B47"/>
    <w:rsid w:val="00233BDA"/>
    <w:rsid w:val="00233D4D"/>
    <w:rsid w:val="002345EA"/>
    <w:rsid w:val="00234662"/>
    <w:rsid w:val="002346CF"/>
    <w:rsid w:val="00234F84"/>
    <w:rsid w:val="0023510E"/>
    <w:rsid w:val="00235945"/>
    <w:rsid w:val="00235A37"/>
    <w:rsid w:val="00235CAB"/>
    <w:rsid w:val="00236D77"/>
    <w:rsid w:val="002375D5"/>
    <w:rsid w:val="0023772A"/>
    <w:rsid w:val="00237DEE"/>
    <w:rsid w:val="002402F9"/>
    <w:rsid w:val="00240472"/>
    <w:rsid w:val="0024066A"/>
    <w:rsid w:val="002406AD"/>
    <w:rsid w:val="00240798"/>
    <w:rsid w:val="002407EC"/>
    <w:rsid w:val="00240870"/>
    <w:rsid w:val="00240965"/>
    <w:rsid w:val="00241138"/>
    <w:rsid w:val="00241F2E"/>
    <w:rsid w:val="002423AE"/>
    <w:rsid w:val="00242F4C"/>
    <w:rsid w:val="0024320F"/>
    <w:rsid w:val="00243B24"/>
    <w:rsid w:val="002442ED"/>
    <w:rsid w:val="002443DD"/>
    <w:rsid w:val="0024458C"/>
    <w:rsid w:val="00244B30"/>
    <w:rsid w:val="0024538B"/>
    <w:rsid w:val="00245558"/>
    <w:rsid w:val="0024558E"/>
    <w:rsid w:val="0024615C"/>
    <w:rsid w:val="00246262"/>
    <w:rsid w:val="0024692D"/>
    <w:rsid w:val="00247028"/>
    <w:rsid w:val="002471E5"/>
    <w:rsid w:val="00247C84"/>
    <w:rsid w:val="00250093"/>
    <w:rsid w:val="00250A10"/>
    <w:rsid w:val="00250DC0"/>
    <w:rsid w:val="00251138"/>
    <w:rsid w:val="002512EC"/>
    <w:rsid w:val="002516EB"/>
    <w:rsid w:val="00252109"/>
    <w:rsid w:val="00252280"/>
    <w:rsid w:val="00252576"/>
    <w:rsid w:val="00252597"/>
    <w:rsid w:val="0025274D"/>
    <w:rsid w:val="00252B07"/>
    <w:rsid w:val="00252E0C"/>
    <w:rsid w:val="0025364B"/>
    <w:rsid w:val="00253974"/>
    <w:rsid w:val="00253CE7"/>
    <w:rsid w:val="00253EB9"/>
    <w:rsid w:val="0025449B"/>
    <w:rsid w:val="00254572"/>
    <w:rsid w:val="00254BA6"/>
    <w:rsid w:val="00254E3A"/>
    <w:rsid w:val="002555BE"/>
    <w:rsid w:val="00255679"/>
    <w:rsid w:val="002558B3"/>
    <w:rsid w:val="00255A73"/>
    <w:rsid w:val="00255C30"/>
    <w:rsid w:val="002561DA"/>
    <w:rsid w:val="002566DD"/>
    <w:rsid w:val="00257272"/>
    <w:rsid w:val="0025752D"/>
    <w:rsid w:val="00257679"/>
    <w:rsid w:val="00257B1C"/>
    <w:rsid w:val="00257BDF"/>
    <w:rsid w:val="002609DC"/>
    <w:rsid w:val="00260E61"/>
    <w:rsid w:val="00260F55"/>
    <w:rsid w:val="002612C3"/>
    <w:rsid w:val="002614EA"/>
    <w:rsid w:val="00261795"/>
    <w:rsid w:val="00261E5C"/>
    <w:rsid w:val="00261F5B"/>
    <w:rsid w:val="002621FC"/>
    <w:rsid w:val="00262406"/>
    <w:rsid w:val="00262F2B"/>
    <w:rsid w:val="00262F3E"/>
    <w:rsid w:val="0026386C"/>
    <w:rsid w:val="0026408B"/>
    <w:rsid w:val="0026442D"/>
    <w:rsid w:val="00264AF7"/>
    <w:rsid w:val="002653BA"/>
    <w:rsid w:val="002653CD"/>
    <w:rsid w:val="002656D9"/>
    <w:rsid w:val="00265B0E"/>
    <w:rsid w:val="00265D89"/>
    <w:rsid w:val="00265E4F"/>
    <w:rsid w:val="00265E5F"/>
    <w:rsid w:val="00265E8C"/>
    <w:rsid w:val="0026626B"/>
    <w:rsid w:val="0026661A"/>
    <w:rsid w:val="00266796"/>
    <w:rsid w:val="002669B3"/>
    <w:rsid w:val="00266A8B"/>
    <w:rsid w:val="00266D61"/>
    <w:rsid w:val="0026715B"/>
    <w:rsid w:val="002679DF"/>
    <w:rsid w:val="0027065D"/>
    <w:rsid w:val="0027079C"/>
    <w:rsid w:val="00271A13"/>
    <w:rsid w:val="00271B2B"/>
    <w:rsid w:val="00271E51"/>
    <w:rsid w:val="00272A9E"/>
    <w:rsid w:val="00272EDB"/>
    <w:rsid w:val="00272F38"/>
    <w:rsid w:val="00273053"/>
    <w:rsid w:val="0027319A"/>
    <w:rsid w:val="0027390A"/>
    <w:rsid w:val="00273A91"/>
    <w:rsid w:val="002740BA"/>
    <w:rsid w:val="002741F2"/>
    <w:rsid w:val="00274F09"/>
    <w:rsid w:val="00275A7A"/>
    <w:rsid w:val="00276674"/>
    <w:rsid w:val="002768AA"/>
    <w:rsid w:val="00276DD7"/>
    <w:rsid w:val="00277919"/>
    <w:rsid w:val="00277DEE"/>
    <w:rsid w:val="00281786"/>
    <w:rsid w:val="0028184C"/>
    <w:rsid w:val="00281BBF"/>
    <w:rsid w:val="00281C23"/>
    <w:rsid w:val="00282BE7"/>
    <w:rsid w:val="00282C30"/>
    <w:rsid w:val="00282D7E"/>
    <w:rsid w:val="00283152"/>
    <w:rsid w:val="00283ED6"/>
    <w:rsid w:val="0028453B"/>
    <w:rsid w:val="00284E31"/>
    <w:rsid w:val="002850AA"/>
    <w:rsid w:val="002852AC"/>
    <w:rsid w:val="0028552C"/>
    <w:rsid w:val="00286277"/>
    <w:rsid w:val="002864C2"/>
    <w:rsid w:val="00286B33"/>
    <w:rsid w:val="00286D0B"/>
    <w:rsid w:val="00287229"/>
    <w:rsid w:val="00287F92"/>
    <w:rsid w:val="00290065"/>
    <w:rsid w:val="002901C4"/>
    <w:rsid w:val="00290427"/>
    <w:rsid w:val="00290445"/>
    <w:rsid w:val="0029064A"/>
    <w:rsid w:val="00290985"/>
    <w:rsid w:val="002909C1"/>
    <w:rsid w:val="00290CA9"/>
    <w:rsid w:val="00290EBA"/>
    <w:rsid w:val="0029119D"/>
    <w:rsid w:val="00291326"/>
    <w:rsid w:val="0029139B"/>
    <w:rsid w:val="00291C09"/>
    <w:rsid w:val="00291CA0"/>
    <w:rsid w:val="00291F86"/>
    <w:rsid w:val="00291FB2"/>
    <w:rsid w:val="00292044"/>
    <w:rsid w:val="002929C9"/>
    <w:rsid w:val="0029323D"/>
    <w:rsid w:val="00293811"/>
    <w:rsid w:val="002941D0"/>
    <w:rsid w:val="002946FB"/>
    <w:rsid w:val="002957C2"/>
    <w:rsid w:val="00295C75"/>
    <w:rsid w:val="00295EF7"/>
    <w:rsid w:val="00295FA9"/>
    <w:rsid w:val="00297250"/>
    <w:rsid w:val="0029731C"/>
    <w:rsid w:val="002975A9"/>
    <w:rsid w:val="002A012C"/>
    <w:rsid w:val="002A04F0"/>
    <w:rsid w:val="002A052A"/>
    <w:rsid w:val="002A151A"/>
    <w:rsid w:val="002A19CC"/>
    <w:rsid w:val="002A1D72"/>
    <w:rsid w:val="002A222C"/>
    <w:rsid w:val="002A2589"/>
    <w:rsid w:val="002A2687"/>
    <w:rsid w:val="002A2947"/>
    <w:rsid w:val="002A2CBA"/>
    <w:rsid w:val="002A2F18"/>
    <w:rsid w:val="002A3143"/>
    <w:rsid w:val="002A3B53"/>
    <w:rsid w:val="002A468A"/>
    <w:rsid w:val="002A49F2"/>
    <w:rsid w:val="002A4C25"/>
    <w:rsid w:val="002A4D63"/>
    <w:rsid w:val="002A4D6E"/>
    <w:rsid w:val="002A5016"/>
    <w:rsid w:val="002A50E1"/>
    <w:rsid w:val="002A5236"/>
    <w:rsid w:val="002A551F"/>
    <w:rsid w:val="002A56E5"/>
    <w:rsid w:val="002A5915"/>
    <w:rsid w:val="002A5C23"/>
    <w:rsid w:val="002A686F"/>
    <w:rsid w:val="002A6C0F"/>
    <w:rsid w:val="002A6F0C"/>
    <w:rsid w:val="002A6FBC"/>
    <w:rsid w:val="002A776F"/>
    <w:rsid w:val="002B0029"/>
    <w:rsid w:val="002B02B3"/>
    <w:rsid w:val="002B031C"/>
    <w:rsid w:val="002B0385"/>
    <w:rsid w:val="002B079D"/>
    <w:rsid w:val="002B0969"/>
    <w:rsid w:val="002B1136"/>
    <w:rsid w:val="002B1C96"/>
    <w:rsid w:val="002B2227"/>
    <w:rsid w:val="002B2231"/>
    <w:rsid w:val="002B2684"/>
    <w:rsid w:val="002B2853"/>
    <w:rsid w:val="002B2A60"/>
    <w:rsid w:val="002B2C9F"/>
    <w:rsid w:val="002B2EB3"/>
    <w:rsid w:val="002B2F02"/>
    <w:rsid w:val="002B3340"/>
    <w:rsid w:val="002B397E"/>
    <w:rsid w:val="002B3F62"/>
    <w:rsid w:val="002B41B3"/>
    <w:rsid w:val="002B421B"/>
    <w:rsid w:val="002B43D2"/>
    <w:rsid w:val="002B4557"/>
    <w:rsid w:val="002B4B44"/>
    <w:rsid w:val="002B561C"/>
    <w:rsid w:val="002B5772"/>
    <w:rsid w:val="002B57F0"/>
    <w:rsid w:val="002B671F"/>
    <w:rsid w:val="002B6D1D"/>
    <w:rsid w:val="002B7363"/>
    <w:rsid w:val="002B7749"/>
    <w:rsid w:val="002B79E2"/>
    <w:rsid w:val="002B7D7C"/>
    <w:rsid w:val="002C03C5"/>
    <w:rsid w:val="002C0551"/>
    <w:rsid w:val="002C0B2D"/>
    <w:rsid w:val="002C0D1C"/>
    <w:rsid w:val="002C1B41"/>
    <w:rsid w:val="002C257D"/>
    <w:rsid w:val="002C2774"/>
    <w:rsid w:val="002C2989"/>
    <w:rsid w:val="002C2B2B"/>
    <w:rsid w:val="002C312D"/>
    <w:rsid w:val="002C381D"/>
    <w:rsid w:val="002C38DA"/>
    <w:rsid w:val="002C3ACD"/>
    <w:rsid w:val="002C3B55"/>
    <w:rsid w:val="002C3DED"/>
    <w:rsid w:val="002C44C6"/>
    <w:rsid w:val="002C4916"/>
    <w:rsid w:val="002C4AE1"/>
    <w:rsid w:val="002C4B9E"/>
    <w:rsid w:val="002C4E26"/>
    <w:rsid w:val="002C5269"/>
    <w:rsid w:val="002C52D7"/>
    <w:rsid w:val="002C5378"/>
    <w:rsid w:val="002C54E6"/>
    <w:rsid w:val="002C5547"/>
    <w:rsid w:val="002C589F"/>
    <w:rsid w:val="002C5AB2"/>
    <w:rsid w:val="002C5B56"/>
    <w:rsid w:val="002C5C3D"/>
    <w:rsid w:val="002C5EEC"/>
    <w:rsid w:val="002C61C0"/>
    <w:rsid w:val="002C631B"/>
    <w:rsid w:val="002C6CE4"/>
    <w:rsid w:val="002C70E7"/>
    <w:rsid w:val="002C7A60"/>
    <w:rsid w:val="002C7D76"/>
    <w:rsid w:val="002C7EC1"/>
    <w:rsid w:val="002C7ECF"/>
    <w:rsid w:val="002C7FF4"/>
    <w:rsid w:val="002D013E"/>
    <w:rsid w:val="002D024F"/>
    <w:rsid w:val="002D05D3"/>
    <w:rsid w:val="002D0F83"/>
    <w:rsid w:val="002D1F1F"/>
    <w:rsid w:val="002D20C7"/>
    <w:rsid w:val="002D2348"/>
    <w:rsid w:val="002D4032"/>
    <w:rsid w:val="002D4133"/>
    <w:rsid w:val="002D45E9"/>
    <w:rsid w:val="002D4671"/>
    <w:rsid w:val="002D46E8"/>
    <w:rsid w:val="002D4AC4"/>
    <w:rsid w:val="002D4B00"/>
    <w:rsid w:val="002D4CFB"/>
    <w:rsid w:val="002D5228"/>
    <w:rsid w:val="002D55C3"/>
    <w:rsid w:val="002D56D0"/>
    <w:rsid w:val="002D5A14"/>
    <w:rsid w:val="002D5A75"/>
    <w:rsid w:val="002D5B3E"/>
    <w:rsid w:val="002D5C7A"/>
    <w:rsid w:val="002D5E76"/>
    <w:rsid w:val="002D5ECE"/>
    <w:rsid w:val="002D653E"/>
    <w:rsid w:val="002D65DB"/>
    <w:rsid w:val="002D68C7"/>
    <w:rsid w:val="002D7630"/>
    <w:rsid w:val="002D764C"/>
    <w:rsid w:val="002D79A7"/>
    <w:rsid w:val="002D7C35"/>
    <w:rsid w:val="002E12C0"/>
    <w:rsid w:val="002E1361"/>
    <w:rsid w:val="002E1461"/>
    <w:rsid w:val="002E15E1"/>
    <w:rsid w:val="002E163B"/>
    <w:rsid w:val="002E174A"/>
    <w:rsid w:val="002E1764"/>
    <w:rsid w:val="002E17D0"/>
    <w:rsid w:val="002E17DC"/>
    <w:rsid w:val="002E183E"/>
    <w:rsid w:val="002E1B4B"/>
    <w:rsid w:val="002E1D26"/>
    <w:rsid w:val="002E24FB"/>
    <w:rsid w:val="002E26E8"/>
    <w:rsid w:val="002E2CE2"/>
    <w:rsid w:val="002E2FFB"/>
    <w:rsid w:val="002E319E"/>
    <w:rsid w:val="002E31F9"/>
    <w:rsid w:val="002E3219"/>
    <w:rsid w:val="002E356F"/>
    <w:rsid w:val="002E3640"/>
    <w:rsid w:val="002E3F68"/>
    <w:rsid w:val="002E4261"/>
    <w:rsid w:val="002E4372"/>
    <w:rsid w:val="002E4A37"/>
    <w:rsid w:val="002E4AB9"/>
    <w:rsid w:val="002E4CBC"/>
    <w:rsid w:val="002E4E11"/>
    <w:rsid w:val="002E583E"/>
    <w:rsid w:val="002E5C16"/>
    <w:rsid w:val="002E66C0"/>
    <w:rsid w:val="002E66D1"/>
    <w:rsid w:val="002E73E7"/>
    <w:rsid w:val="002E7848"/>
    <w:rsid w:val="002E7F67"/>
    <w:rsid w:val="002F053C"/>
    <w:rsid w:val="002F0555"/>
    <w:rsid w:val="002F06F1"/>
    <w:rsid w:val="002F0AA7"/>
    <w:rsid w:val="002F0DFC"/>
    <w:rsid w:val="002F1122"/>
    <w:rsid w:val="002F1B28"/>
    <w:rsid w:val="002F1BB4"/>
    <w:rsid w:val="002F1BFE"/>
    <w:rsid w:val="002F204E"/>
    <w:rsid w:val="002F242B"/>
    <w:rsid w:val="002F24CE"/>
    <w:rsid w:val="002F2583"/>
    <w:rsid w:val="002F270D"/>
    <w:rsid w:val="002F279A"/>
    <w:rsid w:val="002F27B4"/>
    <w:rsid w:val="002F2C1A"/>
    <w:rsid w:val="002F393B"/>
    <w:rsid w:val="002F3BB7"/>
    <w:rsid w:val="002F4F5B"/>
    <w:rsid w:val="002F5F47"/>
    <w:rsid w:val="002F628A"/>
    <w:rsid w:val="002F68FE"/>
    <w:rsid w:val="002F78E6"/>
    <w:rsid w:val="002F7C55"/>
    <w:rsid w:val="002F7E48"/>
    <w:rsid w:val="003009B3"/>
    <w:rsid w:val="00300A2E"/>
    <w:rsid w:val="00300A40"/>
    <w:rsid w:val="00300DF8"/>
    <w:rsid w:val="0030101C"/>
    <w:rsid w:val="00301408"/>
    <w:rsid w:val="00301431"/>
    <w:rsid w:val="00301768"/>
    <w:rsid w:val="00302435"/>
    <w:rsid w:val="00302712"/>
    <w:rsid w:val="0030307F"/>
    <w:rsid w:val="00303156"/>
    <w:rsid w:val="00303FBC"/>
    <w:rsid w:val="003045B7"/>
    <w:rsid w:val="003045FE"/>
    <w:rsid w:val="00305707"/>
    <w:rsid w:val="003060FA"/>
    <w:rsid w:val="00306C4F"/>
    <w:rsid w:val="00306D7E"/>
    <w:rsid w:val="003073DF"/>
    <w:rsid w:val="00307831"/>
    <w:rsid w:val="00307896"/>
    <w:rsid w:val="00307E5F"/>
    <w:rsid w:val="003102F1"/>
    <w:rsid w:val="003107AB"/>
    <w:rsid w:val="0031127A"/>
    <w:rsid w:val="0031129B"/>
    <w:rsid w:val="00311655"/>
    <w:rsid w:val="00311A01"/>
    <w:rsid w:val="00311AF3"/>
    <w:rsid w:val="00311DD7"/>
    <w:rsid w:val="0031278C"/>
    <w:rsid w:val="00313610"/>
    <w:rsid w:val="003136B8"/>
    <w:rsid w:val="003137E4"/>
    <w:rsid w:val="003138CC"/>
    <w:rsid w:val="00313F3E"/>
    <w:rsid w:val="0031415F"/>
    <w:rsid w:val="00314324"/>
    <w:rsid w:val="003144E1"/>
    <w:rsid w:val="003144F8"/>
    <w:rsid w:val="00314708"/>
    <w:rsid w:val="003154CB"/>
    <w:rsid w:val="003154E8"/>
    <w:rsid w:val="00315783"/>
    <w:rsid w:val="00315C29"/>
    <w:rsid w:val="003164D9"/>
    <w:rsid w:val="0031664C"/>
    <w:rsid w:val="00316689"/>
    <w:rsid w:val="00316A43"/>
    <w:rsid w:val="00316C7D"/>
    <w:rsid w:val="00316EE4"/>
    <w:rsid w:val="00316F6D"/>
    <w:rsid w:val="003171F7"/>
    <w:rsid w:val="0031743B"/>
    <w:rsid w:val="0031770C"/>
    <w:rsid w:val="00317B47"/>
    <w:rsid w:val="00317EFE"/>
    <w:rsid w:val="0032033A"/>
    <w:rsid w:val="00320D0B"/>
    <w:rsid w:val="00321B6B"/>
    <w:rsid w:val="00321CF5"/>
    <w:rsid w:val="003221C8"/>
    <w:rsid w:val="003225DB"/>
    <w:rsid w:val="00322892"/>
    <w:rsid w:val="00322AE0"/>
    <w:rsid w:val="00322B16"/>
    <w:rsid w:val="003231DA"/>
    <w:rsid w:val="00323424"/>
    <w:rsid w:val="003239ED"/>
    <w:rsid w:val="00323AE4"/>
    <w:rsid w:val="00323C4A"/>
    <w:rsid w:val="00324997"/>
    <w:rsid w:val="003249C5"/>
    <w:rsid w:val="003255B0"/>
    <w:rsid w:val="003256B1"/>
    <w:rsid w:val="00326251"/>
    <w:rsid w:val="00326694"/>
    <w:rsid w:val="00326757"/>
    <w:rsid w:val="00326761"/>
    <w:rsid w:val="003267B2"/>
    <w:rsid w:val="0032722E"/>
    <w:rsid w:val="00327342"/>
    <w:rsid w:val="003279E0"/>
    <w:rsid w:val="00327B29"/>
    <w:rsid w:val="00330210"/>
    <w:rsid w:val="00330EEF"/>
    <w:rsid w:val="00331070"/>
    <w:rsid w:val="0033152C"/>
    <w:rsid w:val="00331545"/>
    <w:rsid w:val="003318D8"/>
    <w:rsid w:val="0033233C"/>
    <w:rsid w:val="00332718"/>
    <w:rsid w:val="003327D0"/>
    <w:rsid w:val="003330C4"/>
    <w:rsid w:val="003330E6"/>
    <w:rsid w:val="0033310F"/>
    <w:rsid w:val="0033333E"/>
    <w:rsid w:val="0033365A"/>
    <w:rsid w:val="00333699"/>
    <w:rsid w:val="00333858"/>
    <w:rsid w:val="0033390B"/>
    <w:rsid w:val="00333A47"/>
    <w:rsid w:val="00333AE4"/>
    <w:rsid w:val="00333E61"/>
    <w:rsid w:val="00334931"/>
    <w:rsid w:val="00334A2E"/>
    <w:rsid w:val="00334A3F"/>
    <w:rsid w:val="00334B28"/>
    <w:rsid w:val="00334D3A"/>
    <w:rsid w:val="00334E50"/>
    <w:rsid w:val="00334ED4"/>
    <w:rsid w:val="00335004"/>
    <w:rsid w:val="00335079"/>
    <w:rsid w:val="003354B1"/>
    <w:rsid w:val="003358DF"/>
    <w:rsid w:val="00335A4B"/>
    <w:rsid w:val="00335D58"/>
    <w:rsid w:val="00336705"/>
    <w:rsid w:val="003368C0"/>
    <w:rsid w:val="00336991"/>
    <w:rsid w:val="00336D8C"/>
    <w:rsid w:val="00336D9D"/>
    <w:rsid w:val="00336F11"/>
    <w:rsid w:val="00336F14"/>
    <w:rsid w:val="0034044C"/>
    <w:rsid w:val="0034093B"/>
    <w:rsid w:val="00340C9F"/>
    <w:rsid w:val="0034116D"/>
    <w:rsid w:val="0034141B"/>
    <w:rsid w:val="003419D6"/>
    <w:rsid w:val="00341BE9"/>
    <w:rsid w:val="00341F99"/>
    <w:rsid w:val="003420F0"/>
    <w:rsid w:val="00342299"/>
    <w:rsid w:val="00342993"/>
    <w:rsid w:val="00342C01"/>
    <w:rsid w:val="00342D59"/>
    <w:rsid w:val="003431AF"/>
    <w:rsid w:val="00343439"/>
    <w:rsid w:val="00343869"/>
    <w:rsid w:val="00343B53"/>
    <w:rsid w:val="00343EFE"/>
    <w:rsid w:val="00344466"/>
    <w:rsid w:val="00344CFB"/>
    <w:rsid w:val="00344E6C"/>
    <w:rsid w:val="0034503A"/>
    <w:rsid w:val="0034530C"/>
    <w:rsid w:val="003459D2"/>
    <w:rsid w:val="003459E9"/>
    <w:rsid w:val="003462B1"/>
    <w:rsid w:val="00346BA7"/>
    <w:rsid w:val="00346E8D"/>
    <w:rsid w:val="003474FE"/>
    <w:rsid w:val="00347A17"/>
    <w:rsid w:val="00347C28"/>
    <w:rsid w:val="0035019B"/>
    <w:rsid w:val="00350293"/>
    <w:rsid w:val="0035083B"/>
    <w:rsid w:val="0035094B"/>
    <w:rsid w:val="00350FAE"/>
    <w:rsid w:val="00351685"/>
    <w:rsid w:val="00351A6D"/>
    <w:rsid w:val="00352119"/>
    <w:rsid w:val="00352145"/>
    <w:rsid w:val="00352385"/>
    <w:rsid w:val="003526B2"/>
    <w:rsid w:val="00352A2A"/>
    <w:rsid w:val="00352E3A"/>
    <w:rsid w:val="00352EFA"/>
    <w:rsid w:val="0035372E"/>
    <w:rsid w:val="00353977"/>
    <w:rsid w:val="00353ECE"/>
    <w:rsid w:val="00353EFF"/>
    <w:rsid w:val="00354915"/>
    <w:rsid w:val="003550A8"/>
    <w:rsid w:val="003552F7"/>
    <w:rsid w:val="003554BC"/>
    <w:rsid w:val="003554BE"/>
    <w:rsid w:val="00355528"/>
    <w:rsid w:val="003556D7"/>
    <w:rsid w:val="0035595D"/>
    <w:rsid w:val="00355E66"/>
    <w:rsid w:val="00356017"/>
    <w:rsid w:val="00356980"/>
    <w:rsid w:val="00356F52"/>
    <w:rsid w:val="00357621"/>
    <w:rsid w:val="003576BD"/>
    <w:rsid w:val="00357D2B"/>
    <w:rsid w:val="003607B4"/>
    <w:rsid w:val="003608A8"/>
    <w:rsid w:val="00360AE7"/>
    <w:rsid w:val="00360DF3"/>
    <w:rsid w:val="00360EF5"/>
    <w:rsid w:val="00361534"/>
    <w:rsid w:val="0036192A"/>
    <w:rsid w:val="003628EC"/>
    <w:rsid w:val="00362E62"/>
    <w:rsid w:val="00362EC0"/>
    <w:rsid w:val="00362EDC"/>
    <w:rsid w:val="003636AD"/>
    <w:rsid w:val="003636D1"/>
    <w:rsid w:val="00363859"/>
    <w:rsid w:val="003640A1"/>
    <w:rsid w:val="003648C0"/>
    <w:rsid w:val="00364E30"/>
    <w:rsid w:val="00364FF4"/>
    <w:rsid w:val="00365711"/>
    <w:rsid w:val="00365A70"/>
    <w:rsid w:val="00365B03"/>
    <w:rsid w:val="00366029"/>
    <w:rsid w:val="003664CE"/>
    <w:rsid w:val="00366505"/>
    <w:rsid w:val="003665F5"/>
    <w:rsid w:val="00366754"/>
    <w:rsid w:val="003667C7"/>
    <w:rsid w:val="003669DB"/>
    <w:rsid w:val="00366BE8"/>
    <w:rsid w:val="0036716F"/>
    <w:rsid w:val="003676DE"/>
    <w:rsid w:val="003677E0"/>
    <w:rsid w:val="00367802"/>
    <w:rsid w:val="00367A09"/>
    <w:rsid w:val="00367B7E"/>
    <w:rsid w:val="003702DD"/>
    <w:rsid w:val="003705B1"/>
    <w:rsid w:val="003708C0"/>
    <w:rsid w:val="00370AEB"/>
    <w:rsid w:val="00370D29"/>
    <w:rsid w:val="0037129F"/>
    <w:rsid w:val="0037131B"/>
    <w:rsid w:val="0037135A"/>
    <w:rsid w:val="00371A6C"/>
    <w:rsid w:val="00371AB5"/>
    <w:rsid w:val="00371C90"/>
    <w:rsid w:val="00372001"/>
    <w:rsid w:val="00372031"/>
    <w:rsid w:val="0037211B"/>
    <w:rsid w:val="00372431"/>
    <w:rsid w:val="00372CCF"/>
    <w:rsid w:val="00372DC1"/>
    <w:rsid w:val="003738C2"/>
    <w:rsid w:val="00373B42"/>
    <w:rsid w:val="00374354"/>
    <w:rsid w:val="00374618"/>
    <w:rsid w:val="00374BDB"/>
    <w:rsid w:val="00374CB7"/>
    <w:rsid w:val="00375DC2"/>
    <w:rsid w:val="003761CA"/>
    <w:rsid w:val="00376746"/>
    <w:rsid w:val="003767D8"/>
    <w:rsid w:val="00376B69"/>
    <w:rsid w:val="003773FD"/>
    <w:rsid w:val="00377706"/>
    <w:rsid w:val="00377988"/>
    <w:rsid w:val="00377AB9"/>
    <w:rsid w:val="00377B9C"/>
    <w:rsid w:val="003806CD"/>
    <w:rsid w:val="003807DE"/>
    <w:rsid w:val="003809D7"/>
    <w:rsid w:val="00380E81"/>
    <w:rsid w:val="00381013"/>
    <w:rsid w:val="00381026"/>
    <w:rsid w:val="003811E4"/>
    <w:rsid w:val="0038206C"/>
    <w:rsid w:val="00382269"/>
    <w:rsid w:val="00382C84"/>
    <w:rsid w:val="00382C91"/>
    <w:rsid w:val="00383066"/>
    <w:rsid w:val="00383454"/>
    <w:rsid w:val="00383474"/>
    <w:rsid w:val="00383594"/>
    <w:rsid w:val="003835F1"/>
    <w:rsid w:val="00383B8C"/>
    <w:rsid w:val="00383FD8"/>
    <w:rsid w:val="00384418"/>
    <w:rsid w:val="003847B9"/>
    <w:rsid w:val="00384B6C"/>
    <w:rsid w:val="00384CC1"/>
    <w:rsid w:val="00384F54"/>
    <w:rsid w:val="0038569F"/>
    <w:rsid w:val="00385D5F"/>
    <w:rsid w:val="00385E85"/>
    <w:rsid w:val="003865EE"/>
    <w:rsid w:val="00386785"/>
    <w:rsid w:val="00386B16"/>
    <w:rsid w:val="00386EB9"/>
    <w:rsid w:val="00387C89"/>
    <w:rsid w:val="00387D34"/>
    <w:rsid w:val="003900EA"/>
    <w:rsid w:val="00390901"/>
    <w:rsid w:val="0039118D"/>
    <w:rsid w:val="00391A5F"/>
    <w:rsid w:val="00391AC8"/>
    <w:rsid w:val="00391C19"/>
    <w:rsid w:val="00392435"/>
    <w:rsid w:val="003924EE"/>
    <w:rsid w:val="00392965"/>
    <w:rsid w:val="00392C09"/>
    <w:rsid w:val="00392DC5"/>
    <w:rsid w:val="00392FB4"/>
    <w:rsid w:val="00393FEB"/>
    <w:rsid w:val="003940E3"/>
    <w:rsid w:val="0039419C"/>
    <w:rsid w:val="0039420D"/>
    <w:rsid w:val="003944E4"/>
    <w:rsid w:val="003944F9"/>
    <w:rsid w:val="003949BE"/>
    <w:rsid w:val="00394ABF"/>
    <w:rsid w:val="00394DFF"/>
    <w:rsid w:val="00394F90"/>
    <w:rsid w:val="0039599A"/>
    <w:rsid w:val="00395C05"/>
    <w:rsid w:val="00395D71"/>
    <w:rsid w:val="00395F38"/>
    <w:rsid w:val="00396160"/>
    <w:rsid w:val="0039677C"/>
    <w:rsid w:val="0039688B"/>
    <w:rsid w:val="00396DD5"/>
    <w:rsid w:val="003972A9"/>
    <w:rsid w:val="003A0250"/>
    <w:rsid w:val="003A04CD"/>
    <w:rsid w:val="003A05B3"/>
    <w:rsid w:val="003A0612"/>
    <w:rsid w:val="003A0B7B"/>
    <w:rsid w:val="003A11AB"/>
    <w:rsid w:val="003A1C89"/>
    <w:rsid w:val="003A1F14"/>
    <w:rsid w:val="003A2156"/>
    <w:rsid w:val="003A2A58"/>
    <w:rsid w:val="003A2DC9"/>
    <w:rsid w:val="003A3974"/>
    <w:rsid w:val="003A40A7"/>
    <w:rsid w:val="003A4213"/>
    <w:rsid w:val="003A48D3"/>
    <w:rsid w:val="003A4BAC"/>
    <w:rsid w:val="003A4DBD"/>
    <w:rsid w:val="003A5838"/>
    <w:rsid w:val="003A5AF6"/>
    <w:rsid w:val="003A5C6E"/>
    <w:rsid w:val="003A5C9F"/>
    <w:rsid w:val="003A5D9A"/>
    <w:rsid w:val="003A5EAE"/>
    <w:rsid w:val="003A6C0D"/>
    <w:rsid w:val="003A6E98"/>
    <w:rsid w:val="003A704F"/>
    <w:rsid w:val="003A7108"/>
    <w:rsid w:val="003A742E"/>
    <w:rsid w:val="003A7AAB"/>
    <w:rsid w:val="003B08EA"/>
    <w:rsid w:val="003B0BC2"/>
    <w:rsid w:val="003B126D"/>
    <w:rsid w:val="003B12E8"/>
    <w:rsid w:val="003B14EB"/>
    <w:rsid w:val="003B2957"/>
    <w:rsid w:val="003B2BC4"/>
    <w:rsid w:val="003B2E2F"/>
    <w:rsid w:val="003B37BB"/>
    <w:rsid w:val="003B3EA2"/>
    <w:rsid w:val="003B3EB9"/>
    <w:rsid w:val="003B3F28"/>
    <w:rsid w:val="003B4351"/>
    <w:rsid w:val="003B459D"/>
    <w:rsid w:val="003B4D1B"/>
    <w:rsid w:val="003B53C2"/>
    <w:rsid w:val="003B547F"/>
    <w:rsid w:val="003B5686"/>
    <w:rsid w:val="003B568A"/>
    <w:rsid w:val="003B5778"/>
    <w:rsid w:val="003B6044"/>
    <w:rsid w:val="003B6165"/>
    <w:rsid w:val="003B6231"/>
    <w:rsid w:val="003B6390"/>
    <w:rsid w:val="003B6708"/>
    <w:rsid w:val="003B6CB8"/>
    <w:rsid w:val="003B7557"/>
    <w:rsid w:val="003B76AF"/>
    <w:rsid w:val="003B77BC"/>
    <w:rsid w:val="003B7D7B"/>
    <w:rsid w:val="003C0032"/>
    <w:rsid w:val="003C072E"/>
    <w:rsid w:val="003C0A29"/>
    <w:rsid w:val="003C0DC3"/>
    <w:rsid w:val="003C1366"/>
    <w:rsid w:val="003C187F"/>
    <w:rsid w:val="003C1D7F"/>
    <w:rsid w:val="003C2108"/>
    <w:rsid w:val="003C2148"/>
    <w:rsid w:val="003C280D"/>
    <w:rsid w:val="003C2833"/>
    <w:rsid w:val="003C2921"/>
    <w:rsid w:val="003C2B66"/>
    <w:rsid w:val="003C2C37"/>
    <w:rsid w:val="003C3353"/>
    <w:rsid w:val="003C36AC"/>
    <w:rsid w:val="003C3874"/>
    <w:rsid w:val="003C4027"/>
    <w:rsid w:val="003C41B1"/>
    <w:rsid w:val="003C42EE"/>
    <w:rsid w:val="003C45C5"/>
    <w:rsid w:val="003C47F0"/>
    <w:rsid w:val="003C4F1A"/>
    <w:rsid w:val="003C5063"/>
    <w:rsid w:val="003C5869"/>
    <w:rsid w:val="003C5980"/>
    <w:rsid w:val="003C5C2F"/>
    <w:rsid w:val="003C61E7"/>
    <w:rsid w:val="003C6339"/>
    <w:rsid w:val="003C6504"/>
    <w:rsid w:val="003C6E01"/>
    <w:rsid w:val="003C6EBF"/>
    <w:rsid w:val="003C7615"/>
    <w:rsid w:val="003C7EDD"/>
    <w:rsid w:val="003C7EF9"/>
    <w:rsid w:val="003D0751"/>
    <w:rsid w:val="003D08CE"/>
    <w:rsid w:val="003D0BB9"/>
    <w:rsid w:val="003D0C33"/>
    <w:rsid w:val="003D0CD7"/>
    <w:rsid w:val="003D13DA"/>
    <w:rsid w:val="003D1A6A"/>
    <w:rsid w:val="003D1ABB"/>
    <w:rsid w:val="003D1B87"/>
    <w:rsid w:val="003D2025"/>
    <w:rsid w:val="003D208F"/>
    <w:rsid w:val="003D24FA"/>
    <w:rsid w:val="003D2A1D"/>
    <w:rsid w:val="003D2BE9"/>
    <w:rsid w:val="003D2C0D"/>
    <w:rsid w:val="003D2CA8"/>
    <w:rsid w:val="003D2D18"/>
    <w:rsid w:val="003D3405"/>
    <w:rsid w:val="003D3602"/>
    <w:rsid w:val="003D37ED"/>
    <w:rsid w:val="003D39D7"/>
    <w:rsid w:val="003D3A49"/>
    <w:rsid w:val="003D4123"/>
    <w:rsid w:val="003D4548"/>
    <w:rsid w:val="003D45E4"/>
    <w:rsid w:val="003D5131"/>
    <w:rsid w:val="003D5AA8"/>
    <w:rsid w:val="003D608D"/>
    <w:rsid w:val="003D68D5"/>
    <w:rsid w:val="003D697B"/>
    <w:rsid w:val="003D6E12"/>
    <w:rsid w:val="003D7050"/>
    <w:rsid w:val="003D77B4"/>
    <w:rsid w:val="003D7C40"/>
    <w:rsid w:val="003D7E7D"/>
    <w:rsid w:val="003E02D8"/>
    <w:rsid w:val="003E0F23"/>
    <w:rsid w:val="003E1106"/>
    <w:rsid w:val="003E14CF"/>
    <w:rsid w:val="003E208D"/>
    <w:rsid w:val="003E265B"/>
    <w:rsid w:val="003E27E6"/>
    <w:rsid w:val="003E2A79"/>
    <w:rsid w:val="003E2C8E"/>
    <w:rsid w:val="003E2D73"/>
    <w:rsid w:val="003E31A9"/>
    <w:rsid w:val="003E4543"/>
    <w:rsid w:val="003E472E"/>
    <w:rsid w:val="003E4AA7"/>
    <w:rsid w:val="003E4D77"/>
    <w:rsid w:val="003E4F11"/>
    <w:rsid w:val="003E5B7A"/>
    <w:rsid w:val="003E5D4F"/>
    <w:rsid w:val="003E606D"/>
    <w:rsid w:val="003E64A2"/>
    <w:rsid w:val="003E6504"/>
    <w:rsid w:val="003E65F3"/>
    <w:rsid w:val="003E669D"/>
    <w:rsid w:val="003E66D3"/>
    <w:rsid w:val="003E684C"/>
    <w:rsid w:val="003E6E5D"/>
    <w:rsid w:val="003E7392"/>
    <w:rsid w:val="003E78CE"/>
    <w:rsid w:val="003F01EB"/>
    <w:rsid w:val="003F0505"/>
    <w:rsid w:val="003F05C7"/>
    <w:rsid w:val="003F0DC5"/>
    <w:rsid w:val="003F0DDC"/>
    <w:rsid w:val="003F168A"/>
    <w:rsid w:val="003F26C7"/>
    <w:rsid w:val="003F2CF3"/>
    <w:rsid w:val="003F33B6"/>
    <w:rsid w:val="003F3595"/>
    <w:rsid w:val="003F39A0"/>
    <w:rsid w:val="003F39F6"/>
    <w:rsid w:val="003F3E87"/>
    <w:rsid w:val="003F4267"/>
    <w:rsid w:val="003F4388"/>
    <w:rsid w:val="003F43AA"/>
    <w:rsid w:val="003F4A34"/>
    <w:rsid w:val="003F5628"/>
    <w:rsid w:val="003F5827"/>
    <w:rsid w:val="003F6009"/>
    <w:rsid w:val="003F607A"/>
    <w:rsid w:val="003F6765"/>
    <w:rsid w:val="003F705B"/>
    <w:rsid w:val="003F7569"/>
    <w:rsid w:val="003F7AB7"/>
    <w:rsid w:val="00400306"/>
    <w:rsid w:val="00400763"/>
    <w:rsid w:val="00401172"/>
    <w:rsid w:val="004012A4"/>
    <w:rsid w:val="004018F1"/>
    <w:rsid w:val="0040276A"/>
    <w:rsid w:val="00402CCF"/>
    <w:rsid w:val="00403188"/>
    <w:rsid w:val="004032FB"/>
    <w:rsid w:val="004033F7"/>
    <w:rsid w:val="00403C65"/>
    <w:rsid w:val="00403E2C"/>
    <w:rsid w:val="00404158"/>
    <w:rsid w:val="0040421C"/>
    <w:rsid w:val="00404CF1"/>
    <w:rsid w:val="00404FBC"/>
    <w:rsid w:val="004056AA"/>
    <w:rsid w:val="0040575F"/>
    <w:rsid w:val="00405947"/>
    <w:rsid w:val="00405C63"/>
    <w:rsid w:val="00405C7E"/>
    <w:rsid w:val="00405F99"/>
    <w:rsid w:val="00406509"/>
    <w:rsid w:val="004073D5"/>
    <w:rsid w:val="004079C9"/>
    <w:rsid w:val="00407BD5"/>
    <w:rsid w:val="00407D59"/>
    <w:rsid w:val="00407EC1"/>
    <w:rsid w:val="00410110"/>
    <w:rsid w:val="004101F1"/>
    <w:rsid w:val="00410418"/>
    <w:rsid w:val="00410619"/>
    <w:rsid w:val="0041086F"/>
    <w:rsid w:val="004110E5"/>
    <w:rsid w:val="00411445"/>
    <w:rsid w:val="00411644"/>
    <w:rsid w:val="00411825"/>
    <w:rsid w:val="00412563"/>
    <w:rsid w:val="0041272D"/>
    <w:rsid w:val="00412DE0"/>
    <w:rsid w:val="004133D9"/>
    <w:rsid w:val="004139FB"/>
    <w:rsid w:val="00414849"/>
    <w:rsid w:val="004150FA"/>
    <w:rsid w:val="0041525E"/>
    <w:rsid w:val="004155FB"/>
    <w:rsid w:val="00415917"/>
    <w:rsid w:val="00415939"/>
    <w:rsid w:val="00416238"/>
    <w:rsid w:val="00416859"/>
    <w:rsid w:val="00416B3D"/>
    <w:rsid w:val="00416C3B"/>
    <w:rsid w:val="00417281"/>
    <w:rsid w:val="004173CA"/>
    <w:rsid w:val="004177B9"/>
    <w:rsid w:val="00417BBD"/>
    <w:rsid w:val="00420241"/>
    <w:rsid w:val="00420656"/>
    <w:rsid w:val="00420742"/>
    <w:rsid w:val="00420A71"/>
    <w:rsid w:val="00420FA7"/>
    <w:rsid w:val="00421005"/>
    <w:rsid w:val="00421554"/>
    <w:rsid w:val="00422BDD"/>
    <w:rsid w:val="00422DFA"/>
    <w:rsid w:val="00422ECD"/>
    <w:rsid w:val="004239AC"/>
    <w:rsid w:val="004239C5"/>
    <w:rsid w:val="00423FC7"/>
    <w:rsid w:val="004242BB"/>
    <w:rsid w:val="0042460E"/>
    <w:rsid w:val="00424AF3"/>
    <w:rsid w:val="00424CBC"/>
    <w:rsid w:val="00424D46"/>
    <w:rsid w:val="00424E44"/>
    <w:rsid w:val="00424E57"/>
    <w:rsid w:val="00425274"/>
    <w:rsid w:val="004257FF"/>
    <w:rsid w:val="0042642A"/>
    <w:rsid w:val="00426733"/>
    <w:rsid w:val="00426DDF"/>
    <w:rsid w:val="0042704E"/>
    <w:rsid w:val="0042708E"/>
    <w:rsid w:val="00427222"/>
    <w:rsid w:val="0042755B"/>
    <w:rsid w:val="00427DFD"/>
    <w:rsid w:val="00430133"/>
    <w:rsid w:val="004301C8"/>
    <w:rsid w:val="004301EC"/>
    <w:rsid w:val="004303CF"/>
    <w:rsid w:val="00430492"/>
    <w:rsid w:val="00430606"/>
    <w:rsid w:val="00431372"/>
    <w:rsid w:val="00431786"/>
    <w:rsid w:val="00431A6D"/>
    <w:rsid w:val="004329AB"/>
    <w:rsid w:val="00432DD9"/>
    <w:rsid w:val="00432DF5"/>
    <w:rsid w:val="00432ED2"/>
    <w:rsid w:val="00432F8E"/>
    <w:rsid w:val="00433564"/>
    <w:rsid w:val="0043389A"/>
    <w:rsid w:val="00433D98"/>
    <w:rsid w:val="00434334"/>
    <w:rsid w:val="0043599A"/>
    <w:rsid w:val="00435F81"/>
    <w:rsid w:val="004374D6"/>
    <w:rsid w:val="00437732"/>
    <w:rsid w:val="00437B94"/>
    <w:rsid w:val="00437CA3"/>
    <w:rsid w:val="0044027B"/>
    <w:rsid w:val="0044081E"/>
    <w:rsid w:val="0044088B"/>
    <w:rsid w:val="004408DC"/>
    <w:rsid w:val="004408F8"/>
    <w:rsid w:val="00441032"/>
    <w:rsid w:val="00441076"/>
    <w:rsid w:val="004411A8"/>
    <w:rsid w:val="0044173A"/>
    <w:rsid w:val="004417CF"/>
    <w:rsid w:val="004418EC"/>
    <w:rsid w:val="00442307"/>
    <w:rsid w:val="004425C4"/>
    <w:rsid w:val="00443394"/>
    <w:rsid w:val="004433AE"/>
    <w:rsid w:val="004433E0"/>
    <w:rsid w:val="004435D6"/>
    <w:rsid w:val="00443687"/>
    <w:rsid w:val="00443820"/>
    <w:rsid w:val="00443A0E"/>
    <w:rsid w:val="00443FCF"/>
    <w:rsid w:val="00444719"/>
    <w:rsid w:val="00444F21"/>
    <w:rsid w:val="00444F4B"/>
    <w:rsid w:val="004450B6"/>
    <w:rsid w:val="00445639"/>
    <w:rsid w:val="0044568E"/>
    <w:rsid w:val="00445AD2"/>
    <w:rsid w:val="0044613D"/>
    <w:rsid w:val="0044648F"/>
    <w:rsid w:val="00446DA2"/>
    <w:rsid w:val="004473F4"/>
    <w:rsid w:val="0044794B"/>
    <w:rsid w:val="004479AD"/>
    <w:rsid w:val="00450381"/>
    <w:rsid w:val="0045046E"/>
    <w:rsid w:val="004504EB"/>
    <w:rsid w:val="00450CF3"/>
    <w:rsid w:val="00450FBF"/>
    <w:rsid w:val="004514CB"/>
    <w:rsid w:val="004518E0"/>
    <w:rsid w:val="00451923"/>
    <w:rsid w:val="004519F3"/>
    <w:rsid w:val="00451B5A"/>
    <w:rsid w:val="00451C46"/>
    <w:rsid w:val="00451DEB"/>
    <w:rsid w:val="0045276B"/>
    <w:rsid w:val="00452882"/>
    <w:rsid w:val="00452A1F"/>
    <w:rsid w:val="00453396"/>
    <w:rsid w:val="004537E3"/>
    <w:rsid w:val="0045383B"/>
    <w:rsid w:val="00453961"/>
    <w:rsid w:val="004542E7"/>
    <w:rsid w:val="00454754"/>
    <w:rsid w:val="004549CF"/>
    <w:rsid w:val="00454E66"/>
    <w:rsid w:val="00454F27"/>
    <w:rsid w:val="00454FDB"/>
    <w:rsid w:val="0045522F"/>
    <w:rsid w:val="00455ACB"/>
    <w:rsid w:val="00456F69"/>
    <w:rsid w:val="00457843"/>
    <w:rsid w:val="00457A7A"/>
    <w:rsid w:val="00457B32"/>
    <w:rsid w:val="00457E44"/>
    <w:rsid w:val="00460458"/>
    <w:rsid w:val="00460570"/>
    <w:rsid w:val="004605A0"/>
    <w:rsid w:val="00460BCD"/>
    <w:rsid w:val="0046193D"/>
    <w:rsid w:val="00461C49"/>
    <w:rsid w:val="00462002"/>
    <w:rsid w:val="0046212F"/>
    <w:rsid w:val="0046246E"/>
    <w:rsid w:val="004624F4"/>
    <w:rsid w:val="004626E3"/>
    <w:rsid w:val="00462733"/>
    <w:rsid w:val="0046280B"/>
    <w:rsid w:val="00462B90"/>
    <w:rsid w:val="00462F74"/>
    <w:rsid w:val="00463227"/>
    <w:rsid w:val="004635B0"/>
    <w:rsid w:val="00463973"/>
    <w:rsid w:val="00463CF3"/>
    <w:rsid w:val="00463F55"/>
    <w:rsid w:val="00464797"/>
    <w:rsid w:val="00464A30"/>
    <w:rsid w:val="00464A74"/>
    <w:rsid w:val="00464E17"/>
    <w:rsid w:val="00464F97"/>
    <w:rsid w:val="00465070"/>
    <w:rsid w:val="0046544B"/>
    <w:rsid w:val="004657F9"/>
    <w:rsid w:val="004658DE"/>
    <w:rsid w:val="00465926"/>
    <w:rsid w:val="004659BF"/>
    <w:rsid w:val="00466230"/>
    <w:rsid w:val="004663F1"/>
    <w:rsid w:val="00466674"/>
    <w:rsid w:val="004666BE"/>
    <w:rsid w:val="004669E9"/>
    <w:rsid w:val="00466ED4"/>
    <w:rsid w:val="004672E7"/>
    <w:rsid w:val="0046731C"/>
    <w:rsid w:val="0046736A"/>
    <w:rsid w:val="004674B3"/>
    <w:rsid w:val="00467993"/>
    <w:rsid w:val="00467B4E"/>
    <w:rsid w:val="00467CC6"/>
    <w:rsid w:val="00470057"/>
    <w:rsid w:val="00470671"/>
    <w:rsid w:val="00470F9E"/>
    <w:rsid w:val="00471011"/>
    <w:rsid w:val="00471113"/>
    <w:rsid w:val="00471200"/>
    <w:rsid w:val="004727B1"/>
    <w:rsid w:val="00472C0B"/>
    <w:rsid w:val="00472F55"/>
    <w:rsid w:val="00472FF8"/>
    <w:rsid w:val="00473282"/>
    <w:rsid w:val="00473617"/>
    <w:rsid w:val="00473976"/>
    <w:rsid w:val="00473AC0"/>
    <w:rsid w:val="00473B83"/>
    <w:rsid w:val="00473E3D"/>
    <w:rsid w:val="00474030"/>
    <w:rsid w:val="00474231"/>
    <w:rsid w:val="004743DF"/>
    <w:rsid w:val="004748A7"/>
    <w:rsid w:val="00475003"/>
    <w:rsid w:val="00475315"/>
    <w:rsid w:val="004755B8"/>
    <w:rsid w:val="00475B08"/>
    <w:rsid w:val="00475D98"/>
    <w:rsid w:val="00475F03"/>
    <w:rsid w:val="00476224"/>
    <w:rsid w:val="00476354"/>
    <w:rsid w:val="0047686C"/>
    <w:rsid w:val="00476D9E"/>
    <w:rsid w:val="00477182"/>
    <w:rsid w:val="004779F6"/>
    <w:rsid w:val="0048015B"/>
    <w:rsid w:val="004804B3"/>
    <w:rsid w:val="0048056A"/>
    <w:rsid w:val="00480FFC"/>
    <w:rsid w:val="004814D3"/>
    <w:rsid w:val="00481E06"/>
    <w:rsid w:val="004820E9"/>
    <w:rsid w:val="00482B80"/>
    <w:rsid w:val="00482C33"/>
    <w:rsid w:val="00483119"/>
    <w:rsid w:val="0048361F"/>
    <w:rsid w:val="004844DC"/>
    <w:rsid w:val="004845D0"/>
    <w:rsid w:val="00484A73"/>
    <w:rsid w:val="00484C22"/>
    <w:rsid w:val="00484F6E"/>
    <w:rsid w:val="004852FF"/>
    <w:rsid w:val="004858C9"/>
    <w:rsid w:val="00485E7E"/>
    <w:rsid w:val="004866AF"/>
    <w:rsid w:val="004866CC"/>
    <w:rsid w:val="00486BFD"/>
    <w:rsid w:val="00486D7A"/>
    <w:rsid w:val="004870C3"/>
    <w:rsid w:val="00487263"/>
    <w:rsid w:val="0048792B"/>
    <w:rsid w:val="00487F79"/>
    <w:rsid w:val="0049048C"/>
    <w:rsid w:val="00490532"/>
    <w:rsid w:val="00490687"/>
    <w:rsid w:val="00490887"/>
    <w:rsid w:val="00490BBD"/>
    <w:rsid w:val="00490FE1"/>
    <w:rsid w:val="00491435"/>
    <w:rsid w:val="00491E88"/>
    <w:rsid w:val="00491FDD"/>
    <w:rsid w:val="004921C3"/>
    <w:rsid w:val="0049290A"/>
    <w:rsid w:val="004929D7"/>
    <w:rsid w:val="00492A1E"/>
    <w:rsid w:val="00492FDA"/>
    <w:rsid w:val="004932A7"/>
    <w:rsid w:val="00493426"/>
    <w:rsid w:val="00493A04"/>
    <w:rsid w:val="00493A5F"/>
    <w:rsid w:val="004945FD"/>
    <w:rsid w:val="00494C3F"/>
    <w:rsid w:val="00494CB8"/>
    <w:rsid w:val="00494E73"/>
    <w:rsid w:val="0049534A"/>
    <w:rsid w:val="00495CAF"/>
    <w:rsid w:val="00495F79"/>
    <w:rsid w:val="004960F9"/>
    <w:rsid w:val="004962B0"/>
    <w:rsid w:val="0049641C"/>
    <w:rsid w:val="00496B17"/>
    <w:rsid w:val="00497624"/>
    <w:rsid w:val="00497835"/>
    <w:rsid w:val="00497ACE"/>
    <w:rsid w:val="00497E61"/>
    <w:rsid w:val="004A0135"/>
    <w:rsid w:val="004A0399"/>
    <w:rsid w:val="004A0640"/>
    <w:rsid w:val="004A0A02"/>
    <w:rsid w:val="004A0CB4"/>
    <w:rsid w:val="004A1553"/>
    <w:rsid w:val="004A16E8"/>
    <w:rsid w:val="004A1E15"/>
    <w:rsid w:val="004A1FB5"/>
    <w:rsid w:val="004A220A"/>
    <w:rsid w:val="004A22FD"/>
    <w:rsid w:val="004A2830"/>
    <w:rsid w:val="004A2B73"/>
    <w:rsid w:val="004A2D3E"/>
    <w:rsid w:val="004A32BC"/>
    <w:rsid w:val="004A348A"/>
    <w:rsid w:val="004A357F"/>
    <w:rsid w:val="004A4C2D"/>
    <w:rsid w:val="004A54D3"/>
    <w:rsid w:val="004A5A12"/>
    <w:rsid w:val="004A5A47"/>
    <w:rsid w:val="004A6B75"/>
    <w:rsid w:val="004A70BC"/>
    <w:rsid w:val="004A788B"/>
    <w:rsid w:val="004B063F"/>
    <w:rsid w:val="004B08E5"/>
    <w:rsid w:val="004B0DFF"/>
    <w:rsid w:val="004B1A24"/>
    <w:rsid w:val="004B1A7C"/>
    <w:rsid w:val="004B1C0C"/>
    <w:rsid w:val="004B1CC9"/>
    <w:rsid w:val="004B1E42"/>
    <w:rsid w:val="004B2AAC"/>
    <w:rsid w:val="004B3506"/>
    <w:rsid w:val="004B40DC"/>
    <w:rsid w:val="004B4119"/>
    <w:rsid w:val="004B42F0"/>
    <w:rsid w:val="004B4657"/>
    <w:rsid w:val="004B4673"/>
    <w:rsid w:val="004B514C"/>
    <w:rsid w:val="004B5164"/>
    <w:rsid w:val="004B55E8"/>
    <w:rsid w:val="004B5632"/>
    <w:rsid w:val="004B56EB"/>
    <w:rsid w:val="004B5996"/>
    <w:rsid w:val="004B5D8F"/>
    <w:rsid w:val="004B5EF8"/>
    <w:rsid w:val="004B63C4"/>
    <w:rsid w:val="004B6633"/>
    <w:rsid w:val="004B6C04"/>
    <w:rsid w:val="004B7095"/>
    <w:rsid w:val="004B7375"/>
    <w:rsid w:val="004B7D57"/>
    <w:rsid w:val="004B7EBA"/>
    <w:rsid w:val="004C00D8"/>
    <w:rsid w:val="004C0657"/>
    <w:rsid w:val="004C1586"/>
    <w:rsid w:val="004C163B"/>
    <w:rsid w:val="004C1F82"/>
    <w:rsid w:val="004C2281"/>
    <w:rsid w:val="004C251C"/>
    <w:rsid w:val="004C2C55"/>
    <w:rsid w:val="004C3CED"/>
    <w:rsid w:val="004C3DAD"/>
    <w:rsid w:val="004C467C"/>
    <w:rsid w:val="004C5923"/>
    <w:rsid w:val="004C5BA8"/>
    <w:rsid w:val="004C6116"/>
    <w:rsid w:val="004C63A9"/>
    <w:rsid w:val="004C6C43"/>
    <w:rsid w:val="004C7036"/>
    <w:rsid w:val="004C706E"/>
    <w:rsid w:val="004C75A8"/>
    <w:rsid w:val="004C7665"/>
    <w:rsid w:val="004C78BA"/>
    <w:rsid w:val="004C791B"/>
    <w:rsid w:val="004C7C61"/>
    <w:rsid w:val="004C7C89"/>
    <w:rsid w:val="004D011A"/>
    <w:rsid w:val="004D0DFD"/>
    <w:rsid w:val="004D13A3"/>
    <w:rsid w:val="004D179A"/>
    <w:rsid w:val="004D18A7"/>
    <w:rsid w:val="004D1FBE"/>
    <w:rsid w:val="004D20BC"/>
    <w:rsid w:val="004D22CE"/>
    <w:rsid w:val="004D2351"/>
    <w:rsid w:val="004D2488"/>
    <w:rsid w:val="004D2939"/>
    <w:rsid w:val="004D2E02"/>
    <w:rsid w:val="004D2E2F"/>
    <w:rsid w:val="004D2F0D"/>
    <w:rsid w:val="004D312D"/>
    <w:rsid w:val="004D3853"/>
    <w:rsid w:val="004D3EB0"/>
    <w:rsid w:val="004D42DB"/>
    <w:rsid w:val="004D45BE"/>
    <w:rsid w:val="004D4615"/>
    <w:rsid w:val="004D4825"/>
    <w:rsid w:val="004D4A86"/>
    <w:rsid w:val="004D5043"/>
    <w:rsid w:val="004D5805"/>
    <w:rsid w:val="004D5CEC"/>
    <w:rsid w:val="004D5D61"/>
    <w:rsid w:val="004D63CF"/>
    <w:rsid w:val="004D6621"/>
    <w:rsid w:val="004D66FF"/>
    <w:rsid w:val="004D6E4B"/>
    <w:rsid w:val="004D7644"/>
    <w:rsid w:val="004D7664"/>
    <w:rsid w:val="004D7A0C"/>
    <w:rsid w:val="004E074F"/>
    <w:rsid w:val="004E0BBA"/>
    <w:rsid w:val="004E0CD5"/>
    <w:rsid w:val="004E1492"/>
    <w:rsid w:val="004E1898"/>
    <w:rsid w:val="004E2A28"/>
    <w:rsid w:val="004E2C9D"/>
    <w:rsid w:val="004E339D"/>
    <w:rsid w:val="004E3821"/>
    <w:rsid w:val="004E396C"/>
    <w:rsid w:val="004E3BDD"/>
    <w:rsid w:val="004E3C94"/>
    <w:rsid w:val="004E3EE5"/>
    <w:rsid w:val="004E4911"/>
    <w:rsid w:val="004E498D"/>
    <w:rsid w:val="004E4B92"/>
    <w:rsid w:val="004E4F9F"/>
    <w:rsid w:val="004E5481"/>
    <w:rsid w:val="004E55AE"/>
    <w:rsid w:val="004E6341"/>
    <w:rsid w:val="004E6427"/>
    <w:rsid w:val="004E7625"/>
    <w:rsid w:val="004E76C5"/>
    <w:rsid w:val="004E7B62"/>
    <w:rsid w:val="004E7C92"/>
    <w:rsid w:val="004E7D6C"/>
    <w:rsid w:val="004E7E43"/>
    <w:rsid w:val="004F08E7"/>
    <w:rsid w:val="004F0BB6"/>
    <w:rsid w:val="004F0F21"/>
    <w:rsid w:val="004F15EE"/>
    <w:rsid w:val="004F1956"/>
    <w:rsid w:val="004F245B"/>
    <w:rsid w:val="004F2B8D"/>
    <w:rsid w:val="004F343C"/>
    <w:rsid w:val="004F3936"/>
    <w:rsid w:val="004F3C3A"/>
    <w:rsid w:val="004F3ED8"/>
    <w:rsid w:val="004F41EC"/>
    <w:rsid w:val="004F4BD5"/>
    <w:rsid w:val="004F4F21"/>
    <w:rsid w:val="004F5561"/>
    <w:rsid w:val="004F5FC6"/>
    <w:rsid w:val="004F6805"/>
    <w:rsid w:val="004F6856"/>
    <w:rsid w:val="004F69FA"/>
    <w:rsid w:val="004F6B7D"/>
    <w:rsid w:val="004F6F51"/>
    <w:rsid w:val="004F7202"/>
    <w:rsid w:val="004F724F"/>
    <w:rsid w:val="004F72DD"/>
    <w:rsid w:val="004F7430"/>
    <w:rsid w:val="004F7CB8"/>
    <w:rsid w:val="004F7D2C"/>
    <w:rsid w:val="00500694"/>
    <w:rsid w:val="005006CB"/>
    <w:rsid w:val="00500F93"/>
    <w:rsid w:val="00501149"/>
    <w:rsid w:val="0050187E"/>
    <w:rsid w:val="00501973"/>
    <w:rsid w:val="00501A83"/>
    <w:rsid w:val="00501D2B"/>
    <w:rsid w:val="00501FA9"/>
    <w:rsid w:val="005024B4"/>
    <w:rsid w:val="00502DCD"/>
    <w:rsid w:val="00502DF8"/>
    <w:rsid w:val="00502E53"/>
    <w:rsid w:val="0050307B"/>
    <w:rsid w:val="0050352E"/>
    <w:rsid w:val="005037B2"/>
    <w:rsid w:val="00503807"/>
    <w:rsid w:val="0050455E"/>
    <w:rsid w:val="005047AD"/>
    <w:rsid w:val="00504978"/>
    <w:rsid w:val="00504DB3"/>
    <w:rsid w:val="005059DC"/>
    <w:rsid w:val="00505A11"/>
    <w:rsid w:val="00506406"/>
    <w:rsid w:val="00506682"/>
    <w:rsid w:val="0050683B"/>
    <w:rsid w:val="00506A48"/>
    <w:rsid w:val="005071B5"/>
    <w:rsid w:val="00510739"/>
    <w:rsid w:val="00510806"/>
    <w:rsid w:val="005108ED"/>
    <w:rsid w:val="00510B1D"/>
    <w:rsid w:val="00510F04"/>
    <w:rsid w:val="0051107D"/>
    <w:rsid w:val="005110A9"/>
    <w:rsid w:val="00511167"/>
    <w:rsid w:val="0051142B"/>
    <w:rsid w:val="00511C9E"/>
    <w:rsid w:val="00511ECA"/>
    <w:rsid w:val="005122CF"/>
    <w:rsid w:val="005127CD"/>
    <w:rsid w:val="005129ED"/>
    <w:rsid w:val="005134F0"/>
    <w:rsid w:val="00513B02"/>
    <w:rsid w:val="00513B27"/>
    <w:rsid w:val="005148D7"/>
    <w:rsid w:val="00514E2E"/>
    <w:rsid w:val="00514FDF"/>
    <w:rsid w:val="0051522E"/>
    <w:rsid w:val="0051555C"/>
    <w:rsid w:val="00515935"/>
    <w:rsid w:val="0051648C"/>
    <w:rsid w:val="0051674F"/>
    <w:rsid w:val="00520019"/>
    <w:rsid w:val="0052074B"/>
    <w:rsid w:val="00520835"/>
    <w:rsid w:val="00520BCD"/>
    <w:rsid w:val="00520D46"/>
    <w:rsid w:val="00520E9B"/>
    <w:rsid w:val="00520F92"/>
    <w:rsid w:val="00521176"/>
    <w:rsid w:val="00521226"/>
    <w:rsid w:val="00521A52"/>
    <w:rsid w:val="00521D08"/>
    <w:rsid w:val="00521DD8"/>
    <w:rsid w:val="00522726"/>
    <w:rsid w:val="00522B85"/>
    <w:rsid w:val="00522BF8"/>
    <w:rsid w:val="005232EA"/>
    <w:rsid w:val="00523559"/>
    <w:rsid w:val="0052392E"/>
    <w:rsid w:val="00523F0B"/>
    <w:rsid w:val="0052434B"/>
    <w:rsid w:val="005250BF"/>
    <w:rsid w:val="005256CC"/>
    <w:rsid w:val="005259B7"/>
    <w:rsid w:val="005261A3"/>
    <w:rsid w:val="005261C3"/>
    <w:rsid w:val="0052644D"/>
    <w:rsid w:val="00526C07"/>
    <w:rsid w:val="00526C15"/>
    <w:rsid w:val="00526C89"/>
    <w:rsid w:val="00526E65"/>
    <w:rsid w:val="005273A6"/>
    <w:rsid w:val="00527533"/>
    <w:rsid w:val="005279A8"/>
    <w:rsid w:val="00527A5C"/>
    <w:rsid w:val="00527E88"/>
    <w:rsid w:val="00530102"/>
    <w:rsid w:val="00530199"/>
    <w:rsid w:val="00530E15"/>
    <w:rsid w:val="0053189A"/>
    <w:rsid w:val="00531AC1"/>
    <w:rsid w:val="00531AE9"/>
    <w:rsid w:val="005325D6"/>
    <w:rsid w:val="0053280E"/>
    <w:rsid w:val="00532864"/>
    <w:rsid w:val="00532C5D"/>
    <w:rsid w:val="00532F4D"/>
    <w:rsid w:val="005330A4"/>
    <w:rsid w:val="005330B2"/>
    <w:rsid w:val="0053387C"/>
    <w:rsid w:val="00533BB4"/>
    <w:rsid w:val="00533C14"/>
    <w:rsid w:val="00533EAD"/>
    <w:rsid w:val="005341E2"/>
    <w:rsid w:val="005341FF"/>
    <w:rsid w:val="005344F7"/>
    <w:rsid w:val="005347A3"/>
    <w:rsid w:val="0053492B"/>
    <w:rsid w:val="00534AA4"/>
    <w:rsid w:val="00534BDA"/>
    <w:rsid w:val="00534F74"/>
    <w:rsid w:val="005357F4"/>
    <w:rsid w:val="00536789"/>
    <w:rsid w:val="00536D2F"/>
    <w:rsid w:val="005374C8"/>
    <w:rsid w:val="005378E8"/>
    <w:rsid w:val="00537BFF"/>
    <w:rsid w:val="00540052"/>
    <w:rsid w:val="005400B5"/>
    <w:rsid w:val="00540A40"/>
    <w:rsid w:val="00540A67"/>
    <w:rsid w:val="00540D8F"/>
    <w:rsid w:val="005410D7"/>
    <w:rsid w:val="0054146B"/>
    <w:rsid w:val="00541812"/>
    <w:rsid w:val="00542362"/>
    <w:rsid w:val="00542A3A"/>
    <w:rsid w:val="00542CC9"/>
    <w:rsid w:val="00543450"/>
    <w:rsid w:val="0054354E"/>
    <w:rsid w:val="0054395F"/>
    <w:rsid w:val="00543DB4"/>
    <w:rsid w:val="00543E08"/>
    <w:rsid w:val="00544052"/>
    <w:rsid w:val="005445B6"/>
    <w:rsid w:val="00544965"/>
    <w:rsid w:val="005449AD"/>
    <w:rsid w:val="005450DE"/>
    <w:rsid w:val="0054516A"/>
    <w:rsid w:val="0054516E"/>
    <w:rsid w:val="00545294"/>
    <w:rsid w:val="00545448"/>
    <w:rsid w:val="00545621"/>
    <w:rsid w:val="00545773"/>
    <w:rsid w:val="0054605F"/>
    <w:rsid w:val="005462A5"/>
    <w:rsid w:val="005463A4"/>
    <w:rsid w:val="005466E7"/>
    <w:rsid w:val="00546906"/>
    <w:rsid w:val="00546C3A"/>
    <w:rsid w:val="00546C68"/>
    <w:rsid w:val="00546DF0"/>
    <w:rsid w:val="00547015"/>
    <w:rsid w:val="0054733A"/>
    <w:rsid w:val="00547463"/>
    <w:rsid w:val="005505ED"/>
    <w:rsid w:val="00550AE1"/>
    <w:rsid w:val="00550E89"/>
    <w:rsid w:val="005510DF"/>
    <w:rsid w:val="00551933"/>
    <w:rsid w:val="00551A18"/>
    <w:rsid w:val="00551D2D"/>
    <w:rsid w:val="00551EAD"/>
    <w:rsid w:val="00552487"/>
    <w:rsid w:val="005533CD"/>
    <w:rsid w:val="00553C00"/>
    <w:rsid w:val="005540C3"/>
    <w:rsid w:val="00554483"/>
    <w:rsid w:val="00554E9E"/>
    <w:rsid w:val="00555571"/>
    <w:rsid w:val="00556060"/>
    <w:rsid w:val="00556119"/>
    <w:rsid w:val="00556286"/>
    <w:rsid w:val="00556516"/>
    <w:rsid w:val="00556FF2"/>
    <w:rsid w:val="0055707D"/>
    <w:rsid w:val="00557322"/>
    <w:rsid w:val="00557543"/>
    <w:rsid w:val="00557592"/>
    <w:rsid w:val="00557DC0"/>
    <w:rsid w:val="0056073A"/>
    <w:rsid w:val="00560FFD"/>
    <w:rsid w:val="0056136D"/>
    <w:rsid w:val="005615F8"/>
    <w:rsid w:val="0056286F"/>
    <w:rsid w:val="005632C6"/>
    <w:rsid w:val="005639B5"/>
    <w:rsid w:val="00563D70"/>
    <w:rsid w:val="00564164"/>
    <w:rsid w:val="00564B04"/>
    <w:rsid w:val="00564D95"/>
    <w:rsid w:val="00565163"/>
    <w:rsid w:val="00565280"/>
    <w:rsid w:val="005653E2"/>
    <w:rsid w:val="005657D7"/>
    <w:rsid w:val="00565BCC"/>
    <w:rsid w:val="00565C1E"/>
    <w:rsid w:val="00565FE4"/>
    <w:rsid w:val="00566663"/>
    <w:rsid w:val="00566868"/>
    <w:rsid w:val="00566EF5"/>
    <w:rsid w:val="00567118"/>
    <w:rsid w:val="00567354"/>
    <w:rsid w:val="005678A9"/>
    <w:rsid w:val="00567D52"/>
    <w:rsid w:val="00570524"/>
    <w:rsid w:val="005716E5"/>
    <w:rsid w:val="00571734"/>
    <w:rsid w:val="00571AD5"/>
    <w:rsid w:val="00571C40"/>
    <w:rsid w:val="005721C9"/>
    <w:rsid w:val="0057235E"/>
    <w:rsid w:val="00572BAB"/>
    <w:rsid w:val="00572C05"/>
    <w:rsid w:val="00573059"/>
    <w:rsid w:val="005733C1"/>
    <w:rsid w:val="005736C7"/>
    <w:rsid w:val="00573812"/>
    <w:rsid w:val="00573CFA"/>
    <w:rsid w:val="0057453B"/>
    <w:rsid w:val="00574A22"/>
    <w:rsid w:val="00574E6E"/>
    <w:rsid w:val="005755A6"/>
    <w:rsid w:val="00575C30"/>
    <w:rsid w:val="00576185"/>
    <w:rsid w:val="005761F6"/>
    <w:rsid w:val="005761FE"/>
    <w:rsid w:val="0057621E"/>
    <w:rsid w:val="00576649"/>
    <w:rsid w:val="00577539"/>
    <w:rsid w:val="00577606"/>
    <w:rsid w:val="00577793"/>
    <w:rsid w:val="00577B05"/>
    <w:rsid w:val="00577D6B"/>
    <w:rsid w:val="005806B3"/>
    <w:rsid w:val="00580D6F"/>
    <w:rsid w:val="00580F69"/>
    <w:rsid w:val="005812C6"/>
    <w:rsid w:val="005814C3"/>
    <w:rsid w:val="005818F6"/>
    <w:rsid w:val="00581B34"/>
    <w:rsid w:val="00581C8F"/>
    <w:rsid w:val="00581D80"/>
    <w:rsid w:val="00581D91"/>
    <w:rsid w:val="00581FE6"/>
    <w:rsid w:val="0058215E"/>
    <w:rsid w:val="005828CE"/>
    <w:rsid w:val="00582F24"/>
    <w:rsid w:val="00582F7E"/>
    <w:rsid w:val="005833FE"/>
    <w:rsid w:val="0058382A"/>
    <w:rsid w:val="00583F06"/>
    <w:rsid w:val="00584313"/>
    <w:rsid w:val="005856FF"/>
    <w:rsid w:val="0058578F"/>
    <w:rsid w:val="00585991"/>
    <w:rsid w:val="0058682D"/>
    <w:rsid w:val="00586A01"/>
    <w:rsid w:val="00587FBD"/>
    <w:rsid w:val="00590086"/>
    <w:rsid w:val="00590139"/>
    <w:rsid w:val="00590252"/>
    <w:rsid w:val="00590ACC"/>
    <w:rsid w:val="00590D9A"/>
    <w:rsid w:val="0059100B"/>
    <w:rsid w:val="005912A8"/>
    <w:rsid w:val="00591B63"/>
    <w:rsid w:val="00591D1E"/>
    <w:rsid w:val="0059227D"/>
    <w:rsid w:val="005923FA"/>
    <w:rsid w:val="00592C2D"/>
    <w:rsid w:val="005931D8"/>
    <w:rsid w:val="0059320D"/>
    <w:rsid w:val="00594098"/>
    <w:rsid w:val="005948FA"/>
    <w:rsid w:val="0059556D"/>
    <w:rsid w:val="0059570F"/>
    <w:rsid w:val="005959BE"/>
    <w:rsid w:val="00595C71"/>
    <w:rsid w:val="00595CB9"/>
    <w:rsid w:val="00596210"/>
    <w:rsid w:val="00596286"/>
    <w:rsid w:val="00596378"/>
    <w:rsid w:val="00596999"/>
    <w:rsid w:val="0059748D"/>
    <w:rsid w:val="005974C6"/>
    <w:rsid w:val="005976D8"/>
    <w:rsid w:val="005977EF"/>
    <w:rsid w:val="005978AB"/>
    <w:rsid w:val="00597964"/>
    <w:rsid w:val="005A05A3"/>
    <w:rsid w:val="005A0A0E"/>
    <w:rsid w:val="005A0BD5"/>
    <w:rsid w:val="005A0E34"/>
    <w:rsid w:val="005A0EF2"/>
    <w:rsid w:val="005A0F31"/>
    <w:rsid w:val="005A18B6"/>
    <w:rsid w:val="005A1903"/>
    <w:rsid w:val="005A1A60"/>
    <w:rsid w:val="005A1D44"/>
    <w:rsid w:val="005A1FE2"/>
    <w:rsid w:val="005A26DE"/>
    <w:rsid w:val="005A26F8"/>
    <w:rsid w:val="005A28A1"/>
    <w:rsid w:val="005A2FE8"/>
    <w:rsid w:val="005A30F4"/>
    <w:rsid w:val="005A32D4"/>
    <w:rsid w:val="005A39A4"/>
    <w:rsid w:val="005A3C99"/>
    <w:rsid w:val="005A44D2"/>
    <w:rsid w:val="005A46D0"/>
    <w:rsid w:val="005A4B57"/>
    <w:rsid w:val="005A4F0D"/>
    <w:rsid w:val="005A546E"/>
    <w:rsid w:val="005A5658"/>
    <w:rsid w:val="005A595C"/>
    <w:rsid w:val="005A59E7"/>
    <w:rsid w:val="005A60D7"/>
    <w:rsid w:val="005A61AE"/>
    <w:rsid w:val="005A6F2B"/>
    <w:rsid w:val="005A6FB5"/>
    <w:rsid w:val="005A72BA"/>
    <w:rsid w:val="005A75A6"/>
    <w:rsid w:val="005A78AB"/>
    <w:rsid w:val="005B0062"/>
    <w:rsid w:val="005B019F"/>
    <w:rsid w:val="005B02E5"/>
    <w:rsid w:val="005B08DA"/>
    <w:rsid w:val="005B0C40"/>
    <w:rsid w:val="005B0D89"/>
    <w:rsid w:val="005B0DAA"/>
    <w:rsid w:val="005B0F59"/>
    <w:rsid w:val="005B1219"/>
    <w:rsid w:val="005B1422"/>
    <w:rsid w:val="005B15F6"/>
    <w:rsid w:val="005B1697"/>
    <w:rsid w:val="005B1E37"/>
    <w:rsid w:val="005B20A5"/>
    <w:rsid w:val="005B2118"/>
    <w:rsid w:val="005B225C"/>
    <w:rsid w:val="005B244F"/>
    <w:rsid w:val="005B25E4"/>
    <w:rsid w:val="005B27D4"/>
    <w:rsid w:val="005B2E58"/>
    <w:rsid w:val="005B30C8"/>
    <w:rsid w:val="005B3260"/>
    <w:rsid w:val="005B3618"/>
    <w:rsid w:val="005B38DE"/>
    <w:rsid w:val="005B39D5"/>
    <w:rsid w:val="005B3CC7"/>
    <w:rsid w:val="005B3D4E"/>
    <w:rsid w:val="005B4269"/>
    <w:rsid w:val="005B56D5"/>
    <w:rsid w:val="005B5E6B"/>
    <w:rsid w:val="005B61EB"/>
    <w:rsid w:val="005B64B4"/>
    <w:rsid w:val="005B6924"/>
    <w:rsid w:val="005B7006"/>
    <w:rsid w:val="005B7778"/>
    <w:rsid w:val="005B77DF"/>
    <w:rsid w:val="005C0091"/>
    <w:rsid w:val="005C030C"/>
    <w:rsid w:val="005C051F"/>
    <w:rsid w:val="005C0B67"/>
    <w:rsid w:val="005C1366"/>
    <w:rsid w:val="005C16EC"/>
    <w:rsid w:val="005C17A4"/>
    <w:rsid w:val="005C18F7"/>
    <w:rsid w:val="005C1BBA"/>
    <w:rsid w:val="005C2647"/>
    <w:rsid w:val="005C2655"/>
    <w:rsid w:val="005C26BD"/>
    <w:rsid w:val="005C27E6"/>
    <w:rsid w:val="005C2BBF"/>
    <w:rsid w:val="005C30F6"/>
    <w:rsid w:val="005C32EF"/>
    <w:rsid w:val="005C3862"/>
    <w:rsid w:val="005C3F33"/>
    <w:rsid w:val="005C403F"/>
    <w:rsid w:val="005C4411"/>
    <w:rsid w:val="005C4A24"/>
    <w:rsid w:val="005C4CB6"/>
    <w:rsid w:val="005C4E03"/>
    <w:rsid w:val="005C4F3B"/>
    <w:rsid w:val="005C5B75"/>
    <w:rsid w:val="005C60A2"/>
    <w:rsid w:val="005C6266"/>
    <w:rsid w:val="005C6714"/>
    <w:rsid w:val="005C683A"/>
    <w:rsid w:val="005C6A03"/>
    <w:rsid w:val="005C6E7B"/>
    <w:rsid w:val="005C7583"/>
    <w:rsid w:val="005C762E"/>
    <w:rsid w:val="005C7D28"/>
    <w:rsid w:val="005D01D6"/>
    <w:rsid w:val="005D030F"/>
    <w:rsid w:val="005D098C"/>
    <w:rsid w:val="005D10BD"/>
    <w:rsid w:val="005D144D"/>
    <w:rsid w:val="005D17F2"/>
    <w:rsid w:val="005D1B14"/>
    <w:rsid w:val="005D244A"/>
    <w:rsid w:val="005D2BAE"/>
    <w:rsid w:val="005D2CE7"/>
    <w:rsid w:val="005D311B"/>
    <w:rsid w:val="005D32AB"/>
    <w:rsid w:val="005D35A5"/>
    <w:rsid w:val="005D3648"/>
    <w:rsid w:val="005D3A30"/>
    <w:rsid w:val="005D3BC4"/>
    <w:rsid w:val="005D3C01"/>
    <w:rsid w:val="005D3CAC"/>
    <w:rsid w:val="005D3FD9"/>
    <w:rsid w:val="005D411E"/>
    <w:rsid w:val="005D487E"/>
    <w:rsid w:val="005D510F"/>
    <w:rsid w:val="005D5247"/>
    <w:rsid w:val="005D52CD"/>
    <w:rsid w:val="005D53F6"/>
    <w:rsid w:val="005D5C13"/>
    <w:rsid w:val="005D686C"/>
    <w:rsid w:val="005D6B26"/>
    <w:rsid w:val="005D6C2F"/>
    <w:rsid w:val="005D6DFD"/>
    <w:rsid w:val="005D70C0"/>
    <w:rsid w:val="005D70ED"/>
    <w:rsid w:val="005D7FEF"/>
    <w:rsid w:val="005E075C"/>
    <w:rsid w:val="005E0DE8"/>
    <w:rsid w:val="005E1381"/>
    <w:rsid w:val="005E1644"/>
    <w:rsid w:val="005E2075"/>
    <w:rsid w:val="005E20CB"/>
    <w:rsid w:val="005E2139"/>
    <w:rsid w:val="005E23DE"/>
    <w:rsid w:val="005E2410"/>
    <w:rsid w:val="005E280D"/>
    <w:rsid w:val="005E2C17"/>
    <w:rsid w:val="005E2D89"/>
    <w:rsid w:val="005E2E98"/>
    <w:rsid w:val="005E2F84"/>
    <w:rsid w:val="005E316D"/>
    <w:rsid w:val="005E3374"/>
    <w:rsid w:val="005E3A1D"/>
    <w:rsid w:val="005E3A6A"/>
    <w:rsid w:val="005E3A8D"/>
    <w:rsid w:val="005E4452"/>
    <w:rsid w:val="005E44F2"/>
    <w:rsid w:val="005E46BB"/>
    <w:rsid w:val="005E4B6D"/>
    <w:rsid w:val="005E4CC3"/>
    <w:rsid w:val="005E4D6C"/>
    <w:rsid w:val="005E4F6D"/>
    <w:rsid w:val="005E5023"/>
    <w:rsid w:val="005E5231"/>
    <w:rsid w:val="005E5300"/>
    <w:rsid w:val="005E5F89"/>
    <w:rsid w:val="005E6006"/>
    <w:rsid w:val="005E64B7"/>
    <w:rsid w:val="005E6B04"/>
    <w:rsid w:val="005E6C5E"/>
    <w:rsid w:val="005E6F13"/>
    <w:rsid w:val="005E701B"/>
    <w:rsid w:val="005E715D"/>
    <w:rsid w:val="005E7605"/>
    <w:rsid w:val="005E7881"/>
    <w:rsid w:val="005E79D1"/>
    <w:rsid w:val="005E7B40"/>
    <w:rsid w:val="005F1A4D"/>
    <w:rsid w:val="005F3008"/>
    <w:rsid w:val="005F318A"/>
    <w:rsid w:val="005F31F9"/>
    <w:rsid w:val="005F34F6"/>
    <w:rsid w:val="005F3A95"/>
    <w:rsid w:val="005F3D1B"/>
    <w:rsid w:val="005F3F80"/>
    <w:rsid w:val="005F48CF"/>
    <w:rsid w:val="005F4D6D"/>
    <w:rsid w:val="005F4E91"/>
    <w:rsid w:val="005F5113"/>
    <w:rsid w:val="005F5598"/>
    <w:rsid w:val="005F5831"/>
    <w:rsid w:val="005F63E8"/>
    <w:rsid w:val="005F6E83"/>
    <w:rsid w:val="005F767C"/>
    <w:rsid w:val="005F7685"/>
    <w:rsid w:val="005F7B56"/>
    <w:rsid w:val="005F7F81"/>
    <w:rsid w:val="006001CC"/>
    <w:rsid w:val="006008D0"/>
    <w:rsid w:val="00600F37"/>
    <w:rsid w:val="00601447"/>
    <w:rsid w:val="00601540"/>
    <w:rsid w:val="006023D7"/>
    <w:rsid w:val="0060247C"/>
    <w:rsid w:val="00602B4D"/>
    <w:rsid w:val="00603031"/>
    <w:rsid w:val="006035A4"/>
    <w:rsid w:val="00603C94"/>
    <w:rsid w:val="00603E21"/>
    <w:rsid w:val="006040E4"/>
    <w:rsid w:val="00604213"/>
    <w:rsid w:val="006048E0"/>
    <w:rsid w:val="00604F6B"/>
    <w:rsid w:val="00604FAD"/>
    <w:rsid w:val="00605712"/>
    <w:rsid w:val="00605934"/>
    <w:rsid w:val="00605BC9"/>
    <w:rsid w:val="00605BDC"/>
    <w:rsid w:val="006060D6"/>
    <w:rsid w:val="0060662A"/>
    <w:rsid w:val="00606D62"/>
    <w:rsid w:val="006071A5"/>
    <w:rsid w:val="0060741A"/>
    <w:rsid w:val="0060742B"/>
    <w:rsid w:val="006076E4"/>
    <w:rsid w:val="00607A06"/>
    <w:rsid w:val="00607C22"/>
    <w:rsid w:val="00607D9E"/>
    <w:rsid w:val="0061036B"/>
    <w:rsid w:val="00610982"/>
    <w:rsid w:val="006116B0"/>
    <w:rsid w:val="006116B3"/>
    <w:rsid w:val="00611748"/>
    <w:rsid w:val="00611AEA"/>
    <w:rsid w:val="00611DA9"/>
    <w:rsid w:val="00612789"/>
    <w:rsid w:val="00612922"/>
    <w:rsid w:val="00612F07"/>
    <w:rsid w:val="00612F38"/>
    <w:rsid w:val="00613080"/>
    <w:rsid w:val="006133AB"/>
    <w:rsid w:val="00613D24"/>
    <w:rsid w:val="0061423C"/>
    <w:rsid w:val="00614825"/>
    <w:rsid w:val="00614AE7"/>
    <w:rsid w:val="00614BDA"/>
    <w:rsid w:val="0061569C"/>
    <w:rsid w:val="00615A6A"/>
    <w:rsid w:val="00615D3C"/>
    <w:rsid w:val="00615E4A"/>
    <w:rsid w:val="00615F0D"/>
    <w:rsid w:val="00615F12"/>
    <w:rsid w:val="00616332"/>
    <w:rsid w:val="006164B9"/>
    <w:rsid w:val="00616DC4"/>
    <w:rsid w:val="00616F8E"/>
    <w:rsid w:val="00616F99"/>
    <w:rsid w:val="006170BE"/>
    <w:rsid w:val="0062058D"/>
    <w:rsid w:val="006208EB"/>
    <w:rsid w:val="00620C8E"/>
    <w:rsid w:val="0062195A"/>
    <w:rsid w:val="00621AFB"/>
    <w:rsid w:val="00622514"/>
    <w:rsid w:val="0062262B"/>
    <w:rsid w:val="00623250"/>
    <w:rsid w:val="00624288"/>
    <w:rsid w:val="00624ABD"/>
    <w:rsid w:val="0062589A"/>
    <w:rsid w:val="006259B9"/>
    <w:rsid w:val="00625C75"/>
    <w:rsid w:val="00627260"/>
    <w:rsid w:val="00627A10"/>
    <w:rsid w:val="00627E32"/>
    <w:rsid w:val="00627F09"/>
    <w:rsid w:val="006307C7"/>
    <w:rsid w:val="00630B71"/>
    <w:rsid w:val="00630EF4"/>
    <w:rsid w:val="00631288"/>
    <w:rsid w:val="00631C25"/>
    <w:rsid w:val="00631C62"/>
    <w:rsid w:val="00632B82"/>
    <w:rsid w:val="006330C7"/>
    <w:rsid w:val="006331B4"/>
    <w:rsid w:val="006343F3"/>
    <w:rsid w:val="006345E5"/>
    <w:rsid w:val="00634828"/>
    <w:rsid w:val="006356B4"/>
    <w:rsid w:val="006359F3"/>
    <w:rsid w:val="0063650D"/>
    <w:rsid w:val="006368FC"/>
    <w:rsid w:val="00636D45"/>
    <w:rsid w:val="00637123"/>
    <w:rsid w:val="0063712C"/>
    <w:rsid w:val="006379D2"/>
    <w:rsid w:val="00637A0A"/>
    <w:rsid w:val="00637DC6"/>
    <w:rsid w:val="006400BB"/>
    <w:rsid w:val="0064032A"/>
    <w:rsid w:val="006405F0"/>
    <w:rsid w:val="006406F4"/>
    <w:rsid w:val="00640B9C"/>
    <w:rsid w:val="00640BB5"/>
    <w:rsid w:val="00640BF1"/>
    <w:rsid w:val="00640CF2"/>
    <w:rsid w:val="00641042"/>
    <w:rsid w:val="0064111D"/>
    <w:rsid w:val="006417D6"/>
    <w:rsid w:val="0064214F"/>
    <w:rsid w:val="006423A8"/>
    <w:rsid w:val="00642906"/>
    <w:rsid w:val="00642B1F"/>
    <w:rsid w:val="00643365"/>
    <w:rsid w:val="0064341D"/>
    <w:rsid w:val="00643582"/>
    <w:rsid w:val="006436DD"/>
    <w:rsid w:val="00643B75"/>
    <w:rsid w:val="00643BE7"/>
    <w:rsid w:val="00644995"/>
    <w:rsid w:val="006449E3"/>
    <w:rsid w:val="006453CB"/>
    <w:rsid w:val="0064571F"/>
    <w:rsid w:val="006457EF"/>
    <w:rsid w:val="0064596D"/>
    <w:rsid w:val="006460DB"/>
    <w:rsid w:val="00646351"/>
    <w:rsid w:val="00646464"/>
    <w:rsid w:val="006469AD"/>
    <w:rsid w:val="00647240"/>
    <w:rsid w:val="00650826"/>
    <w:rsid w:val="00650861"/>
    <w:rsid w:val="0065093D"/>
    <w:rsid w:val="00650DF8"/>
    <w:rsid w:val="00650F96"/>
    <w:rsid w:val="006512B7"/>
    <w:rsid w:val="0065143C"/>
    <w:rsid w:val="006515D7"/>
    <w:rsid w:val="00651C22"/>
    <w:rsid w:val="00652563"/>
    <w:rsid w:val="006527AE"/>
    <w:rsid w:val="00652A4E"/>
    <w:rsid w:val="00652C50"/>
    <w:rsid w:val="0065352F"/>
    <w:rsid w:val="00653809"/>
    <w:rsid w:val="00653ACE"/>
    <w:rsid w:val="00653E7B"/>
    <w:rsid w:val="00654270"/>
    <w:rsid w:val="0065442D"/>
    <w:rsid w:val="006546DF"/>
    <w:rsid w:val="006546E0"/>
    <w:rsid w:val="00654A73"/>
    <w:rsid w:val="00654B78"/>
    <w:rsid w:val="00654F73"/>
    <w:rsid w:val="0065553F"/>
    <w:rsid w:val="00655679"/>
    <w:rsid w:val="006556A8"/>
    <w:rsid w:val="00655B4D"/>
    <w:rsid w:val="00655ED5"/>
    <w:rsid w:val="00655EF5"/>
    <w:rsid w:val="00657529"/>
    <w:rsid w:val="0065782D"/>
    <w:rsid w:val="006600B0"/>
    <w:rsid w:val="00660197"/>
    <w:rsid w:val="00660411"/>
    <w:rsid w:val="00660662"/>
    <w:rsid w:val="0066140E"/>
    <w:rsid w:val="00661C39"/>
    <w:rsid w:val="00662060"/>
    <w:rsid w:val="0066267F"/>
    <w:rsid w:val="00662CA9"/>
    <w:rsid w:val="00662EA8"/>
    <w:rsid w:val="006634C1"/>
    <w:rsid w:val="00663DC3"/>
    <w:rsid w:val="00664225"/>
    <w:rsid w:val="006642AA"/>
    <w:rsid w:val="0066439A"/>
    <w:rsid w:val="0066470D"/>
    <w:rsid w:val="00664E2B"/>
    <w:rsid w:val="006652E9"/>
    <w:rsid w:val="00665734"/>
    <w:rsid w:val="006658B7"/>
    <w:rsid w:val="006658EF"/>
    <w:rsid w:val="006661F3"/>
    <w:rsid w:val="006667EE"/>
    <w:rsid w:val="00667D32"/>
    <w:rsid w:val="00667D33"/>
    <w:rsid w:val="00667EBB"/>
    <w:rsid w:val="0067026D"/>
    <w:rsid w:val="006709B8"/>
    <w:rsid w:val="00670A46"/>
    <w:rsid w:val="00670B81"/>
    <w:rsid w:val="00670C04"/>
    <w:rsid w:val="0067109F"/>
    <w:rsid w:val="00671977"/>
    <w:rsid w:val="00671D80"/>
    <w:rsid w:val="00671F92"/>
    <w:rsid w:val="00672EFB"/>
    <w:rsid w:val="00672F60"/>
    <w:rsid w:val="00673716"/>
    <w:rsid w:val="006739CF"/>
    <w:rsid w:val="00673D4C"/>
    <w:rsid w:val="00674173"/>
    <w:rsid w:val="006741F2"/>
    <w:rsid w:val="00674515"/>
    <w:rsid w:val="006746FF"/>
    <w:rsid w:val="00674AC4"/>
    <w:rsid w:val="00674D40"/>
    <w:rsid w:val="00675FCA"/>
    <w:rsid w:val="00676163"/>
    <w:rsid w:val="00676481"/>
    <w:rsid w:val="00676512"/>
    <w:rsid w:val="00676922"/>
    <w:rsid w:val="006769FB"/>
    <w:rsid w:val="00676A35"/>
    <w:rsid w:val="0067752C"/>
    <w:rsid w:val="006776A2"/>
    <w:rsid w:val="00677A5A"/>
    <w:rsid w:val="00677A62"/>
    <w:rsid w:val="006801A6"/>
    <w:rsid w:val="00680735"/>
    <w:rsid w:val="006809B7"/>
    <w:rsid w:val="00681001"/>
    <w:rsid w:val="0068124B"/>
    <w:rsid w:val="00681610"/>
    <w:rsid w:val="0068257A"/>
    <w:rsid w:val="00682598"/>
    <w:rsid w:val="00682BCF"/>
    <w:rsid w:val="006830A4"/>
    <w:rsid w:val="00683714"/>
    <w:rsid w:val="00683C30"/>
    <w:rsid w:val="006842AA"/>
    <w:rsid w:val="00684437"/>
    <w:rsid w:val="0068496D"/>
    <w:rsid w:val="00684AD6"/>
    <w:rsid w:val="006850ED"/>
    <w:rsid w:val="0068534D"/>
    <w:rsid w:val="006859F1"/>
    <w:rsid w:val="00685A16"/>
    <w:rsid w:val="00685D36"/>
    <w:rsid w:val="0068626F"/>
    <w:rsid w:val="006862B1"/>
    <w:rsid w:val="00686732"/>
    <w:rsid w:val="00686FF2"/>
    <w:rsid w:val="00687304"/>
    <w:rsid w:val="00687388"/>
    <w:rsid w:val="0068747B"/>
    <w:rsid w:val="00687C26"/>
    <w:rsid w:val="0069003D"/>
    <w:rsid w:val="006901F6"/>
    <w:rsid w:val="006902B5"/>
    <w:rsid w:val="00690585"/>
    <w:rsid w:val="00690C7F"/>
    <w:rsid w:val="0069124D"/>
    <w:rsid w:val="00691F96"/>
    <w:rsid w:val="0069215B"/>
    <w:rsid w:val="00692C71"/>
    <w:rsid w:val="006931A0"/>
    <w:rsid w:val="006935BC"/>
    <w:rsid w:val="00693AB0"/>
    <w:rsid w:val="0069411E"/>
    <w:rsid w:val="006946AC"/>
    <w:rsid w:val="006947E6"/>
    <w:rsid w:val="0069510B"/>
    <w:rsid w:val="006955B1"/>
    <w:rsid w:val="00695F86"/>
    <w:rsid w:val="0069624B"/>
    <w:rsid w:val="006963D3"/>
    <w:rsid w:val="006964A3"/>
    <w:rsid w:val="0069681D"/>
    <w:rsid w:val="0069684D"/>
    <w:rsid w:val="006969C8"/>
    <w:rsid w:val="00696B7C"/>
    <w:rsid w:val="00696E55"/>
    <w:rsid w:val="0069733B"/>
    <w:rsid w:val="00697A1B"/>
    <w:rsid w:val="00697BF9"/>
    <w:rsid w:val="00697E97"/>
    <w:rsid w:val="00697F65"/>
    <w:rsid w:val="006A0ABA"/>
    <w:rsid w:val="006A0B0E"/>
    <w:rsid w:val="006A0B66"/>
    <w:rsid w:val="006A0D7B"/>
    <w:rsid w:val="006A0FF0"/>
    <w:rsid w:val="006A13E0"/>
    <w:rsid w:val="006A209C"/>
    <w:rsid w:val="006A21C6"/>
    <w:rsid w:val="006A26ED"/>
    <w:rsid w:val="006A284B"/>
    <w:rsid w:val="006A2B0B"/>
    <w:rsid w:val="006A2CFB"/>
    <w:rsid w:val="006A33A6"/>
    <w:rsid w:val="006A35C2"/>
    <w:rsid w:val="006A395D"/>
    <w:rsid w:val="006A3985"/>
    <w:rsid w:val="006A3A9C"/>
    <w:rsid w:val="006A3CC5"/>
    <w:rsid w:val="006A3D49"/>
    <w:rsid w:val="006A429E"/>
    <w:rsid w:val="006A4925"/>
    <w:rsid w:val="006A4C84"/>
    <w:rsid w:val="006A4CFA"/>
    <w:rsid w:val="006A4FBC"/>
    <w:rsid w:val="006A51BE"/>
    <w:rsid w:val="006A5B51"/>
    <w:rsid w:val="006A5DC4"/>
    <w:rsid w:val="006A60DB"/>
    <w:rsid w:val="006A6229"/>
    <w:rsid w:val="006A69F9"/>
    <w:rsid w:val="006A6A37"/>
    <w:rsid w:val="006A6C6B"/>
    <w:rsid w:val="006A721F"/>
    <w:rsid w:val="006A7683"/>
    <w:rsid w:val="006A7711"/>
    <w:rsid w:val="006A7CCF"/>
    <w:rsid w:val="006A7F9A"/>
    <w:rsid w:val="006B054A"/>
    <w:rsid w:val="006B0581"/>
    <w:rsid w:val="006B0648"/>
    <w:rsid w:val="006B0B80"/>
    <w:rsid w:val="006B0F36"/>
    <w:rsid w:val="006B1798"/>
    <w:rsid w:val="006B19C6"/>
    <w:rsid w:val="006B1C78"/>
    <w:rsid w:val="006B2291"/>
    <w:rsid w:val="006B25A0"/>
    <w:rsid w:val="006B25DB"/>
    <w:rsid w:val="006B2868"/>
    <w:rsid w:val="006B28E7"/>
    <w:rsid w:val="006B30C1"/>
    <w:rsid w:val="006B30FD"/>
    <w:rsid w:val="006B333B"/>
    <w:rsid w:val="006B3984"/>
    <w:rsid w:val="006B3C91"/>
    <w:rsid w:val="006B41FB"/>
    <w:rsid w:val="006B423B"/>
    <w:rsid w:val="006B4254"/>
    <w:rsid w:val="006B42B0"/>
    <w:rsid w:val="006B4628"/>
    <w:rsid w:val="006B4E94"/>
    <w:rsid w:val="006B504A"/>
    <w:rsid w:val="006B51CD"/>
    <w:rsid w:val="006B53AB"/>
    <w:rsid w:val="006B5550"/>
    <w:rsid w:val="006B5B10"/>
    <w:rsid w:val="006B5CB4"/>
    <w:rsid w:val="006B65F8"/>
    <w:rsid w:val="006B6BA6"/>
    <w:rsid w:val="006B6DCF"/>
    <w:rsid w:val="006B791B"/>
    <w:rsid w:val="006B7BD7"/>
    <w:rsid w:val="006C090B"/>
    <w:rsid w:val="006C0CD7"/>
    <w:rsid w:val="006C0D34"/>
    <w:rsid w:val="006C1177"/>
    <w:rsid w:val="006C12AE"/>
    <w:rsid w:val="006C135B"/>
    <w:rsid w:val="006C17D3"/>
    <w:rsid w:val="006C1D36"/>
    <w:rsid w:val="006C1F0D"/>
    <w:rsid w:val="006C2B48"/>
    <w:rsid w:val="006C2D52"/>
    <w:rsid w:val="006C2E8D"/>
    <w:rsid w:val="006C3414"/>
    <w:rsid w:val="006C3656"/>
    <w:rsid w:val="006C3F40"/>
    <w:rsid w:val="006C3F83"/>
    <w:rsid w:val="006C4793"/>
    <w:rsid w:val="006C4B35"/>
    <w:rsid w:val="006C4E63"/>
    <w:rsid w:val="006C537B"/>
    <w:rsid w:val="006C5604"/>
    <w:rsid w:val="006C57BF"/>
    <w:rsid w:val="006C5EF3"/>
    <w:rsid w:val="006C666F"/>
    <w:rsid w:val="006C688A"/>
    <w:rsid w:val="006C6BAA"/>
    <w:rsid w:val="006C7005"/>
    <w:rsid w:val="006C7038"/>
    <w:rsid w:val="006C70BA"/>
    <w:rsid w:val="006C7516"/>
    <w:rsid w:val="006C771A"/>
    <w:rsid w:val="006C7A2E"/>
    <w:rsid w:val="006C7BF3"/>
    <w:rsid w:val="006C7C09"/>
    <w:rsid w:val="006C7D76"/>
    <w:rsid w:val="006C7E9B"/>
    <w:rsid w:val="006D0158"/>
    <w:rsid w:val="006D0911"/>
    <w:rsid w:val="006D0AA0"/>
    <w:rsid w:val="006D0EDD"/>
    <w:rsid w:val="006D0FD6"/>
    <w:rsid w:val="006D1A97"/>
    <w:rsid w:val="006D1C01"/>
    <w:rsid w:val="006D1D99"/>
    <w:rsid w:val="006D1FFF"/>
    <w:rsid w:val="006D22C5"/>
    <w:rsid w:val="006D3092"/>
    <w:rsid w:val="006D330B"/>
    <w:rsid w:val="006D348C"/>
    <w:rsid w:val="006D36FB"/>
    <w:rsid w:val="006D3C53"/>
    <w:rsid w:val="006D42ED"/>
    <w:rsid w:val="006D4530"/>
    <w:rsid w:val="006D48B3"/>
    <w:rsid w:val="006D4D1A"/>
    <w:rsid w:val="006D51E8"/>
    <w:rsid w:val="006D570D"/>
    <w:rsid w:val="006D5982"/>
    <w:rsid w:val="006D5BF1"/>
    <w:rsid w:val="006D5F89"/>
    <w:rsid w:val="006D63A7"/>
    <w:rsid w:val="006D69B7"/>
    <w:rsid w:val="006D714C"/>
    <w:rsid w:val="006D73F1"/>
    <w:rsid w:val="006D78FE"/>
    <w:rsid w:val="006D79CF"/>
    <w:rsid w:val="006D7B3F"/>
    <w:rsid w:val="006E023A"/>
    <w:rsid w:val="006E02C9"/>
    <w:rsid w:val="006E068C"/>
    <w:rsid w:val="006E09AF"/>
    <w:rsid w:val="006E0ED1"/>
    <w:rsid w:val="006E1801"/>
    <w:rsid w:val="006E1D9D"/>
    <w:rsid w:val="006E27F3"/>
    <w:rsid w:val="006E2A29"/>
    <w:rsid w:val="006E2A54"/>
    <w:rsid w:val="006E2E8A"/>
    <w:rsid w:val="006E3292"/>
    <w:rsid w:val="006E3514"/>
    <w:rsid w:val="006E3743"/>
    <w:rsid w:val="006E3C2E"/>
    <w:rsid w:val="006E4511"/>
    <w:rsid w:val="006E48FD"/>
    <w:rsid w:val="006E493F"/>
    <w:rsid w:val="006E5418"/>
    <w:rsid w:val="006E5681"/>
    <w:rsid w:val="006E6761"/>
    <w:rsid w:val="006E7076"/>
    <w:rsid w:val="006E7118"/>
    <w:rsid w:val="006E71C1"/>
    <w:rsid w:val="006E7282"/>
    <w:rsid w:val="006E7421"/>
    <w:rsid w:val="006E7647"/>
    <w:rsid w:val="006E7794"/>
    <w:rsid w:val="006E7A65"/>
    <w:rsid w:val="006E7C55"/>
    <w:rsid w:val="006E7D37"/>
    <w:rsid w:val="006F03E1"/>
    <w:rsid w:val="006F099D"/>
    <w:rsid w:val="006F11B9"/>
    <w:rsid w:val="006F138D"/>
    <w:rsid w:val="006F1583"/>
    <w:rsid w:val="006F162C"/>
    <w:rsid w:val="006F1807"/>
    <w:rsid w:val="006F1D96"/>
    <w:rsid w:val="006F1DA8"/>
    <w:rsid w:val="006F22E9"/>
    <w:rsid w:val="006F2813"/>
    <w:rsid w:val="006F28ED"/>
    <w:rsid w:val="006F2A13"/>
    <w:rsid w:val="006F33D1"/>
    <w:rsid w:val="006F3656"/>
    <w:rsid w:val="006F38AB"/>
    <w:rsid w:val="006F3BAE"/>
    <w:rsid w:val="006F3CDE"/>
    <w:rsid w:val="006F495F"/>
    <w:rsid w:val="006F4B3F"/>
    <w:rsid w:val="006F4CFA"/>
    <w:rsid w:val="006F52DE"/>
    <w:rsid w:val="006F5310"/>
    <w:rsid w:val="006F569E"/>
    <w:rsid w:val="006F5CD5"/>
    <w:rsid w:val="006F5DA0"/>
    <w:rsid w:val="006F607B"/>
    <w:rsid w:val="006F60DC"/>
    <w:rsid w:val="006F65D2"/>
    <w:rsid w:val="006F66BF"/>
    <w:rsid w:val="006F672F"/>
    <w:rsid w:val="006F679C"/>
    <w:rsid w:val="006F67D5"/>
    <w:rsid w:val="006F696E"/>
    <w:rsid w:val="006F6B91"/>
    <w:rsid w:val="006F759F"/>
    <w:rsid w:val="006F7C04"/>
    <w:rsid w:val="006F7CC5"/>
    <w:rsid w:val="006F7E1A"/>
    <w:rsid w:val="007000DA"/>
    <w:rsid w:val="00700386"/>
    <w:rsid w:val="007005A2"/>
    <w:rsid w:val="007005B7"/>
    <w:rsid w:val="00700E7B"/>
    <w:rsid w:val="007012F3"/>
    <w:rsid w:val="007014FF"/>
    <w:rsid w:val="0070152A"/>
    <w:rsid w:val="00701BDC"/>
    <w:rsid w:val="00701DF0"/>
    <w:rsid w:val="00702314"/>
    <w:rsid w:val="00702455"/>
    <w:rsid w:val="007026CB"/>
    <w:rsid w:val="00702BC4"/>
    <w:rsid w:val="00702EE3"/>
    <w:rsid w:val="00703285"/>
    <w:rsid w:val="00703729"/>
    <w:rsid w:val="007037B0"/>
    <w:rsid w:val="00703E16"/>
    <w:rsid w:val="007040CB"/>
    <w:rsid w:val="007042B8"/>
    <w:rsid w:val="007048B7"/>
    <w:rsid w:val="0070523B"/>
    <w:rsid w:val="00705291"/>
    <w:rsid w:val="00705674"/>
    <w:rsid w:val="00705829"/>
    <w:rsid w:val="00705A55"/>
    <w:rsid w:val="00705F13"/>
    <w:rsid w:val="007068CE"/>
    <w:rsid w:val="0070785D"/>
    <w:rsid w:val="0070798A"/>
    <w:rsid w:val="00707D16"/>
    <w:rsid w:val="00707FA5"/>
    <w:rsid w:val="0071025F"/>
    <w:rsid w:val="0071037E"/>
    <w:rsid w:val="00710963"/>
    <w:rsid w:val="00710B1B"/>
    <w:rsid w:val="007115EB"/>
    <w:rsid w:val="007126AD"/>
    <w:rsid w:val="0071296A"/>
    <w:rsid w:val="00713206"/>
    <w:rsid w:val="007133EE"/>
    <w:rsid w:val="007133FD"/>
    <w:rsid w:val="0071360F"/>
    <w:rsid w:val="0071390D"/>
    <w:rsid w:val="00714490"/>
    <w:rsid w:val="00714588"/>
    <w:rsid w:val="007150B8"/>
    <w:rsid w:val="00715124"/>
    <w:rsid w:val="007152CA"/>
    <w:rsid w:val="007152F4"/>
    <w:rsid w:val="00715BF0"/>
    <w:rsid w:val="00715E8A"/>
    <w:rsid w:val="0071651F"/>
    <w:rsid w:val="00716CC6"/>
    <w:rsid w:val="00716D67"/>
    <w:rsid w:val="00716DA4"/>
    <w:rsid w:val="00717067"/>
    <w:rsid w:val="00717226"/>
    <w:rsid w:val="007173FB"/>
    <w:rsid w:val="00717C47"/>
    <w:rsid w:val="00720218"/>
    <w:rsid w:val="007206E5"/>
    <w:rsid w:val="0072085C"/>
    <w:rsid w:val="00720BE8"/>
    <w:rsid w:val="00720FDD"/>
    <w:rsid w:val="007211AD"/>
    <w:rsid w:val="007213F6"/>
    <w:rsid w:val="00721A2A"/>
    <w:rsid w:val="00721C68"/>
    <w:rsid w:val="00721DF2"/>
    <w:rsid w:val="00721E35"/>
    <w:rsid w:val="00722181"/>
    <w:rsid w:val="007225FF"/>
    <w:rsid w:val="00722883"/>
    <w:rsid w:val="00723446"/>
    <w:rsid w:val="00723615"/>
    <w:rsid w:val="00723974"/>
    <w:rsid w:val="00723AF0"/>
    <w:rsid w:val="00723BD3"/>
    <w:rsid w:val="00723E12"/>
    <w:rsid w:val="0072406C"/>
    <w:rsid w:val="00724633"/>
    <w:rsid w:val="00724FEF"/>
    <w:rsid w:val="00725E14"/>
    <w:rsid w:val="007263D4"/>
    <w:rsid w:val="00726A52"/>
    <w:rsid w:val="00726BD5"/>
    <w:rsid w:val="00727226"/>
    <w:rsid w:val="007272DB"/>
    <w:rsid w:val="0072776B"/>
    <w:rsid w:val="007277F9"/>
    <w:rsid w:val="00727911"/>
    <w:rsid w:val="00727E60"/>
    <w:rsid w:val="00727FF9"/>
    <w:rsid w:val="0073007E"/>
    <w:rsid w:val="00730925"/>
    <w:rsid w:val="00730B84"/>
    <w:rsid w:val="00730E10"/>
    <w:rsid w:val="007311E2"/>
    <w:rsid w:val="00731306"/>
    <w:rsid w:val="00731B02"/>
    <w:rsid w:val="00731E71"/>
    <w:rsid w:val="00732020"/>
    <w:rsid w:val="00732519"/>
    <w:rsid w:val="0073365B"/>
    <w:rsid w:val="00733CDC"/>
    <w:rsid w:val="00733E01"/>
    <w:rsid w:val="00733EB2"/>
    <w:rsid w:val="00733FFA"/>
    <w:rsid w:val="007342BE"/>
    <w:rsid w:val="00734489"/>
    <w:rsid w:val="007347A2"/>
    <w:rsid w:val="00734F5A"/>
    <w:rsid w:val="007353F6"/>
    <w:rsid w:val="007354EF"/>
    <w:rsid w:val="0073579D"/>
    <w:rsid w:val="00735CDD"/>
    <w:rsid w:val="00735F11"/>
    <w:rsid w:val="007369E5"/>
    <w:rsid w:val="00736AA7"/>
    <w:rsid w:val="00736D97"/>
    <w:rsid w:val="00736E4A"/>
    <w:rsid w:val="00737436"/>
    <w:rsid w:val="00737602"/>
    <w:rsid w:val="0073767C"/>
    <w:rsid w:val="00737B38"/>
    <w:rsid w:val="00737CEF"/>
    <w:rsid w:val="00737DDA"/>
    <w:rsid w:val="007404D7"/>
    <w:rsid w:val="007410CE"/>
    <w:rsid w:val="00741185"/>
    <w:rsid w:val="0074170C"/>
    <w:rsid w:val="00741831"/>
    <w:rsid w:val="007418A4"/>
    <w:rsid w:val="00741A3C"/>
    <w:rsid w:val="00741FE0"/>
    <w:rsid w:val="007427E0"/>
    <w:rsid w:val="007428DF"/>
    <w:rsid w:val="00742A28"/>
    <w:rsid w:val="00742B92"/>
    <w:rsid w:val="00743136"/>
    <w:rsid w:val="00743182"/>
    <w:rsid w:val="00743286"/>
    <w:rsid w:val="0074389D"/>
    <w:rsid w:val="007438A6"/>
    <w:rsid w:val="00743985"/>
    <w:rsid w:val="00743FDF"/>
    <w:rsid w:val="0074400D"/>
    <w:rsid w:val="0074424B"/>
    <w:rsid w:val="0074442B"/>
    <w:rsid w:val="007447F9"/>
    <w:rsid w:val="00745420"/>
    <w:rsid w:val="0074681E"/>
    <w:rsid w:val="00746B57"/>
    <w:rsid w:val="00746C81"/>
    <w:rsid w:val="00746F00"/>
    <w:rsid w:val="007476B1"/>
    <w:rsid w:val="00747D8F"/>
    <w:rsid w:val="00747D90"/>
    <w:rsid w:val="007500C0"/>
    <w:rsid w:val="0075015E"/>
    <w:rsid w:val="007501B9"/>
    <w:rsid w:val="007503B5"/>
    <w:rsid w:val="0075074F"/>
    <w:rsid w:val="007508C6"/>
    <w:rsid w:val="00750AA5"/>
    <w:rsid w:val="007511E8"/>
    <w:rsid w:val="007515AE"/>
    <w:rsid w:val="007516EC"/>
    <w:rsid w:val="00751CB9"/>
    <w:rsid w:val="00751DA8"/>
    <w:rsid w:val="00751E5E"/>
    <w:rsid w:val="00752FD5"/>
    <w:rsid w:val="007534E9"/>
    <w:rsid w:val="00753FB3"/>
    <w:rsid w:val="007540D9"/>
    <w:rsid w:val="007541D1"/>
    <w:rsid w:val="007542D2"/>
    <w:rsid w:val="007543DD"/>
    <w:rsid w:val="007543F6"/>
    <w:rsid w:val="007545B2"/>
    <w:rsid w:val="00754CDC"/>
    <w:rsid w:val="007554E9"/>
    <w:rsid w:val="0075624F"/>
    <w:rsid w:val="00756580"/>
    <w:rsid w:val="0075674F"/>
    <w:rsid w:val="007568F0"/>
    <w:rsid w:val="00756A9D"/>
    <w:rsid w:val="00756ACA"/>
    <w:rsid w:val="00756C9F"/>
    <w:rsid w:val="00756D96"/>
    <w:rsid w:val="00756E50"/>
    <w:rsid w:val="00757BAB"/>
    <w:rsid w:val="007606F6"/>
    <w:rsid w:val="00760A7E"/>
    <w:rsid w:val="0076116B"/>
    <w:rsid w:val="00761374"/>
    <w:rsid w:val="00761507"/>
    <w:rsid w:val="007615D5"/>
    <w:rsid w:val="007617CB"/>
    <w:rsid w:val="00761B34"/>
    <w:rsid w:val="007620B1"/>
    <w:rsid w:val="007620C2"/>
    <w:rsid w:val="00762313"/>
    <w:rsid w:val="007623DB"/>
    <w:rsid w:val="00762837"/>
    <w:rsid w:val="0076289D"/>
    <w:rsid w:val="00762F2C"/>
    <w:rsid w:val="007631BA"/>
    <w:rsid w:val="0076325B"/>
    <w:rsid w:val="00763641"/>
    <w:rsid w:val="00763BFC"/>
    <w:rsid w:val="00763F7F"/>
    <w:rsid w:val="00764E49"/>
    <w:rsid w:val="007651AF"/>
    <w:rsid w:val="00765203"/>
    <w:rsid w:val="00765A45"/>
    <w:rsid w:val="00765FCE"/>
    <w:rsid w:val="00766160"/>
    <w:rsid w:val="0076687B"/>
    <w:rsid w:val="007668BA"/>
    <w:rsid w:val="00766958"/>
    <w:rsid w:val="00766EA2"/>
    <w:rsid w:val="00766FA0"/>
    <w:rsid w:val="00767683"/>
    <w:rsid w:val="00767BF4"/>
    <w:rsid w:val="00767F70"/>
    <w:rsid w:val="0077013B"/>
    <w:rsid w:val="00770286"/>
    <w:rsid w:val="007704B3"/>
    <w:rsid w:val="00770572"/>
    <w:rsid w:val="00770596"/>
    <w:rsid w:val="007707BB"/>
    <w:rsid w:val="0077113E"/>
    <w:rsid w:val="0077133F"/>
    <w:rsid w:val="00771404"/>
    <w:rsid w:val="007714AC"/>
    <w:rsid w:val="0077162A"/>
    <w:rsid w:val="00771D54"/>
    <w:rsid w:val="0077200F"/>
    <w:rsid w:val="00772298"/>
    <w:rsid w:val="007723B9"/>
    <w:rsid w:val="007724BF"/>
    <w:rsid w:val="0077277D"/>
    <w:rsid w:val="007729FD"/>
    <w:rsid w:val="007730EB"/>
    <w:rsid w:val="007747D4"/>
    <w:rsid w:val="00774963"/>
    <w:rsid w:val="0077518E"/>
    <w:rsid w:val="007751E9"/>
    <w:rsid w:val="00775CF0"/>
    <w:rsid w:val="00776928"/>
    <w:rsid w:val="0077748E"/>
    <w:rsid w:val="0077767E"/>
    <w:rsid w:val="00777E24"/>
    <w:rsid w:val="00780093"/>
    <w:rsid w:val="0078045F"/>
    <w:rsid w:val="007807B9"/>
    <w:rsid w:val="00780EBD"/>
    <w:rsid w:val="007815B7"/>
    <w:rsid w:val="0078198F"/>
    <w:rsid w:val="00781B7F"/>
    <w:rsid w:val="00782040"/>
    <w:rsid w:val="007825E2"/>
    <w:rsid w:val="00782747"/>
    <w:rsid w:val="00782CCA"/>
    <w:rsid w:val="00782DCB"/>
    <w:rsid w:val="00783295"/>
    <w:rsid w:val="0078362F"/>
    <w:rsid w:val="007838BA"/>
    <w:rsid w:val="00783907"/>
    <w:rsid w:val="00783921"/>
    <w:rsid w:val="00783B74"/>
    <w:rsid w:val="00783C01"/>
    <w:rsid w:val="00784156"/>
    <w:rsid w:val="007847C3"/>
    <w:rsid w:val="00784962"/>
    <w:rsid w:val="00784D8A"/>
    <w:rsid w:val="00784DA8"/>
    <w:rsid w:val="00785049"/>
    <w:rsid w:val="007855C8"/>
    <w:rsid w:val="007856F2"/>
    <w:rsid w:val="007858AD"/>
    <w:rsid w:val="007859AE"/>
    <w:rsid w:val="00785D16"/>
    <w:rsid w:val="00785F9F"/>
    <w:rsid w:val="00785FE4"/>
    <w:rsid w:val="00786146"/>
    <w:rsid w:val="007865F8"/>
    <w:rsid w:val="00786760"/>
    <w:rsid w:val="00786CE5"/>
    <w:rsid w:val="00786DFF"/>
    <w:rsid w:val="007874EE"/>
    <w:rsid w:val="007875A1"/>
    <w:rsid w:val="007901F1"/>
    <w:rsid w:val="00790867"/>
    <w:rsid w:val="007910C8"/>
    <w:rsid w:val="00791280"/>
    <w:rsid w:val="00791631"/>
    <w:rsid w:val="00791A82"/>
    <w:rsid w:val="00791E82"/>
    <w:rsid w:val="007921D8"/>
    <w:rsid w:val="0079222B"/>
    <w:rsid w:val="007923B8"/>
    <w:rsid w:val="00792678"/>
    <w:rsid w:val="00792AEF"/>
    <w:rsid w:val="00792B21"/>
    <w:rsid w:val="00792E4F"/>
    <w:rsid w:val="007933B3"/>
    <w:rsid w:val="0079376E"/>
    <w:rsid w:val="007940A7"/>
    <w:rsid w:val="00794273"/>
    <w:rsid w:val="00794518"/>
    <w:rsid w:val="007949E3"/>
    <w:rsid w:val="00794AC0"/>
    <w:rsid w:val="00794D72"/>
    <w:rsid w:val="0079501A"/>
    <w:rsid w:val="00795207"/>
    <w:rsid w:val="007953C7"/>
    <w:rsid w:val="007958D5"/>
    <w:rsid w:val="00795A31"/>
    <w:rsid w:val="00795CD4"/>
    <w:rsid w:val="00795F3C"/>
    <w:rsid w:val="0079647A"/>
    <w:rsid w:val="007964D4"/>
    <w:rsid w:val="00797346"/>
    <w:rsid w:val="0079751B"/>
    <w:rsid w:val="007A048E"/>
    <w:rsid w:val="007A12D6"/>
    <w:rsid w:val="007A19AF"/>
    <w:rsid w:val="007A1A60"/>
    <w:rsid w:val="007A1E9D"/>
    <w:rsid w:val="007A21BB"/>
    <w:rsid w:val="007A21EF"/>
    <w:rsid w:val="007A2801"/>
    <w:rsid w:val="007A292C"/>
    <w:rsid w:val="007A299B"/>
    <w:rsid w:val="007A2AA9"/>
    <w:rsid w:val="007A2B60"/>
    <w:rsid w:val="007A316E"/>
    <w:rsid w:val="007A3375"/>
    <w:rsid w:val="007A3E25"/>
    <w:rsid w:val="007A3EE9"/>
    <w:rsid w:val="007A3F07"/>
    <w:rsid w:val="007A4009"/>
    <w:rsid w:val="007A4CE5"/>
    <w:rsid w:val="007A4D17"/>
    <w:rsid w:val="007A4EEE"/>
    <w:rsid w:val="007A566E"/>
    <w:rsid w:val="007A56EC"/>
    <w:rsid w:val="007A58A5"/>
    <w:rsid w:val="007A5C28"/>
    <w:rsid w:val="007A61F2"/>
    <w:rsid w:val="007A65E6"/>
    <w:rsid w:val="007A6C02"/>
    <w:rsid w:val="007A6DAA"/>
    <w:rsid w:val="007A7012"/>
    <w:rsid w:val="007A71CD"/>
    <w:rsid w:val="007A7535"/>
    <w:rsid w:val="007A7599"/>
    <w:rsid w:val="007A76C6"/>
    <w:rsid w:val="007A77C9"/>
    <w:rsid w:val="007A78ED"/>
    <w:rsid w:val="007A7EC8"/>
    <w:rsid w:val="007B005F"/>
    <w:rsid w:val="007B032C"/>
    <w:rsid w:val="007B0401"/>
    <w:rsid w:val="007B06AF"/>
    <w:rsid w:val="007B1487"/>
    <w:rsid w:val="007B1591"/>
    <w:rsid w:val="007B1A62"/>
    <w:rsid w:val="007B1AF8"/>
    <w:rsid w:val="007B2766"/>
    <w:rsid w:val="007B2844"/>
    <w:rsid w:val="007B2A16"/>
    <w:rsid w:val="007B356A"/>
    <w:rsid w:val="007B3AD9"/>
    <w:rsid w:val="007B409A"/>
    <w:rsid w:val="007B40BF"/>
    <w:rsid w:val="007B419F"/>
    <w:rsid w:val="007B448D"/>
    <w:rsid w:val="007B4561"/>
    <w:rsid w:val="007B487F"/>
    <w:rsid w:val="007B4B3F"/>
    <w:rsid w:val="007B4CC4"/>
    <w:rsid w:val="007B5295"/>
    <w:rsid w:val="007B612F"/>
    <w:rsid w:val="007B629C"/>
    <w:rsid w:val="007B647C"/>
    <w:rsid w:val="007B6537"/>
    <w:rsid w:val="007B69CE"/>
    <w:rsid w:val="007B70E4"/>
    <w:rsid w:val="007B71F7"/>
    <w:rsid w:val="007B75D7"/>
    <w:rsid w:val="007B787D"/>
    <w:rsid w:val="007B7B7B"/>
    <w:rsid w:val="007C019C"/>
    <w:rsid w:val="007C089C"/>
    <w:rsid w:val="007C0979"/>
    <w:rsid w:val="007C1040"/>
    <w:rsid w:val="007C11A0"/>
    <w:rsid w:val="007C209B"/>
    <w:rsid w:val="007C2DEC"/>
    <w:rsid w:val="007C3131"/>
    <w:rsid w:val="007C3165"/>
    <w:rsid w:val="007C44F5"/>
    <w:rsid w:val="007C4F0C"/>
    <w:rsid w:val="007C58D6"/>
    <w:rsid w:val="007C5922"/>
    <w:rsid w:val="007C5BDA"/>
    <w:rsid w:val="007C5DC6"/>
    <w:rsid w:val="007C6098"/>
    <w:rsid w:val="007C64AC"/>
    <w:rsid w:val="007C64C9"/>
    <w:rsid w:val="007C732D"/>
    <w:rsid w:val="007C7342"/>
    <w:rsid w:val="007C756B"/>
    <w:rsid w:val="007C7918"/>
    <w:rsid w:val="007D013A"/>
    <w:rsid w:val="007D05E7"/>
    <w:rsid w:val="007D0B93"/>
    <w:rsid w:val="007D0C88"/>
    <w:rsid w:val="007D1008"/>
    <w:rsid w:val="007D1744"/>
    <w:rsid w:val="007D18DF"/>
    <w:rsid w:val="007D1D4C"/>
    <w:rsid w:val="007D1E45"/>
    <w:rsid w:val="007D2075"/>
    <w:rsid w:val="007D210E"/>
    <w:rsid w:val="007D28C2"/>
    <w:rsid w:val="007D2955"/>
    <w:rsid w:val="007D29B2"/>
    <w:rsid w:val="007D3256"/>
    <w:rsid w:val="007D33AD"/>
    <w:rsid w:val="007D33E3"/>
    <w:rsid w:val="007D37F6"/>
    <w:rsid w:val="007D3F00"/>
    <w:rsid w:val="007D407E"/>
    <w:rsid w:val="007D441B"/>
    <w:rsid w:val="007D4DCA"/>
    <w:rsid w:val="007D4ECD"/>
    <w:rsid w:val="007D5756"/>
    <w:rsid w:val="007D5B27"/>
    <w:rsid w:val="007D5C80"/>
    <w:rsid w:val="007D6218"/>
    <w:rsid w:val="007D62AE"/>
    <w:rsid w:val="007D662A"/>
    <w:rsid w:val="007D6AED"/>
    <w:rsid w:val="007D758B"/>
    <w:rsid w:val="007D7CEF"/>
    <w:rsid w:val="007D7DF8"/>
    <w:rsid w:val="007E013D"/>
    <w:rsid w:val="007E0235"/>
    <w:rsid w:val="007E0832"/>
    <w:rsid w:val="007E0859"/>
    <w:rsid w:val="007E0869"/>
    <w:rsid w:val="007E120D"/>
    <w:rsid w:val="007E240F"/>
    <w:rsid w:val="007E2524"/>
    <w:rsid w:val="007E2688"/>
    <w:rsid w:val="007E2754"/>
    <w:rsid w:val="007E279D"/>
    <w:rsid w:val="007E296E"/>
    <w:rsid w:val="007E2AE2"/>
    <w:rsid w:val="007E2C52"/>
    <w:rsid w:val="007E2C92"/>
    <w:rsid w:val="007E31A4"/>
    <w:rsid w:val="007E3A4A"/>
    <w:rsid w:val="007E4698"/>
    <w:rsid w:val="007E4720"/>
    <w:rsid w:val="007E47D3"/>
    <w:rsid w:val="007E4919"/>
    <w:rsid w:val="007E4950"/>
    <w:rsid w:val="007E5068"/>
    <w:rsid w:val="007E5071"/>
    <w:rsid w:val="007E5436"/>
    <w:rsid w:val="007E57C1"/>
    <w:rsid w:val="007E5818"/>
    <w:rsid w:val="007E5E44"/>
    <w:rsid w:val="007E6120"/>
    <w:rsid w:val="007E61A7"/>
    <w:rsid w:val="007E65C2"/>
    <w:rsid w:val="007E65D7"/>
    <w:rsid w:val="007E67FC"/>
    <w:rsid w:val="007E6B57"/>
    <w:rsid w:val="007E72EA"/>
    <w:rsid w:val="007E7BE1"/>
    <w:rsid w:val="007E7C67"/>
    <w:rsid w:val="007F042C"/>
    <w:rsid w:val="007F04A2"/>
    <w:rsid w:val="007F08BC"/>
    <w:rsid w:val="007F0996"/>
    <w:rsid w:val="007F1208"/>
    <w:rsid w:val="007F146B"/>
    <w:rsid w:val="007F1BE9"/>
    <w:rsid w:val="007F1FDB"/>
    <w:rsid w:val="007F216A"/>
    <w:rsid w:val="007F227E"/>
    <w:rsid w:val="007F254C"/>
    <w:rsid w:val="007F25F3"/>
    <w:rsid w:val="007F2770"/>
    <w:rsid w:val="007F2A14"/>
    <w:rsid w:val="007F2C14"/>
    <w:rsid w:val="007F32CD"/>
    <w:rsid w:val="007F3D8E"/>
    <w:rsid w:val="007F40BD"/>
    <w:rsid w:val="007F42B5"/>
    <w:rsid w:val="007F441B"/>
    <w:rsid w:val="007F473A"/>
    <w:rsid w:val="007F4F35"/>
    <w:rsid w:val="007F6249"/>
    <w:rsid w:val="007F6554"/>
    <w:rsid w:val="007F69F5"/>
    <w:rsid w:val="007F6F56"/>
    <w:rsid w:val="007F7119"/>
    <w:rsid w:val="007F79E3"/>
    <w:rsid w:val="007F7D19"/>
    <w:rsid w:val="007F7F74"/>
    <w:rsid w:val="008004E1"/>
    <w:rsid w:val="00800534"/>
    <w:rsid w:val="0080089C"/>
    <w:rsid w:val="00801622"/>
    <w:rsid w:val="008017A4"/>
    <w:rsid w:val="00801AB1"/>
    <w:rsid w:val="00801EB4"/>
    <w:rsid w:val="00801F9C"/>
    <w:rsid w:val="008025A0"/>
    <w:rsid w:val="00802788"/>
    <w:rsid w:val="00802901"/>
    <w:rsid w:val="00802BD9"/>
    <w:rsid w:val="00803152"/>
    <w:rsid w:val="00803318"/>
    <w:rsid w:val="00803456"/>
    <w:rsid w:val="0080387A"/>
    <w:rsid w:val="008038D9"/>
    <w:rsid w:val="0080390A"/>
    <w:rsid w:val="00803EAA"/>
    <w:rsid w:val="00803FAE"/>
    <w:rsid w:val="0080419E"/>
    <w:rsid w:val="0080441B"/>
    <w:rsid w:val="00804B13"/>
    <w:rsid w:val="00804B82"/>
    <w:rsid w:val="00804FB1"/>
    <w:rsid w:val="00805C14"/>
    <w:rsid w:val="00805C39"/>
    <w:rsid w:val="008061E5"/>
    <w:rsid w:val="00806814"/>
    <w:rsid w:val="00806BC8"/>
    <w:rsid w:val="00807369"/>
    <w:rsid w:val="0080739F"/>
    <w:rsid w:val="0080749B"/>
    <w:rsid w:val="008074E4"/>
    <w:rsid w:val="0080797D"/>
    <w:rsid w:val="00807D47"/>
    <w:rsid w:val="00807ED8"/>
    <w:rsid w:val="0081005E"/>
    <w:rsid w:val="00810C04"/>
    <w:rsid w:val="00811BBD"/>
    <w:rsid w:val="00812022"/>
    <w:rsid w:val="00812083"/>
    <w:rsid w:val="00812550"/>
    <w:rsid w:val="008127DE"/>
    <w:rsid w:val="00812976"/>
    <w:rsid w:val="00814DEF"/>
    <w:rsid w:val="00815B3B"/>
    <w:rsid w:val="00815D04"/>
    <w:rsid w:val="00815E35"/>
    <w:rsid w:val="00815FD2"/>
    <w:rsid w:val="0081600A"/>
    <w:rsid w:val="008161B5"/>
    <w:rsid w:val="008167D6"/>
    <w:rsid w:val="00816FA1"/>
    <w:rsid w:val="008173B3"/>
    <w:rsid w:val="008173F8"/>
    <w:rsid w:val="0081740D"/>
    <w:rsid w:val="008177CA"/>
    <w:rsid w:val="0081780D"/>
    <w:rsid w:val="00817AE6"/>
    <w:rsid w:val="00817B86"/>
    <w:rsid w:val="00817B8C"/>
    <w:rsid w:val="00820327"/>
    <w:rsid w:val="00820383"/>
    <w:rsid w:val="008205F2"/>
    <w:rsid w:val="008206F5"/>
    <w:rsid w:val="00820EE8"/>
    <w:rsid w:val="008217B5"/>
    <w:rsid w:val="008219DE"/>
    <w:rsid w:val="00821E80"/>
    <w:rsid w:val="0082239E"/>
    <w:rsid w:val="008229FC"/>
    <w:rsid w:val="00822B6C"/>
    <w:rsid w:val="00823149"/>
    <w:rsid w:val="00823335"/>
    <w:rsid w:val="008233CB"/>
    <w:rsid w:val="008233D3"/>
    <w:rsid w:val="0082340F"/>
    <w:rsid w:val="008238F1"/>
    <w:rsid w:val="00823C1E"/>
    <w:rsid w:val="00824176"/>
    <w:rsid w:val="008241A8"/>
    <w:rsid w:val="00824593"/>
    <w:rsid w:val="00825380"/>
    <w:rsid w:val="00825560"/>
    <w:rsid w:val="00825A87"/>
    <w:rsid w:val="00827737"/>
    <w:rsid w:val="00827B75"/>
    <w:rsid w:val="00827BAB"/>
    <w:rsid w:val="00827EAA"/>
    <w:rsid w:val="008309D9"/>
    <w:rsid w:val="00830A6B"/>
    <w:rsid w:val="00830E97"/>
    <w:rsid w:val="00830F4A"/>
    <w:rsid w:val="008312BE"/>
    <w:rsid w:val="00831B9B"/>
    <w:rsid w:val="00831C2E"/>
    <w:rsid w:val="00831CEC"/>
    <w:rsid w:val="008321E5"/>
    <w:rsid w:val="00832381"/>
    <w:rsid w:val="008323C2"/>
    <w:rsid w:val="00832A13"/>
    <w:rsid w:val="008330CA"/>
    <w:rsid w:val="00833379"/>
    <w:rsid w:val="00833D2E"/>
    <w:rsid w:val="008341D4"/>
    <w:rsid w:val="008343CE"/>
    <w:rsid w:val="00834613"/>
    <w:rsid w:val="008347EB"/>
    <w:rsid w:val="00834E1D"/>
    <w:rsid w:val="00835008"/>
    <w:rsid w:val="00835DCE"/>
    <w:rsid w:val="00836AC9"/>
    <w:rsid w:val="00836C3A"/>
    <w:rsid w:val="00836D51"/>
    <w:rsid w:val="00836F5F"/>
    <w:rsid w:val="0083752B"/>
    <w:rsid w:val="008375E9"/>
    <w:rsid w:val="008376EE"/>
    <w:rsid w:val="00837956"/>
    <w:rsid w:val="00837FF6"/>
    <w:rsid w:val="008402EB"/>
    <w:rsid w:val="008407F0"/>
    <w:rsid w:val="0084099C"/>
    <w:rsid w:val="00842192"/>
    <w:rsid w:val="008421AD"/>
    <w:rsid w:val="00842276"/>
    <w:rsid w:val="008425E7"/>
    <w:rsid w:val="00842A7E"/>
    <w:rsid w:val="00842A8F"/>
    <w:rsid w:val="00842D9C"/>
    <w:rsid w:val="00842F2B"/>
    <w:rsid w:val="00843413"/>
    <w:rsid w:val="008438CB"/>
    <w:rsid w:val="00843C98"/>
    <w:rsid w:val="0084406F"/>
    <w:rsid w:val="00844457"/>
    <w:rsid w:val="00844D3D"/>
    <w:rsid w:val="0084532E"/>
    <w:rsid w:val="0084563F"/>
    <w:rsid w:val="008457E6"/>
    <w:rsid w:val="00845810"/>
    <w:rsid w:val="0084588C"/>
    <w:rsid w:val="00845F3C"/>
    <w:rsid w:val="00846068"/>
    <w:rsid w:val="00846159"/>
    <w:rsid w:val="008468B7"/>
    <w:rsid w:val="00846A59"/>
    <w:rsid w:val="008474F9"/>
    <w:rsid w:val="008479E9"/>
    <w:rsid w:val="00847F69"/>
    <w:rsid w:val="008502A6"/>
    <w:rsid w:val="008502E5"/>
    <w:rsid w:val="00850363"/>
    <w:rsid w:val="008505C3"/>
    <w:rsid w:val="00850750"/>
    <w:rsid w:val="00850E2F"/>
    <w:rsid w:val="0085131F"/>
    <w:rsid w:val="00851454"/>
    <w:rsid w:val="0085159D"/>
    <w:rsid w:val="00851677"/>
    <w:rsid w:val="00851935"/>
    <w:rsid w:val="00851BE2"/>
    <w:rsid w:val="00851DC4"/>
    <w:rsid w:val="00851E58"/>
    <w:rsid w:val="008522C6"/>
    <w:rsid w:val="00852E40"/>
    <w:rsid w:val="00853F93"/>
    <w:rsid w:val="008542BA"/>
    <w:rsid w:val="00854C54"/>
    <w:rsid w:val="00854EB1"/>
    <w:rsid w:val="008552B5"/>
    <w:rsid w:val="00855AF8"/>
    <w:rsid w:val="00855FCF"/>
    <w:rsid w:val="00856959"/>
    <w:rsid w:val="00857278"/>
    <w:rsid w:val="00857A90"/>
    <w:rsid w:val="00857CDD"/>
    <w:rsid w:val="00857D45"/>
    <w:rsid w:val="00860082"/>
    <w:rsid w:val="00860805"/>
    <w:rsid w:val="00860BC6"/>
    <w:rsid w:val="00860EA8"/>
    <w:rsid w:val="008610A7"/>
    <w:rsid w:val="008614B2"/>
    <w:rsid w:val="0086158A"/>
    <w:rsid w:val="008617FC"/>
    <w:rsid w:val="00861A3F"/>
    <w:rsid w:val="00861B1B"/>
    <w:rsid w:val="00861B8C"/>
    <w:rsid w:val="00861C99"/>
    <w:rsid w:val="00861D74"/>
    <w:rsid w:val="0086242B"/>
    <w:rsid w:val="0086250A"/>
    <w:rsid w:val="00862D15"/>
    <w:rsid w:val="00862E39"/>
    <w:rsid w:val="00862E6B"/>
    <w:rsid w:val="00862FDA"/>
    <w:rsid w:val="008630B6"/>
    <w:rsid w:val="008633B5"/>
    <w:rsid w:val="00863595"/>
    <w:rsid w:val="00863639"/>
    <w:rsid w:val="00863808"/>
    <w:rsid w:val="0086386A"/>
    <w:rsid w:val="008639C8"/>
    <w:rsid w:val="00863A55"/>
    <w:rsid w:val="00863B65"/>
    <w:rsid w:val="00864451"/>
    <w:rsid w:val="008646E1"/>
    <w:rsid w:val="0086472B"/>
    <w:rsid w:val="00864DE3"/>
    <w:rsid w:val="008654B3"/>
    <w:rsid w:val="00865676"/>
    <w:rsid w:val="008656CB"/>
    <w:rsid w:val="00865928"/>
    <w:rsid w:val="00865B83"/>
    <w:rsid w:val="00865EF8"/>
    <w:rsid w:val="00866494"/>
    <w:rsid w:val="00866696"/>
    <w:rsid w:val="00866771"/>
    <w:rsid w:val="00866889"/>
    <w:rsid w:val="00866AC3"/>
    <w:rsid w:val="00866B22"/>
    <w:rsid w:val="00866CC6"/>
    <w:rsid w:val="00867369"/>
    <w:rsid w:val="008674B1"/>
    <w:rsid w:val="00867785"/>
    <w:rsid w:val="008677A3"/>
    <w:rsid w:val="00867F0B"/>
    <w:rsid w:val="00870128"/>
    <w:rsid w:val="008702CB"/>
    <w:rsid w:val="00870432"/>
    <w:rsid w:val="00870F9A"/>
    <w:rsid w:val="00871FB6"/>
    <w:rsid w:val="0087207C"/>
    <w:rsid w:val="008721C4"/>
    <w:rsid w:val="008722BC"/>
    <w:rsid w:val="008725BE"/>
    <w:rsid w:val="0087368E"/>
    <w:rsid w:val="00873B73"/>
    <w:rsid w:val="00873F15"/>
    <w:rsid w:val="00874402"/>
    <w:rsid w:val="00874499"/>
    <w:rsid w:val="008745F5"/>
    <w:rsid w:val="00874D88"/>
    <w:rsid w:val="00874F4D"/>
    <w:rsid w:val="00875657"/>
    <w:rsid w:val="00875778"/>
    <w:rsid w:val="00875F07"/>
    <w:rsid w:val="0087637A"/>
    <w:rsid w:val="008767C3"/>
    <w:rsid w:val="00876A1E"/>
    <w:rsid w:val="00876B74"/>
    <w:rsid w:val="00876EA8"/>
    <w:rsid w:val="00876EF9"/>
    <w:rsid w:val="00877511"/>
    <w:rsid w:val="00877A34"/>
    <w:rsid w:val="00877D7F"/>
    <w:rsid w:val="00877F76"/>
    <w:rsid w:val="008802D9"/>
    <w:rsid w:val="00880B98"/>
    <w:rsid w:val="00880C19"/>
    <w:rsid w:val="008816F7"/>
    <w:rsid w:val="00881F26"/>
    <w:rsid w:val="00882577"/>
    <w:rsid w:val="00883013"/>
    <w:rsid w:val="008838A1"/>
    <w:rsid w:val="00883B66"/>
    <w:rsid w:val="00883CDD"/>
    <w:rsid w:val="00883D4E"/>
    <w:rsid w:val="008846FE"/>
    <w:rsid w:val="00884BCE"/>
    <w:rsid w:val="008866BD"/>
    <w:rsid w:val="008866E3"/>
    <w:rsid w:val="0088685E"/>
    <w:rsid w:val="0088689E"/>
    <w:rsid w:val="00886905"/>
    <w:rsid w:val="00886D43"/>
    <w:rsid w:val="00886F28"/>
    <w:rsid w:val="00887946"/>
    <w:rsid w:val="00887A1A"/>
    <w:rsid w:val="00890062"/>
    <w:rsid w:val="00891794"/>
    <w:rsid w:val="00891856"/>
    <w:rsid w:val="00891929"/>
    <w:rsid w:val="00892479"/>
    <w:rsid w:val="008924F3"/>
    <w:rsid w:val="00892A09"/>
    <w:rsid w:val="00892E67"/>
    <w:rsid w:val="00893176"/>
    <w:rsid w:val="008932F7"/>
    <w:rsid w:val="008933C0"/>
    <w:rsid w:val="008934AE"/>
    <w:rsid w:val="008935A3"/>
    <w:rsid w:val="00893A0D"/>
    <w:rsid w:val="00893B71"/>
    <w:rsid w:val="00893C0B"/>
    <w:rsid w:val="00893CBD"/>
    <w:rsid w:val="00893ED5"/>
    <w:rsid w:val="00894446"/>
    <w:rsid w:val="008945D1"/>
    <w:rsid w:val="00894955"/>
    <w:rsid w:val="00894CF2"/>
    <w:rsid w:val="00894FFC"/>
    <w:rsid w:val="00895446"/>
    <w:rsid w:val="0089678C"/>
    <w:rsid w:val="00896E57"/>
    <w:rsid w:val="00896FC5"/>
    <w:rsid w:val="00897467"/>
    <w:rsid w:val="00897E01"/>
    <w:rsid w:val="008A04DA"/>
    <w:rsid w:val="008A05E4"/>
    <w:rsid w:val="008A092A"/>
    <w:rsid w:val="008A0BD2"/>
    <w:rsid w:val="008A0F94"/>
    <w:rsid w:val="008A1120"/>
    <w:rsid w:val="008A12B4"/>
    <w:rsid w:val="008A2098"/>
    <w:rsid w:val="008A2406"/>
    <w:rsid w:val="008A26FF"/>
    <w:rsid w:val="008A32D1"/>
    <w:rsid w:val="008A353D"/>
    <w:rsid w:val="008A3C11"/>
    <w:rsid w:val="008A4227"/>
    <w:rsid w:val="008A47AE"/>
    <w:rsid w:val="008A4997"/>
    <w:rsid w:val="008A49BE"/>
    <w:rsid w:val="008A4B98"/>
    <w:rsid w:val="008A500B"/>
    <w:rsid w:val="008A5743"/>
    <w:rsid w:val="008A5788"/>
    <w:rsid w:val="008A58C6"/>
    <w:rsid w:val="008A5AA6"/>
    <w:rsid w:val="008A5D45"/>
    <w:rsid w:val="008A6B91"/>
    <w:rsid w:val="008A6C7B"/>
    <w:rsid w:val="008A6F53"/>
    <w:rsid w:val="008A7335"/>
    <w:rsid w:val="008A7452"/>
    <w:rsid w:val="008A7859"/>
    <w:rsid w:val="008A79B0"/>
    <w:rsid w:val="008A7A38"/>
    <w:rsid w:val="008A7B50"/>
    <w:rsid w:val="008A7BB4"/>
    <w:rsid w:val="008B0096"/>
    <w:rsid w:val="008B036D"/>
    <w:rsid w:val="008B03AD"/>
    <w:rsid w:val="008B03D8"/>
    <w:rsid w:val="008B0AC6"/>
    <w:rsid w:val="008B0B86"/>
    <w:rsid w:val="008B0D71"/>
    <w:rsid w:val="008B1A15"/>
    <w:rsid w:val="008B2852"/>
    <w:rsid w:val="008B3535"/>
    <w:rsid w:val="008B3DEE"/>
    <w:rsid w:val="008B3F62"/>
    <w:rsid w:val="008B4290"/>
    <w:rsid w:val="008B4B31"/>
    <w:rsid w:val="008B5AF8"/>
    <w:rsid w:val="008B5CB0"/>
    <w:rsid w:val="008B5D1E"/>
    <w:rsid w:val="008B5E68"/>
    <w:rsid w:val="008B5FCD"/>
    <w:rsid w:val="008B61CD"/>
    <w:rsid w:val="008B6878"/>
    <w:rsid w:val="008B6974"/>
    <w:rsid w:val="008B6C86"/>
    <w:rsid w:val="008B7151"/>
    <w:rsid w:val="008B7223"/>
    <w:rsid w:val="008B76A8"/>
    <w:rsid w:val="008B7736"/>
    <w:rsid w:val="008B783C"/>
    <w:rsid w:val="008B7F0D"/>
    <w:rsid w:val="008C0105"/>
    <w:rsid w:val="008C014F"/>
    <w:rsid w:val="008C06D3"/>
    <w:rsid w:val="008C0996"/>
    <w:rsid w:val="008C0CF8"/>
    <w:rsid w:val="008C10C4"/>
    <w:rsid w:val="008C10D9"/>
    <w:rsid w:val="008C17AE"/>
    <w:rsid w:val="008C23B4"/>
    <w:rsid w:val="008C254E"/>
    <w:rsid w:val="008C2968"/>
    <w:rsid w:val="008C3486"/>
    <w:rsid w:val="008C3C9F"/>
    <w:rsid w:val="008C41A9"/>
    <w:rsid w:val="008C44A9"/>
    <w:rsid w:val="008C4A61"/>
    <w:rsid w:val="008C4CB3"/>
    <w:rsid w:val="008C4F0F"/>
    <w:rsid w:val="008C5805"/>
    <w:rsid w:val="008C5C3A"/>
    <w:rsid w:val="008C5DDB"/>
    <w:rsid w:val="008C5F81"/>
    <w:rsid w:val="008C683C"/>
    <w:rsid w:val="008C6CFD"/>
    <w:rsid w:val="008C6D7A"/>
    <w:rsid w:val="008C70D7"/>
    <w:rsid w:val="008C74EA"/>
    <w:rsid w:val="008C75F1"/>
    <w:rsid w:val="008C7D07"/>
    <w:rsid w:val="008C7F38"/>
    <w:rsid w:val="008D0250"/>
    <w:rsid w:val="008D06C3"/>
    <w:rsid w:val="008D06E1"/>
    <w:rsid w:val="008D088F"/>
    <w:rsid w:val="008D10FB"/>
    <w:rsid w:val="008D1336"/>
    <w:rsid w:val="008D13A4"/>
    <w:rsid w:val="008D1544"/>
    <w:rsid w:val="008D159E"/>
    <w:rsid w:val="008D1B74"/>
    <w:rsid w:val="008D1E31"/>
    <w:rsid w:val="008D1E44"/>
    <w:rsid w:val="008D2110"/>
    <w:rsid w:val="008D2A86"/>
    <w:rsid w:val="008D2FE6"/>
    <w:rsid w:val="008D3B9E"/>
    <w:rsid w:val="008D3EA9"/>
    <w:rsid w:val="008D403A"/>
    <w:rsid w:val="008D436D"/>
    <w:rsid w:val="008D444B"/>
    <w:rsid w:val="008D48AA"/>
    <w:rsid w:val="008D490A"/>
    <w:rsid w:val="008D4E94"/>
    <w:rsid w:val="008D5029"/>
    <w:rsid w:val="008D518D"/>
    <w:rsid w:val="008D531A"/>
    <w:rsid w:val="008D55C9"/>
    <w:rsid w:val="008D57A4"/>
    <w:rsid w:val="008D5872"/>
    <w:rsid w:val="008D5C72"/>
    <w:rsid w:val="008D60B2"/>
    <w:rsid w:val="008D7050"/>
    <w:rsid w:val="008D7606"/>
    <w:rsid w:val="008D786B"/>
    <w:rsid w:val="008D7922"/>
    <w:rsid w:val="008D7965"/>
    <w:rsid w:val="008D7C50"/>
    <w:rsid w:val="008E00AE"/>
    <w:rsid w:val="008E0154"/>
    <w:rsid w:val="008E0B2F"/>
    <w:rsid w:val="008E0BE5"/>
    <w:rsid w:val="008E15D1"/>
    <w:rsid w:val="008E1AA8"/>
    <w:rsid w:val="008E1BD2"/>
    <w:rsid w:val="008E20A2"/>
    <w:rsid w:val="008E233C"/>
    <w:rsid w:val="008E23AD"/>
    <w:rsid w:val="008E273D"/>
    <w:rsid w:val="008E33BA"/>
    <w:rsid w:val="008E37BC"/>
    <w:rsid w:val="008E39A4"/>
    <w:rsid w:val="008E4710"/>
    <w:rsid w:val="008E4BC5"/>
    <w:rsid w:val="008E51A4"/>
    <w:rsid w:val="008E5493"/>
    <w:rsid w:val="008E5963"/>
    <w:rsid w:val="008E5CE6"/>
    <w:rsid w:val="008E6830"/>
    <w:rsid w:val="008E6B46"/>
    <w:rsid w:val="008E718B"/>
    <w:rsid w:val="008E7460"/>
    <w:rsid w:val="008E7585"/>
    <w:rsid w:val="008E7857"/>
    <w:rsid w:val="008F02D3"/>
    <w:rsid w:val="008F03CB"/>
    <w:rsid w:val="008F1910"/>
    <w:rsid w:val="008F197F"/>
    <w:rsid w:val="008F1DB0"/>
    <w:rsid w:val="008F2074"/>
    <w:rsid w:val="008F270F"/>
    <w:rsid w:val="008F2841"/>
    <w:rsid w:val="008F2D5C"/>
    <w:rsid w:val="008F2E5C"/>
    <w:rsid w:val="008F32EC"/>
    <w:rsid w:val="008F34FF"/>
    <w:rsid w:val="008F40B8"/>
    <w:rsid w:val="008F4AE7"/>
    <w:rsid w:val="008F517E"/>
    <w:rsid w:val="008F5672"/>
    <w:rsid w:val="008F5B20"/>
    <w:rsid w:val="008F646F"/>
    <w:rsid w:val="008F6A6F"/>
    <w:rsid w:val="008F7812"/>
    <w:rsid w:val="008F7AC5"/>
    <w:rsid w:val="008F7E9C"/>
    <w:rsid w:val="008F7F58"/>
    <w:rsid w:val="008F7FBC"/>
    <w:rsid w:val="008F7FBF"/>
    <w:rsid w:val="00900137"/>
    <w:rsid w:val="009001F2"/>
    <w:rsid w:val="00900638"/>
    <w:rsid w:val="00901254"/>
    <w:rsid w:val="00901680"/>
    <w:rsid w:val="00901E38"/>
    <w:rsid w:val="00901EC9"/>
    <w:rsid w:val="0090279F"/>
    <w:rsid w:val="009029C3"/>
    <w:rsid w:val="00902A96"/>
    <w:rsid w:val="00902E77"/>
    <w:rsid w:val="0090379A"/>
    <w:rsid w:val="00903CF7"/>
    <w:rsid w:val="00903FC3"/>
    <w:rsid w:val="009044B0"/>
    <w:rsid w:val="00904B7D"/>
    <w:rsid w:val="00905072"/>
    <w:rsid w:val="009052B1"/>
    <w:rsid w:val="00905538"/>
    <w:rsid w:val="0090573E"/>
    <w:rsid w:val="00905C23"/>
    <w:rsid w:val="00905FDC"/>
    <w:rsid w:val="00906208"/>
    <w:rsid w:val="00906982"/>
    <w:rsid w:val="00907081"/>
    <w:rsid w:val="009070E4"/>
    <w:rsid w:val="00907183"/>
    <w:rsid w:val="009071CD"/>
    <w:rsid w:val="009076A1"/>
    <w:rsid w:val="009076D0"/>
    <w:rsid w:val="00907B39"/>
    <w:rsid w:val="00907B3D"/>
    <w:rsid w:val="00907DDE"/>
    <w:rsid w:val="00910565"/>
    <w:rsid w:val="00911566"/>
    <w:rsid w:val="00911AB1"/>
    <w:rsid w:val="0091221F"/>
    <w:rsid w:val="00912448"/>
    <w:rsid w:val="009129CD"/>
    <w:rsid w:val="00912F25"/>
    <w:rsid w:val="00913693"/>
    <w:rsid w:val="00913832"/>
    <w:rsid w:val="00913EFF"/>
    <w:rsid w:val="00913FCB"/>
    <w:rsid w:val="009145E9"/>
    <w:rsid w:val="00914C82"/>
    <w:rsid w:val="00914F38"/>
    <w:rsid w:val="0091573F"/>
    <w:rsid w:val="00915763"/>
    <w:rsid w:val="00915BF8"/>
    <w:rsid w:val="00915EE2"/>
    <w:rsid w:val="00916060"/>
    <w:rsid w:val="00916559"/>
    <w:rsid w:val="009165FD"/>
    <w:rsid w:val="0091689D"/>
    <w:rsid w:val="00916F03"/>
    <w:rsid w:val="00916F1F"/>
    <w:rsid w:val="00917451"/>
    <w:rsid w:val="0091753C"/>
    <w:rsid w:val="0091776B"/>
    <w:rsid w:val="00920396"/>
    <w:rsid w:val="00920469"/>
    <w:rsid w:val="00920590"/>
    <w:rsid w:val="00921089"/>
    <w:rsid w:val="00921685"/>
    <w:rsid w:val="00921CA2"/>
    <w:rsid w:val="009220F0"/>
    <w:rsid w:val="009221DF"/>
    <w:rsid w:val="009225A7"/>
    <w:rsid w:val="0092262B"/>
    <w:rsid w:val="0092276C"/>
    <w:rsid w:val="0092293A"/>
    <w:rsid w:val="00922AA9"/>
    <w:rsid w:val="00923A60"/>
    <w:rsid w:val="00923C3E"/>
    <w:rsid w:val="00924311"/>
    <w:rsid w:val="00924CF1"/>
    <w:rsid w:val="00924E75"/>
    <w:rsid w:val="00924F7F"/>
    <w:rsid w:val="0092503C"/>
    <w:rsid w:val="00925095"/>
    <w:rsid w:val="00925430"/>
    <w:rsid w:val="00925746"/>
    <w:rsid w:val="00925841"/>
    <w:rsid w:val="00925AAC"/>
    <w:rsid w:val="00925DDE"/>
    <w:rsid w:val="00926093"/>
    <w:rsid w:val="00926550"/>
    <w:rsid w:val="0092657D"/>
    <w:rsid w:val="0092697B"/>
    <w:rsid w:val="00926DBC"/>
    <w:rsid w:val="00927C1C"/>
    <w:rsid w:val="009303BE"/>
    <w:rsid w:val="00930591"/>
    <w:rsid w:val="00930FB8"/>
    <w:rsid w:val="0093146E"/>
    <w:rsid w:val="00931A38"/>
    <w:rsid w:val="00931E1D"/>
    <w:rsid w:val="00932237"/>
    <w:rsid w:val="0093237B"/>
    <w:rsid w:val="00932B67"/>
    <w:rsid w:val="00932BCC"/>
    <w:rsid w:val="00933462"/>
    <w:rsid w:val="0093353C"/>
    <w:rsid w:val="00933A26"/>
    <w:rsid w:val="00933AC5"/>
    <w:rsid w:val="00933F65"/>
    <w:rsid w:val="009341E6"/>
    <w:rsid w:val="009346F0"/>
    <w:rsid w:val="00935018"/>
    <w:rsid w:val="009353E3"/>
    <w:rsid w:val="009358AD"/>
    <w:rsid w:val="00935E9A"/>
    <w:rsid w:val="0093671F"/>
    <w:rsid w:val="009367D0"/>
    <w:rsid w:val="009368A5"/>
    <w:rsid w:val="00936C21"/>
    <w:rsid w:val="00937291"/>
    <w:rsid w:val="009375FC"/>
    <w:rsid w:val="00937657"/>
    <w:rsid w:val="00937D0C"/>
    <w:rsid w:val="00937F0D"/>
    <w:rsid w:val="00940398"/>
    <w:rsid w:val="009403CD"/>
    <w:rsid w:val="009404C5"/>
    <w:rsid w:val="0094101D"/>
    <w:rsid w:val="00941613"/>
    <w:rsid w:val="009418DD"/>
    <w:rsid w:val="00941D1F"/>
    <w:rsid w:val="00941E7F"/>
    <w:rsid w:val="00941EFF"/>
    <w:rsid w:val="00942CEF"/>
    <w:rsid w:val="0094311B"/>
    <w:rsid w:val="0094366C"/>
    <w:rsid w:val="00943B41"/>
    <w:rsid w:val="00943C13"/>
    <w:rsid w:val="00943F2F"/>
    <w:rsid w:val="009440A2"/>
    <w:rsid w:val="00944360"/>
    <w:rsid w:val="00944482"/>
    <w:rsid w:val="00944A72"/>
    <w:rsid w:val="0094508A"/>
    <w:rsid w:val="009450EE"/>
    <w:rsid w:val="009452CE"/>
    <w:rsid w:val="0094581D"/>
    <w:rsid w:val="0094586A"/>
    <w:rsid w:val="009462E2"/>
    <w:rsid w:val="0094666B"/>
    <w:rsid w:val="00946B61"/>
    <w:rsid w:val="00947033"/>
    <w:rsid w:val="0094729C"/>
    <w:rsid w:val="009479C0"/>
    <w:rsid w:val="00950118"/>
    <w:rsid w:val="009506F9"/>
    <w:rsid w:val="00950914"/>
    <w:rsid w:val="00950C51"/>
    <w:rsid w:val="00951643"/>
    <w:rsid w:val="00951973"/>
    <w:rsid w:val="00951CC3"/>
    <w:rsid w:val="00951E1E"/>
    <w:rsid w:val="00952254"/>
    <w:rsid w:val="0095252E"/>
    <w:rsid w:val="00952591"/>
    <w:rsid w:val="00952BA1"/>
    <w:rsid w:val="00952C90"/>
    <w:rsid w:val="00952F99"/>
    <w:rsid w:val="0095304A"/>
    <w:rsid w:val="009530EA"/>
    <w:rsid w:val="009535B3"/>
    <w:rsid w:val="0095378B"/>
    <w:rsid w:val="00953A08"/>
    <w:rsid w:val="00953ADF"/>
    <w:rsid w:val="00953B55"/>
    <w:rsid w:val="00953C16"/>
    <w:rsid w:val="00954355"/>
    <w:rsid w:val="009544B3"/>
    <w:rsid w:val="009546DF"/>
    <w:rsid w:val="00954B6B"/>
    <w:rsid w:val="00955088"/>
    <w:rsid w:val="009551EA"/>
    <w:rsid w:val="0095579B"/>
    <w:rsid w:val="00956535"/>
    <w:rsid w:val="00956DCF"/>
    <w:rsid w:val="0095708E"/>
    <w:rsid w:val="00957194"/>
    <w:rsid w:val="00957203"/>
    <w:rsid w:val="009575BC"/>
    <w:rsid w:val="00957A99"/>
    <w:rsid w:val="00957E73"/>
    <w:rsid w:val="00960180"/>
    <w:rsid w:val="009602FF"/>
    <w:rsid w:val="0096135C"/>
    <w:rsid w:val="00961409"/>
    <w:rsid w:val="0096195C"/>
    <w:rsid w:val="00962040"/>
    <w:rsid w:val="00962913"/>
    <w:rsid w:val="00962944"/>
    <w:rsid w:val="00962A6C"/>
    <w:rsid w:val="00962AB6"/>
    <w:rsid w:val="00962BDF"/>
    <w:rsid w:val="00962D52"/>
    <w:rsid w:val="00962EA2"/>
    <w:rsid w:val="00962F50"/>
    <w:rsid w:val="009630EF"/>
    <w:rsid w:val="009633DD"/>
    <w:rsid w:val="00963563"/>
    <w:rsid w:val="00963594"/>
    <w:rsid w:val="009636C3"/>
    <w:rsid w:val="00963811"/>
    <w:rsid w:val="009639C6"/>
    <w:rsid w:val="00964165"/>
    <w:rsid w:val="00964598"/>
    <w:rsid w:val="00964A53"/>
    <w:rsid w:val="00964C23"/>
    <w:rsid w:val="00964DB8"/>
    <w:rsid w:val="0096528D"/>
    <w:rsid w:val="00965A12"/>
    <w:rsid w:val="00965B0D"/>
    <w:rsid w:val="00965EBD"/>
    <w:rsid w:val="009661B0"/>
    <w:rsid w:val="0096669D"/>
    <w:rsid w:val="00966886"/>
    <w:rsid w:val="00966ACC"/>
    <w:rsid w:val="00967034"/>
    <w:rsid w:val="009671BD"/>
    <w:rsid w:val="009672C7"/>
    <w:rsid w:val="009704DF"/>
    <w:rsid w:val="0097054B"/>
    <w:rsid w:val="00970785"/>
    <w:rsid w:val="00970BF5"/>
    <w:rsid w:val="00970FEF"/>
    <w:rsid w:val="009711D7"/>
    <w:rsid w:val="00971423"/>
    <w:rsid w:val="009722B5"/>
    <w:rsid w:val="009723C4"/>
    <w:rsid w:val="00972BF5"/>
    <w:rsid w:val="00972D31"/>
    <w:rsid w:val="00973136"/>
    <w:rsid w:val="0097364C"/>
    <w:rsid w:val="00973A6F"/>
    <w:rsid w:val="00973A78"/>
    <w:rsid w:val="0097411E"/>
    <w:rsid w:val="00974672"/>
    <w:rsid w:val="009746D7"/>
    <w:rsid w:val="00975720"/>
    <w:rsid w:val="00975A37"/>
    <w:rsid w:val="00975F3D"/>
    <w:rsid w:val="00976133"/>
    <w:rsid w:val="009766DF"/>
    <w:rsid w:val="00976813"/>
    <w:rsid w:val="0097693E"/>
    <w:rsid w:val="00976CBE"/>
    <w:rsid w:val="00980185"/>
    <w:rsid w:val="00980279"/>
    <w:rsid w:val="0098045C"/>
    <w:rsid w:val="0098051B"/>
    <w:rsid w:val="00980860"/>
    <w:rsid w:val="009808B4"/>
    <w:rsid w:val="00980D7D"/>
    <w:rsid w:val="00980F33"/>
    <w:rsid w:val="0098173F"/>
    <w:rsid w:val="009817C4"/>
    <w:rsid w:val="00981A3A"/>
    <w:rsid w:val="00982898"/>
    <w:rsid w:val="00982E47"/>
    <w:rsid w:val="00982F45"/>
    <w:rsid w:val="00983391"/>
    <w:rsid w:val="009833AB"/>
    <w:rsid w:val="00983DCA"/>
    <w:rsid w:val="009844E3"/>
    <w:rsid w:val="0098480D"/>
    <w:rsid w:val="00984821"/>
    <w:rsid w:val="00985070"/>
    <w:rsid w:val="0098564A"/>
    <w:rsid w:val="009857C6"/>
    <w:rsid w:val="00985C36"/>
    <w:rsid w:val="00985D7F"/>
    <w:rsid w:val="009862E1"/>
    <w:rsid w:val="00986407"/>
    <w:rsid w:val="00986428"/>
    <w:rsid w:val="0098690C"/>
    <w:rsid w:val="00986915"/>
    <w:rsid w:val="00986BA1"/>
    <w:rsid w:val="00986E24"/>
    <w:rsid w:val="009879DD"/>
    <w:rsid w:val="00987EEE"/>
    <w:rsid w:val="0099000D"/>
    <w:rsid w:val="0099022F"/>
    <w:rsid w:val="00990678"/>
    <w:rsid w:val="00990C9A"/>
    <w:rsid w:val="009912F7"/>
    <w:rsid w:val="00991323"/>
    <w:rsid w:val="00991822"/>
    <w:rsid w:val="009922C2"/>
    <w:rsid w:val="009927C0"/>
    <w:rsid w:val="00992813"/>
    <w:rsid w:val="009929F8"/>
    <w:rsid w:val="00992BA0"/>
    <w:rsid w:val="00992BE3"/>
    <w:rsid w:val="00992D7F"/>
    <w:rsid w:val="0099335C"/>
    <w:rsid w:val="00993C7A"/>
    <w:rsid w:val="0099415B"/>
    <w:rsid w:val="009949A5"/>
    <w:rsid w:val="00994D39"/>
    <w:rsid w:val="00994F2C"/>
    <w:rsid w:val="00994F8A"/>
    <w:rsid w:val="00995100"/>
    <w:rsid w:val="00995170"/>
    <w:rsid w:val="0099562C"/>
    <w:rsid w:val="009961A7"/>
    <w:rsid w:val="00996700"/>
    <w:rsid w:val="00996A5A"/>
    <w:rsid w:val="00996AF0"/>
    <w:rsid w:val="0099716A"/>
    <w:rsid w:val="00997499"/>
    <w:rsid w:val="00997A8B"/>
    <w:rsid w:val="00997BC5"/>
    <w:rsid w:val="00997C7E"/>
    <w:rsid w:val="009A0593"/>
    <w:rsid w:val="009A0842"/>
    <w:rsid w:val="009A0D2B"/>
    <w:rsid w:val="009A11BE"/>
    <w:rsid w:val="009A13B4"/>
    <w:rsid w:val="009A14F8"/>
    <w:rsid w:val="009A17BF"/>
    <w:rsid w:val="009A1AE1"/>
    <w:rsid w:val="009A1C82"/>
    <w:rsid w:val="009A1E50"/>
    <w:rsid w:val="009A2797"/>
    <w:rsid w:val="009A279D"/>
    <w:rsid w:val="009A29A2"/>
    <w:rsid w:val="009A2AF0"/>
    <w:rsid w:val="009A2C14"/>
    <w:rsid w:val="009A2FE0"/>
    <w:rsid w:val="009A32D4"/>
    <w:rsid w:val="009A35A4"/>
    <w:rsid w:val="009A3707"/>
    <w:rsid w:val="009A3751"/>
    <w:rsid w:val="009A3D97"/>
    <w:rsid w:val="009A3ED6"/>
    <w:rsid w:val="009A4180"/>
    <w:rsid w:val="009A449D"/>
    <w:rsid w:val="009A4536"/>
    <w:rsid w:val="009A4945"/>
    <w:rsid w:val="009A4A8D"/>
    <w:rsid w:val="009A4E0C"/>
    <w:rsid w:val="009A5067"/>
    <w:rsid w:val="009A598B"/>
    <w:rsid w:val="009A6087"/>
    <w:rsid w:val="009A67D8"/>
    <w:rsid w:val="009A698B"/>
    <w:rsid w:val="009A6B12"/>
    <w:rsid w:val="009A7337"/>
    <w:rsid w:val="009A7A29"/>
    <w:rsid w:val="009A7BA1"/>
    <w:rsid w:val="009A7CBA"/>
    <w:rsid w:val="009A7F4B"/>
    <w:rsid w:val="009B0298"/>
    <w:rsid w:val="009B0A90"/>
    <w:rsid w:val="009B10E5"/>
    <w:rsid w:val="009B1390"/>
    <w:rsid w:val="009B1633"/>
    <w:rsid w:val="009B16D9"/>
    <w:rsid w:val="009B1782"/>
    <w:rsid w:val="009B1B76"/>
    <w:rsid w:val="009B1C5F"/>
    <w:rsid w:val="009B1CF5"/>
    <w:rsid w:val="009B23E8"/>
    <w:rsid w:val="009B291F"/>
    <w:rsid w:val="009B2D86"/>
    <w:rsid w:val="009B3278"/>
    <w:rsid w:val="009B36B2"/>
    <w:rsid w:val="009B3F94"/>
    <w:rsid w:val="009B3FAF"/>
    <w:rsid w:val="009B558D"/>
    <w:rsid w:val="009B5E70"/>
    <w:rsid w:val="009B621A"/>
    <w:rsid w:val="009B6330"/>
    <w:rsid w:val="009B6346"/>
    <w:rsid w:val="009B672F"/>
    <w:rsid w:val="009B6E73"/>
    <w:rsid w:val="009B6EAB"/>
    <w:rsid w:val="009B718D"/>
    <w:rsid w:val="009B7299"/>
    <w:rsid w:val="009B78F5"/>
    <w:rsid w:val="009B7CCE"/>
    <w:rsid w:val="009B7E0E"/>
    <w:rsid w:val="009C069C"/>
    <w:rsid w:val="009C07AE"/>
    <w:rsid w:val="009C0BCC"/>
    <w:rsid w:val="009C11EB"/>
    <w:rsid w:val="009C1561"/>
    <w:rsid w:val="009C15EE"/>
    <w:rsid w:val="009C1BEA"/>
    <w:rsid w:val="009C2398"/>
    <w:rsid w:val="009C2B2E"/>
    <w:rsid w:val="009C3073"/>
    <w:rsid w:val="009C3220"/>
    <w:rsid w:val="009C3A2D"/>
    <w:rsid w:val="009C3BD6"/>
    <w:rsid w:val="009C3C02"/>
    <w:rsid w:val="009C3DF6"/>
    <w:rsid w:val="009C3E2D"/>
    <w:rsid w:val="009C3FA3"/>
    <w:rsid w:val="009C45D9"/>
    <w:rsid w:val="009C48E5"/>
    <w:rsid w:val="009C4AA4"/>
    <w:rsid w:val="009C5473"/>
    <w:rsid w:val="009C5A79"/>
    <w:rsid w:val="009C6530"/>
    <w:rsid w:val="009C6730"/>
    <w:rsid w:val="009C69AC"/>
    <w:rsid w:val="009C6F30"/>
    <w:rsid w:val="009C6F32"/>
    <w:rsid w:val="009C71C3"/>
    <w:rsid w:val="009D0DC6"/>
    <w:rsid w:val="009D0DF7"/>
    <w:rsid w:val="009D1252"/>
    <w:rsid w:val="009D1F14"/>
    <w:rsid w:val="009D2707"/>
    <w:rsid w:val="009D27DF"/>
    <w:rsid w:val="009D2AF7"/>
    <w:rsid w:val="009D2B84"/>
    <w:rsid w:val="009D2BEF"/>
    <w:rsid w:val="009D3089"/>
    <w:rsid w:val="009D3569"/>
    <w:rsid w:val="009D358E"/>
    <w:rsid w:val="009D3722"/>
    <w:rsid w:val="009D385E"/>
    <w:rsid w:val="009D3D1E"/>
    <w:rsid w:val="009D3E7F"/>
    <w:rsid w:val="009D3EA7"/>
    <w:rsid w:val="009D3F1E"/>
    <w:rsid w:val="009D42CD"/>
    <w:rsid w:val="009D47F1"/>
    <w:rsid w:val="009D4EC4"/>
    <w:rsid w:val="009D502B"/>
    <w:rsid w:val="009D51EF"/>
    <w:rsid w:val="009D53E9"/>
    <w:rsid w:val="009D5627"/>
    <w:rsid w:val="009D6448"/>
    <w:rsid w:val="009D6F76"/>
    <w:rsid w:val="009D7187"/>
    <w:rsid w:val="009D71AD"/>
    <w:rsid w:val="009D7574"/>
    <w:rsid w:val="009D75F1"/>
    <w:rsid w:val="009D783B"/>
    <w:rsid w:val="009D7E93"/>
    <w:rsid w:val="009E01DD"/>
    <w:rsid w:val="009E0623"/>
    <w:rsid w:val="009E0791"/>
    <w:rsid w:val="009E0C10"/>
    <w:rsid w:val="009E0C68"/>
    <w:rsid w:val="009E1992"/>
    <w:rsid w:val="009E1B59"/>
    <w:rsid w:val="009E207D"/>
    <w:rsid w:val="009E22C0"/>
    <w:rsid w:val="009E2562"/>
    <w:rsid w:val="009E3169"/>
    <w:rsid w:val="009E3422"/>
    <w:rsid w:val="009E34D0"/>
    <w:rsid w:val="009E36DC"/>
    <w:rsid w:val="009E38D5"/>
    <w:rsid w:val="009E39AC"/>
    <w:rsid w:val="009E3B3D"/>
    <w:rsid w:val="009E3BE7"/>
    <w:rsid w:val="009E3F20"/>
    <w:rsid w:val="009E3F69"/>
    <w:rsid w:val="009E411D"/>
    <w:rsid w:val="009E48BB"/>
    <w:rsid w:val="009E4EB2"/>
    <w:rsid w:val="009E51EE"/>
    <w:rsid w:val="009E5440"/>
    <w:rsid w:val="009E547A"/>
    <w:rsid w:val="009E6C59"/>
    <w:rsid w:val="009E768C"/>
    <w:rsid w:val="009E7969"/>
    <w:rsid w:val="009F0713"/>
    <w:rsid w:val="009F0B53"/>
    <w:rsid w:val="009F1331"/>
    <w:rsid w:val="009F1B3A"/>
    <w:rsid w:val="009F25F8"/>
    <w:rsid w:val="009F2F6B"/>
    <w:rsid w:val="009F30C8"/>
    <w:rsid w:val="009F3644"/>
    <w:rsid w:val="009F3B1C"/>
    <w:rsid w:val="009F3FDD"/>
    <w:rsid w:val="009F4054"/>
    <w:rsid w:val="009F48A8"/>
    <w:rsid w:val="009F4D82"/>
    <w:rsid w:val="009F4E51"/>
    <w:rsid w:val="009F4F98"/>
    <w:rsid w:val="009F5013"/>
    <w:rsid w:val="009F529F"/>
    <w:rsid w:val="009F538B"/>
    <w:rsid w:val="009F543E"/>
    <w:rsid w:val="009F554B"/>
    <w:rsid w:val="009F56C3"/>
    <w:rsid w:val="009F58D8"/>
    <w:rsid w:val="009F599E"/>
    <w:rsid w:val="009F5A98"/>
    <w:rsid w:val="009F5EF7"/>
    <w:rsid w:val="009F6058"/>
    <w:rsid w:val="009F6757"/>
    <w:rsid w:val="009F6802"/>
    <w:rsid w:val="009F6C6F"/>
    <w:rsid w:val="009F6F39"/>
    <w:rsid w:val="009F6F9B"/>
    <w:rsid w:val="009F7011"/>
    <w:rsid w:val="009F7514"/>
    <w:rsid w:val="009F789E"/>
    <w:rsid w:val="009F78FE"/>
    <w:rsid w:val="00A003CF"/>
    <w:rsid w:val="00A0049A"/>
    <w:rsid w:val="00A00758"/>
    <w:rsid w:val="00A010E5"/>
    <w:rsid w:val="00A014B9"/>
    <w:rsid w:val="00A016FE"/>
    <w:rsid w:val="00A01940"/>
    <w:rsid w:val="00A01ED7"/>
    <w:rsid w:val="00A02816"/>
    <w:rsid w:val="00A02F7D"/>
    <w:rsid w:val="00A032AA"/>
    <w:rsid w:val="00A03791"/>
    <w:rsid w:val="00A0426F"/>
    <w:rsid w:val="00A044DF"/>
    <w:rsid w:val="00A04665"/>
    <w:rsid w:val="00A04B53"/>
    <w:rsid w:val="00A04B78"/>
    <w:rsid w:val="00A0502B"/>
    <w:rsid w:val="00A05A6F"/>
    <w:rsid w:val="00A05C70"/>
    <w:rsid w:val="00A0628E"/>
    <w:rsid w:val="00A064CD"/>
    <w:rsid w:val="00A06657"/>
    <w:rsid w:val="00A06A4C"/>
    <w:rsid w:val="00A06D49"/>
    <w:rsid w:val="00A0720D"/>
    <w:rsid w:val="00A07486"/>
    <w:rsid w:val="00A07525"/>
    <w:rsid w:val="00A07598"/>
    <w:rsid w:val="00A07E17"/>
    <w:rsid w:val="00A10192"/>
    <w:rsid w:val="00A1068F"/>
    <w:rsid w:val="00A10A08"/>
    <w:rsid w:val="00A10BFE"/>
    <w:rsid w:val="00A111FD"/>
    <w:rsid w:val="00A1179F"/>
    <w:rsid w:val="00A117CD"/>
    <w:rsid w:val="00A11823"/>
    <w:rsid w:val="00A11FAC"/>
    <w:rsid w:val="00A123A4"/>
    <w:rsid w:val="00A12464"/>
    <w:rsid w:val="00A1292C"/>
    <w:rsid w:val="00A12DA0"/>
    <w:rsid w:val="00A12E06"/>
    <w:rsid w:val="00A134FF"/>
    <w:rsid w:val="00A137F2"/>
    <w:rsid w:val="00A1393F"/>
    <w:rsid w:val="00A13D69"/>
    <w:rsid w:val="00A1497F"/>
    <w:rsid w:val="00A14BF2"/>
    <w:rsid w:val="00A14D26"/>
    <w:rsid w:val="00A14DEB"/>
    <w:rsid w:val="00A15028"/>
    <w:rsid w:val="00A15A1B"/>
    <w:rsid w:val="00A15B8A"/>
    <w:rsid w:val="00A15BD5"/>
    <w:rsid w:val="00A15E34"/>
    <w:rsid w:val="00A16207"/>
    <w:rsid w:val="00A162A9"/>
    <w:rsid w:val="00A1698A"/>
    <w:rsid w:val="00A16DFA"/>
    <w:rsid w:val="00A177C7"/>
    <w:rsid w:val="00A178A2"/>
    <w:rsid w:val="00A17912"/>
    <w:rsid w:val="00A17A91"/>
    <w:rsid w:val="00A17C0A"/>
    <w:rsid w:val="00A201AB"/>
    <w:rsid w:val="00A20D15"/>
    <w:rsid w:val="00A2110F"/>
    <w:rsid w:val="00A212FA"/>
    <w:rsid w:val="00A21380"/>
    <w:rsid w:val="00A21459"/>
    <w:rsid w:val="00A22D13"/>
    <w:rsid w:val="00A22F1A"/>
    <w:rsid w:val="00A22FA7"/>
    <w:rsid w:val="00A238D0"/>
    <w:rsid w:val="00A2475F"/>
    <w:rsid w:val="00A24D92"/>
    <w:rsid w:val="00A25104"/>
    <w:rsid w:val="00A25295"/>
    <w:rsid w:val="00A257C4"/>
    <w:rsid w:val="00A25FE5"/>
    <w:rsid w:val="00A26362"/>
    <w:rsid w:val="00A26439"/>
    <w:rsid w:val="00A2720B"/>
    <w:rsid w:val="00A274D6"/>
    <w:rsid w:val="00A27809"/>
    <w:rsid w:val="00A27A48"/>
    <w:rsid w:val="00A27A5F"/>
    <w:rsid w:val="00A27B07"/>
    <w:rsid w:val="00A27D05"/>
    <w:rsid w:val="00A302B8"/>
    <w:rsid w:val="00A30631"/>
    <w:rsid w:val="00A30635"/>
    <w:rsid w:val="00A30F77"/>
    <w:rsid w:val="00A3108C"/>
    <w:rsid w:val="00A313E6"/>
    <w:rsid w:val="00A31817"/>
    <w:rsid w:val="00A31AAD"/>
    <w:rsid w:val="00A31EE0"/>
    <w:rsid w:val="00A3283F"/>
    <w:rsid w:val="00A32DD6"/>
    <w:rsid w:val="00A331DB"/>
    <w:rsid w:val="00A33710"/>
    <w:rsid w:val="00A33919"/>
    <w:rsid w:val="00A346B2"/>
    <w:rsid w:val="00A3470F"/>
    <w:rsid w:val="00A3489E"/>
    <w:rsid w:val="00A34917"/>
    <w:rsid w:val="00A34ACB"/>
    <w:rsid w:val="00A34B3D"/>
    <w:rsid w:val="00A34C7E"/>
    <w:rsid w:val="00A34F43"/>
    <w:rsid w:val="00A351C6"/>
    <w:rsid w:val="00A35589"/>
    <w:rsid w:val="00A359E0"/>
    <w:rsid w:val="00A3601F"/>
    <w:rsid w:val="00A36736"/>
    <w:rsid w:val="00A36879"/>
    <w:rsid w:val="00A36968"/>
    <w:rsid w:val="00A36990"/>
    <w:rsid w:val="00A36A17"/>
    <w:rsid w:val="00A36C34"/>
    <w:rsid w:val="00A36C4A"/>
    <w:rsid w:val="00A36EC5"/>
    <w:rsid w:val="00A370BA"/>
    <w:rsid w:val="00A37126"/>
    <w:rsid w:val="00A4074B"/>
    <w:rsid w:val="00A41149"/>
    <w:rsid w:val="00A41349"/>
    <w:rsid w:val="00A41364"/>
    <w:rsid w:val="00A4142E"/>
    <w:rsid w:val="00A41E47"/>
    <w:rsid w:val="00A41F53"/>
    <w:rsid w:val="00A43043"/>
    <w:rsid w:val="00A4308C"/>
    <w:rsid w:val="00A433E8"/>
    <w:rsid w:val="00A434E5"/>
    <w:rsid w:val="00A43B55"/>
    <w:rsid w:val="00A43D78"/>
    <w:rsid w:val="00A43F52"/>
    <w:rsid w:val="00A444DA"/>
    <w:rsid w:val="00A446EA"/>
    <w:rsid w:val="00A44745"/>
    <w:rsid w:val="00A44A39"/>
    <w:rsid w:val="00A44F15"/>
    <w:rsid w:val="00A45355"/>
    <w:rsid w:val="00A456C9"/>
    <w:rsid w:val="00A46426"/>
    <w:rsid w:val="00A46664"/>
    <w:rsid w:val="00A46801"/>
    <w:rsid w:val="00A4704F"/>
    <w:rsid w:val="00A4780C"/>
    <w:rsid w:val="00A47934"/>
    <w:rsid w:val="00A47B7B"/>
    <w:rsid w:val="00A47C98"/>
    <w:rsid w:val="00A47ED3"/>
    <w:rsid w:val="00A47F65"/>
    <w:rsid w:val="00A5006D"/>
    <w:rsid w:val="00A5023D"/>
    <w:rsid w:val="00A50621"/>
    <w:rsid w:val="00A50826"/>
    <w:rsid w:val="00A508BD"/>
    <w:rsid w:val="00A50DB7"/>
    <w:rsid w:val="00A50E12"/>
    <w:rsid w:val="00A512BC"/>
    <w:rsid w:val="00A513FC"/>
    <w:rsid w:val="00A51625"/>
    <w:rsid w:val="00A525EE"/>
    <w:rsid w:val="00A54175"/>
    <w:rsid w:val="00A542BC"/>
    <w:rsid w:val="00A54535"/>
    <w:rsid w:val="00A5455B"/>
    <w:rsid w:val="00A54A2F"/>
    <w:rsid w:val="00A54B05"/>
    <w:rsid w:val="00A5507F"/>
    <w:rsid w:val="00A550AB"/>
    <w:rsid w:val="00A550B4"/>
    <w:rsid w:val="00A55882"/>
    <w:rsid w:val="00A55ABD"/>
    <w:rsid w:val="00A55C17"/>
    <w:rsid w:val="00A55E27"/>
    <w:rsid w:val="00A55FA5"/>
    <w:rsid w:val="00A562D6"/>
    <w:rsid w:val="00A5646D"/>
    <w:rsid w:val="00A56553"/>
    <w:rsid w:val="00A56693"/>
    <w:rsid w:val="00A56809"/>
    <w:rsid w:val="00A568EB"/>
    <w:rsid w:val="00A56AEB"/>
    <w:rsid w:val="00A56DBE"/>
    <w:rsid w:val="00A56EF3"/>
    <w:rsid w:val="00A572B0"/>
    <w:rsid w:val="00A57703"/>
    <w:rsid w:val="00A57818"/>
    <w:rsid w:val="00A5792E"/>
    <w:rsid w:val="00A57CA5"/>
    <w:rsid w:val="00A60A92"/>
    <w:rsid w:val="00A60D9A"/>
    <w:rsid w:val="00A61324"/>
    <w:rsid w:val="00A616D6"/>
    <w:rsid w:val="00A61B1B"/>
    <w:rsid w:val="00A61DD1"/>
    <w:rsid w:val="00A6216C"/>
    <w:rsid w:val="00A621CB"/>
    <w:rsid w:val="00A62474"/>
    <w:rsid w:val="00A62541"/>
    <w:rsid w:val="00A626D4"/>
    <w:rsid w:val="00A626DF"/>
    <w:rsid w:val="00A62C3C"/>
    <w:rsid w:val="00A63841"/>
    <w:rsid w:val="00A63A07"/>
    <w:rsid w:val="00A641AC"/>
    <w:rsid w:val="00A64478"/>
    <w:rsid w:val="00A645A5"/>
    <w:rsid w:val="00A64C35"/>
    <w:rsid w:val="00A651B5"/>
    <w:rsid w:val="00A652B9"/>
    <w:rsid w:val="00A654A2"/>
    <w:rsid w:val="00A656F0"/>
    <w:rsid w:val="00A663E5"/>
    <w:rsid w:val="00A6685D"/>
    <w:rsid w:val="00A66982"/>
    <w:rsid w:val="00A67183"/>
    <w:rsid w:val="00A672C3"/>
    <w:rsid w:val="00A67781"/>
    <w:rsid w:val="00A70079"/>
    <w:rsid w:val="00A70392"/>
    <w:rsid w:val="00A70544"/>
    <w:rsid w:val="00A7073B"/>
    <w:rsid w:val="00A70761"/>
    <w:rsid w:val="00A70AF9"/>
    <w:rsid w:val="00A70F94"/>
    <w:rsid w:val="00A7180D"/>
    <w:rsid w:val="00A71DCE"/>
    <w:rsid w:val="00A72544"/>
    <w:rsid w:val="00A72ADF"/>
    <w:rsid w:val="00A73F2B"/>
    <w:rsid w:val="00A74A32"/>
    <w:rsid w:val="00A74A46"/>
    <w:rsid w:val="00A74EAD"/>
    <w:rsid w:val="00A75346"/>
    <w:rsid w:val="00A7590C"/>
    <w:rsid w:val="00A7591D"/>
    <w:rsid w:val="00A75961"/>
    <w:rsid w:val="00A75B10"/>
    <w:rsid w:val="00A75C64"/>
    <w:rsid w:val="00A7626E"/>
    <w:rsid w:val="00A76391"/>
    <w:rsid w:val="00A76452"/>
    <w:rsid w:val="00A7661D"/>
    <w:rsid w:val="00A76D7C"/>
    <w:rsid w:val="00A76F1E"/>
    <w:rsid w:val="00A77279"/>
    <w:rsid w:val="00A7741C"/>
    <w:rsid w:val="00A77D8C"/>
    <w:rsid w:val="00A77E7A"/>
    <w:rsid w:val="00A8016A"/>
    <w:rsid w:val="00A8038E"/>
    <w:rsid w:val="00A80755"/>
    <w:rsid w:val="00A80C55"/>
    <w:rsid w:val="00A80E89"/>
    <w:rsid w:val="00A81A18"/>
    <w:rsid w:val="00A81BC4"/>
    <w:rsid w:val="00A81F43"/>
    <w:rsid w:val="00A82868"/>
    <w:rsid w:val="00A829B4"/>
    <w:rsid w:val="00A82F75"/>
    <w:rsid w:val="00A83182"/>
    <w:rsid w:val="00A83387"/>
    <w:rsid w:val="00A839D5"/>
    <w:rsid w:val="00A83A9E"/>
    <w:rsid w:val="00A83B9E"/>
    <w:rsid w:val="00A83D62"/>
    <w:rsid w:val="00A83F5F"/>
    <w:rsid w:val="00A840DB"/>
    <w:rsid w:val="00A845E0"/>
    <w:rsid w:val="00A84A22"/>
    <w:rsid w:val="00A84AED"/>
    <w:rsid w:val="00A84CAD"/>
    <w:rsid w:val="00A84DF8"/>
    <w:rsid w:val="00A84E29"/>
    <w:rsid w:val="00A853DC"/>
    <w:rsid w:val="00A85676"/>
    <w:rsid w:val="00A86245"/>
    <w:rsid w:val="00A868DE"/>
    <w:rsid w:val="00A86D3D"/>
    <w:rsid w:val="00A87173"/>
    <w:rsid w:val="00A8723A"/>
    <w:rsid w:val="00A87554"/>
    <w:rsid w:val="00A876EB"/>
    <w:rsid w:val="00A9013E"/>
    <w:rsid w:val="00A9020B"/>
    <w:rsid w:val="00A9095A"/>
    <w:rsid w:val="00A915F3"/>
    <w:rsid w:val="00A916E7"/>
    <w:rsid w:val="00A919F7"/>
    <w:rsid w:val="00A91AE1"/>
    <w:rsid w:val="00A91B10"/>
    <w:rsid w:val="00A92188"/>
    <w:rsid w:val="00A9286C"/>
    <w:rsid w:val="00A92A2C"/>
    <w:rsid w:val="00A92D08"/>
    <w:rsid w:val="00A935F5"/>
    <w:rsid w:val="00A93AD7"/>
    <w:rsid w:val="00A945B5"/>
    <w:rsid w:val="00A94998"/>
    <w:rsid w:val="00A949A9"/>
    <w:rsid w:val="00A949B1"/>
    <w:rsid w:val="00A94B17"/>
    <w:rsid w:val="00A94CA4"/>
    <w:rsid w:val="00A94F1F"/>
    <w:rsid w:val="00A951CC"/>
    <w:rsid w:val="00A95347"/>
    <w:rsid w:val="00A960E9"/>
    <w:rsid w:val="00A96C59"/>
    <w:rsid w:val="00A96D4A"/>
    <w:rsid w:val="00A96F16"/>
    <w:rsid w:val="00A97874"/>
    <w:rsid w:val="00A97C50"/>
    <w:rsid w:val="00A97FD5"/>
    <w:rsid w:val="00AA02FE"/>
    <w:rsid w:val="00AA066A"/>
    <w:rsid w:val="00AA099E"/>
    <w:rsid w:val="00AA0ADD"/>
    <w:rsid w:val="00AA0BE0"/>
    <w:rsid w:val="00AA14B9"/>
    <w:rsid w:val="00AA1692"/>
    <w:rsid w:val="00AA16A4"/>
    <w:rsid w:val="00AA1A4A"/>
    <w:rsid w:val="00AA1B20"/>
    <w:rsid w:val="00AA23E1"/>
    <w:rsid w:val="00AA24E2"/>
    <w:rsid w:val="00AA2B56"/>
    <w:rsid w:val="00AA349C"/>
    <w:rsid w:val="00AA34EB"/>
    <w:rsid w:val="00AA3C75"/>
    <w:rsid w:val="00AA45DC"/>
    <w:rsid w:val="00AA471D"/>
    <w:rsid w:val="00AA4978"/>
    <w:rsid w:val="00AA4B1C"/>
    <w:rsid w:val="00AA4E00"/>
    <w:rsid w:val="00AA5087"/>
    <w:rsid w:val="00AA50E6"/>
    <w:rsid w:val="00AA5DAD"/>
    <w:rsid w:val="00AA5FF3"/>
    <w:rsid w:val="00AA60A9"/>
    <w:rsid w:val="00AA6120"/>
    <w:rsid w:val="00AA6188"/>
    <w:rsid w:val="00AA6687"/>
    <w:rsid w:val="00AA7346"/>
    <w:rsid w:val="00AA748B"/>
    <w:rsid w:val="00AA7A88"/>
    <w:rsid w:val="00AA7BC3"/>
    <w:rsid w:val="00AA7E33"/>
    <w:rsid w:val="00AB05C4"/>
    <w:rsid w:val="00AB0FE6"/>
    <w:rsid w:val="00AB127E"/>
    <w:rsid w:val="00AB15B0"/>
    <w:rsid w:val="00AB17FB"/>
    <w:rsid w:val="00AB1B14"/>
    <w:rsid w:val="00AB1D1D"/>
    <w:rsid w:val="00AB1DC1"/>
    <w:rsid w:val="00AB23BE"/>
    <w:rsid w:val="00AB265E"/>
    <w:rsid w:val="00AB2941"/>
    <w:rsid w:val="00AB2948"/>
    <w:rsid w:val="00AB2E5D"/>
    <w:rsid w:val="00AB349F"/>
    <w:rsid w:val="00AB36DD"/>
    <w:rsid w:val="00AB38A8"/>
    <w:rsid w:val="00AB38F1"/>
    <w:rsid w:val="00AB39FA"/>
    <w:rsid w:val="00AB3B30"/>
    <w:rsid w:val="00AB426C"/>
    <w:rsid w:val="00AB451C"/>
    <w:rsid w:val="00AB4BB3"/>
    <w:rsid w:val="00AB54E1"/>
    <w:rsid w:val="00AB59F2"/>
    <w:rsid w:val="00AB5BDE"/>
    <w:rsid w:val="00AB5DA8"/>
    <w:rsid w:val="00AB5F90"/>
    <w:rsid w:val="00AB603E"/>
    <w:rsid w:val="00AB61D9"/>
    <w:rsid w:val="00AB6479"/>
    <w:rsid w:val="00AB673D"/>
    <w:rsid w:val="00AB6B48"/>
    <w:rsid w:val="00AB6B96"/>
    <w:rsid w:val="00AB6E85"/>
    <w:rsid w:val="00AB70FE"/>
    <w:rsid w:val="00AB77C8"/>
    <w:rsid w:val="00AB7ADF"/>
    <w:rsid w:val="00AB7CEC"/>
    <w:rsid w:val="00AC013B"/>
    <w:rsid w:val="00AC04EC"/>
    <w:rsid w:val="00AC0541"/>
    <w:rsid w:val="00AC0AE6"/>
    <w:rsid w:val="00AC0F51"/>
    <w:rsid w:val="00AC1296"/>
    <w:rsid w:val="00AC13A2"/>
    <w:rsid w:val="00AC16B7"/>
    <w:rsid w:val="00AC1CF1"/>
    <w:rsid w:val="00AC1EBB"/>
    <w:rsid w:val="00AC2AC4"/>
    <w:rsid w:val="00AC3D84"/>
    <w:rsid w:val="00AC3E62"/>
    <w:rsid w:val="00AC41F9"/>
    <w:rsid w:val="00AC429A"/>
    <w:rsid w:val="00AC445F"/>
    <w:rsid w:val="00AC4535"/>
    <w:rsid w:val="00AC464F"/>
    <w:rsid w:val="00AC4C5E"/>
    <w:rsid w:val="00AC4DE9"/>
    <w:rsid w:val="00AC53CE"/>
    <w:rsid w:val="00AC5451"/>
    <w:rsid w:val="00AC5620"/>
    <w:rsid w:val="00AC585D"/>
    <w:rsid w:val="00AC5AF9"/>
    <w:rsid w:val="00AC6192"/>
    <w:rsid w:val="00AC6405"/>
    <w:rsid w:val="00AC76F9"/>
    <w:rsid w:val="00AC7779"/>
    <w:rsid w:val="00AC7A6D"/>
    <w:rsid w:val="00AC7C91"/>
    <w:rsid w:val="00AC7E5A"/>
    <w:rsid w:val="00AD074F"/>
    <w:rsid w:val="00AD0D09"/>
    <w:rsid w:val="00AD12E6"/>
    <w:rsid w:val="00AD1445"/>
    <w:rsid w:val="00AD1659"/>
    <w:rsid w:val="00AD16C7"/>
    <w:rsid w:val="00AD1924"/>
    <w:rsid w:val="00AD28E3"/>
    <w:rsid w:val="00AD2909"/>
    <w:rsid w:val="00AD2C9F"/>
    <w:rsid w:val="00AD2F03"/>
    <w:rsid w:val="00AD2FA3"/>
    <w:rsid w:val="00AD3598"/>
    <w:rsid w:val="00AD3870"/>
    <w:rsid w:val="00AD3941"/>
    <w:rsid w:val="00AD3B4C"/>
    <w:rsid w:val="00AD3B9D"/>
    <w:rsid w:val="00AD4510"/>
    <w:rsid w:val="00AD45AF"/>
    <w:rsid w:val="00AD4771"/>
    <w:rsid w:val="00AD4EDC"/>
    <w:rsid w:val="00AD511A"/>
    <w:rsid w:val="00AD5439"/>
    <w:rsid w:val="00AD575E"/>
    <w:rsid w:val="00AD57FE"/>
    <w:rsid w:val="00AD5B89"/>
    <w:rsid w:val="00AD5C0A"/>
    <w:rsid w:val="00AD5CDF"/>
    <w:rsid w:val="00AD65FA"/>
    <w:rsid w:val="00AD6933"/>
    <w:rsid w:val="00AD6B7B"/>
    <w:rsid w:val="00AD6EB4"/>
    <w:rsid w:val="00AD6EBB"/>
    <w:rsid w:val="00AD7888"/>
    <w:rsid w:val="00AD7973"/>
    <w:rsid w:val="00AD79F9"/>
    <w:rsid w:val="00AD7CAB"/>
    <w:rsid w:val="00AE002F"/>
    <w:rsid w:val="00AE04A6"/>
    <w:rsid w:val="00AE0624"/>
    <w:rsid w:val="00AE0993"/>
    <w:rsid w:val="00AE09A8"/>
    <w:rsid w:val="00AE0D6A"/>
    <w:rsid w:val="00AE10BE"/>
    <w:rsid w:val="00AE13EA"/>
    <w:rsid w:val="00AE150B"/>
    <w:rsid w:val="00AE1692"/>
    <w:rsid w:val="00AE16C9"/>
    <w:rsid w:val="00AE19DE"/>
    <w:rsid w:val="00AE1A11"/>
    <w:rsid w:val="00AE23D5"/>
    <w:rsid w:val="00AE23E1"/>
    <w:rsid w:val="00AE23E9"/>
    <w:rsid w:val="00AE258E"/>
    <w:rsid w:val="00AE3727"/>
    <w:rsid w:val="00AE3C47"/>
    <w:rsid w:val="00AE3EF5"/>
    <w:rsid w:val="00AE423A"/>
    <w:rsid w:val="00AE471D"/>
    <w:rsid w:val="00AE4838"/>
    <w:rsid w:val="00AE4ABF"/>
    <w:rsid w:val="00AE4F2A"/>
    <w:rsid w:val="00AE4FC2"/>
    <w:rsid w:val="00AE58B2"/>
    <w:rsid w:val="00AE59C2"/>
    <w:rsid w:val="00AE5DD5"/>
    <w:rsid w:val="00AE5F33"/>
    <w:rsid w:val="00AE6918"/>
    <w:rsid w:val="00AE6EA8"/>
    <w:rsid w:val="00AE71D0"/>
    <w:rsid w:val="00AE7225"/>
    <w:rsid w:val="00AE7944"/>
    <w:rsid w:val="00AE79B1"/>
    <w:rsid w:val="00AE7A92"/>
    <w:rsid w:val="00AF0595"/>
    <w:rsid w:val="00AF0AD5"/>
    <w:rsid w:val="00AF0D2B"/>
    <w:rsid w:val="00AF1192"/>
    <w:rsid w:val="00AF1290"/>
    <w:rsid w:val="00AF1498"/>
    <w:rsid w:val="00AF15E6"/>
    <w:rsid w:val="00AF18CC"/>
    <w:rsid w:val="00AF1B81"/>
    <w:rsid w:val="00AF1BBB"/>
    <w:rsid w:val="00AF1DEA"/>
    <w:rsid w:val="00AF1EDD"/>
    <w:rsid w:val="00AF2138"/>
    <w:rsid w:val="00AF281E"/>
    <w:rsid w:val="00AF2EB6"/>
    <w:rsid w:val="00AF2EE6"/>
    <w:rsid w:val="00AF3507"/>
    <w:rsid w:val="00AF364B"/>
    <w:rsid w:val="00AF3D35"/>
    <w:rsid w:val="00AF41E4"/>
    <w:rsid w:val="00AF4293"/>
    <w:rsid w:val="00AF4DF8"/>
    <w:rsid w:val="00AF502D"/>
    <w:rsid w:val="00AF51E7"/>
    <w:rsid w:val="00AF5536"/>
    <w:rsid w:val="00AF5633"/>
    <w:rsid w:val="00AF57E6"/>
    <w:rsid w:val="00AF6300"/>
    <w:rsid w:val="00AF6744"/>
    <w:rsid w:val="00AF67B3"/>
    <w:rsid w:val="00AF6863"/>
    <w:rsid w:val="00AF7185"/>
    <w:rsid w:val="00AF7B31"/>
    <w:rsid w:val="00AF7EF1"/>
    <w:rsid w:val="00B000AA"/>
    <w:rsid w:val="00B00587"/>
    <w:rsid w:val="00B0061F"/>
    <w:rsid w:val="00B00A52"/>
    <w:rsid w:val="00B00A5C"/>
    <w:rsid w:val="00B00C96"/>
    <w:rsid w:val="00B00EEF"/>
    <w:rsid w:val="00B0128E"/>
    <w:rsid w:val="00B01920"/>
    <w:rsid w:val="00B01951"/>
    <w:rsid w:val="00B0283F"/>
    <w:rsid w:val="00B0299C"/>
    <w:rsid w:val="00B02B1F"/>
    <w:rsid w:val="00B02C5D"/>
    <w:rsid w:val="00B036F6"/>
    <w:rsid w:val="00B039AD"/>
    <w:rsid w:val="00B03E98"/>
    <w:rsid w:val="00B04CAD"/>
    <w:rsid w:val="00B052AE"/>
    <w:rsid w:val="00B05620"/>
    <w:rsid w:val="00B0585D"/>
    <w:rsid w:val="00B05C54"/>
    <w:rsid w:val="00B0616C"/>
    <w:rsid w:val="00B066B8"/>
    <w:rsid w:val="00B06AC9"/>
    <w:rsid w:val="00B07711"/>
    <w:rsid w:val="00B1032B"/>
    <w:rsid w:val="00B1080A"/>
    <w:rsid w:val="00B10D40"/>
    <w:rsid w:val="00B10E55"/>
    <w:rsid w:val="00B11B22"/>
    <w:rsid w:val="00B11C9F"/>
    <w:rsid w:val="00B11EDD"/>
    <w:rsid w:val="00B12004"/>
    <w:rsid w:val="00B12163"/>
    <w:rsid w:val="00B123FB"/>
    <w:rsid w:val="00B1245C"/>
    <w:rsid w:val="00B12D13"/>
    <w:rsid w:val="00B12E05"/>
    <w:rsid w:val="00B12EBE"/>
    <w:rsid w:val="00B13488"/>
    <w:rsid w:val="00B13499"/>
    <w:rsid w:val="00B136A4"/>
    <w:rsid w:val="00B1436B"/>
    <w:rsid w:val="00B146A5"/>
    <w:rsid w:val="00B153B0"/>
    <w:rsid w:val="00B157AD"/>
    <w:rsid w:val="00B15D2C"/>
    <w:rsid w:val="00B16412"/>
    <w:rsid w:val="00B16431"/>
    <w:rsid w:val="00B16630"/>
    <w:rsid w:val="00B166A4"/>
    <w:rsid w:val="00B169FC"/>
    <w:rsid w:val="00B16BAA"/>
    <w:rsid w:val="00B17389"/>
    <w:rsid w:val="00B17565"/>
    <w:rsid w:val="00B1760A"/>
    <w:rsid w:val="00B2043B"/>
    <w:rsid w:val="00B21463"/>
    <w:rsid w:val="00B2164A"/>
    <w:rsid w:val="00B219B7"/>
    <w:rsid w:val="00B2292A"/>
    <w:rsid w:val="00B22ADF"/>
    <w:rsid w:val="00B234AB"/>
    <w:rsid w:val="00B2376F"/>
    <w:rsid w:val="00B23AB0"/>
    <w:rsid w:val="00B23E2B"/>
    <w:rsid w:val="00B24B36"/>
    <w:rsid w:val="00B25038"/>
    <w:rsid w:val="00B2588D"/>
    <w:rsid w:val="00B25CFA"/>
    <w:rsid w:val="00B25F38"/>
    <w:rsid w:val="00B26020"/>
    <w:rsid w:val="00B26CDE"/>
    <w:rsid w:val="00B26E26"/>
    <w:rsid w:val="00B273AE"/>
    <w:rsid w:val="00B2757E"/>
    <w:rsid w:val="00B27FF1"/>
    <w:rsid w:val="00B301D9"/>
    <w:rsid w:val="00B30BDF"/>
    <w:rsid w:val="00B3152E"/>
    <w:rsid w:val="00B3159A"/>
    <w:rsid w:val="00B318C1"/>
    <w:rsid w:val="00B31A40"/>
    <w:rsid w:val="00B31E68"/>
    <w:rsid w:val="00B31F3E"/>
    <w:rsid w:val="00B32844"/>
    <w:rsid w:val="00B32BC1"/>
    <w:rsid w:val="00B32E10"/>
    <w:rsid w:val="00B32E87"/>
    <w:rsid w:val="00B33465"/>
    <w:rsid w:val="00B341E7"/>
    <w:rsid w:val="00B344CA"/>
    <w:rsid w:val="00B34529"/>
    <w:rsid w:val="00B348BD"/>
    <w:rsid w:val="00B34F2C"/>
    <w:rsid w:val="00B35BAF"/>
    <w:rsid w:val="00B35BE4"/>
    <w:rsid w:val="00B35C09"/>
    <w:rsid w:val="00B36082"/>
    <w:rsid w:val="00B3609A"/>
    <w:rsid w:val="00B360CE"/>
    <w:rsid w:val="00B36DEC"/>
    <w:rsid w:val="00B36E9D"/>
    <w:rsid w:val="00B36EEB"/>
    <w:rsid w:val="00B371F0"/>
    <w:rsid w:val="00B37750"/>
    <w:rsid w:val="00B37941"/>
    <w:rsid w:val="00B379C5"/>
    <w:rsid w:val="00B40A02"/>
    <w:rsid w:val="00B40CBF"/>
    <w:rsid w:val="00B417DF"/>
    <w:rsid w:val="00B4183F"/>
    <w:rsid w:val="00B4184C"/>
    <w:rsid w:val="00B41922"/>
    <w:rsid w:val="00B41D62"/>
    <w:rsid w:val="00B41FA2"/>
    <w:rsid w:val="00B42198"/>
    <w:rsid w:val="00B42596"/>
    <w:rsid w:val="00B42B32"/>
    <w:rsid w:val="00B42CC4"/>
    <w:rsid w:val="00B430AD"/>
    <w:rsid w:val="00B434E2"/>
    <w:rsid w:val="00B439E0"/>
    <w:rsid w:val="00B43A53"/>
    <w:rsid w:val="00B44BF9"/>
    <w:rsid w:val="00B45A13"/>
    <w:rsid w:val="00B45CAC"/>
    <w:rsid w:val="00B4615D"/>
    <w:rsid w:val="00B46509"/>
    <w:rsid w:val="00B465B6"/>
    <w:rsid w:val="00B46AD2"/>
    <w:rsid w:val="00B46B3B"/>
    <w:rsid w:val="00B472A3"/>
    <w:rsid w:val="00B479ED"/>
    <w:rsid w:val="00B47B07"/>
    <w:rsid w:val="00B47C6B"/>
    <w:rsid w:val="00B5006F"/>
    <w:rsid w:val="00B50882"/>
    <w:rsid w:val="00B50E18"/>
    <w:rsid w:val="00B51597"/>
    <w:rsid w:val="00B51A9F"/>
    <w:rsid w:val="00B51B37"/>
    <w:rsid w:val="00B51D6B"/>
    <w:rsid w:val="00B5218D"/>
    <w:rsid w:val="00B521BB"/>
    <w:rsid w:val="00B5227C"/>
    <w:rsid w:val="00B52FD3"/>
    <w:rsid w:val="00B5337B"/>
    <w:rsid w:val="00B533CA"/>
    <w:rsid w:val="00B5341A"/>
    <w:rsid w:val="00B5354F"/>
    <w:rsid w:val="00B537F0"/>
    <w:rsid w:val="00B541DB"/>
    <w:rsid w:val="00B5438B"/>
    <w:rsid w:val="00B54883"/>
    <w:rsid w:val="00B54D8C"/>
    <w:rsid w:val="00B559B4"/>
    <w:rsid w:val="00B56012"/>
    <w:rsid w:val="00B56B39"/>
    <w:rsid w:val="00B570B7"/>
    <w:rsid w:val="00B5745E"/>
    <w:rsid w:val="00B5762C"/>
    <w:rsid w:val="00B5775B"/>
    <w:rsid w:val="00B579DD"/>
    <w:rsid w:val="00B57F15"/>
    <w:rsid w:val="00B60232"/>
    <w:rsid w:val="00B6039C"/>
    <w:rsid w:val="00B6112D"/>
    <w:rsid w:val="00B61257"/>
    <w:rsid w:val="00B614D0"/>
    <w:rsid w:val="00B61E66"/>
    <w:rsid w:val="00B629C0"/>
    <w:rsid w:val="00B63ECC"/>
    <w:rsid w:val="00B6450C"/>
    <w:rsid w:val="00B64BBE"/>
    <w:rsid w:val="00B652D1"/>
    <w:rsid w:val="00B65823"/>
    <w:rsid w:val="00B65D17"/>
    <w:rsid w:val="00B664A9"/>
    <w:rsid w:val="00B664AA"/>
    <w:rsid w:val="00B6674B"/>
    <w:rsid w:val="00B66E02"/>
    <w:rsid w:val="00B671BA"/>
    <w:rsid w:val="00B673E0"/>
    <w:rsid w:val="00B67545"/>
    <w:rsid w:val="00B6774C"/>
    <w:rsid w:val="00B678B2"/>
    <w:rsid w:val="00B678E5"/>
    <w:rsid w:val="00B67D36"/>
    <w:rsid w:val="00B67DE1"/>
    <w:rsid w:val="00B704C5"/>
    <w:rsid w:val="00B706D4"/>
    <w:rsid w:val="00B707A8"/>
    <w:rsid w:val="00B70AD0"/>
    <w:rsid w:val="00B70CC6"/>
    <w:rsid w:val="00B70DAD"/>
    <w:rsid w:val="00B71251"/>
    <w:rsid w:val="00B7128D"/>
    <w:rsid w:val="00B7191B"/>
    <w:rsid w:val="00B71AF6"/>
    <w:rsid w:val="00B71CD2"/>
    <w:rsid w:val="00B7291C"/>
    <w:rsid w:val="00B72A0C"/>
    <w:rsid w:val="00B7360F"/>
    <w:rsid w:val="00B73894"/>
    <w:rsid w:val="00B73D1A"/>
    <w:rsid w:val="00B74268"/>
    <w:rsid w:val="00B74773"/>
    <w:rsid w:val="00B74780"/>
    <w:rsid w:val="00B74978"/>
    <w:rsid w:val="00B74C6E"/>
    <w:rsid w:val="00B75064"/>
    <w:rsid w:val="00B75404"/>
    <w:rsid w:val="00B758E4"/>
    <w:rsid w:val="00B75C49"/>
    <w:rsid w:val="00B75F90"/>
    <w:rsid w:val="00B75FE2"/>
    <w:rsid w:val="00B7657A"/>
    <w:rsid w:val="00B770AF"/>
    <w:rsid w:val="00B7730C"/>
    <w:rsid w:val="00B773C9"/>
    <w:rsid w:val="00B776B5"/>
    <w:rsid w:val="00B77F7B"/>
    <w:rsid w:val="00B80291"/>
    <w:rsid w:val="00B80796"/>
    <w:rsid w:val="00B80AB2"/>
    <w:rsid w:val="00B8111A"/>
    <w:rsid w:val="00B81366"/>
    <w:rsid w:val="00B81769"/>
    <w:rsid w:val="00B8193F"/>
    <w:rsid w:val="00B81BF3"/>
    <w:rsid w:val="00B81DF2"/>
    <w:rsid w:val="00B81E1A"/>
    <w:rsid w:val="00B825AA"/>
    <w:rsid w:val="00B82934"/>
    <w:rsid w:val="00B82A82"/>
    <w:rsid w:val="00B82C8E"/>
    <w:rsid w:val="00B831A9"/>
    <w:rsid w:val="00B83F08"/>
    <w:rsid w:val="00B84122"/>
    <w:rsid w:val="00B8464A"/>
    <w:rsid w:val="00B846E9"/>
    <w:rsid w:val="00B8473D"/>
    <w:rsid w:val="00B84852"/>
    <w:rsid w:val="00B8556D"/>
    <w:rsid w:val="00B85966"/>
    <w:rsid w:val="00B85BF7"/>
    <w:rsid w:val="00B86082"/>
    <w:rsid w:val="00B87D41"/>
    <w:rsid w:val="00B90410"/>
    <w:rsid w:val="00B90E10"/>
    <w:rsid w:val="00B914C3"/>
    <w:rsid w:val="00B914F7"/>
    <w:rsid w:val="00B91647"/>
    <w:rsid w:val="00B916DC"/>
    <w:rsid w:val="00B91DF2"/>
    <w:rsid w:val="00B92741"/>
    <w:rsid w:val="00B92998"/>
    <w:rsid w:val="00B92C39"/>
    <w:rsid w:val="00B92C4A"/>
    <w:rsid w:val="00B934A4"/>
    <w:rsid w:val="00B94CE6"/>
    <w:rsid w:val="00B94D40"/>
    <w:rsid w:val="00B94FEE"/>
    <w:rsid w:val="00B955A4"/>
    <w:rsid w:val="00B956E7"/>
    <w:rsid w:val="00B95988"/>
    <w:rsid w:val="00B95F01"/>
    <w:rsid w:val="00B96207"/>
    <w:rsid w:val="00B964CA"/>
    <w:rsid w:val="00B9685F"/>
    <w:rsid w:val="00B968A3"/>
    <w:rsid w:val="00B968BB"/>
    <w:rsid w:val="00B969D7"/>
    <w:rsid w:val="00B96E15"/>
    <w:rsid w:val="00B96E35"/>
    <w:rsid w:val="00B97066"/>
    <w:rsid w:val="00B97222"/>
    <w:rsid w:val="00B972EA"/>
    <w:rsid w:val="00BA021F"/>
    <w:rsid w:val="00BA150C"/>
    <w:rsid w:val="00BA1986"/>
    <w:rsid w:val="00BA1AD0"/>
    <w:rsid w:val="00BA1D7E"/>
    <w:rsid w:val="00BA2C1A"/>
    <w:rsid w:val="00BA2F0F"/>
    <w:rsid w:val="00BA31C4"/>
    <w:rsid w:val="00BA3770"/>
    <w:rsid w:val="00BA3939"/>
    <w:rsid w:val="00BA4003"/>
    <w:rsid w:val="00BA4655"/>
    <w:rsid w:val="00BA5123"/>
    <w:rsid w:val="00BA5CBB"/>
    <w:rsid w:val="00BA5CBD"/>
    <w:rsid w:val="00BA602F"/>
    <w:rsid w:val="00BA61EC"/>
    <w:rsid w:val="00BA6475"/>
    <w:rsid w:val="00BA70E5"/>
    <w:rsid w:val="00BA72DB"/>
    <w:rsid w:val="00BA78B6"/>
    <w:rsid w:val="00BA7935"/>
    <w:rsid w:val="00BA7A1F"/>
    <w:rsid w:val="00BA7E42"/>
    <w:rsid w:val="00BB01EE"/>
    <w:rsid w:val="00BB047A"/>
    <w:rsid w:val="00BB047B"/>
    <w:rsid w:val="00BB048F"/>
    <w:rsid w:val="00BB0706"/>
    <w:rsid w:val="00BB0840"/>
    <w:rsid w:val="00BB0B74"/>
    <w:rsid w:val="00BB0DA0"/>
    <w:rsid w:val="00BB0E39"/>
    <w:rsid w:val="00BB0E5E"/>
    <w:rsid w:val="00BB0E83"/>
    <w:rsid w:val="00BB1722"/>
    <w:rsid w:val="00BB1897"/>
    <w:rsid w:val="00BB22DD"/>
    <w:rsid w:val="00BB2346"/>
    <w:rsid w:val="00BB276D"/>
    <w:rsid w:val="00BB2FB9"/>
    <w:rsid w:val="00BB2FBF"/>
    <w:rsid w:val="00BB4218"/>
    <w:rsid w:val="00BB4591"/>
    <w:rsid w:val="00BB45B3"/>
    <w:rsid w:val="00BB4818"/>
    <w:rsid w:val="00BB482F"/>
    <w:rsid w:val="00BB4AF3"/>
    <w:rsid w:val="00BB4BCA"/>
    <w:rsid w:val="00BB5824"/>
    <w:rsid w:val="00BB59DB"/>
    <w:rsid w:val="00BB6025"/>
    <w:rsid w:val="00BB62BB"/>
    <w:rsid w:val="00BB6398"/>
    <w:rsid w:val="00BB639C"/>
    <w:rsid w:val="00BB63F2"/>
    <w:rsid w:val="00BB6512"/>
    <w:rsid w:val="00BB6831"/>
    <w:rsid w:val="00BB73C4"/>
    <w:rsid w:val="00BB79D0"/>
    <w:rsid w:val="00BC0500"/>
    <w:rsid w:val="00BC051F"/>
    <w:rsid w:val="00BC08F6"/>
    <w:rsid w:val="00BC0933"/>
    <w:rsid w:val="00BC0BB8"/>
    <w:rsid w:val="00BC1011"/>
    <w:rsid w:val="00BC1DC3"/>
    <w:rsid w:val="00BC219F"/>
    <w:rsid w:val="00BC25EF"/>
    <w:rsid w:val="00BC2DAF"/>
    <w:rsid w:val="00BC34A7"/>
    <w:rsid w:val="00BC3CE2"/>
    <w:rsid w:val="00BC48A5"/>
    <w:rsid w:val="00BC4A87"/>
    <w:rsid w:val="00BC4B13"/>
    <w:rsid w:val="00BC4FD3"/>
    <w:rsid w:val="00BC57B1"/>
    <w:rsid w:val="00BC592C"/>
    <w:rsid w:val="00BC65B2"/>
    <w:rsid w:val="00BC6827"/>
    <w:rsid w:val="00BC6C7A"/>
    <w:rsid w:val="00BC6DB9"/>
    <w:rsid w:val="00BC6E5D"/>
    <w:rsid w:val="00BC6FB2"/>
    <w:rsid w:val="00BC7388"/>
    <w:rsid w:val="00BC7398"/>
    <w:rsid w:val="00BC7493"/>
    <w:rsid w:val="00BC7B9C"/>
    <w:rsid w:val="00BC7D9E"/>
    <w:rsid w:val="00BD0372"/>
    <w:rsid w:val="00BD074F"/>
    <w:rsid w:val="00BD07D3"/>
    <w:rsid w:val="00BD0E64"/>
    <w:rsid w:val="00BD1C80"/>
    <w:rsid w:val="00BD1D0A"/>
    <w:rsid w:val="00BD2090"/>
    <w:rsid w:val="00BD3296"/>
    <w:rsid w:val="00BD35E6"/>
    <w:rsid w:val="00BD379C"/>
    <w:rsid w:val="00BD44F5"/>
    <w:rsid w:val="00BD4804"/>
    <w:rsid w:val="00BD4C0A"/>
    <w:rsid w:val="00BD4C2B"/>
    <w:rsid w:val="00BD4C4F"/>
    <w:rsid w:val="00BD4C6F"/>
    <w:rsid w:val="00BD4E17"/>
    <w:rsid w:val="00BD4E43"/>
    <w:rsid w:val="00BD62BD"/>
    <w:rsid w:val="00BD6AD8"/>
    <w:rsid w:val="00BD6B2C"/>
    <w:rsid w:val="00BD7033"/>
    <w:rsid w:val="00BD70B4"/>
    <w:rsid w:val="00BD71E2"/>
    <w:rsid w:val="00BD737F"/>
    <w:rsid w:val="00BE1143"/>
    <w:rsid w:val="00BE1ABA"/>
    <w:rsid w:val="00BE1BEB"/>
    <w:rsid w:val="00BE1E15"/>
    <w:rsid w:val="00BE1E3A"/>
    <w:rsid w:val="00BE20B4"/>
    <w:rsid w:val="00BE2565"/>
    <w:rsid w:val="00BE29B6"/>
    <w:rsid w:val="00BE2CA7"/>
    <w:rsid w:val="00BE2EBD"/>
    <w:rsid w:val="00BE3554"/>
    <w:rsid w:val="00BE38ED"/>
    <w:rsid w:val="00BE430D"/>
    <w:rsid w:val="00BE4340"/>
    <w:rsid w:val="00BE4749"/>
    <w:rsid w:val="00BE4A10"/>
    <w:rsid w:val="00BE4BBC"/>
    <w:rsid w:val="00BE5367"/>
    <w:rsid w:val="00BE5C41"/>
    <w:rsid w:val="00BE5CA6"/>
    <w:rsid w:val="00BE63C3"/>
    <w:rsid w:val="00BE66A2"/>
    <w:rsid w:val="00BE6798"/>
    <w:rsid w:val="00BE6CFC"/>
    <w:rsid w:val="00BE71D5"/>
    <w:rsid w:val="00BE7442"/>
    <w:rsid w:val="00BF0060"/>
    <w:rsid w:val="00BF056D"/>
    <w:rsid w:val="00BF0646"/>
    <w:rsid w:val="00BF17EA"/>
    <w:rsid w:val="00BF1BD2"/>
    <w:rsid w:val="00BF1C32"/>
    <w:rsid w:val="00BF1E58"/>
    <w:rsid w:val="00BF1F6E"/>
    <w:rsid w:val="00BF1F6F"/>
    <w:rsid w:val="00BF24CA"/>
    <w:rsid w:val="00BF2685"/>
    <w:rsid w:val="00BF2A95"/>
    <w:rsid w:val="00BF2BA5"/>
    <w:rsid w:val="00BF2BCF"/>
    <w:rsid w:val="00BF2FD4"/>
    <w:rsid w:val="00BF32FB"/>
    <w:rsid w:val="00BF351B"/>
    <w:rsid w:val="00BF3684"/>
    <w:rsid w:val="00BF36D8"/>
    <w:rsid w:val="00BF3B26"/>
    <w:rsid w:val="00BF3C4D"/>
    <w:rsid w:val="00BF4179"/>
    <w:rsid w:val="00BF46CA"/>
    <w:rsid w:val="00BF49F2"/>
    <w:rsid w:val="00BF4CF1"/>
    <w:rsid w:val="00BF5380"/>
    <w:rsid w:val="00BF55E2"/>
    <w:rsid w:val="00BF5669"/>
    <w:rsid w:val="00BF5892"/>
    <w:rsid w:val="00BF6F7D"/>
    <w:rsid w:val="00BF71E2"/>
    <w:rsid w:val="00BF76A6"/>
    <w:rsid w:val="00BF77D4"/>
    <w:rsid w:val="00C000F1"/>
    <w:rsid w:val="00C0045E"/>
    <w:rsid w:val="00C005DB"/>
    <w:rsid w:val="00C0068D"/>
    <w:rsid w:val="00C0093B"/>
    <w:rsid w:val="00C009D6"/>
    <w:rsid w:val="00C01989"/>
    <w:rsid w:val="00C01F23"/>
    <w:rsid w:val="00C022FD"/>
    <w:rsid w:val="00C023C5"/>
    <w:rsid w:val="00C03007"/>
    <w:rsid w:val="00C0330F"/>
    <w:rsid w:val="00C03806"/>
    <w:rsid w:val="00C03B6E"/>
    <w:rsid w:val="00C040D9"/>
    <w:rsid w:val="00C0419E"/>
    <w:rsid w:val="00C04243"/>
    <w:rsid w:val="00C042B8"/>
    <w:rsid w:val="00C044BE"/>
    <w:rsid w:val="00C04989"/>
    <w:rsid w:val="00C049F2"/>
    <w:rsid w:val="00C04BAB"/>
    <w:rsid w:val="00C05667"/>
    <w:rsid w:val="00C05680"/>
    <w:rsid w:val="00C05914"/>
    <w:rsid w:val="00C05F61"/>
    <w:rsid w:val="00C0607B"/>
    <w:rsid w:val="00C060DD"/>
    <w:rsid w:val="00C067EB"/>
    <w:rsid w:val="00C06836"/>
    <w:rsid w:val="00C06AA6"/>
    <w:rsid w:val="00C06DEF"/>
    <w:rsid w:val="00C075A2"/>
    <w:rsid w:val="00C07763"/>
    <w:rsid w:val="00C10770"/>
    <w:rsid w:val="00C107CB"/>
    <w:rsid w:val="00C108D3"/>
    <w:rsid w:val="00C1092C"/>
    <w:rsid w:val="00C109EE"/>
    <w:rsid w:val="00C10D3C"/>
    <w:rsid w:val="00C10EC1"/>
    <w:rsid w:val="00C10FFF"/>
    <w:rsid w:val="00C1104E"/>
    <w:rsid w:val="00C11520"/>
    <w:rsid w:val="00C118C4"/>
    <w:rsid w:val="00C11C1F"/>
    <w:rsid w:val="00C11F58"/>
    <w:rsid w:val="00C120D7"/>
    <w:rsid w:val="00C12106"/>
    <w:rsid w:val="00C12916"/>
    <w:rsid w:val="00C12D28"/>
    <w:rsid w:val="00C132D1"/>
    <w:rsid w:val="00C138B2"/>
    <w:rsid w:val="00C139CA"/>
    <w:rsid w:val="00C13A76"/>
    <w:rsid w:val="00C13A7D"/>
    <w:rsid w:val="00C13C8E"/>
    <w:rsid w:val="00C13D6D"/>
    <w:rsid w:val="00C13D8F"/>
    <w:rsid w:val="00C143DE"/>
    <w:rsid w:val="00C1483C"/>
    <w:rsid w:val="00C1497F"/>
    <w:rsid w:val="00C1558B"/>
    <w:rsid w:val="00C1567A"/>
    <w:rsid w:val="00C156D5"/>
    <w:rsid w:val="00C15976"/>
    <w:rsid w:val="00C159DD"/>
    <w:rsid w:val="00C15A9F"/>
    <w:rsid w:val="00C169ED"/>
    <w:rsid w:val="00C172AB"/>
    <w:rsid w:val="00C2003D"/>
    <w:rsid w:val="00C201E9"/>
    <w:rsid w:val="00C20502"/>
    <w:rsid w:val="00C20924"/>
    <w:rsid w:val="00C20F06"/>
    <w:rsid w:val="00C20F71"/>
    <w:rsid w:val="00C21687"/>
    <w:rsid w:val="00C21836"/>
    <w:rsid w:val="00C21FE5"/>
    <w:rsid w:val="00C2274C"/>
    <w:rsid w:val="00C22D79"/>
    <w:rsid w:val="00C22DAE"/>
    <w:rsid w:val="00C2368D"/>
    <w:rsid w:val="00C23A08"/>
    <w:rsid w:val="00C23ABD"/>
    <w:rsid w:val="00C23C00"/>
    <w:rsid w:val="00C23FA9"/>
    <w:rsid w:val="00C241A8"/>
    <w:rsid w:val="00C2431C"/>
    <w:rsid w:val="00C249CF"/>
    <w:rsid w:val="00C24ABA"/>
    <w:rsid w:val="00C25B4D"/>
    <w:rsid w:val="00C2612A"/>
    <w:rsid w:val="00C2641C"/>
    <w:rsid w:val="00C264CB"/>
    <w:rsid w:val="00C26CD5"/>
    <w:rsid w:val="00C274C2"/>
    <w:rsid w:val="00C27532"/>
    <w:rsid w:val="00C304B8"/>
    <w:rsid w:val="00C3096F"/>
    <w:rsid w:val="00C30AB9"/>
    <w:rsid w:val="00C31253"/>
    <w:rsid w:val="00C3152A"/>
    <w:rsid w:val="00C31844"/>
    <w:rsid w:val="00C31DBE"/>
    <w:rsid w:val="00C32EBE"/>
    <w:rsid w:val="00C3302D"/>
    <w:rsid w:val="00C33061"/>
    <w:rsid w:val="00C3345F"/>
    <w:rsid w:val="00C33CA7"/>
    <w:rsid w:val="00C33E9D"/>
    <w:rsid w:val="00C34050"/>
    <w:rsid w:val="00C342F4"/>
    <w:rsid w:val="00C3450A"/>
    <w:rsid w:val="00C35007"/>
    <w:rsid w:val="00C35129"/>
    <w:rsid w:val="00C35289"/>
    <w:rsid w:val="00C35357"/>
    <w:rsid w:val="00C35FCC"/>
    <w:rsid w:val="00C3610B"/>
    <w:rsid w:val="00C3611D"/>
    <w:rsid w:val="00C36159"/>
    <w:rsid w:val="00C36663"/>
    <w:rsid w:val="00C36759"/>
    <w:rsid w:val="00C367C7"/>
    <w:rsid w:val="00C36BB2"/>
    <w:rsid w:val="00C3709E"/>
    <w:rsid w:val="00C373A9"/>
    <w:rsid w:val="00C3785D"/>
    <w:rsid w:val="00C379DA"/>
    <w:rsid w:val="00C37B4B"/>
    <w:rsid w:val="00C37C97"/>
    <w:rsid w:val="00C400E1"/>
    <w:rsid w:val="00C40502"/>
    <w:rsid w:val="00C41197"/>
    <w:rsid w:val="00C419DB"/>
    <w:rsid w:val="00C41E4A"/>
    <w:rsid w:val="00C421B2"/>
    <w:rsid w:val="00C42533"/>
    <w:rsid w:val="00C42950"/>
    <w:rsid w:val="00C42DBD"/>
    <w:rsid w:val="00C438A4"/>
    <w:rsid w:val="00C439BD"/>
    <w:rsid w:val="00C43A18"/>
    <w:rsid w:val="00C43EB7"/>
    <w:rsid w:val="00C44404"/>
    <w:rsid w:val="00C44442"/>
    <w:rsid w:val="00C444EA"/>
    <w:rsid w:val="00C44699"/>
    <w:rsid w:val="00C446AD"/>
    <w:rsid w:val="00C44A14"/>
    <w:rsid w:val="00C44F3D"/>
    <w:rsid w:val="00C456D2"/>
    <w:rsid w:val="00C457D3"/>
    <w:rsid w:val="00C45A26"/>
    <w:rsid w:val="00C45EB9"/>
    <w:rsid w:val="00C461AE"/>
    <w:rsid w:val="00C46743"/>
    <w:rsid w:val="00C467B5"/>
    <w:rsid w:val="00C4698C"/>
    <w:rsid w:val="00C46D9C"/>
    <w:rsid w:val="00C46FE8"/>
    <w:rsid w:val="00C47239"/>
    <w:rsid w:val="00C4737F"/>
    <w:rsid w:val="00C476F1"/>
    <w:rsid w:val="00C4778F"/>
    <w:rsid w:val="00C479E1"/>
    <w:rsid w:val="00C47A73"/>
    <w:rsid w:val="00C47CF3"/>
    <w:rsid w:val="00C47E5F"/>
    <w:rsid w:val="00C502EA"/>
    <w:rsid w:val="00C5053D"/>
    <w:rsid w:val="00C506B4"/>
    <w:rsid w:val="00C50A78"/>
    <w:rsid w:val="00C50C14"/>
    <w:rsid w:val="00C51082"/>
    <w:rsid w:val="00C510A0"/>
    <w:rsid w:val="00C5141B"/>
    <w:rsid w:val="00C51429"/>
    <w:rsid w:val="00C51658"/>
    <w:rsid w:val="00C518C4"/>
    <w:rsid w:val="00C51951"/>
    <w:rsid w:val="00C51C51"/>
    <w:rsid w:val="00C51E8F"/>
    <w:rsid w:val="00C524C4"/>
    <w:rsid w:val="00C52CE9"/>
    <w:rsid w:val="00C52FC0"/>
    <w:rsid w:val="00C52FD5"/>
    <w:rsid w:val="00C53156"/>
    <w:rsid w:val="00C53F9E"/>
    <w:rsid w:val="00C541C8"/>
    <w:rsid w:val="00C5444E"/>
    <w:rsid w:val="00C54C28"/>
    <w:rsid w:val="00C551DE"/>
    <w:rsid w:val="00C55873"/>
    <w:rsid w:val="00C559E9"/>
    <w:rsid w:val="00C55C12"/>
    <w:rsid w:val="00C55D8A"/>
    <w:rsid w:val="00C55E88"/>
    <w:rsid w:val="00C56068"/>
    <w:rsid w:val="00C56175"/>
    <w:rsid w:val="00C569D9"/>
    <w:rsid w:val="00C56FD8"/>
    <w:rsid w:val="00C56FF2"/>
    <w:rsid w:val="00C57135"/>
    <w:rsid w:val="00C5715D"/>
    <w:rsid w:val="00C57290"/>
    <w:rsid w:val="00C572FB"/>
    <w:rsid w:val="00C57387"/>
    <w:rsid w:val="00C57556"/>
    <w:rsid w:val="00C60012"/>
    <w:rsid w:val="00C60123"/>
    <w:rsid w:val="00C60184"/>
    <w:rsid w:val="00C601EE"/>
    <w:rsid w:val="00C6053E"/>
    <w:rsid w:val="00C608C1"/>
    <w:rsid w:val="00C60CCF"/>
    <w:rsid w:val="00C60CEE"/>
    <w:rsid w:val="00C610D1"/>
    <w:rsid w:val="00C61360"/>
    <w:rsid w:val="00C62119"/>
    <w:rsid w:val="00C6214B"/>
    <w:rsid w:val="00C62495"/>
    <w:rsid w:val="00C626B6"/>
    <w:rsid w:val="00C6319D"/>
    <w:rsid w:val="00C63391"/>
    <w:rsid w:val="00C638A8"/>
    <w:rsid w:val="00C63A12"/>
    <w:rsid w:val="00C63B78"/>
    <w:rsid w:val="00C63C74"/>
    <w:rsid w:val="00C63D4E"/>
    <w:rsid w:val="00C63E69"/>
    <w:rsid w:val="00C63EA9"/>
    <w:rsid w:val="00C6407D"/>
    <w:rsid w:val="00C6448B"/>
    <w:rsid w:val="00C6471E"/>
    <w:rsid w:val="00C64E55"/>
    <w:rsid w:val="00C6503A"/>
    <w:rsid w:val="00C665A0"/>
    <w:rsid w:val="00C666D5"/>
    <w:rsid w:val="00C67262"/>
    <w:rsid w:val="00C6741B"/>
    <w:rsid w:val="00C67452"/>
    <w:rsid w:val="00C6746A"/>
    <w:rsid w:val="00C67725"/>
    <w:rsid w:val="00C677F9"/>
    <w:rsid w:val="00C67939"/>
    <w:rsid w:val="00C67EC6"/>
    <w:rsid w:val="00C700F3"/>
    <w:rsid w:val="00C70312"/>
    <w:rsid w:val="00C7067D"/>
    <w:rsid w:val="00C7092F"/>
    <w:rsid w:val="00C70952"/>
    <w:rsid w:val="00C70B97"/>
    <w:rsid w:val="00C70C81"/>
    <w:rsid w:val="00C70E63"/>
    <w:rsid w:val="00C7150A"/>
    <w:rsid w:val="00C718DC"/>
    <w:rsid w:val="00C71C48"/>
    <w:rsid w:val="00C71F37"/>
    <w:rsid w:val="00C72518"/>
    <w:rsid w:val="00C72601"/>
    <w:rsid w:val="00C72D11"/>
    <w:rsid w:val="00C736EA"/>
    <w:rsid w:val="00C73729"/>
    <w:rsid w:val="00C73FB0"/>
    <w:rsid w:val="00C73FD8"/>
    <w:rsid w:val="00C740C4"/>
    <w:rsid w:val="00C7464A"/>
    <w:rsid w:val="00C74DA1"/>
    <w:rsid w:val="00C7539F"/>
    <w:rsid w:val="00C753B1"/>
    <w:rsid w:val="00C7561B"/>
    <w:rsid w:val="00C75C01"/>
    <w:rsid w:val="00C75F19"/>
    <w:rsid w:val="00C760FA"/>
    <w:rsid w:val="00C76D2D"/>
    <w:rsid w:val="00C76DDA"/>
    <w:rsid w:val="00C77BD9"/>
    <w:rsid w:val="00C807B3"/>
    <w:rsid w:val="00C8081D"/>
    <w:rsid w:val="00C80AE6"/>
    <w:rsid w:val="00C80CC5"/>
    <w:rsid w:val="00C80D0E"/>
    <w:rsid w:val="00C80F75"/>
    <w:rsid w:val="00C81383"/>
    <w:rsid w:val="00C81CD5"/>
    <w:rsid w:val="00C81D7C"/>
    <w:rsid w:val="00C82247"/>
    <w:rsid w:val="00C825C9"/>
    <w:rsid w:val="00C82A27"/>
    <w:rsid w:val="00C82ACB"/>
    <w:rsid w:val="00C82CB6"/>
    <w:rsid w:val="00C82CE1"/>
    <w:rsid w:val="00C833C7"/>
    <w:rsid w:val="00C8361B"/>
    <w:rsid w:val="00C83633"/>
    <w:rsid w:val="00C8384B"/>
    <w:rsid w:val="00C83C18"/>
    <w:rsid w:val="00C83E03"/>
    <w:rsid w:val="00C83FDC"/>
    <w:rsid w:val="00C84C7D"/>
    <w:rsid w:val="00C8518E"/>
    <w:rsid w:val="00C8532D"/>
    <w:rsid w:val="00C85572"/>
    <w:rsid w:val="00C85968"/>
    <w:rsid w:val="00C85C76"/>
    <w:rsid w:val="00C85F6B"/>
    <w:rsid w:val="00C860AE"/>
    <w:rsid w:val="00C86202"/>
    <w:rsid w:val="00C8646C"/>
    <w:rsid w:val="00C86548"/>
    <w:rsid w:val="00C8664B"/>
    <w:rsid w:val="00C866FC"/>
    <w:rsid w:val="00C8677A"/>
    <w:rsid w:val="00C86CC3"/>
    <w:rsid w:val="00C86D7E"/>
    <w:rsid w:val="00C86E0D"/>
    <w:rsid w:val="00C86E37"/>
    <w:rsid w:val="00C87442"/>
    <w:rsid w:val="00C87DC5"/>
    <w:rsid w:val="00C901B1"/>
    <w:rsid w:val="00C90381"/>
    <w:rsid w:val="00C90575"/>
    <w:rsid w:val="00C90AC4"/>
    <w:rsid w:val="00C90EBC"/>
    <w:rsid w:val="00C910F6"/>
    <w:rsid w:val="00C91751"/>
    <w:rsid w:val="00C91B69"/>
    <w:rsid w:val="00C91D0B"/>
    <w:rsid w:val="00C92750"/>
    <w:rsid w:val="00C92DB9"/>
    <w:rsid w:val="00C9325D"/>
    <w:rsid w:val="00C939F9"/>
    <w:rsid w:val="00C94120"/>
    <w:rsid w:val="00C9416C"/>
    <w:rsid w:val="00C94660"/>
    <w:rsid w:val="00C94AFF"/>
    <w:rsid w:val="00C94D28"/>
    <w:rsid w:val="00C951FF"/>
    <w:rsid w:val="00C95632"/>
    <w:rsid w:val="00C959BF"/>
    <w:rsid w:val="00C95C9C"/>
    <w:rsid w:val="00C95DDD"/>
    <w:rsid w:val="00C95F1A"/>
    <w:rsid w:val="00C96977"/>
    <w:rsid w:val="00C96B68"/>
    <w:rsid w:val="00C96C4C"/>
    <w:rsid w:val="00C96EC6"/>
    <w:rsid w:val="00C97327"/>
    <w:rsid w:val="00C9764E"/>
    <w:rsid w:val="00C977DB"/>
    <w:rsid w:val="00C97DA6"/>
    <w:rsid w:val="00CA009E"/>
    <w:rsid w:val="00CA0C0A"/>
    <w:rsid w:val="00CA0E71"/>
    <w:rsid w:val="00CA0F4F"/>
    <w:rsid w:val="00CA1139"/>
    <w:rsid w:val="00CA17F2"/>
    <w:rsid w:val="00CA1E14"/>
    <w:rsid w:val="00CA20D8"/>
    <w:rsid w:val="00CA31BC"/>
    <w:rsid w:val="00CA33AD"/>
    <w:rsid w:val="00CA342B"/>
    <w:rsid w:val="00CA3856"/>
    <w:rsid w:val="00CA3904"/>
    <w:rsid w:val="00CA5943"/>
    <w:rsid w:val="00CA5A3F"/>
    <w:rsid w:val="00CA5B03"/>
    <w:rsid w:val="00CA5C49"/>
    <w:rsid w:val="00CA603A"/>
    <w:rsid w:val="00CA67E0"/>
    <w:rsid w:val="00CA6B50"/>
    <w:rsid w:val="00CA6D10"/>
    <w:rsid w:val="00CA70B0"/>
    <w:rsid w:val="00CA7345"/>
    <w:rsid w:val="00CA73D9"/>
    <w:rsid w:val="00CA76B1"/>
    <w:rsid w:val="00CA7842"/>
    <w:rsid w:val="00CA7D15"/>
    <w:rsid w:val="00CA7FD6"/>
    <w:rsid w:val="00CB0122"/>
    <w:rsid w:val="00CB0269"/>
    <w:rsid w:val="00CB0703"/>
    <w:rsid w:val="00CB0833"/>
    <w:rsid w:val="00CB0E6C"/>
    <w:rsid w:val="00CB12FE"/>
    <w:rsid w:val="00CB17B4"/>
    <w:rsid w:val="00CB18F5"/>
    <w:rsid w:val="00CB19F4"/>
    <w:rsid w:val="00CB1E6C"/>
    <w:rsid w:val="00CB208D"/>
    <w:rsid w:val="00CB2AA6"/>
    <w:rsid w:val="00CB33F8"/>
    <w:rsid w:val="00CB3D71"/>
    <w:rsid w:val="00CB4054"/>
    <w:rsid w:val="00CB431A"/>
    <w:rsid w:val="00CB4EBC"/>
    <w:rsid w:val="00CB52C5"/>
    <w:rsid w:val="00CB5963"/>
    <w:rsid w:val="00CB5B28"/>
    <w:rsid w:val="00CB5C85"/>
    <w:rsid w:val="00CB5EF5"/>
    <w:rsid w:val="00CB61D1"/>
    <w:rsid w:val="00CB6439"/>
    <w:rsid w:val="00CB6ED5"/>
    <w:rsid w:val="00CB716D"/>
    <w:rsid w:val="00CB7493"/>
    <w:rsid w:val="00CB7E5E"/>
    <w:rsid w:val="00CC008E"/>
    <w:rsid w:val="00CC02ED"/>
    <w:rsid w:val="00CC032C"/>
    <w:rsid w:val="00CC0383"/>
    <w:rsid w:val="00CC089B"/>
    <w:rsid w:val="00CC09AB"/>
    <w:rsid w:val="00CC1647"/>
    <w:rsid w:val="00CC185F"/>
    <w:rsid w:val="00CC1876"/>
    <w:rsid w:val="00CC21BF"/>
    <w:rsid w:val="00CC24A7"/>
    <w:rsid w:val="00CC2734"/>
    <w:rsid w:val="00CC31AE"/>
    <w:rsid w:val="00CC3369"/>
    <w:rsid w:val="00CC411D"/>
    <w:rsid w:val="00CC4828"/>
    <w:rsid w:val="00CC4BE8"/>
    <w:rsid w:val="00CC4F2A"/>
    <w:rsid w:val="00CC5A35"/>
    <w:rsid w:val="00CC63EB"/>
    <w:rsid w:val="00CC6425"/>
    <w:rsid w:val="00CC66AB"/>
    <w:rsid w:val="00CC689B"/>
    <w:rsid w:val="00CC68FD"/>
    <w:rsid w:val="00CC6BC4"/>
    <w:rsid w:val="00CC71D4"/>
    <w:rsid w:val="00CC7D1B"/>
    <w:rsid w:val="00CC7FE7"/>
    <w:rsid w:val="00CD022A"/>
    <w:rsid w:val="00CD03BE"/>
    <w:rsid w:val="00CD0533"/>
    <w:rsid w:val="00CD0707"/>
    <w:rsid w:val="00CD16CC"/>
    <w:rsid w:val="00CD1A25"/>
    <w:rsid w:val="00CD2619"/>
    <w:rsid w:val="00CD2864"/>
    <w:rsid w:val="00CD2D0A"/>
    <w:rsid w:val="00CD2E16"/>
    <w:rsid w:val="00CD2F84"/>
    <w:rsid w:val="00CD2FEB"/>
    <w:rsid w:val="00CD323A"/>
    <w:rsid w:val="00CD3359"/>
    <w:rsid w:val="00CD3805"/>
    <w:rsid w:val="00CD3B68"/>
    <w:rsid w:val="00CD4061"/>
    <w:rsid w:val="00CD471E"/>
    <w:rsid w:val="00CD496C"/>
    <w:rsid w:val="00CD4B6A"/>
    <w:rsid w:val="00CD53AA"/>
    <w:rsid w:val="00CD53F5"/>
    <w:rsid w:val="00CD586D"/>
    <w:rsid w:val="00CD6508"/>
    <w:rsid w:val="00CD65E7"/>
    <w:rsid w:val="00CD732A"/>
    <w:rsid w:val="00CD75C2"/>
    <w:rsid w:val="00CD7743"/>
    <w:rsid w:val="00CD7A65"/>
    <w:rsid w:val="00CD7BFC"/>
    <w:rsid w:val="00CE07B2"/>
    <w:rsid w:val="00CE0B3A"/>
    <w:rsid w:val="00CE0D0A"/>
    <w:rsid w:val="00CE161F"/>
    <w:rsid w:val="00CE1A10"/>
    <w:rsid w:val="00CE248C"/>
    <w:rsid w:val="00CE2A08"/>
    <w:rsid w:val="00CE2B95"/>
    <w:rsid w:val="00CE2C29"/>
    <w:rsid w:val="00CE2E16"/>
    <w:rsid w:val="00CE2F1A"/>
    <w:rsid w:val="00CE3043"/>
    <w:rsid w:val="00CE32DA"/>
    <w:rsid w:val="00CE3424"/>
    <w:rsid w:val="00CE3500"/>
    <w:rsid w:val="00CE38F8"/>
    <w:rsid w:val="00CE440D"/>
    <w:rsid w:val="00CE4555"/>
    <w:rsid w:val="00CE4BF5"/>
    <w:rsid w:val="00CE4FB3"/>
    <w:rsid w:val="00CE5188"/>
    <w:rsid w:val="00CE51C2"/>
    <w:rsid w:val="00CE52DD"/>
    <w:rsid w:val="00CE5364"/>
    <w:rsid w:val="00CE5968"/>
    <w:rsid w:val="00CE5B54"/>
    <w:rsid w:val="00CE5BF2"/>
    <w:rsid w:val="00CE5EBD"/>
    <w:rsid w:val="00CE6770"/>
    <w:rsid w:val="00CE6D70"/>
    <w:rsid w:val="00CE6E22"/>
    <w:rsid w:val="00CE755B"/>
    <w:rsid w:val="00CE7C58"/>
    <w:rsid w:val="00CE7C60"/>
    <w:rsid w:val="00CE7C64"/>
    <w:rsid w:val="00CF0642"/>
    <w:rsid w:val="00CF08D3"/>
    <w:rsid w:val="00CF0AA5"/>
    <w:rsid w:val="00CF0AF3"/>
    <w:rsid w:val="00CF0AFB"/>
    <w:rsid w:val="00CF0EF9"/>
    <w:rsid w:val="00CF16A5"/>
    <w:rsid w:val="00CF1952"/>
    <w:rsid w:val="00CF195F"/>
    <w:rsid w:val="00CF1A11"/>
    <w:rsid w:val="00CF24A1"/>
    <w:rsid w:val="00CF30FC"/>
    <w:rsid w:val="00CF360B"/>
    <w:rsid w:val="00CF3AF8"/>
    <w:rsid w:val="00CF3B52"/>
    <w:rsid w:val="00CF413C"/>
    <w:rsid w:val="00CF4286"/>
    <w:rsid w:val="00CF4408"/>
    <w:rsid w:val="00CF46D2"/>
    <w:rsid w:val="00CF4A94"/>
    <w:rsid w:val="00CF57C6"/>
    <w:rsid w:val="00CF5962"/>
    <w:rsid w:val="00CF5C40"/>
    <w:rsid w:val="00CF5CB2"/>
    <w:rsid w:val="00CF5F80"/>
    <w:rsid w:val="00CF6174"/>
    <w:rsid w:val="00CF632A"/>
    <w:rsid w:val="00CF67F9"/>
    <w:rsid w:val="00CF6836"/>
    <w:rsid w:val="00CF6AE1"/>
    <w:rsid w:val="00CF7C49"/>
    <w:rsid w:val="00CF7D4D"/>
    <w:rsid w:val="00D00174"/>
    <w:rsid w:val="00D00938"/>
    <w:rsid w:val="00D009ED"/>
    <w:rsid w:val="00D00A7D"/>
    <w:rsid w:val="00D010BC"/>
    <w:rsid w:val="00D0120B"/>
    <w:rsid w:val="00D012E3"/>
    <w:rsid w:val="00D019BA"/>
    <w:rsid w:val="00D01B9F"/>
    <w:rsid w:val="00D02241"/>
    <w:rsid w:val="00D023CD"/>
    <w:rsid w:val="00D02520"/>
    <w:rsid w:val="00D02875"/>
    <w:rsid w:val="00D03160"/>
    <w:rsid w:val="00D033C4"/>
    <w:rsid w:val="00D03415"/>
    <w:rsid w:val="00D03439"/>
    <w:rsid w:val="00D03B05"/>
    <w:rsid w:val="00D03B38"/>
    <w:rsid w:val="00D03F87"/>
    <w:rsid w:val="00D041FE"/>
    <w:rsid w:val="00D0428D"/>
    <w:rsid w:val="00D0486C"/>
    <w:rsid w:val="00D04C41"/>
    <w:rsid w:val="00D04CCB"/>
    <w:rsid w:val="00D04CD4"/>
    <w:rsid w:val="00D04F88"/>
    <w:rsid w:val="00D05422"/>
    <w:rsid w:val="00D05841"/>
    <w:rsid w:val="00D05D3F"/>
    <w:rsid w:val="00D0607B"/>
    <w:rsid w:val="00D0638A"/>
    <w:rsid w:val="00D068EB"/>
    <w:rsid w:val="00D06B3D"/>
    <w:rsid w:val="00D06B61"/>
    <w:rsid w:val="00D06E97"/>
    <w:rsid w:val="00D070DB"/>
    <w:rsid w:val="00D0713C"/>
    <w:rsid w:val="00D07174"/>
    <w:rsid w:val="00D072F6"/>
    <w:rsid w:val="00D07A60"/>
    <w:rsid w:val="00D07C41"/>
    <w:rsid w:val="00D07DB1"/>
    <w:rsid w:val="00D07EDF"/>
    <w:rsid w:val="00D10394"/>
    <w:rsid w:val="00D103A1"/>
    <w:rsid w:val="00D10609"/>
    <w:rsid w:val="00D10991"/>
    <w:rsid w:val="00D10E8B"/>
    <w:rsid w:val="00D1139A"/>
    <w:rsid w:val="00D118AA"/>
    <w:rsid w:val="00D11C83"/>
    <w:rsid w:val="00D11CFF"/>
    <w:rsid w:val="00D11D02"/>
    <w:rsid w:val="00D11DC5"/>
    <w:rsid w:val="00D12095"/>
    <w:rsid w:val="00D129A5"/>
    <w:rsid w:val="00D12D14"/>
    <w:rsid w:val="00D131A9"/>
    <w:rsid w:val="00D1362D"/>
    <w:rsid w:val="00D139DE"/>
    <w:rsid w:val="00D13BB3"/>
    <w:rsid w:val="00D13D5D"/>
    <w:rsid w:val="00D140BB"/>
    <w:rsid w:val="00D14448"/>
    <w:rsid w:val="00D144CF"/>
    <w:rsid w:val="00D14518"/>
    <w:rsid w:val="00D15065"/>
    <w:rsid w:val="00D15413"/>
    <w:rsid w:val="00D15762"/>
    <w:rsid w:val="00D15ACD"/>
    <w:rsid w:val="00D15CB4"/>
    <w:rsid w:val="00D1629B"/>
    <w:rsid w:val="00D162D1"/>
    <w:rsid w:val="00D164F9"/>
    <w:rsid w:val="00D16779"/>
    <w:rsid w:val="00D167D9"/>
    <w:rsid w:val="00D169DB"/>
    <w:rsid w:val="00D16A81"/>
    <w:rsid w:val="00D170C1"/>
    <w:rsid w:val="00D17381"/>
    <w:rsid w:val="00D174CB"/>
    <w:rsid w:val="00D20753"/>
    <w:rsid w:val="00D20B0C"/>
    <w:rsid w:val="00D20BD0"/>
    <w:rsid w:val="00D20DC5"/>
    <w:rsid w:val="00D211A2"/>
    <w:rsid w:val="00D21200"/>
    <w:rsid w:val="00D215C9"/>
    <w:rsid w:val="00D21778"/>
    <w:rsid w:val="00D2196C"/>
    <w:rsid w:val="00D21AEC"/>
    <w:rsid w:val="00D21DEE"/>
    <w:rsid w:val="00D2257E"/>
    <w:rsid w:val="00D2261E"/>
    <w:rsid w:val="00D22C27"/>
    <w:rsid w:val="00D22D06"/>
    <w:rsid w:val="00D22D87"/>
    <w:rsid w:val="00D22E8C"/>
    <w:rsid w:val="00D22F33"/>
    <w:rsid w:val="00D233EB"/>
    <w:rsid w:val="00D23423"/>
    <w:rsid w:val="00D2376D"/>
    <w:rsid w:val="00D23D87"/>
    <w:rsid w:val="00D2457B"/>
    <w:rsid w:val="00D24772"/>
    <w:rsid w:val="00D24F4F"/>
    <w:rsid w:val="00D2634B"/>
    <w:rsid w:val="00D26905"/>
    <w:rsid w:val="00D2692E"/>
    <w:rsid w:val="00D26CB3"/>
    <w:rsid w:val="00D26E91"/>
    <w:rsid w:val="00D27258"/>
    <w:rsid w:val="00D272A6"/>
    <w:rsid w:val="00D27A3B"/>
    <w:rsid w:val="00D27BCA"/>
    <w:rsid w:val="00D3022B"/>
    <w:rsid w:val="00D307C8"/>
    <w:rsid w:val="00D30985"/>
    <w:rsid w:val="00D3103D"/>
    <w:rsid w:val="00D31383"/>
    <w:rsid w:val="00D31801"/>
    <w:rsid w:val="00D319AA"/>
    <w:rsid w:val="00D320D1"/>
    <w:rsid w:val="00D32149"/>
    <w:rsid w:val="00D32177"/>
    <w:rsid w:val="00D331FA"/>
    <w:rsid w:val="00D33442"/>
    <w:rsid w:val="00D3359F"/>
    <w:rsid w:val="00D33DAB"/>
    <w:rsid w:val="00D33DB9"/>
    <w:rsid w:val="00D33F8A"/>
    <w:rsid w:val="00D3441D"/>
    <w:rsid w:val="00D34835"/>
    <w:rsid w:val="00D34E2B"/>
    <w:rsid w:val="00D3545B"/>
    <w:rsid w:val="00D355C4"/>
    <w:rsid w:val="00D3593D"/>
    <w:rsid w:val="00D35F76"/>
    <w:rsid w:val="00D36110"/>
    <w:rsid w:val="00D3612A"/>
    <w:rsid w:val="00D36569"/>
    <w:rsid w:val="00D369EA"/>
    <w:rsid w:val="00D36F5D"/>
    <w:rsid w:val="00D37086"/>
    <w:rsid w:val="00D375F3"/>
    <w:rsid w:val="00D37703"/>
    <w:rsid w:val="00D37BC6"/>
    <w:rsid w:val="00D37DBF"/>
    <w:rsid w:val="00D37F25"/>
    <w:rsid w:val="00D4033C"/>
    <w:rsid w:val="00D407BE"/>
    <w:rsid w:val="00D4110C"/>
    <w:rsid w:val="00D41A30"/>
    <w:rsid w:val="00D41F5E"/>
    <w:rsid w:val="00D421E5"/>
    <w:rsid w:val="00D423CE"/>
    <w:rsid w:val="00D42F4F"/>
    <w:rsid w:val="00D44141"/>
    <w:rsid w:val="00D44176"/>
    <w:rsid w:val="00D442AC"/>
    <w:rsid w:val="00D4431E"/>
    <w:rsid w:val="00D44382"/>
    <w:rsid w:val="00D448C3"/>
    <w:rsid w:val="00D4541B"/>
    <w:rsid w:val="00D4570B"/>
    <w:rsid w:val="00D459F3"/>
    <w:rsid w:val="00D46194"/>
    <w:rsid w:val="00D46356"/>
    <w:rsid w:val="00D46A41"/>
    <w:rsid w:val="00D46D2D"/>
    <w:rsid w:val="00D46E39"/>
    <w:rsid w:val="00D473FB"/>
    <w:rsid w:val="00D47408"/>
    <w:rsid w:val="00D4747B"/>
    <w:rsid w:val="00D477DB"/>
    <w:rsid w:val="00D47AFC"/>
    <w:rsid w:val="00D500F3"/>
    <w:rsid w:val="00D507C8"/>
    <w:rsid w:val="00D50AF1"/>
    <w:rsid w:val="00D50E56"/>
    <w:rsid w:val="00D5130C"/>
    <w:rsid w:val="00D517BE"/>
    <w:rsid w:val="00D517FC"/>
    <w:rsid w:val="00D51D37"/>
    <w:rsid w:val="00D51F9A"/>
    <w:rsid w:val="00D524C4"/>
    <w:rsid w:val="00D5289B"/>
    <w:rsid w:val="00D528B0"/>
    <w:rsid w:val="00D52DB0"/>
    <w:rsid w:val="00D533C3"/>
    <w:rsid w:val="00D533E1"/>
    <w:rsid w:val="00D53524"/>
    <w:rsid w:val="00D53FD8"/>
    <w:rsid w:val="00D53FEC"/>
    <w:rsid w:val="00D54FEE"/>
    <w:rsid w:val="00D55330"/>
    <w:rsid w:val="00D553F8"/>
    <w:rsid w:val="00D5577E"/>
    <w:rsid w:val="00D55C60"/>
    <w:rsid w:val="00D55EA4"/>
    <w:rsid w:val="00D55F56"/>
    <w:rsid w:val="00D56A53"/>
    <w:rsid w:val="00D56D6F"/>
    <w:rsid w:val="00D57522"/>
    <w:rsid w:val="00D60319"/>
    <w:rsid w:val="00D6081F"/>
    <w:rsid w:val="00D60F36"/>
    <w:rsid w:val="00D61134"/>
    <w:rsid w:val="00D61280"/>
    <w:rsid w:val="00D61360"/>
    <w:rsid w:val="00D614B1"/>
    <w:rsid w:val="00D617DB"/>
    <w:rsid w:val="00D629AF"/>
    <w:rsid w:val="00D62A17"/>
    <w:rsid w:val="00D6324F"/>
    <w:rsid w:val="00D63458"/>
    <w:rsid w:val="00D63672"/>
    <w:rsid w:val="00D63B09"/>
    <w:rsid w:val="00D63E59"/>
    <w:rsid w:val="00D6409B"/>
    <w:rsid w:val="00D64626"/>
    <w:rsid w:val="00D64784"/>
    <w:rsid w:val="00D6497D"/>
    <w:rsid w:val="00D64BB7"/>
    <w:rsid w:val="00D656DD"/>
    <w:rsid w:val="00D65FF6"/>
    <w:rsid w:val="00D6694B"/>
    <w:rsid w:val="00D66C91"/>
    <w:rsid w:val="00D66D37"/>
    <w:rsid w:val="00D67B69"/>
    <w:rsid w:val="00D70761"/>
    <w:rsid w:val="00D70A27"/>
    <w:rsid w:val="00D70BFD"/>
    <w:rsid w:val="00D714D8"/>
    <w:rsid w:val="00D719DB"/>
    <w:rsid w:val="00D71C04"/>
    <w:rsid w:val="00D71DB0"/>
    <w:rsid w:val="00D7254E"/>
    <w:rsid w:val="00D737C3"/>
    <w:rsid w:val="00D73A66"/>
    <w:rsid w:val="00D73F37"/>
    <w:rsid w:val="00D74188"/>
    <w:rsid w:val="00D7442D"/>
    <w:rsid w:val="00D74667"/>
    <w:rsid w:val="00D74CEC"/>
    <w:rsid w:val="00D750CC"/>
    <w:rsid w:val="00D75252"/>
    <w:rsid w:val="00D752C6"/>
    <w:rsid w:val="00D752FC"/>
    <w:rsid w:val="00D758A1"/>
    <w:rsid w:val="00D758DC"/>
    <w:rsid w:val="00D75BE4"/>
    <w:rsid w:val="00D75EE4"/>
    <w:rsid w:val="00D76164"/>
    <w:rsid w:val="00D7625C"/>
    <w:rsid w:val="00D7671D"/>
    <w:rsid w:val="00D767DD"/>
    <w:rsid w:val="00D769AA"/>
    <w:rsid w:val="00D76DE7"/>
    <w:rsid w:val="00D7731F"/>
    <w:rsid w:val="00D77594"/>
    <w:rsid w:val="00D778FE"/>
    <w:rsid w:val="00D779E7"/>
    <w:rsid w:val="00D779EC"/>
    <w:rsid w:val="00D77C89"/>
    <w:rsid w:val="00D77C8E"/>
    <w:rsid w:val="00D807E3"/>
    <w:rsid w:val="00D80ABB"/>
    <w:rsid w:val="00D81B17"/>
    <w:rsid w:val="00D81BDE"/>
    <w:rsid w:val="00D82236"/>
    <w:rsid w:val="00D82408"/>
    <w:rsid w:val="00D8252B"/>
    <w:rsid w:val="00D82561"/>
    <w:rsid w:val="00D825A5"/>
    <w:rsid w:val="00D8297A"/>
    <w:rsid w:val="00D82DE8"/>
    <w:rsid w:val="00D830CC"/>
    <w:rsid w:val="00D83466"/>
    <w:rsid w:val="00D84369"/>
    <w:rsid w:val="00D84672"/>
    <w:rsid w:val="00D84C8F"/>
    <w:rsid w:val="00D84CA6"/>
    <w:rsid w:val="00D85031"/>
    <w:rsid w:val="00D8513B"/>
    <w:rsid w:val="00D85166"/>
    <w:rsid w:val="00D85885"/>
    <w:rsid w:val="00D85FE8"/>
    <w:rsid w:val="00D861AC"/>
    <w:rsid w:val="00D86AFC"/>
    <w:rsid w:val="00D86EE5"/>
    <w:rsid w:val="00D87379"/>
    <w:rsid w:val="00D873AD"/>
    <w:rsid w:val="00D8747D"/>
    <w:rsid w:val="00D875BD"/>
    <w:rsid w:val="00D879CB"/>
    <w:rsid w:val="00D87A8E"/>
    <w:rsid w:val="00D90BEE"/>
    <w:rsid w:val="00D91476"/>
    <w:rsid w:val="00D91AAC"/>
    <w:rsid w:val="00D91C06"/>
    <w:rsid w:val="00D91C9F"/>
    <w:rsid w:val="00D92641"/>
    <w:rsid w:val="00D926C8"/>
    <w:rsid w:val="00D9346C"/>
    <w:rsid w:val="00D93FD1"/>
    <w:rsid w:val="00D9445D"/>
    <w:rsid w:val="00D94A30"/>
    <w:rsid w:val="00D94FB0"/>
    <w:rsid w:val="00D9505D"/>
    <w:rsid w:val="00D965FB"/>
    <w:rsid w:val="00D96B17"/>
    <w:rsid w:val="00D96CD1"/>
    <w:rsid w:val="00D97405"/>
    <w:rsid w:val="00D975EF"/>
    <w:rsid w:val="00D97C13"/>
    <w:rsid w:val="00D97C32"/>
    <w:rsid w:val="00DA0254"/>
    <w:rsid w:val="00DA03E6"/>
    <w:rsid w:val="00DA04AC"/>
    <w:rsid w:val="00DA072A"/>
    <w:rsid w:val="00DA08F5"/>
    <w:rsid w:val="00DA1153"/>
    <w:rsid w:val="00DA14D2"/>
    <w:rsid w:val="00DA1F2F"/>
    <w:rsid w:val="00DA2142"/>
    <w:rsid w:val="00DA220B"/>
    <w:rsid w:val="00DA2A7C"/>
    <w:rsid w:val="00DA2ADC"/>
    <w:rsid w:val="00DA2B6C"/>
    <w:rsid w:val="00DA2E1F"/>
    <w:rsid w:val="00DA334A"/>
    <w:rsid w:val="00DA342E"/>
    <w:rsid w:val="00DA39D3"/>
    <w:rsid w:val="00DA3B71"/>
    <w:rsid w:val="00DA3F01"/>
    <w:rsid w:val="00DA43C8"/>
    <w:rsid w:val="00DA4BE2"/>
    <w:rsid w:val="00DA5192"/>
    <w:rsid w:val="00DA5346"/>
    <w:rsid w:val="00DA558B"/>
    <w:rsid w:val="00DA5975"/>
    <w:rsid w:val="00DA5D1C"/>
    <w:rsid w:val="00DA6339"/>
    <w:rsid w:val="00DA69CC"/>
    <w:rsid w:val="00DA6A89"/>
    <w:rsid w:val="00DA7132"/>
    <w:rsid w:val="00DA71D4"/>
    <w:rsid w:val="00DA776B"/>
    <w:rsid w:val="00DA7AE9"/>
    <w:rsid w:val="00DB01E2"/>
    <w:rsid w:val="00DB01F3"/>
    <w:rsid w:val="00DB0764"/>
    <w:rsid w:val="00DB07B3"/>
    <w:rsid w:val="00DB16A3"/>
    <w:rsid w:val="00DB1B3A"/>
    <w:rsid w:val="00DB1FD0"/>
    <w:rsid w:val="00DB2378"/>
    <w:rsid w:val="00DB253D"/>
    <w:rsid w:val="00DB27A0"/>
    <w:rsid w:val="00DB312F"/>
    <w:rsid w:val="00DB32ED"/>
    <w:rsid w:val="00DB3506"/>
    <w:rsid w:val="00DB40AE"/>
    <w:rsid w:val="00DB41C1"/>
    <w:rsid w:val="00DB41E2"/>
    <w:rsid w:val="00DB4244"/>
    <w:rsid w:val="00DB43CB"/>
    <w:rsid w:val="00DB4B3C"/>
    <w:rsid w:val="00DB4FBF"/>
    <w:rsid w:val="00DB5525"/>
    <w:rsid w:val="00DB588F"/>
    <w:rsid w:val="00DB595D"/>
    <w:rsid w:val="00DB6259"/>
    <w:rsid w:val="00DB673E"/>
    <w:rsid w:val="00DB6F96"/>
    <w:rsid w:val="00DB7724"/>
    <w:rsid w:val="00DB78AD"/>
    <w:rsid w:val="00DB7A9A"/>
    <w:rsid w:val="00DC1479"/>
    <w:rsid w:val="00DC17C0"/>
    <w:rsid w:val="00DC1F12"/>
    <w:rsid w:val="00DC2001"/>
    <w:rsid w:val="00DC23AD"/>
    <w:rsid w:val="00DC3177"/>
    <w:rsid w:val="00DC3276"/>
    <w:rsid w:val="00DC36EB"/>
    <w:rsid w:val="00DC380F"/>
    <w:rsid w:val="00DC40E4"/>
    <w:rsid w:val="00DC4264"/>
    <w:rsid w:val="00DC4DE9"/>
    <w:rsid w:val="00DC5CCF"/>
    <w:rsid w:val="00DC6315"/>
    <w:rsid w:val="00DC7FFD"/>
    <w:rsid w:val="00DD0217"/>
    <w:rsid w:val="00DD0519"/>
    <w:rsid w:val="00DD076C"/>
    <w:rsid w:val="00DD07E0"/>
    <w:rsid w:val="00DD08F8"/>
    <w:rsid w:val="00DD0A5A"/>
    <w:rsid w:val="00DD0E7E"/>
    <w:rsid w:val="00DD13AB"/>
    <w:rsid w:val="00DD1446"/>
    <w:rsid w:val="00DD14B7"/>
    <w:rsid w:val="00DD17EB"/>
    <w:rsid w:val="00DD181F"/>
    <w:rsid w:val="00DD196B"/>
    <w:rsid w:val="00DD1D87"/>
    <w:rsid w:val="00DD2841"/>
    <w:rsid w:val="00DD2A2A"/>
    <w:rsid w:val="00DD323F"/>
    <w:rsid w:val="00DD37D8"/>
    <w:rsid w:val="00DD3AF1"/>
    <w:rsid w:val="00DD436F"/>
    <w:rsid w:val="00DD49E1"/>
    <w:rsid w:val="00DD4B9C"/>
    <w:rsid w:val="00DD4EB5"/>
    <w:rsid w:val="00DD5028"/>
    <w:rsid w:val="00DD56A2"/>
    <w:rsid w:val="00DD5902"/>
    <w:rsid w:val="00DD5C6D"/>
    <w:rsid w:val="00DD634D"/>
    <w:rsid w:val="00DD635C"/>
    <w:rsid w:val="00DD6595"/>
    <w:rsid w:val="00DD675D"/>
    <w:rsid w:val="00DD71FB"/>
    <w:rsid w:val="00DD73C2"/>
    <w:rsid w:val="00DD7585"/>
    <w:rsid w:val="00DD76A9"/>
    <w:rsid w:val="00DD7B8C"/>
    <w:rsid w:val="00DD7C3E"/>
    <w:rsid w:val="00DD7C6A"/>
    <w:rsid w:val="00DD7DE2"/>
    <w:rsid w:val="00DE01A4"/>
    <w:rsid w:val="00DE0250"/>
    <w:rsid w:val="00DE02E9"/>
    <w:rsid w:val="00DE0481"/>
    <w:rsid w:val="00DE06EA"/>
    <w:rsid w:val="00DE0DBE"/>
    <w:rsid w:val="00DE12E0"/>
    <w:rsid w:val="00DE17B4"/>
    <w:rsid w:val="00DE2082"/>
    <w:rsid w:val="00DE2443"/>
    <w:rsid w:val="00DE2D0A"/>
    <w:rsid w:val="00DE35EA"/>
    <w:rsid w:val="00DE384A"/>
    <w:rsid w:val="00DE3876"/>
    <w:rsid w:val="00DE3B7E"/>
    <w:rsid w:val="00DE3BC3"/>
    <w:rsid w:val="00DE3E40"/>
    <w:rsid w:val="00DE4597"/>
    <w:rsid w:val="00DE4621"/>
    <w:rsid w:val="00DE4640"/>
    <w:rsid w:val="00DE4A78"/>
    <w:rsid w:val="00DE4B23"/>
    <w:rsid w:val="00DE51DB"/>
    <w:rsid w:val="00DE549A"/>
    <w:rsid w:val="00DE5507"/>
    <w:rsid w:val="00DE5648"/>
    <w:rsid w:val="00DE5C56"/>
    <w:rsid w:val="00DE643F"/>
    <w:rsid w:val="00DE6AC3"/>
    <w:rsid w:val="00DE6FCC"/>
    <w:rsid w:val="00DE7243"/>
    <w:rsid w:val="00DE7EDC"/>
    <w:rsid w:val="00DF073A"/>
    <w:rsid w:val="00DF0AC7"/>
    <w:rsid w:val="00DF1052"/>
    <w:rsid w:val="00DF15EF"/>
    <w:rsid w:val="00DF1745"/>
    <w:rsid w:val="00DF1954"/>
    <w:rsid w:val="00DF1A66"/>
    <w:rsid w:val="00DF2002"/>
    <w:rsid w:val="00DF2384"/>
    <w:rsid w:val="00DF23A3"/>
    <w:rsid w:val="00DF2568"/>
    <w:rsid w:val="00DF2EE3"/>
    <w:rsid w:val="00DF380E"/>
    <w:rsid w:val="00DF3ADF"/>
    <w:rsid w:val="00DF41CC"/>
    <w:rsid w:val="00DF4D6E"/>
    <w:rsid w:val="00DF546F"/>
    <w:rsid w:val="00DF550B"/>
    <w:rsid w:val="00DF5C48"/>
    <w:rsid w:val="00DF5DCB"/>
    <w:rsid w:val="00DF5F95"/>
    <w:rsid w:val="00DF60EC"/>
    <w:rsid w:val="00DF6237"/>
    <w:rsid w:val="00DF64D5"/>
    <w:rsid w:val="00DF6753"/>
    <w:rsid w:val="00DF6840"/>
    <w:rsid w:val="00DF6EB4"/>
    <w:rsid w:val="00DF773C"/>
    <w:rsid w:val="00DF797A"/>
    <w:rsid w:val="00DF7AA5"/>
    <w:rsid w:val="00DF7DC1"/>
    <w:rsid w:val="00E0022A"/>
    <w:rsid w:val="00E0077A"/>
    <w:rsid w:val="00E0099B"/>
    <w:rsid w:val="00E010AB"/>
    <w:rsid w:val="00E015AD"/>
    <w:rsid w:val="00E017BC"/>
    <w:rsid w:val="00E01916"/>
    <w:rsid w:val="00E01B4A"/>
    <w:rsid w:val="00E01CA1"/>
    <w:rsid w:val="00E0233F"/>
    <w:rsid w:val="00E02678"/>
    <w:rsid w:val="00E02836"/>
    <w:rsid w:val="00E02881"/>
    <w:rsid w:val="00E0379C"/>
    <w:rsid w:val="00E03886"/>
    <w:rsid w:val="00E03DB6"/>
    <w:rsid w:val="00E043BE"/>
    <w:rsid w:val="00E047B7"/>
    <w:rsid w:val="00E04F12"/>
    <w:rsid w:val="00E050EC"/>
    <w:rsid w:val="00E05A4E"/>
    <w:rsid w:val="00E0611C"/>
    <w:rsid w:val="00E06198"/>
    <w:rsid w:val="00E06262"/>
    <w:rsid w:val="00E0641E"/>
    <w:rsid w:val="00E06CC8"/>
    <w:rsid w:val="00E07220"/>
    <w:rsid w:val="00E0748A"/>
    <w:rsid w:val="00E07829"/>
    <w:rsid w:val="00E079F2"/>
    <w:rsid w:val="00E07F1C"/>
    <w:rsid w:val="00E10057"/>
    <w:rsid w:val="00E105F3"/>
    <w:rsid w:val="00E10ABF"/>
    <w:rsid w:val="00E11C51"/>
    <w:rsid w:val="00E11CFA"/>
    <w:rsid w:val="00E12055"/>
    <w:rsid w:val="00E12232"/>
    <w:rsid w:val="00E1223E"/>
    <w:rsid w:val="00E122EC"/>
    <w:rsid w:val="00E124B7"/>
    <w:rsid w:val="00E128A9"/>
    <w:rsid w:val="00E128EF"/>
    <w:rsid w:val="00E12C2F"/>
    <w:rsid w:val="00E12D87"/>
    <w:rsid w:val="00E13071"/>
    <w:rsid w:val="00E1334A"/>
    <w:rsid w:val="00E1340E"/>
    <w:rsid w:val="00E1348D"/>
    <w:rsid w:val="00E13625"/>
    <w:rsid w:val="00E13669"/>
    <w:rsid w:val="00E13D14"/>
    <w:rsid w:val="00E14190"/>
    <w:rsid w:val="00E143DA"/>
    <w:rsid w:val="00E14640"/>
    <w:rsid w:val="00E1484B"/>
    <w:rsid w:val="00E14A40"/>
    <w:rsid w:val="00E14BA3"/>
    <w:rsid w:val="00E14F9C"/>
    <w:rsid w:val="00E1541F"/>
    <w:rsid w:val="00E154A4"/>
    <w:rsid w:val="00E15864"/>
    <w:rsid w:val="00E1597C"/>
    <w:rsid w:val="00E15B48"/>
    <w:rsid w:val="00E165B2"/>
    <w:rsid w:val="00E16744"/>
    <w:rsid w:val="00E16BF1"/>
    <w:rsid w:val="00E16D43"/>
    <w:rsid w:val="00E16E03"/>
    <w:rsid w:val="00E17106"/>
    <w:rsid w:val="00E174A7"/>
    <w:rsid w:val="00E17CC0"/>
    <w:rsid w:val="00E20428"/>
    <w:rsid w:val="00E20B9B"/>
    <w:rsid w:val="00E20BBF"/>
    <w:rsid w:val="00E20FC9"/>
    <w:rsid w:val="00E2122C"/>
    <w:rsid w:val="00E216C8"/>
    <w:rsid w:val="00E21DBA"/>
    <w:rsid w:val="00E2267F"/>
    <w:rsid w:val="00E22A50"/>
    <w:rsid w:val="00E22E9A"/>
    <w:rsid w:val="00E22F59"/>
    <w:rsid w:val="00E23081"/>
    <w:rsid w:val="00E230FE"/>
    <w:rsid w:val="00E2318F"/>
    <w:rsid w:val="00E239A6"/>
    <w:rsid w:val="00E23EA1"/>
    <w:rsid w:val="00E249F7"/>
    <w:rsid w:val="00E24A3D"/>
    <w:rsid w:val="00E24ACA"/>
    <w:rsid w:val="00E24CDE"/>
    <w:rsid w:val="00E24D3C"/>
    <w:rsid w:val="00E25831"/>
    <w:rsid w:val="00E25953"/>
    <w:rsid w:val="00E25B30"/>
    <w:rsid w:val="00E25D00"/>
    <w:rsid w:val="00E25E47"/>
    <w:rsid w:val="00E2602D"/>
    <w:rsid w:val="00E26377"/>
    <w:rsid w:val="00E2693C"/>
    <w:rsid w:val="00E26F0B"/>
    <w:rsid w:val="00E27E6F"/>
    <w:rsid w:val="00E27E9D"/>
    <w:rsid w:val="00E27EEB"/>
    <w:rsid w:val="00E27F5A"/>
    <w:rsid w:val="00E27F95"/>
    <w:rsid w:val="00E3038C"/>
    <w:rsid w:val="00E307D6"/>
    <w:rsid w:val="00E30C4E"/>
    <w:rsid w:val="00E30F2D"/>
    <w:rsid w:val="00E3130A"/>
    <w:rsid w:val="00E3143E"/>
    <w:rsid w:val="00E318DD"/>
    <w:rsid w:val="00E31F7A"/>
    <w:rsid w:val="00E3210E"/>
    <w:rsid w:val="00E329E4"/>
    <w:rsid w:val="00E32BEA"/>
    <w:rsid w:val="00E32F5B"/>
    <w:rsid w:val="00E33119"/>
    <w:rsid w:val="00E33132"/>
    <w:rsid w:val="00E331F3"/>
    <w:rsid w:val="00E33569"/>
    <w:rsid w:val="00E33E41"/>
    <w:rsid w:val="00E3439C"/>
    <w:rsid w:val="00E34A28"/>
    <w:rsid w:val="00E34C53"/>
    <w:rsid w:val="00E34EA2"/>
    <w:rsid w:val="00E34FF7"/>
    <w:rsid w:val="00E359A6"/>
    <w:rsid w:val="00E35CAB"/>
    <w:rsid w:val="00E362BD"/>
    <w:rsid w:val="00E3799F"/>
    <w:rsid w:val="00E37A4A"/>
    <w:rsid w:val="00E37B3A"/>
    <w:rsid w:val="00E37DA2"/>
    <w:rsid w:val="00E408AC"/>
    <w:rsid w:val="00E40F24"/>
    <w:rsid w:val="00E4121B"/>
    <w:rsid w:val="00E41855"/>
    <w:rsid w:val="00E41E53"/>
    <w:rsid w:val="00E41E71"/>
    <w:rsid w:val="00E41F64"/>
    <w:rsid w:val="00E42328"/>
    <w:rsid w:val="00E426D6"/>
    <w:rsid w:val="00E42909"/>
    <w:rsid w:val="00E42D14"/>
    <w:rsid w:val="00E42EB1"/>
    <w:rsid w:val="00E42FA4"/>
    <w:rsid w:val="00E43A45"/>
    <w:rsid w:val="00E43ACF"/>
    <w:rsid w:val="00E43AD2"/>
    <w:rsid w:val="00E43B5E"/>
    <w:rsid w:val="00E4471F"/>
    <w:rsid w:val="00E44784"/>
    <w:rsid w:val="00E44923"/>
    <w:rsid w:val="00E449C2"/>
    <w:rsid w:val="00E45553"/>
    <w:rsid w:val="00E456C3"/>
    <w:rsid w:val="00E45864"/>
    <w:rsid w:val="00E45873"/>
    <w:rsid w:val="00E459D5"/>
    <w:rsid w:val="00E45C3A"/>
    <w:rsid w:val="00E45F7A"/>
    <w:rsid w:val="00E4622C"/>
    <w:rsid w:val="00E4648F"/>
    <w:rsid w:val="00E465FE"/>
    <w:rsid w:val="00E46803"/>
    <w:rsid w:val="00E468BA"/>
    <w:rsid w:val="00E46920"/>
    <w:rsid w:val="00E4700F"/>
    <w:rsid w:val="00E4759C"/>
    <w:rsid w:val="00E47661"/>
    <w:rsid w:val="00E47B03"/>
    <w:rsid w:val="00E47F04"/>
    <w:rsid w:val="00E47F40"/>
    <w:rsid w:val="00E5041C"/>
    <w:rsid w:val="00E5073F"/>
    <w:rsid w:val="00E507E2"/>
    <w:rsid w:val="00E5092F"/>
    <w:rsid w:val="00E51080"/>
    <w:rsid w:val="00E5176F"/>
    <w:rsid w:val="00E51899"/>
    <w:rsid w:val="00E51F0C"/>
    <w:rsid w:val="00E51FFB"/>
    <w:rsid w:val="00E528E9"/>
    <w:rsid w:val="00E52BD8"/>
    <w:rsid w:val="00E52DD3"/>
    <w:rsid w:val="00E52DF1"/>
    <w:rsid w:val="00E52FF2"/>
    <w:rsid w:val="00E5303F"/>
    <w:rsid w:val="00E53261"/>
    <w:rsid w:val="00E5326A"/>
    <w:rsid w:val="00E53CC8"/>
    <w:rsid w:val="00E53FC6"/>
    <w:rsid w:val="00E540CF"/>
    <w:rsid w:val="00E543C2"/>
    <w:rsid w:val="00E54696"/>
    <w:rsid w:val="00E5471E"/>
    <w:rsid w:val="00E54837"/>
    <w:rsid w:val="00E558A4"/>
    <w:rsid w:val="00E55A37"/>
    <w:rsid w:val="00E55BDD"/>
    <w:rsid w:val="00E55DB7"/>
    <w:rsid w:val="00E560D4"/>
    <w:rsid w:val="00E56886"/>
    <w:rsid w:val="00E56C5B"/>
    <w:rsid w:val="00E56D32"/>
    <w:rsid w:val="00E57076"/>
    <w:rsid w:val="00E576D9"/>
    <w:rsid w:val="00E57AE9"/>
    <w:rsid w:val="00E57BB6"/>
    <w:rsid w:val="00E57CCF"/>
    <w:rsid w:val="00E57DBE"/>
    <w:rsid w:val="00E60042"/>
    <w:rsid w:val="00E60047"/>
    <w:rsid w:val="00E60C75"/>
    <w:rsid w:val="00E61558"/>
    <w:rsid w:val="00E61CB0"/>
    <w:rsid w:val="00E62BAA"/>
    <w:rsid w:val="00E62C4F"/>
    <w:rsid w:val="00E62CC3"/>
    <w:rsid w:val="00E63024"/>
    <w:rsid w:val="00E6329C"/>
    <w:rsid w:val="00E632DF"/>
    <w:rsid w:val="00E634EA"/>
    <w:rsid w:val="00E63ECA"/>
    <w:rsid w:val="00E64063"/>
    <w:rsid w:val="00E6466B"/>
    <w:rsid w:val="00E649F0"/>
    <w:rsid w:val="00E64CD0"/>
    <w:rsid w:val="00E64E07"/>
    <w:rsid w:val="00E65309"/>
    <w:rsid w:val="00E65404"/>
    <w:rsid w:val="00E659CA"/>
    <w:rsid w:val="00E65C76"/>
    <w:rsid w:val="00E65EA1"/>
    <w:rsid w:val="00E6600D"/>
    <w:rsid w:val="00E6605D"/>
    <w:rsid w:val="00E6611F"/>
    <w:rsid w:val="00E663E5"/>
    <w:rsid w:val="00E66423"/>
    <w:rsid w:val="00E66517"/>
    <w:rsid w:val="00E669D7"/>
    <w:rsid w:val="00E66B85"/>
    <w:rsid w:val="00E66D94"/>
    <w:rsid w:val="00E673D7"/>
    <w:rsid w:val="00E67530"/>
    <w:rsid w:val="00E6776D"/>
    <w:rsid w:val="00E67A87"/>
    <w:rsid w:val="00E70412"/>
    <w:rsid w:val="00E7076B"/>
    <w:rsid w:val="00E70994"/>
    <w:rsid w:val="00E7123E"/>
    <w:rsid w:val="00E716FA"/>
    <w:rsid w:val="00E71AA4"/>
    <w:rsid w:val="00E720EC"/>
    <w:rsid w:val="00E72105"/>
    <w:rsid w:val="00E7227F"/>
    <w:rsid w:val="00E723FE"/>
    <w:rsid w:val="00E72483"/>
    <w:rsid w:val="00E7263C"/>
    <w:rsid w:val="00E7297F"/>
    <w:rsid w:val="00E72DFE"/>
    <w:rsid w:val="00E72EC1"/>
    <w:rsid w:val="00E72FA0"/>
    <w:rsid w:val="00E730C7"/>
    <w:rsid w:val="00E737ED"/>
    <w:rsid w:val="00E73EA9"/>
    <w:rsid w:val="00E740A8"/>
    <w:rsid w:val="00E74C69"/>
    <w:rsid w:val="00E75B12"/>
    <w:rsid w:val="00E75BE5"/>
    <w:rsid w:val="00E75C2F"/>
    <w:rsid w:val="00E761E2"/>
    <w:rsid w:val="00E76EEE"/>
    <w:rsid w:val="00E7763B"/>
    <w:rsid w:val="00E802DE"/>
    <w:rsid w:val="00E811E8"/>
    <w:rsid w:val="00E815CF"/>
    <w:rsid w:val="00E81919"/>
    <w:rsid w:val="00E82146"/>
    <w:rsid w:val="00E82295"/>
    <w:rsid w:val="00E82B8F"/>
    <w:rsid w:val="00E831E4"/>
    <w:rsid w:val="00E83375"/>
    <w:rsid w:val="00E8341B"/>
    <w:rsid w:val="00E83657"/>
    <w:rsid w:val="00E83ABF"/>
    <w:rsid w:val="00E83D07"/>
    <w:rsid w:val="00E83E36"/>
    <w:rsid w:val="00E84E0D"/>
    <w:rsid w:val="00E84FBF"/>
    <w:rsid w:val="00E85719"/>
    <w:rsid w:val="00E85949"/>
    <w:rsid w:val="00E85EF5"/>
    <w:rsid w:val="00E86192"/>
    <w:rsid w:val="00E8757C"/>
    <w:rsid w:val="00E90152"/>
    <w:rsid w:val="00E904E3"/>
    <w:rsid w:val="00E911E3"/>
    <w:rsid w:val="00E91443"/>
    <w:rsid w:val="00E9168B"/>
    <w:rsid w:val="00E91A28"/>
    <w:rsid w:val="00E91E5A"/>
    <w:rsid w:val="00E91F67"/>
    <w:rsid w:val="00E9231B"/>
    <w:rsid w:val="00E923A0"/>
    <w:rsid w:val="00E9265B"/>
    <w:rsid w:val="00E929AA"/>
    <w:rsid w:val="00E92B1F"/>
    <w:rsid w:val="00E92B3B"/>
    <w:rsid w:val="00E92C14"/>
    <w:rsid w:val="00E93413"/>
    <w:rsid w:val="00E93595"/>
    <w:rsid w:val="00E9371F"/>
    <w:rsid w:val="00E93CDE"/>
    <w:rsid w:val="00E93FAB"/>
    <w:rsid w:val="00E93FCA"/>
    <w:rsid w:val="00E94169"/>
    <w:rsid w:val="00E9440C"/>
    <w:rsid w:val="00E9465D"/>
    <w:rsid w:val="00E94962"/>
    <w:rsid w:val="00E94DED"/>
    <w:rsid w:val="00E95253"/>
    <w:rsid w:val="00E95569"/>
    <w:rsid w:val="00E957D6"/>
    <w:rsid w:val="00E95DC3"/>
    <w:rsid w:val="00E96117"/>
    <w:rsid w:val="00E9621D"/>
    <w:rsid w:val="00E9697C"/>
    <w:rsid w:val="00E97234"/>
    <w:rsid w:val="00E972C9"/>
    <w:rsid w:val="00E97482"/>
    <w:rsid w:val="00E978F3"/>
    <w:rsid w:val="00E97F8B"/>
    <w:rsid w:val="00EA0596"/>
    <w:rsid w:val="00EA05BA"/>
    <w:rsid w:val="00EA09ED"/>
    <w:rsid w:val="00EA0B35"/>
    <w:rsid w:val="00EA0F86"/>
    <w:rsid w:val="00EA1474"/>
    <w:rsid w:val="00EA1476"/>
    <w:rsid w:val="00EA1582"/>
    <w:rsid w:val="00EA1CB1"/>
    <w:rsid w:val="00EA1CE5"/>
    <w:rsid w:val="00EA2475"/>
    <w:rsid w:val="00EA247D"/>
    <w:rsid w:val="00EA25DC"/>
    <w:rsid w:val="00EA26E8"/>
    <w:rsid w:val="00EA294A"/>
    <w:rsid w:val="00EA2B24"/>
    <w:rsid w:val="00EA2C6C"/>
    <w:rsid w:val="00EA31BA"/>
    <w:rsid w:val="00EA3616"/>
    <w:rsid w:val="00EA36F0"/>
    <w:rsid w:val="00EA3921"/>
    <w:rsid w:val="00EA3A0B"/>
    <w:rsid w:val="00EA3B84"/>
    <w:rsid w:val="00EA40AC"/>
    <w:rsid w:val="00EA4D16"/>
    <w:rsid w:val="00EA577F"/>
    <w:rsid w:val="00EA5940"/>
    <w:rsid w:val="00EA5C75"/>
    <w:rsid w:val="00EA611C"/>
    <w:rsid w:val="00EA6125"/>
    <w:rsid w:val="00EA6941"/>
    <w:rsid w:val="00EA70AA"/>
    <w:rsid w:val="00EA7F1E"/>
    <w:rsid w:val="00EB0A1D"/>
    <w:rsid w:val="00EB13B2"/>
    <w:rsid w:val="00EB15D6"/>
    <w:rsid w:val="00EB2454"/>
    <w:rsid w:val="00EB2A29"/>
    <w:rsid w:val="00EB2AD4"/>
    <w:rsid w:val="00EB2C2E"/>
    <w:rsid w:val="00EB38CE"/>
    <w:rsid w:val="00EB3962"/>
    <w:rsid w:val="00EB3AB1"/>
    <w:rsid w:val="00EB3ADC"/>
    <w:rsid w:val="00EB3F2B"/>
    <w:rsid w:val="00EB459C"/>
    <w:rsid w:val="00EB5751"/>
    <w:rsid w:val="00EB5C79"/>
    <w:rsid w:val="00EB5F4E"/>
    <w:rsid w:val="00EB66B1"/>
    <w:rsid w:val="00EB6E35"/>
    <w:rsid w:val="00EB707A"/>
    <w:rsid w:val="00EB7B5A"/>
    <w:rsid w:val="00EC0354"/>
    <w:rsid w:val="00EC0435"/>
    <w:rsid w:val="00EC1043"/>
    <w:rsid w:val="00EC12A8"/>
    <w:rsid w:val="00EC172D"/>
    <w:rsid w:val="00EC18FD"/>
    <w:rsid w:val="00EC206D"/>
    <w:rsid w:val="00EC24BA"/>
    <w:rsid w:val="00EC2907"/>
    <w:rsid w:val="00EC2EA7"/>
    <w:rsid w:val="00EC2F0F"/>
    <w:rsid w:val="00EC3393"/>
    <w:rsid w:val="00EC3C1C"/>
    <w:rsid w:val="00EC3DAA"/>
    <w:rsid w:val="00EC3F7F"/>
    <w:rsid w:val="00EC44F8"/>
    <w:rsid w:val="00EC4518"/>
    <w:rsid w:val="00EC4D2A"/>
    <w:rsid w:val="00EC52F7"/>
    <w:rsid w:val="00EC5980"/>
    <w:rsid w:val="00EC5E53"/>
    <w:rsid w:val="00EC5F7E"/>
    <w:rsid w:val="00EC645B"/>
    <w:rsid w:val="00EC645C"/>
    <w:rsid w:val="00EC7180"/>
    <w:rsid w:val="00EC7581"/>
    <w:rsid w:val="00ED087D"/>
    <w:rsid w:val="00ED0B00"/>
    <w:rsid w:val="00ED0B26"/>
    <w:rsid w:val="00ED0C84"/>
    <w:rsid w:val="00ED10C4"/>
    <w:rsid w:val="00ED18FC"/>
    <w:rsid w:val="00ED209D"/>
    <w:rsid w:val="00ED2C4F"/>
    <w:rsid w:val="00ED32F4"/>
    <w:rsid w:val="00ED3470"/>
    <w:rsid w:val="00ED3665"/>
    <w:rsid w:val="00ED3DDE"/>
    <w:rsid w:val="00ED40CD"/>
    <w:rsid w:val="00ED411E"/>
    <w:rsid w:val="00ED418D"/>
    <w:rsid w:val="00ED46C4"/>
    <w:rsid w:val="00ED488F"/>
    <w:rsid w:val="00ED4D49"/>
    <w:rsid w:val="00ED4E91"/>
    <w:rsid w:val="00ED5073"/>
    <w:rsid w:val="00ED5855"/>
    <w:rsid w:val="00ED5D35"/>
    <w:rsid w:val="00ED5F88"/>
    <w:rsid w:val="00ED664B"/>
    <w:rsid w:val="00ED6D49"/>
    <w:rsid w:val="00ED6F0A"/>
    <w:rsid w:val="00ED7359"/>
    <w:rsid w:val="00ED74F7"/>
    <w:rsid w:val="00ED7C2E"/>
    <w:rsid w:val="00ED7C70"/>
    <w:rsid w:val="00ED7CFD"/>
    <w:rsid w:val="00EE140F"/>
    <w:rsid w:val="00EE1DC9"/>
    <w:rsid w:val="00EE202B"/>
    <w:rsid w:val="00EE2B9D"/>
    <w:rsid w:val="00EE3451"/>
    <w:rsid w:val="00EE36C5"/>
    <w:rsid w:val="00EE378F"/>
    <w:rsid w:val="00EE397A"/>
    <w:rsid w:val="00EE3DF2"/>
    <w:rsid w:val="00EE4394"/>
    <w:rsid w:val="00EE4585"/>
    <w:rsid w:val="00EE48ED"/>
    <w:rsid w:val="00EE4B04"/>
    <w:rsid w:val="00EE4C8C"/>
    <w:rsid w:val="00EE4F6C"/>
    <w:rsid w:val="00EE5037"/>
    <w:rsid w:val="00EE5111"/>
    <w:rsid w:val="00EE5913"/>
    <w:rsid w:val="00EE5F9E"/>
    <w:rsid w:val="00EE60C0"/>
    <w:rsid w:val="00EE6248"/>
    <w:rsid w:val="00EE6773"/>
    <w:rsid w:val="00EE68B9"/>
    <w:rsid w:val="00EE6DF3"/>
    <w:rsid w:val="00EE726A"/>
    <w:rsid w:val="00EE74B7"/>
    <w:rsid w:val="00EE769B"/>
    <w:rsid w:val="00EE76C5"/>
    <w:rsid w:val="00EE7AAB"/>
    <w:rsid w:val="00EF0088"/>
    <w:rsid w:val="00EF0489"/>
    <w:rsid w:val="00EF0622"/>
    <w:rsid w:val="00EF14A3"/>
    <w:rsid w:val="00EF157F"/>
    <w:rsid w:val="00EF1631"/>
    <w:rsid w:val="00EF183E"/>
    <w:rsid w:val="00EF18FA"/>
    <w:rsid w:val="00EF1AF1"/>
    <w:rsid w:val="00EF2730"/>
    <w:rsid w:val="00EF28D7"/>
    <w:rsid w:val="00EF36BC"/>
    <w:rsid w:val="00EF370D"/>
    <w:rsid w:val="00EF4649"/>
    <w:rsid w:val="00EF4769"/>
    <w:rsid w:val="00EF52E4"/>
    <w:rsid w:val="00EF5430"/>
    <w:rsid w:val="00EF5550"/>
    <w:rsid w:val="00EF561C"/>
    <w:rsid w:val="00EF5E1E"/>
    <w:rsid w:val="00EF5F28"/>
    <w:rsid w:val="00EF6193"/>
    <w:rsid w:val="00EF63DB"/>
    <w:rsid w:val="00EF6A66"/>
    <w:rsid w:val="00EF6CF0"/>
    <w:rsid w:val="00EF718B"/>
    <w:rsid w:val="00EF7803"/>
    <w:rsid w:val="00EF7AFE"/>
    <w:rsid w:val="00F00771"/>
    <w:rsid w:val="00F01466"/>
    <w:rsid w:val="00F019CF"/>
    <w:rsid w:val="00F01C2F"/>
    <w:rsid w:val="00F01D63"/>
    <w:rsid w:val="00F02056"/>
    <w:rsid w:val="00F025A5"/>
    <w:rsid w:val="00F02AB7"/>
    <w:rsid w:val="00F02B16"/>
    <w:rsid w:val="00F02C9B"/>
    <w:rsid w:val="00F03786"/>
    <w:rsid w:val="00F03AB8"/>
    <w:rsid w:val="00F042F0"/>
    <w:rsid w:val="00F05C9A"/>
    <w:rsid w:val="00F05D09"/>
    <w:rsid w:val="00F05E35"/>
    <w:rsid w:val="00F05E37"/>
    <w:rsid w:val="00F06ADB"/>
    <w:rsid w:val="00F07897"/>
    <w:rsid w:val="00F07A13"/>
    <w:rsid w:val="00F07E5A"/>
    <w:rsid w:val="00F07EF7"/>
    <w:rsid w:val="00F07F58"/>
    <w:rsid w:val="00F07FD0"/>
    <w:rsid w:val="00F100CC"/>
    <w:rsid w:val="00F102F0"/>
    <w:rsid w:val="00F112AC"/>
    <w:rsid w:val="00F113EB"/>
    <w:rsid w:val="00F11610"/>
    <w:rsid w:val="00F11EE7"/>
    <w:rsid w:val="00F1237A"/>
    <w:rsid w:val="00F12683"/>
    <w:rsid w:val="00F12746"/>
    <w:rsid w:val="00F127ED"/>
    <w:rsid w:val="00F12A2E"/>
    <w:rsid w:val="00F130AD"/>
    <w:rsid w:val="00F13C32"/>
    <w:rsid w:val="00F13DEB"/>
    <w:rsid w:val="00F13EE2"/>
    <w:rsid w:val="00F142F1"/>
    <w:rsid w:val="00F1469E"/>
    <w:rsid w:val="00F146BF"/>
    <w:rsid w:val="00F147E8"/>
    <w:rsid w:val="00F14D72"/>
    <w:rsid w:val="00F14FEA"/>
    <w:rsid w:val="00F15092"/>
    <w:rsid w:val="00F15449"/>
    <w:rsid w:val="00F162F9"/>
    <w:rsid w:val="00F1672D"/>
    <w:rsid w:val="00F16F16"/>
    <w:rsid w:val="00F17858"/>
    <w:rsid w:val="00F17959"/>
    <w:rsid w:val="00F17B78"/>
    <w:rsid w:val="00F17CAB"/>
    <w:rsid w:val="00F2002D"/>
    <w:rsid w:val="00F20730"/>
    <w:rsid w:val="00F20816"/>
    <w:rsid w:val="00F208DB"/>
    <w:rsid w:val="00F20A32"/>
    <w:rsid w:val="00F20BB7"/>
    <w:rsid w:val="00F21087"/>
    <w:rsid w:val="00F2116C"/>
    <w:rsid w:val="00F216C0"/>
    <w:rsid w:val="00F217A6"/>
    <w:rsid w:val="00F21885"/>
    <w:rsid w:val="00F22093"/>
    <w:rsid w:val="00F226A0"/>
    <w:rsid w:val="00F227E8"/>
    <w:rsid w:val="00F23795"/>
    <w:rsid w:val="00F24125"/>
    <w:rsid w:val="00F24647"/>
    <w:rsid w:val="00F24863"/>
    <w:rsid w:val="00F249F4"/>
    <w:rsid w:val="00F24FF0"/>
    <w:rsid w:val="00F25C14"/>
    <w:rsid w:val="00F25E42"/>
    <w:rsid w:val="00F26374"/>
    <w:rsid w:val="00F26419"/>
    <w:rsid w:val="00F26527"/>
    <w:rsid w:val="00F26683"/>
    <w:rsid w:val="00F26A9F"/>
    <w:rsid w:val="00F2733F"/>
    <w:rsid w:val="00F27905"/>
    <w:rsid w:val="00F27B9A"/>
    <w:rsid w:val="00F27C0B"/>
    <w:rsid w:val="00F27D72"/>
    <w:rsid w:val="00F30362"/>
    <w:rsid w:val="00F306CA"/>
    <w:rsid w:val="00F30714"/>
    <w:rsid w:val="00F30DE4"/>
    <w:rsid w:val="00F311A9"/>
    <w:rsid w:val="00F312AB"/>
    <w:rsid w:val="00F3137F"/>
    <w:rsid w:val="00F31CE2"/>
    <w:rsid w:val="00F326AE"/>
    <w:rsid w:val="00F32787"/>
    <w:rsid w:val="00F32C6D"/>
    <w:rsid w:val="00F3316F"/>
    <w:rsid w:val="00F331B5"/>
    <w:rsid w:val="00F33A7A"/>
    <w:rsid w:val="00F33CB4"/>
    <w:rsid w:val="00F3402F"/>
    <w:rsid w:val="00F34186"/>
    <w:rsid w:val="00F3435D"/>
    <w:rsid w:val="00F346E2"/>
    <w:rsid w:val="00F3474E"/>
    <w:rsid w:val="00F34AF9"/>
    <w:rsid w:val="00F35052"/>
    <w:rsid w:val="00F3507F"/>
    <w:rsid w:val="00F350E4"/>
    <w:rsid w:val="00F353B0"/>
    <w:rsid w:val="00F357F7"/>
    <w:rsid w:val="00F36DF2"/>
    <w:rsid w:val="00F36E18"/>
    <w:rsid w:val="00F3708F"/>
    <w:rsid w:val="00F372E2"/>
    <w:rsid w:val="00F3734F"/>
    <w:rsid w:val="00F378E4"/>
    <w:rsid w:val="00F40664"/>
    <w:rsid w:val="00F40C56"/>
    <w:rsid w:val="00F40E0F"/>
    <w:rsid w:val="00F4110A"/>
    <w:rsid w:val="00F41E62"/>
    <w:rsid w:val="00F41F2D"/>
    <w:rsid w:val="00F42049"/>
    <w:rsid w:val="00F4230F"/>
    <w:rsid w:val="00F427CF"/>
    <w:rsid w:val="00F42A49"/>
    <w:rsid w:val="00F43161"/>
    <w:rsid w:val="00F434CA"/>
    <w:rsid w:val="00F43E4E"/>
    <w:rsid w:val="00F44272"/>
    <w:rsid w:val="00F44586"/>
    <w:rsid w:val="00F4476D"/>
    <w:rsid w:val="00F449FB"/>
    <w:rsid w:val="00F44A05"/>
    <w:rsid w:val="00F4515A"/>
    <w:rsid w:val="00F452D7"/>
    <w:rsid w:val="00F45725"/>
    <w:rsid w:val="00F45B84"/>
    <w:rsid w:val="00F45D07"/>
    <w:rsid w:val="00F46840"/>
    <w:rsid w:val="00F469F0"/>
    <w:rsid w:val="00F46D39"/>
    <w:rsid w:val="00F46E5B"/>
    <w:rsid w:val="00F4700E"/>
    <w:rsid w:val="00F47736"/>
    <w:rsid w:val="00F47B58"/>
    <w:rsid w:val="00F47BED"/>
    <w:rsid w:val="00F5018B"/>
    <w:rsid w:val="00F50E70"/>
    <w:rsid w:val="00F50F30"/>
    <w:rsid w:val="00F51157"/>
    <w:rsid w:val="00F517C2"/>
    <w:rsid w:val="00F518F1"/>
    <w:rsid w:val="00F519FA"/>
    <w:rsid w:val="00F52566"/>
    <w:rsid w:val="00F5268E"/>
    <w:rsid w:val="00F52737"/>
    <w:rsid w:val="00F52A9B"/>
    <w:rsid w:val="00F52B83"/>
    <w:rsid w:val="00F52DC2"/>
    <w:rsid w:val="00F53521"/>
    <w:rsid w:val="00F53991"/>
    <w:rsid w:val="00F53A30"/>
    <w:rsid w:val="00F53D91"/>
    <w:rsid w:val="00F53E88"/>
    <w:rsid w:val="00F54231"/>
    <w:rsid w:val="00F54AEF"/>
    <w:rsid w:val="00F54B5C"/>
    <w:rsid w:val="00F54DD7"/>
    <w:rsid w:val="00F55548"/>
    <w:rsid w:val="00F55735"/>
    <w:rsid w:val="00F55C4D"/>
    <w:rsid w:val="00F5685A"/>
    <w:rsid w:val="00F56BC2"/>
    <w:rsid w:val="00F56C2A"/>
    <w:rsid w:val="00F56DE2"/>
    <w:rsid w:val="00F57059"/>
    <w:rsid w:val="00F570CD"/>
    <w:rsid w:val="00F570E3"/>
    <w:rsid w:val="00F5713F"/>
    <w:rsid w:val="00F579D0"/>
    <w:rsid w:val="00F57A0B"/>
    <w:rsid w:val="00F57A58"/>
    <w:rsid w:val="00F60191"/>
    <w:rsid w:val="00F60A82"/>
    <w:rsid w:val="00F60CD9"/>
    <w:rsid w:val="00F60F13"/>
    <w:rsid w:val="00F6126A"/>
    <w:rsid w:val="00F616DF"/>
    <w:rsid w:val="00F61722"/>
    <w:rsid w:val="00F617C6"/>
    <w:rsid w:val="00F61841"/>
    <w:rsid w:val="00F618F1"/>
    <w:rsid w:val="00F61BA6"/>
    <w:rsid w:val="00F61C2E"/>
    <w:rsid w:val="00F61EC9"/>
    <w:rsid w:val="00F6208E"/>
    <w:rsid w:val="00F621E8"/>
    <w:rsid w:val="00F62973"/>
    <w:rsid w:val="00F629D5"/>
    <w:rsid w:val="00F62E14"/>
    <w:rsid w:val="00F6324D"/>
    <w:rsid w:val="00F63520"/>
    <w:rsid w:val="00F6357C"/>
    <w:rsid w:val="00F63607"/>
    <w:rsid w:val="00F63B29"/>
    <w:rsid w:val="00F63E33"/>
    <w:rsid w:val="00F6403A"/>
    <w:rsid w:val="00F64442"/>
    <w:rsid w:val="00F650D1"/>
    <w:rsid w:val="00F653B9"/>
    <w:rsid w:val="00F65474"/>
    <w:rsid w:val="00F65FCF"/>
    <w:rsid w:val="00F66337"/>
    <w:rsid w:val="00F66A33"/>
    <w:rsid w:val="00F66D8B"/>
    <w:rsid w:val="00F66F7C"/>
    <w:rsid w:val="00F66FA2"/>
    <w:rsid w:val="00F67005"/>
    <w:rsid w:val="00F671A7"/>
    <w:rsid w:val="00F67290"/>
    <w:rsid w:val="00F674D6"/>
    <w:rsid w:val="00F67569"/>
    <w:rsid w:val="00F67587"/>
    <w:rsid w:val="00F702ED"/>
    <w:rsid w:val="00F70662"/>
    <w:rsid w:val="00F70BA5"/>
    <w:rsid w:val="00F70BC3"/>
    <w:rsid w:val="00F70BEB"/>
    <w:rsid w:val="00F7168D"/>
    <w:rsid w:val="00F71818"/>
    <w:rsid w:val="00F7226D"/>
    <w:rsid w:val="00F7244A"/>
    <w:rsid w:val="00F72E74"/>
    <w:rsid w:val="00F73842"/>
    <w:rsid w:val="00F73B39"/>
    <w:rsid w:val="00F740D3"/>
    <w:rsid w:val="00F74234"/>
    <w:rsid w:val="00F74268"/>
    <w:rsid w:val="00F7495F"/>
    <w:rsid w:val="00F74981"/>
    <w:rsid w:val="00F75C04"/>
    <w:rsid w:val="00F76653"/>
    <w:rsid w:val="00F7684B"/>
    <w:rsid w:val="00F76879"/>
    <w:rsid w:val="00F76CBE"/>
    <w:rsid w:val="00F77D8F"/>
    <w:rsid w:val="00F804ED"/>
    <w:rsid w:val="00F806BA"/>
    <w:rsid w:val="00F813EA"/>
    <w:rsid w:val="00F81598"/>
    <w:rsid w:val="00F815D3"/>
    <w:rsid w:val="00F81A90"/>
    <w:rsid w:val="00F81CC5"/>
    <w:rsid w:val="00F81F50"/>
    <w:rsid w:val="00F82188"/>
    <w:rsid w:val="00F8231A"/>
    <w:rsid w:val="00F825E9"/>
    <w:rsid w:val="00F837BA"/>
    <w:rsid w:val="00F83B3F"/>
    <w:rsid w:val="00F849DA"/>
    <w:rsid w:val="00F84B8B"/>
    <w:rsid w:val="00F84EA9"/>
    <w:rsid w:val="00F84FBF"/>
    <w:rsid w:val="00F850E8"/>
    <w:rsid w:val="00F851FB"/>
    <w:rsid w:val="00F8562D"/>
    <w:rsid w:val="00F85C32"/>
    <w:rsid w:val="00F85DE2"/>
    <w:rsid w:val="00F85E3D"/>
    <w:rsid w:val="00F85EF1"/>
    <w:rsid w:val="00F861CE"/>
    <w:rsid w:val="00F86675"/>
    <w:rsid w:val="00F8680D"/>
    <w:rsid w:val="00F8787C"/>
    <w:rsid w:val="00F87B7C"/>
    <w:rsid w:val="00F90496"/>
    <w:rsid w:val="00F905B6"/>
    <w:rsid w:val="00F90692"/>
    <w:rsid w:val="00F90AC4"/>
    <w:rsid w:val="00F90CB3"/>
    <w:rsid w:val="00F90E23"/>
    <w:rsid w:val="00F9125D"/>
    <w:rsid w:val="00F916C1"/>
    <w:rsid w:val="00F91AFB"/>
    <w:rsid w:val="00F9266D"/>
    <w:rsid w:val="00F928A8"/>
    <w:rsid w:val="00F92919"/>
    <w:rsid w:val="00F936CF"/>
    <w:rsid w:val="00F93F30"/>
    <w:rsid w:val="00F94143"/>
    <w:rsid w:val="00F94355"/>
    <w:rsid w:val="00F9483E"/>
    <w:rsid w:val="00F94894"/>
    <w:rsid w:val="00F94EDA"/>
    <w:rsid w:val="00F9555E"/>
    <w:rsid w:val="00F95772"/>
    <w:rsid w:val="00F95990"/>
    <w:rsid w:val="00F95BEA"/>
    <w:rsid w:val="00F95F03"/>
    <w:rsid w:val="00F961A1"/>
    <w:rsid w:val="00F96292"/>
    <w:rsid w:val="00F96303"/>
    <w:rsid w:val="00F96A7F"/>
    <w:rsid w:val="00F96B12"/>
    <w:rsid w:val="00F97B79"/>
    <w:rsid w:val="00F97C2F"/>
    <w:rsid w:val="00F97CFE"/>
    <w:rsid w:val="00FA0807"/>
    <w:rsid w:val="00FA0846"/>
    <w:rsid w:val="00FA089F"/>
    <w:rsid w:val="00FA14BF"/>
    <w:rsid w:val="00FA1919"/>
    <w:rsid w:val="00FA21D6"/>
    <w:rsid w:val="00FA2354"/>
    <w:rsid w:val="00FA27ED"/>
    <w:rsid w:val="00FA28D6"/>
    <w:rsid w:val="00FA2A03"/>
    <w:rsid w:val="00FA2DA9"/>
    <w:rsid w:val="00FA351C"/>
    <w:rsid w:val="00FA3D4B"/>
    <w:rsid w:val="00FA3DA9"/>
    <w:rsid w:val="00FA425A"/>
    <w:rsid w:val="00FA4631"/>
    <w:rsid w:val="00FA4B46"/>
    <w:rsid w:val="00FA4C01"/>
    <w:rsid w:val="00FA4C7A"/>
    <w:rsid w:val="00FA5621"/>
    <w:rsid w:val="00FA5699"/>
    <w:rsid w:val="00FA579B"/>
    <w:rsid w:val="00FA582B"/>
    <w:rsid w:val="00FA5ADC"/>
    <w:rsid w:val="00FA5E5C"/>
    <w:rsid w:val="00FA671C"/>
    <w:rsid w:val="00FA6A57"/>
    <w:rsid w:val="00FA72B2"/>
    <w:rsid w:val="00FA79C0"/>
    <w:rsid w:val="00FB0A0B"/>
    <w:rsid w:val="00FB0BD0"/>
    <w:rsid w:val="00FB0CD4"/>
    <w:rsid w:val="00FB0DE2"/>
    <w:rsid w:val="00FB0E97"/>
    <w:rsid w:val="00FB1216"/>
    <w:rsid w:val="00FB1253"/>
    <w:rsid w:val="00FB1380"/>
    <w:rsid w:val="00FB1C08"/>
    <w:rsid w:val="00FB2079"/>
    <w:rsid w:val="00FB2AFB"/>
    <w:rsid w:val="00FB2B26"/>
    <w:rsid w:val="00FB2CA2"/>
    <w:rsid w:val="00FB2D45"/>
    <w:rsid w:val="00FB35B5"/>
    <w:rsid w:val="00FB39B5"/>
    <w:rsid w:val="00FB401D"/>
    <w:rsid w:val="00FB4287"/>
    <w:rsid w:val="00FB4289"/>
    <w:rsid w:val="00FB4301"/>
    <w:rsid w:val="00FB447B"/>
    <w:rsid w:val="00FB4CBE"/>
    <w:rsid w:val="00FB4DEE"/>
    <w:rsid w:val="00FB5140"/>
    <w:rsid w:val="00FB5A18"/>
    <w:rsid w:val="00FB5A84"/>
    <w:rsid w:val="00FB6192"/>
    <w:rsid w:val="00FB6572"/>
    <w:rsid w:val="00FB6FC6"/>
    <w:rsid w:val="00FB71FC"/>
    <w:rsid w:val="00FB7259"/>
    <w:rsid w:val="00FB7A47"/>
    <w:rsid w:val="00FB7D67"/>
    <w:rsid w:val="00FC0029"/>
    <w:rsid w:val="00FC013A"/>
    <w:rsid w:val="00FC0149"/>
    <w:rsid w:val="00FC0522"/>
    <w:rsid w:val="00FC05AA"/>
    <w:rsid w:val="00FC0DD5"/>
    <w:rsid w:val="00FC1025"/>
    <w:rsid w:val="00FC1824"/>
    <w:rsid w:val="00FC1BB7"/>
    <w:rsid w:val="00FC20EC"/>
    <w:rsid w:val="00FC2356"/>
    <w:rsid w:val="00FC2942"/>
    <w:rsid w:val="00FC2985"/>
    <w:rsid w:val="00FC2BC6"/>
    <w:rsid w:val="00FC30CD"/>
    <w:rsid w:val="00FC34BE"/>
    <w:rsid w:val="00FC36CE"/>
    <w:rsid w:val="00FC437D"/>
    <w:rsid w:val="00FC4BB3"/>
    <w:rsid w:val="00FC4E81"/>
    <w:rsid w:val="00FC4EF9"/>
    <w:rsid w:val="00FC5313"/>
    <w:rsid w:val="00FC5699"/>
    <w:rsid w:val="00FC59AE"/>
    <w:rsid w:val="00FC5C84"/>
    <w:rsid w:val="00FC5F59"/>
    <w:rsid w:val="00FC62C8"/>
    <w:rsid w:val="00FC655A"/>
    <w:rsid w:val="00FC6B74"/>
    <w:rsid w:val="00FC6BF7"/>
    <w:rsid w:val="00FC7076"/>
    <w:rsid w:val="00FC716A"/>
    <w:rsid w:val="00FC7254"/>
    <w:rsid w:val="00FC7434"/>
    <w:rsid w:val="00FC75D9"/>
    <w:rsid w:val="00FC7A3D"/>
    <w:rsid w:val="00FC7A9B"/>
    <w:rsid w:val="00FC7B26"/>
    <w:rsid w:val="00FD008B"/>
    <w:rsid w:val="00FD00B1"/>
    <w:rsid w:val="00FD065F"/>
    <w:rsid w:val="00FD0708"/>
    <w:rsid w:val="00FD0DC2"/>
    <w:rsid w:val="00FD0E0E"/>
    <w:rsid w:val="00FD0ED2"/>
    <w:rsid w:val="00FD0F22"/>
    <w:rsid w:val="00FD103A"/>
    <w:rsid w:val="00FD12A2"/>
    <w:rsid w:val="00FD137F"/>
    <w:rsid w:val="00FD1A1E"/>
    <w:rsid w:val="00FD1FA6"/>
    <w:rsid w:val="00FD267E"/>
    <w:rsid w:val="00FD2811"/>
    <w:rsid w:val="00FD2950"/>
    <w:rsid w:val="00FD29E3"/>
    <w:rsid w:val="00FD2A67"/>
    <w:rsid w:val="00FD3A14"/>
    <w:rsid w:val="00FD3FBE"/>
    <w:rsid w:val="00FD424D"/>
    <w:rsid w:val="00FD436F"/>
    <w:rsid w:val="00FD45B4"/>
    <w:rsid w:val="00FD4B8B"/>
    <w:rsid w:val="00FD4DFD"/>
    <w:rsid w:val="00FD5803"/>
    <w:rsid w:val="00FD5D5B"/>
    <w:rsid w:val="00FD5F31"/>
    <w:rsid w:val="00FD6418"/>
    <w:rsid w:val="00FD6DBA"/>
    <w:rsid w:val="00FD6E89"/>
    <w:rsid w:val="00FD7812"/>
    <w:rsid w:val="00FE00B9"/>
    <w:rsid w:val="00FE0120"/>
    <w:rsid w:val="00FE019F"/>
    <w:rsid w:val="00FE0D14"/>
    <w:rsid w:val="00FE0D15"/>
    <w:rsid w:val="00FE240E"/>
    <w:rsid w:val="00FE2B4E"/>
    <w:rsid w:val="00FE2CE3"/>
    <w:rsid w:val="00FE2CF0"/>
    <w:rsid w:val="00FE2E72"/>
    <w:rsid w:val="00FE3464"/>
    <w:rsid w:val="00FE3A97"/>
    <w:rsid w:val="00FE3EBC"/>
    <w:rsid w:val="00FE45B0"/>
    <w:rsid w:val="00FE4BF8"/>
    <w:rsid w:val="00FE4C80"/>
    <w:rsid w:val="00FE4D72"/>
    <w:rsid w:val="00FE536C"/>
    <w:rsid w:val="00FE53DA"/>
    <w:rsid w:val="00FE5C0F"/>
    <w:rsid w:val="00FE5C8A"/>
    <w:rsid w:val="00FE5D40"/>
    <w:rsid w:val="00FE624A"/>
    <w:rsid w:val="00FE62A3"/>
    <w:rsid w:val="00FE6472"/>
    <w:rsid w:val="00FE6A73"/>
    <w:rsid w:val="00FE73D4"/>
    <w:rsid w:val="00FE77A8"/>
    <w:rsid w:val="00FE780E"/>
    <w:rsid w:val="00FE78BA"/>
    <w:rsid w:val="00FE78E1"/>
    <w:rsid w:val="00FE7B61"/>
    <w:rsid w:val="00FE7D7A"/>
    <w:rsid w:val="00FE7F11"/>
    <w:rsid w:val="00FE7F52"/>
    <w:rsid w:val="00FF030C"/>
    <w:rsid w:val="00FF052C"/>
    <w:rsid w:val="00FF079B"/>
    <w:rsid w:val="00FF0818"/>
    <w:rsid w:val="00FF092A"/>
    <w:rsid w:val="00FF0A64"/>
    <w:rsid w:val="00FF0DB0"/>
    <w:rsid w:val="00FF0F18"/>
    <w:rsid w:val="00FF0F70"/>
    <w:rsid w:val="00FF108C"/>
    <w:rsid w:val="00FF14CF"/>
    <w:rsid w:val="00FF20D4"/>
    <w:rsid w:val="00FF222E"/>
    <w:rsid w:val="00FF2961"/>
    <w:rsid w:val="00FF2AF6"/>
    <w:rsid w:val="00FF2CFB"/>
    <w:rsid w:val="00FF307C"/>
    <w:rsid w:val="00FF3881"/>
    <w:rsid w:val="00FF3B7A"/>
    <w:rsid w:val="00FF3F44"/>
    <w:rsid w:val="00FF43CA"/>
    <w:rsid w:val="00FF44F1"/>
    <w:rsid w:val="00FF457B"/>
    <w:rsid w:val="00FF491C"/>
    <w:rsid w:val="00FF5324"/>
    <w:rsid w:val="00FF54A2"/>
    <w:rsid w:val="00FF5AE7"/>
    <w:rsid w:val="00FF5AF1"/>
    <w:rsid w:val="00FF5B06"/>
    <w:rsid w:val="00FF5F72"/>
    <w:rsid w:val="00FF616B"/>
    <w:rsid w:val="00FF6A64"/>
    <w:rsid w:val="00FF6CEC"/>
    <w:rsid w:val="00FF7169"/>
    <w:rsid w:val="00FF77A1"/>
    <w:rsid w:val="00FF7BC2"/>
    <w:rsid w:val="010D041F"/>
    <w:rsid w:val="018D62C7"/>
    <w:rsid w:val="01A2FBC6"/>
    <w:rsid w:val="0207EC5A"/>
    <w:rsid w:val="023AA728"/>
    <w:rsid w:val="037066E1"/>
    <w:rsid w:val="0383C710"/>
    <w:rsid w:val="03894188"/>
    <w:rsid w:val="038CEEBF"/>
    <w:rsid w:val="03995E9F"/>
    <w:rsid w:val="04C120F8"/>
    <w:rsid w:val="04FAC6D4"/>
    <w:rsid w:val="0584238B"/>
    <w:rsid w:val="0662429F"/>
    <w:rsid w:val="06A60CE8"/>
    <w:rsid w:val="079C0AB9"/>
    <w:rsid w:val="07A84CF7"/>
    <w:rsid w:val="07D40DF5"/>
    <w:rsid w:val="07F1A69C"/>
    <w:rsid w:val="0814512E"/>
    <w:rsid w:val="081CBE73"/>
    <w:rsid w:val="0827D849"/>
    <w:rsid w:val="086107E1"/>
    <w:rsid w:val="08CB7FFE"/>
    <w:rsid w:val="090BFC52"/>
    <w:rsid w:val="091386FC"/>
    <w:rsid w:val="0913CB81"/>
    <w:rsid w:val="0955AA6E"/>
    <w:rsid w:val="0996325D"/>
    <w:rsid w:val="09AA8FDB"/>
    <w:rsid w:val="0A19846F"/>
    <w:rsid w:val="0A7E069B"/>
    <w:rsid w:val="0BD3A81A"/>
    <w:rsid w:val="0CAB959A"/>
    <w:rsid w:val="0CB58BF9"/>
    <w:rsid w:val="0CEA77CB"/>
    <w:rsid w:val="0D03E1DF"/>
    <w:rsid w:val="0D49186A"/>
    <w:rsid w:val="0D57ED4A"/>
    <w:rsid w:val="0D934C41"/>
    <w:rsid w:val="0DE7A23A"/>
    <w:rsid w:val="0E49656F"/>
    <w:rsid w:val="0E7BD0FF"/>
    <w:rsid w:val="0EB5C3EF"/>
    <w:rsid w:val="0EBF8D3C"/>
    <w:rsid w:val="0ED96EBF"/>
    <w:rsid w:val="0EEE0170"/>
    <w:rsid w:val="0FA47677"/>
    <w:rsid w:val="1239D33D"/>
    <w:rsid w:val="128A8DA8"/>
    <w:rsid w:val="12C1A095"/>
    <w:rsid w:val="1371179C"/>
    <w:rsid w:val="137CDEE8"/>
    <w:rsid w:val="137F42FC"/>
    <w:rsid w:val="13FBFFA2"/>
    <w:rsid w:val="144C5D92"/>
    <w:rsid w:val="149B9DBB"/>
    <w:rsid w:val="149F931E"/>
    <w:rsid w:val="14D24E83"/>
    <w:rsid w:val="1505CD03"/>
    <w:rsid w:val="150B0D16"/>
    <w:rsid w:val="160AAE44"/>
    <w:rsid w:val="17109146"/>
    <w:rsid w:val="1721880D"/>
    <w:rsid w:val="172EED65"/>
    <w:rsid w:val="17AE34FE"/>
    <w:rsid w:val="17B7E71D"/>
    <w:rsid w:val="17C7A1A2"/>
    <w:rsid w:val="17C80504"/>
    <w:rsid w:val="17D80E52"/>
    <w:rsid w:val="1845D925"/>
    <w:rsid w:val="1885E4C9"/>
    <w:rsid w:val="18C6559D"/>
    <w:rsid w:val="18FA5D37"/>
    <w:rsid w:val="19002693"/>
    <w:rsid w:val="191289F2"/>
    <w:rsid w:val="19171F9E"/>
    <w:rsid w:val="19920FAA"/>
    <w:rsid w:val="19BA9E4C"/>
    <w:rsid w:val="19CB2C9F"/>
    <w:rsid w:val="19CF10B0"/>
    <w:rsid w:val="1A44A75F"/>
    <w:rsid w:val="1A5A7BF2"/>
    <w:rsid w:val="1A6B4B12"/>
    <w:rsid w:val="1AC889F1"/>
    <w:rsid w:val="1ACEA030"/>
    <w:rsid w:val="1B096CD4"/>
    <w:rsid w:val="1B278DB8"/>
    <w:rsid w:val="1B676508"/>
    <w:rsid w:val="1B6E7550"/>
    <w:rsid w:val="1B99DD4B"/>
    <w:rsid w:val="1C0B11DC"/>
    <w:rsid w:val="1C6777D4"/>
    <w:rsid w:val="1CA31A0D"/>
    <w:rsid w:val="1D563257"/>
    <w:rsid w:val="1D583B49"/>
    <w:rsid w:val="1D9FABEC"/>
    <w:rsid w:val="1DEFE1C1"/>
    <w:rsid w:val="1DFCC456"/>
    <w:rsid w:val="1E44D7FB"/>
    <w:rsid w:val="1E747F29"/>
    <w:rsid w:val="1E89DCED"/>
    <w:rsid w:val="1EC061FC"/>
    <w:rsid w:val="20BF4E95"/>
    <w:rsid w:val="20C9F121"/>
    <w:rsid w:val="212038A6"/>
    <w:rsid w:val="2122F97F"/>
    <w:rsid w:val="21554EED"/>
    <w:rsid w:val="21A147D2"/>
    <w:rsid w:val="22A4773B"/>
    <w:rsid w:val="22BFBD61"/>
    <w:rsid w:val="22CF90F8"/>
    <w:rsid w:val="23041D84"/>
    <w:rsid w:val="235EC21E"/>
    <w:rsid w:val="2369DB25"/>
    <w:rsid w:val="2379D668"/>
    <w:rsid w:val="23813759"/>
    <w:rsid w:val="241B8F7C"/>
    <w:rsid w:val="2439DEF7"/>
    <w:rsid w:val="24536945"/>
    <w:rsid w:val="24556553"/>
    <w:rsid w:val="24B32BC9"/>
    <w:rsid w:val="25180A5B"/>
    <w:rsid w:val="259F7992"/>
    <w:rsid w:val="25A7A34B"/>
    <w:rsid w:val="25FE9E81"/>
    <w:rsid w:val="2606F70E"/>
    <w:rsid w:val="26CEA617"/>
    <w:rsid w:val="27270EFE"/>
    <w:rsid w:val="273057C0"/>
    <w:rsid w:val="281C8104"/>
    <w:rsid w:val="28FEBC8C"/>
    <w:rsid w:val="2932AC16"/>
    <w:rsid w:val="296AFC80"/>
    <w:rsid w:val="29842BD4"/>
    <w:rsid w:val="298A1990"/>
    <w:rsid w:val="2990B7F5"/>
    <w:rsid w:val="29966781"/>
    <w:rsid w:val="29C95668"/>
    <w:rsid w:val="29E79C19"/>
    <w:rsid w:val="2A5E5127"/>
    <w:rsid w:val="2AD5D57C"/>
    <w:rsid w:val="2B58B131"/>
    <w:rsid w:val="2BB0FC0C"/>
    <w:rsid w:val="2C2FBB76"/>
    <w:rsid w:val="2C62CD57"/>
    <w:rsid w:val="2CC494C3"/>
    <w:rsid w:val="2DC590F2"/>
    <w:rsid w:val="2F2DDA1C"/>
    <w:rsid w:val="2F775F9F"/>
    <w:rsid w:val="2FC0437B"/>
    <w:rsid w:val="2FFC82EA"/>
    <w:rsid w:val="3024FA80"/>
    <w:rsid w:val="30E04E3B"/>
    <w:rsid w:val="30E3E7BE"/>
    <w:rsid w:val="3119199B"/>
    <w:rsid w:val="3120CF76"/>
    <w:rsid w:val="32568EBB"/>
    <w:rsid w:val="325D01AF"/>
    <w:rsid w:val="32A1E313"/>
    <w:rsid w:val="32A279C2"/>
    <w:rsid w:val="32B8C83F"/>
    <w:rsid w:val="32CBEE77"/>
    <w:rsid w:val="3326E96D"/>
    <w:rsid w:val="336C0BDC"/>
    <w:rsid w:val="338B0F9E"/>
    <w:rsid w:val="33DECF76"/>
    <w:rsid w:val="33E2F62D"/>
    <w:rsid w:val="3407F8E5"/>
    <w:rsid w:val="34211A8E"/>
    <w:rsid w:val="346EBDDA"/>
    <w:rsid w:val="350F2324"/>
    <w:rsid w:val="35265B77"/>
    <w:rsid w:val="3551FFDC"/>
    <w:rsid w:val="357AC806"/>
    <w:rsid w:val="35E19E27"/>
    <w:rsid w:val="36168763"/>
    <w:rsid w:val="3627645B"/>
    <w:rsid w:val="36809818"/>
    <w:rsid w:val="3868F87C"/>
    <w:rsid w:val="395D5089"/>
    <w:rsid w:val="397F59F9"/>
    <w:rsid w:val="3989E1D5"/>
    <w:rsid w:val="39E8C38D"/>
    <w:rsid w:val="39EAD9D5"/>
    <w:rsid w:val="39F83E48"/>
    <w:rsid w:val="3A1DF18F"/>
    <w:rsid w:val="3A3D7545"/>
    <w:rsid w:val="3A7B7FC9"/>
    <w:rsid w:val="3BB889B3"/>
    <w:rsid w:val="3BC66337"/>
    <w:rsid w:val="3C4848E0"/>
    <w:rsid w:val="3C84BEBD"/>
    <w:rsid w:val="3C87FCA0"/>
    <w:rsid w:val="3C9CFCE6"/>
    <w:rsid w:val="3D3598F5"/>
    <w:rsid w:val="3D9863F9"/>
    <w:rsid w:val="3E260BC8"/>
    <w:rsid w:val="3E3BF9A7"/>
    <w:rsid w:val="3E506839"/>
    <w:rsid w:val="3E9110BE"/>
    <w:rsid w:val="3ED89BB6"/>
    <w:rsid w:val="3F1CC43E"/>
    <w:rsid w:val="3F2BBC8E"/>
    <w:rsid w:val="3FDB7CC4"/>
    <w:rsid w:val="405C7E0A"/>
    <w:rsid w:val="410FB424"/>
    <w:rsid w:val="4151F651"/>
    <w:rsid w:val="41628CD0"/>
    <w:rsid w:val="41794D29"/>
    <w:rsid w:val="41A43038"/>
    <w:rsid w:val="41D088CB"/>
    <w:rsid w:val="41F9E403"/>
    <w:rsid w:val="4302B33A"/>
    <w:rsid w:val="434B6BCF"/>
    <w:rsid w:val="435441AF"/>
    <w:rsid w:val="4366BBE5"/>
    <w:rsid w:val="43815A32"/>
    <w:rsid w:val="444BAAAC"/>
    <w:rsid w:val="45746F43"/>
    <w:rsid w:val="457FC77D"/>
    <w:rsid w:val="45F586C0"/>
    <w:rsid w:val="464A7E65"/>
    <w:rsid w:val="467D5B64"/>
    <w:rsid w:val="4698A271"/>
    <w:rsid w:val="469ECE47"/>
    <w:rsid w:val="46A709ED"/>
    <w:rsid w:val="46EEAFB6"/>
    <w:rsid w:val="47259761"/>
    <w:rsid w:val="47376D32"/>
    <w:rsid w:val="47496A0A"/>
    <w:rsid w:val="47989157"/>
    <w:rsid w:val="47B6EC26"/>
    <w:rsid w:val="47C077EC"/>
    <w:rsid w:val="48182FC4"/>
    <w:rsid w:val="484BBE09"/>
    <w:rsid w:val="48660254"/>
    <w:rsid w:val="488B11F0"/>
    <w:rsid w:val="489E086A"/>
    <w:rsid w:val="48A2E563"/>
    <w:rsid w:val="48DF9957"/>
    <w:rsid w:val="495242CB"/>
    <w:rsid w:val="49656E83"/>
    <w:rsid w:val="499CAFC2"/>
    <w:rsid w:val="49BDD36F"/>
    <w:rsid w:val="49FA61A6"/>
    <w:rsid w:val="4A57B676"/>
    <w:rsid w:val="4A8CC28F"/>
    <w:rsid w:val="4AB93EB2"/>
    <w:rsid w:val="4B323626"/>
    <w:rsid w:val="4B50D98C"/>
    <w:rsid w:val="4B52B8FD"/>
    <w:rsid w:val="4C039286"/>
    <w:rsid w:val="4C1B51F7"/>
    <w:rsid w:val="4C4483E6"/>
    <w:rsid w:val="4D3F12E2"/>
    <w:rsid w:val="4D72F12B"/>
    <w:rsid w:val="4DC0DF39"/>
    <w:rsid w:val="4E3892FF"/>
    <w:rsid w:val="4E67A4EB"/>
    <w:rsid w:val="4E75746D"/>
    <w:rsid w:val="4E7CC1C3"/>
    <w:rsid w:val="4E7F33F2"/>
    <w:rsid w:val="4EA77235"/>
    <w:rsid w:val="4F7F36F1"/>
    <w:rsid w:val="4F8641EB"/>
    <w:rsid w:val="4FC43D4D"/>
    <w:rsid w:val="4FF25199"/>
    <w:rsid w:val="5045C0ED"/>
    <w:rsid w:val="50558122"/>
    <w:rsid w:val="52FFAC02"/>
    <w:rsid w:val="530E4E2B"/>
    <w:rsid w:val="53791619"/>
    <w:rsid w:val="53A91CEC"/>
    <w:rsid w:val="53A9E7B4"/>
    <w:rsid w:val="53ABAEC8"/>
    <w:rsid w:val="549F98A9"/>
    <w:rsid w:val="54EE0CFA"/>
    <w:rsid w:val="54FEA3F6"/>
    <w:rsid w:val="54FF38BB"/>
    <w:rsid w:val="55CC9D78"/>
    <w:rsid w:val="55D29968"/>
    <w:rsid w:val="55D5957A"/>
    <w:rsid w:val="55F04361"/>
    <w:rsid w:val="5604CD58"/>
    <w:rsid w:val="560E56BB"/>
    <w:rsid w:val="5640384E"/>
    <w:rsid w:val="5677D9B9"/>
    <w:rsid w:val="5697F82F"/>
    <w:rsid w:val="56E711A9"/>
    <w:rsid w:val="5803360A"/>
    <w:rsid w:val="580B306F"/>
    <w:rsid w:val="5812A231"/>
    <w:rsid w:val="583CAF22"/>
    <w:rsid w:val="58B14AC0"/>
    <w:rsid w:val="58B2D502"/>
    <w:rsid w:val="58CDBE55"/>
    <w:rsid w:val="58FDFE10"/>
    <w:rsid w:val="59CFDC99"/>
    <w:rsid w:val="5A4CDE2B"/>
    <w:rsid w:val="5A72AB0F"/>
    <w:rsid w:val="5ACD7D63"/>
    <w:rsid w:val="5AEC3731"/>
    <w:rsid w:val="5AF7A4CE"/>
    <w:rsid w:val="5AFC7DCA"/>
    <w:rsid w:val="5B531F1E"/>
    <w:rsid w:val="5B6BD038"/>
    <w:rsid w:val="5CC254EB"/>
    <w:rsid w:val="5E46A867"/>
    <w:rsid w:val="5E4EF424"/>
    <w:rsid w:val="5E76CFB4"/>
    <w:rsid w:val="5EA0F7BC"/>
    <w:rsid w:val="5EBED5C4"/>
    <w:rsid w:val="5F0C2FF5"/>
    <w:rsid w:val="5F152912"/>
    <w:rsid w:val="5F6E5C60"/>
    <w:rsid w:val="5F76D87C"/>
    <w:rsid w:val="5F8836E9"/>
    <w:rsid w:val="5FD7E51E"/>
    <w:rsid w:val="600CC204"/>
    <w:rsid w:val="6022EDE5"/>
    <w:rsid w:val="60319A30"/>
    <w:rsid w:val="60F5C185"/>
    <w:rsid w:val="6114EECA"/>
    <w:rsid w:val="612BA310"/>
    <w:rsid w:val="618C89C1"/>
    <w:rsid w:val="6190EAA2"/>
    <w:rsid w:val="61A38CF0"/>
    <w:rsid w:val="61BEFA56"/>
    <w:rsid w:val="6201CEA1"/>
    <w:rsid w:val="62068577"/>
    <w:rsid w:val="6239BB98"/>
    <w:rsid w:val="629AC6F3"/>
    <w:rsid w:val="62BD7B28"/>
    <w:rsid w:val="63364DC3"/>
    <w:rsid w:val="65403AE1"/>
    <w:rsid w:val="6599D4DA"/>
    <w:rsid w:val="65CEEDA7"/>
    <w:rsid w:val="670D0CA2"/>
    <w:rsid w:val="671A0718"/>
    <w:rsid w:val="67241FBD"/>
    <w:rsid w:val="6782CC89"/>
    <w:rsid w:val="67E761D4"/>
    <w:rsid w:val="695FCE16"/>
    <w:rsid w:val="696E28CF"/>
    <w:rsid w:val="6981800E"/>
    <w:rsid w:val="69D64737"/>
    <w:rsid w:val="6A27DEE6"/>
    <w:rsid w:val="6B10EE33"/>
    <w:rsid w:val="6B6044FB"/>
    <w:rsid w:val="6B81EB22"/>
    <w:rsid w:val="6B9F0041"/>
    <w:rsid w:val="6BC6E4C4"/>
    <w:rsid w:val="6BD1F1C6"/>
    <w:rsid w:val="6BE6245F"/>
    <w:rsid w:val="6C34C40B"/>
    <w:rsid w:val="6CEBDB15"/>
    <w:rsid w:val="6D233C5B"/>
    <w:rsid w:val="6D47AC7A"/>
    <w:rsid w:val="6DFEFC20"/>
    <w:rsid w:val="6E46788B"/>
    <w:rsid w:val="6EC30832"/>
    <w:rsid w:val="6EEB7DCB"/>
    <w:rsid w:val="6F48987C"/>
    <w:rsid w:val="6F4D7655"/>
    <w:rsid w:val="6F5C4D02"/>
    <w:rsid w:val="6F99795F"/>
    <w:rsid w:val="6FA26490"/>
    <w:rsid w:val="6FD89352"/>
    <w:rsid w:val="6FEAAB4B"/>
    <w:rsid w:val="702C942F"/>
    <w:rsid w:val="71AC9C74"/>
    <w:rsid w:val="71AD8DCF"/>
    <w:rsid w:val="72925F1E"/>
    <w:rsid w:val="735B636E"/>
    <w:rsid w:val="7360D314"/>
    <w:rsid w:val="7366E5BA"/>
    <w:rsid w:val="7467A014"/>
    <w:rsid w:val="74B6FADF"/>
    <w:rsid w:val="7526E9AE"/>
    <w:rsid w:val="755BF582"/>
    <w:rsid w:val="75BAF096"/>
    <w:rsid w:val="760B9639"/>
    <w:rsid w:val="7638EE93"/>
    <w:rsid w:val="763966D7"/>
    <w:rsid w:val="7670B176"/>
    <w:rsid w:val="770F7B24"/>
    <w:rsid w:val="776BC032"/>
    <w:rsid w:val="77DD2000"/>
    <w:rsid w:val="78423B97"/>
    <w:rsid w:val="7937F8E7"/>
    <w:rsid w:val="79608B87"/>
    <w:rsid w:val="7997F4D2"/>
    <w:rsid w:val="7A183511"/>
    <w:rsid w:val="7A4A30E8"/>
    <w:rsid w:val="7A57B59B"/>
    <w:rsid w:val="7AA984E3"/>
    <w:rsid w:val="7AFD9C9E"/>
    <w:rsid w:val="7B8BE4AC"/>
    <w:rsid w:val="7BCD81F4"/>
    <w:rsid w:val="7C79F9C7"/>
    <w:rsid w:val="7CBC43D1"/>
    <w:rsid w:val="7CD5EC9F"/>
    <w:rsid w:val="7D23D9FA"/>
    <w:rsid w:val="7D2D39FF"/>
    <w:rsid w:val="7D40E067"/>
    <w:rsid w:val="7D7507A6"/>
    <w:rsid w:val="7DBB747B"/>
    <w:rsid w:val="7E3CCF61"/>
    <w:rsid w:val="7E45BB88"/>
    <w:rsid w:val="7E567FCF"/>
    <w:rsid w:val="7ED1162E"/>
    <w:rsid w:val="7EE0F1CE"/>
    <w:rsid w:val="7EE73AFB"/>
    <w:rsid w:val="7EF1AAC7"/>
    <w:rsid w:val="7F5BEC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42B3E"/>
  <w15:chartTrackingRefBased/>
  <w15:docId w15:val="{000583A3-6D6D-4D59-AD29-3548CF6E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D9C"/>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8B5CB0"/>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unhideWhenUsed/>
    <w:qFormat/>
    <w:rsid w:val="00C0498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11"/>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8"/>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4"/>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17"/>
      </w:numPr>
      <w:spacing w:after="0"/>
    </w:pPr>
  </w:style>
  <w:style w:type="paragraph" w:customStyle="1" w:styleId="Numberedlevel2text">
    <w:name w:val="Numbered level 2 text"/>
    <w:basedOn w:val="Normal"/>
    <w:link w:val="Numberedlevel2textChar"/>
    <w:qFormat/>
    <w:rsid w:val="00DD323F"/>
    <w:pPr>
      <w:numPr>
        <w:ilvl w:val="1"/>
        <w:numId w:val="11"/>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6"/>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7"/>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qFormat/>
    <w:rsid w:val="00F130AD"/>
    <w:rPr>
      <w:sz w:val="16"/>
      <w:szCs w:val="16"/>
    </w:rPr>
  </w:style>
  <w:style w:type="paragraph" w:styleId="CommentText">
    <w:name w:val="annotation text"/>
    <w:basedOn w:val="Normal"/>
    <w:link w:val="CommentTextChar"/>
    <w:qFormat/>
    <w:rsid w:val="00F130AD"/>
    <w:rPr>
      <w:sz w:val="20"/>
      <w:szCs w:val="20"/>
      <w:lang w:val="x-none"/>
    </w:rPr>
  </w:style>
  <w:style w:type="character" w:customStyle="1" w:styleId="CommentTextChar">
    <w:name w:val="Comment Text Char"/>
    <w:link w:val="CommentText"/>
    <w:qForma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8B5CB0"/>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style>
  <w:style w:type="table" w:customStyle="1" w:styleId="PanelImpact">
    <w:name w:val="Panel (Impact)"/>
    <w:basedOn w:val="TableNormal"/>
    <w:uiPriority w:val="99"/>
    <w:rsid w:val="00A36EC5"/>
    <w:rPr>
      <w:color w:val="FFFFFF"/>
    </w:rPr>
    <w:tblPr/>
  </w:style>
  <w:style w:type="table" w:customStyle="1" w:styleId="PanelPrimary">
    <w:name w:val="Panel (Primary)"/>
    <w:basedOn w:val="TableNormal"/>
    <w:uiPriority w:val="99"/>
    <w:rsid w:val="00756580"/>
    <w:pPr>
      <w:spacing w:after="240"/>
    </w:pPr>
    <w:tblPr/>
  </w:style>
  <w:style w:type="paragraph" w:customStyle="1" w:styleId="Panelbullet1">
    <w:name w:val="Panel bullet 1"/>
    <w:basedOn w:val="ListParagraph"/>
    <w:qFormat/>
    <w:rsid w:val="00A36EC5"/>
    <w:pPr>
      <w:numPr>
        <w:numId w:val="9"/>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8"/>
      </w:numPr>
    </w:pPr>
  </w:style>
  <w:style w:type="paragraph" w:customStyle="1" w:styleId="Section412paragraphs">
    <w:name w:val="Section 4.1.2 paragraphs"/>
    <w:basedOn w:val="NICEnormal"/>
    <w:rsid w:val="00FB5140"/>
    <w:pPr>
      <w:numPr>
        <w:numId w:val="10"/>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customStyle="1" w:styleId="ParagraphNumbered">
    <w:name w:val="Paragraph Numbered"/>
    <w:basedOn w:val="Normal"/>
    <w:uiPriority w:val="4"/>
    <w:qFormat/>
    <w:rsid w:val="005B77DF"/>
    <w:pPr>
      <w:numPr>
        <w:numId w:val="16"/>
      </w:numPr>
      <w:tabs>
        <w:tab w:val="num" w:pos="360"/>
        <w:tab w:val="left" w:pos="426"/>
      </w:tabs>
      <w:spacing w:after="240" w:line="360" w:lineRule="auto"/>
      <w:ind w:left="425" w:hanging="425"/>
    </w:pPr>
    <w:rPr>
      <w:rFonts w:ascii="Arial" w:hAnsi="Arial"/>
    </w:rPr>
  </w:style>
  <w:style w:type="paragraph" w:styleId="TOC1">
    <w:name w:val="toc 1"/>
    <w:basedOn w:val="Normal"/>
    <w:next w:val="Normal"/>
    <w:autoRedefine/>
    <w:rsid w:val="0044794B"/>
    <w:pPr>
      <w:spacing w:after="100"/>
    </w:pPr>
  </w:style>
  <w:style w:type="character" w:customStyle="1" w:styleId="ui-provider">
    <w:name w:val="ui-provider"/>
    <w:basedOn w:val="DefaultParagraphFont"/>
    <w:rsid w:val="00C40502"/>
  </w:style>
  <w:style w:type="paragraph" w:customStyle="1" w:styleId="Bulletindent2last">
    <w:name w:val="Bullet indent 2 last"/>
    <w:basedOn w:val="Bulletindent2"/>
    <w:next w:val="NICEnormal"/>
    <w:rsid w:val="00A960E9"/>
    <w:pPr>
      <w:numPr>
        <w:numId w:val="17"/>
      </w:numPr>
      <w:spacing w:after="240"/>
    </w:pPr>
  </w:style>
  <w:style w:type="character" w:customStyle="1" w:styleId="normaltextrun">
    <w:name w:val="normaltextrun"/>
    <w:basedOn w:val="DefaultParagraphFont"/>
    <w:rsid w:val="00CE755B"/>
  </w:style>
  <w:style w:type="character" w:customStyle="1" w:styleId="Heading5Char">
    <w:name w:val="Heading 5 Char"/>
    <w:basedOn w:val="DefaultParagraphFont"/>
    <w:link w:val="Heading5"/>
    <w:semiHidden/>
    <w:rsid w:val="00C04989"/>
    <w:rPr>
      <w:rFonts w:asciiTheme="majorHAnsi" w:eastAsiaTheme="majorEastAsia" w:hAnsiTheme="majorHAnsi" w:cstheme="majorBidi"/>
      <w:color w:val="2E74B5" w:themeColor="accent1" w:themeShade="BF"/>
      <w:sz w:val="24"/>
      <w:szCs w:val="24"/>
      <w:lang w:eastAsia="en-US"/>
    </w:rPr>
  </w:style>
  <w:style w:type="character" w:styleId="Strong">
    <w:name w:val="Strong"/>
    <w:uiPriority w:val="22"/>
    <w:qFormat/>
    <w:rsid w:val="007F79E3"/>
    <w:rPr>
      <w:b/>
      <w:bCs/>
    </w:rPr>
  </w:style>
  <w:style w:type="paragraph" w:styleId="NormalWeb">
    <w:name w:val="Normal (Web)"/>
    <w:basedOn w:val="Normal"/>
    <w:uiPriority w:val="99"/>
    <w:unhideWhenUsed/>
    <w:rsid w:val="009F0713"/>
    <w:pPr>
      <w:spacing w:before="100" w:beforeAutospacing="1" w:after="100" w:afterAutospacing="1"/>
    </w:pPr>
    <w:rPr>
      <w:lang w:eastAsia="en-GB"/>
    </w:rPr>
  </w:style>
  <w:style w:type="paragraph" w:customStyle="1" w:styleId="pf0">
    <w:name w:val="pf0"/>
    <w:basedOn w:val="Normal"/>
    <w:rsid w:val="005E7B40"/>
    <w:pPr>
      <w:spacing w:before="100" w:beforeAutospacing="1" w:after="100" w:afterAutospacing="1"/>
    </w:pPr>
    <w:rPr>
      <w:lang w:eastAsia="en-GB"/>
    </w:rPr>
  </w:style>
  <w:style w:type="character" w:customStyle="1" w:styleId="cf01">
    <w:name w:val="cf01"/>
    <w:basedOn w:val="DefaultParagraphFont"/>
    <w:rsid w:val="005E7B40"/>
    <w:rPr>
      <w:rFonts w:ascii="Segoe UI" w:hAnsi="Segoe UI" w:cs="Segoe UI" w:hint="default"/>
      <w:sz w:val="18"/>
      <w:szCs w:val="18"/>
    </w:rPr>
  </w:style>
  <w:style w:type="paragraph" w:customStyle="1" w:styleId="Paragraph">
    <w:name w:val="Paragraph"/>
    <w:basedOn w:val="Normal"/>
    <w:uiPriority w:val="99"/>
    <w:qFormat/>
    <w:rsid w:val="008E51A4"/>
    <w:pPr>
      <w:spacing w:after="240" w:line="360" w:lineRule="auto"/>
    </w:pPr>
    <w:rPr>
      <w:rFonts w:ascii="Arial" w:hAnsi="Arial"/>
    </w:rPr>
  </w:style>
  <w:style w:type="table" w:customStyle="1" w:styleId="PanelPrimary1">
    <w:name w:val="Panel (Primary)1"/>
    <w:basedOn w:val="TableNormal"/>
    <w:uiPriority w:val="99"/>
    <w:rsid w:val="00947033"/>
    <w:pPr>
      <w:spacing w:after="240"/>
    </w:pPr>
    <w:tblPr>
      <w:tblBorders>
        <w:top w:val="single" w:sz="24" w:space="0" w:color="A2BDC1"/>
        <w:left w:val="single" w:sz="24" w:space="0" w:color="A2BDC1"/>
        <w:bottom w:val="single" w:sz="24" w:space="0" w:color="A2BDC1"/>
        <w:right w:val="single" w:sz="24" w:space="0" w:color="A2BDC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25248342">
      <w:bodyDiv w:val="1"/>
      <w:marLeft w:val="0"/>
      <w:marRight w:val="0"/>
      <w:marTop w:val="0"/>
      <w:marBottom w:val="0"/>
      <w:divBdr>
        <w:top w:val="none" w:sz="0" w:space="0" w:color="auto"/>
        <w:left w:val="none" w:sz="0" w:space="0" w:color="auto"/>
        <w:bottom w:val="none" w:sz="0" w:space="0" w:color="auto"/>
        <w:right w:val="none" w:sz="0" w:space="0" w:color="auto"/>
      </w:divBdr>
    </w:div>
    <w:div w:id="164832493">
      <w:bodyDiv w:val="1"/>
      <w:marLeft w:val="0"/>
      <w:marRight w:val="0"/>
      <w:marTop w:val="0"/>
      <w:marBottom w:val="0"/>
      <w:divBdr>
        <w:top w:val="none" w:sz="0" w:space="0" w:color="auto"/>
        <w:left w:val="none" w:sz="0" w:space="0" w:color="auto"/>
        <w:bottom w:val="none" w:sz="0" w:space="0" w:color="auto"/>
        <w:right w:val="none" w:sz="0" w:space="0" w:color="auto"/>
      </w:divBdr>
      <w:divsChild>
        <w:div w:id="126705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179206237">
      <w:bodyDiv w:val="1"/>
      <w:marLeft w:val="0"/>
      <w:marRight w:val="0"/>
      <w:marTop w:val="0"/>
      <w:marBottom w:val="0"/>
      <w:divBdr>
        <w:top w:val="none" w:sz="0" w:space="0" w:color="auto"/>
        <w:left w:val="none" w:sz="0" w:space="0" w:color="auto"/>
        <w:bottom w:val="none" w:sz="0" w:space="0" w:color="auto"/>
        <w:right w:val="none" w:sz="0" w:space="0" w:color="auto"/>
      </w:divBdr>
    </w:div>
    <w:div w:id="183833345">
      <w:bodyDiv w:val="1"/>
      <w:marLeft w:val="0"/>
      <w:marRight w:val="0"/>
      <w:marTop w:val="0"/>
      <w:marBottom w:val="0"/>
      <w:divBdr>
        <w:top w:val="none" w:sz="0" w:space="0" w:color="auto"/>
        <w:left w:val="none" w:sz="0" w:space="0" w:color="auto"/>
        <w:bottom w:val="none" w:sz="0" w:space="0" w:color="auto"/>
        <w:right w:val="none" w:sz="0" w:space="0" w:color="auto"/>
      </w:divBdr>
    </w:div>
    <w:div w:id="199827229">
      <w:bodyDiv w:val="1"/>
      <w:marLeft w:val="0"/>
      <w:marRight w:val="0"/>
      <w:marTop w:val="0"/>
      <w:marBottom w:val="0"/>
      <w:divBdr>
        <w:top w:val="none" w:sz="0" w:space="0" w:color="auto"/>
        <w:left w:val="none" w:sz="0" w:space="0" w:color="auto"/>
        <w:bottom w:val="none" w:sz="0" w:space="0" w:color="auto"/>
        <w:right w:val="none" w:sz="0" w:space="0" w:color="auto"/>
      </w:divBdr>
      <w:divsChild>
        <w:div w:id="541556000">
          <w:marLeft w:val="1166"/>
          <w:marRight w:val="0"/>
          <w:marTop w:val="0"/>
          <w:marBottom w:val="0"/>
          <w:divBdr>
            <w:top w:val="none" w:sz="0" w:space="0" w:color="auto"/>
            <w:left w:val="none" w:sz="0" w:space="0" w:color="auto"/>
            <w:bottom w:val="none" w:sz="0" w:space="0" w:color="auto"/>
            <w:right w:val="none" w:sz="0" w:space="0" w:color="auto"/>
          </w:divBdr>
        </w:div>
        <w:div w:id="573660697">
          <w:marLeft w:val="446"/>
          <w:marRight w:val="0"/>
          <w:marTop w:val="0"/>
          <w:marBottom w:val="0"/>
          <w:divBdr>
            <w:top w:val="none" w:sz="0" w:space="0" w:color="auto"/>
            <w:left w:val="none" w:sz="0" w:space="0" w:color="auto"/>
            <w:bottom w:val="none" w:sz="0" w:space="0" w:color="auto"/>
            <w:right w:val="none" w:sz="0" w:space="0" w:color="auto"/>
          </w:divBdr>
        </w:div>
        <w:div w:id="1212688148">
          <w:marLeft w:val="1166"/>
          <w:marRight w:val="0"/>
          <w:marTop w:val="0"/>
          <w:marBottom w:val="0"/>
          <w:divBdr>
            <w:top w:val="none" w:sz="0" w:space="0" w:color="auto"/>
            <w:left w:val="none" w:sz="0" w:space="0" w:color="auto"/>
            <w:bottom w:val="none" w:sz="0" w:space="0" w:color="auto"/>
            <w:right w:val="none" w:sz="0" w:space="0" w:color="auto"/>
          </w:divBdr>
        </w:div>
        <w:div w:id="2006933251">
          <w:marLeft w:val="446"/>
          <w:marRight w:val="0"/>
          <w:marTop w:val="0"/>
          <w:marBottom w:val="0"/>
          <w:divBdr>
            <w:top w:val="none" w:sz="0" w:space="0" w:color="auto"/>
            <w:left w:val="none" w:sz="0" w:space="0" w:color="auto"/>
            <w:bottom w:val="none" w:sz="0" w:space="0" w:color="auto"/>
            <w:right w:val="none" w:sz="0" w:space="0" w:color="auto"/>
          </w:divBdr>
        </w:div>
      </w:divsChild>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44523183">
      <w:bodyDiv w:val="1"/>
      <w:marLeft w:val="0"/>
      <w:marRight w:val="0"/>
      <w:marTop w:val="0"/>
      <w:marBottom w:val="0"/>
      <w:divBdr>
        <w:top w:val="none" w:sz="0" w:space="0" w:color="auto"/>
        <w:left w:val="none" w:sz="0" w:space="0" w:color="auto"/>
        <w:bottom w:val="none" w:sz="0" w:space="0" w:color="auto"/>
        <w:right w:val="none" w:sz="0" w:space="0" w:color="auto"/>
      </w:divBdr>
      <w:divsChild>
        <w:div w:id="1010720508">
          <w:marLeft w:val="446"/>
          <w:marRight w:val="0"/>
          <w:marTop w:val="0"/>
          <w:marBottom w:val="0"/>
          <w:divBdr>
            <w:top w:val="none" w:sz="0" w:space="0" w:color="auto"/>
            <w:left w:val="none" w:sz="0" w:space="0" w:color="auto"/>
            <w:bottom w:val="none" w:sz="0" w:space="0" w:color="auto"/>
            <w:right w:val="none" w:sz="0" w:space="0" w:color="auto"/>
          </w:divBdr>
        </w:div>
      </w:divsChild>
    </w:div>
    <w:div w:id="354772144">
      <w:bodyDiv w:val="1"/>
      <w:marLeft w:val="0"/>
      <w:marRight w:val="0"/>
      <w:marTop w:val="0"/>
      <w:marBottom w:val="0"/>
      <w:divBdr>
        <w:top w:val="none" w:sz="0" w:space="0" w:color="auto"/>
        <w:left w:val="none" w:sz="0" w:space="0" w:color="auto"/>
        <w:bottom w:val="none" w:sz="0" w:space="0" w:color="auto"/>
        <w:right w:val="none" w:sz="0" w:space="0" w:color="auto"/>
      </w:divBdr>
    </w:div>
    <w:div w:id="446432015">
      <w:bodyDiv w:val="1"/>
      <w:marLeft w:val="0"/>
      <w:marRight w:val="0"/>
      <w:marTop w:val="0"/>
      <w:marBottom w:val="0"/>
      <w:divBdr>
        <w:top w:val="none" w:sz="0" w:space="0" w:color="auto"/>
        <w:left w:val="none" w:sz="0" w:space="0" w:color="auto"/>
        <w:bottom w:val="none" w:sz="0" w:space="0" w:color="auto"/>
        <w:right w:val="none" w:sz="0" w:space="0" w:color="auto"/>
      </w:divBdr>
    </w:div>
    <w:div w:id="463734642">
      <w:bodyDiv w:val="1"/>
      <w:marLeft w:val="0"/>
      <w:marRight w:val="0"/>
      <w:marTop w:val="0"/>
      <w:marBottom w:val="0"/>
      <w:divBdr>
        <w:top w:val="none" w:sz="0" w:space="0" w:color="auto"/>
        <w:left w:val="none" w:sz="0" w:space="0" w:color="auto"/>
        <w:bottom w:val="none" w:sz="0" w:space="0" w:color="auto"/>
        <w:right w:val="none" w:sz="0" w:space="0" w:color="auto"/>
      </w:divBdr>
    </w:div>
    <w:div w:id="472605599">
      <w:bodyDiv w:val="1"/>
      <w:marLeft w:val="0"/>
      <w:marRight w:val="0"/>
      <w:marTop w:val="0"/>
      <w:marBottom w:val="0"/>
      <w:divBdr>
        <w:top w:val="none" w:sz="0" w:space="0" w:color="auto"/>
        <w:left w:val="none" w:sz="0" w:space="0" w:color="auto"/>
        <w:bottom w:val="none" w:sz="0" w:space="0" w:color="auto"/>
        <w:right w:val="none" w:sz="0" w:space="0" w:color="auto"/>
      </w:divBdr>
    </w:div>
    <w:div w:id="484781110">
      <w:bodyDiv w:val="1"/>
      <w:marLeft w:val="0"/>
      <w:marRight w:val="0"/>
      <w:marTop w:val="0"/>
      <w:marBottom w:val="0"/>
      <w:divBdr>
        <w:top w:val="none" w:sz="0" w:space="0" w:color="auto"/>
        <w:left w:val="none" w:sz="0" w:space="0" w:color="auto"/>
        <w:bottom w:val="none" w:sz="0" w:space="0" w:color="auto"/>
        <w:right w:val="none" w:sz="0" w:space="0" w:color="auto"/>
      </w:divBdr>
    </w:div>
    <w:div w:id="497883816">
      <w:bodyDiv w:val="1"/>
      <w:marLeft w:val="0"/>
      <w:marRight w:val="0"/>
      <w:marTop w:val="0"/>
      <w:marBottom w:val="0"/>
      <w:divBdr>
        <w:top w:val="none" w:sz="0" w:space="0" w:color="auto"/>
        <w:left w:val="none" w:sz="0" w:space="0" w:color="auto"/>
        <w:bottom w:val="none" w:sz="0" w:space="0" w:color="auto"/>
        <w:right w:val="none" w:sz="0" w:space="0" w:color="auto"/>
      </w:divBdr>
    </w:div>
    <w:div w:id="518009635">
      <w:bodyDiv w:val="1"/>
      <w:marLeft w:val="0"/>
      <w:marRight w:val="0"/>
      <w:marTop w:val="0"/>
      <w:marBottom w:val="0"/>
      <w:divBdr>
        <w:top w:val="none" w:sz="0" w:space="0" w:color="auto"/>
        <w:left w:val="none" w:sz="0" w:space="0" w:color="auto"/>
        <w:bottom w:val="none" w:sz="0" w:space="0" w:color="auto"/>
        <w:right w:val="none" w:sz="0" w:space="0" w:color="auto"/>
      </w:divBdr>
    </w:div>
    <w:div w:id="553540899">
      <w:bodyDiv w:val="1"/>
      <w:marLeft w:val="0"/>
      <w:marRight w:val="0"/>
      <w:marTop w:val="0"/>
      <w:marBottom w:val="0"/>
      <w:divBdr>
        <w:top w:val="none" w:sz="0" w:space="0" w:color="auto"/>
        <w:left w:val="none" w:sz="0" w:space="0" w:color="auto"/>
        <w:bottom w:val="none" w:sz="0" w:space="0" w:color="auto"/>
        <w:right w:val="none" w:sz="0" w:space="0" w:color="auto"/>
      </w:divBdr>
    </w:div>
    <w:div w:id="558128645">
      <w:bodyDiv w:val="1"/>
      <w:marLeft w:val="0"/>
      <w:marRight w:val="0"/>
      <w:marTop w:val="0"/>
      <w:marBottom w:val="0"/>
      <w:divBdr>
        <w:top w:val="none" w:sz="0" w:space="0" w:color="auto"/>
        <w:left w:val="none" w:sz="0" w:space="0" w:color="auto"/>
        <w:bottom w:val="none" w:sz="0" w:space="0" w:color="auto"/>
        <w:right w:val="none" w:sz="0" w:space="0" w:color="auto"/>
      </w:divBdr>
      <w:divsChild>
        <w:div w:id="232467313">
          <w:marLeft w:val="1080"/>
          <w:marRight w:val="0"/>
          <w:marTop w:val="100"/>
          <w:marBottom w:val="0"/>
          <w:divBdr>
            <w:top w:val="none" w:sz="0" w:space="0" w:color="auto"/>
            <w:left w:val="none" w:sz="0" w:space="0" w:color="auto"/>
            <w:bottom w:val="none" w:sz="0" w:space="0" w:color="auto"/>
            <w:right w:val="none" w:sz="0" w:space="0" w:color="auto"/>
          </w:divBdr>
        </w:div>
        <w:div w:id="656107787">
          <w:marLeft w:val="446"/>
          <w:marRight w:val="0"/>
          <w:marTop w:val="200"/>
          <w:marBottom w:val="0"/>
          <w:divBdr>
            <w:top w:val="none" w:sz="0" w:space="0" w:color="auto"/>
            <w:left w:val="none" w:sz="0" w:space="0" w:color="auto"/>
            <w:bottom w:val="none" w:sz="0" w:space="0" w:color="auto"/>
            <w:right w:val="none" w:sz="0" w:space="0" w:color="auto"/>
          </w:divBdr>
        </w:div>
        <w:div w:id="702940656">
          <w:marLeft w:val="446"/>
          <w:marRight w:val="0"/>
          <w:marTop w:val="200"/>
          <w:marBottom w:val="0"/>
          <w:divBdr>
            <w:top w:val="none" w:sz="0" w:space="0" w:color="auto"/>
            <w:left w:val="none" w:sz="0" w:space="0" w:color="auto"/>
            <w:bottom w:val="none" w:sz="0" w:space="0" w:color="auto"/>
            <w:right w:val="none" w:sz="0" w:space="0" w:color="auto"/>
          </w:divBdr>
        </w:div>
        <w:div w:id="921062682">
          <w:marLeft w:val="1080"/>
          <w:marRight w:val="0"/>
          <w:marTop w:val="100"/>
          <w:marBottom w:val="0"/>
          <w:divBdr>
            <w:top w:val="none" w:sz="0" w:space="0" w:color="auto"/>
            <w:left w:val="none" w:sz="0" w:space="0" w:color="auto"/>
            <w:bottom w:val="none" w:sz="0" w:space="0" w:color="auto"/>
            <w:right w:val="none" w:sz="0" w:space="0" w:color="auto"/>
          </w:divBdr>
        </w:div>
        <w:div w:id="1113283191">
          <w:marLeft w:val="1080"/>
          <w:marRight w:val="0"/>
          <w:marTop w:val="100"/>
          <w:marBottom w:val="0"/>
          <w:divBdr>
            <w:top w:val="none" w:sz="0" w:space="0" w:color="auto"/>
            <w:left w:val="none" w:sz="0" w:space="0" w:color="auto"/>
            <w:bottom w:val="none" w:sz="0" w:space="0" w:color="auto"/>
            <w:right w:val="none" w:sz="0" w:space="0" w:color="auto"/>
          </w:divBdr>
        </w:div>
        <w:div w:id="1393650924">
          <w:marLeft w:val="1080"/>
          <w:marRight w:val="0"/>
          <w:marTop w:val="100"/>
          <w:marBottom w:val="0"/>
          <w:divBdr>
            <w:top w:val="none" w:sz="0" w:space="0" w:color="auto"/>
            <w:left w:val="none" w:sz="0" w:space="0" w:color="auto"/>
            <w:bottom w:val="none" w:sz="0" w:space="0" w:color="auto"/>
            <w:right w:val="none" w:sz="0" w:space="0" w:color="auto"/>
          </w:divBdr>
        </w:div>
        <w:div w:id="1523202623">
          <w:marLeft w:val="1080"/>
          <w:marRight w:val="0"/>
          <w:marTop w:val="100"/>
          <w:marBottom w:val="0"/>
          <w:divBdr>
            <w:top w:val="none" w:sz="0" w:space="0" w:color="auto"/>
            <w:left w:val="none" w:sz="0" w:space="0" w:color="auto"/>
            <w:bottom w:val="none" w:sz="0" w:space="0" w:color="auto"/>
            <w:right w:val="none" w:sz="0" w:space="0" w:color="auto"/>
          </w:divBdr>
        </w:div>
        <w:div w:id="1608654369">
          <w:marLeft w:val="446"/>
          <w:marRight w:val="0"/>
          <w:marTop w:val="200"/>
          <w:marBottom w:val="0"/>
          <w:divBdr>
            <w:top w:val="none" w:sz="0" w:space="0" w:color="auto"/>
            <w:left w:val="none" w:sz="0" w:space="0" w:color="auto"/>
            <w:bottom w:val="none" w:sz="0" w:space="0" w:color="auto"/>
            <w:right w:val="none" w:sz="0" w:space="0" w:color="auto"/>
          </w:divBdr>
        </w:div>
        <w:div w:id="1819371980">
          <w:marLeft w:val="446"/>
          <w:marRight w:val="0"/>
          <w:marTop w:val="200"/>
          <w:marBottom w:val="0"/>
          <w:divBdr>
            <w:top w:val="none" w:sz="0" w:space="0" w:color="auto"/>
            <w:left w:val="none" w:sz="0" w:space="0" w:color="auto"/>
            <w:bottom w:val="none" w:sz="0" w:space="0" w:color="auto"/>
            <w:right w:val="none" w:sz="0" w:space="0" w:color="auto"/>
          </w:divBdr>
        </w:div>
        <w:div w:id="1896624660">
          <w:marLeft w:val="1080"/>
          <w:marRight w:val="0"/>
          <w:marTop w:val="100"/>
          <w:marBottom w:val="0"/>
          <w:divBdr>
            <w:top w:val="none" w:sz="0" w:space="0" w:color="auto"/>
            <w:left w:val="none" w:sz="0" w:space="0" w:color="auto"/>
            <w:bottom w:val="none" w:sz="0" w:space="0" w:color="auto"/>
            <w:right w:val="none" w:sz="0" w:space="0" w:color="auto"/>
          </w:divBdr>
        </w:div>
        <w:div w:id="1925912295">
          <w:marLeft w:val="1080"/>
          <w:marRight w:val="0"/>
          <w:marTop w:val="100"/>
          <w:marBottom w:val="0"/>
          <w:divBdr>
            <w:top w:val="none" w:sz="0" w:space="0" w:color="auto"/>
            <w:left w:val="none" w:sz="0" w:space="0" w:color="auto"/>
            <w:bottom w:val="none" w:sz="0" w:space="0" w:color="auto"/>
            <w:right w:val="none" w:sz="0" w:space="0" w:color="auto"/>
          </w:divBdr>
        </w:div>
      </w:divsChild>
    </w:div>
    <w:div w:id="569997326">
      <w:bodyDiv w:val="1"/>
      <w:marLeft w:val="0"/>
      <w:marRight w:val="0"/>
      <w:marTop w:val="0"/>
      <w:marBottom w:val="0"/>
      <w:divBdr>
        <w:top w:val="none" w:sz="0" w:space="0" w:color="auto"/>
        <w:left w:val="none" w:sz="0" w:space="0" w:color="auto"/>
        <w:bottom w:val="none" w:sz="0" w:space="0" w:color="auto"/>
        <w:right w:val="none" w:sz="0" w:space="0" w:color="auto"/>
      </w:divBdr>
    </w:div>
    <w:div w:id="583994216">
      <w:bodyDiv w:val="1"/>
      <w:marLeft w:val="0"/>
      <w:marRight w:val="0"/>
      <w:marTop w:val="0"/>
      <w:marBottom w:val="0"/>
      <w:divBdr>
        <w:top w:val="none" w:sz="0" w:space="0" w:color="auto"/>
        <w:left w:val="none" w:sz="0" w:space="0" w:color="auto"/>
        <w:bottom w:val="none" w:sz="0" w:space="0" w:color="auto"/>
        <w:right w:val="none" w:sz="0" w:space="0" w:color="auto"/>
      </w:divBdr>
    </w:div>
    <w:div w:id="595287184">
      <w:bodyDiv w:val="1"/>
      <w:marLeft w:val="0"/>
      <w:marRight w:val="0"/>
      <w:marTop w:val="0"/>
      <w:marBottom w:val="0"/>
      <w:divBdr>
        <w:top w:val="none" w:sz="0" w:space="0" w:color="auto"/>
        <w:left w:val="none" w:sz="0" w:space="0" w:color="auto"/>
        <w:bottom w:val="none" w:sz="0" w:space="0" w:color="auto"/>
        <w:right w:val="none" w:sz="0" w:space="0" w:color="auto"/>
      </w:divBdr>
      <w:divsChild>
        <w:div w:id="1487940675">
          <w:marLeft w:val="446"/>
          <w:marRight w:val="0"/>
          <w:marTop w:val="120"/>
          <w:marBottom w:val="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6610476">
      <w:bodyDiv w:val="1"/>
      <w:marLeft w:val="0"/>
      <w:marRight w:val="0"/>
      <w:marTop w:val="0"/>
      <w:marBottom w:val="0"/>
      <w:divBdr>
        <w:top w:val="none" w:sz="0" w:space="0" w:color="auto"/>
        <w:left w:val="none" w:sz="0" w:space="0" w:color="auto"/>
        <w:bottom w:val="none" w:sz="0" w:space="0" w:color="auto"/>
        <w:right w:val="none" w:sz="0" w:space="0" w:color="auto"/>
      </w:divBdr>
      <w:divsChild>
        <w:div w:id="749959701">
          <w:marLeft w:val="446"/>
          <w:marRight w:val="0"/>
          <w:marTop w:val="12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58971303">
      <w:bodyDiv w:val="1"/>
      <w:marLeft w:val="0"/>
      <w:marRight w:val="0"/>
      <w:marTop w:val="0"/>
      <w:marBottom w:val="0"/>
      <w:divBdr>
        <w:top w:val="none" w:sz="0" w:space="0" w:color="auto"/>
        <w:left w:val="none" w:sz="0" w:space="0" w:color="auto"/>
        <w:bottom w:val="none" w:sz="0" w:space="0" w:color="auto"/>
        <w:right w:val="none" w:sz="0" w:space="0" w:color="auto"/>
      </w:divBdr>
      <w:divsChild>
        <w:div w:id="269901534">
          <w:marLeft w:val="446"/>
          <w:marRight w:val="0"/>
          <w:marTop w:val="32"/>
          <w:marBottom w:val="0"/>
          <w:divBdr>
            <w:top w:val="none" w:sz="0" w:space="0" w:color="auto"/>
            <w:left w:val="none" w:sz="0" w:space="0" w:color="auto"/>
            <w:bottom w:val="none" w:sz="0" w:space="0" w:color="auto"/>
            <w:right w:val="none" w:sz="0" w:space="0" w:color="auto"/>
          </w:divBdr>
        </w:div>
        <w:div w:id="401222725">
          <w:marLeft w:val="446"/>
          <w:marRight w:val="0"/>
          <w:marTop w:val="32"/>
          <w:marBottom w:val="0"/>
          <w:divBdr>
            <w:top w:val="none" w:sz="0" w:space="0" w:color="auto"/>
            <w:left w:val="none" w:sz="0" w:space="0" w:color="auto"/>
            <w:bottom w:val="none" w:sz="0" w:space="0" w:color="auto"/>
            <w:right w:val="none" w:sz="0" w:space="0" w:color="auto"/>
          </w:divBdr>
        </w:div>
        <w:div w:id="815145330">
          <w:marLeft w:val="446"/>
          <w:marRight w:val="0"/>
          <w:marTop w:val="32"/>
          <w:marBottom w:val="0"/>
          <w:divBdr>
            <w:top w:val="none" w:sz="0" w:space="0" w:color="auto"/>
            <w:left w:val="none" w:sz="0" w:space="0" w:color="auto"/>
            <w:bottom w:val="none" w:sz="0" w:space="0" w:color="auto"/>
            <w:right w:val="none" w:sz="0" w:space="0" w:color="auto"/>
          </w:divBdr>
        </w:div>
        <w:div w:id="1087728895">
          <w:marLeft w:val="446"/>
          <w:marRight w:val="0"/>
          <w:marTop w:val="32"/>
          <w:marBottom w:val="0"/>
          <w:divBdr>
            <w:top w:val="none" w:sz="0" w:space="0" w:color="auto"/>
            <w:left w:val="none" w:sz="0" w:space="0" w:color="auto"/>
            <w:bottom w:val="none" w:sz="0" w:space="0" w:color="auto"/>
            <w:right w:val="none" w:sz="0" w:space="0" w:color="auto"/>
          </w:divBdr>
        </w:div>
        <w:div w:id="1791052298">
          <w:marLeft w:val="1526"/>
          <w:marRight w:val="0"/>
          <w:marTop w:val="32"/>
          <w:marBottom w:val="0"/>
          <w:divBdr>
            <w:top w:val="none" w:sz="0" w:space="0" w:color="auto"/>
            <w:left w:val="none" w:sz="0" w:space="0" w:color="auto"/>
            <w:bottom w:val="none" w:sz="0" w:space="0" w:color="auto"/>
            <w:right w:val="none" w:sz="0" w:space="0" w:color="auto"/>
          </w:divBdr>
        </w:div>
        <w:div w:id="1939869878">
          <w:marLeft w:val="446"/>
          <w:marRight w:val="0"/>
          <w:marTop w:val="32"/>
          <w:marBottom w:val="0"/>
          <w:divBdr>
            <w:top w:val="none" w:sz="0" w:space="0" w:color="auto"/>
            <w:left w:val="none" w:sz="0" w:space="0" w:color="auto"/>
            <w:bottom w:val="none" w:sz="0" w:space="0" w:color="auto"/>
            <w:right w:val="none" w:sz="0" w:space="0" w:color="auto"/>
          </w:divBdr>
        </w:div>
        <w:div w:id="2002812543">
          <w:marLeft w:val="1526"/>
          <w:marRight w:val="0"/>
          <w:marTop w:val="32"/>
          <w:marBottom w:val="0"/>
          <w:divBdr>
            <w:top w:val="none" w:sz="0" w:space="0" w:color="auto"/>
            <w:left w:val="none" w:sz="0" w:space="0" w:color="auto"/>
            <w:bottom w:val="none" w:sz="0" w:space="0" w:color="auto"/>
            <w:right w:val="none" w:sz="0" w:space="0" w:color="auto"/>
          </w:divBdr>
        </w:div>
      </w:divsChild>
    </w:div>
    <w:div w:id="735201756">
      <w:bodyDiv w:val="1"/>
      <w:marLeft w:val="0"/>
      <w:marRight w:val="0"/>
      <w:marTop w:val="0"/>
      <w:marBottom w:val="0"/>
      <w:divBdr>
        <w:top w:val="none" w:sz="0" w:space="0" w:color="auto"/>
        <w:left w:val="none" w:sz="0" w:space="0" w:color="auto"/>
        <w:bottom w:val="none" w:sz="0" w:space="0" w:color="auto"/>
        <w:right w:val="none" w:sz="0" w:space="0" w:color="auto"/>
      </w:divBdr>
    </w:div>
    <w:div w:id="736827044">
      <w:bodyDiv w:val="1"/>
      <w:marLeft w:val="0"/>
      <w:marRight w:val="0"/>
      <w:marTop w:val="0"/>
      <w:marBottom w:val="0"/>
      <w:divBdr>
        <w:top w:val="none" w:sz="0" w:space="0" w:color="auto"/>
        <w:left w:val="none" w:sz="0" w:space="0" w:color="auto"/>
        <w:bottom w:val="none" w:sz="0" w:space="0" w:color="auto"/>
        <w:right w:val="none" w:sz="0" w:space="0" w:color="auto"/>
      </w:divBdr>
      <w:divsChild>
        <w:div w:id="42350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376535">
      <w:bodyDiv w:val="1"/>
      <w:marLeft w:val="0"/>
      <w:marRight w:val="0"/>
      <w:marTop w:val="0"/>
      <w:marBottom w:val="0"/>
      <w:divBdr>
        <w:top w:val="none" w:sz="0" w:space="0" w:color="auto"/>
        <w:left w:val="none" w:sz="0" w:space="0" w:color="auto"/>
        <w:bottom w:val="none" w:sz="0" w:space="0" w:color="auto"/>
        <w:right w:val="none" w:sz="0" w:space="0" w:color="auto"/>
      </w:divBdr>
    </w:div>
    <w:div w:id="790513972">
      <w:bodyDiv w:val="1"/>
      <w:marLeft w:val="0"/>
      <w:marRight w:val="0"/>
      <w:marTop w:val="0"/>
      <w:marBottom w:val="0"/>
      <w:divBdr>
        <w:top w:val="none" w:sz="0" w:space="0" w:color="auto"/>
        <w:left w:val="none" w:sz="0" w:space="0" w:color="auto"/>
        <w:bottom w:val="none" w:sz="0" w:space="0" w:color="auto"/>
        <w:right w:val="none" w:sz="0" w:space="0" w:color="auto"/>
      </w:divBdr>
    </w:div>
    <w:div w:id="832645229">
      <w:bodyDiv w:val="1"/>
      <w:marLeft w:val="0"/>
      <w:marRight w:val="0"/>
      <w:marTop w:val="0"/>
      <w:marBottom w:val="0"/>
      <w:divBdr>
        <w:top w:val="none" w:sz="0" w:space="0" w:color="auto"/>
        <w:left w:val="none" w:sz="0" w:space="0" w:color="auto"/>
        <w:bottom w:val="none" w:sz="0" w:space="0" w:color="auto"/>
        <w:right w:val="none" w:sz="0" w:space="0" w:color="auto"/>
      </w:divBdr>
    </w:div>
    <w:div w:id="878473803">
      <w:bodyDiv w:val="1"/>
      <w:marLeft w:val="0"/>
      <w:marRight w:val="0"/>
      <w:marTop w:val="0"/>
      <w:marBottom w:val="0"/>
      <w:divBdr>
        <w:top w:val="none" w:sz="0" w:space="0" w:color="auto"/>
        <w:left w:val="none" w:sz="0" w:space="0" w:color="auto"/>
        <w:bottom w:val="none" w:sz="0" w:space="0" w:color="auto"/>
        <w:right w:val="none" w:sz="0" w:space="0" w:color="auto"/>
      </w:divBdr>
    </w:div>
    <w:div w:id="885264308">
      <w:bodyDiv w:val="1"/>
      <w:marLeft w:val="0"/>
      <w:marRight w:val="0"/>
      <w:marTop w:val="0"/>
      <w:marBottom w:val="0"/>
      <w:divBdr>
        <w:top w:val="none" w:sz="0" w:space="0" w:color="auto"/>
        <w:left w:val="none" w:sz="0" w:space="0" w:color="auto"/>
        <w:bottom w:val="none" w:sz="0" w:space="0" w:color="auto"/>
        <w:right w:val="none" w:sz="0" w:space="0" w:color="auto"/>
      </w:divBdr>
    </w:div>
    <w:div w:id="911164996">
      <w:bodyDiv w:val="1"/>
      <w:marLeft w:val="0"/>
      <w:marRight w:val="0"/>
      <w:marTop w:val="0"/>
      <w:marBottom w:val="0"/>
      <w:divBdr>
        <w:top w:val="none" w:sz="0" w:space="0" w:color="auto"/>
        <w:left w:val="none" w:sz="0" w:space="0" w:color="auto"/>
        <w:bottom w:val="none" w:sz="0" w:space="0" w:color="auto"/>
        <w:right w:val="none" w:sz="0" w:space="0" w:color="auto"/>
      </w:divBdr>
    </w:div>
    <w:div w:id="917059937">
      <w:bodyDiv w:val="1"/>
      <w:marLeft w:val="0"/>
      <w:marRight w:val="0"/>
      <w:marTop w:val="0"/>
      <w:marBottom w:val="0"/>
      <w:divBdr>
        <w:top w:val="none" w:sz="0" w:space="0" w:color="auto"/>
        <w:left w:val="none" w:sz="0" w:space="0" w:color="auto"/>
        <w:bottom w:val="none" w:sz="0" w:space="0" w:color="auto"/>
        <w:right w:val="none" w:sz="0" w:space="0" w:color="auto"/>
      </w:divBdr>
      <w:divsChild>
        <w:div w:id="345326517">
          <w:marLeft w:val="446"/>
          <w:marRight w:val="0"/>
          <w:marTop w:val="200"/>
          <w:marBottom w:val="0"/>
          <w:divBdr>
            <w:top w:val="none" w:sz="0" w:space="0" w:color="auto"/>
            <w:left w:val="none" w:sz="0" w:space="0" w:color="auto"/>
            <w:bottom w:val="none" w:sz="0" w:space="0" w:color="auto"/>
            <w:right w:val="none" w:sz="0" w:space="0" w:color="auto"/>
          </w:divBdr>
        </w:div>
        <w:div w:id="1778982305">
          <w:marLeft w:val="446"/>
          <w:marRight w:val="0"/>
          <w:marTop w:val="200"/>
          <w:marBottom w:val="0"/>
          <w:divBdr>
            <w:top w:val="none" w:sz="0" w:space="0" w:color="auto"/>
            <w:left w:val="none" w:sz="0" w:space="0" w:color="auto"/>
            <w:bottom w:val="none" w:sz="0" w:space="0" w:color="auto"/>
            <w:right w:val="none" w:sz="0" w:space="0" w:color="auto"/>
          </w:divBdr>
        </w:div>
      </w:divsChild>
    </w:div>
    <w:div w:id="958533253">
      <w:bodyDiv w:val="1"/>
      <w:marLeft w:val="0"/>
      <w:marRight w:val="0"/>
      <w:marTop w:val="0"/>
      <w:marBottom w:val="0"/>
      <w:divBdr>
        <w:top w:val="none" w:sz="0" w:space="0" w:color="auto"/>
        <w:left w:val="none" w:sz="0" w:space="0" w:color="auto"/>
        <w:bottom w:val="none" w:sz="0" w:space="0" w:color="auto"/>
        <w:right w:val="none" w:sz="0" w:space="0" w:color="auto"/>
      </w:divBdr>
    </w:div>
    <w:div w:id="1001740266">
      <w:bodyDiv w:val="1"/>
      <w:marLeft w:val="0"/>
      <w:marRight w:val="0"/>
      <w:marTop w:val="0"/>
      <w:marBottom w:val="0"/>
      <w:divBdr>
        <w:top w:val="none" w:sz="0" w:space="0" w:color="auto"/>
        <w:left w:val="none" w:sz="0" w:space="0" w:color="auto"/>
        <w:bottom w:val="none" w:sz="0" w:space="0" w:color="auto"/>
        <w:right w:val="none" w:sz="0" w:space="0" w:color="auto"/>
      </w:divBdr>
    </w:div>
    <w:div w:id="1002591101">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70813069">
      <w:bodyDiv w:val="1"/>
      <w:marLeft w:val="0"/>
      <w:marRight w:val="0"/>
      <w:marTop w:val="0"/>
      <w:marBottom w:val="0"/>
      <w:divBdr>
        <w:top w:val="none" w:sz="0" w:space="0" w:color="auto"/>
        <w:left w:val="none" w:sz="0" w:space="0" w:color="auto"/>
        <w:bottom w:val="none" w:sz="0" w:space="0" w:color="auto"/>
        <w:right w:val="none" w:sz="0" w:space="0" w:color="auto"/>
      </w:divBdr>
      <w:divsChild>
        <w:div w:id="118888513">
          <w:marLeft w:val="446"/>
          <w:marRight w:val="0"/>
          <w:marTop w:val="32"/>
          <w:marBottom w:val="0"/>
          <w:divBdr>
            <w:top w:val="none" w:sz="0" w:space="0" w:color="auto"/>
            <w:left w:val="none" w:sz="0" w:space="0" w:color="auto"/>
            <w:bottom w:val="none" w:sz="0" w:space="0" w:color="auto"/>
            <w:right w:val="none" w:sz="0" w:space="0" w:color="auto"/>
          </w:divBdr>
        </w:div>
        <w:div w:id="321813533">
          <w:marLeft w:val="446"/>
          <w:marRight w:val="0"/>
          <w:marTop w:val="32"/>
          <w:marBottom w:val="0"/>
          <w:divBdr>
            <w:top w:val="none" w:sz="0" w:space="0" w:color="auto"/>
            <w:left w:val="none" w:sz="0" w:space="0" w:color="auto"/>
            <w:bottom w:val="none" w:sz="0" w:space="0" w:color="auto"/>
            <w:right w:val="none" w:sz="0" w:space="0" w:color="auto"/>
          </w:divBdr>
        </w:div>
        <w:div w:id="808211364">
          <w:marLeft w:val="446"/>
          <w:marRight w:val="0"/>
          <w:marTop w:val="32"/>
          <w:marBottom w:val="0"/>
          <w:divBdr>
            <w:top w:val="none" w:sz="0" w:space="0" w:color="auto"/>
            <w:left w:val="none" w:sz="0" w:space="0" w:color="auto"/>
            <w:bottom w:val="none" w:sz="0" w:space="0" w:color="auto"/>
            <w:right w:val="none" w:sz="0" w:space="0" w:color="auto"/>
          </w:divBdr>
        </w:div>
        <w:div w:id="1012335778">
          <w:marLeft w:val="1526"/>
          <w:marRight w:val="0"/>
          <w:marTop w:val="32"/>
          <w:marBottom w:val="0"/>
          <w:divBdr>
            <w:top w:val="none" w:sz="0" w:space="0" w:color="auto"/>
            <w:left w:val="none" w:sz="0" w:space="0" w:color="auto"/>
            <w:bottom w:val="none" w:sz="0" w:space="0" w:color="auto"/>
            <w:right w:val="none" w:sz="0" w:space="0" w:color="auto"/>
          </w:divBdr>
        </w:div>
        <w:div w:id="1297024203">
          <w:marLeft w:val="1526"/>
          <w:marRight w:val="0"/>
          <w:marTop w:val="32"/>
          <w:marBottom w:val="0"/>
          <w:divBdr>
            <w:top w:val="none" w:sz="0" w:space="0" w:color="auto"/>
            <w:left w:val="none" w:sz="0" w:space="0" w:color="auto"/>
            <w:bottom w:val="none" w:sz="0" w:space="0" w:color="auto"/>
            <w:right w:val="none" w:sz="0" w:space="0" w:color="auto"/>
          </w:divBdr>
        </w:div>
        <w:div w:id="1758600839">
          <w:marLeft w:val="446"/>
          <w:marRight w:val="0"/>
          <w:marTop w:val="32"/>
          <w:marBottom w:val="0"/>
          <w:divBdr>
            <w:top w:val="none" w:sz="0" w:space="0" w:color="auto"/>
            <w:left w:val="none" w:sz="0" w:space="0" w:color="auto"/>
            <w:bottom w:val="none" w:sz="0" w:space="0" w:color="auto"/>
            <w:right w:val="none" w:sz="0" w:space="0" w:color="auto"/>
          </w:divBdr>
        </w:div>
        <w:div w:id="1980572484">
          <w:marLeft w:val="446"/>
          <w:marRight w:val="0"/>
          <w:marTop w:val="32"/>
          <w:marBottom w:val="0"/>
          <w:divBdr>
            <w:top w:val="none" w:sz="0" w:space="0" w:color="auto"/>
            <w:left w:val="none" w:sz="0" w:space="0" w:color="auto"/>
            <w:bottom w:val="none" w:sz="0" w:space="0" w:color="auto"/>
            <w:right w:val="none" w:sz="0" w:space="0" w:color="auto"/>
          </w:divBdr>
        </w:div>
      </w:divsChild>
    </w:div>
    <w:div w:id="1092505899">
      <w:bodyDiv w:val="1"/>
      <w:marLeft w:val="0"/>
      <w:marRight w:val="0"/>
      <w:marTop w:val="0"/>
      <w:marBottom w:val="0"/>
      <w:divBdr>
        <w:top w:val="none" w:sz="0" w:space="0" w:color="auto"/>
        <w:left w:val="none" w:sz="0" w:space="0" w:color="auto"/>
        <w:bottom w:val="none" w:sz="0" w:space="0" w:color="auto"/>
        <w:right w:val="none" w:sz="0" w:space="0" w:color="auto"/>
      </w:divBdr>
      <w:divsChild>
        <w:div w:id="469176072">
          <w:marLeft w:val="960"/>
          <w:marRight w:val="0"/>
          <w:marTop w:val="0"/>
          <w:marBottom w:val="0"/>
          <w:divBdr>
            <w:top w:val="none" w:sz="0" w:space="0" w:color="auto"/>
            <w:left w:val="none" w:sz="0" w:space="0" w:color="auto"/>
            <w:bottom w:val="none" w:sz="0" w:space="0" w:color="auto"/>
            <w:right w:val="none" w:sz="0" w:space="0" w:color="auto"/>
          </w:divBdr>
        </w:div>
      </w:divsChild>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36944847">
      <w:bodyDiv w:val="1"/>
      <w:marLeft w:val="0"/>
      <w:marRight w:val="0"/>
      <w:marTop w:val="0"/>
      <w:marBottom w:val="0"/>
      <w:divBdr>
        <w:top w:val="none" w:sz="0" w:space="0" w:color="auto"/>
        <w:left w:val="none" w:sz="0" w:space="0" w:color="auto"/>
        <w:bottom w:val="none" w:sz="0" w:space="0" w:color="auto"/>
        <w:right w:val="none" w:sz="0" w:space="0" w:color="auto"/>
      </w:divBdr>
      <w:divsChild>
        <w:div w:id="1909925539">
          <w:marLeft w:val="446"/>
          <w:marRight w:val="0"/>
          <w:marTop w:val="0"/>
          <w:marBottom w:val="0"/>
          <w:divBdr>
            <w:top w:val="none" w:sz="0" w:space="0" w:color="auto"/>
            <w:left w:val="none" w:sz="0" w:space="0" w:color="auto"/>
            <w:bottom w:val="none" w:sz="0" w:space="0" w:color="auto"/>
            <w:right w:val="none" w:sz="0" w:space="0" w:color="auto"/>
          </w:divBdr>
        </w:div>
      </w:divsChild>
    </w:div>
    <w:div w:id="1145270063">
      <w:bodyDiv w:val="1"/>
      <w:marLeft w:val="0"/>
      <w:marRight w:val="0"/>
      <w:marTop w:val="0"/>
      <w:marBottom w:val="0"/>
      <w:divBdr>
        <w:top w:val="none" w:sz="0" w:space="0" w:color="auto"/>
        <w:left w:val="none" w:sz="0" w:space="0" w:color="auto"/>
        <w:bottom w:val="none" w:sz="0" w:space="0" w:color="auto"/>
        <w:right w:val="none" w:sz="0" w:space="0" w:color="auto"/>
      </w:divBdr>
      <w:divsChild>
        <w:div w:id="1900555846">
          <w:marLeft w:val="446"/>
          <w:marRight w:val="0"/>
          <w:marTop w:val="120"/>
          <w:marBottom w:val="0"/>
          <w:divBdr>
            <w:top w:val="none" w:sz="0" w:space="0" w:color="auto"/>
            <w:left w:val="none" w:sz="0" w:space="0" w:color="auto"/>
            <w:bottom w:val="none" w:sz="0" w:space="0" w:color="auto"/>
            <w:right w:val="none" w:sz="0" w:space="0" w:color="auto"/>
          </w:divBdr>
        </w:div>
      </w:divsChild>
    </w:div>
    <w:div w:id="1172331167">
      <w:bodyDiv w:val="1"/>
      <w:marLeft w:val="0"/>
      <w:marRight w:val="0"/>
      <w:marTop w:val="0"/>
      <w:marBottom w:val="0"/>
      <w:divBdr>
        <w:top w:val="none" w:sz="0" w:space="0" w:color="auto"/>
        <w:left w:val="none" w:sz="0" w:space="0" w:color="auto"/>
        <w:bottom w:val="none" w:sz="0" w:space="0" w:color="auto"/>
        <w:right w:val="none" w:sz="0" w:space="0" w:color="auto"/>
      </w:divBdr>
      <w:divsChild>
        <w:div w:id="312175283">
          <w:marLeft w:val="0"/>
          <w:marRight w:val="0"/>
          <w:marTop w:val="0"/>
          <w:marBottom w:val="0"/>
          <w:divBdr>
            <w:top w:val="none" w:sz="0" w:space="0" w:color="auto"/>
            <w:left w:val="none" w:sz="0" w:space="0" w:color="auto"/>
            <w:bottom w:val="none" w:sz="0" w:space="0" w:color="auto"/>
            <w:right w:val="none" w:sz="0" w:space="0" w:color="auto"/>
          </w:divBdr>
          <w:divsChild>
            <w:div w:id="1629972184">
              <w:marLeft w:val="-75"/>
              <w:marRight w:val="0"/>
              <w:marTop w:val="30"/>
              <w:marBottom w:val="30"/>
              <w:divBdr>
                <w:top w:val="none" w:sz="0" w:space="0" w:color="auto"/>
                <w:left w:val="none" w:sz="0" w:space="0" w:color="auto"/>
                <w:bottom w:val="none" w:sz="0" w:space="0" w:color="auto"/>
                <w:right w:val="none" w:sz="0" w:space="0" w:color="auto"/>
              </w:divBdr>
              <w:divsChild>
                <w:div w:id="176889047">
                  <w:marLeft w:val="0"/>
                  <w:marRight w:val="0"/>
                  <w:marTop w:val="0"/>
                  <w:marBottom w:val="0"/>
                  <w:divBdr>
                    <w:top w:val="none" w:sz="0" w:space="0" w:color="auto"/>
                    <w:left w:val="none" w:sz="0" w:space="0" w:color="auto"/>
                    <w:bottom w:val="none" w:sz="0" w:space="0" w:color="auto"/>
                    <w:right w:val="none" w:sz="0" w:space="0" w:color="auto"/>
                  </w:divBdr>
                  <w:divsChild>
                    <w:div w:id="281150671">
                      <w:marLeft w:val="0"/>
                      <w:marRight w:val="0"/>
                      <w:marTop w:val="0"/>
                      <w:marBottom w:val="0"/>
                      <w:divBdr>
                        <w:top w:val="none" w:sz="0" w:space="0" w:color="auto"/>
                        <w:left w:val="none" w:sz="0" w:space="0" w:color="auto"/>
                        <w:bottom w:val="none" w:sz="0" w:space="0" w:color="auto"/>
                        <w:right w:val="none" w:sz="0" w:space="0" w:color="auto"/>
                      </w:divBdr>
                    </w:div>
                  </w:divsChild>
                </w:div>
                <w:div w:id="376903119">
                  <w:marLeft w:val="0"/>
                  <w:marRight w:val="0"/>
                  <w:marTop w:val="0"/>
                  <w:marBottom w:val="0"/>
                  <w:divBdr>
                    <w:top w:val="none" w:sz="0" w:space="0" w:color="auto"/>
                    <w:left w:val="none" w:sz="0" w:space="0" w:color="auto"/>
                    <w:bottom w:val="none" w:sz="0" w:space="0" w:color="auto"/>
                    <w:right w:val="none" w:sz="0" w:space="0" w:color="auto"/>
                  </w:divBdr>
                  <w:divsChild>
                    <w:div w:id="1960642991">
                      <w:marLeft w:val="0"/>
                      <w:marRight w:val="0"/>
                      <w:marTop w:val="0"/>
                      <w:marBottom w:val="0"/>
                      <w:divBdr>
                        <w:top w:val="none" w:sz="0" w:space="0" w:color="auto"/>
                        <w:left w:val="none" w:sz="0" w:space="0" w:color="auto"/>
                        <w:bottom w:val="none" w:sz="0" w:space="0" w:color="auto"/>
                        <w:right w:val="none" w:sz="0" w:space="0" w:color="auto"/>
                      </w:divBdr>
                    </w:div>
                  </w:divsChild>
                </w:div>
                <w:div w:id="795833899">
                  <w:marLeft w:val="0"/>
                  <w:marRight w:val="0"/>
                  <w:marTop w:val="0"/>
                  <w:marBottom w:val="0"/>
                  <w:divBdr>
                    <w:top w:val="none" w:sz="0" w:space="0" w:color="auto"/>
                    <w:left w:val="none" w:sz="0" w:space="0" w:color="auto"/>
                    <w:bottom w:val="none" w:sz="0" w:space="0" w:color="auto"/>
                    <w:right w:val="none" w:sz="0" w:space="0" w:color="auto"/>
                  </w:divBdr>
                  <w:divsChild>
                    <w:div w:id="1519155790">
                      <w:marLeft w:val="0"/>
                      <w:marRight w:val="0"/>
                      <w:marTop w:val="0"/>
                      <w:marBottom w:val="0"/>
                      <w:divBdr>
                        <w:top w:val="none" w:sz="0" w:space="0" w:color="auto"/>
                        <w:left w:val="none" w:sz="0" w:space="0" w:color="auto"/>
                        <w:bottom w:val="none" w:sz="0" w:space="0" w:color="auto"/>
                        <w:right w:val="none" w:sz="0" w:space="0" w:color="auto"/>
                      </w:divBdr>
                    </w:div>
                  </w:divsChild>
                </w:div>
                <w:div w:id="891772797">
                  <w:marLeft w:val="0"/>
                  <w:marRight w:val="0"/>
                  <w:marTop w:val="0"/>
                  <w:marBottom w:val="0"/>
                  <w:divBdr>
                    <w:top w:val="none" w:sz="0" w:space="0" w:color="auto"/>
                    <w:left w:val="none" w:sz="0" w:space="0" w:color="auto"/>
                    <w:bottom w:val="none" w:sz="0" w:space="0" w:color="auto"/>
                    <w:right w:val="none" w:sz="0" w:space="0" w:color="auto"/>
                  </w:divBdr>
                  <w:divsChild>
                    <w:div w:id="543563556">
                      <w:marLeft w:val="0"/>
                      <w:marRight w:val="0"/>
                      <w:marTop w:val="0"/>
                      <w:marBottom w:val="0"/>
                      <w:divBdr>
                        <w:top w:val="none" w:sz="0" w:space="0" w:color="auto"/>
                        <w:left w:val="none" w:sz="0" w:space="0" w:color="auto"/>
                        <w:bottom w:val="none" w:sz="0" w:space="0" w:color="auto"/>
                        <w:right w:val="none" w:sz="0" w:space="0" w:color="auto"/>
                      </w:divBdr>
                    </w:div>
                  </w:divsChild>
                </w:div>
                <w:div w:id="1005208267">
                  <w:marLeft w:val="0"/>
                  <w:marRight w:val="0"/>
                  <w:marTop w:val="0"/>
                  <w:marBottom w:val="0"/>
                  <w:divBdr>
                    <w:top w:val="none" w:sz="0" w:space="0" w:color="auto"/>
                    <w:left w:val="none" w:sz="0" w:space="0" w:color="auto"/>
                    <w:bottom w:val="none" w:sz="0" w:space="0" w:color="auto"/>
                    <w:right w:val="none" w:sz="0" w:space="0" w:color="auto"/>
                  </w:divBdr>
                  <w:divsChild>
                    <w:div w:id="1756248453">
                      <w:marLeft w:val="0"/>
                      <w:marRight w:val="0"/>
                      <w:marTop w:val="0"/>
                      <w:marBottom w:val="0"/>
                      <w:divBdr>
                        <w:top w:val="none" w:sz="0" w:space="0" w:color="auto"/>
                        <w:left w:val="none" w:sz="0" w:space="0" w:color="auto"/>
                        <w:bottom w:val="none" w:sz="0" w:space="0" w:color="auto"/>
                        <w:right w:val="none" w:sz="0" w:space="0" w:color="auto"/>
                      </w:divBdr>
                    </w:div>
                  </w:divsChild>
                </w:div>
                <w:div w:id="1341196528">
                  <w:marLeft w:val="0"/>
                  <w:marRight w:val="0"/>
                  <w:marTop w:val="0"/>
                  <w:marBottom w:val="0"/>
                  <w:divBdr>
                    <w:top w:val="none" w:sz="0" w:space="0" w:color="auto"/>
                    <w:left w:val="none" w:sz="0" w:space="0" w:color="auto"/>
                    <w:bottom w:val="none" w:sz="0" w:space="0" w:color="auto"/>
                    <w:right w:val="none" w:sz="0" w:space="0" w:color="auto"/>
                  </w:divBdr>
                  <w:divsChild>
                    <w:div w:id="1691450782">
                      <w:marLeft w:val="0"/>
                      <w:marRight w:val="0"/>
                      <w:marTop w:val="0"/>
                      <w:marBottom w:val="0"/>
                      <w:divBdr>
                        <w:top w:val="none" w:sz="0" w:space="0" w:color="auto"/>
                        <w:left w:val="none" w:sz="0" w:space="0" w:color="auto"/>
                        <w:bottom w:val="none" w:sz="0" w:space="0" w:color="auto"/>
                        <w:right w:val="none" w:sz="0" w:space="0" w:color="auto"/>
                      </w:divBdr>
                    </w:div>
                  </w:divsChild>
                </w:div>
                <w:div w:id="1368293125">
                  <w:marLeft w:val="0"/>
                  <w:marRight w:val="0"/>
                  <w:marTop w:val="0"/>
                  <w:marBottom w:val="0"/>
                  <w:divBdr>
                    <w:top w:val="none" w:sz="0" w:space="0" w:color="auto"/>
                    <w:left w:val="none" w:sz="0" w:space="0" w:color="auto"/>
                    <w:bottom w:val="none" w:sz="0" w:space="0" w:color="auto"/>
                    <w:right w:val="none" w:sz="0" w:space="0" w:color="auto"/>
                  </w:divBdr>
                  <w:divsChild>
                    <w:div w:id="1759789173">
                      <w:marLeft w:val="0"/>
                      <w:marRight w:val="0"/>
                      <w:marTop w:val="0"/>
                      <w:marBottom w:val="0"/>
                      <w:divBdr>
                        <w:top w:val="none" w:sz="0" w:space="0" w:color="auto"/>
                        <w:left w:val="none" w:sz="0" w:space="0" w:color="auto"/>
                        <w:bottom w:val="none" w:sz="0" w:space="0" w:color="auto"/>
                        <w:right w:val="none" w:sz="0" w:space="0" w:color="auto"/>
                      </w:divBdr>
                    </w:div>
                  </w:divsChild>
                </w:div>
                <w:div w:id="1578055464">
                  <w:marLeft w:val="0"/>
                  <w:marRight w:val="0"/>
                  <w:marTop w:val="0"/>
                  <w:marBottom w:val="0"/>
                  <w:divBdr>
                    <w:top w:val="none" w:sz="0" w:space="0" w:color="auto"/>
                    <w:left w:val="none" w:sz="0" w:space="0" w:color="auto"/>
                    <w:bottom w:val="none" w:sz="0" w:space="0" w:color="auto"/>
                    <w:right w:val="none" w:sz="0" w:space="0" w:color="auto"/>
                  </w:divBdr>
                  <w:divsChild>
                    <w:div w:id="1298490678">
                      <w:marLeft w:val="0"/>
                      <w:marRight w:val="0"/>
                      <w:marTop w:val="0"/>
                      <w:marBottom w:val="0"/>
                      <w:divBdr>
                        <w:top w:val="none" w:sz="0" w:space="0" w:color="auto"/>
                        <w:left w:val="none" w:sz="0" w:space="0" w:color="auto"/>
                        <w:bottom w:val="none" w:sz="0" w:space="0" w:color="auto"/>
                        <w:right w:val="none" w:sz="0" w:space="0" w:color="auto"/>
                      </w:divBdr>
                    </w:div>
                  </w:divsChild>
                </w:div>
                <w:div w:id="1921676907">
                  <w:marLeft w:val="0"/>
                  <w:marRight w:val="0"/>
                  <w:marTop w:val="0"/>
                  <w:marBottom w:val="0"/>
                  <w:divBdr>
                    <w:top w:val="none" w:sz="0" w:space="0" w:color="auto"/>
                    <w:left w:val="none" w:sz="0" w:space="0" w:color="auto"/>
                    <w:bottom w:val="none" w:sz="0" w:space="0" w:color="auto"/>
                    <w:right w:val="none" w:sz="0" w:space="0" w:color="auto"/>
                  </w:divBdr>
                  <w:divsChild>
                    <w:div w:id="2080515041">
                      <w:marLeft w:val="0"/>
                      <w:marRight w:val="0"/>
                      <w:marTop w:val="0"/>
                      <w:marBottom w:val="0"/>
                      <w:divBdr>
                        <w:top w:val="none" w:sz="0" w:space="0" w:color="auto"/>
                        <w:left w:val="none" w:sz="0" w:space="0" w:color="auto"/>
                        <w:bottom w:val="none" w:sz="0" w:space="0" w:color="auto"/>
                        <w:right w:val="none" w:sz="0" w:space="0" w:color="auto"/>
                      </w:divBdr>
                    </w:div>
                  </w:divsChild>
                </w:div>
                <w:div w:id="1950510086">
                  <w:marLeft w:val="0"/>
                  <w:marRight w:val="0"/>
                  <w:marTop w:val="0"/>
                  <w:marBottom w:val="0"/>
                  <w:divBdr>
                    <w:top w:val="none" w:sz="0" w:space="0" w:color="auto"/>
                    <w:left w:val="none" w:sz="0" w:space="0" w:color="auto"/>
                    <w:bottom w:val="none" w:sz="0" w:space="0" w:color="auto"/>
                    <w:right w:val="none" w:sz="0" w:space="0" w:color="auto"/>
                  </w:divBdr>
                  <w:divsChild>
                    <w:div w:id="168717029">
                      <w:marLeft w:val="0"/>
                      <w:marRight w:val="0"/>
                      <w:marTop w:val="0"/>
                      <w:marBottom w:val="0"/>
                      <w:divBdr>
                        <w:top w:val="none" w:sz="0" w:space="0" w:color="auto"/>
                        <w:left w:val="none" w:sz="0" w:space="0" w:color="auto"/>
                        <w:bottom w:val="none" w:sz="0" w:space="0" w:color="auto"/>
                        <w:right w:val="none" w:sz="0" w:space="0" w:color="auto"/>
                      </w:divBdr>
                    </w:div>
                  </w:divsChild>
                </w:div>
                <w:div w:id="1955671599">
                  <w:marLeft w:val="0"/>
                  <w:marRight w:val="0"/>
                  <w:marTop w:val="0"/>
                  <w:marBottom w:val="0"/>
                  <w:divBdr>
                    <w:top w:val="none" w:sz="0" w:space="0" w:color="auto"/>
                    <w:left w:val="none" w:sz="0" w:space="0" w:color="auto"/>
                    <w:bottom w:val="none" w:sz="0" w:space="0" w:color="auto"/>
                    <w:right w:val="none" w:sz="0" w:space="0" w:color="auto"/>
                  </w:divBdr>
                  <w:divsChild>
                    <w:div w:id="1700931720">
                      <w:marLeft w:val="0"/>
                      <w:marRight w:val="0"/>
                      <w:marTop w:val="0"/>
                      <w:marBottom w:val="0"/>
                      <w:divBdr>
                        <w:top w:val="none" w:sz="0" w:space="0" w:color="auto"/>
                        <w:left w:val="none" w:sz="0" w:space="0" w:color="auto"/>
                        <w:bottom w:val="none" w:sz="0" w:space="0" w:color="auto"/>
                        <w:right w:val="none" w:sz="0" w:space="0" w:color="auto"/>
                      </w:divBdr>
                    </w:div>
                  </w:divsChild>
                </w:div>
                <w:div w:id="1958639677">
                  <w:marLeft w:val="0"/>
                  <w:marRight w:val="0"/>
                  <w:marTop w:val="0"/>
                  <w:marBottom w:val="0"/>
                  <w:divBdr>
                    <w:top w:val="none" w:sz="0" w:space="0" w:color="auto"/>
                    <w:left w:val="none" w:sz="0" w:space="0" w:color="auto"/>
                    <w:bottom w:val="none" w:sz="0" w:space="0" w:color="auto"/>
                    <w:right w:val="none" w:sz="0" w:space="0" w:color="auto"/>
                  </w:divBdr>
                  <w:divsChild>
                    <w:div w:id="12006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6326">
          <w:marLeft w:val="0"/>
          <w:marRight w:val="0"/>
          <w:marTop w:val="0"/>
          <w:marBottom w:val="0"/>
          <w:divBdr>
            <w:top w:val="none" w:sz="0" w:space="0" w:color="auto"/>
            <w:left w:val="none" w:sz="0" w:space="0" w:color="auto"/>
            <w:bottom w:val="none" w:sz="0" w:space="0" w:color="auto"/>
            <w:right w:val="none" w:sz="0" w:space="0" w:color="auto"/>
          </w:divBdr>
          <w:divsChild>
            <w:div w:id="208107306">
              <w:marLeft w:val="0"/>
              <w:marRight w:val="0"/>
              <w:marTop w:val="0"/>
              <w:marBottom w:val="0"/>
              <w:divBdr>
                <w:top w:val="none" w:sz="0" w:space="0" w:color="auto"/>
                <w:left w:val="none" w:sz="0" w:space="0" w:color="auto"/>
                <w:bottom w:val="none" w:sz="0" w:space="0" w:color="auto"/>
                <w:right w:val="none" w:sz="0" w:space="0" w:color="auto"/>
              </w:divBdr>
            </w:div>
            <w:div w:id="348991509">
              <w:marLeft w:val="0"/>
              <w:marRight w:val="0"/>
              <w:marTop w:val="0"/>
              <w:marBottom w:val="0"/>
              <w:divBdr>
                <w:top w:val="none" w:sz="0" w:space="0" w:color="auto"/>
                <w:left w:val="none" w:sz="0" w:space="0" w:color="auto"/>
                <w:bottom w:val="none" w:sz="0" w:space="0" w:color="auto"/>
                <w:right w:val="none" w:sz="0" w:space="0" w:color="auto"/>
              </w:divBdr>
            </w:div>
            <w:div w:id="662272181">
              <w:marLeft w:val="0"/>
              <w:marRight w:val="0"/>
              <w:marTop w:val="0"/>
              <w:marBottom w:val="0"/>
              <w:divBdr>
                <w:top w:val="none" w:sz="0" w:space="0" w:color="auto"/>
                <w:left w:val="none" w:sz="0" w:space="0" w:color="auto"/>
                <w:bottom w:val="none" w:sz="0" w:space="0" w:color="auto"/>
                <w:right w:val="none" w:sz="0" w:space="0" w:color="auto"/>
              </w:divBdr>
            </w:div>
            <w:div w:id="894388134">
              <w:marLeft w:val="0"/>
              <w:marRight w:val="0"/>
              <w:marTop w:val="0"/>
              <w:marBottom w:val="0"/>
              <w:divBdr>
                <w:top w:val="none" w:sz="0" w:space="0" w:color="auto"/>
                <w:left w:val="none" w:sz="0" w:space="0" w:color="auto"/>
                <w:bottom w:val="none" w:sz="0" w:space="0" w:color="auto"/>
                <w:right w:val="none" w:sz="0" w:space="0" w:color="auto"/>
              </w:divBdr>
            </w:div>
            <w:div w:id="1234318984">
              <w:marLeft w:val="0"/>
              <w:marRight w:val="0"/>
              <w:marTop w:val="0"/>
              <w:marBottom w:val="0"/>
              <w:divBdr>
                <w:top w:val="none" w:sz="0" w:space="0" w:color="auto"/>
                <w:left w:val="none" w:sz="0" w:space="0" w:color="auto"/>
                <w:bottom w:val="none" w:sz="0" w:space="0" w:color="auto"/>
                <w:right w:val="none" w:sz="0" w:space="0" w:color="auto"/>
              </w:divBdr>
            </w:div>
            <w:div w:id="1251700904">
              <w:marLeft w:val="0"/>
              <w:marRight w:val="0"/>
              <w:marTop w:val="0"/>
              <w:marBottom w:val="0"/>
              <w:divBdr>
                <w:top w:val="none" w:sz="0" w:space="0" w:color="auto"/>
                <w:left w:val="none" w:sz="0" w:space="0" w:color="auto"/>
                <w:bottom w:val="none" w:sz="0" w:space="0" w:color="auto"/>
                <w:right w:val="none" w:sz="0" w:space="0" w:color="auto"/>
              </w:divBdr>
            </w:div>
            <w:div w:id="1530873152">
              <w:marLeft w:val="0"/>
              <w:marRight w:val="0"/>
              <w:marTop w:val="0"/>
              <w:marBottom w:val="0"/>
              <w:divBdr>
                <w:top w:val="none" w:sz="0" w:space="0" w:color="auto"/>
                <w:left w:val="none" w:sz="0" w:space="0" w:color="auto"/>
                <w:bottom w:val="none" w:sz="0" w:space="0" w:color="auto"/>
                <w:right w:val="none" w:sz="0" w:space="0" w:color="auto"/>
              </w:divBdr>
            </w:div>
          </w:divsChild>
        </w:div>
        <w:div w:id="1785690859">
          <w:marLeft w:val="0"/>
          <w:marRight w:val="0"/>
          <w:marTop w:val="0"/>
          <w:marBottom w:val="0"/>
          <w:divBdr>
            <w:top w:val="none" w:sz="0" w:space="0" w:color="auto"/>
            <w:left w:val="none" w:sz="0" w:space="0" w:color="auto"/>
            <w:bottom w:val="none" w:sz="0" w:space="0" w:color="auto"/>
            <w:right w:val="none" w:sz="0" w:space="0" w:color="auto"/>
          </w:divBdr>
        </w:div>
      </w:divsChild>
    </w:div>
    <w:div w:id="1177115903">
      <w:bodyDiv w:val="1"/>
      <w:marLeft w:val="0"/>
      <w:marRight w:val="0"/>
      <w:marTop w:val="0"/>
      <w:marBottom w:val="0"/>
      <w:divBdr>
        <w:top w:val="none" w:sz="0" w:space="0" w:color="auto"/>
        <w:left w:val="none" w:sz="0" w:space="0" w:color="auto"/>
        <w:bottom w:val="none" w:sz="0" w:space="0" w:color="auto"/>
        <w:right w:val="none" w:sz="0" w:space="0" w:color="auto"/>
      </w:divBdr>
      <w:divsChild>
        <w:div w:id="383799133">
          <w:marLeft w:val="446"/>
          <w:marRight w:val="0"/>
          <w:marTop w:val="120"/>
          <w:marBottom w:val="0"/>
          <w:divBdr>
            <w:top w:val="none" w:sz="0" w:space="0" w:color="auto"/>
            <w:left w:val="none" w:sz="0" w:space="0" w:color="auto"/>
            <w:bottom w:val="none" w:sz="0" w:space="0" w:color="auto"/>
            <w:right w:val="none" w:sz="0" w:space="0" w:color="auto"/>
          </w:divBdr>
        </w:div>
      </w:divsChild>
    </w:div>
    <w:div w:id="1177961563">
      <w:bodyDiv w:val="1"/>
      <w:marLeft w:val="0"/>
      <w:marRight w:val="0"/>
      <w:marTop w:val="0"/>
      <w:marBottom w:val="0"/>
      <w:divBdr>
        <w:top w:val="none" w:sz="0" w:space="0" w:color="auto"/>
        <w:left w:val="none" w:sz="0" w:space="0" w:color="auto"/>
        <w:bottom w:val="none" w:sz="0" w:space="0" w:color="auto"/>
        <w:right w:val="none" w:sz="0" w:space="0" w:color="auto"/>
      </w:divBdr>
    </w:div>
    <w:div w:id="1190607575">
      <w:bodyDiv w:val="1"/>
      <w:marLeft w:val="0"/>
      <w:marRight w:val="0"/>
      <w:marTop w:val="0"/>
      <w:marBottom w:val="0"/>
      <w:divBdr>
        <w:top w:val="none" w:sz="0" w:space="0" w:color="auto"/>
        <w:left w:val="none" w:sz="0" w:space="0" w:color="auto"/>
        <w:bottom w:val="none" w:sz="0" w:space="0" w:color="auto"/>
        <w:right w:val="none" w:sz="0" w:space="0" w:color="auto"/>
      </w:divBdr>
      <w:divsChild>
        <w:div w:id="1349480211">
          <w:marLeft w:val="1166"/>
          <w:marRight w:val="0"/>
          <w:marTop w:val="0"/>
          <w:marBottom w:val="0"/>
          <w:divBdr>
            <w:top w:val="none" w:sz="0" w:space="0" w:color="auto"/>
            <w:left w:val="none" w:sz="0" w:space="0" w:color="auto"/>
            <w:bottom w:val="none" w:sz="0" w:space="0" w:color="auto"/>
            <w:right w:val="none" w:sz="0" w:space="0" w:color="auto"/>
          </w:divBdr>
        </w:div>
      </w:divsChild>
    </w:div>
    <w:div w:id="1198620062">
      <w:bodyDiv w:val="1"/>
      <w:marLeft w:val="0"/>
      <w:marRight w:val="0"/>
      <w:marTop w:val="0"/>
      <w:marBottom w:val="0"/>
      <w:divBdr>
        <w:top w:val="none" w:sz="0" w:space="0" w:color="auto"/>
        <w:left w:val="none" w:sz="0" w:space="0" w:color="auto"/>
        <w:bottom w:val="none" w:sz="0" w:space="0" w:color="auto"/>
        <w:right w:val="none" w:sz="0" w:space="0" w:color="auto"/>
      </w:divBdr>
    </w:div>
    <w:div w:id="1219047466">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60600649">
      <w:bodyDiv w:val="1"/>
      <w:marLeft w:val="0"/>
      <w:marRight w:val="0"/>
      <w:marTop w:val="0"/>
      <w:marBottom w:val="0"/>
      <w:divBdr>
        <w:top w:val="none" w:sz="0" w:space="0" w:color="auto"/>
        <w:left w:val="none" w:sz="0" w:space="0" w:color="auto"/>
        <w:bottom w:val="none" w:sz="0" w:space="0" w:color="auto"/>
        <w:right w:val="none" w:sz="0" w:space="0" w:color="auto"/>
      </w:divBdr>
    </w:div>
    <w:div w:id="1265382440">
      <w:bodyDiv w:val="1"/>
      <w:marLeft w:val="0"/>
      <w:marRight w:val="0"/>
      <w:marTop w:val="0"/>
      <w:marBottom w:val="0"/>
      <w:divBdr>
        <w:top w:val="none" w:sz="0" w:space="0" w:color="auto"/>
        <w:left w:val="none" w:sz="0" w:space="0" w:color="auto"/>
        <w:bottom w:val="none" w:sz="0" w:space="0" w:color="auto"/>
        <w:right w:val="none" w:sz="0" w:space="0" w:color="auto"/>
      </w:divBdr>
    </w:div>
    <w:div w:id="1325670112">
      <w:bodyDiv w:val="1"/>
      <w:marLeft w:val="0"/>
      <w:marRight w:val="0"/>
      <w:marTop w:val="0"/>
      <w:marBottom w:val="0"/>
      <w:divBdr>
        <w:top w:val="none" w:sz="0" w:space="0" w:color="auto"/>
        <w:left w:val="none" w:sz="0" w:space="0" w:color="auto"/>
        <w:bottom w:val="none" w:sz="0" w:space="0" w:color="auto"/>
        <w:right w:val="none" w:sz="0" w:space="0" w:color="auto"/>
      </w:divBdr>
      <w:divsChild>
        <w:div w:id="159350076">
          <w:marLeft w:val="446"/>
          <w:marRight w:val="0"/>
          <w:marTop w:val="0"/>
          <w:marBottom w:val="0"/>
          <w:divBdr>
            <w:top w:val="none" w:sz="0" w:space="0" w:color="auto"/>
            <w:left w:val="none" w:sz="0" w:space="0" w:color="auto"/>
            <w:bottom w:val="none" w:sz="0" w:space="0" w:color="auto"/>
            <w:right w:val="none" w:sz="0" w:space="0" w:color="auto"/>
          </w:divBdr>
        </w:div>
        <w:div w:id="985669266">
          <w:marLeft w:val="446"/>
          <w:marRight w:val="0"/>
          <w:marTop w:val="0"/>
          <w:marBottom w:val="0"/>
          <w:divBdr>
            <w:top w:val="none" w:sz="0" w:space="0" w:color="auto"/>
            <w:left w:val="none" w:sz="0" w:space="0" w:color="auto"/>
            <w:bottom w:val="none" w:sz="0" w:space="0" w:color="auto"/>
            <w:right w:val="none" w:sz="0" w:space="0" w:color="auto"/>
          </w:divBdr>
        </w:div>
        <w:div w:id="1660576894">
          <w:marLeft w:val="446"/>
          <w:marRight w:val="0"/>
          <w:marTop w:val="0"/>
          <w:marBottom w:val="0"/>
          <w:divBdr>
            <w:top w:val="none" w:sz="0" w:space="0" w:color="auto"/>
            <w:left w:val="none" w:sz="0" w:space="0" w:color="auto"/>
            <w:bottom w:val="none" w:sz="0" w:space="0" w:color="auto"/>
            <w:right w:val="none" w:sz="0" w:space="0" w:color="auto"/>
          </w:divBdr>
        </w:div>
      </w:divsChild>
    </w:div>
    <w:div w:id="1346714565">
      <w:bodyDiv w:val="1"/>
      <w:marLeft w:val="0"/>
      <w:marRight w:val="0"/>
      <w:marTop w:val="0"/>
      <w:marBottom w:val="0"/>
      <w:divBdr>
        <w:top w:val="none" w:sz="0" w:space="0" w:color="auto"/>
        <w:left w:val="none" w:sz="0" w:space="0" w:color="auto"/>
        <w:bottom w:val="none" w:sz="0" w:space="0" w:color="auto"/>
        <w:right w:val="none" w:sz="0" w:space="0" w:color="auto"/>
      </w:divBdr>
    </w:div>
    <w:div w:id="1354650232">
      <w:bodyDiv w:val="1"/>
      <w:marLeft w:val="0"/>
      <w:marRight w:val="0"/>
      <w:marTop w:val="0"/>
      <w:marBottom w:val="0"/>
      <w:divBdr>
        <w:top w:val="none" w:sz="0" w:space="0" w:color="auto"/>
        <w:left w:val="none" w:sz="0" w:space="0" w:color="auto"/>
        <w:bottom w:val="none" w:sz="0" w:space="0" w:color="auto"/>
        <w:right w:val="none" w:sz="0" w:space="0" w:color="auto"/>
      </w:divBdr>
    </w:div>
    <w:div w:id="1361199427">
      <w:bodyDiv w:val="1"/>
      <w:marLeft w:val="0"/>
      <w:marRight w:val="0"/>
      <w:marTop w:val="0"/>
      <w:marBottom w:val="0"/>
      <w:divBdr>
        <w:top w:val="none" w:sz="0" w:space="0" w:color="auto"/>
        <w:left w:val="none" w:sz="0" w:space="0" w:color="auto"/>
        <w:bottom w:val="none" w:sz="0" w:space="0" w:color="auto"/>
        <w:right w:val="none" w:sz="0" w:space="0" w:color="auto"/>
      </w:divBdr>
    </w:div>
    <w:div w:id="1392852653">
      <w:bodyDiv w:val="1"/>
      <w:marLeft w:val="0"/>
      <w:marRight w:val="0"/>
      <w:marTop w:val="0"/>
      <w:marBottom w:val="0"/>
      <w:divBdr>
        <w:top w:val="none" w:sz="0" w:space="0" w:color="auto"/>
        <w:left w:val="none" w:sz="0" w:space="0" w:color="auto"/>
        <w:bottom w:val="none" w:sz="0" w:space="0" w:color="auto"/>
        <w:right w:val="none" w:sz="0" w:space="0" w:color="auto"/>
      </w:divBdr>
    </w:div>
    <w:div w:id="1430540742">
      <w:bodyDiv w:val="1"/>
      <w:marLeft w:val="0"/>
      <w:marRight w:val="0"/>
      <w:marTop w:val="0"/>
      <w:marBottom w:val="0"/>
      <w:divBdr>
        <w:top w:val="none" w:sz="0" w:space="0" w:color="auto"/>
        <w:left w:val="none" w:sz="0" w:space="0" w:color="auto"/>
        <w:bottom w:val="none" w:sz="0" w:space="0" w:color="auto"/>
        <w:right w:val="none" w:sz="0" w:space="0" w:color="auto"/>
      </w:divBdr>
    </w:div>
    <w:div w:id="1457870991">
      <w:bodyDiv w:val="1"/>
      <w:marLeft w:val="0"/>
      <w:marRight w:val="0"/>
      <w:marTop w:val="0"/>
      <w:marBottom w:val="0"/>
      <w:divBdr>
        <w:top w:val="none" w:sz="0" w:space="0" w:color="auto"/>
        <w:left w:val="none" w:sz="0" w:space="0" w:color="auto"/>
        <w:bottom w:val="none" w:sz="0" w:space="0" w:color="auto"/>
        <w:right w:val="none" w:sz="0" w:space="0" w:color="auto"/>
      </w:divBdr>
    </w:div>
    <w:div w:id="1467507990">
      <w:bodyDiv w:val="1"/>
      <w:marLeft w:val="0"/>
      <w:marRight w:val="0"/>
      <w:marTop w:val="0"/>
      <w:marBottom w:val="0"/>
      <w:divBdr>
        <w:top w:val="none" w:sz="0" w:space="0" w:color="auto"/>
        <w:left w:val="none" w:sz="0" w:space="0" w:color="auto"/>
        <w:bottom w:val="none" w:sz="0" w:space="0" w:color="auto"/>
        <w:right w:val="none" w:sz="0" w:space="0" w:color="auto"/>
      </w:divBdr>
      <w:divsChild>
        <w:div w:id="140040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936691">
      <w:bodyDiv w:val="1"/>
      <w:marLeft w:val="0"/>
      <w:marRight w:val="0"/>
      <w:marTop w:val="0"/>
      <w:marBottom w:val="0"/>
      <w:divBdr>
        <w:top w:val="none" w:sz="0" w:space="0" w:color="auto"/>
        <w:left w:val="none" w:sz="0" w:space="0" w:color="auto"/>
        <w:bottom w:val="none" w:sz="0" w:space="0" w:color="auto"/>
        <w:right w:val="none" w:sz="0" w:space="0" w:color="auto"/>
      </w:divBdr>
    </w:div>
    <w:div w:id="1514614062">
      <w:bodyDiv w:val="1"/>
      <w:marLeft w:val="0"/>
      <w:marRight w:val="0"/>
      <w:marTop w:val="0"/>
      <w:marBottom w:val="0"/>
      <w:divBdr>
        <w:top w:val="none" w:sz="0" w:space="0" w:color="auto"/>
        <w:left w:val="none" w:sz="0" w:space="0" w:color="auto"/>
        <w:bottom w:val="none" w:sz="0" w:space="0" w:color="auto"/>
        <w:right w:val="none" w:sz="0" w:space="0" w:color="auto"/>
      </w:divBdr>
      <w:divsChild>
        <w:div w:id="105270652">
          <w:marLeft w:val="446"/>
          <w:marRight w:val="0"/>
          <w:marTop w:val="200"/>
          <w:marBottom w:val="0"/>
          <w:divBdr>
            <w:top w:val="none" w:sz="0" w:space="0" w:color="auto"/>
            <w:left w:val="none" w:sz="0" w:space="0" w:color="auto"/>
            <w:bottom w:val="none" w:sz="0" w:space="0" w:color="auto"/>
            <w:right w:val="none" w:sz="0" w:space="0" w:color="auto"/>
          </w:divBdr>
        </w:div>
        <w:div w:id="1046560356">
          <w:marLeft w:val="446"/>
          <w:marRight w:val="0"/>
          <w:marTop w:val="200"/>
          <w:marBottom w:val="0"/>
          <w:divBdr>
            <w:top w:val="none" w:sz="0" w:space="0" w:color="auto"/>
            <w:left w:val="none" w:sz="0" w:space="0" w:color="auto"/>
            <w:bottom w:val="none" w:sz="0" w:space="0" w:color="auto"/>
            <w:right w:val="none" w:sz="0" w:space="0" w:color="auto"/>
          </w:divBdr>
        </w:div>
        <w:div w:id="1069427256">
          <w:marLeft w:val="1080"/>
          <w:marRight w:val="0"/>
          <w:marTop w:val="100"/>
          <w:marBottom w:val="0"/>
          <w:divBdr>
            <w:top w:val="none" w:sz="0" w:space="0" w:color="auto"/>
            <w:left w:val="none" w:sz="0" w:space="0" w:color="auto"/>
            <w:bottom w:val="none" w:sz="0" w:space="0" w:color="auto"/>
            <w:right w:val="none" w:sz="0" w:space="0" w:color="auto"/>
          </w:divBdr>
        </w:div>
        <w:div w:id="1291470149">
          <w:marLeft w:val="1080"/>
          <w:marRight w:val="0"/>
          <w:marTop w:val="100"/>
          <w:marBottom w:val="0"/>
          <w:divBdr>
            <w:top w:val="none" w:sz="0" w:space="0" w:color="auto"/>
            <w:left w:val="none" w:sz="0" w:space="0" w:color="auto"/>
            <w:bottom w:val="none" w:sz="0" w:space="0" w:color="auto"/>
            <w:right w:val="none" w:sz="0" w:space="0" w:color="auto"/>
          </w:divBdr>
        </w:div>
        <w:div w:id="1371342545">
          <w:marLeft w:val="1080"/>
          <w:marRight w:val="0"/>
          <w:marTop w:val="100"/>
          <w:marBottom w:val="0"/>
          <w:divBdr>
            <w:top w:val="none" w:sz="0" w:space="0" w:color="auto"/>
            <w:left w:val="none" w:sz="0" w:space="0" w:color="auto"/>
            <w:bottom w:val="none" w:sz="0" w:space="0" w:color="auto"/>
            <w:right w:val="none" w:sz="0" w:space="0" w:color="auto"/>
          </w:divBdr>
        </w:div>
        <w:div w:id="1709646172">
          <w:marLeft w:val="1080"/>
          <w:marRight w:val="0"/>
          <w:marTop w:val="100"/>
          <w:marBottom w:val="0"/>
          <w:divBdr>
            <w:top w:val="none" w:sz="0" w:space="0" w:color="auto"/>
            <w:left w:val="none" w:sz="0" w:space="0" w:color="auto"/>
            <w:bottom w:val="none" w:sz="0" w:space="0" w:color="auto"/>
            <w:right w:val="none" w:sz="0" w:space="0" w:color="auto"/>
          </w:divBdr>
        </w:div>
      </w:divsChild>
    </w:div>
    <w:div w:id="1537884311">
      <w:bodyDiv w:val="1"/>
      <w:marLeft w:val="0"/>
      <w:marRight w:val="0"/>
      <w:marTop w:val="0"/>
      <w:marBottom w:val="0"/>
      <w:divBdr>
        <w:top w:val="none" w:sz="0" w:space="0" w:color="auto"/>
        <w:left w:val="none" w:sz="0" w:space="0" w:color="auto"/>
        <w:bottom w:val="none" w:sz="0" w:space="0" w:color="auto"/>
        <w:right w:val="none" w:sz="0" w:space="0" w:color="auto"/>
      </w:divBdr>
    </w:div>
    <w:div w:id="1566255508">
      <w:bodyDiv w:val="1"/>
      <w:marLeft w:val="0"/>
      <w:marRight w:val="0"/>
      <w:marTop w:val="0"/>
      <w:marBottom w:val="0"/>
      <w:divBdr>
        <w:top w:val="none" w:sz="0" w:space="0" w:color="auto"/>
        <w:left w:val="none" w:sz="0" w:space="0" w:color="auto"/>
        <w:bottom w:val="none" w:sz="0" w:space="0" w:color="auto"/>
        <w:right w:val="none" w:sz="0" w:space="0" w:color="auto"/>
      </w:divBdr>
      <w:divsChild>
        <w:div w:id="67727817">
          <w:marLeft w:val="446"/>
          <w:marRight w:val="0"/>
          <w:marTop w:val="120"/>
          <w:marBottom w:val="0"/>
          <w:divBdr>
            <w:top w:val="none" w:sz="0" w:space="0" w:color="auto"/>
            <w:left w:val="none" w:sz="0" w:space="0" w:color="auto"/>
            <w:bottom w:val="none" w:sz="0" w:space="0" w:color="auto"/>
            <w:right w:val="none" w:sz="0" w:space="0" w:color="auto"/>
          </w:divBdr>
        </w:div>
      </w:divsChild>
    </w:div>
    <w:div w:id="1584339418">
      <w:bodyDiv w:val="1"/>
      <w:marLeft w:val="0"/>
      <w:marRight w:val="0"/>
      <w:marTop w:val="0"/>
      <w:marBottom w:val="0"/>
      <w:divBdr>
        <w:top w:val="none" w:sz="0" w:space="0" w:color="auto"/>
        <w:left w:val="none" w:sz="0" w:space="0" w:color="auto"/>
        <w:bottom w:val="none" w:sz="0" w:space="0" w:color="auto"/>
        <w:right w:val="none" w:sz="0" w:space="0" w:color="auto"/>
      </w:divBdr>
    </w:div>
    <w:div w:id="1621571463">
      <w:bodyDiv w:val="1"/>
      <w:marLeft w:val="0"/>
      <w:marRight w:val="0"/>
      <w:marTop w:val="0"/>
      <w:marBottom w:val="0"/>
      <w:divBdr>
        <w:top w:val="none" w:sz="0" w:space="0" w:color="auto"/>
        <w:left w:val="none" w:sz="0" w:space="0" w:color="auto"/>
        <w:bottom w:val="none" w:sz="0" w:space="0" w:color="auto"/>
        <w:right w:val="none" w:sz="0" w:space="0" w:color="auto"/>
      </w:divBdr>
    </w:div>
    <w:div w:id="1708676160">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31541004">
      <w:bodyDiv w:val="1"/>
      <w:marLeft w:val="0"/>
      <w:marRight w:val="0"/>
      <w:marTop w:val="0"/>
      <w:marBottom w:val="0"/>
      <w:divBdr>
        <w:top w:val="none" w:sz="0" w:space="0" w:color="auto"/>
        <w:left w:val="none" w:sz="0" w:space="0" w:color="auto"/>
        <w:bottom w:val="none" w:sz="0" w:space="0" w:color="auto"/>
        <w:right w:val="none" w:sz="0" w:space="0" w:color="auto"/>
      </w:divBdr>
      <w:divsChild>
        <w:div w:id="1232622286">
          <w:marLeft w:val="446"/>
          <w:marRight w:val="0"/>
          <w:marTop w:val="0"/>
          <w:marBottom w:val="0"/>
          <w:divBdr>
            <w:top w:val="none" w:sz="0" w:space="0" w:color="auto"/>
            <w:left w:val="none" w:sz="0" w:space="0" w:color="auto"/>
            <w:bottom w:val="none" w:sz="0" w:space="0" w:color="auto"/>
            <w:right w:val="none" w:sz="0" w:space="0" w:color="auto"/>
          </w:divBdr>
        </w:div>
        <w:div w:id="1628657085">
          <w:marLeft w:val="446"/>
          <w:marRight w:val="0"/>
          <w:marTop w:val="0"/>
          <w:marBottom w:val="0"/>
          <w:divBdr>
            <w:top w:val="none" w:sz="0" w:space="0" w:color="auto"/>
            <w:left w:val="none" w:sz="0" w:space="0" w:color="auto"/>
            <w:bottom w:val="none" w:sz="0" w:space="0" w:color="auto"/>
            <w:right w:val="none" w:sz="0" w:space="0" w:color="auto"/>
          </w:divBdr>
        </w:div>
      </w:divsChild>
    </w:div>
    <w:div w:id="1801261096">
      <w:bodyDiv w:val="1"/>
      <w:marLeft w:val="0"/>
      <w:marRight w:val="0"/>
      <w:marTop w:val="0"/>
      <w:marBottom w:val="0"/>
      <w:divBdr>
        <w:top w:val="none" w:sz="0" w:space="0" w:color="auto"/>
        <w:left w:val="none" w:sz="0" w:space="0" w:color="auto"/>
        <w:bottom w:val="none" w:sz="0" w:space="0" w:color="auto"/>
        <w:right w:val="none" w:sz="0" w:space="0" w:color="auto"/>
      </w:divBdr>
    </w:div>
    <w:div w:id="1834100578">
      <w:bodyDiv w:val="1"/>
      <w:marLeft w:val="0"/>
      <w:marRight w:val="0"/>
      <w:marTop w:val="0"/>
      <w:marBottom w:val="0"/>
      <w:divBdr>
        <w:top w:val="none" w:sz="0" w:space="0" w:color="auto"/>
        <w:left w:val="none" w:sz="0" w:space="0" w:color="auto"/>
        <w:bottom w:val="none" w:sz="0" w:space="0" w:color="auto"/>
        <w:right w:val="none" w:sz="0" w:space="0" w:color="auto"/>
      </w:divBdr>
      <w:divsChild>
        <w:div w:id="563835972">
          <w:marLeft w:val="446"/>
          <w:marRight w:val="0"/>
          <w:marTop w:val="0"/>
          <w:marBottom w:val="0"/>
          <w:divBdr>
            <w:top w:val="none" w:sz="0" w:space="0" w:color="auto"/>
            <w:left w:val="none" w:sz="0" w:space="0" w:color="auto"/>
            <w:bottom w:val="none" w:sz="0" w:space="0" w:color="auto"/>
            <w:right w:val="none" w:sz="0" w:space="0" w:color="auto"/>
          </w:divBdr>
        </w:div>
        <w:div w:id="1354922116">
          <w:marLeft w:val="1166"/>
          <w:marRight w:val="0"/>
          <w:marTop w:val="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47860627">
      <w:bodyDiv w:val="1"/>
      <w:marLeft w:val="0"/>
      <w:marRight w:val="0"/>
      <w:marTop w:val="0"/>
      <w:marBottom w:val="0"/>
      <w:divBdr>
        <w:top w:val="none" w:sz="0" w:space="0" w:color="auto"/>
        <w:left w:val="none" w:sz="0" w:space="0" w:color="auto"/>
        <w:bottom w:val="none" w:sz="0" w:space="0" w:color="auto"/>
        <w:right w:val="none" w:sz="0" w:space="0" w:color="auto"/>
      </w:divBdr>
    </w:div>
    <w:div w:id="1887257834">
      <w:bodyDiv w:val="1"/>
      <w:marLeft w:val="0"/>
      <w:marRight w:val="0"/>
      <w:marTop w:val="0"/>
      <w:marBottom w:val="0"/>
      <w:divBdr>
        <w:top w:val="none" w:sz="0" w:space="0" w:color="auto"/>
        <w:left w:val="none" w:sz="0" w:space="0" w:color="auto"/>
        <w:bottom w:val="none" w:sz="0" w:space="0" w:color="auto"/>
        <w:right w:val="none" w:sz="0" w:space="0" w:color="auto"/>
      </w:divBdr>
      <w:divsChild>
        <w:div w:id="1242257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051300">
      <w:bodyDiv w:val="1"/>
      <w:marLeft w:val="0"/>
      <w:marRight w:val="0"/>
      <w:marTop w:val="0"/>
      <w:marBottom w:val="0"/>
      <w:divBdr>
        <w:top w:val="none" w:sz="0" w:space="0" w:color="auto"/>
        <w:left w:val="none" w:sz="0" w:space="0" w:color="auto"/>
        <w:bottom w:val="none" w:sz="0" w:space="0" w:color="auto"/>
        <w:right w:val="none" w:sz="0" w:space="0" w:color="auto"/>
      </w:divBdr>
    </w:div>
    <w:div w:id="1910339465">
      <w:bodyDiv w:val="1"/>
      <w:marLeft w:val="0"/>
      <w:marRight w:val="0"/>
      <w:marTop w:val="0"/>
      <w:marBottom w:val="0"/>
      <w:divBdr>
        <w:top w:val="none" w:sz="0" w:space="0" w:color="auto"/>
        <w:left w:val="none" w:sz="0" w:space="0" w:color="auto"/>
        <w:bottom w:val="none" w:sz="0" w:space="0" w:color="auto"/>
        <w:right w:val="none" w:sz="0" w:space="0" w:color="auto"/>
      </w:divBdr>
      <w:divsChild>
        <w:div w:id="727193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200302">
      <w:bodyDiv w:val="1"/>
      <w:marLeft w:val="0"/>
      <w:marRight w:val="0"/>
      <w:marTop w:val="0"/>
      <w:marBottom w:val="0"/>
      <w:divBdr>
        <w:top w:val="none" w:sz="0" w:space="0" w:color="auto"/>
        <w:left w:val="none" w:sz="0" w:space="0" w:color="auto"/>
        <w:bottom w:val="none" w:sz="0" w:space="0" w:color="auto"/>
        <w:right w:val="none" w:sz="0" w:space="0" w:color="auto"/>
      </w:divBdr>
    </w:div>
    <w:div w:id="1959330503">
      <w:bodyDiv w:val="1"/>
      <w:marLeft w:val="0"/>
      <w:marRight w:val="0"/>
      <w:marTop w:val="0"/>
      <w:marBottom w:val="0"/>
      <w:divBdr>
        <w:top w:val="none" w:sz="0" w:space="0" w:color="auto"/>
        <w:left w:val="none" w:sz="0" w:space="0" w:color="auto"/>
        <w:bottom w:val="none" w:sz="0" w:space="0" w:color="auto"/>
        <w:right w:val="none" w:sz="0" w:space="0" w:color="auto"/>
      </w:divBdr>
    </w:div>
    <w:div w:id="1974939908">
      <w:bodyDiv w:val="1"/>
      <w:marLeft w:val="0"/>
      <w:marRight w:val="0"/>
      <w:marTop w:val="0"/>
      <w:marBottom w:val="0"/>
      <w:divBdr>
        <w:top w:val="none" w:sz="0" w:space="0" w:color="auto"/>
        <w:left w:val="none" w:sz="0" w:space="0" w:color="auto"/>
        <w:bottom w:val="none" w:sz="0" w:space="0" w:color="auto"/>
        <w:right w:val="none" w:sz="0" w:space="0" w:color="auto"/>
      </w:divBdr>
    </w:div>
    <w:div w:id="1986155970">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58040848">
      <w:bodyDiv w:val="1"/>
      <w:marLeft w:val="0"/>
      <w:marRight w:val="0"/>
      <w:marTop w:val="0"/>
      <w:marBottom w:val="0"/>
      <w:divBdr>
        <w:top w:val="none" w:sz="0" w:space="0" w:color="auto"/>
        <w:left w:val="none" w:sz="0" w:space="0" w:color="auto"/>
        <w:bottom w:val="none" w:sz="0" w:space="0" w:color="auto"/>
        <w:right w:val="none" w:sz="0" w:space="0" w:color="auto"/>
      </w:divBdr>
    </w:div>
    <w:div w:id="2090348074">
      <w:bodyDiv w:val="1"/>
      <w:marLeft w:val="0"/>
      <w:marRight w:val="0"/>
      <w:marTop w:val="0"/>
      <w:marBottom w:val="0"/>
      <w:divBdr>
        <w:top w:val="none" w:sz="0" w:space="0" w:color="auto"/>
        <w:left w:val="none" w:sz="0" w:space="0" w:color="auto"/>
        <w:bottom w:val="none" w:sz="0" w:space="0" w:color="auto"/>
        <w:right w:val="none" w:sz="0" w:space="0" w:color="auto"/>
      </w:divBdr>
    </w:div>
    <w:div w:id="213602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118" TargetMode="External"/><Relationship Id="rId18" Type="http://schemas.openxmlformats.org/officeDocument/2006/relationships/hyperlink" Target="https://www.nice.org.uk/guidance/ta1065" TargetMode="External"/><Relationship Id="rId26" Type="http://schemas.openxmlformats.org/officeDocument/2006/relationships/hyperlink" Target="https://www.nice.org.uk/guidance/ng151" TargetMode="External"/><Relationship Id="rId39" Type="http://schemas.openxmlformats.org/officeDocument/2006/relationships/hyperlink" Target="https://www.nice.org.uk/guidance/ta212" TargetMode="External"/><Relationship Id="rId21" Type="http://schemas.openxmlformats.org/officeDocument/2006/relationships/hyperlink" Target="https://www.nice.org.uk/guidance/ta914" TargetMode="External"/><Relationship Id="rId34" Type="http://schemas.openxmlformats.org/officeDocument/2006/relationships/hyperlink" Target="https://www.nice.org.uk/guidance/ta212" TargetMode="External"/><Relationship Id="rId42" Type="http://schemas.openxmlformats.org/officeDocument/2006/relationships/hyperlink" Target="https://www.nice.org.uk/process/pmg36/chapter/economic-evaluation-2" TargetMode="External"/><Relationship Id="rId47" Type="http://schemas.openxmlformats.org/officeDocument/2006/relationships/hyperlink" Target="https://www.england.nhs.uk/cancer/cdf/cancer-drugs-fund-list/"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ta709" TargetMode="External"/><Relationship Id="rId29" Type="http://schemas.openxmlformats.org/officeDocument/2006/relationships/hyperlink" Target="https://www.nice.org.uk/Guidance/TA118" TargetMode="External"/><Relationship Id="rId11" Type="http://schemas.openxmlformats.org/officeDocument/2006/relationships/hyperlink" Target="https://www.medicines.org.uk/emc/product/3885/smpc" TargetMode="External"/><Relationship Id="rId24" Type="http://schemas.openxmlformats.org/officeDocument/2006/relationships/hyperlink" Target="https://www.nice.org.uk/guidance/ta866" TargetMode="External"/><Relationship Id="rId32" Type="http://schemas.openxmlformats.org/officeDocument/2006/relationships/hyperlink" Target="https://pubmed.ncbi.nlm.nih.gov/25600568/" TargetMode="External"/><Relationship Id="rId37" Type="http://schemas.openxmlformats.org/officeDocument/2006/relationships/hyperlink" Target="https://www.nice.org.uk/process/pmg36/chapter/economic-evaluation-2" TargetMode="External"/><Relationship Id="rId40" Type="http://schemas.openxmlformats.org/officeDocument/2006/relationships/hyperlink" Target="https://www.nice.org.uk/guidance/ta1008" TargetMode="External"/><Relationship Id="rId45" Type="http://schemas.openxmlformats.org/officeDocument/2006/relationships/hyperlink" Target="http://www.legislation.gov.uk/uksi/2013/259/contents/mad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ice.org.uk/guidance/ta668" TargetMode="External"/><Relationship Id="rId31" Type="http://schemas.openxmlformats.org/officeDocument/2006/relationships/hyperlink" Target="https://pubmed.ncbi.nlm.nih.gov/28128439/" TargetMode="External"/><Relationship Id="rId44" Type="http://schemas.openxmlformats.org/officeDocument/2006/relationships/hyperlink" Target="https://www.nice.org.uk/process/pmg3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ta212" TargetMode="External"/><Relationship Id="rId22" Type="http://schemas.openxmlformats.org/officeDocument/2006/relationships/hyperlink" Target="https://www.nice.org.uk/guidance/ta1008" TargetMode="External"/><Relationship Id="rId27" Type="http://schemas.openxmlformats.org/officeDocument/2006/relationships/hyperlink" Target="https://niceuk-my.sharepoint.com/l" TargetMode="External"/><Relationship Id="rId30" Type="http://schemas.openxmlformats.org/officeDocument/2006/relationships/hyperlink" Target="https://www.nice.org.uk/guidance/ta212" TargetMode="External"/><Relationship Id="rId35" Type="http://schemas.openxmlformats.org/officeDocument/2006/relationships/hyperlink" Target="https://www.nice.org.uk/guidance/ta242" TargetMode="External"/><Relationship Id="rId43" Type="http://schemas.openxmlformats.org/officeDocument/2006/relationships/hyperlink" Target="https://www.nice.org.uk/guidance/ta1008" TargetMode="External"/><Relationship Id="rId48" Type="http://schemas.openxmlformats.org/officeDocument/2006/relationships/hyperlink" Target="https://www.nice.org.uk/get-involved/our-committees/nice-committee-meetings/technology-appraisal-committees/tac-b-member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nice.org.uk/guidance/awaiting-development/gid-ta11703/documents" TargetMode="External"/><Relationship Id="rId17" Type="http://schemas.openxmlformats.org/officeDocument/2006/relationships/hyperlink" Target="https://www.nice.org.uk/guidance/ta439" TargetMode="External"/><Relationship Id="rId25" Type="http://schemas.openxmlformats.org/officeDocument/2006/relationships/hyperlink" Target="https://www.nice.org.uk/guidance/ta1079" TargetMode="External"/><Relationship Id="rId33" Type="http://schemas.openxmlformats.org/officeDocument/2006/relationships/hyperlink" Target="https://www.nice.org.uk/Guidance/TA118" TargetMode="External"/><Relationship Id="rId38" Type="http://schemas.openxmlformats.org/officeDocument/2006/relationships/hyperlink" Target="https://www.nice.org.uk/Guidance/TA118" TargetMode="External"/><Relationship Id="rId46" Type="http://schemas.openxmlformats.org/officeDocument/2006/relationships/hyperlink" Target="https://www.england.nhs.uk/cancer/cdf/" TargetMode="External"/><Relationship Id="rId20" Type="http://schemas.openxmlformats.org/officeDocument/2006/relationships/hyperlink" Target="https://www.nice.org.uk/guidance/ta716" TargetMode="External"/><Relationship Id="rId41" Type="http://schemas.openxmlformats.org/officeDocument/2006/relationships/hyperlink" Target="https://niceuk.sharepoint.com/sites/Cancer_Topics/Shared%20Documents/ID6465%20bevacizumab/13%20-%20FDG/Hern&#225;ndez%20Alava%20M,%20Pudney%20S,%20Wailoo%20A.%20Estimating%20EQ-5D%20by%20age%20and%20sex%20for%20the%20UK.%20Sheffield,%20UK;%2020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guidance/ta242" TargetMode="External"/><Relationship Id="rId23" Type="http://schemas.openxmlformats.org/officeDocument/2006/relationships/hyperlink" Target="https://www.nice.org.uk/guidance/ta405" TargetMode="External"/><Relationship Id="rId28" Type="http://schemas.openxmlformats.org/officeDocument/2006/relationships/hyperlink" Target="https://www.nice.org.uk/guidance/ta212" TargetMode="External"/><Relationship Id="rId36" Type="http://schemas.openxmlformats.org/officeDocument/2006/relationships/hyperlink" Target="https://pubmed.ncbi.nlm.nih.gov/25600568/" TargetMode="External"/><Relationship Id="rId49"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B8D67-01D9-452C-AE9D-860E537486DE}">
  <ds:schemaRefs>
    <ds:schemaRef ds:uri="6113f790-c252-4bfe-890a-0e01b9de803a"/>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eb656aa-4e79-4e95-9076-bc119a23e0cc"/>
    <ds:schemaRef ds:uri="http://schemas.microsoft.com/office/2006/metadata/properties"/>
  </ds:schemaRefs>
</ds:datastoreItem>
</file>

<file path=customXml/itemProps2.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customXml/itemProps3.xml><?xml version="1.0" encoding="utf-8"?>
<ds:datastoreItem xmlns:ds="http://schemas.openxmlformats.org/officeDocument/2006/customXml" ds:itemID="{B0858E3A-7881-4636-A888-4317B1B5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790-c252-4bfe-890a-0e01b9de803a"/>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E270F-B23F-4972-8679-8C39AF614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7171</Words>
  <Characters>45106</Characters>
  <Application>Microsoft Office Word</Application>
  <DocSecurity>0</DocSecurity>
  <Lines>884</Lines>
  <Paragraphs>179</Paragraphs>
  <ScaleCrop>false</ScaleCrop>
  <Company>Happy</Company>
  <LinksUpToDate>false</LinksUpToDate>
  <CharactersWithSpaces>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Janet Boadu</dc:creator>
  <cp:keywords/>
  <cp:lastModifiedBy>Janet Boadu</cp:lastModifiedBy>
  <cp:revision>4</cp:revision>
  <cp:lastPrinted>2012-11-14T22:34:00Z</cp:lastPrinted>
  <dcterms:created xsi:type="dcterms:W3CDTF">2026-01-29T13:56:00Z</dcterms:created>
  <dcterms:modified xsi:type="dcterms:W3CDTF">2026-01-29T13:59:00Z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2023-03-09T11:42:05Z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a227fe5c-d20f-418d-8240-e68035d2bb6a</vt:lpwstr>
  </property>
  <property fmtid="{D5CDD505-2E9C-101B-9397-08002B2CF9AE}" pid="8" name="MSIP_Label_c69d85d5-6d9e-4305-a294-1f636ec0f2d6_ContentBits">
    <vt:lpwstr>0</vt:lpwstr>
  </property>
  <property fmtid="{D5CDD505-2E9C-101B-9397-08002B2CF9AE}" pid="9" name="ContentTypeId">
    <vt:lpwstr>0x010100C3164B6419967F4F9BC885BCC38080FE</vt:lpwstr>
  </property>
  <property fmtid="{D5CDD505-2E9C-101B-9397-08002B2CF9AE}" pid="10" name="MediaServiceImageTags">
    <vt:lpwstr/>
  </property>
</Properties>
</file>