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1689" w14:textId="0461FCA2" w:rsidR="00443081" w:rsidRPr="00A4265E" w:rsidRDefault="0098593F" w:rsidP="00181A4A">
      <w:pPr>
        <w:pStyle w:val="Title"/>
      </w:pPr>
      <w:r>
        <w:t>R</w:t>
      </w:r>
      <w:r w:rsidR="00016F2C" w:rsidRPr="00A4265E">
        <w:t xml:space="preserve">eview proposal </w:t>
      </w:r>
      <w:r w:rsidR="008C1624" w:rsidRPr="00A4265E">
        <w:t xml:space="preserve">of </w:t>
      </w:r>
      <w:r w:rsidR="00776777">
        <w:t xml:space="preserve">TA118 </w:t>
      </w:r>
      <w:r w:rsidR="00312FF1">
        <w:t>(</w:t>
      </w:r>
      <w:r w:rsidR="00312FF1" w:rsidRPr="00312FF1">
        <w:t>Bevacizumab and cetuximab for the treatment of metastatic colorectal cancer</w:t>
      </w:r>
      <w:r w:rsidR="00312FF1">
        <w:t xml:space="preserve">) and TA212 </w:t>
      </w:r>
      <w:r w:rsidR="00417CFD">
        <w:t>(</w:t>
      </w:r>
      <w:r w:rsidR="00417CFD" w:rsidRPr="00417CFD">
        <w:t>Bevacizumab in combination with oxaliplatin and either fluorouracil plus folinic acid or capecitabine for the treatment of metastatic colorectal cancer</w:t>
      </w:r>
      <w:r w:rsidR="00417CFD">
        <w:t>)</w:t>
      </w:r>
    </w:p>
    <w:p w14:paraId="615CD271" w14:textId="77777777" w:rsidR="00260258" w:rsidRDefault="00260258" w:rsidP="003D3D3F">
      <w:pPr>
        <w:pStyle w:val="Paragraphnonumbers"/>
        <w:spacing w:line="240" w:lineRule="auto"/>
      </w:pPr>
    </w:p>
    <w:p w14:paraId="49D42479" w14:textId="5E9A5286" w:rsidR="00684889" w:rsidRPr="00A4265E" w:rsidRDefault="00E476E8" w:rsidP="003D3D3F">
      <w:pPr>
        <w:pStyle w:val="Paragraphnonumbers"/>
        <w:spacing w:line="240" w:lineRule="auto"/>
      </w:pPr>
      <w:r>
        <w:t>TA118</w:t>
      </w:r>
      <w:r w:rsidR="008C1624" w:rsidRPr="00A4265E">
        <w:t xml:space="preserve"> was published in </w:t>
      </w:r>
      <w:r w:rsidR="00684889">
        <w:t xml:space="preserve">2008 </w:t>
      </w:r>
      <w:r w:rsidR="00C9342E">
        <w:t>(</w:t>
      </w:r>
      <w:r w:rsidR="00684889">
        <w:t>updated in 2012</w:t>
      </w:r>
      <w:r w:rsidR="00C9342E">
        <w:t xml:space="preserve">) &amp; </w:t>
      </w:r>
      <w:r w:rsidR="00776777">
        <w:t>TA212 was published in 2010</w:t>
      </w:r>
    </w:p>
    <w:p w14:paraId="2EC6FF0C" w14:textId="48517689" w:rsidR="00C31434" w:rsidRDefault="008C1624" w:rsidP="006B357F">
      <w:pPr>
        <w:pStyle w:val="Heading1numbered"/>
      </w:pPr>
      <w:r w:rsidRPr="00A4265E">
        <w:t>Proposal</w:t>
      </w:r>
    </w:p>
    <w:p w14:paraId="48B70AD2" w14:textId="2BC78BF4" w:rsidR="008C1624" w:rsidRPr="00A4265E" w:rsidRDefault="000D05A5" w:rsidP="00934E40">
      <w:pPr>
        <w:pStyle w:val="Paragraph"/>
        <w:numPr>
          <w:ilvl w:val="0"/>
          <w:numId w:val="0"/>
        </w:numPr>
        <w:ind w:left="360"/>
      </w:pPr>
      <w:r w:rsidRPr="000D05A5">
        <w:t xml:space="preserve">A review of the guidance should be planned into the appraisal work programme. The review will be conducted through the </w:t>
      </w:r>
      <w:r w:rsidR="009D76C8">
        <w:t xml:space="preserve">proportionate approach as </w:t>
      </w:r>
      <w:r w:rsidR="001E01A5">
        <w:t>outlined</w:t>
      </w:r>
      <w:r w:rsidR="009D76C8">
        <w:t xml:space="preserve"> in </w:t>
      </w:r>
      <w:r w:rsidR="001E01A5">
        <w:t xml:space="preserve">appendix </w:t>
      </w:r>
      <w:r w:rsidR="00260258">
        <w:t>D</w:t>
      </w:r>
      <w:r w:rsidRPr="000D05A5">
        <w:t>.</w:t>
      </w:r>
    </w:p>
    <w:p w14:paraId="3126E957" w14:textId="77777777" w:rsidR="008C1624" w:rsidRDefault="008C1624" w:rsidP="003844B5">
      <w:pPr>
        <w:pStyle w:val="Heading1numbered"/>
      </w:pPr>
      <w:r w:rsidRPr="00A4265E">
        <w:t>Rationale</w:t>
      </w:r>
    </w:p>
    <w:p w14:paraId="7849DDC1" w14:textId="3630CDAB" w:rsidR="00902AFA" w:rsidRDefault="00933777" w:rsidP="002D74BC">
      <w:pPr>
        <w:pStyle w:val="Paragraph"/>
        <w:numPr>
          <w:ilvl w:val="0"/>
          <w:numId w:val="0"/>
        </w:numPr>
        <w:ind w:left="360"/>
      </w:pPr>
      <w:r>
        <w:t xml:space="preserve">Since the </w:t>
      </w:r>
      <w:r w:rsidR="00BB43A3">
        <w:t xml:space="preserve">publication of the </w:t>
      </w:r>
      <w:r>
        <w:t xml:space="preserve">most recent guidance looking into bevacizumab for the treatment of </w:t>
      </w:r>
      <w:r w:rsidR="00377432" w:rsidRPr="00377432">
        <w:t>untreated metastatic carcinoma of the colon or rectum</w:t>
      </w:r>
      <w:r w:rsidR="004757F6">
        <w:t>,</w:t>
      </w:r>
      <w:r w:rsidR="00377432" w:rsidRPr="00377432">
        <w:t xml:space="preserve"> </w:t>
      </w:r>
      <w:r w:rsidR="00377432">
        <w:t>s</w:t>
      </w:r>
      <w:r w:rsidR="00AF0BA4" w:rsidRPr="002D74BC">
        <w:t xml:space="preserve">everal </w:t>
      </w:r>
      <w:r w:rsidR="00724C22" w:rsidRPr="002D74BC">
        <w:t xml:space="preserve">bevacizumab biosimilars have been </w:t>
      </w:r>
      <w:r w:rsidR="00B87A43" w:rsidRPr="002D74BC">
        <w:t>authorised for use</w:t>
      </w:r>
      <w:r w:rsidR="00902AFA">
        <w:t>.</w:t>
      </w:r>
      <w:r w:rsidR="00902AFA" w:rsidRPr="00902AFA">
        <w:t xml:space="preserve"> Biosimilars are believed to be associated with a price that is significantly less than the originator</w:t>
      </w:r>
      <w:r w:rsidR="00347367">
        <w:t>s</w:t>
      </w:r>
      <w:r w:rsidR="00902AFA" w:rsidRPr="00902AFA">
        <w:t xml:space="preserve"> list price. Following the introduction of biosimilar</w:t>
      </w:r>
      <w:r w:rsidR="00347367">
        <w:t>s</w:t>
      </w:r>
      <w:r w:rsidR="00902AFA" w:rsidRPr="00902AFA">
        <w:t xml:space="preserve"> the company marketing the originator may </w:t>
      </w:r>
      <w:r w:rsidR="004027D6">
        <w:t xml:space="preserve">also </w:t>
      </w:r>
      <w:r w:rsidR="00902AFA" w:rsidRPr="00902AFA">
        <w:t xml:space="preserve">choose to </w:t>
      </w:r>
      <w:r w:rsidR="00234635">
        <w:t>offer a lower price</w:t>
      </w:r>
      <w:r w:rsidR="00902AFA" w:rsidRPr="00902AFA">
        <w:t xml:space="preserve">. It is possible that due to their lower prices, biosimilars could represent a cost-effective use of NHS </w:t>
      </w:r>
      <w:r w:rsidR="00296042" w:rsidRPr="00902AFA">
        <w:t>resources.</w:t>
      </w:r>
      <w:r w:rsidR="00902AFA" w:rsidRPr="00902AFA">
        <w:t xml:space="preserve"> I</w:t>
      </w:r>
      <w:r w:rsidR="00296042">
        <w:t>t</w:t>
      </w:r>
      <w:r w:rsidR="00902AFA" w:rsidRPr="00902AFA">
        <w:t xml:space="preserve"> is also possible that following a reduction in</w:t>
      </w:r>
      <w:r w:rsidR="00296042">
        <w:t xml:space="preserve"> its</w:t>
      </w:r>
      <w:r w:rsidR="00902AFA" w:rsidRPr="00902AFA">
        <w:t xml:space="preserve"> price the originator bevacizumab could also </w:t>
      </w:r>
      <w:r w:rsidR="00252F99" w:rsidRPr="00902AFA">
        <w:t>represent</w:t>
      </w:r>
      <w:r w:rsidR="00902AFA" w:rsidRPr="00902AFA">
        <w:t xml:space="preserve"> a cost</w:t>
      </w:r>
      <w:r w:rsidR="004757F6">
        <w:t>-</w:t>
      </w:r>
      <w:r w:rsidR="00902AFA" w:rsidRPr="00902AFA">
        <w:t>effective use of NHS resources.</w:t>
      </w:r>
    </w:p>
    <w:p w14:paraId="71AA0787" w14:textId="77777777" w:rsidR="008C1624" w:rsidRPr="00A4265E" w:rsidRDefault="008C1624" w:rsidP="003844B5">
      <w:pPr>
        <w:pStyle w:val="Heading1numbered"/>
      </w:pPr>
      <w:r w:rsidRPr="00A4265E">
        <w:t>Summary of new evidence and implications for review</w:t>
      </w:r>
    </w:p>
    <w:p w14:paraId="2121B5CB" w14:textId="4C38903E" w:rsidR="00C654E4" w:rsidRDefault="00C654E4" w:rsidP="008C1624">
      <w:pPr>
        <w:pStyle w:val="Heading2"/>
      </w:pPr>
      <w:r>
        <w:t>The technology</w:t>
      </w:r>
    </w:p>
    <w:p w14:paraId="440602AA" w14:textId="50CE7CCF" w:rsidR="00C654E4" w:rsidRDefault="005617A0" w:rsidP="00934E40">
      <w:pPr>
        <w:pStyle w:val="Paragraph"/>
        <w:numPr>
          <w:ilvl w:val="0"/>
          <w:numId w:val="0"/>
        </w:numPr>
        <w:ind w:left="360"/>
      </w:pPr>
      <w:r w:rsidRPr="005617A0">
        <w:t>Bevacizumab (Avastin, Roche Products) is a recombinant humanised monoclonal IgG1 antibody that inhibits the formation of blood vessels (angiogenesis inhibitor). It targets the biological activity of human vascular endothelial growth factor (VEGF), which stimulates new blood vessel formation in the tumour.</w:t>
      </w:r>
      <w:r w:rsidR="008770B6">
        <w:t xml:space="preserve"> </w:t>
      </w:r>
      <w:r w:rsidR="008770B6" w:rsidRPr="008770B6">
        <w:t>Bevacizumab is administered as an intravenous infusion. Bevacizumab treatment is given in combination with chemotherapy</w:t>
      </w:r>
      <w:r w:rsidR="008770B6">
        <w:t>.</w:t>
      </w:r>
      <w:r w:rsidR="009D6EA3">
        <w:t xml:space="preserve"> Bevacizumab biosimilars </w:t>
      </w:r>
      <w:r w:rsidR="00B84770">
        <w:t xml:space="preserve">are </w:t>
      </w:r>
      <w:r w:rsidR="00DB7697">
        <w:t>highly</w:t>
      </w:r>
      <w:r w:rsidR="00B84770">
        <w:t xml:space="preserve"> similar to bevacizumab</w:t>
      </w:r>
      <w:r w:rsidR="001632E8" w:rsidRPr="001632E8">
        <w:t xml:space="preserve"> in terms of structure, biological activity and efficacy, safety and immunogenicity profile</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C654E4" w:rsidRPr="00E970E0" w14:paraId="1831894F" w14:textId="77777777">
        <w:trPr>
          <w:cantSplit/>
        </w:trPr>
        <w:tc>
          <w:tcPr>
            <w:tcW w:w="2376" w:type="dxa"/>
            <w:shd w:val="clear" w:color="auto" w:fill="D9D9D9"/>
          </w:tcPr>
          <w:p w14:paraId="391A9148" w14:textId="77777777" w:rsidR="00C654E4" w:rsidRPr="00C654E4" w:rsidRDefault="00C654E4">
            <w:pPr>
              <w:spacing w:before="120"/>
              <w:rPr>
                <w:rFonts w:ascii="Arial" w:hAnsi="Arial" w:cs="Arial"/>
                <w:b/>
                <w:bCs/>
                <w:sz w:val="22"/>
                <w:szCs w:val="22"/>
              </w:rPr>
            </w:pPr>
            <w:r w:rsidRPr="00C654E4">
              <w:rPr>
                <w:rFonts w:ascii="Arial" w:hAnsi="Arial" w:cs="Arial"/>
                <w:b/>
                <w:bCs/>
                <w:sz w:val="22"/>
                <w:szCs w:val="22"/>
              </w:rPr>
              <w:t>Intervention(s)</w:t>
            </w:r>
          </w:p>
        </w:tc>
        <w:tc>
          <w:tcPr>
            <w:tcW w:w="6237" w:type="dxa"/>
          </w:tcPr>
          <w:p w14:paraId="4B4459B0" w14:textId="18D25718" w:rsidR="00C654E4" w:rsidRPr="00E970E0" w:rsidRDefault="00A410C3">
            <w:pPr>
              <w:pStyle w:val="BodyText2"/>
              <w:rPr>
                <w:rFonts w:cs="Arial"/>
                <w:sz w:val="22"/>
                <w:szCs w:val="22"/>
                <w:lang w:val="en-GB"/>
              </w:rPr>
            </w:pPr>
            <w:r w:rsidRPr="00A410C3">
              <w:rPr>
                <w:rFonts w:cs="Arial"/>
                <w:sz w:val="22"/>
                <w:szCs w:val="22"/>
                <w:lang w:val="en-GB"/>
              </w:rPr>
              <w:t>Bevacizumab and bevacizumab biosimilars</w:t>
            </w:r>
          </w:p>
        </w:tc>
      </w:tr>
      <w:tr w:rsidR="00C654E4" w:rsidRPr="00E970E0" w14:paraId="17F29EB0" w14:textId="77777777">
        <w:trPr>
          <w:cantSplit/>
        </w:trPr>
        <w:tc>
          <w:tcPr>
            <w:tcW w:w="2376" w:type="dxa"/>
            <w:shd w:val="clear" w:color="auto" w:fill="D9D9D9"/>
          </w:tcPr>
          <w:p w14:paraId="3F6D6368" w14:textId="77777777" w:rsidR="00C654E4" w:rsidRPr="00E970E0" w:rsidRDefault="00C654E4">
            <w:pPr>
              <w:pStyle w:val="Header"/>
              <w:spacing w:before="120"/>
              <w:rPr>
                <w:rFonts w:cs="Arial"/>
                <w:sz w:val="22"/>
                <w:szCs w:val="22"/>
              </w:rPr>
            </w:pPr>
            <w:r w:rsidRPr="00E970E0">
              <w:rPr>
                <w:rFonts w:cs="Arial"/>
                <w:b/>
                <w:bCs/>
                <w:sz w:val="22"/>
                <w:szCs w:val="22"/>
              </w:rPr>
              <w:t>Population(s)</w:t>
            </w:r>
          </w:p>
        </w:tc>
        <w:tc>
          <w:tcPr>
            <w:tcW w:w="6237" w:type="dxa"/>
          </w:tcPr>
          <w:p w14:paraId="628B601A" w14:textId="141667FE" w:rsidR="00A769CC" w:rsidRPr="00A769CC" w:rsidRDefault="00D8148F" w:rsidP="00A769CC">
            <w:pPr>
              <w:pStyle w:val="BodyText2"/>
              <w:rPr>
                <w:rFonts w:cs="Arial"/>
                <w:sz w:val="22"/>
                <w:szCs w:val="22"/>
                <w:lang w:val="en-GB"/>
              </w:rPr>
            </w:pPr>
            <w:r>
              <w:rPr>
                <w:rFonts w:cs="Arial"/>
                <w:sz w:val="22"/>
                <w:szCs w:val="22"/>
                <w:lang w:val="en-GB"/>
              </w:rPr>
              <w:t>People</w:t>
            </w:r>
            <w:r w:rsidR="00DB51AD" w:rsidRPr="00DB51AD">
              <w:rPr>
                <w:rFonts w:cs="Arial"/>
                <w:sz w:val="22"/>
                <w:szCs w:val="22"/>
                <w:lang w:val="en-GB"/>
              </w:rPr>
              <w:t xml:space="preserve"> with </w:t>
            </w:r>
            <w:r w:rsidR="009022AE">
              <w:rPr>
                <w:rFonts w:cs="Arial"/>
                <w:sz w:val="22"/>
                <w:szCs w:val="22"/>
                <w:lang w:val="en-GB"/>
              </w:rPr>
              <w:t xml:space="preserve">untreated </w:t>
            </w:r>
            <w:r w:rsidR="00DB51AD" w:rsidRPr="00DB51AD">
              <w:rPr>
                <w:rFonts w:cs="Arial"/>
                <w:sz w:val="22"/>
                <w:szCs w:val="22"/>
                <w:lang w:val="en-GB"/>
              </w:rPr>
              <w:t>metastatic carcinoma of the colon or rectum</w:t>
            </w:r>
          </w:p>
        </w:tc>
      </w:tr>
      <w:tr w:rsidR="00C654E4" w:rsidRPr="00E970E0" w14:paraId="7523DE67" w14:textId="77777777">
        <w:trPr>
          <w:cantSplit/>
        </w:trPr>
        <w:tc>
          <w:tcPr>
            <w:tcW w:w="2376" w:type="dxa"/>
            <w:shd w:val="clear" w:color="auto" w:fill="D9D9D9"/>
          </w:tcPr>
          <w:p w14:paraId="51BE863A" w14:textId="77777777" w:rsidR="00C654E4" w:rsidRPr="00E970E0" w:rsidRDefault="00C654E4">
            <w:pPr>
              <w:pStyle w:val="Header"/>
              <w:spacing w:before="120"/>
              <w:rPr>
                <w:rFonts w:cs="Arial"/>
                <w:b/>
                <w:bCs/>
                <w:sz w:val="22"/>
                <w:szCs w:val="22"/>
              </w:rPr>
            </w:pPr>
            <w:r>
              <w:rPr>
                <w:rFonts w:cs="Arial"/>
                <w:b/>
                <w:bCs/>
                <w:sz w:val="22"/>
                <w:szCs w:val="22"/>
              </w:rPr>
              <w:lastRenderedPageBreak/>
              <w:t>Subgroups</w:t>
            </w:r>
          </w:p>
        </w:tc>
        <w:tc>
          <w:tcPr>
            <w:tcW w:w="6237" w:type="dxa"/>
          </w:tcPr>
          <w:p w14:paraId="5AD032A6" w14:textId="651C154C" w:rsidR="00CB19DE" w:rsidRDefault="00F150E7">
            <w:pPr>
              <w:pStyle w:val="BodyText2"/>
              <w:rPr>
                <w:rFonts w:cs="Arial"/>
                <w:sz w:val="22"/>
                <w:szCs w:val="22"/>
                <w:lang w:val="en-GB"/>
              </w:rPr>
            </w:pPr>
            <w:r>
              <w:rPr>
                <w:rFonts w:cs="Arial"/>
                <w:sz w:val="22"/>
                <w:szCs w:val="22"/>
                <w:lang w:val="en-GB"/>
              </w:rPr>
              <w:t>If evidence allows, subgroups</w:t>
            </w:r>
            <w:r w:rsidR="00CB19DE">
              <w:rPr>
                <w:rFonts w:cs="Arial"/>
                <w:sz w:val="22"/>
                <w:szCs w:val="22"/>
                <w:lang w:val="en-GB"/>
              </w:rPr>
              <w:t xml:space="preserve"> will be considered</w:t>
            </w:r>
            <w:r>
              <w:rPr>
                <w:rFonts w:cs="Arial"/>
                <w:sz w:val="22"/>
                <w:szCs w:val="22"/>
                <w:lang w:val="en-GB"/>
              </w:rPr>
              <w:t xml:space="preserve"> based on </w:t>
            </w:r>
          </w:p>
          <w:p w14:paraId="69D2453C" w14:textId="3D52CFE8" w:rsidR="00C654E4" w:rsidRDefault="00F150E7" w:rsidP="00290133">
            <w:pPr>
              <w:pStyle w:val="BodyText2"/>
              <w:numPr>
                <w:ilvl w:val="0"/>
                <w:numId w:val="50"/>
              </w:numPr>
              <w:rPr>
                <w:rFonts w:cs="Arial"/>
                <w:sz w:val="22"/>
                <w:szCs w:val="22"/>
                <w:lang w:val="en-GB"/>
              </w:rPr>
            </w:pPr>
            <w:r>
              <w:rPr>
                <w:rFonts w:cs="Arial"/>
                <w:sz w:val="22"/>
                <w:szCs w:val="22"/>
                <w:lang w:val="en-GB"/>
              </w:rPr>
              <w:t xml:space="preserve">RAS mutation status </w:t>
            </w:r>
          </w:p>
          <w:p w14:paraId="15303311" w14:textId="5B7C95E7" w:rsidR="00CB19DE" w:rsidRPr="005C34F0" w:rsidRDefault="004B47B7" w:rsidP="006B357F">
            <w:pPr>
              <w:pStyle w:val="BodyText2"/>
              <w:numPr>
                <w:ilvl w:val="0"/>
                <w:numId w:val="50"/>
              </w:numPr>
              <w:rPr>
                <w:rFonts w:cs="Arial"/>
                <w:sz w:val="22"/>
                <w:szCs w:val="22"/>
                <w:lang w:val="en-GB"/>
              </w:rPr>
            </w:pPr>
            <w:r>
              <w:rPr>
                <w:rFonts w:cs="Arial"/>
                <w:sz w:val="22"/>
                <w:szCs w:val="22"/>
                <w:lang w:val="en-GB"/>
              </w:rPr>
              <w:t>H</w:t>
            </w:r>
            <w:r w:rsidRPr="004B47B7">
              <w:rPr>
                <w:rFonts w:cs="Arial"/>
                <w:sz w:val="22"/>
                <w:szCs w:val="22"/>
                <w:lang w:val="en-GB"/>
              </w:rPr>
              <w:t>igh microsatellite instability (MSI) or mismatch repair (MMR) deficiency</w:t>
            </w:r>
            <w:r w:rsidR="005C34F0">
              <w:rPr>
                <w:rFonts w:cs="Arial"/>
                <w:sz w:val="22"/>
                <w:szCs w:val="22"/>
                <w:lang w:val="en-GB"/>
              </w:rPr>
              <w:t xml:space="preserve"> status</w:t>
            </w:r>
          </w:p>
        </w:tc>
      </w:tr>
      <w:tr w:rsidR="00C654E4" w:rsidRPr="00E970E0" w14:paraId="541D3D01" w14:textId="77777777">
        <w:trPr>
          <w:cantSplit/>
        </w:trPr>
        <w:tc>
          <w:tcPr>
            <w:tcW w:w="2376" w:type="dxa"/>
            <w:shd w:val="clear" w:color="auto" w:fill="D9D9D9"/>
          </w:tcPr>
          <w:p w14:paraId="7C17FD57" w14:textId="77777777" w:rsidR="00C654E4" w:rsidRPr="00E970E0" w:rsidRDefault="00C654E4">
            <w:pPr>
              <w:pStyle w:val="Header"/>
              <w:spacing w:before="120"/>
              <w:rPr>
                <w:rFonts w:cs="Arial"/>
                <w:sz w:val="22"/>
                <w:szCs w:val="22"/>
              </w:rPr>
            </w:pPr>
            <w:r w:rsidRPr="00E970E0">
              <w:rPr>
                <w:rFonts w:cs="Arial"/>
                <w:b/>
                <w:bCs/>
                <w:sz w:val="22"/>
                <w:szCs w:val="22"/>
              </w:rPr>
              <w:t>Comparators</w:t>
            </w:r>
          </w:p>
        </w:tc>
        <w:tc>
          <w:tcPr>
            <w:tcW w:w="6237" w:type="dxa"/>
          </w:tcPr>
          <w:p w14:paraId="19231C7E" w14:textId="77777777" w:rsidR="00F640B4" w:rsidRPr="00F640B4" w:rsidRDefault="00F640B4" w:rsidP="00F640B4">
            <w:pPr>
              <w:pStyle w:val="BodyText2"/>
              <w:rPr>
                <w:rFonts w:cs="Arial"/>
                <w:sz w:val="22"/>
                <w:szCs w:val="22"/>
                <w:lang w:val="en-GB"/>
              </w:rPr>
            </w:pPr>
            <w:r w:rsidRPr="00F640B4">
              <w:rPr>
                <w:rFonts w:cs="Arial"/>
                <w:sz w:val="22"/>
                <w:szCs w:val="22"/>
                <w:lang w:val="en-GB"/>
              </w:rPr>
              <w:t xml:space="preserve">For all people: </w:t>
            </w:r>
          </w:p>
          <w:p w14:paraId="7308D7E0" w14:textId="5B6FC69F" w:rsidR="00F640B4" w:rsidRPr="00F640B4" w:rsidRDefault="00F640B4" w:rsidP="00412AEB">
            <w:pPr>
              <w:pStyle w:val="BodyText2"/>
              <w:numPr>
                <w:ilvl w:val="0"/>
                <w:numId w:val="43"/>
              </w:numPr>
              <w:rPr>
                <w:rFonts w:cs="Arial"/>
                <w:sz w:val="22"/>
                <w:szCs w:val="22"/>
                <w:lang w:val="en-GB"/>
              </w:rPr>
            </w:pPr>
            <w:r w:rsidRPr="00F640B4">
              <w:rPr>
                <w:rFonts w:cs="Arial"/>
                <w:sz w:val="22"/>
                <w:szCs w:val="22"/>
                <w:lang w:val="en-GB"/>
              </w:rPr>
              <w:t xml:space="preserve">Folinic acid plus fluorouracil plus oxaliplatin (FOLFOX) </w:t>
            </w:r>
          </w:p>
          <w:p w14:paraId="354E9EDE" w14:textId="72AAD966" w:rsidR="00F640B4" w:rsidRPr="00F640B4" w:rsidRDefault="00F640B4" w:rsidP="00412AEB">
            <w:pPr>
              <w:pStyle w:val="BodyText2"/>
              <w:numPr>
                <w:ilvl w:val="0"/>
                <w:numId w:val="43"/>
              </w:numPr>
              <w:rPr>
                <w:rFonts w:cs="Arial"/>
                <w:sz w:val="22"/>
                <w:szCs w:val="22"/>
                <w:lang w:val="en-GB"/>
              </w:rPr>
            </w:pPr>
            <w:r w:rsidRPr="00F640B4">
              <w:rPr>
                <w:rFonts w:cs="Arial"/>
                <w:sz w:val="22"/>
                <w:szCs w:val="22"/>
                <w:lang w:val="en-GB"/>
              </w:rPr>
              <w:t xml:space="preserve">Folinic acid plus fluorouracil plus irinotecan (FOLFIRI) </w:t>
            </w:r>
          </w:p>
          <w:p w14:paraId="2431731B" w14:textId="3855FE1B" w:rsidR="00F640B4" w:rsidRPr="00F640B4" w:rsidRDefault="00F640B4" w:rsidP="00412AEB">
            <w:pPr>
              <w:pStyle w:val="BodyText2"/>
              <w:numPr>
                <w:ilvl w:val="0"/>
                <w:numId w:val="43"/>
              </w:numPr>
              <w:rPr>
                <w:rFonts w:cs="Arial"/>
                <w:sz w:val="22"/>
                <w:szCs w:val="22"/>
                <w:lang w:val="en-GB"/>
              </w:rPr>
            </w:pPr>
            <w:r w:rsidRPr="00F640B4">
              <w:rPr>
                <w:rFonts w:cs="Arial"/>
                <w:sz w:val="22"/>
                <w:szCs w:val="22"/>
                <w:lang w:val="en-GB"/>
              </w:rPr>
              <w:t xml:space="preserve">Capecitabine plus oxaliplatin (CAPOX) </w:t>
            </w:r>
          </w:p>
          <w:p w14:paraId="761A3C27" w14:textId="2C7C6F0A" w:rsidR="00F640B4" w:rsidRDefault="00F640B4" w:rsidP="00412AEB">
            <w:pPr>
              <w:pStyle w:val="BodyText2"/>
              <w:numPr>
                <w:ilvl w:val="0"/>
                <w:numId w:val="43"/>
              </w:numPr>
              <w:rPr>
                <w:rFonts w:cs="Arial"/>
                <w:sz w:val="22"/>
                <w:szCs w:val="22"/>
                <w:lang w:val="en-GB"/>
              </w:rPr>
            </w:pPr>
            <w:r w:rsidRPr="00F640B4">
              <w:rPr>
                <w:rFonts w:cs="Arial"/>
                <w:sz w:val="22"/>
                <w:szCs w:val="22"/>
                <w:lang w:val="en-GB"/>
              </w:rPr>
              <w:t>Capecitabine</w:t>
            </w:r>
          </w:p>
          <w:p w14:paraId="21E25D4A" w14:textId="313D963B" w:rsidR="00DD52D6" w:rsidRPr="00DD52D6" w:rsidRDefault="00DD52D6" w:rsidP="00DD52D6">
            <w:pPr>
              <w:pStyle w:val="BodyText2"/>
              <w:rPr>
                <w:rFonts w:cs="Arial"/>
                <w:sz w:val="22"/>
                <w:szCs w:val="22"/>
                <w:lang w:val="en-GB"/>
              </w:rPr>
            </w:pPr>
            <w:r w:rsidRPr="00DD52D6">
              <w:rPr>
                <w:rFonts w:cs="Arial"/>
                <w:sz w:val="22"/>
                <w:szCs w:val="22"/>
                <w:lang w:val="en-GB"/>
              </w:rPr>
              <w:t>For people with high microsatellite instability (MSI) or</w:t>
            </w:r>
            <w:r w:rsidR="00412AEB">
              <w:rPr>
                <w:rFonts w:cs="Arial"/>
                <w:sz w:val="22"/>
                <w:szCs w:val="22"/>
                <w:lang w:val="en-GB"/>
              </w:rPr>
              <w:t xml:space="preserve"> </w:t>
            </w:r>
            <w:r w:rsidRPr="00DD52D6">
              <w:rPr>
                <w:rFonts w:cs="Arial"/>
                <w:sz w:val="22"/>
                <w:szCs w:val="22"/>
                <w:lang w:val="en-GB"/>
              </w:rPr>
              <w:t>mismatch repair (MMR) deficiency</w:t>
            </w:r>
          </w:p>
          <w:p w14:paraId="297924AB" w14:textId="53E393C6" w:rsidR="00DD52D6" w:rsidRDefault="00DD52D6" w:rsidP="00412AEB">
            <w:pPr>
              <w:pStyle w:val="BodyText2"/>
              <w:numPr>
                <w:ilvl w:val="0"/>
                <w:numId w:val="44"/>
              </w:numPr>
              <w:rPr>
                <w:rFonts w:cs="Arial"/>
                <w:sz w:val="22"/>
                <w:szCs w:val="22"/>
                <w:lang w:val="en-GB"/>
              </w:rPr>
            </w:pPr>
            <w:r w:rsidRPr="00DD52D6">
              <w:rPr>
                <w:rFonts w:cs="Arial"/>
                <w:sz w:val="22"/>
                <w:szCs w:val="22"/>
                <w:lang w:val="en-GB"/>
              </w:rPr>
              <w:t>Pembrolizumab</w:t>
            </w:r>
          </w:p>
          <w:p w14:paraId="20BF6B41" w14:textId="48FDF9F3" w:rsidR="00AA5FDA" w:rsidRDefault="003D1708" w:rsidP="00412AEB">
            <w:pPr>
              <w:pStyle w:val="BodyText2"/>
              <w:numPr>
                <w:ilvl w:val="0"/>
                <w:numId w:val="44"/>
              </w:numPr>
              <w:rPr>
                <w:rFonts w:cs="Arial"/>
                <w:sz w:val="22"/>
                <w:szCs w:val="22"/>
                <w:lang w:val="en-GB"/>
              </w:rPr>
            </w:pPr>
            <w:r w:rsidRPr="003D1708">
              <w:rPr>
                <w:rFonts w:cs="Arial"/>
                <w:sz w:val="22"/>
                <w:szCs w:val="22"/>
                <w:lang w:val="en-GB"/>
              </w:rPr>
              <w:t>Nivolumab with ipilimumab</w:t>
            </w:r>
            <w:r w:rsidR="007C5EE8">
              <w:rPr>
                <w:rFonts w:cs="Arial"/>
                <w:sz w:val="22"/>
                <w:szCs w:val="22"/>
                <w:lang w:val="en-GB"/>
              </w:rPr>
              <w:t xml:space="preserve"> (</w:t>
            </w:r>
            <w:r w:rsidR="0086264B">
              <w:rPr>
                <w:rFonts w:cs="Arial"/>
                <w:sz w:val="22"/>
                <w:szCs w:val="22"/>
                <w:lang w:val="en-GB"/>
              </w:rPr>
              <w:t>s</w:t>
            </w:r>
            <w:r w:rsidR="007C5EE8">
              <w:rPr>
                <w:rFonts w:cs="Arial"/>
                <w:sz w:val="22"/>
                <w:szCs w:val="22"/>
                <w:lang w:val="en-GB"/>
              </w:rPr>
              <w:t>ub</w:t>
            </w:r>
            <w:r w:rsidR="00F7308B">
              <w:rPr>
                <w:rFonts w:cs="Arial"/>
                <w:sz w:val="22"/>
                <w:szCs w:val="22"/>
                <w:lang w:val="en-GB"/>
              </w:rPr>
              <w:t xml:space="preserve">ject </w:t>
            </w:r>
            <w:r w:rsidR="002C0939">
              <w:rPr>
                <w:rFonts w:cs="Arial"/>
                <w:sz w:val="22"/>
                <w:szCs w:val="22"/>
                <w:lang w:val="en-GB"/>
              </w:rPr>
              <w:t>to NICE evaluation</w:t>
            </w:r>
            <w:r w:rsidR="00F7308B">
              <w:rPr>
                <w:rFonts w:cs="Arial"/>
                <w:sz w:val="22"/>
                <w:szCs w:val="22"/>
                <w:lang w:val="en-GB"/>
              </w:rPr>
              <w:t xml:space="preserve">) </w:t>
            </w:r>
          </w:p>
          <w:p w14:paraId="4A4802D8" w14:textId="74BCD953" w:rsidR="00412AEB" w:rsidRPr="00412AEB" w:rsidRDefault="00412AEB" w:rsidP="00412AEB">
            <w:pPr>
              <w:pStyle w:val="BodyText2"/>
              <w:rPr>
                <w:rFonts w:cs="Arial"/>
                <w:sz w:val="22"/>
                <w:szCs w:val="22"/>
                <w:lang w:val="en-GB"/>
              </w:rPr>
            </w:pPr>
            <w:r w:rsidRPr="00412AEB">
              <w:rPr>
                <w:rFonts w:cs="Arial"/>
                <w:sz w:val="22"/>
                <w:szCs w:val="22"/>
                <w:lang w:val="en-GB"/>
              </w:rPr>
              <w:t>For people with RAS-mutant metastatic colorectal cancer:</w:t>
            </w:r>
          </w:p>
          <w:p w14:paraId="5CCA0405" w14:textId="315E2B6A" w:rsidR="007A1D2B" w:rsidRDefault="00412AEB" w:rsidP="00412AEB">
            <w:pPr>
              <w:pStyle w:val="BodyText2"/>
              <w:numPr>
                <w:ilvl w:val="0"/>
                <w:numId w:val="44"/>
              </w:numPr>
              <w:rPr>
                <w:rFonts w:cs="Arial"/>
                <w:sz w:val="22"/>
                <w:szCs w:val="22"/>
                <w:lang w:val="en-GB"/>
              </w:rPr>
            </w:pPr>
            <w:r w:rsidRPr="00412AEB">
              <w:rPr>
                <w:rFonts w:cs="Arial"/>
                <w:sz w:val="22"/>
                <w:szCs w:val="22"/>
                <w:lang w:val="en-GB"/>
              </w:rPr>
              <w:t>Folinic acid plus fluorouracil plus oxaliplatin plus</w:t>
            </w:r>
            <w:r>
              <w:rPr>
                <w:rFonts w:cs="Arial"/>
                <w:sz w:val="22"/>
                <w:szCs w:val="22"/>
                <w:lang w:val="en-GB"/>
              </w:rPr>
              <w:t xml:space="preserve"> </w:t>
            </w:r>
            <w:r w:rsidRPr="00412AEB">
              <w:rPr>
                <w:rFonts w:cs="Arial"/>
                <w:sz w:val="22"/>
                <w:szCs w:val="22"/>
                <w:lang w:val="en-GB"/>
              </w:rPr>
              <w:t>irinotecan (FOLFOXIRI)</w:t>
            </w:r>
          </w:p>
          <w:p w14:paraId="3F8A6E7B" w14:textId="77777777" w:rsidR="00065871" w:rsidRPr="00065871" w:rsidRDefault="00065871" w:rsidP="00065871">
            <w:pPr>
              <w:pStyle w:val="BodyText2"/>
              <w:rPr>
                <w:rFonts w:cs="Arial"/>
                <w:sz w:val="22"/>
                <w:szCs w:val="22"/>
                <w:lang w:val="en-GB"/>
              </w:rPr>
            </w:pPr>
            <w:r w:rsidRPr="00065871">
              <w:rPr>
                <w:rFonts w:cs="Arial"/>
                <w:sz w:val="22"/>
                <w:szCs w:val="22"/>
                <w:lang w:val="en-GB"/>
              </w:rPr>
              <w:t xml:space="preserve">For people with RAS wild-type metastatic colorectal </w:t>
            </w:r>
          </w:p>
          <w:p w14:paraId="5CD7FF89" w14:textId="77777777" w:rsidR="00065871" w:rsidRDefault="00065871" w:rsidP="00065871">
            <w:pPr>
              <w:pStyle w:val="BodyText2"/>
              <w:rPr>
                <w:rFonts w:cs="Arial"/>
                <w:sz w:val="22"/>
                <w:szCs w:val="22"/>
                <w:lang w:val="en-GB"/>
              </w:rPr>
            </w:pPr>
            <w:r w:rsidRPr="00065871">
              <w:rPr>
                <w:rFonts w:cs="Arial"/>
                <w:sz w:val="22"/>
                <w:szCs w:val="22"/>
                <w:lang w:val="en-GB"/>
              </w:rPr>
              <w:t>cancer:</w:t>
            </w:r>
          </w:p>
          <w:p w14:paraId="0BE9D228" w14:textId="10050BD7" w:rsidR="00065871" w:rsidRPr="00065871" w:rsidRDefault="00065871" w:rsidP="00065871">
            <w:pPr>
              <w:pStyle w:val="BodyText2"/>
              <w:numPr>
                <w:ilvl w:val="0"/>
                <w:numId w:val="44"/>
              </w:numPr>
              <w:rPr>
                <w:rFonts w:cs="Arial"/>
                <w:sz w:val="22"/>
                <w:szCs w:val="22"/>
                <w:lang w:val="en-GB"/>
              </w:rPr>
            </w:pPr>
            <w:r w:rsidRPr="00065871">
              <w:rPr>
                <w:rFonts w:cs="Arial"/>
                <w:sz w:val="22"/>
                <w:szCs w:val="22"/>
                <w:lang w:val="en-GB"/>
              </w:rPr>
              <w:t>Panitumumab in combination with FOLFOX or FOLFIRI</w:t>
            </w:r>
          </w:p>
          <w:p w14:paraId="1B9EA6C3" w14:textId="77777777" w:rsidR="00065871" w:rsidRDefault="00065871" w:rsidP="00065871">
            <w:pPr>
              <w:pStyle w:val="BodyText2"/>
              <w:rPr>
                <w:rFonts w:cs="Arial"/>
                <w:sz w:val="22"/>
                <w:szCs w:val="22"/>
                <w:lang w:val="en-GB"/>
              </w:rPr>
            </w:pPr>
            <w:r w:rsidRPr="00065871">
              <w:rPr>
                <w:rFonts w:cs="Arial"/>
                <w:sz w:val="22"/>
                <w:szCs w:val="22"/>
                <w:lang w:val="en-GB"/>
              </w:rPr>
              <w:t>For people with EGFR expressing, RAS wild-type metastatic colorectal cancer:</w:t>
            </w:r>
          </w:p>
          <w:p w14:paraId="691B3716" w14:textId="37878454" w:rsidR="00C654E4" w:rsidRPr="006256C2" w:rsidRDefault="00065871">
            <w:pPr>
              <w:pStyle w:val="BodyText2"/>
              <w:numPr>
                <w:ilvl w:val="0"/>
                <w:numId w:val="44"/>
              </w:numPr>
              <w:rPr>
                <w:rFonts w:cs="Arial"/>
                <w:sz w:val="22"/>
                <w:szCs w:val="22"/>
                <w:lang w:val="en-GB"/>
              </w:rPr>
            </w:pPr>
            <w:r w:rsidRPr="00065871">
              <w:rPr>
                <w:rFonts w:cs="Arial"/>
                <w:sz w:val="22"/>
                <w:szCs w:val="22"/>
                <w:lang w:val="en-GB"/>
              </w:rPr>
              <w:t>Cetuximab in combination with FOLFOX or FOLFIRI</w:t>
            </w:r>
          </w:p>
        </w:tc>
      </w:tr>
      <w:tr w:rsidR="00C654E4" w:rsidRPr="00E970E0" w14:paraId="64A6278A" w14:textId="77777777">
        <w:trPr>
          <w:cantSplit/>
        </w:trPr>
        <w:tc>
          <w:tcPr>
            <w:tcW w:w="2376" w:type="dxa"/>
            <w:shd w:val="clear" w:color="auto" w:fill="D9D9D9"/>
          </w:tcPr>
          <w:p w14:paraId="00BA2C6E" w14:textId="77777777" w:rsidR="00C654E4" w:rsidRPr="00E970E0" w:rsidRDefault="00C654E4">
            <w:pPr>
              <w:pStyle w:val="Header"/>
              <w:spacing w:before="120"/>
              <w:rPr>
                <w:rFonts w:cs="Arial"/>
                <w:sz w:val="22"/>
                <w:szCs w:val="22"/>
              </w:rPr>
            </w:pPr>
            <w:r w:rsidRPr="00E970E0">
              <w:rPr>
                <w:rFonts w:cs="Arial"/>
                <w:b/>
                <w:bCs/>
                <w:sz w:val="22"/>
                <w:szCs w:val="22"/>
              </w:rPr>
              <w:t>Outcomes</w:t>
            </w:r>
          </w:p>
        </w:tc>
        <w:tc>
          <w:tcPr>
            <w:tcW w:w="6237" w:type="dxa"/>
          </w:tcPr>
          <w:p w14:paraId="01471C01" w14:textId="77777777" w:rsidR="00C654E4" w:rsidRDefault="00C654E4">
            <w:pPr>
              <w:pStyle w:val="BodyText2"/>
              <w:rPr>
                <w:rFonts w:cs="Arial"/>
                <w:sz w:val="22"/>
                <w:szCs w:val="22"/>
                <w:lang w:val="en-GB"/>
              </w:rPr>
            </w:pPr>
            <w:r w:rsidRPr="00E970E0">
              <w:rPr>
                <w:rFonts w:cs="Arial"/>
                <w:sz w:val="22"/>
                <w:szCs w:val="22"/>
                <w:lang w:val="en-GB"/>
              </w:rPr>
              <w:t>The outcome measures to be considered include:</w:t>
            </w:r>
          </w:p>
          <w:p w14:paraId="0A80B6FF" w14:textId="77777777" w:rsidR="000A7EA1" w:rsidRPr="000A7EA1" w:rsidRDefault="000A7EA1" w:rsidP="000A7EA1">
            <w:pPr>
              <w:numPr>
                <w:ilvl w:val="0"/>
                <w:numId w:val="38"/>
              </w:numPr>
              <w:spacing w:before="120" w:after="120"/>
              <w:ind w:left="714" w:hanging="357"/>
              <w:rPr>
                <w:rFonts w:ascii="Arial" w:hAnsi="Arial" w:cs="Arial"/>
                <w:sz w:val="22"/>
                <w:szCs w:val="22"/>
              </w:rPr>
            </w:pPr>
            <w:r w:rsidRPr="000A7EA1">
              <w:rPr>
                <w:rFonts w:ascii="Arial" w:hAnsi="Arial" w:cs="Arial"/>
                <w:sz w:val="22"/>
                <w:szCs w:val="22"/>
              </w:rPr>
              <w:t>overall survival</w:t>
            </w:r>
          </w:p>
          <w:p w14:paraId="06F90EEF" w14:textId="71321857" w:rsidR="000A7EA1" w:rsidRPr="000A7EA1" w:rsidRDefault="000A7EA1" w:rsidP="000A7EA1">
            <w:pPr>
              <w:numPr>
                <w:ilvl w:val="0"/>
                <w:numId w:val="38"/>
              </w:numPr>
              <w:spacing w:before="120" w:after="120"/>
              <w:ind w:left="714" w:hanging="357"/>
              <w:rPr>
                <w:rFonts w:ascii="Arial" w:hAnsi="Arial" w:cs="Arial"/>
                <w:sz w:val="22"/>
                <w:szCs w:val="22"/>
              </w:rPr>
            </w:pPr>
            <w:r w:rsidRPr="000A7EA1">
              <w:rPr>
                <w:rFonts w:ascii="Arial" w:hAnsi="Arial" w:cs="Arial"/>
                <w:sz w:val="22"/>
                <w:szCs w:val="22"/>
              </w:rPr>
              <w:t>progression-free survival</w:t>
            </w:r>
          </w:p>
          <w:p w14:paraId="4313E330" w14:textId="10D7D465" w:rsidR="006256C2" w:rsidRPr="000A7EA1" w:rsidRDefault="000A7EA1" w:rsidP="000A7EA1">
            <w:pPr>
              <w:numPr>
                <w:ilvl w:val="0"/>
                <w:numId w:val="38"/>
              </w:numPr>
              <w:spacing w:before="120" w:after="120"/>
              <w:ind w:left="714" w:hanging="357"/>
              <w:rPr>
                <w:rFonts w:ascii="Arial" w:hAnsi="Arial" w:cs="Arial"/>
                <w:sz w:val="22"/>
                <w:szCs w:val="22"/>
              </w:rPr>
            </w:pPr>
            <w:r>
              <w:rPr>
                <w:rFonts w:ascii="Arial" w:hAnsi="Arial" w:cs="Arial"/>
                <w:sz w:val="22"/>
                <w:szCs w:val="22"/>
              </w:rPr>
              <w:t>r</w:t>
            </w:r>
            <w:r w:rsidRPr="000A7EA1">
              <w:rPr>
                <w:rFonts w:ascii="Arial" w:hAnsi="Arial" w:cs="Arial"/>
                <w:sz w:val="22"/>
                <w:szCs w:val="22"/>
              </w:rPr>
              <w:t>esponse rates</w:t>
            </w:r>
          </w:p>
          <w:p w14:paraId="7FCE1F97" w14:textId="77777777" w:rsidR="00C654E4" w:rsidRPr="00C654E4" w:rsidRDefault="00C654E4" w:rsidP="00C654E4">
            <w:pPr>
              <w:numPr>
                <w:ilvl w:val="0"/>
                <w:numId w:val="38"/>
              </w:numPr>
              <w:spacing w:before="120" w:after="120"/>
              <w:ind w:left="714" w:hanging="357"/>
              <w:rPr>
                <w:rFonts w:ascii="Arial" w:hAnsi="Arial" w:cs="Arial"/>
                <w:sz w:val="22"/>
                <w:szCs w:val="22"/>
              </w:rPr>
            </w:pPr>
            <w:r w:rsidRPr="00C654E4">
              <w:rPr>
                <w:rFonts w:ascii="Arial" w:hAnsi="Arial" w:cs="Arial"/>
                <w:sz w:val="22"/>
                <w:szCs w:val="22"/>
              </w:rPr>
              <w:t>adverse effects of treatment</w:t>
            </w:r>
          </w:p>
          <w:p w14:paraId="219ED034" w14:textId="38593034" w:rsidR="00C654E4" w:rsidRPr="00171A3A" w:rsidRDefault="00C654E4" w:rsidP="00C654E4">
            <w:pPr>
              <w:numPr>
                <w:ilvl w:val="0"/>
                <w:numId w:val="38"/>
              </w:numPr>
              <w:spacing w:before="120" w:after="120"/>
              <w:ind w:left="714" w:hanging="357"/>
              <w:rPr>
                <w:rFonts w:cs="Arial"/>
                <w:sz w:val="22"/>
                <w:szCs w:val="22"/>
              </w:rPr>
            </w:pPr>
            <w:r w:rsidRPr="00C654E4">
              <w:rPr>
                <w:rFonts w:ascii="Arial" w:hAnsi="Arial" w:cs="Arial"/>
                <w:sz w:val="22"/>
                <w:szCs w:val="22"/>
              </w:rPr>
              <w:t>health-related quality of life</w:t>
            </w:r>
          </w:p>
        </w:tc>
      </w:tr>
      <w:tr w:rsidR="00C654E4" w:rsidRPr="00E970E0" w14:paraId="71973B74" w14:textId="77777777">
        <w:trPr>
          <w:cantSplit/>
        </w:trPr>
        <w:tc>
          <w:tcPr>
            <w:tcW w:w="2376" w:type="dxa"/>
            <w:shd w:val="clear" w:color="auto" w:fill="D9D9D9"/>
          </w:tcPr>
          <w:p w14:paraId="5547D25E" w14:textId="77777777" w:rsidR="00C654E4" w:rsidRPr="00E970E0" w:rsidRDefault="00C654E4">
            <w:pPr>
              <w:pStyle w:val="Header"/>
              <w:spacing w:before="120"/>
              <w:rPr>
                <w:rFonts w:cs="Arial"/>
                <w:sz w:val="22"/>
                <w:szCs w:val="22"/>
              </w:rPr>
            </w:pPr>
            <w:r w:rsidRPr="00E970E0">
              <w:rPr>
                <w:rFonts w:cs="Arial"/>
                <w:b/>
                <w:bCs/>
                <w:sz w:val="22"/>
                <w:szCs w:val="22"/>
              </w:rPr>
              <w:lastRenderedPageBreak/>
              <w:t>Economic analysis</w:t>
            </w:r>
          </w:p>
        </w:tc>
        <w:tc>
          <w:tcPr>
            <w:tcW w:w="6237" w:type="dxa"/>
          </w:tcPr>
          <w:p w14:paraId="3F5E35F1" w14:textId="77777777" w:rsidR="00C654E4" w:rsidRDefault="00C654E4">
            <w:pPr>
              <w:pStyle w:val="BodyText2"/>
              <w:rPr>
                <w:rFonts w:cs="Arial"/>
                <w:sz w:val="22"/>
                <w:szCs w:val="22"/>
                <w:lang w:val="en-GB"/>
              </w:rPr>
            </w:pPr>
            <w:r w:rsidRPr="00E970E0">
              <w:rPr>
                <w:rFonts w:cs="Arial"/>
                <w:sz w:val="22"/>
                <w:szCs w:val="22"/>
                <w:lang w:val="en-GB"/>
              </w:rPr>
              <w:t>The reference case stipulates that the cost effectiveness of treatments should be expressed in terms of incremental cost per quality-adjusted life year.</w:t>
            </w:r>
          </w:p>
          <w:p w14:paraId="75F45161" w14:textId="469A49FA" w:rsidR="00873187" w:rsidRDefault="00873187">
            <w:pPr>
              <w:pStyle w:val="BodyText2"/>
              <w:rPr>
                <w:rFonts w:cs="Arial"/>
                <w:sz w:val="22"/>
                <w:szCs w:val="22"/>
                <w:lang w:val="en-GB"/>
              </w:rPr>
            </w:pPr>
            <w:r w:rsidRPr="00873187">
              <w:rPr>
                <w:rFonts w:cs="Arial"/>
                <w:sz w:val="22"/>
                <w:szCs w:val="22"/>
                <w:lang w:val="en-GB"/>
              </w:rPr>
              <w:t>If the technology is likely to provide similar or greater health benefits at similar or lower cost than technologies recommended in published NICE technology appraisal guidance for the same indication, a cost comparison may be carried out.</w:t>
            </w:r>
          </w:p>
          <w:p w14:paraId="1988876D" w14:textId="77777777" w:rsidR="00C654E4" w:rsidRPr="00E970E0" w:rsidRDefault="00C654E4">
            <w:pPr>
              <w:pStyle w:val="BodyText2"/>
              <w:rPr>
                <w:rFonts w:cs="Arial"/>
                <w:sz w:val="22"/>
                <w:szCs w:val="22"/>
                <w:lang w:val="en-GB"/>
              </w:rPr>
            </w:pPr>
            <w:r w:rsidRPr="00E970E0">
              <w:rPr>
                <w:rFonts w:cs="Arial"/>
                <w:sz w:val="22"/>
                <w:szCs w:val="22"/>
                <w:lang w:val="en-GB"/>
              </w:rPr>
              <w:t>The reference case stipulates that the time horizon for estimating clinical and cost effectiveness should be sufficiently long to reflect any differences in costs or outcomes between the technologies being compared.</w:t>
            </w:r>
          </w:p>
          <w:p w14:paraId="25C01A98" w14:textId="77777777" w:rsidR="00C654E4" w:rsidRDefault="00C654E4">
            <w:pPr>
              <w:pStyle w:val="BodyText2"/>
              <w:rPr>
                <w:rFonts w:cs="Arial"/>
                <w:sz w:val="22"/>
                <w:szCs w:val="22"/>
                <w:lang w:val="en-GB"/>
              </w:rPr>
            </w:pPr>
            <w:r w:rsidRPr="00E970E0">
              <w:rPr>
                <w:rFonts w:cs="Arial"/>
                <w:sz w:val="22"/>
                <w:szCs w:val="22"/>
                <w:lang w:val="en-GB"/>
              </w:rPr>
              <w:t>Costs will be considered from an NHS and Personal Social Services perspective.</w:t>
            </w:r>
          </w:p>
          <w:p w14:paraId="672B3BE7" w14:textId="363E88AC" w:rsidR="00682AA8" w:rsidRDefault="00682AA8">
            <w:pPr>
              <w:pStyle w:val="BodyText2"/>
              <w:rPr>
                <w:rFonts w:cs="Arial"/>
                <w:sz w:val="22"/>
                <w:szCs w:val="22"/>
                <w:lang w:val="en-GB"/>
              </w:rPr>
            </w:pPr>
            <w:r w:rsidRPr="00682AA8">
              <w:rPr>
                <w:rFonts w:cs="Arial"/>
                <w:sz w:val="22"/>
                <w:szCs w:val="22"/>
                <w:lang w:val="en-GB"/>
              </w:rPr>
              <w:t>The availability of any commercial arrangements for the intervention, comparator and subsequent treatment technologies will be taken into account</w:t>
            </w:r>
            <w:r w:rsidR="001E6F18">
              <w:rPr>
                <w:rFonts w:cs="Arial"/>
                <w:sz w:val="22"/>
                <w:szCs w:val="22"/>
                <w:lang w:val="en-GB"/>
              </w:rPr>
              <w:t>.</w:t>
            </w:r>
          </w:p>
          <w:p w14:paraId="4EC18850" w14:textId="26736476" w:rsidR="00C654E4" w:rsidRPr="00E970E0" w:rsidRDefault="001E6F18" w:rsidP="0067125A">
            <w:pPr>
              <w:pStyle w:val="BodyText2"/>
              <w:rPr>
                <w:rFonts w:cs="Arial"/>
                <w:sz w:val="22"/>
                <w:szCs w:val="22"/>
                <w:lang w:val="en-GB"/>
              </w:rPr>
            </w:pPr>
            <w:r w:rsidRPr="001E6F18">
              <w:rPr>
                <w:rFonts w:cs="Arial"/>
                <w:sz w:val="22"/>
                <w:szCs w:val="22"/>
                <w:lang w:val="en-GB"/>
              </w:rPr>
              <w:t>The availability and cost of biosimilar and generic products should be taken into account</w:t>
            </w:r>
            <w:r w:rsidR="0067125A">
              <w:rPr>
                <w:rFonts w:cs="Arial"/>
                <w:sz w:val="22"/>
                <w:szCs w:val="22"/>
                <w:lang w:val="en-GB"/>
              </w:rPr>
              <w:t>.</w:t>
            </w:r>
          </w:p>
        </w:tc>
      </w:tr>
      <w:tr w:rsidR="00C654E4" w:rsidRPr="00E970E0" w14:paraId="7E96E74F" w14:textId="77777777">
        <w:trPr>
          <w:cantSplit/>
        </w:trPr>
        <w:tc>
          <w:tcPr>
            <w:tcW w:w="2376" w:type="dxa"/>
            <w:shd w:val="clear" w:color="auto" w:fill="D9D9D9"/>
          </w:tcPr>
          <w:p w14:paraId="51D0BB8A" w14:textId="77777777" w:rsidR="00C654E4" w:rsidRPr="00E970E0" w:rsidRDefault="00C654E4">
            <w:pPr>
              <w:pStyle w:val="Header"/>
              <w:spacing w:before="120"/>
              <w:rPr>
                <w:rFonts w:cs="Arial"/>
                <w:sz w:val="22"/>
                <w:szCs w:val="22"/>
              </w:rPr>
            </w:pPr>
            <w:r w:rsidRPr="00E970E0">
              <w:rPr>
                <w:rFonts w:cs="Arial"/>
                <w:b/>
                <w:bCs/>
                <w:sz w:val="22"/>
                <w:szCs w:val="22"/>
              </w:rPr>
              <w:t xml:space="preserve">Other considerations </w:t>
            </w:r>
          </w:p>
        </w:tc>
        <w:tc>
          <w:tcPr>
            <w:tcW w:w="6237" w:type="dxa"/>
          </w:tcPr>
          <w:p w14:paraId="4BF484C9" w14:textId="34FE0AA5" w:rsidR="00C654E4" w:rsidRPr="00E970E0" w:rsidRDefault="00C654E4">
            <w:pPr>
              <w:pStyle w:val="BodyText2"/>
              <w:rPr>
                <w:rFonts w:cs="Arial"/>
                <w:sz w:val="22"/>
                <w:szCs w:val="22"/>
                <w:lang w:val="en-GB"/>
              </w:rPr>
            </w:pPr>
            <w:r w:rsidRPr="00E970E0">
              <w:rPr>
                <w:rFonts w:cs="Arial"/>
                <w:sz w:val="22"/>
                <w:szCs w:val="22"/>
                <w:lang w:val="en-GB"/>
              </w:rPr>
              <w:t>Guidance will only be issued in accordance with the marketing authorisation</w:t>
            </w:r>
            <w:bookmarkStart w:id="0" w:name="Text54"/>
            <w:r w:rsidR="00C059F3">
              <w:rPr>
                <w:rFonts w:cs="Arial"/>
                <w:sz w:val="22"/>
                <w:szCs w:val="22"/>
                <w:lang w:val="en-GB"/>
              </w:rPr>
              <w:t xml:space="preserve">. </w:t>
            </w:r>
            <w:r w:rsidRPr="00E970E0">
              <w:rPr>
                <w:rFonts w:cs="Arial"/>
                <w:sz w:val="22"/>
                <w:szCs w:val="22"/>
              </w:rPr>
              <w:t>Where the wording of the therapeutic indication does not include specific treatment combinations, guidance will be issued only in the context of the evidence that has underpinned the marketing authorisation granted by the regulator.</w:t>
            </w:r>
            <w:bookmarkEnd w:id="0"/>
          </w:p>
        </w:tc>
      </w:tr>
      <w:tr w:rsidR="00C654E4" w:rsidRPr="00E970E0" w14:paraId="2EDB6DF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7E34CF29" w14:textId="77777777" w:rsidR="00C654E4" w:rsidRPr="00E970E0" w:rsidRDefault="00C654E4">
            <w:pPr>
              <w:pStyle w:val="Header"/>
              <w:spacing w:before="120"/>
              <w:rPr>
                <w:rFonts w:cs="Arial"/>
                <w:sz w:val="22"/>
                <w:szCs w:val="22"/>
              </w:rPr>
            </w:pPr>
            <w:r w:rsidRPr="00E970E0">
              <w:rPr>
                <w:rFonts w:cs="Arial"/>
                <w:b/>
                <w:bCs/>
                <w:sz w:val="22"/>
                <w:szCs w:val="22"/>
              </w:rPr>
              <w:t xml:space="preserve">Related NICE recommendations </w:t>
            </w:r>
          </w:p>
        </w:tc>
        <w:tc>
          <w:tcPr>
            <w:tcW w:w="6237" w:type="dxa"/>
          </w:tcPr>
          <w:p w14:paraId="4D708CF7" w14:textId="77777777" w:rsidR="00C654E4" w:rsidRDefault="00C654E4">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t</w:t>
            </w:r>
            <w:r w:rsidRPr="008704E9">
              <w:rPr>
                <w:rFonts w:cs="Arial"/>
                <w:b/>
                <w:bCs/>
                <w:sz w:val="22"/>
                <w:szCs w:val="22"/>
                <w:lang w:val="en-GB"/>
              </w:rPr>
              <w:t xml:space="preserve">echnology </w:t>
            </w:r>
            <w:r>
              <w:rPr>
                <w:rFonts w:cs="Arial"/>
                <w:b/>
                <w:bCs/>
                <w:sz w:val="22"/>
                <w:szCs w:val="22"/>
                <w:lang w:val="en-GB"/>
              </w:rPr>
              <w:t>a</w:t>
            </w:r>
            <w:r w:rsidRPr="008704E9">
              <w:rPr>
                <w:rFonts w:cs="Arial"/>
                <w:b/>
                <w:bCs/>
                <w:sz w:val="22"/>
                <w:szCs w:val="22"/>
                <w:lang w:val="en-GB"/>
              </w:rPr>
              <w:t>ppraisals:</w:t>
            </w:r>
          </w:p>
          <w:p w14:paraId="03A144BB" w14:textId="70C384CC" w:rsidR="00076C57" w:rsidRDefault="00B47DB9">
            <w:pPr>
              <w:pStyle w:val="BodyText2"/>
              <w:rPr>
                <w:rFonts w:cs="Arial"/>
                <w:sz w:val="22"/>
                <w:szCs w:val="22"/>
                <w:lang w:val="en-GB"/>
              </w:rPr>
            </w:pPr>
            <w:hyperlink r:id="rId11" w:history="1">
              <w:r w:rsidRPr="00B47DB9">
                <w:rPr>
                  <w:rStyle w:val="Hyperlink"/>
                  <w:rFonts w:cs="Arial"/>
                  <w:sz w:val="22"/>
                  <w:szCs w:val="22"/>
                  <w:lang w:val="en-GB"/>
                </w:rPr>
                <w:t>‘</w:t>
              </w:r>
              <w:r w:rsidR="00076C57" w:rsidRPr="00B47DB9">
                <w:rPr>
                  <w:rStyle w:val="Hyperlink"/>
                  <w:rFonts w:cs="Arial"/>
                  <w:sz w:val="22"/>
                  <w:szCs w:val="22"/>
                  <w:lang w:val="en-GB"/>
                </w:rPr>
                <w:t>Pembrolizumab for untreated metastatic colorectal cancer with high microsatellite instability or mismatch repair deficiency</w:t>
              </w:r>
              <w:r w:rsidRPr="00B47DB9">
                <w:rPr>
                  <w:rStyle w:val="Hyperlink"/>
                  <w:rFonts w:cs="Arial"/>
                  <w:sz w:val="22"/>
                  <w:szCs w:val="22"/>
                  <w:lang w:val="en-GB"/>
                </w:rPr>
                <w:t>’</w:t>
              </w:r>
            </w:hyperlink>
            <w:r w:rsidR="00076C57" w:rsidRPr="00EF76F3">
              <w:rPr>
                <w:rFonts w:cs="Arial"/>
                <w:sz w:val="22"/>
                <w:szCs w:val="22"/>
                <w:lang w:val="en-GB"/>
              </w:rPr>
              <w:t xml:space="preserve"> (2021)</w:t>
            </w:r>
            <w:r w:rsidR="00EF76F3" w:rsidRPr="00EF76F3">
              <w:rPr>
                <w:rFonts w:cs="Arial"/>
                <w:sz w:val="22"/>
                <w:szCs w:val="22"/>
                <w:lang w:val="en-GB"/>
              </w:rPr>
              <w:t xml:space="preserve"> NICE technology appraisal guidance TA709</w:t>
            </w:r>
            <w:r w:rsidR="002F3DB0">
              <w:rPr>
                <w:rFonts w:cs="Arial"/>
                <w:sz w:val="22"/>
                <w:szCs w:val="22"/>
                <w:lang w:val="en-GB"/>
              </w:rPr>
              <w:t>.</w:t>
            </w:r>
          </w:p>
          <w:p w14:paraId="662945D3" w14:textId="7F7427CB" w:rsidR="008843DC" w:rsidRDefault="00002F5A">
            <w:pPr>
              <w:pStyle w:val="BodyText2"/>
              <w:rPr>
                <w:rFonts w:cs="Arial"/>
                <w:sz w:val="22"/>
                <w:szCs w:val="22"/>
                <w:lang w:val="en-GB"/>
              </w:rPr>
            </w:pPr>
            <w:hyperlink r:id="rId12" w:history="1">
              <w:r w:rsidRPr="00002F5A">
                <w:rPr>
                  <w:rStyle w:val="Hyperlink"/>
                  <w:rFonts w:cs="Arial"/>
                  <w:sz w:val="22"/>
                  <w:szCs w:val="22"/>
                  <w:lang w:val="en-GB"/>
                </w:rPr>
                <w:t>‘Cetuximab and panitumumab for previously untreated metastatic colorectal cancer’</w:t>
              </w:r>
            </w:hyperlink>
            <w:r w:rsidRPr="00002F5A">
              <w:rPr>
                <w:rFonts w:cs="Arial"/>
                <w:sz w:val="22"/>
                <w:szCs w:val="22"/>
                <w:lang w:val="en-GB"/>
              </w:rPr>
              <w:t xml:space="preserve"> (2017)</w:t>
            </w:r>
            <w:r>
              <w:rPr>
                <w:rFonts w:cs="Arial"/>
                <w:sz w:val="22"/>
                <w:szCs w:val="22"/>
                <w:lang w:val="en-GB"/>
              </w:rPr>
              <w:t xml:space="preserve"> </w:t>
            </w:r>
            <w:r w:rsidRPr="00002F5A">
              <w:rPr>
                <w:rFonts w:cs="Arial"/>
                <w:sz w:val="22"/>
                <w:szCs w:val="22"/>
                <w:lang w:val="en-GB"/>
              </w:rPr>
              <w:t>NICE technology appraisal guidance TA</w:t>
            </w:r>
            <w:r>
              <w:rPr>
                <w:rFonts w:cs="Arial"/>
                <w:sz w:val="22"/>
                <w:szCs w:val="22"/>
                <w:lang w:val="en-GB"/>
              </w:rPr>
              <w:t>43</w:t>
            </w:r>
            <w:r w:rsidRPr="00002F5A">
              <w:rPr>
                <w:rFonts w:cs="Arial"/>
                <w:sz w:val="22"/>
                <w:szCs w:val="22"/>
                <w:lang w:val="en-GB"/>
              </w:rPr>
              <w:t>9</w:t>
            </w:r>
            <w:hyperlink r:id="rId13" w:history="1">
              <w:r w:rsidR="00494021" w:rsidRPr="00316FD8">
                <w:rPr>
                  <w:rStyle w:val="Hyperlink"/>
                  <w:rFonts w:cs="Arial"/>
                  <w:sz w:val="22"/>
                  <w:szCs w:val="22"/>
                  <w:lang w:val="en-GB"/>
                </w:rPr>
                <w:t>‘Bevacizumab and cetuximab for the treatment of metastatic colorectal cancer</w:t>
              </w:r>
              <w:r w:rsidR="00492971" w:rsidRPr="00316FD8">
                <w:rPr>
                  <w:rStyle w:val="Hyperlink"/>
                  <w:rFonts w:cs="Arial"/>
                  <w:sz w:val="22"/>
                  <w:szCs w:val="22"/>
                  <w:lang w:val="en-GB"/>
                </w:rPr>
                <w:t>’</w:t>
              </w:r>
            </w:hyperlink>
            <w:r w:rsidR="00492971">
              <w:rPr>
                <w:rFonts w:cs="Arial"/>
                <w:sz w:val="22"/>
                <w:szCs w:val="22"/>
                <w:lang w:val="en-GB"/>
              </w:rPr>
              <w:t xml:space="preserve"> (2012) </w:t>
            </w:r>
            <w:r w:rsidR="00492971" w:rsidRPr="00492971">
              <w:rPr>
                <w:rFonts w:cs="Arial"/>
                <w:sz w:val="22"/>
                <w:szCs w:val="22"/>
                <w:lang w:val="en-GB"/>
              </w:rPr>
              <w:t>NICE technology appraisal guidance</w:t>
            </w:r>
            <w:r w:rsidR="00492971">
              <w:rPr>
                <w:rFonts w:cs="Arial"/>
                <w:sz w:val="22"/>
                <w:szCs w:val="22"/>
                <w:lang w:val="en-GB"/>
              </w:rPr>
              <w:t xml:space="preserve"> TA118</w:t>
            </w:r>
            <w:r w:rsidR="002F3DB0">
              <w:rPr>
                <w:rFonts w:cs="Arial"/>
                <w:sz w:val="22"/>
                <w:szCs w:val="22"/>
                <w:lang w:val="en-GB"/>
              </w:rPr>
              <w:t>.</w:t>
            </w:r>
          </w:p>
          <w:p w14:paraId="06A3887E" w14:textId="4B314F31" w:rsidR="001B62CE" w:rsidRDefault="001B62CE">
            <w:pPr>
              <w:pStyle w:val="BodyText2"/>
              <w:rPr>
                <w:rFonts w:cs="Arial"/>
                <w:sz w:val="22"/>
                <w:szCs w:val="22"/>
                <w:lang w:val="en-GB"/>
              </w:rPr>
            </w:pPr>
            <w:hyperlink r:id="rId14" w:history="1">
              <w:r w:rsidRPr="00786888">
                <w:rPr>
                  <w:rStyle w:val="Hyperlink"/>
                  <w:rFonts w:cs="Arial"/>
                  <w:sz w:val="22"/>
                  <w:szCs w:val="22"/>
                  <w:lang w:val="en-GB"/>
                </w:rPr>
                <w:t>‘Bevacizumab in combination with oxaliplatin and either fluorouracil plus folinic acid or capecitabine for the treatment of metastatic colorectal cancer’</w:t>
              </w:r>
            </w:hyperlink>
            <w:r>
              <w:rPr>
                <w:rFonts w:cs="Arial"/>
                <w:sz w:val="22"/>
                <w:szCs w:val="22"/>
                <w:lang w:val="en-GB"/>
              </w:rPr>
              <w:t xml:space="preserve"> (2010) </w:t>
            </w:r>
            <w:r w:rsidR="00C37586" w:rsidRPr="00C37586">
              <w:rPr>
                <w:rFonts w:cs="Arial"/>
                <w:sz w:val="22"/>
                <w:szCs w:val="22"/>
                <w:lang w:val="en-GB"/>
              </w:rPr>
              <w:t xml:space="preserve">NICE technology appraisal guidance </w:t>
            </w:r>
            <w:r w:rsidR="00C37586">
              <w:rPr>
                <w:rFonts w:cs="Arial"/>
                <w:sz w:val="22"/>
                <w:szCs w:val="22"/>
                <w:lang w:val="en-GB"/>
              </w:rPr>
              <w:t>TA212</w:t>
            </w:r>
            <w:r w:rsidR="002F3DB0">
              <w:rPr>
                <w:rFonts w:cs="Arial"/>
                <w:sz w:val="22"/>
                <w:szCs w:val="22"/>
                <w:lang w:val="en-GB"/>
              </w:rPr>
              <w:t>.</w:t>
            </w:r>
          </w:p>
          <w:p w14:paraId="76EB26B2" w14:textId="3DB7E9F6" w:rsidR="00823108" w:rsidRDefault="00823108">
            <w:pPr>
              <w:pStyle w:val="BodyText2"/>
              <w:rPr>
                <w:rFonts w:cs="Arial"/>
                <w:sz w:val="22"/>
                <w:szCs w:val="22"/>
                <w:lang w:val="en-GB"/>
              </w:rPr>
            </w:pPr>
            <w:hyperlink r:id="rId15" w:history="1">
              <w:r w:rsidRPr="00223C04">
                <w:rPr>
                  <w:rStyle w:val="Hyperlink"/>
                  <w:rFonts w:cs="Arial"/>
                  <w:sz w:val="22"/>
                  <w:szCs w:val="22"/>
                  <w:lang w:val="en-GB"/>
                </w:rPr>
                <w:t>‘Laparoscopic surgery for colorectal cancer’</w:t>
              </w:r>
            </w:hyperlink>
            <w:r>
              <w:rPr>
                <w:rFonts w:cs="Arial"/>
                <w:sz w:val="22"/>
                <w:szCs w:val="22"/>
                <w:lang w:val="en-GB"/>
              </w:rPr>
              <w:t xml:space="preserve"> (2006) </w:t>
            </w:r>
            <w:r w:rsidRPr="00823108">
              <w:rPr>
                <w:rFonts w:cs="Arial"/>
                <w:sz w:val="22"/>
                <w:szCs w:val="22"/>
                <w:lang w:val="en-GB"/>
              </w:rPr>
              <w:t>NICE technology appraisal guidance</w:t>
            </w:r>
            <w:r w:rsidR="00223C04">
              <w:rPr>
                <w:rFonts w:cs="Arial"/>
                <w:sz w:val="22"/>
                <w:szCs w:val="22"/>
                <w:lang w:val="en-GB"/>
              </w:rPr>
              <w:t xml:space="preserve"> TA105</w:t>
            </w:r>
            <w:r w:rsidR="002F3DB0">
              <w:rPr>
                <w:rFonts w:cs="Arial"/>
                <w:sz w:val="22"/>
                <w:szCs w:val="22"/>
                <w:lang w:val="en-GB"/>
              </w:rPr>
              <w:t>.</w:t>
            </w:r>
          </w:p>
          <w:p w14:paraId="7042051E" w14:textId="53975011" w:rsidR="00B64435" w:rsidRPr="00EF76F3" w:rsidRDefault="00207E51">
            <w:pPr>
              <w:pStyle w:val="BodyText2"/>
              <w:rPr>
                <w:rFonts w:cs="Arial"/>
                <w:sz w:val="22"/>
                <w:szCs w:val="22"/>
                <w:lang w:val="en-GB"/>
              </w:rPr>
            </w:pPr>
            <w:hyperlink r:id="rId16" w:history="1">
              <w:r w:rsidRPr="00E1469A">
                <w:rPr>
                  <w:rStyle w:val="Hyperlink"/>
                  <w:rFonts w:cs="Arial"/>
                  <w:sz w:val="22"/>
                  <w:szCs w:val="22"/>
                  <w:lang w:val="en-GB"/>
                </w:rPr>
                <w:t>‘Guidance on the use of capecitabine and tegafur with uracil for metastatic colorectal cancer’</w:t>
              </w:r>
            </w:hyperlink>
            <w:r>
              <w:rPr>
                <w:rFonts w:cs="Arial"/>
                <w:sz w:val="22"/>
                <w:szCs w:val="22"/>
                <w:lang w:val="en-GB"/>
              </w:rPr>
              <w:t xml:space="preserve"> </w:t>
            </w:r>
            <w:r w:rsidR="00E1469A">
              <w:rPr>
                <w:rFonts w:cs="Arial"/>
                <w:sz w:val="22"/>
                <w:szCs w:val="22"/>
                <w:lang w:val="en-GB"/>
              </w:rPr>
              <w:t>(2003) NICE technology appraisal guidance TA61</w:t>
            </w:r>
            <w:r w:rsidR="002F3DB0">
              <w:rPr>
                <w:rFonts w:cs="Arial"/>
                <w:sz w:val="22"/>
                <w:szCs w:val="22"/>
                <w:lang w:val="en-GB"/>
              </w:rPr>
              <w:t>.</w:t>
            </w:r>
          </w:p>
          <w:p w14:paraId="4D853A62" w14:textId="77777777" w:rsidR="00C654E4" w:rsidRPr="00E970E0" w:rsidRDefault="00C654E4">
            <w:pPr>
              <w:pStyle w:val="BodyText2"/>
              <w:rPr>
                <w:rFonts w:cs="Arial"/>
                <w:sz w:val="22"/>
                <w:szCs w:val="22"/>
                <w:lang w:val="en-GB"/>
              </w:rPr>
            </w:pPr>
            <w:r w:rsidRPr="008704E9">
              <w:rPr>
                <w:rFonts w:cs="Arial"/>
                <w:b/>
                <w:bCs/>
                <w:sz w:val="22"/>
                <w:szCs w:val="22"/>
                <w:lang w:val="en-GB"/>
              </w:rPr>
              <w:t xml:space="preserve">Related </w:t>
            </w:r>
            <w:r>
              <w:rPr>
                <w:rFonts w:cs="Arial"/>
                <w:b/>
                <w:bCs/>
                <w:sz w:val="22"/>
                <w:szCs w:val="22"/>
                <w:lang w:val="en-GB"/>
              </w:rPr>
              <w:t>t</w:t>
            </w:r>
            <w:r w:rsidRPr="008704E9">
              <w:rPr>
                <w:rFonts w:cs="Arial"/>
                <w:b/>
                <w:bCs/>
                <w:sz w:val="22"/>
                <w:szCs w:val="22"/>
                <w:lang w:val="en-GB"/>
              </w:rPr>
              <w:t>echnology appraisals in development:</w:t>
            </w:r>
          </w:p>
          <w:p w14:paraId="0B1D9A8C" w14:textId="4CB6D44C" w:rsidR="00C654E4" w:rsidRDefault="00EE1BA6">
            <w:pPr>
              <w:pStyle w:val="BodyText2"/>
              <w:rPr>
                <w:rFonts w:cs="Arial"/>
                <w:sz w:val="22"/>
                <w:szCs w:val="22"/>
                <w:lang w:val="en-GB"/>
              </w:rPr>
            </w:pPr>
            <w:hyperlink r:id="rId17" w:history="1">
              <w:r w:rsidRPr="005539B3">
                <w:rPr>
                  <w:rStyle w:val="Hyperlink"/>
                  <w:rFonts w:cs="Arial"/>
                  <w:sz w:val="22"/>
                  <w:szCs w:val="22"/>
                  <w:lang w:val="en-GB"/>
                </w:rPr>
                <w:t>‘Nivolumab with ipilimumab for untreated metastatic colorectal cancer with high microsatellite instability or mismatch repair deficiency</w:t>
              </w:r>
              <w:r w:rsidR="00AF6797" w:rsidRPr="005539B3">
                <w:rPr>
                  <w:rStyle w:val="Hyperlink"/>
                  <w:rFonts w:cs="Arial"/>
                  <w:sz w:val="22"/>
                  <w:szCs w:val="22"/>
                  <w:lang w:val="en-GB"/>
                </w:rPr>
                <w:t>’</w:t>
              </w:r>
            </w:hyperlink>
            <w:r w:rsidR="00C654E4">
              <w:rPr>
                <w:rFonts w:cs="Arial"/>
                <w:sz w:val="22"/>
                <w:szCs w:val="22"/>
                <w:lang w:val="en-GB"/>
              </w:rPr>
              <w:t>.</w:t>
            </w:r>
            <w:r w:rsidR="00C654E4" w:rsidRPr="00E970E0">
              <w:rPr>
                <w:rFonts w:cs="Arial"/>
                <w:sz w:val="22"/>
                <w:szCs w:val="22"/>
                <w:lang w:val="en-GB"/>
              </w:rPr>
              <w:t xml:space="preserve"> </w:t>
            </w:r>
            <w:r w:rsidR="00C654E4" w:rsidRPr="00E970E0">
              <w:rPr>
                <w:rFonts w:cs="Arial"/>
                <w:sz w:val="22"/>
                <w:szCs w:val="22"/>
              </w:rPr>
              <w:t xml:space="preserve">NICE technology appraisal guidance </w:t>
            </w:r>
            <w:r w:rsidR="00C654E4" w:rsidRPr="00E970E0">
              <w:rPr>
                <w:rFonts w:cs="Arial"/>
                <w:sz w:val="22"/>
                <w:szCs w:val="22"/>
                <w:lang w:val="en-GB"/>
              </w:rPr>
              <w:t>[ID</w:t>
            </w:r>
            <w:r w:rsidR="00AF6797">
              <w:rPr>
                <w:rFonts w:cs="Arial"/>
                <w:sz w:val="22"/>
                <w:szCs w:val="22"/>
                <w:lang w:val="en-GB"/>
              </w:rPr>
              <w:t>1136</w:t>
            </w:r>
            <w:r w:rsidR="00C654E4" w:rsidRPr="00E970E0">
              <w:rPr>
                <w:rFonts w:cs="Arial"/>
                <w:sz w:val="22"/>
                <w:szCs w:val="22"/>
                <w:lang w:val="en-GB"/>
              </w:rPr>
              <w:t>] Publication date to be confirmed</w:t>
            </w:r>
            <w:r w:rsidR="00C654E4">
              <w:rPr>
                <w:rFonts w:cs="Arial"/>
                <w:sz w:val="22"/>
                <w:szCs w:val="22"/>
                <w:lang w:val="en-GB"/>
              </w:rPr>
              <w:t>.</w:t>
            </w:r>
          </w:p>
          <w:p w14:paraId="71C0CA5F" w14:textId="77777777" w:rsidR="00C654E4" w:rsidRDefault="00C654E4">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NICE g</w:t>
            </w:r>
            <w:r w:rsidRPr="008704E9">
              <w:rPr>
                <w:rFonts w:cs="Arial"/>
                <w:b/>
                <w:bCs/>
                <w:sz w:val="22"/>
                <w:szCs w:val="22"/>
                <w:lang w:val="en-GB"/>
              </w:rPr>
              <w:t>uidelines:</w:t>
            </w:r>
          </w:p>
          <w:p w14:paraId="4E9ED762" w14:textId="5DEEF8B2" w:rsidR="0031179A" w:rsidRDefault="0031179A">
            <w:pPr>
              <w:pStyle w:val="BodyText2"/>
              <w:rPr>
                <w:rFonts w:cs="Arial"/>
                <w:sz w:val="22"/>
                <w:szCs w:val="22"/>
                <w:lang w:val="en-GB"/>
              </w:rPr>
            </w:pPr>
            <w:hyperlink r:id="rId18" w:history="1">
              <w:r w:rsidRPr="00F90164">
                <w:rPr>
                  <w:rStyle w:val="Hyperlink"/>
                  <w:rFonts w:cs="Arial"/>
                  <w:sz w:val="22"/>
                  <w:szCs w:val="22"/>
                  <w:lang w:val="en-GB"/>
                </w:rPr>
                <w:t>Colorectal cancer</w:t>
              </w:r>
            </w:hyperlink>
            <w:r w:rsidRPr="00F90164">
              <w:rPr>
                <w:rFonts w:cs="Arial"/>
                <w:sz w:val="22"/>
                <w:szCs w:val="22"/>
                <w:lang w:val="en-GB"/>
              </w:rPr>
              <w:t xml:space="preserve"> (2021) NICE guideline</w:t>
            </w:r>
            <w:r w:rsidR="00F90164" w:rsidRPr="00F90164">
              <w:rPr>
                <w:rFonts w:cs="Arial"/>
                <w:sz w:val="22"/>
                <w:szCs w:val="22"/>
                <w:lang w:val="en-GB"/>
              </w:rPr>
              <w:t xml:space="preserve"> NG151</w:t>
            </w:r>
          </w:p>
          <w:p w14:paraId="4C723B85" w14:textId="172032AD" w:rsidR="001E40D7" w:rsidRPr="00F90164" w:rsidRDefault="001E40D7">
            <w:pPr>
              <w:pStyle w:val="BodyText2"/>
              <w:rPr>
                <w:rFonts w:cs="Arial"/>
                <w:sz w:val="22"/>
                <w:szCs w:val="22"/>
                <w:lang w:val="en-GB"/>
              </w:rPr>
            </w:pPr>
            <w:hyperlink r:id="rId19" w:history="1">
              <w:r w:rsidRPr="00955970">
                <w:rPr>
                  <w:rStyle w:val="Hyperlink"/>
                  <w:rFonts w:cs="Arial"/>
                  <w:sz w:val="22"/>
                  <w:szCs w:val="22"/>
                  <w:lang w:val="en-GB"/>
                </w:rPr>
                <w:t>Colorectal cancer prevention: colonoscopic surveillance in adults with ulcerative colitis, Crohn's disease or adenomas</w:t>
              </w:r>
            </w:hyperlink>
            <w:r w:rsidR="00955970">
              <w:rPr>
                <w:rFonts w:cs="Arial"/>
                <w:sz w:val="22"/>
                <w:szCs w:val="22"/>
                <w:lang w:val="en-GB"/>
              </w:rPr>
              <w:t xml:space="preserve"> (2022) </w:t>
            </w:r>
            <w:r w:rsidR="00955970" w:rsidRPr="00955970">
              <w:rPr>
                <w:rFonts w:cs="Arial"/>
                <w:sz w:val="22"/>
                <w:szCs w:val="22"/>
                <w:lang w:val="en-GB"/>
              </w:rPr>
              <w:t>NICE guideline CG</w:t>
            </w:r>
            <w:r w:rsidR="00955970">
              <w:rPr>
                <w:rFonts w:cs="Arial"/>
                <w:sz w:val="22"/>
                <w:szCs w:val="22"/>
                <w:lang w:val="en-GB"/>
              </w:rPr>
              <w:t>118</w:t>
            </w:r>
          </w:p>
          <w:p w14:paraId="21601B7E" w14:textId="77777777" w:rsidR="00C654E4" w:rsidRDefault="00C654E4">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i</w:t>
            </w:r>
            <w:r w:rsidRPr="008704E9">
              <w:rPr>
                <w:rFonts w:cs="Arial"/>
                <w:b/>
                <w:bCs/>
                <w:sz w:val="22"/>
                <w:szCs w:val="22"/>
                <w:lang w:val="en-GB"/>
              </w:rPr>
              <w:t xml:space="preserve">nterventional </w:t>
            </w:r>
            <w:r>
              <w:rPr>
                <w:rFonts w:cs="Arial"/>
                <w:b/>
                <w:bCs/>
                <w:sz w:val="22"/>
                <w:szCs w:val="22"/>
                <w:lang w:val="en-GB"/>
              </w:rPr>
              <w:t>p</w:t>
            </w:r>
            <w:r w:rsidRPr="008704E9">
              <w:rPr>
                <w:rFonts w:cs="Arial"/>
                <w:b/>
                <w:bCs/>
                <w:sz w:val="22"/>
                <w:szCs w:val="22"/>
                <w:lang w:val="en-GB"/>
              </w:rPr>
              <w:t>rocedures:</w:t>
            </w:r>
          </w:p>
          <w:p w14:paraId="2FA97220" w14:textId="6970C758" w:rsidR="00F919A0" w:rsidRPr="002C2041" w:rsidRDefault="002A0464">
            <w:pPr>
              <w:pStyle w:val="BodyText2"/>
              <w:rPr>
                <w:rFonts w:cs="Arial"/>
                <w:sz w:val="22"/>
                <w:szCs w:val="22"/>
                <w:lang w:val="en-GB"/>
              </w:rPr>
            </w:pPr>
            <w:hyperlink r:id="rId20" w:history="1">
              <w:r w:rsidRPr="002C2041">
                <w:rPr>
                  <w:rStyle w:val="Hyperlink"/>
                  <w:rFonts w:cs="Arial"/>
                  <w:sz w:val="22"/>
                  <w:szCs w:val="22"/>
                  <w:lang w:val="en-GB"/>
                </w:rPr>
                <w:t>Selective internal radiation therapy for unresectable colorectal metastases in the liver</w:t>
              </w:r>
            </w:hyperlink>
            <w:r w:rsidRPr="002C2041">
              <w:rPr>
                <w:rFonts w:cs="Arial"/>
                <w:sz w:val="22"/>
                <w:szCs w:val="22"/>
                <w:lang w:val="en-GB"/>
              </w:rPr>
              <w:t xml:space="preserve"> (2020) NICE interventional procedures guidance 672</w:t>
            </w:r>
          </w:p>
          <w:p w14:paraId="56DBE6B6" w14:textId="3E781D22" w:rsidR="00696091" w:rsidRPr="008704E9" w:rsidRDefault="00696091">
            <w:pPr>
              <w:pStyle w:val="BodyText2"/>
              <w:rPr>
                <w:rFonts w:cs="Arial"/>
                <w:b/>
                <w:bCs/>
                <w:sz w:val="22"/>
                <w:szCs w:val="22"/>
                <w:lang w:val="en-GB"/>
              </w:rPr>
            </w:pPr>
            <w:hyperlink r:id="rId21" w:history="1">
              <w:r w:rsidRPr="00D772EE">
                <w:rPr>
                  <w:rStyle w:val="Hyperlink"/>
                  <w:rFonts w:cs="Arial"/>
                  <w:sz w:val="22"/>
                  <w:szCs w:val="22"/>
                  <w:lang w:val="en-GB"/>
                </w:rPr>
                <w:t>Radiofrequency ablation for colorectal liver metastases</w:t>
              </w:r>
            </w:hyperlink>
            <w:r>
              <w:rPr>
                <w:rFonts w:cs="Arial"/>
                <w:b/>
                <w:bCs/>
                <w:sz w:val="22"/>
                <w:szCs w:val="22"/>
                <w:lang w:val="en-GB"/>
              </w:rPr>
              <w:t xml:space="preserve"> </w:t>
            </w:r>
            <w:r w:rsidRPr="00C02C8A">
              <w:rPr>
                <w:rFonts w:cs="Arial"/>
                <w:sz w:val="22"/>
                <w:szCs w:val="22"/>
                <w:lang w:val="en-GB"/>
              </w:rPr>
              <w:t>(2009)</w:t>
            </w:r>
            <w:r w:rsidR="00C02C8A">
              <w:rPr>
                <w:rFonts w:cs="Arial"/>
                <w:sz w:val="22"/>
                <w:szCs w:val="22"/>
                <w:lang w:val="en-GB"/>
              </w:rPr>
              <w:t xml:space="preserve"> </w:t>
            </w:r>
            <w:r w:rsidR="00C02C8A" w:rsidRPr="00C02C8A">
              <w:rPr>
                <w:rFonts w:cs="Arial"/>
                <w:sz w:val="22"/>
                <w:szCs w:val="22"/>
                <w:lang w:val="en-GB"/>
              </w:rPr>
              <w:t>NICE interventional procedures guidance</w:t>
            </w:r>
            <w:r w:rsidR="00C02C8A">
              <w:rPr>
                <w:rFonts w:cs="Arial"/>
                <w:sz w:val="22"/>
                <w:szCs w:val="22"/>
                <w:lang w:val="en-GB"/>
              </w:rPr>
              <w:t xml:space="preserve"> 327</w:t>
            </w:r>
          </w:p>
          <w:p w14:paraId="73CC9483" w14:textId="77777777" w:rsidR="00C654E4" w:rsidRDefault="00C654E4">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q</w:t>
            </w:r>
            <w:r w:rsidRPr="008704E9">
              <w:rPr>
                <w:rFonts w:cs="Arial"/>
                <w:b/>
                <w:bCs/>
                <w:sz w:val="22"/>
                <w:szCs w:val="22"/>
                <w:lang w:val="en-GB"/>
              </w:rPr>
              <w:t xml:space="preserve">uality </w:t>
            </w:r>
            <w:r>
              <w:rPr>
                <w:rFonts w:cs="Arial"/>
                <w:b/>
                <w:bCs/>
                <w:sz w:val="22"/>
                <w:szCs w:val="22"/>
                <w:lang w:val="en-GB"/>
              </w:rPr>
              <w:t>s</w:t>
            </w:r>
            <w:r w:rsidRPr="008704E9">
              <w:rPr>
                <w:rFonts w:cs="Arial"/>
                <w:b/>
                <w:bCs/>
                <w:sz w:val="22"/>
                <w:szCs w:val="22"/>
                <w:lang w:val="en-GB"/>
              </w:rPr>
              <w:t>tandards:</w:t>
            </w:r>
          </w:p>
          <w:p w14:paraId="7C3053D0" w14:textId="64B2A13F" w:rsidR="00535AEB" w:rsidRDefault="00535AEB">
            <w:pPr>
              <w:pStyle w:val="BodyText2"/>
              <w:rPr>
                <w:rFonts w:cs="Arial"/>
                <w:sz w:val="22"/>
                <w:szCs w:val="22"/>
                <w:lang w:val="en-GB"/>
              </w:rPr>
            </w:pPr>
            <w:hyperlink r:id="rId22" w:history="1">
              <w:r w:rsidRPr="0020088E">
                <w:rPr>
                  <w:rStyle w:val="Hyperlink"/>
                  <w:rFonts w:cs="Arial"/>
                  <w:sz w:val="22"/>
                  <w:szCs w:val="22"/>
                  <w:lang w:val="en-GB"/>
                </w:rPr>
                <w:t>Colorectal cancer</w:t>
              </w:r>
            </w:hyperlink>
            <w:r w:rsidRPr="0020088E">
              <w:rPr>
                <w:rFonts w:cs="Arial"/>
                <w:sz w:val="22"/>
                <w:szCs w:val="22"/>
                <w:lang w:val="en-GB"/>
              </w:rPr>
              <w:t xml:space="preserve"> (2022) NICE quality standard 20</w:t>
            </w:r>
            <w:r w:rsidR="0020088E">
              <w:rPr>
                <w:rFonts w:cs="Arial"/>
                <w:sz w:val="22"/>
                <w:szCs w:val="22"/>
                <w:lang w:val="en-GB"/>
              </w:rPr>
              <w:t>.</w:t>
            </w:r>
          </w:p>
          <w:p w14:paraId="0A6A6618" w14:textId="4C90F419" w:rsidR="00C654E4" w:rsidRPr="00E970E0" w:rsidRDefault="0020088E">
            <w:pPr>
              <w:pStyle w:val="BodyText2"/>
              <w:rPr>
                <w:rFonts w:cs="Arial"/>
                <w:sz w:val="22"/>
                <w:szCs w:val="22"/>
                <w:lang w:val="en-GB"/>
              </w:rPr>
            </w:pPr>
            <w:hyperlink r:id="rId23" w:history="1">
              <w:r w:rsidRPr="00801413">
                <w:rPr>
                  <w:rStyle w:val="Hyperlink"/>
                  <w:rFonts w:cs="Arial"/>
                  <w:sz w:val="22"/>
                  <w:szCs w:val="22"/>
                  <w:lang w:val="en-GB"/>
                </w:rPr>
                <w:t>Suspected cancer</w:t>
              </w:r>
            </w:hyperlink>
            <w:r>
              <w:rPr>
                <w:rFonts w:cs="Arial"/>
                <w:sz w:val="22"/>
                <w:szCs w:val="22"/>
                <w:lang w:val="en-GB"/>
              </w:rPr>
              <w:t xml:space="preserve"> (2017) </w:t>
            </w:r>
            <w:r w:rsidRPr="0020088E">
              <w:rPr>
                <w:rFonts w:cs="Arial"/>
                <w:sz w:val="22"/>
                <w:szCs w:val="22"/>
                <w:lang w:val="en-GB"/>
              </w:rPr>
              <w:t>NICE quality standard</w:t>
            </w:r>
            <w:r>
              <w:rPr>
                <w:rFonts w:cs="Arial"/>
                <w:sz w:val="22"/>
                <w:szCs w:val="22"/>
                <w:lang w:val="en-GB"/>
              </w:rPr>
              <w:t xml:space="preserve"> 124.</w:t>
            </w:r>
          </w:p>
        </w:tc>
      </w:tr>
      <w:tr w:rsidR="00C654E4" w:rsidRPr="00E970E0" w14:paraId="65EE55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3316DFB2" w14:textId="77777777" w:rsidR="00C654E4" w:rsidRPr="00E970E0" w:rsidRDefault="00C654E4">
            <w:pPr>
              <w:pStyle w:val="Header"/>
              <w:spacing w:before="120"/>
              <w:rPr>
                <w:rFonts w:cs="Arial"/>
                <w:b/>
                <w:bCs/>
                <w:sz w:val="22"/>
                <w:szCs w:val="22"/>
              </w:rPr>
            </w:pPr>
            <w:r w:rsidRPr="00E970E0">
              <w:rPr>
                <w:rFonts w:cs="Arial"/>
                <w:b/>
                <w:bCs/>
                <w:sz w:val="22"/>
                <w:szCs w:val="22"/>
              </w:rPr>
              <w:lastRenderedPageBreak/>
              <w:t xml:space="preserve">Related National Policy </w:t>
            </w:r>
          </w:p>
        </w:tc>
        <w:tc>
          <w:tcPr>
            <w:tcW w:w="6237" w:type="dxa"/>
          </w:tcPr>
          <w:p w14:paraId="07D128F0" w14:textId="77777777" w:rsidR="00C654E4" w:rsidRPr="00E970E0" w:rsidRDefault="00C654E4">
            <w:pPr>
              <w:rPr>
                <w:rFonts w:cs="Arial"/>
                <w:sz w:val="22"/>
                <w:szCs w:val="22"/>
              </w:rPr>
            </w:pPr>
            <w:r w:rsidRPr="00C654E4">
              <w:rPr>
                <w:rFonts w:ascii="Arial" w:hAnsi="Arial" w:cs="Arial"/>
                <w:sz w:val="22"/>
                <w:szCs w:val="22"/>
              </w:rPr>
              <w:t xml:space="preserve">The NHS Long Term Plan (2019) </w:t>
            </w:r>
            <w:hyperlink r:id="rId24" w:history="1">
              <w:r w:rsidRPr="00C654E4">
                <w:rPr>
                  <w:rStyle w:val="Hyperlink"/>
                  <w:rFonts w:ascii="Arial" w:hAnsi="Arial" w:cs="Arial"/>
                  <w:sz w:val="22"/>
                  <w:szCs w:val="22"/>
                </w:rPr>
                <w:t>NHS Long Term Plan</w:t>
              </w:r>
            </w:hyperlink>
          </w:p>
          <w:p w14:paraId="19E79FE8" w14:textId="77777777" w:rsidR="00C654E4" w:rsidRPr="008704E9" w:rsidRDefault="00C654E4">
            <w:pPr>
              <w:pStyle w:val="BodyText2"/>
              <w:rPr>
                <w:rFonts w:cs="Arial"/>
                <w:sz w:val="22"/>
                <w:szCs w:val="22"/>
              </w:rPr>
            </w:pPr>
            <w:r w:rsidRPr="00E970E0">
              <w:rPr>
                <w:rFonts w:cs="Arial"/>
                <w:sz w:val="22"/>
                <w:szCs w:val="22"/>
                <w:lang w:val="en-GB"/>
              </w:rPr>
              <w:t>NHS England (20</w:t>
            </w:r>
            <w:r>
              <w:rPr>
                <w:rFonts w:cs="Arial"/>
                <w:sz w:val="22"/>
                <w:szCs w:val="22"/>
                <w:lang w:val="en-GB"/>
              </w:rPr>
              <w:t>23</w:t>
            </w:r>
            <w:r w:rsidRPr="00E970E0">
              <w:rPr>
                <w:rFonts w:cs="Arial"/>
                <w:sz w:val="22"/>
                <w:szCs w:val="22"/>
                <w:lang w:val="en-GB"/>
              </w:rPr>
              <w:t xml:space="preserve">) </w:t>
            </w:r>
            <w:hyperlink r:id="rId25" w:history="1">
              <w:r>
                <w:rPr>
                  <w:rStyle w:val="Hyperlink"/>
                  <w:rFonts w:cs="Arial"/>
                  <w:sz w:val="22"/>
                  <w:szCs w:val="22"/>
                </w:rPr>
                <w:t>Manual for prescribed specialist services (2023/2024)</w:t>
              </w:r>
            </w:hyperlink>
          </w:p>
        </w:tc>
      </w:tr>
    </w:tbl>
    <w:p w14:paraId="3F3AFCC7" w14:textId="77777777" w:rsidR="00C654E4" w:rsidRPr="00C654E4" w:rsidRDefault="00C654E4" w:rsidP="00C654E4">
      <w:pPr>
        <w:pStyle w:val="Paragraph"/>
        <w:numPr>
          <w:ilvl w:val="0"/>
          <w:numId w:val="0"/>
        </w:numPr>
      </w:pPr>
    </w:p>
    <w:p w14:paraId="22EFAB0C" w14:textId="7715F9EB" w:rsidR="008C1624" w:rsidRPr="00A4265E" w:rsidRDefault="008C1624" w:rsidP="008C1624">
      <w:pPr>
        <w:pStyle w:val="Heading2"/>
      </w:pPr>
      <w:r w:rsidRPr="00A4265E">
        <w:t>Has there been any change to the price of the technology(ies) since the guidance was published?</w:t>
      </w:r>
    </w:p>
    <w:p w14:paraId="5F81BF81" w14:textId="44FCEB51" w:rsidR="008C1624" w:rsidRDefault="00B57B61" w:rsidP="00934E40">
      <w:pPr>
        <w:pStyle w:val="Paragraph"/>
        <w:numPr>
          <w:ilvl w:val="0"/>
          <w:numId w:val="0"/>
        </w:numPr>
        <w:ind w:left="360"/>
      </w:pPr>
      <w:r>
        <w:t>TA</w:t>
      </w:r>
      <w:r w:rsidR="000A17AF">
        <w:t>1</w:t>
      </w:r>
      <w:r>
        <w:t>18</w:t>
      </w:r>
      <w:r w:rsidR="00A82981">
        <w:t xml:space="preserve"> and TA212</w:t>
      </w:r>
      <w:r>
        <w:t xml:space="preserve">: </w:t>
      </w:r>
      <w:r w:rsidRPr="00B57B61">
        <w:t>Bevacizumab 100-mg and 400-mg vials at net prices of £242.66 and £924.40 respectively</w:t>
      </w:r>
    </w:p>
    <w:p w14:paraId="0765B2CD" w14:textId="04253D94" w:rsidR="00002F5A" w:rsidRPr="00B61F51" w:rsidRDefault="00002F5A" w:rsidP="00002F5A">
      <w:pPr>
        <w:pStyle w:val="Paragraph"/>
        <w:numPr>
          <w:ilvl w:val="0"/>
          <w:numId w:val="0"/>
        </w:numPr>
        <w:ind w:left="360"/>
        <w:rPr>
          <w:b/>
          <w:bCs/>
        </w:rPr>
      </w:pPr>
      <w:r w:rsidRPr="00B61F51">
        <w:rPr>
          <w:b/>
          <w:bCs/>
        </w:rPr>
        <w:t>Current BNF prices</w:t>
      </w:r>
      <w:r w:rsidRPr="00171D93">
        <w:rPr>
          <w:b/>
          <w:bCs/>
        </w:rPr>
        <w:t>:</w:t>
      </w:r>
    </w:p>
    <w:p w14:paraId="63890636" w14:textId="7FBD6CF5" w:rsidR="00002F5A" w:rsidRDefault="00002F5A" w:rsidP="00002F5A">
      <w:pPr>
        <w:pStyle w:val="Paragraph"/>
        <w:numPr>
          <w:ilvl w:val="0"/>
          <w:numId w:val="0"/>
        </w:numPr>
        <w:ind w:left="360"/>
      </w:pPr>
      <w:r>
        <w:t xml:space="preserve">Avastin (Roche): </w:t>
      </w:r>
      <w:r w:rsidRPr="000A3347">
        <w:t>100-mg and 400-mg vials at net prices of £242.66 and £924.40 respectively</w:t>
      </w:r>
      <w:r>
        <w:t xml:space="preserve"> </w:t>
      </w:r>
    </w:p>
    <w:p w14:paraId="1AC0381C" w14:textId="357B777D" w:rsidR="00002F5A" w:rsidRPr="00171D93" w:rsidRDefault="00002F5A" w:rsidP="00002F5A">
      <w:pPr>
        <w:pStyle w:val="Paragraph"/>
        <w:numPr>
          <w:ilvl w:val="0"/>
          <w:numId w:val="0"/>
        </w:numPr>
        <w:ind w:left="360"/>
        <w:rPr>
          <w:b/>
          <w:bCs/>
        </w:rPr>
      </w:pPr>
      <w:r w:rsidRPr="00171D93">
        <w:rPr>
          <w:b/>
          <w:bCs/>
        </w:rPr>
        <w:t>Biosimilars</w:t>
      </w:r>
      <w:r>
        <w:rPr>
          <w:b/>
          <w:bCs/>
        </w:rPr>
        <w:t xml:space="preserve"> BNF</w:t>
      </w:r>
      <w:r w:rsidRPr="00171D93">
        <w:rPr>
          <w:b/>
          <w:bCs/>
        </w:rPr>
        <w:t xml:space="preserve">: </w:t>
      </w:r>
    </w:p>
    <w:p w14:paraId="27AFB6C4" w14:textId="075EF463" w:rsidR="00002F5A" w:rsidRPr="006B357F" w:rsidRDefault="00002F5A" w:rsidP="00002F5A">
      <w:pPr>
        <w:pStyle w:val="Paragraph"/>
        <w:numPr>
          <w:ilvl w:val="0"/>
          <w:numId w:val="0"/>
        </w:numPr>
        <w:ind w:left="360"/>
        <w:rPr>
          <w:highlight w:val="cyan"/>
          <w:u w:val="single"/>
        </w:rPr>
      </w:pPr>
      <w:r>
        <w:t xml:space="preserve">Almsys (Zentiva Pharma UK Ltd): </w:t>
      </w:r>
      <w:r w:rsidRPr="00A400C5">
        <w:t>100-mg and 400-mg vials at net prices of</w:t>
      </w:r>
      <w:r>
        <w:t xml:space="preserve"> £205.55 and £810.10 respectively </w:t>
      </w:r>
    </w:p>
    <w:p w14:paraId="1B035399" w14:textId="60D22E6A" w:rsidR="00002F5A" w:rsidRDefault="00002F5A" w:rsidP="00002F5A">
      <w:pPr>
        <w:pStyle w:val="Paragraph"/>
        <w:numPr>
          <w:ilvl w:val="0"/>
          <w:numId w:val="0"/>
        </w:numPr>
        <w:ind w:left="360"/>
      </w:pPr>
      <w:r>
        <w:t>Aybinitio</w:t>
      </w:r>
      <w:r w:rsidRPr="007E1DC4">
        <w:t xml:space="preserve"> (</w:t>
      </w:r>
      <w:r>
        <w:t>Organon Pharma (UK) Ltd</w:t>
      </w:r>
      <w:r w:rsidRPr="007E1DC4">
        <w:t>): 100-mg and 400-mg vials at net prices of £</w:t>
      </w:r>
      <w:r>
        <w:t xml:space="preserve">218.39 </w:t>
      </w:r>
      <w:r w:rsidRPr="007E1DC4">
        <w:t>and £</w:t>
      </w:r>
      <w:r>
        <w:t>831.96</w:t>
      </w:r>
      <w:r w:rsidRPr="007E1DC4">
        <w:t xml:space="preserve"> respectively</w:t>
      </w:r>
      <w:r>
        <w:t xml:space="preserve"> </w:t>
      </w:r>
    </w:p>
    <w:p w14:paraId="69AAD89D" w14:textId="7A4B780A" w:rsidR="00002F5A" w:rsidRDefault="00002F5A" w:rsidP="00002F5A">
      <w:pPr>
        <w:pStyle w:val="Paragraph"/>
        <w:numPr>
          <w:ilvl w:val="0"/>
          <w:numId w:val="0"/>
        </w:numPr>
        <w:ind w:left="360"/>
      </w:pPr>
      <w:r>
        <w:t>Oyavas</w:t>
      </w:r>
      <w:r w:rsidRPr="003F10A9">
        <w:t xml:space="preserve"> (</w:t>
      </w:r>
      <w:r>
        <w:t xml:space="preserve">Thornton and Ross </w:t>
      </w:r>
      <w:r w:rsidRPr="003F10A9">
        <w:t>Ltd): 100-mg and 400-mg vials at net prices of £2</w:t>
      </w:r>
      <w:r>
        <w:t>30</w:t>
      </w:r>
      <w:r w:rsidR="00A82FBA">
        <w:t>.00</w:t>
      </w:r>
      <w:r w:rsidRPr="003F10A9">
        <w:t xml:space="preserve"> and £</w:t>
      </w:r>
      <w:r>
        <w:t xml:space="preserve">877.80 </w:t>
      </w:r>
      <w:r w:rsidRPr="003F10A9">
        <w:t>respectively</w:t>
      </w:r>
      <w:r>
        <w:t xml:space="preserve"> </w:t>
      </w:r>
    </w:p>
    <w:p w14:paraId="5A44FC8A" w14:textId="58CB7998" w:rsidR="00002F5A" w:rsidRDefault="00002F5A" w:rsidP="00002F5A">
      <w:pPr>
        <w:pStyle w:val="Paragraph"/>
        <w:numPr>
          <w:ilvl w:val="0"/>
          <w:numId w:val="0"/>
        </w:numPr>
        <w:ind w:left="360"/>
      </w:pPr>
      <w:r>
        <w:lastRenderedPageBreak/>
        <w:t>Vegzelma</w:t>
      </w:r>
      <w:r w:rsidRPr="003F10A9">
        <w:t xml:space="preserve"> (</w:t>
      </w:r>
      <w:r>
        <w:t>Celltrion Healthcare UK Ltd</w:t>
      </w:r>
      <w:r w:rsidRPr="003F10A9">
        <w:t>): 100-mg and 400-mg vials at net prices of £2</w:t>
      </w:r>
      <w:r>
        <w:t>05</w:t>
      </w:r>
      <w:r w:rsidR="0012084F">
        <w:t>.00</w:t>
      </w:r>
      <w:r w:rsidRPr="003F10A9">
        <w:t xml:space="preserve"> and £</w:t>
      </w:r>
      <w:r>
        <w:t>810</w:t>
      </w:r>
      <w:r w:rsidR="0012084F">
        <w:t>.00</w:t>
      </w:r>
      <w:r>
        <w:t xml:space="preserve"> </w:t>
      </w:r>
      <w:r w:rsidRPr="003F10A9">
        <w:t>respectively</w:t>
      </w:r>
    </w:p>
    <w:p w14:paraId="23991D7D" w14:textId="11048E7E" w:rsidR="00002F5A" w:rsidRDefault="00002F5A" w:rsidP="00002F5A">
      <w:pPr>
        <w:pStyle w:val="Paragraph"/>
        <w:numPr>
          <w:ilvl w:val="0"/>
          <w:numId w:val="0"/>
        </w:numPr>
        <w:ind w:left="360"/>
      </w:pPr>
      <w:r>
        <w:t>Versavo</w:t>
      </w:r>
      <w:r w:rsidRPr="003F10A9">
        <w:t xml:space="preserve"> (</w:t>
      </w:r>
      <w:r>
        <w:t>Dr Reddys Laboratories (UK) Ltd</w:t>
      </w:r>
      <w:r w:rsidRPr="003F10A9">
        <w:t>): 100-mg and 400-mg vials at net prices of £</w:t>
      </w:r>
      <w:r>
        <w:t>242.66</w:t>
      </w:r>
      <w:r w:rsidRPr="003F10A9">
        <w:t xml:space="preserve"> and </w:t>
      </w:r>
      <w:r>
        <w:t xml:space="preserve">£924.40 </w:t>
      </w:r>
      <w:r w:rsidRPr="003F10A9">
        <w:t>respectively</w:t>
      </w:r>
      <w:r>
        <w:t xml:space="preserve"> </w:t>
      </w:r>
    </w:p>
    <w:p w14:paraId="7830F86B" w14:textId="76DB3C2E" w:rsidR="00002F5A" w:rsidRDefault="00002F5A" w:rsidP="00002F5A">
      <w:pPr>
        <w:pStyle w:val="Paragraph"/>
        <w:numPr>
          <w:ilvl w:val="0"/>
          <w:numId w:val="0"/>
        </w:numPr>
        <w:ind w:left="360"/>
      </w:pPr>
      <w:r>
        <w:t>Zirabev</w:t>
      </w:r>
      <w:r w:rsidRPr="003A1F4D">
        <w:t xml:space="preserve"> (</w:t>
      </w:r>
      <w:r>
        <w:t>Pfizer</w:t>
      </w:r>
      <w:r w:rsidRPr="003A1F4D">
        <w:t xml:space="preserve"> Ltd): 100-mg and 400-mg vials at net prices of £</w:t>
      </w:r>
      <w:r>
        <w:t>225.67</w:t>
      </w:r>
      <w:r w:rsidRPr="003A1F4D">
        <w:t xml:space="preserve"> and £</w:t>
      </w:r>
      <w:r>
        <w:t>902.70</w:t>
      </w:r>
      <w:r w:rsidRPr="003A1F4D">
        <w:t xml:space="preserve"> respectively</w:t>
      </w:r>
      <w:r>
        <w:t xml:space="preserve"> </w:t>
      </w:r>
    </w:p>
    <w:p w14:paraId="0F9C9108" w14:textId="77777777" w:rsidR="008C1624" w:rsidRPr="00A4265E" w:rsidRDefault="008C1624" w:rsidP="008C1624">
      <w:pPr>
        <w:pStyle w:val="Heading2"/>
      </w:pPr>
      <w:r w:rsidRPr="00A4265E">
        <w:t>Are there any existing or proposed changes to the marketing authorisation that would affect the existing guidance?</w:t>
      </w:r>
    </w:p>
    <w:p w14:paraId="0474993B" w14:textId="01CEEED3" w:rsidR="008C1624" w:rsidRPr="00A4265E" w:rsidRDefault="00603DE2" w:rsidP="00934E40">
      <w:pPr>
        <w:pStyle w:val="Paragraph"/>
        <w:numPr>
          <w:ilvl w:val="0"/>
          <w:numId w:val="0"/>
        </w:numPr>
        <w:ind w:left="360"/>
      </w:pPr>
      <w:r>
        <w:t>N/A</w:t>
      </w:r>
    </w:p>
    <w:p w14:paraId="08271E31" w14:textId="77777777" w:rsidR="008C1624" w:rsidRPr="00A4265E" w:rsidRDefault="008C1624" w:rsidP="008C1624">
      <w:pPr>
        <w:pStyle w:val="Heading2"/>
      </w:pPr>
      <w:r w:rsidRPr="00A4265E">
        <w:t>Were any uncertainties identified in the original guidance? Is there any new evidence that might address this?</w:t>
      </w:r>
    </w:p>
    <w:p w14:paraId="4D37ADB8" w14:textId="00770776" w:rsidR="001F10E5" w:rsidRDefault="003C0B91" w:rsidP="00833F03">
      <w:pPr>
        <w:pStyle w:val="Paragraph"/>
        <w:ind w:left="360"/>
      </w:pPr>
      <w:r>
        <w:t>I</w:t>
      </w:r>
      <w:r w:rsidR="00443D9C">
        <w:t>n</w:t>
      </w:r>
      <w:r>
        <w:t xml:space="preserve"> TA118 differences in the cost per QALY gained between the </w:t>
      </w:r>
      <w:r w:rsidR="000838D4">
        <w:t xml:space="preserve">company’s </w:t>
      </w:r>
      <w:r>
        <w:t>model and the assessment group’s model</w:t>
      </w:r>
      <w:r w:rsidR="004068C9">
        <w:t xml:space="preserve"> are likely to have been caused by the difference in the methods used to calculate survival</w:t>
      </w:r>
    </w:p>
    <w:p w14:paraId="7F62146D" w14:textId="27BD644E" w:rsidR="00833F03" w:rsidRDefault="00833F03" w:rsidP="00833F03">
      <w:pPr>
        <w:pStyle w:val="Paragraph"/>
        <w:ind w:left="360"/>
      </w:pPr>
      <w:r>
        <w:t>In TA212</w:t>
      </w:r>
    </w:p>
    <w:p w14:paraId="11578BE5" w14:textId="3032B386" w:rsidR="00443D9C" w:rsidRDefault="006459E0" w:rsidP="001F10E5">
      <w:pPr>
        <w:pStyle w:val="Paragraph"/>
        <w:numPr>
          <w:ilvl w:val="1"/>
          <w:numId w:val="20"/>
        </w:numPr>
      </w:pPr>
      <w:r>
        <w:t>T</w:t>
      </w:r>
      <w:r w:rsidR="00ED2796">
        <w:t xml:space="preserve">he population in the trial that informed the analysis were </w:t>
      </w:r>
      <w:r w:rsidR="00050B07">
        <w:t>slightly younger and fitter than patients with metastatic colorectal cancer in the UK</w:t>
      </w:r>
    </w:p>
    <w:p w14:paraId="39C01D46" w14:textId="3713043F" w:rsidR="000A0D46" w:rsidRDefault="006459E0" w:rsidP="000A0D46">
      <w:pPr>
        <w:pStyle w:val="Paragraph"/>
        <w:numPr>
          <w:ilvl w:val="1"/>
          <w:numId w:val="20"/>
        </w:numPr>
      </w:pPr>
      <w:r>
        <w:t xml:space="preserve">The </w:t>
      </w:r>
      <w:r w:rsidR="0096088B" w:rsidRPr="0096088B">
        <w:t>Committee considered that the</w:t>
      </w:r>
      <w:r w:rsidRPr="006459E0">
        <w:t xml:space="preserve"> </w:t>
      </w:r>
      <w:r>
        <w:t xml:space="preserve">proposed </w:t>
      </w:r>
      <w:r w:rsidRPr="006459E0">
        <w:t>patient access scheme</w:t>
      </w:r>
      <w:r w:rsidR="0096088B" w:rsidRPr="0096088B">
        <w:t xml:space="preserve"> was complex, with requirements for a number of financial transactions between the manufacturer, healthcare providers and commissioners. Therefore, the operating costs of the scheme were still likely to be greater than those presented by the manufacturer. </w:t>
      </w:r>
    </w:p>
    <w:p w14:paraId="3341957C" w14:textId="180B6811" w:rsidR="002C03FE" w:rsidRDefault="002C03FE" w:rsidP="000A0D46">
      <w:pPr>
        <w:pStyle w:val="Paragraph"/>
        <w:numPr>
          <w:ilvl w:val="1"/>
          <w:numId w:val="20"/>
        </w:numPr>
      </w:pPr>
      <w:r>
        <w:t>The Committee concluded that bevacizumab provided a modest increase in progression</w:t>
      </w:r>
      <w:r w:rsidR="00512BF2">
        <w:t xml:space="preserve"> </w:t>
      </w:r>
      <w:r>
        <w:t>free and overall survival when compared with regimens without bevacizumab but was mindful that there was a significant degree of uncertainty in the clinical evidence.</w:t>
      </w:r>
    </w:p>
    <w:p w14:paraId="1BDCB445" w14:textId="56C77615" w:rsidR="00512BF2" w:rsidRDefault="00C40CF5" w:rsidP="0040241A">
      <w:pPr>
        <w:pStyle w:val="Paragraph"/>
        <w:numPr>
          <w:ilvl w:val="1"/>
          <w:numId w:val="20"/>
        </w:numPr>
      </w:pPr>
      <w:r>
        <w:t xml:space="preserve">The committee concluded that the utility values </w:t>
      </w:r>
      <w:r w:rsidR="003420B9">
        <w:t>used in the model increased the uncertainty associated with the base-case ICERs</w:t>
      </w:r>
      <w:r>
        <w:t xml:space="preserve"> </w:t>
      </w:r>
    </w:p>
    <w:p w14:paraId="3DF25CBB" w14:textId="30DF16CD" w:rsidR="003420B9" w:rsidRDefault="00D45A10" w:rsidP="0040241A">
      <w:pPr>
        <w:pStyle w:val="Paragraph"/>
        <w:numPr>
          <w:ilvl w:val="1"/>
          <w:numId w:val="20"/>
        </w:numPr>
      </w:pPr>
      <w:r>
        <w:t>The Committee concluded that the ICERs would increase if the disutility due to adverse events related to bevacizumab treatment was included</w:t>
      </w:r>
    </w:p>
    <w:p w14:paraId="1AB5F875" w14:textId="4057D31E" w:rsidR="004D16A2" w:rsidRDefault="004D16A2" w:rsidP="0040241A">
      <w:pPr>
        <w:pStyle w:val="Paragraph"/>
        <w:numPr>
          <w:ilvl w:val="1"/>
          <w:numId w:val="20"/>
        </w:numPr>
      </w:pPr>
      <w:r>
        <w:t>The Committee concluded that if higher administration costs were</w:t>
      </w:r>
      <w:r w:rsidR="00152DE4">
        <w:t xml:space="preserve"> </w:t>
      </w:r>
      <w:r w:rsidR="00152DE4" w:rsidRPr="00152DE4">
        <w:t>included, then this would result in an increase in the ICER estimates.</w:t>
      </w:r>
    </w:p>
    <w:p w14:paraId="53FC7B1A" w14:textId="041AA9CA" w:rsidR="00512BF2" w:rsidRDefault="0040241A" w:rsidP="0040241A">
      <w:pPr>
        <w:pStyle w:val="Paragraph"/>
        <w:numPr>
          <w:ilvl w:val="1"/>
          <w:numId w:val="20"/>
        </w:numPr>
      </w:pPr>
      <w:r>
        <w:lastRenderedPageBreak/>
        <w:t>T</w:t>
      </w:r>
      <w:r w:rsidR="007E0354">
        <w:t>he Committee concluded that bevacizumab in combination with oxaliplatin and either fluorouracil plus folinic acid or capecitabine for the treatment of metastatic colorectal cancer did not meet all of the criteria for a life</w:t>
      </w:r>
      <w:r w:rsidR="00397417">
        <w:t xml:space="preserve"> </w:t>
      </w:r>
      <w:r w:rsidR="007E0354">
        <w:t>extending, end-of-life treatment.</w:t>
      </w:r>
    </w:p>
    <w:p w14:paraId="01AFE956" w14:textId="1ED5516D" w:rsidR="008E48CD" w:rsidRPr="00A4265E" w:rsidRDefault="008E48CD" w:rsidP="00570642">
      <w:pPr>
        <w:pStyle w:val="Paragraph"/>
        <w:numPr>
          <w:ilvl w:val="0"/>
          <w:numId w:val="0"/>
        </w:numPr>
      </w:pPr>
      <w:r>
        <w:t>Given the time that has passed since TA118 and TA212 were published it is expected that the evidence that informed these appraisals will no</w:t>
      </w:r>
      <w:r w:rsidR="00661A33">
        <w:t>w</w:t>
      </w:r>
      <w:r>
        <w:t xml:space="preserve"> be more mature.</w:t>
      </w:r>
      <w:r w:rsidR="006C24F7">
        <w:t xml:space="preserve"> </w:t>
      </w:r>
      <w:r w:rsidR="00570642">
        <w:t>T</w:t>
      </w:r>
      <w:r w:rsidR="006C24F7">
        <w:t xml:space="preserve">he </w:t>
      </w:r>
      <w:r w:rsidR="00570642">
        <w:t xml:space="preserve">current </w:t>
      </w:r>
      <w:r w:rsidR="00233B3C">
        <w:t>price of b</w:t>
      </w:r>
      <w:r w:rsidR="00233B3C" w:rsidRPr="00233B3C">
        <w:t>evacizumab and bevacizumab biosimilars</w:t>
      </w:r>
      <w:r w:rsidR="00233B3C">
        <w:t xml:space="preserve"> is expected to be lower tha</w:t>
      </w:r>
      <w:r w:rsidR="00570642">
        <w:t xml:space="preserve">n the bevacizumab prices used in TA118 and TA212. </w:t>
      </w:r>
    </w:p>
    <w:p w14:paraId="129F1C55" w14:textId="77777777" w:rsidR="00A4265E" w:rsidRPr="00A4265E" w:rsidRDefault="00A4265E" w:rsidP="00A4265E">
      <w:pPr>
        <w:pStyle w:val="Heading2"/>
      </w:pPr>
      <w:r w:rsidRPr="00A4265E">
        <w:t>Are there any related pieces of NICE guidance relevant to this appraisal? If so, what implications might this have for the existing guidance?</w:t>
      </w:r>
    </w:p>
    <w:p w14:paraId="7D0EAE7C" w14:textId="67D362DD" w:rsidR="00A4265E" w:rsidRPr="00A4265E" w:rsidRDefault="00EB773A" w:rsidP="00934E40">
      <w:pPr>
        <w:pStyle w:val="Paragraph"/>
        <w:numPr>
          <w:ilvl w:val="0"/>
          <w:numId w:val="0"/>
        </w:numPr>
        <w:ind w:left="360"/>
      </w:pPr>
      <w:r>
        <w:t>N/A</w:t>
      </w:r>
    </w:p>
    <w:p w14:paraId="2EF93D9B" w14:textId="56AA7F3B" w:rsidR="00C654E4" w:rsidRDefault="00C654E4" w:rsidP="00A4265E">
      <w:pPr>
        <w:pStyle w:val="Heading2"/>
      </w:pPr>
      <w:r>
        <w:t>Questions for consultation</w:t>
      </w:r>
    </w:p>
    <w:p w14:paraId="262A1273" w14:textId="7DB4FD60" w:rsidR="00934E40" w:rsidRPr="00934E40" w:rsidRDefault="00934E40" w:rsidP="00934E40">
      <w:pPr>
        <w:spacing w:before="120" w:after="120"/>
        <w:rPr>
          <w:rFonts w:ascii="Arial" w:hAnsi="Arial" w:cs="Arial"/>
          <w:lang w:eastAsia="en-US"/>
        </w:rPr>
      </w:pPr>
      <w:r w:rsidRPr="00934E40">
        <w:rPr>
          <w:rFonts w:ascii="Arial" w:hAnsi="Arial" w:cs="Arial"/>
          <w:lang w:eastAsia="en-US"/>
        </w:rPr>
        <w:t xml:space="preserve">Where do you consider </w:t>
      </w:r>
      <w:r w:rsidR="00F12DE6">
        <w:rPr>
          <w:rFonts w:ascii="Arial" w:hAnsi="Arial" w:cs="Arial"/>
          <w:lang w:eastAsia="en-US"/>
        </w:rPr>
        <w:t>b</w:t>
      </w:r>
      <w:r w:rsidR="00F12DE6" w:rsidRPr="00F12DE6">
        <w:rPr>
          <w:rFonts w:ascii="Arial" w:hAnsi="Arial" w:cs="Arial"/>
          <w:lang w:eastAsia="en-US"/>
        </w:rPr>
        <w:t>evacizumab and bevacizumab biosimilars</w:t>
      </w:r>
      <w:r w:rsidRPr="00934E40">
        <w:rPr>
          <w:rFonts w:ascii="Arial" w:hAnsi="Arial" w:cs="Arial"/>
          <w:lang w:eastAsia="en-US"/>
        </w:rPr>
        <w:t xml:space="preserve"> will fit into the existing care pathway for </w:t>
      </w:r>
      <w:r w:rsidR="003F4970" w:rsidRPr="003F4970">
        <w:rPr>
          <w:rFonts w:ascii="Arial" w:hAnsi="Arial" w:cs="Arial"/>
          <w:lang w:eastAsia="en-US"/>
        </w:rPr>
        <w:t>metastatic carcinoma of the colon or rectum</w:t>
      </w:r>
      <w:r w:rsidRPr="00934E40">
        <w:rPr>
          <w:rFonts w:ascii="Arial" w:hAnsi="Arial" w:cs="Arial"/>
          <w:lang w:eastAsia="en-US"/>
        </w:rPr>
        <w:t>?</w:t>
      </w:r>
    </w:p>
    <w:p w14:paraId="5AEDA258" w14:textId="194E14EF" w:rsidR="00934E40" w:rsidRPr="00934E40" w:rsidRDefault="00934E40" w:rsidP="00934E40">
      <w:pPr>
        <w:spacing w:before="120" w:after="120"/>
        <w:rPr>
          <w:rFonts w:ascii="Arial" w:hAnsi="Arial" w:cs="Arial"/>
          <w:lang w:eastAsia="en-US"/>
        </w:rPr>
      </w:pPr>
      <w:r w:rsidRPr="00934E40">
        <w:rPr>
          <w:rFonts w:ascii="Arial" w:hAnsi="Arial" w:cs="Arial"/>
          <w:lang w:eastAsia="en-US"/>
        </w:rPr>
        <w:t xml:space="preserve">Do you consider that the use of </w:t>
      </w:r>
      <w:r w:rsidR="00F12DE6" w:rsidRPr="00F12DE6">
        <w:rPr>
          <w:rFonts w:ascii="Arial" w:hAnsi="Arial" w:cs="Arial"/>
          <w:lang w:eastAsia="en-US"/>
        </w:rPr>
        <w:t>bevacizumab and bevacizumab biosimilars</w:t>
      </w:r>
      <w:r w:rsidRPr="00934E40">
        <w:rPr>
          <w:rFonts w:ascii="Arial" w:hAnsi="Arial" w:cs="Arial"/>
          <w:lang w:eastAsia="en-US"/>
        </w:rPr>
        <w:t xml:space="preserve"> can result in any potential substantial health-related benefits that are unlikely to be included in the QALY calculation? </w:t>
      </w:r>
    </w:p>
    <w:p w14:paraId="065014EA" w14:textId="12420B5F" w:rsidR="00934E40" w:rsidRPr="00934E40" w:rsidRDefault="00934E40" w:rsidP="00F52B49">
      <w:pPr>
        <w:spacing w:before="120" w:after="120"/>
        <w:rPr>
          <w:rFonts w:ascii="Arial" w:hAnsi="Arial" w:cs="Arial"/>
          <w:lang w:eastAsia="en-US"/>
        </w:rPr>
      </w:pPr>
      <w:r w:rsidRPr="00934E40">
        <w:rPr>
          <w:rFonts w:ascii="Arial" w:hAnsi="Arial" w:cs="Arial"/>
          <w:lang w:eastAsia="en-US"/>
        </w:rPr>
        <w:t>Please identify the nature of the data which you understand to be available to enable the committee to take account of these benefits.</w:t>
      </w:r>
    </w:p>
    <w:p w14:paraId="493F124D" w14:textId="77777777" w:rsidR="00934E40" w:rsidRPr="00934E40" w:rsidRDefault="00934E40" w:rsidP="00934E40">
      <w:pPr>
        <w:spacing w:after="240"/>
        <w:rPr>
          <w:rFonts w:ascii="Arial" w:hAnsi="Arial" w:cs="Arial"/>
          <w:lang w:val="x-none" w:eastAsia="en-US"/>
        </w:rPr>
      </w:pPr>
      <w:r w:rsidRPr="00934E40">
        <w:rPr>
          <w:rFonts w:ascii="Arial" w:hAnsi="Arial" w:cs="Arial"/>
          <w:lang w:val="x-none" w:eastAsia="en-US"/>
        </w:rPr>
        <w:t>NICE is committed to promoting equality of opportunity, eliminating unlawful discrimination and fostering good relations between people with particular protected characteristics and others.  Please let us know if you think that the proposed remit and scope may need changing in order to meet these aims.  In particular, please tell us if the proposed remit and scope: </w:t>
      </w:r>
    </w:p>
    <w:p w14:paraId="13ADDDC8" w14:textId="661AB09A" w:rsidR="00934E40" w:rsidRPr="006B357F" w:rsidRDefault="00934E40" w:rsidP="00934E40">
      <w:pPr>
        <w:numPr>
          <w:ilvl w:val="0"/>
          <w:numId w:val="41"/>
        </w:numPr>
        <w:spacing w:after="240"/>
        <w:rPr>
          <w:rFonts w:ascii="Arial" w:hAnsi="Arial" w:cs="Arial"/>
          <w:lang w:val="x-none" w:eastAsia="en-US"/>
        </w:rPr>
      </w:pPr>
      <w:r w:rsidRPr="00C31501">
        <w:rPr>
          <w:rFonts w:ascii="Arial" w:hAnsi="Arial" w:cs="Arial"/>
          <w:lang w:val="x-none" w:eastAsia="en-US"/>
        </w:rPr>
        <w:t xml:space="preserve">could exclude from full consideration any people protected by the equality legislation who fall within the patient population for which </w:t>
      </w:r>
      <w:r w:rsidR="00F52B49" w:rsidRPr="00C31501">
        <w:rPr>
          <w:rFonts w:ascii="Arial" w:hAnsi="Arial" w:cs="Arial"/>
          <w:lang w:val="x-none" w:eastAsia="en-US"/>
        </w:rPr>
        <w:t xml:space="preserve">bevacizumab and bevacizumab biosimilars are </w:t>
      </w:r>
      <w:r w:rsidRPr="00C31501">
        <w:rPr>
          <w:rFonts w:ascii="Arial" w:hAnsi="Arial" w:cs="Arial"/>
          <w:lang w:val="x-none" w:eastAsia="en-US"/>
        </w:rPr>
        <w:t xml:space="preserve">licensed; </w:t>
      </w:r>
    </w:p>
    <w:p w14:paraId="1021F1EA" w14:textId="77777777" w:rsidR="00934E40" w:rsidRPr="00934E40" w:rsidRDefault="00934E40" w:rsidP="00934E40">
      <w:pPr>
        <w:numPr>
          <w:ilvl w:val="0"/>
          <w:numId w:val="41"/>
        </w:numPr>
        <w:spacing w:after="240"/>
        <w:rPr>
          <w:rFonts w:ascii="Arial" w:hAnsi="Arial" w:cs="Arial"/>
          <w:lang w:val="x-none" w:eastAsia="en-US"/>
        </w:rPr>
      </w:pPr>
      <w:r w:rsidRPr="00934E40">
        <w:rPr>
          <w:rFonts w:ascii="Arial" w:hAnsi="Arial" w:cs="Arial"/>
          <w:lang w:val="x-none" w:eastAsia="en-US"/>
        </w:rPr>
        <w:t xml:space="preserve">could lead to recommendations that have a different impact on people protected by the equality legislation than on the wider population, e.g. by making it more difficult in practice for a specific group to access the technology; </w:t>
      </w:r>
    </w:p>
    <w:p w14:paraId="014A5097" w14:textId="77777777" w:rsidR="00934E40" w:rsidRPr="00934E40" w:rsidRDefault="00934E40" w:rsidP="00934E40">
      <w:pPr>
        <w:numPr>
          <w:ilvl w:val="0"/>
          <w:numId w:val="41"/>
        </w:numPr>
        <w:spacing w:after="240"/>
        <w:rPr>
          <w:rFonts w:ascii="Arial" w:hAnsi="Arial" w:cs="Arial"/>
          <w:lang w:val="x-none" w:eastAsia="en-US"/>
        </w:rPr>
      </w:pPr>
      <w:r w:rsidRPr="00934E40">
        <w:rPr>
          <w:rFonts w:ascii="Arial" w:hAnsi="Arial" w:cs="Arial"/>
          <w:lang w:val="x-none" w:eastAsia="en-US"/>
        </w:rPr>
        <w:t xml:space="preserve">could have any adverse impact on people with a particular disability or disabilities.  </w:t>
      </w:r>
    </w:p>
    <w:p w14:paraId="1B025546" w14:textId="77777777" w:rsidR="00934E40" w:rsidRPr="00934E40" w:rsidRDefault="00934E40" w:rsidP="00934E40">
      <w:pPr>
        <w:spacing w:after="240"/>
        <w:rPr>
          <w:rFonts w:ascii="Arial" w:hAnsi="Arial" w:cs="Arial"/>
          <w:lang w:val="x-none" w:eastAsia="en-US"/>
        </w:rPr>
      </w:pPr>
      <w:r w:rsidRPr="00934E40">
        <w:rPr>
          <w:rFonts w:ascii="Arial" w:hAnsi="Arial" w:cs="Arial"/>
          <w:lang w:val="x-none" w:eastAsia="en-US"/>
        </w:rPr>
        <w:t xml:space="preserve">Please tell us what evidence should be obtained to enable the </w:t>
      </w:r>
      <w:r w:rsidRPr="00934E40">
        <w:rPr>
          <w:rFonts w:ascii="Arial" w:hAnsi="Arial" w:cs="Arial"/>
          <w:lang w:eastAsia="en-US"/>
        </w:rPr>
        <w:t>c</w:t>
      </w:r>
      <w:r w:rsidRPr="00934E40">
        <w:rPr>
          <w:rFonts w:ascii="Arial" w:hAnsi="Arial" w:cs="Arial"/>
          <w:lang w:val="x-none" w:eastAsia="en-US"/>
        </w:rPr>
        <w:t>ommittee to identify and consider such impacts.</w:t>
      </w:r>
    </w:p>
    <w:p w14:paraId="3BB46035" w14:textId="77777777" w:rsidR="00934E40" w:rsidRPr="00934E40" w:rsidRDefault="00934E40" w:rsidP="00934E40">
      <w:pPr>
        <w:rPr>
          <w:rFonts w:ascii="Arial" w:hAnsi="Arial" w:cs="Arial"/>
          <w:highlight w:val="yellow"/>
          <w:lang w:eastAsia="en-US"/>
        </w:rPr>
      </w:pPr>
    </w:p>
    <w:p w14:paraId="1F162971" w14:textId="77777777" w:rsidR="00A4265E" w:rsidRPr="00A4265E" w:rsidRDefault="00A4265E" w:rsidP="003844B5">
      <w:pPr>
        <w:pStyle w:val="Heading1numbered"/>
      </w:pPr>
      <w:r w:rsidRPr="00A4265E">
        <w:t>Equality issues</w:t>
      </w:r>
    </w:p>
    <w:p w14:paraId="2C279C6C" w14:textId="4C0560AC" w:rsidR="00934E40" w:rsidRPr="00A4265E" w:rsidRDefault="00F33AC1" w:rsidP="0007712C">
      <w:pPr>
        <w:pStyle w:val="Paragraph"/>
        <w:numPr>
          <w:ilvl w:val="0"/>
          <w:numId w:val="0"/>
        </w:numPr>
        <w:ind w:left="360"/>
      </w:pPr>
      <w:r>
        <w:t>No Equality issues were raised</w:t>
      </w:r>
      <w:r w:rsidR="00A005FA">
        <w:t xml:space="preserve"> in TA</w:t>
      </w:r>
      <w:r w:rsidR="00991888">
        <w:t xml:space="preserve">118 and TA212 or in recent </w:t>
      </w:r>
      <w:r w:rsidR="00AB551E">
        <w:t>metastatic</w:t>
      </w:r>
      <w:r w:rsidR="00884159">
        <w:t xml:space="preserve"> colorectal cancer appraisals. </w:t>
      </w:r>
      <w:r w:rsidR="00991888">
        <w:t xml:space="preserve"> </w:t>
      </w:r>
      <w:r>
        <w:t xml:space="preserve"> </w:t>
      </w:r>
    </w:p>
    <w:p w14:paraId="36BE962A" w14:textId="2427829D" w:rsidR="00A4265E" w:rsidRPr="00A4265E" w:rsidRDefault="009F152F" w:rsidP="009937C4">
      <w:pPr>
        <w:pStyle w:val="Heading1"/>
      </w:pPr>
      <w:r>
        <w:lastRenderedPageBreak/>
        <w:t>Scope review</w:t>
      </w:r>
      <w:r w:rsidR="00A4265E" w:rsidRPr="00A4265E">
        <w:t xml:space="preserve"> paper sign off</w:t>
      </w:r>
    </w:p>
    <w:p w14:paraId="1259F649" w14:textId="410E8BE1" w:rsidR="00A4265E" w:rsidRDefault="006526CE" w:rsidP="003D3D3F">
      <w:pPr>
        <w:pStyle w:val="Paragraphnonumbers"/>
        <w:spacing w:line="240" w:lineRule="auto"/>
      </w:pPr>
      <w:r w:rsidRPr="006526CE">
        <w:t>Programme Manager – Planning and Operations, TA and HST</w:t>
      </w:r>
    </w:p>
    <w:p w14:paraId="636A7D08" w14:textId="02D45DAD" w:rsidR="001868C2" w:rsidRPr="00A4265E" w:rsidRDefault="001868C2" w:rsidP="003D3D3F">
      <w:pPr>
        <w:pStyle w:val="Paragraphnonumbers"/>
        <w:spacing w:line="240" w:lineRule="auto"/>
      </w:pPr>
      <w:r>
        <w:t>10 February 2025</w:t>
      </w:r>
    </w:p>
    <w:p w14:paraId="204A0F8F" w14:textId="77777777" w:rsidR="00A4265E" w:rsidRDefault="00A4265E" w:rsidP="009937C4">
      <w:pPr>
        <w:pStyle w:val="Heading1"/>
      </w:pPr>
      <w:r>
        <w:t xml:space="preserve">Contributors to this paper </w:t>
      </w:r>
    </w:p>
    <w:p w14:paraId="5443ADE6" w14:textId="1149E41A" w:rsidR="00A4265E" w:rsidRDefault="00A4265E" w:rsidP="003D3D3F">
      <w:pPr>
        <w:pStyle w:val="Paragraphnonumbers"/>
        <w:spacing w:line="240" w:lineRule="auto"/>
      </w:pPr>
      <w:r>
        <w:t xml:space="preserve">Information Specialist: </w:t>
      </w:r>
      <w:r w:rsidR="00940DD2">
        <w:t>Thomas Hudson</w:t>
      </w:r>
    </w:p>
    <w:p w14:paraId="43733F4C" w14:textId="1B873E92" w:rsidR="00A4265E" w:rsidRDefault="00A4265E" w:rsidP="003D3D3F">
      <w:pPr>
        <w:pStyle w:val="Paragraphnonumbers"/>
        <w:spacing w:line="240" w:lineRule="auto"/>
      </w:pPr>
      <w:r>
        <w:t xml:space="preserve">Technical Analyst: </w:t>
      </w:r>
      <w:r w:rsidR="00E80F75">
        <w:t>Ross Wilkinson</w:t>
      </w:r>
    </w:p>
    <w:p w14:paraId="37503248" w14:textId="25F7D1CF" w:rsidR="00A4265E" w:rsidRDefault="00A4265E" w:rsidP="003D3D3F">
      <w:pPr>
        <w:pStyle w:val="Paragraphnonumbers"/>
        <w:spacing w:line="240" w:lineRule="auto"/>
      </w:pPr>
      <w:r>
        <w:t xml:space="preserve">Technical Adviser: </w:t>
      </w:r>
      <w:r w:rsidR="00673E5E">
        <w:t>Michelle Green</w:t>
      </w:r>
    </w:p>
    <w:p w14:paraId="37D3461B" w14:textId="33E49EFF" w:rsidR="003D3D3F" w:rsidRDefault="003D3D3F" w:rsidP="003D3D3F">
      <w:pPr>
        <w:pStyle w:val="Paragraphnonumbers"/>
        <w:spacing w:line="240" w:lineRule="auto"/>
      </w:pPr>
      <w:r>
        <w:t xml:space="preserve">Programme Manager: </w:t>
      </w:r>
      <w:r w:rsidR="00B91448">
        <w:t>Gavin Kenny</w:t>
      </w:r>
    </w:p>
    <w:p w14:paraId="7A9AA733" w14:textId="77777777" w:rsidR="0053533C" w:rsidRDefault="0053533C">
      <w:pPr>
        <w:rPr>
          <w:rFonts w:ascii="Arial" w:hAnsi="Arial"/>
        </w:rPr>
      </w:pPr>
      <w:r>
        <w:br w:type="page"/>
      </w:r>
    </w:p>
    <w:p w14:paraId="1A0D483D" w14:textId="26C6B02B" w:rsidR="0053533C" w:rsidRDefault="0053533C" w:rsidP="0053533C">
      <w:pPr>
        <w:pStyle w:val="Title"/>
      </w:pPr>
      <w:r>
        <w:lastRenderedPageBreak/>
        <w:t>Information from existing guidance</w:t>
      </w:r>
    </w:p>
    <w:p w14:paraId="4F6EF45C" w14:textId="6857FEFC" w:rsidR="00DE44BF" w:rsidRPr="00F10A82" w:rsidRDefault="006D238C" w:rsidP="00F10A82">
      <w:pPr>
        <w:pStyle w:val="Paragraphnonumbers"/>
        <w:spacing w:before="120" w:after="120" w:line="240" w:lineRule="auto"/>
        <w:rPr>
          <w:rFonts w:cs="Arial"/>
          <w:b/>
          <w:bCs/>
          <w:u w:val="single"/>
        </w:rPr>
      </w:pPr>
      <w:r w:rsidRPr="00F10A82">
        <w:rPr>
          <w:rFonts w:cs="Arial"/>
          <w:b/>
          <w:bCs/>
          <w:u w:val="single"/>
        </w:rPr>
        <w:t>TA118:</w:t>
      </w:r>
    </w:p>
    <w:p w14:paraId="0A99179E" w14:textId="19438C6D" w:rsidR="0053533C" w:rsidRPr="00F10A82" w:rsidRDefault="0053533C" w:rsidP="00F10A82">
      <w:pPr>
        <w:pStyle w:val="Paragraphnonumbers"/>
        <w:spacing w:before="120" w:after="120" w:line="240" w:lineRule="auto"/>
        <w:rPr>
          <w:rFonts w:cs="Arial"/>
          <w:b/>
          <w:bCs/>
        </w:rPr>
      </w:pPr>
      <w:bookmarkStart w:id="1" w:name="_Hlk172753214"/>
      <w:r w:rsidRPr="00F10A82">
        <w:rPr>
          <w:rFonts w:cs="Arial"/>
          <w:b/>
          <w:bCs/>
        </w:rPr>
        <w:t>Original remit</w:t>
      </w:r>
    </w:p>
    <w:p w14:paraId="318E95FE" w14:textId="77777777" w:rsidR="007A2908" w:rsidRPr="00002F5A" w:rsidRDefault="007A2908" w:rsidP="005739C3">
      <w:pPr>
        <w:rPr>
          <w:rFonts w:cs="Arial"/>
          <w:lang w:eastAsia="en-US"/>
        </w:rPr>
      </w:pPr>
      <w:r w:rsidRPr="00002F5A">
        <w:rPr>
          <w:rFonts w:ascii="Arial" w:hAnsi="Arial" w:cs="Arial"/>
          <w:lang w:eastAsia="en-US"/>
        </w:rPr>
        <w:t xml:space="preserve">To appraise the clinical and cost effectiveness of bevacizumab (Avastin, </w:t>
      </w:r>
    </w:p>
    <w:p w14:paraId="461D0BB6" w14:textId="77777777" w:rsidR="007A2908" w:rsidRPr="00002F5A" w:rsidRDefault="007A2908" w:rsidP="005739C3">
      <w:pPr>
        <w:rPr>
          <w:rFonts w:cs="Arial"/>
          <w:lang w:eastAsia="en-US"/>
        </w:rPr>
      </w:pPr>
      <w:r w:rsidRPr="00002F5A">
        <w:rPr>
          <w:rFonts w:ascii="Arial" w:hAnsi="Arial" w:cs="Arial"/>
          <w:lang w:eastAsia="en-US"/>
        </w:rPr>
        <w:t xml:space="preserve">Roche Products Ltd), and cetuximab (Erbitux, Merck Pharmaceuticals) for the </w:t>
      </w:r>
    </w:p>
    <w:p w14:paraId="6357282C" w14:textId="77777777" w:rsidR="007A2908" w:rsidRPr="00002F5A" w:rsidRDefault="007A2908" w:rsidP="005739C3">
      <w:pPr>
        <w:rPr>
          <w:rFonts w:cs="Arial"/>
          <w:lang w:eastAsia="en-US"/>
        </w:rPr>
      </w:pPr>
      <w:r w:rsidRPr="00002F5A">
        <w:rPr>
          <w:rFonts w:ascii="Arial" w:hAnsi="Arial" w:cs="Arial"/>
          <w:lang w:eastAsia="en-US"/>
        </w:rPr>
        <w:t xml:space="preserve">treatment of metastatic colorectal cancer, and to provide guidance to the NHS </w:t>
      </w:r>
    </w:p>
    <w:p w14:paraId="2E2BB881" w14:textId="0A348C5A" w:rsidR="00770A0B" w:rsidRPr="00F10A82" w:rsidRDefault="007A2908" w:rsidP="005739C3">
      <w:pPr>
        <w:rPr>
          <w:rFonts w:ascii="Arial" w:hAnsi="Arial" w:cs="Arial"/>
          <w:lang w:eastAsia="en-US"/>
        </w:rPr>
      </w:pPr>
      <w:r w:rsidRPr="00F10A82">
        <w:rPr>
          <w:rFonts w:ascii="Arial" w:hAnsi="Arial" w:cs="Arial"/>
          <w:lang w:eastAsia="en-US"/>
        </w:rPr>
        <w:t>in England and Wales</w:t>
      </w:r>
      <w:r w:rsidR="00F10A82">
        <w:rPr>
          <w:rFonts w:ascii="Arial" w:hAnsi="Arial" w:cs="Arial"/>
          <w:lang w:eastAsia="en-US"/>
        </w:rPr>
        <w:t>.</w:t>
      </w:r>
    </w:p>
    <w:p w14:paraId="5E51F7DD" w14:textId="77777777" w:rsidR="0053533C" w:rsidRPr="00F10A82" w:rsidRDefault="0053533C" w:rsidP="00AD08BF">
      <w:pPr>
        <w:pStyle w:val="Paragraphnonumbers"/>
        <w:spacing w:before="120" w:after="120" w:line="240" w:lineRule="auto"/>
        <w:rPr>
          <w:rFonts w:cs="Arial"/>
          <w:b/>
          <w:bCs/>
        </w:rPr>
      </w:pPr>
      <w:r w:rsidRPr="00F10A82">
        <w:rPr>
          <w:rFonts w:cs="Arial"/>
          <w:b/>
          <w:bCs/>
        </w:rPr>
        <w:t xml:space="preserve">Current guidance </w:t>
      </w:r>
    </w:p>
    <w:p w14:paraId="7D6CD9A0" w14:textId="3EE26416" w:rsidR="00207307" w:rsidRPr="00F10A82" w:rsidRDefault="006B1D49" w:rsidP="00AD08BF">
      <w:pPr>
        <w:spacing w:before="120" w:after="120"/>
        <w:rPr>
          <w:rFonts w:ascii="Arial" w:hAnsi="Arial" w:cs="Arial"/>
          <w:lang w:eastAsia="en-US"/>
        </w:rPr>
      </w:pPr>
      <w:r w:rsidRPr="00F10A82">
        <w:rPr>
          <w:rFonts w:ascii="Arial" w:hAnsi="Arial" w:cs="Arial"/>
          <w:lang w:eastAsia="en-US"/>
        </w:rPr>
        <w:t>Bevacizumab in combination with 5-fluorouracil plus folinic acid, with or without irinotecan, is not recommended for the first-line treatment of metastatic colorectal cancer.</w:t>
      </w:r>
    </w:p>
    <w:p w14:paraId="2D04CDDA" w14:textId="77777777" w:rsidR="009937C4" w:rsidRPr="00F10A82" w:rsidRDefault="009937C4" w:rsidP="00F10A82">
      <w:pPr>
        <w:pStyle w:val="Paragraphnonumbers"/>
        <w:spacing w:before="120" w:after="120" w:line="240" w:lineRule="auto"/>
        <w:rPr>
          <w:rFonts w:cs="Arial"/>
          <w:b/>
          <w:bCs/>
        </w:rPr>
      </w:pPr>
      <w:r w:rsidRPr="00F10A82">
        <w:rPr>
          <w:rFonts w:cs="Arial"/>
          <w:b/>
          <w:bCs/>
        </w:rPr>
        <w:t>Research recommendations from original guidance</w:t>
      </w:r>
    </w:p>
    <w:bookmarkEnd w:id="1"/>
    <w:p w14:paraId="4F03B5BC" w14:textId="584C3227" w:rsidR="00341D72" w:rsidRPr="00F10A82" w:rsidRDefault="00341D72" w:rsidP="00F10A82">
      <w:pPr>
        <w:pStyle w:val="Paragraphnonumbers"/>
        <w:spacing w:before="120" w:after="120" w:line="240" w:lineRule="auto"/>
        <w:rPr>
          <w:rFonts w:cs="Arial"/>
        </w:rPr>
      </w:pPr>
      <w:r w:rsidRPr="00F10A82">
        <w:rPr>
          <w:rFonts w:cs="Arial"/>
        </w:rPr>
        <w:t xml:space="preserve">The Committee was aware of other ongoing clinical trials with bevacizumab and cetuximab as part of different treatment regimens. </w:t>
      </w:r>
    </w:p>
    <w:p w14:paraId="6C451207" w14:textId="7C51AFCB" w:rsidR="00341D72" w:rsidRPr="00F10A82" w:rsidRDefault="00341D72" w:rsidP="00F10A82">
      <w:pPr>
        <w:pStyle w:val="Paragraphnonumbers"/>
        <w:numPr>
          <w:ilvl w:val="0"/>
          <w:numId w:val="48"/>
        </w:numPr>
        <w:spacing w:before="120" w:after="120" w:line="240" w:lineRule="auto"/>
        <w:rPr>
          <w:rFonts w:cs="Arial"/>
        </w:rPr>
      </w:pPr>
      <w:r w:rsidRPr="00F10A82">
        <w:rPr>
          <w:rFonts w:cs="Arial"/>
        </w:rPr>
        <w:t xml:space="preserve">The TREE-2 trial is a randomised multicentre study comparing three regimens of oxaliplatin plus bolus, infusional or oral 5-FU with bevacizumab to evaluate safety and tolerability in the first-line treatment of patients with advanced colorectal cancer. </w:t>
      </w:r>
    </w:p>
    <w:p w14:paraId="32FE1D5A" w14:textId="5CC0A938" w:rsidR="00341D72" w:rsidRPr="00F10A82" w:rsidRDefault="00341D72" w:rsidP="00F10A82">
      <w:pPr>
        <w:pStyle w:val="Paragraphnonumbers"/>
        <w:numPr>
          <w:ilvl w:val="0"/>
          <w:numId w:val="48"/>
        </w:numPr>
        <w:spacing w:before="120" w:after="120" w:line="240" w:lineRule="auto"/>
        <w:rPr>
          <w:rFonts w:cs="Arial"/>
          <w:i/>
          <w:iCs/>
        </w:rPr>
      </w:pPr>
      <w:r w:rsidRPr="00F10A82">
        <w:rPr>
          <w:rFonts w:cs="Arial"/>
        </w:rPr>
        <w:t>The NO16966C trial is a randomised phase III study of intermittent oral capecitabine in combination with intravenous oxaliplatin (CAPOX) with or without bevacizumab for the first-line treatment of patients with advanced colorectal cancer.</w:t>
      </w:r>
      <w:r w:rsidR="00CF25BF" w:rsidRPr="00F10A82">
        <w:rPr>
          <w:rFonts w:cs="Arial"/>
        </w:rPr>
        <w:t xml:space="preserve"> </w:t>
      </w:r>
      <w:r w:rsidR="00CF25BF" w:rsidRPr="00F10A82">
        <w:rPr>
          <w:rFonts w:cs="Arial"/>
          <w:i/>
          <w:iCs/>
        </w:rPr>
        <w:t xml:space="preserve">(Was identified in the company’s </w:t>
      </w:r>
      <w:r w:rsidR="002326DA" w:rsidRPr="00F10A82">
        <w:rPr>
          <w:rFonts w:cs="Arial"/>
          <w:i/>
          <w:iCs/>
        </w:rPr>
        <w:t xml:space="preserve">systematic review for </w:t>
      </w:r>
      <w:r w:rsidR="00356D20" w:rsidRPr="00F10A82">
        <w:rPr>
          <w:rFonts w:cs="Arial"/>
          <w:i/>
          <w:iCs/>
        </w:rPr>
        <w:t>TA</w:t>
      </w:r>
      <w:r w:rsidR="002326DA" w:rsidRPr="00F10A82">
        <w:rPr>
          <w:rFonts w:cs="Arial"/>
          <w:i/>
          <w:iCs/>
        </w:rPr>
        <w:t>212)</w:t>
      </w:r>
      <w:r w:rsidRPr="00F10A82">
        <w:rPr>
          <w:rFonts w:cs="Arial"/>
          <w:i/>
          <w:iCs/>
        </w:rPr>
        <w:t xml:space="preserve"> </w:t>
      </w:r>
    </w:p>
    <w:p w14:paraId="69EFA91E" w14:textId="65CE6233" w:rsidR="001A011F" w:rsidRPr="00F10A82" w:rsidRDefault="00341D72" w:rsidP="00F10A82">
      <w:pPr>
        <w:pStyle w:val="Paragraphnonumbers"/>
        <w:numPr>
          <w:ilvl w:val="0"/>
          <w:numId w:val="48"/>
        </w:numPr>
        <w:spacing w:before="120" w:after="120" w:line="240" w:lineRule="auto"/>
        <w:rPr>
          <w:rFonts w:cs="Arial"/>
        </w:rPr>
      </w:pPr>
      <w:r w:rsidRPr="00F10A82">
        <w:rPr>
          <w:rFonts w:cs="Arial"/>
        </w:rPr>
        <w:t>The CONcePT trial aims to develop an optimised schedule of</w:t>
      </w:r>
      <w:r w:rsidR="001A011F" w:rsidRPr="00F10A82">
        <w:rPr>
          <w:rFonts w:cs="Arial"/>
        </w:rPr>
        <w:t xml:space="preserve"> </w:t>
      </w:r>
      <w:r w:rsidRPr="00F10A82">
        <w:rPr>
          <w:rFonts w:cs="Arial"/>
        </w:rPr>
        <w:t>administration of FOLFOX plus bevacizumab in the first-line treatment of patients with advanced colorectal cancer</w:t>
      </w:r>
    </w:p>
    <w:p w14:paraId="5AEDF566" w14:textId="574A254D" w:rsidR="00EC4DF7" w:rsidRPr="00F10A82" w:rsidRDefault="00EC4DF7" w:rsidP="00F10A82">
      <w:pPr>
        <w:pStyle w:val="Paragraphnonumbers"/>
        <w:spacing w:before="120" w:after="120" w:line="240" w:lineRule="auto"/>
        <w:rPr>
          <w:rFonts w:cs="Arial"/>
          <w:b/>
          <w:bCs/>
          <w:u w:val="single"/>
        </w:rPr>
      </w:pPr>
      <w:r w:rsidRPr="00F10A82">
        <w:rPr>
          <w:rFonts w:cs="Arial"/>
          <w:b/>
          <w:bCs/>
          <w:u w:val="single"/>
        </w:rPr>
        <w:t>TA212:</w:t>
      </w:r>
    </w:p>
    <w:p w14:paraId="54A0896F" w14:textId="77777777" w:rsidR="00D66E92" w:rsidRPr="00F10A82" w:rsidRDefault="00D66E92" w:rsidP="00F10A82">
      <w:pPr>
        <w:pStyle w:val="Paragraphnonumbers"/>
        <w:spacing w:before="120" w:after="120" w:line="240" w:lineRule="auto"/>
        <w:rPr>
          <w:rFonts w:cs="Arial"/>
          <w:b/>
          <w:bCs/>
        </w:rPr>
      </w:pPr>
      <w:r w:rsidRPr="00F10A82">
        <w:rPr>
          <w:rFonts w:cs="Arial"/>
          <w:b/>
          <w:bCs/>
        </w:rPr>
        <w:t>Original remit</w:t>
      </w:r>
    </w:p>
    <w:p w14:paraId="02C43794" w14:textId="5EF12285" w:rsidR="00AB356E" w:rsidRPr="00F10A82" w:rsidRDefault="00AB356E" w:rsidP="00A9319F">
      <w:pPr>
        <w:spacing w:before="120" w:after="120"/>
        <w:rPr>
          <w:rFonts w:ascii="Arial" w:hAnsi="Arial" w:cs="Arial"/>
          <w:lang w:eastAsia="en-US"/>
        </w:rPr>
      </w:pPr>
      <w:r w:rsidRPr="00F10A82">
        <w:rPr>
          <w:rFonts w:ascii="Arial" w:hAnsi="Arial" w:cs="Arial"/>
          <w:lang w:eastAsia="en-US"/>
        </w:rPr>
        <w:t>To appraise the clinical and cost effectiveness of bevacizumab within its licensed indication in combination with oxaliplatin and either 5FU or capecitabine for the treatment of metastatic colorectal cancer.</w:t>
      </w:r>
    </w:p>
    <w:p w14:paraId="226EFFD5" w14:textId="77777777" w:rsidR="00255F6A" w:rsidRPr="00F10A82" w:rsidRDefault="00D66E92" w:rsidP="00F10A82">
      <w:pPr>
        <w:pStyle w:val="Paragraphnonumbers"/>
        <w:spacing w:before="120" w:after="120" w:line="240" w:lineRule="auto"/>
        <w:rPr>
          <w:rFonts w:cs="Arial"/>
          <w:b/>
          <w:bCs/>
        </w:rPr>
      </w:pPr>
      <w:r w:rsidRPr="00F10A82">
        <w:rPr>
          <w:rFonts w:cs="Arial"/>
          <w:b/>
          <w:bCs/>
        </w:rPr>
        <w:t>Current guidance</w:t>
      </w:r>
    </w:p>
    <w:p w14:paraId="4422BEB8" w14:textId="7FE6A6D4" w:rsidR="00D66E92" w:rsidRPr="00F10A82" w:rsidRDefault="00255F6A" w:rsidP="00F10A82">
      <w:pPr>
        <w:pStyle w:val="Paragraphnonumbers"/>
        <w:spacing w:before="120" w:after="120" w:line="240" w:lineRule="auto"/>
        <w:rPr>
          <w:rFonts w:cs="Arial"/>
        </w:rPr>
      </w:pPr>
      <w:r w:rsidRPr="00F10A82">
        <w:rPr>
          <w:rFonts w:cs="Arial"/>
        </w:rPr>
        <w:t>Bevacizumab in combination with oxaliplatin and either fluorouracil plus folinic acid or capecitabine is not recommended for the treatment of metastatic colorectal cancer.</w:t>
      </w:r>
      <w:r w:rsidR="00D66E92" w:rsidRPr="00F10A82">
        <w:rPr>
          <w:rFonts w:cs="Arial"/>
        </w:rPr>
        <w:t xml:space="preserve"> </w:t>
      </w:r>
    </w:p>
    <w:p w14:paraId="5FCA7C7D" w14:textId="77777777" w:rsidR="00D66E92" w:rsidRPr="00F10A82" w:rsidRDefault="00D66E92" w:rsidP="00F10A82">
      <w:pPr>
        <w:pStyle w:val="Paragraphnonumbers"/>
        <w:spacing w:before="120" w:after="120" w:line="240" w:lineRule="auto"/>
        <w:rPr>
          <w:rFonts w:cs="Arial"/>
          <w:b/>
          <w:bCs/>
        </w:rPr>
      </w:pPr>
      <w:r w:rsidRPr="00F10A82">
        <w:rPr>
          <w:rFonts w:cs="Arial"/>
          <w:b/>
          <w:bCs/>
        </w:rPr>
        <w:t>Research recommendations from original guidance</w:t>
      </w:r>
    </w:p>
    <w:p w14:paraId="71AB3E5A" w14:textId="464B04F9" w:rsidR="00EB0E12" w:rsidRPr="00F75EEE" w:rsidRDefault="00155800" w:rsidP="00F75EEE">
      <w:pPr>
        <w:pStyle w:val="Paragraphnonumbers"/>
        <w:spacing w:before="120" w:after="120" w:line="240" w:lineRule="auto"/>
        <w:rPr>
          <w:rFonts w:cs="Arial"/>
        </w:rPr>
      </w:pPr>
      <w:r w:rsidRPr="00F10A82">
        <w:rPr>
          <w:rFonts w:cs="Arial"/>
        </w:rPr>
        <w:t xml:space="preserve">No research recommendation </w:t>
      </w:r>
      <w:proofErr w:type="gramStart"/>
      <w:r w:rsidRPr="00F10A82">
        <w:rPr>
          <w:rFonts w:cs="Arial"/>
        </w:rPr>
        <w:t>were</w:t>
      </w:r>
      <w:proofErr w:type="gramEnd"/>
      <w:r w:rsidRPr="00F10A82">
        <w:rPr>
          <w:rFonts w:cs="Arial"/>
        </w:rPr>
        <w:t xml:space="preserve"> included in the guidance</w:t>
      </w:r>
    </w:p>
    <w:p w14:paraId="4C4B5319" w14:textId="77777777" w:rsidR="00EB0E12" w:rsidRPr="00EB0E12" w:rsidRDefault="00EB0E12" w:rsidP="00EB0E12"/>
    <w:p w14:paraId="5724330D" w14:textId="77777777" w:rsidR="00EB0E12" w:rsidRPr="00EB0E12" w:rsidRDefault="00EB0E12" w:rsidP="00EB0E12"/>
    <w:p w14:paraId="56E2D5A9" w14:textId="77777777" w:rsidR="00EB0E12" w:rsidRDefault="00EB0E12" w:rsidP="00EB0E12">
      <w:pPr>
        <w:rPr>
          <w:rFonts w:ascii="Arial" w:hAnsi="Arial"/>
        </w:rPr>
      </w:pPr>
    </w:p>
    <w:p w14:paraId="3C4FED3B" w14:textId="77777777" w:rsidR="00EB0E12" w:rsidRDefault="00EB0E12" w:rsidP="00EB0E12">
      <w:pPr>
        <w:rPr>
          <w:rFonts w:ascii="Arial" w:hAnsi="Arial"/>
        </w:rPr>
      </w:pPr>
    </w:p>
    <w:p w14:paraId="56B7169B" w14:textId="48EB178B" w:rsidR="00EB0E12" w:rsidRPr="00EB0E12" w:rsidRDefault="00EB0E12" w:rsidP="00EB0E12">
      <w:pPr>
        <w:tabs>
          <w:tab w:val="left" w:pos="3285"/>
        </w:tabs>
      </w:pPr>
      <w:r>
        <w:tab/>
      </w:r>
    </w:p>
    <w:sectPr w:rsidR="00EB0E12" w:rsidRPr="00EB0E12" w:rsidSect="00A40AAD">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A22B" w14:textId="77777777" w:rsidR="005D50D0" w:rsidRDefault="005D50D0" w:rsidP="00446BEE">
      <w:r>
        <w:separator/>
      </w:r>
    </w:p>
  </w:endnote>
  <w:endnote w:type="continuationSeparator" w:id="0">
    <w:p w14:paraId="50AEE82C" w14:textId="77777777" w:rsidR="005D50D0" w:rsidRDefault="005D50D0" w:rsidP="00446BEE">
      <w:r>
        <w:continuationSeparator/>
      </w:r>
    </w:p>
  </w:endnote>
  <w:endnote w:type="continuationNotice" w:id="1">
    <w:p w14:paraId="6565536B" w14:textId="77777777" w:rsidR="005D50D0" w:rsidRDefault="005D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3216" w14:textId="59CB3854" w:rsidR="0021354C" w:rsidRPr="00BF405E" w:rsidRDefault="0021354C" w:rsidP="00BF405E">
    <w:pPr>
      <w:pStyle w:val="Paragraphnonumbers"/>
      <w:rPr>
        <w:lang w:val="en-US"/>
      </w:rPr>
    </w:pPr>
    <w:r>
      <w:rPr>
        <w:sz w:val="20"/>
        <w:szCs w:val="20"/>
      </w:rPr>
      <w:t>© NICE 202</w:t>
    </w:r>
    <w:r w:rsidR="00B92E76">
      <w:rPr>
        <w:sz w:val="20"/>
        <w:szCs w:val="20"/>
      </w:rPr>
      <w:t>5</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r w:rsidR="0051550A">
      <w:fldChar w:fldCharType="begin"/>
    </w:r>
    <w:r w:rsidR="0051550A">
      <w:instrText xml:space="preserve"> NUMPAGES  </w:instrText>
    </w:r>
    <w:r w:rsidR="0051550A">
      <w:fldChar w:fldCharType="separate"/>
    </w:r>
    <w:r>
      <w:rPr>
        <w:noProof/>
      </w:rPr>
      <w:t>1</w:t>
    </w:r>
    <w:r w:rsidR="005155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4A54" w14:textId="77777777" w:rsidR="005D50D0" w:rsidRDefault="005D50D0" w:rsidP="00446BEE">
      <w:r>
        <w:separator/>
      </w:r>
    </w:p>
  </w:footnote>
  <w:footnote w:type="continuationSeparator" w:id="0">
    <w:p w14:paraId="67AC028D" w14:textId="77777777" w:rsidR="005D50D0" w:rsidRDefault="005D50D0" w:rsidP="00446BEE">
      <w:r>
        <w:continuationSeparator/>
      </w:r>
    </w:p>
  </w:footnote>
  <w:footnote w:type="continuationNotice" w:id="1">
    <w:p w14:paraId="67782736" w14:textId="77777777" w:rsidR="005D50D0" w:rsidRDefault="005D50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B6B4A"/>
    <w:multiLevelType w:val="hybridMultilevel"/>
    <w:tmpl w:val="828C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044CB6"/>
    <w:multiLevelType w:val="hybridMultilevel"/>
    <w:tmpl w:val="2F9A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49330FD"/>
    <w:multiLevelType w:val="hybridMultilevel"/>
    <w:tmpl w:val="30BACDE8"/>
    <w:lvl w:ilvl="0" w:tplc="08090001">
      <w:start w:val="1"/>
      <w:numFmt w:val="bullet"/>
      <w:lvlText w:val=""/>
      <w:lvlJc w:val="left"/>
      <w:pPr>
        <w:ind w:left="720" w:hanging="360"/>
      </w:pPr>
      <w:rPr>
        <w:rFonts w:ascii="Symbol" w:hAnsi="Symbol" w:hint="default"/>
      </w:rPr>
    </w:lvl>
    <w:lvl w:ilvl="1" w:tplc="FBE89B9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F023AB"/>
    <w:multiLevelType w:val="hybridMultilevel"/>
    <w:tmpl w:val="1B282A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0FB0FB4"/>
    <w:multiLevelType w:val="hybridMultilevel"/>
    <w:tmpl w:val="5B7E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B15797"/>
    <w:multiLevelType w:val="hybridMultilevel"/>
    <w:tmpl w:val="BCC44F18"/>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64759"/>
    <w:multiLevelType w:val="hybridMultilevel"/>
    <w:tmpl w:val="B49A0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7D45820"/>
    <w:multiLevelType w:val="hybridMultilevel"/>
    <w:tmpl w:val="FEE8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75206D"/>
    <w:multiLevelType w:val="hybridMultilevel"/>
    <w:tmpl w:val="6462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D74B9F"/>
    <w:multiLevelType w:val="hybridMultilevel"/>
    <w:tmpl w:val="90D6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07AC0"/>
    <w:multiLevelType w:val="hybridMultilevel"/>
    <w:tmpl w:val="312C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4001E"/>
    <w:multiLevelType w:val="hybridMultilevel"/>
    <w:tmpl w:val="2C762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175A07"/>
    <w:multiLevelType w:val="hybridMultilevel"/>
    <w:tmpl w:val="DB4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B5233"/>
    <w:multiLevelType w:val="hybridMultilevel"/>
    <w:tmpl w:val="6CBC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C1F1C"/>
    <w:multiLevelType w:val="hybridMultilevel"/>
    <w:tmpl w:val="417224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F3F4A"/>
    <w:multiLevelType w:val="hybridMultilevel"/>
    <w:tmpl w:val="01207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14611E1"/>
    <w:multiLevelType w:val="hybridMultilevel"/>
    <w:tmpl w:val="95C88EEC"/>
    <w:lvl w:ilvl="0" w:tplc="08090001">
      <w:start w:val="1"/>
      <w:numFmt w:val="bullet"/>
      <w:lvlText w:val=""/>
      <w:lvlJc w:val="left"/>
      <w:pPr>
        <w:ind w:left="720" w:hanging="360"/>
      </w:pPr>
      <w:rPr>
        <w:rFonts w:ascii="Symbol" w:hAnsi="Symbol" w:hint="default"/>
      </w:rPr>
    </w:lvl>
    <w:lvl w:ilvl="1" w:tplc="82D8202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67D28"/>
    <w:multiLevelType w:val="hybridMultilevel"/>
    <w:tmpl w:val="57F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F2189"/>
    <w:multiLevelType w:val="hybridMultilevel"/>
    <w:tmpl w:val="C57245A2"/>
    <w:lvl w:ilvl="0" w:tplc="D6D67F26">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4" w15:restartNumberingAfterBreak="0">
    <w:nsid w:val="69FF2E44"/>
    <w:multiLevelType w:val="hybridMultilevel"/>
    <w:tmpl w:val="33E6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60906"/>
    <w:multiLevelType w:val="hybridMultilevel"/>
    <w:tmpl w:val="A9D24B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6" w15:restartNumberingAfterBreak="0">
    <w:nsid w:val="6AF910A9"/>
    <w:multiLevelType w:val="hybridMultilevel"/>
    <w:tmpl w:val="90E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2535D6"/>
    <w:multiLevelType w:val="hybridMultilevel"/>
    <w:tmpl w:val="37924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8338E"/>
    <w:multiLevelType w:val="hybridMultilevel"/>
    <w:tmpl w:val="DB9A1F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EC560A"/>
    <w:multiLevelType w:val="hybridMultilevel"/>
    <w:tmpl w:val="37B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25F5B"/>
    <w:multiLevelType w:val="hybridMultilevel"/>
    <w:tmpl w:val="E152BEBA"/>
    <w:lvl w:ilvl="0" w:tplc="59A22A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9A1E9A"/>
    <w:multiLevelType w:val="hybridMultilevel"/>
    <w:tmpl w:val="ED7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C789D"/>
    <w:multiLevelType w:val="hybridMultilevel"/>
    <w:tmpl w:val="DFAA2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FC6C25"/>
    <w:multiLevelType w:val="hybridMultilevel"/>
    <w:tmpl w:val="4710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14162">
    <w:abstractNumId w:val="27"/>
  </w:num>
  <w:num w:numId="2" w16cid:durableId="620691757">
    <w:abstractNumId w:val="33"/>
  </w:num>
  <w:num w:numId="3" w16cid:durableId="6256708">
    <w:abstractNumId w:val="33"/>
    <w:lvlOverride w:ilvl="0">
      <w:startOverride w:val="1"/>
    </w:lvlOverride>
  </w:num>
  <w:num w:numId="4" w16cid:durableId="994838084">
    <w:abstractNumId w:val="33"/>
    <w:lvlOverride w:ilvl="0">
      <w:startOverride w:val="1"/>
    </w:lvlOverride>
  </w:num>
  <w:num w:numId="5" w16cid:durableId="1295215124">
    <w:abstractNumId w:val="33"/>
    <w:lvlOverride w:ilvl="0">
      <w:startOverride w:val="1"/>
    </w:lvlOverride>
  </w:num>
  <w:num w:numId="6" w16cid:durableId="1220946265">
    <w:abstractNumId w:val="33"/>
    <w:lvlOverride w:ilvl="0">
      <w:startOverride w:val="1"/>
    </w:lvlOverride>
  </w:num>
  <w:num w:numId="7" w16cid:durableId="1885942900">
    <w:abstractNumId w:val="33"/>
    <w:lvlOverride w:ilvl="0">
      <w:startOverride w:val="1"/>
    </w:lvlOverride>
  </w:num>
  <w:num w:numId="8" w16cid:durableId="761410971">
    <w:abstractNumId w:val="9"/>
  </w:num>
  <w:num w:numId="9" w16cid:durableId="620115468">
    <w:abstractNumId w:val="7"/>
  </w:num>
  <w:num w:numId="10" w16cid:durableId="697198881">
    <w:abstractNumId w:val="6"/>
  </w:num>
  <w:num w:numId="11" w16cid:durableId="1558780489">
    <w:abstractNumId w:val="5"/>
  </w:num>
  <w:num w:numId="12" w16cid:durableId="956252322">
    <w:abstractNumId w:val="4"/>
  </w:num>
  <w:num w:numId="13" w16cid:durableId="171066286">
    <w:abstractNumId w:val="8"/>
  </w:num>
  <w:num w:numId="14" w16cid:durableId="1054965015">
    <w:abstractNumId w:val="3"/>
  </w:num>
  <w:num w:numId="15" w16cid:durableId="417098740">
    <w:abstractNumId w:val="2"/>
  </w:num>
  <w:num w:numId="16" w16cid:durableId="1598051033">
    <w:abstractNumId w:val="1"/>
  </w:num>
  <w:num w:numId="17" w16cid:durableId="1041518103">
    <w:abstractNumId w:val="0"/>
  </w:num>
  <w:num w:numId="18" w16cid:durableId="275719882">
    <w:abstractNumId w:val="21"/>
  </w:num>
  <w:num w:numId="19" w16cid:durableId="2025670835">
    <w:abstractNumId w:val="21"/>
    <w:lvlOverride w:ilvl="0">
      <w:startOverride w:val="1"/>
    </w:lvlOverride>
  </w:num>
  <w:num w:numId="20" w16cid:durableId="1781412406">
    <w:abstractNumId w:val="16"/>
  </w:num>
  <w:num w:numId="21" w16cid:durableId="65566781">
    <w:abstractNumId w:val="13"/>
  </w:num>
  <w:num w:numId="22" w16cid:durableId="1289966241">
    <w:abstractNumId w:val="41"/>
  </w:num>
  <w:num w:numId="23" w16cid:durableId="1024482398">
    <w:abstractNumId w:val="41"/>
    <w:lvlOverride w:ilvl="0">
      <w:startOverride w:val="1"/>
    </w:lvlOverride>
  </w:num>
  <w:num w:numId="24" w16cid:durableId="298070986">
    <w:abstractNumId w:val="35"/>
  </w:num>
  <w:num w:numId="25" w16cid:durableId="852451429">
    <w:abstractNumId w:val="26"/>
  </w:num>
  <w:num w:numId="26" w16cid:durableId="32006900">
    <w:abstractNumId w:val="25"/>
  </w:num>
  <w:num w:numId="27" w16cid:durableId="1593587089">
    <w:abstractNumId w:val="32"/>
  </w:num>
  <w:num w:numId="28" w16cid:durableId="51005015">
    <w:abstractNumId w:val="20"/>
  </w:num>
  <w:num w:numId="29" w16cid:durableId="416295574">
    <w:abstractNumId w:val="14"/>
  </w:num>
  <w:num w:numId="30" w16cid:durableId="1043753998">
    <w:abstractNumId w:val="10"/>
  </w:num>
  <w:num w:numId="31" w16cid:durableId="255596514">
    <w:abstractNumId w:val="42"/>
  </w:num>
  <w:num w:numId="32" w16cid:durableId="1568538808">
    <w:abstractNumId w:val="23"/>
  </w:num>
  <w:num w:numId="33" w16cid:durableId="999575985">
    <w:abstractNumId w:val="24"/>
  </w:num>
  <w:num w:numId="34" w16cid:durableId="980573140">
    <w:abstractNumId w:val="36"/>
  </w:num>
  <w:num w:numId="35" w16cid:durableId="1799180445">
    <w:abstractNumId w:val="34"/>
  </w:num>
  <w:num w:numId="36" w16cid:durableId="489906643">
    <w:abstractNumId w:val="16"/>
  </w:num>
  <w:num w:numId="37" w16cid:durableId="1374500512">
    <w:abstractNumId w:val="16"/>
  </w:num>
  <w:num w:numId="38" w16cid:durableId="624895275">
    <w:abstractNumId w:val="37"/>
  </w:num>
  <w:num w:numId="39" w16cid:durableId="1006900905">
    <w:abstractNumId w:val="16"/>
    <w:lvlOverride w:ilvl="0">
      <w:startOverride w:val="1"/>
    </w:lvlOverride>
  </w:num>
  <w:num w:numId="40" w16cid:durableId="201283514">
    <w:abstractNumId w:val="16"/>
    <w:lvlOverride w:ilvl="0">
      <w:startOverride w:val="1"/>
    </w:lvlOverride>
  </w:num>
  <w:num w:numId="41" w16cid:durableId="14011008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3960251">
    <w:abstractNumId w:val="29"/>
  </w:num>
  <w:num w:numId="43" w16cid:durableId="1576892055">
    <w:abstractNumId w:val="31"/>
  </w:num>
  <w:num w:numId="44" w16cid:durableId="1006398587">
    <w:abstractNumId w:val="40"/>
  </w:num>
  <w:num w:numId="45" w16cid:durableId="397289197">
    <w:abstractNumId w:val="19"/>
  </w:num>
  <w:num w:numId="46" w16cid:durableId="1289362780">
    <w:abstractNumId w:val="11"/>
  </w:num>
  <w:num w:numId="47" w16cid:durableId="1200045930">
    <w:abstractNumId w:val="12"/>
  </w:num>
  <w:num w:numId="48" w16cid:durableId="645816399">
    <w:abstractNumId w:val="38"/>
  </w:num>
  <w:num w:numId="49" w16cid:durableId="871110357">
    <w:abstractNumId w:val="16"/>
  </w:num>
  <w:num w:numId="50" w16cid:durableId="772550188">
    <w:abstractNumId w:val="15"/>
  </w:num>
  <w:num w:numId="51" w16cid:durableId="992488660">
    <w:abstractNumId w:val="16"/>
  </w:num>
  <w:num w:numId="52" w16cid:durableId="1696812472">
    <w:abstractNumId w:val="28"/>
  </w:num>
  <w:num w:numId="53" w16cid:durableId="116065833">
    <w:abstractNumId w:val="17"/>
  </w:num>
  <w:num w:numId="54" w16cid:durableId="1552839120">
    <w:abstractNumId w:val="43"/>
  </w:num>
  <w:num w:numId="55" w16cid:durableId="2130199399">
    <w:abstractNumId w:val="18"/>
  </w:num>
  <w:num w:numId="56" w16cid:durableId="1031999316">
    <w:abstractNumId w:val="22"/>
  </w:num>
  <w:num w:numId="57" w16cid:durableId="1419717350">
    <w:abstractNumId w:val="44"/>
  </w:num>
  <w:num w:numId="58" w16cid:durableId="172576729">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4E"/>
    <w:rsid w:val="00002F5A"/>
    <w:rsid w:val="000053F8"/>
    <w:rsid w:val="00007800"/>
    <w:rsid w:val="0001656B"/>
    <w:rsid w:val="00016F2C"/>
    <w:rsid w:val="00024D0A"/>
    <w:rsid w:val="00026F79"/>
    <w:rsid w:val="0003096D"/>
    <w:rsid w:val="0003334B"/>
    <w:rsid w:val="00037565"/>
    <w:rsid w:val="00042B02"/>
    <w:rsid w:val="00045C8F"/>
    <w:rsid w:val="000472DC"/>
    <w:rsid w:val="00050B07"/>
    <w:rsid w:val="00052EA4"/>
    <w:rsid w:val="00053D5C"/>
    <w:rsid w:val="0005518B"/>
    <w:rsid w:val="00065871"/>
    <w:rsid w:val="00070065"/>
    <w:rsid w:val="000768AB"/>
    <w:rsid w:val="00076C57"/>
    <w:rsid w:val="0007712C"/>
    <w:rsid w:val="000838D4"/>
    <w:rsid w:val="00083AB6"/>
    <w:rsid w:val="00085E83"/>
    <w:rsid w:val="000A0D46"/>
    <w:rsid w:val="000A17AF"/>
    <w:rsid w:val="000A3347"/>
    <w:rsid w:val="000A4FEE"/>
    <w:rsid w:val="000A7EA1"/>
    <w:rsid w:val="000B5939"/>
    <w:rsid w:val="000C002A"/>
    <w:rsid w:val="000C32AA"/>
    <w:rsid w:val="000C4F4D"/>
    <w:rsid w:val="000C7032"/>
    <w:rsid w:val="000D05A5"/>
    <w:rsid w:val="000D1D10"/>
    <w:rsid w:val="000D2804"/>
    <w:rsid w:val="000E1670"/>
    <w:rsid w:val="000E185D"/>
    <w:rsid w:val="000E7FDC"/>
    <w:rsid w:val="000F0B94"/>
    <w:rsid w:val="00111CCE"/>
    <w:rsid w:val="001134E7"/>
    <w:rsid w:val="0012084F"/>
    <w:rsid w:val="001319D2"/>
    <w:rsid w:val="0013439D"/>
    <w:rsid w:val="00143588"/>
    <w:rsid w:val="00152DE4"/>
    <w:rsid w:val="0015449E"/>
    <w:rsid w:val="00155800"/>
    <w:rsid w:val="001614EC"/>
    <w:rsid w:val="001632E8"/>
    <w:rsid w:val="00170D05"/>
    <w:rsid w:val="0017149E"/>
    <w:rsid w:val="0017169E"/>
    <w:rsid w:val="00171D93"/>
    <w:rsid w:val="00171FCF"/>
    <w:rsid w:val="00181A4A"/>
    <w:rsid w:val="001868C2"/>
    <w:rsid w:val="00187F9C"/>
    <w:rsid w:val="001A011F"/>
    <w:rsid w:val="001A1031"/>
    <w:rsid w:val="001B0510"/>
    <w:rsid w:val="001B0EE9"/>
    <w:rsid w:val="001B5C66"/>
    <w:rsid w:val="001B61DF"/>
    <w:rsid w:val="001B62CE"/>
    <w:rsid w:val="001B65B3"/>
    <w:rsid w:val="001C3180"/>
    <w:rsid w:val="001C646B"/>
    <w:rsid w:val="001C65A9"/>
    <w:rsid w:val="001D013E"/>
    <w:rsid w:val="001E01A5"/>
    <w:rsid w:val="001E0F35"/>
    <w:rsid w:val="001E40D7"/>
    <w:rsid w:val="001E6F18"/>
    <w:rsid w:val="001F08BB"/>
    <w:rsid w:val="001F10E5"/>
    <w:rsid w:val="001F3770"/>
    <w:rsid w:val="0020088E"/>
    <w:rsid w:val="002022A2"/>
    <w:rsid w:val="002029A6"/>
    <w:rsid w:val="00207307"/>
    <w:rsid w:val="00207E51"/>
    <w:rsid w:val="00212F52"/>
    <w:rsid w:val="0021354C"/>
    <w:rsid w:val="00217AC7"/>
    <w:rsid w:val="00221C68"/>
    <w:rsid w:val="00223C04"/>
    <w:rsid w:val="00225D18"/>
    <w:rsid w:val="002267D6"/>
    <w:rsid w:val="002326DA"/>
    <w:rsid w:val="0023344B"/>
    <w:rsid w:val="00233B3C"/>
    <w:rsid w:val="00234635"/>
    <w:rsid w:val="002408EA"/>
    <w:rsid w:val="00241A75"/>
    <w:rsid w:val="0024310A"/>
    <w:rsid w:val="00252F99"/>
    <w:rsid w:val="002544B9"/>
    <w:rsid w:val="00255F6A"/>
    <w:rsid w:val="002561D9"/>
    <w:rsid w:val="00260258"/>
    <w:rsid w:val="00262756"/>
    <w:rsid w:val="00263BE8"/>
    <w:rsid w:val="00270325"/>
    <w:rsid w:val="002819D7"/>
    <w:rsid w:val="002839FA"/>
    <w:rsid w:val="00290133"/>
    <w:rsid w:val="00296042"/>
    <w:rsid w:val="002A0464"/>
    <w:rsid w:val="002B21F3"/>
    <w:rsid w:val="002C03FE"/>
    <w:rsid w:val="002C0939"/>
    <w:rsid w:val="002C1A7E"/>
    <w:rsid w:val="002C2041"/>
    <w:rsid w:val="002C56D0"/>
    <w:rsid w:val="002D20BA"/>
    <w:rsid w:val="002D3376"/>
    <w:rsid w:val="002D4D6B"/>
    <w:rsid w:val="002D74BC"/>
    <w:rsid w:val="002F00A0"/>
    <w:rsid w:val="002F33D1"/>
    <w:rsid w:val="002F3DB0"/>
    <w:rsid w:val="0031179A"/>
    <w:rsid w:val="00311ED0"/>
    <w:rsid w:val="0031224E"/>
    <w:rsid w:val="00312FF1"/>
    <w:rsid w:val="00316FD8"/>
    <w:rsid w:val="00322A4E"/>
    <w:rsid w:val="00341D72"/>
    <w:rsid w:val="003420B9"/>
    <w:rsid w:val="003422B1"/>
    <w:rsid w:val="00344897"/>
    <w:rsid w:val="00347367"/>
    <w:rsid w:val="00356D20"/>
    <w:rsid w:val="003648C5"/>
    <w:rsid w:val="00364B76"/>
    <w:rsid w:val="003722FA"/>
    <w:rsid w:val="0037369F"/>
    <w:rsid w:val="003751CC"/>
    <w:rsid w:val="00375906"/>
    <w:rsid w:val="00377432"/>
    <w:rsid w:val="003823D8"/>
    <w:rsid w:val="003844B5"/>
    <w:rsid w:val="00384B58"/>
    <w:rsid w:val="00391105"/>
    <w:rsid w:val="00397417"/>
    <w:rsid w:val="003A1F4D"/>
    <w:rsid w:val="003B267B"/>
    <w:rsid w:val="003B2A00"/>
    <w:rsid w:val="003B43B3"/>
    <w:rsid w:val="003C0B91"/>
    <w:rsid w:val="003C2942"/>
    <w:rsid w:val="003C7AAF"/>
    <w:rsid w:val="003D1708"/>
    <w:rsid w:val="003D272E"/>
    <w:rsid w:val="003D3D3F"/>
    <w:rsid w:val="003D4C20"/>
    <w:rsid w:val="003D5DD7"/>
    <w:rsid w:val="003E3621"/>
    <w:rsid w:val="003E77C1"/>
    <w:rsid w:val="003F10A9"/>
    <w:rsid w:val="003F4970"/>
    <w:rsid w:val="003F55F2"/>
    <w:rsid w:val="0040241A"/>
    <w:rsid w:val="004027D6"/>
    <w:rsid w:val="004068C9"/>
    <w:rsid w:val="004075B4"/>
    <w:rsid w:val="004075B6"/>
    <w:rsid w:val="00410C81"/>
    <w:rsid w:val="00412A80"/>
    <w:rsid w:val="00412AEB"/>
    <w:rsid w:val="00417CFD"/>
    <w:rsid w:val="00420952"/>
    <w:rsid w:val="00421CBA"/>
    <w:rsid w:val="00424683"/>
    <w:rsid w:val="004275B9"/>
    <w:rsid w:val="00433EFF"/>
    <w:rsid w:val="00443081"/>
    <w:rsid w:val="00443D9C"/>
    <w:rsid w:val="00446BEE"/>
    <w:rsid w:val="00457AE1"/>
    <w:rsid w:val="00466301"/>
    <w:rsid w:val="00474267"/>
    <w:rsid w:val="00474C3C"/>
    <w:rsid w:val="004757D8"/>
    <w:rsid w:val="004757F6"/>
    <w:rsid w:val="00490F85"/>
    <w:rsid w:val="00492164"/>
    <w:rsid w:val="00492971"/>
    <w:rsid w:val="0049374A"/>
    <w:rsid w:val="00494021"/>
    <w:rsid w:val="004B47B7"/>
    <w:rsid w:val="004B551C"/>
    <w:rsid w:val="004C7764"/>
    <w:rsid w:val="004C7F8A"/>
    <w:rsid w:val="004D16A2"/>
    <w:rsid w:val="004D3820"/>
    <w:rsid w:val="004D67B5"/>
    <w:rsid w:val="004E0F3F"/>
    <w:rsid w:val="004E3D1C"/>
    <w:rsid w:val="004F5216"/>
    <w:rsid w:val="005025A1"/>
    <w:rsid w:val="00502CA9"/>
    <w:rsid w:val="0050395D"/>
    <w:rsid w:val="00512BF2"/>
    <w:rsid w:val="00512EE5"/>
    <w:rsid w:val="0051550A"/>
    <w:rsid w:val="005248E6"/>
    <w:rsid w:val="00530891"/>
    <w:rsid w:val="0053092D"/>
    <w:rsid w:val="0053248E"/>
    <w:rsid w:val="0053533C"/>
    <w:rsid w:val="00535AEB"/>
    <w:rsid w:val="00537472"/>
    <w:rsid w:val="00544240"/>
    <w:rsid w:val="005539B3"/>
    <w:rsid w:val="00556EE7"/>
    <w:rsid w:val="005617A0"/>
    <w:rsid w:val="00562958"/>
    <w:rsid w:val="005641B5"/>
    <w:rsid w:val="00570642"/>
    <w:rsid w:val="00572C40"/>
    <w:rsid w:val="005739C3"/>
    <w:rsid w:val="00596D06"/>
    <w:rsid w:val="005B138C"/>
    <w:rsid w:val="005B1A4E"/>
    <w:rsid w:val="005C2FAD"/>
    <w:rsid w:val="005C34F0"/>
    <w:rsid w:val="005D50D0"/>
    <w:rsid w:val="005D62BC"/>
    <w:rsid w:val="005D7134"/>
    <w:rsid w:val="005F48D4"/>
    <w:rsid w:val="0060146A"/>
    <w:rsid w:val="00603DE2"/>
    <w:rsid w:val="00605576"/>
    <w:rsid w:val="00612364"/>
    <w:rsid w:val="0061276D"/>
    <w:rsid w:val="0062131B"/>
    <w:rsid w:val="006256C2"/>
    <w:rsid w:val="00625929"/>
    <w:rsid w:val="006278DB"/>
    <w:rsid w:val="00637927"/>
    <w:rsid w:val="00640A3A"/>
    <w:rsid w:val="006459E0"/>
    <w:rsid w:val="00652443"/>
    <w:rsid w:val="006526CE"/>
    <w:rsid w:val="00652946"/>
    <w:rsid w:val="00652B10"/>
    <w:rsid w:val="00657BBF"/>
    <w:rsid w:val="00661A33"/>
    <w:rsid w:val="00662AE1"/>
    <w:rsid w:val="0067125A"/>
    <w:rsid w:val="00673E5E"/>
    <w:rsid w:val="0067418F"/>
    <w:rsid w:val="00682AA8"/>
    <w:rsid w:val="00683679"/>
    <w:rsid w:val="00684889"/>
    <w:rsid w:val="0068654C"/>
    <w:rsid w:val="00691FDE"/>
    <w:rsid w:val="006921E1"/>
    <w:rsid w:val="00693507"/>
    <w:rsid w:val="00696091"/>
    <w:rsid w:val="006A171F"/>
    <w:rsid w:val="006A6257"/>
    <w:rsid w:val="006B15CA"/>
    <w:rsid w:val="006B1D49"/>
    <w:rsid w:val="006B357F"/>
    <w:rsid w:val="006B7416"/>
    <w:rsid w:val="006C05DA"/>
    <w:rsid w:val="006C0772"/>
    <w:rsid w:val="006C24F7"/>
    <w:rsid w:val="006C4102"/>
    <w:rsid w:val="006D06FA"/>
    <w:rsid w:val="006D238C"/>
    <w:rsid w:val="006D624B"/>
    <w:rsid w:val="006F4B25"/>
    <w:rsid w:val="006F6496"/>
    <w:rsid w:val="007002B7"/>
    <w:rsid w:val="0070366A"/>
    <w:rsid w:val="00720878"/>
    <w:rsid w:val="0072146B"/>
    <w:rsid w:val="007217ED"/>
    <w:rsid w:val="00724C22"/>
    <w:rsid w:val="00736348"/>
    <w:rsid w:val="007608E3"/>
    <w:rsid w:val="00760908"/>
    <w:rsid w:val="00770A0B"/>
    <w:rsid w:val="00776777"/>
    <w:rsid w:val="007767E2"/>
    <w:rsid w:val="00786888"/>
    <w:rsid w:val="00792898"/>
    <w:rsid w:val="00794342"/>
    <w:rsid w:val="007A1D2B"/>
    <w:rsid w:val="007A2908"/>
    <w:rsid w:val="007A2F32"/>
    <w:rsid w:val="007B572F"/>
    <w:rsid w:val="007C28CE"/>
    <w:rsid w:val="007C2A9A"/>
    <w:rsid w:val="007C5EE8"/>
    <w:rsid w:val="007C725E"/>
    <w:rsid w:val="007D1C3B"/>
    <w:rsid w:val="007D75EF"/>
    <w:rsid w:val="007E0354"/>
    <w:rsid w:val="007E1DC4"/>
    <w:rsid w:val="007F238D"/>
    <w:rsid w:val="00800044"/>
    <w:rsid w:val="00800233"/>
    <w:rsid w:val="00801413"/>
    <w:rsid w:val="00802FAC"/>
    <w:rsid w:val="00804399"/>
    <w:rsid w:val="00804E7F"/>
    <w:rsid w:val="00806E76"/>
    <w:rsid w:val="0082053D"/>
    <w:rsid w:val="00823108"/>
    <w:rsid w:val="00830AB2"/>
    <w:rsid w:val="00833F03"/>
    <w:rsid w:val="00840D63"/>
    <w:rsid w:val="00842D7A"/>
    <w:rsid w:val="008533B2"/>
    <w:rsid w:val="00861B92"/>
    <w:rsid w:val="0086264B"/>
    <w:rsid w:val="00862CCA"/>
    <w:rsid w:val="00873187"/>
    <w:rsid w:val="008770B6"/>
    <w:rsid w:val="0088045F"/>
    <w:rsid w:val="00880606"/>
    <w:rsid w:val="00881034"/>
    <w:rsid w:val="008814FB"/>
    <w:rsid w:val="00882F62"/>
    <w:rsid w:val="00884159"/>
    <w:rsid w:val="008843DC"/>
    <w:rsid w:val="00884D76"/>
    <w:rsid w:val="008879B9"/>
    <w:rsid w:val="008978EF"/>
    <w:rsid w:val="008A177C"/>
    <w:rsid w:val="008A5341"/>
    <w:rsid w:val="008A5399"/>
    <w:rsid w:val="008B0BF6"/>
    <w:rsid w:val="008C1624"/>
    <w:rsid w:val="008C4C08"/>
    <w:rsid w:val="008C678D"/>
    <w:rsid w:val="008D1431"/>
    <w:rsid w:val="008D673A"/>
    <w:rsid w:val="008D7C30"/>
    <w:rsid w:val="008E0A3D"/>
    <w:rsid w:val="008E3588"/>
    <w:rsid w:val="008E4562"/>
    <w:rsid w:val="008E48CD"/>
    <w:rsid w:val="008F03D6"/>
    <w:rsid w:val="008F3327"/>
    <w:rsid w:val="008F5882"/>
    <w:rsid w:val="008F5E30"/>
    <w:rsid w:val="008F6FA4"/>
    <w:rsid w:val="00900FBB"/>
    <w:rsid w:val="009022AE"/>
    <w:rsid w:val="00902AFA"/>
    <w:rsid w:val="00902BBB"/>
    <w:rsid w:val="009057B5"/>
    <w:rsid w:val="00914D7F"/>
    <w:rsid w:val="00917D9E"/>
    <w:rsid w:val="00920AAE"/>
    <w:rsid w:val="00931DAE"/>
    <w:rsid w:val="00933777"/>
    <w:rsid w:val="00934E40"/>
    <w:rsid w:val="00940DD2"/>
    <w:rsid w:val="00945E55"/>
    <w:rsid w:val="00955970"/>
    <w:rsid w:val="009565C1"/>
    <w:rsid w:val="00956E19"/>
    <w:rsid w:val="00957524"/>
    <w:rsid w:val="0096088B"/>
    <w:rsid w:val="00961076"/>
    <w:rsid w:val="009666F0"/>
    <w:rsid w:val="00972682"/>
    <w:rsid w:val="00976E56"/>
    <w:rsid w:val="00977A2E"/>
    <w:rsid w:val="0098593F"/>
    <w:rsid w:val="00991888"/>
    <w:rsid w:val="00992A3D"/>
    <w:rsid w:val="009937C4"/>
    <w:rsid w:val="009A3D36"/>
    <w:rsid w:val="009A4BC2"/>
    <w:rsid w:val="009C5B56"/>
    <w:rsid w:val="009C6865"/>
    <w:rsid w:val="009D31DA"/>
    <w:rsid w:val="009D6EA3"/>
    <w:rsid w:val="009D76C8"/>
    <w:rsid w:val="009E12B0"/>
    <w:rsid w:val="009E680B"/>
    <w:rsid w:val="009F152F"/>
    <w:rsid w:val="009F3828"/>
    <w:rsid w:val="009F5794"/>
    <w:rsid w:val="00A005FA"/>
    <w:rsid w:val="00A0196D"/>
    <w:rsid w:val="00A01E60"/>
    <w:rsid w:val="00A075BA"/>
    <w:rsid w:val="00A11E82"/>
    <w:rsid w:val="00A15A1F"/>
    <w:rsid w:val="00A21F03"/>
    <w:rsid w:val="00A22F08"/>
    <w:rsid w:val="00A2410D"/>
    <w:rsid w:val="00A30E7D"/>
    <w:rsid w:val="00A31545"/>
    <w:rsid w:val="00A3325A"/>
    <w:rsid w:val="00A37E85"/>
    <w:rsid w:val="00A400C5"/>
    <w:rsid w:val="00A40AAD"/>
    <w:rsid w:val="00A410C3"/>
    <w:rsid w:val="00A4265E"/>
    <w:rsid w:val="00A43013"/>
    <w:rsid w:val="00A446AF"/>
    <w:rsid w:val="00A4589C"/>
    <w:rsid w:val="00A536FD"/>
    <w:rsid w:val="00A6446C"/>
    <w:rsid w:val="00A71B2D"/>
    <w:rsid w:val="00A72170"/>
    <w:rsid w:val="00A7532E"/>
    <w:rsid w:val="00A75474"/>
    <w:rsid w:val="00A769CC"/>
    <w:rsid w:val="00A82981"/>
    <w:rsid w:val="00A82FBA"/>
    <w:rsid w:val="00A85BD3"/>
    <w:rsid w:val="00A87522"/>
    <w:rsid w:val="00A9101E"/>
    <w:rsid w:val="00A9198C"/>
    <w:rsid w:val="00A9319F"/>
    <w:rsid w:val="00AA342C"/>
    <w:rsid w:val="00AA5FDA"/>
    <w:rsid w:val="00AB356E"/>
    <w:rsid w:val="00AB551E"/>
    <w:rsid w:val="00AD08BF"/>
    <w:rsid w:val="00AD1AAB"/>
    <w:rsid w:val="00AD2FD3"/>
    <w:rsid w:val="00AF0189"/>
    <w:rsid w:val="00AF0BA4"/>
    <w:rsid w:val="00AF108A"/>
    <w:rsid w:val="00AF6797"/>
    <w:rsid w:val="00B02E55"/>
    <w:rsid w:val="00B036C1"/>
    <w:rsid w:val="00B11BBC"/>
    <w:rsid w:val="00B15FF9"/>
    <w:rsid w:val="00B2148F"/>
    <w:rsid w:val="00B27824"/>
    <w:rsid w:val="00B35A56"/>
    <w:rsid w:val="00B36C2A"/>
    <w:rsid w:val="00B42C76"/>
    <w:rsid w:val="00B42CEB"/>
    <w:rsid w:val="00B47DB9"/>
    <w:rsid w:val="00B5431F"/>
    <w:rsid w:val="00B57B61"/>
    <w:rsid w:val="00B61F51"/>
    <w:rsid w:val="00B629F2"/>
    <w:rsid w:val="00B64435"/>
    <w:rsid w:val="00B70E25"/>
    <w:rsid w:val="00B81431"/>
    <w:rsid w:val="00B81ABF"/>
    <w:rsid w:val="00B82250"/>
    <w:rsid w:val="00B84303"/>
    <w:rsid w:val="00B84770"/>
    <w:rsid w:val="00B87A43"/>
    <w:rsid w:val="00B90AAC"/>
    <w:rsid w:val="00B91448"/>
    <w:rsid w:val="00B924D0"/>
    <w:rsid w:val="00B92E76"/>
    <w:rsid w:val="00B93E8D"/>
    <w:rsid w:val="00B95F50"/>
    <w:rsid w:val="00BA09FD"/>
    <w:rsid w:val="00BA0B92"/>
    <w:rsid w:val="00BA2D53"/>
    <w:rsid w:val="00BA637E"/>
    <w:rsid w:val="00BA74B2"/>
    <w:rsid w:val="00BB43A3"/>
    <w:rsid w:val="00BD1929"/>
    <w:rsid w:val="00BD5638"/>
    <w:rsid w:val="00BD710C"/>
    <w:rsid w:val="00BD7935"/>
    <w:rsid w:val="00BE08D0"/>
    <w:rsid w:val="00BF405E"/>
    <w:rsid w:val="00BF7118"/>
    <w:rsid w:val="00BF7FE0"/>
    <w:rsid w:val="00C02C8A"/>
    <w:rsid w:val="00C041E7"/>
    <w:rsid w:val="00C059F3"/>
    <w:rsid w:val="00C07CFA"/>
    <w:rsid w:val="00C11AC7"/>
    <w:rsid w:val="00C20A69"/>
    <w:rsid w:val="00C221A6"/>
    <w:rsid w:val="00C31434"/>
    <w:rsid w:val="00C31501"/>
    <w:rsid w:val="00C322A0"/>
    <w:rsid w:val="00C34DBE"/>
    <w:rsid w:val="00C37586"/>
    <w:rsid w:val="00C40CF5"/>
    <w:rsid w:val="00C438AE"/>
    <w:rsid w:val="00C507E2"/>
    <w:rsid w:val="00C53230"/>
    <w:rsid w:val="00C57DEC"/>
    <w:rsid w:val="00C62DD7"/>
    <w:rsid w:val="00C654E4"/>
    <w:rsid w:val="00C7732C"/>
    <w:rsid w:val="00C81104"/>
    <w:rsid w:val="00C9342E"/>
    <w:rsid w:val="00C93E01"/>
    <w:rsid w:val="00C96411"/>
    <w:rsid w:val="00C97226"/>
    <w:rsid w:val="00CB19DE"/>
    <w:rsid w:val="00CB5671"/>
    <w:rsid w:val="00CE1F7E"/>
    <w:rsid w:val="00CE2BFE"/>
    <w:rsid w:val="00CF25BF"/>
    <w:rsid w:val="00CF39D2"/>
    <w:rsid w:val="00CF58B7"/>
    <w:rsid w:val="00D029B8"/>
    <w:rsid w:val="00D02AAA"/>
    <w:rsid w:val="00D02E6A"/>
    <w:rsid w:val="00D332C1"/>
    <w:rsid w:val="00D351C1"/>
    <w:rsid w:val="00D35EFB"/>
    <w:rsid w:val="00D45A10"/>
    <w:rsid w:val="00D463AD"/>
    <w:rsid w:val="00D504B3"/>
    <w:rsid w:val="00D51457"/>
    <w:rsid w:val="00D560C1"/>
    <w:rsid w:val="00D66E92"/>
    <w:rsid w:val="00D72248"/>
    <w:rsid w:val="00D772EE"/>
    <w:rsid w:val="00D8148F"/>
    <w:rsid w:val="00D86BF0"/>
    <w:rsid w:val="00D87094"/>
    <w:rsid w:val="00DA0144"/>
    <w:rsid w:val="00DA0AEC"/>
    <w:rsid w:val="00DA243C"/>
    <w:rsid w:val="00DB02B8"/>
    <w:rsid w:val="00DB2698"/>
    <w:rsid w:val="00DB3B02"/>
    <w:rsid w:val="00DB463B"/>
    <w:rsid w:val="00DB51AD"/>
    <w:rsid w:val="00DB7697"/>
    <w:rsid w:val="00DC1C37"/>
    <w:rsid w:val="00DD4612"/>
    <w:rsid w:val="00DD52D6"/>
    <w:rsid w:val="00DE3DBE"/>
    <w:rsid w:val="00DE44BF"/>
    <w:rsid w:val="00DF6BB5"/>
    <w:rsid w:val="00E13166"/>
    <w:rsid w:val="00E1469A"/>
    <w:rsid w:val="00E14DE6"/>
    <w:rsid w:val="00E22111"/>
    <w:rsid w:val="00E46D0F"/>
    <w:rsid w:val="00E476E8"/>
    <w:rsid w:val="00E51920"/>
    <w:rsid w:val="00E5470B"/>
    <w:rsid w:val="00E55DAE"/>
    <w:rsid w:val="00E64120"/>
    <w:rsid w:val="00E660A1"/>
    <w:rsid w:val="00E80F75"/>
    <w:rsid w:val="00EA1F59"/>
    <w:rsid w:val="00EA271C"/>
    <w:rsid w:val="00EA3CCF"/>
    <w:rsid w:val="00EB0E12"/>
    <w:rsid w:val="00EB3266"/>
    <w:rsid w:val="00EB73A1"/>
    <w:rsid w:val="00EB773A"/>
    <w:rsid w:val="00EC3F66"/>
    <w:rsid w:val="00EC4DF7"/>
    <w:rsid w:val="00EC7967"/>
    <w:rsid w:val="00ED2448"/>
    <w:rsid w:val="00ED2796"/>
    <w:rsid w:val="00ED60A4"/>
    <w:rsid w:val="00EE1BA6"/>
    <w:rsid w:val="00EE2921"/>
    <w:rsid w:val="00EF0E17"/>
    <w:rsid w:val="00EF2B63"/>
    <w:rsid w:val="00EF3AF9"/>
    <w:rsid w:val="00EF3D38"/>
    <w:rsid w:val="00EF5F08"/>
    <w:rsid w:val="00EF76F3"/>
    <w:rsid w:val="00F055F1"/>
    <w:rsid w:val="00F10A82"/>
    <w:rsid w:val="00F12DE6"/>
    <w:rsid w:val="00F150E7"/>
    <w:rsid w:val="00F17A4D"/>
    <w:rsid w:val="00F20C8D"/>
    <w:rsid w:val="00F214D4"/>
    <w:rsid w:val="00F23A8B"/>
    <w:rsid w:val="00F24C83"/>
    <w:rsid w:val="00F25F8D"/>
    <w:rsid w:val="00F326FA"/>
    <w:rsid w:val="00F33AC1"/>
    <w:rsid w:val="00F405B4"/>
    <w:rsid w:val="00F52B49"/>
    <w:rsid w:val="00F57DA3"/>
    <w:rsid w:val="00F610AF"/>
    <w:rsid w:val="00F6283C"/>
    <w:rsid w:val="00F62CF4"/>
    <w:rsid w:val="00F63D13"/>
    <w:rsid w:val="00F640B4"/>
    <w:rsid w:val="00F703AF"/>
    <w:rsid w:val="00F72B25"/>
    <w:rsid w:val="00F7308B"/>
    <w:rsid w:val="00F75EEE"/>
    <w:rsid w:val="00F81145"/>
    <w:rsid w:val="00F84152"/>
    <w:rsid w:val="00F851ED"/>
    <w:rsid w:val="00F8521F"/>
    <w:rsid w:val="00F85A74"/>
    <w:rsid w:val="00F86D7B"/>
    <w:rsid w:val="00F90164"/>
    <w:rsid w:val="00F919A0"/>
    <w:rsid w:val="00FA049B"/>
    <w:rsid w:val="00FA2C5A"/>
    <w:rsid w:val="00FA3C67"/>
    <w:rsid w:val="00FB78F9"/>
    <w:rsid w:val="00FB7BC2"/>
    <w:rsid w:val="00FC0886"/>
    <w:rsid w:val="00FC2D11"/>
    <w:rsid w:val="00FC6230"/>
    <w:rsid w:val="00FD73B1"/>
    <w:rsid w:val="00FE0FDF"/>
    <w:rsid w:val="00FE157E"/>
    <w:rsid w:val="00FE4FA3"/>
    <w:rsid w:val="00FE79B5"/>
    <w:rsid w:val="00FF2733"/>
    <w:rsid w:val="00FF61E7"/>
    <w:rsid w:val="4FD0D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D4F67"/>
  <w15:chartTrackingRefBased/>
  <w15:docId w15:val="{FC4C2641-6483-45C4-9D95-D612FBFD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uiPriority w:val="99"/>
    <w:unhideWhenUsed/>
    <w:rsid w:val="008C1624"/>
    <w:rPr>
      <w:sz w:val="16"/>
      <w:szCs w:val="16"/>
    </w:rPr>
  </w:style>
  <w:style w:type="paragraph" w:styleId="CommentText">
    <w:name w:val="annotation text"/>
    <w:basedOn w:val="Normal"/>
    <w:link w:val="CommentTextChar"/>
    <w:uiPriority w:val="99"/>
    <w:unhideWhenUsed/>
    <w:rsid w:val="008C1624"/>
    <w:rPr>
      <w:sz w:val="20"/>
      <w:szCs w:val="20"/>
    </w:rPr>
  </w:style>
  <w:style w:type="character" w:customStyle="1" w:styleId="CommentTextChar">
    <w:name w:val="Comment Text Char"/>
    <w:basedOn w:val="DefaultParagraphFont"/>
    <w:link w:val="CommentText"/>
    <w:uiPriority w:val="99"/>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21"/>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semiHidden/>
    <w:qFormat/>
    <w:rsid w:val="0053533C"/>
    <w:pPr>
      <w:ind w:left="720"/>
      <w:contextualSpacing/>
    </w:pPr>
  </w:style>
  <w:style w:type="character" w:styleId="Hyperlink">
    <w:name w:val="Hyperlink"/>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paragraph" w:styleId="BodyText2">
    <w:name w:val="Body Text 2"/>
    <w:basedOn w:val="BodyText"/>
    <w:link w:val="BodyText2Char"/>
    <w:rsid w:val="00C654E4"/>
    <w:pPr>
      <w:spacing w:before="120"/>
    </w:pPr>
    <w:rPr>
      <w:rFonts w:ascii="Arial" w:hAnsi="Arial"/>
      <w:szCs w:val="20"/>
      <w:lang w:val="x-none" w:eastAsia="en-US"/>
    </w:rPr>
  </w:style>
  <w:style w:type="character" w:customStyle="1" w:styleId="BodyText2Char">
    <w:name w:val="Body Text 2 Char"/>
    <w:basedOn w:val="DefaultParagraphFont"/>
    <w:link w:val="BodyText2"/>
    <w:rsid w:val="00C654E4"/>
    <w:rPr>
      <w:rFonts w:ascii="Arial" w:hAnsi="Arial"/>
      <w:sz w:val="24"/>
      <w:lang w:val="x-none" w:eastAsia="en-US"/>
    </w:rPr>
  </w:style>
  <w:style w:type="paragraph" w:styleId="BodyText">
    <w:name w:val="Body Text"/>
    <w:basedOn w:val="Normal"/>
    <w:link w:val="BodyTextChar"/>
    <w:semiHidden/>
    <w:unhideWhenUsed/>
    <w:rsid w:val="00C654E4"/>
    <w:pPr>
      <w:spacing w:after="120"/>
    </w:pPr>
  </w:style>
  <w:style w:type="character" w:customStyle="1" w:styleId="BodyTextChar">
    <w:name w:val="Body Text Char"/>
    <w:basedOn w:val="DefaultParagraphFont"/>
    <w:link w:val="BodyText"/>
    <w:semiHidden/>
    <w:rsid w:val="00C654E4"/>
    <w:rPr>
      <w:sz w:val="24"/>
      <w:szCs w:val="24"/>
    </w:rPr>
  </w:style>
  <w:style w:type="character" w:styleId="UnresolvedMention">
    <w:name w:val="Unresolved Mention"/>
    <w:basedOn w:val="DefaultParagraphFont"/>
    <w:uiPriority w:val="99"/>
    <w:semiHidden/>
    <w:unhideWhenUsed/>
    <w:rsid w:val="00945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70201">
      <w:bodyDiv w:val="1"/>
      <w:marLeft w:val="0"/>
      <w:marRight w:val="0"/>
      <w:marTop w:val="0"/>
      <w:marBottom w:val="0"/>
      <w:divBdr>
        <w:top w:val="none" w:sz="0" w:space="0" w:color="auto"/>
        <w:left w:val="none" w:sz="0" w:space="0" w:color="auto"/>
        <w:bottom w:val="none" w:sz="0" w:space="0" w:color="auto"/>
        <w:right w:val="none" w:sz="0" w:space="0" w:color="auto"/>
      </w:divBdr>
    </w:div>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118" TargetMode="External"/><Relationship Id="rId18" Type="http://schemas.openxmlformats.org/officeDocument/2006/relationships/hyperlink" Target="https://www.nice.org.uk/guidance/ng15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ice.org.uk/guidance/ipg327" TargetMode="External"/><Relationship Id="rId7" Type="http://schemas.openxmlformats.org/officeDocument/2006/relationships/settings" Target="settings.xml"/><Relationship Id="rId12" Type="http://schemas.openxmlformats.org/officeDocument/2006/relationships/hyperlink" Target="https://www.nice.org.uk/guidance/ta439" TargetMode="External"/><Relationship Id="rId17" Type="http://schemas.openxmlformats.org/officeDocument/2006/relationships/hyperlink" Target="https://www.nice.org.uk/guidance/indevelopment/gid-ta10165" TargetMode="External"/><Relationship Id="rId25" Type="http://schemas.openxmlformats.org/officeDocument/2006/relationships/hyperlink" Target="https://www.england.nhs.uk/wp-content/uploads/2017/10/PRN00115-prescribed-specialised-services-manual-v6.pdf" TargetMode="External"/><Relationship Id="rId2" Type="http://schemas.openxmlformats.org/officeDocument/2006/relationships/customXml" Target="../customXml/item2.xml"/><Relationship Id="rId16" Type="http://schemas.openxmlformats.org/officeDocument/2006/relationships/hyperlink" Target="https://www.nice.org.uk/guidance/ta61" TargetMode="External"/><Relationship Id="rId20" Type="http://schemas.openxmlformats.org/officeDocument/2006/relationships/hyperlink" Target="https://www.nice.org.uk/guidance/ipg6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ta709" TargetMode="External"/><Relationship Id="rId24"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hyperlink" Target="https://www.nice.org.uk/guidance/ta105" TargetMode="External"/><Relationship Id="rId23" Type="http://schemas.openxmlformats.org/officeDocument/2006/relationships/hyperlink" Target="https://www.nice.org.uk/guidance/qs12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ce.org.uk/guidance/cg1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ta212" TargetMode="External"/><Relationship Id="rId22" Type="http://schemas.openxmlformats.org/officeDocument/2006/relationships/hyperlink" Target="https://www.nice.org.uk/guidance/qs2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3" ma:contentTypeDescription="Create a new document." ma:contentTypeScope="" ma:versionID="fecebe318a13d31f7437abee9fbc8b8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d3f0e78506d529c3e26317732c42b568"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F0541-51D1-4198-B0FE-9DD9BA0D864E}">
  <ds:schemaRefs>
    <ds:schemaRef ds:uri="http://schemas.microsoft.com/sharepoint/v3/contenttype/forms"/>
  </ds:schemaRefs>
</ds:datastoreItem>
</file>

<file path=customXml/itemProps2.xml><?xml version="1.0" encoding="utf-8"?>
<ds:datastoreItem xmlns:ds="http://schemas.openxmlformats.org/officeDocument/2006/customXml" ds:itemID="{4FC319BF-BB81-4B94-899D-BE289561A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customXml/itemProps4.xml><?xml version="1.0" encoding="utf-8"?>
<ds:datastoreItem xmlns:ds="http://schemas.openxmlformats.org/officeDocument/2006/customXml" ds:itemID="{EDF789E8-FEAB-41DE-A71F-EFED59310FBA}">
  <ds:schemaRefs>
    <ds:schemaRef ds:uri="http://schemas.microsoft.com/office/2006/documentManagement/types"/>
    <ds:schemaRef ds:uri="http://purl.org/dc/dcmitype/"/>
    <ds:schemaRef ds:uri="0eb656aa-4e79-4e95-9076-bc119a23e0cc"/>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6113f790-c252-4bfe-890a-0e01b9de80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1904</Words>
  <Characters>12445</Characters>
  <Application>Microsoft Office Word</Application>
  <DocSecurity>2</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Gavin Kenny</cp:lastModifiedBy>
  <cp:revision>9</cp:revision>
  <dcterms:created xsi:type="dcterms:W3CDTF">2025-02-10T13:42:00Z</dcterms:created>
  <dcterms:modified xsi:type="dcterms:W3CDTF">2025-02-11T10:36:00Z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2023-04-03T11:36:44Z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4d7d2982-78be-41ae-8ad6-12e1da64b2a7</vt:lpwstr>
  </property>
  <property fmtid="{D5CDD505-2E9C-101B-9397-08002B2CF9AE}" pid="8" name="MSIP_Label_c69d85d5-6d9e-4305-a294-1f636ec0f2d6_ContentBits">
    <vt:lpwstr>0</vt:lpwstr>
  </property>
  <property fmtid="{D5CDD505-2E9C-101B-9397-08002B2CF9AE}" pid="9" name="ContentTypeId">
    <vt:lpwstr>0x010100C3164B6419967F4F9BC885BCC38080FE</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y fmtid="{D5CDD505-2E9C-101B-9397-08002B2CF9AE}" pid="13" name="Order">
    <vt:r8>68082800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