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8D337" w14:textId="1B0836A1" w:rsidR="00D47BA7" w:rsidRPr="00D8132E" w:rsidRDefault="00A43DA6" w:rsidP="00A43DA6">
      <w:pPr>
        <w:spacing w:line="276" w:lineRule="auto"/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  <w:r w:rsidRPr="00D8132E">
        <w:rPr>
          <w:rFonts w:ascii="Arial" w:hAnsi="Arial" w:cs="Arial"/>
          <w:b/>
          <w:bCs/>
          <w:color w:val="00506A"/>
          <w:sz w:val="28"/>
          <w:szCs w:val="28"/>
        </w:rPr>
        <w:t xml:space="preserve">Technology </w:t>
      </w:r>
      <w:r w:rsidR="00D47BA7" w:rsidRPr="00D8132E">
        <w:rPr>
          <w:rFonts w:ascii="Arial" w:hAnsi="Arial" w:cs="Arial"/>
          <w:b/>
          <w:bCs/>
          <w:color w:val="00506A"/>
          <w:sz w:val="28"/>
          <w:szCs w:val="28"/>
        </w:rPr>
        <w:t>A</w:t>
      </w:r>
      <w:r w:rsidR="00FA0496">
        <w:rPr>
          <w:rFonts w:ascii="Arial" w:hAnsi="Arial" w:cs="Arial"/>
          <w:b/>
          <w:bCs/>
          <w:color w:val="00506A"/>
          <w:sz w:val="28"/>
          <w:szCs w:val="28"/>
        </w:rPr>
        <w:t>ppraisal</w:t>
      </w:r>
      <w:r w:rsidR="00D47BA7" w:rsidRPr="00D8132E">
        <w:rPr>
          <w:rFonts w:ascii="Arial" w:hAnsi="Arial" w:cs="Arial"/>
          <w:b/>
          <w:bCs/>
          <w:color w:val="00506A"/>
          <w:sz w:val="28"/>
          <w:szCs w:val="28"/>
        </w:rPr>
        <w:t xml:space="preserve"> Committee</w:t>
      </w:r>
      <w:r w:rsidR="004A2D1D" w:rsidRPr="00D8132E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proofErr w:type="gramStart"/>
      <w:r w:rsidR="00FA0496">
        <w:rPr>
          <w:rFonts w:ascii="Arial" w:hAnsi="Arial" w:cs="Arial"/>
          <w:b/>
          <w:bCs/>
          <w:color w:val="00506A"/>
          <w:sz w:val="28"/>
          <w:szCs w:val="28"/>
        </w:rPr>
        <w:t>A</w:t>
      </w:r>
      <w:proofErr w:type="gramEnd"/>
      <w:r w:rsidR="00FA0496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r w:rsidR="004A2D1D" w:rsidRPr="00D8132E">
        <w:rPr>
          <w:rFonts w:ascii="Arial" w:hAnsi="Arial" w:cs="Arial"/>
          <w:b/>
          <w:bCs/>
          <w:color w:val="00506A"/>
          <w:sz w:val="28"/>
          <w:szCs w:val="28"/>
        </w:rPr>
        <w:t>Interests Register</w:t>
      </w:r>
    </w:p>
    <w:p w14:paraId="37503272" w14:textId="7AAF83DA" w:rsidR="002029E7" w:rsidRDefault="009E271E" w:rsidP="00706811">
      <w:pPr>
        <w:spacing w:line="276" w:lineRule="auto"/>
        <w:ind w:left="-567"/>
        <w:rPr>
          <w:rFonts w:ascii="Arial" w:hAnsi="Arial" w:cs="Arial"/>
          <w:b/>
          <w:bCs/>
          <w:color w:val="00506A"/>
          <w:sz w:val="28"/>
          <w:szCs w:val="28"/>
        </w:rPr>
      </w:pPr>
      <w:r w:rsidRPr="38C08D01">
        <w:rPr>
          <w:rFonts w:ascii="Arial" w:hAnsi="Arial" w:cs="Arial"/>
          <w:b/>
          <w:bCs/>
          <w:color w:val="00506A"/>
          <w:sz w:val="28"/>
          <w:szCs w:val="28"/>
        </w:rPr>
        <w:t xml:space="preserve">Topic: </w:t>
      </w:r>
      <w:r w:rsidR="5E1E9FD9" w:rsidRPr="38C08D01">
        <w:rPr>
          <w:rFonts w:ascii="Arial" w:hAnsi="Arial" w:cs="Arial"/>
          <w:b/>
          <w:bCs/>
          <w:color w:val="00506A"/>
          <w:sz w:val="28"/>
          <w:szCs w:val="28"/>
        </w:rPr>
        <w:t>Cemiplimab for treating recurrent or metastatic cervical cancer ID6610</w:t>
      </w:r>
    </w:p>
    <w:p w14:paraId="74C01AEC" w14:textId="55E6BF83" w:rsidR="00D47BA7" w:rsidRPr="00A43DA6" w:rsidRDefault="00D47BA7" w:rsidP="00A43DA6">
      <w:pPr>
        <w:spacing w:line="276" w:lineRule="auto"/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  <w:r w:rsidRPr="00D8132E">
        <w:rPr>
          <w:rFonts w:ascii="Arial" w:hAnsi="Arial" w:cs="Arial"/>
          <w:b/>
          <w:bCs/>
          <w:color w:val="00506A"/>
          <w:sz w:val="28"/>
          <w:szCs w:val="28"/>
        </w:rPr>
        <w:t>Publication Date:</w:t>
      </w:r>
      <w:r w:rsidR="003404D8" w:rsidRPr="00D8132E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r w:rsidR="008E7490">
        <w:rPr>
          <w:rFonts w:ascii="Arial" w:hAnsi="Arial" w:cs="Arial"/>
          <w:b/>
          <w:bCs/>
          <w:color w:val="00506A"/>
          <w:sz w:val="28"/>
          <w:szCs w:val="28"/>
        </w:rPr>
        <w:t>03 September 2026</w:t>
      </w:r>
    </w:p>
    <w:p w14:paraId="1C7CC411" w14:textId="77777777" w:rsidR="00D47BA7" w:rsidRDefault="00D47BA7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04"/>
        <w:gridCol w:w="1710"/>
        <w:gridCol w:w="1908"/>
        <w:gridCol w:w="3769"/>
        <w:gridCol w:w="1626"/>
        <w:gridCol w:w="2831"/>
      </w:tblGrid>
      <w:tr w:rsidR="005C6BC7" w:rsidRPr="009F66BF" w14:paraId="111674D1" w14:textId="77777777" w:rsidTr="00C87359">
        <w:trPr>
          <w:trHeight w:val="775"/>
          <w:tblHeader/>
        </w:trPr>
        <w:tc>
          <w:tcPr>
            <w:tcW w:w="754" w:type="pct"/>
          </w:tcPr>
          <w:p w14:paraId="626159D9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Name</w:t>
            </w:r>
          </w:p>
        </w:tc>
        <w:tc>
          <w:tcPr>
            <w:tcW w:w="613" w:type="pct"/>
          </w:tcPr>
          <w:p w14:paraId="4BC0C4D4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Role</w:t>
            </w:r>
            <w:r>
              <w:rPr>
                <w:color w:val="00506A"/>
                <w:sz w:val="22"/>
                <w:szCs w:val="22"/>
              </w:rPr>
              <w:t xml:space="preserve"> with NICE</w:t>
            </w:r>
          </w:p>
        </w:tc>
        <w:tc>
          <w:tcPr>
            <w:tcW w:w="684" w:type="pct"/>
          </w:tcPr>
          <w:p w14:paraId="3D4BE18B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Type of interest</w:t>
            </w:r>
          </w:p>
        </w:tc>
        <w:tc>
          <w:tcPr>
            <w:tcW w:w="1351" w:type="pct"/>
          </w:tcPr>
          <w:p w14:paraId="231853E2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Description of interest</w:t>
            </w:r>
          </w:p>
        </w:tc>
        <w:tc>
          <w:tcPr>
            <w:tcW w:w="583" w:type="pct"/>
          </w:tcPr>
          <w:p w14:paraId="07D4B157" w14:textId="77777777" w:rsidR="005C6BC7" w:rsidRPr="004602D6" w:rsidRDefault="005C6BC7" w:rsidP="00492FE1">
            <w:pPr>
              <w:pStyle w:val="Title"/>
              <w:spacing w:after="0"/>
              <w:rPr>
                <w:color w:val="00506A"/>
                <w:sz w:val="20"/>
                <w:szCs w:val="20"/>
              </w:rPr>
            </w:pPr>
            <w:r w:rsidRPr="004602D6">
              <w:rPr>
                <w:color w:val="00506A"/>
                <w:sz w:val="20"/>
                <w:szCs w:val="20"/>
              </w:rPr>
              <w:t>Interest</w:t>
            </w:r>
          </w:p>
          <w:p w14:paraId="79047174" w14:textId="05A416BF" w:rsidR="005C6BC7" w:rsidRPr="009F66BF" w:rsidRDefault="005C6BC7" w:rsidP="00492FE1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 w:rsidRPr="004602D6">
              <w:rPr>
                <w:color w:val="00506A"/>
                <w:sz w:val="20"/>
                <w:szCs w:val="20"/>
              </w:rPr>
              <w:t>declared</w:t>
            </w:r>
          </w:p>
        </w:tc>
        <w:tc>
          <w:tcPr>
            <w:tcW w:w="1015" w:type="pct"/>
          </w:tcPr>
          <w:p w14:paraId="5A51D99E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Comments</w:t>
            </w:r>
          </w:p>
        </w:tc>
      </w:tr>
      <w:tr w:rsidR="005C6BC7" w14:paraId="7C538747" w14:textId="77777777" w:rsidTr="00C87359">
        <w:tc>
          <w:tcPr>
            <w:tcW w:w="754" w:type="pct"/>
          </w:tcPr>
          <w:p w14:paraId="5A9ABA95" w14:textId="527A4D51" w:rsidR="005C6BC7" w:rsidRPr="004415DB" w:rsidRDefault="08BB72E7" w:rsidP="38C08D01">
            <w:pPr>
              <w:pStyle w:val="Paragraph"/>
              <w:jc w:val="center"/>
              <w:rPr>
                <w:rFonts w:ascii="Arial" w:hAnsi="Arial" w:cs="Arial"/>
              </w:rPr>
            </w:pPr>
            <w:r w:rsidRPr="38C08D01">
              <w:rPr>
                <w:rFonts w:ascii="Arial" w:hAnsi="Arial" w:cs="Arial"/>
              </w:rPr>
              <w:t>Becky Pennington</w:t>
            </w:r>
          </w:p>
        </w:tc>
        <w:tc>
          <w:tcPr>
            <w:tcW w:w="613" w:type="pct"/>
          </w:tcPr>
          <w:p w14:paraId="7CF4D325" w14:textId="42B23A1E" w:rsidR="005C6BC7" w:rsidRPr="004415DB" w:rsidRDefault="08BB72E7" w:rsidP="38C08D01">
            <w:pPr>
              <w:pStyle w:val="Paragraph"/>
              <w:jc w:val="center"/>
              <w:rPr>
                <w:rFonts w:ascii="Arial" w:hAnsi="Arial" w:cs="Arial"/>
              </w:rPr>
            </w:pPr>
            <w:r w:rsidRPr="5FF90BEC">
              <w:rPr>
                <w:rFonts w:ascii="Arial" w:hAnsi="Arial" w:cs="Arial"/>
              </w:rPr>
              <w:t>TAC C</w:t>
            </w:r>
            <w:r w:rsidR="04727C04" w:rsidRPr="5FF90BEC">
              <w:rPr>
                <w:rFonts w:ascii="Arial" w:hAnsi="Arial" w:cs="Arial"/>
              </w:rPr>
              <w:t>o</w:t>
            </w:r>
            <w:r w:rsidRPr="5FF90BEC">
              <w:rPr>
                <w:rFonts w:ascii="Arial" w:hAnsi="Arial" w:cs="Arial"/>
              </w:rPr>
              <w:t>mmittee Member</w:t>
            </w:r>
          </w:p>
        </w:tc>
        <w:tc>
          <w:tcPr>
            <w:tcW w:w="684" w:type="pct"/>
          </w:tcPr>
          <w:p w14:paraId="57553DA8" w14:textId="1B5530F3" w:rsidR="005C6BC7" w:rsidRPr="004415DB" w:rsidRDefault="08BB72E7" w:rsidP="2FA6ADAF">
            <w:pPr>
              <w:pStyle w:val="Paragraph"/>
              <w:jc w:val="center"/>
              <w:rPr>
                <w:rFonts w:ascii="Arial" w:hAnsi="Arial" w:cs="Arial"/>
              </w:rPr>
            </w:pPr>
            <w:r w:rsidRPr="2FA6ADAF">
              <w:rPr>
                <w:rFonts w:ascii="Arial" w:hAnsi="Arial" w:cs="Arial"/>
              </w:rPr>
              <w:t>Indirect – Financial</w:t>
            </w:r>
          </w:p>
        </w:tc>
        <w:tc>
          <w:tcPr>
            <w:tcW w:w="1351" w:type="pct"/>
          </w:tcPr>
          <w:p w14:paraId="2754EDBB" w14:textId="63966E4D" w:rsidR="005C6BC7" w:rsidRPr="004415DB" w:rsidRDefault="5A588F87" w:rsidP="2FA6ADAF">
            <w:pPr>
              <w:pStyle w:val="Paragraph"/>
              <w:rPr>
                <w:rFonts w:ascii="Arial" w:hAnsi="Arial" w:cs="Arial"/>
              </w:rPr>
            </w:pPr>
            <w:r w:rsidRPr="5FF90BEC">
              <w:rPr>
                <w:rFonts w:ascii="Arial" w:hAnsi="Arial" w:cs="Arial"/>
              </w:rPr>
              <w:t>Becky</w:t>
            </w:r>
            <w:r w:rsidR="08BB72E7" w:rsidRPr="5FF90BEC">
              <w:rPr>
                <w:rFonts w:ascii="Arial" w:hAnsi="Arial" w:cs="Arial"/>
              </w:rPr>
              <w:t xml:space="preserve"> ha</w:t>
            </w:r>
            <w:r w:rsidR="6E9F684D" w:rsidRPr="5FF90BEC">
              <w:rPr>
                <w:rFonts w:ascii="Arial" w:hAnsi="Arial" w:cs="Arial"/>
              </w:rPr>
              <w:t>s</w:t>
            </w:r>
            <w:r w:rsidR="08BB72E7" w:rsidRPr="5FF90BEC">
              <w:rPr>
                <w:rFonts w:ascii="Arial" w:hAnsi="Arial" w:cs="Arial"/>
              </w:rPr>
              <w:t xml:space="preserve"> undertaken private consultancy for Pierre Fabre for a different drug in a different indication, ceased July 2025.</w:t>
            </w:r>
          </w:p>
          <w:p w14:paraId="7C2B42C0" w14:textId="4F921449" w:rsidR="005C6BC7" w:rsidRPr="004415DB" w:rsidRDefault="79BF144E" w:rsidP="2FA6ADAF">
            <w:pPr>
              <w:pStyle w:val="Paragraph"/>
              <w:rPr>
                <w:rFonts w:ascii="Arial" w:hAnsi="Arial" w:cs="Arial"/>
              </w:rPr>
            </w:pPr>
            <w:r w:rsidRPr="5FF90BEC">
              <w:rPr>
                <w:rFonts w:ascii="Arial" w:hAnsi="Arial" w:cs="Arial"/>
              </w:rPr>
              <w:t xml:space="preserve">She </w:t>
            </w:r>
            <w:r w:rsidR="08BB72E7" w:rsidRPr="5FF90BEC">
              <w:rPr>
                <w:rFonts w:ascii="Arial" w:hAnsi="Arial" w:cs="Arial"/>
              </w:rPr>
              <w:t>ha</w:t>
            </w:r>
            <w:r w:rsidR="761676FC" w:rsidRPr="5FF90BEC">
              <w:rPr>
                <w:rFonts w:ascii="Arial" w:hAnsi="Arial" w:cs="Arial"/>
              </w:rPr>
              <w:t>s</w:t>
            </w:r>
            <w:r w:rsidR="08BB72E7" w:rsidRPr="5FF90BEC">
              <w:rPr>
                <w:rFonts w:ascii="Arial" w:hAnsi="Arial" w:cs="Arial"/>
              </w:rPr>
              <w:t xml:space="preserve"> an ongoing methods project with Pfizer, paid to my employer.</w:t>
            </w:r>
          </w:p>
        </w:tc>
        <w:tc>
          <w:tcPr>
            <w:tcW w:w="583" w:type="pct"/>
          </w:tcPr>
          <w:p w14:paraId="55C6028F" w14:textId="15111128" w:rsidR="005C6BC7" w:rsidRPr="004415DB" w:rsidRDefault="1FA8DE41" w:rsidP="5FF90BEC">
            <w:pPr>
              <w:pStyle w:val="Paragraph"/>
              <w:jc w:val="center"/>
              <w:rPr>
                <w:rFonts w:ascii="Arial" w:hAnsi="Arial" w:cs="Arial"/>
              </w:rPr>
            </w:pPr>
            <w:r w:rsidRPr="5FF90BEC">
              <w:rPr>
                <w:rFonts w:ascii="Arial" w:hAnsi="Arial" w:cs="Arial"/>
              </w:rPr>
              <w:t>23/04/2026</w:t>
            </w:r>
          </w:p>
        </w:tc>
        <w:tc>
          <w:tcPr>
            <w:tcW w:w="1015" w:type="pct"/>
          </w:tcPr>
          <w:p w14:paraId="6351FA8F" w14:textId="30F2CACB" w:rsidR="00C87359" w:rsidRPr="00C87359" w:rsidRDefault="00C87359" w:rsidP="00C87359">
            <w:pPr>
              <w:pStyle w:val="Paragraph"/>
              <w:rPr>
                <w:rFonts w:ascii="Arial" w:hAnsi="Arial" w:cs="Arial"/>
                <w:iCs/>
              </w:rPr>
            </w:pPr>
            <w:r w:rsidRPr="00C87359">
              <w:rPr>
                <w:rFonts w:ascii="Arial" w:hAnsi="Arial" w:cs="Arial"/>
                <w:iCs/>
              </w:rPr>
              <w:t xml:space="preserve">It was agreed that </w:t>
            </w:r>
            <w:r>
              <w:rPr>
                <w:rFonts w:ascii="Arial" w:hAnsi="Arial" w:cs="Arial"/>
                <w:iCs/>
              </w:rPr>
              <w:t>Becky Pennington</w:t>
            </w:r>
            <w:r w:rsidRPr="00C87359">
              <w:rPr>
                <w:rFonts w:ascii="Arial" w:hAnsi="Arial" w:cs="Arial"/>
                <w:iCs/>
              </w:rPr>
              <w:t>'s declaration would not prevent her from participating in discussions on this appraisal.</w:t>
            </w:r>
          </w:p>
          <w:p w14:paraId="1619F187" w14:textId="77777777" w:rsidR="005C6BC7" w:rsidRPr="004415DB" w:rsidRDefault="005C6BC7" w:rsidP="00492FE1">
            <w:pPr>
              <w:pStyle w:val="Paragraph"/>
              <w:rPr>
                <w:rFonts w:ascii="Arial" w:hAnsi="Arial" w:cs="Arial"/>
                <w:iCs/>
              </w:rPr>
            </w:pPr>
          </w:p>
        </w:tc>
      </w:tr>
      <w:tr w:rsidR="005C6BC7" w14:paraId="07D6FE42" w14:textId="77777777" w:rsidTr="00C87359">
        <w:tc>
          <w:tcPr>
            <w:tcW w:w="754" w:type="pct"/>
          </w:tcPr>
          <w:p w14:paraId="5D5835FE" w14:textId="428A2055" w:rsidR="005C6BC7" w:rsidRPr="004415DB" w:rsidRDefault="1FA8DE41" w:rsidP="5FF90BEC">
            <w:pPr>
              <w:pStyle w:val="Paragraph"/>
              <w:jc w:val="center"/>
              <w:rPr>
                <w:rFonts w:ascii="Arial" w:hAnsi="Arial" w:cs="Arial"/>
              </w:rPr>
            </w:pPr>
            <w:r w:rsidRPr="5FF90BEC">
              <w:rPr>
                <w:rFonts w:ascii="Arial" w:hAnsi="Arial" w:cs="Arial"/>
              </w:rPr>
              <w:t>Dominic Pivonka</w:t>
            </w:r>
          </w:p>
        </w:tc>
        <w:tc>
          <w:tcPr>
            <w:tcW w:w="613" w:type="pct"/>
          </w:tcPr>
          <w:p w14:paraId="1C1C2F76" w14:textId="62EEB712" w:rsidR="005C6BC7" w:rsidRPr="004415DB" w:rsidRDefault="1FA8DE41" w:rsidP="5FF90BEC">
            <w:pPr>
              <w:pStyle w:val="Paragraph"/>
              <w:jc w:val="center"/>
              <w:rPr>
                <w:rFonts w:ascii="Arial" w:hAnsi="Arial" w:cs="Arial"/>
              </w:rPr>
            </w:pPr>
            <w:r w:rsidRPr="5FF90BEC">
              <w:rPr>
                <w:rFonts w:ascii="Arial" w:hAnsi="Arial" w:cs="Arial"/>
              </w:rPr>
              <w:t xml:space="preserve">TAC </w:t>
            </w:r>
            <w:r w:rsidR="6DEE4C1F" w:rsidRPr="5FF90BEC">
              <w:rPr>
                <w:rFonts w:ascii="Arial" w:hAnsi="Arial" w:cs="Arial"/>
              </w:rPr>
              <w:t>Committee Member</w:t>
            </w:r>
          </w:p>
        </w:tc>
        <w:tc>
          <w:tcPr>
            <w:tcW w:w="684" w:type="pct"/>
          </w:tcPr>
          <w:p w14:paraId="005581B6" w14:textId="491B845B" w:rsidR="005C6BC7" w:rsidRPr="004415DB" w:rsidRDefault="6DEE4C1F" w:rsidP="5FF90BEC">
            <w:pPr>
              <w:pStyle w:val="Paragraph"/>
              <w:jc w:val="center"/>
              <w:rPr>
                <w:rFonts w:ascii="Arial" w:hAnsi="Arial" w:cs="Arial"/>
              </w:rPr>
            </w:pPr>
            <w:r w:rsidRPr="5FF90BEC">
              <w:rPr>
                <w:rFonts w:ascii="Arial" w:hAnsi="Arial" w:cs="Arial"/>
              </w:rPr>
              <w:t>Indirect – Financial</w:t>
            </w:r>
          </w:p>
        </w:tc>
        <w:tc>
          <w:tcPr>
            <w:tcW w:w="1351" w:type="pct"/>
          </w:tcPr>
          <w:p w14:paraId="6B5DCD4D" w14:textId="6C84F11B" w:rsidR="005C6BC7" w:rsidRPr="004415DB" w:rsidRDefault="1FA8DE41" w:rsidP="5FF90BEC">
            <w:pPr>
              <w:pStyle w:val="Paragraph"/>
              <w:rPr>
                <w:rFonts w:ascii="Arial" w:hAnsi="Arial" w:cs="Arial"/>
              </w:rPr>
            </w:pPr>
            <w:r w:rsidRPr="5FF90BEC">
              <w:rPr>
                <w:rFonts w:ascii="Arial" w:hAnsi="Arial" w:cs="Arial"/>
              </w:rPr>
              <w:t>My employer (AbbVie) has a treatment being evaluated for gynaecologic cancers including a Phase 1 which includes cervical cancer</w:t>
            </w:r>
          </w:p>
        </w:tc>
        <w:tc>
          <w:tcPr>
            <w:tcW w:w="583" w:type="pct"/>
          </w:tcPr>
          <w:p w14:paraId="133D062A" w14:textId="78ED163C" w:rsidR="005C6BC7" w:rsidRPr="004415DB" w:rsidRDefault="60272718" w:rsidP="5FF90BEC">
            <w:pPr>
              <w:pStyle w:val="Paragraph"/>
              <w:jc w:val="center"/>
              <w:rPr>
                <w:rFonts w:ascii="Arial" w:hAnsi="Arial" w:cs="Arial"/>
              </w:rPr>
            </w:pPr>
            <w:r w:rsidRPr="5FF90BEC">
              <w:rPr>
                <w:rFonts w:ascii="Arial" w:hAnsi="Arial" w:cs="Arial"/>
              </w:rPr>
              <w:t>24/04/2026</w:t>
            </w:r>
          </w:p>
        </w:tc>
        <w:tc>
          <w:tcPr>
            <w:tcW w:w="1015" w:type="pct"/>
          </w:tcPr>
          <w:p w14:paraId="672EC20B" w14:textId="1494BCC7" w:rsidR="005C6BC7" w:rsidRPr="004415DB" w:rsidRDefault="00C87359" w:rsidP="00492FE1">
            <w:pPr>
              <w:pStyle w:val="Paragraph"/>
              <w:rPr>
                <w:rFonts w:ascii="Arial" w:hAnsi="Arial" w:cs="Arial"/>
                <w:iCs/>
              </w:rPr>
            </w:pPr>
            <w:r w:rsidRPr="00C87359">
              <w:rPr>
                <w:rFonts w:ascii="Arial" w:hAnsi="Arial" w:cs="Arial"/>
                <w:iCs/>
              </w:rPr>
              <w:t xml:space="preserve">It was agreed that </w:t>
            </w:r>
            <w:r>
              <w:rPr>
                <w:rFonts w:ascii="Arial" w:hAnsi="Arial" w:cs="Arial"/>
                <w:iCs/>
              </w:rPr>
              <w:t>Dominic Pivonka</w:t>
            </w:r>
            <w:r w:rsidRPr="00C87359">
              <w:rPr>
                <w:rFonts w:ascii="Arial" w:hAnsi="Arial" w:cs="Arial"/>
                <w:iCs/>
              </w:rPr>
              <w:t>'s declaration would not prevent him from participating in discussions on this appraisal.</w:t>
            </w:r>
          </w:p>
        </w:tc>
      </w:tr>
      <w:tr w:rsidR="005C6BC7" w14:paraId="337FADC7" w14:textId="77777777" w:rsidTr="00C87359">
        <w:tc>
          <w:tcPr>
            <w:tcW w:w="754" w:type="pct"/>
          </w:tcPr>
          <w:p w14:paraId="2CC78238" w14:textId="45616A5C" w:rsidR="005C6BC7" w:rsidRPr="004415DB" w:rsidRDefault="60272718" w:rsidP="5FF90BEC">
            <w:pPr>
              <w:pStyle w:val="Paragraph"/>
              <w:jc w:val="center"/>
              <w:rPr>
                <w:rFonts w:ascii="Arial" w:hAnsi="Arial" w:cs="Arial"/>
              </w:rPr>
            </w:pPr>
            <w:r w:rsidRPr="5FF90BEC">
              <w:rPr>
                <w:rFonts w:ascii="Arial" w:hAnsi="Arial" w:cs="Arial"/>
              </w:rPr>
              <w:t>Patrick de Barr</w:t>
            </w:r>
          </w:p>
        </w:tc>
        <w:tc>
          <w:tcPr>
            <w:tcW w:w="613" w:type="pct"/>
          </w:tcPr>
          <w:p w14:paraId="7CDB68F8" w14:textId="5C7D3D92" w:rsidR="005C6BC7" w:rsidRPr="004415DB" w:rsidRDefault="60272718" w:rsidP="5FF90BEC">
            <w:pPr>
              <w:pStyle w:val="Paragraph"/>
              <w:jc w:val="center"/>
              <w:rPr>
                <w:rFonts w:ascii="Arial" w:hAnsi="Arial" w:cs="Arial"/>
              </w:rPr>
            </w:pPr>
            <w:r w:rsidRPr="5FF90BEC">
              <w:rPr>
                <w:rFonts w:ascii="Arial" w:hAnsi="Arial" w:cs="Arial"/>
              </w:rPr>
              <w:t>TAC Committee Member</w:t>
            </w:r>
          </w:p>
        </w:tc>
        <w:tc>
          <w:tcPr>
            <w:tcW w:w="684" w:type="pct"/>
          </w:tcPr>
          <w:p w14:paraId="0856EF01" w14:textId="43865417" w:rsidR="005C6BC7" w:rsidRPr="004415DB" w:rsidRDefault="60272718" w:rsidP="5FF90BEC">
            <w:pPr>
              <w:pStyle w:val="Paragraph"/>
              <w:jc w:val="center"/>
              <w:rPr>
                <w:rFonts w:ascii="Arial" w:hAnsi="Arial" w:cs="Arial"/>
              </w:rPr>
            </w:pPr>
            <w:r w:rsidRPr="5FF90BEC">
              <w:rPr>
                <w:rFonts w:ascii="Arial" w:hAnsi="Arial" w:cs="Arial"/>
              </w:rPr>
              <w:t xml:space="preserve">Indirect – Financial </w:t>
            </w:r>
          </w:p>
        </w:tc>
        <w:tc>
          <w:tcPr>
            <w:tcW w:w="1351" w:type="pct"/>
          </w:tcPr>
          <w:p w14:paraId="0A1BA50D" w14:textId="73B52D60" w:rsidR="005C6BC7" w:rsidRPr="004415DB" w:rsidRDefault="60272718" w:rsidP="5FF90BEC">
            <w:pPr>
              <w:pStyle w:val="Paragraph"/>
              <w:rPr>
                <w:rFonts w:ascii="Arial" w:hAnsi="Arial" w:cs="Arial"/>
              </w:rPr>
            </w:pPr>
            <w:r w:rsidRPr="5FF90BEC">
              <w:rPr>
                <w:rFonts w:ascii="Arial" w:hAnsi="Arial" w:cs="Arial"/>
              </w:rPr>
              <w:t xml:space="preserve">Patrick worked for Sanofi (ending in 2020). Sanofi were previously involved in the co-development and commercialisation of cemiplimab in skin </w:t>
            </w:r>
            <w:proofErr w:type="gramStart"/>
            <w:r w:rsidRPr="5FF90BEC">
              <w:rPr>
                <w:rFonts w:ascii="Arial" w:hAnsi="Arial" w:cs="Arial"/>
              </w:rPr>
              <w:t>cancer,</w:t>
            </w:r>
            <w:proofErr w:type="gramEnd"/>
            <w:r w:rsidRPr="5FF90BEC">
              <w:rPr>
                <w:rFonts w:ascii="Arial" w:hAnsi="Arial" w:cs="Arial"/>
              </w:rPr>
              <w:t xml:space="preserve"> however he believes that this is no longer the case. He has no ongoing personal or financial relationship with Sanofi or regeneron and this employment was over 5 years ago.</w:t>
            </w:r>
          </w:p>
        </w:tc>
        <w:tc>
          <w:tcPr>
            <w:tcW w:w="583" w:type="pct"/>
          </w:tcPr>
          <w:p w14:paraId="0EF7F80F" w14:textId="1A217E32" w:rsidR="005C6BC7" w:rsidRPr="004415DB" w:rsidRDefault="60272718" w:rsidP="5FF90BEC">
            <w:pPr>
              <w:pStyle w:val="Paragraph"/>
              <w:jc w:val="center"/>
              <w:rPr>
                <w:rFonts w:ascii="Arial" w:hAnsi="Arial" w:cs="Arial"/>
              </w:rPr>
            </w:pPr>
            <w:r w:rsidRPr="5FF90BEC">
              <w:rPr>
                <w:rFonts w:ascii="Arial" w:hAnsi="Arial" w:cs="Arial"/>
              </w:rPr>
              <w:t>24/04/2026</w:t>
            </w:r>
          </w:p>
        </w:tc>
        <w:tc>
          <w:tcPr>
            <w:tcW w:w="1015" w:type="pct"/>
          </w:tcPr>
          <w:p w14:paraId="007F6CDB" w14:textId="0180BD51" w:rsidR="005C6BC7" w:rsidRPr="004415DB" w:rsidRDefault="004864A4" w:rsidP="00492FE1">
            <w:pPr>
              <w:pStyle w:val="Paragraph"/>
              <w:rPr>
                <w:rFonts w:ascii="Arial" w:hAnsi="Arial" w:cs="Arial"/>
                <w:iCs/>
              </w:rPr>
            </w:pPr>
            <w:r w:rsidRPr="004864A4">
              <w:rPr>
                <w:rFonts w:ascii="Arial" w:hAnsi="Arial" w:cs="Arial"/>
                <w:iCs/>
              </w:rPr>
              <w:t xml:space="preserve">It was agreed that </w:t>
            </w:r>
            <w:r>
              <w:rPr>
                <w:rFonts w:ascii="Arial" w:hAnsi="Arial" w:cs="Arial"/>
                <w:iCs/>
              </w:rPr>
              <w:t>Patrick de Barr</w:t>
            </w:r>
            <w:r w:rsidRPr="004864A4">
              <w:rPr>
                <w:rFonts w:ascii="Arial" w:hAnsi="Arial" w:cs="Arial"/>
                <w:iCs/>
              </w:rPr>
              <w:t>'s declaration would not prevent him from participating in discussions on this appraisal.</w:t>
            </w:r>
          </w:p>
        </w:tc>
      </w:tr>
      <w:tr w:rsidR="00413075" w14:paraId="0FBA0A78" w14:textId="77777777" w:rsidTr="00C87359">
        <w:trPr>
          <w:trHeight w:val="1665"/>
        </w:trPr>
        <w:tc>
          <w:tcPr>
            <w:tcW w:w="754" w:type="pct"/>
            <w:vMerge w:val="restart"/>
          </w:tcPr>
          <w:p w14:paraId="45F37783" w14:textId="1241224A" w:rsidR="00413075" w:rsidRPr="004415DB" w:rsidRDefault="00413075" w:rsidP="5FF90BEC">
            <w:pPr>
              <w:pStyle w:val="Paragraph"/>
              <w:jc w:val="center"/>
              <w:rPr>
                <w:rFonts w:ascii="Arial" w:hAnsi="Arial" w:cs="Arial"/>
              </w:rPr>
            </w:pPr>
            <w:r w:rsidRPr="5FF90BEC">
              <w:rPr>
                <w:rFonts w:ascii="Arial" w:hAnsi="Arial" w:cs="Arial"/>
              </w:rPr>
              <w:t>Dr Alexandra Taylor</w:t>
            </w:r>
          </w:p>
        </w:tc>
        <w:tc>
          <w:tcPr>
            <w:tcW w:w="613" w:type="pct"/>
            <w:vMerge w:val="restart"/>
          </w:tcPr>
          <w:p w14:paraId="283CA6F5" w14:textId="2EB3AE4F" w:rsidR="00413075" w:rsidRPr="004415DB" w:rsidRDefault="00413075" w:rsidP="5FF90BEC">
            <w:pPr>
              <w:pStyle w:val="Paragraph"/>
              <w:jc w:val="center"/>
              <w:rPr>
                <w:rFonts w:ascii="Arial" w:hAnsi="Arial" w:cs="Arial"/>
              </w:rPr>
            </w:pPr>
            <w:r w:rsidRPr="5FF90BEC">
              <w:rPr>
                <w:rFonts w:ascii="Arial" w:hAnsi="Arial" w:cs="Arial"/>
              </w:rPr>
              <w:t>Clinical Expert</w:t>
            </w:r>
          </w:p>
        </w:tc>
        <w:tc>
          <w:tcPr>
            <w:tcW w:w="684" w:type="pct"/>
          </w:tcPr>
          <w:p w14:paraId="39DDBF60" w14:textId="2C34A3C7" w:rsidR="00413075" w:rsidRPr="004415DB" w:rsidRDefault="00413075" w:rsidP="5FF90BEC">
            <w:pPr>
              <w:pStyle w:val="Paragraph"/>
              <w:jc w:val="center"/>
              <w:rPr>
                <w:rFonts w:ascii="Arial" w:hAnsi="Arial" w:cs="Arial"/>
              </w:rPr>
            </w:pPr>
            <w:r w:rsidRPr="5FF90BEC">
              <w:rPr>
                <w:rFonts w:ascii="Arial" w:hAnsi="Arial" w:cs="Arial"/>
              </w:rPr>
              <w:t>Direct - Financial</w:t>
            </w:r>
          </w:p>
        </w:tc>
        <w:tc>
          <w:tcPr>
            <w:tcW w:w="1351" w:type="pct"/>
          </w:tcPr>
          <w:p w14:paraId="3C2186AE" w14:textId="328E21C1" w:rsidR="00413075" w:rsidRPr="004415DB" w:rsidRDefault="00413075" w:rsidP="5FF90BEC">
            <w:pPr>
              <w:pStyle w:val="Paragraph"/>
              <w:rPr>
                <w:rFonts w:ascii="Arial" w:hAnsi="Arial" w:cs="Arial"/>
              </w:rPr>
            </w:pPr>
            <w:r w:rsidRPr="5FF90BEC">
              <w:rPr>
                <w:rFonts w:ascii="Arial" w:hAnsi="Arial" w:cs="Arial"/>
              </w:rPr>
              <w:t xml:space="preserve">Advisory board: Regeneron Jan 2025 </w:t>
            </w:r>
          </w:p>
          <w:p w14:paraId="0B038C76" w14:textId="3FA2C47E" w:rsidR="00413075" w:rsidRPr="004415DB" w:rsidRDefault="00413075" w:rsidP="00492FE1">
            <w:pPr>
              <w:pStyle w:val="Paragraph"/>
            </w:pPr>
            <w:r w:rsidRPr="5FF90BEC">
              <w:rPr>
                <w:rFonts w:ascii="Arial" w:hAnsi="Arial" w:cs="Arial"/>
              </w:rPr>
              <w:t>Consultancy/Speaker honoraria: MSD July 25, GSK Nov 25</w:t>
            </w:r>
          </w:p>
        </w:tc>
        <w:tc>
          <w:tcPr>
            <w:tcW w:w="583" w:type="pct"/>
            <w:vMerge w:val="restart"/>
          </w:tcPr>
          <w:p w14:paraId="306FC0A9" w14:textId="12C08478" w:rsidR="00413075" w:rsidRPr="004415DB" w:rsidRDefault="00413075" w:rsidP="5FF90BEC">
            <w:pPr>
              <w:pStyle w:val="Paragraph"/>
              <w:jc w:val="center"/>
              <w:rPr>
                <w:rFonts w:ascii="Arial" w:hAnsi="Arial" w:cs="Arial"/>
              </w:rPr>
            </w:pPr>
            <w:r w:rsidRPr="5FF90BEC">
              <w:rPr>
                <w:rFonts w:ascii="Arial" w:hAnsi="Arial" w:cs="Arial"/>
              </w:rPr>
              <w:t>21/12/2025</w:t>
            </w:r>
          </w:p>
          <w:p w14:paraId="6CCE00C4" w14:textId="0C32FD22" w:rsidR="00413075" w:rsidRDefault="00413075" w:rsidP="5FF90BEC">
            <w:pPr>
              <w:pStyle w:val="Paragraph"/>
              <w:jc w:val="center"/>
              <w:rPr>
                <w:rFonts w:ascii="Arial" w:hAnsi="Arial" w:cs="Arial"/>
              </w:rPr>
            </w:pPr>
            <w:r w:rsidRPr="5FF90BEC">
              <w:rPr>
                <w:rFonts w:ascii="Arial" w:hAnsi="Arial" w:cs="Arial"/>
              </w:rPr>
              <w:t>21/12/2025</w:t>
            </w:r>
          </w:p>
        </w:tc>
        <w:tc>
          <w:tcPr>
            <w:tcW w:w="1015" w:type="pct"/>
            <w:vMerge w:val="restart"/>
          </w:tcPr>
          <w:p w14:paraId="66741E44" w14:textId="26751790" w:rsidR="00413075" w:rsidRPr="004415DB" w:rsidRDefault="00413075" w:rsidP="5FF90BEC">
            <w:pPr>
              <w:pStyle w:val="Paragraph"/>
              <w:rPr>
                <w:rFonts w:ascii="Arial" w:hAnsi="Arial" w:cs="Arial"/>
              </w:rPr>
            </w:pPr>
            <w:r w:rsidRPr="00413075">
              <w:rPr>
                <w:rFonts w:ascii="Arial" w:hAnsi="Arial" w:cs="Arial"/>
              </w:rPr>
              <w:t xml:space="preserve">It was agreed that </w:t>
            </w:r>
            <w:r>
              <w:rPr>
                <w:rFonts w:ascii="Arial" w:hAnsi="Arial" w:cs="Arial"/>
              </w:rPr>
              <w:t>Dr Alexandra Taylor</w:t>
            </w:r>
            <w:r w:rsidRPr="00413075">
              <w:rPr>
                <w:rFonts w:ascii="Arial" w:hAnsi="Arial" w:cs="Arial"/>
              </w:rPr>
              <w:t>'s declaration would not prevent her from providing expert advice to the committe</w:t>
            </w:r>
            <w:r>
              <w:rPr>
                <w:rFonts w:ascii="Arial" w:hAnsi="Arial" w:cs="Arial"/>
              </w:rPr>
              <w:t>e</w:t>
            </w:r>
          </w:p>
        </w:tc>
      </w:tr>
      <w:tr w:rsidR="00413075" w14:paraId="7EDE0218" w14:textId="77777777" w:rsidTr="00C87359">
        <w:tc>
          <w:tcPr>
            <w:tcW w:w="754" w:type="pct"/>
            <w:vMerge/>
          </w:tcPr>
          <w:p w14:paraId="661B6D31" w14:textId="77777777" w:rsidR="00413075" w:rsidRPr="004415DB" w:rsidRDefault="00413075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613" w:type="pct"/>
            <w:vMerge/>
          </w:tcPr>
          <w:p w14:paraId="4538DDE5" w14:textId="77777777" w:rsidR="00413075" w:rsidRPr="004415DB" w:rsidRDefault="00413075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684" w:type="pct"/>
          </w:tcPr>
          <w:p w14:paraId="31A58604" w14:textId="5B3DE39A" w:rsidR="00413075" w:rsidRPr="004415DB" w:rsidRDefault="00413075" w:rsidP="5FF90BEC">
            <w:pPr>
              <w:pStyle w:val="Paragraph"/>
              <w:jc w:val="center"/>
              <w:rPr>
                <w:rFonts w:ascii="Arial" w:hAnsi="Arial" w:cs="Arial"/>
              </w:rPr>
            </w:pPr>
            <w:r w:rsidRPr="5FF90BEC">
              <w:rPr>
                <w:rFonts w:ascii="Arial" w:hAnsi="Arial" w:cs="Arial"/>
              </w:rPr>
              <w:t xml:space="preserve">Direct – </w:t>
            </w:r>
            <w:r w:rsidR="00357D54" w:rsidRPr="5FF90BEC">
              <w:rPr>
                <w:rFonts w:ascii="Arial" w:hAnsi="Arial" w:cs="Arial"/>
              </w:rPr>
              <w:t>non-financial</w:t>
            </w:r>
          </w:p>
        </w:tc>
        <w:tc>
          <w:tcPr>
            <w:tcW w:w="1351" w:type="pct"/>
          </w:tcPr>
          <w:p w14:paraId="3613098A" w14:textId="68D30F82" w:rsidR="00413075" w:rsidRPr="004415DB" w:rsidRDefault="00413075" w:rsidP="5FF90BEC">
            <w:pPr>
              <w:pStyle w:val="Paragraph"/>
              <w:rPr>
                <w:rFonts w:ascii="Arial" w:hAnsi="Arial" w:cs="Arial"/>
              </w:rPr>
            </w:pPr>
            <w:r w:rsidRPr="5FF90BEC">
              <w:rPr>
                <w:rFonts w:ascii="Arial" w:hAnsi="Arial" w:cs="Arial"/>
              </w:rPr>
              <w:t xml:space="preserve">Guidelines co-chair for British Gynaecological Cancer Society (2020-current)  </w:t>
            </w:r>
          </w:p>
        </w:tc>
        <w:tc>
          <w:tcPr>
            <w:tcW w:w="583" w:type="pct"/>
            <w:vMerge/>
          </w:tcPr>
          <w:p w14:paraId="2B31F06C" w14:textId="77777777" w:rsidR="00413075" w:rsidRPr="004415DB" w:rsidRDefault="00413075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15" w:type="pct"/>
            <w:vMerge/>
          </w:tcPr>
          <w:p w14:paraId="1A0CF9F6" w14:textId="77777777" w:rsidR="00413075" w:rsidRPr="004415DB" w:rsidRDefault="00413075" w:rsidP="00492FE1">
            <w:pPr>
              <w:pStyle w:val="Paragraph"/>
              <w:rPr>
                <w:rFonts w:ascii="Arial" w:hAnsi="Arial" w:cs="Arial"/>
                <w:iCs/>
              </w:rPr>
            </w:pPr>
          </w:p>
        </w:tc>
      </w:tr>
      <w:tr w:rsidR="5FF90BEC" w14:paraId="69F090A1" w14:textId="77777777" w:rsidTr="00C87359">
        <w:trPr>
          <w:trHeight w:val="300"/>
        </w:trPr>
        <w:tc>
          <w:tcPr>
            <w:tcW w:w="754" w:type="pct"/>
          </w:tcPr>
          <w:p w14:paraId="62A1697C" w14:textId="3434A310" w:rsidR="5FF90BEC" w:rsidRDefault="00605FA8" w:rsidP="5FF90BEC">
            <w:pPr>
              <w:pStyle w:val="Paragraph"/>
              <w:jc w:val="center"/>
              <w:rPr>
                <w:rFonts w:ascii="Arial" w:hAnsi="Arial" w:cs="Arial"/>
              </w:rPr>
            </w:pPr>
            <w:r w:rsidRPr="00605FA8">
              <w:rPr>
                <w:rFonts w:ascii="Arial" w:hAnsi="Arial" w:cs="Arial"/>
              </w:rPr>
              <w:t>Dr Gemma Eminowicz</w:t>
            </w:r>
          </w:p>
        </w:tc>
        <w:tc>
          <w:tcPr>
            <w:tcW w:w="613" w:type="pct"/>
          </w:tcPr>
          <w:p w14:paraId="0263130C" w14:textId="249A5421" w:rsidR="5FF90BEC" w:rsidRDefault="00605FA8" w:rsidP="5FF90BEC">
            <w:pPr>
              <w:pStyle w:val="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Clinical Expert</w:t>
            </w:r>
          </w:p>
        </w:tc>
        <w:tc>
          <w:tcPr>
            <w:tcW w:w="684" w:type="pct"/>
          </w:tcPr>
          <w:p w14:paraId="73ADBB64" w14:textId="2B649E4A" w:rsidR="5FF90BEC" w:rsidRDefault="00605FA8" w:rsidP="5FF90BEC">
            <w:pPr>
              <w:pStyle w:val="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Direct – Financial </w:t>
            </w:r>
          </w:p>
        </w:tc>
        <w:tc>
          <w:tcPr>
            <w:tcW w:w="1351" w:type="pct"/>
          </w:tcPr>
          <w:p w14:paraId="4B3F0A3D" w14:textId="77D72760" w:rsidR="002A19EA" w:rsidRPr="002A19EA" w:rsidRDefault="002A19EA" w:rsidP="002A19EA">
            <w:pPr>
              <w:pStyle w:val="Paragraph"/>
              <w:rPr>
                <w:rFonts w:ascii="Arial" w:hAnsi="Arial" w:cs="Arial"/>
              </w:rPr>
            </w:pPr>
            <w:r w:rsidRPr="002A19EA">
              <w:rPr>
                <w:rFonts w:ascii="Arial" w:hAnsi="Arial" w:cs="Arial"/>
              </w:rPr>
              <w:t>•</w:t>
            </w:r>
            <w:r>
              <w:rPr>
                <w:rFonts w:ascii="Arial" w:hAnsi="Arial" w:cs="Arial"/>
              </w:rPr>
              <w:t xml:space="preserve"> </w:t>
            </w:r>
            <w:r w:rsidRPr="002A19EA">
              <w:rPr>
                <w:rFonts w:ascii="Arial" w:hAnsi="Arial" w:cs="Arial"/>
              </w:rPr>
              <w:t>Consulting and advisory board fees from MSD, Eisai, Regeneron, Genmab and GSK:</w:t>
            </w:r>
          </w:p>
          <w:p w14:paraId="4C789C54" w14:textId="0C26C0D3" w:rsidR="002A19EA" w:rsidRPr="002A19EA" w:rsidRDefault="002A19EA" w:rsidP="002A19EA">
            <w:pPr>
              <w:pStyle w:val="Paragraph"/>
              <w:rPr>
                <w:rFonts w:ascii="Arial" w:hAnsi="Arial" w:cs="Arial"/>
              </w:rPr>
            </w:pPr>
            <w:r w:rsidRPr="002A19EA">
              <w:rPr>
                <w:rFonts w:ascii="Arial" w:hAnsi="Arial" w:cs="Arial"/>
              </w:rPr>
              <w:t>•</w:t>
            </w:r>
            <w:r>
              <w:rPr>
                <w:rFonts w:ascii="Arial" w:hAnsi="Arial" w:cs="Arial"/>
              </w:rPr>
              <w:t xml:space="preserve"> </w:t>
            </w:r>
            <w:r w:rsidRPr="002A19EA">
              <w:rPr>
                <w:rFonts w:ascii="Arial" w:hAnsi="Arial" w:cs="Arial"/>
              </w:rPr>
              <w:t>GSK Advisory boards – April and June 2024</w:t>
            </w:r>
          </w:p>
          <w:p w14:paraId="4A121802" w14:textId="38504F38" w:rsidR="002A19EA" w:rsidRPr="002A19EA" w:rsidRDefault="002A19EA" w:rsidP="002A19EA">
            <w:pPr>
              <w:pStyle w:val="Paragraph"/>
              <w:rPr>
                <w:rFonts w:ascii="Arial" w:hAnsi="Arial" w:cs="Arial"/>
              </w:rPr>
            </w:pPr>
            <w:r w:rsidRPr="002A19EA">
              <w:rPr>
                <w:rFonts w:ascii="Arial" w:hAnsi="Arial" w:cs="Arial"/>
              </w:rPr>
              <w:t>•</w:t>
            </w:r>
            <w:r>
              <w:rPr>
                <w:rFonts w:ascii="Arial" w:hAnsi="Arial" w:cs="Arial"/>
              </w:rPr>
              <w:t xml:space="preserve"> </w:t>
            </w:r>
            <w:r w:rsidRPr="002A19EA">
              <w:rPr>
                <w:rFonts w:ascii="Arial" w:hAnsi="Arial" w:cs="Arial"/>
              </w:rPr>
              <w:t xml:space="preserve">Consultancy contract with MSD started October 2023 working on real world endometrial cancer data and PRO reporting. </w:t>
            </w:r>
          </w:p>
          <w:p w14:paraId="332FE83C" w14:textId="7C89D21D" w:rsidR="002A19EA" w:rsidRPr="002A19EA" w:rsidRDefault="002A19EA" w:rsidP="002A19EA">
            <w:pPr>
              <w:pStyle w:val="Paragraph"/>
              <w:rPr>
                <w:rFonts w:ascii="Arial" w:hAnsi="Arial" w:cs="Arial"/>
              </w:rPr>
            </w:pPr>
            <w:r w:rsidRPr="002A19EA">
              <w:rPr>
                <w:rFonts w:ascii="Arial" w:hAnsi="Arial" w:cs="Arial"/>
              </w:rPr>
              <w:t>•</w:t>
            </w:r>
            <w:r>
              <w:rPr>
                <w:rFonts w:ascii="Arial" w:hAnsi="Arial" w:cs="Arial"/>
              </w:rPr>
              <w:t xml:space="preserve"> </w:t>
            </w:r>
            <w:r w:rsidRPr="002A19EA">
              <w:rPr>
                <w:rFonts w:ascii="Arial" w:hAnsi="Arial" w:cs="Arial"/>
              </w:rPr>
              <w:t>MSD advisory board July 2024 on first line advanced endometrial cancer treatment and role of pembrolizumab/</w:t>
            </w:r>
            <w:proofErr w:type="spellStart"/>
            <w:r w:rsidRPr="002A19EA">
              <w:rPr>
                <w:rFonts w:ascii="Arial" w:hAnsi="Arial" w:cs="Arial"/>
              </w:rPr>
              <w:t>dostarlimab</w:t>
            </w:r>
            <w:proofErr w:type="spellEnd"/>
            <w:r w:rsidRPr="002A19EA">
              <w:rPr>
                <w:rFonts w:ascii="Arial" w:hAnsi="Arial" w:cs="Arial"/>
              </w:rPr>
              <w:t xml:space="preserve"> </w:t>
            </w:r>
          </w:p>
          <w:p w14:paraId="4FED01AA" w14:textId="0387B2DB" w:rsidR="002A19EA" w:rsidRPr="002A19EA" w:rsidRDefault="002A19EA" w:rsidP="002A19EA">
            <w:pPr>
              <w:pStyle w:val="Paragraph"/>
              <w:rPr>
                <w:rFonts w:ascii="Arial" w:hAnsi="Arial" w:cs="Arial"/>
              </w:rPr>
            </w:pPr>
            <w:r w:rsidRPr="002A19EA">
              <w:rPr>
                <w:rFonts w:ascii="Arial" w:hAnsi="Arial" w:cs="Arial"/>
              </w:rPr>
              <w:t>•</w:t>
            </w:r>
            <w:r>
              <w:rPr>
                <w:rFonts w:ascii="Arial" w:hAnsi="Arial" w:cs="Arial"/>
              </w:rPr>
              <w:t xml:space="preserve"> </w:t>
            </w:r>
            <w:r w:rsidRPr="002A19EA">
              <w:rPr>
                <w:rFonts w:ascii="Arial" w:hAnsi="Arial" w:cs="Arial"/>
              </w:rPr>
              <w:t xml:space="preserve">Regeneron advisory board Jan 2025 on </w:t>
            </w:r>
            <w:proofErr w:type="spellStart"/>
            <w:r w:rsidRPr="002A19EA">
              <w:rPr>
                <w:rFonts w:ascii="Arial" w:hAnsi="Arial" w:cs="Arial"/>
              </w:rPr>
              <w:t>cemiplimab</w:t>
            </w:r>
            <w:proofErr w:type="spellEnd"/>
            <w:r w:rsidRPr="002A19EA">
              <w:rPr>
                <w:rFonts w:ascii="Arial" w:hAnsi="Arial" w:cs="Arial"/>
              </w:rPr>
              <w:t xml:space="preserve"> in second line metastatic cervical cancer</w:t>
            </w:r>
          </w:p>
          <w:p w14:paraId="5265B59E" w14:textId="59AFDDB3" w:rsidR="002A19EA" w:rsidRPr="002A19EA" w:rsidRDefault="002A19EA" w:rsidP="002A19EA">
            <w:pPr>
              <w:pStyle w:val="Paragraph"/>
              <w:rPr>
                <w:rFonts w:ascii="Arial" w:hAnsi="Arial" w:cs="Arial"/>
              </w:rPr>
            </w:pPr>
            <w:r w:rsidRPr="002A19EA">
              <w:rPr>
                <w:rFonts w:ascii="Arial" w:hAnsi="Arial" w:cs="Arial"/>
              </w:rPr>
              <w:t>•</w:t>
            </w:r>
            <w:r>
              <w:rPr>
                <w:rFonts w:ascii="Arial" w:hAnsi="Arial" w:cs="Arial"/>
              </w:rPr>
              <w:t xml:space="preserve"> </w:t>
            </w:r>
            <w:r w:rsidRPr="002A19EA">
              <w:rPr>
                <w:rFonts w:ascii="Arial" w:hAnsi="Arial" w:cs="Arial"/>
              </w:rPr>
              <w:t>Genmab advisory board on ocular toxicity and its management October 2025</w:t>
            </w:r>
          </w:p>
          <w:p w14:paraId="22F54697" w14:textId="4526A51A" w:rsidR="002A19EA" w:rsidRPr="002A19EA" w:rsidRDefault="002A19EA" w:rsidP="002A19EA">
            <w:pPr>
              <w:pStyle w:val="Paragraph"/>
              <w:rPr>
                <w:rFonts w:ascii="Arial" w:hAnsi="Arial" w:cs="Arial"/>
              </w:rPr>
            </w:pPr>
            <w:r w:rsidRPr="002A19EA">
              <w:rPr>
                <w:rFonts w:ascii="Arial" w:hAnsi="Arial" w:cs="Arial"/>
              </w:rPr>
              <w:t>•</w:t>
            </w:r>
            <w:r>
              <w:rPr>
                <w:rFonts w:ascii="Arial" w:hAnsi="Arial" w:cs="Arial"/>
              </w:rPr>
              <w:t xml:space="preserve"> </w:t>
            </w:r>
            <w:r w:rsidRPr="002A19EA">
              <w:rPr>
                <w:rFonts w:ascii="Arial" w:hAnsi="Arial" w:cs="Arial"/>
              </w:rPr>
              <w:t>Consultancy contract with Eisai started focusing on information leaflet production etc</w:t>
            </w:r>
          </w:p>
          <w:p w14:paraId="36A1E0AE" w14:textId="33FEBFF0" w:rsidR="002A19EA" w:rsidRPr="002A19EA" w:rsidRDefault="002A19EA" w:rsidP="002A19EA">
            <w:pPr>
              <w:pStyle w:val="Paragraph"/>
              <w:rPr>
                <w:rFonts w:ascii="Arial" w:hAnsi="Arial" w:cs="Arial"/>
              </w:rPr>
            </w:pPr>
            <w:r w:rsidRPr="002A19EA">
              <w:rPr>
                <w:rFonts w:ascii="Arial" w:hAnsi="Arial" w:cs="Arial"/>
              </w:rPr>
              <w:t>•</w:t>
            </w:r>
            <w:r>
              <w:rPr>
                <w:rFonts w:ascii="Arial" w:hAnsi="Arial" w:cs="Arial"/>
              </w:rPr>
              <w:t xml:space="preserve"> </w:t>
            </w:r>
            <w:r w:rsidRPr="002A19EA">
              <w:rPr>
                <w:rFonts w:ascii="Arial" w:hAnsi="Arial" w:cs="Arial"/>
              </w:rPr>
              <w:t>Payments also received for delivery of educational sessions/symposia/webinar – MSD, GSK and Eisai</w:t>
            </w:r>
          </w:p>
          <w:p w14:paraId="2E028EED" w14:textId="21B163E6" w:rsidR="5FF90BEC" w:rsidRDefault="002A19EA" w:rsidP="002A19EA">
            <w:pPr>
              <w:pStyle w:val="Paragraph"/>
              <w:rPr>
                <w:rFonts w:ascii="Arial" w:hAnsi="Arial" w:cs="Arial"/>
              </w:rPr>
            </w:pPr>
            <w:r w:rsidRPr="002A19EA">
              <w:rPr>
                <w:rFonts w:ascii="Arial" w:hAnsi="Arial" w:cs="Arial"/>
              </w:rPr>
              <w:t>•</w:t>
            </w:r>
            <w:r>
              <w:rPr>
                <w:rFonts w:ascii="Arial" w:hAnsi="Arial" w:cs="Arial"/>
              </w:rPr>
              <w:t xml:space="preserve"> </w:t>
            </w:r>
            <w:r w:rsidRPr="002A19EA">
              <w:rPr>
                <w:rFonts w:ascii="Arial" w:hAnsi="Arial" w:cs="Arial"/>
              </w:rPr>
              <w:t>NB- about to start consultancy contract with Gilead on burden of endometrial cancer.</w:t>
            </w:r>
          </w:p>
        </w:tc>
        <w:tc>
          <w:tcPr>
            <w:tcW w:w="583" w:type="pct"/>
          </w:tcPr>
          <w:p w14:paraId="213C7457" w14:textId="0F06CE3E" w:rsidR="5FF90BEC" w:rsidRDefault="00605FA8" w:rsidP="5FF90BEC">
            <w:pPr>
              <w:pStyle w:val="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21/12/2025</w:t>
            </w:r>
          </w:p>
        </w:tc>
        <w:tc>
          <w:tcPr>
            <w:tcW w:w="1015" w:type="pct"/>
          </w:tcPr>
          <w:p w14:paraId="561DA52E" w14:textId="1356F115" w:rsidR="5FF90BEC" w:rsidRDefault="00605FA8" w:rsidP="5FF90BEC">
            <w:pPr>
              <w:pStyle w:val="Paragraph"/>
              <w:rPr>
                <w:rFonts w:ascii="Arial" w:hAnsi="Arial" w:cs="Arial"/>
              </w:rPr>
            </w:pPr>
            <w:r w:rsidRPr="00413075">
              <w:rPr>
                <w:rFonts w:ascii="Arial" w:hAnsi="Arial" w:cs="Arial"/>
              </w:rPr>
              <w:t xml:space="preserve">It was agreed that </w:t>
            </w:r>
            <w:r w:rsidR="00A12C77" w:rsidRPr="00A12C77">
              <w:rPr>
                <w:rFonts w:ascii="Arial" w:hAnsi="Arial" w:cs="Arial"/>
              </w:rPr>
              <w:t>Dr Gemma Eminowicz</w:t>
            </w:r>
            <w:r w:rsidRPr="00413075">
              <w:rPr>
                <w:rFonts w:ascii="Arial" w:hAnsi="Arial" w:cs="Arial"/>
              </w:rPr>
              <w:t>'s declaration would not prevent her from providing expert advice to the committe</w:t>
            </w:r>
            <w:r>
              <w:rPr>
                <w:rFonts w:ascii="Arial" w:hAnsi="Arial" w:cs="Arial"/>
              </w:rPr>
              <w:t>e</w:t>
            </w:r>
          </w:p>
        </w:tc>
      </w:tr>
    </w:tbl>
    <w:p w14:paraId="7FB1C25B" w14:textId="27AD58A7" w:rsidR="001978C7" w:rsidRPr="001978C7" w:rsidRDefault="001978C7" w:rsidP="5FF90BEC">
      <w:pPr>
        <w:rPr>
          <w:rFonts w:ascii="Arial" w:eastAsia="Arial" w:hAnsi="Arial" w:cs="Arial"/>
          <w:b/>
          <w:bCs/>
        </w:rPr>
      </w:pPr>
    </w:p>
    <w:p w14:paraId="18C08BA0" w14:textId="62B484BA" w:rsidR="001978C7" w:rsidRPr="001978C7" w:rsidRDefault="001978C7" w:rsidP="5FF90BEC">
      <w:pPr>
        <w:pStyle w:val="Paragraphnonumbers"/>
        <w:spacing w:before="240"/>
        <w:ind w:hanging="425"/>
        <w:rPr>
          <w:b/>
          <w:bCs/>
          <w:sz w:val="22"/>
          <w:szCs w:val="22"/>
        </w:rPr>
      </w:pPr>
    </w:p>
    <w:p w14:paraId="61F5AD4A" w14:textId="0D1694AF" w:rsidR="5FF90BEC" w:rsidRDefault="5FF90BEC" w:rsidP="5FF90BEC">
      <w:pPr>
        <w:pStyle w:val="Paragraphnonumbers"/>
        <w:spacing w:before="240"/>
        <w:ind w:hanging="425"/>
        <w:rPr>
          <w:b/>
          <w:bCs/>
          <w:sz w:val="22"/>
          <w:szCs w:val="22"/>
        </w:rPr>
      </w:pPr>
    </w:p>
    <w:sectPr w:rsidR="5FF90BEC" w:rsidSect="009B19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276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21DAA" w14:textId="77777777" w:rsidR="0069546D" w:rsidRDefault="0069546D" w:rsidP="00446BEE">
      <w:r>
        <w:separator/>
      </w:r>
    </w:p>
  </w:endnote>
  <w:endnote w:type="continuationSeparator" w:id="0">
    <w:p w14:paraId="6AADE11C" w14:textId="77777777" w:rsidR="0069546D" w:rsidRDefault="0069546D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0E64B" w14:textId="77777777" w:rsidR="005C6BC7" w:rsidRDefault="005C6B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62A93" w14:textId="599D5E3A" w:rsidR="00446BEE" w:rsidRDefault="00446BEE" w:rsidP="009F66BF">
    <w:pPr>
      <w:pStyle w:val="Footer"/>
      <w:ind w:hanging="567"/>
    </w:pPr>
    <w:r>
      <w:tab/>
    </w:r>
    <w:r>
      <w:tab/>
    </w:r>
    <w:r w:rsidR="009F66BF">
      <w:tab/>
    </w:r>
    <w:r w:rsidR="009F66BF">
      <w:tab/>
    </w:r>
    <w:r w:rsidR="009F66BF">
      <w:tab/>
    </w:r>
    <w:r w:rsidR="009F66BF">
      <w:tab/>
    </w:r>
    <w:r w:rsidR="009F66BF">
      <w:tab/>
    </w:r>
    <w:r>
      <w:fldChar w:fldCharType="begin"/>
    </w:r>
    <w:r>
      <w:instrText xml:space="preserve"> PAGE </w:instrText>
    </w:r>
    <w:r>
      <w:fldChar w:fldCharType="separate"/>
    </w:r>
    <w:r w:rsidR="001946BB">
      <w:rPr>
        <w:noProof/>
      </w:rPr>
      <w:t>1</w:t>
    </w:r>
    <w:r>
      <w:fldChar w:fldCharType="end"/>
    </w:r>
    <w:r>
      <w:t xml:space="preserve"> of </w:t>
    </w:r>
    <w:r w:rsidR="005C6BC7">
      <w:fldChar w:fldCharType="begin"/>
    </w:r>
    <w:r w:rsidR="005C6BC7">
      <w:instrText xml:space="preserve"> NUMPAGES  </w:instrText>
    </w:r>
    <w:r w:rsidR="005C6BC7">
      <w:fldChar w:fldCharType="separate"/>
    </w:r>
    <w:r w:rsidR="001946BB">
      <w:rPr>
        <w:noProof/>
      </w:rPr>
      <w:t>2</w:t>
    </w:r>
    <w:r w:rsidR="005C6BC7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0D4CB" w14:textId="77777777" w:rsidR="005C6BC7" w:rsidRDefault="005C6B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DDED1" w14:textId="77777777" w:rsidR="0069546D" w:rsidRDefault="0069546D" w:rsidP="00446BEE">
      <w:r>
        <w:separator/>
      </w:r>
    </w:p>
  </w:footnote>
  <w:footnote w:type="continuationSeparator" w:id="0">
    <w:p w14:paraId="0C35EB03" w14:textId="77777777" w:rsidR="0069546D" w:rsidRDefault="0069546D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AC0CA" w14:textId="77777777" w:rsidR="005C6BC7" w:rsidRDefault="005C6B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178B0" w14:textId="4C4500D4" w:rsidR="009F66BF" w:rsidRDefault="004864A4" w:rsidP="009F66BF">
    <w:pPr>
      <w:pStyle w:val="Header"/>
      <w:ind w:hanging="567"/>
    </w:pPr>
    <w:sdt>
      <w:sdtPr>
        <w:id w:val="477878486"/>
        <w:docPartObj>
          <w:docPartGallery w:val="Watermarks"/>
          <w:docPartUnique/>
        </w:docPartObj>
      </w:sdtPr>
      <w:sdtContent>
        <w:r>
          <w:rPr>
            <w:noProof/>
          </w:rPr>
          <w:pict w14:anchorId="1856AED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9F66BF" w:rsidRPr="009F66BF">
      <w:rPr>
        <w:noProof/>
      </w:rPr>
      <w:drawing>
        <wp:inline distT="0" distB="0" distL="0" distR="0" wp14:anchorId="685F7C58" wp14:editId="7DF035DC">
          <wp:extent cx="2505075" cy="444449"/>
          <wp:effectExtent l="0" t="0" r="0" b="0"/>
          <wp:docPr id="9" name="Picture 9" descr="This is the NICE logo in a header row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his is the NICE logo in a header row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1547" cy="454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47BA7">
      <w:tab/>
    </w:r>
    <w:r w:rsidR="00D47BA7">
      <w:tab/>
    </w:r>
    <w:r w:rsidR="00D47BA7">
      <w:tab/>
    </w:r>
    <w:r w:rsidR="00D47BA7">
      <w:tab/>
    </w:r>
  </w:p>
  <w:p w14:paraId="211FF48C" w14:textId="77777777" w:rsidR="009F66BF" w:rsidRDefault="009F66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4033A" w14:textId="77777777" w:rsidR="005C6BC7" w:rsidRDefault="005C6B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7C634C"/>
    <w:multiLevelType w:val="hybridMultilevel"/>
    <w:tmpl w:val="F56E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120245">
    <w:abstractNumId w:val="13"/>
  </w:num>
  <w:num w:numId="2" w16cid:durableId="2002538492">
    <w:abstractNumId w:val="14"/>
  </w:num>
  <w:num w:numId="3" w16cid:durableId="1115755560">
    <w:abstractNumId w:val="14"/>
    <w:lvlOverride w:ilvl="0">
      <w:startOverride w:val="1"/>
    </w:lvlOverride>
  </w:num>
  <w:num w:numId="4" w16cid:durableId="1164737210">
    <w:abstractNumId w:val="14"/>
    <w:lvlOverride w:ilvl="0">
      <w:startOverride w:val="1"/>
    </w:lvlOverride>
  </w:num>
  <w:num w:numId="5" w16cid:durableId="1907496277">
    <w:abstractNumId w:val="14"/>
    <w:lvlOverride w:ilvl="0">
      <w:startOverride w:val="1"/>
    </w:lvlOverride>
  </w:num>
  <w:num w:numId="6" w16cid:durableId="957377609">
    <w:abstractNumId w:val="14"/>
    <w:lvlOverride w:ilvl="0">
      <w:startOverride w:val="1"/>
    </w:lvlOverride>
  </w:num>
  <w:num w:numId="7" w16cid:durableId="2040887977">
    <w:abstractNumId w:val="14"/>
    <w:lvlOverride w:ilvl="0">
      <w:startOverride w:val="1"/>
    </w:lvlOverride>
  </w:num>
  <w:num w:numId="8" w16cid:durableId="738747964">
    <w:abstractNumId w:val="9"/>
  </w:num>
  <w:num w:numId="9" w16cid:durableId="1244754255">
    <w:abstractNumId w:val="7"/>
  </w:num>
  <w:num w:numId="10" w16cid:durableId="1101799043">
    <w:abstractNumId w:val="6"/>
  </w:num>
  <w:num w:numId="11" w16cid:durableId="119882121">
    <w:abstractNumId w:val="5"/>
  </w:num>
  <w:num w:numId="12" w16cid:durableId="446702736">
    <w:abstractNumId w:val="4"/>
  </w:num>
  <w:num w:numId="13" w16cid:durableId="1073700658">
    <w:abstractNumId w:val="8"/>
  </w:num>
  <w:num w:numId="14" w16cid:durableId="1414276336">
    <w:abstractNumId w:val="3"/>
  </w:num>
  <w:num w:numId="15" w16cid:durableId="1295528479">
    <w:abstractNumId w:val="2"/>
  </w:num>
  <w:num w:numId="16" w16cid:durableId="1817455520">
    <w:abstractNumId w:val="1"/>
  </w:num>
  <w:num w:numId="17" w16cid:durableId="1175413547">
    <w:abstractNumId w:val="0"/>
  </w:num>
  <w:num w:numId="18" w16cid:durableId="1672416867">
    <w:abstractNumId w:val="11"/>
  </w:num>
  <w:num w:numId="19" w16cid:durableId="304820830">
    <w:abstractNumId w:val="11"/>
    <w:lvlOverride w:ilvl="0">
      <w:startOverride w:val="1"/>
    </w:lvlOverride>
  </w:num>
  <w:num w:numId="20" w16cid:durableId="985671688">
    <w:abstractNumId w:val="10"/>
  </w:num>
  <w:num w:numId="21" w16cid:durableId="14515064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6BF"/>
    <w:rsid w:val="00003DE8"/>
    <w:rsid w:val="000053F8"/>
    <w:rsid w:val="00011B79"/>
    <w:rsid w:val="00024D0A"/>
    <w:rsid w:val="00025F27"/>
    <w:rsid w:val="000472DC"/>
    <w:rsid w:val="0005185C"/>
    <w:rsid w:val="000644F5"/>
    <w:rsid w:val="00070065"/>
    <w:rsid w:val="000A4FEE"/>
    <w:rsid w:val="000B5102"/>
    <w:rsid w:val="000B5939"/>
    <w:rsid w:val="000D4CF5"/>
    <w:rsid w:val="00111CCE"/>
    <w:rsid w:val="001134E7"/>
    <w:rsid w:val="00130AE0"/>
    <w:rsid w:val="0013226F"/>
    <w:rsid w:val="001462A0"/>
    <w:rsid w:val="0017149E"/>
    <w:rsid w:val="0017169E"/>
    <w:rsid w:val="001811A9"/>
    <w:rsid w:val="00181A4A"/>
    <w:rsid w:val="001946BB"/>
    <w:rsid w:val="0019492D"/>
    <w:rsid w:val="001978C7"/>
    <w:rsid w:val="001B0EE9"/>
    <w:rsid w:val="001B65B3"/>
    <w:rsid w:val="002029A6"/>
    <w:rsid w:val="002029E7"/>
    <w:rsid w:val="0022538A"/>
    <w:rsid w:val="002408EA"/>
    <w:rsid w:val="00241B85"/>
    <w:rsid w:val="002819D7"/>
    <w:rsid w:val="002A19EA"/>
    <w:rsid w:val="002C1A7E"/>
    <w:rsid w:val="002D3376"/>
    <w:rsid w:val="00311ED0"/>
    <w:rsid w:val="003404D8"/>
    <w:rsid w:val="00357D54"/>
    <w:rsid w:val="00360316"/>
    <w:rsid w:val="003648C5"/>
    <w:rsid w:val="003722FA"/>
    <w:rsid w:val="003B2E61"/>
    <w:rsid w:val="003C7AAF"/>
    <w:rsid w:val="003E25CF"/>
    <w:rsid w:val="00406A49"/>
    <w:rsid w:val="004075B6"/>
    <w:rsid w:val="00413075"/>
    <w:rsid w:val="00420952"/>
    <w:rsid w:val="004327C3"/>
    <w:rsid w:val="00433EFF"/>
    <w:rsid w:val="004415DB"/>
    <w:rsid w:val="00443081"/>
    <w:rsid w:val="00446BEE"/>
    <w:rsid w:val="004602D6"/>
    <w:rsid w:val="00470E77"/>
    <w:rsid w:val="00471B73"/>
    <w:rsid w:val="004864A4"/>
    <w:rsid w:val="00492FE1"/>
    <w:rsid w:val="00494FEF"/>
    <w:rsid w:val="004A241F"/>
    <w:rsid w:val="004A2D1D"/>
    <w:rsid w:val="004E3A84"/>
    <w:rsid w:val="005025A1"/>
    <w:rsid w:val="00557456"/>
    <w:rsid w:val="005602B2"/>
    <w:rsid w:val="00580C92"/>
    <w:rsid w:val="0058204D"/>
    <w:rsid w:val="00593097"/>
    <w:rsid w:val="005C6BC7"/>
    <w:rsid w:val="00605FA8"/>
    <w:rsid w:val="006921E1"/>
    <w:rsid w:val="0069546D"/>
    <w:rsid w:val="006A3196"/>
    <w:rsid w:val="006C42BD"/>
    <w:rsid w:val="006F4B25"/>
    <w:rsid w:val="006F6496"/>
    <w:rsid w:val="00706811"/>
    <w:rsid w:val="0073154B"/>
    <w:rsid w:val="00731D82"/>
    <w:rsid w:val="00736348"/>
    <w:rsid w:val="007574E6"/>
    <w:rsid w:val="00760908"/>
    <w:rsid w:val="00773470"/>
    <w:rsid w:val="007D764C"/>
    <w:rsid w:val="007F238D"/>
    <w:rsid w:val="008131E9"/>
    <w:rsid w:val="00861B92"/>
    <w:rsid w:val="008814FB"/>
    <w:rsid w:val="008E7490"/>
    <w:rsid w:val="008F5E30"/>
    <w:rsid w:val="008F7830"/>
    <w:rsid w:val="0091423C"/>
    <w:rsid w:val="00914D7F"/>
    <w:rsid w:val="009176A1"/>
    <w:rsid w:val="009316CC"/>
    <w:rsid w:val="00955EC5"/>
    <w:rsid w:val="00961C9E"/>
    <w:rsid w:val="009813A0"/>
    <w:rsid w:val="0099111D"/>
    <w:rsid w:val="009B19D9"/>
    <w:rsid w:val="009C1F2B"/>
    <w:rsid w:val="009E271E"/>
    <w:rsid w:val="009E680B"/>
    <w:rsid w:val="009F4556"/>
    <w:rsid w:val="009F66BF"/>
    <w:rsid w:val="009F74FD"/>
    <w:rsid w:val="00A12C77"/>
    <w:rsid w:val="00A15A1F"/>
    <w:rsid w:val="00A17C0C"/>
    <w:rsid w:val="00A3325A"/>
    <w:rsid w:val="00A36240"/>
    <w:rsid w:val="00A43013"/>
    <w:rsid w:val="00A43DA6"/>
    <w:rsid w:val="00A4430C"/>
    <w:rsid w:val="00AF108A"/>
    <w:rsid w:val="00B02E55"/>
    <w:rsid w:val="00B036C1"/>
    <w:rsid w:val="00B53C35"/>
    <w:rsid w:val="00B5431F"/>
    <w:rsid w:val="00B626DF"/>
    <w:rsid w:val="00BB490A"/>
    <w:rsid w:val="00BF7FE0"/>
    <w:rsid w:val="00C41FDB"/>
    <w:rsid w:val="00C81104"/>
    <w:rsid w:val="00C87359"/>
    <w:rsid w:val="00C96411"/>
    <w:rsid w:val="00CB5671"/>
    <w:rsid w:val="00CD4C18"/>
    <w:rsid w:val="00CF58B7"/>
    <w:rsid w:val="00D351C1"/>
    <w:rsid w:val="00D35EFB"/>
    <w:rsid w:val="00D47BA7"/>
    <w:rsid w:val="00D504B3"/>
    <w:rsid w:val="00D607D5"/>
    <w:rsid w:val="00D61BEA"/>
    <w:rsid w:val="00D8132E"/>
    <w:rsid w:val="00D85A3E"/>
    <w:rsid w:val="00D86BF0"/>
    <w:rsid w:val="00D95F38"/>
    <w:rsid w:val="00DB03DD"/>
    <w:rsid w:val="00E03CCB"/>
    <w:rsid w:val="00E23430"/>
    <w:rsid w:val="00E2607E"/>
    <w:rsid w:val="00E3025D"/>
    <w:rsid w:val="00E51920"/>
    <w:rsid w:val="00E64120"/>
    <w:rsid w:val="00E660A1"/>
    <w:rsid w:val="00EA3CCF"/>
    <w:rsid w:val="00EB7131"/>
    <w:rsid w:val="00F055F1"/>
    <w:rsid w:val="00F610AF"/>
    <w:rsid w:val="00F63A40"/>
    <w:rsid w:val="00F80C14"/>
    <w:rsid w:val="00FA0496"/>
    <w:rsid w:val="00FA2C5A"/>
    <w:rsid w:val="00FC2D11"/>
    <w:rsid w:val="00FC6230"/>
    <w:rsid w:val="00FE3357"/>
    <w:rsid w:val="00FF61E7"/>
    <w:rsid w:val="04727C04"/>
    <w:rsid w:val="08BB72E7"/>
    <w:rsid w:val="17CEDC72"/>
    <w:rsid w:val="1FA8DE41"/>
    <w:rsid w:val="2960449D"/>
    <w:rsid w:val="2FA6ADAF"/>
    <w:rsid w:val="3624A2FB"/>
    <w:rsid w:val="38C08D01"/>
    <w:rsid w:val="38F6CB64"/>
    <w:rsid w:val="3E0519EB"/>
    <w:rsid w:val="420379BD"/>
    <w:rsid w:val="43CBAB19"/>
    <w:rsid w:val="4FDA8876"/>
    <w:rsid w:val="5A588F87"/>
    <w:rsid w:val="5E1E9FD9"/>
    <w:rsid w:val="5FF90BEC"/>
    <w:rsid w:val="60272718"/>
    <w:rsid w:val="6263F039"/>
    <w:rsid w:val="6DEE4C1F"/>
    <w:rsid w:val="6E9F684D"/>
    <w:rsid w:val="761676FC"/>
    <w:rsid w:val="79BF144E"/>
    <w:rsid w:val="7F46E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65876F"/>
  <w15:chartTrackingRefBased/>
  <w15:docId w15:val="{B02FE825-74FD-42E1-BA33-11095143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D61BEA"/>
    <w:pPr>
      <w:tabs>
        <w:tab w:val="left" w:pos="567"/>
      </w:tabs>
    </w:pPr>
    <w:rPr>
      <w:rFonts w:ascii="Lato" w:hAnsi="Lato"/>
      <w:sz w:val="22"/>
    </w:r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9F6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961C9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61C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61C9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61C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61C9E"/>
    <w:rPr>
      <w:b/>
      <w:bCs/>
    </w:rPr>
  </w:style>
  <w:style w:type="character" w:customStyle="1" w:styleId="normaltextrun">
    <w:name w:val="normaltextrun"/>
    <w:basedOn w:val="DefaultParagraphFont"/>
    <w:rsid w:val="0073154B"/>
  </w:style>
  <w:style w:type="character" w:customStyle="1" w:styleId="eop">
    <w:name w:val="eop"/>
    <w:basedOn w:val="DefaultParagraphFont"/>
    <w:rsid w:val="00731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164B6419967F4F9BC885BCC38080FE" ma:contentTypeVersion="14" ma:contentTypeDescription="Create a new document." ma:contentTypeScope="" ma:versionID="db4c8f230b91955f728e1a0693fdf401">
  <xsd:schema xmlns:xsd="http://www.w3.org/2001/XMLSchema" xmlns:xs="http://www.w3.org/2001/XMLSchema" xmlns:p="http://schemas.microsoft.com/office/2006/metadata/properties" xmlns:ns2="6113f790-c252-4bfe-890a-0e01b9de803a" xmlns:ns3="0eb656aa-4e79-4e95-9076-bc119a23e0cc" targetNamespace="http://schemas.microsoft.com/office/2006/metadata/properties" ma:root="true" ma:fieldsID="cbdb94d3dcc07661ee322fb764763604" ns2:_="" ns3:_="">
    <xsd:import namespace="6113f790-c252-4bfe-890a-0e01b9de803a"/>
    <xsd:import namespace="0eb656aa-4e79-4e95-9076-bc119a23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3f790-c252-4bfe-890a-0e01b9de80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56aa-4e79-4e95-9076-bc119a23e0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a88f659-1643-4156-81f1-9846a64941a2}" ma:internalName="TaxCatchAll" ma:showField="CatchAllData" ma:web="c484c3bf-3e79-421f-a326-5c77b32e9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b656aa-4e79-4e95-9076-bc119a23e0cc" xsi:nil="true"/>
    <lcf76f155ced4ddcb4097134ff3c332f xmlns="6113f790-c252-4bfe-890a-0e01b9de803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C2B422-45AC-43AE-8F92-E2CF18EC67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3f790-c252-4bfe-890a-0e01b9de803a"/>
    <ds:schemaRef ds:uri="0eb656aa-4e79-4e95-9076-bc119a23e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E238B4-A723-4B9C-8AF7-F2988C005E87}">
  <ds:schemaRefs>
    <ds:schemaRef ds:uri="http://schemas.microsoft.com/office/2006/metadata/properties"/>
    <ds:schemaRef ds:uri="http://schemas.microsoft.com/office/infopath/2007/PartnerControls"/>
    <ds:schemaRef ds:uri="0eb656aa-4e79-4e95-9076-bc119a23e0cc"/>
    <ds:schemaRef ds:uri="6113f790-c252-4bfe-890a-0e01b9de803a"/>
  </ds:schemaRefs>
</ds:datastoreItem>
</file>

<file path=customXml/itemProps3.xml><?xml version="1.0" encoding="utf-8"?>
<ds:datastoreItem xmlns:ds="http://schemas.openxmlformats.org/officeDocument/2006/customXml" ds:itemID="{9D93E2BD-6B64-4708-ADAF-B0CA349728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430</Words>
  <Characters>2453</Characters>
  <Application>Microsoft Office Word</Application>
  <DocSecurity>4</DocSecurity>
  <Lines>20</Lines>
  <Paragraphs>5</Paragraphs>
  <ScaleCrop>false</ScaleCrop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Repton</dc:creator>
  <cp:keywords/>
  <dc:description/>
  <cp:lastModifiedBy>Portia Dodds</cp:lastModifiedBy>
  <cp:revision>45</cp:revision>
  <dcterms:created xsi:type="dcterms:W3CDTF">2023-03-14T03:31:00Z</dcterms:created>
  <dcterms:modified xsi:type="dcterms:W3CDTF">2026-04-30T07:54:00Z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2023-03-13T20:31:44Z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21afca20-9388-4a90-a27e-c82b70dfab09</vt:lpwstr>
  </property>
  <property fmtid="{D5CDD505-2E9C-101B-9397-08002B2CF9AE}" pid="8" name="MSIP_Label_c69d85d5-6d9e-4305-a294-1f636ec0f2d6_ContentBits">
    <vt:lpwstr>0</vt:lpwstr>
  </property>
  <property fmtid="{D5CDD505-2E9C-101B-9397-08002B2CF9AE}" pid="9" name="ContentTypeId">
    <vt:lpwstr>0x010100C3164B6419967F4F9BC885BCC38080FE</vt:lpwstr>
  </property>
  <property fmtid="{D5CDD505-2E9C-101B-9397-08002B2CF9AE}" pid="10" name="MediaServiceImageTags">
    <vt:lpwstr/>
  </property>
</Properties>
</file>