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01689" w14:textId="7B26FB54" w:rsidR="00443081" w:rsidRDefault="0098593F" w:rsidP="00181A4A">
      <w:pPr>
        <w:pStyle w:val="Title"/>
      </w:pPr>
      <w:r>
        <w:t>R</w:t>
      </w:r>
      <w:r w:rsidR="00016F2C" w:rsidRPr="00A4265E">
        <w:t xml:space="preserve">eview proposal </w:t>
      </w:r>
      <w:r w:rsidR="008C1624" w:rsidRPr="00A4265E">
        <w:t xml:space="preserve">of </w:t>
      </w:r>
      <w:bookmarkStart w:id="0" w:name="_Hlk221548200"/>
      <w:r w:rsidR="00585EE1" w:rsidRPr="00585EE1">
        <w:t>TA288, TA315, TA336, TA390, TA418, TA572, TA583</w:t>
      </w:r>
      <w:bookmarkEnd w:id="0"/>
      <w:r w:rsidR="00585EE1" w:rsidRPr="00585EE1" w:rsidDel="00585EE1">
        <w:t xml:space="preserve"> </w:t>
      </w:r>
    </w:p>
    <w:p w14:paraId="4363166A" w14:textId="777DEF94" w:rsidR="00937CBD" w:rsidRDefault="00937CBD" w:rsidP="00937CBD">
      <w:pPr>
        <w:pStyle w:val="Heading1numbered"/>
      </w:pPr>
      <w:r>
        <w:t xml:space="preserve">Summary of TAs to be </w:t>
      </w:r>
      <w:r w:rsidR="00B35484">
        <w:t>considered for review</w:t>
      </w:r>
    </w:p>
    <w:p w14:paraId="78AC682E" w14:textId="3C360B94" w:rsidR="00E2432E" w:rsidRPr="00A4265E" w:rsidRDefault="00E2432E" w:rsidP="00104F9E">
      <w:pPr>
        <w:pStyle w:val="Paragraph"/>
        <w:numPr>
          <w:ilvl w:val="0"/>
          <w:numId w:val="0"/>
        </w:numPr>
      </w:pPr>
      <w:r>
        <w:t xml:space="preserve">A summary of the TAs to be considered for review is listed in </w:t>
      </w:r>
      <w:r>
        <w:fldChar w:fldCharType="begin"/>
      </w:r>
      <w:r>
        <w:instrText xml:space="preserve"> REF _Ref214895886 \h </w:instrText>
      </w:r>
      <w:r w:rsidR="0029504B">
        <w:instrText xml:space="preserve"> \* MERGEFORMAT </w:instrText>
      </w:r>
      <w:r>
        <w:fldChar w:fldCharType="separate"/>
      </w:r>
      <w:r>
        <w:t>Table 1</w:t>
      </w:r>
      <w:r>
        <w:fldChar w:fldCharType="end"/>
      </w:r>
      <w:r>
        <w:t>.</w:t>
      </w:r>
    </w:p>
    <w:p w14:paraId="4D499A3B" w14:textId="0B500C40" w:rsidR="00E2432E" w:rsidRDefault="00E2432E" w:rsidP="00104F9E">
      <w:pPr>
        <w:pStyle w:val="Heading3"/>
      </w:pPr>
      <w:bookmarkStart w:id="1" w:name="_Ref214895886"/>
      <w:r>
        <w:t xml:space="preserve">Table </w:t>
      </w:r>
      <w:r>
        <w:fldChar w:fldCharType="begin"/>
      </w:r>
      <w:r>
        <w:instrText xml:space="preserve"> SEQ Table \* ARABIC </w:instrText>
      </w:r>
      <w:r>
        <w:fldChar w:fldCharType="separate"/>
      </w:r>
      <w:r w:rsidR="00ED06E6">
        <w:rPr>
          <w:noProof/>
        </w:rPr>
        <w:t>1</w:t>
      </w:r>
      <w:r>
        <w:fldChar w:fldCharType="end"/>
      </w:r>
      <w:bookmarkEnd w:id="1"/>
      <w:r>
        <w:t>: TAs to be considered for review</w:t>
      </w:r>
    </w:p>
    <w:tbl>
      <w:tblPr>
        <w:tblStyle w:val="TableGrid"/>
        <w:tblW w:w="0" w:type="auto"/>
        <w:tblLook w:val="04A0" w:firstRow="1" w:lastRow="0" w:firstColumn="1" w:lastColumn="0" w:noHBand="0" w:noVBand="1"/>
      </w:tblPr>
      <w:tblGrid>
        <w:gridCol w:w="1243"/>
        <w:gridCol w:w="1785"/>
        <w:gridCol w:w="4598"/>
        <w:gridCol w:w="1390"/>
      </w:tblGrid>
      <w:tr w:rsidR="00EA041A" w:rsidRPr="00EA041A" w14:paraId="68BBD772" w14:textId="77777777" w:rsidTr="00104F9E">
        <w:tc>
          <w:tcPr>
            <w:tcW w:w="1259" w:type="dxa"/>
          </w:tcPr>
          <w:p w14:paraId="2D8EED7C" w14:textId="492EF9A5" w:rsidR="00937CBD" w:rsidRPr="00104F9E" w:rsidRDefault="00937CBD" w:rsidP="00104F9E">
            <w:pPr>
              <w:pStyle w:val="Paragraphnonumbers"/>
              <w:spacing w:after="0"/>
              <w:rPr>
                <w:rFonts w:cs="Arial"/>
                <w:b/>
                <w:bCs/>
                <w:sz w:val="22"/>
                <w:szCs w:val="22"/>
              </w:rPr>
            </w:pPr>
            <w:r w:rsidRPr="00104F9E">
              <w:rPr>
                <w:rFonts w:cs="Arial"/>
                <w:b/>
                <w:bCs/>
                <w:sz w:val="22"/>
                <w:szCs w:val="22"/>
              </w:rPr>
              <w:t>TA number</w:t>
            </w:r>
          </w:p>
        </w:tc>
        <w:tc>
          <w:tcPr>
            <w:tcW w:w="1793" w:type="dxa"/>
          </w:tcPr>
          <w:p w14:paraId="5F39838A" w14:textId="588E22F0" w:rsidR="00937CBD" w:rsidRPr="00104F9E" w:rsidRDefault="00937CBD" w:rsidP="00104F9E">
            <w:pPr>
              <w:pStyle w:val="Paragraphnonumbers"/>
              <w:spacing w:after="0"/>
              <w:rPr>
                <w:rFonts w:cs="Arial"/>
                <w:b/>
                <w:bCs/>
                <w:sz w:val="22"/>
                <w:szCs w:val="22"/>
              </w:rPr>
            </w:pPr>
            <w:r w:rsidRPr="00104F9E">
              <w:rPr>
                <w:rFonts w:cs="Arial"/>
                <w:b/>
                <w:bCs/>
                <w:sz w:val="22"/>
                <w:szCs w:val="22"/>
              </w:rPr>
              <w:t>Title</w:t>
            </w:r>
          </w:p>
        </w:tc>
        <w:tc>
          <w:tcPr>
            <w:tcW w:w="4740" w:type="dxa"/>
          </w:tcPr>
          <w:p w14:paraId="185E1E1B" w14:textId="16085D0D" w:rsidR="00937CBD" w:rsidRPr="00104F9E" w:rsidRDefault="00937CBD" w:rsidP="00104F9E">
            <w:pPr>
              <w:pStyle w:val="Paragraphnonumbers"/>
              <w:spacing w:after="0"/>
              <w:rPr>
                <w:rFonts w:cs="Arial"/>
                <w:b/>
                <w:bCs/>
                <w:sz w:val="22"/>
                <w:szCs w:val="22"/>
              </w:rPr>
            </w:pPr>
            <w:r w:rsidRPr="00104F9E">
              <w:rPr>
                <w:rFonts w:cs="Arial"/>
                <w:b/>
                <w:bCs/>
                <w:sz w:val="22"/>
                <w:szCs w:val="22"/>
              </w:rPr>
              <w:t>Recommendation</w:t>
            </w:r>
          </w:p>
        </w:tc>
        <w:tc>
          <w:tcPr>
            <w:tcW w:w="1224" w:type="dxa"/>
          </w:tcPr>
          <w:p w14:paraId="3C7828A3" w14:textId="3D985769" w:rsidR="00937CBD" w:rsidRPr="00104F9E" w:rsidRDefault="00937CBD" w:rsidP="00104F9E">
            <w:pPr>
              <w:pStyle w:val="Paragraphnonumbers"/>
              <w:spacing w:after="0"/>
              <w:rPr>
                <w:rFonts w:cs="Arial"/>
                <w:b/>
                <w:bCs/>
                <w:sz w:val="22"/>
                <w:szCs w:val="22"/>
              </w:rPr>
            </w:pPr>
            <w:r w:rsidRPr="00104F9E">
              <w:rPr>
                <w:rFonts w:cs="Arial"/>
                <w:b/>
                <w:bCs/>
                <w:sz w:val="22"/>
                <w:szCs w:val="22"/>
              </w:rPr>
              <w:t>Year of publication</w:t>
            </w:r>
          </w:p>
        </w:tc>
      </w:tr>
      <w:tr w:rsidR="00EA041A" w:rsidRPr="00EA041A" w14:paraId="51153474" w14:textId="77777777" w:rsidTr="00104F9E">
        <w:tc>
          <w:tcPr>
            <w:tcW w:w="1259" w:type="dxa"/>
          </w:tcPr>
          <w:p w14:paraId="09450F47" w14:textId="1763F45F" w:rsidR="000E5BA1" w:rsidRPr="00104F9E" w:rsidRDefault="00EA041A" w:rsidP="00104F9E">
            <w:pPr>
              <w:pStyle w:val="Paragraphnonumbers"/>
              <w:spacing w:after="0"/>
              <w:rPr>
                <w:rFonts w:cs="Arial"/>
                <w:sz w:val="22"/>
                <w:szCs w:val="22"/>
              </w:rPr>
            </w:pPr>
            <w:r w:rsidRPr="006C23F6">
              <w:rPr>
                <w:rFonts w:cs="Arial"/>
                <w:sz w:val="22"/>
                <w:szCs w:val="22"/>
              </w:rPr>
              <w:t>TA288</w:t>
            </w:r>
          </w:p>
        </w:tc>
        <w:tc>
          <w:tcPr>
            <w:tcW w:w="1793" w:type="dxa"/>
          </w:tcPr>
          <w:p w14:paraId="3967C89F" w14:textId="71C74C09" w:rsidR="000E5BA1" w:rsidRPr="00104F9E" w:rsidRDefault="000E5BA1" w:rsidP="00104F9E">
            <w:pPr>
              <w:pStyle w:val="Paragraphnonumbers"/>
              <w:spacing w:after="0"/>
              <w:rPr>
                <w:rFonts w:cs="Arial"/>
                <w:sz w:val="22"/>
                <w:szCs w:val="22"/>
              </w:rPr>
            </w:pPr>
            <w:r w:rsidRPr="00104F9E">
              <w:rPr>
                <w:rFonts w:cs="Arial"/>
                <w:sz w:val="22"/>
                <w:szCs w:val="22"/>
              </w:rPr>
              <w:t xml:space="preserve">Dapagliflozin in combination therapy for treating type 2 diabetes </w:t>
            </w:r>
          </w:p>
        </w:tc>
        <w:tc>
          <w:tcPr>
            <w:tcW w:w="4740" w:type="dxa"/>
          </w:tcPr>
          <w:p w14:paraId="2B02F635" w14:textId="77777777" w:rsidR="000E5BA1" w:rsidRPr="00104F9E" w:rsidRDefault="000E5BA1" w:rsidP="00EA041A">
            <w:pPr>
              <w:pStyle w:val="NormalWeb"/>
              <w:spacing w:before="0" w:beforeAutospacing="0" w:after="0" w:afterAutospacing="0"/>
              <w:rPr>
                <w:rFonts w:ascii="Arial" w:hAnsi="Arial" w:cs="Arial"/>
                <w:sz w:val="22"/>
                <w:szCs w:val="22"/>
              </w:rPr>
            </w:pPr>
            <w:r w:rsidRPr="00104F9E">
              <w:rPr>
                <w:rFonts w:ascii="Arial" w:hAnsi="Arial" w:cs="Arial"/>
                <w:sz w:val="22"/>
                <w:szCs w:val="22"/>
              </w:rPr>
              <w:t>Dapagliflozin in a dual therapy regimen in combination with metformin is recommended as an option for treating type 2 diabetes, only if:</w:t>
            </w:r>
          </w:p>
          <w:p w14:paraId="2BAC10F8" w14:textId="77777777" w:rsidR="000E5BA1" w:rsidRPr="00104F9E" w:rsidRDefault="000E5BA1" w:rsidP="007420E2">
            <w:pPr>
              <w:pStyle w:val="NormalWeb"/>
              <w:numPr>
                <w:ilvl w:val="0"/>
                <w:numId w:val="6"/>
              </w:numPr>
              <w:spacing w:before="0" w:beforeAutospacing="0" w:after="0" w:afterAutospacing="0"/>
              <w:rPr>
                <w:rFonts w:ascii="Arial" w:hAnsi="Arial" w:cs="Arial"/>
                <w:sz w:val="22"/>
                <w:szCs w:val="22"/>
              </w:rPr>
            </w:pPr>
            <w:r w:rsidRPr="00104F9E">
              <w:rPr>
                <w:rFonts w:ascii="Arial" w:hAnsi="Arial" w:cs="Arial"/>
                <w:sz w:val="22"/>
                <w:szCs w:val="22"/>
              </w:rPr>
              <w:t>a sulfonylurea is contraindicated or not tolerated </w:t>
            </w:r>
            <w:r w:rsidRPr="00104F9E">
              <w:rPr>
                <w:rFonts w:ascii="Arial" w:hAnsi="Arial" w:cs="Arial"/>
                <w:b/>
                <w:bCs/>
                <w:sz w:val="22"/>
                <w:szCs w:val="22"/>
              </w:rPr>
              <w:t>or</w:t>
            </w:r>
          </w:p>
          <w:p w14:paraId="0313B90A" w14:textId="77777777" w:rsidR="000E5BA1" w:rsidRPr="00104F9E" w:rsidRDefault="000E5BA1" w:rsidP="007420E2">
            <w:pPr>
              <w:pStyle w:val="NormalWeb"/>
              <w:numPr>
                <w:ilvl w:val="0"/>
                <w:numId w:val="6"/>
              </w:numPr>
              <w:spacing w:before="0" w:beforeAutospacing="0" w:after="0" w:afterAutospacing="0"/>
              <w:rPr>
                <w:rFonts w:ascii="Arial" w:hAnsi="Arial" w:cs="Arial"/>
                <w:sz w:val="22"/>
                <w:szCs w:val="22"/>
              </w:rPr>
            </w:pPr>
            <w:r w:rsidRPr="00104F9E">
              <w:rPr>
                <w:rFonts w:ascii="Arial" w:hAnsi="Arial" w:cs="Arial"/>
                <w:sz w:val="22"/>
                <w:szCs w:val="22"/>
              </w:rPr>
              <w:t>the person is at significant risk of hypoglycaemia or its consequences.</w:t>
            </w:r>
          </w:p>
          <w:p w14:paraId="221E8F65" w14:textId="00A72C0E" w:rsidR="000E5BA1" w:rsidRPr="00963F67" w:rsidRDefault="000E5BA1" w:rsidP="00963F67">
            <w:pPr>
              <w:pStyle w:val="NormalWeb"/>
              <w:spacing w:before="0" w:beforeAutospacing="0" w:after="0" w:afterAutospacing="0"/>
              <w:rPr>
                <w:rFonts w:ascii="Arial" w:hAnsi="Arial" w:cs="Arial"/>
                <w:sz w:val="22"/>
                <w:szCs w:val="22"/>
              </w:rPr>
            </w:pPr>
            <w:r w:rsidRPr="00104F9E">
              <w:rPr>
                <w:rFonts w:ascii="Arial" w:hAnsi="Arial" w:cs="Arial"/>
                <w:sz w:val="22"/>
                <w:szCs w:val="22"/>
              </w:rPr>
              <w:t>Dapagliflozin in combination with insulin with or without other antidiabetic drugs is recommended as an option for treating type 2 diabetes.</w:t>
            </w:r>
          </w:p>
        </w:tc>
        <w:tc>
          <w:tcPr>
            <w:tcW w:w="1224" w:type="dxa"/>
          </w:tcPr>
          <w:p w14:paraId="5D884D95" w14:textId="4C3F44BD" w:rsidR="000E5BA1" w:rsidRPr="00104F9E" w:rsidRDefault="00EA041A" w:rsidP="00104F9E">
            <w:pPr>
              <w:pStyle w:val="Paragraphnonumbers"/>
              <w:spacing w:after="0"/>
              <w:rPr>
                <w:rFonts w:cs="Arial"/>
                <w:sz w:val="22"/>
                <w:szCs w:val="22"/>
              </w:rPr>
            </w:pPr>
            <w:r>
              <w:rPr>
                <w:rFonts w:cs="Arial"/>
                <w:sz w:val="22"/>
                <w:szCs w:val="22"/>
              </w:rPr>
              <w:t>2013</w:t>
            </w:r>
          </w:p>
        </w:tc>
      </w:tr>
      <w:tr w:rsidR="00EA041A" w:rsidRPr="00EA041A" w14:paraId="195E5597" w14:textId="77777777" w:rsidTr="00104F9E">
        <w:tc>
          <w:tcPr>
            <w:tcW w:w="1259" w:type="dxa"/>
          </w:tcPr>
          <w:p w14:paraId="358A327D" w14:textId="340D055D" w:rsidR="000E5BA1" w:rsidRPr="00104F9E" w:rsidRDefault="00EA041A" w:rsidP="00104F9E">
            <w:pPr>
              <w:pStyle w:val="Paragraphnonumbers"/>
              <w:spacing w:after="0"/>
              <w:rPr>
                <w:rFonts w:cs="Arial"/>
                <w:sz w:val="22"/>
                <w:szCs w:val="22"/>
              </w:rPr>
            </w:pPr>
            <w:r w:rsidRPr="006C23F6">
              <w:rPr>
                <w:rFonts w:cs="Arial"/>
                <w:sz w:val="22"/>
                <w:szCs w:val="22"/>
              </w:rPr>
              <w:t>TA315</w:t>
            </w:r>
          </w:p>
        </w:tc>
        <w:tc>
          <w:tcPr>
            <w:tcW w:w="1793" w:type="dxa"/>
          </w:tcPr>
          <w:p w14:paraId="11BFB1EA" w14:textId="23DFE74E" w:rsidR="000E5BA1" w:rsidRPr="00104F9E" w:rsidRDefault="000E5BA1" w:rsidP="00104F9E">
            <w:pPr>
              <w:pStyle w:val="Paragraphnonumbers"/>
              <w:spacing w:after="0"/>
              <w:rPr>
                <w:rFonts w:cs="Arial"/>
                <w:sz w:val="22"/>
                <w:szCs w:val="22"/>
              </w:rPr>
            </w:pPr>
            <w:r w:rsidRPr="00104F9E">
              <w:rPr>
                <w:rFonts w:cs="Arial"/>
                <w:sz w:val="22"/>
                <w:szCs w:val="22"/>
              </w:rPr>
              <w:t xml:space="preserve">Canagliflozin in combination therapy for treating type 2 diabetes </w:t>
            </w:r>
          </w:p>
        </w:tc>
        <w:tc>
          <w:tcPr>
            <w:tcW w:w="4740" w:type="dxa"/>
          </w:tcPr>
          <w:p w14:paraId="251BB57B" w14:textId="77777777" w:rsidR="000E5BA1" w:rsidRPr="00104F9E" w:rsidRDefault="000E5BA1" w:rsidP="00EA041A">
            <w:pPr>
              <w:pStyle w:val="NormalWeb"/>
              <w:spacing w:before="0" w:beforeAutospacing="0" w:after="0" w:afterAutospacing="0"/>
              <w:rPr>
                <w:rFonts w:ascii="Arial" w:hAnsi="Arial" w:cs="Arial"/>
                <w:sz w:val="22"/>
                <w:szCs w:val="22"/>
              </w:rPr>
            </w:pPr>
            <w:r w:rsidRPr="00104F9E">
              <w:rPr>
                <w:rFonts w:ascii="Arial" w:hAnsi="Arial" w:cs="Arial"/>
                <w:sz w:val="22"/>
                <w:szCs w:val="22"/>
              </w:rPr>
              <w:t>Canagliflozin in a dual therapy regimen in combination with metformin is recommended as an option for treating type 2 diabetes, only if:</w:t>
            </w:r>
          </w:p>
          <w:p w14:paraId="330DF0A6" w14:textId="77777777" w:rsidR="000E5BA1" w:rsidRPr="00104F9E" w:rsidRDefault="000E5BA1" w:rsidP="007420E2">
            <w:pPr>
              <w:pStyle w:val="NormalWeb"/>
              <w:numPr>
                <w:ilvl w:val="0"/>
                <w:numId w:val="7"/>
              </w:numPr>
              <w:spacing w:before="0" w:beforeAutospacing="0" w:after="0" w:afterAutospacing="0"/>
              <w:rPr>
                <w:rFonts w:ascii="Arial" w:hAnsi="Arial" w:cs="Arial"/>
                <w:sz w:val="22"/>
                <w:szCs w:val="22"/>
              </w:rPr>
            </w:pPr>
            <w:r w:rsidRPr="00104F9E">
              <w:rPr>
                <w:rFonts w:ascii="Arial" w:hAnsi="Arial" w:cs="Arial"/>
                <w:sz w:val="22"/>
                <w:szCs w:val="22"/>
              </w:rPr>
              <w:t>a sulfonylurea is contraindicated or not tolerated </w:t>
            </w:r>
            <w:r w:rsidRPr="00104F9E">
              <w:rPr>
                <w:rFonts w:ascii="Arial" w:hAnsi="Arial" w:cs="Arial"/>
                <w:b/>
                <w:bCs/>
                <w:sz w:val="22"/>
                <w:szCs w:val="22"/>
              </w:rPr>
              <w:t>or</w:t>
            </w:r>
          </w:p>
          <w:p w14:paraId="38D5D64A" w14:textId="77777777" w:rsidR="000E5BA1" w:rsidRPr="00104F9E" w:rsidRDefault="000E5BA1" w:rsidP="007420E2">
            <w:pPr>
              <w:pStyle w:val="NormalWeb"/>
              <w:numPr>
                <w:ilvl w:val="0"/>
                <w:numId w:val="7"/>
              </w:numPr>
              <w:spacing w:before="0" w:beforeAutospacing="0" w:after="0" w:afterAutospacing="0"/>
              <w:rPr>
                <w:rFonts w:ascii="Arial" w:hAnsi="Arial" w:cs="Arial"/>
                <w:sz w:val="22"/>
                <w:szCs w:val="22"/>
              </w:rPr>
            </w:pPr>
            <w:r w:rsidRPr="00104F9E">
              <w:rPr>
                <w:rFonts w:ascii="Arial" w:hAnsi="Arial" w:cs="Arial"/>
                <w:sz w:val="22"/>
                <w:szCs w:val="22"/>
              </w:rPr>
              <w:t>the person is at significant risk of hypoglycaemia or its consequences.</w:t>
            </w:r>
          </w:p>
          <w:p w14:paraId="7E8AA162" w14:textId="77777777" w:rsidR="000E5BA1" w:rsidRPr="00104F9E" w:rsidRDefault="000E5BA1" w:rsidP="00EA041A">
            <w:pPr>
              <w:pStyle w:val="NormalWeb"/>
              <w:spacing w:before="0" w:beforeAutospacing="0" w:after="0" w:afterAutospacing="0"/>
              <w:rPr>
                <w:rFonts w:ascii="Arial" w:hAnsi="Arial" w:cs="Arial"/>
                <w:sz w:val="22"/>
                <w:szCs w:val="22"/>
              </w:rPr>
            </w:pPr>
            <w:r w:rsidRPr="00104F9E">
              <w:rPr>
                <w:rFonts w:ascii="Arial" w:hAnsi="Arial" w:cs="Arial"/>
                <w:sz w:val="22"/>
                <w:szCs w:val="22"/>
              </w:rPr>
              <w:t>Canagliflozin in a triple therapy regimen is recommended as an option for treating type 2 diabetes in combination with:</w:t>
            </w:r>
          </w:p>
          <w:p w14:paraId="275E17E7" w14:textId="77777777" w:rsidR="000E5BA1" w:rsidRPr="00104F9E" w:rsidRDefault="000E5BA1" w:rsidP="007420E2">
            <w:pPr>
              <w:pStyle w:val="NormalWeb"/>
              <w:numPr>
                <w:ilvl w:val="0"/>
                <w:numId w:val="8"/>
              </w:numPr>
              <w:spacing w:before="0" w:beforeAutospacing="0" w:after="0" w:afterAutospacing="0"/>
              <w:rPr>
                <w:rFonts w:ascii="Arial" w:hAnsi="Arial" w:cs="Arial"/>
                <w:sz w:val="22"/>
                <w:szCs w:val="22"/>
              </w:rPr>
            </w:pPr>
            <w:r w:rsidRPr="00104F9E">
              <w:rPr>
                <w:rFonts w:ascii="Arial" w:hAnsi="Arial" w:cs="Arial"/>
                <w:sz w:val="22"/>
                <w:szCs w:val="22"/>
              </w:rPr>
              <w:t>metformin and a sulfonylurea </w:t>
            </w:r>
            <w:r w:rsidRPr="00104F9E">
              <w:rPr>
                <w:rFonts w:ascii="Arial" w:hAnsi="Arial" w:cs="Arial"/>
                <w:b/>
                <w:bCs/>
                <w:sz w:val="22"/>
                <w:szCs w:val="22"/>
              </w:rPr>
              <w:t>or</w:t>
            </w:r>
          </w:p>
          <w:p w14:paraId="5FC7B097" w14:textId="77777777" w:rsidR="000E5BA1" w:rsidRPr="00104F9E" w:rsidRDefault="000E5BA1" w:rsidP="007420E2">
            <w:pPr>
              <w:pStyle w:val="NormalWeb"/>
              <w:numPr>
                <w:ilvl w:val="0"/>
                <w:numId w:val="8"/>
              </w:numPr>
              <w:spacing w:before="0" w:beforeAutospacing="0" w:after="0" w:afterAutospacing="0"/>
              <w:rPr>
                <w:rFonts w:ascii="Arial" w:hAnsi="Arial" w:cs="Arial"/>
                <w:sz w:val="22"/>
                <w:szCs w:val="22"/>
              </w:rPr>
            </w:pPr>
            <w:r w:rsidRPr="00104F9E">
              <w:rPr>
                <w:rFonts w:ascii="Arial" w:hAnsi="Arial" w:cs="Arial"/>
                <w:sz w:val="22"/>
                <w:szCs w:val="22"/>
              </w:rPr>
              <w:t>metformin and a thiazolidinedione.</w:t>
            </w:r>
          </w:p>
          <w:p w14:paraId="19CD1822" w14:textId="60677BD6" w:rsidR="000E5BA1" w:rsidRPr="00963F67" w:rsidRDefault="000E5BA1" w:rsidP="00963F67">
            <w:pPr>
              <w:pStyle w:val="NormalWeb"/>
              <w:spacing w:before="0" w:beforeAutospacing="0" w:after="0" w:afterAutospacing="0"/>
              <w:rPr>
                <w:rFonts w:ascii="Arial" w:hAnsi="Arial" w:cs="Arial"/>
                <w:sz w:val="22"/>
                <w:szCs w:val="22"/>
              </w:rPr>
            </w:pPr>
            <w:r w:rsidRPr="00104F9E">
              <w:rPr>
                <w:rFonts w:ascii="Arial" w:hAnsi="Arial" w:cs="Arial"/>
                <w:sz w:val="22"/>
                <w:szCs w:val="22"/>
              </w:rPr>
              <w:t>Canagliflozin in combination with insulin with or without other antidiabetic drugs is recommended as an option for treating type 2 diabetes.</w:t>
            </w:r>
          </w:p>
        </w:tc>
        <w:tc>
          <w:tcPr>
            <w:tcW w:w="1224" w:type="dxa"/>
          </w:tcPr>
          <w:p w14:paraId="021922F2" w14:textId="70FA2632" w:rsidR="000E5BA1" w:rsidRPr="00104F9E" w:rsidRDefault="00EA041A" w:rsidP="00104F9E">
            <w:pPr>
              <w:pStyle w:val="Paragraphnonumbers"/>
              <w:spacing w:after="0"/>
              <w:rPr>
                <w:rFonts w:cs="Arial"/>
                <w:sz w:val="22"/>
                <w:szCs w:val="22"/>
              </w:rPr>
            </w:pPr>
            <w:r>
              <w:rPr>
                <w:rFonts w:cs="Arial"/>
                <w:sz w:val="22"/>
                <w:szCs w:val="22"/>
              </w:rPr>
              <w:t>2014</w:t>
            </w:r>
          </w:p>
        </w:tc>
      </w:tr>
      <w:tr w:rsidR="00EA041A" w:rsidRPr="00EA041A" w14:paraId="39341670" w14:textId="77777777" w:rsidTr="00104F9E">
        <w:tc>
          <w:tcPr>
            <w:tcW w:w="1259" w:type="dxa"/>
          </w:tcPr>
          <w:p w14:paraId="530633C2" w14:textId="30AC9D78" w:rsidR="000E5BA1" w:rsidRPr="00104F9E" w:rsidRDefault="00EA041A" w:rsidP="00104F9E">
            <w:pPr>
              <w:pStyle w:val="Paragraphnonumbers"/>
              <w:spacing w:after="0"/>
              <w:rPr>
                <w:rFonts w:cs="Arial"/>
                <w:sz w:val="22"/>
                <w:szCs w:val="22"/>
              </w:rPr>
            </w:pPr>
            <w:r w:rsidRPr="006C23F6">
              <w:rPr>
                <w:rFonts w:cs="Arial"/>
                <w:sz w:val="22"/>
                <w:szCs w:val="22"/>
              </w:rPr>
              <w:t>TA336</w:t>
            </w:r>
          </w:p>
        </w:tc>
        <w:tc>
          <w:tcPr>
            <w:tcW w:w="1793" w:type="dxa"/>
          </w:tcPr>
          <w:p w14:paraId="2FFC8945" w14:textId="77E4DA8E" w:rsidR="000E5BA1" w:rsidRPr="00104F9E" w:rsidRDefault="000E5BA1" w:rsidP="00104F9E">
            <w:pPr>
              <w:pStyle w:val="Paragraphnonumbers"/>
              <w:spacing w:after="0"/>
              <w:rPr>
                <w:rFonts w:cs="Arial"/>
                <w:sz w:val="22"/>
                <w:szCs w:val="22"/>
              </w:rPr>
            </w:pPr>
            <w:r w:rsidRPr="00104F9E">
              <w:rPr>
                <w:rFonts w:cs="Arial"/>
                <w:sz w:val="22"/>
                <w:szCs w:val="22"/>
              </w:rPr>
              <w:t xml:space="preserve">Empagliflozin in combination therapy for treating type 2 diabetes </w:t>
            </w:r>
          </w:p>
        </w:tc>
        <w:tc>
          <w:tcPr>
            <w:tcW w:w="4740" w:type="dxa"/>
          </w:tcPr>
          <w:p w14:paraId="3FB30CEE" w14:textId="77777777" w:rsidR="000E5BA1" w:rsidRPr="00104F9E" w:rsidRDefault="000E5BA1" w:rsidP="00EA041A">
            <w:pPr>
              <w:pStyle w:val="NormalWeb"/>
              <w:spacing w:before="0" w:beforeAutospacing="0" w:after="0" w:afterAutospacing="0"/>
              <w:rPr>
                <w:rFonts w:ascii="Arial" w:hAnsi="Arial" w:cs="Arial"/>
                <w:sz w:val="22"/>
                <w:szCs w:val="22"/>
              </w:rPr>
            </w:pPr>
            <w:r w:rsidRPr="00104F9E">
              <w:rPr>
                <w:rFonts w:ascii="Arial" w:hAnsi="Arial" w:cs="Arial"/>
                <w:sz w:val="22"/>
                <w:szCs w:val="22"/>
              </w:rPr>
              <w:t>Empagliflozin in a dual therapy regimen in combination with metformin is recommended as an option for treating type 2 diabetes, only if:</w:t>
            </w:r>
          </w:p>
          <w:p w14:paraId="5303CCD1" w14:textId="77777777" w:rsidR="000E5BA1" w:rsidRPr="00104F9E" w:rsidRDefault="000E5BA1" w:rsidP="007420E2">
            <w:pPr>
              <w:pStyle w:val="NormalWeb"/>
              <w:numPr>
                <w:ilvl w:val="0"/>
                <w:numId w:val="9"/>
              </w:numPr>
              <w:spacing w:before="0" w:beforeAutospacing="0" w:after="0" w:afterAutospacing="0"/>
              <w:rPr>
                <w:rFonts w:ascii="Arial" w:hAnsi="Arial" w:cs="Arial"/>
                <w:sz w:val="22"/>
                <w:szCs w:val="22"/>
              </w:rPr>
            </w:pPr>
            <w:r w:rsidRPr="00104F9E">
              <w:rPr>
                <w:rFonts w:ascii="Arial" w:hAnsi="Arial" w:cs="Arial"/>
                <w:sz w:val="22"/>
                <w:szCs w:val="22"/>
              </w:rPr>
              <w:t>a sulfonylurea is contraindicated or not tolerated, or</w:t>
            </w:r>
          </w:p>
          <w:p w14:paraId="53D55D45" w14:textId="77777777" w:rsidR="000E5BA1" w:rsidRPr="00104F9E" w:rsidRDefault="000E5BA1" w:rsidP="007420E2">
            <w:pPr>
              <w:pStyle w:val="NormalWeb"/>
              <w:numPr>
                <w:ilvl w:val="0"/>
                <w:numId w:val="9"/>
              </w:numPr>
              <w:spacing w:before="0" w:beforeAutospacing="0" w:after="0" w:afterAutospacing="0"/>
              <w:rPr>
                <w:rFonts w:ascii="Arial" w:hAnsi="Arial" w:cs="Arial"/>
                <w:sz w:val="22"/>
                <w:szCs w:val="22"/>
              </w:rPr>
            </w:pPr>
            <w:r w:rsidRPr="00104F9E">
              <w:rPr>
                <w:rFonts w:ascii="Arial" w:hAnsi="Arial" w:cs="Arial"/>
                <w:sz w:val="22"/>
                <w:szCs w:val="22"/>
              </w:rPr>
              <w:t>the person is at significant risk of hypoglycaemia or its consequences.</w:t>
            </w:r>
          </w:p>
          <w:p w14:paraId="3B67F6C2" w14:textId="77777777" w:rsidR="000E5BA1" w:rsidRPr="00104F9E" w:rsidRDefault="000E5BA1" w:rsidP="00EA041A">
            <w:pPr>
              <w:pStyle w:val="NormalWeb"/>
              <w:spacing w:before="0" w:beforeAutospacing="0" w:after="0" w:afterAutospacing="0"/>
              <w:rPr>
                <w:rFonts w:ascii="Arial" w:hAnsi="Arial" w:cs="Arial"/>
                <w:sz w:val="22"/>
                <w:szCs w:val="22"/>
              </w:rPr>
            </w:pPr>
            <w:r w:rsidRPr="00104F9E">
              <w:rPr>
                <w:rFonts w:ascii="Arial" w:hAnsi="Arial" w:cs="Arial"/>
                <w:sz w:val="22"/>
                <w:szCs w:val="22"/>
              </w:rPr>
              <w:t>Empagliflozin in a triple therapy regimen is recommended as an option for treating type 2 diabetes in combination with:</w:t>
            </w:r>
          </w:p>
          <w:p w14:paraId="1E725063" w14:textId="77777777" w:rsidR="000E5BA1" w:rsidRPr="00104F9E" w:rsidRDefault="000E5BA1" w:rsidP="007420E2">
            <w:pPr>
              <w:pStyle w:val="NormalWeb"/>
              <w:numPr>
                <w:ilvl w:val="0"/>
                <w:numId w:val="10"/>
              </w:numPr>
              <w:spacing w:before="0" w:beforeAutospacing="0" w:after="0" w:afterAutospacing="0"/>
              <w:rPr>
                <w:rFonts w:ascii="Arial" w:hAnsi="Arial" w:cs="Arial"/>
                <w:sz w:val="22"/>
                <w:szCs w:val="22"/>
              </w:rPr>
            </w:pPr>
            <w:r w:rsidRPr="00104F9E">
              <w:rPr>
                <w:rFonts w:ascii="Arial" w:hAnsi="Arial" w:cs="Arial"/>
                <w:sz w:val="22"/>
                <w:szCs w:val="22"/>
              </w:rPr>
              <w:t>metformin and a sulfonylurea or</w:t>
            </w:r>
          </w:p>
          <w:p w14:paraId="2282ACA0" w14:textId="77777777" w:rsidR="000E5BA1" w:rsidRPr="00104F9E" w:rsidRDefault="000E5BA1" w:rsidP="007420E2">
            <w:pPr>
              <w:pStyle w:val="NormalWeb"/>
              <w:numPr>
                <w:ilvl w:val="0"/>
                <w:numId w:val="10"/>
              </w:numPr>
              <w:spacing w:before="0" w:beforeAutospacing="0" w:after="0" w:afterAutospacing="0"/>
              <w:rPr>
                <w:rFonts w:ascii="Arial" w:hAnsi="Arial" w:cs="Arial"/>
                <w:sz w:val="22"/>
                <w:szCs w:val="22"/>
              </w:rPr>
            </w:pPr>
            <w:r w:rsidRPr="00104F9E">
              <w:rPr>
                <w:rFonts w:ascii="Arial" w:hAnsi="Arial" w:cs="Arial"/>
                <w:sz w:val="22"/>
                <w:szCs w:val="22"/>
              </w:rPr>
              <w:t>metformin and a thiazolidinedione.</w:t>
            </w:r>
          </w:p>
          <w:p w14:paraId="48018D99" w14:textId="2B4C3844" w:rsidR="000E5BA1" w:rsidRPr="00963F67" w:rsidRDefault="000E5BA1" w:rsidP="00963F67">
            <w:pPr>
              <w:pStyle w:val="NormalWeb"/>
              <w:spacing w:before="0" w:beforeAutospacing="0" w:after="0" w:afterAutospacing="0"/>
              <w:rPr>
                <w:rFonts w:ascii="Arial" w:hAnsi="Arial" w:cs="Arial"/>
                <w:sz w:val="22"/>
                <w:szCs w:val="22"/>
              </w:rPr>
            </w:pPr>
            <w:r w:rsidRPr="00104F9E">
              <w:rPr>
                <w:rFonts w:ascii="Arial" w:hAnsi="Arial" w:cs="Arial"/>
                <w:sz w:val="22"/>
                <w:szCs w:val="22"/>
              </w:rPr>
              <w:lastRenderedPageBreak/>
              <w:t>Empagliflozin in combination with insulin with or without other antidiabetic drugs is recommended as an option for treating type 2 diabetes.</w:t>
            </w:r>
          </w:p>
        </w:tc>
        <w:tc>
          <w:tcPr>
            <w:tcW w:w="1224" w:type="dxa"/>
          </w:tcPr>
          <w:p w14:paraId="062AF636" w14:textId="021CA7FB" w:rsidR="000E5BA1" w:rsidRPr="00104F9E" w:rsidRDefault="00EA041A" w:rsidP="00104F9E">
            <w:pPr>
              <w:pStyle w:val="Paragraphnonumbers"/>
              <w:spacing w:after="0"/>
              <w:rPr>
                <w:rFonts w:cs="Arial"/>
                <w:sz w:val="22"/>
                <w:szCs w:val="22"/>
              </w:rPr>
            </w:pPr>
            <w:r w:rsidRPr="006C23F6">
              <w:rPr>
                <w:rFonts w:cs="Arial"/>
                <w:sz w:val="22"/>
                <w:szCs w:val="22"/>
              </w:rPr>
              <w:lastRenderedPageBreak/>
              <w:t>2015</w:t>
            </w:r>
          </w:p>
        </w:tc>
      </w:tr>
      <w:tr w:rsidR="00EA041A" w:rsidRPr="00EA041A" w14:paraId="4D010869" w14:textId="77777777" w:rsidTr="00104F9E">
        <w:tc>
          <w:tcPr>
            <w:tcW w:w="1259" w:type="dxa"/>
          </w:tcPr>
          <w:p w14:paraId="1E4D8F98" w14:textId="4687F5C9" w:rsidR="000E5BA1" w:rsidRPr="00104F9E" w:rsidRDefault="00EA041A" w:rsidP="00104F9E">
            <w:pPr>
              <w:pStyle w:val="Paragraphnonumbers"/>
              <w:spacing w:after="0"/>
              <w:rPr>
                <w:rFonts w:cs="Arial"/>
                <w:sz w:val="22"/>
                <w:szCs w:val="22"/>
              </w:rPr>
            </w:pPr>
            <w:r w:rsidRPr="006C23F6">
              <w:rPr>
                <w:rFonts w:cs="Arial"/>
                <w:bCs/>
                <w:sz w:val="22"/>
                <w:szCs w:val="22"/>
              </w:rPr>
              <w:t>TA390</w:t>
            </w:r>
            <w:r w:rsidR="004E34E9">
              <w:rPr>
                <w:rFonts w:cs="Arial"/>
                <w:bCs/>
                <w:sz w:val="22"/>
                <w:szCs w:val="22"/>
              </w:rPr>
              <w:t xml:space="preserve"> (MTA)</w:t>
            </w:r>
          </w:p>
        </w:tc>
        <w:tc>
          <w:tcPr>
            <w:tcW w:w="1793" w:type="dxa"/>
          </w:tcPr>
          <w:p w14:paraId="208A89F2" w14:textId="45C7EFFC" w:rsidR="000E5BA1" w:rsidRPr="00104F9E" w:rsidRDefault="000E5BA1" w:rsidP="00104F9E">
            <w:pPr>
              <w:pStyle w:val="Paragraphnonumbers"/>
              <w:spacing w:after="0"/>
              <w:rPr>
                <w:rFonts w:cs="Arial"/>
                <w:bCs/>
                <w:sz w:val="22"/>
                <w:szCs w:val="22"/>
              </w:rPr>
            </w:pPr>
            <w:r w:rsidRPr="00104F9E">
              <w:rPr>
                <w:rFonts w:cs="Arial"/>
                <w:bCs/>
                <w:sz w:val="22"/>
                <w:szCs w:val="22"/>
              </w:rPr>
              <w:t xml:space="preserve">Canagliflozin, dapagliflozin and empagliflozin as monotherapies for treating type 2 diabetes </w:t>
            </w:r>
          </w:p>
        </w:tc>
        <w:tc>
          <w:tcPr>
            <w:tcW w:w="4740" w:type="dxa"/>
          </w:tcPr>
          <w:p w14:paraId="1B0DB6B8" w14:textId="77777777" w:rsidR="000E5BA1" w:rsidRPr="00104F9E" w:rsidRDefault="000E5BA1" w:rsidP="00EA041A">
            <w:pPr>
              <w:pStyle w:val="NormalWeb"/>
              <w:spacing w:after="0" w:afterAutospacing="0"/>
              <w:rPr>
                <w:rFonts w:ascii="Arial" w:hAnsi="Arial" w:cs="Arial"/>
                <w:bCs/>
                <w:sz w:val="22"/>
                <w:szCs w:val="22"/>
              </w:rPr>
            </w:pPr>
            <w:r w:rsidRPr="00104F9E">
              <w:rPr>
                <w:rFonts w:ascii="Arial" w:hAnsi="Arial" w:cs="Arial"/>
                <w:bCs/>
                <w:sz w:val="22"/>
                <w:szCs w:val="22"/>
              </w:rPr>
              <w:t>Canagliflozin, dapagliflozin and empagliflozin as monotherapies are recommended as options for treating type 2 diabetes in adults for whom metformin is contraindicated or not tolerated and when diet and exercise alone do not provide adequate glycaemic control, only if:</w:t>
            </w:r>
          </w:p>
          <w:p w14:paraId="78276969" w14:textId="77777777" w:rsidR="000E5BA1" w:rsidRPr="00104F9E" w:rsidRDefault="000E5BA1" w:rsidP="007420E2">
            <w:pPr>
              <w:pStyle w:val="NormalWeb"/>
              <w:numPr>
                <w:ilvl w:val="0"/>
                <w:numId w:val="11"/>
              </w:numPr>
              <w:spacing w:after="0" w:afterAutospacing="0"/>
              <w:rPr>
                <w:rFonts w:ascii="Arial" w:hAnsi="Arial" w:cs="Arial"/>
                <w:bCs/>
                <w:sz w:val="22"/>
                <w:szCs w:val="22"/>
              </w:rPr>
            </w:pPr>
            <w:r w:rsidRPr="00104F9E">
              <w:rPr>
                <w:rFonts w:ascii="Arial" w:hAnsi="Arial" w:cs="Arial"/>
                <w:bCs/>
                <w:sz w:val="22"/>
                <w:szCs w:val="22"/>
              </w:rPr>
              <w:t>a dipeptidyl peptidase</w:t>
            </w:r>
            <w:r w:rsidRPr="00104F9E">
              <w:rPr>
                <w:rFonts w:ascii="Arial" w:hAnsi="Arial" w:cs="Arial"/>
                <w:bCs/>
                <w:sz w:val="22"/>
                <w:szCs w:val="22"/>
              </w:rPr>
              <w:noBreakHyphen/>
              <w:t>4 (DPP</w:t>
            </w:r>
            <w:r w:rsidRPr="00104F9E">
              <w:rPr>
                <w:rFonts w:ascii="Arial" w:hAnsi="Arial" w:cs="Arial"/>
                <w:bCs/>
                <w:sz w:val="22"/>
                <w:szCs w:val="22"/>
              </w:rPr>
              <w:noBreakHyphen/>
              <w:t>4) inhibitor would otherwise be prescribed and</w:t>
            </w:r>
          </w:p>
          <w:p w14:paraId="7822301A" w14:textId="3ACC32B5" w:rsidR="000E5BA1" w:rsidRPr="00963F67" w:rsidRDefault="000E5BA1" w:rsidP="00104F9E">
            <w:pPr>
              <w:pStyle w:val="NormalWeb"/>
              <w:numPr>
                <w:ilvl w:val="0"/>
                <w:numId w:val="11"/>
              </w:numPr>
              <w:spacing w:after="0" w:afterAutospacing="0"/>
              <w:rPr>
                <w:rFonts w:ascii="Arial" w:hAnsi="Arial" w:cs="Arial"/>
                <w:bCs/>
                <w:sz w:val="22"/>
                <w:szCs w:val="22"/>
              </w:rPr>
            </w:pPr>
            <w:r w:rsidRPr="00104F9E">
              <w:rPr>
                <w:rFonts w:ascii="Arial" w:hAnsi="Arial" w:cs="Arial"/>
                <w:bCs/>
                <w:sz w:val="22"/>
                <w:szCs w:val="22"/>
              </w:rPr>
              <w:t>a sulfonylurea or pioglitazone is not appropriate.</w:t>
            </w:r>
          </w:p>
        </w:tc>
        <w:tc>
          <w:tcPr>
            <w:tcW w:w="1224" w:type="dxa"/>
          </w:tcPr>
          <w:p w14:paraId="7DDAC694" w14:textId="01AD73E4" w:rsidR="000E5BA1" w:rsidRPr="00104F9E" w:rsidRDefault="004E34E9" w:rsidP="00104F9E">
            <w:pPr>
              <w:pStyle w:val="Paragraphnonumbers"/>
              <w:spacing w:after="0"/>
              <w:rPr>
                <w:rFonts w:cs="Arial"/>
                <w:sz w:val="22"/>
                <w:szCs w:val="22"/>
              </w:rPr>
            </w:pPr>
            <w:r>
              <w:rPr>
                <w:rFonts w:cs="Arial"/>
                <w:sz w:val="22"/>
                <w:szCs w:val="22"/>
              </w:rPr>
              <w:t>2016</w:t>
            </w:r>
          </w:p>
        </w:tc>
      </w:tr>
      <w:tr w:rsidR="00EA041A" w:rsidRPr="00EA041A" w14:paraId="7019F943" w14:textId="77777777" w:rsidTr="00104F9E">
        <w:tc>
          <w:tcPr>
            <w:tcW w:w="1259" w:type="dxa"/>
          </w:tcPr>
          <w:p w14:paraId="3BAC8CAC" w14:textId="44D5724B" w:rsidR="000E5BA1" w:rsidRPr="00104F9E" w:rsidRDefault="004E34E9" w:rsidP="00104F9E">
            <w:pPr>
              <w:pStyle w:val="Paragraphnonumbers"/>
              <w:spacing w:after="0"/>
              <w:rPr>
                <w:rFonts w:cs="Arial"/>
                <w:sz w:val="22"/>
                <w:szCs w:val="22"/>
              </w:rPr>
            </w:pPr>
            <w:r w:rsidRPr="006C23F6">
              <w:rPr>
                <w:rFonts w:cs="Arial"/>
                <w:sz w:val="22"/>
                <w:szCs w:val="22"/>
              </w:rPr>
              <w:t>TA418</w:t>
            </w:r>
          </w:p>
        </w:tc>
        <w:tc>
          <w:tcPr>
            <w:tcW w:w="1793" w:type="dxa"/>
          </w:tcPr>
          <w:p w14:paraId="659D64DE" w14:textId="67AD16D3" w:rsidR="000E5BA1" w:rsidRPr="00104F9E" w:rsidRDefault="000E5BA1" w:rsidP="00104F9E">
            <w:pPr>
              <w:pStyle w:val="Paragraphnonumbers"/>
              <w:spacing w:after="0"/>
              <w:rPr>
                <w:rFonts w:cs="Arial"/>
                <w:sz w:val="22"/>
                <w:szCs w:val="22"/>
              </w:rPr>
            </w:pPr>
            <w:r w:rsidRPr="00104F9E">
              <w:rPr>
                <w:rFonts w:cs="Arial"/>
                <w:sz w:val="22"/>
                <w:szCs w:val="22"/>
              </w:rPr>
              <w:t xml:space="preserve">Dapagliflozin in triple therapy for treating type 2 diabetes </w:t>
            </w:r>
          </w:p>
        </w:tc>
        <w:tc>
          <w:tcPr>
            <w:tcW w:w="4740" w:type="dxa"/>
          </w:tcPr>
          <w:p w14:paraId="3CA93F4D" w14:textId="5D334EBB" w:rsidR="000E5BA1" w:rsidRPr="00104F9E" w:rsidRDefault="000E5BA1" w:rsidP="00104F9E">
            <w:pPr>
              <w:pStyle w:val="Paragraphnonumbers"/>
              <w:spacing w:after="0"/>
              <w:rPr>
                <w:rFonts w:cs="Arial"/>
                <w:sz w:val="22"/>
                <w:szCs w:val="22"/>
              </w:rPr>
            </w:pPr>
            <w:r w:rsidRPr="00104F9E">
              <w:rPr>
                <w:rFonts w:cs="Arial"/>
                <w:sz w:val="22"/>
                <w:szCs w:val="22"/>
              </w:rPr>
              <w:t>Dapagliflozin in a triple therapy regimen is recommended as an option for treating type 2 diabetes in adults, only in combination with metformin and a sulfonylurea.</w:t>
            </w:r>
          </w:p>
        </w:tc>
        <w:tc>
          <w:tcPr>
            <w:tcW w:w="1224" w:type="dxa"/>
          </w:tcPr>
          <w:p w14:paraId="6233964D" w14:textId="2C41AB11" w:rsidR="000E5BA1" w:rsidRPr="00104F9E" w:rsidRDefault="004E34E9" w:rsidP="00104F9E">
            <w:pPr>
              <w:pStyle w:val="Paragraphnonumbers"/>
              <w:spacing w:after="0"/>
              <w:rPr>
                <w:rFonts w:cs="Arial"/>
                <w:sz w:val="22"/>
                <w:szCs w:val="22"/>
              </w:rPr>
            </w:pPr>
            <w:r w:rsidRPr="006C23F6">
              <w:rPr>
                <w:rFonts w:cs="Arial"/>
                <w:sz w:val="22"/>
                <w:szCs w:val="22"/>
              </w:rPr>
              <w:t>2016</w:t>
            </w:r>
          </w:p>
        </w:tc>
      </w:tr>
      <w:tr w:rsidR="00EA041A" w:rsidRPr="00EA041A" w14:paraId="5B555DD7" w14:textId="77777777" w:rsidTr="00EA041A">
        <w:tc>
          <w:tcPr>
            <w:tcW w:w="1259" w:type="dxa"/>
          </w:tcPr>
          <w:p w14:paraId="433CFBDC" w14:textId="0EAE9198" w:rsidR="000E5BA1" w:rsidRPr="00104F9E" w:rsidRDefault="004E34E9" w:rsidP="00104F9E">
            <w:pPr>
              <w:pStyle w:val="Paragraphnonumbers"/>
              <w:spacing w:after="0"/>
              <w:rPr>
                <w:rFonts w:cs="Arial"/>
                <w:sz w:val="22"/>
                <w:szCs w:val="22"/>
              </w:rPr>
            </w:pPr>
            <w:r w:rsidRPr="006C23F6">
              <w:rPr>
                <w:rFonts w:cs="Arial"/>
                <w:sz w:val="22"/>
                <w:szCs w:val="22"/>
              </w:rPr>
              <w:t>TA572</w:t>
            </w:r>
          </w:p>
        </w:tc>
        <w:tc>
          <w:tcPr>
            <w:tcW w:w="1793" w:type="dxa"/>
          </w:tcPr>
          <w:p w14:paraId="1596F167" w14:textId="2DA83996" w:rsidR="000E5BA1" w:rsidRPr="00104F9E" w:rsidRDefault="000E5BA1" w:rsidP="00104F9E">
            <w:pPr>
              <w:pStyle w:val="Paragraphnonumbers"/>
              <w:spacing w:after="0"/>
              <w:rPr>
                <w:rFonts w:cs="Arial"/>
                <w:sz w:val="22"/>
                <w:szCs w:val="22"/>
              </w:rPr>
            </w:pPr>
            <w:r w:rsidRPr="00104F9E">
              <w:rPr>
                <w:rFonts w:cs="Arial"/>
                <w:sz w:val="22"/>
                <w:szCs w:val="22"/>
              </w:rPr>
              <w:t xml:space="preserve">Ertugliflozin as monotherapy or with metformin for treating type 2 diabetes </w:t>
            </w:r>
          </w:p>
        </w:tc>
        <w:tc>
          <w:tcPr>
            <w:tcW w:w="4740" w:type="dxa"/>
          </w:tcPr>
          <w:p w14:paraId="4B0432B4" w14:textId="77777777" w:rsidR="000E5BA1" w:rsidRPr="00104F9E" w:rsidRDefault="000E5BA1" w:rsidP="00EA041A">
            <w:pPr>
              <w:pStyle w:val="NormalWeb"/>
              <w:spacing w:before="0" w:beforeAutospacing="0" w:after="0" w:afterAutospacing="0"/>
              <w:rPr>
                <w:rFonts w:ascii="Arial" w:hAnsi="Arial" w:cs="Arial"/>
                <w:sz w:val="22"/>
                <w:szCs w:val="22"/>
              </w:rPr>
            </w:pPr>
            <w:r w:rsidRPr="00104F9E">
              <w:rPr>
                <w:rFonts w:ascii="Arial" w:hAnsi="Arial" w:cs="Arial"/>
                <w:sz w:val="22"/>
                <w:szCs w:val="22"/>
              </w:rPr>
              <w:t>Ertugliflozin as monotherapy is recommended as an option for treating type 2 diabetes in adults for whom metformin is contraindicated or not tolerated and when diet and exercise alone do not provide adequate glycaemic control, only if:</w:t>
            </w:r>
          </w:p>
          <w:p w14:paraId="7B1A0146" w14:textId="77777777" w:rsidR="000E5BA1" w:rsidRPr="00104F9E" w:rsidRDefault="000E5BA1" w:rsidP="007420E2">
            <w:pPr>
              <w:pStyle w:val="NormalWeb"/>
              <w:numPr>
                <w:ilvl w:val="0"/>
                <w:numId w:val="12"/>
              </w:numPr>
              <w:spacing w:before="0" w:beforeAutospacing="0" w:after="0" w:afterAutospacing="0"/>
              <w:rPr>
                <w:rFonts w:ascii="Arial" w:hAnsi="Arial" w:cs="Arial"/>
                <w:sz w:val="22"/>
                <w:szCs w:val="22"/>
              </w:rPr>
            </w:pPr>
            <w:r w:rsidRPr="00104F9E">
              <w:rPr>
                <w:rFonts w:ascii="Arial" w:hAnsi="Arial" w:cs="Arial"/>
                <w:sz w:val="22"/>
                <w:szCs w:val="22"/>
              </w:rPr>
              <w:t>a dipeptidyl peptidase 4 (DPP</w:t>
            </w:r>
            <w:r w:rsidRPr="00104F9E">
              <w:rPr>
                <w:rFonts w:ascii="Arial" w:hAnsi="Arial" w:cs="Arial"/>
                <w:sz w:val="22"/>
                <w:szCs w:val="22"/>
              </w:rPr>
              <w:noBreakHyphen/>
              <w:t>4) inhibitor would otherwise be prescribed and</w:t>
            </w:r>
          </w:p>
          <w:p w14:paraId="2FAFCB20" w14:textId="77777777" w:rsidR="000E5BA1" w:rsidRPr="00104F9E" w:rsidRDefault="000E5BA1" w:rsidP="007420E2">
            <w:pPr>
              <w:pStyle w:val="NormalWeb"/>
              <w:numPr>
                <w:ilvl w:val="0"/>
                <w:numId w:val="12"/>
              </w:numPr>
              <w:spacing w:before="0" w:beforeAutospacing="0" w:after="0" w:afterAutospacing="0"/>
              <w:rPr>
                <w:rFonts w:ascii="Arial" w:hAnsi="Arial" w:cs="Arial"/>
                <w:sz w:val="22"/>
                <w:szCs w:val="22"/>
              </w:rPr>
            </w:pPr>
            <w:r w:rsidRPr="00104F9E">
              <w:rPr>
                <w:rFonts w:ascii="Arial" w:hAnsi="Arial" w:cs="Arial"/>
                <w:sz w:val="22"/>
                <w:szCs w:val="22"/>
              </w:rPr>
              <w:t>a sulfonylurea or pioglitazone is not appropriate.</w:t>
            </w:r>
          </w:p>
          <w:p w14:paraId="0610454C" w14:textId="77777777" w:rsidR="000E5BA1" w:rsidRPr="00104F9E" w:rsidRDefault="000E5BA1" w:rsidP="00EA041A">
            <w:pPr>
              <w:pStyle w:val="NormalWeb"/>
              <w:spacing w:before="0" w:beforeAutospacing="0" w:after="0" w:afterAutospacing="0"/>
              <w:rPr>
                <w:rFonts w:ascii="Arial" w:hAnsi="Arial" w:cs="Arial"/>
                <w:sz w:val="22"/>
                <w:szCs w:val="22"/>
              </w:rPr>
            </w:pPr>
            <w:r w:rsidRPr="00104F9E">
              <w:rPr>
                <w:rFonts w:ascii="Arial" w:hAnsi="Arial" w:cs="Arial"/>
                <w:sz w:val="22"/>
                <w:szCs w:val="22"/>
              </w:rPr>
              <w:t>Ertugliflozin in a dual-therapy regimen in combination with metformin is recommended as an option for treating type 2 diabetes, only if:</w:t>
            </w:r>
          </w:p>
          <w:p w14:paraId="393F30B4" w14:textId="77777777" w:rsidR="000E5BA1" w:rsidRPr="00104F9E" w:rsidRDefault="000E5BA1" w:rsidP="007420E2">
            <w:pPr>
              <w:pStyle w:val="NormalWeb"/>
              <w:numPr>
                <w:ilvl w:val="0"/>
                <w:numId w:val="13"/>
              </w:numPr>
              <w:spacing w:before="0" w:beforeAutospacing="0" w:after="0" w:afterAutospacing="0"/>
              <w:rPr>
                <w:rFonts w:ascii="Arial" w:hAnsi="Arial" w:cs="Arial"/>
                <w:sz w:val="22"/>
                <w:szCs w:val="22"/>
              </w:rPr>
            </w:pPr>
            <w:r w:rsidRPr="00104F9E">
              <w:rPr>
                <w:rFonts w:ascii="Arial" w:hAnsi="Arial" w:cs="Arial"/>
                <w:sz w:val="22"/>
                <w:szCs w:val="22"/>
              </w:rPr>
              <w:t>a sulfonylurea is contraindicated or not tolerated or</w:t>
            </w:r>
          </w:p>
          <w:p w14:paraId="483C36CB" w14:textId="77777777" w:rsidR="000E5BA1" w:rsidRPr="00104F9E" w:rsidRDefault="000E5BA1" w:rsidP="007420E2">
            <w:pPr>
              <w:pStyle w:val="NormalWeb"/>
              <w:numPr>
                <w:ilvl w:val="0"/>
                <w:numId w:val="13"/>
              </w:numPr>
              <w:spacing w:before="0" w:beforeAutospacing="0" w:after="0" w:afterAutospacing="0"/>
              <w:rPr>
                <w:rFonts w:ascii="Arial" w:hAnsi="Arial" w:cs="Arial"/>
                <w:sz w:val="22"/>
                <w:szCs w:val="22"/>
              </w:rPr>
            </w:pPr>
            <w:r w:rsidRPr="00104F9E">
              <w:rPr>
                <w:rFonts w:ascii="Arial" w:hAnsi="Arial" w:cs="Arial"/>
                <w:sz w:val="22"/>
                <w:szCs w:val="22"/>
              </w:rPr>
              <w:t>the person is at significant risk of hypoglycaemia or its consequences.</w:t>
            </w:r>
          </w:p>
          <w:p w14:paraId="5AB7C506" w14:textId="1FF75FCE" w:rsidR="000E5BA1" w:rsidRPr="00963F67" w:rsidRDefault="000E5BA1" w:rsidP="00963F67">
            <w:pPr>
              <w:pStyle w:val="NormalWeb"/>
              <w:spacing w:before="0" w:beforeAutospacing="0" w:after="0" w:afterAutospacing="0"/>
              <w:rPr>
                <w:rFonts w:ascii="Arial" w:hAnsi="Arial" w:cs="Arial"/>
                <w:sz w:val="22"/>
                <w:szCs w:val="22"/>
              </w:rPr>
            </w:pPr>
            <w:r w:rsidRPr="00104F9E">
              <w:rPr>
                <w:rFonts w:ascii="Arial" w:hAnsi="Arial" w:cs="Arial"/>
                <w:sz w:val="22"/>
                <w:szCs w:val="22"/>
              </w:rPr>
              <w:t>If patients and their clinicians consider ertugliflozin to be 1 of a range of suitable treatments including canagliflozin, dapagliflozin and empagliflozin, the least expensive should be chosen.</w:t>
            </w:r>
          </w:p>
        </w:tc>
        <w:tc>
          <w:tcPr>
            <w:tcW w:w="1224" w:type="dxa"/>
          </w:tcPr>
          <w:p w14:paraId="570E5164" w14:textId="483BBA43" w:rsidR="000E5BA1" w:rsidRPr="00104F9E" w:rsidRDefault="004E34E9" w:rsidP="00104F9E">
            <w:pPr>
              <w:pStyle w:val="Paragraphnonumbers"/>
              <w:spacing w:after="0"/>
              <w:rPr>
                <w:rFonts w:cs="Arial"/>
                <w:sz w:val="22"/>
                <w:szCs w:val="22"/>
              </w:rPr>
            </w:pPr>
            <w:r w:rsidRPr="006C23F6">
              <w:rPr>
                <w:rFonts w:cs="Arial"/>
                <w:sz w:val="22"/>
                <w:szCs w:val="22"/>
              </w:rPr>
              <w:t>2019</w:t>
            </w:r>
          </w:p>
        </w:tc>
      </w:tr>
      <w:tr w:rsidR="00EA041A" w:rsidRPr="00EA041A" w14:paraId="34D07E99" w14:textId="77777777" w:rsidTr="00EA041A">
        <w:tc>
          <w:tcPr>
            <w:tcW w:w="1259" w:type="dxa"/>
          </w:tcPr>
          <w:p w14:paraId="01D803D6" w14:textId="4EA18A30" w:rsidR="000E5BA1" w:rsidRPr="00104F9E" w:rsidRDefault="004E34E9" w:rsidP="00104F9E">
            <w:pPr>
              <w:pStyle w:val="Paragraphnonumbers"/>
              <w:spacing w:after="0"/>
              <w:rPr>
                <w:rFonts w:cs="Arial"/>
                <w:sz w:val="22"/>
                <w:szCs w:val="22"/>
              </w:rPr>
            </w:pPr>
            <w:r w:rsidRPr="006C23F6">
              <w:rPr>
                <w:rFonts w:cs="Arial"/>
                <w:sz w:val="22"/>
                <w:szCs w:val="22"/>
              </w:rPr>
              <w:t>TA583</w:t>
            </w:r>
          </w:p>
        </w:tc>
        <w:tc>
          <w:tcPr>
            <w:tcW w:w="1793" w:type="dxa"/>
          </w:tcPr>
          <w:p w14:paraId="5717E728" w14:textId="0034871F" w:rsidR="000E5BA1" w:rsidRPr="00104F9E" w:rsidRDefault="000E5BA1" w:rsidP="00104F9E">
            <w:pPr>
              <w:pStyle w:val="Paragraphnonumbers"/>
              <w:spacing w:after="0"/>
              <w:rPr>
                <w:rFonts w:cs="Arial"/>
                <w:sz w:val="22"/>
                <w:szCs w:val="22"/>
              </w:rPr>
            </w:pPr>
            <w:r w:rsidRPr="00104F9E">
              <w:rPr>
                <w:rFonts w:cs="Arial"/>
                <w:sz w:val="22"/>
                <w:szCs w:val="22"/>
              </w:rPr>
              <w:t xml:space="preserve">Ertugliflozin with metformin and a dipeptidyl peptidase-4 inhibitor for treating type 2 diabetes </w:t>
            </w:r>
          </w:p>
        </w:tc>
        <w:tc>
          <w:tcPr>
            <w:tcW w:w="4740" w:type="dxa"/>
          </w:tcPr>
          <w:p w14:paraId="5E05A217" w14:textId="77777777" w:rsidR="000E5BA1" w:rsidRPr="00104F9E" w:rsidRDefault="000E5BA1" w:rsidP="00EA041A">
            <w:pPr>
              <w:pStyle w:val="NormalWeb"/>
              <w:spacing w:before="0" w:beforeAutospacing="0" w:after="0" w:afterAutospacing="0"/>
              <w:rPr>
                <w:rFonts w:ascii="Arial" w:hAnsi="Arial" w:cs="Arial"/>
                <w:sz w:val="22"/>
                <w:szCs w:val="22"/>
              </w:rPr>
            </w:pPr>
            <w:r w:rsidRPr="00104F9E">
              <w:rPr>
                <w:rFonts w:ascii="Arial" w:hAnsi="Arial" w:cs="Arial"/>
                <w:sz w:val="22"/>
                <w:szCs w:val="22"/>
              </w:rPr>
              <w:t>Ertugliflozin with metformin and a dipeptidyl peptidase</w:t>
            </w:r>
            <w:r w:rsidRPr="00104F9E">
              <w:rPr>
                <w:rFonts w:ascii="Arial" w:hAnsi="Arial" w:cs="Arial"/>
                <w:sz w:val="22"/>
                <w:szCs w:val="22"/>
              </w:rPr>
              <w:noBreakHyphen/>
              <w:t>4 (DPP</w:t>
            </w:r>
            <w:r w:rsidRPr="00104F9E">
              <w:rPr>
                <w:rFonts w:ascii="Arial" w:hAnsi="Arial" w:cs="Arial"/>
                <w:sz w:val="22"/>
                <w:szCs w:val="22"/>
              </w:rPr>
              <w:noBreakHyphen/>
              <w:t>4) inhibitor is recommended as an option for treating type 2 diabetes in adults when diet and exercise alone do not provide adequate glycaemic control, only if:</w:t>
            </w:r>
          </w:p>
          <w:p w14:paraId="1928479D" w14:textId="77777777" w:rsidR="000E5BA1" w:rsidRPr="00104F9E" w:rsidRDefault="000E5BA1" w:rsidP="007420E2">
            <w:pPr>
              <w:pStyle w:val="NormalWeb"/>
              <w:numPr>
                <w:ilvl w:val="0"/>
                <w:numId w:val="14"/>
              </w:numPr>
              <w:spacing w:before="0" w:beforeAutospacing="0" w:after="0" w:afterAutospacing="0"/>
              <w:rPr>
                <w:rFonts w:ascii="Arial" w:hAnsi="Arial" w:cs="Arial"/>
                <w:sz w:val="22"/>
                <w:szCs w:val="22"/>
              </w:rPr>
            </w:pPr>
            <w:r w:rsidRPr="00104F9E">
              <w:rPr>
                <w:rFonts w:ascii="Arial" w:hAnsi="Arial" w:cs="Arial"/>
                <w:sz w:val="22"/>
                <w:szCs w:val="22"/>
              </w:rPr>
              <w:t>the disease is uncontrolled with metformin and a DPP</w:t>
            </w:r>
            <w:r w:rsidRPr="00104F9E">
              <w:rPr>
                <w:rFonts w:ascii="Arial" w:hAnsi="Arial" w:cs="Arial"/>
                <w:sz w:val="22"/>
                <w:szCs w:val="22"/>
              </w:rPr>
              <w:noBreakHyphen/>
              <w:t>4 inhibitor, and</w:t>
            </w:r>
          </w:p>
          <w:p w14:paraId="39502428" w14:textId="77777777" w:rsidR="000E5BA1" w:rsidRPr="00104F9E" w:rsidRDefault="000E5BA1" w:rsidP="007420E2">
            <w:pPr>
              <w:pStyle w:val="NormalWeb"/>
              <w:numPr>
                <w:ilvl w:val="0"/>
                <w:numId w:val="14"/>
              </w:numPr>
              <w:spacing w:before="0" w:beforeAutospacing="0" w:after="0" w:afterAutospacing="0"/>
              <w:rPr>
                <w:rFonts w:ascii="Arial" w:hAnsi="Arial" w:cs="Arial"/>
                <w:sz w:val="22"/>
                <w:szCs w:val="22"/>
              </w:rPr>
            </w:pPr>
            <w:r w:rsidRPr="00104F9E">
              <w:rPr>
                <w:rFonts w:ascii="Arial" w:hAnsi="Arial" w:cs="Arial"/>
                <w:sz w:val="22"/>
                <w:szCs w:val="22"/>
              </w:rPr>
              <w:lastRenderedPageBreak/>
              <w:t>a sulfonylurea or pioglitazone is not appropriate.</w:t>
            </w:r>
          </w:p>
          <w:p w14:paraId="4B0BCF23" w14:textId="38116C37" w:rsidR="000E5BA1" w:rsidRPr="00963F67" w:rsidRDefault="000E5BA1" w:rsidP="00963F67">
            <w:pPr>
              <w:pStyle w:val="NormalWeb"/>
              <w:spacing w:before="0" w:beforeAutospacing="0" w:after="0" w:afterAutospacing="0"/>
              <w:rPr>
                <w:rFonts w:ascii="Arial" w:hAnsi="Arial" w:cs="Arial"/>
                <w:sz w:val="22"/>
                <w:szCs w:val="22"/>
              </w:rPr>
            </w:pPr>
            <w:r w:rsidRPr="00104F9E">
              <w:rPr>
                <w:rFonts w:ascii="Arial" w:hAnsi="Arial" w:cs="Arial"/>
                <w:sz w:val="22"/>
                <w:szCs w:val="22"/>
              </w:rPr>
              <w:t>If patients and their clinicians consider ertugliflozin to be 1 of a range of suitable treatments, including canagliflozin, dapagliflozin and empagliflozin, the least expensive should be chosen.</w:t>
            </w:r>
          </w:p>
        </w:tc>
        <w:tc>
          <w:tcPr>
            <w:tcW w:w="1224" w:type="dxa"/>
          </w:tcPr>
          <w:p w14:paraId="1F1647E2" w14:textId="12BA87B0" w:rsidR="000E5BA1" w:rsidRPr="00104F9E" w:rsidRDefault="004E34E9" w:rsidP="00104F9E">
            <w:pPr>
              <w:pStyle w:val="Paragraphnonumbers"/>
              <w:spacing w:after="0"/>
              <w:rPr>
                <w:rFonts w:cs="Arial"/>
                <w:sz w:val="22"/>
                <w:szCs w:val="22"/>
              </w:rPr>
            </w:pPr>
            <w:r w:rsidRPr="006C23F6">
              <w:rPr>
                <w:rFonts w:cs="Arial"/>
                <w:sz w:val="22"/>
                <w:szCs w:val="22"/>
              </w:rPr>
              <w:lastRenderedPageBreak/>
              <w:t>2019</w:t>
            </w:r>
          </w:p>
        </w:tc>
      </w:tr>
    </w:tbl>
    <w:p w14:paraId="79FD85D2" w14:textId="77777777" w:rsidR="008C1624" w:rsidRPr="00A4265E" w:rsidRDefault="008C1624" w:rsidP="008C1624">
      <w:pPr>
        <w:pStyle w:val="Paragraphnonumbers"/>
      </w:pPr>
    </w:p>
    <w:p w14:paraId="35F610DA" w14:textId="70C53AF5" w:rsidR="00621E34" w:rsidRDefault="00621E34" w:rsidP="003844B5">
      <w:pPr>
        <w:pStyle w:val="Heading1numbered"/>
      </w:pPr>
      <w:r>
        <w:t>Rationale for change</w:t>
      </w:r>
    </w:p>
    <w:p w14:paraId="4AEC3D23" w14:textId="141826B2" w:rsidR="00621E34" w:rsidRDefault="00621E34" w:rsidP="003844B5">
      <w:pPr>
        <w:pStyle w:val="Paragraph"/>
        <w:numPr>
          <w:ilvl w:val="0"/>
          <w:numId w:val="21"/>
        </w:numPr>
      </w:pPr>
      <w:r>
        <w:t xml:space="preserve">The NICE Centre for Guidelines is currently conducting a partial update of NICE guideline 28 (NG28) </w:t>
      </w:r>
      <w:hyperlink r:id="rId11" w:history="1">
        <w:r w:rsidRPr="00F94450">
          <w:rPr>
            <w:rStyle w:val="Hyperlink"/>
          </w:rPr>
          <w:t>Type 2 diabetes in adults: management</w:t>
        </w:r>
      </w:hyperlink>
      <w:r>
        <w:t>. NICE is updating our recommendations on drug therapy</w:t>
      </w:r>
      <w:r w:rsidR="001503CE">
        <w:t>.</w:t>
      </w:r>
      <w:r>
        <w:t xml:space="preserve"> The update </w:t>
      </w:r>
      <w:r w:rsidR="006C64E4">
        <w:t>will be published on</w:t>
      </w:r>
      <w:r>
        <w:t xml:space="preserve"> 18 February 2026.</w:t>
      </w:r>
    </w:p>
    <w:p w14:paraId="6ECE13F3" w14:textId="61751790" w:rsidR="00621E34" w:rsidRDefault="008D14A8" w:rsidP="003844B5">
      <w:pPr>
        <w:pStyle w:val="Paragraph"/>
        <w:numPr>
          <w:ilvl w:val="0"/>
          <w:numId w:val="21"/>
        </w:numPr>
      </w:pPr>
      <w:r w:rsidRPr="00BB153D">
        <w:t xml:space="preserve">The recommendations in the update to NG28 </w:t>
      </w:r>
      <w:r w:rsidR="00A424F4" w:rsidRPr="00BB153D">
        <w:t>are inconsistent with the</w:t>
      </w:r>
      <w:r w:rsidR="00ED42CD" w:rsidRPr="00BB153D">
        <w:t xml:space="preserve"> technology appraisals which cover the management of type 2 diabetes</w:t>
      </w:r>
      <w:r w:rsidR="009C6B70" w:rsidRPr="00BB153D">
        <w:t>. This inconsistency</w:t>
      </w:r>
      <w:r w:rsidR="00621E34" w:rsidRPr="00BB153D">
        <w:t xml:space="preserve"> needs to be resolved</w:t>
      </w:r>
      <w:r w:rsidR="006F13D8">
        <w:t xml:space="preserve"> </w:t>
      </w:r>
      <w:r w:rsidR="006F13D8" w:rsidRPr="006F13D8">
        <w:t>so that NICE can produce useful and usable recommendations</w:t>
      </w:r>
      <w:r w:rsidR="006F13D8">
        <w:t>.</w:t>
      </w:r>
    </w:p>
    <w:p w14:paraId="51331722" w14:textId="5099266C" w:rsidR="00EC6610" w:rsidRPr="00BB153D" w:rsidRDefault="00EC6610" w:rsidP="00EC6610">
      <w:pPr>
        <w:pStyle w:val="Paragraph"/>
        <w:numPr>
          <w:ilvl w:val="0"/>
          <w:numId w:val="21"/>
        </w:numPr>
      </w:pPr>
      <w:r>
        <w:t xml:space="preserve">The changes to the evidence base and clinical pathway for drug therapies for treating type 2 diabetes in adults also impact the recommendation included in NICE TA924 (Tirzepatide for treating type 2 diabetes). </w:t>
      </w:r>
      <w:r w:rsidR="007E717E">
        <w:t>The updates to TA924 are covered by a</w:t>
      </w:r>
      <w:r w:rsidR="0066184A">
        <w:t xml:space="preserve"> separate review proposal paper.</w:t>
      </w:r>
    </w:p>
    <w:p w14:paraId="3F089E8B" w14:textId="31A75BBB" w:rsidR="008C1624" w:rsidRPr="00A4265E" w:rsidRDefault="008C1624" w:rsidP="003844B5">
      <w:pPr>
        <w:pStyle w:val="Heading1numbered"/>
      </w:pPr>
      <w:r w:rsidRPr="00A4265E">
        <w:t>Propos</w:t>
      </w:r>
      <w:r w:rsidR="00AC310E">
        <w:t xml:space="preserve">ed process statements </w:t>
      </w:r>
      <w:r w:rsidR="004E40E9">
        <w:t xml:space="preserve">and updates to the </w:t>
      </w:r>
      <w:r w:rsidR="00105805">
        <w:t>recommendations</w:t>
      </w:r>
    </w:p>
    <w:p w14:paraId="7A5056F8" w14:textId="63AB9CD3" w:rsidR="00A13D0C" w:rsidRDefault="003C01C6" w:rsidP="00E24538">
      <w:pPr>
        <w:pStyle w:val="Paragraph"/>
        <w:numPr>
          <w:ilvl w:val="0"/>
          <w:numId w:val="0"/>
        </w:numPr>
      </w:pPr>
      <w:r>
        <w:t xml:space="preserve">We propose that </w:t>
      </w:r>
      <w:r w:rsidR="00CE644A">
        <w:t>a</w:t>
      </w:r>
      <w:r w:rsidR="00135B0A">
        <w:t>n</w:t>
      </w:r>
      <w:r w:rsidR="00C02313" w:rsidRPr="00C02313">
        <w:t xml:space="preserve"> </w:t>
      </w:r>
      <w:r w:rsidR="00135B0A">
        <w:t>update</w:t>
      </w:r>
      <w:r w:rsidR="00C02313" w:rsidRPr="00C02313">
        <w:t xml:space="preserve"> of the </w:t>
      </w:r>
      <w:r w:rsidR="00F23124">
        <w:t xml:space="preserve">technology appraisal </w:t>
      </w:r>
      <w:r w:rsidR="00C02313" w:rsidRPr="00C02313">
        <w:t xml:space="preserve">guidance should be planned into the appraisal work programme. The </w:t>
      </w:r>
      <w:r w:rsidR="00135B0A">
        <w:t>update</w:t>
      </w:r>
      <w:r w:rsidR="00135B0A" w:rsidRPr="00C02313">
        <w:t xml:space="preserve"> </w:t>
      </w:r>
      <w:r w:rsidR="002124A8">
        <w:t>would</w:t>
      </w:r>
      <w:r w:rsidR="002124A8" w:rsidRPr="00C02313">
        <w:t xml:space="preserve"> </w:t>
      </w:r>
      <w:r w:rsidR="00C02313" w:rsidRPr="00C02313">
        <w:t xml:space="preserve">be conducted through </w:t>
      </w:r>
      <w:r w:rsidR="0078572C">
        <w:t xml:space="preserve">a </w:t>
      </w:r>
      <w:r w:rsidR="0085065E">
        <w:t xml:space="preserve">new, proportionate </w:t>
      </w:r>
      <w:r w:rsidR="0078572C">
        <w:t>decision-making process</w:t>
      </w:r>
      <w:r w:rsidR="005B19CF">
        <w:t>.</w:t>
      </w:r>
      <w:r w:rsidR="00316E61">
        <w:t xml:space="preserve"> NICE considers that it is appropriate to update</w:t>
      </w:r>
      <w:r w:rsidR="00865EB8">
        <w:t xml:space="preserve"> the</w:t>
      </w:r>
      <w:r w:rsidR="006B6A81">
        <w:t xml:space="preserve"> technology appraisals via a proportionate process because:</w:t>
      </w:r>
    </w:p>
    <w:p w14:paraId="09427935" w14:textId="1F859E15" w:rsidR="00A505E7" w:rsidRDefault="002E591F" w:rsidP="006B6A81">
      <w:pPr>
        <w:pStyle w:val="Paragraph"/>
      </w:pPr>
      <w:hyperlink r:id="rId12" w:history="1">
        <w:r w:rsidR="00A505E7" w:rsidRPr="002E591F">
          <w:rPr>
            <w:rStyle w:val="Hyperlink"/>
          </w:rPr>
          <w:t>NICE health technology evaluations: the manual</w:t>
        </w:r>
      </w:hyperlink>
      <w:r w:rsidR="00A505E7" w:rsidRPr="00A505E7">
        <w:t xml:space="preserve"> </w:t>
      </w:r>
      <w:r w:rsidR="00A505E7">
        <w:t>states that “guidance can be updated…within another guidance-producing centre</w:t>
      </w:r>
      <w:r w:rsidR="00F71717">
        <w:t xml:space="preserve"> (for example in a NICE guideline)”</w:t>
      </w:r>
    </w:p>
    <w:p w14:paraId="046D8B10" w14:textId="5E5E4409" w:rsidR="001928CC" w:rsidRDefault="00A1471C" w:rsidP="006B6A81">
      <w:pPr>
        <w:pStyle w:val="Paragraph"/>
      </w:pPr>
      <w:r>
        <w:t>The NICE Centre for Guidelines is currently updating our recommendations on drug therapy within NICE guideline 28 (NG28).</w:t>
      </w:r>
    </w:p>
    <w:p w14:paraId="1EB410CA" w14:textId="7D72A31B" w:rsidR="004A1CBF" w:rsidRDefault="004A1CBF" w:rsidP="006B6A81">
      <w:pPr>
        <w:pStyle w:val="Paragraph"/>
      </w:pPr>
      <w:r>
        <w:t>The scope of the ev</w:t>
      </w:r>
      <w:r w:rsidR="004B6FFC">
        <w:t xml:space="preserve">aluation conducted </w:t>
      </w:r>
      <w:r w:rsidR="00CC510A">
        <w:t>to update NG28</w:t>
      </w:r>
      <w:r w:rsidR="004B6FFC">
        <w:t xml:space="preserve"> is </w:t>
      </w:r>
      <w:proofErr w:type="gramStart"/>
      <w:r w:rsidR="004B6FFC">
        <w:t>similar to</w:t>
      </w:r>
      <w:proofErr w:type="gramEnd"/>
      <w:r w:rsidR="004B6FFC">
        <w:t xml:space="preserve"> the </w:t>
      </w:r>
      <w:r w:rsidR="005F4839">
        <w:t xml:space="preserve">scope of </w:t>
      </w:r>
      <w:r w:rsidR="00BA42BA">
        <w:t>the relevant</w:t>
      </w:r>
      <w:r w:rsidR="005F4839">
        <w:t xml:space="preserve"> technology appraisal</w:t>
      </w:r>
      <w:r w:rsidR="00BA42BA">
        <w:t>s</w:t>
      </w:r>
      <w:r w:rsidR="00405EC3">
        <w:t>. This include</w:t>
      </w:r>
      <w:r w:rsidR="00BA42BA">
        <w:t>s a</w:t>
      </w:r>
      <w:r w:rsidR="00766110">
        <w:t xml:space="preserve"> similar</w:t>
      </w:r>
      <w:r w:rsidR="00CA0A1E">
        <w:t xml:space="preserve"> decision problem, reference case</w:t>
      </w:r>
      <w:r w:rsidR="00766110">
        <w:t xml:space="preserve"> and</w:t>
      </w:r>
      <w:r w:rsidR="00405EC3">
        <w:t xml:space="preserve"> evidence base</w:t>
      </w:r>
      <w:r w:rsidR="00766110">
        <w:t xml:space="preserve">. </w:t>
      </w:r>
      <w:r w:rsidR="00405EC3">
        <w:t>So, NICE considers that it is</w:t>
      </w:r>
      <w:r w:rsidR="00DF5405">
        <w:t xml:space="preserve"> likely that the technology appraisal committee </w:t>
      </w:r>
      <w:r w:rsidR="00127083">
        <w:t>will be</w:t>
      </w:r>
      <w:r w:rsidR="00722D5C">
        <w:t xml:space="preserve"> able to </w:t>
      </w:r>
      <w:proofErr w:type="gramStart"/>
      <w:r w:rsidR="00722D5C">
        <w:t>make a decision</w:t>
      </w:r>
      <w:proofErr w:type="gramEnd"/>
      <w:r w:rsidR="00310BCE">
        <w:t xml:space="preserve"> on</w:t>
      </w:r>
      <w:r w:rsidR="00722D5C">
        <w:t xml:space="preserve"> whether to update the technology appraisals </w:t>
      </w:r>
      <w:proofErr w:type="gramStart"/>
      <w:r w:rsidR="00722D5C">
        <w:t>on the basis of</w:t>
      </w:r>
      <w:proofErr w:type="gramEnd"/>
      <w:r w:rsidR="00722D5C">
        <w:t xml:space="preserve"> the evidence assessed by the guideline committee</w:t>
      </w:r>
      <w:r w:rsidR="00CA7BC4">
        <w:t>.</w:t>
      </w:r>
    </w:p>
    <w:p w14:paraId="4E30E80A" w14:textId="6F63EB5B" w:rsidR="00CA7BC4" w:rsidRDefault="00CA7BC4" w:rsidP="00B3053E">
      <w:pPr>
        <w:pStyle w:val="Paragraph"/>
        <w:numPr>
          <w:ilvl w:val="0"/>
          <w:numId w:val="0"/>
        </w:numPr>
      </w:pPr>
      <w:r>
        <w:lastRenderedPageBreak/>
        <w:t xml:space="preserve">The proposed pilot </w:t>
      </w:r>
      <w:r w:rsidR="002112C6">
        <w:t>decision-making process is designed to test this assumption, and to avoid duplication of the extensive work conducted by the guideline committee.</w:t>
      </w:r>
    </w:p>
    <w:p w14:paraId="02E5570D" w14:textId="25C03F9D" w:rsidR="00A13D0C" w:rsidRDefault="00A13D0C" w:rsidP="00934E40">
      <w:pPr>
        <w:pStyle w:val="Paragraph"/>
        <w:numPr>
          <w:ilvl w:val="0"/>
          <w:numId w:val="0"/>
        </w:numPr>
        <w:ind w:left="360"/>
      </w:pPr>
      <w:r>
        <w:t xml:space="preserve">A summary of the </w:t>
      </w:r>
      <w:r w:rsidR="00CB2397">
        <w:t xml:space="preserve">new </w:t>
      </w:r>
      <w:r>
        <w:t>proposed process is:</w:t>
      </w:r>
    </w:p>
    <w:p w14:paraId="39E8DC76" w14:textId="207F72C4" w:rsidR="00E93BDB" w:rsidRDefault="00A66B53" w:rsidP="00CE6E16">
      <w:pPr>
        <w:pStyle w:val="Paragraph"/>
        <w:numPr>
          <w:ilvl w:val="0"/>
          <w:numId w:val="15"/>
        </w:numPr>
      </w:pPr>
      <w:r>
        <w:t xml:space="preserve">This draft surveillance review proposal </w:t>
      </w:r>
      <w:r w:rsidR="00F52E63">
        <w:t xml:space="preserve">will be </w:t>
      </w:r>
      <w:r>
        <w:t>used as the basis for a decision on whether the guidance should be amended, updated, withdrawn or not updated</w:t>
      </w:r>
      <w:r w:rsidR="00E93BDB">
        <w:t>. This draft surveillance review proposal will outline</w:t>
      </w:r>
      <w:r w:rsidR="00681B43">
        <w:t xml:space="preserve"> </w:t>
      </w:r>
      <w:r w:rsidR="00CE6E16">
        <w:t>t</w:t>
      </w:r>
      <w:r w:rsidR="00E93BDB">
        <w:t xml:space="preserve">he proposed process </w:t>
      </w:r>
      <w:r w:rsidR="00AC310E">
        <w:t xml:space="preserve">statement </w:t>
      </w:r>
      <w:r w:rsidR="00E93BDB">
        <w:t>for updating the technology appraisals</w:t>
      </w:r>
      <w:r w:rsidR="00CE6E16">
        <w:t>.</w:t>
      </w:r>
    </w:p>
    <w:p w14:paraId="5839B863" w14:textId="15FBA019" w:rsidR="00A01610" w:rsidRDefault="00560C3E" w:rsidP="007420E2">
      <w:pPr>
        <w:pStyle w:val="Paragraph"/>
        <w:numPr>
          <w:ilvl w:val="0"/>
          <w:numId w:val="15"/>
        </w:numPr>
      </w:pPr>
      <w:r>
        <w:t xml:space="preserve">NICE </w:t>
      </w:r>
      <w:r w:rsidR="0038431C">
        <w:t>has agreed to consult on this proposal</w:t>
      </w:r>
      <w:r w:rsidR="00A152C7">
        <w:t>. The consultation</w:t>
      </w:r>
      <w:r>
        <w:t xml:space="preserve"> </w:t>
      </w:r>
      <w:r w:rsidR="00A152C7">
        <w:t xml:space="preserve">period will be 28 </w:t>
      </w:r>
      <w:proofErr w:type="gramStart"/>
      <w:r w:rsidR="00A152C7">
        <w:t>days</w:t>
      </w:r>
      <w:proofErr w:type="gramEnd"/>
      <w:r w:rsidR="00A152C7">
        <w:t xml:space="preserve"> and consultation will be open to </w:t>
      </w:r>
      <w:r w:rsidR="008A144C">
        <w:t>consultees and comment</w:t>
      </w:r>
      <w:r w:rsidR="00D135BA">
        <w:t>ators, as specified in the draft stakeholder list.</w:t>
      </w:r>
    </w:p>
    <w:p w14:paraId="166FA538" w14:textId="71598AC4" w:rsidR="00330F68" w:rsidRDefault="00330F68" w:rsidP="00BF27B3">
      <w:pPr>
        <w:pStyle w:val="Paragraph"/>
        <w:numPr>
          <w:ilvl w:val="0"/>
          <w:numId w:val="15"/>
        </w:numPr>
      </w:pPr>
      <w:r>
        <w:t>This is a consultation on the proposed process for upd</w:t>
      </w:r>
      <w:r w:rsidR="00185D4D">
        <w:t xml:space="preserve">ating </w:t>
      </w:r>
      <w:r w:rsidR="00185D4D" w:rsidRPr="00585EE1">
        <w:t xml:space="preserve">TA288, TA315, TA336, TA390, TA418, </w:t>
      </w:r>
      <w:r w:rsidR="58EEC9DE">
        <w:t>TA57</w:t>
      </w:r>
      <w:r w:rsidR="37736266">
        <w:t>2</w:t>
      </w:r>
      <w:r w:rsidR="00185D4D">
        <w:t xml:space="preserve"> and</w:t>
      </w:r>
      <w:r w:rsidR="00185D4D" w:rsidRPr="00585EE1">
        <w:t xml:space="preserve"> TA583</w:t>
      </w:r>
      <w:r w:rsidR="00185D4D">
        <w:t>. It is not a consultation on the proposed updated recommendations for these appraisals.</w:t>
      </w:r>
    </w:p>
    <w:p w14:paraId="1CB61012" w14:textId="53CCB435" w:rsidR="005B19CF" w:rsidRDefault="005B19CF" w:rsidP="007420E2">
      <w:pPr>
        <w:pStyle w:val="Paragraph"/>
        <w:numPr>
          <w:ilvl w:val="0"/>
          <w:numId w:val="15"/>
        </w:numPr>
      </w:pPr>
      <w:r>
        <w:t>Th</w:t>
      </w:r>
      <w:r w:rsidR="00465137">
        <w:t xml:space="preserve">is proposed process for updating the technology appraisals is </w:t>
      </w:r>
      <w:r w:rsidR="00E829DC">
        <w:t xml:space="preserve">part of the </w:t>
      </w:r>
      <w:r w:rsidR="00B84AB3">
        <w:t>Whole Lifecycle Approach work programme outlined in the NHS 10</w:t>
      </w:r>
      <w:r w:rsidR="003535EA">
        <w:t>-</w:t>
      </w:r>
      <w:r w:rsidR="00B84AB3">
        <w:t>year plan</w:t>
      </w:r>
      <w:r w:rsidR="00C170AE">
        <w:t>. The proposed process will only apply to the</w:t>
      </w:r>
      <w:r w:rsidR="000235BB">
        <w:t xml:space="preserve"> update</w:t>
      </w:r>
      <w:r w:rsidR="00C170AE">
        <w:t xml:space="preserve"> of </w:t>
      </w:r>
      <w:r w:rsidR="00C170AE" w:rsidRPr="00585EE1">
        <w:t>TA288, TA315, TA336, TA390, TA418, TA572, TA583</w:t>
      </w:r>
      <w:r w:rsidR="00C170AE">
        <w:t>.</w:t>
      </w:r>
      <w:r w:rsidR="00105587">
        <w:t xml:space="preserve"> </w:t>
      </w:r>
    </w:p>
    <w:p w14:paraId="507E0DA9" w14:textId="1A58138E" w:rsidR="005C06A3" w:rsidRPr="00661580" w:rsidRDefault="005C06A3" w:rsidP="00D02EB3">
      <w:pPr>
        <w:pStyle w:val="Paragraph"/>
        <w:numPr>
          <w:ilvl w:val="0"/>
          <w:numId w:val="0"/>
        </w:numPr>
        <w:ind w:left="360"/>
        <w:rPr>
          <w:b/>
          <w:bCs/>
        </w:rPr>
      </w:pPr>
      <w:r w:rsidRPr="00661580">
        <w:rPr>
          <w:b/>
          <w:bCs/>
        </w:rPr>
        <w:t>Proposed process</w:t>
      </w:r>
      <w:r w:rsidR="00AC310E">
        <w:rPr>
          <w:b/>
          <w:bCs/>
        </w:rPr>
        <w:t xml:space="preserve"> statements</w:t>
      </w:r>
      <w:r w:rsidRPr="00661580">
        <w:rPr>
          <w:b/>
          <w:bCs/>
        </w:rPr>
        <w:t xml:space="preserve"> for updating the technology appraisals</w:t>
      </w:r>
    </w:p>
    <w:p w14:paraId="241687EF" w14:textId="7E0F0C3F" w:rsidR="007D2F2A" w:rsidRDefault="00365B07" w:rsidP="00BB153D">
      <w:pPr>
        <w:pStyle w:val="Paragraph"/>
        <w:numPr>
          <w:ilvl w:val="0"/>
          <w:numId w:val="26"/>
        </w:numPr>
      </w:pPr>
      <w:r>
        <w:t xml:space="preserve">Principle 13 of </w:t>
      </w:r>
      <w:hyperlink r:id="rId13" w:history="1">
        <w:r w:rsidR="00B907B3" w:rsidRPr="00B907B3">
          <w:rPr>
            <w:rStyle w:val="Hyperlink"/>
          </w:rPr>
          <w:t>our</w:t>
        </w:r>
        <w:r w:rsidRPr="00B907B3">
          <w:rPr>
            <w:rStyle w:val="Hyperlink"/>
          </w:rPr>
          <w:t xml:space="preserve"> principles</w:t>
        </w:r>
      </w:hyperlink>
      <w:r>
        <w:t xml:space="preserve"> that guide the development of NICE guidance and standards states that NICE should assess the need to update our </w:t>
      </w:r>
      <w:r w:rsidR="00B907B3">
        <w:t xml:space="preserve">recommendations in line with new evidence. </w:t>
      </w:r>
      <w:hyperlink r:id="rId14" w:history="1">
        <w:r w:rsidR="00D92F86" w:rsidRPr="00D92F86">
          <w:rPr>
            <w:rStyle w:val="Hyperlink"/>
          </w:rPr>
          <w:t>NICE health technology evaluations: the manual</w:t>
        </w:r>
      </w:hyperlink>
      <w:r w:rsidR="00D92F86">
        <w:t xml:space="preserve"> states that:</w:t>
      </w:r>
    </w:p>
    <w:p w14:paraId="5716F18A" w14:textId="77777777" w:rsidR="007D2F2A" w:rsidRDefault="000B2EA3" w:rsidP="00BB153D">
      <w:pPr>
        <w:pStyle w:val="Paragraph"/>
        <w:numPr>
          <w:ilvl w:val="1"/>
          <w:numId w:val="26"/>
        </w:numPr>
      </w:pPr>
      <w:r>
        <w:t>Guidance will be updated by the committee if there are changes to the evidence base, clinical pathway or economic case that are likely to have a material effect on the recommendations.</w:t>
      </w:r>
    </w:p>
    <w:p w14:paraId="705B6A6F" w14:textId="6B0AFA3C" w:rsidR="007D2F2A" w:rsidRDefault="00574933" w:rsidP="00BB153D">
      <w:pPr>
        <w:pStyle w:val="Paragraph"/>
        <w:numPr>
          <w:ilvl w:val="1"/>
          <w:numId w:val="26"/>
        </w:numPr>
      </w:pPr>
      <w:r>
        <w:t>Guidance can be updated within another guidance-producing centre (for example in a NICE guideline).</w:t>
      </w:r>
    </w:p>
    <w:p w14:paraId="55D0FF1A" w14:textId="20441EB9" w:rsidR="00985273" w:rsidRDefault="00985273" w:rsidP="00BB153D">
      <w:pPr>
        <w:pStyle w:val="Paragraph"/>
        <w:numPr>
          <w:ilvl w:val="1"/>
          <w:numId w:val="26"/>
        </w:numPr>
      </w:pPr>
      <w:r>
        <w:t>Guidance will be</w:t>
      </w:r>
      <w:r w:rsidR="0018041D">
        <w:t xml:space="preserve"> permanently or temporarily</w:t>
      </w:r>
      <w:r>
        <w:t xml:space="preserve"> withdrawn</w:t>
      </w:r>
      <w:r w:rsidR="0018041D">
        <w:t xml:space="preserve"> if </w:t>
      </w:r>
      <w:r w:rsidR="00E05A0A">
        <w:t>the</w:t>
      </w:r>
      <w:r w:rsidR="0018041D">
        <w:t xml:space="preserve"> changes to the technology or the care p</w:t>
      </w:r>
      <w:r w:rsidR="00E05A0A">
        <w:t>athway are such that the original guidance cannot be updated.</w:t>
      </w:r>
    </w:p>
    <w:p w14:paraId="76BBCE18" w14:textId="1E943A79" w:rsidR="003208DA" w:rsidRDefault="00115DAC" w:rsidP="002A5D93">
      <w:pPr>
        <w:pStyle w:val="Paragraph"/>
        <w:numPr>
          <w:ilvl w:val="0"/>
          <w:numId w:val="0"/>
        </w:numPr>
        <w:ind w:left="360"/>
      </w:pPr>
      <w:r>
        <w:t xml:space="preserve">The </w:t>
      </w:r>
      <w:r w:rsidR="00757662">
        <w:t xml:space="preserve">pilot </w:t>
      </w:r>
      <w:r w:rsidR="00584542">
        <w:t>proportionate decision-making process</w:t>
      </w:r>
      <w:r w:rsidR="008655A0">
        <w:t xml:space="preserve"> is distinct from the surveillance decision options</w:t>
      </w:r>
      <w:r w:rsidR="00A31D1C">
        <w:t xml:space="preserve"> outlined in section 8.2 of NICE health technology evaluations: the manual. However</w:t>
      </w:r>
      <w:r w:rsidR="00B72340">
        <w:t>, it is aligned with the principles stated in the manual</w:t>
      </w:r>
      <w:r w:rsidR="00FE492A">
        <w:t xml:space="preserve"> o</w:t>
      </w:r>
      <w:r w:rsidR="00564C70">
        <w:t xml:space="preserve">f </w:t>
      </w:r>
      <w:r w:rsidR="00564C70">
        <w:lastRenderedPageBreak/>
        <w:t>updating guidance based on work conducted within another guidance-producing centre.</w:t>
      </w:r>
    </w:p>
    <w:p w14:paraId="6F2AFD53" w14:textId="55F4AF7A" w:rsidR="00CD4BBF" w:rsidRDefault="00994E51" w:rsidP="00CA7FD7">
      <w:pPr>
        <w:pStyle w:val="Paragraph"/>
        <w:numPr>
          <w:ilvl w:val="0"/>
          <w:numId w:val="26"/>
        </w:numPr>
      </w:pPr>
      <w:r>
        <w:t xml:space="preserve">The NICE </w:t>
      </w:r>
      <w:r w:rsidR="000040ED">
        <w:t xml:space="preserve">Centre for Guidelines is currently </w:t>
      </w:r>
      <w:r w:rsidR="00AB1BD7">
        <w:t>conducting a partial update of</w:t>
      </w:r>
      <w:r w:rsidR="000040ED">
        <w:t xml:space="preserve"> </w:t>
      </w:r>
      <w:r w:rsidR="004676F3">
        <w:t>NICE guideline 28 (NG28)</w:t>
      </w:r>
      <w:r w:rsidR="00F94450">
        <w:t xml:space="preserve"> </w:t>
      </w:r>
      <w:hyperlink r:id="rId15" w:history="1">
        <w:r w:rsidR="009A69A5">
          <w:rPr>
            <w:rStyle w:val="Hyperlink"/>
          </w:rPr>
          <w:t>Type 2 diabetes in adults: management</w:t>
        </w:r>
      </w:hyperlink>
      <w:r w:rsidR="009A69A5">
        <w:t>. NICE is updating our re</w:t>
      </w:r>
      <w:r w:rsidR="00384A6C">
        <w:t>commendations on drug therapy</w:t>
      </w:r>
      <w:r w:rsidR="001503CE">
        <w:t>.</w:t>
      </w:r>
      <w:r w:rsidR="00384A6C">
        <w:t xml:space="preserve"> </w:t>
      </w:r>
      <w:r w:rsidR="004124E3">
        <w:t>The update will be published on 18 February 2026.</w:t>
      </w:r>
    </w:p>
    <w:p w14:paraId="7476037E" w14:textId="1CBAA773" w:rsidR="00E52B6D" w:rsidRDefault="00A01ACE" w:rsidP="00BB153D">
      <w:pPr>
        <w:pStyle w:val="Paragraph"/>
        <w:numPr>
          <w:ilvl w:val="0"/>
          <w:numId w:val="26"/>
        </w:numPr>
      </w:pPr>
      <w:r>
        <w:t xml:space="preserve">NG28 indicates </w:t>
      </w:r>
      <w:r w:rsidR="00C76ADA">
        <w:t>that there are changes to the evidence base and clinical pathway for drug therapies for treating type 2 diabetes in adults</w:t>
      </w:r>
      <w:r w:rsidR="00A1558F">
        <w:t>. These changes are likely to have a material effect on the recommendat</w:t>
      </w:r>
      <w:r w:rsidR="009047CC">
        <w:t>ions included in the NICE technology appraisals (TAs)</w:t>
      </w:r>
      <w:r w:rsidR="00017165">
        <w:t xml:space="preserve"> which </w:t>
      </w:r>
      <w:r w:rsidR="00EB51C2">
        <w:t>cover</w:t>
      </w:r>
      <w:r w:rsidR="00017165">
        <w:t xml:space="preserve"> the use of SGLT2 inhibitors</w:t>
      </w:r>
      <w:r w:rsidR="00EB51C2">
        <w:t>, as monotherapies and in combination, for the treatment of type 2 diabetes in adults. This includes the following</w:t>
      </w:r>
      <w:r w:rsidR="00655908">
        <w:t xml:space="preserve"> TAs:</w:t>
      </w:r>
      <w:r w:rsidR="00EB51C2">
        <w:t xml:space="preserve"> </w:t>
      </w:r>
      <w:r w:rsidR="009047CC">
        <w:t>TA288, TA315, TA33</w:t>
      </w:r>
      <w:r w:rsidR="006C1851">
        <w:t>6, TA390, TA418, TA572, TA583.</w:t>
      </w:r>
    </w:p>
    <w:p w14:paraId="1E532A5E" w14:textId="0D406B8A" w:rsidR="00F3661B" w:rsidRDefault="00F3661B" w:rsidP="00BB153D">
      <w:pPr>
        <w:pStyle w:val="Paragraph"/>
        <w:numPr>
          <w:ilvl w:val="0"/>
          <w:numId w:val="26"/>
        </w:numPr>
      </w:pPr>
      <w:r>
        <w:t xml:space="preserve">NICE proposes that the following </w:t>
      </w:r>
      <w:r w:rsidR="00A514E7">
        <w:t>technology appraisals</w:t>
      </w:r>
      <w:r>
        <w:t xml:space="preserve"> </w:t>
      </w:r>
      <w:r w:rsidR="00D109D1">
        <w:t>should</w:t>
      </w:r>
      <w:r>
        <w:t xml:space="preserve"> be updated</w:t>
      </w:r>
      <w:r w:rsidR="0020587B">
        <w:t>:</w:t>
      </w:r>
    </w:p>
    <w:p w14:paraId="74CA3955" w14:textId="7B3A17E3" w:rsidR="0020587B" w:rsidRDefault="0020587B" w:rsidP="00BB153D">
      <w:pPr>
        <w:pStyle w:val="Paragraph"/>
        <w:numPr>
          <w:ilvl w:val="1"/>
          <w:numId w:val="26"/>
        </w:numPr>
      </w:pPr>
      <w:r>
        <w:t>TA315:</w:t>
      </w:r>
      <w:r w:rsidR="00446F4E">
        <w:t xml:space="preserve"> </w:t>
      </w:r>
      <w:r w:rsidR="00446F4E" w:rsidRPr="00446F4E">
        <w:t>Canagliflozin in combination therapy for treating type 2 diabetes</w:t>
      </w:r>
    </w:p>
    <w:p w14:paraId="4DC07DDD" w14:textId="402F9B6D" w:rsidR="0020587B" w:rsidRDefault="0020587B" w:rsidP="00BB153D">
      <w:pPr>
        <w:pStyle w:val="Paragraph"/>
        <w:numPr>
          <w:ilvl w:val="1"/>
          <w:numId w:val="26"/>
        </w:numPr>
      </w:pPr>
      <w:r>
        <w:t>TA336:</w:t>
      </w:r>
      <w:r w:rsidR="00F0032B">
        <w:t xml:space="preserve"> </w:t>
      </w:r>
      <w:r w:rsidR="00F0032B" w:rsidRPr="00F0032B">
        <w:t>Empagliflozin in combination therapy for treating type 2 diabetes</w:t>
      </w:r>
    </w:p>
    <w:p w14:paraId="478E2019" w14:textId="3D409B4F" w:rsidR="003A1F46" w:rsidRDefault="0020587B" w:rsidP="00BB153D">
      <w:pPr>
        <w:pStyle w:val="Paragraph"/>
        <w:numPr>
          <w:ilvl w:val="1"/>
          <w:numId w:val="26"/>
        </w:numPr>
      </w:pPr>
      <w:r>
        <w:t>TA</w:t>
      </w:r>
      <w:r w:rsidR="00891CFC">
        <w:t xml:space="preserve">572: </w:t>
      </w:r>
      <w:r w:rsidR="00E8748F" w:rsidRPr="00E8748F">
        <w:t>Ertugliflozin as monotherapy or with metformin for treating type 2 diabetes</w:t>
      </w:r>
    </w:p>
    <w:p w14:paraId="0D453897" w14:textId="0A1284F6" w:rsidR="003A1F46" w:rsidRDefault="003A1F46" w:rsidP="00ED22BF">
      <w:pPr>
        <w:pStyle w:val="Paragraph"/>
        <w:numPr>
          <w:ilvl w:val="0"/>
          <w:numId w:val="0"/>
        </w:numPr>
        <w:ind w:left="720"/>
      </w:pPr>
      <w:r>
        <w:t xml:space="preserve">The </w:t>
      </w:r>
      <w:r w:rsidR="0042356A">
        <w:t xml:space="preserve">proposed </w:t>
      </w:r>
      <w:r w:rsidR="003C7C0E">
        <w:t>updated</w:t>
      </w:r>
      <w:r>
        <w:t xml:space="preserve"> recommendations</w:t>
      </w:r>
      <w:r w:rsidR="0042356A">
        <w:t xml:space="preserve"> </w:t>
      </w:r>
      <w:r w:rsidR="000B503C">
        <w:t>will</w:t>
      </w:r>
      <w:r w:rsidR="00C873FE">
        <w:t xml:space="preserve"> align with the recommendations made by the committee</w:t>
      </w:r>
      <w:r w:rsidR="00F61ECB">
        <w:t xml:space="preserve"> </w:t>
      </w:r>
      <w:r w:rsidR="00BC7316">
        <w:t>in</w:t>
      </w:r>
      <w:r w:rsidR="00F61ECB">
        <w:t xml:space="preserve"> NG28.</w:t>
      </w:r>
    </w:p>
    <w:p w14:paraId="23E29374" w14:textId="08A40214" w:rsidR="00895CAB" w:rsidRDefault="00A514E7" w:rsidP="00A15511">
      <w:pPr>
        <w:pStyle w:val="Paragraph"/>
        <w:numPr>
          <w:ilvl w:val="0"/>
          <w:numId w:val="26"/>
        </w:numPr>
      </w:pPr>
      <w:r>
        <w:t xml:space="preserve">NICE will not charge the </w:t>
      </w:r>
      <w:r w:rsidR="00895CAB">
        <w:t>manufacturers</w:t>
      </w:r>
      <w:r>
        <w:t xml:space="preserve"> of the products</w:t>
      </w:r>
      <w:r w:rsidR="00895CAB">
        <w:t xml:space="preserve"> covered by the TAs </w:t>
      </w:r>
      <w:r w:rsidR="00286B42">
        <w:t>for the proposed</w:t>
      </w:r>
      <w:r w:rsidR="00895CAB">
        <w:t xml:space="preserve"> updates.</w:t>
      </w:r>
    </w:p>
    <w:p w14:paraId="6C16B4EC" w14:textId="51DB99CB" w:rsidR="0020587B" w:rsidRDefault="0020587B" w:rsidP="00BB153D">
      <w:pPr>
        <w:pStyle w:val="Paragraph"/>
        <w:numPr>
          <w:ilvl w:val="0"/>
          <w:numId w:val="26"/>
        </w:numPr>
      </w:pPr>
      <w:r>
        <w:t xml:space="preserve">NICE proposes that the following </w:t>
      </w:r>
      <w:r w:rsidR="00C36F06">
        <w:t>technology appraisals</w:t>
      </w:r>
      <w:r>
        <w:t xml:space="preserve"> will be withdrawn:</w:t>
      </w:r>
    </w:p>
    <w:p w14:paraId="122CCB31" w14:textId="77777777" w:rsidR="00E8739E" w:rsidRDefault="00E8739E" w:rsidP="00E8739E">
      <w:pPr>
        <w:pStyle w:val="Paragraph"/>
        <w:numPr>
          <w:ilvl w:val="1"/>
          <w:numId w:val="26"/>
        </w:numPr>
      </w:pPr>
      <w:r>
        <w:t xml:space="preserve">TA288: </w:t>
      </w:r>
      <w:r w:rsidRPr="00345269">
        <w:t>Dapagliflozin in combination therapy for treating type 2 diabetes</w:t>
      </w:r>
    </w:p>
    <w:p w14:paraId="7C4EB74C" w14:textId="1B4F01F7" w:rsidR="00B503CF" w:rsidRDefault="00B503CF" w:rsidP="00BB153D">
      <w:pPr>
        <w:pStyle w:val="Paragraph"/>
        <w:numPr>
          <w:ilvl w:val="1"/>
          <w:numId w:val="26"/>
        </w:numPr>
      </w:pPr>
      <w:r>
        <w:t>TA390:</w:t>
      </w:r>
      <w:r w:rsidR="000E7C30">
        <w:t xml:space="preserve"> </w:t>
      </w:r>
      <w:r w:rsidR="000E7C30" w:rsidRPr="000E7C30">
        <w:t>Canagliflozin, dapagliflozin and empagliflozin as monotherapies for treating type 2 diabetes</w:t>
      </w:r>
    </w:p>
    <w:p w14:paraId="14461E25" w14:textId="6137C499" w:rsidR="00B503CF" w:rsidRDefault="00B503CF" w:rsidP="00BB153D">
      <w:pPr>
        <w:pStyle w:val="Paragraph"/>
        <w:numPr>
          <w:ilvl w:val="1"/>
          <w:numId w:val="26"/>
        </w:numPr>
      </w:pPr>
      <w:r>
        <w:t>TA418:</w:t>
      </w:r>
      <w:r w:rsidR="00244BCF">
        <w:t xml:space="preserve"> </w:t>
      </w:r>
      <w:r w:rsidR="00244BCF" w:rsidRPr="00244BCF">
        <w:t>Dapagliflozin in triple therapy for treating type 2 diabetes</w:t>
      </w:r>
    </w:p>
    <w:p w14:paraId="39E21388" w14:textId="49436C28" w:rsidR="00B503CF" w:rsidRDefault="00B503CF" w:rsidP="00BB153D">
      <w:pPr>
        <w:pStyle w:val="Paragraph"/>
        <w:numPr>
          <w:ilvl w:val="1"/>
          <w:numId w:val="26"/>
        </w:numPr>
      </w:pPr>
      <w:r>
        <w:t>TA583:</w:t>
      </w:r>
      <w:r w:rsidR="00DF4B5F">
        <w:t xml:space="preserve"> </w:t>
      </w:r>
      <w:r w:rsidR="00DF4B5F" w:rsidRPr="00DF4B5F">
        <w:t>Ertugliflozin with metformin and a dipeptidyl peptidase-4 inhibitor for treating type 2 diabetes</w:t>
      </w:r>
    </w:p>
    <w:p w14:paraId="46AE01E7" w14:textId="173CC763" w:rsidR="000918ED" w:rsidRDefault="007A507D" w:rsidP="00B3053E">
      <w:pPr>
        <w:pStyle w:val="Paragraph"/>
        <w:numPr>
          <w:ilvl w:val="0"/>
          <w:numId w:val="26"/>
        </w:numPr>
      </w:pPr>
      <w:r>
        <w:t xml:space="preserve">NICE proposes withdrawing the TAs for </w:t>
      </w:r>
      <w:r w:rsidR="005425BA">
        <w:t>dapagliflozin (TA288 and TA418)</w:t>
      </w:r>
      <w:r w:rsidR="007D2F72">
        <w:t xml:space="preserve">. </w:t>
      </w:r>
      <w:r w:rsidR="002E2CEF">
        <w:t>Generic d</w:t>
      </w:r>
      <w:r w:rsidR="007D2F72">
        <w:t xml:space="preserve">apagliflozin </w:t>
      </w:r>
      <w:r w:rsidR="001675F1">
        <w:t>is n</w:t>
      </w:r>
      <w:r w:rsidR="002E2CEF">
        <w:t>ow available</w:t>
      </w:r>
      <w:r w:rsidR="007C2BD2">
        <w:t xml:space="preserve"> in England</w:t>
      </w:r>
      <w:r w:rsidR="00361173">
        <w:t xml:space="preserve"> because dapagliflozin is no longer</w:t>
      </w:r>
      <w:r w:rsidR="00D32A3D">
        <w:t xml:space="preserve"> </w:t>
      </w:r>
      <w:r w:rsidR="00D41809">
        <w:t>under patent</w:t>
      </w:r>
      <w:r w:rsidR="007C2BD2">
        <w:t>.</w:t>
      </w:r>
      <w:r w:rsidR="005425BA">
        <w:t xml:space="preserve"> </w:t>
      </w:r>
      <w:r w:rsidR="00B06888">
        <w:t>NICE does not consider it appropriate to</w:t>
      </w:r>
      <w:r w:rsidR="00541D3E">
        <w:t xml:space="preserve"> routinely update TAs for medicines that </w:t>
      </w:r>
      <w:r w:rsidR="007F7396">
        <w:t>are no longer under patent.</w:t>
      </w:r>
      <w:r w:rsidR="00AD172D">
        <w:t xml:space="preserve"> This is because </w:t>
      </w:r>
      <w:r w:rsidR="007A2967">
        <w:t xml:space="preserve">the funding </w:t>
      </w:r>
      <w:r w:rsidR="007A2967">
        <w:lastRenderedPageBreak/>
        <w:t xml:space="preserve">mandate is </w:t>
      </w:r>
      <w:r w:rsidR="00CF74FA">
        <w:t>designed</w:t>
      </w:r>
      <w:r w:rsidR="007A2967">
        <w:t xml:space="preserve"> to drive uptake and adoption for medicines at the start of their guidance lifecycle.</w:t>
      </w:r>
      <w:r w:rsidR="00651000" w:rsidRPr="00651000">
        <w:rPr>
          <w:rFonts w:ascii="Segoe UI" w:hAnsi="Segoe UI" w:cs="Segoe UI"/>
          <w:sz w:val="18"/>
          <w:szCs w:val="18"/>
        </w:rPr>
        <w:t xml:space="preserve"> </w:t>
      </w:r>
      <w:r w:rsidR="00651000" w:rsidRPr="00651000">
        <w:t>It is expected that well-established medicines will continue to be used in the NHS without the funding mandate. Therefore, considering the direction of the Whole Lifecycle Approach strategy, it would not be appropriate to update dapagliflozin in line with the other SGLT2 inhibitors in this review.</w:t>
      </w:r>
      <w:r w:rsidR="00651000" w:rsidRPr="00651000" w:rsidDel="00651000">
        <w:t xml:space="preserve"> </w:t>
      </w:r>
    </w:p>
    <w:p w14:paraId="7DB9971E" w14:textId="46493D84" w:rsidR="000F3030" w:rsidRDefault="00BA05D1" w:rsidP="00B3053E">
      <w:pPr>
        <w:pStyle w:val="Paragraph"/>
        <w:numPr>
          <w:ilvl w:val="0"/>
          <w:numId w:val="26"/>
        </w:numPr>
      </w:pPr>
      <w:r>
        <w:t>NICE</w:t>
      </w:r>
      <w:r w:rsidR="00B77BA6">
        <w:t xml:space="preserve"> proposes withdrawing </w:t>
      </w:r>
      <w:r w:rsidR="00E63F7E">
        <w:t>TA390</w:t>
      </w:r>
      <w:r w:rsidR="00081664">
        <w:t xml:space="preserve"> and TA583</w:t>
      </w:r>
      <w:r w:rsidR="006C2C4F">
        <w:t xml:space="preserve"> as the changes to care pathway are such that the original guidance cannot be updated.</w:t>
      </w:r>
      <w:r w:rsidR="00163AD4">
        <w:t xml:space="preserve"> </w:t>
      </w:r>
      <w:r w:rsidR="00716113">
        <w:t>This includes the f</w:t>
      </w:r>
      <w:r w:rsidR="001A729C">
        <w:t>ollowing update</w:t>
      </w:r>
      <w:r w:rsidR="000F3030">
        <w:t>s</w:t>
      </w:r>
      <w:r w:rsidR="001A729C">
        <w:t>:</w:t>
      </w:r>
    </w:p>
    <w:p w14:paraId="705A4E7E" w14:textId="0720CEDF" w:rsidR="003B27A3" w:rsidRDefault="000F3030" w:rsidP="00A47B67">
      <w:pPr>
        <w:pStyle w:val="Paragraph"/>
        <w:numPr>
          <w:ilvl w:val="1"/>
          <w:numId w:val="26"/>
        </w:numPr>
      </w:pPr>
      <w:r>
        <w:t>Removal of</w:t>
      </w:r>
      <w:r w:rsidR="00843867">
        <w:t xml:space="preserve"> the </w:t>
      </w:r>
      <w:r w:rsidR="00361BD0">
        <w:t xml:space="preserve">recommendation </w:t>
      </w:r>
      <w:r w:rsidR="0003467A">
        <w:t xml:space="preserve">to use </w:t>
      </w:r>
      <w:r w:rsidR="00843867">
        <w:t>sulfonylureas</w:t>
      </w:r>
      <w:r w:rsidR="0003467A">
        <w:t xml:space="preserve">, </w:t>
      </w:r>
      <w:r w:rsidR="001723E8">
        <w:t>pioglitazone</w:t>
      </w:r>
      <w:r w:rsidR="0003467A">
        <w:t xml:space="preserve"> or a </w:t>
      </w:r>
      <w:r w:rsidR="0003467A" w:rsidRPr="00EC54EA">
        <w:t>dipeptidyl peptidase</w:t>
      </w:r>
      <w:r w:rsidR="0003467A" w:rsidRPr="00EC54EA">
        <w:noBreakHyphen/>
        <w:t>4 (DPP</w:t>
      </w:r>
      <w:r w:rsidR="0003467A" w:rsidRPr="00EC54EA">
        <w:noBreakHyphen/>
        <w:t>4) inhibitor</w:t>
      </w:r>
      <w:r w:rsidR="0003467A">
        <w:t xml:space="preserve"> in combination with an</w:t>
      </w:r>
      <w:r w:rsidR="00843867">
        <w:t xml:space="preserve"> </w:t>
      </w:r>
      <w:r w:rsidR="00433099">
        <w:t>SGLT2 inhibitor</w:t>
      </w:r>
    </w:p>
    <w:p w14:paraId="25C13E1D" w14:textId="69AB61A8" w:rsidR="00DF7312" w:rsidRDefault="00DF7312" w:rsidP="00A47B67">
      <w:pPr>
        <w:pStyle w:val="Paragraph"/>
        <w:numPr>
          <w:ilvl w:val="1"/>
          <w:numId w:val="26"/>
        </w:numPr>
      </w:pPr>
      <w:r>
        <w:t xml:space="preserve">Removal of the recommendation </w:t>
      </w:r>
      <w:r w:rsidR="00C83680">
        <w:t xml:space="preserve">to use an SGLT2 inhibitor where </w:t>
      </w:r>
      <w:r w:rsidR="00C83680">
        <w:t xml:space="preserve">sulfonylureas, pioglitazone or a </w:t>
      </w:r>
      <w:r w:rsidR="00C83680" w:rsidRPr="00EC54EA">
        <w:t>DPP</w:t>
      </w:r>
      <w:r w:rsidR="00C83680" w:rsidRPr="00EC54EA">
        <w:noBreakHyphen/>
        <w:t>4 inhibitor</w:t>
      </w:r>
      <w:r w:rsidR="00C83680">
        <w:t xml:space="preserve"> are not tolerated</w:t>
      </w:r>
    </w:p>
    <w:p w14:paraId="3D36CB21" w14:textId="4923553C" w:rsidR="00671171" w:rsidRDefault="0015350E" w:rsidP="00BB153D">
      <w:pPr>
        <w:pStyle w:val="Paragraph"/>
        <w:numPr>
          <w:ilvl w:val="0"/>
          <w:numId w:val="26"/>
        </w:numPr>
      </w:pPr>
      <w:r>
        <w:t xml:space="preserve">Following consultation on this draft surveillance review proposal, </w:t>
      </w:r>
      <w:r w:rsidR="00E43331">
        <w:t xml:space="preserve">the proposed updates </w:t>
      </w:r>
      <w:r w:rsidR="00B70F04">
        <w:t xml:space="preserve">to the TAs will be </w:t>
      </w:r>
      <w:r w:rsidR="00A44767">
        <w:t>reviewed</w:t>
      </w:r>
      <w:r w:rsidR="00C464A0">
        <w:t xml:space="preserve"> by</w:t>
      </w:r>
      <w:r w:rsidR="00575991">
        <w:t xml:space="preserve"> a subset of committee members</w:t>
      </w:r>
      <w:r w:rsidR="00C464A0">
        <w:t>:</w:t>
      </w:r>
    </w:p>
    <w:p w14:paraId="24889779" w14:textId="217A8C68" w:rsidR="00C464A0" w:rsidRDefault="00C464A0" w:rsidP="00BB153D">
      <w:pPr>
        <w:pStyle w:val="Paragraph"/>
        <w:numPr>
          <w:ilvl w:val="1"/>
          <w:numId w:val="26"/>
        </w:numPr>
      </w:pPr>
      <w:r>
        <w:t>NICE technology appraisal committee chair and vice chair</w:t>
      </w:r>
    </w:p>
    <w:p w14:paraId="1606D9D7" w14:textId="322B166C" w:rsidR="00C464A0" w:rsidRDefault="00BE34C3" w:rsidP="009A69A5">
      <w:pPr>
        <w:pStyle w:val="Paragraph"/>
        <w:numPr>
          <w:ilvl w:val="1"/>
          <w:numId w:val="26"/>
        </w:numPr>
      </w:pPr>
      <w:r>
        <w:t xml:space="preserve">NICE Type 2 diabetes in adults guideline committee chair </w:t>
      </w:r>
      <w:r w:rsidR="05A9499F">
        <w:t>and</w:t>
      </w:r>
      <w:r w:rsidR="7FB8B789">
        <w:t xml:space="preserve"> vice</w:t>
      </w:r>
      <w:r w:rsidR="213A465A">
        <w:t xml:space="preserve">chair </w:t>
      </w:r>
    </w:p>
    <w:p w14:paraId="3DC901DD" w14:textId="60E78451" w:rsidR="00414F5C" w:rsidRDefault="00DD33F3" w:rsidP="00DD33F3">
      <w:pPr>
        <w:pStyle w:val="Paragraph"/>
        <w:numPr>
          <w:ilvl w:val="0"/>
          <w:numId w:val="0"/>
        </w:numPr>
        <w:ind w:left="1080"/>
      </w:pPr>
      <w:r>
        <w:t>The committee decisions will be based on a consensus decision from the subset of committee</w:t>
      </w:r>
      <w:r w:rsidR="00DB1603">
        <w:t xml:space="preserve"> members.</w:t>
      </w:r>
    </w:p>
    <w:p w14:paraId="1E778F13" w14:textId="31A029A9" w:rsidR="000D48CE" w:rsidRDefault="000D48CE" w:rsidP="00BB153D">
      <w:pPr>
        <w:pStyle w:val="Paragraph"/>
        <w:numPr>
          <w:ilvl w:val="0"/>
          <w:numId w:val="26"/>
        </w:numPr>
      </w:pPr>
      <w:r>
        <w:t xml:space="preserve">For the </w:t>
      </w:r>
      <w:r w:rsidR="00817BF1">
        <w:t xml:space="preserve">proposed proportionate </w:t>
      </w:r>
      <w:r>
        <w:t>decision</w:t>
      </w:r>
      <w:r w:rsidR="00817BF1">
        <w:t>-</w:t>
      </w:r>
      <w:r>
        <w:t>making process,</w:t>
      </w:r>
      <w:r w:rsidR="007C5E45">
        <w:t xml:space="preserve"> the subset of the committee will review the </w:t>
      </w:r>
      <w:r w:rsidR="00D91279">
        <w:t xml:space="preserve">decision made by the guideline committee </w:t>
      </w:r>
      <w:r w:rsidR="00194EE2">
        <w:t>and the proposed updates to the recommendations</w:t>
      </w:r>
      <w:r w:rsidR="007C5E45">
        <w:t>. They will be able to make a recommendation outside of a full committee meeting and no stakeholders will be asked to attend a meeting.</w:t>
      </w:r>
      <w:r w:rsidR="00FE15FA">
        <w:t xml:space="preserve"> </w:t>
      </w:r>
      <w:r w:rsidR="006B7981">
        <w:t xml:space="preserve">This is </w:t>
      </w:r>
      <w:proofErr w:type="gramStart"/>
      <w:r w:rsidR="006B7981">
        <w:t>similar to</w:t>
      </w:r>
      <w:proofErr w:type="gramEnd"/>
      <w:r w:rsidR="006B7981">
        <w:t xml:space="preserve"> the process set out in sections 5.8.23 to 5.8.27 of NICE health technology evaluations: the manual (Committee decisions outside of formal meetings).</w:t>
      </w:r>
    </w:p>
    <w:p w14:paraId="708C6600" w14:textId="2FC7E6E1" w:rsidR="00F10F67" w:rsidRDefault="006A36B9" w:rsidP="00BB153D">
      <w:pPr>
        <w:pStyle w:val="Paragraph"/>
        <w:numPr>
          <w:ilvl w:val="0"/>
          <w:numId w:val="26"/>
        </w:numPr>
      </w:pPr>
      <w:r>
        <w:t>If the need arises, e</w:t>
      </w:r>
      <w:r w:rsidR="00F10F67" w:rsidRPr="00F10F67">
        <w:t xml:space="preserve">xperts or other members of the </w:t>
      </w:r>
      <w:r w:rsidR="000437C9">
        <w:t xml:space="preserve">NICE </w:t>
      </w:r>
      <w:r w:rsidR="00F10F67" w:rsidRPr="00F10F67">
        <w:t>committee</w:t>
      </w:r>
      <w:r w:rsidR="000437C9">
        <w:t>s</w:t>
      </w:r>
      <w:r w:rsidR="00F10F67" w:rsidRPr="00F10F67">
        <w:t xml:space="preserve"> may be invited to contribute on a case-by-case basis. This will be if, in the opinion of the subset of committee or the NICE team, they are needed to address specific questions.</w:t>
      </w:r>
    </w:p>
    <w:p w14:paraId="177BD1EF" w14:textId="7C805B65" w:rsidR="00E76021" w:rsidRDefault="00E76021" w:rsidP="00BB153D">
      <w:pPr>
        <w:pStyle w:val="Paragraph"/>
        <w:numPr>
          <w:ilvl w:val="0"/>
          <w:numId w:val="26"/>
        </w:numPr>
      </w:pPr>
      <w:r>
        <w:t>The subset of committee will be asked to consider the following questions when considering whether they are able to make a recommendation to update the TAs (TA315, TA336, TA572)</w:t>
      </w:r>
      <w:r w:rsidR="006F5F20">
        <w:t>:</w:t>
      </w:r>
    </w:p>
    <w:p w14:paraId="51B1FA55" w14:textId="1EB2914F" w:rsidR="00570703" w:rsidRDefault="00DC2072" w:rsidP="00DC2072">
      <w:pPr>
        <w:pStyle w:val="Paragraph"/>
        <w:numPr>
          <w:ilvl w:val="1"/>
          <w:numId w:val="26"/>
        </w:numPr>
      </w:pPr>
      <w:r>
        <w:lastRenderedPageBreak/>
        <w:t xml:space="preserve">Is the </w:t>
      </w:r>
      <w:r w:rsidR="0002339A">
        <w:t>update to guideline NG28 a suitable ba</w:t>
      </w:r>
      <w:r w:rsidR="00C859D5">
        <w:t>sis</w:t>
      </w:r>
      <w:r w:rsidR="00C52972">
        <w:t xml:space="preserve"> on which to make the decision</w:t>
      </w:r>
      <w:r w:rsidR="00C859D5">
        <w:t xml:space="preserve"> </w:t>
      </w:r>
      <w:r w:rsidR="00C52972">
        <w:t>to update the TAs?</w:t>
      </w:r>
    </w:p>
    <w:p w14:paraId="7B671D18" w14:textId="50D51A6F" w:rsidR="00677563" w:rsidRPr="00492829" w:rsidRDefault="00677563" w:rsidP="00ED22BF">
      <w:pPr>
        <w:pStyle w:val="Paragraph"/>
        <w:numPr>
          <w:ilvl w:val="1"/>
          <w:numId w:val="26"/>
        </w:numPr>
      </w:pPr>
      <w:r w:rsidRPr="00ED22BF">
        <w:t>Are there any uncertainties associated with updating the TAs to align with NG28? </w:t>
      </w:r>
    </w:p>
    <w:p w14:paraId="757897AC" w14:textId="3C3583CE" w:rsidR="00835B4E" w:rsidRDefault="00835B4E" w:rsidP="00BB153D">
      <w:pPr>
        <w:pStyle w:val="Paragraph"/>
        <w:numPr>
          <w:ilvl w:val="0"/>
          <w:numId w:val="26"/>
        </w:numPr>
      </w:pPr>
      <w:r>
        <w:t xml:space="preserve">If the subset of committee </w:t>
      </w:r>
      <w:proofErr w:type="gramStart"/>
      <w:r>
        <w:t>is able to</w:t>
      </w:r>
      <w:proofErr w:type="gramEnd"/>
      <w:r>
        <w:t xml:space="preserve"> make a recommendation</w:t>
      </w:r>
      <w:r w:rsidR="001D027B">
        <w:t xml:space="preserve"> to update the TAs</w:t>
      </w:r>
      <w:r w:rsidR="00D34E25">
        <w:t xml:space="preserve"> (</w:t>
      </w:r>
      <w:r w:rsidR="003F4866">
        <w:t>TA315, TA336, TA</w:t>
      </w:r>
      <w:r w:rsidR="001E0AEB">
        <w:t>572)</w:t>
      </w:r>
      <w:r w:rsidR="001D027B">
        <w:t xml:space="preserve"> in line with the updates to the NICE guideline</w:t>
      </w:r>
      <w:r w:rsidR="00DC7DA0">
        <w:t xml:space="preserve">, the recommendations will be updated </w:t>
      </w:r>
      <w:r w:rsidR="000B13F6">
        <w:t>and final draft guidance</w:t>
      </w:r>
      <w:r w:rsidR="00500C72">
        <w:t xml:space="preserve"> (subject to fact checking and appeal)</w:t>
      </w:r>
      <w:r w:rsidR="000B13F6">
        <w:t xml:space="preserve"> will be published on the NICE website.</w:t>
      </w:r>
    </w:p>
    <w:p w14:paraId="088366D0" w14:textId="6E9CA2CA" w:rsidR="00D52A0B" w:rsidRDefault="00D52A0B" w:rsidP="00BB153D">
      <w:pPr>
        <w:pStyle w:val="Paragraph"/>
        <w:numPr>
          <w:ilvl w:val="1"/>
          <w:numId w:val="26"/>
        </w:numPr>
      </w:pPr>
      <w:r>
        <w:t>The funding mandate will apply to the recommendation in the updated TA.</w:t>
      </w:r>
    </w:p>
    <w:p w14:paraId="1A3B2330" w14:textId="033AD441" w:rsidR="007600F8" w:rsidRDefault="007600F8" w:rsidP="00BB153D">
      <w:pPr>
        <w:pStyle w:val="Paragraph"/>
        <w:numPr>
          <w:ilvl w:val="1"/>
          <w:numId w:val="26"/>
        </w:numPr>
      </w:pPr>
      <w:r>
        <w:t>The previous final guidance document and associated evidence will be archived.</w:t>
      </w:r>
    </w:p>
    <w:p w14:paraId="334C2C1F" w14:textId="5D79BF43" w:rsidR="001E0AEB" w:rsidRDefault="001E0AEB" w:rsidP="002C2500">
      <w:pPr>
        <w:pStyle w:val="Paragraph"/>
        <w:numPr>
          <w:ilvl w:val="0"/>
          <w:numId w:val="26"/>
        </w:numPr>
      </w:pPr>
      <w:r>
        <w:t xml:space="preserve">If the subset of committee </w:t>
      </w:r>
      <w:r w:rsidR="001F74D7">
        <w:t>considers that it is appropriate to</w:t>
      </w:r>
      <w:r>
        <w:t xml:space="preserve"> withdraw the TAs</w:t>
      </w:r>
      <w:r w:rsidR="00244ED2">
        <w:t xml:space="preserve"> (</w:t>
      </w:r>
      <w:r w:rsidR="00562240">
        <w:t xml:space="preserve">TA288, </w:t>
      </w:r>
      <w:r w:rsidR="00244ED2">
        <w:t>TA390, TA</w:t>
      </w:r>
      <w:r w:rsidR="0017597A">
        <w:t>418, TA583)</w:t>
      </w:r>
      <w:r w:rsidR="00F767F5">
        <w:t>, these will be archived.</w:t>
      </w:r>
    </w:p>
    <w:p w14:paraId="4BF8903C" w14:textId="7AE4C384" w:rsidR="00BC45C0" w:rsidRDefault="00F6570B" w:rsidP="00BB153D">
      <w:pPr>
        <w:pStyle w:val="Paragraph"/>
        <w:numPr>
          <w:ilvl w:val="0"/>
          <w:numId w:val="26"/>
        </w:numPr>
      </w:pPr>
      <w:r>
        <w:t xml:space="preserve">If the subset of committee concludes that </w:t>
      </w:r>
      <w:r w:rsidR="00E0231C">
        <w:t>it cannot make a recommendation in line with the draft updates to the NICE guideline (NG28)</w:t>
      </w:r>
      <w:r w:rsidR="00E71125">
        <w:t>, as outline</w:t>
      </w:r>
      <w:r w:rsidR="0017597A">
        <w:t>d</w:t>
      </w:r>
      <w:r w:rsidR="00E71125">
        <w:t xml:space="preserve"> in this draft surveillance review proposal</w:t>
      </w:r>
      <w:r w:rsidR="00CA76DC">
        <w:t xml:space="preserve">, </w:t>
      </w:r>
      <w:r w:rsidR="00BC45C0">
        <w:t>NICE will consider</w:t>
      </w:r>
      <w:r w:rsidR="00F6573F">
        <w:t xml:space="preserve"> alternative approaches to updating the </w:t>
      </w:r>
      <w:proofErr w:type="spellStart"/>
      <w:r w:rsidR="00F6573F">
        <w:t>TAs.</w:t>
      </w:r>
      <w:proofErr w:type="spellEnd"/>
      <w:r w:rsidR="00F6573F">
        <w:t xml:space="preserve"> This may include </w:t>
      </w:r>
      <w:r w:rsidR="002F5B19">
        <w:t xml:space="preserve">making no changes to the TAs, withdrawing the TAs or </w:t>
      </w:r>
      <w:r w:rsidR="00D6373A">
        <w:t>rerouting to the standard process.</w:t>
      </w:r>
      <w:r w:rsidR="00E30455">
        <w:t xml:space="preserve"> </w:t>
      </w:r>
    </w:p>
    <w:p w14:paraId="78D0A5B4" w14:textId="3F35D356" w:rsidR="00DE334F" w:rsidRDefault="00C92495" w:rsidP="00A4265E">
      <w:pPr>
        <w:pStyle w:val="Heading2"/>
      </w:pPr>
      <w:r>
        <w:t>Marketing authorisation indication</w:t>
      </w:r>
    </w:p>
    <w:p w14:paraId="420CF20C" w14:textId="6A5D3AF5" w:rsidR="00ED06E6" w:rsidRPr="0075575F" w:rsidRDefault="004055F7" w:rsidP="00BB153D">
      <w:pPr>
        <w:pStyle w:val="Paragraph"/>
        <w:numPr>
          <w:ilvl w:val="0"/>
          <w:numId w:val="0"/>
        </w:numPr>
      </w:pPr>
      <w:r>
        <w:t xml:space="preserve">The marketing authorisations for </w:t>
      </w:r>
      <w:r w:rsidR="001C0D8E" w:rsidRPr="0075575F">
        <w:t>canagliflozin, dapagliflozin, empagliflozin and ertugliflozin</w:t>
      </w:r>
      <w:r>
        <w:t xml:space="preserve"> are</w:t>
      </w:r>
      <w:r w:rsidR="001C0D8E" w:rsidRPr="0075575F">
        <w:t xml:space="preserve"> reported in </w:t>
      </w:r>
      <w:r w:rsidR="00760BD4">
        <w:t>Table 2</w:t>
      </w:r>
      <w:r w:rsidR="00D856BE" w:rsidRPr="0075575F">
        <w:fldChar w:fldCharType="begin"/>
      </w:r>
      <w:r w:rsidR="00D856BE" w:rsidRPr="0075575F">
        <w:instrText xml:space="preserve"> REF _Ref215490581 \h </w:instrText>
      </w:r>
      <w:r w:rsidR="0075575F">
        <w:instrText xml:space="preserve"> \* MERGEFORMAT </w:instrText>
      </w:r>
      <w:r w:rsidR="00D856BE" w:rsidRPr="0075575F">
        <w:fldChar w:fldCharType="separate"/>
      </w:r>
      <w:r w:rsidR="00D856BE" w:rsidRPr="0075575F">
        <w:fldChar w:fldCharType="end"/>
      </w:r>
      <w:r w:rsidR="0075575F" w:rsidRPr="0075575F">
        <w:t>.</w:t>
      </w:r>
    </w:p>
    <w:p w14:paraId="09A53A92" w14:textId="63866F3F" w:rsidR="00ED06E6" w:rsidRDefault="00ED06E6" w:rsidP="00BB153D">
      <w:pPr>
        <w:pStyle w:val="Heading3"/>
      </w:pPr>
      <w:bookmarkStart w:id="2" w:name="_Ref215490581"/>
      <w:r>
        <w:t xml:space="preserve">Table </w:t>
      </w:r>
      <w:r w:rsidR="00760BD4">
        <w:t>2</w:t>
      </w:r>
      <w:r>
        <w:fldChar w:fldCharType="begin"/>
      </w:r>
      <w:r>
        <w:instrText xml:space="preserve"> SEQ Table \* ARABIC </w:instrText>
      </w:r>
      <w:r>
        <w:fldChar w:fldCharType="separate"/>
      </w:r>
      <w:r>
        <w:fldChar w:fldCharType="end"/>
      </w:r>
      <w:bookmarkEnd w:id="2"/>
      <w:r>
        <w:t>: Marketing authorisation indication</w:t>
      </w:r>
    </w:p>
    <w:tbl>
      <w:tblPr>
        <w:tblStyle w:val="TableGrid"/>
        <w:tblW w:w="5000" w:type="pct"/>
        <w:tblLook w:val="04A0" w:firstRow="1" w:lastRow="0" w:firstColumn="1" w:lastColumn="0" w:noHBand="0" w:noVBand="1"/>
      </w:tblPr>
      <w:tblGrid>
        <w:gridCol w:w="1645"/>
        <w:gridCol w:w="7371"/>
      </w:tblGrid>
      <w:tr w:rsidR="00C92495" w14:paraId="69472A06" w14:textId="77777777" w:rsidTr="1E8B570E">
        <w:tc>
          <w:tcPr>
            <w:tcW w:w="912" w:type="pct"/>
          </w:tcPr>
          <w:p w14:paraId="31D81BEA" w14:textId="6C420CD7" w:rsidR="00C92495" w:rsidRPr="00BB153D" w:rsidRDefault="006B6897" w:rsidP="00BB153D">
            <w:pPr>
              <w:pStyle w:val="Paragraphnonumbers"/>
              <w:spacing w:after="0"/>
              <w:rPr>
                <w:rFonts w:cs="Arial"/>
                <w:b/>
                <w:bCs/>
                <w:sz w:val="22"/>
                <w:szCs w:val="22"/>
              </w:rPr>
            </w:pPr>
            <w:r w:rsidRPr="00BB153D">
              <w:rPr>
                <w:rFonts w:cs="Arial"/>
                <w:b/>
                <w:bCs/>
                <w:sz w:val="22"/>
                <w:szCs w:val="22"/>
              </w:rPr>
              <w:t>SGLT2i</w:t>
            </w:r>
          </w:p>
        </w:tc>
        <w:tc>
          <w:tcPr>
            <w:tcW w:w="4088" w:type="pct"/>
          </w:tcPr>
          <w:p w14:paraId="4AB3A82A" w14:textId="473C7513" w:rsidR="00C92495" w:rsidRPr="00BB153D" w:rsidRDefault="006B6897" w:rsidP="00BB153D">
            <w:pPr>
              <w:pStyle w:val="Paragraphnonumbers"/>
              <w:spacing w:after="0"/>
              <w:rPr>
                <w:rFonts w:cs="Arial"/>
                <w:b/>
                <w:bCs/>
                <w:sz w:val="22"/>
                <w:szCs w:val="22"/>
              </w:rPr>
            </w:pPr>
            <w:r w:rsidRPr="00BB153D">
              <w:rPr>
                <w:rFonts w:cs="Arial"/>
                <w:b/>
                <w:bCs/>
                <w:sz w:val="22"/>
                <w:szCs w:val="22"/>
              </w:rPr>
              <w:t>Indication</w:t>
            </w:r>
          </w:p>
        </w:tc>
      </w:tr>
      <w:tr w:rsidR="006B6897" w14:paraId="107494C1" w14:textId="77777777" w:rsidTr="1E8B570E">
        <w:tc>
          <w:tcPr>
            <w:tcW w:w="912" w:type="pct"/>
          </w:tcPr>
          <w:p w14:paraId="38C192D7" w14:textId="7FCEEC8A" w:rsidR="006B6897" w:rsidRPr="00BB153D" w:rsidRDefault="006B6897" w:rsidP="00BB153D">
            <w:pPr>
              <w:pStyle w:val="Paragraph"/>
              <w:numPr>
                <w:ilvl w:val="0"/>
                <w:numId w:val="0"/>
              </w:numPr>
              <w:spacing w:after="0"/>
              <w:rPr>
                <w:sz w:val="22"/>
                <w:szCs w:val="22"/>
              </w:rPr>
            </w:pPr>
            <w:r w:rsidRPr="00BB153D">
              <w:rPr>
                <w:sz w:val="22"/>
                <w:szCs w:val="22"/>
              </w:rPr>
              <w:t>Canagliflozin</w:t>
            </w:r>
          </w:p>
        </w:tc>
        <w:tc>
          <w:tcPr>
            <w:tcW w:w="4088" w:type="pct"/>
          </w:tcPr>
          <w:p w14:paraId="74EC2D94" w14:textId="156B154D" w:rsidR="00805C02" w:rsidRPr="00BB153D" w:rsidRDefault="3B78ECCD" w:rsidP="00BB153D">
            <w:pPr>
              <w:pStyle w:val="Paragraph"/>
              <w:numPr>
                <w:ilvl w:val="0"/>
                <w:numId w:val="0"/>
              </w:numPr>
              <w:spacing w:after="0"/>
              <w:rPr>
                <w:sz w:val="22"/>
                <w:szCs w:val="22"/>
              </w:rPr>
            </w:pPr>
            <w:r w:rsidRPr="1E8B570E">
              <w:rPr>
                <w:sz w:val="22"/>
                <w:szCs w:val="22"/>
              </w:rPr>
              <w:t>Invokana is indicated for the treatment of adults</w:t>
            </w:r>
            <w:r w:rsidR="7FCC4861" w:rsidRPr="1E8B570E">
              <w:rPr>
                <w:sz w:val="22"/>
                <w:szCs w:val="22"/>
              </w:rPr>
              <w:t xml:space="preserve"> and children aged 10 years and older</w:t>
            </w:r>
            <w:r w:rsidRPr="1E8B570E">
              <w:rPr>
                <w:sz w:val="22"/>
                <w:szCs w:val="22"/>
              </w:rPr>
              <w:t xml:space="preserve"> with insufficiently controlled type 2 diabetes mellitus as an adjunct to diet and exercise: </w:t>
            </w:r>
          </w:p>
          <w:p w14:paraId="239D77D6" w14:textId="77777777" w:rsidR="00805C02" w:rsidRPr="00BB153D" w:rsidRDefault="00805C02" w:rsidP="00BB153D">
            <w:pPr>
              <w:pStyle w:val="Paragraph"/>
              <w:numPr>
                <w:ilvl w:val="0"/>
                <w:numId w:val="0"/>
              </w:numPr>
              <w:spacing w:after="0"/>
              <w:rPr>
                <w:sz w:val="22"/>
                <w:szCs w:val="22"/>
              </w:rPr>
            </w:pPr>
            <w:r w:rsidRPr="00BB153D">
              <w:rPr>
                <w:sz w:val="22"/>
                <w:szCs w:val="22"/>
              </w:rPr>
              <w:t>- as monotherapy when metformin is considered inappropriate due to intolerance or contraindications </w:t>
            </w:r>
          </w:p>
          <w:p w14:paraId="752B1293" w14:textId="6A968D76" w:rsidR="006B6897" w:rsidRPr="00BB153D" w:rsidRDefault="00805C02" w:rsidP="00BB153D">
            <w:pPr>
              <w:pStyle w:val="Paragraph"/>
              <w:numPr>
                <w:ilvl w:val="0"/>
                <w:numId w:val="0"/>
              </w:numPr>
              <w:spacing w:after="0"/>
              <w:rPr>
                <w:sz w:val="22"/>
                <w:szCs w:val="22"/>
              </w:rPr>
            </w:pPr>
            <w:r w:rsidRPr="00BB153D">
              <w:rPr>
                <w:sz w:val="22"/>
                <w:szCs w:val="22"/>
              </w:rPr>
              <w:t>- in addition to other medicinal products for the treatment of diabetes. </w:t>
            </w:r>
          </w:p>
        </w:tc>
      </w:tr>
      <w:tr w:rsidR="00C92495" w14:paraId="502ECCC6" w14:textId="77777777" w:rsidTr="1E8B570E">
        <w:tc>
          <w:tcPr>
            <w:tcW w:w="912" w:type="pct"/>
          </w:tcPr>
          <w:p w14:paraId="6A240F0E" w14:textId="33C32D97" w:rsidR="00C92495" w:rsidRPr="00BB153D" w:rsidRDefault="006B6897" w:rsidP="00BB153D">
            <w:pPr>
              <w:pStyle w:val="Paragraph"/>
              <w:numPr>
                <w:ilvl w:val="0"/>
                <w:numId w:val="0"/>
              </w:numPr>
              <w:spacing w:after="0"/>
              <w:rPr>
                <w:sz w:val="22"/>
                <w:szCs w:val="22"/>
              </w:rPr>
            </w:pPr>
            <w:r w:rsidRPr="00BB153D">
              <w:rPr>
                <w:sz w:val="22"/>
                <w:szCs w:val="22"/>
              </w:rPr>
              <w:t>Dapagliflozin</w:t>
            </w:r>
          </w:p>
        </w:tc>
        <w:tc>
          <w:tcPr>
            <w:tcW w:w="4088" w:type="pct"/>
          </w:tcPr>
          <w:p w14:paraId="4A44A036" w14:textId="77777777" w:rsidR="00CE6ABD" w:rsidRPr="00BB153D" w:rsidRDefault="00CE6ABD" w:rsidP="00BB153D">
            <w:pPr>
              <w:pStyle w:val="Paragraph"/>
              <w:numPr>
                <w:ilvl w:val="0"/>
                <w:numId w:val="0"/>
              </w:numPr>
              <w:spacing w:after="0"/>
              <w:rPr>
                <w:sz w:val="22"/>
                <w:szCs w:val="22"/>
              </w:rPr>
            </w:pPr>
            <w:r w:rsidRPr="00BB153D">
              <w:rPr>
                <w:sz w:val="22"/>
                <w:szCs w:val="22"/>
              </w:rPr>
              <w:t>Dapagliflozin is indicated in adults and children aged 10 years and above for the treatment of insufficiently controlled type 2 diabetes mellitus as an adjunct to diet and exercise </w:t>
            </w:r>
          </w:p>
          <w:p w14:paraId="45C317FA" w14:textId="77777777" w:rsidR="00CE6ABD" w:rsidRPr="00BB153D" w:rsidRDefault="00CE6ABD" w:rsidP="00BB153D">
            <w:pPr>
              <w:pStyle w:val="Paragraph"/>
              <w:numPr>
                <w:ilvl w:val="0"/>
                <w:numId w:val="0"/>
              </w:numPr>
              <w:spacing w:after="0"/>
              <w:rPr>
                <w:sz w:val="22"/>
                <w:szCs w:val="22"/>
              </w:rPr>
            </w:pPr>
            <w:r w:rsidRPr="00BB153D">
              <w:rPr>
                <w:sz w:val="22"/>
                <w:szCs w:val="22"/>
              </w:rPr>
              <w:t>- as monotherapy when metformin is considered inappropriate due to intolerance. </w:t>
            </w:r>
          </w:p>
          <w:p w14:paraId="046274FD" w14:textId="35FD2932" w:rsidR="00C92495" w:rsidRPr="00BB153D" w:rsidRDefault="00CE6ABD" w:rsidP="00BB153D">
            <w:pPr>
              <w:pStyle w:val="Paragraph"/>
              <w:numPr>
                <w:ilvl w:val="0"/>
                <w:numId w:val="0"/>
              </w:numPr>
              <w:spacing w:after="0"/>
              <w:rPr>
                <w:sz w:val="22"/>
                <w:szCs w:val="22"/>
              </w:rPr>
            </w:pPr>
            <w:r w:rsidRPr="00BB153D">
              <w:rPr>
                <w:sz w:val="22"/>
                <w:szCs w:val="22"/>
              </w:rPr>
              <w:t>- in addition to other medicinal products for the treatment of type 2 diabetes. </w:t>
            </w:r>
          </w:p>
        </w:tc>
      </w:tr>
      <w:tr w:rsidR="00C92495" w14:paraId="6C14F95A" w14:textId="77777777" w:rsidTr="1E8B570E">
        <w:tc>
          <w:tcPr>
            <w:tcW w:w="912" w:type="pct"/>
          </w:tcPr>
          <w:p w14:paraId="2E72B0FB" w14:textId="26FF770B" w:rsidR="00C92495" w:rsidRPr="00BB153D" w:rsidRDefault="006B6897" w:rsidP="00BB153D">
            <w:pPr>
              <w:pStyle w:val="Paragraph"/>
              <w:numPr>
                <w:ilvl w:val="0"/>
                <w:numId w:val="0"/>
              </w:numPr>
              <w:spacing w:after="0"/>
              <w:rPr>
                <w:sz w:val="22"/>
                <w:szCs w:val="22"/>
              </w:rPr>
            </w:pPr>
            <w:r w:rsidRPr="00BB153D">
              <w:rPr>
                <w:sz w:val="22"/>
                <w:szCs w:val="22"/>
              </w:rPr>
              <w:lastRenderedPageBreak/>
              <w:t>Empagliflozin</w:t>
            </w:r>
          </w:p>
        </w:tc>
        <w:tc>
          <w:tcPr>
            <w:tcW w:w="4088" w:type="pct"/>
          </w:tcPr>
          <w:p w14:paraId="1F50AA24" w14:textId="77777777" w:rsidR="00B66264" w:rsidRPr="00BB153D" w:rsidRDefault="00B66264" w:rsidP="00BB153D">
            <w:pPr>
              <w:pStyle w:val="Paragraph"/>
              <w:numPr>
                <w:ilvl w:val="0"/>
                <w:numId w:val="0"/>
              </w:numPr>
              <w:spacing w:after="0"/>
              <w:rPr>
                <w:sz w:val="22"/>
                <w:szCs w:val="22"/>
              </w:rPr>
            </w:pPr>
            <w:r w:rsidRPr="00BB153D">
              <w:rPr>
                <w:sz w:val="22"/>
                <w:szCs w:val="22"/>
              </w:rPr>
              <w:t>Jardiance is indicated in adults and children aged 10 years and above for the treatment of insufficiently controlled type 2 diabetes mellitus as an adjunct to diet and exercise </w:t>
            </w:r>
          </w:p>
          <w:p w14:paraId="749BF334" w14:textId="224A8E3E" w:rsidR="00B66264" w:rsidRPr="00BB153D" w:rsidRDefault="00B66264" w:rsidP="00BB153D">
            <w:pPr>
              <w:pStyle w:val="Paragraph"/>
              <w:numPr>
                <w:ilvl w:val="0"/>
                <w:numId w:val="0"/>
              </w:numPr>
              <w:spacing w:after="0"/>
              <w:rPr>
                <w:sz w:val="22"/>
                <w:szCs w:val="22"/>
              </w:rPr>
            </w:pPr>
            <w:r w:rsidRPr="00BB153D">
              <w:rPr>
                <w:sz w:val="22"/>
                <w:szCs w:val="22"/>
              </w:rPr>
              <w:t>- as monotherapy when metformin is considered inappropriate due to intolerance </w:t>
            </w:r>
          </w:p>
          <w:p w14:paraId="00FC59FD" w14:textId="392E888F" w:rsidR="00C92495" w:rsidRPr="00BB153D" w:rsidRDefault="00B66264" w:rsidP="00BB153D">
            <w:pPr>
              <w:pStyle w:val="Paragraph"/>
              <w:numPr>
                <w:ilvl w:val="0"/>
                <w:numId w:val="0"/>
              </w:numPr>
              <w:spacing w:after="0"/>
              <w:rPr>
                <w:sz w:val="22"/>
                <w:szCs w:val="22"/>
              </w:rPr>
            </w:pPr>
            <w:r w:rsidRPr="00BB153D">
              <w:rPr>
                <w:sz w:val="22"/>
                <w:szCs w:val="22"/>
              </w:rPr>
              <w:t>- in addition to other medicinal products for the treatment of diabetes</w:t>
            </w:r>
            <w:r w:rsidR="00ED06E6" w:rsidRPr="00BB153D">
              <w:rPr>
                <w:sz w:val="22"/>
                <w:szCs w:val="22"/>
              </w:rPr>
              <w:t>.</w:t>
            </w:r>
            <w:r w:rsidRPr="00BB153D">
              <w:rPr>
                <w:sz w:val="22"/>
                <w:szCs w:val="22"/>
              </w:rPr>
              <w:t> </w:t>
            </w:r>
          </w:p>
        </w:tc>
      </w:tr>
      <w:tr w:rsidR="00C92495" w14:paraId="7002FE6B" w14:textId="77777777" w:rsidTr="1E8B570E">
        <w:tc>
          <w:tcPr>
            <w:tcW w:w="912" w:type="pct"/>
          </w:tcPr>
          <w:p w14:paraId="7BAEE59B" w14:textId="038E76E8" w:rsidR="00C92495" w:rsidRPr="00BB153D" w:rsidRDefault="006B6897" w:rsidP="00BB153D">
            <w:pPr>
              <w:pStyle w:val="Paragraph"/>
              <w:numPr>
                <w:ilvl w:val="0"/>
                <w:numId w:val="0"/>
              </w:numPr>
              <w:spacing w:after="0"/>
              <w:rPr>
                <w:sz w:val="22"/>
                <w:szCs w:val="22"/>
              </w:rPr>
            </w:pPr>
            <w:r w:rsidRPr="00BB153D">
              <w:rPr>
                <w:sz w:val="22"/>
                <w:szCs w:val="22"/>
              </w:rPr>
              <w:t>Ertugl</w:t>
            </w:r>
            <w:r w:rsidR="00592A27" w:rsidRPr="00BB153D">
              <w:rPr>
                <w:sz w:val="22"/>
                <w:szCs w:val="22"/>
              </w:rPr>
              <w:t>iflozin</w:t>
            </w:r>
          </w:p>
        </w:tc>
        <w:tc>
          <w:tcPr>
            <w:tcW w:w="4088" w:type="pct"/>
          </w:tcPr>
          <w:p w14:paraId="6F9B0CC0" w14:textId="77777777" w:rsidR="00594B2C" w:rsidRPr="00BB153D" w:rsidRDefault="00594B2C" w:rsidP="00BB153D">
            <w:pPr>
              <w:pStyle w:val="Paragraph"/>
              <w:numPr>
                <w:ilvl w:val="0"/>
                <w:numId w:val="0"/>
              </w:numPr>
              <w:spacing w:after="0"/>
              <w:rPr>
                <w:sz w:val="22"/>
                <w:szCs w:val="22"/>
              </w:rPr>
            </w:pPr>
            <w:proofErr w:type="spellStart"/>
            <w:r w:rsidRPr="00BB153D">
              <w:rPr>
                <w:sz w:val="22"/>
                <w:szCs w:val="22"/>
              </w:rPr>
              <w:t>Steglatro</w:t>
            </w:r>
            <w:proofErr w:type="spellEnd"/>
            <w:r w:rsidRPr="00BB153D">
              <w:rPr>
                <w:sz w:val="22"/>
                <w:szCs w:val="22"/>
              </w:rPr>
              <w:t xml:space="preserve"> is indicated for the treatment of adults with insufficiently controlled type 2 diabetes mellitus as an adjunct to diet and exercise: </w:t>
            </w:r>
          </w:p>
          <w:p w14:paraId="2A4527F3" w14:textId="5E40AE3E" w:rsidR="00594B2C" w:rsidRPr="00BB153D" w:rsidRDefault="00ED06E6" w:rsidP="00BB153D">
            <w:pPr>
              <w:pStyle w:val="Paragraph"/>
              <w:numPr>
                <w:ilvl w:val="0"/>
                <w:numId w:val="0"/>
              </w:numPr>
              <w:spacing w:after="0"/>
              <w:rPr>
                <w:sz w:val="22"/>
                <w:szCs w:val="22"/>
              </w:rPr>
            </w:pPr>
            <w:r w:rsidRPr="00BB153D">
              <w:rPr>
                <w:sz w:val="22"/>
                <w:szCs w:val="22"/>
              </w:rPr>
              <w:t>-</w:t>
            </w:r>
            <w:r w:rsidR="00594B2C" w:rsidRPr="00BB153D">
              <w:rPr>
                <w:sz w:val="22"/>
                <w:szCs w:val="22"/>
              </w:rPr>
              <w:t xml:space="preserve"> as monotherapy when metformin is considered inappropriate due to intolerance or contraindications. </w:t>
            </w:r>
          </w:p>
          <w:p w14:paraId="7FAB770C" w14:textId="5DB70335" w:rsidR="00C92495" w:rsidRPr="00BB153D" w:rsidRDefault="00ED06E6" w:rsidP="00BB153D">
            <w:pPr>
              <w:pStyle w:val="Paragraph"/>
              <w:numPr>
                <w:ilvl w:val="0"/>
                <w:numId w:val="0"/>
              </w:numPr>
              <w:spacing w:after="0"/>
              <w:rPr>
                <w:sz w:val="22"/>
                <w:szCs w:val="22"/>
              </w:rPr>
            </w:pPr>
            <w:r w:rsidRPr="00BB153D">
              <w:rPr>
                <w:sz w:val="22"/>
                <w:szCs w:val="22"/>
              </w:rPr>
              <w:t>-</w:t>
            </w:r>
            <w:r w:rsidR="00594B2C" w:rsidRPr="00BB153D">
              <w:rPr>
                <w:sz w:val="22"/>
                <w:szCs w:val="22"/>
              </w:rPr>
              <w:t xml:space="preserve"> in addition to other medicinal products for the treatment of diabetes. </w:t>
            </w:r>
          </w:p>
        </w:tc>
      </w:tr>
    </w:tbl>
    <w:p w14:paraId="13819ECF" w14:textId="77777777" w:rsidR="0075575F" w:rsidRDefault="0075575F" w:rsidP="00ED22BF">
      <w:pPr>
        <w:pStyle w:val="Paragraph"/>
        <w:numPr>
          <w:ilvl w:val="0"/>
          <w:numId w:val="0"/>
        </w:numPr>
        <w:ind w:left="360" w:hanging="360"/>
      </w:pPr>
    </w:p>
    <w:p w14:paraId="2EF93D9B" w14:textId="35E3A228" w:rsidR="00C654E4" w:rsidRDefault="00C654E4" w:rsidP="00A4265E">
      <w:pPr>
        <w:pStyle w:val="Heading2"/>
      </w:pPr>
      <w:r>
        <w:t>Questions for consultation</w:t>
      </w:r>
    </w:p>
    <w:p w14:paraId="779149E3" w14:textId="0A6BD5CA" w:rsidR="007C5D72" w:rsidRDefault="007C5D72" w:rsidP="007C5D72">
      <w:pPr>
        <w:spacing w:before="120" w:after="120" w:line="360" w:lineRule="auto"/>
        <w:rPr>
          <w:rFonts w:ascii="Arial" w:hAnsi="Arial" w:cs="Arial"/>
          <w:lang w:eastAsia="en-US"/>
        </w:rPr>
      </w:pPr>
      <w:r w:rsidRPr="31431C2B">
        <w:rPr>
          <w:rFonts w:ascii="Arial" w:hAnsi="Arial" w:cs="Arial"/>
          <w:lang w:eastAsia="en-US"/>
        </w:rPr>
        <w:t xml:space="preserve">Is the proposed process for </w:t>
      </w:r>
      <w:r w:rsidRPr="01764B31">
        <w:rPr>
          <w:rFonts w:ascii="Arial" w:hAnsi="Arial" w:cs="Arial"/>
          <w:lang w:eastAsia="en-US"/>
        </w:rPr>
        <w:t>updating</w:t>
      </w:r>
      <w:r w:rsidR="006F1C5F">
        <w:rPr>
          <w:rFonts w:ascii="Arial" w:hAnsi="Arial" w:cs="Arial"/>
          <w:lang w:eastAsia="en-US"/>
        </w:rPr>
        <w:t xml:space="preserve"> and withdrawing</w:t>
      </w:r>
      <w:r w:rsidRPr="01764B31">
        <w:rPr>
          <w:rFonts w:ascii="Arial" w:hAnsi="Arial" w:cs="Arial"/>
          <w:lang w:eastAsia="en-US"/>
        </w:rPr>
        <w:t xml:space="preserve"> the TAs appropriate to achieve useful and usable guidance?</w:t>
      </w:r>
    </w:p>
    <w:p w14:paraId="1BCC7AC2" w14:textId="77777777" w:rsidR="007C5D72" w:rsidRDefault="007C5D72" w:rsidP="007C5D72">
      <w:pPr>
        <w:spacing w:before="120" w:after="120" w:line="360" w:lineRule="auto"/>
        <w:rPr>
          <w:rFonts w:ascii="Arial" w:hAnsi="Arial" w:cs="Arial"/>
          <w:lang w:eastAsia="en-US"/>
        </w:rPr>
      </w:pPr>
      <w:r w:rsidRPr="01764B31">
        <w:rPr>
          <w:rFonts w:ascii="Arial" w:hAnsi="Arial" w:cs="Arial"/>
          <w:lang w:eastAsia="en-US"/>
        </w:rPr>
        <w:t>Is the proposed process sufficiently clear</w:t>
      </w:r>
      <w:r w:rsidRPr="72E1621F">
        <w:rPr>
          <w:rFonts w:ascii="Arial" w:hAnsi="Arial" w:cs="Arial"/>
          <w:lang w:eastAsia="en-US"/>
        </w:rPr>
        <w:t>? Are further details of the proposed process required by stakeholders</w:t>
      </w:r>
      <w:r w:rsidRPr="3D2D4B22">
        <w:rPr>
          <w:rFonts w:ascii="Arial" w:hAnsi="Arial" w:cs="Arial"/>
          <w:lang w:eastAsia="en-US"/>
        </w:rPr>
        <w:t>?</w:t>
      </w:r>
    </w:p>
    <w:p w14:paraId="0E8E3088" w14:textId="77777777" w:rsidR="007C5D72" w:rsidRDefault="007C5D72" w:rsidP="007C5D72">
      <w:pPr>
        <w:spacing w:before="120" w:after="120" w:line="360" w:lineRule="auto"/>
        <w:rPr>
          <w:rFonts w:ascii="Arial" w:hAnsi="Arial" w:cs="Arial"/>
          <w:lang w:eastAsia="en-US"/>
        </w:rPr>
      </w:pPr>
      <w:r w:rsidRPr="3D2D4B22">
        <w:rPr>
          <w:rFonts w:ascii="Arial" w:hAnsi="Arial" w:cs="Arial"/>
          <w:lang w:eastAsia="en-US"/>
        </w:rPr>
        <w:t>Should NICE consider adapting other elements of the proposed process</w:t>
      </w:r>
      <w:r w:rsidRPr="72E1621F">
        <w:rPr>
          <w:rFonts w:ascii="Arial" w:hAnsi="Arial" w:cs="Arial"/>
          <w:lang w:eastAsia="en-US"/>
        </w:rPr>
        <w:t xml:space="preserve"> to achieve more useful and usable guidance</w:t>
      </w:r>
      <w:r w:rsidRPr="3D2D4B22">
        <w:rPr>
          <w:rFonts w:ascii="Arial" w:hAnsi="Arial" w:cs="Arial"/>
          <w:lang w:eastAsia="en-US"/>
        </w:rPr>
        <w:t>?</w:t>
      </w:r>
      <w:r w:rsidRPr="72E1621F">
        <w:rPr>
          <w:rFonts w:ascii="Arial" w:hAnsi="Arial" w:cs="Arial"/>
          <w:lang w:eastAsia="en-US"/>
        </w:rPr>
        <w:t xml:space="preserve"> </w:t>
      </w:r>
    </w:p>
    <w:p w14:paraId="7FE892E4" w14:textId="7A5CA757" w:rsidR="007C5D72" w:rsidRDefault="007C5D72" w:rsidP="007C5D72">
      <w:pPr>
        <w:spacing w:before="120" w:after="120" w:line="360" w:lineRule="auto"/>
        <w:rPr>
          <w:rFonts w:ascii="Arial" w:hAnsi="Arial" w:cs="Arial"/>
          <w:lang w:eastAsia="en-US"/>
        </w:rPr>
      </w:pPr>
      <w:r w:rsidRPr="72E1621F">
        <w:rPr>
          <w:rFonts w:ascii="Arial" w:hAnsi="Arial" w:cs="Arial"/>
          <w:lang w:eastAsia="en-US"/>
        </w:rPr>
        <w:t xml:space="preserve">Do you have any other comments on the proposed process for updating the TAs within the </w:t>
      </w:r>
      <w:r>
        <w:rPr>
          <w:rFonts w:ascii="Arial" w:hAnsi="Arial" w:cs="Arial"/>
          <w:lang w:eastAsia="en-US"/>
        </w:rPr>
        <w:t>proportionate decision-making process</w:t>
      </w:r>
      <w:r w:rsidRPr="72E1621F">
        <w:rPr>
          <w:rFonts w:ascii="Arial" w:hAnsi="Arial" w:cs="Arial"/>
          <w:lang w:eastAsia="en-US"/>
        </w:rPr>
        <w:t>?</w:t>
      </w:r>
    </w:p>
    <w:p w14:paraId="10382F61" w14:textId="4928B4E0" w:rsidR="00B269B0" w:rsidRDefault="00B269B0" w:rsidP="00ED22BF">
      <w:pPr>
        <w:spacing w:before="120" w:after="120" w:line="360" w:lineRule="auto"/>
        <w:rPr>
          <w:rFonts w:ascii="Arial" w:hAnsi="Arial" w:cs="Arial"/>
          <w:lang w:eastAsia="en-US"/>
        </w:rPr>
      </w:pPr>
      <w:r w:rsidRPr="00B269B0">
        <w:rPr>
          <w:rFonts w:ascii="Arial" w:hAnsi="Arial" w:cs="Arial"/>
          <w:lang w:eastAsia="en-US"/>
        </w:rPr>
        <w:t>Would it be challenging to implement of any of the recommendations</w:t>
      </w:r>
      <w:r>
        <w:rPr>
          <w:rFonts w:ascii="Arial" w:hAnsi="Arial" w:cs="Arial"/>
          <w:lang w:eastAsia="en-US"/>
        </w:rPr>
        <w:t xml:space="preserve"> for the updated TAs</w:t>
      </w:r>
      <w:r w:rsidRPr="00B269B0">
        <w:rPr>
          <w:rFonts w:ascii="Arial" w:hAnsi="Arial" w:cs="Arial"/>
          <w:lang w:eastAsia="en-US"/>
        </w:rPr>
        <w:t>? Please say why and for whom</w:t>
      </w:r>
      <w:r w:rsidR="003C647C">
        <w:rPr>
          <w:rFonts w:ascii="Arial" w:hAnsi="Arial" w:cs="Arial"/>
          <w:lang w:eastAsia="en-US"/>
        </w:rPr>
        <w:t>, and how these could be mitigated.</w:t>
      </w:r>
    </w:p>
    <w:p w14:paraId="129BA427" w14:textId="2DC5CC21" w:rsidR="00527233" w:rsidRDefault="009635A3" w:rsidP="00ED22BF">
      <w:pPr>
        <w:spacing w:before="120" w:after="120" w:line="360" w:lineRule="auto"/>
        <w:rPr>
          <w:rFonts w:ascii="Arial" w:hAnsi="Arial" w:cs="Arial"/>
          <w:lang w:eastAsia="en-US"/>
        </w:rPr>
      </w:pPr>
      <w:r w:rsidRPr="009635A3">
        <w:rPr>
          <w:rFonts w:ascii="Arial" w:hAnsi="Arial" w:cs="Arial"/>
          <w:lang w:eastAsia="en-US"/>
        </w:rPr>
        <w:t>Would implementation of any of the recommendations have significant cost implications?</w:t>
      </w:r>
    </w:p>
    <w:p w14:paraId="065014EA" w14:textId="77777777" w:rsidR="00934E40" w:rsidRPr="00934E40" w:rsidRDefault="00934E40" w:rsidP="00934E40">
      <w:pPr>
        <w:rPr>
          <w:rFonts w:ascii="Arial" w:hAnsi="Arial" w:cs="Arial"/>
          <w:lang w:eastAsia="en-US"/>
        </w:rPr>
      </w:pPr>
    </w:p>
    <w:p w14:paraId="493F124D" w14:textId="261DFB21" w:rsidR="00934E40" w:rsidRPr="00ED22BF" w:rsidRDefault="00934E40" w:rsidP="00ED22BF">
      <w:pPr>
        <w:spacing w:before="120" w:after="120" w:line="360" w:lineRule="auto"/>
        <w:rPr>
          <w:rFonts w:ascii="Arial" w:hAnsi="Arial" w:cs="Arial"/>
          <w:lang w:eastAsia="en-US"/>
        </w:rPr>
      </w:pPr>
      <w:r w:rsidRPr="00ED22BF">
        <w:rPr>
          <w:rFonts w:ascii="Arial" w:hAnsi="Arial" w:cs="Arial"/>
          <w:lang w:eastAsia="en-US"/>
        </w:rPr>
        <w:t xml:space="preserve">NICE is committed to promoting equality of opportunity, eliminating unlawful discrimination and fostering good relations between people with </w:t>
      </w:r>
      <w:proofErr w:type="gramStart"/>
      <w:r w:rsidRPr="00ED22BF">
        <w:rPr>
          <w:rFonts w:ascii="Arial" w:hAnsi="Arial" w:cs="Arial"/>
          <w:lang w:eastAsia="en-US"/>
        </w:rPr>
        <w:t>particular protected</w:t>
      </w:r>
      <w:proofErr w:type="gramEnd"/>
      <w:r w:rsidRPr="00ED22BF">
        <w:rPr>
          <w:rFonts w:ascii="Arial" w:hAnsi="Arial" w:cs="Arial"/>
          <w:lang w:eastAsia="en-US"/>
        </w:rPr>
        <w:t xml:space="preserve"> characteristics and others.  Please let us know if you think that the </w:t>
      </w:r>
      <w:r w:rsidR="009674BB" w:rsidRPr="00ED22BF">
        <w:rPr>
          <w:rFonts w:ascii="Arial" w:hAnsi="Arial" w:cs="Arial"/>
          <w:lang w:eastAsia="en-US"/>
        </w:rPr>
        <w:t>proposal</w:t>
      </w:r>
      <w:r w:rsidRPr="00ED22BF">
        <w:rPr>
          <w:rFonts w:ascii="Arial" w:hAnsi="Arial" w:cs="Arial"/>
          <w:lang w:eastAsia="en-US"/>
        </w:rPr>
        <w:t xml:space="preserve"> may need changing </w:t>
      </w:r>
      <w:proofErr w:type="gramStart"/>
      <w:r w:rsidRPr="00ED22BF">
        <w:rPr>
          <w:rFonts w:ascii="Arial" w:hAnsi="Arial" w:cs="Arial"/>
          <w:lang w:eastAsia="en-US"/>
        </w:rPr>
        <w:t>in order to</w:t>
      </w:r>
      <w:proofErr w:type="gramEnd"/>
      <w:r w:rsidRPr="00ED22BF">
        <w:rPr>
          <w:rFonts w:ascii="Arial" w:hAnsi="Arial" w:cs="Arial"/>
          <w:lang w:eastAsia="en-US"/>
        </w:rPr>
        <w:t xml:space="preserve"> meet these aims. </w:t>
      </w:r>
      <w:proofErr w:type="gramStart"/>
      <w:r w:rsidRPr="00ED22BF">
        <w:rPr>
          <w:rFonts w:ascii="Arial" w:hAnsi="Arial" w:cs="Arial"/>
          <w:lang w:eastAsia="en-US"/>
        </w:rPr>
        <w:t>In particular, please</w:t>
      </w:r>
      <w:proofErr w:type="gramEnd"/>
      <w:r w:rsidRPr="00ED22BF">
        <w:rPr>
          <w:rFonts w:ascii="Arial" w:hAnsi="Arial" w:cs="Arial"/>
          <w:lang w:eastAsia="en-US"/>
        </w:rPr>
        <w:t xml:space="preserve"> tell us if the proposed remit and scope: </w:t>
      </w:r>
    </w:p>
    <w:p w14:paraId="13ADDDC8" w14:textId="58072B42" w:rsidR="00934E40" w:rsidRPr="00104F9E" w:rsidRDefault="00934E40" w:rsidP="00ED22BF">
      <w:pPr>
        <w:numPr>
          <w:ilvl w:val="0"/>
          <w:numId w:val="5"/>
        </w:numPr>
        <w:spacing w:after="240" w:line="360" w:lineRule="auto"/>
        <w:ind w:left="357" w:hanging="357"/>
        <w:rPr>
          <w:rFonts w:ascii="Arial" w:hAnsi="Arial" w:cs="Arial"/>
          <w:lang w:val="x-none" w:eastAsia="en-US"/>
        </w:rPr>
      </w:pPr>
      <w:r w:rsidRPr="009674BB">
        <w:rPr>
          <w:rFonts w:ascii="Arial" w:hAnsi="Arial" w:cs="Arial"/>
          <w:lang w:val="x-none" w:eastAsia="en-US"/>
        </w:rPr>
        <w:t xml:space="preserve">could exclude from full consideration any people protected by the equality legislation who fall within the patient population for which </w:t>
      </w:r>
      <w:r w:rsidR="00594F49" w:rsidRPr="009674BB">
        <w:rPr>
          <w:rFonts w:ascii="Arial" w:hAnsi="Arial" w:cs="Arial"/>
          <w:lang w:val="x-none" w:eastAsia="en-US"/>
        </w:rPr>
        <w:t xml:space="preserve">the treatments </w:t>
      </w:r>
      <w:r w:rsidRPr="00104F9E">
        <w:rPr>
          <w:rFonts w:ascii="Arial" w:hAnsi="Arial" w:cs="Arial"/>
          <w:lang w:val="x-none" w:eastAsia="en-US"/>
        </w:rPr>
        <w:t>are</w:t>
      </w:r>
      <w:r w:rsidRPr="009674BB">
        <w:rPr>
          <w:rFonts w:ascii="Arial" w:hAnsi="Arial" w:cs="Arial"/>
          <w:lang w:val="x-none" w:eastAsia="en-US"/>
        </w:rPr>
        <w:t xml:space="preserve"> licensed; </w:t>
      </w:r>
    </w:p>
    <w:p w14:paraId="1021F1EA" w14:textId="77777777" w:rsidR="00934E40" w:rsidRPr="00934E40" w:rsidRDefault="00934E40" w:rsidP="00ED22BF">
      <w:pPr>
        <w:numPr>
          <w:ilvl w:val="0"/>
          <w:numId w:val="5"/>
        </w:numPr>
        <w:spacing w:after="240" w:line="360" w:lineRule="auto"/>
        <w:ind w:left="357" w:hanging="357"/>
        <w:rPr>
          <w:rFonts w:ascii="Arial" w:hAnsi="Arial" w:cs="Arial"/>
          <w:lang w:val="en-US" w:eastAsia="en-US"/>
        </w:rPr>
      </w:pPr>
      <w:r w:rsidRPr="4E688C7B">
        <w:rPr>
          <w:rFonts w:ascii="Arial" w:hAnsi="Arial" w:cs="Arial"/>
          <w:lang w:val="en-US" w:eastAsia="en-US"/>
        </w:rPr>
        <w:lastRenderedPageBreak/>
        <w:t xml:space="preserve">could lead to recommendations that have a different impact on people protected by </w:t>
      </w:r>
      <w:proofErr w:type="gramStart"/>
      <w:r w:rsidRPr="4E688C7B">
        <w:rPr>
          <w:rFonts w:ascii="Arial" w:hAnsi="Arial" w:cs="Arial"/>
          <w:lang w:val="en-US" w:eastAsia="en-US"/>
        </w:rPr>
        <w:t>the equality</w:t>
      </w:r>
      <w:proofErr w:type="gramEnd"/>
      <w:r w:rsidRPr="4E688C7B">
        <w:rPr>
          <w:rFonts w:ascii="Arial" w:hAnsi="Arial" w:cs="Arial"/>
          <w:lang w:val="en-US" w:eastAsia="en-US"/>
        </w:rPr>
        <w:t xml:space="preserve"> legislation than on the wider population, e.g. by making it more difficult in practice for a specific group to access the </w:t>
      </w:r>
      <w:proofErr w:type="gramStart"/>
      <w:r w:rsidRPr="4E688C7B">
        <w:rPr>
          <w:rFonts w:ascii="Arial" w:hAnsi="Arial" w:cs="Arial"/>
          <w:lang w:val="en-US" w:eastAsia="en-US"/>
        </w:rPr>
        <w:t>technology;</w:t>
      </w:r>
      <w:proofErr w:type="gramEnd"/>
      <w:r w:rsidRPr="4E688C7B">
        <w:rPr>
          <w:rFonts w:ascii="Arial" w:hAnsi="Arial" w:cs="Arial"/>
          <w:lang w:val="en-US" w:eastAsia="en-US"/>
        </w:rPr>
        <w:t xml:space="preserve"> </w:t>
      </w:r>
    </w:p>
    <w:p w14:paraId="014A5097" w14:textId="77777777" w:rsidR="00934E40" w:rsidRPr="00934E40" w:rsidRDefault="00934E40" w:rsidP="00ED22BF">
      <w:pPr>
        <w:numPr>
          <w:ilvl w:val="0"/>
          <w:numId w:val="5"/>
        </w:numPr>
        <w:spacing w:after="240" w:line="360" w:lineRule="auto"/>
        <w:ind w:left="357" w:hanging="357"/>
        <w:rPr>
          <w:rFonts w:ascii="Arial" w:hAnsi="Arial" w:cs="Arial"/>
          <w:lang w:val="en-US" w:eastAsia="en-US"/>
        </w:rPr>
      </w:pPr>
      <w:r w:rsidRPr="4E688C7B">
        <w:rPr>
          <w:rFonts w:ascii="Arial" w:hAnsi="Arial" w:cs="Arial"/>
          <w:lang w:val="en-US" w:eastAsia="en-US"/>
        </w:rPr>
        <w:t xml:space="preserve">could have any adverse impact on people with a particular disability or disabilities.  </w:t>
      </w:r>
    </w:p>
    <w:p w14:paraId="1B025546" w14:textId="77777777" w:rsidR="00934E40" w:rsidRPr="00ED22BF" w:rsidRDefault="00934E40" w:rsidP="00ED22BF">
      <w:pPr>
        <w:spacing w:before="120" w:after="120" w:line="360" w:lineRule="auto"/>
        <w:rPr>
          <w:rFonts w:ascii="Arial" w:hAnsi="Arial" w:cs="Arial"/>
          <w:lang w:eastAsia="en-US"/>
        </w:rPr>
      </w:pPr>
      <w:r w:rsidRPr="00ED22BF">
        <w:rPr>
          <w:rFonts w:ascii="Arial" w:hAnsi="Arial" w:cs="Arial"/>
          <w:lang w:eastAsia="en-US"/>
        </w:rPr>
        <w:t xml:space="preserve">Please tell us what evidence should be obtained to enable the </w:t>
      </w:r>
      <w:r w:rsidRPr="00934E40">
        <w:rPr>
          <w:rFonts w:ascii="Arial" w:hAnsi="Arial" w:cs="Arial"/>
          <w:lang w:eastAsia="en-US"/>
        </w:rPr>
        <w:t>c</w:t>
      </w:r>
      <w:r w:rsidRPr="00ED22BF">
        <w:rPr>
          <w:rFonts w:ascii="Arial" w:hAnsi="Arial" w:cs="Arial"/>
          <w:lang w:eastAsia="en-US"/>
        </w:rPr>
        <w:t>ommittee to identify and consider such impacts.</w:t>
      </w:r>
    </w:p>
    <w:p w14:paraId="1F162971" w14:textId="77777777" w:rsidR="00A4265E" w:rsidRPr="00A4265E" w:rsidRDefault="00A4265E" w:rsidP="003844B5">
      <w:pPr>
        <w:pStyle w:val="Heading1numbered"/>
      </w:pPr>
      <w:r w:rsidRPr="00A4265E">
        <w:t>Equality issues</w:t>
      </w:r>
    </w:p>
    <w:p w14:paraId="64EC1F41" w14:textId="50E7FEC4" w:rsidR="006F3A60" w:rsidRDefault="004C6B27">
      <w:pPr>
        <w:pStyle w:val="Paragraph"/>
        <w:numPr>
          <w:ilvl w:val="0"/>
          <w:numId w:val="0"/>
        </w:numPr>
      </w:pPr>
      <w:r>
        <w:t>The previous technology appraisals have not highlighted any equality issues for consideration.</w:t>
      </w:r>
    </w:p>
    <w:p w14:paraId="36BE962A" w14:textId="77777777" w:rsidR="00A4265E" w:rsidRPr="00A4265E" w:rsidRDefault="00A4265E" w:rsidP="009937C4">
      <w:pPr>
        <w:pStyle w:val="Heading1"/>
      </w:pPr>
      <w:r w:rsidRPr="00A4265E">
        <w:t>Proposal</w:t>
      </w:r>
      <w:r w:rsidR="00EF3AF9">
        <w:t>/decision</w:t>
      </w:r>
      <w:r w:rsidRPr="00A4265E">
        <w:t xml:space="preserve"> paper sign off</w:t>
      </w:r>
    </w:p>
    <w:p w14:paraId="4893978F" w14:textId="73F49139" w:rsidR="00A4265E" w:rsidRDefault="00B100F3" w:rsidP="003D3D3F">
      <w:pPr>
        <w:pStyle w:val="Paragraphnonumbers"/>
        <w:spacing w:line="240" w:lineRule="auto"/>
      </w:pPr>
      <w:r>
        <w:t>Jacoline Bouvy</w:t>
      </w:r>
      <w:r w:rsidR="006278DB">
        <w:t xml:space="preserve"> </w:t>
      </w:r>
      <w:r w:rsidR="00A4265E">
        <w:t xml:space="preserve">– </w:t>
      </w:r>
      <w:r w:rsidR="00A4265E" w:rsidRPr="00A4265E">
        <w:t>Programme Director, Technology Appraisals and Highly Specialised Technologies</w:t>
      </w:r>
      <w:r w:rsidR="00A4265E">
        <w:t xml:space="preserve"> </w:t>
      </w:r>
    </w:p>
    <w:p w14:paraId="204A0F8F" w14:textId="0DB6BEBD" w:rsidR="00A4265E" w:rsidRDefault="009B4D8E" w:rsidP="009937C4">
      <w:pPr>
        <w:pStyle w:val="Heading1"/>
      </w:pPr>
      <w:r>
        <w:t>Author(s)</w:t>
      </w:r>
    </w:p>
    <w:p w14:paraId="631303B4" w14:textId="43A9BCB1" w:rsidR="00D16CBE" w:rsidRDefault="00C43618" w:rsidP="003D3D3F">
      <w:pPr>
        <w:pStyle w:val="Paragraphnonumbers"/>
        <w:spacing w:line="240" w:lineRule="auto"/>
      </w:pPr>
      <w:r>
        <w:t xml:space="preserve">Principal Technical Adviser: </w:t>
      </w:r>
      <w:r w:rsidR="004B35C2">
        <w:t>Lizzie Walker</w:t>
      </w:r>
    </w:p>
    <w:sectPr w:rsidR="00D16CBE" w:rsidSect="00A40AAD">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567E4" w14:textId="77777777" w:rsidR="00980B5B" w:rsidRDefault="00980B5B" w:rsidP="00446BEE">
      <w:r>
        <w:separator/>
      </w:r>
    </w:p>
  </w:endnote>
  <w:endnote w:type="continuationSeparator" w:id="0">
    <w:p w14:paraId="339FA393" w14:textId="77777777" w:rsidR="00980B5B" w:rsidRDefault="00980B5B"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2F7A" w14:textId="77777777" w:rsidR="0021354C" w:rsidRDefault="0021354C">
    <w:pPr>
      <w:pStyle w:val="Footer"/>
    </w:pPr>
  </w:p>
  <w:p w14:paraId="79133216" w14:textId="2F63D8D4" w:rsidR="0021354C" w:rsidRPr="00BF405E" w:rsidRDefault="0021354C" w:rsidP="00BF405E">
    <w:pPr>
      <w:pStyle w:val="Paragraphnonumbers"/>
      <w:rPr>
        <w:lang w:val="en-US"/>
      </w:rPr>
    </w:pPr>
    <w:r>
      <w:rPr>
        <w:sz w:val="20"/>
        <w:szCs w:val="20"/>
      </w:rPr>
      <w:t xml:space="preserve">© NICE </w:t>
    </w:r>
    <w:r w:rsidR="008C5597">
      <w:rPr>
        <w:sz w:val="20"/>
        <w:szCs w:val="20"/>
      </w:rPr>
      <w:t>202</w:t>
    </w:r>
    <w:r w:rsidR="007D50A4">
      <w:rPr>
        <w:sz w:val="20"/>
        <w:szCs w:val="20"/>
      </w:rPr>
      <w:t>6</w:t>
    </w:r>
    <w:r>
      <w:rPr>
        <w:sz w:val="20"/>
        <w:szCs w:val="20"/>
      </w:rPr>
      <w:t xml:space="preserve">. All rights reserved. </w:t>
    </w:r>
    <w:hyperlink r:id="rId1" w:anchor="notice-of-rights" w:history="1">
      <w:r w:rsidRPr="00025653">
        <w:rPr>
          <w:rStyle w:val="Hyperlink"/>
          <w:sz w:val="20"/>
          <w:szCs w:val="20"/>
        </w:rPr>
        <w:t>Subject to Notice of rights.</w:t>
      </w:r>
    </w:hyperlink>
    <w:r>
      <w:tab/>
    </w:r>
    <w:r>
      <w:tab/>
    </w:r>
    <w:r>
      <w:tab/>
    </w:r>
    <w:r>
      <w:tab/>
    </w:r>
    <w:r>
      <w:fldChar w:fldCharType="begin"/>
    </w:r>
    <w:r>
      <w:instrText xml:space="preserve"> PAGE </w:instrText>
    </w:r>
    <w:r>
      <w:fldChar w:fldCharType="separate"/>
    </w:r>
    <w:r>
      <w:rPr>
        <w:noProof/>
      </w:rPr>
      <w:t>1</w:t>
    </w:r>
    <w:r>
      <w:fldChar w:fldCharType="end"/>
    </w:r>
    <w:r>
      <w:t xml:space="preserve"> of </w:t>
    </w:r>
    <w:r>
      <w:fldChar w:fldCharType="begin"/>
    </w:r>
    <w:r>
      <w:instrText xml:space="preserve"> NUMPAGES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6319F" w14:textId="77777777" w:rsidR="00980B5B" w:rsidRDefault="00980B5B" w:rsidP="00446BEE">
      <w:r>
        <w:separator/>
      </w:r>
    </w:p>
  </w:footnote>
  <w:footnote w:type="continuationSeparator" w:id="0">
    <w:p w14:paraId="6CB1DA55" w14:textId="77777777" w:rsidR="00980B5B" w:rsidRDefault="00980B5B"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099C"/>
    <w:multiLevelType w:val="hybridMultilevel"/>
    <w:tmpl w:val="B4BE5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F2FDF"/>
    <w:multiLevelType w:val="multilevel"/>
    <w:tmpl w:val="8924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F21FF"/>
    <w:multiLevelType w:val="hybridMultilevel"/>
    <w:tmpl w:val="CCC4F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B04B32"/>
    <w:multiLevelType w:val="hybridMultilevel"/>
    <w:tmpl w:val="95BCBCE4"/>
    <w:lvl w:ilvl="0" w:tplc="EC0AD8CE">
      <w:start w:val="1"/>
      <w:numFmt w:val="decimal"/>
      <w:pStyle w:val="Sectionheading"/>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1B15797"/>
    <w:multiLevelType w:val="hybridMultilevel"/>
    <w:tmpl w:val="C28C0936"/>
    <w:lvl w:ilvl="0" w:tplc="B574A9B6">
      <w:start w:val="1"/>
      <w:numFmt w:val="decimal"/>
      <w:pStyle w:val="Paragraph"/>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3E43D28"/>
    <w:multiLevelType w:val="multilevel"/>
    <w:tmpl w:val="DF2AD0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081935"/>
    <w:multiLevelType w:val="hybridMultilevel"/>
    <w:tmpl w:val="9410AC1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44A049C"/>
    <w:multiLevelType w:val="hybridMultilevel"/>
    <w:tmpl w:val="1A3CE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F0440D"/>
    <w:multiLevelType w:val="multilevel"/>
    <w:tmpl w:val="F044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2C1F05"/>
    <w:multiLevelType w:val="multilevel"/>
    <w:tmpl w:val="7AE2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215329"/>
    <w:multiLevelType w:val="hybridMultilevel"/>
    <w:tmpl w:val="06C86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C97E3F"/>
    <w:multiLevelType w:val="hybridMultilevel"/>
    <w:tmpl w:val="F222B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9E417C"/>
    <w:multiLevelType w:val="hybridMultilevel"/>
    <w:tmpl w:val="E30E3A2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FB15EB0"/>
    <w:multiLevelType w:val="hybridMultilevel"/>
    <w:tmpl w:val="8BF81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AE1EA8"/>
    <w:multiLevelType w:val="multilevel"/>
    <w:tmpl w:val="9566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CF37E5"/>
    <w:multiLevelType w:val="hybridMultilevel"/>
    <w:tmpl w:val="0FCC6F30"/>
    <w:lvl w:ilvl="0" w:tplc="F3E64356">
      <w:start w:val="1"/>
      <w:numFmt w:val="bullet"/>
      <w:lvlText w:val=""/>
      <w:lvlJc w:val="left"/>
      <w:pPr>
        <w:ind w:left="1080" w:hanging="360"/>
      </w:pPr>
      <w:rPr>
        <w:rFonts w:ascii="Symbol" w:hAnsi="Symbol"/>
      </w:rPr>
    </w:lvl>
    <w:lvl w:ilvl="1" w:tplc="BA025E42">
      <w:start w:val="1"/>
      <w:numFmt w:val="bullet"/>
      <w:lvlText w:val=""/>
      <w:lvlJc w:val="left"/>
      <w:pPr>
        <w:ind w:left="1080" w:hanging="360"/>
      </w:pPr>
      <w:rPr>
        <w:rFonts w:ascii="Symbol" w:hAnsi="Symbol"/>
      </w:rPr>
    </w:lvl>
    <w:lvl w:ilvl="2" w:tplc="6A5CB3E6">
      <w:start w:val="1"/>
      <w:numFmt w:val="bullet"/>
      <w:lvlText w:val=""/>
      <w:lvlJc w:val="left"/>
      <w:pPr>
        <w:ind w:left="1080" w:hanging="360"/>
      </w:pPr>
      <w:rPr>
        <w:rFonts w:ascii="Symbol" w:hAnsi="Symbol"/>
      </w:rPr>
    </w:lvl>
    <w:lvl w:ilvl="3" w:tplc="0C56B288">
      <w:start w:val="1"/>
      <w:numFmt w:val="bullet"/>
      <w:lvlText w:val=""/>
      <w:lvlJc w:val="left"/>
      <w:pPr>
        <w:ind w:left="1080" w:hanging="360"/>
      </w:pPr>
      <w:rPr>
        <w:rFonts w:ascii="Symbol" w:hAnsi="Symbol"/>
      </w:rPr>
    </w:lvl>
    <w:lvl w:ilvl="4" w:tplc="85DA8EBE">
      <w:start w:val="1"/>
      <w:numFmt w:val="bullet"/>
      <w:lvlText w:val=""/>
      <w:lvlJc w:val="left"/>
      <w:pPr>
        <w:ind w:left="1080" w:hanging="360"/>
      </w:pPr>
      <w:rPr>
        <w:rFonts w:ascii="Symbol" w:hAnsi="Symbol"/>
      </w:rPr>
    </w:lvl>
    <w:lvl w:ilvl="5" w:tplc="80AA9EC6">
      <w:start w:val="1"/>
      <w:numFmt w:val="bullet"/>
      <w:lvlText w:val=""/>
      <w:lvlJc w:val="left"/>
      <w:pPr>
        <w:ind w:left="1080" w:hanging="360"/>
      </w:pPr>
      <w:rPr>
        <w:rFonts w:ascii="Symbol" w:hAnsi="Symbol"/>
      </w:rPr>
    </w:lvl>
    <w:lvl w:ilvl="6" w:tplc="AC549754">
      <w:start w:val="1"/>
      <w:numFmt w:val="bullet"/>
      <w:lvlText w:val=""/>
      <w:lvlJc w:val="left"/>
      <w:pPr>
        <w:ind w:left="1080" w:hanging="360"/>
      </w:pPr>
      <w:rPr>
        <w:rFonts w:ascii="Symbol" w:hAnsi="Symbol"/>
      </w:rPr>
    </w:lvl>
    <w:lvl w:ilvl="7" w:tplc="089C9DB2">
      <w:start w:val="1"/>
      <w:numFmt w:val="bullet"/>
      <w:lvlText w:val=""/>
      <w:lvlJc w:val="left"/>
      <w:pPr>
        <w:ind w:left="1080" w:hanging="360"/>
      </w:pPr>
      <w:rPr>
        <w:rFonts w:ascii="Symbol" w:hAnsi="Symbol"/>
      </w:rPr>
    </w:lvl>
    <w:lvl w:ilvl="8" w:tplc="46B2AD0A">
      <w:start w:val="1"/>
      <w:numFmt w:val="bullet"/>
      <w:lvlText w:val=""/>
      <w:lvlJc w:val="left"/>
      <w:pPr>
        <w:ind w:left="1080" w:hanging="360"/>
      </w:pPr>
      <w:rPr>
        <w:rFonts w:ascii="Symbol" w:hAnsi="Symbol"/>
      </w:rPr>
    </w:lvl>
  </w:abstractNum>
  <w:abstractNum w:abstractNumId="17" w15:restartNumberingAfterBreak="0">
    <w:nsid w:val="36A9214F"/>
    <w:multiLevelType w:val="hybridMultilevel"/>
    <w:tmpl w:val="39E4289C"/>
    <w:lvl w:ilvl="0" w:tplc="4110849A">
      <w:start w:val="1"/>
      <w:numFmt w:val="decimal"/>
      <w:lvlText w:val="%1."/>
      <w:lvlJc w:val="left"/>
      <w:pPr>
        <w:ind w:left="1440" w:hanging="360"/>
      </w:pPr>
    </w:lvl>
    <w:lvl w:ilvl="1" w:tplc="95A2E6D2">
      <w:start w:val="1"/>
      <w:numFmt w:val="decimal"/>
      <w:lvlText w:val="%2."/>
      <w:lvlJc w:val="left"/>
      <w:pPr>
        <w:ind w:left="1440" w:hanging="360"/>
      </w:pPr>
    </w:lvl>
    <w:lvl w:ilvl="2" w:tplc="999C5E36">
      <w:start w:val="1"/>
      <w:numFmt w:val="decimal"/>
      <w:lvlText w:val="%3."/>
      <w:lvlJc w:val="left"/>
      <w:pPr>
        <w:ind w:left="1440" w:hanging="360"/>
      </w:pPr>
    </w:lvl>
    <w:lvl w:ilvl="3" w:tplc="C28E361A">
      <w:start w:val="1"/>
      <w:numFmt w:val="decimal"/>
      <w:lvlText w:val="%4."/>
      <w:lvlJc w:val="left"/>
      <w:pPr>
        <w:ind w:left="1440" w:hanging="360"/>
      </w:pPr>
    </w:lvl>
    <w:lvl w:ilvl="4" w:tplc="F8124BCC">
      <w:start w:val="1"/>
      <w:numFmt w:val="decimal"/>
      <w:lvlText w:val="%5."/>
      <w:lvlJc w:val="left"/>
      <w:pPr>
        <w:ind w:left="1440" w:hanging="360"/>
      </w:pPr>
    </w:lvl>
    <w:lvl w:ilvl="5" w:tplc="5FF0003E">
      <w:start w:val="1"/>
      <w:numFmt w:val="decimal"/>
      <w:lvlText w:val="%6."/>
      <w:lvlJc w:val="left"/>
      <w:pPr>
        <w:ind w:left="1440" w:hanging="360"/>
      </w:pPr>
    </w:lvl>
    <w:lvl w:ilvl="6" w:tplc="B5341F82">
      <w:start w:val="1"/>
      <w:numFmt w:val="decimal"/>
      <w:lvlText w:val="%7."/>
      <w:lvlJc w:val="left"/>
      <w:pPr>
        <w:ind w:left="1440" w:hanging="360"/>
      </w:pPr>
    </w:lvl>
    <w:lvl w:ilvl="7" w:tplc="0C2AF7BC">
      <w:start w:val="1"/>
      <w:numFmt w:val="decimal"/>
      <w:lvlText w:val="%8."/>
      <w:lvlJc w:val="left"/>
      <w:pPr>
        <w:ind w:left="1440" w:hanging="360"/>
      </w:pPr>
    </w:lvl>
    <w:lvl w:ilvl="8" w:tplc="9110A31A">
      <w:start w:val="1"/>
      <w:numFmt w:val="decimal"/>
      <w:lvlText w:val="%9."/>
      <w:lvlJc w:val="left"/>
      <w:pPr>
        <w:ind w:left="1440" w:hanging="360"/>
      </w:pPr>
    </w:lvl>
  </w:abstractNum>
  <w:abstractNum w:abstractNumId="18" w15:restartNumberingAfterBreak="0">
    <w:nsid w:val="37740A3A"/>
    <w:multiLevelType w:val="hybridMultilevel"/>
    <w:tmpl w:val="F732FC1E"/>
    <w:lvl w:ilvl="0" w:tplc="981AAE62">
      <w:start w:val="1"/>
      <w:numFmt w:val="decimal"/>
      <w:lvlText w:val="%1."/>
      <w:lvlJc w:val="left"/>
      <w:pPr>
        <w:ind w:left="1440" w:hanging="360"/>
      </w:pPr>
    </w:lvl>
    <w:lvl w:ilvl="1" w:tplc="8AC6748C">
      <w:start w:val="1"/>
      <w:numFmt w:val="decimal"/>
      <w:lvlText w:val="%2."/>
      <w:lvlJc w:val="left"/>
      <w:pPr>
        <w:ind w:left="1440" w:hanging="360"/>
      </w:pPr>
    </w:lvl>
    <w:lvl w:ilvl="2" w:tplc="8D101388">
      <w:start w:val="1"/>
      <w:numFmt w:val="decimal"/>
      <w:lvlText w:val="%3."/>
      <w:lvlJc w:val="left"/>
      <w:pPr>
        <w:ind w:left="1440" w:hanging="360"/>
      </w:pPr>
    </w:lvl>
    <w:lvl w:ilvl="3" w:tplc="B4BAEFDC">
      <w:start w:val="1"/>
      <w:numFmt w:val="decimal"/>
      <w:lvlText w:val="%4."/>
      <w:lvlJc w:val="left"/>
      <w:pPr>
        <w:ind w:left="1440" w:hanging="360"/>
      </w:pPr>
    </w:lvl>
    <w:lvl w:ilvl="4" w:tplc="5AE8D17C">
      <w:start w:val="1"/>
      <w:numFmt w:val="decimal"/>
      <w:lvlText w:val="%5."/>
      <w:lvlJc w:val="left"/>
      <w:pPr>
        <w:ind w:left="1440" w:hanging="360"/>
      </w:pPr>
    </w:lvl>
    <w:lvl w:ilvl="5" w:tplc="31224C82">
      <w:start w:val="1"/>
      <w:numFmt w:val="decimal"/>
      <w:lvlText w:val="%6."/>
      <w:lvlJc w:val="left"/>
      <w:pPr>
        <w:ind w:left="1440" w:hanging="360"/>
      </w:pPr>
    </w:lvl>
    <w:lvl w:ilvl="6" w:tplc="9022DE8A">
      <w:start w:val="1"/>
      <w:numFmt w:val="decimal"/>
      <w:lvlText w:val="%7."/>
      <w:lvlJc w:val="left"/>
      <w:pPr>
        <w:ind w:left="1440" w:hanging="360"/>
      </w:pPr>
    </w:lvl>
    <w:lvl w:ilvl="7" w:tplc="DB90C82A">
      <w:start w:val="1"/>
      <w:numFmt w:val="decimal"/>
      <w:lvlText w:val="%8."/>
      <w:lvlJc w:val="left"/>
      <w:pPr>
        <w:ind w:left="1440" w:hanging="360"/>
      </w:pPr>
    </w:lvl>
    <w:lvl w:ilvl="8" w:tplc="807CB9E4">
      <w:start w:val="1"/>
      <w:numFmt w:val="decimal"/>
      <w:lvlText w:val="%9."/>
      <w:lvlJc w:val="left"/>
      <w:pPr>
        <w:ind w:left="1440" w:hanging="360"/>
      </w:pPr>
    </w:lvl>
  </w:abstractNum>
  <w:abstractNum w:abstractNumId="19" w15:restartNumberingAfterBreak="0">
    <w:nsid w:val="3AF47561"/>
    <w:multiLevelType w:val="multilevel"/>
    <w:tmpl w:val="BFBA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6A3AB0"/>
    <w:multiLevelType w:val="hybridMultilevel"/>
    <w:tmpl w:val="E30E3A2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E9926EC"/>
    <w:multiLevelType w:val="hybridMultilevel"/>
    <w:tmpl w:val="F086C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47C8F"/>
    <w:multiLevelType w:val="multilevel"/>
    <w:tmpl w:val="A128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AF29D4"/>
    <w:multiLevelType w:val="hybridMultilevel"/>
    <w:tmpl w:val="E30E3A2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00639C6"/>
    <w:multiLevelType w:val="multilevel"/>
    <w:tmpl w:val="3AA06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B035BF"/>
    <w:multiLevelType w:val="hybridMultilevel"/>
    <w:tmpl w:val="327AEBE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696F2189"/>
    <w:multiLevelType w:val="hybridMultilevel"/>
    <w:tmpl w:val="C57245A2"/>
    <w:lvl w:ilvl="0" w:tplc="D6D67F26">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27" w15:restartNumberingAfterBreak="0">
    <w:nsid w:val="6F8A4C2A"/>
    <w:multiLevelType w:val="multilevel"/>
    <w:tmpl w:val="3994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5500BD"/>
    <w:multiLevelType w:val="multilevel"/>
    <w:tmpl w:val="F772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073156"/>
    <w:multiLevelType w:val="multilevel"/>
    <w:tmpl w:val="B96627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691757">
    <w:abstractNumId w:val="26"/>
  </w:num>
  <w:num w:numId="2" w16cid:durableId="275719882">
    <w:abstractNumId w:val="12"/>
  </w:num>
  <w:num w:numId="3" w16cid:durableId="1781412406">
    <w:abstractNumId w:val="4"/>
  </w:num>
  <w:num w:numId="4" w16cid:durableId="65566781">
    <w:abstractNumId w:val="3"/>
  </w:num>
  <w:num w:numId="5" w16cid:durableId="140110088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3937087">
    <w:abstractNumId w:val="8"/>
  </w:num>
  <w:num w:numId="7" w16cid:durableId="320279179">
    <w:abstractNumId w:val="24"/>
  </w:num>
  <w:num w:numId="8" w16cid:durableId="2043088203">
    <w:abstractNumId w:val="9"/>
  </w:num>
  <w:num w:numId="9" w16cid:durableId="774600183">
    <w:abstractNumId w:val="15"/>
  </w:num>
  <w:num w:numId="10" w16cid:durableId="826896237">
    <w:abstractNumId w:val="1"/>
  </w:num>
  <w:num w:numId="11" w16cid:durableId="490412420">
    <w:abstractNumId w:val="27"/>
  </w:num>
  <w:num w:numId="12" w16cid:durableId="1098134396">
    <w:abstractNumId w:val="19"/>
  </w:num>
  <w:num w:numId="13" w16cid:durableId="1094589120">
    <w:abstractNumId w:val="22"/>
  </w:num>
  <w:num w:numId="14" w16cid:durableId="1656488344">
    <w:abstractNumId w:val="28"/>
  </w:num>
  <w:num w:numId="15" w16cid:durableId="1623221415">
    <w:abstractNumId w:val="6"/>
  </w:num>
  <w:num w:numId="16" w16cid:durableId="621154602">
    <w:abstractNumId w:val="21"/>
  </w:num>
  <w:num w:numId="17" w16cid:durableId="1277520579">
    <w:abstractNumId w:val="11"/>
  </w:num>
  <w:num w:numId="18" w16cid:durableId="2059282552">
    <w:abstractNumId w:val="14"/>
  </w:num>
  <w:num w:numId="19" w16cid:durableId="1696468181">
    <w:abstractNumId w:val="0"/>
  </w:num>
  <w:num w:numId="20" w16cid:durableId="1949582203">
    <w:abstractNumId w:val="7"/>
  </w:num>
  <w:num w:numId="21" w16cid:durableId="702367496">
    <w:abstractNumId w:val="23"/>
  </w:num>
  <w:num w:numId="22" w16cid:durableId="1786607750">
    <w:abstractNumId w:val="18"/>
  </w:num>
  <w:num w:numId="23" w16cid:durableId="1640762836">
    <w:abstractNumId w:val="17"/>
  </w:num>
  <w:num w:numId="24" w16cid:durableId="1832669896">
    <w:abstractNumId w:val="10"/>
  </w:num>
  <w:num w:numId="25" w16cid:durableId="2056077766">
    <w:abstractNumId w:val="2"/>
  </w:num>
  <w:num w:numId="26" w16cid:durableId="549388511">
    <w:abstractNumId w:val="20"/>
  </w:num>
  <w:num w:numId="27" w16cid:durableId="1794248019">
    <w:abstractNumId w:val="16"/>
  </w:num>
  <w:num w:numId="28" w16cid:durableId="1096101193">
    <w:abstractNumId w:val="29"/>
  </w:num>
  <w:num w:numId="29" w16cid:durableId="1967853870">
    <w:abstractNumId w:val="5"/>
  </w:num>
  <w:num w:numId="30" w16cid:durableId="4483888">
    <w:abstractNumId w:val="4"/>
  </w:num>
  <w:num w:numId="31" w16cid:durableId="209878474">
    <w:abstractNumId w:val="4"/>
  </w:num>
  <w:num w:numId="32" w16cid:durableId="1656908806">
    <w:abstractNumId w:val="4"/>
  </w:num>
  <w:num w:numId="33" w16cid:durableId="962269882">
    <w:abstractNumId w:val="4"/>
  </w:num>
  <w:num w:numId="34" w16cid:durableId="181557858">
    <w:abstractNumId w:val="4"/>
  </w:num>
  <w:num w:numId="35" w16cid:durableId="1956013956">
    <w:abstractNumId w:val="13"/>
  </w:num>
  <w:num w:numId="36" w16cid:durableId="961767833">
    <w:abstractNumId w:val="4"/>
  </w:num>
  <w:num w:numId="37" w16cid:durableId="448937614">
    <w:abstractNumId w:val="4"/>
  </w:num>
  <w:num w:numId="38" w16cid:durableId="241530047">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A4E"/>
    <w:rsid w:val="00000D7E"/>
    <w:rsid w:val="00002FA7"/>
    <w:rsid w:val="000040ED"/>
    <w:rsid w:val="0000454B"/>
    <w:rsid w:val="000053F8"/>
    <w:rsid w:val="00006215"/>
    <w:rsid w:val="00007800"/>
    <w:rsid w:val="00011549"/>
    <w:rsid w:val="00012BB5"/>
    <w:rsid w:val="000151A8"/>
    <w:rsid w:val="0001656B"/>
    <w:rsid w:val="000166CE"/>
    <w:rsid w:val="000167FD"/>
    <w:rsid w:val="00016DEA"/>
    <w:rsid w:val="00016F2C"/>
    <w:rsid w:val="00017165"/>
    <w:rsid w:val="000178E6"/>
    <w:rsid w:val="000206B8"/>
    <w:rsid w:val="0002339A"/>
    <w:rsid w:val="000235BB"/>
    <w:rsid w:val="00024D0A"/>
    <w:rsid w:val="000262F7"/>
    <w:rsid w:val="00026F79"/>
    <w:rsid w:val="0003096D"/>
    <w:rsid w:val="00031251"/>
    <w:rsid w:val="00032771"/>
    <w:rsid w:val="00033711"/>
    <w:rsid w:val="0003467A"/>
    <w:rsid w:val="000358F4"/>
    <w:rsid w:val="00036CAA"/>
    <w:rsid w:val="00037565"/>
    <w:rsid w:val="000420FE"/>
    <w:rsid w:val="00042314"/>
    <w:rsid w:val="000437C9"/>
    <w:rsid w:val="000472DC"/>
    <w:rsid w:val="00047E12"/>
    <w:rsid w:val="000508B0"/>
    <w:rsid w:val="00050DCD"/>
    <w:rsid w:val="00051E13"/>
    <w:rsid w:val="00052EB3"/>
    <w:rsid w:val="000532B3"/>
    <w:rsid w:val="000568A0"/>
    <w:rsid w:val="0006182C"/>
    <w:rsid w:val="00062B12"/>
    <w:rsid w:val="00064CBB"/>
    <w:rsid w:val="00070065"/>
    <w:rsid w:val="0007274E"/>
    <w:rsid w:val="000737B8"/>
    <w:rsid w:val="000744C4"/>
    <w:rsid w:val="000751B6"/>
    <w:rsid w:val="00077F88"/>
    <w:rsid w:val="000808C0"/>
    <w:rsid w:val="00080C88"/>
    <w:rsid w:val="00080E29"/>
    <w:rsid w:val="00081664"/>
    <w:rsid w:val="00081DD0"/>
    <w:rsid w:val="00083F09"/>
    <w:rsid w:val="00084CB4"/>
    <w:rsid w:val="00085896"/>
    <w:rsid w:val="00085E83"/>
    <w:rsid w:val="00090E86"/>
    <w:rsid w:val="000918ED"/>
    <w:rsid w:val="000919D2"/>
    <w:rsid w:val="00095197"/>
    <w:rsid w:val="000953C4"/>
    <w:rsid w:val="00096412"/>
    <w:rsid w:val="00097B2B"/>
    <w:rsid w:val="000A038D"/>
    <w:rsid w:val="000A09B2"/>
    <w:rsid w:val="000A288D"/>
    <w:rsid w:val="000A4D9A"/>
    <w:rsid w:val="000A4FEE"/>
    <w:rsid w:val="000A5350"/>
    <w:rsid w:val="000A5AEB"/>
    <w:rsid w:val="000A679A"/>
    <w:rsid w:val="000A690B"/>
    <w:rsid w:val="000A742C"/>
    <w:rsid w:val="000A78FF"/>
    <w:rsid w:val="000A7FBA"/>
    <w:rsid w:val="000B1355"/>
    <w:rsid w:val="000B136D"/>
    <w:rsid w:val="000B13F6"/>
    <w:rsid w:val="000B2EA3"/>
    <w:rsid w:val="000B396D"/>
    <w:rsid w:val="000B503C"/>
    <w:rsid w:val="000B5939"/>
    <w:rsid w:val="000B764B"/>
    <w:rsid w:val="000C2B2C"/>
    <w:rsid w:val="000C3540"/>
    <w:rsid w:val="000C521C"/>
    <w:rsid w:val="000C5EC2"/>
    <w:rsid w:val="000C6033"/>
    <w:rsid w:val="000C6911"/>
    <w:rsid w:val="000C6DF1"/>
    <w:rsid w:val="000C7032"/>
    <w:rsid w:val="000C79C0"/>
    <w:rsid w:val="000D1713"/>
    <w:rsid w:val="000D1D10"/>
    <w:rsid w:val="000D48CE"/>
    <w:rsid w:val="000D5FA5"/>
    <w:rsid w:val="000D6178"/>
    <w:rsid w:val="000D7084"/>
    <w:rsid w:val="000E09FA"/>
    <w:rsid w:val="000E185D"/>
    <w:rsid w:val="000E1DD3"/>
    <w:rsid w:val="000E2495"/>
    <w:rsid w:val="000E26B1"/>
    <w:rsid w:val="000E48C2"/>
    <w:rsid w:val="000E507D"/>
    <w:rsid w:val="000E5782"/>
    <w:rsid w:val="000E5BA1"/>
    <w:rsid w:val="000E7436"/>
    <w:rsid w:val="000E75DE"/>
    <w:rsid w:val="000E7C30"/>
    <w:rsid w:val="000E7FDC"/>
    <w:rsid w:val="000F0B94"/>
    <w:rsid w:val="000F3030"/>
    <w:rsid w:val="000F5ABB"/>
    <w:rsid w:val="000F7114"/>
    <w:rsid w:val="0010040F"/>
    <w:rsid w:val="001011CA"/>
    <w:rsid w:val="001033B6"/>
    <w:rsid w:val="00103685"/>
    <w:rsid w:val="001039C6"/>
    <w:rsid w:val="00103BD7"/>
    <w:rsid w:val="00103F09"/>
    <w:rsid w:val="00104CDB"/>
    <w:rsid w:val="00104F9E"/>
    <w:rsid w:val="00105587"/>
    <w:rsid w:val="00105805"/>
    <w:rsid w:val="001061A8"/>
    <w:rsid w:val="00110A45"/>
    <w:rsid w:val="00111CCE"/>
    <w:rsid w:val="001133B9"/>
    <w:rsid w:val="0011348E"/>
    <w:rsid w:val="001134E7"/>
    <w:rsid w:val="00113572"/>
    <w:rsid w:val="001152E0"/>
    <w:rsid w:val="00115DAC"/>
    <w:rsid w:val="00120A40"/>
    <w:rsid w:val="00122009"/>
    <w:rsid w:val="0012255E"/>
    <w:rsid w:val="00127083"/>
    <w:rsid w:val="00127DDC"/>
    <w:rsid w:val="001319D2"/>
    <w:rsid w:val="001323E5"/>
    <w:rsid w:val="00133873"/>
    <w:rsid w:val="00135B0A"/>
    <w:rsid w:val="00136C8D"/>
    <w:rsid w:val="00136D6D"/>
    <w:rsid w:val="0014704E"/>
    <w:rsid w:val="001479ED"/>
    <w:rsid w:val="00147F83"/>
    <w:rsid w:val="001503CE"/>
    <w:rsid w:val="00151368"/>
    <w:rsid w:val="001528B0"/>
    <w:rsid w:val="0015350E"/>
    <w:rsid w:val="0015449E"/>
    <w:rsid w:val="001548A1"/>
    <w:rsid w:val="00157E1F"/>
    <w:rsid w:val="00160008"/>
    <w:rsid w:val="00161E0F"/>
    <w:rsid w:val="00162C6B"/>
    <w:rsid w:val="00163AD4"/>
    <w:rsid w:val="0016406E"/>
    <w:rsid w:val="00166F96"/>
    <w:rsid w:val="001675F1"/>
    <w:rsid w:val="0017149E"/>
    <w:rsid w:val="0017169E"/>
    <w:rsid w:val="001723E8"/>
    <w:rsid w:val="00172891"/>
    <w:rsid w:val="00173CB1"/>
    <w:rsid w:val="0017597A"/>
    <w:rsid w:val="00175EEA"/>
    <w:rsid w:val="00175F52"/>
    <w:rsid w:val="001768EA"/>
    <w:rsid w:val="00176B04"/>
    <w:rsid w:val="0017775D"/>
    <w:rsid w:val="0018041D"/>
    <w:rsid w:val="00181A4A"/>
    <w:rsid w:val="00181E77"/>
    <w:rsid w:val="00182CAA"/>
    <w:rsid w:val="00184009"/>
    <w:rsid w:val="001840DD"/>
    <w:rsid w:val="00185D0D"/>
    <w:rsid w:val="00185D4D"/>
    <w:rsid w:val="00187F9C"/>
    <w:rsid w:val="00190F19"/>
    <w:rsid w:val="00191C81"/>
    <w:rsid w:val="001928CC"/>
    <w:rsid w:val="00193208"/>
    <w:rsid w:val="001933FB"/>
    <w:rsid w:val="00193B95"/>
    <w:rsid w:val="0019456E"/>
    <w:rsid w:val="00194EE2"/>
    <w:rsid w:val="00196523"/>
    <w:rsid w:val="00197CA5"/>
    <w:rsid w:val="001A0773"/>
    <w:rsid w:val="001A1681"/>
    <w:rsid w:val="001A3B4D"/>
    <w:rsid w:val="001A4141"/>
    <w:rsid w:val="001A4668"/>
    <w:rsid w:val="001A6CAB"/>
    <w:rsid w:val="001A729C"/>
    <w:rsid w:val="001B0D48"/>
    <w:rsid w:val="001B0EE9"/>
    <w:rsid w:val="001B2516"/>
    <w:rsid w:val="001B28DF"/>
    <w:rsid w:val="001B2F51"/>
    <w:rsid w:val="001B65B3"/>
    <w:rsid w:val="001B6F21"/>
    <w:rsid w:val="001C0D8E"/>
    <w:rsid w:val="001C1585"/>
    <w:rsid w:val="001C1A98"/>
    <w:rsid w:val="001C2207"/>
    <w:rsid w:val="001C5CC3"/>
    <w:rsid w:val="001C65A9"/>
    <w:rsid w:val="001C6D56"/>
    <w:rsid w:val="001D013E"/>
    <w:rsid w:val="001D027B"/>
    <w:rsid w:val="001D3A54"/>
    <w:rsid w:val="001D4C53"/>
    <w:rsid w:val="001D50F6"/>
    <w:rsid w:val="001D51A5"/>
    <w:rsid w:val="001D6CDE"/>
    <w:rsid w:val="001D7C81"/>
    <w:rsid w:val="001E0AEB"/>
    <w:rsid w:val="001E0E76"/>
    <w:rsid w:val="001E1A66"/>
    <w:rsid w:val="001E2D1A"/>
    <w:rsid w:val="001E3416"/>
    <w:rsid w:val="001E43F0"/>
    <w:rsid w:val="001F08BB"/>
    <w:rsid w:val="001F243B"/>
    <w:rsid w:val="001F508E"/>
    <w:rsid w:val="001F610E"/>
    <w:rsid w:val="001F68FF"/>
    <w:rsid w:val="001F74C9"/>
    <w:rsid w:val="001F74D7"/>
    <w:rsid w:val="001F7C51"/>
    <w:rsid w:val="002022A2"/>
    <w:rsid w:val="002029A6"/>
    <w:rsid w:val="0020587B"/>
    <w:rsid w:val="00206EA5"/>
    <w:rsid w:val="00210493"/>
    <w:rsid w:val="00210A56"/>
    <w:rsid w:val="002112C6"/>
    <w:rsid w:val="002113DD"/>
    <w:rsid w:val="002124A8"/>
    <w:rsid w:val="0021354C"/>
    <w:rsid w:val="00214C03"/>
    <w:rsid w:val="00214D43"/>
    <w:rsid w:val="00215621"/>
    <w:rsid w:val="0021616C"/>
    <w:rsid w:val="00216FBB"/>
    <w:rsid w:val="00217A18"/>
    <w:rsid w:val="00217AC7"/>
    <w:rsid w:val="00217D04"/>
    <w:rsid w:val="00223AA9"/>
    <w:rsid w:val="0022579E"/>
    <w:rsid w:val="00227221"/>
    <w:rsid w:val="00227FCE"/>
    <w:rsid w:val="00230437"/>
    <w:rsid w:val="00234AE5"/>
    <w:rsid w:val="00234D8C"/>
    <w:rsid w:val="002408EA"/>
    <w:rsid w:val="0024310A"/>
    <w:rsid w:val="0024428E"/>
    <w:rsid w:val="00244BCF"/>
    <w:rsid w:val="00244ED2"/>
    <w:rsid w:val="002461EC"/>
    <w:rsid w:val="0024640C"/>
    <w:rsid w:val="002505A7"/>
    <w:rsid w:val="002517F3"/>
    <w:rsid w:val="00252F10"/>
    <w:rsid w:val="002564D8"/>
    <w:rsid w:val="00260E44"/>
    <w:rsid w:val="00261A09"/>
    <w:rsid w:val="002642FE"/>
    <w:rsid w:val="002669DF"/>
    <w:rsid w:val="00266E13"/>
    <w:rsid w:val="00271ADD"/>
    <w:rsid w:val="00271D8A"/>
    <w:rsid w:val="00272E68"/>
    <w:rsid w:val="0027604F"/>
    <w:rsid w:val="002770BA"/>
    <w:rsid w:val="002804C2"/>
    <w:rsid w:val="002819D7"/>
    <w:rsid w:val="00281D50"/>
    <w:rsid w:val="002830FC"/>
    <w:rsid w:val="002839FA"/>
    <w:rsid w:val="00286B42"/>
    <w:rsid w:val="0029504B"/>
    <w:rsid w:val="00295213"/>
    <w:rsid w:val="002A195F"/>
    <w:rsid w:val="002A2A5D"/>
    <w:rsid w:val="002A5D93"/>
    <w:rsid w:val="002A6FD0"/>
    <w:rsid w:val="002A78A8"/>
    <w:rsid w:val="002B21F3"/>
    <w:rsid w:val="002B2FAB"/>
    <w:rsid w:val="002B4619"/>
    <w:rsid w:val="002B6C30"/>
    <w:rsid w:val="002B6C73"/>
    <w:rsid w:val="002B6DCC"/>
    <w:rsid w:val="002C0C13"/>
    <w:rsid w:val="002C1147"/>
    <w:rsid w:val="002C15E0"/>
    <w:rsid w:val="002C1A7E"/>
    <w:rsid w:val="002C22E4"/>
    <w:rsid w:val="002C2500"/>
    <w:rsid w:val="002C51F2"/>
    <w:rsid w:val="002C56D0"/>
    <w:rsid w:val="002D0292"/>
    <w:rsid w:val="002D06D6"/>
    <w:rsid w:val="002D075D"/>
    <w:rsid w:val="002D0A72"/>
    <w:rsid w:val="002D3376"/>
    <w:rsid w:val="002D78F8"/>
    <w:rsid w:val="002E1C23"/>
    <w:rsid w:val="002E2CEF"/>
    <w:rsid w:val="002E5806"/>
    <w:rsid w:val="002E591F"/>
    <w:rsid w:val="002E68DB"/>
    <w:rsid w:val="002F00A0"/>
    <w:rsid w:val="002F5B19"/>
    <w:rsid w:val="002F5E0F"/>
    <w:rsid w:val="002F75F3"/>
    <w:rsid w:val="00302F8C"/>
    <w:rsid w:val="00302FE0"/>
    <w:rsid w:val="00306DCA"/>
    <w:rsid w:val="00306FDB"/>
    <w:rsid w:val="0030789F"/>
    <w:rsid w:val="00310BCE"/>
    <w:rsid w:val="00310E9F"/>
    <w:rsid w:val="00311270"/>
    <w:rsid w:val="003113EE"/>
    <w:rsid w:val="003115B9"/>
    <w:rsid w:val="00311ED0"/>
    <w:rsid w:val="00313323"/>
    <w:rsid w:val="00316E61"/>
    <w:rsid w:val="003208DA"/>
    <w:rsid w:val="0032131C"/>
    <w:rsid w:val="00322237"/>
    <w:rsid w:val="00322A4E"/>
    <w:rsid w:val="00326320"/>
    <w:rsid w:val="0032650A"/>
    <w:rsid w:val="003266F1"/>
    <w:rsid w:val="003272A2"/>
    <w:rsid w:val="00327E4A"/>
    <w:rsid w:val="00330F68"/>
    <w:rsid w:val="00331A0A"/>
    <w:rsid w:val="00333251"/>
    <w:rsid w:val="00333539"/>
    <w:rsid w:val="003404FE"/>
    <w:rsid w:val="0034189E"/>
    <w:rsid w:val="00341B50"/>
    <w:rsid w:val="003422B1"/>
    <w:rsid w:val="0034255E"/>
    <w:rsid w:val="0034366D"/>
    <w:rsid w:val="00344897"/>
    <w:rsid w:val="00345269"/>
    <w:rsid w:val="003469EB"/>
    <w:rsid w:val="003475A8"/>
    <w:rsid w:val="00350D20"/>
    <w:rsid w:val="003515A9"/>
    <w:rsid w:val="003535EA"/>
    <w:rsid w:val="0035418D"/>
    <w:rsid w:val="00356182"/>
    <w:rsid w:val="00361173"/>
    <w:rsid w:val="00361BD0"/>
    <w:rsid w:val="00362114"/>
    <w:rsid w:val="003648C5"/>
    <w:rsid w:val="00364B76"/>
    <w:rsid w:val="00365B07"/>
    <w:rsid w:val="00366CC5"/>
    <w:rsid w:val="003722FA"/>
    <w:rsid w:val="00373B70"/>
    <w:rsid w:val="00373D63"/>
    <w:rsid w:val="00374EAE"/>
    <w:rsid w:val="003751CC"/>
    <w:rsid w:val="00375906"/>
    <w:rsid w:val="003762C6"/>
    <w:rsid w:val="00380660"/>
    <w:rsid w:val="0038431C"/>
    <w:rsid w:val="003844B5"/>
    <w:rsid w:val="00384A6C"/>
    <w:rsid w:val="00384B58"/>
    <w:rsid w:val="003919D8"/>
    <w:rsid w:val="00392B28"/>
    <w:rsid w:val="00396FF2"/>
    <w:rsid w:val="003A1F46"/>
    <w:rsid w:val="003A2094"/>
    <w:rsid w:val="003A4AB2"/>
    <w:rsid w:val="003B0204"/>
    <w:rsid w:val="003B0D0E"/>
    <w:rsid w:val="003B267B"/>
    <w:rsid w:val="003B27A3"/>
    <w:rsid w:val="003B2A00"/>
    <w:rsid w:val="003B2C2D"/>
    <w:rsid w:val="003B39EB"/>
    <w:rsid w:val="003B4FAD"/>
    <w:rsid w:val="003B5571"/>
    <w:rsid w:val="003C01C6"/>
    <w:rsid w:val="003C647C"/>
    <w:rsid w:val="003C7AAF"/>
    <w:rsid w:val="003C7C0E"/>
    <w:rsid w:val="003C7F11"/>
    <w:rsid w:val="003D17BF"/>
    <w:rsid w:val="003D1D95"/>
    <w:rsid w:val="003D2500"/>
    <w:rsid w:val="003D3D3F"/>
    <w:rsid w:val="003D4E26"/>
    <w:rsid w:val="003D5392"/>
    <w:rsid w:val="003D7D7E"/>
    <w:rsid w:val="003E0BD7"/>
    <w:rsid w:val="003E3B01"/>
    <w:rsid w:val="003E481D"/>
    <w:rsid w:val="003F0C46"/>
    <w:rsid w:val="003F4866"/>
    <w:rsid w:val="003F5C0E"/>
    <w:rsid w:val="004015AA"/>
    <w:rsid w:val="00401C60"/>
    <w:rsid w:val="0040415D"/>
    <w:rsid w:val="004055F7"/>
    <w:rsid w:val="00405EC3"/>
    <w:rsid w:val="004073C7"/>
    <w:rsid w:val="004075B6"/>
    <w:rsid w:val="00410308"/>
    <w:rsid w:val="00410C81"/>
    <w:rsid w:val="004124E3"/>
    <w:rsid w:val="00412886"/>
    <w:rsid w:val="00412A80"/>
    <w:rsid w:val="00414F5C"/>
    <w:rsid w:val="00417273"/>
    <w:rsid w:val="004202B3"/>
    <w:rsid w:val="00420952"/>
    <w:rsid w:val="0042356A"/>
    <w:rsid w:val="00425293"/>
    <w:rsid w:val="00433099"/>
    <w:rsid w:val="00433EFF"/>
    <w:rsid w:val="00436F01"/>
    <w:rsid w:val="004401D5"/>
    <w:rsid w:val="004429D6"/>
    <w:rsid w:val="00443081"/>
    <w:rsid w:val="00446BEE"/>
    <w:rsid w:val="00446F4E"/>
    <w:rsid w:val="004501A4"/>
    <w:rsid w:val="0045394F"/>
    <w:rsid w:val="00457C13"/>
    <w:rsid w:val="00461BD2"/>
    <w:rsid w:val="00463F0E"/>
    <w:rsid w:val="00465137"/>
    <w:rsid w:val="00465862"/>
    <w:rsid w:val="004676F3"/>
    <w:rsid w:val="00467B25"/>
    <w:rsid w:val="00470779"/>
    <w:rsid w:val="00471E35"/>
    <w:rsid w:val="00474972"/>
    <w:rsid w:val="00475B5C"/>
    <w:rsid w:val="00475E08"/>
    <w:rsid w:val="00477839"/>
    <w:rsid w:val="00483DDA"/>
    <w:rsid w:val="00485AE2"/>
    <w:rsid w:val="00486517"/>
    <w:rsid w:val="00490D31"/>
    <w:rsid w:val="0049125D"/>
    <w:rsid w:val="00492829"/>
    <w:rsid w:val="004929B2"/>
    <w:rsid w:val="0049374A"/>
    <w:rsid w:val="00494416"/>
    <w:rsid w:val="0049618E"/>
    <w:rsid w:val="00497ACC"/>
    <w:rsid w:val="004A1CBF"/>
    <w:rsid w:val="004A20F9"/>
    <w:rsid w:val="004A304A"/>
    <w:rsid w:val="004A39F4"/>
    <w:rsid w:val="004A6301"/>
    <w:rsid w:val="004A7815"/>
    <w:rsid w:val="004B000C"/>
    <w:rsid w:val="004B046B"/>
    <w:rsid w:val="004B1290"/>
    <w:rsid w:val="004B21AC"/>
    <w:rsid w:val="004B2E98"/>
    <w:rsid w:val="004B35C2"/>
    <w:rsid w:val="004B3DC5"/>
    <w:rsid w:val="004B6052"/>
    <w:rsid w:val="004B6962"/>
    <w:rsid w:val="004B6FFC"/>
    <w:rsid w:val="004B7028"/>
    <w:rsid w:val="004C6B27"/>
    <w:rsid w:val="004C7F8A"/>
    <w:rsid w:val="004D13B5"/>
    <w:rsid w:val="004D4884"/>
    <w:rsid w:val="004D613C"/>
    <w:rsid w:val="004D7080"/>
    <w:rsid w:val="004E34E9"/>
    <w:rsid w:val="004E40E9"/>
    <w:rsid w:val="004E6263"/>
    <w:rsid w:val="004E7CA3"/>
    <w:rsid w:val="004F0AAF"/>
    <w:rsid w:val="004F270F"/>
    <w:rsid w:val="004F47B2"/>
    <w:rsid w:val="004F7157"/>
    <w:rsid w:val="004F7920"/>
    <w:rsid w:val="00500C72"/>
    <w:rsid w:val="00501B53"/>
    <w:rsid w:val="005025A1"/>
    <w:rsid w:val="00502CA9"/>
    <w:rsid w:val="0050325F"/>
    <w:rsid w:val="005048AC"/>
    <w:rsid w:val="0051379A"/>
    <w:rsid w:val="0051550A"/>
    <w:rsid w:val="00515606"/>
    <w:rsid w:val="005159A7"/>
    <w:rsid w:val="005172E4"/>
    <w:rsid w:val="005204EA"/>
    <w:rsid w:val="00520EB7"/>
    <w:rsid w:val="005213BB"/>
    <w:rsid w:val="00523B46"/>
    <w:rsid w:val="005257BE"/>
    <w:rsid w:val="00526AF0"/>
    <w:rsid w:val="00527233"/>
    <w:rsid w:val="005274F3"/>
    <w:rsid w:val="0053181A"/>
    <w:rsid w:val="0053217A"/>
    <w:rsid w:val="00532CB3"/>
    <w:rsid w:val="00534735"/>
    <w:rsid w:val="0053533C"/>
    <w:rsid w:val="00535B7C"/>
    <w:rsid w:val="00537EAB"/>
    <w:rsid w:val="00541079"/>
    <w:rsid w:val="00541D3E"/>
    <w:rsid w:val="00542043"/>
    <w:rsid w:val="005425BA"/>
    <w:rsid w:val="005446E9"/>
    <w:rsid w:val="00544A08"/>
    <w:rsid w:val="00546B1D"/>
    <w:rsid w:val="0054763F"/>
    <w:rsid w:val="0054787F"/>
    <w:rsid w:val="00551275"/>
    <w:rsid w:val="00554C24"/>
    <w:rsid w:val="005563ED"/>
    <w:rsid w:val="00556EE7"/>
    <w:rsid w:val="00560027"/>
    <w:rsid w:val="00560C3E"/>
    <w:rsid w:val="005620BD"/>
    <w:rsid w:val="00562240"/>
    <w:rsid w:val="005626BA"/>
    <w:rsid w:val="005635C4"/>
    <w:rsid w:val="00563693"/>
    <w:rsid w:val="00564C70"/>
    <w:rsid w:val="00570703"/>
    <w:rsid w:val="00572C40"/>
    <w:rsid w:val="00574078"/>
    <w:rsid w:val="00574933"/>
    <w:rsid w:val="00575991"/>
    <w:rsid w:val="00575BF6"/>
    <w:rsid w:val="00580D2D"/>
    <w:rsid w:val="005814D0"/>
    <w:rsid w:val="00583E99"/>
    <w:rsid w:val="00584542"/>
    <w:rsid w:val="00585EE1"/>
    <w:rsid w:val="00587143"/>
    <w:rsid w:val="00587ECA"/>
    <w:rsid w:val="00592A27"/>
    <w:rsid w:val="005937E7"/>
    <w:rsid w:val="00593A49"/>
    <w:rsid w:val="00594B2C"/>
    <w:rsid w:val="00594F49"/>
    <w:rsid w:val="00596968"/>
    <w:rsid w:val="0059720D"/>
    <w:rsid w:val="00597D11"/>
    <w:rsid w:val="005A17A5"/>
    <w:rsid w:val="005A1BB3"/>
    <w:rsid w:val="005A305D"/>
    <w:rsid w:val="005A3756"/>
    <w:rsid w:val="005A442D"/>
    <w:rsid w:val="005A544B"/>
    <w:rsid w:val="005A6407"/>
    <w:rsid w:val="005A6574"/>
    <w:rsid w:val="005A6B63"/>
    <w:rsid w:val="005B138C"/>
    <w:rsid w:val="005B19CF"/>
    <w:rsid w:val="005B1A4E"/>
    <w:rsid w:val="005B3134"/>
    <w:rsid w:val="005B3CC5"/>
    <w:rsid w:val="005B6339"/>
    <w:rsid w:val="005C06A3"/>
    <w:rsid w:val="005C1B9A"/>
    <w:rsid w:val="005C687E"/>
    <w:rsid w:val="005C763D"/>
    <w:rsid w:val="005D0565"/>
    <w:rsid w:val="005D0B38"/>
    <w:rsid w:val="005D2E43"/>
    <w:rsid w:val="005D4466"/>
    <w:rsid w:val="005D74A0"/>
    <w:rsid w:val="005E0C1F"/>
    <w:rsid w:val="005E1739"/>
    <w:rsid w:val="005E30F7"/>
    <w:rsid w:val="005E4991"/>
    <w:rsid w:val="005E4D47"/>
    <w:rsid w:val="005E7741"/>
    <w:rsid w:val="005F2A3C"/>
    <w:rsid w:val="005F33EB"/>
    <w:rsid w:val="005F4839"/>
    <w:rsid w:val="005F5F73"/>
    <w:rsid w:val="005F7C4F"/>
    <w:rsid w:val="006021BA"/>
    <w:rsid w:val="00603ACC"/>
    <w:rsid w:val="00616037"/>
    <w:rsid w:val="0062052B"/>
    <w:rsid w:val="0062131B"/>
    <w:rsid w:val="00621E34"/>
    <w:rsid w:val="006278DB"/>
    <w:rsid w:val="00630CFC"/>
    <w:rsid w:val="00631F43"/>
    <w:rsid w:val="006325DA"/>
    <w:rsid w:val="006338DB"/>
    <w:rsid w:val="00634417"/>
    <w:rsid w:val="006355D6"/>
    <w:rsid w:val="0063693C"/>
    <w:rsid w:val="006371DA"/>
    <w:rsid w:val="0063729F"/>
    <w:rsid w:val="006379C1"/>
    <w:rsid w:val="00637F09"/>
    <w:rsid w:val="00640BF0"/>
    <w:rsid w:val="006423DF"/>
    <w:rsid w:val="00645647"/>
    <w:rsid w:val="006459BA"/>
    <w:rsid w:val="00650B23"/>
    <w:rsid w:val="00651000"/>
    <w:rsid w:val="00652B10"/>
    <w:rsid w:val="00653BE6"/>
    <w:rsid w:val="00655908"/>
    <w:rsid w:val="00656276"/>
    <w:rsid w:val="00661580"/>
    <w:rsid w:val="0066184A"/>
    <w:rsid w:val="00662E27"/>
    <w:rsid w:val="00665B70"/>
    <w:rsid w:val="00670C56"/>
    <w:rsid w:val="00671171"/>
    <w:rsid w:val="00672E3F"/>
    <w:rsid w:val="006738DB"/>
    <w:rsid w:val="00673AB8"/>
    <w:rsid w:val="0067471D"/>
    <w:rsid w:val="00674BCB"/>
    <w:rsid w:val="006753FF"/>
    <w:rsid w:val="006771B7"/>
    <w:rsid w:val="00677563"/>
    <w:rsid w:val="006809A3"/>
    <w:rsid w:val="00680F94"/>
    <w:rsid w:val="006816D6"/>
    <w:rsid w:val="00681B43"/>
    <w:rsid w:val="0068218F"/>
    <w:rsid w:val="00682548"/>
    <w:rsid w:val="00690D18"/>
    <w:rsid w:val="006918D5"/>
    <w:rsid w:val="006921E1"/>
    <w:rsid w:val="006938B0"/>
    <w:rsid w:val="006940AA"/>
    <w:rsid w:val="00694C24"/>
    <w:rsid w:val="00695B32"/>
    <w:rsid w:val="006978F3"/>
    <w:rsid w:val="006A0085"/>
    <w:rsid w:val="006A039F"/>
    <w:rsid w:val="006A0F67"/>
    <w:rsid w:val="006A1C0D"/>
    <w:rsid w:val="006A36B9"/>
    <w:rsid w:val="006A79F8"/>
    <w:rsid w:val="006B05A9"/>
    <w:rsid w:val="006B1073"/>
    <w:rsid w:val="006B15A8"/>
    <w:rsid w:val="006B15CA"/>
    <w:rsid w:val="006B227B"/>
    <w:rsid w:val="006B3827"/>
    <w:rsid w:val="006B48AD"/>
    <w:rsid w:val="006B6774"/>
    <w:rsid w:val="006B6897"/>
    <w:rsid w:val="006B6A81"/>
    <w:rsid w:val="006B7981"/>
    <w:rsid w:val="006B7BA2"/>
    <w:rsid w:val="006C0772"/>
    <w:rsid w:val="006C1851"/>
    <w:rsid w:val="006C2554"/>
    <w:rsid w:val="006C2C4F"/>
    <w:rsid w:val="006C64E4"/>
    <w:rsid w:val="006D0D1B"/>
    <w:rsid w:val="006D2432"/>
    <w:rsid w:val="006D33D1"/>
    <w:rsid w:val="006E4403"/>
    <w:rsid w:val="006E56F5"/>
    <w:rsid w:val="006F05C1"/>
    <w:rsid w:val="006F13D8"/>
    <w:rsid w:val="006F1C5F"/>
    <w:rsid w:val="006F2D79"/>
    <w:rsid w:val="006F3A60"/>
    <w:rsid w:val="006F3F8A"/>
    <w:rsid w:val="006F4B25"/>
    <w:rsid w:val="006F4BBE"/>
    <w:rsid w:val="006F5F20"/>
    <w:rsid w:val="006F6496"/>
    <w:rsid w:val="00700D3A"/>
    <w:rsid w:val="00701A96"/>
    <w:rsid w:val="0070366A"/>
    <w:rsid w:val="00705243"/>
    <w:rsid w:val="007057C7"/>
    <w:rsid w:val="00713DBE"/>
    <w:rsid w:val="00716113"/>
    <w:rsid w:val="00716B4E"/>
    <w:rsid w:val="00717F79"/>
    <w:rsid w:val="00720878"/>
    <w:rsid w:val="00720904"/>
    <w:rsid w:val="00721B4C"/>
    <w:rsid w:val="00722D5C"/>
    <w:rsid w:val="00722E72"/>
    <w:rsid w:val="007235E2"/>
    <w:rsid w:val="00724947"/>
    <w:rsid w:val="007304EE"/>
    <w:rsid w:val="00730FA9"/>
    <w:rsid w:val="00731686"/>
    <w:rsid w:val="00732251"/>
    <w:rsid w:val="00733545"/>
    <w:rsid w:val="00734DC7"/>
    <w:rsid w:val="00736348"/>
    <w:rsid w:val="00736371"/>
    <w:rsid w:val="007409B7"/>
    <w:rsid w:val="0074128A"/>
    <w:rsid w:val="007420E2"/>
    <w:rsid w:val="00752B13"/>
    <w:rsid w:val="00754B82"/>
    <w:rsid w:val="0075575F"/>
    <w:rsid w:val="00756B08"/>
    <w:rsid w:val="00756F44"/>
    <w:rsid w:val="00757662"/>
    <w:rsid w:val="007600F8"/>
    <w:rsid w:val="007604A7"/>
    <w:rsid w:val="00760908"/>
    <w:rsid w:val="00760BD4"/>
    <w:rsid w:val="0076289D"/>
    <w:rsid w:val="007645BD"/>
    <w:rsid w:val="0076476A"/>
    <w:rsid w:val="00766110"/>
    <w:rsid w:val="00767EBB"/>
    <w:rsid w:val="007700AE"/>
    <w:rsid w:val="00770A0B"/>
    <w:rsid w:val="00770F5A"/>
    <w:rsid w:val="00771E77"/>
    <w:rsid w:val="0077586A"/>
    <w:rsid w:val="00777A74"/>
    <w:rsid w:val="00782267"/>
    <w:rsid w:val="0078402F"/>
    <w:rsid w:val="0078572C"/>
    <w:rsid w:val="00786AA7"/>
    <w:rsid w:val="00790D3D"/>
    <w:rsid w:val="00791709"/>
    <w:rsid w:val="00793019"/>
    <w:rsid w:val="007930E5"/>
    <w:rsid w:val="0079581C"/>
    <w:rsid w:val="007978A3"/>
    <w:rsid w:val="007A179A"/>
    <w:rsid w:val="007A1EAE"/>
    <w:rsid w:val="007A2967"/>
    <w:rsid w:val="007A2FA4"/>
    <w:rsid w:val="007A38BD"/>
    <w:rsid w:val="007A507D"/>
    <w:rsid w:val="007B2CEF"/>
    <w:rsid w:val="007B361C"/>
    <w:rsid w:val="007B3953"/>
    <w:rsid w:val="007B50D8"/>
    <w:rsid w:val="007B572F"/>
    <w:rsid w:val="007B668F"/>
    <w:rsid w:val="007B6EEB"/>
    <w:rsid w:val="007C1C96"/>
    <w:rsid w:val="007C28E5"/>
    <w:rsid w:val="007C2A73"/>
    <w:rsid w:val="007C2BD2"/>
    <w:rsid w:val="007C552E"/>
    <w:rsid w:val="007C5D72"/>
    <w:rsid w:val="007C5E45"/>
    <w:rsid w:val="007C608F"/>
    <w:rsid w:val="007C69E6"/>
    <w:rsid w:val="007C776C"/>
    <w:rsid w:val="007D109A"/>
    <w:rsid w:val="007D1C3B"/>
    <w:rsid w:val="007D2F2A"/>
    <w:rsid w:val="007D2F72"/>
    <w:rsid w:val="007D50A4"/>
    <w:rsid w:val="007D728B"/>
    <w:rsid w:val="007D75EF"/>
    <w:rsid w:val="007E1B02"/>
    <w:rsid w:val="007E50F8"/>
    <w:rsid w:val="007E717E"/>
    <w:rsid w:val="007E75BA"/>
    <w:rsid w:val="007F0ADF"/>
    <w:rsid w:val="007F0ED8"/>
    <w:rsid w:val="007F230C"/>
    <w:rsid w:val="007F238D"/>
    <w:rsid w:val="007F2AC0"/>
    <w:rsid w:val="007F3974"/>
    <w:rsid w:val="007F4908"/>
    <w:rsid w:val="007F7396"/>
    <w:rsid w:val="007F7D96"/>
    <w:rsid w:val="00801AED"/>
    <w:rsid w:val="00802E40"/>
    <w:rsid w:val="00802FAC"/>
    <w:rsid w:val="00805C02"/>
    <w:rsid w:val="00810156"/>
    <w:rsid w:val="00810D10"/>
    <w:rsid w:val="00817148"/>
    <w:rsid w:val="00817BF1"/>
    <w:rsid w:val="00817EF1"/>
    <w:rsid w:val="008216D1"/>
    <w:rsid w:val="00822FBF"/>
    <w:rsid w:val="008256B3"/>
    <w:rsid w:val="00827D23"/>
    <w:rsid w:val="00830DC2"/>
    <w:rsid w:val="0083132F"/>
    <w:rsid w:val="00835B4E"/>
    <w:rsid w:val="00841B14"/>
    <w:rsid w:val="0084234F"/>
    <w:rsid w:val="00842D7A"/>
    <w:rsid w:val="00843867"/>
    <w:rsid w:val="00844FAA"/>
    <w:rsid w:val="00845213"/>
    <w:rsid w:val="008453EB"/>
    <w:rsid w:val="0085065E"/>
    <w:rsid w:val="00852463"/>
    <w:rsid w:val="00857500"/>
    <w:rsid w:val="00861839"/>
    <w:rsid w:val="00861B92"/>
    <w:rsid w:val="00861FD3"/>
    <w:rsid w:val="0086484E"/>
    <w:rsid w:val="008655A0"/>
    <w:rsid w:val="00865EB8"/>
    <w:rsid w:val="00866A91"/>
    <w:rsid w:val="00867419"/>
    <w:rsid w:val="0086770C"/>
    <w:rsid w:val="0087016B"/>
    <w:rsid w:val="0088045F"/>
    <w:rsid w:val="00880606"/>
    <w:rsid w:val="00881034"/>
    <w:rsid w:val="008814FB"/>
    <w:rsid w:val="00881C4B"/>
    <w:rsid w:val="00884B0D"/>
    <w:rsid w:val="00890757"/>
    <w:rsid w:val="00891CFC"/>
    <w:rsid w:val="00895A68"/>
    <w:rsid w:val="00895CAB"/>
    <w:rsid w:val="008962FE"/>
    <w:rsid w:val="00897F9B"/>
    <w:rsid w:val="008A144C"/>
    <w:rsid w:val="008A2D40"/>
    <w:rsid w:val="008A4A20"/>
    <w:rsid w:val="008A6339"/>
    <w:rsid w:val="008A70D9"/>
    <w:rsid w:val="008A799B"/>
    <w:rsid w:val="008B3B1B"/>
    <w:rsid w:val="008B404B"/>
    <w:rsid w:val="008B66D8"/>
    <w:rsid w:val="008C104F"/>
    <w:rsid w:val="008C1624"/>
    <w:rsid w:val="008C3D2A"/>
    <w:rsid w:val="008C4C08"/>
    <w:rsid w:val="008C5597"/>
    <w:rsid w:val="008C79DD"/>
    <w:rsid w:val="008D0432"/>
    <w:rsid w:val="008D14A8"/>
    <w:rsid w:val="008D2EB5"/>
    <w:rsid w:val="008D374E"/>
    <w:rsid w:val="008D43F8"/>
    <w:rsid w:val="008D48FF"/>
    <w:rsid w:val="008E026A"/>
    <w:rsid w:val="008E0361"/>
    <w:rsid w:val="008E05B1"/>
    <w:rsid w:val="008E0A3D"/>
    <w:rsid w:val="008E0A84"/>
    <w:rsid w:val="008E24C5"/>
    <w:rsid w:val="008E61BB"/>
    <w:rsid w:val="008E6B05"/>
    <w:rsid w:val="008F0C06"/>
    <w:rsid w:val="008F20C7"/>
    <w:rsid w:val="008F2185"/>
    <w:rsid w:val="008F28F5"/>
    <w:rsid w:val="008F48D5"/>
    <w:rsid w:val="008F5E30"/>
    <w:rsid w:val="008F6FA4"/>
    <w:rsid w:val="00901BB6"/>
    <w:rsid w:val="00902CEF"/>
    <w:rsid w:val="009047CC"/>
    <w:rsid w:val="009057B5"/>
    <w:rsid w:val="00912429"/>
    <w:rsid w:val="00914019"/>
    <w:rsid w:val="009146C6"/>
    <w:rsid w:val="00914D7F"/>
    <w:rsid w:val="00914F82"/>
    <w:rsid w:val="00915E53"/>
    <w:rsid w:val="009175AA"/>
    <w:rsid w:val="00917E40"/>
    <w:rsid w:val="00917F31"/>
    <w:rsid w:val="009209CB"/>
    <w:rsid w:val="00922900"/>
    <w:rsid w:val="00924CF8"/>
    <w:rsid w:val="00926463"/>
    <w:rsid w:val="0093054E"/>
    <w:rsid w:val="009310DA"/>
    <w:rsid w:val="00932179"/>
    <w:rsid w:val="009336F2"/>
    <w:rsid w:val="009338A6"/>
    <w:rsid w:val="00934E40"/>
    <w:rsid w:val="00935683"/>
    <w:rsid w:val="00936D65"/>
    <w:rsid w:val="009376D9"/>
    <w:rsid w:val="00937806"/>
    <w:rsid w:val="00937C91"/>
    <w:rsid w:val="00937CBD"/>
    <w:rsid w:val="009429CA"/>
    <w:rsid w:val="0094444D"/>
    <w:rsid w:val="0094484C"/>
    <w:rsid w:val="00945DED"/>
    <w:rsid w:val="009462D6"/>
    <w:rsid w:val="0094649B"/>
    <w:rsid w:val="00947802"/>
    <w:rsid w:val="00950726"/>
    <w:rsid w:val="0095243F"/>
    <w:rsid w:val="00955227"/>
    <w:rsid w:val="009565C1"/>
    <w:rsid w:val="00956E19"/>
    <w:rsid w:val="009607EF"/>
    <w:rsid w:val="00961076"/>
    <w:rsid w:val="00963153"/>
    <w:rsid w:val="009635A3"/>
    <w:rsid w:val="00963F67"/>
    <w:rsid w:val="00964AD8"/>
    <w:rsid w:val="00965C1C"/>
    <w:rsid w:val="009674BB"/>
    <w:rsid w:val="009706A4"/>
    <w:rsid w:val="00972682"/>
    <w:rsid w:val="00975274"/>
    <w:rsid w:val="00975B0C"/>
    <w:rsid w:val="0097651E"/>
    <w:rsid w:val="00977862"/>
    <w:rsid w:val="00980B5B"/>
    <w:rsid w:val="0098482A"/>
    <w:rsid w:val="00985273"/>
    <w:rsid w:val="0098586F"/>
    <w:rsid w:val="0098593F"/>
    <w:rsid w:val="009860E2"/>
    <w:rsid w:val="00986B05"/>
    <w:rsid w:val="00990648"/>
    <w:rsid w:val="009922FF"/>
    <w:rsid w:val="009924B8"/>
    <w:rsid w:val="009937C4"/>
    <w:rsid w:val="00994E51"/>
    <w:rsid w:val="009A14EA"/>
    <w:rsid w:val="009A243E"/>
    <w:rsid w:val="009A2560"/>
    <w:rsid w:val="009A275A"/>
    <w:rsid w:val="009A3D36"/>
    <w:rsid w:val="009A69A5"/>
    <w:rsid w:val="009A77D3"/>
    <w:rsid w:val="009A7822"/>
    <w:rsid w:val="009B0AA6"/>
    <w:rsid w:val="009B4D8E"/>
    <w:rsid w:val="009C0823"/>
    <w:rsid w:val="009C2D25"/>
    <w:rsid w:val="009C36E3"/>
    <w:rsid w:val="009C370A"/>
    <w:rsid w:val="009C3CC3"/>
    <w:rsid w:val="009C4AA3"/>
    <w:rsid w:val="009C6B70"/>
    <w:rsid w:val="009D2383"/>
    <w:rsid w:val="009D42E4"/>
    <w:rsid w:val="009D4E2A"/>
    <w:rsid w:val="009D58DA"/>
    <w:rsid w:val="009D5FE0"/>
    <w:rsid w:val="009E12B0"/>
    <w:rsid w:val="009E46E0"/>
    <w:rsid w:val="009E5809"/>
    <w:rsid w:val="009E5A24"/>
    <w:rsid w:val="009E680B"/>
    <w:rsid w:val="009E7B60"/>
    <w:rsid w:val="009F1AB9"/>
    <w:rsid w:val="009F24C2"/>
    <w:rsid w:val="009F26D9"/>
    <w:rsid w:val="009F3CA3"/>
    <w:rsid w:val="009F420A"/>
    <w:rsid w:val="00A01334"/>
    <w:rsid w:val="00A01610"/>
    <w:rsid w:val="00A01ACE"/>
    <w:rsid w:val="00A01E60"/>
    <w:rsid w:val="00A03960"/>
    <w:rsid w:val="00A0724B"/>
    <w:rsid w:val="00A07889"/>
    <w:rsid w:val="00A10B90"/>
    <w:rsid w:val="00A1219F"/>
    <w:rsid w:val="00A1290B"/>
    <w:rsid w:val="00A13D0C"/>
    <w:rsid w:val="00A1471C"/>
    <w:rsid w:val="00A152C7"/>
    <w:rsid w:val="00A15319"/>
    <w:rsid w:val="00A15511"/>
    <w:rsid w:val="00A1558F"/>
    <w:rsid w:val="00A15709"/>
    <w:rsid w:val="00A15A1F"/>
    <w:rsid w:val="00A1781C"/>
    <w:rsid w:val="00A2261B"/>
    <w:rsid w:val="00A23B9F"/>
    <w:rsid w:val="00A248D8"/>
    <w:rsid w:val="00A24992"/>
    <w:rsid w:val="00A25A03"/>
    <w:rsid w:val="00A270D8"/>
    <w:rsid w:val="00A30E7D"/>
    <w:rsid w:val="00A31D1C"/>
    <w:rsid w:val="00A3325A"/>
    <w:rsid w:val="00A34FCB"/>
    <w:rsid w:val="00A361AF"/>
    <w:rsid w:val="00A37E85"/>
    <w:rsid w:val="00A40AAD"/>
    <w:rsid w:val="00A424F4"/>
    <w:rsid w:val="00A4265E"/>
    <w:rsid w:val="00A43013"/>
    <w:rsid w:val="00A44767"/>
    <w:rsid w:val="00A458D7"/>
    <w:rsid w:val="00A46ECA"/>
    <w:rsid w:val="00A47B67"/>
    <w:rsid w:val="00A50133"/>
    <w:rsid w:val="00A5048F"/>
    <w:rsid w:val="00A505E7"/>
    <w:rsid w:val="00A514E7"/>
    <w:rsid w:val="00A53E50"/>
    <w:rsid w:val="00A54BD1"/>
    <w:rsid w:val="00A611D5"/>
    <w:rsid w:val="00A617FC"/>
    <w:rsid w:val="00A63BD0"/>
    <w:rsid w:val="00A64461"/>
    <w:rsid w:val="00A66B53"/>
    <w:rsid w:val="00A67D8B"/>
    <w:rsid w:val="00A710D8"/>
    <w:rsid w:val="00A71BEB"/>
    <w:rsid w:val="00A72170"/>
    <w:rsid w:val="00A73344"/>
    <w:rsid w:val="00A73C9C"/>
    <w:rsid w:val="00A75474"/>
    <w:rsid w:val="00A75C29"/>
    <w:rsid w:val="00A77AFE"/>
    <w:rsid w:val="00A82091"/>
    <w:rsid w:val="00A8264C"/>
    <w:rsid w:val="00A83A8B"/>
    <w:rsid w:val="00A86A32"/>
    <w:rsid w:val="00A909A6"/>
    <w:rsid w:val="00A932ED"/>
    <w:rsid w:val="00A9455C"/>
    <w:rsid w:val="00A9467A"/>
    <w:rsid w:val="00A969AE"/>
    <w:rsid w:val="00A972FE"/>
    <w:rsid w:val="00AA00E6"/>
    <w:rsid w:val="00AA0811"/>
    <w:rsid w:val="00AA18D9"/>
    <w:rsid w:val="00AA2D3B"/>
    <w:rsid w:val="00AA687A"/>
    <w:rsid w:val="00AA7D98"/>
    <w:rsid w:val="00AB136C"/>
    <w:rsid w:val="00AB1BD7"/>
    <w:rsid w:val="00AB469F"/>
    <w:rsid w:val="00AB5A63"/>
    <w:rsid w:val="00AC189C"/>
    <w:rsid w:val="00AC310E"/>
    <w:rsid w:val="00AC46E5"/>
    <w:rsid w:val="00AD1232"/>
    <w:rsid w:val="00AD172D"/>
    <w:rsid w:val="00AD2FD3"/>
    <w:rsid w:val="00AD4334"/>
    <w:rsid w:val="00AD480F"/>
    <w:rsid w:val="00AD4F84"/>
    <w:rsid w:val="00AE360A"/>
    <w:rsid w:val="00AE58D6"/>
    <w:rsid w:val="00AE61C8"/>
    <w:rsid w:val="00AE7432"/>
    <w:rsid w:val="00AF0865"/>
    <w:rsid w:val="00AF108A"/>
    <w:rsid w:val="00AF1EDF"/>
    <w:rsid w:val="00AF3CF8"/>
    <w:rsid w:val="00AF511E"/>
    <w:rsid w:val="00AF5919"/>
    <w:rsid w:val="00AF5BBB"/>
    <w:rsid w:val="00AF6C8E"/>
    <w:rsid w:val="00B001ED"/>
    <w:rsid w:val="00B00D09"/>
    <w:rsid w:val="00B02E55"/>
    <w:rsid w:val="00B036C1"/>
    <w:rsid w:val="00B06888"/>
    <w:rsid w:val="00B100F3"/>
    <w:rsid w:val="00B12444"/>
    <w:rsid w:val="00B12824"/>
    <w:rsid w:val="00B1303F"/>
    <w:rsid w:val="00B15887"/>
    <w:rsid w:val="00B16CBA"/>
    <w:rsid w:val="00B16F36"/>
    <w:rsid w:val="00B20D7A"/>
    <w:rsid w:val="00B20FDA"/>
    <w:rsid w:val="00B2148F"/>
    <w:rsid w:val="00B216D2"/>
    <w:rsid w:val="00B223F6"/>
    <w:rsid w:val="00B2510A"/>
    <w:rsid w:val="00B2558E"/>
    <w:rsid w:val="00B269B0"/>
    <w:rsid w:val="00B27824"/>
    <w:rsid w:val="00B3053E"/>
    <w:rsid w:val="00B3170A"/>
    <w:rsid w:val="00B33BD0"/>
    <w:rsid w:val="00B34865"/>
    <w:rsid w:val="00B352ED"/>
    <w:rsid w:val="00B35484"/>
    <w:rsid w:val="00B35B93"/>
    <w:rsid w:val="00B41566"/>
    <w:rsid w:val="00B434D7"/>
    <w:rsid w:val="00B44D74"/>
    <w:rsid w:val="00B460C8"/>
    <w:rsid w:val="00B47C21"/>
    <w:rsid w:val="00B503A7"/>
    <w:rsid w:val="00B503CF"/>
    <w:rsid w:val="00B509C5"/>
    <w:rsid w:val="00B50B1D"/>
    <w:rsid w:val="00B50F55"/>
    <w:rsid w:val="00B52059"/>
    <w:rsid w:val="00B5413A"/>
    <w:rsid w:val="00B5431F"/>
    <w:rsid w:val="00B543B4"/>
    <w:rsid w:val="00B549B7"/>
    <w:rsid w:val="00B554B0"/>
    <w:rsid w:val="00B56946"/>
    <w:rsid w:val="00B56BB6"/>
    <w:rsid w:val="00B57F1A"/>
    <w:rsid w:val="00B609D1"/>
    <w:rsid w:val="00B6377D"/>
    <w:rsid w:val="00B66264"/>
    <w:rsid w:val="00B6649F"/>
    <w:rsid w:val="00B6680C"/>
    <w:rsid w:val="00B70F04"/>
    <w:rsid w:val="00B7168C"/>
    <w:rsid w:val="00B72340"/>
    <w:rsid w:val="00B72637"/>
    <w:rsid w:val="00B729CD"/>
    <w:rsid w:val="00B77BA6"/>
    <w:rsid w:val="00B81431"/>
    <w:rsid w:val="00B81B46"/>
    <w:rsid w:val="00B8312D"/>
    <w:rsid w:val="00B84303"/>
    <w:rsid w:val="00B84753"/>
    <w:rsid w:val="00B84AB3"/>
    <w:rsid w:val="00B90150"/>
    <w:rsid w:val="00B907B3"/>
    <w:rsid w:val="00B90C6F"/>
    <w:rsid w:val="00B90E3E"/>
    <w:rsid w:val="00B9190D"/>
    <w:rsid w:val="00B9241E"/>
    <w:rsid w:val="00B92FB6"/>
    <w:rsid w:val="00B93F09"/>
    <w:rsid w:val="00B947F9"/>
    <w:rsid w:val="00B94CA9"/>
    <w:rsid w:val="00B96642"/>
    <w:rsid w:val="00BA05D1"/>
    <w:rsid w:val="00BA1BDF"/>
    <w:rsid w:val="00BA26D7"/>
    <w:rsid w:val="00BA2D53"/>
    <w:rsid w:val="00BA42BA"/>
    <w:rsid w:val="00BB153D"/>
    <w:rsid w:val="00BB3EC2"/>
    <w:rsid w:val="00BB5ABA"/>
    <w:rsid w:val="00BB6B23"/>
    <w:rsid w:val="00BC0F98"/>
    <w:rsid w:val="00BC122B"/>
    <w:rsid w:val="00BC45C0"/>
    <w:rsid w:val="00BC5682"/>
    <w:rsid w:val="00BC5926"/>
    <w:rsid w:val="00BC5AE4"/>
    <w:rsid w:val="00BC726C"/>
    <w:rsid w:val="00BC7316"/>
    <w:rsid w:val="00BD0AB8"/>
    <w:rsid w:val="00BD25B0"/>
    <w:rsid w:val="00BD3CC2"/>
    <w:rsid w:val="00BD4414"/>
    <w:rsid w:val="00BD4600"/>
    <w:rsid w:val="00BD4C85"/>
    <w:rsid w:val="00BD4DA6"/>
    <w:rsid w:val="00BD5077"/>
    <w:rsid w:val="00BD5630"/>
    <w:rsid w:val="00BD7747"/>
    <w:rsid w:val="00BE16D9"/>
    <w:rsid w:val="00BE223D"/>
    <w:rsid w:val="00BE245B"/>
    <w:rsid w:val="00BE2EEB"/>
    <w:rsid w:val="00BE34C3"/>
    <w:rsid w:val="00BE51EC"/>
    <w:rsid w:val="00BE6E57"/>
    <w:rsid w:val="00BE7B9B"/>
    <w:rsid w:val="00BF03F6"/>
    <w:rsid w:val="00BF1819"/>
    <w:rsid w:val="00BF18B9"/>
    <w:rsid w:val="00BF27B3"/>
    <w:rsid w:val="00BF36AF"/>
    <w:rsid w:val="00BF405E"/>
    <w:rsid w:val="00BF44AC"/>
    <w:rsid w:val="00BF7FE0"/>
    <w:rsid w:val="00C005DB"/>
    <w:rsid w:val="00C0179C"/>
    <w:rsid w:val="00C02313"/>
    <w:rsid w:val="00C03430"/>
    <w:rsid w:val="00C05BC1"/>
    <w:rsid w:val="00C0640C"/>
    <w:rsid w:val="00C0790D"/>
    <w:rsid w:val="00C07CFA"/>
    <w:rsid w:val="00C07D70"/>
    <w:rsid w:val="00C10398"/>
    <w:rsid w:val="00C1141D"/>
    <w:rsid w:val="00C11AC7"/>
    <w:rsid w:val="00C14F5E"/>
    <w:rsid w:val="00C15F05"/>
    <w:rsid w:val="00C170AE"/>
    <w:rsid w:val="00C221D6"/>
    <w:rsid w:val="00C22701"/>
    <w:rsid w:val="00C22FBD"/>
    <w:rsid w:val="00C23F27"/>
    <w:rsid w:val="00C30091"/>
    <w:rsid w:val="00C3123E"/>
    <w:rsid w:val="00C36894"/>
    <w:rsid w:val="00C36F06"/>
    <w:rsid w:val="00C37505"/>
    <w:rsid w:val="00C375BB"/>
    <w:rsid w:val="00C4033D"/>
    <w:rsid w:val="00C4139F"/>
    <w:rsid w:val="00C415F8"/>
    <w:rsid w:val="00C43618"/>
    <w:rsid w:val="00C4538E"/>
    <w:rsid w:val="00C45719"/>
    <w:rsid w:val="00C4586A"/>
    <w:rsid w:val="00C45877"/>
    <w:rsid w:val="00C45ACC"/>
    <w:rsid w:val="00C464A0"/>
    <w:rsid w:val="00C52091"/>
    <w:rsid w:val="00C52972"/>
    <w:rsid w:val="00C5318A"/>
    <w:rsid w:val="00C5543B"/>
    <w:rsid w:val="00C57DEC"/>
    <w:rsid w:val="00C605E7"/>
    <w:rsid w:val="00C60EB2"/>
    <w:rsid w:val="00C61484"/>
    <w:rsid w:val="00C614DE"/>
    <w:rsid w:val="00C618D0"/>
    <w:rsid w:val="00C62AFA"/>
    <w:rsid w:val="00C62DD7"/>
    <w:rsid w:val="00C654E4"/>
    <w:rsid w:val="00C67FE0"/>
    <w:rsid w:val="00C71BEE"/>
    <w:rsid w:val="00C74765"/>
    <w:rsid w:val="00C76ADA"/>
    <w:rsid w:val="00C81104"/>
    <w:rsid w:val="00C83680"/>
    <w:rsid w:val="00C84977"/>
    <w:rsid w:val="00C859D5"/>
    <w:rsid w:val="00C85BEB"/>
    <w:rsid w:val="00C87331"/>
    <w:rsid w:val="00C873FE"/>
    <w:rsid w:val="00C90B96"/>
    <w:rsid w:val="00C91C2F"/>
    <w:rsid w:val="00C921C0"/>
    <w:rsid w:val="00C92495"/>
    <w:rsid w:val="00C96411"/>
    <w:rsid w:val="00C97226"/>
    <w:rsid w:val="00CA0509"/>
    <w:rsid w:val="00CA0A1E"/>
    <w:rsid w:val="00CA2D48"/>
    <w:rsid w:val="00CA30F0"/>
    <w:rsid w:val="00CA61B4"/>
    <w:rsid w:val="00CA643B"/>
    <w:rsid w:val="00CA76DC"/>
    <w:rsid w:val="00CA7BC4"/>
    <w:rsid w:val="00CA7FD7"/>
    <w:rsid w:val="00CB21FD"/>
    <w:rsid w:val="00CB2397"/>
    <w:rsid w:val="00CB25E6"/>
    <w:rsid w:val="00CB3417"/>
    <w:rsid w:val="00CB5671"/>
    <w:rsid w:val="00CB6BE6"/>
    <w:rsid w:val="00CB7E56"/>
    <w:rsid w:val="00CC16CC"/>
    <w:rsid w:val="00CC20F1"/>
    <w:rsid w:val="00CC23D4"/>
    <w:rsid w:val="00CC489A"/>
    <w:rsid w:val="00CC510A"/>
    <w:rsid w:val="00CC6041"/>
    <w:rsid w:val="00CC6DDF"/>
    <w:rsid w:val="00CD413A"/>
    <w:rsid w:val="00CD4BBF"/>
    <w:rsid w:val="00CD5A5E"/>
    <w:rsid w:val="00CD649E"/>
    <w:rsid w:val="00CD75AF"/>
    <w:rsid w:val="00CD78B8"/>
    <w:rsid w:val="00CD7CEF"/>
    <w:rsid w:val="00CD7F6D"/>
    <w:rsid w:val="00CE1D8A"/>
    <w:rsid w:val="00CE24C2"/>
    <w:rsid w:val="00CE2DD9"/>
    <w:rsid w:val="00CE3C9E"/>
    <w:rsid w:val="00CE58B2"/>
    <w:rsid w:val="00CE5BCD"/>
    <w:rsid w:val="00CE5E72"/>
    <w:rsid w:val="00CE644A"/>
    <w:rsid w:val="00CE6875"/>
    <w:rsid w:val="00CE6ABD"/>
    <w:rsid w:val="00CE6E16"/>
    <w:rsid w:val="00CF372C"/>
    <w:rsid w:val="00CF58B7"/>
    <w:rsid w:val="00CF6F6B"/>
    <w:rsid w:val="00CF74FA"/>
    <w:rsid w:val="00D0222B"/>
    <w:rsid w:val="00D02EB3"/>
    <w:rsid w:val="00D074F4"/>
    <w:rsid w:val="00D10986"/>
    <w:rsid w:val="00D109D1"/>
    <w:rsid w:val="00D10B15"/>
    <w:rsid w:val="00D11B56"/>
    <w:rsid w:val="00D135BA"/>
    <w:rsid w:val="00D14673"/>
    <w:rsid w:val="00D15D65"/>
    <w:rsid w:val="00D16563"/>
    <w:rsid w:val="00D16B0F"/>
    <w:rsid w:val="00D16CBE"/>
    <w:rsid w:val="00D20148"/>
    <w:rsid w:val="00D2132D"/>
    <w:rsid w:val="00D23A63"/>
    <w:rsid w:val="00D27581"/>
    <w:rsid w:val="00D27C0B"/>
    <w:rsid w:val="00D30A96"/>
    <w:rsid w:val="00D32A3D"/>
    <w:rsid w:val="00D34E25"/>
    <w:rsid w:val="00D35108"/>
    <w:rsid w:val="00D351C1"/>
    <w:rsid w:val="00D35CAE"/>
    <w:rsid w:val="00D35EFB"/>
    <w:rsid w:val="00D36B98"/>
    <w:rsid w:val="00D41809"/>
    <w:rsid w:val="00D442CA"/>
    <w:rsid w:val="00D504B3"/>
    <w:rsid w:val="00D51AE5"/>
    <w:rsid w:val="00D51E96"/>
    <w:rsid w:val="00D52A0B"/>
    <w:rsid w:val="00D54744"/>
    <w:rsid w:val="00D55BD8"/>
    <w:rsid w:val="00D56039"/>
    <w:rsid w:val="00D57DB3"/>
    <w:rsid w:val="00D6373A"/>
    <w:rsid w:val="00D65BA8"/>
    <w:rsid w:val="00D744AD"/>
    <w:rsid w:val="00D744DB"/>
    <w:rsid w:val="00D758E1"/>
    <w:rsid w:val="00D7644B"/>
    <w:rsid w:val="00D77D11"/>
    <w:rsid w:val="00D815CF"/>
    <w:rsid w:val="00D816C2"/>
    <w:rsid w:val="00D81912"/>
    <w:rsid w:val="00D81E6E"/>
    <w:rsid w:val="00D856BE"/>
    <w:rsid w:val="00D86BF0"/>
    <w:rsid w:val="00D87094"/>
    <w:rsid w:val="00D87439"/>
    <w:rsid w:val="00D91279"/>
    <w:rsid w:val="00D9200F"/>
    <w:rsid w:val="00D92F86"/>
    <w:rsid w:val="00D96755"/>
    <w:rsid w:val="00D97904"/>
    <w:rsid w:val="00DA4E3F"/>
    <w:rsid w:val="00DA5931"/>
    <w:rsid w:val="00DA5CA2"/>
    <w:rsid w:val="00DB093C"/>
    <w:rsid w:val="00DB1603"/>
    <w:rsid w:val="00DB4AE7"/>
    <w:rsid w:val="00DB4C10"/>
    <w:rsid w:val="00DB5609"/>
    <w:rsid w:val="00DB769A"/>
    <w:rsid w:val="00DC0B33"/>
    <w:rsid w:val="00DC0D96"/>
    <w:rsid w:val="00DC2072"/>
    <w:rsid w:val="00DC3B05"/>
    <w:rsid w:val="00DC7DA0"/>
    <w:rsid w:val="00DD33F3"/>
    <w:rsid w:val="00DD39C2"/>
    <w:rsid w:val="00DD4220"/>
    <w:rsid w:val="00DD47B7"/>
    <w:rsid w:val="00DD4F1F"/>
    <w:rsid w:val="00DD7DB4"/>
    <w:rsid w:val="00DE220F"/>
    <w:rsid w:val="00DE24D9"/>
    <w:rsid w:val="00DE334F"/>
    <w:rsid w:val="00DE33BE"/>
    <w:rsid w:val="00DE34B0"/>
    <w:rsid w:val="00DE39E6"/>
    <w:rsid w:val="00DE3DBE"/>
    <w:rsid w:val="00DE4BF9"/>
    <w:rsid w:val="00DE645A"/>
    <w:rsid w:val="00DF0C0E"/>
    <w:rsid w:val="00DF3C32"/>
    <w:rsid w:val="00DF4041"/>
    <w:rsid w:val="00DF4B5F"/>
    <w:rsid w:val="00DF4BA5"/>
    <w:rsid w:val="00DF5405"/>
    <w:rsid w:val="00DF5F97"/>
    <w:rsid w:val="00DF7312"/>
    <w:rsid w:val="00DF7AEF"/>
    <w:rsid w:val="00E001EE"/>
    <w:rsid w:val="00E0231C"/>
    <w:rsid w:val="00E02FB3"/>
    <w:rsid w:val="00E03023"/>
    <w:rsid w:val="00E05A0A"/>
    <w:rsid w:val="00E0710C"/>
    <w:rsid w:val="00E13166"/>
    <w:rsid w:val="00E14DE6"/>
    <w:rsid w:val="00E15AEA"/>
    <w:rsid w:val="00E16B49"/>
    <w:rsid w:val="00E179B1"/>
    <w:rsid w:val="00E20DBA"/>
    <w:rsid w:val="00E22111"/>
    <w:rsid w:val="00E2432E"/>
    <w:rsid w:val="00E24538"/>
    <w:rsid w:val="00E268F1"/>
    <w:rsid w:val="00E30455"/>
    <w:rsid w:val="00E316A2"/>
    <w:rsid w:val="00E31BB3"/>
    <w:rsid w:val="00E3350D"/>
    <w:rsid w:val="00E34F16"/>
    <w:rsid w:val="00E37CA0"/>
    <w:rsid w:val="00E37D27"/>
    <w:rsid w:val="00E37FCD"/>
    <w:rsid w:val="00E40CC6"/>
    <w:rsid w:val="00E412EE"/>
    <w:rsid w:val="00E43331"/>
    <w:rsid w:val="00E4422D"/>
    <w:rsid w:val="00E4599A"/>
    <w:rsid w:val="00E46206"/>
    <w:rsid w:val="00E467DC"/>
    <w:rsid w:val="00E4778E"/>
    <w:rsid w:val="00E50185"/>
    <w:rsid w:val="00E51920"/>
    <w:rsid w:val="00E52B6D"/>
    <w:rsid w:val="00E538EC"/>
    <w:rsid w:val="00E54E19"/>
    <w:rsid w:val="00E564D4"/>
    <w:rsid w:val="00E62A4A"/>
    <w:rsid w:val="00E63F7E"/>
    <w:rsid w:val="00E64120"/>
    <w:rsid w:val="00E642C8"/>
    <w:rsid w:val="00E65C53"/>
    <w:rsid w:val="00E660A1"/>
    <w:rsid w:val="00E6767D"/>
    <w:rsid w:val="00E67A6E"/>
    <w:rsid w:val="00E705EF"/>
    <w:rsid w:val="00E71125"/>
    <w:rsid w:val="00E711EB"/>
    <w:rsid w:val="00E73783"/>
    <w:rsid w:val="00E73F5E"/>
    <w:rsid w:val="00E74287"/>
    <w:rsid w:val="00E76021"/>
    <w:rsid w:val="00E76206"/>
    <w:rsid w:val="00E778E4"/>
    <w:rsid w:val="00E80EF7"/>
    <w:rsid w:val="00E81A74"/>
    <w:rsid w:val="00E829DC"/>
    <w:rsid w:val="00E8514C"/>
    <w:rsid w:val="00E8739E"/>
    <w:rsid w:val="00E8748F"/>
    <w:rsid w:val="00E91C51"/>
    <w:rsid w:val="00E92630"/>
    <w:rsid w:val="00E92F0D"/>
    <w:rsid w:val="00E93BDB"/>
    <w:rsid w:val="00E954A0"/>
    <w:rsid w:val="00E95EFE"/>
    <w:rsid w:val="00E96948"/>
    <w:rsid w:val="00E975CE"/>
    <w:rsid w:val="00E97609"/>
    <w:rsid w:val="00EA041A"/>
    <w:rsid w:val="00EA0903"/>
    <w:rsid w:val="00EA0E90"/>
    <w:rsid w:val="00EA1F59"/>
    <w:rsid w:val="00EA271C"/>
    <w:rsid w:val="00EA3B9B"/>
    <w:rsid w:val="00EA3CBB"/>
    <w:rsid w:val="00EA3CCF"/>
    <w:rsid w:val="00EA7A52"/>
    <w:rsid w:val="00EB2BEF"/>
    <w:rsid w:val="00EB3266"/>
    <w:rsid w:val="00EB438F"/>
    <w:rsid w:val="00EB51C2"/>
    <w:rsid w:val="00EB7C8E"/>
    <w:rsid w:val="00EC27AF"/>
    <w:rsid w:val="00EC54EA"/>
    <w:rsid w:val="00EC629B"/>
    <w:rsid w:val="00EC6610"/>
    <w:rsid w:val="00EC6A45"/>
    <w:rsid w:val="00ED06E6"/>
    <w:rsid w:val="00ED0C4A"/>
    <w:rsid w:val="00ED22BF"/>
    <w:rsid w:val="00ED2448"/>
    <w:rsid w:val="00ED37BD"/>
    <w:rsid w:val="00ED42CD"/>
    <w:rsid w:val="00ED552B"/>
    <w:rsid w:val="00ED558F"/>
    <w:rsid w:val="00ED6EE0"/>
    <w:rsid w:val="00EE49D8"/>
    <w:rsid w:val="00EE4F1F"/>
    <w:rsid w:val="00EE5BE2"/>
    <w:rsid w:val="00EF0E17"/>
    <w:rsid w:val="00EF1343"/>
    <w:rsid w:val="00EF23F0"/>
    <w:rsid w:val="00EF2461"/>
    <w:rsid w:val="00EF28E4"/>
    <w:rsid w:val="00EF2B63"/>
    <w:rsid w:val="00EF2D0C"/>
    <w:rsid w:val="00EF2F45"/>
    <w:rsid w:val="00EF3AF9"/>
    <w:rsid w:val="00EF3B0A"/>
    <w:rsid w:val="00EF3D38"/>
    <w:rsid w:val="00EF588A"/>
    <w:rsid w:val="00EF6136"/>
    <w:rsid w:val="00EF6BE8"/>
    <w:rsid w:val="00F0032B"/>
    <w:rsid w:val="00F0282B"/>
    <w:rsid w:val="00F03EF6"/>
    <w:rsid w:val="00F052D1"/>
    <w:rsid w:val="00F054F0"/>
    <w:rsid w:val="00F055F1"/>
    <w:rsid w:val="00F06A44"/>
    <w:rsid w:val="00F06A92"/>
    <w:rsid w:val="00F10F67"/>
    <w:rsid w:val="00F13ACA"/>
    <w:rsid w:val="00F15D3C"/>
    <w:rsid w:val="00F177EA"/>
    <w:rsid w:val="00F23124"/>
    <w:rsid w:val="00F23A8B"/>
    <w:rsid w:val="00F24C83"/>
    <w:rsid w:val="00F25769"/>
    <w:rsid w:val="00F26C25"/>
    <w:rsid w:val="00F326FA"/>
    <w:rsid w:val="00F33FE6"/>
    <w:rsid w:val="00F3661B"/>
    <w:rsid w:val="00F36797"/>
    <w:rsid w:val="00F405B4"/>
    <w:rsid w:val="00F40B29"/>
    <w:rsid w:val="00F40D96"/>
    <w:rsid w:val="00F42477"/>
    <w:rsid w:val="00F430A3"/>
    <w:rsid w:val="00F43D84"/>
    <w:rsid w:val="00F44EE7"/>
    <w:rsid w:val="00F4679C"/>
    <w:rsid w:val="00F52E63"/>
    <w:rsid w:val="00F52F3B"/>
    <w:rsid w:val="00F5341B"/>
    <w:rsid w:val="00F57DA3"/>
    <w:rsid w:val="00F6026C"/>
    <w:rsid w:val="00F610AF"/>
    <w:rsid w:val="00F617AD"/>
    <w:rsid w:val="00F61BD4"/>
    <w:rsid w:val="00F61ECB"/>
    <w:rsid w:val="00F62CF4"/>
    <w:rsid w:val="00F6570B"/>
    <w:rsid w:val="00F6573F"/>
    <w:rsid w:val="00F67815"/>
    <w:rsid w:val="00F70C3C"/>
    <w:rsid w:val="00F71717"/>
    <w:rsid w:val="00F71C45"/>
    <w:rsid w:val="00F72F77"/>
    <w:rsid w:val="00F767F5"/>
    <w:rsid w:val="00F81400"/>
    <w:rsid w:val="00F820AF"/>
    <w:rsid w:val="00F836FC"/>
    <w:rsid w:val="00F85A74"/>
    <w:rsid w:val="00F865CE"/>
    <w:rsid w:val="00F90733"/>
    <w:rsid w:val="00F921B7"/>
    <w:rsid w:val="00F94450"/>
    <w:rsid w:val="00F95459"/>
    <w:rsid w:val="00FA049B"/>
    <w:rsid w:val="00FA0837"/>
    <w:rsid w:val="00FA2C5A"/>
    <w:rsid w:val="00FA3C67"/>
    <w:rsid w:val="00FA46AD"/>
    <w:rsid w:val="00FA46D1"/>
    <w:rsid w:val="00FA4D24"/>
    <w:rsid w:val="00FB0AB6"/>
    <w:rsid w:val="00FB28B0"/>
    <w:rsid w:val="00FB2B8C"/>
    <w:rsid w:val="00FB32D6"/>
    <w:rsid w:val="00FB6F15"/>
    <w:rsid w:val="00FC0886"/>
    <w:rsid w:val="00FC11F6"/>
    <w:rsid w:val="00FC20CD"/>
    <w:rsid w:val="00FC2A72"/>
    <w:rsid w:val="00FC2D11"/>
    <w:rsid w:val="00FC4156"/>
    <w:rsid w:val="00FC434D"/>
    <w:rsid w:val="00FC4BA1"/>
    <w:rsid w:val="00FC513C"/>
    <w:rsid w:val="00FC6230"/>
    <w:rsid w:val="00FD0BE6"/>
    <w:rsid w:val="00FD370C"/>
    <w:rsid w:val="00FD4EB0"/>
    <w:rsid w:val="00FD5DD1"/>
    <w:rsid w:val="00FD69CF"/>
    <w:rsid w:val="00FE15FA"/>
    <w:rsid w:val="00FE3A4B"/>
    <w:rsid w:val="00FE3B6F"/>
    <w:rsid w:val="00FE492A"/>
    <w:rsid w:val="00FE4FF8"/>
    <w:rsid w:val="00FE5A58"/>
    <w:rsid w:val="00FE6B0B"/>
    <w:rsid w:val="00FF2E72"/>
    <w:rsid w:val="00FF3405"/>
    <w:rsid w:val="00FF55FE"/>
    <w:rsid w:val="00FF61E7"/>
    <w:rsid w:val="05A9499F"/>
    <w:rsid w:val="1BF7F1A2"/>
    <w:rsid w:val="1E8B570E"/>
    <w:rsid w:val="213A465A"/>
    <w:rsid w:val="25F9C259"/>
    <w:rsid w:val="26C70407"/>
    <w:rsid w:val="37736266"/>
    <w:rsid w:val="3A72623E"/>
    <w:rsid w:val="3B78ECCD"/>
    <w:rsid w:val="3FDFEAF4"/>
    <w:rsid w:val="4E688C7B"/>
    <w:rsid w:val="4ED84D31"/>
    <w:rsid w:val="50ABFF68"/>
    <w:rsid w:val="58EEC9DE"/>
    <w:rsid w:val="5C296D2A"/>
    <w:rsid w:val="5D55D910"/>
    <w:rsid w:val="6FA1CCA1"/>
    <w:rsid w:val="7CBF06EE"/>
    <w:rsid w:val="7FB8B789"/>
    <w:rsid w:val="7FCC48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D4F67"/>
  <w15:chartTrackingRefBased/>
  <w15:docId w15:val="{AF710BB4-6E01-470D-88CB-AF5BE50D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3"/>
      </w:num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9937C4"/>
    <w:pPr>
      <w:numPr>
        <w:numId w:val="1"/>
      </w:numPr>
      <w:spacing w:after="120"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PlaceholderText">
    <w:name w:val="Placeholder Text"/>
    <w:basedOn w:val="DefaultParagraphFont"/>
    <w:uiPriority w:val="99"/>
    <w:semiHidden/>
    <w:rsid w:val="008C1624"/>
    <w:rPr>
      <w:color w:val="808080"/>
    </w:rPr>
  </w:style>
  <w:style w:type="character" w:styleId="CommentReference">
    <w:name w:val="annotation reference"/>
    <w:basedOn w:val="DefaultParagraphFont"/>
    <w:unhideWhenUsed/>
    <w:rsid w:val="008C1624"/>
    <w:rPr>
      <w:sz w:val="16"/>
      <w:szCs w:val="16"/>
    </w:rPr>
  </w:style>
  <w:style w:type="paragraph" w:styleId="CommentText">
    <w:name w:val="annotation text"/>
    <w:basedOn w:val="Normal"/>
    <w:link w:val="CommentTextChar"/>
    <w:unhideWhenUsed/>
    <w:rsid w:val="008C1624"/>
    <w:rPr>
      <w:sz w:val="20"/>
      <w:szCs w:val="20"/>
    </w:rPr>
  </w:style>
  <w:style w:type="character" w:customStyle="1" w:styleId="CommentTextChar">
    <w:name w:val="Comment Text Char"/>
    <w:basedOn w:val="DefaultParagraphFont"/>
    <w:link w:val="CommentText"/>
    <w:rsid w:val="008C1624"/>
  </w:style>
  <w:style w:type="paragraph" w:styleId="CommentSubject">
    <w:name w:val="annotation subject"/>
    <w:basedOn w:val="CommentText"/>
    <w:next w:val="CommentText"/>
    <w:link w:val="CommentSubjectChar"/>
    <w:semiHidden/>
    <w:unhideWhenUsed/>
    <w:rsid w:val="008C1624"/>
    <w:rPr>
      <w:b/>
      <w:bCs/>
    </w:rPr>
  </w:style>
  <w:style w:type="character" w:customStyle="1" w:styleId="CommentSubjectChar">
    <w:name w:val="Comment Subject Char"/>
    <w:basedOn w:val="CommentTextChar"/>
    <w:link w:val="CommentSubject"/>
    <w:semiHidden/>
    <w:rsid w:val="008C1624"/>
    <w:rPr>
      <w:b/>
      <w:bCs/>
    </w:rPr>
  </w:style>
  <w:style w:type="table" w:styleId="TableGrid">
    <w:name w:val="Table Grid"/>
    <w:basedOn w:val="TableNormal"/>
    <w:rsid w:val="008C1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ListParagraph"/>
    <w:rsid w:val="0053533C"/>
    <w:pPr>
      <w:numPr>
        <w:numId w:val="4"/>
      </w:numPr>
      <w:tabs>
        <w:tab w:val="num" w:pos="360"/>
      </w:tabs>
      <w:spacing w:before="360" w:after="120"/>
      <w:ind w:left="720" w:firstLine="0"/>
    </w:pPr>
    <w:rPr>
      <w:rFonts w:ascii="Arial" w:hAnsi="Arial"/>
      <w:b/>
      <w:bCs/>
      <w:szCs w:val="20"/>
      <w:lang w:eastAsia="en-US"/>
    </w:rPr>
  </w:style>
  <w:style w:type="paragraph" w:styleId="ListParagraph">
    <w:name w:val="List Paragraph"/>
    <w:basedOn w:val="Normal"/>
    <w:uiPriority w:val="34"/>
    <w:semiHidden/>
    <w:qFormat/>
    <w:rsid w:val="0053533C"/>
    <w:pPr>
      <w:ind w:left="720"/>
      <w:contextualSpacing/>
    </w:pPr>
  </w:style>
  <w:style w:type="character" w:styleId="Hyperlink">
    <w:name w:val="Hyperlink"/>
    <w:rsid w:val="009937C4"/>
    <w:rPr>
      <w:color w:val="0000FF"/>
      <w:u w:val="single"/>
    </w:rPr>
  </w:style>
  <w:style w:type="paragraph" w:styleId="FootnoteText">
    <w:name w:val="footnote text"/>
    <w:basedOn w:val="Normal"/>
    <w:link w:val="FootnoteTextChar"/>
    <w:rsid w:val="009937C4"/>
    <w:pPr>
      <w:spacing w:after="240"/>
    </w:pPr>
    <w:rPr>
      <w:rFonts w:ascii="Arial" w:hAnsi="Arial"/>
      <w:sz w:val="20"/>
      <w:szCs w:val="20"/>
      <w:lang w:val="x-none" w:eastAsia="en-US"/>
    </w:rPr>
  </w:style>
  <w:style w:type="character" w:customStyle="1" w:styleId="FootnoteTextChar">
    <w:name w:val="Footnote Text Char"/>
    <w:basedOn w:val="DefaultParagraphFont"/>
    <w:link w:val="FootnoteText"/>
    <w:rsid w:val="009937C4"/>
    <w:rPr>
      <w:rFonts w:ascii="Arial" w:hAnsi="Arial"/>
      <w:lang w:val="x-none" w:eastAsia="en-US"/>
    </w:rPr>
  </w:style>
  <w:style w:type="character" w:styleId="FootnoteReference">
    <w:name w:val="footnote reference"/>
    <w:rsid w:val="009937C4"/>
    <w:rPr>
      <w:vertAlign w:val="superscript"/>
    </w:rPr>
  </w:style>
  <w:style w:type="character" w:styleId="FollowedHyperlink">
    <w:name w:val="FollowedHyperlink"/>
    <w:basedOn w:val="DefaultParagraphFont"/>
    <w:semiHidden/>
    <w:unhideWhenUsed/>
    <w:rsid w:val="009937C4"/>
    <w:rPr>
      <w:color w:val="800080" w:themeColor="followedHyperlink"/>
      <w:u w:val="single"/>
    </w:rPr>
  </w:style>
  <w:style w:type="paragraph" w:customStyle="1" w:styleId="Heading1numbered">
    <w:name w:val="Heading 1 numbered"/>
    <w:basedOn w:val="Heading1"/>
    <w:link w:val="Heading1numberedChar"/>
    <w:qFormat/>
    <w:rsid w:val="003844B5"/>
  </w:style>
  <w:style w:type="character" w:customStyle="1" w:styleId="Heading1numberedChar">
    <w:name w:val="Heading 1 numbered Char"/>
    <w:basedOn w:val="Heading1Char"/>
    <w:link w:val="Heading1numbered"/>
    <w:rsid w:val="003844B5"/>
    <w:rPr>
      <w:rFonts w:ascii="Arial" w:hAnsi="Arial"/>
      <w:b/>
      <w:bCs/>
      <w:kern w:val="32"/>
      <w:sz w:val="28"/>
      <w:szCs w:val="32"/>
    </w:rPr>
  </w:style>
  <w:style w:type="paragraph" w:styleId="NormalWeb">
    <w:name w:val="Normal (Web)"/>
    <w:basedOn w:val="Normal"/>
    <w:uiPriority w:val="99"/>
    <w:unhideWhenUsed/>
    <w:rsid w:val="0098593F"/>
    <w:pPr>
      <w:spacing w:before="100" w:beforeAutospacing="1" w:after="100" w:afterAutospacing="1"/>
    </w:pPr>
  </w:style>
  <w:style w:type="paragraph" w:styleId="Revision">
    <w:name w:val="Revision"/>
    <w:hidden/>
    <w:uiPriority w:val="99"/>
    <w:semiHidden/>
    <w:rsid w:val="0088045F"/>
    <w:rPr>
      <w:sz w:val="24"/>
      <w:szCs w:val="24"/>
    </w:rPr>
  </w:style>
  <w:style w:type="paragraph" w:styleId="BodyText2">
    <w:name w:val="Body Text 2"/>
    <w:basedOn w:val="BodyText"/>
    <w:link w:val="BodyText2Char"/>
    <w:rsid w:val="00C654E4"/>
    <w:pPr>
      <w:spacing w:before="120"/>
    </w:pPr>
    <w:rPr>
      <w:rFonts w:ascii="Arial" w:hAnsi="Arial"/>
      <w:szCs w:val="20"/>
      <w:lang w:val="x-none" w:eastAsia="en-US"/>
    </w:rPr>
  </w:style>
  <w:style w:type="character" w:customStyle="1" w:styleId="BodyText2Char">
    <w:name w:val="Body Text 2 Char"/>
    <w:basedOn w:val="DefaultParagraphFont"/>
    <w:link w:val="BodyText2"/>
    <w:rsid w:val="00C654E4"/>
    <w:rPr>
      <w:rFonts w:ascii="Arial" w:hAnsi="Arial"/>
      <w:sz w:val="24"/>
      <w:lang w:val="x-none" w:eastAsia="en-US"/>
    </w:rPr>
  </w:style>
  <w:style w:type="paragraph" w:styleId="BodyText">
    <w:name w:val="Body Text"/>
    <w:basedOn w:val="Normal"/>
    <w:link w:val="BodyTextChar"/>
    <w:semiHidden/>
    <w:unhideWhenUsed/>
    <w:rsid w:val="00C654E4"/>
    <w:pPr>
      <w:spacing w:after="120"/>
    </w:pPr>
  </w:style>
  <w:style w:type="character" w:customStyle="1" w:styleId="BodyTextChar">
    <w:name w:val="Body Text Char"/>
    <w:basedOn w:val="DefaultParagraphFont"/>
    <w:link w:val="BodyText"/>
    <w:semiHidden/>
    <w:rsid w:val="00C654E4"/>
    <w:rPr>
      <w:sz w:val="24"/>
      <w:szCs w:val="24"/>
    </w:rPr>
  </w:style>
  <w:style w:type="paragraph" w:styleId="Caption">
    <w:name w:val="caption"/>
    <w:basedOn w:val="Normal"/>
    <w:next w:val="Normal"/>
    <w:unhideWhenUsed/>
    <w:qFormat/>
    <w:rsid w:val="00E2432E"/>
    <w:pPr>
      <w:spacing w:after="200"/>
    </w:pPr>
    <w:rPr>
      <w:i/>
      <w:iCs/>
      <w:color w:val="1F497D" w:themeColor="text2"/>
      <w:sz w:val="18"/>
      <w:szCs w:val="18"/>
    </w:rPr>
  </w:style>
  <w:style w:type="character" w:styleId="UnresolvedMention">
    <w:name w:val="Unresolved Mention"/>
    <w:basedOn w:val="DefaultParagraphFont"/>
    <w:uiPriority w:val="99"/>
    <w:semiHidden/>
    <w:unhideWhenUsed/>
    <w:rsid w:val="00B907B3"/>
    <w:rPr>
      <w:color w:val="605E5C"/>
      <w:shd w:val="clear" w:color="auto" w:fill="E1DFDD"/>
    </w:rPr>
  </w:style>
  <w:style w:type="character" w:styleId="Mention">
    <w:name w:val="Mention"/>
    <w:basedOn w:val="DefaultParagraphFont"/>
    <w:uiPriority w:val="99"/>
    <w:unhideWhenUsed/>
    <w:rsid w:val="00217D04"/>
    <w:rPr>
      <w:color w:val="2B579A"/>
      <w:shd w:val="clear" w:color="auto" w:fill="E1DFDD"/>
    </w:rPr>
  </w:style>
  <w:style w:type="paragraph" w:customStyle="1" w:styleId="paragraph0">
    <w:name w:val="paragraph"/>
    <w:basedOn w:val="Normal"/>
    <w:rsid w:val="00677563"/>
    <w:pPr>
      <w:spacing w:before="100" w:beforeAutospacing="1" w:after="100" w:afterAutospacing="1"/>
    </w:pPr>
  </w:style>
  <w:style w:type="character" w:customStyle="1" w:styleId="normaltextrun">
    <w:name w:val="normaltextrun"/>
    <w:basedOn w:val="DefaultParagraphFont"/>
    <w:rsid w:val="00677563"/>
  </w:style>
  <w:style w:type="character" w:customStyle="1" w:styleId="eop">
    <w:name w:val="eop"/>
    <w:basedOn w:val="DefaultParagraphFont"/>
    <w:rsid w:val="00677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782057">
      <w:bodyDiv w:val="1"/>
      <w:marLeft w:val="0"/>
      <w:marRight w:val="0"/>
      <w:marTop w:val="0"/>
      <w:marBottom w:val="0"/>
      <w:divBdr>
        <w:top w:val="none" w:sz="0" w:space="0" w:color="auto"/>
        <w:left w:val="none" w:sz="0" w:space="0" w:color="auto"/>
        <w:bottom w:val="none" w:sz="0" w:space="0" w:color="auto"/>
        <w:right w:val="none" w:sz="0" w:space="0" w:color="auto"/>
      </w:divBdr>
      <w:divsChild>
        <w:div w:id="296570451">
          <w:marLeft w:val="0"/>
          <w:marRight w:val="0"/>
          <w:marTop w:val="0"/>
          <w:marBottom w:val="0"/>
          <w:divBdr>
            <w:top w:val="none" w:sz="0" w:space="0" w:color="auto"/>
            <w:left w:val="none" w:sz="0" w:space="0" w:color="auto"/>
            <w:bottom w:val="none" w:sz="0" w:space="0" w:color="auto"/>
            <w:right w:val="none" w:sz="0" w:space="0" w:color="auto"/>
          </w:divBdr>
          <w:divsChild>
            <w:div w:id="1051492101">
              <w:marLeft w:val="0"/>
              <w:marRight w:val="0"/>
              <w:marTop w:val="0"/>
              <w:marBottom w:val="0"/>
              <w:divBdr>
                <w:top w:val="none" w:sz="0" w:space="0" w:color="auto"/>
                <w:left w:val="none" w:sz="0" w:space="0" w:color="auto"/>
                <w:bottom w:val="none" w:sz="0" w:space="0" w:color="auto"/>
                <w:right w:val="none" w:sz="0" w:space="0" w:color="auto"/>
              </w:divBdr>
              <w:divsChild>
                <w:div w:id="989483736">
                  <w:marLeft w:val="0"/>
                  <w:marRight w:val="0"/>
                  <w:marTop w:val="0"/>
                  <w:marBottom w:val="0"/>
                  <w:divBdr>
                    <w:top w:val="none" w:sz="0" w:space="0" w:color="auto"/>
                    <w:left w:val="none" w:sz="0" w:space="0" w:color="auto"/>
                    <w:bottom w:val="none" w:sz="0" w:space="0" w:color="auto"/>
                    <w:right w:val="none" w:sz="0" w:space="0" w:color="auto"/>
                  </w:divBdr>
                  <w:divsChild>
                    <w:div w:id="1272513965">
                      <w:marLeft w:val="0"/>
                      <w:marRight w:val="0"/>
                      <w:marTop w:val="0"/>
                      <w:marBottom w:val="0"/>
                      <w:divBdr>
                        <w:top w:val="none" w:sz="0" w:space="0" w:color="auto"/>
                        <w:left w:val="none" w:sz="0" w:space="0" w:color="auto"/>
                        <w:bottom w:val="none" w:sz="0" w:space="0" w:color="auto"/>
                        <w:right w:val="none" w:sz="0" w:space="0" w:color="auto"/>
                      </w:divBdr>
                      <w:divsChild>
                        <w:div w:id="1818498218">
                          <w:marLeft w:val="0"/>
                          <w:marRight w:val="0"/>
                          <w:marTop w:val="0"/>
                          <w:marBottom w:val="0"/>
                          <w:divBdr>
                            <w:top w:val="none" w:sz="0" w:space="0" w:color="auto"/>
                            <w:left w:val="none" w:sz="0" w:space="0" w:color="auto"/>
                            <w:bottom w:val="none" w:sz="0" w:space="0" w:color="auto"/>
                            <w:right w:val="none" w:sz="0" w:space="0" w:color="auto"/>
                          </w:divBdr>
                          <w:divsChild>
                            <w:div w:id="373116479">
                              <w:marLeft w:val="0"/>
                              <w:marRight w:val="0"/>
                              <w:marTop w:val="0"/>
                              <w:marBottom w:val="0"/>
                              <w:divBdr>
                                <w:top w:val="none" w:sz="0" w:space="0" w:color="auto"/>
                                <w:left w:val="none" w:sz="0" w:space="0" w:color="auto"/>
                                <w:bottom w:val="none" w:sz="0" w:space="0" w:color="auto"/>
                                <w:right w:val="none" w:sz="0" w:space="0" w:color="auto"/>
                              </w:divBdr>
                              <w:divsChild>
                                <w:div w:id="1974556939">
                                  <w:marLeft w:val="360"/>
                                  <w:marRight w:val="360"/>
                                  <w:marTop w:val="0"/>
                                  <w:marBottom w:val="0"/>
                                  <w:divBdr>
                                    <w:top w:val="none" w:sz="0" w:space="0" w:color="auto"/>
                                    <w:left w:val="none" w:sz="0" w:space="0" w:color="auto"/>
                                    <w:bottom w:val="none" w:sz="0" w:space="0" w:color="auto"/>
                                    <w:right w:val="none" w:sz="0" w:space="0" w:color="auto"/>
                                  </w:divBdr>
                                  <w:divsChild>
                                    <w:div w:id="605116255">
                                      <w:marLeft w:val="0"/>
                                      <w:marRight w:val="0"/>
                                      <w:marTop w:val="0"/>
                                      <w:marBottom w:val="0"/>
                                      <w:divBdr>
                                        <w:top w:val="none" w:sz="0" w:space="0" w:color="auto"/>
                                        <w:left w:val="none" w:sz="0" w:space="0" w:color="auto"/>
                                        <w:bottom w:val="none" w:sz="0" w:space="0" w:color="auto"/>
                                        <w:right w:val="none" w:sz="0" w:space="0" w:color="auto"/>
                                      </w:divBdr>
                                      <w:divsChild>
                                        <w:div w:id="1402750351">
                                          <w:marLeft w:val="0"/>
                                          <w:marRight w:val="0"/>
                                          <w:marTop w:val="0"/>
                                          <w:marBottom w:val="300"/>
                                          <w:divBdr>
                                            <w:top w:val="none" w:sz="0" w:space="0" w:color="auto"/>
                                            <w:left w:val="none" w:sz="0" w:space="0" w:color="auto"/>
                                            <w:bottom w:val="none" w:sz="0" w:space="0" w:color="auto"/>
                                            <w:right w:val="none" w:sz="0" w:space="0" w:color="auto"/>
                                          </w:divBdr>
                                          <w:divsChild>
                                            <w:div w:id="1708605550">
                                              <w:marLeft w:val="0"/>
                                              <w:marRight w:val="0"/>
                                              <w:marTop w:val="0"/>
                                              <w:marBottom w:val="0"/>
                                              <w:divBdr>
                                                <w:top w:val="none" w:sz="0" w:space="0" w:color="auto"/>
                                                <w:left w:val="none" w:sz="0" w:space="0" w:color="auto"/>
                                                <w:bottom w:val="none" w:sz="0" w:space="0" w:color="auto"/>
                                                <w:right w:val="none" w:sz="0" w:space="0" w:color="auto"/>
                                              </w:divBdr>
                                              <w:divsChild>
                                                <w:div w:id="1639384791">
                                                  <w:marLeft w:val="0"/>
                                                  <w:marRight w:val="0"/>
                                                  <w:marTop w:val="0"/>
                                                  <w:marBottom w:val="0"/>
                                                  <w:divBdr>
                                                    <w:top w:val="none" w:sz="0" w:space="0" w:color="auto"/>
                                                    <w:left w:val="none" w:sz="0" w:space="0" w:color="auto"/>
                                                    <w:bottom w:val="none" w:sz="0" w:space="0" w:color="auto"/>
                                                    <w:right w:val="none" w:sz="0" w:space="0" w:color="auto"/>
                                                  </w:divBdr>
                                                  <w:divsChild>
                                                    <w:div w:id="46677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9052884">
      <w:bodyDiv w:val="1"/>
      <w:marLeft w:val="0"/>
      <w:marRight w:val="0"/>
      <w:marTop w:val="0"/>
      <w:marBottom w:val="0"/>
      <w:divBdr>
        <w:top w:val="none" w:sz="0" w:space="0" w:color="auto"/>
        <w:left w:val="none" w:sz="0" w:space="0" w:color="auto"/>
        <w:bottom w:val="none" w:sz="0" w:space="0" w:color="auto"/>
        <w:right w:val="none" w:sz="0" w:space="0" w:color="auto"/>
      </w:divBdr>
      <w:divsChild>
        <w:div w:id="318315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about-us/our-principl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process/pmg3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guidance/ng28" TargetMode="External"/><Relationship Id="rId5" Type="http://schemas.openxmlformats.org/officeDocument/2006/relationships/numbering" Target="numbering.xml"/><Relationship Id="rId15" Type="http://schemas.openxmlformats.org/officeDocument/2006/relationships/hyperlink" Target="https://www.nice.org.uk/guidance/ng28"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process/pmg36/resources/nice-health-technology-evaluations-the-manual-pdf-7228677924474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0076C7B467E54CBA850A724F9F4E9D" ma:contentTypeVersion="16" ma:contentTypeDescription="Create a new document." ma:contentTypeScope="" ma:versionID="5122c35149dc61cee48011ef2f4aa1d6">
  <xsd:schema xmlns:xsd="http://www.w3.org/2001/XMLSchema" xmlns:xs="http://www.w3.org/2001/XMLSchema" xmlns:p="http://schemas.microsoft.com/office/2006/metadata/properties" xmlns:ns2="08839cfa-8711-4fd9-90f3-27ce84caab68" xmlns:ns3="17345dba-8602-47ca-996a-89d155384ad0" xmlns:ns4="0eb656aa-4e79-4e95-9076-bc119a23e0cc" targetNamespace="http://schemas.microsoft.com/office/2006/metadata/properties" ma:root="true" ma:fieldsID="bd8e2cab9256b1b3cdfb91197055aeb0" ns2:_="" ns3:_="" ns4:_="">
    <xsd:import namespace="08839cfa-8711-4fd9-90f3-27ce84caab68"/>
    <xsd:import namespace="17345dba-8602-47ca-996a-89d155384ad0"/>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39cfa-8711-4fd9-90f3-27ce84caa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345dba-8602-47ca-996a-89d155384ad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6c08a8a-d913-4920-81a5-60cf4459400c}" ma:internalName="TaxCatchAll" ma:showField="CatchAllData" ma:web="17345dba-8602-47ca-996a-89d155384a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839cfa-8711-4fd9-90f3-27ce84caab68">
      <Terms xmlns="http://schemas.microsoft.com/office/infopath/2007/PartnerControls"/>
    </lcf76f155ced4ddcb4097134ff3c332f>
    <TaxCatchAll xmlns="0eb656aa-4e79-4e95-9076-bc119a23e0cc" xsi:nil="true"/>
  </documentManagement>
</p:properties>
</file>

<file path=customXml/itemProps1.xml><?xml version="1.0" encoding="utf-8"?>
<ds:datastoreItem xmlns:ds="http://schemas.openxmlformats.org/officeDocument/2006/customXml" ds:itemID="{CC0AC8D7-7398-422C-8DC6-4388DFD17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39cfa-8711-4fd9-90f3-27ce84caab68"/>
    <ds:schemaRef ds:uri="17345dba-8602-47ca-996a-89d155384ad0"/>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22DB27-E37F-4D27-9B03-FED53322E298}">
  <ds:schemaRefs>
    <ds:schemaRef ds:uri="http://schemas.microsoft.com/sharepoint/v3/contenttype/forms"/>
  </ds:schemaRefs>
</ds:datastoreItem>
</file>

<file path=customXml/itemProps3.xml><?xml version="1.0" encoding="utf-8"?>
<ds:datastoreItem xmlns:ds="http://schemas.openxmlformats.org/officeDocument/2006/customXml" ds:itemID="{343D2E24-873B-4016-B274-25E09DD1DD37}">
  <ds:schemaRefs>
    <ds:schemaRef ds:uri="http://schemas.openxmlformats.org/officeDocument/2006/bibliography"/>
  </ds:schemaRefs>
</ds:datastoreItem>
</file>

<file path=customXml/itemProps4.xml><?xml version="1.0" encoding="utf-8"?>
<ds:datastoreItem xmlns:ds="http://schemas.openxmlformats.org/officeDocument/2006/customXml" ds:itemID="{DE226710-6265-4054-AF16-88FFFDD61530}">
  <ds:schemaRefs>
    <ds:schemaRef ds:uri="http://schemas.microsoft.com/office/2006/metadata/properties"/>
    <ds:schemaRef ds:uri="http://schemas.microsoft.com/office/infopath/2007/PartnerControls"/>
    <ds:schemaRef ds:uri="08839cfa-8711-4fd9-90f3-27ce84caab68"/>
    <ds:schemaRef ds:uri="0eb656aa-4e79-4e95-9076-bc119a23e0cc"/>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2842</Words>
  <Characters>14923</Characters>
  <Application>Microsoft Office Word</Application>
  <DocSecurity>0</DocSecurity>
  <Lines>414</Lines>
  <Paragraphs>311</Paragraphs>
  <ScaleCrop>false</ScaleCrop>
  <Company/>
  <LinksUpToDate>false</LinksUpToDate>
  <CharactersWithSpaces>17454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Ng</dc:creator>
  <cp:keywords/>
  <dc:description/>
  <cp:lastModifiedBy>Lizzie Walker</cp:lastModifiedBy>
  <cp:revision>40</cp:revision>
  <dcterms:created xsi:type="dcterms:W3CDTF">2026-02-13T11:04:00Z</dcterms:created>
  <dcterms:modified xsi:type="dcterms:W3CDTF">2026-02-13T16:29:00Z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2023-04-03T11:36:44Z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4d7d2982-78be-41ae-8ad6-12e1da64b2a7</vt:lpwstr>
  </property>
  <property fmtid="{D5CDD505-2E9C-101B-9397-08002B2CF9AE}" pid="8" name="MSIP_Label_c69d85d5-6d9e-4305-a294-1f636ec0f2d6_ContentBits">
    <vt:lpwstr>0</vt:lpwstr>
  </property>
  <property fmtid="{D5CDD505-2E9C-101B-9397-08002B2CF9AE}" pid="9" name="ContentTypeId">
    <vt:lpwstr>0x010100770076C7B467E54CBA850A724F9F4E9D</vt:lpwstr>
  </property>
  <property fmtid="{D5CDD505-2E9C-101B-9397-08002B2CF9AE}" pid="10" name="MediaServiceImageTags">
    <vt:lpwstr/>
  </property>
</Properties>
</file>