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F4937" w14:textId="77777777" w:rsidR="007D7F83" w:rsidRPr="007D7F83" w:rsidRDefault="007D7F83" w:rsidP="0044624B">
      <w:pPr>
        <w:pStyle w:val="Title2"/>
      </w:pPr>
      <w:r w:rsidRPr="007D7F83">
        <w:t>NATIONAL INSTITUTE FOR HEALTH AND C</w:t>
      </w:r>
      <w:r w:rsidR="00B12F36">
        <w:t>ARE</w:t>
      </w:r>
      <w:r w:rsidRPr="007D7F83">
        <w:t xml:space="preserve"> EXCELLENCE</w:t>
      </w:r>
    </w:p>
    <w:p w14:paraId="4DD893D4" w14:textId="77777777" w:rsidR="007D7F83" w:rsidRPr="007D7F83" w:rsidRDefault="007D7F83" w:rsidP="005D712B">
      <w:pPr>
        <w:pStyle w:val="Title2"/>
      </w:pPr>
      <w:r w:rsidRPr="007D7F83">
        <w:t>Appraisal consultation document</w:t>
      </w:r>
    </w:p>
    <w:p w14:paraId="08AC057C" w14:textId="73E1B572" w:rsidR="007D7F83" w:rsidRDefault="007D5CFF" w:rsidP="00BB7835">
      <w:pPr>
        <w:pStyle w:val="Title1"/>
      </w:pPr>
      <w:r>
        <w:t xml:space="preserve">Idelalisib for </w:t>
      </w:r>
      <w:r w:rsidR="00D711F2">
        <w:t xml:space="preserve">treating </w:t>
      </w:r>
      <w:r>
        <w:t>refractory follicular lymphoma</w:t>
      </w:r>
    </w:p>
    <w:p w14:paraId="4A5B14E0" w14:textId="77777777" w:rsidR="00CA6B65" w:rsidRDefault="00CA6B65" w:rsidP="00981B9F">
      <w:pPr>
        <w:pStyle w:val="Guidanceissueda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981B9F" w14:paraId="5288F8EA" w14:textId="77777777" w:rsidTr="00E975D0">
        <w:tc>
          <w:tcPr>
            <w:tcW w:w="8529" w:type="dxa"/>
            <w:shd w:val="clear" w:color="auto" w:fill="auto"/>
          </w:tcPr>
          <w:p w14:paraId="233CC35F" w14:textId="77777777" w:rsidR="00981B9F" w:rsidRPr="00981B9F" w:rsidRDefault="00981B9F" w:rsidP="00E975D0">
            <w:pPr>
              <w:pStyle w:val="NICEnormalsinglespacing"/>
            </w:pPr>
            <w:r w:rsidRPr="00981B9F">
              <w:t xml:space="preserve">The Department of Health </w:t>
            </w:r>
            <w:r w:rsidR="008F71DA">
              <w:t xml:space="preserve">and Social Care </w:t>
            </w:r>
            <w:r w:rsidRPr="00981B9F">
              <w:t xml:space="preserve">has asked the National Institute for Health and Care Excellence (NICE) to produce guidance on using </w:t>
            </w:r>
            <w:r w:rsidR="007D5CFF">
              <w:t>idelalisib</w:t>
            </w:r>
            <w:r w:rsidRPr="00981B9F">
              <w:t xml:space="preserve"> in the NHS in England. The </w:t>
            </w:r>
            <w:r w:rsidR="006E210A">
              <w:t>a</w:t>
            </w:r>
            <w:r w:rsidRPr="00981B9F">
              <w:t xml:space="preserve">ppraisal </w:t>
            </w:r>
            <w:r w:rsidR="006E210A">
              <w:t>c</w:t>
            </w:r>
            <w:r w:rsidRPr="00981B9F">
              <w:t xml:space="preserve">ommittee has considered the evidence submitted by the </w:t>
            </w:r>
            <w:r w:rsidR="00241CB5">
              <w:t>company</w:t>
            </w:r>
            <w:r w:rsidRPr="00981B9F">
              <w:t xml:space="preserve"> and the views of non-</w:t>
            </w:r>
            <w:r w:rsidR="00241CB5">
              <w:t>company</w:t>
            </w:r>
            <w:r w:rsidRPr="00981B9F">
              <w:t xml:space="preserve"> consultees and commentators, clinical </w:t>
            </w:r>
            <w:r w:rsidR="00C53928">
              <w:t>experts</w:t>
            </w:r>
            <w:r w:rsidRPr="00981B9F">
              <w:t xml:space="preserve"> and patient experts. </w:t>
            </w:r>
          </w:p>
          <w:p w14:paraId="6D1FDFDC" w14:textId="77777777" w:rsidR="00981B9F" w:rsidRPr="00981B9F" w:rsidRDefault="00981B9F" w:rsidP="00E975D0">
            <w:pPr>
              <w:pStyle w:val="NICEnormalsinglespacing"/>
            </w:pPr>
            <w:r w:rsidRPr="00E975D0">
              <w:rPr>
                <w:b/>
              </w:rPr>
              <w:t>This document has been prepared for consultation with the consultees.</w:t>
            </w:r>
            <w:r w:rsidRPr="00981B9F">
              <w:t xml:space="preserve"> It summarises the evidence and views that have been considered, and sets out the recommendations made by the </w:t>
            </w:r>
            <w:r w:rsidR="006E210A">
              <w:t>c</w:t>
            </w:r>
            <w:r w:rsidRPr="00981B9F">
              <w:t>ommittee. NICE invites comments from the consultees and commentators for this appraisal and the public. This document should be read along with the evidence (</w:t>
            </w:r>
            <w:r w:rsidR="003045A2">
              <w:t xml:space="preserve">see </w:t>
            </w:r>
            <w:r w:rsidRPr="00981B9F">
              <w:t xml:space="preserve">the </w:t>
            </w:r>
            <w:hyperlink r:id="rId8" w:history="1">
              <w:r w:rsidR="006E210A">
                <w:rPr>
                  <w:rStyle w:val="Hyperlink"/>
                </w:rPr>
                <w:t>committee papers</w:t>
              </w:r>
            </w:hyperlink>
            <w:r w:rsidRPr="00981B9F">
              <w:t xml:space="preserve">). </w:t>
            </w:r>
          </w:p>
          <w:p w14:paraId="7ADBFEA4" w14:textId="77777777" w:rsidR="00981B9F" w:rsidRPr="00981494" w:rsidRDefault="00981B9F" w:rsidP="00981494">
            <w:pPr>
              <w:pStyle w:val="NICEnormalsinglespacing"/>
            </w:pPr>
            <w:r w:rsidRPr="00981494">
              <w:t xml:space="preserve">The </w:t>
            </w:r>
            <w:r w:rsidR="006E210A">
              <w:t>a</w:t>
            </w:r>
            <w:r w:rsidRPr="00981494">
              <w:t xml:space="preserve">ppraisal </w:t>
            </w:r>
            <w:r w:rsidR="006E210A">
              <w:t>c</w:t>
            </w:r>
            <w:r w:rsidRPr="00981494">
              <w:t>ommittee is interested in receiving comments on the following:</w:t>
            </w:r>
          </w:p>
          <w:p w14:paraId="64C4E65E" w14:textId="77777777" w:rsidR="00981B9F" w:rsidRPr="00981494" w:rsidRDefault="00981B9F" w:rsidP="00981494">
            <w:pPr>
              <w:pStyle w:val="Bulletleft1"/>
              <w:spacing w:line="240" w:lineRule="auto"/>
            </w:pPr>
            <w:r w:rsidRPr="00981494">
              <w:t>Has all of the relevant evidence been taken into account?</w:t>
            </w:r>
          </w:p>
          <w:p w14:paraId="70C689AC" w14:textId="77777777" w:rsidR="00981B9F" w:rsidRPr="00981494" w:rsidRDefault="00981B9F" w:rsidP="00981494">
            <w:pPr>
              <w:pStyle w:val="Bulletleft1"/>
              <w:spacing w:line="240" w:lineRule="auto"/>
            </w:pPr>
            <w:r w:rsidRPr="00981494">
              <w:t>Are the summaries of clinical and cost effectiveness reasonable interpretations of the evidence?</w:t>
            </w:r>
          </w:p>
          <w:p w14:paraId="0B9C9069" w14:textId="77777777" w:rsidR="00981B9F" w:rsidRPr="00981494" w:rsidRDefault="00981B9F" w:rsidP="00981494">
            <w:pPr>
              <w:pStyle w:val="Bulletleft1"/>
              <w:spacing w:line="240" w:lineRule="auto"/>
            </w:pPr>
            <w:r w:rsidRPr="00981494">
              <w:t>Are the recommendations sound and a suitable basis for guidance to the NHS?</w:t>
            </w:r>
          </w:p>
          <w:p w14:paraId="105CC89D" w14:textId="77777777" w:rsidR="00981B9F" w:rsidRPr="00981494" w:rsidRDefault="00981B9F" w:rsidP="00981494">
            <w:pPr>
              <w:pStyle w:val="Bulletleft1"/>
              <w:spacing w:line="240" w:lineRule="auto"/>
            </w:pPr>
            <w:r w:rsidRPr="00981494">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tc>
      </w:tr>
    </w:tbl>
    <w:p w14:paraId="6BC20697" w14:textId="77777777" w:rsidR="00981B9F" w:rsidRDefault="00BA5C93" w:rsidP="00981B9F">
      <w:pPr>
        <w:pStyle w:val="NICEnormal"/>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981B9F" w14:paraId="2365E544" w14:textId="77777777" w:rsidTr="00E975D0">
        <w:tc>
          <w:tcPr>
            <w:tcW w:w="8529" w:type="dxa"/>
            <w:shd w:val="clear" w:color="auto" w:fill="auto"/>
          </w:tcPr>
          <w:p w14:paraId="0D83CA0A" w14:textId="77777777" w:rsidR="00981B9F" w:rsidRPr="00E975D0" w:rsidRDefault="00981B9F" w:rsidP="00E975D0">
            <w:pPr>
              <w:pStyle w:val="NICEnormalsinglespacing"/>
              <w:rPr>
                <w:b/>
                <w:bCs/>
              </w:rPr>
            </w:pPr>
            <w:r w:rsidRPr="00E975D0">
              <w:rPr>
                <w:b/>
                <w:bCs/>
              </w:rPr>
              <w:lastRenderedPageBreak/>
              <w:t>Note that this document is not NICE's final guidance on this technology. The recommendations in section 1 may change after consultation.</w:t>
            </w:r>
          </w:p>
          <w:p w14:paraId="13EAACCA" w14:textId="77777777" w:rsidR="00981B9F" w:rsidRPr="00981494" w:rsidRDefault="00981B9F" w:rsidP="00981494">
            <w:pPr>
              <w:pStyle w:val="NICEnormalsinglespacing"/>
            </w:pPr>
            <w:r w:rsidRPr="00981494">
              <w:t>After consultation:</w:t>
            </w:r>
          </w:p>
          <w:p w14:paraId="2CF37BFA" w14:textId="77777777" w:rsidR="00981B9F" w:rsidRPr="00981494" w:rsidRDefault="00981B9F" w:rsidP="00981494">
            <w:pPr>
              <w:pStyle w:val="Bulletleft1"/>
              <w:spacing w:line="240" w:lineRule="auto"/>
            </w:pPr>
            <w:r w:rsidRPr="00981494">
              <w:t xml:space="preserve">The </w:t>
            </w:r>
            <w:r w:rsidR="006E210A">
              <w:t>a</w:t>
            </w:r>
            <w:r w:rsidRPr="00981494">
              <w:t xml:space="preserve">ppraisal </w:t>
            </w:r>
            <w:r w:rsidR="006E210A">
              <w:t>c</w:t>
            </w:r>
            <w:r w:rsidRPr="00981494">
              <w:t>ommittee will meet again to consider the evidence, this appraisal consultation document and comments from the consultees.</w:t>
            </w:r>
          </w:p>
          <w:p w14:paraId="13E80150" w14:textId="77777777" w:rsidR="00981B9F" w:rsidRPr="00981494" w:rsidRDefault="00981B9F" w:rsidP="00981494">
            <w:pPr>
              <w:pStyle w:val="Bulletleft1"/>
              <w:spacing w:line="240" w:lineRule="auto"/>
            </w:pPr>
            <w:r w:rsidRPr="00981494">
              <w:t xml:space="preserve">At that meeting, the </w:t>
            </w:r>
            <w:r w:rsidR="006E210A">
              <w:t>c</w:t>
            </w:r>
            <w:r w:rsidRPr="00981494">
              <w:t>ommittee will also consider comments made by people who are not consultees.</w:t>
            </w:r>
          </w:p>
          <w:p w14:paraId="46870539" w14:textId="77777777" w:rsidR="00981B9F" w:rsidRPr="00981494" w:rsidRDefault="00981B9F" w:rsidP="00981494">
            <w:pPr>
              <w:pStyle w:val="Bulletleft1"/>
              <w:spacing w:line="240" w:lineRule="auto"/>
            </w:pPr>
            <w:r w:rsidRPr="00981494">
              <w:t xml:space="preserve">After considering these comments, the </w:t>
            </w:r>
            <w:r w:rsidR="006E210A">
              <w:t>c</w:t>
            </w:r>
            <w:r w:rsidRPr="00981494">
              <w:t>ommittee will prepare the final appraisal d</w:t>
            </w:r>
            <w:r w:rsidR="00AF6138">
              <w:t>ocument</w:t>
            </w:r>
            <w:r w:rsidRPr="00981494">
              <w:t>.</w:t>
            </w:r>
          </w:p>
          <w:p w14:paraId="44E02729" w14:textId="77777777" w:rsidR="00981B9F" w:rsidRPr="00981494" w:rsidRDefault="00981B9F" w:rsidP="00981494">
            <w:pPr>
              <w:pStyle w:val="Bulletleft1last"/>
              <w:spacing w:line="240" w:lineRule="auto"/>
            </w:pPr>
            <w:r w:rsidRPr="00981494">
              <w:t xml:space="preserve">Subject to any appeal by consultees, the </w:t>
            </w:r>
            <w:r w:rsidR="00905AAC" w:rsidRPr="00981494">
              <w:t>final appraisal d</w:t>
            </w:r>
            <w:r w:rsidR="00AF6138">
              <w:t>ocument</w:t>
            </w:r>
            <w:r w:rsidRPr="00981494">
              <w:t xml:space="preserve"> may be used as the basis for NICE’s guidance on using </w:t>
            </w:r>
            <w:r w:rsidR="007D5CFF">
              <w:t>idelalisib</w:t>
            </w:r>
            <w:r w:rsidRPr="00981494">
              <w:t xml:space="preserve"> in the NHS in England. </w:t>
            </w:r>
          </w:p>
          <w:p w14:paraId="664B265C" w14:textId="77777777" w:rsidR="00981B9F" w:rsidRPr="00981494" w:rsidRDefault="004C10EF" w:rsidP="00981494">
            <w:pPr>
              <w:pStyle w:val="NICEnormalsinglespacing"/>
            </w:pPr>
            <w:r w:rsidRPr="00276C00">
              <w:t xml:space="preserve">For further details, see </w:t>
            </w:r>
            <w:r>
              <w:t>NICE’s</w:t>
            </w:r>
            <w:r w:rsidRPr="00276C00">
              <w:t xml:space="preserve"> </w:t>
            </w:r>
            <w:hyperlink r:id="rId9" w:history="1">
              <w:r w:rsidRPr="00021681">
                <w:rPr>
                  <w:rStyle w:val="Hyperlink"/>
                </w:rPr>
                <w:t>guide to the processes of technology appraisal</w:t>
              </w:r>
            </w:hyperlink>
            <w:r w:rsidR="00416CEF">
              <w:t>.</w:t>
            </w:r>
          </w:p>
          <w:p w14:paraId="6C0B88C9" w14:textId="77777777" w:rsidR="00981B9F" w:rsidRPr="00981494" w:rsidRDefault="00981B9F" w:rsidP="00981494">
            <w:pPr>
              <w:pStyle w:val="NICEnormalsinglespacing"/>
              <w:rPr>
                <w:b/>
                <w:bCs/>
              </w:rPr>
            </w:pPr>
            <w:r w:rsidRPr="00981494">
              <w:rPr>
                <w:b/>
                <w:bCs/>
              </w:rPr>
              <w:t>The key dates for this appraisal are:</w:t>
            </w:r>
          </w:p>
          <w:p w14:paraId="118B8068" w14:textId="7BC8FBF4" w:rsidR="00981B9F" w:rsidRPr="00981494" w:rsidRDefault="00981B9F" w:rsidP="00981494">
            <w:pPr>
              <w:pStyle w:val="NICEnormalsinglespacing"/>
            </w:pPr>
            <w:r w:rsidRPr="00981494">
              <w:t xml:space="preserve">Closing date for comments: </w:t>
            </w:r>
            <w:r w:rsidR="008016D0">
              <w:t>23</w:t>
            </w:r>
            <w:r w:rsidR="008016D0" w:rsidRPr="008016D0">
              <w:rPr>
                <w:vertAlign w:val="superscript"/>
              </w:rPr>
              <w:t>rd</w:t>
            </w:r>
            <w:r w:rsidR="008016D0">
              <w:t xml:space="preserve"> October 2018</w:t>
            </w:r>
          </w:p>
          <w:p w14:paraId="2FC9D326" w14:textId="7E3B1D74" w:rsidR="00981B9F" w:rsidRPr="00981494" w:rsidRDefault="00981B9F" w:rsidP="005C50E7">
            <w:pPr>
              <w:pStyle w:val="NICEnormalsinglespacing"/>
            </w:pPr>
            <w:r w:rsidRPr="00981494">
              <w:t xml:space="preserve">Second </w:t>
            </w:r>
            <w:r w:rsidR="006E210A">
              <w:t>a</w:t>
            </w:r>
            <w:r w:rsidRPr="00981494">
              <w:t xml:space="preserve">ppraisal </w:t>
            </w:r>
            <w:r w:rsidR="006E210A">
              <w:t>c</w:t>
            </w:r>
            <w:r w:rsidRPr="00981494">
              <w:t xml:space="preserve">ommittee meeting: </w:t>
            </w:r>
            <w:r w:rsidR="00C058F7">
              <w:t>6</w:t>
            </w:r>
            <w:r w:rsidR="00C058F7" w:rsidRPr="00C058F7">
              <w:rPr>
                <w:vertAlign w:val="superscript"/>
              </w:rPr>
              <w:t>th</w:t>
            </w:r>
            <w:r w:rsidR="00C058F7">
              <w:t xml:space="preserve"> November 2018</w:t>
            </w:r>
          </w:p>
          <w:p w14:paraId="6CB62993" w14:textId="77777777" w:rsidR="00981B9F" w:rsidRPr="00981494" w:rsidRDefault="00F2029D" w:rsidP="00476D3A">
            <w:pPr>
              <w:pStyle w:val="NICEnormalsinglespacing"/>
            </w:pPr>
            <w:r w:rsidRPr="00981494">
              <w:t xml:space="preserve">Details of membership of the </w:t>
            </w:r>
            <w:r w:rsidR="00930E69">
              <w:t>a</w:t>
            </w:r>
            <w:r w:rsidRPr="00981494">
              <w:t xml:space="preserve">ppraisal </w:t>
            </w:r>
            <w:r w:rsidR="00930E69">
              <w:t>c</w:t>
            </w:r>
            <w:r w:rsidRPr="00981494">
              <w:t xml:space="preserve">ommittee are given in section </w:t>
            </w:r>
            <w:r w:rsidR="00476D3A">
              <w:t>5</w:t>
            </w:r>
            <w:r>
              <w:t>.</w:t>
            </w:r>
          </w:p>
        </w:tc>
      </w:tr>
    </w:tbl>
    <w:p w14:paraId="171914BB" w14:textId="77777777" w:rsidR="00BA5C93" w:rsidRDefault="00BA5C93" w:rsidP="00981B9F">
      <w:pPr>
        <w:pStyle w:val="NICEnormal"/>
      </w:pPr>
    </w:p>
    <w:p w14:paraId="383D1829" w14:textId="77777777" w:rsidR="007D7F83" w:rsidRPr="001A656A" w:rsidRDefault="00BA5C93" w:rsidP="001A656A">
      <w:pPr>
        <w:pStyle w:val="Numberedheading1"/>
      </w:pPr>
      <w:r>
        <w:br w:type="page"/>
      </w:r>
      <w:r w:rsidR="000A1888" w:rsidRPr="001A656A">
        <w:t>R</w:t>
      </w:r>
      <w:r w:rsidR="007D7F83" w:rsidRPr="001A656A">
        <w:t>ecommendations</w:t>
      </w:r>
    </w:p>
    <w:p w14:paraId="1AD4A8A6" w14:textId="0259E741" w:rsidR="00FC2893" w:rsidRDefault="007D5CFF" w:rsidP="0055370A">
      <w:pPr>
        <w:pStyle w:val="Numberedlevel2text"/>
        <w:numPr>
          <w:ilvl w:val="1"/>
          <w:numId w:val="1"/>
        </w:numPr>
      </w:pPr>
      <w:r>
        <w:rPr>
          <w:rStyle w:val="Numberedlevel2textChar"/>
          <w:rFonts w:cs="Times New Roman"/>
          <w:bCs/>
          <w:iCs/>
        </w:rPr>
        <w:t xml:space="preserve">Idelalisib </w:t>
      </w:r>
      <w:r w:rsidR="00FC2893" w:rsidRPr="00981B9F">
        <w:t>is not recommended</w:t>
      </w:r>
      <w:r w:rsidR="00FC2893">
        <w:t>,</w:t>
      </w:r>
      <w:r w:rsidR="00FC2893" w:rsidRPr="00981B9F">
        <w:t xml:space="preserve"> within its marketing authorisation</w:t>
      </w:r>
      <w:r w:rsidR="00FC2893">
        <w:t>,</w:t>
      </w:r>
      <w:r w:rsidR="00FC2893" w:rsidRPr="00981B9F">
        <w:t xml:space="preserve"> for treating </w:t>
      </w:r>
      <w:r>
        <w:rPr>
          <w:rStyle w:val="Numberedlevel2textChar"/>
          <w:rFonts w:cs="Times New Roman"/>
          <w:bCs/>
          <w:iCs/>
        </w:rPr>
        <w:t xml:space="preserve">follicular lymphoma that </w:t>
      </w:r>
      <w:r w:rsidR="00D711F2">
        <w:rPr>
          <w:rStyle w:val="Numberedlevel2textChar"/>
          <w:rFonts w:cs="Times New Roman"/>
          <w:bCs/>
          <w:iCs/>
          <w:lang w:val="en-GB"/>
        </w:rPr>
        <w:t>has not responded</w:t>
      </w:r>
      <w:r>
        <w:rPr>
          <w:rStyle w:val="Numberedlevel2textChar"/>
          <w:rFonts w:cs="Times New Roman"/>
          <w:bCs/>
          <w:iCs/>
        </w:rPr>
        <w:t xml:space="preserve"> to </w:t>
      </w:r>
      <w:r w:rsidR="00D711F2">
        <w:rPr>
          <w:rStyle w:val="Numberedlevel2textChar"/>
          <w:rFonts w:cs="Times New Roman"/>
          <w:bCs/>
          <w:iCs/>
          <w:lang w:val="en-GB"/>
        </w:rPr>
        <w:t>2 previous</w:t>
      </w:r>
      <w:r>
        <w:rPr>
          <w:rStyle w:val="Numberedlevel2textChar"/>
          <w:rFonts w:cs="Times New Roman"/>
          <w:bCs/>
          <w:iCs/>
        </w:rPr>
        <w:t xml:space="preserve"> lines of treatment</w:t>
      </w:r>
      <w:r w:rsidR="00FC2893">
        <w:t xml:space="preserve"> in </w:t>
      </w:r>
      <w:r>
        <w:rPr>
          <w:rStyle w:val="Numberedlevel2textChar"/>
          <w:rFonts w:cs="Times New Roman"/>
          <w:bCs/>
          <w:iCs/>
        </w:rPr>
        <w:t>adults</w:t>
      </w:r>
      <w:r w:rsidR="00FC2893" w:rsidRPr="00981B9F">
        <w:t>.</w:t>
      </w:r>
    </w:p>
    <w:p w14:paraId="6B56B448" w14:textId="5EF173B1" w:rsidR="0055370A" w:rsidRDefault="0055370A" w:rsidP="0055370A">
      <w:pPr>
        <w:pStyle w:val="Numberedlevel2text"/>
        <w:numPr>
          <w:ilvl w:val="1"/>
          <w:numId w:val="1"/>
        </w:numPr>
      </w:pPr>
      <w:r w:rsidRPr="0009129B">
        <w:t>This</w:t>
      </w:r>
      <w:r>
        <w:t xml:space="preserve"> recommendation is </w:t>
      </w:r>
      <w:r w:rsidRPr="0009129B">
        <w:t xml:space="preserve">not intended to affect </w:t>
      </w:r>
      <w:r w:rsidRPr="006A2D99">
        <w:t xml:space="preserve">treatment with </w:t>
      </w:r>
      <w:r w:rsidR="00A470DB">
        <w:rPr>
          <w:lang w:val="en-GB"/>
        </w:rPr>
        <w:t>idelalisib</w:t>
      </w:r>
      <w:r w:rsidRPr="006A2D99">
        <w:t xml:space="preserve"> </w:t>
      </w:r>
      <w:r>
        <w:t xml:space="preserve">that </w:t>
      </w:r>
      <w:r w:rsidRPr="006A2D99">
        <w:t>was started in the NHS befo</w:t>
      </w:r>
      <w:r>
        <w:t>re this guidance was published. People having treatment outside this recommendation</w:t>
      </w:r>
      <w:r>
        <w:rPr>
          <w:lang w:val="en-GB"/>
        </w:rPr>
        <w:t xml:space="preserve"> </w:t>
      </w:r>
      <w:r>
        <w:t xml:space="preserve">may </w:t>
      </w:r>
      <w:r w:rsidRPr="006A2D99">
        <w:t xml:space="preserve">continue </w:t>
      </w:r>
      <w:r>
        <w:t>without change to the funding arrangements in place for them before this guidance was published,</w:t>
      </w:r>
      <w:r w:rsidRPr="006A2D99">
        <w:t xml:space="preserve"> until they and their NHS clinician consider it appropriate to stop</w:t>
      </w:r>
      <w:r w:rsidRPr="007C0BAA">
        <w:t>.</w:t>
      </w:r>
    </w:p>
    <w:p w14:paraId="784F0F09" w14:textId="77777777" w:rsidR="00AD5B3A" w:rsidRPr="0023030F" w:rsidRDefault="00AD5B3A" w:rsidP="0023030F">
      <w:pPr>
        <w:pStyle w:val="NICEnormal"/>
        <w:rPr>
          <w:b/>
        </w:rPr>
      </w:pPr>
      <w:r w:rsidRPr="0023030F">
        <w:rPr>
          <w:b/>
        </w:rPr>
        <w:t>Why the committee made these recommendations</w:t>
      </w:r>
    </w:p>
    <w:p w14:paraId="0C00C73B" w14:textId="771B7C39" w:rsidR="009C041E" w:rsidRPr="00476D3A" w:rsidRDefault="00AC28A4" w:rsidP="00476D3A">
      <w:pPr>
        <w:pStyle w:val="NICEnormalindented"/>
      </w:pPr>
      <w:r>
        <w:t xml:space="preserve">The options after 2 lines of treatment </w:t>
      </w:r>
      <w:r w:rsidR="009C041E" w:rsidRPr="00476D3A">
        <w:t>for follicular lymphoma include</w:t>
      </w:r>
      <w:r w:rsidR="00025524">
        <w:t xml:space="preserve"> a range of</w:t>
      </w:r>
      <w:r w:rsidR="009C041E" w:rsidRPr="00476D3A">
        <w:t xml:space="preserve"> chemotherapy treatments</w:t>
      </w:r>
      <w:r w:rsidR="00E70147">
        <w:t>. T</w:t>
      </w:r>
      <w:r w:rsidR="00025524">
        <w:t>he choice of the specific treatment depends</w:t>
      </w:r>
      <w:r w:rsidR="009C041E" w:rsidRPr="00476D3A">
        <w:t xml:space="preserve"> on what the </w:t>
      </w:r>
      <w:r>
        <w:t>person</w:t>
      </w:r>
      <w:r w:rsidRPr="00476D3A">
        <w:t xml:space="preserve"> </w:t>
      </w:r>
      <w:r w:rsidR="007E77D4">
        <w:t>has</w:t>
      </w:r>
      <w:r w:rsidR="00D711F2">
        <w:t xml:space="preserve"> </w:t>
      </w:r>
      <w:r w:rsidR="00B42CBA">
        <w:t>had already</w:t>
      </w:r>
      <w:r w:rsidR="009C041E" w:rsidRPr="00476D3A">
        <w:t>.</w:t>
      </w:r>
    </w:p>
    <w:p w14:paraId="14E7D8C2" w14:textId="761E0BB8" w:rsidR="009C041E" w:rsidRPr="00476D3A" w:rsidRDefault="00AC28A4" w:rsidP="00476D3A">
      <w:pPr>
        <w:pStyle w:val="NICEnormalindented"/>
      </w:pPr>
      <w:r>
        <w:t>I</w:t>
      </w:r>
      <w:r w:rsidR="009C041E" w:rsidRPr="00476D3A">
        <w:t>delalisib</w:t>
      </w:r>
      <w:r w:rsidR="007E77D4">
        <w:t xml:space="preserve"> </w:t>
      </w:r>
      <w:r>
        <w:t xml:space="preserve">has </w:t>
      </w:r>
      <w:r w:rsidR="004B6F45">
        <w:t>not been compared directly</w:t>
      </w:r>
      <w:r>
        <w:t xml:space="preserve"> </w:t>
      </w:r>
      <w:r w:rsidR="007E77D4">
        <w:t xml:space="preserve">with </w:t>
      </w:r>
      <w:r w:rsidR="004876AC" w:rsidRPr="00476D3A">
        <w:t>current chemotherapy treatments</w:t>
      </w:r>
      <w:r w:rsidR="00DD2C0B">
        <w:t>. S</w:t>
      </w:r>
      <w:r w:rsidR="000E688E">
        <w:t>o</w:t>
      </w:r>
      <w:r w:rsidR="00DD2C0B">
        <w:t>,</w:t>
      </w:r>
      <w:r w:rsidR="000E688E">
        <w:t xml:space="preserve"> it is </w:t>
      </w:r>
      <w:r w:rsidR="004B6F45">
        <w:t xml:space="preserve">unclear </w:t>
      </w:r>
      <w:r w:rsidR="003878B4">
        <w:t xml:space="preserve">whether it is better, and if so by </w:t>
      </w:r>
      <w:r w:rsidR="000E688E">
        <w:t>how</w:t>
      </w:r>
      <w:r w:rsidR="00025524">
        <w:t xml:space="preserve"> much</w:t>
      </w:r>
      <w:r w:rsidR="003878B4">
        <w:t>,</w:t>
      </w:r>
      <w:r w:rsidR="00025524">
        <w:t xml:space="preserve"> than </w:t>
      </w:r>
      <w:r w:rsidR="000E688E">
        <w:t>what the NHS currently offers</w:t>
      </w:r>
      <w:r w:rsidR="000B21F6">
        <w:t>.</w:t>
      </w:r>
    </w:p>
    <w:p w14:paraId="1D735868" w14:textId="79B48169" w:rsidR="00A470DB" w:rsidRDefault="00025524" w:rsidP="00476D3A">
      <w:pPr>
        <w:pStyle w:val="NICEnormalindented"/>
      </w:pPr>
      <w:r>
        <w:t xml:space="preserve">It </w:t>
      </w:r>
      <w:r w:rsidR="003878B4">
        <w:t>i</w:t>
      </w:r>
      <w:r>
        <w:t>s therefore not possible to</w:t>
      </w:r>
      <w:r w:rsidR="00AA0093">
        <w:t xml:space="preserve"> reliably</w:t>
      </w:r>
      <w:r w:rsidR="00363A7C">
        <w:t xml:space="preserve"> estimate the cost effectiveness of idelalisib. </w:t>
      </w:r>
      <w:r w:rsidR="008D64B9">
        <w:t xml:space="preserve">Because of </w:t>
      </w:r>
      <w:r w:rsidR="004B6F45">
        <w:t>this</w:t>
      </w:r>
      <w:r w:rsidR="00476D3A" w:rsidRPr="00476D3A">
        <w:t>, idelalisib cannot be recommended</w:t>
      </w:r>
      <w:r w:rsidR="00B36F6E">
        <w:t xml:space="preserve"> for routin</w:t>
      </w:r>
      <w:r w:rsidR="00562ADF">
        <w:t>e</w:t>
      </w:r>
      <w:r w:rsidR="00B36F6E">
        <w:t xml:space="preserve"> use in the NHS or for inclusion in the Cancer Drugs Fund</w:t>
      </w:r>
      <w:r w:rsidR="00476D3A">
        <w:t>.</w:t>
      </w:r>
    </w:p>
    <w:p w14:paraId="6D133DA8" w14:textId="77777777" w:rsidR="007D7F83" w:rsidRPr="007D7F83" w:rsidRDefault="00D37DC2" w:rsidP="001A656A">
      <w:pPr>
        <w:pStyle w:val="Numberedheading1"/>
      </w:pPr>
      <w:r>
        <w:t xml:space="preserve">Information about </w:t>
      </w:r>
      <w:r w:rsidR="0055370A">
        <w:t>idelalisib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44"/>
      </w:tblGrid>
      <w:tr w:rsidR="00BC053C" w14:paraId="45A5C7E6" w14:textId="77777777" w:rsidTr="00FB6CBF">
        <w:tc>
          <w:tcPr>
            <w:tcW w:w="3085" w:type="dxa"/>
            <w:shd w:val="clear" w:color="auto" w:fill="auto"/>
          </w:tcPr>
          <w:p w14:paraId="163158DC" w14:textId="77777777" w:rsidR="00BC053C" w:rsidRPr="009C0088" w:rsidRDefault="009C0088" w:rsidP="00FB6CBF">
            <w:pPr>
              <w:pStyle w:val="Tabletext"/>
              <w:rPr>
                <w:b/>
              </w:rPr>
            </w:pPr>
            <w:r w:rsidRPr="009C0088">
              <w:rPr>
                <w:b/>
              </w:rPr>
              <w:t>Marketing authorisation indication</w:t>
            </w:r>
          </w:p>
        </w:tc>
        <w:tc>
          <w:tcPr>
            <w:tcW w:w="5444" w:type="dxa"/>
            <w:shd w:val="clear" w:color="auto" w:fill="auto"/>
          </w:tcPr>
          <w:p w14:paraId="7E2AA917" w14:textId="11909975" w:rsidR="00B51F04" w:rsidRDefault="009C0088" w:rsidP="00AC28A4">
            <w:pPr>
              <w:pStyle w:val="Tabletext"/>
            </w:pPr>
            <w:r>
              <w:t>Idelalisib (</w:t>
            </w:r>
            <w:proofErr w:type="spellStart"/>
            <w:r>
              <w:t>Zydelig</w:t>
            </w:r>
            <w:proofErr w:type="spellEnd"/>
            <w:r>
              <w:t>, Gilead) has a marketing authorisation ‘</w:t>
            </w:r>
            <w:r w:rsidR="00F63B52">
              <w:t xml:space="preserve">as monotherapy </w:t>
            </w:r>
            <w:r>
              <w:t>for the treatment of adult patients with follicular lymphoma</w:t>
            </w:r>
            <w:r w:rsidR="00F63B52">
              <w:t xml:space="preserve"> (FL)</w:t>
            </w:r>
            <w:r>
              <w:t xml:space="preserve"> that is refractory to two prior lines of treatment’.</w:t>
            </w:r>
          </w:p>
        </w:tc>
      </w:tr>
      <w:tr w:rsidR="00BC053C" w14:paraId="4CEE82CC" w14:textId="77777777" w:rsidTr="00FB6CBF">
        <w:tc>
          <w:tcPr>
            <w:tcW w:w="3085" w:type="dxa"/>
            <w:shd w:val="clear" w:color="auto" w:fill="auto"/>
          </w:tcPr>
          <w:p w14:paraId="03F295CE" w14:textId="77777777" w:rsidR="00BC053C" w:rsidRPr="00FB6CBF" w:rsidRDefault="00D37DC2" w:rsidP="00FB6CBF">
            <w:pPr>
              <w:pStyle w:val="Tabletext"/>
              <w:rPr>
                <w:b/>
              </w:rPr>
            </w:pPr>
            <w:r>
              <w:rPr>
                <w:b/>
              </w:rPr>
              <w:t>Dosage in the marketing authorisation</w:t>
            </w:r>
          </w:p>
        </w:tc>
        <w:tc>
          <w:tcPr>
            <w:tcW w:w="5444" w:type="dxa"/>
            <w:shd w:val="clear" w:color="auto" w:fill="auto"/>
          </w:tcPr>
          <w:p w14:paraId="0C69ABBF" w14:textId="6CC96817" w:rsidR="009C0088" w:rsidRDefault="009C0088" w:rsidP="009C0088">
            <w:pPr>
              <w:pStyle w:val="Tabletext"/>
            </w:pPr>
            <w:r>
              <w:t>Idelalisib is administered orally at a dose of 150</w:t>
            </w:r>
            <w:r w:rsidR="00C90C31">
              <w:t> </w:t>
            </w:r>
            <w:r>
              <w:t>mg, twice daily. Treatment is continued until disease progression or unacceptable toxicity.</w:t>
            </w:r>
          </w:p>
        </w:tc>
      </w:tr>
      <w:tr w:rsidR="00BC053C" w14:paraId="3E4FEAD1" w14:textId="77777777" w:rsidTr="00FB6CBF">
        <w:tc>
          <w:tcPr>
            <w:tcW w:w="3085" w:type="dxa"/>
            <w:shd w:val="clear" w:color="auto" w:fill="auto"/>
          </w:tcPr>
          <w:p w14:paraId="751C9FBA" w14:textId="77777777" w:rsidR="00BC053C" w:rsidRPr="00FB6CBF" w:rsidRDefault="00BC053C" w:rsidP="00FB6CBF">
            <w:pPr>
              <w:pStyle w:val="Tabletext"/>
              <w:rPr>
                <w:b/>
              </w:rPr>
            </w:pPr>
            <w:r w:rsidRPr="00FB6CBF">
              <w:rPr>
                <w:b/>
              </w:rPr>
              <w:t>Price</w:t>
            </w:r>
          </w:p>
        </w:tc>
        <w:tc>
          <w:tcPr>
            <w:tcW w:w="5444" w:type="dxa"/>
            <w:shd w:val="clear" w:color="auto" w:fill="auto"/>
          </w:tcPr>
          <w:p w14:paraId="0D08A4C4" w14:textId="7A1D708D" w:rsidR="00982DD8" w:rsidRDefault="00982DD8" w:rsidP="00982DD8">
            <w:pPr>
              <w:pStyle w:val="NICETableText"/>
            </w:pPr>
            <w:r w:rsidRPr="00202ECE">
              <w:t xml:space="preserve">The list price for idelalisib is £3,114.75 per pack of </w:t>
            </w:r>
            <w:r>
              <w:t xml:space="preserve">60 </w:t>
            </w:r>
            <w:r w:rsidRPr="00296119">
              <w:t>150</w:t>
            </w:r>
            <w:r>
              <w:t> </w:t>
            </w:r>
            <w:r w:rsidRPr="00296119">
              <w:t>mg film-coated tablet</w:t>
            </w:r>
            <w:r>
              <w:t>s (</w:t>
            </w:r>
            <w:r w:rsidR="002717A9">
              <w:t xml:space="preserve">excluding VAT, </w:t>
            </w:r>
            <w:r>
              <w:t>company submission)</w:t>
            </w:r>
            <w:r w:rsidRPr="00202ECE">
              <w:t>.</w:t>
            </w:r>
          </w:p>
          <w:p w14:paraId="662897AE" w14:textId="66962FC9" w:rsidR="00000574" w:rsidRDefault="003A7E69" w:rsidP="00FF5872">
            <w:pPr>
              <w:pStyle w:val="Tabletext"/>
            </w:pPr>
            <w:r>
              <w:t xml:space="preserve">The company has a commercial arrangement </w:t>
            </w:r>
            <w:r w:rsidR="009C0088">
              <w:t>for idelalisib</w:t>
            </w:r>
            <w:r w:rsidR="00C90C31">
              <w:t>,</w:t>
            </w:r>
            <w:r w:rsidR="009C0088">
              <w:t xml:space="preserve"> which would apply if the technology had been recommended.</w:t>
            </w:r>
          </w:p>
        </w:tc>
      </w:tr>
    </w:tbl>
    <w:p w14:paraId="1AF03064" w14:textId="77777777" w:rsidR="00FD17B1" w:rsidRDefault="007D7F83" w:rsidP="001A656A">
      <w:pPr>
        <w:pStyle w:val="Numberedheading1"/>
      </w:pPr>
      <w:r w:rsidRPr="007D7F83">
        <w:t>Co</w:t>
      </w:r>
      <w:r w:rsidR="00D30C4A">
        <w:t>mmittee discussion</w:t>
      </w:r>
    </w:p>
    <w:p w14:paraId="0B7D255A" w14:textId="2AB41FF1" w:rsidR="006032BF" w:rsidRPr="00AE3728" w:rsidRDefault="006032BF" w:rsidP="00941AF4">
      <w:pPr>
        <w:pStyle w:val="NICEnormal"/>
        <w:rPr>
          <w:lang w:val="en-US"/>
        </w:rPr>
      </w:pPr>
      <w:r w:rsidRPr="007D7F83">
        <w:t xml:space="preserve">The </w:t>
      </w:r>
      <w:r>
        <w:t>a</w:t>
      </w:r>
      <w:r w:rsidRPr="007D7F83">
        <w:t xml:space="preserve">ppraisal </w:t>
      </w:r>
      <w:r>
        <w:t>c</w:t>
      </w:r>
      <w:r w:rsidRPr="007D7F83">
        <w:t xml:space="preserve">ommittee </w:t>
      </w:r>
      <w:r>
        <w:t>(section</w:t>
      </w:r>
      <w:r w:rsidR="00FF5872">
        <w:t> </w:t>
      </w:r>
      <w:r w:rsidR="00476D3A">
        <w:t>5</w:t>
      </w:r>
      <w:r>
        <w:t xml:space="preserve">) </w:t>
      </w:r>
      <w:r w:rsidRPr="007D7F83">
        <w:t xml:space="preserve">considered evidence </w:t>
      </w:r>
      <w:r w:rsidRPr="006032BF">
        <w:t>submitted</w:t>
      </w:r>
      <w:r w:rsidRPr="007D7F83">
        <w:t xml:space="preserve"> by </w:t>
      </w:r>
      <w:r w:rsidR="002129D7">
        <w:t>Gilead</w:t>
      </w:r>
      <w:r w:rsidRPr="00981B9F">
        <w:t xml:space="preserve"> </w:t>
      </w:r>
      <w:r w:rsidRPr="007D7F83">
        <w:t xml:space="preserve">and a review of this submission by the </w:t>
      </w:r>
      <w:r>
        <w:t>e</w:t>
      </w:r>
      <w:r w:rsidRPr="007D7F83">
        <w:t xml:space="preserve">vidence </w:t>
      </w:r>
      <w:r>
        <w:t>r</w:t>
      </w:r>
      <w:r w:rsidRPr="007D7F83">
        <w:t xml:space="preserve">eview </w:t>
      </w:r>
      <w:r>
        <w:t>g</w:t>
      </w:r>
      <w:r w:rsidRPr="007D7F83">
        <w:t>roup (ERG).</w:t>
      </w:r>
      <w:r>
        <w:t xml:space="preserve"> See the </w:t>
      </w:r>
      <w:hyperlink r:id="rId10" w:history="1">
        <w:r>
          <w:rPr>
            <w:rStyle w:val="Hyperlink"/>
          </w:rPr>
          <w:t>committee papers</w:t>
        </w:r>
      </w:hyperlink>
      <w:r>
        <w:t xml:space="preserve"> for full details of the evidence.</w:t>
      </w:r>
    </w:p>
    <w:p w14:paraId="5B0EA9F0" w14:textId="5B3A25EF" w:rsidR="007D4925" w:rsidRDefault="00B32BD1" w:rsidP="0070286B">
      <w:pPr>
        <w:pStyle w:val="Heading2"/>
      </w:pPr>
      <w:r>
        <w:t xml:space="preserve">Treatment </w:t>
      </w:r>
      <w:r w:rsidR="005E2738">
        <w:t>p</w:t>
      </w:r>
      <w:r>
        <w:t>athway</w:t>
      </w:r>
    </w:p>
    <w:p w14:paraId="5C9A3786" w14:textId="339DCA9A" w:rsidR="007D4925" w:rsidRDefault="00747B98" w:rsidP="00654F74">
      <w:pPr>
        <w:pStyle w:val="Heading3"/>
      </w:pPr>
      <w:r>
        <w:t>Th</w:t>
      </w:r>
      <w:r w:rsidR="00923B78">
        <w:t>is</w:t>
      </w:r>
      <w:r>
        <w:t xml:space="preserve"> appraisal focuses on idelalisib as a third-line treatment</w:t>
      </w:r>
    </w:p>
    <w:p w14:paraId="2350F9A1" w14:textId="4ACD3295" w:rsidR="00D30416" w:rsidRPr="009F74FF" w:rsidRDefault="003858FA" w:rsidP="0059785E">
      <w:pPr>
        <w:pStyle w:val="Numberedlevel2text"/>
      </w:pPr>
      <w:r>
        <w:t xml:space="preserve">The </w:t>
      </w:r>
      <w:r w:rsidR="0059785E">
        <w:t xml:space="preserve">final NICE scope </w:t>
      </w:r>
      <w:r w:rsidR="00FF5872">
        <w:t>specifie</w:t>
      </w:r>
      <w:r w:rsidR="00FF5872">
        <w:rPr>
          <w:lang w:val="en-GB"/>
        </w:rPr>
        <w:t>d</w:t>
      </w:r>
      <w:r w:rsidR="00FF5872">
        <w:t xml:space="preserve"> </w:t>
      </w:r>
      <w:r w:rsidR="0059785E">
        <w:t xml:space="preserve">a population with </w:t>
      </w:r>
      <w:r w:rsidR="0059785E" w:rsidRPr="0059785E">
        <w:rPr>
          <w:lang w:val="en-GB"/>
        </w:rPr>
        <w:t>follicular lymphoma that is refractory to 2</w:t>
      </w:r>
      <w:r w:rsidR="00FF5872">
        <w:rPr>
          <w:lang w:val="en-GB"/>
        </w:rPr>
        <w:t> previous</w:t>
      </w:r>
      <w:r w:rsidR="0059785E" w:rsidRPr="0059785E">
        <w:rPr>
          <w:lang w:val="en-GB"/>
        </w:rPr>
        <w:t xml:space="preserve"> lines of therapy</w:t>
      </w:r>
      <w:r w:rsidR="0059785E">
        <w:rPr>
          <w:lang w:val="en-GB"/>
        </w:rPr>
        <w:t>, that is, third-line treatment</w:t>
      </w:r>
      <w:r w:rsidR="00FF5872">
        <w:rPr>
          <w:lang w:val="en-GB"/>
        </w:rPr>
        <w:t>. This is in line with the</w:t>
      </w:r>
      <w:r w:rsidR="00923B78">
        <w:t xml:space="preserve"> marketing authorisation</w:t>
      </w:r>
      <w:r w:rsidR="00FF5872">
        <w:rPr>
          <w:lang w:val="en-GB"/>
        </w:rPr>
        <w:t xml:space="preserve"> and t</w:t>
      </w:r>
      <w:r w:rsidR="0059785E">
        <w:rPr>
          <w:lang w:val="en-GB"/>
        </w:rPr>
        <w:t xml:space="preserve">he </w:t>
      </w:r>
      <w:r>
        <w:t>company</w:t>
      </w:r>
      <w:r w:rsidR="0059785E">
        <w:rPr>
          <w:lang w:val="en-GB"/>
        </w:rPr>
        <w:t>’s submission</w:t>
      </w:r>
      <w:r w:rsidR="00FF5872">
        <w:rPr>
          <w:lang w:val="en-GB"/>
        </w:rPr>
        <w:t xml:space="preserve">. </w:t>
      </w:r>
      <w:r w:rsidR="00AA0093">
        <w:rPr>
          <w:lang w:val="en-GB"/>
        </w:rPr>
        <w:t xml:space="preserve">The population considered in the appraisal is narrower than </w:t>
      </w:r>
      <w:r w:rsidR="00BC7CC3">
        <w:rPr>
          <w:lang w:val="en-GB"/>
        </w:rPr>
        <w:t>the population</w:t>
      </w:r>
      <w:r w:rsidR="00AA0093">
        <w:rPr>
          <w:lang w:val="en-GB"/>
        </w:rPr>
        <w:t xml:space="preserve"> specified</w:t>
      </w:r>
      <w:r w:rsidR="00BC7CC3">
        <w:rPr>
          <w:lang w:val="en-GB"/>
        </w:rPr>
        <w:t xml:space="preserve"> by the marketing authorisation. I</w:t>
      </w:r>
      <w:r w:rsidR="00AA0093">
        <w:rPr>
          <w:lang w:val="en-GB"/>
        </w:rPr>
        <w:t>t</w:t>
      </w:r>
      <w:r w:rsidR="000F30E4">
        <w:rPr>
          <w:lang w:val="en-GB"/>
        </w:rPr>
        <w:t xml:space="preserve"> </w:t>
      </w:r>
      <w:r w:rsidR="00FF5872">
        <w:rPr>
          <w:lang w:val="en-GB"/>
        </w:rPr>
        <w:t xml:space="preserve">relates </w:t>
      </w:r>
      <w:r w:rsidR="0059785E">
        <w:rPr>
          <w:lang w:val="en-GB"/>
        </w:rPr>
        <w:t xml:space="preserve">to </w:t>
      </w:r>
      <w:r w:rsidR="00923B78">
        <w:rPr>
          <w:lang w:val="en-GB"/>
        </w:rPr>
        <w:t>a ‘double-refractory’ population</w:t>
      </w:r>
      <w:r w:rsidR="00AA0093">
        <w:rPr>
          <w:lang w:val="en-GB"/>
        </w:rPr>
        <w:t xml:space="preserve"> (that is, the </w:t>
      </w:r>
      <w:r w:rsidR="00AA0093" w:rsidRPr="0059785E">
        <w:rPr>
          <w:lang w:val="en-GB"/>
        </w:rPr>
        <w:t>follicular lymphoma</w:t>
      </w:r>
      <w:r w:rsidR="00AA0093">
        <w:rPr>
          <w:lang w:val="en-GB"/>
        </w:rPr>
        <w:t xml:space="preserve"> did not respond, or only showed a limited response to </w:t>
      </w:r>
      <w:r w:rsidR="0020483E">
        <w:rPr>
          <w:lang w:val="en-GB"/>
        </w:rPr>
        <w:t>at least 2</w:t>
      </w:r>
      <w:r w:rsidR="003878B4">
        <w:rPr>
          <w:lang w:val="en-GB"/>
        </w:rPr>
        <w:t> </w:t>
      </w:r>
      <w:r w:rsidR="00AA0093">
        <w:rPr>
          <w:lang w:val="en-GB"/>
        </w:rPr>
        <w:t>previous treatments) and the previous treatment had to include</w:t>
      </w:r>
      <w:r w:rsidR="00FF5872">
        <w:rPr>
          <w:lang w:val="en-GB"/>
        </w:rPr>
        <w:t xml:space="preserve"> </w:t>
      </w:r>
      <w:r w:rsidR="009F74FF">
        <w:t>an anti</w:t>
      </w:r>
      <w:r w:rsidR="003878B4">
        <w:noBreakHyphen/>
      </w:r>
      <w:r w:rsidR="009F74FF">
        <w:t xml:space="preserve">CD20 monoclonal antibody (rituximab or </w:t>
      </w:r>
      <w:proofErr w:type="spellStart"/>
      <w:r w:rsidR="009F74FF">
        <w:t>obinutuzumab</w:t>
      </w:r>
      <w:proofErr w:type="spellEnd"/>
      <w:r w:rsidR="009F74FF">
        <w:t>) and chemotherapy containing an alkylating agent</w:t>
      </w:r>
      <w:r w:rsidR="00B422E9">
        <w:t xml:space="preserve"> (for example, </w:t>
      </w:r>
      <w:r w:rsidR="00626404">
        <w:rPr>
          <w:lang w:val="en-GB"/>
        </w:rPr>
        <w:t>cyclophosphamide</w:t>
      </w:r>
      <w:r w:rsidR="00B422E9">
        <w:t>)</w:t>
      </w:r>
      <w:r w:rsidR="009F74FF">
        <w:t>.</w:t>
      </w:r>
      <w:r w:rsidR="00F02B8A" w:rsidRPr="00F02B8A">
        <w:t xml:space="preserve"> </w:t>
      </w:r>
      <w:r w:rsidR="009F74FF">
        <w:t>Clinical experts consider</w:t>
      </w:r>
      <w:r w:rsidR="00923B78">
        <w:rPr>
          <w:lang w:val="en-GB"/>
        </w:rPr>
        <w:t>ed</w:t>
      </w:r>
      <w:r w:rsidR="009F74FF">
        <w:t xml:space="preserve"> this </w:t>
      </w:r>
      <w:r w:rsidR="00686A12">
        <w:t>‘double</w:t>
      </w:r>
      <w:r w:rsidR="005E2738">
        <w:t>-</w:t>
      </w:r>
      <w:r w:rsidR="00686A12">
        <w:t xml:space="preserve">refractory’ </w:t>
      </w:r>
      <w:r w:rsidR="009F74FF">
        <w:t xml:space="preserve">population </w:t>
      </w:r>
      <w:r w:rsidR="00923B78">
        <w:rPr>
          <w:lang w:val="en-GB"/>
        </w:rPr>
        <w:t xml:space="preserve">to have </w:t>
      </w:r>
      <w:r w:rsidR="0059785E">
        <w:rPr>
          <w:lang w:val="en-GB"/>
        </w:rPr>
        <w:t>an</w:t>
      </w:r>
      <w:r w:rsidR="009F74FF">
        <w:t xml:space="preserve"> unmet need </w:t>
      </w:r>
      <w:r w:rsidR="00B422E9">
        <w:rPr>
          <w:lang w:val="en-GB"/>
        </w:rPr>
        <w:t>for</w:t>
      </w:r>
      <w:r w:rsidR="0059785E">
        <w:rPr>
          <w:lang w:val="en-GB"/>
        </w:rPr>
        <w:t xml:space="preserve"> treatment options</w:t>
      </w:r>
      <w:r w:rsidR="009F74FF">
        <w:t xml:space="preserve">. The committee agreed that the </w:t>
      </w:r>
      <w:r w:rsidR="000F30E4">
        <w:rPr>
          <w:lang w:val="en-GB"/>
        </w:rPr>
        <w:t>population presented in the company’s submission was appropriate</w:t>
      </w:r>
      <w:r w:rsidR="00142B60">
        <w:t>.</w:t>
      </w:r>
    </w:p>
    <w:p w14:paraId="7485692E" w14:textId="5B6FD4F0" w:rsidR="009F74FF" w:rsidRDefault="00686A12" w:rsidP="009F74FF">
      <w:pPr>
        <w:pStyle w:val="Heading3"/>
      </w:pPr>
      <w:r>
        <w:t>There</w:t>
      </w:r>
      <w:r w:rsidR="00142B60">
        <w:t xml:space="preserve"> </w:t>
      </w:r>
      <w:r w:rsidR="00FF5872">
        <w:t xml:space="preserve">is </w:t>
      </w:r>
      <w:r w:rsidR="00142B60">
        <w:t xml:space="preserve">no </w:t>
      </w:r>
      <w:r>
        <w:t xml:space="preserve">single </w:t>
      </w:r>
      <w:r w:rsidR="00142B60">
        <w:t>standard of care</w:t>
      </w:r>
      <w:r w:rsidR="00FF5872">
        <w:t xml:space="preserve"> chemotherapy for</w:t>
      </w:r>
      <w:r w:rsidR="000F02C6">
        <w:t xml:space="preserve"> the</w:t>
      </w:r>
      <w:r w:rsidR="00FF5872">
        <w:t xml:space="preserve"> third-line treatment of follicular lymphoma</w:t>
      </w:r>
    </w:p>
    <w:p w14:paraId="3D2105CB" w14:textId="616542AF" w:rsidR="00142B60" w:rsidRPr="00626404" w:rsidRDefault="006F0737" w:rsidP="00CA645C">
      <w:pPr>
        <w:pStyle w:val="Numberedlevel2text"/>
        <w:rPr>
          <w:lang w:val="en-GB"/>
        </w:rPr>
      </w:pPr>
      <w:bookmarkStart w:id="0" w:name="_Ref524947675"/>
      <w:r>
        <w:rPr>
          <w:lang w:val="en-GB"/>
        </w:rPr>
        <w:t xml:space="preserve">In the population </w:t>
      </w:r>
      <w:r w:rsidR="009E310A">
        <w:rPr>
          <w:lang w:val="en-GB"/>
        </w:rPr>
        <w:t>who would be offered</w:t>
      </w:r>
      <w:r>
        <w:rPr>
          <w:lang w:val="en-GB"/>
        </w:rPr>
        <w:t xml:space="preserve"> idelalisib (see section</w:t>
      </w:r>
      <w:r w:rsidR="00FF5872">
        <w:rPr>
          <w:lang w:val="en-GB"/>
        </w:rPr>
        <w:t> </w:t>
      </w:r>
      <w:r w:rsidR="00797F70">
        <w:rPr>
          <w:lang w:val="en-GB"/>
        </w:rPr>
        <w:t>3.1</w:t>
      </w:r>
      <w:r>
        <w:rPr>
          <w:lang w:val="en-GB"/>
        </w:rPr>
        <w:t>), most people are currently offered chemotherapy</w:t>
      </w:r>
      <w:r w:rsidR="009E310A">
        <w:rPr>
          <w:lang w:val="en-GB"/>
        </w:rPr>
        <w:t xml:space="preserve"> including</w:t>
      </w:r>
      <w:r w:rsidR="00FF5872">
        <w:rPr>
          <w:lang w:val="en-GB"/>
        </w:rPr>
        <w:t xml:space="preserve"> (</w:t>
      </w:r>
      <w:r w:rsidR="009E310A">
        <w:rPr>
          <w:lang w:val="en-GB"/>
        </w:rPr>
        <w:t xml:space="preserve">as </w:t>
      </w:r>
      <w:r w:rsidR="00FF5872">
        <w:rPr>
          <w:lang w:val="en-GB"/>
        </w:rPr>
        <w:t xml:space="preserve">listed </w:t>
      </w:r>
      <w:r w:rsidR="009E310A">
        <w:rPr>
          <w:lang w:val="en-GB"/>
        </w:rPr>
        <w:t xml:space="preserve">in the </w:t>
      </w:r>
      <w:r w:rsidR="00CA645C">
        <w:rPr>
          <w:lang w:val="en-GB"/>
        </w:rPr>
        <w:t>NICE scope</w:t>
      </w:r>
      <w:r w:rsidR="00FF5872">
        <w:rPr>
          <w:lang w:val="en-GB"/>
        </w:rPr>
        <w:t>)</w:t>
      </w:r>
      <w:r w:rsidR="00CA645C">
        <w:rPr>
          <w:lang w:val="en-GB"/>
        </w:rPr>
        <w:t xml:space="preserve"> </w:t>
      </w:r>
      <w:r w:rsidR="00CA645C" w:rsidRPr="00CA645C">
        <w:rPr>
          <w:lang w:val="en-GB"/>
        </w:rPr>
        <w:t xml:space="preserve">cyclophosphamide- </w:t>
      </w:r>
      <w:r w:rsidR="00CA645C">
        <w:rPr>
          <w:lang w:val="en-GB"/>
        </w:rPr>
        <w:t xml:space="preserve">containing regimens, </w:t>
      </w:r>
      <w:proofErr w:type="spellStart"/>
      <w:r w:rsidR="00CA645C">
        <w:rPr>
          <w:lang w:val="en-GB"/>
        </w:rPr>
        <w:t>fludarabine</w:t>
      </w:r>
      <w:proofErr w:type="spellEnd"/>
      <w:r w:rsidR="00CA645C">
        <w:rPr>
          <w:lang w:val="en-GB"/>
        </w:rPr>
        <w:t xml:space="preserve">-containing regimens, </w:t>
      </w:r>
      <w:proofErr w:type="spellStart"/>
      <w:r w:rsidR="00CA645C" w:rsidRPr="00CA645C">
        <w:rPr>
          <w:lang w:val="en-GB"/>
        </w:rPr>
        <w:t>bendamustine</w:t>
      </w:r>
      <w:proofErr w:type="spellEnd"/>
      <w:r w:rsidR="00CA645C">
        <w:rPr>
          <w:lang w:val="en-GB"/>
        </w:rPr>
        <w:t xml:space="preserve"> and </w:t>
      </w:r>
      <w:proofErr w:type="spellStart"/>
      <w:r w:rsidR="00CA645C" w:rsidRPr="00CA645C">
        <w:rPr>
          <w:lang w:val="en-GB"/>
        </w:rPr>
        <w:t>chlorambucil</w:t>
      </w:r>
      <w:proofErr w:type="spellEnd"/>
      <w:r w:rsidR="00CA645C">
        <w:rPr>
          <w:lang w:val="en-GB"/>
        </w:rPr>
        <w:t>.</w:t>
      </w:r>
      <w:r w:rsidR="00626404">
        <w:rPr>
          <w:lang w:val="en-GB"/>
        </w:rPr>
        <w:t xml:space="preserve"> </w:t>
      </w:r>
      <w:r w:rsidR="00142B60" w:rsidRPr="00CA645C">
        <w:rPr>
          <w:lang w:val="en-GB"/>
        </w:rPr>
        <w:t xml:space="preserve">The clinical experts explained </w:t>
      </w:r>
      <w:r w:rsidRPr="00CA645C">
        <w:rPr>
          <w:lang w:val="en-GB"/>
        </w:rPr>
        <w:t xml:space="preserve">that </w:t>
      </w:r>
      <w:r w:rsidR="00CA645C">
        <w:rPr>
          <w:lang w:val="en-GB"/>
        </w:rPr>
        <w:t>these</w:t>
      </w:r>
      <w:r w:rsidR="00E917AC" w:rsidRPr="00CA645C">
        <w:rPr>
          <w:lang w:val="en-GB"/>
        </w:rPr>
        <w:t xml:space="preserve"> vary</w:t>
      </w:r>
      <w:r w:rsidR="00CA645C">
        <w:rPr>
          <w:lang w:val="en-GB"/>
        </w:rPr>
        <w:t xml:space="preserve"> in </w:t>
      </w:r>
      <w:r w:rsidR="00E917AC" w:rsidRPr="00CA645C">
        <w:rPr>
          <w:lang w:val="en-GB"/>
        </w:rPr>
        <w:t xml:space="preserve">effectiveness and toxicity. </w:t>
      </w:r>
      <w:r w:rsidR="0087655F" w:rsidRPr="00CA645C">
        <w:rPr>
          <w:lang w:val="en-GB"/>
        </w:rPr>
        <w:t xml:space="preserve">The choice of chemotherapy regimen depends on individual circumstances, and takes into account </w:t>
      </w:r>
      <w:r w:rsidR="00142B60" w:rsidRPr="00CA645C">
        <w:rPr>
          <w:lang w:val="en-GB"/>
        </w:rPr>
        <w:t xml:space="preserve">previous chemotherapy </w:t>
      </w:r>
      <w:r w:rsidR="0087655F" w:rsidRPr="00CA645C">
        <w:rPr>
          <w:lang w:val="en-GB"/>
        </w:rPr>
        <w:t xml:space="preserve">use </w:t>
      </w:r>
      <w:r w:rsidR="00142B60" w:rsidRPr="00CA645C">
        <w:rPr>
          <w:lang w:val="en-GB"/>
        </w:rPr>
        <w:t xml:space="preserve">and clinician preference. </w:t>
      </w:r>
      <w:r w:rsidR="0087655F" w:rsidRPr="00CA645C">
        <w:rPr>
          <w:lang w:val="en-GB"/>
        </w:rPr>
        <w:t>Because of this,</w:t>
      </w:r>
      <w:r w:rsidR="00225DAF" w:rsidRPr="00CA645C">
        <w:rPr>
          <w:lang w:val="en-GB"/>
        </w:rPr>
        <w:t xml:space="preserve"> </w:t>
      </w:r>
      <w:r w:rsidR="009E310A">
        <w:rPr>
          <w:lang w:val="en-GB"/>
        </w:rPr>
        <w:t>there is no</w:t>
      </w:r>
      <w:r w:rsidR="00225DAF" w:rsidRPr="00CA645C">
        <w:rPr>
          <w:lang w:val="en-GB"/>
        </w:rPr>
        <w:t xml:space="preserve"> single standard of care </w:t>
      </w:r>
      <w:r w:rsidR="0087655F" w:rsidRPr="00CA645C">
        <w:rPr>
          <w:lang w:val="en-GB"/>
        </w:rPr>
        <w:t>chemotherapy regimen</w:t>
      </w:r>
      <w:r w:rsidR="00225DAF" w:rsidRPr="00CA645C">
        <w:rPr>
          <w:lang w:val="en-GB"/>
        </w:rPr>
        <w:t xml:space="preserve"> in this population.</w:t>
      </w:r>
      <w:r w:rsidR="00626404">
        <w:rPr>
          <w:lang w:val="en-GB"/>
        </w:rPr>
        <w:t xml:space="preserve"> </w:t>
      </w:r>
      <w:r w:rsidR="006826FB" w:rsidRPr="00CA645C">
        <w:rPr>
          <w:lang w:val="en-GB"/>
        </w:rPr>
        <w:t xml:space="preserve">The committee concluded </w:t>
      </w:r>
      <w:r w:rsidR="009E310A">
        <w:rPr>
          <w:lang w:val="en-GB"/>
        </w:rPr>
        <w:t>that</w:t>
      </w:r>
      <w:r w:rsidR="00AA0093">
        <w:rPr>
          <w:lang w:val="en-GB"/>
        </w:rPr>
        <w:t xml:space="preserve"> all</w:t>
      </w:r>
      <w:r w:rsidR="009E310A">
        <w:rPr>
          <w:lang w:val="en-GB"/>
        </w:rPr>
        <w:t xml:space="preserve"> the chemotherapeutic regimens listed in the scope were appropriate comparators.</w:t>
      </w:r>
      <w:bookmarkEnd w:id="0"/>
    </w:p>
    <w:p w14:paraId="36E80ECB" w14:textId="41C3F657" w:rsidR="00225DAF" w:rsidRDefault="000B64E2" w:rsidP="00225DAF">
      <w:pPr>
        <w:pStyle w:val="Heading3"/>
      </w:pPr>
      <w:r>
        <w:t>Best supportive care is a</w:t>
      </w:r>
      <w:r w:rsidR="009E310A">
        <w:t xml:space="preserve">lso a </w:t>
      </w:r>
      <w:r>
        <w:t>comparator for idelalisib</w:t>
      </w:r>
    </w:p>
    <w:p w14:paraId="7F8C579C" w14:textId="42E7DA0D" w:rsidR="000B64E2" w:rsidRPr="00806B84" w:rsidRDefault="000B64E2" w:rsidP="00797F70">
      <w:pPr>
        <w:pStyle w:val="Numberedlevel2text"/>
      </w:pPr>
      <w:r w:rsidRPr="00975183">
        <w:rPr>
          <w:lang w:val="en-GB"/>
        </w:rPr>
        <w:t xml:space="preserve">The clinical experts </w:t>
      </w:r>
      <w:r w:rsidR="00D0014F">
        <w:rPr>
          <w:lang w:val="en-GB"/>
        </w:rPr>
        <w:t>stated</w:t>
      </w:r>
      <w:r w:rsidR="00D0014F" w:rsidRPr="00975183">
        <w:rPr>
          <w:lang w:val="en-GB"/>
        </w:rPr>
        <w:t xml:space="preserve"> </w:t>
      </w:r>
      <w:r w:rsidRPr="00975183">
        <w:rPr>
          <w:lang w:val="en-GB"/>
        </w:rPr>
        <w:t>that</w:t>
      </w:r>
      <w:r w:rsidR="00FF5872">
        <w:rPr>
          <w:lang w:val="en-GB"/>
        </w:rPr>
        <w:t>,</w:t>
      </w:r>
      <w:r w:rsidRPr="00975183">
        <w:rPr>
          <w:lang w:val="en-GB"/>
        </w:rPr>
        <w:t xml:space="preserve"> </w:t>
      </w:r>
      <w:r w:rsidR="00AE2AC7" w:rsidRPr="00975183">
        <w:rPr>
          <w:lang w:val="en-GB"/>
        </w:rPr>
        <w:t>at third</w:t>
      </w:r>
      <w:r w:rsidR="005E2738">
        <w:rPr>
          <w:lang w:val="en-GB"/>
        </w:rPr>
        <w:t xml:space="preserve"> </w:t>
      </w:r>
      <w:r w:rsidR="00AE2AC7" w:rsidRPr="00975183">
        <w:rPr>
          <w:lang w:val="en-GB"/>
        </w:rPr>
        <w:t>line</w:t>
      </w:r>
      <w:r w:rsidR="00FF5872">
        <w:rPr>
          <w:lang w:val="en-GB"/>
        </w:rPr>
        <w:t>,</w:t>
      </w:r>
      <w:r w:rsidR="00AE2AC7">
        <w:rPr>
          <w:lang w:val="en-GB"/>
        </w:rPr>
        <w:t xml:space="preserve"> </w:t>
      </w:r>
      <w:r w:rsidR="00FF5872">
        <w:rPr>
          <w:lang w:val="en-GB"/>
        </w:rPr>
        <w:t>most</w:t>
      </w:r>
      <w:r w:rsidR="00923B78">
        <w:rPr>
          <w:lang w:val="en-GB"/>
        </w:rPr>
        <w:t xml:space="preserve"> people </w:t>
      </w:r>
      <w:r w:rsidRPr="00975183">
        <w:rPr>
          <w:lang w:val="en-GB"/>
        </w:rPr>
        <w:t xml:space="preserve">would </w:t>
      </w:r>
      <w:r w:rsidR="00AE2AC7">
        <w:rPr>
          <w:lang w:val="en-GB"/>
        </w:rPr>
        <w:t xml:space="preserve">currently </w:t>
      </w:r>
      <w:r w:rsidRPr="00975183">
        <w:rPr>
          <w:lang w:val="en-GB"/>
        </w:rPr>
        <w:t xml:space="preserve">be offered </w:t>
      </w:r>
      <w:r w:rsidR="00AE2AC7">
        <w:rPr>
          <w:lang w:val="en-GB"/>
        </w:rPr>
        <w:t xml:space="preserve">chemotherapy, but those who could not </w:t>
      </w:r>
      <w:r w:rsidR="00FF5872">
        <w:rPr>
          <w:lang w:val="en-GB"/>
        </w:rPr>
        <w:t xml:space="preserve">have </w:t>
      </w:r>
      <w:r w:rsidR="00AE2AC7">
        <w:rPr>
          <w:lang w:val="en-GB"/>
        </w:rPr>
        <w:t xml:space="preserve">chemotherapy </w:t>
      </w:r>
      <w:r w:rsidR="00D0014F">
        <w:rPr>
          <w:lang w:val="en-GB"/>
        </w:rPr>
        <w:t>would be offered best supportive care instead</w:t>
      </w:r>
      <w:r w:rsidRPr="00975183">
        <w:rPr>
          <w:lang w:val="en-GB"/>
        </w:rPr>
        <w:t xml:space="preserve">. </w:t>
      </w:r>
      <w:r w:rsidR="00975183" w:rsidRPr="00975183">
        <w:rPr>
          <w:lang w:val="en-GB"/>
        </w:rPr>
        <w:t xml:space="preserve">The clinical experts </w:t>
      </w:r>
      <w:r w:rsidR="008E1E59">
        <w:rPr>
          <w:lang w:val="en-GB"/>
        </w:rPr>
        <w:t>stated that some of those people</w:t>
      </w:r>
      <w:r w:rsidR="00975183" w:rsidRPr="00975183">
        <w:rPr>
          <w:lang w:val="en-GB"/>
        </w:rPr>
        <w:t xml:space="preserve"> could </w:t>
      </w:r>
      <w:r w:rsidR="005053DC">
        <w:rPr>
          <w:lang w:val="en-GB"/>
        </w:rPr>
        <w:t>take</w:t>
      </w:r>
      <w:r w:rsidR="005053DC" w:rsidRPr="00975183">
        <w:rPr>
          <w:lang w:val="en-GB"/>
        </w:rPr>
        <w:t xml:space="preserve"> </w:t>
      </w:r>
      <w:r w:rsidR="00975183" w:rsidRPr="00975183">
        <w:rPr>
          <w:lang w:val="en-GB"/>
        </w:rPr>
        <w:t xml:space="preserve">idelalisib because </w:t>
      </w:r>
      <w:r w:rsidR="00FF5872">
        <w:rPr>
          <w:lang w:val="en-GB"/>
        </w:rPr>
        <w:t>it has a different toxicity profile to</w:t>
      </w:r>
      <w:r w:rsidR="008E1E59">
        <w:rPr>
          <w:lang w:val="en-GB"/>
        </w:rPr>
        <w:t xml:space="preserve"> chemotherapy</w:t>
      </w:r>
      <w:r w:rsidR="00975183" w:rsidRPr="00975183">
        <w:rPr>
          <w:lang w:val="en-GB"/>
        </w:rPr>
        <w:t>.</w:t>
      </w:r>
      <w:r w:rsidR="00975183">
        <w:rPr>
          <w:lang w:val="en-GB"/>
        </w:rPr>
        <w:t xml:space="preserve"> </w:t>
      </w:r>
      <w:r w:rsidR="008E1E59">
        <w:rPr>
          <w:lang w:val="en-GB"/>
        </w:rPr>
        <w:t>So, while people may not tolerate the specific adverse effects of chemotherapy, they may tolerate those of ide</w:t>
      </w:r>
      <w:r w:rsidR="00246495">
        <w:rPr>
          <w:lang w:val="en-GB"/>
        </w:rPr>
        <w:t>la</w:t>
      </w:r>
      <w:r w:rsidR="008E1E59">
        <w:rPr>
          <w:lang w:val="en-GB"/>
        </w:rPr>
        <w:t>lisib. The</w:t>
      </w:r>
      <w:r w:rsidR="00975183">
        <w:rPr>
          <w:lang w:val="en-GB"/>
        </w:rPr>
        <w:t xml:space="preserve"> committee </w:t>
      </w:r>
      <w:r w:rsidR="00D531E4">
        <w:rPr>
          <w:lang w:val="en-GB"/>
        </w:rPr>
        <w:t>concluded that best supportive care i</w:t>
      </w:r>
      <w:r w:rsidR="00AE2AC7">
        <w:rPr>
          <w:lang w:val="en-GB"/>
        </w:rPr>
        <w:t>s</w:t>
      </w:r>
      <w:r w:rsidR="00D531E4">
        <w:rPr>
          <w:lang w:val="en-GB"/>
        </w:rPr>
        <w:t xml:space="preserve"> an option for people who cannot have chemotherapy</w:t>
      </w:r>
      <w:r w:rsidR="00975183">
        <w:rPr>
          <w:lang w:val="en-GB"/>
        </w:rPr>
        <w:t>.</w:t>
      </w:r>
      <w:r w:rsidRPr="00975183">
        <w:rPr>
          <w:lang w:val="en-GB"/>
        </w:rPr>
        <w:t xml:space="preserve"> </w:t>
      </w:r>
    </w:p>
    <w:p w14:paraId="12449D2B" w14:textId="56C3F1B3" w:rsidR="00806B84" w:rsidRDefault="00806B84" w:rsidP="00806B84">
      <w:pPr>
        <w:pStyle w:val="Heading3"/>
      </w:pPr>
      <w:r>
        <w:t xml:space="preserve">Stem cell transplantation is </w:t>
      </w:r>
      <w:r w:rsidR="0055365D">
        <w:t xml:space="preserve">used </w:t>
      </w:r>
      <w:r>
        <w:t>at second</w:t>
      </w:r>
      <w:r w:rsidR="0055365D">
        <w:t xml:space="preserve"> and subsequent </w:t>
      </w:r>
      <w:r>
        <w:t>line</w:t>
      </w:r>
      <w:r w:rsidR="00FF5872">
        <w:t>s</w:t>
      </w:r>
    </w:p>
    <w:p w14:paraId="3DE6662F" w14:textId="781763D9" w:rsidR="00626404" w:rsidRPr="00626404" w:rsidRDefault="00CB4D1C" w:rsidP="0055365D">
      <w:pPr>
        <w:pStyle w:val="Numberedlevel2text"/>
      </w:pPr>
      <w:r>
        <w:t xml:space="preserve">The clinical experts stated that response to </w:t>
      </w:r>
      <w:r w:rsidR="0055365D">
        <w:t xml:space="preserve">second-line </w:t>
      </w:r>
      <w:r>
        <w:t>treatment is consolidated with autologous stem cell transplant</w:t>
      </w:r>
      <w:r w:rsidR="00D2449F">
        <w:t>ation</w:t>
      </w:r>
      <w:r w:rsidR="00E55C8D">
        <w:t xml:space="preserve"> </w:t>
      </w:r>
      <w:r w:rsidR="0055365D">
        <w:t xml:space="preserve">in people who are </w:t>
      </w:r>
      <w:r>
        <w:t>considered fit enough</w:t>
      </w:r>
      <w:r w:rsidR="0055365D">
        <w:t>, in line with</w:t>
      </w:r>
      <w:r w:rsidR="00826633">
        <w:rPr>
          <w:lang w:val="en-GB"/>
        </w:rPr>
        <w:t xml:space="preserve"> NICE’s guideline on</w:t>
      </w:r>
      <w:r w:rsidR="0055365D">
        <w:t xml:space="preserve"> </w:t>
      </w:r>
      <w:hyperlink r:id="rId11" w:history="1">
        <w:r w:rsidR="00826633">
          <w:rPr>
            <w:rStyle w:val="Hyperlink"/>
            <w:lang w:val="en-GB"/>
          </w:rPr>
          <w:t>n</w:t>
        </w:r>
        <w:r w:rsidR="00826633" w:rsidRPr="0055365D">
          <w:rPr>
            <w:rStyle w:val="Hyperlink"/>
            <w:lang w:val="en-GB"/>
          </w:rPr>
          <w:t>on</w:t>
        </w:r>
        <w:r w:rsidR="0055365D" w:rsidRPr="0055365D">
          <w:rPr>
            <w:rStyle w:val="Hyperlink"/>
            <w:lang w:val="en-GB"/>
          </w:rPr>
          <w:t>-Hodgkin’s lymphoma: diagnosis and management</w:t>
        </w:r>
      </w:hyperlink>
      <w:r w:rsidR="00E55C8D">
        <w:t xml:space="preserve">. </w:t>
      </w:r>
      <w:r w:rsidR="00923B78">
        <w:t xml:space="preserve">They also noted that autologous stem cell transplantation may be </w:t>
      </w:r>
      <w:r w:rsidR="0055365D">
        <w:rPr>
          <w:lang w:val="en-GB"/>
        </w:rPr>
        <w:t>offered at later lines of therapy</w:t>
      </w:r>
      <w:r w:rsidR="0055365D">
        <w:t xml:space="preserve"> in people whose disease responded well to treatment.</w:t>
      </w:r>
      <w:r w:rsidR="005053DC">
        <w:t xml:space="preserve"> </w:t>
      </w:r>
      <w:r w:rsidR="0055365D">
        <w:t xml:space="preserve">The clinical experts considered </w:t>
      </w:r>
      <w:r w:rsidR="00626C66">
        <w:rPr>
          <w:lang w:val="en-GB"/>
        </w:rPr>
        <w:t xml:space="preserve">stem cell transplantation to be an important prognostic factor and </w:t>
      </w:r>
      <w:r w:rsidR="00BC7CC3">
        <w:rPr>
          <w:lang w:val="en-GB"/>
        </w:rPr>
        <w:t xml:space="preserve">that </w:t>
      </w:r>
      <w:r w:rsidR="000C7313">
        <w:rPr>
          <w:lang w:val="en-GB"/>
        </w:rPr>
        <w:t xml:space="preserve">it </w:t>
      </w:r>
      <w:r w:rsidR="000452A9">
        <w:rPr>
          <w:lang w:val="en-GB"/>
        </w:rPr>
        <w:t>could be used after ide</w:t>
      </w:r>
      <w:r w:rsidR="00BC7CC3">
        <w:rPr>
          <w:lang w:val="en-GB"/>
        </w:rPr>
        <w:t>lal</w:t>
      </w:r>
      <w:r w:rsidR="000452A9">
        <w:rPr>
          <w:lang w:val="en-GB"/>
        </w:rPr>
        <w:t xml:space="preserve">isib. The committee concluded that it was possible for idelalisib to be used as a bridge to </w:t>
      </w:r>
      <w:r w:rsidR="000452A9">
        <w:t>stem cell transplantation</w:t>
      </w:r>
      <w:r w:rsidR="000452A9">
        <w:rPr>
          <w:lang w:val="en-GB"/>
        </w:rPr>
        <w:t>, if there was a sufficient response</w:t>
      </w:r>
      <w:r w:rsidR="000C7313">
        <w:rPr>
          <w:lang w:val="en-GB"/>
        </w:rPr>
        <w:t xml:space="preserve"> </w:t>
      </w:r>
      <w:r w:rsidR="000C7313">
        <w:t xml:space="preserve">to </w:t>
      </w:r>
      <w:r w:rsidR="00EE7ACA">
        <w:rPr>
          <w:lang w:val="en-GB"/>
        </w:rPr>
        <w:t>idelalisib.</w:t>
      </w:r>
    </w:p>
    <w:p w14:paraId="460A0205" w14:textId="77777777" w:rsidR="007D7F83" w:rsidRDefault="00D30416" w:rsidP="0070286B">
      <w:pPr>
        <w:pStyle w:val="Heading2"/>
      </w:pPr>
      <w:r>
        <w:t>Clinical evidence</w:t>
      </w:r>
    </w:p>
    <w:p w14:paraId="08FC4785" w14:textId="5D6A4793" w:rsidR="009C3E56" w:rsidRDefault="004B2664" w:rsidP="00426086">
      <w:pPr>
        <w:pStyle w:val="Heading3"/>
      </w:pPr>
      <w:r>
        <w:t>The key c</w:t>
      </w:r>
      <w:r w:rsidR="00975183">
        <w:t xml:space="preserve">linical evidence comes from </w:t>
      </w:r>
      <w:r w:rsidR="009E1364">
        <w:t>the DELTA study</w:t>
      </w:r>
    </w:p>
    <w:p w14:paraId="62439C55" w14:textId="7BD7FB93" w:rsidR="00D8588E" w:rsidRPr="00246495" w:rsidRDefault="009E1364" w:rsidP="009E1364">
      <w:pPr>
        <w:pStyle w:val="Numberedlevel2text"/>
      </w:pPr>
      <w:r>
        <w:rPr>
          <w:lang w:val="en-GB"/>
        </w:rPr>
        <w:t xml:space="preserve">The </w:t>
      </w:r>
      <w:r w:rsidR="0087655F">
        <w:rPr>
          <w:lang w:val="en-GB"/>
        </w:rPr>
        <w:t xml:space="preserve">key </w:t>
      </w:r>
      <w:r>
        <w:rPr>
          <w:lang w:val="en-GB"/>
        </w:rPr>
        <w:t>clinical evidence for idelalisib came from the single-arm</w:t>
      </w:r>
      <w:r w:rsidR="00643200">
        <w:rPr>
          <w:lang w:val="en-GB"/>
        </w:rPr>
        <w:t xml:space="preserve"> phase</w:t>
      </w:r>
      <w:r w:rsidR="00826633">
        <w:rPr>
          <w:lang w:val="en-GB"/>
        </w:rPr>
        <w:t> </w:t>
      </w:r>
      <w:r w:rsidR="00643200">
        <w:rPr>
          <w:lang w:val="en-GB"/>
        </w:rPr>
        <w:t>II</w:t>
      </w:r>
      <w:r>
        <w:rPr>
          <w:lang w:val="en-GB"/>
        </w:rPr>
        <w:t xml:space="preserve"> DELTA study</w:t>
      </w:r>
      <w:r w:rsidR="00857D3B">
        <w:rPr>
          <w:lang w:val="en-GB"/>
        </w:rPr>
        <w:t>, which included</w:t>
      </w:r>
      <w:r w:rsidR="00643200">
        <w:rPr>
          <w:lang w:val="en-GB"/>
        </w:rPr>
        <w:t xml:space="preserve"> </w:t>
      </w:r>
      <w:r w:rsidR="00857D3B">
        <w:rPr>
          <w:lang w:val="en-GB"/>
        </w:rPr>
        <w:t>125</w:t>
      </w:r>
      <w:r w:rsidR="00467801">
        <w:rPr>
          <w:lang w:val="en-GB"/>
        </w:rPr>
        <w:t> </w:t>
      </w:r>
      <w:r w:rsidR="00643200">
        <w:rPr>
          <w:lang w:val="en-GB"/>
        </w:rPr>
        <w:t xml:space="preserve">patients with indolent </w:t>
      </w:r>
      <w:r w:rsidR="0087655F">
        <w:rPr>
          <w:lang w:val="en-GB"/>
        </w:rPr>
        <w:t xml:space="preserve">(slowly growing) </w:t>
      </w:r>
      <w:r w:rsidR="00643200">
        <w:rPr>
          <w:lang w:val="en-GB"/>
        </w:rPr>
        <w:t xml:space="preserve">non-Hodgkin’s lymphoma, </w:t>
      </w:r>
      <w:r w:rsidR="00826633">
        <w:rPr>
          <w:lang w:val="en-GB"/>
        </w:rPr>
        <w:t>72 </w:t>
      </w:r>
      <w:r w:rsidR="00643200">
        <w:rPr>
          <w:lang w:val="en-GB"/>
        </w:rPr>
        <w:t xml:space="preserve">of </w:t>
      </w:r>
      <w:r w:rsidR="00857D3B">
        <w:rPr>
          <w:lang w:val="en-GB"/>
        </w:rPr>
        <w:t xml:space="preserve">whom </w:t>
      </w:r>
      <w:r w:rsidR="00643200">
        <w:rPr>
          <w:lang w:val="en-GB"/>
        </w:rPr>
        <w:t xml:space="preserve">had follicular lymphoma refractory to </w:t>
      </w:r>
      <w:r w:rsidR="0087655F">
        <w:rPr>
          <w:lang w:val="en-GB"/>
        </w:rPr>
        <w:t>2</w:t>
      </w:r>
      <w:r w:rsidR="00826633">
        <w:rPr>
          <w:lang w:val="en-GB"/>
        </w:rPr>
        <w:t> </w:t>
      </w:r>
      <w:r w:rsidR="00643200">
        <w:rPr>
          <w:lang w:val="en-GB"/>
        </w:rPr>
        <w:t xml:space="preserve">or more lines of treatment. </w:t>
      </w:r>
      <w:r>
        <w:rPr>
          <w:lang w:val="en-GB"/>
        </w:rPr>
        <w:t>The primary outcome measure was overall response rate</w:t>
      </w:r>
      <w:r w:rsidR="00643200">
        <w:rPr>
          <w:lang w:val="en-GB"/>
        </w:rPr>
        <w:t>. Overall survival and progression-free survival were among the secondary outcomes.</w:t>
      </w:r>
      <w:r w:rsidR="00190F06">
        <w:rPr>
          <w:lang w:val="en-GB"/>
        </w:rPr>
        <w:t xml:space="preserve"> Median progression-free survival was 11.0</w:t>
      </w:r>
      <w:r w:rsidR="00826633">
        <w:rPr>
          <w:lang w:val="en-GB"/>
        </w:rPr>
        <w:t> </w:t>
      </w:r>
      <w:r w:rsidR="00190F06">
        <w:rPr>
          <w:lang w:val="en-GB"/>
        </w:rPr>
        <w:t>months</w:t>
      </w:r>
      <w:r w:rsidR="00857D3B">
        <w:rPr>
          <w:lang w:val="en-GB"/>
        </w:rPr>
        <w:t>;</w:t>
      </w:r>
      <w:r w:rsidR="00190F06">
        <w:rPr>
          <w:lang w:val="en-GB"/>
        </w:rPr>
        <w:t xml:space="preserve"> median overall survival was not reached</w:t>
      </w:r>
      <w:r w:rsidR="00260EFB">
        <w:rPr>
          <w:lang w:val="en-GB"/>
        </w:rPr>
        <w:t>,</w:t>
      </w:r>
      <w:r w:rsidR="00190F06">
        <w:rPr>
          <w:lang w:val="en-GB"/>
        </w:rPr>
        <w:t xml:space="preserve"> but </w:t>
      </w:r>
      <w:r w:rsidR="00857D3B">
        <w:rPr>
          <w:lang w:val="en-GB"/>
        </w:rPr>
        <w:t xml:space="preserve">the company </w:t>
      </w:r>
      <w:r w:rsidR="00190F06">
        <w:rPr>
          <w:lang w:val="en-GB"/>
        </w:rPr>
        <w:t xml:space="preserve">estimated </w:t>
      </w:r>
      <w:r w:rsidR="00857D3B">
        <w:rPr>
          <w:lang w:val="en-GB"/>
        </w:rPr>
        <w:t xml:space="preserve">it </w:t>
      </w:r>
      <w:r w:rsidR="00190F06">
        <w:rPr>
          <w:lang w:val="en-GB"/>
        </w:rPr>
        <w:t>at 38.1</w:t>
      </w:r>
      <w:r w:rsidR="00826633">
        <w:rPr>
          <w:lang w:val="en-GB"/>
        </w:rPr>
        <w:t> </w:t>
      </w:r>
      <w:r w:rsidR="00190F06">
        <w:rPr>
          <w:lang w:val="en-GB"/>
        </w:rPr>
        <w:t>months.</w:t>
      </w:r>
      <w:r w:rsidR="00D8588E">
        <w:rPr>
          <w:lang w:val="en-GB"/>
        </w:rPr>
        <w:t xml:space="preserve"> The company supplemented the DELTA study with 2</w:t>
      </w:r>
      <w:r w:rsidR="00826633">
        <w:rPr>
          <w:lang w:val="en-GB"/>
        </w:rPr>
        <w:t> </w:t>
      </w:r>
      <w:r w:rsidR="00D8588E">
        <w:rPr>
          <w:lang w:val="en-GB"/>
        </w:rPr>
        <w:t>other sources of evidence</w:t>
      </w:r>
      <w:r w:rsidR="001E4C2F">
        <w:rPr>
          <w:lang w:val="en-GB"/>
        </w:rPr>
        <w:t xml:space="preserve"> for both idelalisib and the comparators</w:t>
      </w:r>
      <w:r w:rsidR="00D8588E">
        <w:rPr>
          <w:lang w:val="en-GB"/>
        </w:rPr>
        <w:t>:</w:t>
      </w:r>
    </w:p>
    <w:p w14:paraId="0BB2A0D9" w14:textId="6149B16A" w:rsidR="00D8588E" w:rsidRPr="00246495" w:rsidRDefault="00D8588E" w:rsidP="00246495">
      <w:pPr>
        <w:pStyle w:val="Bulletindent1"/>
      </w:pPr>
      <w:r>
        <w:t>A</w:t>
      </w:r>
      <w:r w:rsidRPr="00D8588E">
        <w:t xml:space="preserve"> Compassionate Use Programme (CUP)</w:t>
      </w:r>
      <w:r>
        <w:t xml:space="preserve">: retrospective observational data from </w:t>
      </w:r>
      <w:r w:rsidR="009C3182">
        <w:rPr>
          <w:lang w:val="en-GB"/>
        </w:rPr>
        <w:t xml:space="preserve">patients with </w:t>
      </w:r>
      <w:r w:rsidR="009B6D6B">
        <w:rPr>
          <w:lang w:val="en-GB"/>
        </w:rPr>
        <w:t>follicular lymphoma</w:t>
      </w:r>
      <w:r w:rsidR="009C3182">
        <w:rPr>
          <w:lang w:val="en-GB"/>
        </w:rPr>
        <w:t xml:space="preserve"> treated compassionately in the UK and Ireland. </w:t>
      </w:r>
      <w:r w:rsidR="00826633">
        <w:rPr>
          <w:lang w:val="en-GB"/>
        </w:rPr>
        <w:t>T</w:t>
      </w:r>
      <w:r w:rsidR="009C3182">
        <w:rPr>
          <w:lang w:val="en-GB"/>
        </w:rPr>
        <w:t>he company took a subset of 79</w:t>
      </w:r>
      <w:r w:rsidR="00826633">
        <w:rPr>
          <w:lang w:val="en-GB"/>
        </w:rPr>
        <w:t> </w:t>
      </w:r>
      <w:r>
        <w:t xml:space="preserve">patients </w:t>
      </w:r>
      <w:r w:rsidR="009C3182">
        <w:rPr>
          <w:lang w:val="en-GB"/>
        </w:rPr>
        <w:t xml:space="preserve">who had </w:t>
      </w:r>
      <w:r>
        <w:t xml:space="preserve">relapsed or refractory follicular lymphoma </w:t>
      </w:r>
      <w:r w:rsidR="009C3182">
        <w:rPr>
          <w:lang w:val="en-GB"/>
        </w:rPr>
        <w:t xml:space="preserve">and </w:t>
      </w:r>
      <w:r>
        <w:t>who were given idelalisib</w:t>
      </w:r>
      <w:r>
        <w:rPr>
          <w:lang w:val="en-GB"/>
        </w:rPr>
        <w:t>.</w:t>
      </w:r>
      <w:r w:rsidRPr="00D8588E">
        <w:t xml:space="preserve"> </w:t>
      </w:r>
      <w:r w:rsidR="009C3182">
        <w:rPr>
          <w:lang w:val="en-GB"/>
        </w:rPr>
        <w:t xml:space="preserve">In </w:t>
      </w:r>
      <w:r w:rsidR="00826633">
        <w:rPr>
          <w:lang w:val="en-GB"/>
        </w:rPr>
        <w:t xml:space="preserve">these </w:t>
      </w:r>
      <w:r w:rsidR="009C3182">
        <w:rPr>
          <w:lang w:val="en-GB"/>
        </w:rPr>
        <w:t>patients, m</w:t>
      </w:r>
      <w:r w:rsidR="00190F06">
        <w:rPr>
          <w:lang w:val="en-GB"/>
        </w:rPr>
        <w:t>edian progression</w:t>
      </w:r>
      <w:r w:rsidR="000D0D88">
        <w:rPr>
          <w:lang w:val="en-GB"/>
        </w:rPr>
        <w:t>-</w:t>
      </w:r>
      <w:r w:rsidR="00190F06">
        <w:rPr>
          <w:lang w:val="en-GB"/>
        </w:rPr>
        <w:t>free survival was 7.1</w:t>
      </w:r>
      <w:r w:rsidR="00826633">
        <w:rPr>
          <w:lang w:val="en-GB"/>
        </w:rPr>
        <w:t> </w:t>
      </w:r>
      <w:r w:rsidR="00190F06">
        <w:rPr>
          <w:lang w:val="en-GB"/>
        </w:rPr>
        <w:t>months</w:t>
      </w:r>
      <w:r w:rsidR="00826633">
        <w:rPr>
          <w:lang w:val="en-GB"/>
        </w:rPr>
        <w:t xml:space="preserve">, and </w:t>
      </w:r>
      <w:r w:rsidR="00190F06">
        <w:rPr>
          <w:lang w:val="en-GB"/>
        </w:rPr>
        <w:t>median overall survival was not reached.</w:t>
      </w:r>
    </w:p>
    <w:p w14:paraId="51507AA7" w14:textId="3F44575E" w:rsidR="009E1364" w:rsidRPr="00643200" w:rsidRDefault="00D8588E" w:rsidP="00246495">
      <w:pPr>
        <w:pStyle w:val="Bulletindent1last"/>
      </w:pPr>
      <w:r w:rsidRPr="00D8588E">
        <w:t xml:space="preserve">The </w:t>
      </w:r>
      <w:r w:rsidR="00911112">
        <w:t xml:space="preserve">UK </w:t>
      </w:r>
      <w:r w:rsidRPr="00D8588E">
        <w:t>Haematological Malignancy Research Network (HMRN)</w:t>
      </w:r>
      <w:r w:rsidR="00911112">
        <w:t xml:space="preserve"> registry</w:t>
      </w:r>
      <w:r>
        <w:t>:</w:t>
      </w:r>
      <w:r w:rsidR="00806B84">
        <w:t xml:space="preserve"> retrospective observational data from 26</w:t>
      </w:r>
      <w:r w:rsidR="00826633">
        <w:t> </w:t>
      </w:r>
      <w:r w:rsidR="00806B84">
        <w:t xml:space="preserve">patients </w:t>
      </w:r>
      <w:r w:rsidR="00911112">
        <w:t>with follicular lymphoma refractory to 2</w:t>
      </w:r>
      <w:r w:rsidR="00467801">
        <w:t> </w:t>
      </w:r>
      <w:r w:rsidR="00911112">
        <w:t>pr</w:t>
      </w:r>
      <w:r w:rsidR="00826633">
        <w:t>evious</w:t>
      </w:r>
      <w:r w:rsidR="00911112">
        <w:t xml:space="preserve"> lines of therapy including rituximab and chemotherapy at first or second</w:t>
      </w:r>
      <w:r w:rsidR="00826633">
        <w:t xml:space="preserve"> </w:t>
      </w:r>
      <w:r w:rsidR="00911112">
        <w:t xml:space="preserve">line who </w:t>
      </w:r>
      <w:r w:rsidR="00826633">
        <w:t xml:space="preserve">had </w:t>
      </w:r>
      <w:r w:rsidR="008A4961">
        <w:t>chemotherapy at third</w:t>
      </w:r>
      <w:r w:rsidR="00826633">
        <w:t xml:space="preserve"> </w:t>
      </w:r>
      <w:r w:rsidR="008A4961">
        <w:t xml:space="preserve">line. </w:t>
      </w:r>
      <w:r w:rsidR="00190F06">
        <w:t>Median progression</w:t>
      </w:r>
      <w:r w:rsidR="000D0D88">
        <w:t>-</w:t>
      </w:r>
      <w:r w:rsidR="00190F06">
        <w:t xml:space="preserve">free survival was estimated at </w:t>
      </w:r>
      <w:r w:rsidR="000D0D88">
        <w:t xml:space="preserve">about </w:t>
      </w:r>
      <w:r w:rsidR="0008043A">
        <w:t>17</w:t>
      </w:r>
      <w:r w:rsidR="000D0D88">
        <w:t> </w:t>
      </w:r>
      <w:r w:rsidR="00190F06">
        <w:t>months, median overall survival was reported as 20</w:t>
      </w:r>
      <w:r w:rsidR="000D0D88">
        <w:t> </w:t>
      </w:r>
      <w:r w:rsidR="00190F06">
        <w:t>months.</w:t>
      </w:r>
    </w:p>
    <w:p w14:paraId="5334E913" w14:textId="55228687" w:rsidR="00CE741A" w:rsidRDefault="005A6E2B" w:rsidP="00CE741A">
      <w:pPr>
        <w:pStyle w:val="Heading3"/>
      </w:pPr>
      <w:r>
        <w:t>It is unclear whether the DELTA population or the CUP cohort more closely reflect</w:t>
      </w:r>
      <w:r w:rsidR="001173E6">
        <w:t>s</w:t>
      </w:r>
      <w:r>
        <w:t xml:space="preserve"> clinical practice</w:t>
      </w:r>
    </w:p>
    <w:p w14:paraId="245895FD" w14:textId="37C2562C" w:rsidR="002D6FE0" w:rsidRPr="00246495" w:rsidRDefault="006B0D61" w:rsidP="00CE741A">
      <w:pPr>
        <w:pStyle w:val="Numberedlevel2text"/>
      </w:pPr>
      <w:r>
        <w:rPr>
          <w:lang w:val="en-GB"/>
        </w:rPr>
        <w:t xml:space="preserve">The committee discussed the generalisability of the </w:t>
      </w:r>
      <w:r w:rsidR="00757175">
        <w:rPr>
          <w:lang w:val="en-GB"/>
        </w:rPr>
        <w:t>2</w:t>
      </w:r>
      <w:r w:rsidR="002717A9">
        <w:rPr>
          <w:lang w:val="en-GB"/>
        </w:rPr>
        <w:t> </w:t>
      </w:r>
      <w:r>
        <w:rPr>
          <w:lang w:val="en-GB"/>
        </w:rPr>
        <w:t>study populations to the decision problem</w:t>
      </w:r>
      <w:r w:rsidR="00911112">
        <w:rPr>
          <w:lang w:val="en-GB"/>
        </w:rPr>
        <w:t>:</w:t>
      </w:r>
    </w:p>
    <w:p w14:paraId="48720FB1" w14:textId="7308CAE2" w:rsidR="002D6FE0" w:rsidRPr="002D6FE0" w:rsidRDefault="002717A9" w:rsidP="002D6FE0">
      <w:pPr>
        <w:pStyle w:val="Bulletindent1"/>
      </w:pPr>
      <w:r>
        <w:rPr>
          <w:lang w:val="en-GB"/>
        </w:rPr>
        <w:t>It</w:t>
      </w:r>
      <w:r w:rsidR="002D6FE0" w:rsidRPr="002D6FE0">
        <w:t xml:space="preserve"> questioned why only 79% (and not 100%) of patients </w:t>
      </w:r>
      <w:r w:rsidR="002D6FE0">
        <w:rPr>
          <w:lang w:val="en-GB"/>
        </w:rPr>
        <w:t xml:space="preserve">in DELTA </w:t>
      </w:r>
      <w:r w:rsidR="002D6FE0" w:rsidRPr="002D6FE0">
        <w:t>had disease refractory to 2</w:t>
      </w:r>
      <w:r>
        <w:rPr>
          <w:lang w:val="en-GB"/>
        </w:rPr>
        <w:t> </w:t>
      </w:r>
      <w:r w:rsidR="002D6FE0" w:rsidRPr="002D6FE0">
        <w:t>or more lines of t</w:t>
      </w:r>
      <w:r w:rsidR="008044AC">
        <w:t xml:space="preserve">herapy. </w:t>
      </w:r>
      <w:proofErr w:type="spellStart"/>
      <w:r w:rsidR="00E3572A">
        <w:rPr>
          <w:lang w:val="en-GB"/>
        </w:rPr>
        <w:t>T</w:t>
      </w:r>
      <w:r w:rsidR="00E3572A" w:rsidRPr="002D6FE0">
        <w:t>he</w:t>
      </w:r>
      <w:proofErr w:type="spellEnd"/>
      <w:r w:rsidR="002D6FE0" w:rsidRPr="002D6FE0">
        <w:t xml:space="preserve"> company</w:t>
      </w:r>
      <w:r>
        <w:rPr>
          <w:lang w:val="en-GB"/>
        </w:rPr>
        <w:t xml:space="preserve"> explained</w:t>
      </w:r>
      <w:r w:rsidR="002D6FE0" w:rsidRPr="002D6FE0">
        <w:t xml:space="preserve"> that some patients had </w:t>
      </w:r>
      <w:r w:rsidR="004115C0">
        <w:rPr>
          <w:lang w:val="en-GB"/>
        </w:rPr>
        <w:t>had</w:t>
      </w:r>
      <w:r w:rsidR="004115C0" w:rsidRPr="002D6FE0">
        <w:t xml:space="preserve"> </w:t>
      </w:r>
      <w:r w:rsidR="002D6FE0" w:rsidRPr="002D6FE0">
        <w:t>an anti-CD20 monoclonal antibody and an alkylating agent together in the same line of therapy</w:t>
      </w:r>
      <w:r w:rsidR="008A15A9">
        <w:t xml:space="preserve"> (</w:t>
      </w:r>
      <w:r w:rsidR="002D6FE0" w:rsidRPr="002D6FE0">
        <w:t>rather than sequentially</w:t>
      </w:r>
      <w:r w:rsidR="008A15A9">
        <w:t>), which the company defined as a single treatment regimen</w:t>
      </w:r>
      <w:r w:rsidR="002D6FE0" w:rsidRPr="002D6FE0">
        <w:t>.</w:t>
      </w:r>
    </w:p>
    <w:p w14:paraId="540B71EF" w14:textId="75E66034" w:rsidR="00E65211" w:rsidRPr="00246495" w:rsidRDefault="002717A9" w:rsidP="00246495">
      <w:pPr>
        <w:pStyle w:val="Bulletindent1"/>
      </w:pPr>
      <w:r>
        <w:rPr>
          <w:lang w:val="en-GB"/>
        </w:rPr>
        <w:t>It</w:t>
      </w:r>
      <w:r w:rsidR="002D6FE0">
        <w:rPr>
          <w:lang w:val="en-GB"/>
        </w:rPr>
        <w:t xml:space="preserve"> noted </w:t>
      </w:r>
      <w:r w:rsidR="00757175">
        <w:rPr>
          <w:lang w:val="en-GB"/>
        </w:rPr>
        <w:t xml:space="preserve">the </w:t>
      </w:r>
      <w:r w:rsidR="002D6FE0">
        <w:rPr>
          <w:lang w:val="en-GB"/>
        </w:rPr>
        <w:t>difference in</w:t>
      </w:r>
      <w:r w:rsidR="00C503B0">
        <w:rPr>
          <w:lang w:val="en-GB"/>
        </w:rPr>
        <w:t xml:space="preserve"> </w:t>
      </w:r>
      <w:r w:rsidR="00233413" w:rsidRPr="00233413">
        <w:rPr>
          <w:lang w:val="en-GB"/>
        </w:rPr>
        <w:t xml:space="preserve">Eastern Cooperative Oncology Group </w:t>
      </w:r>
      <w:r w:rsidR="00911112">
        <w:rPr>
          <w:lang w:val="en-GB"/>
        </w:rPr>
        <w:t>(</w:t>
      </w:r>
      <w:r w:rsidR="00C503B0">
        <w:rPr>
          <w:lang w:val="en-GB"/>
        </w:rPr>
        <w:t>ECOG</w:t>
      </w:r>
      <w:r w:rsidR="00911112">
        <w:rPr>
          <w:lang w:val="en-GB"/>
        </w:rPr>
        <w:t>)</w:t>
      </w:r>
      <w:r w:rsidR="002D6FE0">
        <w:rPr>
          <w:lang w:val="en-GB"/>
        </w:rPr>
        <w:t xml:space="preserve"> performance status </w:t>
      </w:r>
      <w:r w:rsidR="00757175">
        <w:rPr>
          <w:lang w:val="en-GB"/>
        </w:rPr>
        <w:t xml:space="preserve">and FLIPI scores </w:t>
      </w:r>
      <w:r w:rsidR="002D6FE0">
        <w:rPr>
          <w:lang w:val="en-GB"/>
        </w:rPr>
        <w:t xml:space="preserve">between DELTA </w:t>
      </w:r>
      <w:r w:rsidR="00E65211">
        <w:rPr>
          <w:lang w:val="en-GB"/>
        </w:rPr>
        <w:t>and</w:t>
      </w:r>
      <w:r w:rsidR="002D6FE0">
        <w:rPr>
          <w:lang w:val="en-GB"/>
        </w:rPr>
        <w:t xml:space="preserve"> </w:t>
      </w:r>
      <w:r>
        <w:rPr>
          <w:lang w:val="en-GB"/>
        </w:rPr>
        <w:t xml:space="preserve">the </w:t>
      </w:r>
      <w:r w:rsidR="002D6FE0">
        <w:rPr>
          <w:lang w:val="en-GB"/>
        </w:rPr>
        <w:t>CUP. Notably, 8.3% of patients in DELTA had an ECOG score of 2–4 compared with 25</w:t>
      </w:r>
      <w:r w:rsidR="000F02C6">
        <w:rPr>
          <w:lang w:val="en-GB"/>
        </w:rPr>
        <w:t>.0</w:t>
      </w:r>
      <w:r w:rsidR="002D6FE0">
        <w:rPr>
          <w:lang w:val="en-GB"/>
        </w:rPr>
        <w:t>% of patients in the CUP</w:t>
      </w:r>
      <w:r w:rsidR="00911112">
        <w:rPr>
          <w:lang w:val="en-GB"/>
        </w:rPr>
        <w:t>,</w:t>
      </w:r>
      <w:r w:rsidR="009347AE">
        <w:rPr>
          <w:lang w:val="en-GB"/>
        </w:rPr>
        <w:t xml:space="preserve"> reflecting poorer performance among patients in </w:t>
      </w:r>
      <w:r w:rsidR="00911112">
        <w:rPr>
          <w:lang w:val="en-GB"/>
        </w:rPr>
        <w:t xml:space="preserve">the </w:t>
      </w:r>
      <w:r w:rsidR="009347AE">
        <w:rPr>
          <w:lang w:val="en-GB"/>
        </w:rPr>
        <w:t>CUP</w:t>
      </w:r>
      <w:r w:rsidR="002D6FE0">
        <w:rPr>
          <w:lang w:val="en-GB"/>
        </w:rPr>
        <w:t xml:space="preserve">. The clinical experts stated </w:t>
      </w:r>
      <w:r w:rsidR="00E65211">
        <w:rPr>
          <w:lang w:val="en-GB"/>
        </w:rPr>
        <w:t>the</w:t>
      </w:r>
      <w:r w:rsidR="006B1E83">
        <w:rPr>
          <w:lang w:val="en-GB"/>
        </w:rPr>
        <w:t xml:space="preserve"> ECOG performance status in</w:t>
      </w:r>
      <w:r w:rsidR="00E65211">
        <w:rPr>
          <w:lang w:val="en-GB"/>
        </w:rPr>
        <w:t xml:space="preserve"> CUP more closely </w:t>
      </w:r>
      <w:r>
        <w:rPr>
          <w:lang w:val="en-GB"/>
        </w:rPr>
        <w:t xml:space="preserve">reflected </w:t>
      </w:r>
      <w:r w:rsidR="00E65211">
        <w:rPr>
          <w:lang w:val="en-GB"/>
        </w:rPr>
        <w:t>clinical practice than</w:t>
      </w:r>
      <w:r w:rsidR="006B1E83">
        <w:rPr>
          <w:lang w:val="en-GB"/>
        </w:rPr>
        <w:t xml:space="preserve"> that in</w:t>
      </w:r>
      <w:r w:rsidR="00E65211">
        <w:rPr>
          <w:lang w:val="en-GB"/>
        </w:rPr>
        <w:t xml:space="preserve"> DELTA</w:t>
      </w:r>
      <w:r w:rsidR="006B1E83">
        <w:rPr>
          <w:lang w:val="en-GB"/>
        </w:rPr>
        <w:t>.</w:t>
      </w:r>
    </w:p>
    <w:p w14:paraId="2FDE70B2" w14:textId="594531C3" w:rsidR="00CE741A" w:rsidRPr="00C503B0" w:rsidRDefault="00E65211" w:rsidP="00A25BC8">
      <w:pPr>
        <w:pStyle w:val="Bulletindent1last"/>
      </w:pPr>
      <w:r>
        <w:t xml:space="preserve">The clinical experts noted that the time since completing the last therapy was shorter in DELTA than in the CUP, </w:t>
      </w:r>
      <w:r w:rsidR="00C503B0">
        <w:t xml:space="preserve">suggesting that patients in DELTA had </w:t>
      </w:r>
      <w:r>
        <w:t>poorer prognosis.</w:t>
      </w:r>
      <w:r w:rsidR="00F20F62">
        <w:t xml:space="preserve"> </w:t>
      </w:r>
      <w:r w:rsidR="00F20F62">
        <w:br/>
      </w:r>
      <w:r w:rsidR="00F20F62">
        <w:br/>
      </w:r>
      <w:r w:rsidR="00D77DA3">
        <w:t xml:space="preserve">Although the committee agreed that the </w:t>
      </w:r>
      <w:r w:rsidR="00C503B0">
        <w:t>populations</w:t>
      </w:r>
      <w:r w:rsidR="00911112">
        <w:t xml:space="preserve"> in DELTA and the CUP were different</w:t>
      </w:r>
      <w:r w:rsidR="00C503B0">
        <w:t xml:space="preserve">, </w:t>
      </w:r>
      <w:r w:rsidR="00D77DA3">
        <w:t xml:space="preserve">it was difficult to assess the degree of heterogeneity between </w:t>
      </w:r>
      <w:r w:rsidR="00911112">
        <w:t>them</w:t>
      </w:r>
      <w:r w:rsidR="00D77DA3">
        <w:t xml:space="preserve">. </w:t>
      </w:r>
      <w:r w:rsidR="002717A9">
        <w:t>T</w:t>
      </w:r>
      <w:r w:rsidR="00D77DA3">
        <w:t>he studies differ</w:t>
      </w:r>
      <w:r w:rsidR="002717A9">
        <w:t>ed</w:t>
      </w:r>
      <w:r w:rsidR="00D77DA3">
        <w:t xml:space="preserve"> in d</w:t>
      </w:r>
      <w:r w:rsidR="003912B0">
        <w:t>esign</w:t>
      </w:r>
      <w:r w:rsidR="00D77DA3">
        <w:t xml:space="preserve"> </w:t>
      </w:r>
      <w:r w:rsidR="00F77629">
        <w:t xml:space="preserve">(for example, how </w:t>
      </w:r>
      <w:r w:rsidR="00911112">
        <w:t>they</w:t>
      </w:r>
      <w:r w:rsidR="00F77629">
        <w:t xml:space="preserve"> defined disease progression)</w:t>
      </w:r>
      <w:r w:rsidR="002717A9">
        <w:t>. Also</w:t>
      </w:r>
      <w:r w:rsidR="003912B0">
        <w:t xml:space="preserve">, </w:t>
      </w:r>
      <w:r w:rsidR="00D77DA3">
        <w:t xml:space="preserve">patient and disease </w:t>
      </w:r>
      <w:r w:rsidR="003912B0">
        <w:t>characteristics at baseline differed</w:t>
      </w:r>
      <w:r w:rsidR="00D77DA3">
        <w:t>,</w:t>
      </w:r>
      <w:r w:rsidR="003912B0">
        <w:t xml:space="preserve"> with some suggesting a more favourable prognosis in DELTA </w:t>
      </w:r>
      <w:r w:rsidR="00757175">
        <w:t xml:space="preserve">than in the CUP </w:t>
      </w:r>
      <w:r w:rsidR="003912B0">
        <w:t xml:space="preserve">and others </w:t>
      </w:r>
      <w:r w:rsidR="00D77DA3">
        <w:t>suggesting the contrary</w:t>
      </w:r>
      <w:r w:rsidR="00C503B0">
        <w:t>. The company argue</w:t>
      </w:r>
      <w:r w:rsidR="00D77DA3">
        <w:t>d</w:t>
      </w:r>
      <w:r w:rsidR="00C503B0">
        <w:t xml:space="preserve"> that </w:t>
      </w:r>
      <w:r w:rsidR="00212488">
        <w:t>t</w:t>
      </w:r>
      <w:r w:rsidR="003912B0" w:rsidRPr="003912B0">
        <w:t xml:space="preserve">he population enrolled </w:t>
      </w:r>
      <w:r w:rsidR="00D77DA3">
        <w:t>into</w:t>
      </w:r>
      <w:r w:rsidR="003912B0" w:rsidRPr="003912B0">
        <w:t xml:space="preserve"> </w:t>
      </w:r>
      <w:r w:rsidR="00212488">
        <w:t>DELTA</w:t>
      </w:r>
      <w:r w:rsidR="003912B0" w:rsidRPr="003912B0">
        <w:t xml:space="preserve"> </w:t>
      </w:r>
      <w:r w:rsidR="00F77629">
        <w:t>better</w:t>
      </w:r>
      <w:r w:rsidR="003912B0" w:rsidRPr="003912B0">
        <w:t xml:space="preserve"> re</w:t>
      </w:r>
      <w:r w:rsidR="00F77629">
        <w:t xml:space="preserve">flected </w:t>
      </w:r>
      <w:r w:rsidR="00212488">
        <w:t>clinical practice</w:t>
      </w:r>
      <w:r w:rsidR="003912B0" w:rsidRPr="003912B0">
        <w:t>.</w:t>
      </w:r>
      <w:r w:rsidR="00D77DA3">
        <w:t xml:space="preserve"> The </w:t>
      </w:r>
      <w:r w:rsidR="006B0D61">
        <w:t>clinical experts</w:t>
      </w:r>
      <w:r w:rsidR="00757175">
        <w:t>, however,</w:t>
      </w:r>
      <w:r w:rsidR="006B0D61">
        <w:t xml:space="preserve"> suggested that the CUP cohort </w:t>
      </w:r>
      <w:r w:rsidR="00D77DA3">
        <w:t xml:space="preserve">was </w:t>
      </w:r>
      <w:r w:rsidR="006B0D61">
        <w:t xml:space="preserve">more likely to reflect the intended UK treatment population because </w:t>
      </w:r>
      <w:r w:rsidR="00D77DA3">
        <w:t>it was a ‘real-world’ study</w:t>
      </w:r>
      <w:r w:rsidR="00757175">
        <w:t>, although they acknowledged that such studies lack the methodological rigour typical</w:t>
      </w:r>
      <w:r w:rsidR="003C6816">
        <w:t xml:space="preserve"> of </w:t>
      </w:r>
      <w:r w:rsidR="00757175">
        <w:t>a clinical trial</w:t>
      </w:r>
      <w:r w:rsidR="006B0D61">
        <w:t>.</w:t>
      </w:r>
      <w:r w:rsidR="00757175">
        <w:t xml:space="preserve"> The committee concluded that </w:t>
      </w:r>
      <w:r w:rsidR="009D6ED8">
        <w:t>it would consider both studies in its decision-making</w:t>
      </w:r>
      <w:r w:rsidR="00757175">
        <w:t>.</w:t>
      </w:r>
    </w:p>
    <w:p w14:paraId="22369A16" w14:textId="4E92E500" w:rsidR="00E55C8D" w:rsidRDefault="00E55C8D" w:rsidP="00E55C8D">
      <w:pPr>
        <w:pStyle w:val="Heading2"/>
      </w:pPr>
      <w:r>
        <w:t>Indirect treatment comparisons</w:t>
      </w:r>
    </w:p>
    <w:p w14:paraId="23C20926" w14:textId="22059225" w:rsidR="00E55C8D" w:rsidRDefault="0008043A" w:rsidP="00E55C8D">
      <w:pPr>
        <w:pStyle w:val="Heading3"/>
      </w:pPr>
      <w:r>
        <w:t xml:space="preserve">‘Self-control’ </w:t>
      </w:r>
      <w:r w:rsidR="00E55C8D">
        <w:t>comparison</w:t>
      </w:r>
      <w:r w:rsidR="003C6816">
        <w:t>s</w:t>
      </w:r>
      <w:r w:rsidR="00E55C8D">
        <w:t xml:space="preserve"> with previous line</w:t>
      </w:r>
      <w:r w:rsidR="003C6816">
        <w:t>s</w:t>
      </w:r>
      <w:r w:rsidR="00E55C8D">
        <w:t xml:space="preserve"> of therapy do not give reliable comparator information</w:t>
      </w:r>
    </w:p>
    <w:p w14:paraId="65E5B166" w14:textId="21FFEA55" w:rsidR="00E55C8D" w:rsidRPr="007361F8" w:rsidRDefault="00E55C8D" w:rsidP="00A25BC8">
      <w:pPr>
        <w:pStyle w:val="Numberedlevel2text"/>
      </w:pPr>
      <w:r w:rsidRPr="00A25BC8">
        <w:t xml:space="preserve">In the absence of a head-to-head </w:t>
      </w:r>
      <w:r w:rsidR="003F0258" w:rsidRPr="00A25BC8">
        <w:t xml:space="preserve">randomised </w:t>
      </w:r>
      <w:r w:rsidRPr="00A25BC8">
        <w:t xml:space="preserve">comparison </w:t>
      </w:r>
      <w:r w:rsidR="003C6816" w:rsidRPr="00A25BC8">
        <w:t xml:space="preserve">of </w:t>
      </w:r>
      <w:r w:rsidRPr="00A25BC8">
        <w:t xml:space="preserve">idelalisib </w:t>
      </w:r>
      <w:r w:rsidR="006B1E83">
        <w:rPr>
          <w:lang w:val="en-GB"/>
        </w:rPr>
        <w:t>with</w:t>
      </w:r>
      <w:r w:rsidR="006B1E83" w:rsidRPr="00A25BC8">
        <w:t xml:space="preserve"> </w:t>
      </w:r>
      <w:r w:rsidRPr="00A25BC8">
        <w:t xml:space="preserve">chemotherapy, the company </w:t>
      </w:r>
      <w:r w:rsidR="003F0258" w:rsidRPr="00A25BC8">
        <w:t>compared progression and death on idelalisib</w:t>
      </w:r>
      <w:r w:rsidR="006B1E83">
        <w:rPr>
          <w:lang w:val="en-GB"/>
        </w:rPr>
        <w:t xml:space="preserve"> with the</w:t>
      </w:r>
      <w:r w:rsidRPr="00A25BC8">
        <w:t xml:space="preserve"> last line of chemotherapy before idelalisib</w:t>
      </w:r>
      <w:r w:rsidR="00EE7ACA">
        <w:rPr>
          <w:lang w:val="en-GB"/>
        </w:rPr>
        <w:t>, for each study</w:t>
      </w:r>
      <w:r w:rsidR="003F0258" w:rsidRPr="00A25BC8">
        <w:t xml:space="preserve">. </w:t>
      </w:r>
      <w:r w:rsidR="006B1E83">
        <w:rPr>
          <w:lang w:val="en-GB"/>
        </w:rPr>
        <w:t xml:space="preserve">Therefore, </w:t>
      </w:r>
      <w:proofErr w:type="spellStart"/>
      <w:r w:rsidR="007A6DAA">
        <w:rPr>
          <w:lang w:val="en-GB"/>
        </w:rPr>
        <w:t>t</w:t>
      </w:r>
      <w:r w:rsidR="007A6DAA" w:rsidRPr="00A25BC8">
        <w:t>he</w:t>
      </w:r>
      <w:proofErr w:type="spellEnd"/>
      <w:r w:rsidR="003F0258" w:rsidRPr="00A25BC8">
        <w:t xml:space="preserve"> company used </w:t>
      </w:r>
      <w:r w:rsidR="000A0DDB" w:rsidRPr="00A25BC8">
        <w:t xml:space="preserve">the </w:t>
      </w:r>
      <w:r w:rsidR="0045670C" w:rsidRPr="00A25BC8">
        <w:t xml:space="preserve">previous line </w:t>
      </w:r>
      <w:r w:rsidR="003C6816" w:rsidRPr="00A25BC8">
        <w:t xml:space="preserve">of </w:t>
      </w:r>
      <w:r w:rsidR="0045670C" w:rsidRPr="00A25BC8">
        <w:t>chemotherapy</w:t>
      </w:r>
      <w:r w:rsidRPr="00A25BC8">
        <w:t xml:space="preserve"> as a proxy for chemotherapy at the next line of treatment (</w:t>
      </w:r>
      <w:r w:rsidR="003C6816" w:rsidRPr="00A25BC8">
        <w:t xml:space="preserve">that is, </w:t>
      </w:r>
      <w:r w:rsidRPr="00A25BC8">
        <w:t xml:space="preserve">the point at which idelalisib </w:t>
      </w:r>
      <w:r w:rsidR="003F0258" w:rsidRPr="00A25BC8">
        <w:t xml:space="preserve">would be </w:t>
      </w:r>
      <w:r w:rsidRPr="00A25BC8">
        <w:t xml:space="preserve">used). It </w:t>
      </w:r>
      <w:r w:rsidR="003C6816" w:rsidRPr="00A25BC8">
        <w:t xml:space="preserve">got </w:t>
      </w:r>
      <w:r w:rsidRPr="00A25BC8">
        <w:t>these data from DELTA and the CUP.</w:t>
      </w:r>
      <w:r w:rsidR="00EA29F8" w:rsidRPr="00A25BC8">
        <w:t xml:space="preserve"> The committee </w:t>
      </w:r>
      <w:r w:rsidR="003C6816" w:rsidRPr="00A25BC8">
        <w:t>discussed several issues around this</w:t>
      </w:r>
      <w:r w:rsidR="00EA29F8" w:rsidRPr="00A25BC8">
        <w:t>:</w:t>
      </w:r>
    </w:p>
    <w:p w14:paraId="7B2E8E46" w14:textId="753AF59A" w:rsidR="006D7465" w:rsidRPr="006D7465" w:rsidRDefault="006D7465" w:rsidP="006D7465">
      <w:pPr>
        <w:pStyle w:val="Bulletindent1"/>
      </w:pPr>
      <w:r w:rsidRPr="006D7465">
        <w:t xml:space="preserve">The ERG commented that this comparison should be considered with caution because of the bias from including only those patients who survived to have idelalisib. These patients would </w:t>
      </w:r>
      <w:r w:rsidR="006020B5">
        <w:rPr>
          <w:lang w:val="en-GB"/>
        </w:rPr>
        <w:t xml:space="preserve">have </w:t>
      </w:r>
      <w:r w:rsidRPr="006D7465">
        <w:t>be</w:t>
      </w:r>
      <w:r w:rsidR="006020B5">
        <w:rPr>
          <w:lang w:val="en-GB"/>
        </w:rPr>
        <w:t>en</w:t>
      </w:r>
      <w:r w:rsidRPr="006D7465">
        <w:t xml:space="preserve"> healthier than the entire chemotherapy-receiving population that existed at </w:t>
      </w:r>
      <w:r w:rsidR="006020B5">
        <w:rPr>
          <w:lang w:val="en-GB"/>
        </w:rPr>
        <w:t xml:space="preserve">the </w:t>
      </w:r>
      <w:r w:rsidRPr="006D7465">
        <w:t xml:space="preserve">previous line, including those </w:t>
      </w:r>
      <w:r w:rsidR="006020B5">
        <w:rPr>
          <w:lang w:val="en-GB"/>
        </w:rPr>
        <w:t>who</w:t>
      </w:r>
      <w:r w:rsidR="006020B5" w:rsidRPr="006D7465">
        <w:t xml:space="preserve"> </w:t>
      </w:r>
      <w:r w:rsidRPr="006D7465">
        <w:t xml:space="preserve">died and </w:t>
      </w:r>
      <w:r w:rsidR="006020B5">
        <w:rPr>
          <w:lang w:val="en-GB"/>
        </w:rPr>
        <w:t xml:space="preserve">so </w:t>
      </w:r>
      <w:r w:rsidRPr="006D7465">
        <w:t>could not have idelalisib.</w:t>
      </w:r>
      <w:r w:rsidR="00FE5D88">
        <w:rPr>
          <w:lang w:val="en-GB"/>
        </w:rPr>
        <w:t xml:space="preserve"> </w:t>
      </w:r>
      <w:r w:rsidRPr="006D7465">
        <w:t>The committee agreed that this was a source of selection bias</w:t>
      </w:r>
      <w:r w:rsidR="00BC7CC3">
        <w:t xml:space="preserve"> in favour of idelalisib.</w:t>
      </w:r>
    </w:p>
    <w:p w14:paraId="24C56887" w14:textId="71ED0E8D" w:rsidR="00FE5D88" w:rsidRDefault="00FE5D88" w:rsidP="00E55C8D">
      <w:pPr>
        <w:pStyle w:val="Bulletindent1"/>
      </w:pPr>
      <w:r>
        <w:rPr>
          <w:lang w:val="en-GB"/>
        </w:rPr>
        <w:t xml:space="preserve">The committee recognised that patient fitness and treatment effectiveness could decline between </w:t>
      </w:r>
      <w:r w:rsidR="006020B5">
        <w:rPr>
          <w:lang w:val="en-GB"/>
        </w:rPr>
        <w:t>1 </w:t>
      </w:r>
      <w:r>
        <w:rPr>
          <w:lang w:val="en-GB"/>
        </w:rPr>
        <w:t xml:space="preserve">treatment line and the next. Therefore, comparing idelalisib with the previously received chemotherapy was not comparing like with like, and could </w:t>
      </w:r>
      <w:r w:rsidR="006020B5">
        <w:rPr>
          <w:lang w:val="en-GB"/>
        </w:rPr>
        <w:t xml:space="preserve">have introduced </w:t>
      </w:r>
      <w:r>
        <w:rPr>
          <w:lang w:val="en-GB"/>
        </w:rPr>
        <w:t xml:space="preserve">bias against idelalisib. </w:t>
      </w:r>
    </w:p>
    <w:p w14:paraId="45B7B305" w14:textId="6EBFAF46" w:rsidR="00E55C8D" w:rsidRDefault="00EA29F8" w:rsidP="00E55C8D">
      <w:pPr>
        <w:pStyle w:val="Bulletindent1"/>
      </w:pPr>
      <w:r>
        <w:t>For DELTA, t</w:t>
      </w:r>
      <w:r w:rsidR="00E55C8D">
        <w:t xml:space="preserve">he previous line of therapy data was based on </w:t>
      </w:r>
      <w:r w:rsidR="00E55C8D">
        <w:rPr>
          <w:lang w:val="en-GB"/>
        </w:rPr>
        <w:t>‘</w:t>
      </w:r>
      <w:r w:rsidR="00E55C8D">
        <w:t>clinician recall</w:t>
      </w:r>
      <w:r w:rsidR="00E55C8D">
        <w:rPr>
          <w:lang w:val="en-GB"/>
        </w:rPr>
        <w:t>’</w:t>
      </w:r>
      <w:r w:rsidR="00E55C8D">
        <w:t xml:space="preserve"> </w:t>
      </w:r>
      <w:r>
        <w:t>(</w:t>
      </w:r>
      <w:r w:rsidR="003C6816">
        <w:rPr>
          <w:lang w:val="en-GB"/>
        </w:rPr>
        <w:t>because</w:t>
      </w:r>
      <w:r w:rsidR="003C6816">
        <w:t xml:space="preserve"> </w:t>
      </w:r>
      <w:r>
        <w:t xml:space="preserve">people entered the study at the point at which they would </w:t>
      </w:r>
      <w:r w:rsidR="00A25BC8">
        <w:rPr>
          <w:lang w:val="en-GB"/>
        </w:rPr>
        <w:t>have</w:t>
      </w:r>
      <w:r w:rsidR="00A25BC8">
        <w:t xml:space="preserve"> </w:t>
      </w:r>
      <w:r w:rsidR="00933E1C">
        <w:rPr>
          <w:lang w:val="en-GB"/>
        </w:rPr>
        <w:t>idelalisib</w:t>
      </w:r>
      <w:r>
        <w:t>)</w:t>
      </w:r>
      <w:r w:rsidR="003C6816">
        <w:rPr>
          <w:lang w:val="en-GB"/>
        </w:rPr>
        <w:t>,</w:t>
      </w:r>
      <w:r>
        <w:t xml:space="preserve"> </w:t>
      </w:r>
      <w:r w:rsidR="00E55C8D">
        <w:t xml:space="preserve">which may be subject to </w:t>
      </w:r>
      <w:r>
        <w:t xml:space="preserve">recall </w:t>
      </w:r>
      <w:r w:rsidR="00E55C8D">
        <w:t>bias.</w:t>
      </w:r>
      <w:r>
        <w:t xml:space="preserve"> The committee was aware that the definition of trial-based and historical progression may differ</w:t>
      </w:r>
      <w:r w:rsidR="00FE5D88">
        <w:rPr>
          <w:lang w:val="en-GB"/>
        </w:rPr>
        <w:t xml:space="preserve">, and that progression was more likely to be identified more quickly during a clinical trial </w:t>
      </w:r>
      <w:r w:rsidR="006020B5">
        <w:rPr>
          <w:lang w:val="en-GB"/>
        </w:rPr>
        <w:t xml:space="preserve">when </w:t>
      </w:r>
      <w:r w:rsidR="00FE5D88">
        <w:rPr>
          <w:lang w:val="en-GB"/>
        </w:rPr>
        <w:t>patients are actively monitored.</w:t>
      </w:r>
      <w:r w:rsidR="00BC7CC3">
        <w:rPr>
          <w:lang w:val="en-GB"/>
        </w:rPr>
        <w:t xml:space="preserve"> The committee recognis</w:t>
      </w:r>
      <w:r w:rsidR="00FE5D88">
        <w:rPr>
          <w:lang w:val="en-GB"/>
        </w:rPr>
        <w:t xml:space="preserve">ed this would bias against </w:t>
      </w:r>
      <w:r w:rsidR="00BC7CC3">
        <w:rPr>
          <w:lang w:val="en-GB"/>
        </w:rPr>
        <w:t>idelalisib</w:t>
      </w:r>
      <w:r w:rsidR="00BC7CC3">
        <w:t>.</w:t>
      </w:r>
    </w:p>
    <w:p w14:paraId="335B9245" w14:textId="559C125A" w:rsidR="00E55C8D" w:rsidRDefault="00E05414" w:rsidP="00E55C8D">
      <w:pPr>
        <w:pStyle w:val="Bulletindent1"/>
      </w:pPr>
      <w:r>
        <w:t>T</w:t>
      </w:r>
      <w:r w:rsidR="00933E1C">
        <w:t>he clinical experts recog</w:t>
      </w:r>
      <w:r w:rsidR="00EA29F8">
        <w:t>nised</w:t>
      </w:r>
      <w:r w:rsidR="00EA29F8" w:rsidRPr="001F46E6">
        <w:t xml:space="preserve"> </w:t>
      </w:r>
      <w:r w:rsidR="00E55C8D" w:rsidRPr="001F46E6">
        <w:t>that it was difficult to draw conclusion</w:t>
      </w:r>
      <w:r w:rsidR="00E55C8D">
        <w:t>s</w:t>
      </w:r>
      <w:r w:rsidR="00E55C8D" w:rsidRPr="001F46E6">
        <w:t xml:space="preserve"> on the comparative effect of idelalisib by looking retrospectively at previous lines of </w:t>
      </w:r>
      <w:r w:rsidR="00E55C8D" w:rsidRPr="0090758A">
        <w:t>therapy</w:t>
      </w:r>
      <w:r w:rsidR="00E55C8D">
        <w:t>, and more so in the CUP</w:t>
      </w:r>
      <w:r w:rsidR="003C6816">
        <w:rPr>
          <w:lang w:val="en-GB"/>
        </w:rPr>
        <w:t>. This was</w:t>
      </w:r>
      <w:r w:rsidR="00FF46A2">
        <w:rPr>
          <w:lang w:val="en-GB"/>
        </w:rPr>
        <w:t xml:space="preserve"> because </w:t>
      </w:r>
      <w:r w:rsidR="00933E1C">
        <w:t>time to progression on idelal</w:t>
      </w:r>
      <w:r w:rsidR="00EA29F8">
        <w:t xml:space="preserve">isib </w:t>
      </w:r>
      <w:r w:rsidR="00E55C8D">
        <w:t xml:space="preserve">was already </w:t>
      </w:r>
      <w:r w:rsidR="00EA29F8">
        <w:t xml:space="preserve">determined </w:t>
      </w:r>
      <w:r w:rsidR="00E55C8D" w:rsidRPr="001F46E6">
        <w:t>retrospective</w:t>
      </w:r>
      <w:r w:rsidR="00EA29F8">
        <w:t xml:space="preserve">ly, and treatment previous to that </w:t>
      </w:r>
      <w:r w:rsidR="00FF46A2">
        <w:rPr>
          <w:lang w:val="en-GB"/>
        </w:rPr>
        <w:t>was</w:t>
      </w:r>
      <w:r w:rsidR="00FF46A2">
        <w:t xml:space="preserve"> </w:t>
      </w:r>
      <w:r>
        <w:t xml:space="preserve">even </w:t>
      </w:r>
      <w:r w:rsidR="00EA29F8">
        <w:t xml:space="preserve">more </w:t>
      </w:r>
      <w:r w:rsidR="003C6816">
        <w:rPr>
          <w:lang w:val="en-GB"/>
        </w:rPr>
        <w:t xml:space="preserve">in the </w:t>
      </w:r>
      <w:r w:rsidR="00EA29F8">
        <w:t>distant past</w:t>
      </w:r>
      <w:r w:rsidR="00E55C8D">
        <w:t>.</w:t>
      </w:r>
    </w:p>
    <w:p w14:paraId="3E3F82D4" w14:textId="74EA869F" w:rsidR="00A25BC8" w:rsidRPr="00D1189E" w:rsidRDefault="00C11AF1" w:rsidP="00E55C8D">
      <w:pPr>
        <w:pStyle w:val="Bulletindent1"/>
      </w:pPr>
      <w:r>
        <w:rPr>
          <w:lang w:val="en-GB"/>
        </w:rPr>
        <w:t xml:space="preserve">For both trials, </w:t>
      </w:r>
      <w:r w:rsidR="00BC7CC3" w:rsidRPr="00A25BC8">
        <w:t>previous</w:t>
      </w:r>
      <w:r w:rsidR="00A25BC8" w:rsidRPr="00A25BC8">
        <w:t xml:space="preserve"> lines of therapy reflect</w:t>
      </w:r>
      <w:r w:rsidR="006020B5">
        <w:rPr>
          <w:lang w:val="en-GB"/>
        </w:rPr>
        <w:t>ed</w:t>
      </w:r>
      <w:r w:rsidR="00A25BC8" w:rsidRPr="00A25BC8">
        <w:t xml:space="preserve"> a range of chemotherapy regimens, </w:t>
      </w:r>
      <w:r>
        <w:rPr>
          <w:lang w:val="en-GB"/>
        </w:rPr>
        <w:t xml:space="preserve">at a range of different points in the treatment pathway (from </w:t>
      </w:r>
      <w:r w:rsidR="006020B5">
        <w:rPr>
          <w:lang w:val="en-GB"/>
        </w:rPr>
        <w:t>third</w:t>
      </w:r>
      <w:r>
        <w:rPr>
          <w:lang w:val="en-GB"/>
        </w:rPr>
        <w:t xml:space="preserve"> to </w:t>
      </w:r>
      <w:r w:rsidR="006020B5">
        <w:rPr>
          <w:lang w:val="en-GB"/>
        </w:rPr>
        <w:t>fourteenth</w:t>
      </w:r>
      <w:r>
        <w:rPr>
          <w:lang w:val="en-GB"/>
        </w:rPr>
        <w:t xml:space="preserve"> line)</w:t>
      </w:r>
      <w:r w:rsidR="006020B5">
        <w:rPr>
          <w:lang w:val="en-GB"/>
        </w:rPr>
        <w:t>. These regimens</w:t>
      </w:r>
      <w:r w:rsidR="00A25BC8" w:rsidRPr="00A25BC8">
        <w:t xml:space="preserve"> may differ from one another in clinical effectiveness and adverse effects, and </w:t>
      </w:r>
      <w:r w:rsidR="00BD246F">
        <w:rPr>
          <w:lang w:val="en-GB"/>
        </w:rPr>
        <w:t xml:space="preserve">may </w:t>
      </w:r>
      <w:r>
        <w:rPr>
          <w:lang w:val="en-GB"/>
        </w:rPr>
        <w:t xml:space="preserve">not represent </w:t>
      </w:r>
      <w:r w:rsidR="006020B5">
        <w:rPr>
          <w:lang w:val="en-GB"/>
        </w:rPr>
        <w:t>patients whose condition is at the third</w:t>
      </w:r>
      <w:r w:rsidR="006020B5">
        <w:rPr>
          <w:vertAlign w:val="superscript"/>
          <w:lang w:val="en-GB"/>
        </w:rPr>
        <w:t>-</w:t>
      </w:r>
      <w:r w:rsidR="00D1189E">
        <w:rPr>
          <w:lang w:val="en-GB"/>
        </w:rPr>
        <w:t>line ‘double</w:t>
      </w:r>
      <w:r w:rsidR="006C2C3E">
        <w:rPr>
          <w:lang w:val="en-GB"/>
        </w:rPr>
        <w:t>-</w:t>
      </w:r>
      <w:r w:rsidR="00D1189E">
        <w:rPr>
          <w:lang w:val="en-GB"/>
        </w:rPr>
        <w:t>refractory’</w:t>
      </w:r>
      <w:r w:rsidR="006020B5">
        <w:rPr>
          <w:lang w:val="en-GB"/>
        </w:rPr>
        <w:t xml:space="preserve"> stage</w:t>
      </w:r>
      <w:r w:rsidR="00D1189E">
        <w:rPr>
          <w:lang w:val="en-GB"/>
        </w:rPr>
        <w:t>.</w:t>
      </w:r>
    </w:p>
    <w:p w14:paraId="0CCAC92A" w14:textId="7C60007C" w:rsidR="00C11AF1" w:rsidRDefault="00D1189E" w:rsidP="00E6578E">
      <w:pPr>
        <w:pStyle w:val="Bulletindent1last"/>
      </w:pPr>
      <w:r>
        <w:t xml:space="preserve">The committee noted that DELTA began recruiting patients </w:t>
      </w:r>
      <w:r w:rsidR="006C2C3E">
        <w:t xml:space="preserve">whose condition was at the ‘double-refractory’ stage </w:t>
      </w:r>
      <w:r>
        <w:t xml:space="preserve">in 2011 from a range of countries. It recognised that chemotherapy options available for </w:t>
      </w:r>
      <w:r w:rsidR="006C2C3E">
        <w:t xml:space="preserve">previous </w:t>
      </w:r>
      <w:r>
        <w:t xml:space="preserve">treatment </w:t>
      </w:r>
      <w:r w:rsidR="006C2C3E">
        <w:t xml:space="preserve">in DELTA </w:t>
      </w:r>
      <w:r>
        <w:t xml:space="preserve">may have changed over time and may </w:t>
      </w:r>
      <w:r w:rsidR="006C2C3E">
        <w:t xml:space="preserve">have </w:t>
      </w:r>
      <w:r>
        <w:t>differ</w:t>
      </w:r>
      <w:r w:rsidR="006C2C3E">
        <w:t>ed</w:t>
      </w:r>
      <w:r>
        <w:t xml:space="preserve"> in other countries</w:t>
      </w:r>
      <w:r w:rsidR="006C2C3E">
        <w:t>. T</w:t>
      </w:r>
      <w:r>
        <w:t>herefore</w:t>
      </w:r>
      <w:r w:rsidR="006C2C3E">
        <w:t>,</w:t>
      </w:r>
      <w:r>
        <w:t xml:space="preserve"> the chemotherapy treatments </w:t>
      </w:r>
      <w:r w:rsidR="006C2C3E">
        <w:t xml:space="preserve">used </w:t>
      </w:r>
      <w:r>
        <w:t>may not represent current UK clinical practice.</w:t>
      </w:r>
    </w:p>
    <w:p w14:paraId="4CC659E3" w14:textId="643B8004" w:rsidR="00964CE5" w:rsidRDefault="00E55C8D" w:rsidP="00E6578E">
      <w:pPr>
        <w:pStyle w:val="NICEnormalindented"/>
      </w:pPr>
      <w:r w:rsidRPr="009D6ED8">
        <w:t xml:space="preserve">The committee </w:t>
      </w:r>
      <w:r>
        <w:t>recognised</w:t>
      </w:r>
      <w:r w:rsidRPr="009D6ED8">
        <w:t xml:space="preserve"> that </w:t>
      </w:r>
      <w:r w:rsidR="003C6816" w:rsidRPr="009D6ED8">
        <w:t>th</w:t>
      </w:r>
      <w:r w:rsidR="003C6816">
        <w:t>is</w:t>
      </w:r>
      <w:r w:rsidR="003C6816" w:rsidRPr="009D6ED8">
        <w:t xml:space="preserve"> </w:t>
      </w:r>
      <w:r w:rsidR="000A0DDB">
        <w:t>‘</w:t>
      </w:r>
      <w:r w:rsidR="0008043A">
        <w:t>self-control</w:t>
      </w:r>
      <w:r w:rsidR="000A0DDB">
        <w:t>’</w:t>
      </w:r>
      <w:r w:rsidRPr="009D6ED8">
        <w:t xml:space="preserve"> comparison </w:t>
      </w:r>
      <w:r w:rsidR="002B4216">
        <w:t xml:space="preserve">did not compare the same patients </w:t>
      </w:r>
      <w:r w:rsidR="003C6816">
        <w:t xml:space="preserve">with </w:t>
      </w:r>
      <w:r w:rsidR="002B4216">
        <w:t>each other</w:t>
      </w:r>
      <w:r w:rsidR="000A0DDB">
        <w:t xml:space="preserve"> </w:t>
      </w:r>
      <w:r w:rsidR="003C6816">
        <w:t xml:space="preserve">because </w:t>
      </w:r>
      <w:r w:rsidR="000A0DDB">
        <w:t xml:space="preserve">the company </w:t>
      </w:r>
      <w:r w:rsidR="00F161D4">
        <w:t>had</w:t>
      </w:r>
      <w:r w:rsidR="000A0DDB">
        <w:t xml:space="preserve"> no</w:t>
      </w:r>
      <w:r w:rsidR="00F161D4">
        <w:t>t</w:t>
      </w:r>
      <w:r w:rsidR="000A0DDB">
        <w:t xml:space="preserve"> </w:t>
      </w:r>
      <w:r w:rsidR="003C6816">
        <w:t xml:space="preserve">done </w:t>
      </w:r>
      <w:r w:rsidR="000A0DDB">
        <w:t>a paired matched analysis</w:t>
      </w:r>
      <w:r w:rsidR="00A25BC8">
        <w:t>.</w:t>
      </w:r>
      <w:r w:rsidR="003C6816">
        <w:t xml:space="preserve"> I</w:t>
      </w:r>
      <w:r w:rsidR="000A0DDB">
        <w:t>nstead</w:t>
      </w:r>
      <w:r w:rsidR="003C6816">
        <w:t>, it</w:t>
      </w:r>
      <w:r w:rsidR="000A0DDB">
        <w:t xml:space="preserve"> compared one population</w:t>
      </w:r>
      <w:r w:rsidR="00BD246F">
        <w:t xml:space="preserve"> </w:t>
      </w:r>
      <w:r w:rsidR="00110F12">
        <w:t>(</w:t>
      </w:r>
      <w:r w:rsidR="006C2C3E">
        <w:t xml:space="preserve">having </w:t>
      </w:r>
      <w:r w:rsidR="00110F12">
        <w:t>chemotherapy)</w:t>
      </w:r>
      <w:r w:rsidR="000A0DDB">
        <w:t xml:space="preserve"> </w:t>
      </w:r>
      <w:r w:rsidR="003C6816">
        <w:t xml:space="preserve">with </w:t>
      </w:r>
      <w:r w:rsidR="00582E2C">
        <w:t>itself after patients</w:t>
      </w:r>
      <w:r w:rsidR="000A0DDB">
        <w:t xml:space="preserve"> </w:t>
      </w:r>
      <w:r w:rsidR="003C6816">
        <w:t xml:space="preserve">had </w:t>
      </w:r>
      <w:r w:rsidR="00EA29F8">
        <w:t>progressed and</w:t>
      </w:r>
      <w:r w:rsidR="000A0DDB">
        <w:t xml:space="preserve"> survived to</w:t>
      </w:r>
      <w:r w:rsidR="00EA29F8">
        <w:t xml:space="preserve"> </w:t>
      </w:r>
      <w:r w:rsidR="003C6816">
        <w:t xml:space="preserve">have </w:t>
      </w:r>
      <w:r w:rsidR="00EA29F8">
        <w:t>another treatment</w:t>
      </w:r>
      <w:r w:rsidR="00D1189E">
        <w:t xml:space="preserve"> </w:t>
      </w:r>
      <w:r w:rsidR="00110F12">
        <w:t>(</w:t>
      </w:r>
      <w:r w:rsidR="006C2C3E">
        <w:t xml:space="preserve">having </w:t>
      </w:r>
      <w:r w:rsidR="00110F12">
        <w:t>idelalisib)</w:t>
      </w:r>
      <w:r w:rsidR="000A0DDB">
        <w:t xml:space="preserve">. </w:t>
      </w:r>
      <w:r w:rsidR="00964CE5">
        <w:t>It concluded that there were multiple sources of bias in this type of analysis</w:t>
      </w:r>
      <w:r w:rsidR="006C2C3E">
        <w:t>,</w:t>
      </w:r>
      <w:r w:rsidR="00BD246F">
        <w:t xml:space="preserve"> and </w:t>
      </w:r>
      <w:r w:rsidR="006C2C3E">
        <w:t xml:space="preserve">that </w:t>
      </w:r>
      <w:r w:rsidR="00BD246F">
        <w:t xml:space="preserve">the </w:t>
      </w:r>
      <w:r w:rsidR="00582E2C">
        <w:t xml:space="preserve">overall </w:t>
      </w:r>
      <w:r w:rsidR="00BD246F">
        <w:t xml:space="preserve">direction of bias and </w:t>
      </w:r>
      <w:r w:rsidR="006C2C3E">
        <w:t xml:space="preserve">effect </w:t>
      </w:r>
      <w:r w:rsidR="00BD246F">
        <w:t>on relative effectiveness could not be determined.</w:t>
      </w:r>
    </w:p>
    <w:p w14:paraId="5B083488" w14:textId="1A827BDC" w:rsidR="00792705" w:rsidRDefault="00792705" w:rsidP="00A25BC8">
      <w:pPr>
        <w:pStyle w:val="Heading3"/>
      </w:pPr>
      <w:r>
        <w:t>The results from DELTA and the CUP are inconsistent</w:t>
      </w:r>
    </w:p>
    <w:p w14:paraId="6F378C49" w14:textId="0B5841B1" w:rsidR="005F4305" w:rsidRPr="000A4F67" w:rsidRDefault="00964CE5" w:rsidP="000A4F67">
      <w:pPr>
        <w:pStyle w:val="Numberedlevel2text"/>
      </w:pPr>
      <w:r>
        <w:rPr>
          <w:lang w:val="en-GB"/>
        </w:rPr>
        <w:t>The committee noted that</w:t>
      </w:r>
      <w:r w:rsidR="00E55C8D">
        <w:t xml:space="preserve"> comparing idelalisib with previous chemotherapy gave inconsistent results in DELTA and the CUP</w:t>
      </w:r>
      <w:r w:rsidR="00A25BC8">
        <w:rPr>
          <w:lang w:val="en-GB"/>
        </w:rPr>
        <w:t>.</w:t>
      </w:r>
      <w:r w:rsidR="00E55C8D">
        <w:t xml:space="preserve"> </w:t>
      </w:r>
      <w:r w:rsidR="00792705">
        <w:rPr>
          <w:lang w:val="en-GB"/>
        </w:rPr>
        <w:t xml:space="preserve">The results from </w:t>
      </w:r>
      <w:r w:rsidR="00995EA9">
        <w:t>DELTA s</w:t>
      </w:r>
      <w:r w:rsidR="00910690">
        <w:t>uggested</w:t>
      </w:r>
      <w:r w:rsidR="00995EA9">
        <w:t xml:space="preserve"> an increase in progression</w:t>
      </w:r>
      <w:r w:rsidR="00792705">
        <w:rPr>
          <w:lang w:val="en-GB"/>
        </w:rPr>
        <w:t>-</w:t>
      </w:r>
      <w:r w:rsidR="00995EA9">
        <w:t xml:space="preserve">free survival </w:t>
      </w:r>
      <w:r w:rsidR="00792705">
        <w:rPr>
          <w:lang w:val="en-GB"/>
        </w:rPr>
        <w:t>compared with</w:t>
      </w:r>
      <w:r w:rsidR="00792705">
        <w:t xml:space="preserve"> </w:t>
      </w:r>
      <w:r w:rsidR="00995EA9">
        <w:t>last previous therapy</w:t>
      </w:r>
      <w:r w:rsidR="00792705">
        <w:rPr>
          <w:lang w:val="en-GB"/>
        </w:rPr>
        <w:t>, whereas the results from</w:t>
      </w:r>
      <w:r w:rsidR="00995EA9">
        <w:t xml:space="preserve"> the CUP showed similar progression</w:t>
      </w:r>
      <w:r w:rsidR="00792705">
        <w:rPr>
          <w:lang w:val="en-GB"/>
        </w:rPr>
        <w:t>-</w:t>
      </w:r>
      <w:r w:rsidR="00995EA9">
        <w:t xml:space="preserve">free survival </w:t>
      </w:r>
      <w:r w:rsidR="00792705">
        <w:rPr>
          <w:lang w:val="en-GB"/>
        </w:rPr>
        <w:t>compared with</w:t>
      </w:r>
      <w:r w:rsidR="00792705">
        <w:t xml:space="preserve"> </w:t>
      </w:r>
      <w:r w:rsidR="00995EA9">
        <w:t>last previous therapy</w:t>
      </w:r>
      <w:r w:rsidR="00E55C8D">
        <w:t>. The</w:t>
      </w:r>
      <w:r w:rsidR="00E55C8D" w:rsidRPr="00DD6899">
        <w:t xml:space="preserve"> clinical experts commented that </w:t>
      </w:r>
      <w:r w:rsidR="00E55C8D">
        <w:t xml:space="preserve">this might be </w:t>
      </w:r>
      <w:r w:rsidR="00792705">
        <w:rPr>
          <w:lang w:val="en-GB"/>
        </w:rPr>
        <w:t>because of</w:t>
      </w:r>
      <w:r w:rsidR="00E55C8D">
        <w:t xml:space="preserve"> how progression was determined and how relapse was identified</w:t>
      </w:r>
      <w:r w:rsidR="00792705">
        <w:rPr>
          <w:lang w:val="en-GB"/>
        </w:rPr>
        <w:t>,</w:t>
      </w:r>
      <w:r w:rsidR="00E55C8D">
        <w:t xml:space="preserve"> given the indolent nature of the disease. They also noted that the CUP, being a ‘real-world’ study, was likely to have defined and assessed disease progression more loosely than DELTA. The committee agreed that, although th</w:t>
      </w:r>
      <w:r w:rsidR="00C11AF1">
        <w:rPr>
          <w:lang w:val="en-GB"/>
        </w:rPr>
        <w:t>is approach addressed the issue of defining standard of care,</w:t>
      </w:r>
      <w:r w:rsidR="00E55C8D">
        <w:t xml:space="preserve"> (</w:t>
      </w:r>
      <w:r w:rsidR="00792705">
        <w:rPr>
          <w:lang w:val="en-GB"/>
        </w:rPr>
        <w:t xml:space="preserve">see </w:t>
      </w:r>
      <w:r w:rsidR="00E55C8D">
        <w:t>section</w:t>
      </w:r>
      <w:r w:rsidR="00792705">
        <w:rPr>
          <w:lang w:val="en-GB"/>
        </w:rPr>
        <w:t> </w:t>
      </w:r>
      <w:r w:rsidR="00A25BC8">
        <w:fldChar w:fldCharType="begin"/>
      </w:r>
      <w:r w:rsidR="00A25BC8">
        <w:instrText xml:space="preserve"> REF  _Ref524947675 \h \r </w:instrText>
      </w:r>
      <w:r w:rsidR="00A25BC8">
        <w:fldChar w:fldCharType="separate"/>
      </w:r>
      <w:r w:rsidR="00A25BC8">
        <w:t>3.2</w:t>
      </w:r>
      <w:r w:rsidR="00A25BC8">
        <w:fldChar w:fldCharType="end"/>
      </w:r>
      <w:r w:rsidR="00E55C8D">
        <w:t xml:space="preserve">), </w:t>
      </w:r>
      <w:r w:rsidR="00C11AF1">
        <w:rPr>
          <w:lang w:val="en-GB"/>
        </w:rPr>
        <w:t>the result</w:t>
      </w:r>
      <w:r w:rsidR="00D1189E">
        <w:rPr>
          <w:lang w:val="en-GB"/>
        </w:rPr>
        <w:t>s</w:t>
      </w:r>
      <w:r w:rsidR="00C11AF1">
        <w:rPr>
          <w:lang w:val="en-GB"/>
        </w:rPr>
        <w:t xml:space="preserve"> </w:t>
      </w:r>
      <w:r w:rsidR="006E4226">
        <w:rPr>
          <w:lang w:val="en-GB"/>
        </w:rPr>
        <w:t xml:space="preserve">were </w:t>
      </w:r>
      <w:r w:rsidR="00C11AF1">
        <w:rPr>
          <w:lang w:val="en-GB"/>
        </w:rPr>
        <w:t>associated with a</w:t>
      </w:r>
      <w:r w:rsidR="00E55C8D">
        <w:t xml:space="preserve"> high degree of bias and </w:t>
      </w:r>
      <w:r w:rsidR="00792705">
        <w:t>d</w:t>
      </w:r>
      <w:r w:rsidR="00792705">
        <w:rPr>
          <w:lang w:val="en-GB"/>
        </w:rPr>
        <w:t>id</w:t>
      </w:r>
      <w:r w:rsidR="00792705">
        <w:t xml:space="preserve"> </w:t>
      </w:r>
      <w:r w:rsidR="00E55C8D">
        <w:t>not give reliable comparator information.</w:t>
      </w:r>
    </w:p>
    <w:p w14:paraId="3DB677F3" w14:textId="42CDB954" w:rsidR="00E55C8D" w:rsidRDefault="00E55C8D" w:rsidP="00E55C8D">
      <w:pPr>
        <w:pStyle w:val="Heading3"/>
      </w:pPr>
      <w:r>
        <w:t xml:space="preserve">The matching adjusted indirect comparison with </w:t>
      </w:r>
      <w:r w:rsidR="00792705">
        <w:t>the HMRN</w:t>
      </w:r>
      <w:r>
        <w:t xml:space="preserve"> </w:t>
      </w:r>
      <w:r w:rsidR="00626C66">
        <w:t xml:space="preserve">gives an estimation of the effect of chemotherapy in </w:t>
      </w:r>
      <w:r w:rsidR="007A7ADD">
        <w:t xml:space="preserve">the </w:t>
      </w:r>
      <w:r w:rsidR="00626C66">
        <w:t>DELTA study population</w:t>
      </w:r>
    </w:p>
    <w:p w14:paraId="1C248902" w14:textId="59AAF5D7" w:rsidR="00E55C8D" w:rsidRPr="008044AC" w:rsidRDefault="00E55C8D" w:rsidP="00E55C8D">
      <w:pPr>
        <w:pStyle w:val="Numberedlevel2text"/>
        <w:numPr>
          <w:ilvl w:val="1"/>
          <w:numId w:val="1"/>
        </w:numPr>
      </w:pPr>
      <w:r>
        <w:t xml:space="preserve">In addition to the </w:t>
      </w:r>
      <w:r w:rsidR="0008043A">
        <w:rPr>
          <w:lang w:val="en-GB"/>
        </w:rPr>
        <w:t xml:space="preserve">‘self-control’ </w:t>
      </w:r>
      <w:r>
        <w:t xml:space="preserve">comparison, the company presented an unanchored matching adjusted indirect comparison (MAIC) with the </w:t>
      </w:r>
      <w:r w:rsidRPr="000D0908">
        <w:t>HMRN</w:t>
      </w:r>
      <w:r>
        <w:t xml:space="preserve"> cohort </w:t>
      </w:r>
      <w:r w:rsidR="00DB5B07">
        <w:rPr>
          <w:lang w:val="en-GB"/>
        </w:rPr>
        <w:t>(see section</w:t>
      </w:r>
      <w:r w:rsidR="00792705">
        <w:rPr>
          <w:lang w:val="en-GB"/>
        </w:rPr>
        <w:t> </w:t>
      </w:r>
      <w:r w:rsidR="00C7040E">
        <w:rPr>
          <w:lang w:val="en-GB"/>
        </w:rPr>
        <w:t>3.5</w:t>
      </w:r>
      <w:r w:rsidR="00DB5B07">
        <w:rPr>
          <w:lang w:val="en-GB"/>
        </w:rPr>
        <w:t>)</w:t>
      </w:r>
      <w:r>
        <w:t>. The company match</w:t>
      </w:r>
      <w:r w:rsidR="00DB5B07">
        <w:rPr>
          <w:lang w:val="en-GB"/>
        </w:rPr>
        <w:t>ed</w:t>
      </w:r>
      <w:r>
        <w:t xml:space="preserve"> individual patient</w:t>
      </w:r>
      <w:r w:rsidR="00DB5B07">
        <w:rPr>
          <w:lang w:val="en-GB"/>
        </w:rPr>
        <w:t>-level</w:t>
      </w:r>
      <w:r>
        <w:t xml:space="preserve"> data from the HMRN cohort to the population</w:t>
      </w:r>
      <w:r w:rsidR="002B4216">
        <w:t xml:space="preserve">-level descriptive </w:t>
      </w:r>
      <w:r w:rsidR="000A4179">
        <w:t>characteristics</w:t>
      </w:r>
      <w:r w:rsidR="002B4216">
        <w:t xml:space="preserve"> of </w:t>
      </w:r>
      <w:r w:rsidR="00792705">
        <w:rPr>
          <w:lang w:val="en-GB"/>
        </w:rPr>
        <w:t>patients</w:t>
      </w:r>
      <w:r w:rsidR="00792705">
        <w:t xml:space="preserve"> </w:t>
      </w:r>
      <w:r>
        <w:t xml:space="preserve">in the DELTA study. </w:t>
      </w:r>
      <w:r w:rsidR="00DB5B07">
        <w:rPr>
          <w:lang w:val="en-GB"/>
        </w:rPr>
        <w:t>This estimated</w:t>
      </w:r>
      <w:r w:rsidR="00A04636">
        <w:rPr>
          <w:lang w:val="en-GB"/>
        </w:rPr>
        <w:t xml:space="preserve"> </w:t>
      </w:r>
      <w:r w:rsidR="00854B5B">
        <w:rPr>
          <w:lang w:val="en-GB"/>
        </w:rPr>
        <w:t>the effect</w:t>
      </w:r>
      <w:r w:rsidR="00792705">
        <w:rPr>
          <w:lang w:val="en-GB"/>
        </w:rPr>
        <w:t>s</w:t>
      </w:r>
      <w:r w:rsidR="00854B5B">
        <w:rPr>
          <w:lang w:val="en-GB"/>
        </w:rPr>
        <w:t xml:space="preserve"> of chemotherapy </w:t>
      </w:r>
      <w:r w:rsidR="00DB5B07">
        <w:rPr>
          <w:lang w:val="en-GB"/>
        </w:rPr>
        <w:t xml:space="preserve">in </w:t>
      </w:r>
      <w:r w:rsidR="00854B5B">
        <w:rPr>
          <w:lang w:val="en-GB"/>
        </w:rPr>
        <w:t>the DELTA population</w:t>
      </w:r>
      <w:r w:rsidR="00DB5B07">
        <w:rPr>
          <w:lang w:val="en-GB"/>
        </w:rPr>
        <w:t xml:space="preserve">. The ERG preferred estimating </w:t>
      </w:r>
      <w:r w:rsidR="00A04636">
        <w:rPr>
          <w:lang w:val="en-GB"/>
        </w:rPr>
        <w:t xml:space="preserve">the effect of idelalisib </w:t>
      </w:r>
      <w:r w:rsidR="00DB5B07">
        <w:rPr>
          <w:lang w:val="en-GB"/>
        </w:rPr>
        <w:t xml:space="preserve">in </w:t>
      </w:r>
      <w:r w:rsidR="00A04636">
        <w:rPr>
          <w:lang w:val="en-GB"/>
        </w:rPr>
        <w:t>the HMRN (</w:t>
      </w:r>
      <w:r w:rsidR="00BF1B57">
        <w:rPr>
          <w:lang w:val="en-GB"/>
        </w:rPr>
        <w:t>UK</w:t>
      </w:r>
      <w:r w:rsidR="00A04636">
        <w:rPr>
          <w:lang w:val="en-GB"/>
        </w:rPr>
        <w:t>) population</w:t>
      </w:r>
      <w:r w:rsidR="00DB5B07">
        <w:rPr>
          <w:lang w:val="en-GB"/>
        </w:rPr>
        <w:t xml:space="preserve"> because </w:t>
      </w:r>
      <w:r w:rsidR="00FB0722">
        <w:rPr>
          <w:lang w:val="en-GB"/>
        </w:rPr>
        <w:t xml:space="preserve">this </w:t>
      </w:r>
      <w:r w:rsidR="00792705">
        <w:rPr>
          <w:lang w:val="en-GB"/>
        </w:rPr>
        <w:t>gave</w:t>
      </w:r>
      <w:r w:rsidR="00FB0722">
        <w:rPr>
          <w:lang w:val="en-GB"/>
        </w:rPr>
        <w:t xml:space="preserve"> a larger source of individual patient data and a more robust dataset to the adjustments </w:t>
      </w:r>
      <w:r w:rsidR="00792705">
        <w:rPr>
          <w:lang w:val="en-GB"/>
        </w:rPr>
        <w:t xml:space="preserve">done </w:t>
      </w:r>
      <w:r w:rsidR="00FB0722">
        <w:rPr>
          <w:lang w:val="en-GB"/>
        </w:rPr>
        <w:t>in the MAIC</w:t>
      </w:r>
      <w:r w:rsidR="00854B5B">
        <w:rPr>
          <w:lang w:val="en-GB"/>
        </w:rPr>
        <w:t xml:space="preserve">. </w:t>
      </w:r>
      <w:r w:rsidR="00DB5B07">
        <w:rPr>
          <w:lang w:val="en-GB"/>
        </w:rPr>
        <w:t xml:space="preserve">The committee agreed that there </w:t>
      </w:r>
      <w:r w:rsidR="00792705">
        <w:rPr>
          <w:lang w:val="en-GB"/>
        </w:rPr>
        <w:t>wa</w:t>
      </w:r>
      <w:r w:rsidR="00DB5B07">
        <w:rPr>
          <w:lang w:val="en-GB"/>
        </w:rPr>
        <w:t>s merit in matching the DELTA population to the HMRN cohort to explore uncertainty</w:t>
      </w:r>
      <w:r w:rsidR="00192198">
        <w:rPr>
          <w:lang w:val="en-GB"/>
        </w:rPr>
        <w:t xml:space="preserve"> and g</w:t>
      </w:r>
      <w:r w:rsidR="00FF57A1">
        <w:rPr>
          <w:lang w:val="en-GB"/>
        </w:rPr>
        <w:t>i</w:t>
      </w:r>
      <w:r w:rsidR="00192198">
        <w:rPr>
          <w:lang w:val="en-GB"/>
        </w:rPr>
        <w:t>ve a better representation of clinical practice</w:t>
      </w:r>
      <w:r w:rsidR="00DB5B07">
        <w:rPr>
          <w:lang w:val="en-GB"/>
        </w:rPr>
        <w:t>. It also</w:t>
      </w:r>
      <w:r w:rsidR="00E95FB6">
        <w:rPr>
          <w:lang w:val="en-GB"/>
        </w:rPr>
        <w:t xml:space="preserve"> </w:t>
      </w:r>
      <w:r w:rsidR="009C546C">
        <w:rPr>
          <w:lang w:val="en-GB"/>
        </w:rPr>
        <w:t>considered</w:t>
      </w:r>
      <w:r w:rsidR="00E95FB6">
        <w:rPr>
          <w:lang w:val="en-GB"/>
        </w:rPr>
        <w:t xml:space="preserve"> </w:t>
      </w:r>
      <w:r w:rsidR="009C546C">
        <w:rPr>
          <w:lang w:val="en-GB"/>
        </w:rPr>
        <w:t>that</w:t>
      </w:r>
      <w:r w:rsidR="00DB5B07">
        <w:rPr>
          <w:lang w:val="en-GB"/>
        </w:rPr>
        <w:t>,</w:t>
      </w:r>
      <w:r w:rsidR="009C546C">
        <w:rPr>
          <w:lang w:val="en-GB"/>
        </w:rPr>
        <w:t xml:space="preserve"> because patient</w:t>
      </w:r>
      <w:r w:rsidR="005E2738">
        <w:rPr>
          <w:lang w:val="en-GB"/>
        </w:rPr>
        <w:t>-</w:t>
      </w:r>
      <w:r w:rsidR="009C546C">
        <w:rPr>
          <w:lang w:val="en-GB"/>
        </w:rPr>
        <w:t>level data were available from both DELTA and the HMRN cohort, the company could develop a propensity score</w:t>
      </w:r>
      <w:r w:rsidR="00CE73A4">
        <w:rPr>
          <w:lang w:val="en-GB"/>
        </w:rPr>
        <w:t>. T</w:t>
      </w:r>
      <w:r w:rsidR="009C546C">
        <w:rPr>
          <w:lang w:val="en-GB"/>
        </w:rPr>
        <w:t>he committee also recognised that without sufficient information on potential confounders,</w:t>
      </w:r>
      <w:r w:rsidR="00F7687D">
        <w:rPr>
          <w:lang w:val="en-GB"/>
        </w:rPr>
        <w:t xml:space="preserve"> this method could be biased.</w:t>
      </w:r>
    </w:p>
    <w:p w14:paraId="5C68316D" w14:textId="3F981AD6" w:rsidR="00CE73A4" w:rsidRDefault="000F02C6" w:rsidP="008044AC">
      <w:pPr>
        <w:pStyle w:val="Heading3"/>
      </w:pPr>
      <w:r>
        <w:t>T</w:t>
      </w:r>
      <w:r w:rsidR="00CE73A4" w:rsidRPr="00CE73A4">
        <w:t xml:space="preserve">he MAIC </w:t>
      </w:r>
      <w:r w:rsidR="00626C66">
        <w:t>does not adjust appropriately for potential confounders</w:t>
      </w:r>
    </w:p>
    <w:p w14:paraId="2A061AFF" w14:textId="13816186" w:rsidR="00E55C8D" w:rsidRPr="00163304" w:rsidRDefault="00CB451D" w:rsidP="004E2A82">
      <w:pPr>
        <w:pStyle w:val="Numberedlevel2text"/>
      </w:pPr>
      <w:r w:rsidRPr="00DE57AD">
        <w:t>The committee discussed what factors most affect prognosis and therefore should have been included in the</w:t>
      </w:r>
      <w:r w:rsidR="00BD246F" w:rsidRPr="00D1189E">
        <w:rPr>
          <w:lang w:val="en-GB"/>
        </w:rPr>
        <w:t xml:space="preserve"> MAIC</w:t>
      </w:r>
      <w:r w:rsidRPr="00DE57AD">
        <w:t xml:space="preserve"> analysis.</w:t>
      </w:r>
      <w:r w:rsidR="007B4061" w:rsidRPr="00D1189E">
        <w:rPr>
          <w:lang w:val="en-GB"/>
        </w:rPr>
        <w:t xml:space="preserve"> The </w:t>
      </w:r>
      <w:r w:rsidR="007B4061" w:rsidRPr="00B7250C">
        <w:t>committee was aware it had not been presented with a systematic review of risk factors for progression and death</w:t>
      </w:r>
      <w:r w:rsidR="007B4061" w:rsidRPr="00DE57AD">
        <w:t xml:space="preserve"> </w:t>
      </w:r>
      <w:r w:rsidR="007B4061" w:rsidRPr="00D1189E">
        <w:rPr>
          <w:lang w:val="en-GB"/>
        </w:rPr>
        <w:t>to inform the MAIC.</w:t>
      </w:r>
      <w:r w:rsidR="00110F12" w:rsidRPr="00D1189E">
        <w:rPr>
          <w:lang w:val="en-GB"/>
        </w:rPr>
        <w:t xml:space="preserve"> In addition to history of autologous stem cell transplantation</w:t>
      </w:r>
      <w:r w:rsidR="00626C66">
        <w:rPr>
          <w:lang w:val="en-GB"/>
        </w:rPr>
        <w:t xml:space="preserve"> (see section 3.4)</w:t>
      </w:r>
      <w:r w:rsidR="00110F12" w:rsidRPr="00D1189E">
        <w:rPr>
          <w:lang w:val="en-GB"/>
        </w:rPr>
        <w:t>, the committee understood that there are other factors associated with progression and death. These include, but are not limited to, the components of the Follicular Lymphoma International Prognostic Index I and II (FLIPI and FLIPI2), notably age, serum beta 2 microglobulin levels, bone marrow involvement, size of the largest involved lymph node, and haemoglobin levels. Other factors include time in previous remission</w:t>
      </w:r>
      <w:r w:rsidR="00110F12" w:rsidRPr="00D1189E">
        <w:rPr>
          <w:bCs w:val="0"/>
          <w:iCs w:val="0"/>
        </w:rPr>
        <w:t xml:space="preserve">, time since completing the last therapy, comorbid conditions, and which chemotherapeutic agents the patient </w:t>
      </w:r>
      <w:r w:rsidR="00330BEF">
        <w:rPr>
          <w:bCs w:val="0"/>
          <w:iCs w:val="0"/>
          <w:lang w:val="en-GB"/>
        </w:rPr>
        <w:t xml:space="preserve">has </w:t>
      </w:r>
      <w:r w:rsidR="00110F12" w:rsidRPr="00D1189E">
        <w:rPr>
          <w:bCs w:val="0"/>
          <w:iCs w:val="0"/>
        </w:rPr>
        <w:t>had previously.</w:t>
      </w:r>
      <w:r w:rsidR="00D1189E">
        <w:rPr>
          <w:bCs w:val="0"/>
          <w:iCs w:val="0"/>
          <w:lang w:val="en-GB"/>
        </w:rPr>
        <w:t xml:space="preserve"> </w:t>
      </w:r>
      <w:r w:rsidR="00DE57AD" w:rsidRPr="00DE57AD">
        <w:t xml:space="preserve">The clinical experts suggested that the FLIPI index is the best validated prognostic tool, but </w:t>
      </w:r>
      <w:r w:rsidR="00DE57AD" w:rsidRPr="00D1189E">
        <w:rPr>
          <w:lang w:val="en-GB"/>
        </w:rPr>
        <w:t xml:space="preserve">that </w:t>
      </w:r>
      <w:r w:rsidR="00DE57AD" w:rsidRPr="00DE57AD">
        <w:t>it is has limited value at third</w:t>
      </w:r>
      <w:r w:rsidR="00CE73A4" w:rsidRPr="00D1189E">
        <w:rPr>
          <w:lang w:val="en-GB"/>
        </w:rPr>
        <w:t xml:space="preserve"> </w:t>
      </w:r>
      <w:r w:rsidR="00DE57AD" w:rsidRPr="00DE57AD">
        <w:t xml:space="preserve">line. They proposed that a key prognostic indicator would be response to </w:t>
      </w:r>
      <w:r w:rsidR="00CE73A4" w:rsidRPr="00DE57AD">
        <w:t>pr</w:t>
      </w:r>
      <w:r w:rsidR="00CE73A4" w:rsidRPr="00D1189E">
        <w:rPr>
          <w:lang w:val="en-GB"/>
        </w:rPr>
        <w:t>evious</w:t>
      </w:r>
      <w:r w:rsidR="00CE73A4" w:rsidRPr="00DE57AD">
        <w:t xml:space="preserve"> </w:t>
      </w:r>
      <w:r w:rsidR="00DE57AD" w:rsidRPr="00DE57AD">
        <w:t>therapy, but this input was not captured in the variables chosen in the MAIC.</w:t>
      </w:r>
      <w:r w:rsidR="00626C66">
        <w:rPr>
          <w:lang w:val="en-GB"/>
        </w:rPr>
        <w:t xml:space="preserve"> </w:t>
      </w:r>
      <w:r w:rsidR="00626C66" w:rsidRPr="00DE57AD">
        <w:t xml:space="preserve">The company </w:t>
      </w:r>
      <w:r w:rsidR="00626C66" w:rsidRPr="00D1189E">
        <w:rPr>
          <w:lang w:val="en-GB"/>
        </w:rPr>
        <w:t>matched</w:t>
      </w:r>
      <w:r w:rsidR="00626C66" w:rsidRPr="00DE57AD">
        <w:t xml:space="preserve"> 5</w:t>
      </w:r>
      <w:r w:rsidR="00626C66" w:rsidRPr="00D1189E">
        <w:rPr>
          <w:lang w:val="en-GB"/>
        </w:rPr>
        <w:t> </w:t>
      </w:r>
      <w:r w:rsidR="00626C66" w:rsidRPr="00DE57AD">
        <w:t>of</w:t>
      </w:r>
      <w:r w:rsidR="00626C66" w:rsidRPr="00D1189E">
        <w:rPr>
          <w:lang w:val="en-GB"/>
        </w:rPr>
        <w:t> </w:t>
      </w:r>
      <w:r w:rsidR="00626C66" w:rsidRPr="00DE57AD">
        <w:t>7 variables that it assumed accounted for all prognostic factors and treatment</w:t>
      </w:r>
      <w:r w:rsidR="00626C66" w:rsidRPr="00D1189E">
        <w:rPr>
          <w:lang w:val="en-GB"/>
        </w:rPr>
        <w:t>-</w:t>
      </w:r>
      <w:r w:rsidR="00626C66" w:rsidRPr="00DE57AD">
        <w:t>effect modifiers.</w:t>
      </w:r>
      <w:r w:rsidR="00DE57AD" w:rsidRPr="00DE57AD">
        <w:t xml:space="preserve"> </w:t>
      </w:r>
      <w:r w:rsidR="00E55C8D" w:rsidRPr="00DE57AD">
        <w:t xml:space="preserve">The committee was aware </w:t>
      </w:r>
      <w:r w:rsidR="00E55C8D" w:rsidRPr="000A4F67">
        <w:t>that a technical support document published by the Decision Support Unit recommends that, when</w:t>
      </w:r>
      <w:r w:rsidR="00E55C8D" w:rsidRPr="00D1189E">
        <w:rPr>
          <w:lang w:val="en-GB"/>
        </w:rPr>
        <w:t xml:space="preserve"> only single-arm trial data are available, all the characteristics that could influence the outcomes of interest should be adjusted. However, increasing the number of matched characteristics reduced the effective sample size and hence the precision of the estimates. For example, </w:t>
      </w:r>
      <w:r w:rsidR="00DE57AD" w:rsidRPr="00D1189E">
        <w:rPr>
          <w:lang w:val="en-GB"/>
        </w:rPr>
        <w:t xml:space="preserve">when the company removed </w:t>
      </w:r>
      <w:r w:rsidR="00995EA9" w:rsidRPr="00D1189E">
        <w:rPr>
          <w:lang w:val="en-GB"/>
        </w:rPr>
        <w:t>the variable ‘median time since diagnosis’ from the adjustment</w:t>
      </w:r>
      <w:r w:rsidR="00DE57AD" w:rsidRPr="00D1189E">
        <w:rPr>
          <w:lang w:val="en-GB"/>
        </w:rPr>
        <w:t xml:space="preserve">, </w:t>
      </w:r>
      <w:r w:rsidR="00995EA9" w:rsidRPr="00D1189E">
        <w:rPr>
          <w:lang w:val="en-GB"/>
        </w:rPr>
        <w:t xml:space="preserve">estimated </w:t>
      </w:r>
      <w:r w:rsidR="000A4F67" w:rsidRPr="00D1189E">
        <w:rPr>
          <w:lang w:val="en-GB"/>
        </w:rPr>
        <w:t>2</w:t>
      </w:r>
      <w:r w:rsidR="00CE73A4" w:rsidRPr="00D1189E">
        <w:rPr>
          <w:lang w:val="en-GB"/>
        </w:rPr>
        <w:noBreakHyphen/>
      </w:r>
      <w:r w:rsidR="000A4F67" w:rsidRPr="00D1189E">
        <w:rPr>
          <w:lang w:val="en-GB"/>
        </w:rPr>
        <w:t>year overall survival</w:t>
      </w:r>
      <w:r w:rsidR="00995EA9" w:rsidRPr="00D1189E">
        <w:rPr>
          <w:lang w:val="en-GB"/>
        </w:rPr>
        <w:t xml:space="preserve"> </w:t>
      </w:r>
      <w:r w:rsidR="000F02C6" w:rsidRPr="00D1189E">
        <w:rPr>
          <w:lang w:val="en-GB"/>
        </w:rPr>
        <w:t xml:space="preserve">reduced </w:t>
      </w:r>
      <w:r w:rsidR="00995EA9" w:rsidRPr="00D1189E">
        <w:rPr>
          <w:lang w:val="en-GB"/>
        </w:rPr>
        <w:t>by more than 20%</w:t>
      </w:r>
      <w:r w:rsidR="00E55C8D" w:rsidRPr="00D1189E">
        <w:rPr>
          <w:lang w:val="en-GB"/>
        </w:rPr>
        <w:t>. The committee also appreciated that, in any case, there would be unobserved differences between study populations that would not be accounted for</w:t>
      </w:r>
      <w:r w:rsidR="000F02C6" w:rsidRPr="00D1189E">
        <w:rPr>
          <w:lang w:val="en-GB"/>
        </w:rPr>
        <w:t>. It noted that this</w:t>
      </w:r>
      <w:r w:rsidR="00E55C8D" w:rsidRPr="00D1189E">
        <w:rPr>
          <w:lang w:val="en-GB"/>
        </w:rPr>
        <w:t xml:space="preserve"> would bias the estimates of relative effectiveness</w:t>
      </w:r>
      <w:r w:rsidR="00087AC2" w:rsidRPr="00D1189E">
        <w:rPr>
          <w:lang w:val="en-GB"/>
        </w:rPr>
        <w:t xml:space="preserve"> if associated with progression or death</w:t>
      </w:r>
      <w:r w:rsidR="00E55C8D" w:rsidRPr="00D1189E">
        <w:rPr>
          <w:lang w:val="en-GB"/>
        </w:rPr>
        <w:t>.</w:t>
      </w:r>
      <w:r w:rsidR="00626C66">
        <w:rPr>
          <w:lang w:val="en-GB"/>
        </w:rPr>
        <w:t xml:space="preserve"> </w:t>
      </w:r>
      <w:r w:rsidR="00626C66" w:rsidRPr="00D1189E">
        <w:rPr>
          <w:lang w:val="en-GB"/>
        </w:rPr>
        <w:t>The ERG commented that the MAIC should be treated with caution because the equivalent sample size was very small (n=6.9), the adjustment was very sensitive to variable selection and there was no sensitivity analysis done despite these uncertainties.</w:t>
      </w:r>
      <w:r w:rsidR="00E55C8D" w:rsidRPr="00D1189E">
        <w:rPr>
          <w:lang w:val="en-GB"/>
        </w:rPr>
        <w:t xml:space="preserve"> The committee concluded that, based on the company’s MAIC, it could not ascertain whether the estimated effect of idelalisib compared with chemotherapy reflected what would be seen in clinical practice.</w:t>
      </w:r>
    </w:p>
    <w:p w14:paraId="49D3FB92" w14:textId="32732876" w:rsidR="005A6E2B" w:rsidRDefault="00CE73A4" w:rsidP="005A6E2B">
      <w:pPr>
        <w:pStyle w:val="Heading3"/>
      </w:pPr>
      <w:r>
        <w:t>The</w:t>
      </w:r>
      <w:r w:rsidR="005A6E2B" w:rsidRPr="00933E1C">
        <w:t xml:space="preserve"> ‘blended’</w:t>
      </w:r>
      <w:r>
        <w:t xml:space="preserve"> comparator</w:t>
      </w:r>
      <w:r w:rsidR="005A6E2B" w:rsidRPr="00933E1C">
        <w:t xml:space="preserve"> </w:t>
      </w:r>
      <w:r>
        <w:t xml:space="preserve">assumes that </w:t>
      </w:r>
      <w:r w:rsidR="005A6E2B" w:rsidRPr="00933E1C">
        <w:t>different chemotherapeutic treatments</w:t>
      </w:r>
      <w:r>
        <w:t xml:space="preserve"> are similarly effective but this assumption is not justified</w:t>
      </w:r>
    </w:p>
    <w:p w14:paraId="59B43565" w14:textId="2828E8A8" w:rsidR="005A6E2B" w:rsidRDefault="005A6E2B" w:rsidP="000A4F67">
      <w:pPr>
        <w:pStyle w:val="Numberedlevel2text"/>
      </w:pPr>
      <w:r>
        <w:t xml:space="preserve">The committee was aware that the NICE scope listed the chemotherapeutic agents separately, and had heard from clinical experts that the therapies are </w:t>
      </w:r>
      <w:r w:rsidRPr="00933E1C">
        <w:rPr>
          <w:lang w:val="en-GB"/>
        </w:rPr>
        <w:t>likely</w:t>
      </w:r>
      <w:r>
        <w:t xml:space="preserve"> to differ in effectiveness and tolerability. </w:t>
      </w:r>
      <w:r w:rsidR="00CE73A4">
        <w:rPr>
          <w:lang w:val="en-GB"/>
        </w:rPr>
        <w:t>It</w:t>
      </w:r>
      <w:r>
        <w:t xml:space="preserve"> recognised that the company had combined treatments together, which reflected a ‘blended’ comparator, and which </w:t>
      </w:r>
      <w:r w:rsidR="00CE73A4" w:rsidRPr="00CE73A4">
        <w:rPr>
          <w:lang w:val="en-GB"/>
        </w:rPr>
        <w:t>NICE's </w:t>
      </w:r>
      <w:hyperlink r:id="rId12" w:tgtFrame="_top" w:history="1">
        <w:r w:rsidR="00CE73A4" w:rsidRPr="00CE73A4">
          <w:rPr>
            <w:rStyle w:val="Hyperlink"/>
            <w:lang w:val="en-GB"/>
          </w:rPr>
          <w:t>guide to the methods of technology appraisal</w:t>
        </w:r>
      </w:hyperlink>
      <w:r w:rsidR="00CE73A4" w:rsidRPr="00CE73A4" w:rsidDel="00CE73A4">
        <w:rPr>
          <w:lang w:val="en-GB"/>
        </w:rPr>
        <w:t xml:space="preserve"> </w:t>
      </w:r>
      <w:r>
        <w:t xml:space="preserve">discourages. The committee considered that evidence for the effectiveness of separate chemotherapeutic agents might exist from the trials that provided the evidence for the use of chemotherapy, or from registries other than the HMRN, but also considered that the evidence may be difficult to source. </w:t>
      </w:r>
      <w:r w:rsidR="00692D4F">
        <w:t xml:space="preserve">The committee </w:t>
      </w:r>
      <w:r w:rsidR="00692D4F">
        <w:rPr>
          <w:lang w:val="en-GB"/>
        </w:rPr>
        <w:t>concluded that it had not been</w:t>
      </w:r>
      <w:r>
        <w:t xml:space="preserve"> presented with evidence that </w:t>
      </w:r>
      <w:r w:rsidR="00DD2174">
        <w:rPr>
          <w:lang w:val="en-GB"/>
        </w:rPr>
        <w:t>justified the assumption that</w:t>
      </w:r>
      <w:r>
        <w:t xml:space="preserve"> chemotherapeutic agents </w:t>
      </w:r>
      <w:r w:rsidR="00DD2174">
        <w:rPr>
          <w:lang w:val="en-GB"/>
        </w:rPr>
        <w:t>could be considered</w:t>
      </w:r>
      <w:r>
        <w:t xml:space="preserve"> similarly effective</w:t>
      </w:r>
      <w:r w:rsidR="00DD2174">
        <w:rPr>
          <w:lang w:val="en-GB"/>
        </w:rPr>
        <w:t xml:space="preserve"> </w:t>
      </w:r>
      <w:r w:rsidR="004D5CFD">
        <w:rPr>
          <w:lang w:val="en-GB"/>
        </w:rPr>
        <w:t xml:space="preserve">to one another </w:t>
      </w:r>
      <w:r w:rsidR="00DD2174">
        <w:rPr>
          <w:lang w:val="en-GB"/>
        </w:rPr>
        <w:t xml:space="preserve">and in line with </w:t>
      </w:r>
      <w:r w:rsidR="008044AC">
        <w:rPr>
          <w:lang w:val="en-GB"/>
        </w:rPr>
        <w:t xml:space="preserve">current </w:t>
      </w:r>
      <w:r w:rsidR="00DD2174">
        <w:rPr>
          <w:lang w:val="en-GB"/>
        </w:rPr>
        <w:t>UK practice</w:t>
      </w:r>
      <w:r>
        <w:t>.</w:t>
      </w:r>
    </w:p>
    <w:p w14:paraId="119E2B6E" w14:textId="4F3EDAB7" w:rsidR="00E55C8D" w:rsidRDefault="00CE73A4" w:rsidP="005A6E2B">
      <w:pPr>
        <w:pStyle w:val="Heading3"/>
      </w:pPr>
      <w:r>
        <w:t>There are no</w:t>
      </w:r>
      <w:r w:rsidR="005D7893" w:rsidRPr="00087AC2">
        <w:t xml:space="preserve"> data for best supportive care</w:t>
      </w:r>
    </w:p>
    <w:p w14:paraId="7FCDED96" w14:textId="58A4536C" w:rsidR="005D7893" w:rsidRDefault="002616A3" w:rsidP="00087AC2">
      <w:pPr>
        <w:pStyle w:val="Numberedlevel2text"/>
      </w:pPr>
      <w:r w:rsidRPr="00087AC2">
        <w:t>The</w:t>
      </w:r>
      <w:r>
        <w:t xml:space="preserve"> committee recognised that the company did not provide a source of data to describe the natural history of disease in patients </w:t>
      </w:r>
      <w:r w:rsidR="008044AC">
        <w:rPr>
          <w:lang w:val="en-GB"/>
        </w:rPr>
        <w:t>having</w:t>
      </w:r>
      <w:r w:rsidR="00CE73A4">
        <w:t xml:space="preserve"> </w:t>
      </w:r>
      <w:r w:rsidR="00087AC2">
        <w:t xml:space="preserve">best supportive care. </w:t>
      </w:r>
      <w:r>
        <w:t xml:space="preserve">The committee </w:t>
      </w:r>
      <w:r w:rsidR="004E6CC6">
        <w:rPr>
          <w:lang w:val="en-GB"/>
        </w:rPr>
        <w:t>asked</w:t>
      </w:r>
      <w:r w:rsidR="004E6CC6">
        <w:t xml:space="preserve"> </w:t>
      </w:r>
      <w:r>
        <w:t>the company whether the HMRN cohort could provide this, or whether clinical trial data were available from control arms of clinical trials of chemotherapy. The committee concluded that the company had not explored this</w:t>
      </w:r>
      <w:r w:rsidR="00162D71">
        <w:rPr>
          <w:lang w:val="en-GB"/>
        </w:rPr>
        <w:t xml:space="preserve">, but that this would be </w:t>
      </w:r>
      <w:r w:rsidR="00330BEF">
        <w:rPr>
          <w:lang w:val="en-GB"/>
        </w:rPr>
        <w:t xml:space="preserve">needed </w:t>
      </w:r>
      <w:r w:rsidR="00162D71">
        <w:rPr>
          <w:lang w:val="en-GB"/>
        </w:rPr>
        <w:t>to make a comparison with best supportive care.</w:t>
      </w:r>
    </w:p>
    <w:p w14:paraId="158BE89E" w14:textId="7DB0036D" w:rsidR="008E505C" w:rsidRDefault="008E505C" w:rsidP="008E505C">
      <w:pPr>
        <w:pStyle w:val="Heading3"/>
      </w:pPr>
      <w:r>
        <w:t>The current analyses do not represent a reliable source of comparator information</w:t>
      </w:r>
    </w:p>
    <w:p w14:paraId="3367C3B3" w14:textId="0EFCFD0F" w:rsidR="008E505C" w:rsidRPr="00854B5B" w:rsidRDefault="008E505C" w:rsidP="008E505C">
      <w:pPr>
        <w:pStyle w:val="Numberedlevel2text"/>
        <w:numPr>
          <w:ilvl w:val="1"/>
          <w:numId w:val="1"/>
        </w:numPr>
      </w:pPr>
      <w:r>
        <w:rPr>
          <w:lang w:val="en-GB"/>
        </w:rPr>
        <w:t>The committee considered that there was high degree of clinical uncertainty in the evidence base</w:t>
      </w:r>
      <w:r w:rsidR="003C7E7C">
        <w:rPr>
          <w:lang w:val="en-GB"/>
        </w:rPr>
        <w:t xml:space="preserve"> because the company had not provide</w:t>
      </w:r>
      <w:r w:rsidR="00692D4F">
        <w:rPr>
          <w:lang w:val="en-GB"/>
        </w:rPr>
        <w:t>d</w:t>
      </w:r>
      <w:r w:rsidR="003C7E7C">
        <w:rPr>
          <w:lang w:val="en-GB"/>
        </w:rPr>
        <w:t xml:space="preserve"> direct</w:t>
      </w:r>
      <w:r w:rsidRPr="009D6ED8">
        <w:t xml:space="preserve"> comparative evidence </w:t>
      </w:r>
      <w:r w:rsidR="003C7E7C">
        <w:rPr>
          <w:lang w:val="en-GB"/>
        </w:rPr>
        <w:t>and</w:t>
      </w:r>
      <w:r w:rsidR="00C61E0E">
        <w:rPr>
          <w:lang w:val="en-GB"/>
        </w:rPr>
        <w:t xml:space="preserve"> t</w:t>
      </w:r>
      <w:r>
        <w:rPr>
          <w:lang w:val="en-GB"/>
        </w:rPr>
        <w:t>he 2</w:t>
      </w:r>
      <w:r w:rsidR="003C7E7C">
        <w:rPr>
          <w:lang w:val="en-GB"/>
        </w:rPr>
        <w:t> </w:t>
      </w:r>
      <w:r w:rsidR="00C61E0E">
        <w:rPr>
          <w:lang w:val="en-GB"/>
        </w:rPr>
        <w:t xml:space="preserve">analyses </w:t>
      </w:r>
      <w:r>
        <w:rPr>
          <w:lang w:val="en-GB"/>
        </w:rPr>
        <w:t>compar</w:t>
      </w:r>
      <w:r w:rsidR="003C7E7C">
        <w:rPr>
          <w:lang w:val="en-GB"/>
        </w:rPr>
        <w:t>ing</w:t>
      </w:r>
      <w:r>
        <w:rPr>
          <w:lang w:val="en-GB"/>
        </w:rPr>
        <w:t xml:space="preserve"> idelalisib with standard of care </w:t>
      </w:r>
      <w:r w:rsidR="00C61E0E">
        <w:rPr>
          <w:lang w:val="en-GB"/>
        </w:rPr>
        <w:t xml:space="preserve">were not suitable for decision-making. </w:t>
      </w:r>
      <w:r w:rsidRPr="00911112">
        <w:t xml:space="preserve">The committee queried the company at the meeting as to whether other observational data for idelalisib exists globally, </w:t>
      </w:r>
      <w:r w:rsidR="00C61E0E">
        <w:rPr>
          <w:lang w:val="en-GB"/>
        </w:rPr>
        <w:t xml:space="preserve">and understood that such data might exist from CUPs in other countries. </w:t>
      </w:r>
      <w:r>
        <w:rPr>
          <w:lang w:val="en-GB"/>
        </w:rPr>
        <w:t xml:space="preserve">The committee discussed how the </w:t>
      </w:r>
      <w:r w:rsidR="00DA71A0">
        <w:rPr>
          <w:lang w:val="en-GB"/>
        </w:rPr>
        <w:t>evidence</w:t>
      </w:r>
      <w:r>
        <w:rPr>
          <w:lang w:val="en-GB"/>
        </w:rPr>
        <w:t xml:space="preserve"> could be improved</w:t>
      </w:r>
      <w:r w:rsidR="004D7B38">
        <w:rPr>
          <w:lang w:val="en-GB"/>
        </w:rPr>
        <w:t xml:space="preserve"> by</w:t>
      </w:r>
      <w:r>
        <w:rPr>
          <w:lang w:val="en-GB"/>
        </w:rPr>
        <w:t>:</w:t>
      </w:r>
    </w:p>
    <w:p w14:paraId="0429492E" w14:textId="2D43C791" w:rsidR="00DF38B4" w:rsidRPr="008016D0" w:rsidRDefault="00DF38B4" w:rsidP="00DF38B4">
      <w:pPr>
        <w:pStyle w:val="Bulletindent1"/>
      </w:pPr>
      <w:r>
        <w:rPr>
          <w:lang w:val="en-GB"/>
        </w:rPr>
        <w:t>considering better (larger, better characterised) populations from other registries</w:t>
      </w:r>
      <w:r w:rsidR="00496F04">
        <w:rPr>
          <w:lang w:val="en-GB"/>
        </w:rPr>
        <w:t xml:space="preserve"> and updated data from the HMRN registry</w:t>
      </w:r>
    </w:p>
    <w:p w14:paraId="2ECB7CC0" w14:textId="0B9B4320" w:rsidR="008E505C" w:rsidRPr="00854B5B" w:rsidRDefault="004D7B38" w:rsidP="008E505C">
      <w:pPr>
        <w:pStyle w:val="Bulletindent1"/>
      </w:pPr>
      <w:r>
        <w:rPr>
          <w:lang w:val="en-GB"/>
        </w:rPr>
        <w:t>redoing the analyses</w:t>
      </w:r>
      <w:r w:rsidR="008E505C">
        <w:rPr>
          <w:lang w:val="en-GB"/>
        </w:rPr>
        <w:t xml:space="preserve"> using the DELTA population as the source of individual patient data</w:t>
      </w:r>
      <w:r>
        <w:rPr>
          <w:lang w:val="en-GB"/>
        </w:rPr>
        <w:t>,</w:t>
      </w:r>
      <w:r w:rsidR="008E505C">
        <w:rPr>
          <w:lang w:val="en-GB"/>
        </w:rPr>
        <w:t xml:space="preserve"> which</w:t>
      </w:r>
      <w:r>
        <w:rPr>
          <w:lang w:val="en-GB"/>
        </w:rPr>
        <w:t xml:space="preserve"> would</w:t>
      </w:r>
      <w:r w:rsidR="008E505C">
        <w:rPr>
          <w:lang w:val="en-GB"/>
        </w:rPr>
        <w:t xml:space="preserve"> increase</w:t>
      </w:r>
      <w:r>
        <w:rPr>
          <w:lang w:val="en-GB"/>
        </w:rPr>
        <w:t xml:space="preserve"> the</w:t>
      </w:r>
      <w:r w:rsidR="008E505C">
        <w:rPr>
          <w:lang w:val="en-GB"/>
        </w:rPr>
        <w:t xml:space="preserve"> effective sample size and give less weight to individual patient</w:t>
      </w:r>
      <w:r>
        <w:rPr>
          <w:lang w:val="en-GB"/>
        </w:rPr>
        <w:t xml:space="preserve"> data</w:t>
      </w:r>
      <w:r w:rsidR="00C93D33">
        <w:rPr>
          <w:lang w:val="en-GB"/>
        </w:rPr>
        <w:t xml:space="preserve"> (see section 3.9)</w:t>
      </w:r>
    </w:p>
    <w:p w14:paraId="4F7D999B" w14:textId="01B93A86" w:rsidR="008E505C" w:rsidRPr="00854B5B" w:rsidRDefault="004D7B38" w:rsidP="00226F2C">
      <w:pPr>
        <w:pStyle w:val="Bulletindent1"/>
      </w:pPr>
      <w:r>
        <w:t xml:space="preserve">validating the </w:t>
      </w:r>
      <w:r w:rsidR="00FF57A1">
        <w:t xml:space="preserve">MAIC </w:t>
      </w:r>
      <w:r w:rsidR="008E505C">
        <w:t>against another dataset (</w:t>
      </w:r>
      <w:r>
        <w:t xml:space="preserve">the </w:t>
      </w:r>
      <w:r w:rsidR="008E505C">
        <w:t xml:space="preserve">CUP cohort or international data) to prove </w:t>
      </w:r>
      <w:r>
        <w:t xml:space="preserve">a </w:t>
      </w:r>
      <w:r w:rsidR="008E505C">
        <w:t>similar magnitude of the effect estimate and changes in it from adjustment</w:t>
      </w:r>
      <w:r w:rsidR="00FF57A1">
        <w:t xml:space="preserve">, that is, </w:t>
      </w:r>
      <w:r w:rsidR="00FF57A1">
        <w:rPr>
          <w:lang w:val="en-GB"/>
        </w:rPr>
        <w:t>estimating the effect of idelalisib in the other cohort (for example, the CUP cohort) and comparing that estimate with the observed effect of idelalisib in the cohort</w:t>
      </w:r>
    </w:p>
    <w:p w14:paraId="207AB091" w14:textId="5E6ADBF2" w:rsidR="008E505C" w:rsidRPr="00854B5B" w:rsidRDefault="004D7B38" w:rsidP="008E505C">
      <w:pPr>
        <w:pStyle w:val="Bulletindent1"/>
      </w:pPr>
      <w:r>
        <w:rPr>
          <w:lang w:val="en-GB"/>
        </w:rPr>
        <w:t>doing a s</w:t>
      </w:r>
      <w:r w:rsidR="008E505C">
        <w:rPr>
          <w:lang w:val="en-GB"/>
        </w:rPr>
        <w:t>ensitivity analysis on the number of matched characteristics</w:t>
      </w:r>
      <w:r w:rsidR="00C93D33">
        <w:rPr>
          <w:lang w:val="en-GB"/>
        </w:rPr>
        <w:t xml:space="preserve"> (see section 3.10)</w:t>
      </w:r>
    </w:p>
    <w:p w14:paraId="1DD47BAD" w14:textId="79660700" w:rsidR="008E505C" w:rsidRPr="00087AC2" w:rsidRDefault="004D7B38" w:rsidP="008E505C">
      <w:pPr>
        <w:pStyle w:val="Bulletindent1"/>
      </w:pPr>
      <w:r>
        <w:rPr>
          <w:lang w:val="en-GB"/>
        </w:rPr>
        <w:t>ca</w:t>
      </w:r>
      <w:r w:rsidR="008044AC">
        <w:rPr>
          <w:lang w:val="en-GB"/>
        </w:rPr>
        <w:t xml:space="preserve">rrying out </w:t>
      </w:r>
      <w:r w:rsidR="008044AC" w:rsidRPr="00854B5B">
        <w:t>propensity</w:t>
      </w:r>
      <w:r>
        <w:rPr>
          <w:lang w:val="en-GB"/>
        </w:rPr>
        <w:t>-</w:t>
      </w:r>
      <w:r w:rsidR="008E505C" w:rsidRPr="00854B5B">
        <w:t>score matching</w:t>
      </w:r>
      <w:r w:rsidR="008E505C">
        <w:rPr>
          <w:lang w:val="en-GB"/>
        </w:rPr>
        <w:t xml:space="preserve"> as an alternative to the matching adjustment, considering </w:t>
      </w:r>
      <w:r>
        <w:rPr>
          <w:lang w:val="en-GB"/>
        </w:rPr>
        <w:t xml:space="preserve">the </w:t>
      </w:r>
      <w:r w:rsidR="008E505C">
        <w:rPr>
          <w:lang w:val="en-GB"/>
        </w:rPr>
        <w:t>availability of both individual patient datasets</w:t>
      </w:r>
    </w:p>
    <w:p w14:paraId="4F7251B5" w14:textId="30A21CC3" w:rsidR="008044AC" w:rsidRPr="00087AC2" w:rsidRDefault="008044AC" w:rsidP="008044AC">
      <w:pPr>
        <w:pStyle w:val="Bulletindent1"/>
      </w:pPr>
      <w:r>
        <w:t>considering evidence from treatment arms of clinical trials used to establish the effectiveness of chemotherapy</w:t>
      </w:r>
      <w:r w:rsidR="00C93D33">
        <w:rPr>
          <w:lang w:val="en-GB"/>
        </w:rPr>
        <w:t xml:space="preserve"> (see section 3.12)</w:t>
      </w:r>
      <w:r>
        <w:t>.</w:t>
      </w:r>
    </w:p>
    <w:p w14:paraId="3F54B13A" w14:textId="7085D55F" w:rsidR="00626404" w:rsidRPr="00153242" w:rsidRDefault="00626404" w:rsidP="00626404">
      <w:pPr>
        <w:pStyle w:val="Heading2"/>
      </w:pPr>
      <w:r>
        <w:t>The company’s economic models</w:t>
      </w:r>
    </w:p>
    <w:p w14:paraId="2F1FD9B5" w14:textId="59578536" w:rsidR="00626404" w:rsidRDefault="00626404" w:rsidP="00626404">
      <w:pPr>
        <w:pStyle w:val="Heading3"/>
      </w:pPr>
      <w:r>
        <w:t xml:space="preserve">The model structures </w:t>
      </w:r>
      <w:r w:rsidR="00BF3C44">
        <w:t>a</w:t>
      </w:r>
      <w:r>
        <w:t>re appropriate for modelling</w:t>
      </w:r>
    </w:p>
    <w:p w14:paraId="73EFD436" w14:textId="1F8A3AF6" w:rsidR="00626404" w:rsidRPr="001A1F98" w:rsidRDefault="00626404" w:rsidP="00087AC2">
      <w:pPr>
        <w:pStyle w:val="Numberedlevel2text"/>
      </w:pPr>
      <w:r>
        <w:rPr>
          <w:lang w:val="en-GB"/>
        </w:rPr>
        <w:t xml:space="preserve">The </w:t>
      </w:r>
      <w:r w:rsidRPr="00087AC2">
        <w:t>company</w:t>
      </w:r>
      <w:r>
        <w:rPr>
          <w:lang w:val="en-GB"/>
        </w:rPr>
        <w:t xml:space="preserve"> presented 4</w:t>
      </w:r>
      <w:r w:rsidR="00BF3C44">
        <w:rPr>
          <w:lang w:val="en-GB"/>
        </w:rPr>
        <w:t> </w:t>
      </w:r>
      <w:r>
        <w:rPr>
          <w:lang w:val="en-GB"/>
        </w:rPr>
        <w:t xml:space="preserve">economic analyses using different model structures and sources </w:t>
      </w:r>
      <w:r w:rsidR="005A67D3">
        <w:rPr>
          <w:lang w:val="en-GB"/>
        </w:rPr>
        <w:t xml:space="preserve">of </w:t>
      </w:r>
      <w:r>
        <w:rPr>
          <w:lang w:val="en-GB"/>
        </w:rPr>
        <w:t xml:space="preserve">clinical </w:t>
      </w:r>
      <w:r w:rsidR="005A67D3">
        <w:rPr>
          <w:lang w:val="en-GB"/>
        </w:rPr>
        <w:t>data</w:t>
      </w:r>
      <w:r>
        <w:rPr>
          <w:lang w:val="en-GB"/>
        </w:rPr>
        <w:t xml:space="preserve">, </w:t>
      </w:r>
      <w:r w:rsidR="00BF3C44">
        <w:rPr>
          <w:lang w:val="en-GB"/>
        </w:rPr>
        <w:t xml:space="preserve">which </w:t>
      </w:r>
      <w:r>
        <w:rPr>
          <w:lang w:val="en-GB"/>
        </w:rPr>
        <w:t xml:space="preserve">are summarised in </w:t>
      </w:r>
      <w:r w:rsidR="00BF3C44">
        <w:rPr>
          <w:lang w:val="en-GB"/>
        </w:rPr>
        <w:t>table</w:t>
      </w:r>
      <w:r w:rsidR="00F20F62">
        <w:rPr>
          <w:lang w:val="en-GB"/>
        </w:rPr>
        <w:t> </w:t>
      </w:r>
      <w:r>
        <w:rPr>
          <w:lang w:val="en-GB"/>
        </w:rPr>
        <w:t>1.</w:t>
      </w:r>
    </w:p>
    <w:p w14:paraId="52AD0531" w14:textId="6C16A97C" w:rsidR="00626404" w:rsidRPr="00114130" w:rsidRDefault="00626404" w:rsidP="00626404">
      <w:pPr>
        <w:pStyle w:val="Heading3"/>
      </w:pPr>
      <w:r>
        <w:t>Table</w:t>
      </w:r>
      <w:r w:rsidR="00F20F62">
        <w:t> </w:t>
      </w:r>
      <w:r>
        <w:t>1 Summary of comparisons used in the economic modelling</w:t>
      </w:r>
    </w:p>
    <w:tbl>
      <w:tblPr>
        <w:tblStyle w:val="TableGrid"/>
        <w:tblW w:w="11431" w:type="dxa"/>
        <w:tblInd w:w="-1252" w:type="dxa"/>
        <w:tblLayout w:type="fixed"/>
        <w:tblLook w:val="0420" w:firstRow="1" w:lastRow="0" w:firstColumn="0" w:lastColumn="0" w:noHBand="0" w:noVBand="1"/>
      </w:tblPr>
      <w:tblGrid>
        <w:gridCol w:w="1673"/>
        <w:gridCol w:w="2432"/>
        <w:gridCol w:w="4785"/>
        <w:gridCol w:w="2541"/>
      </w:tblGrid>
      <w:tr w:rsidR="00626404" w:rsidRPr="00D020DB" w14:paraId="60C6D80B" w14:textId="77777777" w:rsidTr="00797F70">
        <w:trPr>
          <w:trHeight w:val="601"/>
        </w:trPr>
        <w:tc>
          <w:tcPr>
            <w:tcW w:w="1673" w:type="dxa"/>
            <w:hideMark/>
          </w:tcPr>
          <w:p w14:paraId="52AD0017" w14:textId="77777777" w:rsidR="00626404" w:rsidRPr="00D020DB" w:rsidRDefault="00626404" w:rsidP="00797F70">
            <w:pPr>
              <w:pStyle w:val="NormalWeb"/>
              <w:spacing w:before="0" w:beforeAutospacing="0" w:after="0" w:afterAutospacing="0"/>
              <w:rPr>
                <w:rFonts w:ascii="Arial" w:hAnsi="Arial" w:cs="Arial"/>
              </w:rPr>
            </w:pPr>
            <w:r w:rsidRPr="00D020DB">
              <w:rPr>
                <w:rFonts w:ascii="Arial" w:hAnsi="Arial" w:cs="Arial"/>
                <w:b/>
                <w:bCs/>
                <w:kern w:val="24"/>
              </w:rPr>
              <w:t>Comparison</w:t>
            </w:r>
          </w:p>
        </w:tc>
        <w:tc>
          <w:tcPr>
            <w:tcW w:w="2432" w:type="dxa"/>
            <w:hideMark/>
          </w:tcPr>
          <w:p w14:paraId="51E963A5" w14:textId="77777777" w:rsidR="00626404" w:rsidRPr="00D020DB" w:rsidRDefault="00626404" w:rsidP="00797F70">
            <w:pPr>
              <w:pStyle w:val="NormalWeb"/>
              <w:spacing w:before="0" w:beforeAutospacing="0" w:after="0" w:afterAutospacing="0"/>
              <w:rPr>
                <w:rFonts w:ascii="Arial" w:hAnsi="Arial" w:cs="Arial"/>
              </w:rPr>
            </w:pPr>
            <w:r w:rsidRPr="00D020DB">
              <w:rPr>
                <w:rFonts w:ascii="Arial" w:hAnsi="Arial" w:cs="Arial"/>
                <w:b/>
                <w:bCs/>
                <w:kern w:val="24"/>
              </w:rPr>
              <w:t>Idelalisib data source</w:t>
            </w:r>
          </w:p>
        </w:tc>
        <w:tc>
          <w:tcPr>
            <w:tcW w:w="4785" w:type="dxa"/>
            <w:hideMark/>
          </w:tcPr>
          <w:p w14:paraId="01A0A35C" w14:textId="77777777" w:rsidR="00626404" w:rsidRPr="00D020DB" w:rsidRDefault="00626404" w:rsidP="00797F70">
            <w:pPr>
              <w:pStyle w:val="NormalWeb"/>
              <w:spacing w:before="0" w:beforeAutospacing="0" w:after="0" w:afterAutospacing="0"/>
              <w:rPr>
                <w:rFonts w:ascii="Arial" w:hAnsi="Arial" w:cs="Arial"/>
              </w:rPr>
            </w:pPr>
            <w:r w:rsidRPr="00D020DB">
              <w:rPr>
                <w:rFonts w:ascii="Arial" w:hAnsi="Arial" w:cs="Arial"/>
                <w:b/>
                <w:bCs/>
                <w:kern w:val="24"/>
              </w:rPr>
              <w:t>Comparator data source</w:t>
            </w:r>
          </w:p>
        </w:tc>
        <w:tc>
          <w:tcPr>
            <w:tcW w:w="2541" w:type="dxa"/>
            <w:hideMark/>
          </w:tcPr>
          <w:p w14:paraId="0AA7C1EA" w14:textId="77777777" w:rsidR="00626404" w:rsidRPr="00D020DB" w:rsidRDefault="00626404" w:rsidP="00797F70">
            <w:pPr>
              <w:pStyle w:val="NormalWeb"/>
              <w:spacing w:before="0" w:beforeAutospacing="0" w:after="0" w:afterAutospacing="0"/>
              <w:rPr>
                <w:rFonts w:ascii="Arial" w:hAnsi="Arial" w:cs="Arial"/>
              </w:rPr>
            </w:pPr>
            <w:r w:rsidRPr="00D020DB">
              <w:rPr>
                <w:rFonts w:ascii="Arial" w:hAnsi="Arial" w:cs="Arial"/>
                <w:b/>
                <w:bCs/>
                <w:kern w:val="24"/>
              </w:rPr>
              <w:t>Model type</w:t>
            </w:r>
          </w:p>
        </w:tc>
      </w:tr>
      <w:tr w:rsidR="00626404" w:rsidRPr="00D020DB" w14:paraId="56CFD1A1" w14:textId="77777777" w:rsidTr="00797F70">
        <w:trPr>
          <w:trHeight w:val="601"/>
        </w:trPr>
        <w:tc>
          <w:tcPr>
            <w:tcW w:w="1673" w:type="dxa"/>
            <w:hideMark/>
          </w:tcPr>
          <w:p w14:paraId="475AFF84" w14:textId="77777777" w:rsidR="00626404" w:rsidRPr="00D020DB" w:rsidRDefault="00626404" w:rsidP="00797F70">
            <w:pPr>
              <w:pStyle w:val="NormalWeb"/>
              <w:spacing w:before="0" w:beforeAutospacing="0" w:after="0" w:afterAutospacing="0"/>
              <w:rPr>
                <w:rFonts w:ascii="Arial" w:hAnsi="Arial" w:cs="Arial"/>
              </w:rPr>
            </w:pPr>
            <w:r w:rsidRPr="00D020DB">
              <w:rPr>
                <w:rFonts w:ascii="Arial" w:hAnsi="Arial" w:cs="Arial"/>
                <w:kern w:val="24"/>
              </w:rPr>
              <w:t>A (company base case)</w:t>
            </w:r>
          </w:p>
        </w:tc>
        <w:tc>
          <w:tcPr>
            <w:tcW w:w="2432" w:type="dxa"/>
            <w:hideMark/>
          </w:tcPr>
          <w:p w14:paraId="09094120" w14:textId="77777777" w:rsidR="00626404" w:rsidRPr="00D020DB" w:rsidRDefault="00626404" w:rsidP="00797F70">
            <w:pPr>
              <w:pStyle w:val="NormalWeb"/>
              <w:spacing w:before="0" w:beforeAutospacing="0" w:after="0" w:afterAutospacing="0"/>
              <w:rPr>
                <w:rFonts w:ascii="Arial" w:hAnsi="Arial" w:cs="Arial"/>
              </w:rPr>
            </w:pPr>
            <w:r w:rsidRPr="00D020DB">
              <w:rPr>
                <w:rFonts w:ascii="Arial" w:hAnsi="Arial" w:cs="Arial"/>
                <w:kern w:val="24"/>
              </w:rPr>
              <w:t>DELTA</w:t>
            </w:r>
          </w:p>
        </w:tc>
        <w:tc>
          <w:tcPr>
            <w:tcW w:w="4785" w:type="dxa"/>
            <w:hideMark/>
          </w:tcPr>
          <w:p w14:paraId="431417C1" w14:textId="3C70D9CE" w:rsidR="00626404" w:rsidRPr="00D020DB" w:rsidRDefault="00626404" w:rsidP="0008043A">
            <w:pPr>
              <w:pStyle w:val="NormalWeb"/>
              <w:spacing w:before="0" w:beforeAutospacing="0" w:after="0" w:afterAutospacing="0"/>
              <w:rPr>
                <w:rFonts w:ascii="Arial" w:hAnsi="Arial" w:cs="Arial"/>
              </w:rPr>
            </w:pPr>
            <w:r w:rsidRPr="00D020DB">
              <w:rPr>
                <w:rFonts w:ascii="Arial" w:hAnsi="Arial" w:cs="Arial"/>
                <w:kern w:val="24"/>
              </w:rPr>
              <w:t>Chemotherapy: DELTA data from ‘</w:t>
            </w:r>
            <w:r w:rsidR="0008043A">
              <w:rPr>
                <w:rFonts w:ascii="Arial" w:hAnsi="Arial" w:cs="Arial"/>
                <w:kern w:val="24"/>
              </w:rPr>
              <w:t>self-control</w:t>
            </w:r>
            <w:r w:rsidRPr="00D020DB">
              <w:rPr>
                <w:rFonts w:ascii="Arial" w:hAnsi="Arial" w:cs="Arial"/>
                <w:kern w:val="24"/>
              </w:rPr>
              <w:t>’ previous line of treatment as a proxy for current chemotherapy</w:t>
            </w:r>
          </w:p>
        </w:tc>
        <w:tc>
          <w:tcPr>
            <w:tcW w:w="2541" w:type="dxa"/>
            <w:hideMark/>
          </w:tcPr>
          <w:p w14:paraId="74E02A9D" w14:textId="77777777" w:rsidR="00626404" w:rsidRPr="00D020DB" w:rsidRDefault="00626404" w:rsidP="00797F70">
            <w:pPr>
              <w:pStyle w:val="NormalWeb"/>
              <w:spacing w:before="0" w:beforeAutospacing="0" w:after="0" w:afterAutospacing="0"/>
              <w:rPr>
                <w:rFonts w:ascii="Arial" w:hAnsi="Arial" w:cs="Arial"/>
              </w:rPr>
            </w:pPr>
            <w:r w:rsidRPr="00D020DB">
              <w:rPr>
                <w:rFonts w:ascii="Arial" w:hAnsi="Arial" w:cs="Arial"/>
                <w:kern w:val="24"/>
              </w:rPr>
              <w:t>Markov cohort – state transition</w:t>
            </w:r>
          </w:p>
        </w:tc>
      </w:tr>
      <w:tr w:rsidR="00626404" w:rsidRPr="00D020DB" w14:paraId="27E5DF19" w14:textId="77777777" w:rsidTr="00797F70">
        <w:trPr>
          <w:trHeight w:val="601"/>
        </w:trPr>
        <w:tc>
          <w:tcPr>
            <w:tcW w:w="1673" w:type="dxa"/>
            <w:hideMark/>
          </w:tcPr>
          <w:p w14:paraId="7DA9EC6B" w14:textId="77777777" w:rsidR="00626404" w:rsidRPr="00D020DB" w:rsidRDefault="00626404" w:rsidP="00797F70">
            <w:pPr>
              <w:pStyle w:val="NormalWeb"/>
              <w:spacing w:before="0" w:beforeAutospacing="0" w:after="0" w:afterAutospacing="0"/>
              <w:rPr>
                <w:rFonts w:ascii="Arial" w:hAnsi="Arial" w:cs="Arial"/>
              </w:rPr>
            </w:pPr>
            <w:r w:rsidRPr="00D020DB">
              <w:rPr>
                <w:rFonts w:ascii="Arial" w:hAnsi="Arial" w:cs="Arial"/>
                <w:kern w:val="24"/>
              </w:rPr>
              <w:t>B</w:t>
            </w:r>
          </w:p>
        </w:tc>
        <w:tc>
          <w:tcPr>
            <w:tcW w:w="2432" w:type="dxa"/>
            <w:hideMark/>
          </w:tcPr>
          <w:p w14:paraId="7ADFCA64" w14:textId="77777777" w:rsidR="00626404" w:rsidRPr="00D020DB" w:rsidRDefault="00626404" w:rsidP="00797F70">
            <w:pPr>
              <w:pStyle w:val="NormalWeb"/>
              <w:spacing w:before="0" w:beforeAutospacing="0" w:after="0" w:afterAutospacing="0"/>
              <w:rPr>
                <w:rFonts w:ascii="Arial" w:hAnsi="Arial" w:cs="Arial"/>
              </w:rPr>
            </w:pPr>
            <w:r w:rsidRPr="00D020DB">
              <w:rPr>
                <w:rFonts w:ascii="Arial" w:hAnsi="Arial" w:cs="Arial"/>
                <w:kern w:val="24"/>
              </w:rPr>
              <w:t>DELTA</w:t>
            </w:r>
          </w:p>
        </w:tc>
        <w:tc>
          <w:tcPr>
            <w:tcW w:w="4785" w:type="dxa"/>
            <w:hideMark/>
          </w:tcPr>
          <w:p w14:paraId="7664528A" w14:textId="1D2DDD5E" w:rsidR="00626404" w:rsidRPr="00D020DB" w:rsidRDefault="00626404" w:rsidP="00797F70">
            <w:pPr>
              <w:pStyle w:val="NormalWeb"/>
              <w:spacing w:before="0" w:beforeAutospacing="0" w:after="0" w:afterAutospacing="0"/>
              <w:rPr>
                <w:rFonts w:ascii="Arial" w:hAnsi="Arial" w:cs="Arial"/>
              </w:rPr>
            </w:pPr>
            <w:r w:rsidRPr="00D020DB">
              <w:rPr>
                <w:rFonts w:ascii="Arial" w:hAnsi="Arial" w:cs="Arial"/>
                <w:kern w:val="24"/>
              </w:rPr>
              <w:t xml:space="preserve">Chemotherapy: Matching adjusted survival data from chemotherapy regimens of </w:t>
            </w:r>
            <w:r w:rsidR="00BF3C44">
              <w:rPr>
                <w:rFonts w:ascii="Arial" w:hAnsi="Arial" w:cs="Arial"/>
                <w:kern w:val="24"/>
              </w:rPr>
              <w:t xml:space="preserve">the </w:t>
            </w:r>
            <w:r w:rsidRPr="00D020DB">
              <w:rPr>
                <w:rFonts w:ascii="Arial" w:hAnsi="Arial" w:cs="Arial"/>
                <w:kern w:val="24"/>
              </w:rPr>
              <w:t>HMRN cohort</w:t>
            </w:r>
          </w:p>
        </w:tc>
        <w:tc>
          <w:tcPr>
            <w:tcW w:w="2541" w:type="dxa"/>
            <w:hideMark/>
          </w:tcPr>
          <w:p w14:paraId="01BF6DD9" w14:textId="77777777" w:rsidR="00626404" w:rsidRPr="00D020DB" w:rsidRDefault="00626404" w:rsidP="00797F70">
            <w:pPr>
              <w:pStyle w:val="NormalWeb"/>
              <w:spacing w:before="0" w:beforeAutospacing="0" w:after="0" w:afterAutospacing="0"/>
              <w:rPr>
                <w:rFonts w:ascii="Arial" w:hAnsi="Arial" w:cs="Arial"/>
              </w:rPr>
            </w:pPr>
            <w:r w:rsidRPr="00D020DB">
              <w:rPr>
                <w:rFonts w:ascii="Arial" w:hAnsi="Arial" w:cs="Arial"/>
                <w:kern w:val="24"/>
              </w:rPr>
              <w:t>Partitioned survival model</w:t>
            </w:r>
          </w:p>
        </w:tc>
      </w:tr>
      <w:tr w:rsidR="00626404" w:rsidRPr="00D020DB" w14:paraId="638B042D" w14:textId="77777777" w:rsidTr="00797F70">
        <w:trPr>
          <w:trHeight w:val="601"/>
        </w:trPr>
        <w:tc>
          <w:tcPr>
            <w:tcW w:w="1673" w:type="dxa"/>
            <w:hideMark/>
          </w:tcPr>
          <w:p w14:paraId="38AC7D94" w14:textId="77777777" w:rsidR="00626404" w:rsidRPr="00D020DB" w:rsidRDefault="00626404" w:rsidP="00797F70">
            <w:pPr>
              <w:pStyle w:val="NormalWeb"/>
              <w:spacing w:before="0" w:beforeAutospacing="0" w:after="0" w:afterAutospacing="0"/>
              <w:rPr>
                <w:rFonts w:ascii="Arial" w:hAnsi="Arial" w:cs="Arial"/>
              </w:rPr>
            </w:pPr>
            <w:r w:rsidRPr="00D020DB">
              <w:rPr>
                <w:rFonts w:ascii="Arial" w:hAnsi="Arial" w:cs="Arial"/>
                <w:kern w:val="24"/>
              </w:rPr>
              <w:t>C</w:t>
            </w:r>
          </w:p>
        </w:tc>
        <w:tc>
          <w:tcPr>
            <w:tcW w:w="2432" w:type="dxa"/>
            <w:hideMark/>
          </w:tcPr>
          <w:p w14:paraId="4C5A69C9" w14:textId="50609312" w:rsidR="00626404" w:rsidRPr="00D020DB" w:rsidRDefault="00626404" w:rsidP="00755876">
            <w:pPr>
              <w:pStyle w:val="NormalWeb"/>
              <w:spacing w:before="0" w:beforeAutospacing="0" w:after="0" w:afterAutospacing="0"/>
              <w:rPr>
                <w:rFonts w:ascii="Arial" w:hAnsi="Arial" w:cs="Arial"/>
              </w:rPr>
            </w:pPr>
            <w:r w:rsidRPr="00D020DB">
              <w:rPr>
                <w:rFonts w:ascii="Arial" w:hAnsi="Arial" w:cs="Arial"/>
                <w:kern w:val="24"/>
              </w:rPr>
              <w:t xml:space="preserve">Data from </w:t>
            </w:r>
            <w:r w:rsidR="00BF3C44">
              <w:rPr>
                <w:rFonts w:ascii="Arial" w:hAnsi="Arial" w:cs="Arial"/>
                <w:kern w:val="24"/>
              </w:rPr>
              <w:t xml:space="preserve">the </w:t>
            </w:r>
            <w:r w:rsidRPr="00D020DB">
              <w:rPr>
                <w:rFonts w:ascii="Arial" w:hAnsi="Arial" w:cs="Arial"/>
                <w:kern w:val="24"/>
              </w:rPr>
              <w:t xml:space="preserve">CUP cohort and DELTA </w:t>
            </w:r>
          </w:p>
        </w:tc>
        <w:tc>
          <w:tcPr>
            <w:tcW w:w="4785" w:type="dxa"/>
            <w:hideMark/>
          </w:tcPr>
          <w:p w14:paraId="439927C0" w14:textId="39852681" w:rsidR="00626404" w:rsidRPr="00D020DB" w:rsidRDefault="00626404">
            <w:pPr>
              <w:pStyle w:val="NormalWeb"/>
              <w:spacing w:before="0" w:beforeAutospacing="0" w:after="0" w:afterAutospacing="0"/>
              <w:rPr>
                <w:rFonts w:ascii="Arial" w:hAnsi="Arial" w:cs="Arial"/>
              </w:rPr>
            </w:pPr>
            <w:r w:rsidRPr="00D020DB">
              <w:rPr>
                <w:rFonts w:ascii="Arial" w:hAnsi="Arial" w:cs="Arial"/>
                <w:kern w:val="24"/>
              </w:rPr>
              <w:t>Chemotherapy</w:t>
            </w:r>
            <w:r w:rsidR="00755876">
              <w:rPr>
                <w:rFonts w:ascii="Arial" w:hAnsi="Arial" w:cs="Arial"/>
                <w:kern w:val="24"/>
              </w:rPr>
              <w:t>:</w:t>
            </w:r>
            <w:r w:rsidRPr="00D020DB">
              <w:rPr>
                <w:rFonts w:ascii="Arial" w:hAnsi="Arial" w:cs="Arial"/>
                <w:kern w:val="24"/>
              </w:rPr>
              <w:t xml:space="preserve"> Time</w:t>
            </w:r>
            <w:r w:rsidR="00BF3C44">
              <w:rPr>
                <w:rFonts w:ascii="Arial" w:hAnsi="Arial" w:cs="Arial"/>
                <w:kern w:val="24"/>
              </w:rPr>
              <w:t>-</w:t>
            </w:r>
            <w:r w:rsidRPr="00D020DB">
              <w:rPr>
                <w:rFonts w:ascii="Arial" w:hAnsi="Arial" w:cs="Arial"/>
                <w:kern w:val="24"/>
              </w:rPr>
              <w:t>to</w:t>
            </w:r>
            <w:r w:rsidR="00BF3C44">
              <w:rPr>
                <w:rFonts w:ascii="Arial" w:hAnsi="Arial" w:cs="Arial"/>
                <w:kern w:val="24"/>
              </w:rPr>
              <w:t>-</w:t>
            </w:r>
            <w:r w:rsidRPr="00D020DB">
              <w:rPr>
                <w:rFonts w:ascii="Arial" w:hAnsi="Arial" w:cs="Arial"/>
                <w:kern w:val="24"/>
              </w:rPr>
              <w:t>progression data from ‘</w:t>
            </w:r>
            <w:r w:rsidR="0008043A">
              <w:rPr>
                <w:rFonts w:ascii="Arial" w:hAnsi="Arial" w:cs="Arial"/>
                <w:kern w:val="24"/>
              </w:rPr>
              <w:t>self-control</w:t>
            </w:r>
            <w:r w:rsidRPr="00D020DB">
              <w:rPr>
                <w:rFonts w:ascii="Arial" w:hAnsi="Arial" w:cs="Arial"/>
                <w:kern w:val="24"/>
              </w:rPr>
              <w:t>’ previous line of treatment as a proxy for current chemotherapy</w:t>
            </w:r>
          </w:p>
        </w:tc>
        <w:tc>
          <w:tcPr>
            <w:tcW w:w="2541" w:type="dxa"/>
            <w:hideMark/>
          </w:tcPr>
          <w:p w14:paraId="6596C185" w14:textId="77777777" w:rsidR="00626404" w:rsidRPr="00D020DB" w:rsidRDefault="00626404" w:rsidP="00797F70">
            <w:pPr>
              <w:pStyle w:val="NormalWeb"/>
              <w:spacing w:before="0" w:beforeAutospacing="0" w:after="0" w:afterAutospacing="0"/>
              <w:rPr>
                <w:rFonts w:ascii="Arial" w:hAnsi="Arial" w:cs="Arial"/>
              </w:rPr>
            </w:pPr>
            <w:r w:rsidRPr="00D020DB">
              <w:rPr>
                <w:rFonts w:ascii="Arial" w:hAnsi="Arial" w:cs="Arial"/>
                <w:kern w:val="24"/>
              </w:rPr>
              <w:t>Markov cohort – state transition</w:t>
            </w:r>
          </w:p>
        </w:tc>
      </w:tr>
      <w:tr w:rsidR="00626404" w:rsidRPr="00D020DB" w14:paraId="03CBAE4E" w14:textId="77777777" w:rsidTr="00797F70">
        <w:trPr>
          <w:trHeight w:val="601"/>
        </w:trPr>
        <w:tc>
          <w:tcPr>
            <w:tcW w:w="1673" w:type="dxa"/>
            <w:hideMark/>
          </w:tcPr>
          <w:p w14:paraId="672C0BA9" w14:textId="77777777" w:rsidR="00626404" w:rsidRPr="00D020DB" w:rsidRDefault="00626404" w:rsidP="00797F70">
            <w:pPr>
              <w:pStyle w:val="NormalWeb"/>
              <w:spacing w:before="0" w:beforeAutospacing="0" w:after="0" w:afterAutospacing="0"/>
              <w:rPr>
                <w:rFonts w:ascii="Arial" w:hAnsi="Arial" w:cs="Arial"/>
              </w:rPr>
            </w:pPr>
            <w:r w:rsidRPr="00D020DB">
              <w:rPr>
                <w:rFonts w:ascii="Arial" w:hAnsi="Arial" w:cs="Arial"/>
                <w:kern w:val="24"/>
              </w:rPr>
              <w:t>D</w:t>
            </w:r>
          </w:p>
        </w:tc>
        <w:tc>
          <w:tcPr>
            <w:tcW w:w="2432" w:type="dxa"/>
            <w:hideMark/>
          </w:tcPr>
          <w:p w14:paraId="1FC84004" w14:textId="77777777" w:rsidR="00626404" w:rsidRPr="00D020DB" w:rsidRDefault="00626404" w:rsidP="00797F70">
            <w:pPr>
              <w:pStyle w:val="NormalWeb"/>
              <w:spacing w:before="0" w:beforeAutospacing="0" w:after="0" w:afterAutospacing="0"/>
              <w:rPr>
                <w:rFonts w:ascii="Arial" w:hAnsi="Arial" w:cs="Arial"/>
              </w:rPr>
            </w:pPr>
            <w:r w:rsidRPr="00D020DB">
              <w:rPr>
                <w:rFonts w:ascii="Arial" w:hAnsi="Arial" w:cs="Arial"/>
                <w:kern w:val="24"/>
              </w:rPr>
              <w:t>DELTA</w:t>
            </w:r>
          </w:p>
        </w:tc>
        <w:tc>
          <w:tcPr>
            <w:tcW w:w="4785" w:type="dxa"/>
            <w:hideMark/>
          </w:tcPr>
          <w:p w14:paraId="604CA953" w14:textId="77777777" w:rsidR="00626404" w:rsidRPr="00D020DB" w:rsidRDefault="00626404" w:rsidP="00797F70">
            <w:pPr>
              <w:pStyle w:val="NormalWeb"/>
              <w:spacing w:before="0" w:beforeAutospacing="0" w:after="0" w:afterAutospacing="0"/>
              <w:rPr>
                <w:rFonts w:ascii="Arial" w:hAnsi="Arial" w:cs="Arial"/>
              </w:rPr>
            </w:pPr>
            <w:r w:rsidRPr="00D020DB">
              <w:rPr>
                <w:rFonts w:ascii="Arial" w:hAnsi="Arial" w:cs="Arial"/>
                <w:kern w:val="24"/>
              </w:rPr>
              <w:t>Best supportive care: No treatment costs because company assumes instant disease progression</w:t>
            </w:r>
          </w:p>
        </w:tc>
        <w:tc>
          <w:tcPr>
            <w:tcW w:w="2541" w:type="dxa"/>
            <w:hideMark/>
          </w:tcPr>
          <w:p w14:paraId="7808C71D" w14:textId="77777777" w:rsidR="00626404" w:rsidRPr="00D020DB" w:rsidRDefault="00626404" w:rsidP="00797F70">
            <w:pPr>
              <w:pStyle w:val="NormalWeb"/>
              <w:spacing w:before="0" w:beforeAutospacing="0" w:after="0" w:afterAutospacing="0"/>
              <w:rPr>
                <w:rFonts w:ascii="Arial" w:hAnsi="Arial" w:cs="Arial"/>
              </w:rPr>
            </w:pPr>
            <w:r w:rsidRPr="00D020DB">
              <w:rPr>
                <w:rFonts w:ascii="Arial" w:hAnsi="Arial" w:cs="Arial"/>
                <w:kern w:val="24"/>
              </w:rPr>
              <w:t>Markov cohort – state transition</w:t>
            </w:r>
          </w:p>
        </w:tc>
      </w:tr>
      <w:tr w:rsidR="00BF3C44" w:rsidRPr="00D020DB" w14:paraId="5BCE7972" w14:textId="77777777" w:rsidTr="00755876">
        <w:trPr>
          <w:trHeight w:val="289"/>
        </w:trPr>
        <w:tc>
          <w:tcPr>
            <w:tcW w:w="11431" w:type="dxa"/>
            <w:gridSpan w:val="4"/>
          </w:tcPr>
          <w:p w14:paraId="580BE7F5" w14:textId="20253A42" w:rsidR="00BF3C44" w:rsidRPr="00D020DB" w:rsidRDefault="00BF3C44" w:rsidP="00755876">
            <w:pPr>
              <w:pStyle w:val="Tabletext"/>
              <w:rPr>
                <w:rFonts w:cs="Arial"/>
                <w:kern w:val="24"/>
              </w:rPr>
            </w:pPr>
            <w:r>
              <w:rPr>
                <w:rFonts w:cs="Arial"/>
                <w:kern w:val="24"/>
              </w:rPr>
              <w:t xml:space="preserve">Abbreviation: HMRN, </w:t>
            </w:r>
            <w:r w:rsidRPr="00D8588E">
              <w:t>Haematological Malignancy Research Network</w:t>
            </w:r>
            <w:r>
              <w:t>.</w:t>
            </w:r>
          </w:p>
        </w:tc>
      </w:tr>
    </w:tbl>
    <w:p w14:paraId="11950D2C" w14:textId="77777777" w:rsidR="00162D71" w:rsidRDefault="00162D71" w:rsidP="00626404">
      <w:pPr>
        <w:pStyle w:val="NICEnormalindented"/>
      </w:pPr>
    </w:p>
    <w:p w14:paraId="37EAA919" w14:textId="0E91041E" w:rsidR="00626404" w:rsidRDefault="00692D4F" w:rsidP="00626404">
      <w:pPr>
        <w:pStyle w:val="NICEnormalindented"/>
      </w:pPr>
      <w:r>
        <w:t>C</w:t>
      </w:r>
      <w:r w:rsidR="00626404">
        <w:t>omparisons</w:t>
      </w:r>
      <w:r w:rsidR="00330BEF">
        <w:t> </w:t>
      </w:r>
      <w:r w:rsidR="00626404">
        <w:t>A, C</w:t>
      </w:r>
      <w:r w:rsidR="00330BEF">
        <w:t> </w:t>
      </w:r>
      <w:r w:rsidR="00626404">
        <w:t>and</w:t>
      </w:r>
      <w:r w:rsidR="00330BEF">
        <w:t> </w:t>
      </w:r>
      <w:r w:rsidR="00626404">
        <w:t>D reflected</w:t>
      </w:r>
      <w:r w:rsidR="00626404" w:rsidRPr="00F95959">
        <w:t xml:space="preserve"> </w:t>
      </w:r>
      <w:r w:rsidR="00626404">
        <w:t>state transition models in which the movements between states (clinical events) are governed by ‘transition probabilities’, and expected costs and quality-adjusted life years (QALYs) are estimated by assigning values to the time spent by patients in each state. Comparison</w:t>
      </w:r>
      <w:r w:rsidR="00330BEF">
        <w:t> </w:t>
      </w:r>
      <w:r w:rsidR="00626404">
        <w:t>B used the more conventional ‘partitioned survival analysis’ approach in which the proportion of patients in each state at each time point is determined</w:t>
      </w:r>
      <w:r w:rsidR="00626404" w:rsidRPr="008D2E74">
        <w:t xml:space="preserve"> from a set of survival curves</w:t>
      </w:r>
      <w:r w:rsidR="00626404">
        <w:t xml:space="preserve">, rather than transition probabilities. </w:t>
      </w:r>
      <w:r w:rsidR="00BF3C44">
        <w:t>For t</w:t>
      </w:r>
      <w:r w:rsidR="00626404">
        <w:t>his approach</w:t>
      </w:r>
      <w:r w:rsidR="00BF3C44">
        <w:t>,</w:t>
      </w:r>
      <w:r w:rsidR="00626404">
        <w:t xml:space="preserve"> an overall survival curve</w:t>
      </w:r>
      <w:r w:rsidR="00BF3C44">
        <w:t xml:space="preserve"> is needed</w:t>
      </w:r>
      <w:r w:rsidR="00626404">
        <w:t xml:space="preserve"> to estimate the proportion of people alive over time directly. This was </w:t>
      </w:r>
      <w:r w:rsidR="008D3991">
        <w:t>not available in comparisons</w:t>
      </w:r>
      <w:r w:rsidR="00330BEF">
        <w:t> </w:t>
      </w:r>
      <w:r w:rsidR="008D3991">
        <w:t>A and</w:t>
      </w:r>
      <w:r w:rsidR="00330BEF">
        <w:t> </w:t>
      </w:r>
      <w:r w:rsidR="008D3991">
        <w:t xml:space="preserve">C </w:t>
      </w:r>
      <w:r w:rsidR="00626404">
        <w:t xml:space="preserve">because the comparator data came from the </w:t>
      </w:r>
      <w:r w:rsidR="0008043A">
        <w:t>’self-control’</w:t>
      </w:r>
      <w:r w:rsidR="00626404">
        <w:t xml:space="preserve"> comparisons</w:t>
      </w:r>
      <w:r>
        <w:t xml:space="preserve"> that</w:t>
      </w:r>
      <w:r w:rsidR="00626404">
        <w:t>, by definition, excluded patients who had died.</w:t>
      </w:r>
      <w:r w:rsidR="009D44D7">
        <w:t xml:space="preserve"> </w:t>
      </w:r>
      <w:r w:rsidR="00626404">
        <w:t xml:space="preserve">The committee concluded that it was important to bear in mind the different modelling approaches used when comparing the resulting </w:t>
      </w:r>
      <w:r w:rsidR="00087AC2">
        <w:t>cost-effectiveness estimates.</w:t>
      </w:r>
    </w:p>
    <w:p w14:paraId="4065F7DA" w14:textId="6C57A7DC" w:rsidR="00626404" w:rsidRDefault="008A68FC" w:rsidP="00626404">
      <w:pPr>
        <w:pStyle w:val="Heading3"/>
      </w:pPr>
      <w:r>
        <w:t xml:space="preserve">One </w:t>
      </w:r>
      <w:r w:rsidR="00626404">
        <w:t xml:space="preserve">key area of uncertainty in the economic models </w:t>
      </w:r>
      <w:r>
        <w:t xml:space="preserve">is </w:t>
      </w:r>
      <w:r w:rsidR="009A12FD">
        <w:t xml:space="preserve">how </w:t>
      </w:r>
      <w:r w:rsidR="00CB38B0">
        <w:t xml:space="preserve">previous </w:t>
      </w:r>
      <w:r w:rsidR="009A12FD">
        <w:t xml:space="preserve">line chemotherapy effectiveness was adjusted </w:t>
      </w:r>
      <w:r w:rsidR="00CB38B0">
        <w:t>using a ‘hazard ratio’</w:t>
      </w:r>
    </w:p>
    <w:p w14:paraId="22460013" w14:textId="426396B8" w:rsidR="00056AD0" w:rsidRPr="00755876" w:rsidRDefault="00626404" w:rsidP="00056AD0">
      <w:pPr>
        <w:pStyle w:val="Numberedlevel2text"/>
        <w:numPr>
          <w:ilvl w:val="1"/>
          <w:numId w:val="1"/>
        </w:numPr>
      </w:pPr>
      <w:r w:rsidRPr="00056AD0">
        <w:rPr>
          <w:bCs w:val="0"/>
          <w:iCs w:val="0"/>
        </w:rPr>
        <w:t>In comparisons</w:t>
      </w:r>
      <w:r w:rsidR="00330BEF">
        <w:rPr>
          <w:bCs w:val="0"/>
          <w:iCs w:val="0"/>
          <w:lang w:val="en-GB"/>
        </w:rPr>
        <w:t> </w:t>
      </w:r>
      <w:r w:rsidRPr="00056AD0">
        <w:rPr>
          <w:bCs w:val="0"/>
          <w:iCs w:val="0"/>
        </w:rPr>
        <w:t>A and</w:t>
      </w:r>
      <w:r w:rsidR="00330BEF">
        <w:rPr>
          <w:bCs w:val="0"/>
          <w:iCs w:val="0"/>
          <w:lang w:val="en-GB"/>
        </w:rPr>
        <w:t> </w:t>
      </w:r>
      <w:r w:rsidRPr="00056AD0">
        <w:rPr>
          <w:bCs w:val="0"/>
          <w:iCs w:val="0"/>
        </w:rPr>
        <w:t>C</w:t>
      </w:r>
      <w:r w:rsidR="00BF3C44" w:rsidRPr="00056AD0">
        <w:rPr>
          <w:bCs w:val="0"/>
          <w:iCs w:val="0"/>
        </w:rPr>
        <w:t>,</w:t>
      </w:r>
      <w:r w:rsidRPr="00056AD0">
        <w:rPr>
          <w:bCs w:val="0"/>
          <w:iCs w:val="0"/>
        </w:rPr>
        <w:t xml:space="preserve"> which used </w:t>
      </w:r>
      <w:r w:rsidR="00CB38B0">
        <w:rPr>
          <w:bCs w:val="0"/>
          <w:iCs w:val="0"/>
          <w:lang w:val="en-GB"/>
        </w:rPr>
        <w:t xml:space="preserve">‘self-control’ </w:t>
      </w:r>
      <w:r w:rsidRPr="00056AD0">
        <w:rPr>
          <w:bCs w:val="0"/>
          <w:iCs w:val="0"/>
        </w:rPr>
        <w:t xml:space="preserve">data, the company applied a </w:t>
      </w:r>
      <w:r w:rsidR="00CB38B0">
        <w:rPr>
          <w:bCs w:val="0"/>
          <w:iCs w:val="0"/>
          <w:lang w:val="en-GB"/>
        </w:rPr>
        <w:t>‘</w:t>
      </w:r>
      <w:r w:rsidRPr="00056AD0">
        <w:rPr>
          <w:bCs w:val="0"/>
          <w:iCs w:val="0"/>
        </w:rPr>
        <w:t>hazard ratio</w:t>
      </w:r>
      <w:r w:rsidR="00CB38B0">
        <w:rPr>
          <w:bCs w:val="0"/>
          <w:iCs w:val="0"/>
          <w:lang w:val="en-GB"/>
        </w:rPr>
        <w:t>’</w:t>
      </w:r>
      <w:r w:rsidRPr="00056AD0">
        <w:rPr>
          <w:bCs w:val="0"/>
          <w:iCs w:val="0"/>
        </w:rPr>
        <w:t xml:space="preserve"> to adjust for the expected decline in the effectiveness of chemotherapy</w:t>
      </w:r>
      <w:r w:rsidR="008D3991" w:rsidRPr="00056AD0">
        <w:rPr>
          <w:bCs w:val="0"/>
          <w:iCs w:val="0"/>
        </w:rPr>
        <w:t xml:space="preserve"> later in the treatment pathway</w:t>
      </w:r>
      <w:r w:rsidR="0050718F">
        <w:rPr>
          <w:bCs w:val="0"/>
          <w:iCs w:val="0"/>
          <w:lang w:val="en-GB"/>
        </w:rPr>
        <w:t xml:space="preserve"> (see section</w:t>
      </w:r>
      <w:r w:rsidR="00330BEF">
        <w:rPr>
          <w:bCs w:val="0"/>
          <w:iCs w:val="0"/>
          <w:lang w:val="en-GB"/>
        </w:rPr>
        <w:t> </w:t>
      </w:r>
      <w:r w:rsidR="0050718F">
        <w:rPr>
          <w:bCs w:val="0"/>
          <w:iCs w:val="0"/>
          <w:lang w:val="en-GB"/>
        </w:rPr>
        <w:t>3.7)</w:t>
      </w:r>
      <w:r w:rsidR="000A4F67" w:rsidRPr="00056AD0">
        <w:rPr>
          <w:bCs w:val="0"/>
          <w:iCs w:val="0"/>
        </w:rPr>
        <w:t>.</w:t>
      </w:r>
      <w:r w:rsidR="008D3991" w:rsidRPr="00056AD0">
        <w:rPr>
          <w:bCs w:val="0"/>
          <w:iCs w:val="0"/>
        </w:rPr>
        <w:t xml:space="preserve"> </w:t>
      </w:r>
      <w:r w:rsidRPr="00056AD0">
        <w:rPr>
          <w:bCs w:val="0"/>
          <w:iCs w:val="0"/>
        </w:rPr>
        <w:t xml:space="preserve">Specifically, </w:t>
      </w:r>
      <w:r w:rsidR="00BF3C44" w:rsidRPr="00056AD0">
        <w:rPr>
          <w:bCs w:val="0"/>
          <w:iCs w:val="0"/>
        </w:rPr>
        <w:t>it</w:t>
      </w:r>
      <w:r w:rsidRPr="00056AD0">
        <w:rPr>
          <w:bCs w:val="0"/>
          <w:iCs w:val="0"/>
        </w:rPr>
        <w:t xml:space="preserve"> estimated that effect declines by 25%. The ERG commented that </w:t>
      </w:r>
      <w:r w:rsidR="00BF3C44" w:rsidRPr="00056AD0">
        <w:rPr>
          <w:bCs w:val="0"/>
          <w:iCs w:val="0"/>
        </w:rPr>
        <w:t xml:space="preserve">it </w:t>
      </w:r>
      <w:r w:rsidRPr="00056AD0">
        <w:rPr>
          <w:bCs w:val="0"/>
          <w:iCs w:val="0"/>
        </w:rPr>
        <w:t xml:space="preserve">could not verify the data source </w:t>
      </w:r>
      <w:r w:rsidR="005A67D3">
        <w:rPr>
          <w:bCs w:val="0"/>
          <w:iCs w:val="0"/>
          <w:lang w:val="en-GB"/>
        </w:rPr>
        <w:t>underpinning this assumption</w:t>
      </w:r>
      <w:r w:rsidRPr="00056AD0">
        <w:rPr>
          <w:bCs w:val="0"/>
          <w:iCs w:val="0"/>
        </w:rPr>
        <w:t>. The committee recalled that a range of chemotherapy regimens was being used and these varied in effectiveness</w:t>
      </w:r>
      <w:r w:rsidR="005A67D3">
        <w:rPr>
          <w:bCs w:val="0"/>
          <w:iCs w:val="0"/>
          <w:lang w:val="en-GB"/>
        </w:rPr>
        <w:t xml:space="preserve"> (see section </w:t>
      </w:r>
      <w:r w:rsidR="00E6578E">
        <w:rPr>
          <w:bCs w:val="0"/>
          <w:iCs w:val="0"/>
          <w:lang w:val="en-GB"/>
        </w:rPr>
        <w:t>3.1</w:t>
      </w:r>
      <w:r w:rsidR="005A67D3">
        <w:rPr>
          <w:bCs w:val="0"/>
          <w:iCs w:val="0"/>
          <w:lang w:val="en-GB"/>
        </w:rPr>
        <w:t>)</w:t>
      </w:r>
      <w:r w:rsidR="00BF3C44" w:rsidRPr="00056AD0">
        <w:rPr>
          <w:bCs w:val="0"/>
          <w:iCs w:val="0"/>
        </w:rPr>
        <w:t>. This meant that</w:t>
      </w:r>
      <w:r w:rsidRPr="00056AD0">
        <w:rPr>
          <w:bCs w:val="0"/>
          <w:iCs w:val="0"/>
        </w:rPr>
        <w:t xml:space="preserve"> applying a single estimate reflecting the decrease in treatment effect across the whole range of regimens was unlikely to be reliable. Furthermore, the hazard ratio adjustment affected the cost-effectiveness estimate for comparison</w:t>
      </w:r>
      <w:r w:rsidR="00330BEF">
        <w:rPr>
          <w:bCs w:val="0"/>
          <w:iCs w:val="0"/>
          <w:lang w:val="en-GB"/>
        </w:rPr>
        <w:t> </w:t>
      </w:r>
      <w:r w:rsidRPr="00056AD0">
        <w:rPr>
          <w:bCs w:val="0"/>
          <w:iCs w:val="0"/>
        </w:rPr>
        <w:t>C to a much greater extent than comparison</w:t>
      </w:r>
      <w:r w:rsidR="00330BEF">
        <w:rPr>
          <w:bCs w:val="0"/>
          <w:iCs w:val="0"/>
          <w:lang w:val="en-GB"/>
        </w:rPr>
        <w:t> </w:t>
      </w:r>
      <w:r w:rsidRPr="00056AD0">
        <w:rPr>
          <w:bCs w:val="0"/>
          <w:iCs w:val="0"/>
        </w:rPr>
        <w:t>A, and the committee questioned why this was the case. The ERG commented that</w:t>
      </w:r>
      <w:r w:rsidR="00BF3C44" w:rsidRPr="00056AD0">
        <w:rPr>
          <w:bCs w:val="0"/>
          <w:iCs w:val="0"/>
        </w:rPr>
        <w:t>,</w:t>
      </w:r>
      <w:r w:rsidRPr="00056AD0">
        <w:rPr>
          <w:bCs w:val="0"/>
          <w:iCs w:val="0"/>
        </w:rPr>
        <w:t xml:space="preserve"> when comparing progression-free survival for those </w:t>
      </w:r>
      <w:r w:rsidR="00BF3C44" w:rsidRPr="00056AD0">
        <w:rPr>
          <w:bCs w:val="0"/>
          <w:iCs w:val="0"/>
        </w:rPr>
        <w:t xml:space="preserve">having </w:t>
      </w:r>
      <w:r w:rsidRPr="00056AD0">
        <w:rPr>
          <w:bCs w:val="0"/>
          <w:iCs w:val="0"/>
        </w:rPr>
        <w:t xml:space="preserve">idelalisib against an unadjusted previous line of therapy, DELTA </w:t>
      </w:r>
      <w:r w:rsidR="00BF3C44" w:rsidRPr="00056AD0">
        <w:rPr>
          <w:bCs w:val="0"/>
          <w:iCs w:val="0"/>
        </w:rPr>
        <w:t xml:space="preserve">had </w:t>
      </w:r>
      <w:r w:rsidRPr="00056AD0">
        <w:rPr>
          <w:bCs w:val="0"/>
          <w:iCs w:val="0"/>
        </w:rPr>
        <w:t xml:space="preserve">a much greater difference than </w:t>
      </w:r>
      <w:r w:rsidR="00BF3C44" w:rsidRPr="00056AD0">
        <w:rPr>
          <w:bCs w:val="0"/>
          <w:iCs w:val="0"/>
        </w:rPr>
        <w:t xml:space="preserve">the </w:t>
      </w:r>
      <w:r w:rsidRPr="00056AD0">
        <w:rPr>
          <w:bCs w:val="0"/>
          <w:iCs w:val="0"/>
        </w:rPr>
        <w:t>CUP</w:t>
      </w:r>
      <w:r w:rsidR="00BF3C44" w:rsidRPr="00056AD0">
        <w:rPr>
          <w:bCs w:val="0"/>
          <w:iCs w:val="0"/>
        </w:rPr>
        <w:t>. T</w:t>
      </w:r>
      <w:r w:rsidRPr="00056AD0">
        <w:rPr>
          <w:bCs w:val="0"/>
          <w:iCs w:val="0"/>
        </w:rPr>
        <w:t>herefore</w:t>
      </w:r>
      <w:r w:rsidR="00BF3C44" w:rsidRPr="00056AD0">
        <w:rPr>
          <w:bCs w:val="0"/>
          <w:iCs w:val="0"/>
        </w:rPr>
        <w:t>,</w:t>
      </w:r>
      <w:r w:rsidRPr="00056AD0">
        <w:rPr>
          <w:bCs w:val="0"/>
          <w:iCs w:val="0"/>
        </w:rPr>
        <w:t xml:space="preserve"> the addition of a hazard ratio </w:t>
      </w:r>
      <w:r w:rsidR="00BF3C44" w:rsidRPr="00056AD0">
        <w:rPr>
          <w:bCs w:val="0"/>
          <w:iCs w:val="0"/>
        </w:rPr>
        <w:t xml:space="preserve">had </w:t>
      </w:r>
      <w:r w:rsidRPr="00056AD0">
        <w:rPr>
          <w:bCs w:val="0"/>
          <w:iCs w:val="0"/>
        </w:rPr>
        <w:t xml:space="preserve">a greater effect on the CUP cost-effectiveness estimates. </w:t>
      </w:r>
      <w:r w:rsidR="00056AD0" w:rsidRPr="00341816">
        <w:rPr>
          <w:lang w:val="en-GB"/>
        </w:rPr>
        <w:t>The committee concluded that u</w:t>
      </w:r>
      <w:r w:rsidR="00056AD0">
        <w:rPr>
          <w:lang w:val="en-GB"/>
        </w:rPr>
        <w:t>sing the hazard ratio introduced</w:t>
      </w:r>
      <w:r w:rsidR="00056AD0" w:rsidRPr="00341816">
        <w:rPr>
          <w:lang w:val="en-GB"/>
        </w:rPr>
        <w:t xml:space="preserve"> additional uncertainty to the model that needs to be explored in sensitivity analyses</w:t>
      </w:r>
      <w:r w:rsidR="00E3572A">
        <w:rPr>
          <w:lang w:val="en-GB"/>
        </w:rPr>
        <w:t>.</w:t>
      </w:r>
    </w:p>
    <w:p w14:paraId="722B5A8A" w14:textId="68A23071" w:rsidR="008A68FC" w:rsidRPr="0089632F" w:rsidRDefault="008A68FC" w:rsidP="00755876">
      <w:pPr>
        <w:pStyle w:val="Heading3"/>
      </w:pPr>
      <w:r>
        <w:t xml:space="preserve">The </w:t>
      </w:r>
      <w:r w:rsidR="00755876">
        <w:t xml:space="preserve">different modelling </w:t>
      </w:r>
      <w:r w:rsidR="007B4061">
        <w:t xml:space="preserve">structures influence which </w:t>
      </w:r>
      <w:r w:rsidR="00E13648">
        <w:t xml:space="preserve">clinical inputs </w:t>
      </w:r>
      <w:r w:rsidR="00755876">
        <w:t>drive</w:t>
      </w:r>
      <w:r w:rsidR="00D933F5">
        <w:t xml:space="preserve"> the</w:t>
      </w:r>
      <w:r w:rsidR="004A563A">
        <w:t xml:space="preserve"> modelled</w:t>
      </w:r>
      <w:r w:rsidR="00D933F5">
        <w:t xml:space="preserve"> </w:t>
      </w:r>
      <w:r w:rsidR="00A457FD">
        <w:t>survival differences</w:t>
      </w:r>
      <w:r w:rsidR="004A563A">
        <w:t xml:space="preserve"> and therefore the cost effectiveness</w:t>
      </w:r>
    </w:p>
    <w:p w14:paraId="7CD7603C" w14:textId="4CF3CF96" w:rsidR="00D868AE" w:rsidRPr="00D868AE" w:rsidRDefault="00626404" w:rsidP="00755876">
      <w:pPr>
        <w:pStyle w:val="Numberedlevel2text"/>
      </w:pPr>
      <w:r w:rsidRPr="000F02C6">
        <w:rPr>
          <w:bCs w:val="0"/>
          <w:iCs w:val="0"/>
        </w:rPr>
        <w:t>The co</w:t>
      </w:r>
      <w:r w:rsidR="00755876">
        <w:rPr>
          <w:bCs w:val="0"/>
          <w:iCs w:val="0"/>
          <w:lang w:val="en-GB"/>
        </w:rPr>
        <w:t>mmittee</w:t>
      </w:r>
      <w:r w:rsidRPr="000F02C6">
        <w:rPr>
          <w:bCs w:val="0"/>
          <w:iCs w:val="0"/>
        </w:rPr>
        <w:t xml:space="preserve"> agreed that it would focus on comparisons</w:t>
      </w:r>
      <w:r w:rsidR="00330BEF">
        <w:rPr>
          <w:bCs w:val="0"/>
          <w:iCs w:val="0"/>
          <w:lang w:val="en-GB"/>
        </w:rPr>
        <w:t> </w:t>
      </w:r>
      <w:r w:rsidRPr="000F02C6">
        <w:rPr>
          <w:bCs w:val="0"/>
          <w:iCs w:val="0"/>
        </w:rPr>
        <w:t>A (company’s base case) and</w:t>
      </w:r>
      <w:r w:rsidR="00330BEF">
        <w:rPr>
          <w:bCs w:val="0"/>
          <w:iCs w:val="0"/>
          <w:lang w:val="en-GB"/>
        </w:rPr>
        <w:t> </w:t>
      </w:r>
      <w:r w:rsidRPr="000F02C6">
        <w:rPr>
          <w:bCs w:val="0"/>
          <w:iCs w:val="0"/>
        </w:rPr>
        <w:t>B</w:t>
      </w:r>
      <w:r w:rsidR="00A457FD">
        <w:rPr>
          <w:bCs w:val="0"/>
          <w:iCs w:val="0"/>
          <w:lang w:val="en-GB"/>
        </w:rPr>
        <w:t>.</w:t>
      </w:r>
      <w:r w:rsidRPr="000F02C6">
        <w:rPr>
          <w:bCs w:val="0"/>
          <w:iCs w:val="0"/>
        </w:rPr>
        <w:t xml:space="preserve"> </w:t>
      </w:r>
      <w:r w:rsidR="00A457FD">
        <w:rPr>
          <w:bCs w:val="0"/>
          <w:iCs w:val="0"/>
          <w:lang w:val="en-GB"/>
        </w:rPr>
        <w:t>I</w:t>
      </w:r>
      <w:r w:rsidRPr="000F02C6">
        <w:rPr>
          <w:bCs w:val="0"/>
          <w:iCs w:val="0"/>
        </w:rPr>
        <w:t>t was not presented with a clear rationale for</w:t>
      </w:r>
      <w:r w:rsidRPr="00692D4F">
        <w:rPr>
          <w:bCs w:val="0"/>
          <w:iCs w:val="0"/>
        </w:rPr>
        <w:t xml:space="preserve"> using </w:t>
      </w:r>
      <w:r w:rsidR="00A457FD">
        <w:rPr>
          <w:bCs w:val="0"/>
          <w:iCs w:val="0"/>
          <w:lang w:val="en-GB"/>
        </w:rPr>
        <w:t>both DELTA and CUP</w:t>
      </w:r>
      <w:r w:rsidR="00A457FD" w:rsidRPr="00692D4F">
        <w:rPr>
          <w:bCs w:val="0"/>
          <w:iCs w:val="0"/>
        </w:rPr>
        <w:t xml:space="preserve"> </w:t>
      </w:r>
      <w:r w:rsidRPr="00692D4F">
        <w:rPr>
          <w:bCs w:val="0"/>
          <w:iCs w:val="0"/>
        </w:rPr>
        <w:t>sources</w:t>
      </w:r>
      <w:r w:rsidR="00A457FD">
        <w:rPr>
          <w:bCs w:val="0"/>
          <w:iCs w:val="0"/>
          <w:lang w:val="en-GB"/>
        </w:rPr>
        <w:t xml:space="preserve"> </w:t>
      </w:r>
      <w:r w:rsidRPr="00692D4F">
        <w:rPr>
          <w:bCs w:val="0"/>
          <w:iCs w:val="0"/>
        </w:rPr>
        <w:t>of data</w:t>
      </w:r>
      <w:r w:rsidR="00A457FD">
        <w:rPr>
          <w:bCs w:val="0"/>
          <w:iCs w:val="0"/>
          <w:lang w:val="en-GB"/>
        </w:rPr>
        <w:t xml:space="preserve"> without adjustment</w:t>
      </w:r>
      <w:r w:rsidRPr="00692D4F">
        <w:rPr>
          <w:bCs w:val="0"/>
          <w:iCs w:val="0"/>
        </w:rPr>
        <w:t xml:space="preserve"> </w:t>
      </w:r>
      <w:r w:rsidR="00A457FD">
        <w:rPr>
          <w:bCs w:val="0"/>
          <w:iCs w:val="0"/>
          <w:lang w:val="en-GB"/>
        </w:rPr>
        <w:t xml:space="preserve">for using different populations </w:t>
      </w:r>
      <w:r w:rsidRPr="00692D4F">
        <w:rPr>
          <w:bCs w:val="0"/>
          <w:iCs w:val="0"/>
        </w:rPr>
        <w:t xml:space="preserve">to inform the clinical </w:t>
      </w:r>
      <w:r w:rsidR="00A457FD">
        <w:rPr>
          <w:bCs w:val="0"/>
          <w:iCs w:val="0"/>
          <w:lang w:val="en-GB"/>
        </w:rPr>
        <w:t>inputs of comparison</w:t>
      </w:r>
      <w:r w:rsidR="00330BEF">
        <w:rPr>
          <w:bCs w:val="0"/>
          <w:iCs w:val="0"/>
          <w:lang w:val="en-GB"/>
        </w:rPr>
        <w:t> </w:t>
      </w:r>
      <w:r w:rsidR="00A457FD">
        <w:rPr>
          <w:bCs w:val="0"/>
          <w:iCs w:val="0"/>
          <w:lang w:val="en-GB"/>
        </w:rPr>
        <w:t>C</w:t>
      </w:r>
      <w:r w:rsidR="00692D4F">
        <w:rPr>
          <w:bCs w:val="0"/>
          <w:iCs w:val="0"/>
          <w:lang w:val="en-GB"/>
        </w:rPr>
        <w:t>.</w:t>
      </w:r>
      <w:r w:rsidRPr="00692D4F">
        <w:rPr>
          <w:bCs w:val="0"/>
          <w:iCs w:val="0"/>
        </w:rPr>
        <w:t xml:space="preserve"> </w:t>
      </w:r>
      <w:r w:rsidR="00A457FD">
        <w:rPr>
          <w:bCs w:val="0"/>
          <w:iCs w:val="0"/>
          <w:lang w:val="en-GB"/>
        </w:rPr>
        <w:t xml:space="preserve">It </w:t>
      </w:r>
      <w:r w:rsidR="00C9538A">
        <w:rPr>
          <w:bCs w:val="0"/>
          <w:iCs w:val="0"/>
          <w:lang w:val="en-GB"/>
        </w:rPr>
        <w:t>noted</w:t>
      </w:r>
      <w:r w:rsidR="00C9538A" w:rsidRPr="00692D4F">
        <w:rPr>
          <w:bCs w:val="0"/>
          <w:iCs w:val="0"/>
        </w:rPr>
        <w:t xml:space="preserve"> </w:t>
      </w:r>
      <w:r w:rsidRPr="00692D4F">
        <w:rPr>
          <w:bCs w:val="0"/>
          <w:iCs w:val="0"/>
        </w:rPr>
        <w:t xml:space="preserve">that </w:t>
      </w:r>
      <w:r w:rsidR="00C9538A">
        <w:rPr>
          <w:bCs w:val="0"/>
          <w:iCs w:val="0"/>
          <w:lang w:val="en-GB"/>
        </w:rPr>
        <w:t xml:space="preserve">the company did not provide </w:t>
      </w:r>
      <w:r w:rsidRPr="00692D4F">
        <w:rPr>
          <w:bCs w:val="0"/>
          <w:iCs w:val="0"/>
        </w:rPr>
        <w:t>best supportive care</w:t>
      </w:r>
      <w:r w:rsidR="00C9538A">
        <w:rPr>
          <w:bCs w:val="0"/>
          <w:iCs w:val="0"/>
          <w:lang w:val="en-GB"/>
        </w:rPr>
        <w:t xml:space="preserve"> data</w:t>
      </w:r>
      <w:r w:rsidR="00626C66">
        <w:rPr>
          <w:bCs w:val="0"/>
          <w:iCs w:val="0"/>
          <w:lang w:val="en-GB"/>
        </w:rPr>
        <w:t xml:space="preserve"> </w:t>
      </w:r>
      <w:r w:rsidR="00C9538A">
        <w:rPr>
          <w:bCs w:val="0"/>
          <w:iCs w:val="0"/>
          <w:lang w:val="en-GB"/>
        </w:rPr>
        <w:t>for comparison</w:t>
      </w:r>
      <w:r w:rsidR="00330BEF">
        <w:rPr>
          <w:bCs w:val="0"/>
          <w:iCs w:val="0"/>
          <w:lang w:val="en-GB"/>
        </w:rPr>
        <w:t> </w:t>
      </w:r>
      <w:r w:rsidR="00C9538A">
        <w:rPr>
          <w:bCs w:val="0"/>
          <w:iCs w:val="0"/>
          <w:lang w:val="en-GB"/>
        </w:rPr>
        <w:t>D</w:t>
      </w:r>
      <w:r w:rsidR="00945636">
        <w:rPr>
          <w:bCs w:val="0"/>
          <w:iCs w:val="0"/>
          <w:lang w:val="en-GB"/>
        </w:rPr>
        <w:t xml:space="preserve"> (see section</w:t>
      </w:r>
      <w:r w:rsidR="00330BEF">
        <w:rPr>
          <w:bCs w:val="0"/>
          <w:iCs w:val="0"/>
          <w:lang w:val="en-GB"/>
        </w:rPr>
        <w:t> </w:t>
      </w:r>
      <w:r w:rsidR="00945636">
        <w:rPr>
          <w:bCs w:val="0"/>
          <w:iCs w:val="0"/>
          <w:lang w:val="en-GB"/>
        </w:rPr>
        <w:t>3.12)</w:t>
      </w:r>
      <w:r w:rsidR="00626C66">
        <w:rPr>
          <w:bCs w:val="0"/>
          <w:iCs w:val="0"/>
          <w:lang w:val="en-GB"/>
        </w:rPr>
        <w:t xml:space="preserve">. </w:t>
      </w:r>
      <w:r w:rsidRPr="00692D4F">
        <w:rPr>
          <w:bCs w:val="0"/>
          <w:iCs w:val="0"/>
        </w:rPr>
        <w:t>However, it agreed that it could use comparisons</w:t>
      </w:r>
      <w:r w:rsidR="00330BEF">
        <w:rPr>
          <w:bCs w:val="0"/>
          <w:iCs w:val="0"/>
          <w:lang w:val="en-GB"/>
        </w:rPr>
        <w:t> </w:t>
      </w:r>
      <w:r w:rsidRPr="00692D4F">
        <w:rPr>
          <w:bCs w:val="0"/>
          <w:iCs w:val="0"/>
        </w:rPr>
        <w:t>C and</w:t>
      </w:r>
      <w:r w:rsidR="00330BEF">
        <w:rPr>
          <w:bCs w:val="0"/>
          <w:iCs w:val="0"/>
          <w:lang w:val="en-GB"/>
        </w:rPr>
        <w:t> </w:t>
      </w:r>
      <w:r w:rsidRPr="00692D4F">
        <w:rPr>
          <w:bCs w:val="0"/>
          <w:iCs w:val="0"/>
        </w:rPr>
        <w:t>D to evaluate its preferred analyses</w:t>
      </w:r>
      <w:r w:rsidR="00330BEF">
        <w:rPr>
          <w:bCs w:val="0"/>
          <w:iCs w:val="0"/>
          <w:lang w:val="en-GB"/>
        </w:rPr>
        <w:t>:</w:t>
      </w:r>
    </w:p>
    <w:p w14:paraId="5A79919C" w14:textId="2AEA4CB0" w:rsidR="00D868AE" w:rsidRDefault="00626404" w:rsidP="00CB38B0">
      <w:pPr>
        <w:pStyle w:val="Bulletindent1"/>
      </w:pPr>
      <w:r w:rsidRPr="00755876">
        <w:t>In comparison</w:t>
      </w:r>
      <w:r w:rsidR="00330BEF">
        <w:rPr>
          <w:lang w:val="en-GB"/>
        </w:rPr>
        <w:t> </w:t>
      </w:r>
      <w:r w:rsidRPr="00755876">
        <w:t xml:space="preserve">A, the company modelled survival in the Markov model from pre-progression and post-progression states. The pre-progression state assumed transition to death at a rate of 5.71 times the age- and sex-adjusted general population. </w:t>
      </w:r>
      <w:r w:rsidR="008A68FC" w:rsidRPr="00755876">
        <w:t>P</w:t>
      </w:r>
      <w:r w:rsidRPr="00755876">
        <w:t xml:space="preserve">ost-progression survival was modelled on an exponential fit of observed post-progression survival </w:t>
      </w:r>
      <w:r w:rsidR="00692D4F">
        <w:rPr>
          <w:lang w:val="en-GB"/>
        </w:rPr>
        <w:t>in</w:t>
      </w:r>
      <w:r w:rsidR="00692D4F" w:rsidRPr="00755876">
        <w:t xml:space="preserve"> </w:t>
      </w:r>
      <w:r w:rsidRPr="00755876">
        <w:t xml:space="preserve">the DELTA population. </w:t>
      </w:r>
      <w:r w:rsidR="0050718F">
        <w:rPr>
          <w:lang w:val="en-GB"/>
        </w:rPr>
        <w:t xml:space="preserve">Mortality was </w:t>
      </w:r>
      <w:r w:rsidR="00FE0AB3">
        <w:rPr>
          <w:lang w:val="en-GB"/>
        </w:rPr>
        <w:t>greater in</w:t>
      </w:r>
      <w:r w:rsidR="0050718F">
        <w:rPr>
          <w:lang w:val="en-GB"/>
        </w:rPr>
        <w:t xml:space="preserve"> the post-progression state </w:t>
      </w:r>
      <w:r w:rsidR="00330BEF">
        <w:rPr>
          <w:lang w:val="en-GB"/>
        </w:rPr>
        <w:t xml:space="preserve">so </w:t>
      </w:r>
      <w:r w:rsidR="0050718F">
        <w:rPr>
          <w:lang w:val="en-GB"/>
        </w:rPr>
        <w:t>the time to progression was the most important transition in the Markov model</w:t>
      </w:r>
      <w:r w:rsidRPr="00755876">
        <w:t xml:space="preserve">. </w:t>
      </w:r>
      <w:r w:rsidR="005A67D3">
        <w:rPr>
          <w:lang w:val="en-GB"/>
        </w:rPr>
        <w:t>Therefore, t</w:t>
      </w:r>
      <w:r w:rsidR="0050718F">
        <w:rPr>
          <w:lang w:val="en-GB"/>
        </w:rPr>
        <w:t xml:space="preserve">he </w:t>
      </w:r>
      <w:r w:rsidR="00945636">
        <w:rPr>
          <w:lang w:val="en-GB"/>
        </w:rPr>
        <w:t xml:space="preserve">model was </w:t>
      </w:r>
      <w:r w:rsidR="0050718F">
        <w:rPr>
          <w:lang w:val="en-GB"/>
        </w:rPr>
        <w:t xml:space="preserve">most sensitive to the </w:t>
      </w:r>
      <w:r w:rsidR="00330BEF">
        <w:rPr>
          <w:lang w:val="en-GB"/>
        </w:rPr>
        <w:t>time-</w:t>
      </w:r>
      <w:r w:rsidR="0050718F">
        <w:rPr>
          <w:lang w:val="en-GB"/>
        </w:rPr>
        <w:t>to</w:t>
      </w:r>
      <w:r w:rsidR="00330BEF">
        <w:rPr>
          <w:lang w:val="en-GB"/>
        </w:rPr>
        <w:t>-</w:t>
      </w:r>
      <w:r w:rsidR="0050718F">
        <w:rPr>
          <w:lang w:val="en-GB"/>
        </w:rPr>
        <w:t>progression transition.</w:t>
      </w:r>
    </w:p>
    <w:p w14:paraId="14EA30CA" w14:textId="58FE0E11" w:rsidR="00626404" w:rsidRPr="008A68FC" w:rsidRDefault="00626404" w:rsidP="00CB38B0">
      <w:pPr>
        <w:pStyle w:val="Bulletindent1"/>
      </w:pPr>
      <w:r w:rsidRPr="00755876">
        <w:t>In comparison</w:t>
      </w:r>
      <w:r w:rsidR="00330BEF">
        <w:rPr>
          <w:lang w:val="en-GB"/>
        </w:rPr>
        <w:t> </w:t>
      </w:r>
      <w:r w:rsidRPr="00755876">
        <w:t xml:space="preserve">B, the company modelled survival based on extrapolating survival data between DELTA and the adjusted HMRN dataset using partitioned survival analysis. Overall survival conferred a higher utility increase than progression in this model, so the key driver in survival difference between idelalisib and chemotherapy was the comparison of overall survival. The company used the overall survival data that it had adjusted using the </w:t>
      </w:r>
      <w:r w:rsidR="008A68FC">
        <w:rPr>
          <w:lang w:val="en-GB"/>
        </w:rPr>
        <w:t>MAIC</w:t>
      </w:r>
      <w:r w:rsidRPr="00755876">
        <w:t xml:space="preserve"> (</w:t>
      </w:r>
      <w:r w:rsidR="005A67D3">
        <w:rPr>
          <w:lang w:val="en-GB"/>
        </w:rPr>
        <w:t>see</w:t>
      </w:r>
      <w:r w:rsidRPr="00755876">
        <w:t xml:space="preserve"> section</w:t>
      </w:r>
      <w:r w:rsidR="008A68FC">
        <w:rPr>
          <w:lang w:val="en-GB"/>
        </w:rPr>
        <w:t> </w:t>
      </w:r>
      <w:r w:rsidR="00C7040E">
        <w:t>3.9</w:t>
      </w:r>
      <w:r w:rsidRPr="00755876">
        <w:t>).</w:t>
      </w:r>
      <w:r w:rsidR="00945636">
        <w:rPr>
          <w:lang w:val="en-GB"/>
        </w:rPr>
        <w:t xml:space="preserve"> </w:t>
      </w:r>
      <w:r w:rsidR="005A67D3">
        <w:rPr>
          <w:lang w:val="en-GB"/>
        </w:rPr>
        <w:t>Therefore,</w:t>
      </w:r>
      <w:r w:rsidR="00945636">
        <w:rPr>
          <w:lang w:val="en-GB"/>
        </w:rPr>
        <w:t xml:space="preserve"> the model was most sensitive to</w:t>
      </w:r>
      <w:r w:rsidR="0050718F">
        <w:rPr>
          <w:lang w:val="en-GB"/>
        </w:rPr>
        <w:t xml:space="preserve"> the overall survival estimations.</w:t>
      </w:r>
    </w:p>
    <w:p w14:paraId="775E6B7A" w14:textId="630792BE" w:rsidR="00626404" w:rsidRDefault="00626404" w:rsidP="00626404">
      <w:pPr>
        <w:pStyle w:val="Heading3"/>
      </w:pPr>
      <w:r>
        <w:t xml:space="preserve">The model </w:t>
      </w:r>
      <w:r w:rsidR="0078256D">
        <w:t xml:space="preserve">estimates of survival are </w:t>
      </w:r>
      <w:r w:rsidR="00252CF0">
        <w:t>uncertain</w:t>
      </w:r>
    </w:p>
    <w:p w14:paraId="7C4E2D10" w14:textId="77777777" w:rsidR="00626404" w:rsidRPr="00461343" w:rsidRDefault="00626404" w:rsidP="00626404">
      <w:pPr>
        <w:pStyle w:val="Numberedlevel2text"/>
        <w:numPr>
          <w:ilvl w:val="1"/>
          <w:numId w:val="1"/>
        </w:numPr>
      </w:pPr>
      <w:r>
        <w:rPr>
          <w:lang w:val="en-GB"/>
        </w:rPr>
        <w:t>The committee considered the survival estimates produced by the different comparisons:</w:t>
      </w:r>
    </w:p>
    <w:p w14:paraId="5E23C7DB" w14:textId="2310B376" w:rsidR="00626404" w:rsidRPr="00461343" w:rsidRDefault="008D3991" w:rsidP="00626404">
      <w:pPr>
        <w:pStyle w:val="Bulletindent1"/>
      </w:pPr>
      <w:r>
        <w:rPr>
          <w:lang w:val="en-GB"/>
        </w:rPr>
        <w:t>Comparisons</w:t>
      </w:r>
      <w:r w:rsidR="00330BEF">
        <w:rPr>
          <w:lang w:val="en-GB"/>
        </w:rPr>
        <w:t> </w:t>
      </w:r>
      <w:r w:rsidR="00626404">
        <w:t>A, C</w:t>
      </w:r>
      <w:r w:rsidR="00330BEF">
        <w:rPr>
          <w:lang w:val="en-GB"/>
        </w:rPr>
        <w:t> </w:t>
      </w:r>
      <w:r w:rsidR="00626404">
        <w:t>and</w:t>
      </w:r>
      <w:r w:rsidR="00330BEF">
        <w:rPr>
          <w:lang w:val="en-GB"/>
        </w:rPr>
        <w:t> </w:t>
      </w:r>
      <w:r w:rsidR="00626404">
        <w:t>D</w:t>
      </w:r>
      <w:r w:rsidR="00626404">
        <w:rPr>
          <w:lang w:val="en-GB"/>
        </w:rPr>
        <w:t xml:space="preserve"> consistently </w:t>
      </w:r>
      <w:r w:rsidR="00626404">
        <w:t xml:space="preserve">predicted </w:t>
      </w:r>
      <w:r w:rsidR="00626404">
        <w:rPr>
          <w:lang w:val="en-GB"/>
        </w:rPr>
        <w:t>longer</w:t>
      </w:r>
      <w:r w:rsidR="00626404">
        <w:t xml:space="preserve"> overall survival </w:t>
      </w:r>
      <w:r w:rsidR="00626404">
        <w:rPr>
          <w:lang w:val="en-GB"/>
        </w:rPr>
        <w:t xml:space="preserve">for idelalisib </w:t>
      </w:r>
      <w:r w:rsidR="00626404">
        <w:t>than comparison</w:t>
      </w:r>
      <w:r w:rsidR="00330BEF">
        <w:rPr>
          <w:lang w:val="en-GB"/>
        </w:rPr>
        <w:t> </w:t>
      </w:r>
      <w:r w:rsidR="00626404">
        <w:t xml:space="preserve">B at all observed time points. </w:t>
      </w:r>
      <w:r w:rsidR="00626404">
        <w:rPr>
          <w:lang w:val="en-GB"/>
        </w:rPr>
        <w:t>The company and the ERG gave alternative explanations for this, which both drew on the different modelling approaches used (see section</w:t>
      </w:r>
      <w:r w:rsidR="008A68FC">
        <w:rPr>
          <w:lang w:val="en-GB"/>
        </w:rPr>
        <w:t> </w:t>
      </w:r>
      <w:r w:rsidR="00C7040E">
        <w:rPr>
          <w:lang w:val="en-GB"/>
        </w:rPr>
        <w:t>3.14</w:t>
      </w:r>
      <w:r w:rsidR="00626404">
        <w:rPr>
          <w:lang w:val="en-GB"/>
        </w:rPr>
        <w:t>). The company indicated that</w:t>
      </w:r>
      <w:r w:rsidR="008A68FC">
        <w:rPr>
          <w:lang w:val="en-GB"/>
        </w:rPr>
        <w:t>,</w:t>
      </w:r>
      <w:r w:rsidR="00626404">
        <w:rPr>
          <w:lang w:val="en-GB"/>
        </w:rPr>
        <w:t xml:space="preserve"> in comparisons</w:t>
      </w:r>
      <w:r w:rsidR="00330BEF">
        <w:rPr>
          <w:lang w:val="en-GB"/>
        </w:rPr>
        <w:t> </w:t>
      </w:r>
      <w:r w:rsidR="00626404">
        <w:rPr>
          <w:lang w:val="en-GB"/>
        </w:rPr>
        <w:t>A and</w:t>
      </w:r>
      <w:r w:rsidR="00330BEF">
        <w:rPr>
          <w:lang w:val="en-GB"/>
        </w:rPr>
        <w:t> </w:t>
      </w:r>
      <w:r w:rsidR="00626404">
        <w:rPr>
          <w:lang w:val="en-GB"/>
        </w:rPr>
        <w:t>C, overall survival for idelalisib (modelled indirectly) was driven by post-progression survival, and this was less mature than the overall survival data used in comparison</w:t>
      </w:r>
      <w:r w:rsidR="00330BEF">
        <w:rPr>
          <w:lang w:val="en-GB"/>
        </w:rPr>
        <w:t> </w:t>
      </w:r>
      <w:r w:rsidR="00626404">
        <w:rPr>
          <w:lang w:val="en-GB"/>
        </w:rPr>
        <w:t>B</w:t>
      </w:r>
      <w:r w:rsidR="00626404" w:rsidRPr="004A11D3">
        <w:rPr>
          <w:lang w:val="en-GB"/>
        </w:rPr>
        <w:t>.</w:t>
      </w:r>
      <w:r w:rsidR="00626404">
        <w:rPr>
          <w:lang w:val="en-GB"/>
        </w:rPr>
        <w:t xml:space="preserve"> The ERG commented that a potential reason for </w:t>
      </w:r>
      <w:r w:rsidR="00692D4F">
        <w:rPr>
          <w:lang w:val="en-GB"/>
        </w:rPr>
        <w:t xml:space="preserve">the </w:t>
      </w:r>
      <w:r w:rsidR="00626404">
        <w:rPr>
          <w:lang w:val="en-GB"/>
        </w:rPr>
        <w:t>discrepancy was that time to progression and post-progression survival are likely to be correlated, but the company in its model assume</w:t>
      </w:r>
      <w:r w:rsidR="008A68FC">
        <w:rPr>
          <w:lang w:val="en-GB"/>
        </w:rPr>
        <w:t>d</w:t>
      </w:r>
      <w:r w:rsidR="00626404">
        <w:rPr>
          <w:lang w:val="en-GB"/>
        </w:rPr>
        <w:t xml:space="preserve"> that these </w:t>
      </w:r>
      <w:r w:rsidR="008A68FC">
        <w:rPr>
          <w:lang w:val="en-GB"/>
        </w:rPr>
        <w:t>2 </w:t>
      </w:r>
      <w:r w:rsidR="00626404">
        <w:rPr>
          <w:lang w:val="en-GB"/>
        </w:rPr>
        <w:t>transitions are independent. However, the ERG was unable to check this reasoning without access to the individual patient data. In general, the committee agreed that comparison</w:t>
      </w:r>
      <w:r w:rsidR="00330BEF">
        <w:rPr>
          <w:lang w:val="en-GB"/>
        </w:rPr>
        <w:t> </w:t>
      </w:r>
      <w:r w:rsidR="00626404" w:rsidRPr="004A11D3">
        <w:rPr>
          <w:lang w:val="en-GB"/>
        </w:rPr>
        <w:t xml:space="preserve">B </w:t>
      </w:r>
      <w:r w:rsidR="00626404">
        <w:rPr>
          <w:lang w:val="en-GB"/>
        </w:rPr>
        <w:t>seemed to</w:t>
      </w:r>
      <w:r w:rsidR="00626404" w:rsidRPr="004A11D3">
        <w:rPr>
          <w:lang w:val="en-GB"/>
        </w:rPr>
        <w:t xml:space="preserve"> fit </w:t>
      </w:r>
      <w:r w:rsidR="00626404">
        <w:rPr>
          <w:lang w:val="en-GB"/>
        </w:rPr>
        <w:t>the observed overall survival data for idelalisib better than the other comparisons</w:t>
      </w:r>
      <w:r w:rsidR="00626404" w:rsidRPr="004A11D3">
        <w:rPr>
          <w:lang w:val="en-GB"/>
        </w:rPr>
        <w:t>.</w:t>
      </w:r>
    </w:p>
    <w:p w14:paraId="1DB6FEF1" w14:textId="460893AE" w:rsidR="00626404" w:rsidRPr="00461343" w:rsidRDefault="00626404" w:rsidP="00626404">
      <w:pPr>
        <w:pStyle w:val="Bulletindent1"/>
      </w:pPr>
      <w:r>
        <w:rPr>
          <w:lang w:val="en-GB"/>
        </w:rPr>
        <w:t>For comparison</w:t>
      </w:r>
      <w:r w:rsidR="00330BEF">
        <w:rPr>
          <w:lang w:val="en-GB"/>
        </w:rPr>
        <w:t> </w:t>
      </w:r>
      <w:r>
        <w:rPr>
          <w:lang w:val="en-GB"/>
        </w:rPr>
        <w:t xml:space="preserve">A, the committee noted that the model was sensitive to the choice of the distribution to fit the observed </w:t>
      </w:r>
      <w:r w:rsidR="008D3991">
        <w:rPr>
          <w:lang w:val="en-GB"/>
        </w:rPr>
        <w:t>idelalisib time</w:t>
      </w:r>
      <w:r w:rsidR="008A68FC">
        <w:rPr>
          <w:lang w:val="en-GB"/>
        </w:rPr>
        <w:t>-</w:t>
      </w:r>
      <w:r w:rsidR="008D3991">
        <w:rPr>
          <w:lang w:val="en-GB"/>
        </w:rPr>
        <w:t>to</w:t>
      </w:r>
      <w:r w:rsidR="008A68FC">
        <w:rPr>
          <w:lang w:val="en-GB"/>
        </w:rPr>
        <w:t>-</w:t>
      </w:r>
      <w:r w:rsidR="008D3991">
        <w:rPr>
          <w:lang w:val="en-GB"/>
        </w:rPr>
        <w:t xml:space="preserve">progression </w:t>
      </w:r>
      <w:r>
        <w:rPr>
          <w:lang w:val="en-GB"/>
        </w:rPr>
        <w:t>data in DELTA. Both log-normal and exponential curve extrapolations of observed time to progression offer</w:t>
      </w:r>
      <w:r w:rsidR="008A68FC">
        <w:rPr>
          <w:lang w:val="en-GB"/>
        </w:rPr>
        <w:t>ed a</w:t>
      </w:r>
      <w:r>
        <w:rPr>
          <w:lang w:val="en-GB"/>
        </w:rPr>
        <w:t xml:space="preserve"> plausible fit within the time limits of the observed trial but differ</w:t>
      </w:r>
      <w:r w:rsidR="008A68FC">
        <w:rPr>
          <w:lang w:val="en-GB"/>
        </w:rPr>
        <w:t>ed</w:t>
      </w:r>
      <w:r>
        <w:rPr>
          <w:lang w:val="en-GB"/>
        </w:rPr>
        <w:t xml:space="preserve"> greatly over the 38</w:t>
      </w:r>
      <w:r w:rsidR="008A68FC">
        <w:rPr>
          <w:lang w:val="en-GB"/>
        </w:rPr>
        <w:noBreakHyphen/>
      </w:r>
      <w:r>
        <w:rPr>
          <w:lang w:val="en-GB"/>
        </w:rPr>
        <w:t xml:space="preserve">year time horizon. The log-normal fit </w:t>
      </w:r>
      <w:r w:rsidR="008A68FC">
        <w:rPr>
          <w:lang w:val="en-GB"/>
        </w:rPr>
        <w:t xml:space="preserve">gave </w:t>
      </w:r>
      <w:r>
        <w:rPr>
          <w:lang w:val="en-GB"/>
        </w:rPr>
        <w:t>great</w:t>
      </w:r>
      <w:r w:rsidR="0078256D">
        <w:rPr>
          <w:lang w:val="en-GB"/>
        </w:rPr>
        <w:t>er</w:t>
      </w:r>
      <w:r>
        <w:rPr>
          <w:lang w:val="en-GB"/>
        </w:rPr>
        <w:t xml:space="preserve"> weight in the model to a small number of patients </w:t>
      </w:r>
      <w:r w:rsidR="00692D4F">
        <w:rPr>
          <w:lang w:val="en-GB"/>
        </w:rPr>
        <w:t xml:space="preserve">in whom disease </w:t>
      </w:r>
      <w:r>
        <w:rPr>
          <w:lang w:val="en-GB"/>
        </w:rPr>
        <w:t>d</w:t>
      </w:r>
      <w:r w:rsidR="008A68FC">
        <w:rPr>
          <w:lang w:val="en-GB"/>
        </w:rPr>
        <w:t>id</w:t>
      </w:r>
      <w:r>
        <w:rPr>
          <w:lang w:val="en-GB"/>
        </w:rPr>
        <w:t xml:space="preserve"> not progress within 10</w:t>
      </w:r>
      <w:r w:rsidR="008A68FC">
        <w:rPr>
          <w:lang w:val="en-GB"/>
        </w:rPr>
        <w:t> </w:t>
      </w:r>
      <w:r>
        <w:rPr>
          <w:lang w:val="en-GB"/>
        </w:rPr>
        <w:t>years</w:t>
      </w:r>
      <w:r w:rsidR="008A68FC">
        <w:rPr>
          <w:lang w:val="en-GB"/>
        </w:rPr>
        <w:t>,</w:t>
      </w:r>
      <w:r>
        <w:rPr>
          <w:lang w:val="en-GB"/>
        </w:rPr>
        <w:t xml:space="preserve"> which the committee agreed </w:t>
      </w:r>
      <w:r w:rsidR="00692D4F">
        <w:rPr>
          <w:lang w:val="en-GB"/>
        </w:rPr>
        <w:t xml:space="preserve">seemed </w:t>
      </w:r>
      <w:r>
        <w:rPr>
          <w:lang w:val="en-GB"/>
        </w:rPr>
        <w:t>implausible.</w:t>
      </w:r>
      <w:r w:rsidR="00F80CF6">
        <w:rPr>
          <w:lang w:val="en-GB"/>
        </w:rPr>
        <w:t xml:space="preserve"> Furthermore, the committee heard from the clinical experts that, at this stage of the disease, the life expectancy of people having chemotherapy </w:t>
      </w:r>
      <w:r w:rsidR="00074987">
        <w:rPr>
          <w:lang w:val="en-GB"/>
        </w:rPr>
        <w:t>is expected to be</w:t>
      </w:r>
      <w:r w:rsidR="00F80CF6">
        <w:rPr>
          <w:lang w:val="en-GB"/>
        </w:rPr>
        <w:t xml:space="preserve"> less than 2 years. However, the </w:t>
      </w:r>
      <w:r w:rsidR="00074987">
        <w:rPr>
          <w:lang w:val="en-GB"/>
        </w:rPr>
        <w:t>model predicted a significantly greater mean life expectancy of around 5 years in the chemotherapy arm.</w:t>
      </w:r>
    </w:p>
    <w:p w14:paraId="3739DE1D" w14:textId="77777777" w:rsidR="005A67D3" w:rsidRDefault="00626404" w:rsidP="00E6578E">
      <w:pPr>
        <w:pStyle w:val="Bulletindent1last"/>
      </w:pPr>
      <w:r w:rsidRPr="005A67D3">
        <w:t>For comparison</w:t>
      </w:r>
      <w:r w:rsidR="00330BEF" w:rsidRPr="005A67D3">
        <w:t> </w:t>
      </w:r>
      <w:r w:rsidRPr="005A67D3">
        <w:t xml:space="preserve">B, the committee noted an implausibly large difference in survival at </w:t>
      </w:r>
      <w:r w:rsidR="008A68FC" w:rsidRPr="005A67D3">
        <w:t>1 </w:t>
      </w:r>
      <w:r w:rsidRPr="005A67D3">
        <w:t>year between idelalisib and chemotherapy</w:t>
      </w:r>
      <w:r w:rsidR="008A68FC" w:rsidRPr="005A67D3">
        <w:t>. This was</w:t>
      </w:r>
      <w:r w:rsidRPr="005A67D3">
        <w:t xml:space="preserve"> confirmed by clinical experts</w:t>
      </w:r>
      <w:r w:rsidR="008A68FC" w:rsidRPr="005A67D3">
        <w:t>,</w:t>
      </w:r>
      <w:r w:rsidRPr="005A67D3">
        <w:t xml:space="preserve"> who advised that the model was likely to have overestimated the difference in short-term overall survival between idelalisib and chemotherapy, </w:t>
      </w:r>
      <w:r w:rsidR="008A68FC" w:rsidRPr="005A67D3">
        <w:t>but that</w:t>
      </w:r>
      <w:r w:rsidRPr="005A67D3">
        <w:t xml:space="preserve"> the differences appeared more reasonable</w:t>
      </w:r>
      <w:r w:rsidR="008A68FC" w:rsidRPr="005A67D3">
        <w:t xml:space="preserve"> </w:t>
      </w:r>
      <w:r w:rsidR="00585058" w:rsidRPr="005A67D3">
        <w:t>in the longer term</w:t>
      </w:r>
      <w:r w:rsidRPr="005A67D3">
        <w:t>.</w:t>
      </w:r>
    </w:p>
    <w:p w14:paraId="33427CAD" w14:textId="3B5A76BD" w:rsidR="000744AE" w:rsidRPr="005D244A" w:rsidRDefault="00626404" w:rsidP="00E6578E">
      <w:pPr>
        <w:pStyle w:val="NICEnormalindented"/>
      </w:pPr>
      <w:r w:rsidRPr="005A67D3">
        <w:t>The committee agreed that the survival modelling reflected a high degree of uncertainty in the evidence. Given the lack of direct comparator data, the absence of evidence for individual chemotherapeutic regimens or for best supportive care, and the paucity and immaturity of observed data, the committee considered that it was important that the survival estimates align</w:t>
      </w:r>
      <w:r w:rsidR="00585058" w:rsidRPr="005A67D3">
        <w:t>ed</w:t>
      </w:r>
      <w:r w:rsidRPr="005A67D3">
        <w:t xml:space="preserve"> as closely as possible with whatever data were observed. In the current analyses, the Markov model (comparison</w:t>
      </w:r>
      <w:r w:rsidR="00692D4F" w:rsidRPr="005A67D3">
        <w:t>s</w:t>
      </w:r>
      <w:r w:rsidR="00330BEF" w:rsidRPr="005A67D3">
        <w:t> </w:t>
      </w:r>
      <w:r w:rsidRPr="005A67D3">
        <w:t>A, C</w:t>
      </w:r>
      <w:r w:rsidR="00330BEF" w:rsidRPr="005A67D3">
        <w:t> </w:t>
      </w:r>
      <w:r w:rsidRPr="005A67D3">
        <w:t>and</w:t>
      </w:r>
      <w:r w:rsidR="00330BEF" w:rsidRPr="005A67D3">
        <w:t> </w:t>
      </w:r>
      <w:r w:rsidRPr="005A67D3">
        <w:t>D) consistently overestimated the effect of ide</w:t>
      </w:r>
      <w:r w:rsidR="008D3991" w:rsidRPr="005A67D3">
        <w:t>lal</w:t>
      </w:r>
      <w:r w:rsidRPr="005A67D3">
        <w:t>isib and the approach</w:t>
      </w:r>
      <w:r w:rsidR="00692D4F" w:rsidRPr="005A67D3">
        <w:t xml:space="preserve"> (B)</w:t>
      </w:r>
      <w:r w:rsidRPr="005A67D3">
        <w:t xml:space="preserve"> using partitioned survival analysis appeared to have </w:t>
      </w:r>
      <w:r w:rsidR="005D244A">
        <w:t xml:space="preserve">markedly </w:t>
      </w:r>
      <w:r w:rsidRPr="005D244A">
        <w:t xml:space="preserve">underestimated the effect of chemotherapy. </w:t>
      </w:r>
      <w:r w:rsidR="00585058" w:rsidRPr="005D244A">
        <w:t>Therefore</w:t>
      </w:r>
      <w:r w:rsidRPr="005D244A">
        <w:t>, the committee concluded that the model predictions were not reliable for decision-making.</w:t>
      </w:r>
    </w:p>
    <w:p w14:paraId="05FC9368" w14:textId="0BEE80AD" w:rsidR="000744AE" w:rsidRDefault="000744AE" w:rsidP="00925EB2">
      <w:pPr>
        <w:pStyle w:val="Heading3"/>
      </w:pPr>
      <w:r>
        <w:t>The ‘blended comparator’ masks ineffective treatments</w:t>
      </w:r>
    </w:p>
    <w:p w14:paraId="0D9799A8" w14:textId="135A7552" w:rsidR="000744AE" w:rsidRPr="000744AE" w:rsidRDefault="000744AE" w:rsidP="00925EB2">
      <w:pPr>
        <w:pStyle w:val="Numberedlevel2text"/>
      </w:pPr>
      <w:r>
        <w:t>The committee considered that using a blend of chemotherapeutic regimens as a</w:t>
      </w:r>
      <w:r w:rsidRPr="00AF6450">
        <w:t xml:space="preserve"> comparator </w:t>
      </w:r>
      <w:r>
        <w:t>meant averaging</w:t>
      </w:r>
      <w:r w:rsidRPr="00AF6450">
        <w:t xml:space="preserve"> the cost effectiveness of the treatments included, </w:t>
      </w:r>
      <w:r>
        <w:t xml:space="preserve">and potentially </w:t>
      </w:r>
      <w:r w:rsidRPr="00AF6450">
        <w:t>mask</w:t>
      </w:r>
      <w:r>
        <w:t>ed</w:t>
      </w:r>
      <w:r w:rsidRPr="00AF6450">
        <w:t xml:space="preserve"> cost</w:t>
      </w:r>
      <w:r>
        <w:t>-ineffective</w:t>
      </w:r>
      <w:r w:rsidRPr="00AF6450">
        <w:t xml:space="preserve"> individual treatments.</w:t>
      </w:r>
      <w:r>
        <w:rPr>
          <w:lang w:val="en-GB"/>
        </w:rPr>
        <w:t xml:space="preserve"> The c</w:t>
      </w:r>
      <w:r w:rsidR="00925EB2">
        <w:rPr>
          <w:lang w:val="en-GB"/>
        </w:rPr>
        <w:t xml:space="preserve">ommittee concluded </w:t>
      </w:r>
      <w:r w:rsidR="00945636">
        <w:rPr>
          <w:lang w:val="en-GB"/>
        </w:rPr>
        <w:t>that the c</w:t>
      </w:r>
      <w:r w:rsidR="00BF246E">
        <w:rPr>
          <w:lang w:val="en-GB"/>
        </w:rPr>
        <w:t>o</w:t>
      </w:r>
      <w:r w:rsidR="00945636">
        <w:rPr>
          <w:lang w:val="en-GB"/>
        </w:rPr>
        <w:t xml:space="preserve">st effectiveness of idelalisib therefore needed to </w:t>
      </w:r>
      <w:r w:rsidR="006F1B1D">
        <w:rPr>
          <w:lang w:val="en-GB"/>
        </w:rPr>
        <w:t xml:space="preserve">be </w:t>
      </w:r>
      <w:r w:rsidR="00945636">
        <w:rPr>
          <w:lang w:val="en-GB"/>
        </w:rPr>
        <w:t>considered against each chemotherapy treatment individually</w:t>
      </w:r>
      <w:r w:rsidR="00FE0AB3">
        <w:rPr>
          <w:lang w:val="en-GB"/>
        </w:rPr>
        <w:t>.</w:t>
      </w:r>
    </w:p>
    <w:p w14:paraId="314D72B5" w14:textId="648E1D91" w:rsidR="00626404" w:rsidRDefault="00626404" w:rsidP="00626404">
      <w:pPr>
        <w:pStyle w:val="Heading2"/>
      </w:pPr>
      <w:r>
        <w:t>Utility values in the economic models</w:t>
      </w:r>
    </w:p>
    <w:p w14:paraId="03366A0A" w14:textId="71E58FB7" w:rsidR="00626404" w:rsidRDefault="005D244A" w:rsidP="00626404">
      <w:pPr>
        <w:pStyle w:val="Heading3"/>
      </w:pPr>
      <w:r>
        <w:t>U</w:t>
      </w:r>
      <w:r w:rsidR="00626404">
        <w:t>tility values</w:t>
      </w:r>
      <w:r>
        <w:t xml:space="preserve"> based on the DELTA study should be explored</w:t>
      </w:r>
    </w:p>
    <w:p w14:paraId="598EC4C4" w14:textId="4E638151" w:rsidR="00626404" w:rsidRPr="00461343" w:rsidRDefault="00626404" w:rsidP="00626404">
      <w:pPr>
        <w:pStyle w:val="Numberedlevel2text"/>
        <w:numPr>
          <w:ilvl w:val="1"/>
          <w:numId w:val="1"/>
        </w:numPr>
      </w:pPr>
      <w:r w:rsidRPr="008E7539">
        <w:rPr>
          <w:lang w:val="en-GB"/>
        </w:rPr>
        <w:t xml:space="preserve">The company presented utility values </w:t>
      </w:r>
      <w:r>
        <w:t>to reflect health</w:t>
      </w:r>
      <w:r w:rsidR="00692D4F">
        <w:rPr>
          <w:lang w:val="en-GB"/>
        </w:rPr>
        <w:t>-</w:t>
      </w:r>
      <w:r>
        <w:t xml:space="preserve">related quality of life </w:t>
      </w:r>
      <w:r w:rsidRPr="008E7539">
        <w:rPr>
          <w:lang w:val="en-GB"/>
        </w:rPr>
        <w:t xml:space="preserve">from a published study and the ERG presented scenario analyses with alternative utility values from other published studies. The clinical experts agreed that all </w:t>
      </w:r>
      <w:r>
        <w:rPr>
          <w:lang w:val="en-GB"/>
        </w:rPr>
        <w:t xml:space="preserve">values </w:t>
      </w:r>
      <w:r w:rsidRPr="008E7539">
        <w:rPr>
          <w:lang w:val="en-GB"/>
        </w:rPr>
        <w:t xml:space="preserve">seemed reasonable </w:t>
      </w:r>
      <w:r w:rsidR="007F4AAC">
        <w:rPr>
          <w:lang w:val="en-GB"/>
        </w:rPr>
        <w:t>because</w:t>
      </w:r>
      <w:r w:rsidR="007F4AAC" w:rsidRPr="008E7539">
        <w:rPr>
          <w:lang w:val="en-GB"/>
        </w:rPr>
        <w:t xml:space="preserve"> </w:t>
      </w:r>
      <w:r w:rsidRPr="008E7539">
        <w:rPr>
          <w:lang w:val="en-GB"/>
        </w:rPr>
        <w:t>people with follicular lymphoma can expect a high utility value once the bulk of the disease has decreased. The ERG questioned why the company did not use health-related quality</w:t>
      </w:r>
      <w:r w:rsidR="007F4AAC">
        <w:rPr>
          <w:lang w:val="en-GB"/>
        </w:rPr>
        <w:t>-</w:t>
      </w:r>
      <w:r w:rsidRPr="008E7539">
        <w:rPr>
          <w:lang w:val="en-GB"/>
        </w:rPr>
        <w:t>of</w:t>
      </w:r>
      <w:r w:rsidR="007F4AAC">
        <w:rPr>
          <w:lang w:val="en-GB"/>
        </w:rPr>
        <w:t>-</w:t>
      </w:r>
      <w:r w:rsidRPr="008E7539">
        <w:rPr>
          <w:lang w:val="en-GB"/>
        </w:rPr>
        <w:t>life data (FACT</w:t>
      </w:r>
      <w:r w:rsidR="007F4AAC">
        <w:rPr>
          <w:lang w:val="en-GB"/>
        </w:rPr>
        <w:noBreakHyphen/>
      </w:r>
      <w:r w:rsidRPr="008E7539">
        <w:rPr>
          <w:lang w:val="en-GB"/>
        </w:rPr>
        <w:t>G instrument) from DELTA. The company responded that there were no mapping algorithms available for the target population and that the FACT</w:t>
      </w:r>
      <w:r w:rsidR="007F4AAC">
        <w:rPr>
          <w:lang w:val="en-GB"/>
        </w:rPr>
        <w:noBreakHyphen/>
      </w:r>
      <w:r w:rsidRPr="008E7539">
        <w:rPr>
          <w:lang w:val="en-GB"/>
        </w:rPr>
        <w:t xml:space="preserve">G instrument does not capture key elements of quality of life in </w:t>
      </w:r>
      <w:r w:rsidR="007F4AAC" w:rsidRPr="008E7539">
        <w:rPr>
          <w:lang w:val="en-GB"/>
        </w:rPr>
        <w:t xml:space="preserve">patients </w:t>
      </w:r>
      <w:r w:rsidR="007F4AAC">
        <w:rPr>
          <w:lang w:val="en-GB"/>
        </w:rPr>
        <w:t xml:space="preserve">with </w:t>
      </w:r>
      <w:r w:rsidRPr="008E7539">
        <w:rPr>
          <w:lang w:val="en-GB"/>
        </w:rPr>
        <w:t>follicular lymphoma. The committee concluded that</w:t>
      </w:r>
      <w:r>
        <w:rPr>
          <w:lang w:val="en-GB"/>
        </w:rPr>
        <w:t>,</w:t>
      </w:r>
      <w:r w:rsidRPr="008E7539">
        <w:rPr>
          <w:lang w:val="en-GB"/>
        </w:rPr>
        <w:t xml:space="preserve"> nevertheless, this analysis would be useful as validation of the chosen utility inputs.</w:t>
      </w:r>
    </w:p>
    <w:p w14:paraId="551F89D1" w14:textId="3184FC8D" w:rsidR="00626404" w:rsidRDefault="00626404" w:rsidP="00626404">
      <w:pPr>
        <w:pStyle w:val="Heading3"/>
      </w:pPr>
      <w:r>
        <w:t xml:space="preserve">Adverse </w:t>
      </w:r>
      <w:r w:rsidR="002E3F3A">
        <w:t>effects</w:t>
      </w:r>
      <w:r>
        <w:t xml:space="preserve"> </w:t>
      </w:r>
      <w:r w:rsidR="007F4AAC">
        <w:t xml:space="preserve">with </w:t>
      </w:r>
      <w:r>
        <w:t xml:space="preserve">idelalisib are different than </w:t>
      </w:r>
      <w:r w:rsidR="007F4AAC">
        <w:t xml:space="preserve">those with </w:t>
      </w:r>
      <w:r>
        <w:t>chemotherapy</w:t>
      </w:r>
    </w:p>
    <w:p w14:paraId="35F6F603" w14:textId="5BE5DA1C" w:rsidR="00626404" w:rsidRPr="008A376B" w:rsidRDefault="00626404" w:rsidP="00626404">
      <w:pPr>
        <w:pStyle w:val="Numberedlevel2text"/>
        <w:numPr>
          <w:ilvl w:val="1"/>
          <w:numId w:val="1"/>
        </w:numPr>
      </w:pPr>
      <w:r>
        <w:rPr>
          <w:lang w:val="en-GB"/>
        </w:rPr>
        <w:t>The committee noted the potential serious adverse e</w:t>
      </w:r>
      <w:r w:rsidR="002E3F3A">
        <w:rPr>
          <w:lang w:val="en-GB"/>
        </w:rPr>
        <w:t>ffects</w:t>
      </w:r>
      <w:r>
        <w:rPr>
          <w:lang w:val="en-GB"/>
        </w:rPr>
        <w:t xml:space="preserve"> in people </w:t>
      </w:r>
      <w:r w:rsidR="007F4AAC">
        <w:rPr>
          <w:lang w:val="en-GB"/>
        </w:rPr>
        <w:t xml:space="preserve">having </w:t>
      </w:r>
      <w:r>
        <w:rPr>
          <w:lang w:val="en-GB"/>
        </w:rPr>
        <w:t>idelalisib outlined in the European Medicine Agency’s Risk Management plan</w:t>
      </w:r>
      <w:r w:rsidR="007F4AAC">
        <w:rPr>
          <w:lang w:val="en-GB"/>
        </w:rPr>
        <w:t>,</w:t>
      </w:r>
      <w:r>
        <w:rPr>
          <w:lang w:val="en-GB"/>
        </w:rPr>
        <w:t xml:space="preserve"> which include </w:t>
      </w:r>
      <w:r w:rsidRPr="00382BAF">
        <w:rPr>
          <w:lang w:val="en-GB"/>
        </w:rPr>
        <w:t>severe drug-related colitis</w:t>
      </w:r>
      <w:r>
        <w:rPr>
          <w:lang w:val="en-GB"/>
        </w:rPr>
        <w:t xml:space="preserve">, </w:t>
      </w:r>
      <w:r w:rsidRPr="00382BAF">
        <w:rPr>
          <w:lang w:val="en-GB"/>
        </w:rPr>
        <w:t>pneumonitis and organising pneumonia</w:t>
      </w:r>
      <w:r w:rsidR="007F4AAC">
        <w:rPr>
          <w:lang w:val="en-GB"/>
        </w:rPr>
        <w:t>,</w:t>
      </w:r>
      <w:r>
        <w:rPr>
          <w:lang w:val="en-GB"/>
        </w:rPr>
        <w:t xml:space="preserve"> and serious infections. The company did not provide relative safety data for chemotherapy. The clinical experts commented that adverse events </w:t>
      </w:r>
      <w:r w:rsidR="007F4AAC">
        <w:rPr>
          <w:lang w:val="en-GB"/>
        </w:rPr>
        <w:t xml:space="preserve">with </w:t>
      </w:r>
      <w:r>
        <w:rPr>
          <w:lang w:val="en-GB"/>
        </w:rPr>
        <w:t xml:space="preserve">chemotherapy are qualitatively different to </w:t>
      </w:r>
      <w:r w:rsidR="007F4AAC">
        <w:rPr>
          <w:lang w:val="en-GB"/>
        </w:rPr>
        <w:t xml:space="preserve">those with </w:t>
      </w:r>
      <w:r>
        <w:rPr>
          <w:lang w:val="en-GB"/>
        </w:rPr>
        <w:t xml:space="preserve">idelalisib, so it is difficult to comment on the </w:t>
      </w:r>
      <w:r w:rsidR="007F4AAC">
        <w:rPr>
          <w:lang w:val="en-GB"/>
        </w:rPr>
        <w:t>comparative</w:t>
      </w:r>
      <w:r>
        <w:rPr>
          <w:lang w:val="en-GB"/>
        </w:rPr>
        <w:t xml:space="preserve"> safety profiles. The committee considered that the adverse effects of chemotherapy </w:t>
      </w:r>
      <w:r w:rsidR="007F4AAC">
        <w:rPr>
          <w:lang w:val="en-GB"/>
        </w:rPr>
        <w:t xml:space="preserve">are </w:t>
      </w:r>
      <w:r>
        <w:rPr>
          <w:lang w:val="en-GB"/>
        </w:rPr>
        <w:t xml:space="preserve">unlikely to differ between haematological malignancies. The company included adverse events as disutilities within all the economic models, these disutility values were based on various sources and the incidence was estimated </w:t>
      </w:r>
      <w:r w:rsidR="007F4AAC">
        <w:rPr>
          <w:lang w:val="en-GB"/>
        </w:rPr>
        <w:t xml:space="preserve">using data </w:t>
      </w:r>
      <w:r>
        <w:rPr>
          <w:lang w:val="en-GB"/>
        </w:rPr>
        <w:t xml:space="preserve">from DELTA. The company models assumed the same incidence of disutilities for both idelalisib and chemotherapy. The clinical experts commented that idelalisib and chemotherapies will all have different toxicities, but idelalisib </w:t>
      </w:r>
      <w:r w:rsidR="007F4AAC">
        <w:rPr>
          <w:lang w:val="en-GB"/>
        </w:rPr>
        <w:t xml:space="preserve">has </w:t>
      </w:r>
      <w:r>
        <w:rPr>
          <w:lang w:val="en-GB"/>
        </w:rPr>
        <w:t xml:space="preserve">generally </w:t>
      </w:r>
      <w:r w:rsidR="007F4AAC">
        <w:rPr>
          <w:lang w:val="en-GB"/>
        </w:rPr>
        <w:t xml:space="preserve">been </w:t>
      </w:r>
      <w:r>
        <w:rPr>
          <w:lang w:val="en-GB"/>
        </w:rPr>
        <w:t xml:space="preserve">well tolerated within its risk management plan. The committee noted that adverse event disutility is not a key driver in the model. </w:t>
      </w:r>
      <w:r w:rsidR="007F4AAC">
        <w:rPr>
          <w:lang w:val="en-GB"/>
        </w:rPr>
        <w:t>It</w:t>
      </w:r>
      <w:r>
        <w:rPr>
          <w:lang w:val="en-GB"/>
        </w:rPr>
        <w:t xml:space="preserve"> concluded that idelalisib is unlikely to have the same adverse event disutility as the average</w:t>
      </w:r>
      <w:r w:rsidR="007F4AAC">
        <w:rPr>
          <w:lang w:val="en-GB"/>
        </w:rPr>
        <w:t xml:space="preserve"> disutility for</w:t>
      </w:r>
      <w:r>
        <w:rPr>
          <w:lang w:val="en-GB"/>
        </w:rPr>
        <w:t xml:space="preserve"> possible chemotherapy treatments, but is unlikely </w:t>
      </w:r>
      <w:r w:rsidR="00961A88">
        <w:rPr>
          <w:lang w:val="en-GB"/>
        </w:rPr>
        <w:t xml:space="preserve">to </w:t>
      </w:r>
      <w:r>
        <w:rPr>
          <w:lang w:val="en-GB"/>
        </w:rPr>
        <w:t>markedly change the outcomes from the model.</w:t>
      </w:r>
    </w:p>
    <w:p w14:paraId="5E4897D2" w14:textId="1BED3D44" w:rsidR="00626404" w:rsidRDefault="00626404" w:rsidP="00626404">
      <w:pPr>
        <w:pStyle w:val="Heading2"/>
      </w:pPr>
      <w:r>
        <w:t>Cost</w:t>
      </w:r>
      <w:r w:rsidR="007F4AAC">
        <w:t>-</w:t>
      </w:r>
      <w:r>
        <w:t>effectiveness estimates</w:t>
      </w:r>
    </w:p>
    <w:p w14:paraId="21F53F1D" w14:textId="77777777" w:rsidR="00626404" w:rsidRPr="00FB317E" w:rsidRDefault="00626404" w:rsidP="00626404">
      <w:pPr>
        <w:pStyle w:val="Heading3"/>
      </w:pPr>
      <w:r>
        <w:t>There are no plausible cost-effectiveness estimates</w:t>
      </w:r>
    </w:p>
    <w:p w14:paraId="042C44AA" w14:textId="594CF748" w:rsidR="00626404" w:rsidRPr="001F4960" w:rsidRDefault="00626404" w:rsidP="004C1814">
      <w:pPr>
        <w:pStyle w:val="Numberedlevel2text"/>
        <w:numPr>
          <w:ilvl w:val="1"/>
          <w:numId w:val="1"/>
        </w:numPr>
      </w:pPr>
      <w:r w:rsidRPr="00B23135">
        <w:rPr>
          <w:lang w:val="en-GB"/>
        </w:rPr>
        <w:t>The company presented a base-case incremental cost-effectiveness ratio (ICER) for comparison</w:t>
      </w:r>
      <w:r w:rsidR="006753E4">
        <w:rPr>
          <w:lang w:val="en-GB"/>
        </w:rPr>
        <w:t> </w:t>
      </w:r>
      <w:r w:rsidRPr="00B23135">
        <w:rPr>
          <w:lang w:val="en-GB"/>
        </w:rPr>
        <w:t>A of £26,076 per QALY gained</w:t>
      </w:r>
      <w:r w:rsidR="007F4AAC">
        <w:rPr>
          <w:lang w:val="en-GB"/>
        </w:rPr>
        <w:t>. H</w:t>
      </w:r>
      <w:r w:rsidRPr="00B23135">
        <w:rPr>
          <w:lang w:val="en-GB"/>
        </w:rPr>
        <w:t>owever</w:t>
      </w:r>
      <w:r w:rsidR="007F4AAC">
        <w:rPr>
          <w:lang w:val="en-GB"/>
        </w:rPr>
        <w:t>,</w:t>
      </w:r>
      <w:r w:rsidRPr="00B23135">
        <w:rPr>
          <w:lang w:val="en-GB"/>
        </w:rPr>
        <w:t xml:space="preserve"> this increased to £32,882 per QALY gained with the ERG’s corrections to the model. The company also presented an ICER of £47,011 per QALY gained for comparison C, </w:t>
      </w:r>
      <w:r w:rsidR="007F4AAC">
        <w:rPr>
          <w:lang w:val="en-GB"/>
        </w:rPr>
        <w:t xml:space="preserve">which </w:t>
      </w:r>
      <w:r w:rsidRPr="00B23135">
        <w:rPr>
          <w:lang w:val="en-GB"/>
        </w:rPr>
        <w:t xml:space="preserve">increased to £58,754 per QALY gained with the ERG’s corrections. </w:t>
      </w:r>
      <w:r w:rsidR="00E40485" w:rsidRPr="001F4960">
        <w:t>Because of the substantial uncertainty around the clinical and cost inputs to the model, the committee considered that no</w:t>
      </w:r>
      <w:r w:rsidR="00E40485">
        <w:rPr>
          <w:lang w:val="en-GB"/>
        </w:rPr>
        <w:t>ne of these</w:t>
      </w:r>
      <w:r w:rsidR="00E40485" w:rsidRPr="001F4960">
        <w:t xml:space="preserve"> estimates were valid. </w:t>
      </w:r>
      <w:r w:rsidR="00E40485">
        <w:rPr>
          <w:lang w:val="en-GB"/>
        </w:rPr>
        <w:t>Furthermore, a</w:t>
      </w:r>
      <w:r w:rsidRPr="00B23135">
        <w:rPr>
          <w:lang w:val="en-GB"/>
        </w:rPr>
        <w:t>ll ICERs presented were deterministic</w:t>
      </w:r>
      <w:r w:rsidR="007F4AAC">
        <w:rPr>
          <w:lang w:val="en-GB"/>
        </w:rPr>
        <w:t>,</w:t>
      </w:r>
      <w:r w:rsidRPr="00B23135">
        <w:rPr>
          <w:lang w:val="en-GB"/>
        </w:rPr>
        <w:t xml:space="preserve"> which </w:t>
      </w:r>
      <w:r w:rsidR="005D244A">
        <w:rPr>
          <w:lang w:val="en-GB"/>
        </w:rPr>
        <w:t>does not reflect the uncertainty in the evidence</w:t>
      </w:r>
      <w:r w:rsidR="00E40485">
        <w:rPr>
          <w:lang w:val="en-GB"/>
        </w:rPr>
        <w:t xml:space="preserve"> base</w:t>
      </w:r>
      <w:r w:rsidRPr="00B23135">
        <w:rPr>
          <w:lang w:val="en-GB"/>
        </w:rPr>
        <w:t>.</w:t>
      </w:r>
      <w:r>
        <w:rPr>
          <w:lang w:val="en-GB"/>
        </w:rPr>
        <w:t xml:space="preserve"> </w:t>
      </w:r>
      <w:r w:rsidRPr="001F4960">
        <w:t>The committee also recognised</w:t>
      </w:r>
      <w:r w:rsidR="0078256D">
        <w:t>,</w:t>
      </w:r>
      <w:r w:rsidR="0078256D" w:rsidRPr="001F4960">
        <w:t xml:space="preserve"> in line with NICE</w:t>
      </w:r>
      <w:r w:rsidR="006753E4">
        <w:t>’s </w:t>
      </w:r>
      <w:hyperlink r:id="rId13" w:tgtFrame="_top" w:history="1">
        <w:r w:rsidR="006753E4" w:rsidRPr="00CE73A4">
          <w:rPr>
            <w:rStyle w:val="Hyperlink"/>
          </w:rPr>
          <w:t>guide to the methods of technology appraisal</w:t>
        </w:r>
      </w:hyperlink>
      <w:r w:rsidR="009376C6">
        <w:t>,</w:t>
      </w:r>
      <w:r w:rsidRPr="001F4960">
        <w:t xml:space="preserve"> </w:t>
      </w:r>
      <w:r w:rsidR="0078256D">
        <w:t>that given the high level of</w:t>
      </w:r>
      <w:r w:rsidRPr="001F4960">
        <w:t xml:space="preserve"> uncertain</w:t>
      </w:r>
      <w:r w:rsidR="0078256D">
        <w:t>ty</w:t>
      </w:r>
      <w:r w:rsidR="009376C6">
        <w:t xml:space="preserve"> associated with the analyses</w:t>
      </w:r>
      <w:r w:rsidR="0078256D">
        <w:t xml:space="preserve"> it would be inappropriate to consider idelalisib to be</w:t>
      </w:r>
      <w:r w:rsidR="009376C6">
        <w:t xml:space="preserve"> a</w:t>
      </w:r>
      <w:r w:rsidR="0078256D">
        <w:t xml:space="preserve"> </w:t>
      </w:r>
      <w:r w:rsidRPr="001F4960">
        <w:t>cost-effective</w:t>
      </w:r>
      <w:r w:rsidR="009376C6">
        <w:t xml:space="preserve"> use of NHS resources </w:t>
      </w:r>
      <w:r w:rsidR="0078256D">
        <w:t xml:space="preserve">unless </w:t>
      </w:r>
      <w:r w:rsidR="00E40485">
        <w:rPr>
          <w:lang w:val="en-GB"/>
        </w:rPr>
        <w:t xml:space="preserve">the most plausible </w:t>
      </w:r>
      <w:r w:rsidR="0078256D">
        <w:t xml:space="preserve">ICER values were towards the lower end of the </w:t>
      </w:r>
      <w:r w:rsidR="00E40485">
        <w:rPr>
          <w:lang w:val="en-GB"/>
        </w:rPr>
        <w:t>maximum acceptable ICER</w:t>
      </w:r>
      <w:r w:rsidR="00E40485" w:rsidRPr="001F4960">
        <w:t xml:space="preserve"> </w:t>
      </w:r>
      <w:r w:rsidR="0078256D">
        <w:t>range (</w:t>
      </w:r>
      <w:r w:rsidR="006753E4">
        <w:t>that is,</w:t>
      </w:r>
      <w:r w:rsidRPr="001F4960">
        <w:t xml:space="preserve"> £20,000 per QALY gained</w:t>
      </w:r>
      <w:r w:rsidR="0078256D">
        <w:t>)</w:t>
      </w:r>
      <w:r w:rsidRPr="001F4960">
        <w:t xml:space="preserve">. The committee concluded that none of the ICERs presented, </w:t>
      </w:r>
      <w:r w:rsidR="009376C6">
        <w:t xml:space="preserve">which </w:t>
      </w:r>
      <w:r w:rsidRPr="001F4960">
        <w:t>range</w:t>
      </w:r>
      <w:r w:rsidR="009376C6">
        <w:t>d</w:t>
      </w:r>
      <w:r w:rsidRPr="001F4960">
        <w:t xml:space="preserve"> </w:t>
      </w:r>
      <w:r w:rsidR="009376C6">
        <w:t>between</w:t>
      </w:r>
      <w:r w:rsidR="009376C6" w:rsidRPr="001F4960">
        <w:t xml:space="preserve"> </w:t>
      </w:r>
      <w:r w:rsidRPr="001F4960">
        <w:t xml:space="preserve">£16,855 </w:t>
      </w:r>
      <w:r w:rsidR="00E40485">
        <w:rPr>
          <w:lang w:val="en-GB"/>
        </w:rPr>
        <w:t>and</w:t>
      </w:r>
      <w:r w:rsidR="00E40485" w:rsidRPr="001F4960">
        <w:t xml:space="preserve"> </w:t>
      </w:r>
      <w:r w:rsidRPr="001F4960">
        <w:t>£95,120</w:t>
      </w:r>
      <w:r w:rsidR="009376C6">
        <w:t xml:space="preserve"> per QALY gained</w:t>
      </w:r>
      <w:r w:rsidRPr="001F4960">
        <w:t>, were reliable or accurate estimate</w:t>
      </w:r>
      <w:r w:rsidR="009376C6">
        <w:t xml:space="preserve">s, </w:t>
      </w:r>
      <w:r w:rsidR="006753E4">
        <w:t>so</w:t>
      </w:r>
      <w:r w:rsidR="009376C6">
        <w:t xml:space="preserve"> idelalisib could not be considered cost effective.</w:t>
      </w:r>
    </w:p>
    <w:p w14:paraId="6C56B12D" w14:textId="29718416" w:rsidR="00252CF0" w:rsidRDefault="00252CF0" w:rsidP="00252CF0">
      <w:pPr>
        <w:pStyle w:val="Heading3"/>
      </w:pPr>
      <w:r>
        <w:t>The current analyses do not represent a reliable source of cost effectiveness</w:t>
      </w:r>
      <w:r w:rsidR="009376C6">
        <w:t xml:space="preserve"> but could be improved</w:t>
      </w:r>
    </w:p>
    <w:p w14:paraId="1F705534" w14:textId="5F49981F" w:rsidR="00E40485" w:rsidRPr="00E40485" w:rsidRDefault="00626404" w:rsidP="00E40485">
      <w:pPr>
        <w:pStyle w:val="Numberedlevel2text"/>
        <w:rPr>
          <w:lang w:val="en-GB"/>
        </w:rPr>
      </w:pPr>
      <w:r>
        <w:t>The committ</w:t>
      </w:r>
      <w:r w:rsidR="00961A88">
        <w:t xml:space="preserve">ee </w:t>
      </w:r>
      <w:r w:rsidR="00E40485">
        <w:rPr>
          <w:lang w:val="en-GB"/>
        </w:rPr>
        <w:t xml:space="preserve">agreed that the key uncertainties in the model </w:t>
      </w:r>
      <w:r w:rsidR="007C260A">
        <w:rPr>
          <w:lang w:val="en-GB"/>
        </w:rPr>
        <w:t>came from</w:t>
      </w:r>
      <w:bookmarkStart w:id="1" w:name="_GoBack"/>
      <w:bookmarkEnd w:id="1"/>
      <w:r w:rsidR="00E40485">
        <w:rPr>
          <w:lang w:val="en-GB"/>
        </w:rPr>
        <w:t xml:space="preserve"> the modelling of survival </w:t>
      </w:r>
      <w:r w:rsidR="00B3333B">
        <w:rPr>
          <w:lang w:val="en-GB"/>
        </w:rPr>
        <w:t>outcomes</w:t>
      </w:r>
      <w:r w:rsidR="00E40485">
        <w:rPr>
          <w:lang w:val="en-GB"/>
        </w:rPr>
        <w:t>, namely:</w:t>
      </w:r>
    </w:p>
    <w:p w14:paraId="090E5E77" w14:textId="77777777" w:rsidR="00E40485" w:rsidRPr="00E40485" w:rsidRDefault="00E40485" w:rsidP="004C1814">
      <w:pPr>
        <w:pStyle w:val="Bulletindent1"/>
      </w:pPr>
      <w:r w:rsidRPr="00E40485">
        <w:t>use of the hazard ratio estimate to adjust previous lines of treatment in comparisons A and C (see section 3.15)</w:t>
      </w:r>
    </w:p>
    <w:p w14:paraId="3920AA6B" w14:textId="77777777" w:rsidR="00B3333B" w:rsidRPr="00E40485" w:rsidRDefault="00B3333B" w:rsidP="00B3333B">
      <w:pPr>
        <w:pStyle w:val="Bulletindent1"/>
      </w:pPr>
      <w:r w:rsidRPr="00E40485">
        <w:t>inconsistency of model survival outputs between comparisons A and B (see section 3.17)</w:t>
      </w:r>
    </w:p>
    <w:p w14:paraId="074AB42E" w14:textId="77777777" w:rsidR="00E40485" w:rsidRPr="00E40485" w:rsidRDefault="00E40485" w:rsidP="004C1814">
      <w:pPr>
        <w:pStyle w:val="Bulletindent1"/>
      </w:pPr>
      <w:r w:rsidRPr="00E40485">
        <w:t>time-to-progression extrapolation in comparisons A and C (see section 3.16)</w:t>
      </w:r>
    </w:p>
    <w:p w14:paraId="57EEFDFC" w14:textId="77777777" w:rsidR="00E40485" w:rsidRPr="00E40485" w:rsidRDefault="00E40485" w:rsidP="004C1814">
      <w:pPr>
        <w:pStyle w:val="Bulletindent1last"/>
      </w:pPr>
      <w:r w:rsidRPr="00E40485">
        <w:t>reliability of overall survival curves used in comparison B (see section 3.17)</w:t>
      </w:r>
    </w:p>
    <w:p w14:paraId="163275F8" w14:textId="4951736E" w:rsidR="00B3333B" w:rsidRDefault="00B3333B" w:rsidP="004C1814">
      <w:pPr>
        <w:pStyle w:val="NICEnormalindented"/>
      </w:pPr>
      <w:r>
        <w:t xml:space="preserve">To </w:t>
      </w:r>
      <w:r w:rsidR="00F80CF6">
        <w:t xml:space="preserve">improve the quality of the evidence and </w:t>
      </w:r>
      <w:r>
        <w:t xml:space="preserve">further characterise the uncertainty, the committee agreed that </w:t>
      </w:r>
      <w:r w:rsidR="00F80CF6">
        <w:t>additional</w:t>
      </w:r>
      <w:r>
        <w:t xml:space="preserve"> analyses around the key model parameters should be presented. These could include:</w:t>
      </w:r>
    </w:p>
    <w:p w14:paraId="1B34236C" w14:textId="77777777" w:rsidR="00B3333B" w:rsidRDefault="00B3333B" w:rsidP="00B3333B">
      <w:pPr>
        <w:pStyle w:val="Bulletindent1"/>
      </w:pPr>
      <w:r>
        <w:t>calibrating the Markov models for comparisons A, C and D to better match model predictions of the observed data</w:t>
      </w:r>
    </w:p>
    <w:p w14:paraId="57D3C989" w14:textId="77777777" w:rsidR="00B3333B" w:rsidRDefault="00B3333B" w:rsidP="00B3333B">
      <w:pPr>
        <w:pStyle w:val="Bulletindent1"/>
      </w:pPr>
      <w:r>
        <w:t>carrying out alternative MAIC adjustment scenarios from the sensitivity analysis of the MAIC adjustment, including number of matched characteristics and population in which the adjustment took place</w:t>
      </w:r>
    </w:p>
    <w:p w14:paraId="3197E36C" w14:textId="3FCE46C1" w:rsidR="00B3333B" w:rsidRPr="004C1814" w:rsidRDefault="00B3333B" w:rsidP="004C1814">
      <w:pPr>
        <w:pStyle w:val="Bulletindent1"/>
      </w:pPr>
      <w:r>
        <w:rPr>
          <w:lang w:val="en-GB"/>
        </w:rPr>
        <w:t>exploring uncertainty around the cost effectiveness of individual chemotherapy regimens</w:t>
      </w:r>
    </w:p>
    <w:p w14:paraId="213B5EB6" w14:textId="77777777" w:rsidR="00B3333B" w:rsidRDefault="00B3333B" w:rsidP="004C1814">
      <w:pPr>
        <w:pStyle w:val="Bulletindent1"/>
      </w:pPr>
      <w:r>
        <w:t>doing a probabilistic sensitivity analysis for all comparisons to capture the uncertainty within each ICER estimate</w:t>
      </w:r>
      <w:r w:rsidRPr="00B3333B">
        <w:rPr>
          <w:lang w:val="en-GB"/>
        </w:rPr>
        <w:t>.</w:t>
      </w:r>
    </w:p>
    <w:p w14:paraId="06928C02" w14:textId="5B83EBF4" w:rsidR="00E40485" w:rsidRPr="00B3333B" w:rsidRDefault="00B3333B" w:rsidP="004C1814">
      <w:pPr>
        <w:pStyle w:val="Bulletindent1last"/>
      </w:pPr>
      <w:proofErr w:type="gramStart"/>
      <w:r>
        <w:t>exploring</w:t>
      </w:r>
      <w:proofErr w:type="gramEnd"/>
      <w:r>
        <w:t xml:space="preserve"> trial-based </w:t>
      </w:r>
      <w:r w:rsidR="00E40485" w:rsidRPr="00B3333B">
        <w:t xml:space="preserve">utility values </w:t>
      </w:r>
      <w:r>
        <w:t>in</w:t>
      </w:r>
      <w:r w:rsidR="00E40485" w:rsidRPr="00B3333B">
        <w:t xml:space="preserve"> all comparisons (see section 3.19)</w:t>
      </w:r>
      <w:r>
        <w:t>.</w:t>
      </w:r>
    </w:p>
    <w:p w14:paraId="44B254EE" w14:textId="77777777" w:rsidR="00626404" w:rsidRDefault="00626404" w:rsidP="00626404">
      <w:pPr>
        <w:pStyle w:val="Heading2"/>
      </w:pPr>
      <w:r>
        <w:t>End of life</w:t>
      </w:r>
    </w:p>
    <w:p w14:paraId="087100A9" w14:textId="77777777" w:rsidR="00626404" w:rsidRPr="00DF0C5C" w:rsidRDefault="00626404" w:rsidP="00626404">
      <w:pPr>
        <w:pStyle w:val="Heading3"/>
      </w:pPr>
      <w:r>
        <w:t>The committee concluded there was not enough information about end-of-life considerations</w:t>
      </w:r>
    </w:p>
    <w:p w14:paraId="723310D5" w14:textId="1738FCA9" w:rsidR="00626404" w:rsidRDefault="00626404" w:rsidP="00626404">
      <w:pPr>
        <w:pStyle w:val="Numberedlevel2text"/>
        <w:numPr>
          <w:ilvl w:val="1"/>
          <w:numId w:val="1"/>
        </w:numPr>
      </w:pPr>
      <w:r>
        <w:t xml:space="preserve">The committee considered the </w:t>
      </w:r>
      <w:r w:rsidRPr="00611D94">
        <w:t>advice</w:t>
      </w:r>
      <w:r>
        <w:t xml:space="preserve"> about life-extending treatments for people with a short life expectancy in NICE’s </w:t>
      </w:r>
      <w:hyperlink r:id="rId14" w:history="1">
        <w:r>
          <w:rPr>
            <w:rStyle w:val="Hyperlink"/>
          </w:rPr>
          <w:t>guide to the methods of technology appraisal</w:t>
        </w:r>
      </w:hyperlink>
      <w:r w:rsidR="00AE61E2">
        <w:rPr>
          <w:lang w:val="en-GB"/>
        </w:rPr>
        <w:t>:</w:t>
      </w:r>
    </w:p>
    <w:p w14:paraId="2C19B97C" w14:textId="3240EE0A" w:rsidR="00626404" w:rsidRPr="008767E5" w:rsidRDefault="00626404" w:rsidP="002E3F3A">
      <w:pPr>
        <w:pStyle w:val="Bulletindent1"/>
      </w:pPr>
      <w:r>
        <w:t>The committee discussed whether the mean life expectancy using standard care was li</w:t>
      </w:r>
      <w:r w:rsidR="00961A88">
        <w:t>kely to be less than 24</w:t>
      </w:r>
      <w:r w:rsidR="00AE61E2">
        <w:t> </w:t>
      </w:r>
      <w:r w:rsidR="00961A88">
        <w:t>months.</w:t>
      </w:r>
      <w:r>
        <w:t xml:space="preserve"> It was presented with </w:t>
      </w:r>
      <w:r w:rsidR="00AE61E2">
        <w:t xml:space="preserve">a </w:t>
      </w:r>
      <w:r>
        <w:t>median life expectancy from the 26</w:t>
      </w:r>
      <w:r w:rsidR="00AE61E2">
        <w:t> </w:t>
      </w:r>
      <w:r>
        <w:t xml:space="preserve">patients in the HMRN cohort and </w:t>
      </w:r>
      <w:r w:rsidR="00AE61E2">
        <w:t xml:space="preserve">a </w:t>
      </w:r>
      <w:r>
        <w:t>mean life expectancy as modelled in comparison A</w:t>
      </w:r>
      <w:r w:rsidR="00AE61E2">
        <w:t>,</w:t>
      </w:r>
      <w:r>
        <w:t xml:space="preserve"> which was considerabl</w:t>
      </w:r>
      <w:r w:rsidR="002E3F3A">
        <w:rPr>
          <w:lang w:val="en-GB"/>
        </w:rPr>
        <w:t>y</w:t>
      </w:r>
      <w:r>
        <w:t xml:space="preserve"> greater</w:t>
      </w:r>
      <w:r w:rsidR="00961A88">
        <w:t>.</w:t>
      </w:r>
      <w:r w:rsidR="00074987">
        <w:rPr>
          <w:lang w:val="en-GB"/>
        </w:rPr>
        <w:t xml:space="preserve"> </w:t>
      </w:r>
      <w:r>
        <w:t>The committee noted the large difference between the estimates</w:t>
      </w:r>
      <w:r w:rsidR="00AE61E2">
        <w:t>,</w:t>
      </w:r>
      <w:r>
        <w:t xml:space="preserve"> which highlighted concerns around </w:t>
      </w:r>
      <w:r w:rsidR="00AE61E2">
        <w:t xml:space="preserve">the data </w:t>
      </w:r>
      <w:r>
        <w:t xml:space="preserve">modelling. It concluded </w:t>
      </w:r>
      <w:r w:rsidR="00AE61E2">
        <w:t xml:space="preserve">that </w:t>
      </w:r>
      <w:r>
        <w:t>the median overall survival from the HMRN cohort was the most relevant, but likely underestimated the mean</w:t>
      </w:r>
      <w:r w:rsidR="00AE61E2">
        <w:t xml:space="preserve"> life expectancy</w:t>
      </w:r>
      <w:r>
        <w:t>. However, the committee raised concerns about</w:t>
      </w:r>
      <w:r w:rsidR="004D5CFD">
        <w:t xml:space="preserve"> the limited number of patients and</w:t>
      </w:r>
      <w:r>
        <w:t xml:space="preserve"> </w:t>
      </w:r>
      <w:r w:rsidR="00AE61E2">
        <w:t xml:space="preserve">the selection of </w:t>
      </w:r>
      <w:r>
        <w:t xml:space="preserve">only patients who </w:t>
      </w:r>
      <w:r w:rsidR="00AE61E2">
        <w:t xml:space="preserve">had </w:t>
      </w:r>
      <w:r>
        <w:t xml:space="preserve">chemotherapy as third-line treatment. The committee concluded that the evidence for short life expectancy was not robust and more evidence </w:t>
      </w:r>
      <w:r w:rsidR="00AE61E2">
        <w:t>wa</w:t>
      </w:r>
      <w:r>
        <w:t>s needed.</w:t>
      </w:r>
    </w:p>
    <w:p w14:paraId="71ED987E" w14:textId="675F3A25" w:rsidR="00626404" w:rsidRDefault="00626404" w:rsidP="002E3F3A">
      <w:pPr>
        <w:pStyle w:val="Bulletindent1last"/>
      </w:pPr>
      <w:r>
        <w:t xml:space="preserve">Given </w:t>
      </w:r>
      <w:r w:rsidR="00AE61E2">
        <w:t>its</w:t>
      </w:r>
      <w:r>
        <w:t xml:space="preserve"> concerns about the modelling and the inputs to the model, the committee did not consider that the model generated a valid estimate of the mean extension to life given by idelalisib. The committee concluded that the information presented </w:t>
      </w:r>
      <w:r w:rsidR="00AE61E2">
        <w:t xml:space="preserve">was </w:t>
      </w:r>
      <w:r>
        <w:t>not robust enough to conclude</w:t>
      </w:r>
      <w:r w:rsidR="00AE61E2">
        <w:t xml:space="preserve"> that</w:t>
      </w:r>
      <w:r>
        <w:t xml:space="preserve"> idelalisib is a life</w:t>
      </w:r>
      <w:r w:rsidR="00AE61E2">
        <w:t>-</w:t>
      </w:r>
      <w:r>
        <w:t>extending treatment.</w:t>
      </w:r>
    </w:p>
    <w:p w14:paraId="430020CB" w14:textId="77777777" w:rsidR="00626404" w:rsidRDefault="00626404" w:rsidP="00626404">
      <w:pPr>
        <w:pStyle w:val="Heading2"/>
      </w:pPr>
      <w:r>
        <w:t>Cancer Drugs Fund</w:t>
      </w:r>
    </w:p>
    <w:p w14:paraId="76F6F1DF" w14:textId="77777777" w:rsidR="00626404" w:rsidRDefault="00626404" w:rsidP="00626404">
      <w:pPr>
        <w:pStyle w:val="Heading3"/>
      </w:pPr>
      <w:r>
        <w:t>Idelalisib is not a candidate for the Cancer Drugs Fund</w:t>
      </w:r>
    </w:p>
    <w:p w14:paraId="7AA9E7F4" w14:textId="6F27A952" w:rsidR="00626404" w:rsidRDefault="00626404" w:rsidP="00626404">
      <w:pPr>
        <w:pStyle w:val="Numberedlevel2text"/>
        <w:numPr>
          <w:ilvl w:val="1"/>
          <w:numId w:val="1"/>
        </w:numPr>
      </w:pPr>
      <w:r w:rsidRPr="00386A4E">
        <w:t xml:space="preserve">Having concluded that </w:t>
      </w:r>
      <w:r>
        <w:rPr>
          <w:lang w:val="en-GB"/>
        </w:rPr>
        <w:t>idelalisib</w:t>
      </w:r>
      <w:r w:rsidRPr="00386A4E">
        <w:t xml:space="preserve"> could not be recommended for routine use, the committee then considered </w:t>
      </w:r>
      <w:r w:rsidR="00AE61E2">
        <w:rPr>
          <w:lang w:val="en-GB"/>
        </w:rPr>
        <w:t>whether</w:t>
      </w:r>
      <w:r w:rsidR="00AE61E2" w:rsidRPr="00386A4E">
        <w:t xml:space="preserve"> </w:t>
      </w:r>
      <w:r w:rsidRPr="00386A4E">
        <w:t xml:space="preserve">it could be recommended for treating </w:t>
      </w:r>
      <w:r>
        <w:rPr>
          <w:lang w:val="en-GB"/>
        </w:rPr>
        <w:t>follicular lymphoma</w:t>
      </w:r>
      <w:r w:rsidRPr="00386A4E">
        <w:t xml:space="preserve"> within the Cancer Drugs Fund. The committee discussed the arrangements for the Cancer Drugs Fund agreed by NICE and NHS England in 2016, noting </w:t>
      </w:r>
      <w:r>
        <w:rPr>
          <w:lang w:val="en-GB"/>
        </w:rPr>
        <w:t xml:space="preserve">NICE’s </w:t>
      </w:r>
      <w:hyperlink r:id="rId15" w:history="1">
        <w:r>
          <w:rPr>
            <w:rStyle w:val="Hyperlink"/>
            <w:lang w:val="en-GB"/>
          </w:rPr>
          <w:t>Cancer Drugs Fund methods guide (addendum)</w:t>
        </w:r>
      </w:hyperlink>
      <w:r w:rsidRPr="00386A4E">
        <w:t xml:space="preserve">. </w:t>
      </w:r>
      <w:r>
        <w:rPr>
          <w:lang w:val="en-GB"/>
        </w:rPr>
        <w:t xml:space="preserve">It also noted that the company had not expressed an interest in providing </w:t>
      </w:r>
      <w:r w:rsidR="00AE61E2">
        <w:rPr>
          <w:lang w:val="en-GB"/>
        </w:rPr>
        <w:t>idelalisib</w:t>
      </w:r>
      <w:r>
        <w:rPr>
          <w:lang w:val="en-GB"/>
        </w:rPr>
        <w:t xml:space="preserve"> through the Cancer Drugs Fund</w:t>
      </w:r>
      <w:r w:rsidR="00DC5ABA">
        <w:rPr>
          <w:lang w:val="en-GB"/>
        </w:rPr>
        <w:t xml:space="preserve">. The company confirmed that </w:t>
      </w:r>
      <w:r w:rsidR="006753E4">
        <w:rPr>
          <w:lang w:val="en-GB"/>
        </w:rPr>
        <w:t xml:space="preserve">there are </w:t>
      </w:r>
      <w:r w:rsidR="00DC5ABA">
        <w:rPr>
          <w:lang w:val="en-GB"/>
        </w:rPr>
        <w:t xml:space="preserve">no </w:t>
      </w:r>
      <w:r w:rsidR="006753E4">
        <w:rPr>
          <w:lang w:val="en-GB"/>
        </w:rPr>
        <w:t xml:space="preserve">ongoing </w:t>
      </w:r>
      <w:r w:rsidR="00DC5ABA">
        <w:rPr>
          <w:lang w:val="en-GB"/>
        </w:rPr>
        <w:t xml:space="preserve">comparative trials that </w:t>
      </w:r>
      <w:r w:rsidR="006753E4">
        <w:rPr>
          <w:lang w:val="en-GB"/>
        </w:rPr>
        <w:t xml:space="preserve">will be able to </w:t>
      </w:r>
      <w:r w:rsidR="00DC5ABA">
        <w:rPr>
          <w:lang w:val="en-GB"/>
        </w:rPr>
        <w:t>provide more robust, controlled evidence.</w:t>
      </w:r>
      <w:r>
        <w:rPr>
          <w:lang w:val="en-GB"/>
        </w:rPr>
        <w:t xml:space="preserve"> The committee appreciated that the Cancer Drugs Fund is designed to resolve uncertainties, and that the key uncertainty in this appraisal </w:t>
      </w:r>
      <w:r w:rsidR="00AE61E2">
        <w:rPr>
          <w:lang w:val="en-GB"/>
        </w:rPr>
        <w:t>were</w:t>
      </w:r>
      <w:r>
        <w:rPr>
          <w:lang w:val="en-GB"/>
        </w:rPr>
        <w:t xml:space="preserve"> the assumptions surrounding the effectiveness and adverse effects associated with chemotherapy</w:t>
      </w:r>
      <w:r w:rsidR="00AE61E2">
        <w:rPr>
          <w:lang w:val="en-GB"/>
        </w:rPr>
        <w:t xml:space="preserve">. It </w:t>
      </w:r>
      <w:r w:rsidR="009376C6">
        <w:rPr>
          <w:lang w:val="en-GB"/>
        </w:rPr>
        <w:t>was aware</w:t>
      </w:r>
      <w:r w:rsidR="00AE61E2">
        <w:rPr>
          <w:lang w:val="en-GB"/>
        </w:rPr>
        <w:t xml:space="preserve"> that</w:t>
      </w:r>
      <w:r>
        <w:rPr>
          <w:lang w:val="en-GB"/>
        </w:rPr>
        <w:t xml:space="preserve"> the Cancer Drugs Fund </w:t>
      </w:r>
      <w:r w:rsidR="009376C6">
        <w:rPr>
          <w:lang w:val="en-GB"/>
        </w:rPr>
        <w:t xml:space="preserve">could collect data on the intervention (idelalisib), but not the comparator (chemotherapy), </w:t>
      </w:r>
      <w:r w:rsidR="006753E4">
        <w:rPr>
          <w:lang w:val="en-GB"/>
        </w:rPr>
        <w:t>so</w:t>
      </w:r>
      <w:r w:rsidR="009376C6">
        <w:rPr>
          <w:lang w:val="en-GB"/>
        </w:rPr>
        <w:t xml:space="preserve"> </w:t>
      </w:r>
      <w:r>
        <w:rPr>
          <w:lang w:val="en-GB"/>
        </w:rPr>
        <w:t>would</w:t>
      </w:r>
      <w:r w:rsidR="009376C6">
        <w:rPr>
          <w:lang w:val="en-GB"/>
        </w:rPr>
        <w:t xml:space="preserve"> not be able to</w:t>
      </w:r>
      <w:r>
        <w:rPr>
          <w:lang w:val="en-GB"/>
        </w:rPr>
        <w:t xml:space="preserve"> resolve this uncertainty. </w:t>
      </w:r>
      <w:r w:rsidR="00AE61E2">
        <w:rPr>
          <w:lang w:val="en-GB"/>
        </w:rPr>
        <w:t>Also, t</w:t>
      </w:r>
      <w:r>
        <w:rPr>
          <w:lang w:val="en-GB"/>
        </w:rPr>
        <w:t>he committee could not determine whether idelalisib had ‘plausible potential’ to be cost</w:t>
      </w:r>
      <w:r w:rsidR="00AE61E2">
        <w:rPr>
          <w:lang w:val="en-GB"/>
        </w:rPr>
        <w:t xml:space="preserve"> </w:t>
      </w:r>
      <w:r>
        <w:rPr>
          <w:lang w:val="en-GB"/>
        </w:rPr>
        <w:t>effective (</w:t>
      </w:r>
      <w:r w:rsidR="00AE61E2">
        <w:rPr>
          <w:lang w:val="en-GB"/>
        </w:rPr>
        <w:t xml:space="preserve">see </w:t>
      </w:r>
      <w:r>
        <w:rPr>
          <w:lang w:val="en-GB"/>
        </w:rPr>
        <w:t>section</w:t>
      </w:r>
      <w:r w:rsidR="00AE61E2">
        <w:rPr>
          <w:lang w:val="en-GB"/>
        </w:rPr>
        <w:t> </w:t>
      </w:r>
      <w:r>
        <w:rPr>
          <w:lang w:val="en-GB"/>
        </w:rPr>
        <w:t>3.</w:t>
      </w:r>
      <w:r w:rsidR="008016D0">
        <w:rPr>
          <w:lang w:val="en-GB"/>
        </w:rPr>
        <w:t>21</w:t>
      </w:r>
      <w:r>
        <w:rPr>
          <w:lang w:val="en-GB"/>
        </w:rPr>
        <w:t>).</w:t>
      </w:r>
      <w:r>
        <w:t xml:space="preserve"> </w:t>
      </w:r>
      <w:r w:rsidR="00AE61E2">
        <w:rPr>
          <w:lang w:val="en-GB"/>
        </w:rPr>
        <w:t>It</w:t>
      </w:r>
      <w:r>
        <w:t xml:space="preserve"> concluded that idelalisib </w:t>
      </w:r>
      <w:r w:rsidR="00AE61E2">
        <w:rPr>
          <w:lang w:val="en-GB"/>
        </w:rPr>
        <w:t>could not be recommended</w:t>
      </w:r>
      <w:r>
        <w:t xml:space="preserve"> for use within the Cancer Drugs Fund as an option for follicular lymphoma </w:t>
      </w:r>
      <w:r w:rsidR="00AE61E2">
        <w:rPr>
          <w:lang w:val="en-GB"/>
        </w:rPr>
        <w:t>that had not responded to 2 previous</w:t>
      </w:r>
      <w:r>
        <w:t xml:space="preserve"> lines of therapy</w:t>
      </w:r>
      <w:r w:rsidR="00AE61E2">
        <w:rPr>
          <w:lang w:val="en-GB"/>
        </w:rPr>
        <w:t xml:space="preserve"> in adults</w:t>
      </w:r>
      <w:r>
        <w:t>.</w:t>
      </w:r>
    </w:p>
    <w:p w14:paraId="633463DD" w14:textId="77777777" w:rsidR="00626404" w:rsidRDefault="00626404" w:rsidP="00626404">
      <w:pPr>
        <w:pStyle w:val="Heading2"/>
      </w:pPr>
      <w:r>
        <w:t>Innovation</w:t>
      </w:r>
    </w:p>
    <w:p w14:paraId="6BE80899" w14:textId="618F3393" w:rsidR="00626404" w:rsidRPr="00735682" w:rsidRDefault="00626404" w:rsidP="00626404">
      <w:pPr>
        <w:pStyle w:val="Heading3"/>
      </w:pPr>
      <w:r>
        <w:t>I</w:t>
      </w:r>
      <w:r w:rsidR="00252CF0">
        <w:t>t is not clear if i</w:t>
      </w:r>
      <w:r>
        <w:t xml:space="preserve">delalisib </w:t>
      </w:r>
      <w:r w:rsidR="00252CF0">
        <w:t>is innovative</w:t>
      </w:r>
    </w:p>
    <w:p w14:paraId="3F9EC454" w14:textId="46FB6A62" w:rsidR="00626404" w:rsidRPr="007828DD" w:rsidRDefault="00626404" w:rsidP="00626404">
      <w:pPr>
        <w:pStyle w:val="Numberedlevel2text"/>
        <w:numPr>
          <w:ilvl w:val="1"/>
          <w:numId w:val="1"/>
        </w:numPr>
      </w:pPr>
      <w:r>
        <w:rPr>
          <w:lang w:val="en-GB"/>
        </w:rPr>
        <w:t xml:space="preserve">The committee noted that idelalisib </w:t>
      </w:r>
      <w:r w:rsidR="00AE61E2">
        <w:rPr>
          <w:lang w:val="en-GB"/>
        </w:rPr>
        <w:t xml:space="preserve">is </w:t>
      </w:r>
      <w:r>
        <w:rPr>
          <w:lang w:val="en-GB"/>
        </w:rPr>
        <w:t xml:space="preserve">innovative in that it has a different mechanism of action to other available treatments for </w:t>
      </w:r>
      <w:r w:rsidR="00961A88">
        <w:rPr>
          <w:lang w:val="en-GB"/>
        </w:rPr>
        <w:t>‘double</w:t>
      </w:r>
      <w:r w:rsidR="005E2738">
        <w:rPr>
          <w:lang w:val="en-GB"/>
        </w:rPr>
        <w:t>-</w:t>
      </w:r>
      <w:r w:rsidR="00961A88">
        <w:rPr>
          <w:lang w:val="en-GB"/>
        </w:rPr>
        <w:t xml:space="preserve">refractory’ </w:t>
      </w:r>
      <w:r>
        <w:rPr>
          <w:lang w:val="en-GB"/>
        </w:rPr>
        <w:t>follicular lymphoma, and addresses an area of unmet clinical need (see section</w:t>
      </w:r>
      <w:r w:rsidR="00AE61E2">
        <w:rPr>
          <w:lang w:val="en-GB"/>
        </w:rPr>
        <w:t> </w:t>
      </w:r>
      <w:r>
        <w:rPr>
          <w:lang w:val="en-GB"/>
        </w:rPr>
        <w:t xml:space="preserve">3.1). </w:t>
      </w:r>
      <w:r w:rsidR="003F5539">
        <w:rPr>
          <w:lang w:val="en-GB"/>
        </w:rPr>
        <w:t xml:space="preserve">It concluded that the model captured all quality-of-life improvements, including its oral route of administration. </w:t>
      </w:r>
      <w:r w:rsidR="00252CF0">
        <w:rPr>
          <w:lang w:val="en-GB"/>
        </w:rPr>
        <w:t>However, the committee could not determine</w:t>
      </w:r>
      <w:r w:rsidR="003F5539">
        <w:rPr>
          <w:lang w:val="en-GB"/>
        </w:rPr>
        <w:t xml:space="preserve"> whether it reflected a step change in treatment</w:t>
      </w:r>
      <w:r w:rsidR="00252CF0">
        <w:rPr>
          <w:lang w:val="en-GB"/>
        </w:rPr>
        <w:t>, given the uncertain estimates of comparative effectiveness</w:t>
      </w:r>
      <w:r w:rsidR="008016D0">
        <w:rPr>
          <w:lang w:val="en-GB"/>
        </w:rPr>
        <w:t xml:space="preserve">. </w:t>
      </w:r>
    </w:p>
    <w:p w14:paraId="48DE8FF9" w14:textId="77777777" w:rsidR="00626404" w:rsidRDefault="00626404" w:rsidP="00626404">
      <w:pPr>
        <w:pStyle w:val="Heading2"/>
      </w:pPr>
      <w:r>
        <w:t>Conclusion</w:t>
      </w:r>
    </w:p>
    <w:p w14:paraId="1D462BE9" w14:textId="77777777" w:rsidR="00626404" w:rsidRPr="00584CF0" w:rsidRDefault="00626404" w:rsidP="00626404">
      <w:pPr>
        <w:pStyle w:val="Heading3"/>
      </w:pPr>
      <w:r>
        <w:t>Idelalisib is not recommended</w:t>
      </w:r>
    </w:p>
    <w:p w14:paraId="280F4511" w14:textId="2F373F07" w:rsidR="00626404" w:rsidRPr="009666F6" w:rsidRDefault="00626404" w:rsidP="00626404">
      <w:pPr>
        <w:pStyle w:val="Numberedlevel2text"/>
        <w:numPr>
          <w:ilvl w:val="1"/>
          <w:numId w:val="1"/>
        </w:numPr>
      </w:pPr>
      <w:r>
        <w:rPr>
          <w:lang w:val="en-GB"/>
        </w:rPr>
        <w:t xml:space="preserve">The committee was not presented with enough reliable information to be able to address the decision problem. Therefore, </w:t>
      </w:r>
      <w:r w:rsidR="00B36F6E">
        <w:rPr>
          <w:lang w:val="en-GB"/>
        </w:rPr>
        <w:t>it</w:t>
      </w:r>
      <w:r>
        <w:rPr>
          <w:lang w:val="en-GB"/>
        </w:rPr>
        <w:t xml:space="preserve"> could not recommend </w:t>
      </w:r>
      <w:r w:rsidR="00B36F6E">
        <w:rPr>
          <w:lang w:val="en-GB"/>
        </w:rPr>
        <w:t>idelalisib for the routine treatment of follicular lymphoma that has not responded to 2 previous lines of treatment in adults.</w:t>
      </w:r>
    </w:p>
    <w:p w14:paraId="31166F96" w14:textId="77777777" w:rsidR="007D7F83" w:rsidRPr="007D7F83" w:rsidRDefault="007D7F83" w:rsidP="001A656A">
      <w:pPr>
        <w:pStyle w:val="Numberedheading1"/>
      </w:pPr>
      <w:r w:rsidRPr="007D7F83">
        <w:t>Proposed date for review of guidance</w:t>
      </w:r>
    </w:p>
    <w:p w14:paraId="44C38D8E" w14:textId="1C686FB5" w:rsidR="00FA29A6" w:rsidRDefault="002D3488" w:rsidP="00611951">
      <w:pPr>
        <w:pStyle w:val="Numberedlevel2text"/>
      </w:pPr>
      <w:r w:rsidRPr="00044CC7">
        <w:t>NICE proposes that the guidance on this technology is considered for review</w:t>
      </w:r>
      <w:r w:rsidR="000345D3" w:rsidRPr="00044CC7">
        <w:t xml:space="preserve"> by the </w:t>
      </w:r>
      <w:r w:rsidR="00B5431A" w:rsidRPr="00044CC7">
        <w:t>guidance</w:t>
      </w:r>
      <w:r w:rsidR="000345D3" w:rsidRPr="00044CC7">
        <w:t xml:space="preserve"> </w:t>
      </w:r>
      <w:r w:rsidR="00B5431A" w:rsidRPr="00044CC7">
        <w:t>executive</w:t>
      </w:r>
      <w:r w:rsidR="0009093E">
        <w:rPr>
          <w:lang w:val="en-GB"/>
        </w:rPr>
        <w:t xml:space="preserve"> 3</w:t>
      </w:r>
      <w:r w:rsidR="00106F4F">
        <w:rPr>
          <w:lang w:val="en-GB"/>
        </w:rPr>
        <w:t> </w:t>
      </w:r>
      <w:r w:rsidR="0009093E">
        <w:rPr>
          <w:lang w:val="en-GB"/>
        </w:rPr>
        <w:t>years after publication of the guidance</w:t>
      </w:r>
      <w:r w:rsidRPr="00044CC7">
        <w:t xml:space="preserve">. NICE welcomes comment on this proposed date. </w:t>
      </w:r>
      <w:r w:rsidR="000345D3" w:rsidRPr="00044CC7">
        <w:t>T</w:t>
      </w:r>
      <w:r w:rsidRPr="00044CC7">
        <w:t xml:space="preserve">he </w:t>
      </w:r>
      <w:r w:rsidR="008016D0" w:rsidRPr="00044CC7">
        <w:t>guidance</w:t>
      </w:r>
      <w:r w:rsidRPr="00044CC7">
        <w:t xml:space="preserve"> </w:t>
      </w:r>
      <w:r w:rsidR="008016D0" w:rsidRPr="00044CC7">
        <w:t>executive</w:t>
      </w:r>
      <w:r w:rsidRPr="00044CC7">
        <w:t xml:space="preserve"> will </w:t>
      </w:r>
      <w:r w:rsidR="000345D3" w:rsidRPr="00044CC7">
        <w:t xml:space="preserve">decide </w:t>
      </w:r>
      <w:r w:rsidRPr="00044CC7">
        <w:t>whether the technology should be reviewed</w:t>
      </w:r>
      <w:r w:rsidR="000345D3" w:rsidRPr="00044CC7">
        <w:t xml:space="preserve"> based on </w:t>
      </w:r>
      <w:r w:rsidRPr="00044CC7">
        <w:t>information gathered by NICE, and in consultation with consultees and commentators.</w:t>
      </w:r>
    </w:p>
    <w:p w14:paraId="1D1A660B" w14:textId="77777777" w:rsidR="00685B52" w:rsidRDefault="00B5431A" w:rsidP="00685B52">
      <w:pPr>
        <w:pStyle w:val="NICEnormal"/>
      </w:pPr>
      <w:r>
        <w:t>Amanda Adler</w:t>
      </w:r>
      <w:r w:rsidR="00685B52">
        <w:t xml:space="preserve"> </w:t>
      </w:r>
      <w:r w:rsidR="00685B52">
        <w:br/>
      </w:r>
      <w:r w:rsidR="00685B52" w:rsidRPr="000F2D8A">
        <w:t xml:space="preserve">Chair, </w:t>
      </w:r>
      <w:r w:rsidR="00AF6138">
        <w:t>A</w:t>
      </w:r>
      <w:r w:rsidR="00685B52" w:rsidRPr="000F2D8A">
        <w:t xml:space="preserve">ppraisal </w:t>
      </w:r>
      <w:r w:rsidR="00AF6138">
        <w:t>C</w:t>
      </w:r>
      <w:r w:rsidR="00685B52" w:rsidRPr="000F2D8A">
        <w:t>ommittee</w:t>
      </w:r>
      <w:r w:rsidR="00747B98">
        <w:t xml:space="preserve"> </w:t>
      </w:r>
      <w:r w:rsidR="00685B52">
        <w:br/>
      </w:r>
      <w:r>
        <w:t>September 2018</w:t>
      </w:r>
    </w:p>
    <w:p w14:paraId="18C9653A" w14:textId="77777777" w:rsidR="006E210A" w:rsidRPr="007D7F83" w:rsidRDefault="006E210A" w:rsidP="001A656A">
      <w:pPr>
        <w:pStyle w:val="Numberedheading1"/>
      </w:pPr>
      <w:r w:rsidRPr="007D7F83">
        <w:t xml:space="preserve">Appraisal </w:t>
      </w:r>
      <w:r>
        <w:t>c</w:t>
      </w:r>
      <w:r w:rsidRPr="007D7F83">
        <w:t>ommittee members and NICE project team</w:t>
      </w:r>
    </w:p>
    <w:p w14:paraId="013D2283" w14:textId="77777777" w:rsidR="006E210A" w:rsidRPr="007D7F83" w:rsidRDefault="006E210A" w:rsidP="006E210A">
      <w:pPr>
        <w:pStyle w:val="Heading2"/>
      </w:pPr>
      <w:r w:rsidRPr="007D7F83">
        <w:t xml:space="preserve">Appraisal </w:t>
      </w:r>
      <w:r>
        <w:t>c</w:t>
      </w:r>
      <w:r w:rsidRPr="007D7F83">
        <w:t>ommittee members</w:t>
      </w:r>
    </w:p>
    <w:p w14:paraId="2161B729" w14:textId="58473347" w:rsidR="00B5431A" w:rsidRDefault="004C1E23" w:rsidP="004C1E23">
      <w:pPr>
        <w:pStyle w:val="NICEnormal"/>
      </w:pPr>
      <w:r>
        <w:t>The 4</w:t>
      </w:r>
      <w:r w:rsidR="00B36F6E">
        <w:t> </w:t>
      </w:r>
      <w:r>
        <w:t xml:space="preserve">technology appraisal committees are standing advisory committees of NICE. This topic was considered by </w:t>
      </w:r>
      <w:hyperlink r:id="rId16" w:history="1">
        <w:r w:rsidRPr="00B5431A">
          <w:rPr>
            <w:rStyle w:val="Hyperlink"/>
            <w:rFonts w:eastAsia="Calibri"/>
          </w:rPr>
          <w:t>commit</w:t>
        </w:r>
        <w:r w:rsidR="00B5431A" w:rsidRPr="00B5431A">
          <w:rPr>
            <w:rStyle w:val="Hyperlink"/>
            <w:rFonts w:eastAsia="Calibri"/>
          </w:rPr>
          <w:t xml:space="preserve">tee </w:t>
        </w:r>
        <w:r w:rsidR="00B5431A" w:rsidRPr="00B5431A">
          <w:rPr>
            <w:rStyle w:val="Hyperlink"/>
          </w:rPr>
          <w:t>B</w:t>
        </w:r>
      </w:hyperlink>
      <w:r>
        <w:t xml:space="preserve">. </w:t>
      </w:r>
    </w:p>
    <w:p w14:paraId="3CBC62E2" w14:textId="77777777" w:rsidR="004C1E23" w:rsidRDefault="004C1E23" w:rsidP="004C1E23">
      <w:pPr>
        <w:pStyle w:val="NICEnormal"/>
      </w:pPr>
      <w:r>
        <w:t xml:space="preserve">Committee members are asked to declare any interests in the technology to be appraised. If it is considered there is a conflict of interest, the member is excluded from participating further in that appraisal. </w:t>
      </w:r>
    </w:p>
    <w:p w14:paraId="222A45EB" w14:textId="77777777" w:rsidR="004C1E23" w:rsidRDefault="004C1E23" w:rsidP="004C1E23">
      <w:pPr>
        <w:pStyle w:val="NICEnormal"/>
      </w:pPr>
      <w:r>
        <w:t xml:space="preserve">The </w:t>
      </w:r>
      <w:hyperlink r:id="rId17" w:history="1">
        <w:r>
          <w:rPr>
            <w:rStyle w:val="Hyperlink"/>
            <w:rFonts w:eastAsia="Calibri"/>
          </w:rPr>
          <w:t>minutes</w:t>
        </w:r>
      </w:hyperlink>
      <w:r>
        <w:t xml:space="preserve"> of each appraisal committee meeting, which include the names of the members who attended and their declarations of interests, are posted on the NICE website.</w:t>
      </w:r>
    </w:p>
    <w:p w14:paraId="4AC90104" w14:textId="77777777" w:rsidR="006E210A" w:rsidRPr="007D7F83" w:rsidRDefault="006E210A" w:rsidP="006E210A">
      <w:pPr>
        <w:pStyle w:val="Heading2"/>
      </w:pPr>
      <w:r w:rsidRPr="007D7F83">
        <w:t>NICE project team</w:t>
      </w:r>
    </w:p>
    <w:p w14:paraId="1C38DC95" w14:textId="5F97AF4A" w:rsidR="00B5431A" w:rsidRDefault="006E210A" w:rsidP="006E210A">
      <w:pPr>
        <w:pStyle w:val="NICEnormal"/>
      </w:pPr>
      <w:r w:rsidRPr="0058413D">
        <w:t xml:space="preserve">Each technology appraisal is assigned to a team consisting of </w:t>
      </w:r>
      <w:r>
        <w:t>1</w:t>
      </w:r>
      <w:r w:rsidR="00B36F6E">
        <w:t> </w:t>
      </w:r>
      <w:r w:rsidRPr="0058413D">
        <w:t>or more health technology analysts (who act as technical leads for the appraisal), a technical adviser and a project manager.</w:t>
      </w:r>
      <w:bookmarkStart w:id="2" w:name="Text45"/>
    </w:p>
    <w:p w14:paraId="4C7309B5" w14:textId="77777777" w:rsidR="006E210A" w:rsidRPr="000F2D8A" w:rsidRDefault="00B5431A" w:rsidP="006E210A">
      <w:pPr>
        <w:pStyle w:val="NICEnormal"/>
      </w:pPr>
      <w:r>
        <w:rPr>
          <w:b/>
          <w:bCs/>
        </w:rPr>
        <w:t>Adam Brooke</w:t>
      </w:r>
      <w:r w:rsidR="006E210A">
        <w:br/>
      </w:r>
      <w:r>
        <w:t>Technical Lead</w:t>
      </w:r>
    </w:p>
    <w:p w14:paraId="74484CD4" w14:textId="77777777" w:rsidR="006E210A" w:rsidRPr="000F2D8A" w:rsidRDefault="00B5431A" w:rsidP="006E210A">
      <w:pPr>
        <w:pStyle w:val="NICEnormal"/>
      </w:pPr>
      <w:r>
        <w:rPr>
          <w:b/>
        </w:rPr>
        <w:t>Ahmed Elsada</w:t>
      </w:r>
      <w:r w:rsidR="006E210A">
        <w:br/>
      </w:r>
      <w:r w:rsidR="006E210A" w:rsidRPr="00AF59A2">
        <w:t>Technical Adviser</w:t>
      </w:r>
    </w:p>
    <w:p w14:paraId="14B84652" w14:textId="77777777" w:rsidR="006E210A" w:rsidRDefault="00B5431A" w:rsidP="006E210A">
      <w:pPr>
        <w:pStyle w:val="NICEnormal"/>
      </w:pPr>
      <w:r>
        <w:rPr>
          <w:b/>
        </w:rPr>
        <w:t>Jeremy Powell</w:t>
      </w:r>
      <w:r w:rsidR="006E210A">
        <w:br/>
      </w:r>
      <w:r w:rsidR="006E210A" w:rsidRPr="000F2D8A">
        <w:t>Project Manager</w:t>
      </w:r>
    </w:p>
    <w:bookmarkEnd w:id="2"/>
    <w:p w14:paraId="7C6E8171" w14:textId="77777777" w:rsidR="001C0F06" w:rsidRPr="000F2D8A" w:rsidRDefault="006E210A" w:rsidP="006E210A">
      <w:pPr>
        <w:pStyle w:val="NICEnormal"/>
      </w:pPr>
      <w:r>
        <w:t xml:space="preserve">ISBN: </w:t>
      </w:r>
      <w:r w:rsidRPr="004D7C92">
        <w:rPr>
          <w:highlight w:val="green"/>
        </w:rPr>
        <w:t>[to be added at publication]</w:t>
      </w:r>
    </w:p>
    <w:sectPr w:rsidR="001C0F06" w:rsidRPr="000F2D8A" w:rsidSect="00C877B8">
      <w:headerReference w:type="default" r:id="rId18"/>
      <w:footerReference w:type="default" r:id="rId1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A9CDA" w14:textId="77777777" w:rsidR="00C9538A" w:rsidRDefault="00C9538A">
      <w:r>
        <w:separator/>
      </w:r>
    </w:p>
  </w:endnote>
  <w:endnote w:type="continuationSeparator" w:id="0">
    <w:p w14:paraId="32DE065F" w14:textId="77777777" w:rsidR="00C9538A" w:rsidRDefault="00C9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26031" w14:textId="77777777" w:rsidR="00C9538A" w:rsidRDefault="00C9538A" w:rsidP="000A18C7">
    <w:pPr>
      <w:pStyle w:val="NICEnormalsinglespacing"/>
      <w:spacing w:after="120"/>
      <w:rPr>
        <w:rStyle w:val="PageNumber"/>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7C260A">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C260A">
      <w:rPr>
        <w:rStyle w:val="PageNumber"/>
        <w:noProof/>
      </w:rPr>
      <w:t>24</w:t>
    </w:r>
    <w:r>
      <w:rPr>
        <w:rStyle w:val="PageNumber"/>
      </w:rPr>
      <w:fldChar w:fldCharType="end"/>
    </w:r>
  </w:p>
  <w:p w14:paraId="4A50FCA9" w14:textId="08905463" w:rsidR="00C9538A" w:rsidRPr="003D33FB" w:rsidRDefault="00C9538A" w:rsidP="000A18C7">
    <w:pPr>
      <w:pStyle w:val="NICEnormalsinglespacing"/>
      <w:spacing w:after="120"/>
      <w:rPr>
        <w:sz w:val="18"/>
        <w:szCs w:val="18"/>
      </w:rPr>
    </w:pPr>
    <w:r>
      <w:rPr>
        <w:sz w:val="18"/>
        <w:szCs w:val="18"/>
      </w:rPr>
      <w:t>Appraisal consultation document</w:t>
    </w:r>
    <w:r w:rsidRPr="003D33FB">
      <w:rPr>
        <w:sz w:val="18"/>
        <w:szCs w:val="18"/>
      </w:rPr>
      <w:t xml:space="preserve"> – </w:t>
    </w:r>
    <w:r w:rsidRPr="00D30416">
      <w:rPr>
        <w:sz w:val="18"/>
        <w:szCs w:val="18"/>
      </w:rPr>
      <w:t xml:space="preserve">Idelalisib for treating refractory follicular lymphoma </w:t>
    </w:r>
  </w:p>
  <w:p w14:paraId="1FF9B677" w14:textId="77777777" w:rsidR="00C9538A" w:rsidRDefault="00C9538A" w:rsidP="000A18C7">
    <w:pPr>
      <w:pStyle w:val="NICEnormalsinglespacing"/>
      <w:spacing w:after="120"/>
      <w:rPr>
        <w:sz w:val="18"/>
        <w:szCs w:val="18"/>
      </w:rPr>
    </w:pPr>
    <w:r>
      <w:rPr>
        <w:sz w:val="18"/>
        <w:szCs w:val="18"/>
      </w:rPr>
      <w:t>Issue date: September 2018</w:t>
    </w:r>
  </w:p>
  <w:p w14:paraId="49D9A941" w14:textId="77777777" w:rsidR="00C9538A" w:rsidRDefault="00C9538A" w:rsidP="000A18C7">
    <w:pPr>
      <w:pStyle w:val="NICEnormalsinglespacing"/>
      <w:spacing w:after="120"/>
    </w:pPr>
    <w:r>
      <w:rPr>
        <w:sz w:val="18"/>
        <w:szCs w:val="18"/>
      </w:rPr>
      <w:t xml:space="preserve">© NICE 2018.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C2BDF" w14:textId="77777777" w:rsidR="00C9538A" w:rsidRDefault="00C9538A">
      <w:r>
        <w:separator/>
      </w:r>
    </w:p>
  </w:footnote>
  <w:footnote w:type="continuationSeparator" w:id="0">
    <w:p w14:paraId="4C674AF1" w14:textId="77777777" w:rsidR="00C9538A" w:rsidRDefault="00C95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1ED16" w14:textId="77777777" w:rsidR="00C9538A" w:rsidRPr="006446B7" w:rsidRDefault="00C9538A" w:rsidP="006446B7">
    <w:pPr>
      <w:pStyle w:val="Header"/>
      <w:jc w:val="right"/>
      <w:rPr>
        <w:b/>
      </w:rPr>
    </w:pPr>
    <w:r w:rsidRPr="006446B7">
      <w:rPr>
        <w:b/>
      </w:rPr>
      <w:t>CONFIDENTIAL</w:t>
    </w:r>
    <w:r>
      <w:rPr>
        <w:b/>
      </w:rPr>
      <w:t xml:space="preserve"> UNTIL PUBLISHED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864234F"/>
    <w:multiLevelType w:val="hybridMultilevel"/>
    <w:tmpl w:val="A0FA18A6"/>
    <w:lvl w:ilvl="0" w:tplc="14F8CF8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63E6B43"/>
    <w:multiLevelType w:val="hybridMultilevel"/>
    <w:tmpl w:val="49EE835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A43079"/>
    <w:multiLevelType w:val="hybridMultilevel"/>
    <w:tmpl w:val="AD4480AA"/>
    <w:lvl w:ilvl="0" w:tplc="08090001">
      <w:start w:val="1"/>
      <w:numFmt w:val="bullet"/>
      <w:lvlText w:val=""/>
      <w:lvlJc w:val="left"/>
      <w:pPr>
        <w:ind w:left="1925" w:hanging="360"/>
      </w:pPr>
      <w:rPr>
        <w:rFonts w:ascii="Symbol" w:hAnsi="Symbol" w:hint="default"/>
      </w:rPr>
    </w:lvl>
    <w:lvl w:ilvl="1" w:tplc="08090003" w:tentative="1">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F707D"/>
    <w:multiLevelType w:val="hybridMultilevel"/>
    <w:tmpl w:val="974A7B02"/>
    <w:lvl w:ilvl="0" w:tplc="84D0C656">
      <w:start w:val="1"/>
      <w:numFmt w:val="upperLetter"/>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9CC3584"/>
    <w:multiLevelType w:val="multilevel"/>
    <w:tmpl w:val="19F678C0"/>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A72031D"/>
    <w:multiLevelType w:val="hybridMultilevel"/>
    <w:tmpl w:val="3C88A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4C810A0"/>
    <w:multiLevelType w:val="hybridMultilevel"/>
    <w:tmpl w:val="A34C4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ABD783C"/>
    <w:multiLevelType w:val="hybridMultilevel"/>
    <w:tmpl w:val="23A0264C"/>
    <w:lvl w:ilvl="0" w:tplc="DE0CF6EA">
      <w:start w:val="1"/>
      <w:numFmt w:val="upperRoman"/>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88F36E6"/>
    <w:multiLevelType w:val="hybridMultilevel"/>
    <w:tmpl w:val="5EF43A14"/>
    <w:lvl w:ilvl="0" w:tplc="755E32EC">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C93D14"/>
    <w:multiLevelType w:val="hybridMultilevel"/>
    <w:tmpl w:val="4A20F9FA"/>
    <w:lvl w:ilvl="0" w:tplc="AA9A8AE4">
      <w:start w:val="1"/>
      <w:numFmt w:val="decimal"/>
      <w:lvlText w:val="%1."/>
      <w:lvlJc w:val="left"/>
      <w:pPr>
        <w:ind w:left="851" w:hanging="851"/>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0" w15:restartNumberingAfterBreak="0">
    <w:nsid w:val="738B761B"/>
    <w:multiLevelType w:val="hybridMultilevel"/>
    <w:tmpl w:val="1C9C0E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5F6245"/>
    <w:multiLevelType w:val="hybridMultilevel"/>
    <w:tmpl w:val="8226756E"/>
    <w:lvl w:ilvl="0" w:tplc="EE7C94EE">
      <w:start w:val="1"/>
      <w:numFmt w:val="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9E6970"/>
    <w:multiLevelType w:val="hybridMultilevel"/>
    <w:tmpl w:val="54606AC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2"/>
  </w:num>
  <w:num w:numId="3">
    <w:abstractNumId w:val="19"/>
  </w:num>
  <w:num w:numId="4">
    <w:abstractNumId w:val="3"/>
  </w:num>
  <w:num w:numId="5">
    <w:abstractNumId w:val="13"/>
  </w:num>
  <w:num w:numId="6">
    <w:abstractNumId w:val="14"/>
  </w:num>
  <w:num w:numId="7">
    <w:abstractNumId w:val="0"/>
  </w:num>
  <w:num w:numId="8">
    <w:abstractNumId w:val="3"/>
  </w:num>
  <w:num w:numId="9">
    <w:abstractNumId w:val="5"/>
  </w:num>
  <w:num w:numId="10">
    <w:abstractNumId w:val="7"/>
  </w:num>
  <w:num w:numId="11">
    <w:abstractNumId w:val="8"/>
  </w:num>
  <w:num w:numId="12">
    <w:abstractNumId w:val="15"/>
  </w:num>
  <w:num w:numId="13">
    <w:abstractNumId w:val="17"/>
  </w:num>
  <w:num w:numId="14">
    <w:abstractNumId w:val="21"/>
  </w:num>
  <w:num w:numId="15">
    <w:abstractNumId w:val="9"/>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1"/>
  </w:num>
  <w:num w:numId="21">
    <w:abstractNumId w:val="7"/>
  </w:num>
  <w:num w:numId="22">
    <w:abstractNumId w:val="10"/>
  </w:num>
  <w:num w:numId="23">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9"/>
  </w:num>
  <w:num w:numId="29">
    <w:abstractNumId w:val="9"/>
  </w:num>
  <w:num w:numId="30">
    <w:abstractNumId w:val="20"/>
  </w:num>
  <w:num w:numId="31">
    <w:abstractNumId w:val="0"/>
  </w:num>
  <w:num w:numId="32">
    <w:abstractNumId w:val="6"/>
  </w:num>
  <w:num w:numId="33">
    <w:abstractNumId w:val="4"/>
  </w:num>
  <w:num w:numId="34">
    <w:abstractNumId w:val="22"/>
  </w:num>
  <w:num w:numId="35">
    <w:abstractNumId w:val="9"/>
  </w:num>
  <w:num w:numId="36">
    <w:abstractNumId w:val="0"/>
  </w:num>
  <w:num w:numId="3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6F7"/>
    <w:rsid w:val="00000574"/>
    <w:rsid w:val="00001518"/>
    <w:rsid w:val="000043A7"/>
    <w:rsid w:val="000061DF"/>
    <w:rsid w:val="00007E4A"/>
    <w:rsid w:val="000112D2"/>
    <w:rsid w:val="000119FB"/>
    <w:rsid w:val="00014F51"/>
    <w:rsid w:val="00021B49"/>
    <w:rsid w:val="000254A0"/>
    <w:rsid w:val="00025524"/>
    <w:rsid w:val="00027944"/>
    <w:rsid w:val="00030B8A"/>
    <w:rsid w:val="00030B8E"/>
    <w:rsid w:val="00033FB3"/>
    <w:rsid w:val="000345D3"/>
    <w:rsid w:val="00035771"/>
    <w:rsid w:val="00035AB7"/>
    <w:rsid w:val="00035CF8"/>
    <w:rsid w:val="000402BE"/>
    <w:rsid w:val="00044A36"/>
    <w:rsid w:val="00044CC7"/>
    <w:rsid w:val="000452A9"/>
    <w:rsid w:val="000459F7"/>
    <w:rsid w:val="0004627D"/>
    <w:rsid w:val="00047853"/>
    <w:rsid w:val="000478E9"/>
    <w:rsid w:val="0005053E"/>
    <w:rsid w:val="000553F3"/>
    <w:rsid w:val="00056AD0"/>
    <w:rsid w:val="00057C0E"/>
    <w:rsid w:val="00060BE4"/>
    <w:rsid w:val="00063057"/>
    <w:rsid w:val="00065C37"/>
    <w:rsid w:val="00066A7B"/>
    <w:rsid w:val="00066AF9"/>
    <w:rsid w:val="00071123"/>
    <w:rsid w:val="000744AE"/>
    <w:rsid w:val="00074721"/>
    <w:rsid w:val="00074987"/>
    <w:rsid w:val="00077500"/>
    <w:rsid w:val="0008010D"/>
    <w:rsid w:val="0008043A"/>
    <w:rsid w:val="0008263E"/>
    <w:rsid w:val="000832EE"/>
    <w:rsid w:val="0008436A"/>
    <w:rsid w:val="00085968"/>
    <w:rsid w:val="00086814"/>
    <w:rsid w:val="00087AC2"/>
    <w:rsid w:val="00087B74"/>
    <w:rsid w:val="0009093E"/>
    <w:rsid w:val="0009232D"/>
    <w:rsid w:val="00092394"/>
    <w:rsid w:val="00092433"/>
    <w:rsid w:val="00095D31"/>
    <w:rsid w:val="00096DA6"/>
    <w:rsid w:val="000979B3"/>
    <w:rsid w:val="000A0DDB"/>
    <w:rsid w:val="000A1888"/>
    <w:rsid w:val="000A18C7"/>
    <w:rsid w:val="000A2F24"/>
    <w:rsid w:val="000A4179"/>
    <w:rsid w:val="000A4E9F"/>
    <w:rsid w:val="000A4F67"/>
    <w:rsid w:val="000A5FF9"/>
    <w:rsid w:val="000B21F6"/>
    <w:rsid w:val="000B224A"/>
    <w:rsid w:val="000B64E2"/>
    <w:rsid w:val="000B7542"/>
    <w:rsid w:val="000C046C"/>
    <w:rsid w:val="000C0C46"/>
    <w:rsid w:val="000C184F"/>
    <w:rsid w:val="000C4132"/>
    <w:rsid w:val="000C48D6"/>
    <w:rsid w:val="000C4FF2"/>
    <w:rsid w:val="000C6B04"/>
    <w:rsid w:val="000C7313"/>
    <w:rsid w:val="000D0908"/>
    <w:rsid w:val="000D0D88"/>
    <w:rsid w:val="000D1B59"/>
    <w:rsid w:val="000D3685"/>
    <w:rsid w:val="000D7566"/>
    <w:rsid w:val="000E02BB"/>
    <w:rsid w:val="000E297B"/>
    <w:rsid w:val="000E3DF5"/>
    <w:rsid w:val="000E467A"/>
    <w:rsid w:val="000E67A8"/>
    <w:rsid w:val="000E688E"/>
    <w:rsid w:val="000F02C6"/>
    <w:rsid w:val="000F2229"/>
    <w:rsid w:val="000F30E4"/>
    <w:rsid w:val="000F632C"/>
    <w:rsid w:val="000F6DBF"/>
    <w:rsid w:val="00101F34"/>
    <w:rsid w:val="001062D1"/>
    <w:rsid w:val="00106F4F"/>
    <w:rsid w:val="00107D3F"/>
    <w:rsid w:val="001108FF"/>
    <w:rsid w:val="00110F12"/>
    <w:rsid w:val="0011132F"/>
    <w:rsid w:val="00112956"/>
    <w:rsid w:val="00113B59"/>
    <w:rsid w:val="00114130"/>
    <w:rsid w:val="00114549"/>
    <w:rsid w:val="001173E6"/>
    <w:rsid w:val="001201F7"/>
    <w:rsid w:val="0012274B"/>
    <w:rsid w:val="00123550"/>
    <w:rsid w:val="001238CD"/>
    <w:rsid w:val="00126588"/>
    <w:rsid w:val="00130EDD"/>
    <w:rsid w:val="00131A2C"/>
    <w:rsid w:val="0013420A"/>
    <w:rsid w:val="00137D76"/>
    <w:rsid w:val="00141205"/>
    <w:rsid w:val="001424A7"/>
    <w:rsid w:val="00142B60"/>
    <w:rsid w:val="00143970"/>
    <w:rsid w:val="00151761"/>
    <w:rsid w:val="00153242"/>
    <w:rsid w:val="00153D5B"/>
    <w:rsid w:val="0015509D"/>
    <w:rsid w:val="00155F91"/>
    <w:rsid w:val="001602D3"/>
    <w:rsid w:val="001607DA"/>
    <w:rsid w:val="00161AA0"/>
    <w:rsid w:val="00162D71"/>
    <w:rsid w:val="00163304"/>
    <w:rsid w:val="001674AF"/>
    <w:rsid w:val="00170CD6"/>
    <w:rsid w:val="00172B0F"/>
    <w:rsid w:val="00173717"/>
    <w:rsid w:val="00180614"/>
    <w:rsid w:val="0018093A"/>
    <w:rsid w:val="00181D3D"/>
    <w:rsid w:val="00182ACF"/>
    <w:rsid w:val="0018301B"/>
    <w:rsid w:val="00183664"/>
    <w:rsid w:val="001853FD"/>
    <w:rsid w:val="00186AB8"/>
    <w:rsid w:val="00190F06"/>
    <w:rsid w:val="00191407"/>
    <w:rsid w:val="00192198"/>
    <w:rsid w:val="00192811"/>
    <w:rsid w:val="001956FC"/>
    <w:rsid w:val="001A02C2"/>
    <w:rsid w:val="001A1F98"/>
    <w:rsid w:val="001A605C"/>
    <w:rsid w:val="001A656A"/>
    <w:rsid w:val="001A676D"/>
    <w:rsid w:val="001A70BC"/>
    <w:rsid w:val="001B2136"/>
    <w:rsid w:val="001B2EF1"/>
    <w:rsid w:val="001B4A01"/>
    <w:rsid w:val="001B5B7A"/>
    <w:rsid w:val="001B7AB8"/>
    <w:rsid w:val="001C0D23"/>
    <w:rsid w:val="001C0F06"/>
    <w:rsid w:val="001C3AD1"/>
    <w:rsid w:val="001C4FB7"/>
    <w:rsid w:val="001C5403"/>
    <w:rsid w:val="001D0BE2"/>
    <w:rsid w:val="001D0C94"/>
    <w:rsid w:val="001D0E67"/>
    <w:rsid w:val="001D18A1"/>
    <w:rsid w:val="001E01CD"/>
    <w:rsid w:val="001E01E3"/>
    <w:rsid w:val="001E1C4D"/>
    <w:rsid w:val="001E4C2F"/>
    <w:rsid w:val="001E619B"/>
    <w:rsid w:val="001E6CCC"/>
    <w:rsid w:val="001E724F"/>
    <w:rsid w:val="001E7937"/>
    <w:rsid w:val="001F16B4"/>
    <w:rsid w:val="001F19DD"/>
    <w:rsid w:val="001F4609"/>
    <w:rsid w:val="001F4960"/>
    <w:rsid w:val="001F4FF1"/>
    <w:rsid w:val="001F54E4"/>
    <w:rsid w:val="002007A2"/>
    <w:rsid w:val="00200A46"/>
    <w:rsid w:val="0020197E"/>
    <w:rsid w:val="00202790"/>
    <w:rsid w:val="002040A5"/>
    <w:rsid w:val="00204567"/>
    <w:rsid w:val="0020483E"/>
    <w:rsid w:val="00204ABD"/>
    <w:rsid w:val="002051FB"/>
    <w:rsid w:val="002066D4"/>
    <w:rsid w:val="00212488"/>
    <w:rsid w:val="002129D7"/>
    <w:rsid w:val="002202FC"/>
    <w:rsid w:val="002225EF"/>
    <w:rsid w:val="00223740"/>
    <w:rsid w:val="0022485A"/>
    <w:rsid w:val="00224B65"/>
    <w:rsid w:val="00225DAF"/>
    <w:rsid w:val="002263BA"/>
    <w:rsid w:val="0023030F"/>
    <w:rsid w:val="00231F14"/>
    <w:rsid w:val="00233413"/>
    <w:rsid w:val="00235CAB"/>
    <w:rsid w:val="00237F73"/>
    <w:rsid w:val="00240385"/>
    <w:rsid w:val="00241CB5"/>
    <w:rsid w:val="00243612"/>
    <w:rsid w:val="00244B47"/>
    <w:rsid w:val="00246495"/>
    <w:rsid w:val="00252CF0"/>
    <w:rsid w:val="0025302F"/>
    <w:rsid w:val="0025453B"/>
    <w:rsid w:val="002548D9"/>
    <w:rsid w:val="00260EFB"/>
    <w:rsid w:val="002616A3"/>
    <w:rsid w:val="00263573"/>
    <w:rsid w:val="00263A60"/>
    <w:rsid w:val="0026491A"/>
    <w:rsid w:val="002717A9"/>
    <w:rsid w:val="00272CBA"/>
    <w:rsid w:val="002764E0"/>
    <w:rsid w:val="00282D7E"/>
    <w:rsid w:val="002856B4"/>
    <w:rsid w:val="002869BC"/>
    <w:rsid w:val="00287C4A"/>
    <w:rsid w:val="00290415"/>
    <w:rsid w:val="002924F6"/>
    <w:rsid w:val="00293302"/>
    <w:rsid w:val="00293BF9"/>
    <w:rsid w:val="00296463"/>
    <w:rsid w:val="00296C04"/>
    <w:rsid w:val="0029714D"/>
    <w:rsid w:val="002A0E98"/>
    <w:rsid w:val="002A7825"/>
    <w:rsid w:val="002B089A"/>
    <w:rsid w:val="002B13C6"/>
    <w:rsid w:val="002B1663"/>
    <w:rsid w:val="002B23F5"/>
    <w:rsid w:val="002B2DD6"/>
    <w:rsid w:val="002B4216"/>
    <w:rsid w:val="002B69AC"/>
    <w:rsid w:val="002C4B97"/>
    <w:rsid w:val="002C6759"/>
    <w:rsid w:val="002C6D6B"/>
    <w:rsid w:val="002C7CFD"/>
    <w:rsid w:val="002D07FA"/>
    <w:rsid w:val="002D18ED"/>
    <w:rsid w:val="002D2FCD"/>
    <w:rsid w:val="002D3488"/>
    <w:rsid w:val="002D456B"/>
    <w:rsid w:val="002D6FE0"/>
    <w:rsid w:val="002D7015"/>
    <w:rsid w:val="002D777C"/>
    <w:rsid w:val="002D77C4"/>
    <w:rsid w:val="002E0276"/>
    <w:rsid w:val="002E0ED9"/>
    <w:rsid w:val="002E3F3A"/>
    <w:rsid w:val="002E6E2E"/>
    <w:rsid w:val="002E7CA6"/>
    <w:rsid w:val="002F5DC9"/>
    <w:rsid w:val="002F683B"/>
    <w:rsid w:val="002F762C"/>
    <w:rsid w:val="002F7D8C"/>
    <w:rsid w:val="0030183C"/>
    <w:rsid w:val="00303A0E"/>
    <w:rsid w:val="00304243"/>
    <w:rsid w:val="0030440C"/>
    <w:rsid w:val="003045A2"/>
    <w:rsid w:val="003046C1"/>
    <w:rsid w:val="003078BB"/>
    <w:rsid w:val="003078C2"/>
    <w:rsid w:val="003104C9"/>
    <w:rsid w:val="00313045"/>
    <w:rsid w:val="00313370"/>
    <w:rsid w:val="00314CEB"/>
    <w:rsid w:val="003153B5"/>
    <w:rsid w:val="0031664C"/>
    <w:rsid w:val="00322358"/>
    <w:rsid w:val="00326B38"/>
    <w:rsid w:val="00330BEF"/>
    <w:rsid w:val="003328F8"/>
    <w:rsid w:val="003330E6"/>
    <w:rsid w:val="00334520"/>
    <w:rsid w:val="00334E1E"/>
    <w:rsid w:val="00340B44"/>
    <w:rsid w:val="0034337B"/>
    <w:rsid w:val="00343B2C"/>
    <w:rsid w:val="00344339"/>
    <w:rsid w:val="0034523C"/>
    <w:rsid w:val="00346AFA"/>
    <w:rsid w:val="00346BAA"/>
    <w:rsid w:val="00347E6B"/>
    <w:rsid w:val="00356C47"/>
    <w:rsid w:val="0035754D"/>
    <w:rsid w:val="003629B8"/>
    <w:rsid w:val="00363A7C"/>
    <w:rsid w:val="00363DFE"/>
    <w:rsid w:val="00364314"/>
    <w:rsid w:val="0036435C"/>
    <w:rsid w:val="00364591"/>
    <w:rsid w:val="00366751"/>
    <w:rsid w:val="00377705"/>
    <w:rsid w:val="00381B70"/>
    <w:rsid w:val="00382529"/>
    <w:rsid w:val="0038498B"/>
    <w:rsid w:val="003858FA"/>
    <w:rsid w:val="003878B4"/>
    <w:rsid w:val="003912B0"/>
    <w:rsid w:val="003943A3"/>
    <w:rsid w:val="003967D7"/>
    <w:rsid w:val="003A070C"/>
    <w:rsid w:val="003A2C7A"/>
    <w:rsid w:val="003A3974"/>
    <w:rsid w:val="003A6744"/>
    <w:rsid w:val="003A7418"/>
    <w:rsid w:val="003A7E69"/>
    <w:rsid w:val="003B0DAE"/>
    <w:rsid w:val="003B1A8E"/>
    <w:rsid w:val="003B4E5F"/>
    <w:rsid w:val="003B4EF6"/>
    <w:rsid w:val="003B514B"/>
    <w:rsid w:val="003B5498"/>
    <w:rsid w:val="003B5DD6"/>
    <w:rsid w:val="003B7DC8"/>
    <w:rsid w:val="003B7FEA"/>
    <w:rsid w:val="003C107F"/>
    <w:rsid w:val="003C213A"/>
    <w:rsid w:val="003C36AC"/>
    <w:rsid w:val="003C4619"/>
    <w:rsid w:val="003C53B9"/>
    <w:rsid w:val="003C6816"/>
    <w:rsid w:val="003C7E7C"/>
    <w:rsid w:val="003D0A5A"/>
    <w:rsid w:val="003D394B"/>
    <w:rsid w:val="003E4203"/>
    <w:rsid w:val="003F0258"/>
    <w:rsid w:val="003F100B"/>
    <w:rsid w:val="003F1B58"/>
    <w:rsid w:val="003F358E"/>
    <w:rsid w:val="003F5539"/>
    <w:rsid w:val="003F74BA"/>
    <w:rsid w:val="00401B6C"/>
    <w:rsid w:val="00402B5D"/>
    <w:rsid w:val="00403016"/>
    <w:rsid w:val="00405B22"/>
    <w:rsid w:val="004060CE"/>
    <w:rsid w:val="00411445"/>
    <w:rsid w:val="004115C0"/>
    <w:rsid w:val="00412AE8"/>
    <w:rsid w:val="00412C50"/>
    <w:rsid w:val="00412F41"/>
    <w:rsid w:val="004130C4"/>
    <w:rsid w:val="00416335"/>
    <w:rsid w:val="00416C99"/>
    <w:rsid w:val="00416CEF"/>
    <w:rsid w:val="00417337"/>
    <w:rsid w:val="00417BB1"/>
    <w:rsid w:val="00421D45"/>
    <w:rsid w:val="00426086"/>
    <w:rsid w:val="00434976"/>
    <w:rsid w:val="004371BD"/>
    <w:rsid w:val="004454E0"/>
    <w:rsid w:val="0044624B"/>
    <w:rsid w:val="0044673C"/>
    <w:rsid w:val="00447185"/>
    <w:rsid w:val="00450074"/>
    <w:rsid w:val="0045670C"/>
    <w:rsid w:val="004625B9"/>
    <w:rsid w:val="0046631F"/>
    <w:rsid w:val="00466599"/>
    <w:rsid w:val="0046696F"/>
    <w:rsid w:val="00467801"/>
    <w:rsid w:val="00470122"/>
    <w:rsid w:val="0047037E"/>
    <w:rsid w:val="00470EDC"/>
    <w:rsid w:val="0047580D"/>
    <w:rsid w:val="00476D3A"/>
    <w:rsid w:val="004808F9"/>
    <w:rsid w:val="004820E9"/>
    <w:rsid w:val="0048361F"/>
    <w:rsid w:val="0048678C"/>
    <w:rsid w:val="004876AC"/>
    <w:rsid w:val="00491350"/>
    <w:rsid w:val="004928DC"/>
    <w:rsid w:val="00495C6A"/>
    <w:rsid w:val="004968BB"/>
    <w:rsid w:val="004968FB"/>
    <w:rsid w:val="00496F04"/>
    <w:rsid w:val="00497753"/>
    <w:rsid w:val="004A563A"/>
    <w:rsid w:val="004A74F9"/>
    <w:rsid w:val="004A7771"/>
    <w:rsid w:val="004B24D2"/>
    <w:rsid w:val="004B2664"/>
    <w:rsid w:val="004B4A7E"/>
    <w:rsid w:val="004B4BC0"/>
    <w:rsid w:val="004B514C"/>
    <w:rsid w:val="004B51DA"/>
    <w:rsid w:val="004B6F45"/>
    <w:rsid w:val="004C10EF"/>
    <w:rsid w:val="004C1814"/>
    <w:rsid w:val="004C1E23"/>
    <w:rsid w:val="004C4D6A"/>
    <w:rsid w:val="004D1714"/>
    <w:rsid w:val="004D24E5"/>
    <w:rsid w:val="004D3F50"/>
    <w:rsid w:val="004D5CFD"/>
    <w:rsid w:val="004D6EC4"/>
    <w:rsid w:val="004D7B38"/>
    <w:rsid w:val="004E0E24"/>
    <w:rsid w:val="004E139F"/>
    <w:rsid w:val="004E2089"/>
    <w:rsid w:val="004E22E7"/>
    <w:rsid w:val="004E6CC6"/>
    <w:rsid w:val="004E7078"/>
    <w:rsid w:val="004E7AE0"/>
    <w:rsid w:val="004F0C1A"/>
    <w:rsid w:val="004F6F99"/>
    <w:rsid w:val="004F7615"/>
    <w:rsid w:val="00501292"/>
    <w:rsid w:val="0050357A"/>
    <w:rsid w:val="00504AB4"/>
    <w:rsid w:val="005053DC"/>
    <w:rsid w:val="0050718F"/>
    <w:rsid w:val="005077F0"/>
    <w:rsid w:val="00507849"/>
    <w:rsid w:val="00513D8C"/>
    <w:rsid w:val="00515DF1"/>
    <w:rsid w:val="00524EBD"/>
    <w:rsid w:val="00526C07"/>
    <w:rsid w:val="00530528"/>
    <w:rsid w:val="0053387C"/>
    <w:rsid w:val="00533DF1"/>
    <w:rsid w:val="0053471B"/>
    <w:rsid w:val="00535DFC"/>
    <w:rsid w:val="00542383"/>
    <w:rsid w:val="00543B86"/>
    <w:rsid w:val="00544C77"/>
    <w:rsid w:val="00550992"/>
    <w:rsid w:val="0055365D"/>
    <w:rsid w:val="0055370A"/>
    <w:rsid w:val="00553891"/>
    <w:rsid w:val="00560861"/>
    <w:rsid w:val="005615F0"/>
    <w:rsid w:val="00562ADF"/>
    <w:rsid w:val="00564899"/>
    <w:rsid w:val="005648C7"/>
    <w:rsid w:val="00570D68"/>
    <w:rsid w:val="005825EA"/>
    <w:rsid w:val="00582E2C"/>
    <w:rsid w:val="00584CF0"/>
    <w:rsid w:val="00585058"/>
    <w:rsid w:val="0058599B"/>
    <w:rsid w:val="005861A9"/>
    <w:rsid w:val="00591FAC"/>
    <w:rsid w:val="00596181"/>
    <w:rsid w:val="0059785E"/>
    <w:rsid w:val="005A0A00"/>
    <w:rsid w:val="005A13D2"/>
    <w:rsid w:val="005A2201"/>
    <w:rsid w:val="005A2611"/>
    <w:rsid w:val="005A3BB9"/>
    <w:rsid w:val="005A6547"/>
    <w:rsid w:val="005A67D3"/>
    <w:rsid w:val="005A6E2B"/>
    <w:rsid w:val="005A7045"/>
    <w:rsid w:val="005A7EC2"/>
    <w:rsid w:val="005B1376"/>
    <w:rsid w:val="005B3B5C"/>
    <w:rsid w:val="005B5432"/>
    <w:rsid w:val="005B712C"/>
    <w:rsid w:val="005B762D"/>
    <w:rsid w:val="005B7A4F"/>
    <w:rsid w:val="005C051F"/>
    <w:rsid w:val="005C4DD9"/>
    <w:rsid w:val="005C50E7"/>
    <w:rsid w:val="005C665D"/>
    <w:rsid w:val="005C762E"/>
    <w:rsid w:val="005C7C44"/>
    <w:rsid w:val="005D098C"/>
    <w:rsid w:val="005D0B13"/>
    <w:rsid w:val="005D1238"/>
    <w:rsid w:val="005D244A"/>
    <w:rsid w:val="005D29E4"/>
    <w:rsid w:val="005D426A"/>
    <w:rsid w:val="005D5EF4"/>
    <w:rsid w:val="005D61B8"/>
    <w:rsid w:val="005D6BC2"/>
    <w:rsid w:val="005D712B"/>
    <w:rsid w:val="005D7893"/>
    <w:rsid w:val="005E095B"/>
    <w:rsid w:val="005E239D"/>
    <w:rsid w:val="005E2738"/>
    <w:rsid w:val="005E5BB6"/>
    <w:rsid w:val="005F0905"/>
    <w:rsid w:val="005F1B26"/>
    <w:rsid w:val="005F200C"/>
    <w:rsid w:val="005F4305"/>
    <w:rsid w:val="005F433E"/>
    <w:rsid w:val="005F47E8"/>
    <w:rsid w:val="005F4D76"/>
    <w:rsid w:val="005F57F7"/>
    <w:rsid w:val="005F773E"/>
    <w:rsid w:val="006008E3"/>
    <w:rsid w:val="00600E13"/>
    <w:rsid w:val="006020B5"/>
    <w:rsid w:val="006032BF"/>
    <w:rsid w:val="00603C94"/>
    <w:rsid w:val="00603FE6"/>
    <w:rsid w:val="0060453A"/>
    <w:rsid w:val="00605143"/>
    <w:rsid w:val="0060662A"/>
    <w:rsid w:val="00606A92"/>
    <w:rsid w:val="00607AD9"/>
    <w:rsid w:val="00611951"/>
    <w:rsid w:val="00611D94"/>
    <w:rsid w:val="00612789"/>
    <w:rsid w:val="00613E3C"/>
    <w:rsid w:val="00613F2F"/>
    <w:rsid w:val="00614BDA"/>
    <w:rsid w:val="006202B0"/>
    <w:rsid w:val="00620A10"/>
    <w:rsid w:val="00621303"/>
    <w:rsid w:val="00622C68"/>
    <w:rsid w:val="006250BD"/>
    <w:rsid w:val="00626404"/>
    <w:rsid w:val="00626C66"/>
    <w:rsid w:val="006331B4"/>
    <w:rsid w:val="006343F3"/>
    <w:rsid w:val="00635CFA"/>
    <w:rsid w:val="00637FEE"/>
    <w:rsid w:val="0064086D"/>
    <w:rsid w:val="00640C20"/>
    <w:rsid w:val="006426AF"/>
    <w:rsid w:val="00642906"/>
    <w:rsid w:val="00642E8B"/>
    <w:rsid w:val="00643200"/>
    <w:rsid w:val="006446B7"/>
    <w:rsid w:val="006457EF"/>
    <w:rsid w:val="00646558"/>
    <w:rsid w:val="0065123D"/>
    <w:rsid w:val="00652B41"/>
    <w:rsid w:val="00654F74"/>
    <w:rsid w:val="006574B4"/>
    <w:rsid w:val="00657577"/>
    <w:rsid w:val="00660319"/>
    <w:rsid w:val="006605A7"/>
    <w:rsid w:val="00660EA2"/>
    <w:rsid w:val="00662FE2"/>
    <w:rsid w:val="00667EAD"/>
    <w:rsid w:val="006714D2"/>
    <w:rsid w:val="00672193"/>
    <w:rsid w:val="00672721"/>
    <w:rsid w:val="00672EFB"/>
    <w:rsid w:val="00673412"/>
    <w:rsid w:val="006753E4"/>
    <w:rsid w:val="00675EDC"/>
    <w:rsid w:val="006826FB"/>
    <w:rsid w:val="00684C90"/>
    <w:rsid w:val="006853BB"/>
    <w:rsid w:val="006856F9"/>
    <w:rsid w:val="00685B52"/>
    <w:rsid w:val="00686A12"/>
    <w:rsid w:val="006929A1"/>
    <w:rsid w:val="00692D4F"/>
    <w:rsid w:val="00693BB4"/>
    <w:rsid w:val="00695ABB"/>
    <w:rsid w:val="00695B9D"/>
    <w:rsid w:val="006973DD"/>
    <w:rsid w:val="006A42F7"/>
    <w:rsid w:val="006A4D3C"/>
    <w:rsid w:val="006A6E43"/>
    <w:rsid w:val="006A721F"/>
    <w:rsid w:val="006B0D61"/>
    <w:rsid w:val="006B0FE5"/>
    <w:rsid w:val="006B1E83"/>
    <w:rsid w:val="006B2049"/>
    <w:rsid w:val="006B4C62"/>
    <w:rsid w:val="006B5151"/>
    <w:rsid w:val="006B660A"/>
    <w:rsid w:val="006B6A06"/>
    <w:rsid w:val="006B79E9"/>
    <w:rsid w:val="006C0BD7"/>
    <w:rsid w:val="006C0C3C"/>
    <w:rsid w:val="006C13C6"/>
    <w:rsid w:val="006C1D69"/>
    <w:rsid w:val="006C2C3E"/>
    <w:rsid w:val="006C2EBF"/>
    <w:rsid w:val="006C4070"/>
    <w:rsid w:val="006C5C83"/>
    <w:rsid w:val="006C7C58"/>
    <w:rsid w:val="006D17FC"/>
    <w:rsid w:val="006D42B4"/>
    <w:rsid w:val="006D5929"/>
    <w:rsid w:val="006D73F1"/>
    <w:rsid w:val="006D7465"/>
    <w:rsid w:val="006E210A"/>
    <w:rsid w:val="006E2975"/>
    <w:rsid w:val="006E318E"/>
    <w:rsid w:val="006E4226"/>
    <w:rsid w:val="006F0737"/>
    <w:rsid w:val="006F0FB1"/>
    <w:rsid w:val="006F1B1D"/>
    <w:rsid w:val="006F3CE4"/>
    <w:rsid w:val="006F5551"/>
    <w:rsid w:val="006F6C7D"/>
    <w:rsid w:val="0070286B"/>
    <w:rsid w:val="00704E78"/>
    <w:rsid w:val="00705763"/>
    <w:rsid w:val="0071156E"/>
    <w:rsid w:val="00713FCB"/>
    <w:rsid w:val="007145FF"/>
    <w:rsid w:val="00717177"/>
    <w:rsid w:val="007212F2"/>
    <w:rsid w:val="007235B6"/>
    <w:rsid w:val="007238CC"/>
    <w:rsid w:val="007269F4"/>
    <w:rsid w:val="0073027A"/>
    <w:rsid w:val="007312C6"/>
    <w:rsid w:val="00732519"/>
    <w:rsid w:val="00735682"/>
    <w:rsid w:val="007361F8"/>
    <w:rsid w:val="007366FA"/>
    <w:rsid w:val="00742467"/>
    <w:rsid w:val="007424D9"/>
    <w:rsid w:val="00745C24"/>
    <w:rsid w:val="007461EA"/>
    <w:rsid w:val="00747B98"/>
    <w:rsid w:val="007506E3"/>
    <w:rsid w:val="007526C8"/>
    <w:rsid w:val="00752775"/>
    <w:rsid w:val="00753C19"/>
    <w:rsid w:val="00755876"/>
    <w:rsid w:val="00757175"/>
    <w:rsid w:val="00760190"/>
    <w:rsid w:val="007608AA"/>
    <w:rsid w:val="00760AC4"/>
    <w:rsid w:val="00761C51"/>
    <w:rsid w:val="0076231C"/>
    <w:rsid w:val="007629BA"/>
    <w:rsid w:val="0076465C"/>
    <w:rsid w:val="007652A2"/>
    <w:rsid w:val="007662E8"/>
    <w:rsid w:val="00766438"/>
    <w:rsid w:val="007677E4"/>
    <w:rsid w:val="00771599"/>
    <w:rsid w:val="0077235A"/>
    <w:rsid w:val="00773C24"/>
    <w:rsid w:val="00775CF8"/>
    <w:rsid w:val="0077670C"/>
    <w:rsid w:val="00776BF6"/>
    <w:rsid w:val="00777B4E"/>
    <w:rsid w:val="0078182D"/>
    <w:rsid w:val="0078256D"/>
    <w:rsid w:val="007828DD"/>
    <w:rsid w:val="007831A8"/>
    <w:rsid w:val="0078573E"/>
    <w:rsid w:val="00792705"/>
    <w:rsid w:val="00794BCA"/>
    <w:rsid w:val="00795098"/>
    <w:rsid w:val="0079572B"/>
    <w:rsid w:val="0079680F"/>
    <w:rsid w:val="0079762C"/>
    <w:rsid w:val="00797F70"/>
    <w:rsid w:val="007A05BE"/>
    <w:rsid w:val="007A076E"/>
    <w:rsid w:val="007A3ACE"/>
    <w:rsid w:val="007A4EEE"/>
    <w:rsid w:val="007A6DAA"/>
    <w:rsid w:val="007A76D2"/>
    <w:rsid w:val="007A7ADD"/>
    <w:rsid w:val="007A7EA0"/>
    <w:rsid w:val="007B1503"/>
    <w:rsid w:val="007B4061"/>
    <w:rsid w:val="007B4AB4"/>
    <w:rsid w:val="007B6FD7"/>
    <w:rsid w:val="007C13A8"/>
    <w:rsid w:val="007C23B5"/>
    <w:rsid w:val="007C260A"/>
    <w:rsid w:val="007D0440"/>
    <w:rsid w:val="007D1226"/>
    <w:rsid w:val="007D4347"/>
    <w:rsid w:val="007D4925"/>
    <w:rsid w:val="007D5CFF"/>
    <w:rsid w:val="007D6298"/>
    <w:rsid w:val="007D7806"/>
    <w:rsid w:val="007D7F83"/>
    <w:rsid w:val="007E008F"/>
    <w:rsid w:val="007E0C49"/>
    <w:rsid w:val="007E0F9F"/>
    <w:rsid w:val="007E2168"/>
    <w:rsid w:val="007E63AF"/>
    <w:rsid w:val="007E77D4"/>
    <w:rsid w:val="007F246C"/>
    <w:rsid w:val="007F4AAC"/>
    <w:rsid w:val="007F7044"/>
    <w:rsid w:val="00800EA7"/>
    <w:rsid w:val="00800EA9"/>
    <w:rsid w:val="008016D0"/>
    <w:rsid w:val="00802C56"/>
    <w:rsid w:val="008044AC"/>
    <w:rsid w:val="0080482E"/>
    <w:rsid w:val="0080686D"/>
    <w:rsid w:val="00806B84"/>
    <w:rsid w:val="00807F8C"/>
    <w:rsid w:val="008131FC"/>
    <w:rsid w:val="00813AB8"/>
    <w:rsid w:val="00814210"/>
    <w:rsid w:val="00814DEF"/>
    <w:rsid w:val="008209BC"/>
    <w:rsid w:val="00820F88"/>
    <w:rsid w:val="00823C0D"/>
    <w:rsid w:val="00826633"/>
    <w:rsid w:val="00826A81"/>
    <w:rsid w:val="008271D5"/>
    <w:rsid w:val="00827BE3"/>
    <w:rsid w:val="00832BFA"/>
    <w:rsid w:val="00836546"/>
    <w:rsid w:val="00840443"/>
    <w:rsid w:val="00840F40"/>
    <w:rsid w:val="00841922"/>
    <w:rsid w:val="00844E8D"/>
    <w:rsid w:val="00847DFF"/>
    <w:rsid w:val="008505C3"/>
    <w:rsid w:val="00850716"/>
    <w:rsid w:val="008507B0"/>
    <w:rsid w:val="0085083D"/>
    <w:rsid w:val="00852B2D"/>
    <w:rsid w:val="00854B5B"/>
    <w:rsid w:val="00857C16"/>
    <w:rsid w:val="00857D3B"/>
    <w:rsid w:val="00861F22"/>
    <w:rsid w:val="0086373F"/>
    <w:rsid w:val="0086472B"/>
    <w:rsid w:val="00865EB8"/>
    <w:rsid w:val="00867187"/>
    <w:rsid w:val="00870CFA"/>
    <w:rsid w:val="00872FFC"/>
    <w:rsid w:val="008731A9"/>
    <w:rsid w:val="00874BA9"/>
    <w:rsid w:val="0087655F"/>
    <w:rsid w:val="00877C01"/>
    <w:rsid w:val="008851D3"/>
    <w:rsid w:val="008869E4"/>
    <w:rsid w:val="008875B2"/>
    <w:rsid w:val="00887B9B"/>
    <w:rsid w:val="0089349F"/>
    <w:rsid w:val="008949BB"/>
    <w:rsid w:val="00895BB6"/>
    <w:rsid w:val="008970A0"/>
    <w:rsid w:val="00897595"/>
    <w:rsid w:val="008A11C8"/>
    <w:rsid w:val="008A15A9"/>
    <w:rsid w:val="008A376B"/>
    <w:rsid w:val="008A3F25"/>
    <w:rsid w:val="008A4961"/>
    <w:rsid w:val="008A6612"/>
    <w:rsid w:val="008A663D"/>
    <w:rsid w:val="008A68FC"/>
    <w:rsid w:val="008A6FC6"/>
    <w:rsid w:val="008A743F"/>
    <w:rsid w:val="008B1FC2"/>
    <w:rsid w:val="008B4688"/>
    <w:rsid w:val="008B52A6"/>
    <w:rsid w:val="008C0F67"/>
    <w:rsid w:val="008C1260"/>
    <w:rsid w:val="008C4212"/>
    <w:rsid w:val="008C5133"/>
    <w:rsid w:val="008D367A"/>
    <w:rsid w:val="008D3991"/>
    <w:rsid w:val="008D40FF"/>
    <w:rsid w:val="008D5601"/>
    <w:rsid w:val="008D64B9"/>
    <w:rsid w:val="008E122D"/>
    <w:rsid w:val="008E13D2"/>
    <w:rsid w:val="008E179C"/>
    <w:rsid w:val="008E1E59"/>
    <w:rsid w:val="008E4CC0"/>
    <w:rsid w:val="008E505C"/>
    <w:rsid w:val="008E7585"/>
    <w:rsid w:val="008F1585"/>
    <w:rsid w:val="008F19B1"/>
    <w:rsid w:val="008F2CBB"/>
    <w:rsid w:val="008F71DA"/>
    <w:rsid w:val="00900E12"/>
    <w:rsid w:val="00901AA8"/>
    <w:rsid w:val="00901B5F"/>
    <w:rsid w:val="009046BE"/>
    <w:rsid w:val="0090560A"/>
    <w:rsid w:val="00905AAC"/>
    <w:rsid w:val="00906019"/>
    <w:rsid w:val="009072B4"/>
    <w:rsid w:val="00910690"/>
    <w:rsid w:val="00910893"/>
    <w:rsid w:val="00911112"/>
    <w:rsid w:val="00912CE9"/>
    <w:rsid w:val="0091329B"/>
    <w:rsid w:val="00917FFE"/>
    <w:rsid w:val="00921F45"/>
    <w:rsid w:val="009238A9"/>
    <w:rsid w:val="00923B78"/>
    <w:rsid w:val="00925EB2"/>
    <w:rsid w:val="0092657D"/>
    <w:rsid w:val="00926756"/>
    <w:rsid w:val="009278DD"/>
    <w:rsid w:val="009309ED"/>
    <w:rsid w:val="00930E69"/>
    <w:rsid w:val="00932A58"/>
    <w:rsid w:val="00932A74"/>
    <w:rsid w:val="00933E1C"/>
    <w:rsid w:val="009347AE"/>
    <w:rsid w:val="009376C6"/>
    <w:rsid w:val="00941AF4"/>
    <w:rsid w:val="0094366C"/>
    <w:rsid w:val="00945636"/>
    <w:rsid w:val="00947494"/>
    <w:rsid w:val="0094755F"/>
    <w:rsid w:val="00950090"/>
    <w:rsid w:val="00950DFA"/>
    <w:rsid w:val="00952408"/>
    <w:rsid w:val="00953ADF"/>
    <w:rsid w:val="009618EE"/>
    <w:rsid w:val="00961A88"/>
    <w:rsid w:val="00961F99"/>
    <w:rsid w:val="00962CAF"/>
    <w:rsid w:val="00964616"/>
    <w:rsid w:val="00964CB2"/>
    <w:rsid w:val="00964CE5"/>
    <w:rsid w:val="009666F6"/>
    <w:rsid w:val="00966B0B"/>
    <w:rsid w:val="00967AC2"/>
    <w:rsid w:val="0097118F"/>
    <w:rsid w:val="0097136F"/>
    <w:rsid w:val="00971D3F"/>
    <w:rsid w:val="00971F96"/>
    <w:rsid w:val="00975183"/>
    <w:rsid w:val="0097684A"/>
    <w:rsid w:val="0097702A"/>
    <w:rsid w:val="0098028A"/>
    <w:rsid w:val="00980A55"/>
    <w:rsid w:val="00981494"/>
    <w:rsid w:val="00981B9F"/>
    <w:rsid w:val="00982245"/>
    <w:rsid w:val="00982DD8"/>
    <w:rsid w:val="00985ECD"/>
    <w:rsid w:val="00991632"/>
    <w:rsid w:val="00992934"/>
    <w:rsid w:val="00995CFD"/>
    <w:rsid w:val="00995EA9"/>
    <w:rsid w:val="009A020A"/>
    <w:rsid w:val="009A0271"/>
    <w:rsid w:val="009A12FD"/>
    <w:rsid w:val="009A22DE"/>
    <w:rsid w:val="009A5325"/>
    <w:rsid w:val="009A78EA"/>
    <w:rsid w:val="009B2321"/>
    <w:rsid w:val="009B3E97"/>
    <w:rsid w:val="009B3F5A"/>
    <w:rsid w:val="009B621A"/>
    <w:rsid w:val="009B6D6B"/>
    <w:rsid w:val="009C0088"/>
    <w:rsid w:val="009C041E"/>
    <w:rsid w:val="009C1E4F"/>
    <w:rsid w:val="009C3182"/>
    <w:rsid w:val="009C33C2"/>
    <w:rsid w:val="009C3E56"/>
    <w:rsid w:val="009C45D9"/>
    <w:rsid w:val="009C546C"/>
    <w:rsid w:val="009C6F32"/>
    <w:rsid w:val="009C7490"/>
    <w:rsid w:val="009D0121"/>
    <w:rsid w:val="009D1AB0"/>
    <w:rsid w:val="009D2813"/>
    <w:rsid w:val="009D33A2"/>
    <w:rsid w:val="009D3DF5"/>
    <w:rsid w:val="009D44D7"/>
    <w:rsid w:val="009D6ED8"/>
    <w:rsid w:val="009E1364"/>
    <w:rsid w:val="009E2A9D"/>
    <w:rsid w:val="009E310A"/>
    <w:rsid w:val="009F04B1"/>
    <w:rsid w:val="009F0E2A"/>
    <w:rsid w:val="009F307F"/>
    <w:rsid w:val="009F739C"/>
    <w:rsid w:val="009F74FF"/>
    <w:rsid w:val="00A00767"/>
    <w:rsid w:val="00A026F1"/>
    <w:rsid w:val="00A04636"/>
    <w:rsid w:val="00A06657"/>
    <w:rsid w:val="00A06E1A"/>
    <w:rsid w:val="00A10543"/>
    <w:rsid w:val="00A105D1"/>
    <w:rsid w:val="00A11129"/>
    <w:rsid w:val="00A11772"/>
    <w:rsid w:val="00A151F6"/>
    <w:rsid w:val="00A15E10"/>
    <w:rsid w:val="00A1624E"/>
    <w:rsid w:val="00A16B33"/>
    <w:rsid w:val="00A20EAD"/>
    <w:rsid w:val="00A21C03"/>
    <w:rsid w:val="00A21E00"/>
    <w:rsid w:val="00A223A4"/>
    <w:rsid w:val="00A23607"/>
    <w:rsid w:val="00A252A1"/>
    <w:rsid w:val="00A25A11"/>
    <w:rsid w:val="00A25BC8"/>
    <w:rsid w:val="00A26078"/>
    <w:rsid w:val="00A30741"/>
    <w:rsid w:val="00A30F10"/>
    <w:rsid w:val="00A31812"/>
    <w:rsid w:val="00A330B9"/>
    <w:rsid w:val="00A333FF"/>
    <w:rsid w:val="00A33806"/>
    <w:rsid w:val="00A33FAA"/>
    <w:rsid w:val="00A34DCF"/>
    <w:rsid w:val="00A37C2D"/>
    <w:rsid w:val="00A457FD"/>
    <w:rsid w:val="00A470DB"/>
    <w:rsid w:val="00A47537"/>
    <w:rsid w:val="00A531AD"/>
    <w:rsid w:val="00A5494C"/>
    <w:rsid w:val="00A61336"/>
    <w:rsid w:val="00A62044"/>
    <w:rsid w:val="00A64736"/>
    <w:rsid w:val="00A6573D"/>
    <w:rsid w:val="00A71D67"/>
    <w:rsid w:val="00A740F9"/>
    <w:rsid w:val="00A76B09"/>
    <w:rsid w:val="00A8052F"/>
    <w:rsid w:val="00A81E0D"/>
    <w:rsid w:val="00A825AF"/>
    <w:rsid w:val="00A82A49"/>
    <w:rsid w:val="00A839AB"/>
    <w:rsid w:val="00A854A8"/>
    <w:rsid w:val="00A85AC4"/>
    <w:rsid w:val="00A86D3D"/>
    <w:rsid w:val="00A86E42"/>
    <w:rsid w:val="00A907DA"/>
    <w:rsid w:val="00A9152B"/>
    <w:rsid w:val="00AA0093"/>
    <w:rsid w:val="00AA157E"/>
    <w:rsid w:val="00AB0BE0"/>
    <w:rsid w:val="00AB2948"/>
    <w:rsid w:val="00AB2B9D"/>
    <w:rsid w:val="00AB39FA"/>
    <w:rsid w:val="00AB4BAF"/>
    <w:rsid w:val="00AB61E2"/>
    <w:rsid w:val="00AB6310"/>
    <w:rsid w:val="00AC061D"/>
    <w:rsid w:val="00AC28A4"/>
    <w:rsid w:val="00AC308D"/>
    <w:rsid w:val="00AC4938"/>
    <w:rsid w:val="00AC7A3B"/>
    <w:rsid w:val="00AC7D8D"/>
    <w:rsid w:val="00AD09FC"/>
    <w:rsid w:val="00AD3A06"/>
    <w:rsid w:val="00AD3C55"/>
    <w:rsid w:val="00AD4361"/>
    <w:rsid w:val="00AD4AAB"/>
    <w:rsid w:val="00AD4F1D"/>
    <w:rsid w:val="00AD564E"/>
    <w:rsid w:val="00AD5B3A"/>
    <w:rsid w:val="00AD6933"/>
    <w:rsid w:val="00AD6B7B"/>
    <w:rsid w:val="00AE12B2"/>
    <w:rsid w:val="00AE1B68"/>
    <w:rsid w:val="00AE2AC7"/>
    <w:rsid w:val="00AE3728"/>
    <w:rsid w:val="00AE5645"/>
    <w:rsid w:val="00AE61E2"/>
    <w:rsid w:val="00AE625D"/>
    <w:rsid w:val="00AE6567"/>
    <w:rsid w:val="00AF1001"/>
    <w:rsid w:val="00AF3642"/>
    <w:rsid w:val="00AF47F8"/>
    <w:rsid w:val="00AF4E3E"/>
    <w:rsid w:val="00AF6138"/>
    <w:rsid w:val="00B017B5"/>
    <w:rsid w:val="00B02B45"/>
    <w:rsid w:val="00B031CF"/>
    <w:rsid w:val="00B036B2"/>
    <w:rsid w:val="00B03BD3"/>
    <w:rsid w:val="00B10447"/>
    <w:rsid w:val="00B12F36"/>
    <w:rsid w:val="00B1488A"/>
    <w:rsid w:val="00B14F1A"/>
    <w:rsid w:val="00B169ED"/>
    <w:rsid w:val="00B20479"/>
    <w:rsid w:val="00B2217A"/>
    <w:rsid w:val="00B22B4B"/>
    <w:rsid w:val="00B23A8C"/>
    <w:rsid w:val="00B24506"/>
    <w:rsid w:val="00B2601C"/>
    <w:rsid w:val="00B26E0F"/>
    <w:rsid w:val="00B3082A"/>
    <w:rsid w:val="00B3175E"/>
    <w:rsid w:val="00B32BD1"/>
    <w:rsid w:val="00B3333B"/>
    <w:rsid w:val="00B33D4B"/>
    <w:rsid w:val="00B3528D"/>
    <w:rsid w:val="00B35861"/>
    <w:rsid w:val="00B36F6E"/>
    <w:rsid w:val="00B3729A"/>
    <w:rsid w:val="00B422E9"/>
    <w:rsid w:val="00B42CBA"/>
    <w:rsid w:val="00B430BC"/>
    <w:rsid w:val="00B4396B"/>
    <w:rsid w:val="00B47DEC"/>
    <w:rsid w:val="00B502C2"/>
    <w:rsid w:val="00B511C1"/>
    <w:rsid w:val="00B51F04"/>
    <w:rsid w:val="00B526FE"/>
    <w:rsid w:val="00B52C23"/>
    <w:rsid w:val="00B5331E"/>
    <w:rsid w:val="00B53D83"/>
    <w:rsid w:val="00B54069"/>
    <w:rsid w:val="00B5431A"/>
    <w:rsid w:val="00B60332"/>
    <w:rsid w:val="00B60D8B"/>
    <w:rsid w:val="00B61619"/>
    <w:rsid w:val="00B616B8"/>
    <w:rsid w:val="00B6375B"/>
    <w:rsid w:val="00B64580"/>
    <w:rsid w:val="00B66C21"/>
    <w:rsid w:val="00B71FD0"/>
    <w:rsid w:val="00B725B5"/>
    <w:rsid w:val="00B731D8"/>
    <w:rsid w:val="00B752D8"/>
    <w:rsid w:val="00B75309"/>
    <w:rsid w:val="00B754C8"/>
    <w:rsid w:val="00B75FA4"/>
    <w:rsid w:val="00B76249"/>
    <w:rsid w:val="00B7629B"/>
    <w:rsid w:val="00B77DCA"/>
    <w:rsid w:val="00B77E05"/>
    <w:rsid w:val="00B8012B"/>
    <w:rsid w:val="00B8143B"/>
    <w:rsid w:val="00B81E72"/>
    <w:rsid w:val="00B8476B"/>
    <w:rsid w:val="00B8666C"/>
    <w:rsid w:val="00B87CD9"/>
    <w:rsid w:val="00B90CCB"/>
    <w:rsid w:val="00B935F9"/>
    <w:rsid w:val="00B96594"/>
    <w:rsid w:val="00B97B47"/>
    <w:rsid w:val="00BA1872"/>
    <w:rsid w:val="00BA207F"/>
    <w:rsid w:val="00BA401C"/>
    <w:rsid w:val="00BA47CF"/>
    <w:rsid w:val="00BA5C93"/>
    <w:rsid w:val="00BA5F3D"/>
    <w:rsid w:val="00BA6715"/>
    <w:rsid w:val="00BA6C7D"/>
    <w:rsid w:val="00BB047B"/>
    <w:rsid w:val="00BB0FB8"/>
    <w:rsid w:val="00BB2070"/>
    <w:rsid w:val="00BB2907"/>
    <w:rsid w:val="00BB3A76"/>
    <w:rsid w:val="00BB5047"/>
    <w:rsid w:val="00BB5931"/>
    <w:rsid w:val="00BB6398"/>
    <w:rsid w:val="00BB7835"/>
    <w:rsid w:val="00BC053C"/>
    <w:rsid w:val="00BC06DC"/>
    <w:rsid w:val="00BC24A9"/>
    <w:rsid w:val="00BC39B6"/>
    <w:rsid w:val="00BC6981"/>
    <w:rsid w:val="00BC6B04"/>
    <w:rsid w:val="00BC766C"/>
    <w:rsid w:val="00BC7CC3"/>
    <w:rsid w:val="00BD0372"/>
    <w:rsid w:val="00BD1431"/>
    <w:rsid w:val="00BD1E9E"/>
    <w:rsid w:val="00BD246F"/>
    <w:rsid w:val="00BD5C26"/>
    <w:rsid w:val="00BE041D"/>
    <w:rsid w:val="00BE04C3"/>
    <w:rsid w:val="00BE6D1A"/>
    <w:rsid w:val="00BF1B57"/>
    <w:rsid w:val="00BF246E"/>
    <w:rsid w:val="00BF3C44"/>
    <w:rsid w:val="00BF5523"/>
    <w:rsid w:val="00BF5DC3"/>
    <w:rsid w:val="00BF70C2"/>
    <w:rsid w:val="00C039E7"/>
    <w:rsid w:val="00C03E8B"/>
    <w:rsid w:val="00C042E1"/>
    <w:rsid w:val="00C04B98"/>
    <w:rsid w:val="00C04C67"/>
    <w:rsid w:val="00C058F7"/>
    <w:rsid w:val="00C05BA6"/>
    <w:rsid w:val="00C05F44"/>
    <w:rsid w:val="00C074D3"/>
    <w:rsid w:val="00C11AF1"/>
    <w:rsid w:val="00C139CA"/>
    <w:rsid w:val="00C1637E"/>
    <w:rsid w:val="00C16879"/>
    <w:rsid w:val="00C20275"/>
    <w:rsid w:val="00C226C8"/>
    <w:rsid w:val="00C23CB5"/>
    <w:rsid w:val="00C30AEA"/>
    <w:rsid w:val="00C36B7D"/>
    <w:rsid w:val="00C3773F"/>
    <w:rsid w:val="00C37E0C"/>
    <w:rsid w:val="00C43D09"/>
    <w:rsid w:val="00C45995"/>
    <w:rsid w:val="00C477DF"/>
    <w:rsid w:val="00C503B0"/>
    <w:rsid w:val="00C51429"/>
    <w:rsid w:val="00C526F7"/>
    <w:rsid w:val="00C53928"/>
    <w:rsid w:val="00C53D5D"/>
    <w:rsid w:val="00C55C9E"/>
    <w:rsid w:val="00C61E0E"/>
    <w:rsid w:val="00C62678"/>
    <w:rsid w:val="00C632A8"/>
    <w:rsid w:val="00C641B8"/>
    <w:rsid w:val="00C6450D"/>
    <w:rsid w:val="00C655C7"/>
    <w:rsid w:val="00C670EF"/>
    <w:rsid w:val="00C67CB0"/>
    <w:rsid w:val="00C67E0A"/>
    <w:rsid w:val="00C67E86"/>
    <w:rsid w:val="00C7040E"/>
    <w:rsid w:val="00C75B23"/>
    <w:rsid w:val="00C76593"/>
    <w:rsid w:val="00C80E04"/>
    <w:rsid w:val="00C822DE"/>
    <w:rsid w:val="00C877B8"/>
    <w:rsid w:val="00C90208"/>
    <w:rsid w:val="00C9047C"/>
    <w:rsid w:val="00C90C31"/>
    <w:rsid w:val="00C91691"/>
    <w:rsid w:val="00C91CEB"/>
    <w:rsid w:val="00C93D33"/>
    <w:rsid w:val="00C94E3A"/>
    <w:rsid w:val="00C9538A"/>
    <w:rsid w:val="00C96637"/>
    <w:rsid w:val="00C96AD7"/>
    <w:rsid w:val="00C97D53"/>
    <w:rsid w:val="00C97D9A"/>
    <w:rsid w:val="00CA11EA"/>
    <w:rsid w:val="00CA3D5F"/>
    <w:rsid w:val="00CA41D3"/>
    <w:rsid w:val="00CA4A97"/>
    <w:rsid w:val="00CA4DD3"/>
    <w:rsid w:val="00CA645C"/>
    <w:rsid w:val="00CA6B65"/>
    <w:rsid w:val="00CB314F"/>
    <w:rsid w:val="00CB38B0"/>
    <w:rsid w:val="00CB451D"/>
    <w:rsid w:val="00CB4D1C"/>
    <w:rsid w:val="00CB53F7"/>
    <w:rsid w:val="00CC056D"/>
    <w:rsid w:val="00CC2458"/>
    <w:rsid w:val="00CC28BC"/>
    <w:rsid w:val="00CC3353"/>
    <w:rsid w:val="00CC5804"/>
    <w:rsid w:val="00CD0447"/>
    <w:rsid w:val="00CD0932"/>
    <w:rsid w:val="00CD0AF2"/>
    <w:rsid w:val="00CD1B93"/>
    <w:rsid w:val="00CD1CFA"/>
    <w:rsid w:val="00CD1E56"/>
    <w:rsid w:val="00CD3174"/>
    <w:rsid w:val="00CD47BB"/>
    <w:rsid w:val="00CD4862"/>
    <w:rsid w:val="00CD6ED0"/>
    <w:rsid w:val="00CE4745"/>
    <w:rsid w:val="00CE73A4"/>
    <w:rsid w:val="00CE741A"/>
    <w:rsid w:val="00CF12BD"/>
    <w:rsid w:val="00D0014F"/>
    <w:rsid w:val="00D018F3"/>
    <w:rsid w:val="00D020DB"/>
    <w:rsid w:val="00D05704"/>
    <w:rsid w:val="00D075EF"/>
    <w:rsid w:val="00D1189E"/>
    <w:rsid w:val="00D1209C"/>
    <w:rsid w:val="00D13370"/>
    <w:rsid w:val="00D14C3B"/>
    <w:rsid w:val="00D15F11"/>
    <w:rsid w:val="00D16CBC"/>
    <w:rsid w:val="00D20B5F"/>
    <w:rsid w:val="00D23C51"/>
    <w:rsid w:val="00D2449F"/>
    <w:rsid w:val="00D30416"/>
    <w:rsid w:val="00D30C4A"/>
    <w:rsid w:val="00D31D2A"/>
    <w:rsid w:val="00D34CC3"/>
    <w:rsid w:val="00D35CC4"/>
    <w:rsid w:val="00D3612A"/>
    <w:rsid w:val="00D36D74"/>
    <w:rsid w:val="00D36ECF"/>
    <w:rsid w:val="00D37703"/>
    <w:rsid w:val="00D37DC2"/>
    <w:rsid w:val="00D37F25"/>
    <w:rsid w:val="00D42446"/>
    <w:rsid w:val="00D43649"/>
    <w:rsid w:val="00D44AB9"/>
    <w:rsid w:val="00D4520B"/>
    <w:rsid w:val="00D4628C"/>
    <w:rsid w:val="00D46D13"/>
    <w:rsid w:val="00D50ACA"/>
    <w:rsid w:val="00D51BE8"/>
    <w:rsid w:val="00D531E4"/>
    <w:rsid w:val="00D63C09"/>
    <w:rsid w:val="00D63F3D"/>
    <w:rsid w:val="00D64371"/>
    <w:rsid w:val="00D6446E"/>
    <w:rsid w:val="00D644BF"/>
    <w:rsid w:val="00D65586"/>
    <w:rsid w:val="00D673EB"/>
    <w:rsid w:val="00D710C0"/>
    <w:rsid w:val="00D71175"/>
    <w:rsid w:val="00D711F2"/>
    <w:rsid w:val="00D74501"/>
    <w:rsid w:val="00D74EEF"/>
    <w:rsid w:val="00D75B25"/>
    <w:rsid w:val="00D763D0"/>
    <w:rsid w:val="00D77DA3"/>
    <w:rsid w:val="00D82DD9"/>
    <w:rsid w:val="00D85133"/>
    <w:rsid w:val="00D855F1"/>
    <w:rsid w:val="00D8588E"/>
    <w:rsid w:val="00D8606D"/>
    <w:rsid w:val="00D868AE"/>
    <w:rsid w:val="00D91946"/>
    <w:rsid w:val="00D933F5"/>
    <w:rsid w:val="00D94C88"/>
    <w:rsid w:val="00DA08A2"/>
    <w:rsid w:val="00DA4815"/>
    <w:rsid w:val="00DA67C6"/>
    <w:rsid w:val="00DA68C2"/>
    <w:rsid w:val="00DA71A0"/>
    <w:rsid w:val="00DB09CD"/>
    <w:rsid w:val="00DB48C6"/>
    <w:rsid w:val="00DB5B07"/>
    <w:rsid w:val="00DC2216"/>
    <w:rsid w:val="00DC5ABA"/>
    <w:rsid w:val="00DC5B80"/>
    <w:rsid w:val="00DC607C"/>
    <w:rsid w:val="00DC71BC"/>
    <w:rsid w:val="00DD02C7"/>
    <w:rsid w:val="00DD1F90"/>
    <w:rsid w:val="00DD2174"/>
    <w:rsid w:val="00DD2C0B"/>
    <w:rsid w:val="00DD494D"/>
    <w:rsid w:val="00DD4D40"/>
    <w:rsid w:val="00DD67FC"/>
    <w:rsid w:val="00DE3956"/>
    <w:rsid w:val="00DE47A2"/>
    <w:rsid w:val="00DE519C"/>
    <w:rsid w:val="00DE57AD"/>
    <w:rsid w:val="00DE643F"/>
    <w:rsid w:val="00DE718D"/>
    <w:rsid w:val="00DF0C5C"/>
    <w:rsid w:val="00DF1386"/>
    <w:rsid w:val="00DF1957"/>
    <w:rsid w:val="00DF26BF"/>
    <w:rsid w:val="00DF38B4"/>
    <w:rsid w:val="00E011B2"/>
    <w:rsid w:val="00E05414"/>
    <w:rsid w:val="00E0748A"/>
    <w:rsid w:val="00E07AA1"/>
    <w:rsid w:val="00E10B96"/>
    <w:rsid w:val="00E12CED"/>
    <w:rsid w:val="00E13648"/>
    <w:rsid w:val="00E2255A"/>
    <w:rsid w:val="00E22570"/>
    <w:rsid w:val="00E243F3"/>
    <w:rsid w:val="00E24852"/>
    <w:rsid w:val="00E24CD5"/>
    <w:rsid w:val="00E32076"/>
    <w:rsid w:val="00E3229A"/>
    <w:rsid w:val="00E3572A"/>
    <w:rsid w:val="00E363F5"/>
    <w:rsid w:val="00E3734A"/>
    <w:rsid w:val="00E40485"/>
    <w:rsid w:val="00E4118A"/>
    <w:rsid w:val="00E4253B"/>
    <w:rsid w:val="00E45F43"/>
    <w:rsid w:val="00E4622C"/>
    <w:rsid w:val="00E46B64"/>
    <w:rsid w:val="00E51FFB"/>
    <w:rsid w:val="00E54488"/>
    <w:rsid w:val="00E544CA"/>
    <w:rsid w:val="00E55C8D"/>
    <w:rsid w:val="00E567B7"/>
    <w:rsid w:val="00E616FB"/>
    <w:rsid w:val="00E625FD"/>
    <w:rsid w:val="00E62E05"/>
    <w:rsid w:val="00E649E6"/>
    <w:rsid w:val="00E65211"/>
    <w:rsid w:val="00E6578E"/>
    <w:rsid w:val="00E667F1"/>
    <w:rsid w:val="00E67414"/>
    <w:rsid w:val="00E70147"/>
    <w:rsid w:val="00E729D1"/>
    <w:rsid w:val="00E7528E"/>
    <w:rsid w:val="00E76CA6"/>
    <w:rsid w:val="00E804BD"/>
    <w:rsid w:val="00E805C4"/>
    <w:rsid w:val="00E81AE6"/>
    <w:rsid w:val="00E83219"/>
    <w:rsid w:val="00E840C6"/>
    <w:rsid w:val="00E850E8"/>
    <w:rsid w:val="00E90782"/>
    <w:rsid w:val="00E917AC"/>
    <w:rsid w:val="00E9247D"/>
    <w:rsid w:val="00E946C7"/>
    <w:rsid w:val="00E95185"/>
    <w:rsid w:val="00E95FB6"/>
    <w:rsid w:val="00E975D0"/>
    <w:rsid w:val="00EA007E"/>
    <w:rsid w:val="00EA29F8"/>
    <w:rsid w:val="00EA4677"/>
    <w:rsid w:val="00EA4D35"/>
    <w:rsid w:val="00EA662C"/>
    <w:rsid w:val="00EB1DDC"/>
    <w:rsid w:val="00EB51FC"/>
    <w:rsid w:val="00EC0AC1"/>
    <w:rsid w:val="00EC2158"/>
    <w:rsid w:val="00ED0178"/>
    <w:rsid w:val="00ED32B1"/>
    <w:rsid w:val="00ED3738"/>
    <w:rsid w:val="00ED6F26"/>
    <w:rsid w:val="00EE0563"/>
    <w:rsid w:val="00EE7ACA"/>
    <w:rsid w:val="00EF394D"/>
    <w:rsid w:val="00EF7E00"/>
    <w:rsid w:val="00F029C0"/>
    <w:rsid w:val="00F02B8A"/>
    <w:rsid w:val="00F02E58"/>
    <w:rsid w:val="00F0358E"/>
    <w:rsid w:val="00F03E5C"/>
    <w:rsid w:val="00F062CF"/>
    <w:rsid w:val="00F15D16"/>
    <w:rsid w:val="00F161D4"/>
    <w:rsid w:val="00F175F0"/>
    <w:rsid w:val="00F2029D"/>
    <w:rsid w:val="00F20F62"/>
    <w:rsid w:val="00F21D7E"/>
    <w:rsid w:val="00F2260C"/>
    <w:rsid w:val="00F23B08"/>
    <w:rsid w:val="00F2503E"/>
    <w:rsid w:val="00F25503"/>
    <w:rsid w:val="00F257F4"/>
    <w:rsid w:val="00F25F26"/>
    <w:rsid w:val="00F26A9F"/>
    <w:rsid w:val="00F27A87"/>
    <w:rsid w:val="00F27D88"/>
    <w:rsid w:val="00F30237"/>
    <w:rsid w:val="00F31A64"/>
    <w:rsid w:val="00F32F28"/>
    <w:rsid w:val="00F33CC7"/>
    <w:rsid w:val="00F34A94"/>
    <w:rsid w:val="00F34B30"/>
    <w:rsid w:val="00F37B41"/>
    <w:rsid w:val="00F42900"/>
    <w:rsid w:val="00F436AB"/>
    <w:rsid w:val="00F43CF6"/>
    <w:rsid w:val="00F46CE9"/>
    <w:rsid w:val="00F47E31"/>
    <w:rsid w:val="00F52FE6"/>
    <w:rsid w:val="00F53A92"/>
    <w:rsid w:val="00F6030B"/>
    <w:rsid w:val="00F60B1C"/>
    <w:rsid w:val="00F63A41"/>
    <w:rsid w:val="00F63B52"/>
    <w:rsid w:val="00F65754"/>
    <w:rsid w:val="00F72B01"/>
    <w:rsid w:val="00F734B3"/>
    <w:rsid w:val="00F7687D"/>
    <w:rsid w:val="00F77629"/>
    <w:rsid w:val="00F80CF6"/>
    <w:rsid w:val="00F80DC2"/>
    <w:rsid w:val="00F80FED"/>
    <w:rsid w:val="00F820D7"/>
    <w:rsid w:val="00F8230D"/>
    <w:rsid w:val="00F82A7F"/>
    <w:rsid w:val="00F82EEC"/>
    <w:rsid w:val="00F844B5"/>
    <w:rsid w:val="00F87523"/>
    <w:rsid w:val="00F91FA2"/>
    <w:rsid w:val="00F9297C"/>
    <w:rsid w:val="00F934F6"/>
    <w:rsid w:val="00FA03BF"/>
    <w:rsid w:val="00FA0FCE"/>
    <w:rsid w:val="00FA1443"/>
    <w:rsid w:val="00FA26A5"/>
    <w:rsid w:val="00FA29A6"/>
    <w:rsid w:val="00FA3E0D"/>
    <w:rsid w:val="00FA45B8"/>
    <w:rsid w:val="00FA6516"/>
    <w:rsid w:val="00FA74BB"/>
    <w:rsid w:val="00FA7E66"/>
    <w:rsid w:val="00FB0722"/>
    <w:rsid w:val="00FB317E"/>
    <w:rsid w:val="00FB518D"/>
    <w:rsid w:val="00FB6CBF"/>
    <w:rsid w:val="00FC2893"/>
    <w:rsid w:val="00FC2AF1"/>
    <w:rsid w:val="00FD0200"/>
    <w:rsid w:val="00FD17B1"/>
    <w:rsid w:val="00FD415A"/>
    <w:rsid w:val="00FD54CD"/>
    <w:rsid w:val="00FD6124"/>
    <w:rsid w:val="00FD61DC"/>
    <w:rsid w:val="00FD7A06"/>
    <w:rsid w:val="00FE060E"/>
    <w:rsid w:val="00FE0AB3"/>
    <w:rsid w:val="00FE5D88"/>
    <w:rsid w:val="00FF0659"/>
    <w:rsid w:val="00FF248F"/>
    <w:rsid w:val="00FF46A2"/>
    <w:rsid w:val="00FF504D"/>
    <w:rsid w:val="00FF57A1"/>
    <w:rsid w:val="00FF5872"/>
    <w:rsid w:val="00FF6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794D604"/>
  <w15:chartTrackingRefBased/>
  <w15:docId w15:val="{D4B71266-7748-4CBE-A6C6-A71DC96E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6714D2"/>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B53D83"/>
    <w:pPr>
      <w:spacing w:after="240" w:line="360" w:lineRule="auto"/>
    </w:pPr>
    <w:rPr>
      <w:rFonts w:ascii="Arial" w:hAnsi="Arial"/>
      <w:sz w:val="24"/>
      <w:szCs w:val="24"/>
      <w:lang w:eastAsia="en-US"/>
    </w:rPr>
  </w:style>
  <w:style w:type="character" w:customStyle="1" w:styleId="NICEnormalChar">
    <w:name w:val="NICE normal Char"/>
    <w:link w:val="NICEnormal"/>
    <w:rsid w:val="00B53D83"/>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6714D2"/>
    <w:rPr>
      <w:rFonts w:ascii="Arial" w:hAnsi="Arial" w:cs="Arial"/>
      <w:b/>
      <w:bCs/>
      <w:i/>
      <w:iCs/>
      <w:sz w:val="28"/>
      <w:szCs w:val="28"/>
      <w:lang w:val="en-GB" w:eastAsia="en-US" w:bidi="ar-SA"/>
    </w:rPr>
  </w:style>
  <w:style w:type="table" w:styleId="TableGrid">
    <w:name w:val="Table Grid"/>
    <w:basedOn w:val="TableNormal"/>
    <w:rsid w:val="0098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981B9F"/>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autoRedefine/>
    <w:qFormat/>
    <w:rsid w:val="001A656A"/>
    <w:pPr>
      <w:numPr>
        <w:numId w:val="15"/>
      </w:numPr>
    </w:pPr>
    <w:rPr>
      <w:szCs w:val="24"/>
    </w:rPr>
  </w:style>
  <w:style w:type="character" w:customStyle="1" w:styleId="Numberedheading1CharChar">
    <w:name w:val="Numbered heading 1 Char Char"/>
    <w:link w:val="Numberedheading1"/>
    <w:rsid w:val="001A656A"/>
    <w:rPr>
      <w:rFonts w:ascii="Arial" w:hAnsi="Arial" w:cs="Arial"/>
      <w:b/>
      <w:bCs/>
      <w:kern w:val="32"/>
      <w:sz w:val="32"/>
      <w:szCs w:val="24"/>
      <w:lang w:val="en-US" w:eastAsia="en-US"/>
    </w:rPr>
  </w:style>
  <w:style w:type="paragraph" w:customStyle="1" w:styleId="Bulletindent2">
    <w:name w:val="Bullet indent 2"/>
    <w:basedOn w:val="NICEnormal"/>
    <w:rsid w:val="00D3612A"/>
    <w:pPr>
      <w:numPr>
        <w:ilvl w:val="1"/>
        <w:numId w:val="5"/>
      </w:numPr>
      <w:spacing w:after="0"/>
      <w:ind w:left="1702" w:hanging="284"/>
    </w:pPr>
  </w:style>
  <w:style w:type="paragraph" w:customStyle="1" w:styleId="Bulletleft1">
    <w:name w:val="Bullet left 1"/>
    <w:basedOn w:val="NICEnormal"/>
    <w:rsid w:val="00D37F25"/>
    <w:pPr>
      <w:numPr>
        <w:numId w:val="8"/>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7"/>
      </w:numPr>
      <w:spacing w:after="0"/>
    </w:pPr>
    <w:rPr>
      <w:lang w:val="x-none"/>
    </w:rPr>
  </w:style>
  <w:style w:type="character" w:customStyle="1" w:styleId="Bulletindent1Char">
    <w:name w:val="Bullet indent 1 Char"/>
    <w:link w:val="Bulletindent1"/>
    <w:rsid w:val="006714D2"/>
    <w:rPr>
      <w:rFonts w:ascii="Arial" w:hAnsi="Arial"/>
      <w:sz w:val="24"/>
      <w:szCs w:val="24"/>
      <w:lang w:eastAsia="en-US"/>
    </w:rPr>
  </w:style>
  <w:style w:type="paragraph" w:customStyle="1" w:styleId="Bulletindent3">
    <w:name w:val="Bullet indent 3"/>
    <w:basedOn w:val="NICEnormal"/>
    <w:rsid w:val="00D3612A"/>
    <w:pPr>
      <w:numPr>
        <w:ilvl w:val="2"/>
        <w:numId w:val="6"/>
      </w:numPr>
      <w:spacing w:after="0"/>
    </w:pPr>
  </w:style>
  <w:style w:type="paragraph" w:customStyle="1" w:styleId="Numberedlevel2text">
    <w:name w:val="Numbered level 2 text"/>
    <w:basedOn w:val="Normal"/>
    <w:link w:val="Numberedlevel2textChar"/>
    <w:qFormat/>
    <w:rsid w:val="00981B9F"/>
    <w:pPr>
      <w:numPr>
        <w:ilvl w:val="1"/>
        <w:numId w:val="15"/>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611951"/>
    <w:rPr>
      <w:rFonts w:ascii="Arial" w:hAnsi="Arial" w:cs="Arial"/>
      <w:bCs/>
      <w:iCs/>
      <w:sz w:val="24"/>
      <w:szCs w:val="28"/>
      <w:lang w:eastAsia="en-US"/>
    </w:rPr>
  </w:style>
  <w:style w:type="paragraph" w:customStyle="1" w:styleId="Bulletleft1last">
    <w:name w:val="Bullet left 1 last"/>
    <w:basedOn w:val="NICEnormal"/>
    <w:link w:val="Bulletleft1lastChar"/>
    <w:rsid w:val="00953ADF"/>
    <w:pPr>
      <w:numPr>
        <w:numId w:val="9"/>
      </w:numPr>
    </w:pPr>
    <w:rPr>
      <w:rFonts w:cs="Arial"/>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B53D83"/>
    <w:pPr>
      <w:tabs>
        <w:tab w:val="center" w:pos="4153"/>
        <w:tab w:val="right" w:pos="8306"/>
      </w:tabs>
      <w:spacing w:before="240" w:after="0"/>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10"/>
      </w:numPr>
    </w:pPr>
  </w:style>
  <w:style w:type="paragraph" w:customStyle="1" w:styleId="NICEnormalindented">
    <w:name w:val="NICE normal indented"/>
    <w:basedOn w:val="NICEnormal"/>
    <w:rsid w:val="00BD0372"/>
    <w:pPr>
      <w:tabs>
        <w:tab w:val="left" w:pos="1134"/>
      </w:tabs>
      <w:ind w:left="1134"/>
    </w:pPr>
  </w:style>
  <w:style w:type="character" w:customStyle="1" w:styleId="CommentTextChar">
    <w:name w:val="Comment Text Char"/>
    <w:link w:val="CommentText"/>
    <w:rsid w:val="000A1888"/>
    <w:rPr>
      <w:lang w:eastAsia="en-US"/>
    </w:rPr>
  </w:style>
  <w:style w:type="paragraph" w:customStyle="1" w:styleId="Tabletext">
    <w:name w:val="Table text"/>
    <w:basedOn w:val="NICEnormalsinglespacing"/>
    <w:rsid w:val="00BD0372"/>
    <w:pPr>
      <w:keepNext/>
      <w:spacing w:after="60"/>
    </w:pPr>
    <w:rPr>
      <w:sz w:val="22"/>
    </w:rPr>
  </w:style>
  <w:style w:type="character" w:styleId="Hyperlink">
    <w:name w:val="Hyperlink"/>
    <w:rsid w:val="00AE1B68"/>
    <w:rPr>
      <w:color w:val="0000FF"/>
      <w:u w:val="single"/>
    </w:rPr>
  </w:style>
  <w:style w:type="paragraph" w:styleId="BalloonText">
    <w:name w:val="Balloon Text"/>
    <w:basedOn w:val="Normal"/>
    <w:semiHidden/>
    <w:rsid w:val="00874BA9"/>
    <w:rPr>
      <w:rFonts w:ascii="Tahoma" w:hAnsi="Tahoma" w:cs="Tahoma"/>
      <w:sz w:val="16"/>
      <w:szCs w:val="16"/>
    </w:rPr>
  </w:style>
  <w:style w:type="character" w:styleId="CommentReference">
    <w:name w:val="annotation reference"/>
    <w:rsid w:val="00CD3174"/>
    <w:rPr>
      <w:sz w:val="16"/>
      <w:szCs w:val="16"/>
    </w:rPr>
  </w:style>
  <w:style w:type="paragraph" w:styleId="CommentText">
    <w:name w:val="annotation text"/>
    <w:basedOn w:val="Normal"/>
    <w:link w:val="CommentTextChar"/>
    <w:rsid w:val="00CD3174"/>
    <w:rPr>
      <w:sz w:val="20"/>
      <w:szCs w:val="20"/>
    </w:rPr>
  </w:style>
  <w:style w:type="paragraph" w:styleId="CommentSubject">
    <w:name w:val="annotation subject"/>
    <w:basedOn w:val="CommentText"/>
    <w:next w:val="CommentText"/>
    <w:semiHidden/>
    <w:rsid w:val="00CD3174"/>
    <w:rPr>
      <w:b/>
      <w:bCs/>
    </w:rPr>
  </w:style>
  <w:style w:type="paragraph" w:customStyle="1" w:styleId="Title1">
    <w:name w:val="Title 1"/>
    <w:basedOn w:val="Normal"/>
    <w:qFormat/>
    <w:rsid w:val="00981B9F"/>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BB7835"/>
    <w:rPr>
      <w:lang w:val="en-US"/>
    </w:rPr>
  </w:style>
  <w:style w:type="paragraph" w:customStyle="1" w:styleId="Documentissuedate">
    <w:name w:val="Document issue date"/>
    <w:basedOn w:val="NICEnormal"/>
    <w:qFormat/>
    <w:rsid w:val="00BB7835"/>
    <w:rPr>
      <w:lang w:val="en-US"/>
    </w:rPr>
  </w:style>
  <w:style w:type="character" w:styleId="FollowedHyperlink">
    <w:name w:val="FollowedHyperlink"/>
    <w:rsid w:val="00E24CD5"/>
    <w:rPr>
      <w:color w:val="800080"/>
      <w:u w:val="single"/>
    </w:rPr>
  </w:style>
  <w:style w:type="character" w:customStyle="1" w:styleId="Bulletleft1lastChar">
    <w:name w:val="Bullet left 1 last Char"/>
    <w:link w:val="Bulletleft1last"/>
    <w:rsid w:val="006E210A"/>
    <w:rPr>
      <w:rFonts w:ascii="Arial" w:hAnsi="Arial" w:cs="Arial"/>
      <w:sz w:val="24"/>
      <w:szCs w:val="24"/>
      <w:lang w:eastAsia="en-US"/>
    </w:rPr>
  </w:style>
  <w:style w:type="paragraph" w:styleId="ListParagraph">
    <w:name w:val="List Paragraph"/>
    <w:basedOn w:val="Normal"/>
    <w:uiPriority w:val="34"/>
    <w:qFormat/>
    <w:rsid w:val="00F844B5"/>
    <w:pPr>
      <w:ind w:left="720"/>
      <w:contextualSpacing/>
    </w:pPr>
    <w:rPr>
      <w:lang w:eastAsia="en-GB"/>
    </w:rPr>
  </w:style>
  <w:style w:type="paragraph" w:styleId="FootnoteText">
    <w:name w:val="footnote text"/>
    <w:basedOn w:val="Normal"/>
    <w:link w:val="FootnoteTextChar"/>
    <w:rsid w:val="00FA45B8"/>
    <w:rPr>
      <w:sz w:val="20"/>
      <w:szCs w:val="20"/>
    </w:rPr>
  </w:style>
  <w:style w:type="character" w:customStyle="1" w:styleId="FootnoteTextChar">
    <w:name w:val="Footnote Text Char"/>
    <w:link w:val="FootnoteText"/>
    <w:rsid w:val="00FA45B8"/>
    <w:rPr>
      <w:lang w:eastAsia="en-US"/>
    </w:rPr>
  </w:style>
  <w:style w:type="character" w:styleId="FootnoteReference">
    <w:name w:val="footnote reference"/>
    <w:rsid w:val="00FA45B8"/>
    <w:rPr>
      <w:vertAlign w:val="superscript"/>
    </w:rPr>
  </w:style>
  <w:style w:type="paragraph" w:styleId="Revision">
    <w:name w:val="Revision"/>
    <w:hidden/>
    <w:uiPriority w:val="99"/>
    <w:semiHidden/>
    <w:rsid w:val="00B51F04"/>
    <w:rPr>
      <w:sz w:val="24"/>
      <w:szCs w:val="24"/>
      <w:lang w:eastAsia="en-US"/>
    </w:rPr>
  </w:style>
  <w:style w:type="paragraph" w:styleId="NormalWeb">
    <w:name w:val="Normal (Web)"/>
    <w:basedOn w:val="Normal"/>
    <w:uiPriority w:val="99"/>
    <w:unhideWhenUsed/>
    <w:rsid w:val="00114130"/>
    <w:pPr>
      <w:spacing w:before="100" w:beforeAutospacing="1" w:after="100" w:afterAutospacing="1"/>
    </w:pPr>
    <w:rPr>
      <w:lang w:eastAsia="en-GB"/>
    </w:rPr>
  </w:style>
  <w:style w:type="paragraph" w:customStyle="1" w:styleId="NICETableText">
    <w:name w:val="NICE Table Text"/>
    <w:basedOn w:val="Normal"/>
    <w:link w:val="NICETableTextChar"/>
    <w:qFormat/>
    <w:rsid w:val="00982DD8"/>
    <w:pPr>
      <w:keepNext/>
      <w:spacing w:after="60"/>
    </w:pPr>
    <w:rPr>
      <w:rFonts w:ascii="Arial" w:hAnsi="Arial"/>
      <w:sz w:val="22"/>
    </w:rPr>
  </w:style>
  <w:style w:type="character" w:customStyle="1" w:styleId="NICETableTextChar">
    <w:name w:val="NICE Table Text Char"/>
    <w:link w:val="NICETableText"/>
    <w:rsid w:val="00982DD8"/>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32932">
      <w:bodyDiv w:val="1"/>
      <w:marLeft w:val="0"/>
      <w:marRight w:val="0"/>
      <w:marTop w:val="0"/>
      <w:marBottom w:val="0"/>
      <w:divBdr>
        <w:top w:val="none" w:sz="0" w:space="0" w:color="auto"/>
        <w:left w:val="none" w:sz="0" w:space="0" w:color="auto"/>
        <w:bottom w:val="none" w:sz="0" w:space="0" w:color="auto"/>
        <w:right w:val="none" w:sz="0" w:space="0" w:color="auto"/>
      </w:divBdr>
    </w:div>
    <w:div w:id="189419895">
      <w:bodyDiv w:val="1"/>
      <w:marLeft w:val="0"/>
      <w:marRight w:val="0"/>
      <w:marTop w:val="0"/>
      <w:marBottom w:val="0"/>
      <w:divBdr>
        <w:top w:val="none" w:sz="0" w:space="0" w:color="auto"/>
        <w:left w:val="none" w:sz="0" w:space="0" w:color="auto"/>
        <w:bottom w:val="none" w:sz="0" w:space="0" w:color="auto"/>
        <w:right w:val="none" w:sz="0" w:space="0" w:color="auto"/>
      </w:divBdr>
    </w:div>
    <w:div w:id="455829697">
      <w:bodyDiv w:val="1"/>
      <w:marLeft w:val="0"/>
      <w:marRight w:val="0"/>
      <w:marTop w:val="0"/>
      <w:marBottom w:val="0"/>
      <w:divBdr>
        <w:top w:val="none" w:sz="0" w:space="0" w:color="auto"/>
        <w:left w:val="none" w:sz="0" w:space="0" w:color="auto"/>
        <w:bottom w:val="none" w:sz="0" w:space="0" w:color="auto"/>
        <w:right w:val="none" w:sz="0" w:space="0" w:color="auto"/>
      </w:divBdr>
    </w:div>
    <w:div w:id="532113992">
      <w:bodyDiv w:val="1"/>
      <w:marLeft w:val="0"/>
      <w:marRight w:val="0"/>
      <w:marTop w:val="0"/>
      <w:marBottom w:val="0"/>
      <w:divBdr>
        <w:top w:val="none" w:sz="0" w:space="0" w:color="auto"/>
        <w:left w:val="none" w:sz="0" w:space="0" w:color="auto"/>
        <w:bottom w:val="none" w:sz="0" w:space="0" w:color="auto"/>
        <w:right w:val="none" w:sz="0" w:space="0" w:color="auto"/>
      </w:divBdr>
    </w:div>
    <w:div w:id="733314828">
      <w:bodyDiv w:val="1"/>
      <w:marLeft w:val="0"/>
      <w:marRight w:val="0"/>
      <w:marTop w:val="0"/>
      <w:marBottom w:val="0"/>
      <w:divBdr>
        <w:top w:val="none" w:sz="0" w:space="0" w:color="auto"/>
        <w:left w:val="none" w:sz="0" w:space="0" w:color="auto"/>
        <w:bottom w:val="none" w:sz="0" w:space="0" w:color="auto"/>
        <w:right w:val="none" w:sz="0" w:space="0" w:color="auto"/>
      </w:divBdr>
    </w:div>
    <w:div w:id="807094652">
      <w:bodyDiv w:val="1"/>
      <w:marLeft w:val="0"/>
      <w:marRight w:val="0"/>
      <w:marTop w:val="0"/>
      <w:marBottom w:val="0"/>
      <w:divBdr>
        <w:top w:val="none" w:sz="0" w:space="0" w:color="auto"/>
        <w:left w:val="none" w:sz="0" w:space="0" w:color="auto"/>
        <w:bottom w:val="none" w:sz="0" w:space="0" w:color="auto"/>
        <w:right w:val="none" w:sz="0" w:space="0" w:color="auto"/>
      </w:divBdr>
    </w:div>
    <w:div w:id="1179809034">
      <w:bodyDiv w:val="1"/>
      <w:marLeft w:val="0"/>
      <w:marRight w:val="0"/>
      <w:marTop w:val="0"/>
      <w:marBottom w:val="0"/>
      <w:divBdr>
        <w:top w:val="none" w:sz="0" w:space="0" w:color="auto"/>
        <w:left w:val="none" w:sz="0" w:space="0" w:color="auto"/>
        <w:bottom w:val="none" w:sz="0" w:space="0" w:color="auto"/>
        <w:right w:val="none" w:sz="0" w:space="0" w:color="auto"/>
      </w:divBdr>
    </w:div>
    <w:div w:id="1607692934">
      <w:bodyDiv w:val="1"/>
      <w:marLeft w:val="0"/>
      <w:marRight w:val="0"/>
      <w:marTop w:val="0"/>
      <w:marBottom w:val="0"/>
      <w:divBdr>
        <w:top w:val="none" w:sz="0" w:space="0" w:color="auto"/>
        <w:left w:val="none" w:sz="0" w:space="0" w:color="auto"/>
        <w:bottom w:val="none" w:sz="0" w:space="0" w:color="auto"/>
        <w:right w:val="none" w:sz="0" w:space="0" w:color="auto"/>
      </w:divBdr>
    </w:div>
    <w:div w:id="1733700444">
      <w:bodyDiv w:val="1"/>
      <w:marLeft w:val="0"/>
      <w:marRight w:val="0"/>
      <w:marTop w:val="0"/>
      <w:marBottom w:val="0"/>
      <w:divBdr>
        <w:top w:val="none" w:sz="0" w:space="0" w:color="auto"/>
        <w:left w:val="none" w:sz="0" w:space="0" w:color="auto"/>
        <w:bottom w:val="none" w:sz="0" w:space="0" w:color="auto"/>
        <w:right w:val="none" w:sz="0" w:space="0" w:color="auto"/>
      </w:divBdr>
    </w:div>
    <w:div w:id="1882132368">
      <w:bodyDiv w:val="1"/>
      <w:marLeft w:val="0"/>
      <w:marRight w:val="0"/>
      <w:marTop w:val="0"/>
      <w:marBottom w:val="0"/>
      <w:divBdr>
        <w:top w:val="none" w:sz="0" w:space="0" w:color="auto"/>
        <w:left w:val="none" w:sz="0" w:space="0" w:color="auto"/>
        <w:bottom w:val="none" w:sz="0" w:space="0" w:color="auto"/>
        <w:right w:val="none" w:sz="0" w:space="0" w:color="auto"/>
      </w:divBdr>
    </w:div>
    <w:div w:id="2057656092">
      <w:bodyDiv w:val="1"/>
      <w:marLeft w:val="0"/>
      <w:marRight w:val="0"/>
      <w:marTop w:val="0"/>
      <w:marBottom w:val="0"/>
      <w:divBdr>
        <w:top w:val="none" w:sz="0" w:space="0" w:color="auto"/>
        <w:left w:val="none" w:sz="0" w:space="0" w:color="auto"/>
        <w:bottom w:val="none" w:sz="0" w:space="0" w:color="auto"/>
        <w:right w:val="none" w:sz="0" w:space="0" w:color="auto"/>
      </w:divBdr>
      <w:divsChild>
        <w:div w:id="1866206976">
          <w:marLeft w:val="0"/>
          <w:marRight w:val="0"/>
          <w:marTop w:val="0"/>
          <w:marBottom w:val="100"/>
          <w:divBdr>
            <w:top w:val="none" w:sz="0" w:space="0" w:color="auto"/>
            <w:left w:val="none" w:sz="0" w:space="0" w:color="auto"/>
            <w:bottom w:val="none" w:sz="0" w:space="0" w:color="auto"/>
            <w:right w:val="none" w:sz="0" w:space="0" w:color="auto"/>
          </w:divBdr>
          <w:divsChild>
            <w:div w:id="461575769">
              <w:marLeft w:val="0"/>
              <w:marRight w:val="0"/>
              <w:marTop w:val="0"/>
              <w:marBottom w:val="100"/>
              <w:divBdr>
                <w:top w:val="none" w:sz="0" w:space="0" w:color="auto"/>
                <w:left w:val="none" w:sz="0" w:space="0" w:color="auto"/>
                <w:bottom w:val="none" w:sz="0" w:space="0" w:color="auto"/>
                <w:right w:val="none" w:sz="0" w:space="0" w:color="auto"/>
              </w:divBdr>
              <w:divsChild>
                <w:div w:id="766268786">
                  <w:marLeft w:val="0"/>
                  <w:marRight w:val="0"/>
                  <w:marTop w:val="0"/>
                  <w:marBottom w:val="0"/>
                  <w:divBdr>
                    <w:top w:val="single" w:sz="6" w:space="0" w:color="989DA5"/>
                    <w:left w:val="single" w:sz="6" w:space="0" w:color="989DA5"/>
                    <w:bottom w:val="single" w:sz="6" w:space="0" w:color="989DA5"/>
                    <w:right w:val="single" w:sz="6" w:space="0" w:color="989DA5"/>
                  </w:divBdr>
                  <w:divsChild>
                    <w:div w:id="700206834">
                      <w:marLeft w:val="0"/>
                      <w:marRight w:val="0"/>
                      <w:marTop w:val="150"/>
                      <w:marBottom w:val="150"/>
                      <w:divBdr>
                        <w:top w:val="single" w:sz="6" w:space="0" w:color="666666"/>
                        <w:left w:val="single" w:sz="6" w:space="0" w:color="666666"/>
                        <w:bottom w:val="single" w:sz="6" w:space="0" w:color="666666"/>
                        <w:right w:val="single" w:sz="6" w:space="0" w:color="666666"/>
                      </w:divBdr>
                      <w:divsChild>
                        <w:div w:id="1974211850">
                          <w:marLeft w:val="0"/>
                          <w:marRight w:val="0"/>
                          <w:marTop w:val="0"/>
                          <w:marBottom w:val="0"/>
                          <w:divBdr>
                            <w:top w:val="single" w:sz="6" w:space="6" w:color="666666"/>
                            <w:left w:val="none" w:sz="0" w:space="0" w:color="auto"/>
                            <w:bottom w:val="none" w:sz="0" w:space="0" w:color="auto"/>
                            <w:right w:val="none" w:sz="0" w:space="0" w:color="auto"/>
                          </w:divBdr>
                        </w:div>
                      </w:divsChild>
                    </w:div>
                    <w:div w:id="891621702">
                      <w:marLeft w:val="0"/>
                      <w:marRight w:val="0"/>
                      <w:marTop w:val="0"/>
                      <w:marBottom w:val="0"/>
                      <w:divBdr>
                        <w:top w:val="none" w:sz="0" w:space="0" w:color="auto"/>
                        <w:left w:val="none" w:sz="0" w:space="0" w:color="auto"/>
                        <w:bottom w:val="none" w:sz="0" w:space="0" w:color="auto"/>
                        <w:right w:val="none" w:sz="0" w:space="0" w:color="auto"/>
                      </w:divBdr>
                    </w:div>
                    <w:div w:id="1087648868">
                      <w:marLeft w:val="0"/>
                      <w:marRight w:val="0"/>
                      <w:marTop w:val="0"/>
                      <w:marBottom w:val="0"/>
                      <w:divBdr>
                        <w:top w:val="none" w:sz="0" w:space="0" w:color="auto"/>
                        <w:left w:val="none" w:sz="0" w:space="0" w:color="auto"/>
                        <w:bottom w:val="none" w:sz="0" w:space="0" w:color="auto"/>
                        <w:right w:val="none" w:sz="0" w:space="0" w:color="auto"/>
                      </w:divBdr>
                    </w:div>
                    <w:div w:id="1221861056">
                      <w:marLeft w:val="0"/>
                      <w:marRight w:val="0"/>
                      <w:marTop w:val="0"/>
                      <w:marBottom w:val="0"/>
                      <w:divBdr>
                        <w:top w:val="none" w:sz="0" w:space="0" w:color="auto"/>
                        <w:left w:val="none" w:sz="0" w:space="0" w:color="auto"/>
                        <w:bottom w:val="none" w:sz="0" w:space="0" w:color="auto"/>
                        <w:right w:val="none" w:sz="0" w:space="0" w:color="auto"/>
                      </w:divBdr>
                    </w:div>
                    <w:div w:id="2048600924">
                      <w:marLeft w:val="0"/>
                      <w:marRight w:val="0"/>
                      <w:marTop w:val="0"/>
                      <w:marBottom w:val="0"/>
                      <w:divBdr>
                        <w:top w:val="none" w:sz="0" w:space="0" w:color="auto"/>
                        <w:left w:val="none" w:sz="0" w:space="0" w:color="auto"/>
                        <w:bottom w:val="none" w:sz="0" w:space="0" w:color="auto"/>
                        <w:right w:val="none" w:sz="0" w:space="0" w:color="auto"/>
                      </w:divBdr>
                    </w:div>
                    <w:div w:id="2134471793">
                      <w:marLeft w:val="0"/>
                      <w:marRight w:val="0"/>
                      <w:marTop w:val="0"/>
                      <w:marBottom w:val="0"/>
                      <w:divBdr>
                        <w:top w:val="none" w:sz="0" w:space="0" w:color="auto"/>
                        <w:left w:val="none" w:sz="0" w:space="0" w:color="auto"/>
                        <w:bottom w:val="none" w:sz="0" w:space="0" w:color="auto"/>
                        <w:right w:val="none" w:sz="0" w:space="0" w:color="auto"/>
                      </w:divBdr>
                      <w:divsChild>
                        <w:div w:id="1094208380">
                          <w:marLeft w:val="0"/>
                          <w:marRight w:val="0"/>
                          <w:marTop w:val="0"/>
                          <w:marBottom w:val="0"/>
                          <w:divBdr>
                            <w:top w:val="none" w:sz="0" w:space="0" w:color="auto"/>
                            <w:left w:val="none" w:sz="0" w:space="0" w:color="auto"/>
                            <w:bottom w:val="none" w:sz="0" w:space="0" w:color="auto"/>
                            <w:right w:val="none" w:sz="0" w:space="0" w:color="auto"/>
                          </w:divBdr>
                          <w:divsChild>
                            <w:div w:id="1085806992">
                              <w:marLeft w:val="0"/>
                              <w:marRight w:val="0"/>
                              <w:marTop w:val="0"/>
                              <w:marBottom w:val="0"/>
                              <w:divBdr>
                                <w:top w:val="none" w:sz="0" w:space="0" w:color="auto"/>
                                <w:left w:val="none" w:sz="0" w:space="0" w:color="auto"/>
                                <w:bottom w:val="none" w:sz="0" w:space="0" w:color="auto"/>
                                <w:right w:val="none" w:sz="0" w:space="0" w:color="auto"/>
                              </w:divBdr>
                            </w:div>
                          </w:divsChild>
                        </w:div>
                        <w:div w:id="1132673840">
                          <w:marLeft w:val="0"/>
                          <w:marRight w:val="0"/>
                          <w:marTop w:val="0"/>
                          <w:marBottom w:val="0"/>
                          <w:divBdr>
                            <w:top w:val="none" w:sz="0" w:space="0" w:color="auto"/>
                            <w:left w:val="none" w:sz="0" w:space="0" w:color="auto"/>
                            <w:bottom w:val="none" w:sz="0" w:space="0" w:color="auto"/>
                            <w:right w:val="none" w:sz="0" w:space="0" w:color="auto"/>
                          </w:divBdr>
                        </w:div>
                        <w:div w:id="1237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7441">
                  <w:marLeft w:val="0"/>
                  <w:marRight w:val="0"/>
                  <w:marTop w:val="0"/>
                  <w:marBottom w:val="0"/>
                  <w:divBdr>
                    <w:top w:val="none" w:sz="0" w:space="0" w:color="auto"/>
                    <w:left w:val="none" w:sz="0" w:space="0" w:color="auto"/>
                    <w:bottom w:val="none" w:sz="0" w:space="0" w:color="auto"/>
                    <w:right w:val="none" w:sz="0" w:space="0" w:color="auto"/>
                  </w:divBdr>
                </w:div>
                <w:div w:id="13395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290/documents" TargetMode="External"/><Relationship Id="rId13" Type="http://schemas.openxmlformats.org/officeDocument/2006/relationships/hyperlink" Target="https://www.nice.org.uk/process/pmg9/chapter/the-appraisal-of-the-evidence-and-structured-decision-makin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ice.org.uk/process/pmg9/chapter/the-appraisal-of-the-evidence-and-structured-decision-making" TargetMode="External"/><Relationship Id="rId17" Type="http://schemas.openxmlformats.org/officeDocument/2006/relationships/hyperlink" Target="https://www.nice.org.uk/get-involved/meetings-in-public/technology-appraisal-committee" TargetMode="External"/><Relationship Id="rId2" Type="http://schemas.openxmlformats.org/officeDocument/2006/relationships/numbering" Target="numbering.xml"/><Relationship Id="rId16" Type="http://schemas.openxmlformats.org/officeDocument/2006/relationships/hyperlink" Target="https://www.nice.org.uk/guidance/indevelopment/gid-ta10290/documentshttps:/www.nice.org.uk/Get-Involved/Meetings-in-public/Technology-appraisal-Committee/Committee-B-Memb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52" TargetMode="External"/><Relationship Id="rId5" Type="http://schemas.openxmlformats.org/officeDocument/2006/relationships/webSettings" Target="webSettings.xml"/><Relationship Id="rId15" Type="http://schemas.openxmlformats.org/officeDocument/2006/relationships/hyperlink" Target="https://www.nice.org.uk/about/what-we-do/our-programmes/nice-guidance/nice-technology-appraisal-guidance/cancer-drugs-fund" TargetMode="External"/><Relationship Id="rId10" Type="http://schemas.openxmlformats.org/officeDocument/2006/relationships/hyperlink" Target="https://www.nice.org.uk/guidance/indevelopment/gid-ta10290/documen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ce.org.uk/article/pmg19/chapter/Foreword" TargetMode="External"/><Relationship Id="rId14" Type="http://schemas.openxmlformats.org/officeDocument/2006/relationships/hyperlink" Target="https://www.nice.org.uk/process/pmg9/chapter/the-appraisal-of-the-evidence-and-structured-decision-maki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ice.nhs.uk\Data\Global\NICE\NICE%20Templates\Tech%20App\STA%20ACD%20template%20from%20April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3569B-243C-4398-A84F-416EE5D1C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 ACD template from April17</Template>
  <TotalTime>194</TotalTime>
  <Pages>24</Pages>
  <Words>6205</Words>
  <Characters>36284</Characters>
  <Application>Microsoft Office Word</Application>
  <DocSecurity>0</DocSecurity>
  <Lines>302</Lines>
  <Paragraphs>84</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42405</CharactersWithSpaces>
  <SharedDoc>false</SharedDoc>
  <HLinks>
    <vt:vector size="102" baseType="variant">
      <vt:variant>
        <vt:i4>3211303</vt:i4>
      </vt:variant>
      <vt:variant>
        <vt:i4>393</vt:i4>
      </vt:variant>
      <vt:variant>
        <vt:i4>0</vt:i4>
      </vt:variant>
      <vt:variant>
        <vt:i4>5</vt:i4>
      </vt:variant>
      <vt:variant>
        <vt:lpwstr>https://www.nice.org.uk/get-involved/meetings-in-public/technology-appraisal-committee</vt:lpwstr>
      </vt:variant>
      <vt:variant>
        <vt:lpwstr/>
      </vt:variant>
      <vt:variant>
        <vt:i4>3211303</vt:i4>
      </vt:variant>
      <vt:variant>
        <vt:i4>390</vt:i4>
      </vt:variant>
      <vt:variant>
        <vt:i4>0</vt:i4>
      </vt:variant>
      <vt:variant>
        <vt:i4>5</vt:i4>
      </vt:variant>
      <vt:variant>
        <vt:lpwstr>https://www.nice.org.uk/get-involved/meetings-in-public/technology-appraisal-committee</vt:lpwstr>
      </vt:variant>
      <vt:variant>
        <vt:lpwstr/>
      </vt:variant>
      <vt:variant>
        <vt:i4>2687086</vt:i4>
      </vt:variant>
      <vt:variant>
        <vt:i4>387</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378</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351</vt:i4>
      </vt:variant>
      <vt:variant>
        <vt:i4>0</vt:i4>
      </vt:variant>
      <vt:variant>
        <vt:i4>5</vt:i4>
      </vt:variant>
      <vt:variant>
        <vt:lpwstr>https://www.england.nhs.uk/cancer/cdf/</vt:lpwstr>
      </vt:variant>
      <vt:variant>
        <vt:lpwstr/>
      </vt:variant>
      <vt:variant>
        <vt:i4>4522076</vt:i4>
      </vt:variant>
      <vt:variant>
        <vt:i4>330</vt:i4>
      </vt:variant>
      <vt:variant>
        <vt:i4>0</vt:i4>
      </vt:variant>
      <vt:variant>
        <vt:i4>5</vt:i4>
      </vt:variant>
      <vt:variant>
        <vt:lpwstr>http://www.legislation.gov.uk/uksi/2013/259/contents/made</vt:lpwstr>
      </vt:variant>
      <vt:variant>
        <vt:lpwstr/>
      </vt:variant>
      <vt:variant>
        <vt:i4>852042</vt:i4>
      </vt:variant>
      <vt:variant>
        <vt:i4>327</vt:i4>
      </vt:variant>
      <vt:variant>
        <vt:i4>0</vt:i4>
      </vt:variant>
      <vt:variant>
        <vt:i4>5</vt:i4>
      </vt:variant>
      <vt:variant>
        <vt:lpwstr>https://www.gov.uk/government/publications/early-access-to-medicines-scheme-eams-how-the-scheme-works</vt:lpwstr>
      </vt:variant>
      <vt:variant>
        <vt:lpwstr/>
      </vt:variant>
      <vt:variant>
        <vt:i4>1572937</vt:i4>
      </vt:variant>
      <vt:variant>
        <vt:i4>321</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315</vt:i4>
      </vt:variant>
      <vt:variant>
        <vt:i4>0</vt:i4>
      </vt:variant>
      <vt:variant>
        <vt:i4>5</vt:i4>
      </vt:variant>
      <vt:variant>
        <vt:lpwstr>http://www.legislation.gov.uk/uksi/2013/259/contents/made</vt:lpwstr>
      </vt:variant>
      <vt:variant>
        <vt:lpwstr/>
      </vt:variant>
      <vt:variant>
        <vt:i4>7274531</vt:i4>
      </vt:variant>
      <vt:variant>
        <vt:i4>273</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270</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255</vt:i4>
      </vt:variant>
      <vt:variant>
        <vt:i4>0</vt:i4>
      </vt:variant>
      <vt:variant>
        <vt:i4>5</vt:i4>
      </vt:variant>
      <vt:variant>
        <vt:lpwstr>https://www.nice.org.uk/process/pmg9/chapter/the-appraisal-of-the-evidence-and-structured-decision-making</vt:lpwstr>
      </vt:variant>
      <vt:variant>
        <vt:lpwstr/>
      </vt:variant>
      <vt:variant>
        <vt:i4>5701707</vt:i4>
      </vt:variant>
      <vt:variant>
        <vt:i4>159</vt:i4>
      </vt:variant>
      <vt:variant>
        <vt:i4>0</vt:i4>
      </vt:variant>
      <vt:variant>
        <vt:i4>5</vt:i4>
      </vt:variant>
      <vt:variant>
        <vt:lpwstr>http://www.nice.org.uk/Guidance/GID-xxxxxx/Documents</vt:lpwstr>
      </vt:variant>
      <vt:variant>
        <vt:lpwstr/>
      </vt:variant>
      <vt:variant>
        <vt:i4>2162708</vt:i4>
      </vt:variant>
      <vt:variant>
        <vt:i4>102</vt:i4>
      </vt:variant>
      <vt:variant>
        <vt:i4>0</vt:i4>
      </vt:variant>
      <vt:variant>
        <vt:i4>5</vt:i4>
      </vt:variant>
      <vt:variant>
        <vt:lpwstr>\\nice.nhs.uk\Data\Global\NICE\NICE Templates\Tech App</vt:lpwstr>
      </vt:variant>
      <vt:variant>
        <vt:lpwstr/>
      </vt:variant>
      <vt:variant>
        <vt:i4>1507346</vt:i4>
      </vt:variant>
      <vt:variant>
        <vt:i4>15</vt:i4>
      </vt:variant>
      <vt:variant>
        <vt:i4>0</vt:i4>
      </vt:variant>
      <vt:variant>
        <vt:i4>5</vt:i4>
      </vt:variant>
      <vt:variant>
        <vt:lpwstr>http://www.nice.org.uk/article/pmg19/chapter/Foreword</vt:lpwstr>
      </vt:variant>
      <vt:variant>
        <vt:lpwstr/>
      </vt:variant>
      <vt:variant>
        <vt:i4>6488110</vt:i4>
      </vt:variant>
      <vt:variant>
        <vt:i4>9</vt:i4>
      </vt:variant>
      <vt:variant>
        <vt:i4>0</vt:i4>
      </vt:variant>
      <vt:variant>
        <vt:i4>5</vt:i4>
      </vt:variant>
      <vt:variant>
        <vt:lpwstr>http://www.nice.org.uk/guidance/indevelopment/gid-tagXXX/documents</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Adam Brooke</dc:creator>
  <cp:keywords/>
  <cp:lastModifiedBy>Adam Brooke</cp:lastModifiedBy>
  <cp:revision>9</cp:revision>
  <cp:lastPrinted>2015-11-27T14:15:00Z</cp:lastPrinted>
  <dcterms:created xsi:type="dcterms:W3CDTF">2018-09-24T09:33:00Z</dcterms:created>
  <dcterms:modified xsi:type="dcterms:W3CDTF">2018-09-24T14:19:00Z</dcterms:modified>
</cp:coreProperties>
</file>