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0031A" w14:textId="77777777" w:rsidR="000F48EC" w:rsidRPr="009E06FF" w:rsidRDefault="000F48EC" w:rsidP="0093671F">
      <w:pPr>
        <w:pStyle w:val="Title2"/>
      </w:pPr>
      <w:r w:rsidRPr="009E06FF">
        <w:t>NATIONAL INSTITUTE FOR HEALTH AND C</w:t>
      </w:r>
      <w:r w:rsidR="00CC63EB" w:rsidRPr="009E06FF">
        <w:t>ARE</w:t>
      </w:r>
      <w:r w:rsidRPr="009E06FF">
        <w:t xml:space="preserve"> EXCELLENCE</w:t>
      </w:r>
    </w:p>
    <w:p w14:paraId="5FD3E1F9" w14:textId="2FB4EFB1" w:rsidR="000F48EC" w:rsidRPr="009E06FF" w:rsidRDefault="007A2801" w:rsidP="000069F9">
      <w:pPr>
        <w:pStyle w:val="Title2"/>
      </w:pPr>
      <w:r w:rsidRPr="009E06FF">
        <w:t>Appraisal consultation document</w:t>
      </w:r>
    </w:p>
    <w:p w14:paraId="78BE1800" w14:textId="6567E888" w:rsidR="007A2801" w:rsidRPr="009E06FF" w:rsidRDefault="00F46A14" w:rsidP="00034110">
      <w:pPr>
        <w:pStyle w:val="Title1"/>
      </w:pPr>
      <w:r w:rsidRPr="009E06FF">
        <w:t>Neratinib for</w:t>
      </w:r>
      <w:r w:rsidR="00F24492" w:rsidRPr="009E06FF">
        <w:t xml:space="preserve"> extended</w:t>
      </w:r>
      <w:r w:rsidR="00CD4902" w:rsidRPr="009E06FF">
        <w:t xml:space="preserve"> adjuvant treatment of</w:t>
      </w:r>
      <w:r w:rsidRPr="009E06FF">
        <w:t xml:space="preserve"> hormone receptor-positive, HER2-positive </w:t>
      </w:r>
      <w:r w:rsidR="002A26CE" w:rsidRPr="009E06FF">
        <w:t xml:space="preserve">early </w:t>
      </w:r>
      <w:r w:rsidR="00CD4902" w:rsidRPr="009E06FF">
        <w:t xml:space="preserve">stage </w:t>
      </w:r>
      <w:r w:rsidRPr="009E06FF">
        <w:t>breast cancer after adjuvant trastuzumab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F73BA" w:rsidRPr="009E06FF" w14:paraId="7489452C" w14:textId="77777777" w:rsidTr="000D7316">
        <w:tc>
          <w:tcPr>
            <w:tcW w:w="8529" w:type="dxa"/>
            <w:shd w:val="clear" w:color="auto" w:fill="auto"/>
          </w:tcPr>
          <w:p w14:paraId="76D96809" w14:textId="4BAD5F11" w:rsidR="009F73BA" w:rsidRPr="009E06FF" w:rsidRDefault="009F73BA" w:rsidP="000D7316">
            <w:pPr>
              <w:pStyle w:val="NICEnormalsinglespacing"/>
            </w:pPr>
            <w:r w:rsidRPr="009E06FF">
              <w:t xml:space="preserve">The Department of Health and Social Care has asked the National Institute for Health and Care Excellence (NICE) to produce guidance on using </w:t>
            </w:r>
            <w:r w:rsidR="00C95085" w:rsidRPr="009E06FF">
              <w:t>neratinib</w:t>
            </w:r>
            <w:r w:rsidRPr="009E06FF">
              <w:t xml:space="preserve"> in the NHS in England. The appraisal committee has considered the evidence submitted by the company and the views of non-company consultees and commentators, clinical experts and patient experts.</w:t>
            </w:r>
          </w:p>
          <w:p w14:paraId="0D791DE1" w14:textId="1E6D7B63" w:rsidR="009F73BA" w:rsidRPr="009E06FF" w:rsidRDefault="009F73BA" w:rsidP="000D7316">
            <w:pPr>
              <w:pStyle w:val="NICEnormalsinglespacing"/>
            </w:pPr>
            <w:r w:rsidRPr="009E06FF">
              <w:rPr>
                <w:b/>
              </w:rPr>
              <w:t>This document has been prepared for consultation with the consultees.</w:t>
            </w:r>
            <w:r w:rsidRPr="009E06FF">
              <w:t xml:space="preserve"> It summarises the evidence and views that have been </w:t>
            </w:r>
            <w:proofErr w:type="gramStart"/>
            <w:r w:rsidRPr="009E06FF">
              <w:t>considered, and</w:t>
            </w:r>
            <w:proofErr w:type="gramEnd"/>
            <w:r w:rsidRPr="009E06FF">
              <w:t xml:space="preserve"> sets out the recommendations made by the committee. NICE invites comments from the consultees and commentators for this appraisal and the public. This document should be read along with the evidence (see the</w:t>
            </w:r>
            <w:r w:rsidR="00555044">
              <w:t xml:space="preserve"> </w:t>
            </w:r>
            <w:hyperlink r:id="rId8" w:history="1">
              <w:r w:rsidR="00555044" w:rsidRPr="00555044">
                <w:rPr>
                  <w:rStyle w:val="Hyperlink"/>
                </w:rPr>
                <w:t>committee papers</w:t>
              </w:r>
            </w:hyperlink>
            <w:r w:rsidRPr="009E06FF">
              <w:t>).</w:t>
            </w:r>
          </w:p>
          <w:p w14:paraId="7A7BF6E8" w14:textId="77777777" w:rsidR="009F73BA" w:rsidRPr="009E06FF" w:rsidRDefault="009F73BA" w:rsidP="000D7316">
            <w:pPr>
              <w:pStyle w:val="NICEnormalsinglespacing"/>
            </w:pPr>
            <w:r w:rsidRPr="009E06FF">
              <w:t>The appraisal committee is interested in receiving comments on the following:</w:t>
            </w:r>
          </w:p>
          <w:p w14:paraId="00BC2F00" w14:textId="77777777" w:rsidR="009F73BA" w:rsidRPr="009E06FF" w:rsidRDefault="009F73BA" w:rsidP="000D7316">
            <w:pPr>
              <w:pStyle w:val="Bulletleft1"/>
              <w:spacing w:line="240" w:lineRule="auto"/>
            </w:pPr>
            <w:r w:rsidRPr="009E06FF">
              <w:t xml:space="preserve">Has </w:t>
            </w:r>
            <w:proofErr w:type="gramStart"/>
            <w:r w:rsidRPr="009E06FF">
              <w:t>all of</w:t>
            </w:r>
            <w:proofErr w:type="gramEnd"/>
            <w:r w:rsidRPr="009E06FF">
              <w:t xml:space="preserve"> the relevant evidence been taken into account?</w:t>
            </w:r>
          </w:p>
          <w:p w14:paraId="4E63CB45" w14:textId="77777777" w:rsidR="009F73BA" w:rsidRPr="009E06FF" w:rsidRDefault="009F73BA" w:rsidP="000D7316">
            <w:pPr>
              <w:pStyle w:val="Bulletleft1"/>
              <w:spacing w:line="240" w:lineRule="auto"/>
            </w:pPr>
            <w:r w:rsidRPr="009E06FF">
              <w:t>Are the summaries of clinical and cost effectiveness reasonable interpretations of the evidence?</w:t>
            </w:r>
          </w:p>
          <w:p w14:paraId="6579FFB7" w14:textId="77777777" w:rsidR="009F73BA" w:rsidRPr="009E06FF" w:rsidRDefault="009F73BA" w:rsidP="000D7316">
            <w:pPr>
              <w:pStyle w:val="Bulletleft1"/>
              <w:spacing w:line="240" w:lineRule="auto"/>
            </w:pPr>
            <w:r w:rsidRPr="009E06FF">
              <w:t>Are the recommendations sound and a suitable basis for guidance to the NHS?</w:t>
            </w:r>
          </w:p>
          <w:p w14:paraId="1453F922" w14:textId="77777777" w:rsidR="009F73BA" w:rsidRPr="009E06FF" w:rsidRDefault="009F73BA" w:rsidP="000D7316">
            <w:pPr>
              <w:pStyle w:val="Bulletleft1"/>
              <w:spacing w:line="240" w:lineRule="auto"/>
            </w:pPr>
            <w:r w:rsidRPr="009E06FF">
              <w:t xml:space="preserve">Are there any aspects of the recommendations that need </w:t>
            </w:r>
            <w:proofErr w:type="gramStart"/>
            <w:r w:rsidRPr="009E06FF">
              <w:t>particular consideration</w:t>
            </w:r>
            <w:proofErr w:type="gramEnd"/>
            <w:r w:rsidRPr="009E06FF">
              <w:t xml:space="preserve"> to ensure we avoid unlawful discrimination against any group of people on the grounds </w:t>
            </w:r>
            <w:bookmarkStart w:id="0" w:name="_GoBack"/>
            <w:bookmarkEnd w:id="0"/>
            <w:r w:rsidRPr="009E06FF">
              <w:t>of race, gender, disability, religion or belief, sexual orientation, age, gender reassignment, pregnancy and maternity?</w:t>
            </w:r>
          </w:p>
        </w:tc>
      </w:tr>
    </w:tbl>
    <w:p w14:paraId="512F8F30" w14:textId="77777777" w:rsidR="009F73BA" w:rsidRPr="009E06FF" w:rsidRDefault="009F73BA" w:rsidP="009F73BA">
      <w:pPr>
        <w:rPr>
          <w:rFonts w:ascii="Arial" w:hAnsi="Arial"/>
        </w:rPr>
      </w:pPr>
      <w:r w:rsidRPr="009E06F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F73BA" w:rsidRPr="009E06FF" w14:paraId="5066EB11" w14:textId="77777777" w:rsidTr="000D7316">
        <w:tc>
          <w:tcPr>
            <w:tcW w:w="8529" w:type="dxa"/>
            <w:shd w:val="clear" w:color="auto" w:fill="auto"/>
          </w:tcPr>
          <w:p w14:paraId="2894F4FD" w14:textId="77777777" w:rsidR="009F73BA" w:rsidRPr="009E06FF" w:rsidRDefault="009F73BA" w:rsidP="000D7316">
            <w:pPr>
              <w:pStyle w:val="NICEnormalsinglespacing"/>
              <w:rPr>
                <w:b/>
                <w:bCs/>
              </w:rPr>
            </w:pPr>
            <w:r w:rsidRPr="009E06FF">
              <w:rPr>
                <w:b/>
                <w:bCs/>
              </w:rPr>
              <w:lastRenderedPageBreak/>
              <w:t>Note that this document is not NICE's final guidance on this technology. The recommendations in section 1 may change after consultation.</w:t>
            </w:r>
          </w:p>
          <w:p w14:paraId="75874B80" w14:textId="77777777" w:rsidR="009F73BA" w:rsidRPr="009E06FF" w:rsidRDefault="009F73BA" w:rsidP="000D7316">
            <w:pPr>
              <w:pStyle w:val="NICEnormalsinglespacing"/>
            </w:pPr>
            <w:r w:rsidRPr="009E06FF">
              <w:t>After consultation:</w:t>
            </w:r>
          </w:p>
          <w:p w14:paraId="6268532D" w14:textId="77777777" w:rsidR="009F73BA" w:rsidRPr="009E06FF" w:rsidRDefault="009F73BA" w:rsidP="000D7316">
            <w:pPr>
              <w:pStyle w:val="Bulletleft1"/>
              <w:spacing w:line="240" w:lineRule="auto"/>
            </w:pPr>
            <w:r w:rsidRPr="009E06FF">
              <w:t>The appraisal committee will meet again to consider the evidence, this appraisal consultation document and comments from the consultees.</w:t>
            </w:r>
          </w:p>
          <w:p w14:paraId="574BD1EB" w14:textId="77777777" w:rsidR="009F73BA" w:rsidRPr="009E06FF" w:rsidRDefault="009F73BA" w:rsidP="000D7316">
            <w:pPr>
              <w:pStyle w:val="Bulletleft1"/>
              <w:spacing w:line="240" w:lineRule="auto"/>
            </w:pPr>
            <w:r w:rsidRPr="009E06FF">
              <w:t>At that meeting, the committee will also consider comments made by people who are not consultees.</w:t>
            </w:r>
          </w:p>
          <w:p w14:paraId="12C105C8" w14:textId="77777777" w:rsidR="009F73BA" w:rsidRPr="009E06FF" w:rsidRDefault="009F73BA" w:rsidP="000D7316">
            <w:pPr>
              <w:pStyle w:val="Bulletleft1"/>
              <w:spacing w:line="240" w:lineRule="auto"/>
            </w:pPr>
            <w:r w:rsidRPr="009E06FF">
              <w:t>After considering these comments, the committee will prepare the final appraisal document.</w:t>
            </w:r>
          </w:p>
          <w:p w14:paraId="1207823B" w14:textId="09FEC9FC" w:rsidR="009F73BA" w:rsidRPr="009E06FF" w:rsidRDefault="009F73BA" w:rsidP="000D7316">
            <w:pPr>
              <w:pStyle w:val="Bulletleft1last"/>
              <w:spacing w:line="240" w:lineRule="auto"/>
            </w:pPr>
            <w:r w:rsidRPr="009E06FF">
              <w:t xml:space="preserve">Subject to any appeal by consultees, the final appraisal document may be used as the basis for NICE’s guidance on using </w:t>
            </w:r>
            <w:r w:rsidR="0041757D" w:rsidRPr="009E06FF">
              <w:t>neratinib</w:t>
            </w:r>
            <w:r w:rsidRPr="009E06FF">
              <w:t xml:space="preserve"> in the NHS in England.</w:t>
            </w:r>
          </w:p>
          <w:p w14:paraId="451BCA3B" w14:textId="77777777" w:rsidR="009F73BA" w:rsidRPr="009E06FF" w:rsidRDefault="009F73BA" w:rsidP="000D7316">
            <w:pPr>
              <w:pStyle w:val="NICEnormalsinglespacing"/>
            </w:pPr>
            <w:r w:rsidRPr="009E06FF">
              <w:t xml:space="preserve">For further details, see NICE’s </w:t>
            </w:r>
            <w:hyperlink r:id="rId9" w:history="1">
              <w:r w:rsidRPr="009E06FF">
                <w:rPr>
                  <w:rStyle w:val="Hyperlink"/>
                </w:rPr>
                <w:t>guide to the processes of technology appraisal</w:t>
              </w:r>
            </w:hyperlink>
            <w:r w:rsidRPr="009E06FF">
              <w:t>.</w:t>
            </w:r>
          </w:p>
          <w:p w14:paraId="562A0722" w14:textId="77777777" w:rsidR="009F73BA" w:rsidRPr="009E06FF" w:rsidRDefault="009F73BA" w:rsidP="000D7316">
            <w:pPr>
              <w:pStyle w:val="NICEnormalsinglespacing"/>
              <w:rPr>
                <w:b/>
                <w:bCs/>
              </w:rPr>
            </w:pPr>
            <w:r w:rsidRPr="009E06FF">
              <w:rPr>
                <w:b/>
                <w:bCs/>
              </w:rPr>
              <w:t>The key dates for this appraisal are:</w:t>
            </w:r>
          </w:p>
          <w:p w14:paraId="25608B0E" w14:textId="3D88242C" w:rsidR="009F73BA" w:rsidRPr="009E06FF" w:rsidRDefault="009F73BA" w:rsidP="000D7316">
            <w:pPr>
              <w:pStyle w:val="NICEnormalsinglespacing"/>
            </w:pPr>
            <w:r w:rsidRPr="009E06FF">
              <w:t xml:space="preserve">Closing date for comments: </w:t>
            </w:r>
            <w:r w:rsidR="0041757D" w:rsidRPr="009E06FF">
              <w:t>28 August 2019</w:t>
            </w:r>
          </w:p>
          <w:p w14:paraId="03C35A8D" w14:textId="2AE09170" w:rsidR="009F73BA" w:rsidRPr="009E06FF" w:rsidRDefault="009F73BA" w:rsidP="000D7316">
            <w:pPr>
              <w:pStyle w:val="NICEnormalsinglespacing"/>
            </w:pPr>
            <w:r w:rsidRPr="009E06FF">
              <w:t xml:space="preserve">Second appraisal committee meeting: </w:t>
            </w:r>
            <w:r w:rsidR="0041757D" w:rsidRPr="009E06FF">
              <w:t>11 September 2019</w:t>
            </w:r>
          </w:p>
          <w:p w14:paraId="78758B1E" w14:textId="04384D48" w:rsidR="009F73BA" w:rsidRPr="009E06FF" w:rsidRDefault="009F73BA" w:rsidP="000D7316">
            <w:pPr>
              <w:pStyle w:val="NICEnormalsinglespacing"/>
            </w:pPr>
            <w:r w:rsidRPr="009E06FF">
              <w:t xml:space="preserve">Details of membership of the appraisal committee are given in section </w:t>
            </w:r>
            <w:r w:rsidR="00555044">
              <w:t>6</w:t>
            </w:r>
            <w:r w:rsidRPr="009E06FF">
              <w:t>.</w:t>
            </w:r>
          </w:p>
        </w:tc>
      </w:tr>
    </w:tbl>
    <w:p w14:paraId="1754DE0B" w14:textId="77777777" w:rsidR="009F73BA" w:rsidRPr="009E06FF" w:rsidRDefault="009F73BA" w:rsidP="009F73BA">
      <w:pPr>
        <w:pStyle w:val="NICEnormal"/>
      </w:pPr>
    </w:p>
    <w:p w14:paraId="2DD710EE" w14:textId="77777777" w:rsidR="009F73BA" w:rsidRPr="009E06FF" w:rsidRDefault="009F73BA" w:rsidP="009F73BA">
      <w:pPr>
        <w:rPr>
          <w:rFonts w:ascii="Arial" w:hAnsi="Arial"/>
        </w:rPr>
      </w:pPr>
      <w:r w:rsidRPr="009E06FF">
        <w:br w:type="page"/>
      </w:r>
    </w:p>
    <w:p w14:paraId="7948F190" w14:textId="72AA31A8" w:rsidR="007A2801" w:rsidRPr="009E06FF" w:rsidRDefault="007A2801">
      <w:bookmarkStart w:id="1" w:name="_Hlk15398989"/>
    </w:p>
    <w:p w14:paraId="0C881187" w14:textId="77777777" w:rsidR="000F48EC" w:rsidRPr="009E06FF" w:rsidRDefault="00B379C5" w:rsidP="00F130AD">
      <w:pPr>
        <w:pStyle w:val="Numberedheading1"/>
      </w:pPr>
      <w:bookmarkStart w:id="2" w:name="_Hlk15309953"/>
      <w:r w:rsidRPr="009E06FF">
        <w:t>Recommendations</w:t>
      </w:r>
    </w:p>
    <w:p w14:paraId="02F2D7A6" w14:textId="31D1D34D" w:rsidR="0041757D" w:rsidRPr="009E06FF" w:rsidRDefault="0041757D" w:rsidP="00E47BE4">
      <w:pPr>
        <w:pStyle w:val="Numberedlevel2text"/>
        <w:rPr>
          <w:lang w:val="en-GB"/>
        </w:rPr>
      </w:pPr>
      <w:bookmarkStart w:id="3" w:name="_Hlk14787911"/>
      <w:r w:rsidRPr="009E06FF">
        <w:rPr>
          <w:lang w:val="en-GB"/>
        </w:rPr>
        <w:t xml:space="preserve">Neratinib is recommended as an option for </w:t>
      </w:r>
      <w:r w:rsidR="007220AC" w:rsidRPr="009E06FF">
        <w:rPr>
          <w:lang w:val="en-GB"/>
        </w:rPr>
        <w:t xml:space="preserve">the extended adjuvant treatment of </w:t>
      </w:r>
      <w:r w:rsidRPr="009E06FF">
        <w:rPr>
          <w:lang w:val="en-GB"/>
        </w:rPr>
        <w:t>hormone receptor-positive, human epidermal growth factor receptor 2 (HER2)-positive early stage breast cancer in adults</w:t>
      </w:r>
      <w:r w:rsidRPr="009E06FF">
        <w:rPr>
          <w:rFonts w:ascii="Times New Roman" w:hAnsi="Times New Roman"/>
          <w:lang w:val="en-GB"/>
        </w:rPr>
        <w:t xml:space="preserve"> </w:t>
      </w:r>
      <w:r w:rsidRPr="009E06FF">
        <w:rPr>
          <w:lang w:val="en-GB"/>
        </w:rPr>
        <w:t xml:space="preserve">who </w:t>
      </w:r>
      <w:r w:rsidR="007220AC" w:rsidRPr="009E06FF">
        <w:rPr>
          <w:lang w:val="en-GB"/>
        </w:rPr>
        <w:t>completed adjuvant trastuzumab-based therapy less than 1</w:t>
      </w:r>
      <w:r w:rsidR="000667AE">
        <w:rPr>
          <w:lang w:val="en-GB"/>
        </w:rPr>
        <w:t> </w:t>
      </w:r>
      <w:r w:rsidR="007220AC" w:rsidRPr="009E06FF">
        <w:rPr>
          <w:lang w:val="en-GB"/>
        </w:rPr>
        <w:t>year ago</w:t>
      </w:r>
      <w:r w:rsidR="00847995">
        <w:rPr>
          <w:lang w:val="en-GB"/>
        </w:rPr>
        <w:t xml:space="preserve"> </w:t>
      </w:r>
      <w:r w:rsidR="00847995" w:rsidRPr="009E06FF">
        <w:rPr>
          <w:lang w:val="en-GB"/>
        </w:rPr>
        <w:t>only if</w:t>
      </w:r>
      <w:r w:rsidRPr="009E06FF">
        <w:rPr>
          <w:lang w:val="en-GB"/>
        </w:rPr>
        <w:t>:</w:t>
      </w:r>
    </w:p>
    <w:p w14:paraId="0B5A9B48" w14:textId="024304B1" w:rsidR="00C8723E" w:rsidRPr="009E06FF" w:rsidRDefault="00C8723E" w:rsidP="00C21EE0">
      <w:pPr>
        <w:pStyle w:val="Bulletindent1"/>
      </w:pPr>
      <w:r w:rsidRPr="009E06FF">
        <w:t>trastuzumab is the only HER2-directed treatment in the adjuvant setting they have had</w:t>
      </w:r>
      <w:r w:rsidR="00865954" w:rsidRPr="009E06FF">
        <w:t>, and</w:t>
      </w:r>
    </w:p>
    <w:p w14:paraId="17FB0D0D" w14:textId="4AD4A587" w:rsidR="00865954" w:rsidRPr="009E06FF" w:rsidRDefault="00D2360A" w:rsidP="00C21EE0">
      <w:pPr>
        <w:pStyle w:val="Bulletindent1"/>
      </w:pPr>
      <w:r>
        <w:t xml:space="preserve">if </w:t>
      </w:r>
      <w:r w:rsidR="00847995">
        <w:t>they</w:t>
      </w:r>
      <w:r w:rsidR="00865954" w:rsidRPr="009E06FF">
        <w:t xml:space="preserve"> had neoadjuvant treatment</w:t>
      </w:r>
      <w:r>
        <w:t>, they</w:t>
      </w:r>
      <w:r w:rsidR="00865954" w:rsidRPr="009E06FF">
        <w:t xml:space="preserve"> still </w:t>
      </w:r>
      <w:r w:rsidR="00742463" w:rsidRPr="009E06FF">
        <w:t xml:space="preserve">had </w:t>
      </w:r>
      <w:r w:rsidR="00865954" w:rsidRPr="009E06FF">
        <w:t xml:space="preserve">residual invasive disease in the breast or axilla following the </w:t>
      </w:r>
      <w:r w:rsidR="00D159DA" w:rsidRPr="009E06FF">
        <w:t xml:space="preserve">neoadjuvant </w:t>
      </w:r>
      <w:r w:rsidR="00865954" w:rsidRPr="009E06FF">
        <w:t>treatment, and</w:t>
      </w:r>
    </w:p>
    <w:p w14:paraId="51E68791" w14:textId="07D71872" w:rsidR="00987232" w:rsidRPr="009E06FF" w:rsidRDefault="0041757D" w:rsidP="00C21EE0">
      <w:pPr>
        <w:pStyle w:val="Bulletindent1last"/>
      </w:pPr>
      <w:r w:rsidRPr="009E06FF">
        <w:t xml:space="preserve">the company provides </w:t>
      </w:r>
      <w:r w:rsidRPr="009E06FF">
        <w:rPr>
          <w:rStyle w:val="Numberedlevel2textChar"/>
          <w:bCs w:val="0"/>
          <w:iCs w:val="0"/>
          <w:lang w:val="en-GB"/>
        </w:rPr>
        <w:t>neratinib</w:t>
      </w:r>
      <w:r w:rsidRPr="009E06FF">
        <w:t xml:space="preserve"> according to the commercial arrangement (see section 2)</w:t>
      </w:r>
      <w:bookmarkEnd w:id="3"/>
      <w:r w:rsidR="00987232" w:rsidRPr="009E06FF">
        <w:t>.</w:t>
      </w:r>
    </w:p>
    <w:bookmarkEnd w:id="2"/>
    <w:p w14:paraId="4C58CCA3" w14:textId="0420D9D6" w:rsidR="0079530A" w:rsidRPr="009E06FF" w:rsidRDefault="0079530A" w:rsidP="0079530A">
      <w:pPr>
        <w:pStyle w:val="Numberedlevel2text"/>
        <w:rPr>
          <w:lang w:val="en-GB"/>
        </w:rPr>
      </w:pPr>
      <w:r w:rsidRPr="009E06FF">
        <w:rPr>
          <w:lang w:val="en-GB"/>
        </w:rPr>
        <w:t xml:space="preserve">This recommendation is not intended to affect treatment with </w:t>
      </w:r>
      <w:r w:rsidR="00FD4958" w:rsidRPr="009E06FF">
        <w:rPr>
          <w:lang w:val="en-GB"/>
        </w:rPr>
        <w:t xml:space="preserve">neratinib </w:t>
      </w:r>
      <w:r w:rsidRPr="009E06FF">
        <w:rPr>
          <w:lang w:val="en-GB"/>
        </w:rPr>
        <w:t>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6BDAE2F9" w14:textId="61D17A4B" w:rsidR="00C11F58" w:rsidRPr="009E06FF" w:rsidRDefault="00C11F58" w:rsidP="00507749">
      <w:pPr>
        <w:pStyle w:val="NICEnormal"/>
        <w:keepNext/>
        <w:tabs>
          <w:tab w:val="left" w:pos="6960"/>
        </w:tabs>
        <w:rPr>
          <w:b/>
        </w:rPr>
      </w:pPr>
      <w:r w:rsidRPr="009E06FF">
        <w:rPr>
          <w:b/>
        </w:rPr>
        <w:t>Why the committee made these recommendations</w:t>
      </w:r>
    </w:p>
    <w:p w14:paraId="2DBF9098" w14:textId="64352E05" w:rsidR="00C95085" w:rsidRPr="009E06FF" w:rsidRDefault="003123F4" w:rsidP="00C95085">
      <w:pPr>
        <w:pStyle w:val="NICEnormal"/>
      </w:pPr>
      <w:bookmarkStart w:id="4" w:name="_Hlk15309972"/>
      <w:r w:rsidRPr="009E06FF">
        <w:t xml:space="preserve">Trastuzumab is a HER2-directed treatment. It can also be given in combination with another HER2-directed treatment, pertuzumab, </w:t>
      </w:r>
      <w:r w:rsidR="00C95085" w:rsidRPr="009E06FF">
        <w:t xml:space="preserve">to reduce the risk of cancer returning after surgery </w:t>
      </w:r>
      <w:r w:rsidR="00A4683A" w:rsidRPr="009E06FF">
        <w:t xml:space="preserve">in early stage cancer </w:t>
      </w:r>
      <w:r w:rsidR="00C95085" w:rsidRPr="009E06FF">
        <w:t xml:space="preserve">(adjuvant treatment). Neratinib is an option for </w:t>
      </w:r>
      <w:r w:rsidR="008D3DE9" w:rsidRPr="009E06FF">
        <w:t xml:space="preserve">extended </w:t>
      </w:r>
      <w:r w:rsidR="00C95085" w:rsidRPr="009E06FF">
        <w:t>adjuvant treatment</w:t>
      </w:r>
      <w:r w:rsidRPr="009E06FF">
        <w:t xml:space="preserve"> in people</w:t>
      </w:r>
      <w:r w:rsidR="008D3DE9" w:rsidRPr="009E06FF">
        <w:t xml:space="preserve"> who completed</w:t>
      </w:r>
      <w:r w:rsidRPr="009E06FF">
        <w:t xml:space="preserve"> a</w:t>
      </w:r>
      <w:r w:rsidR="008D3DE9" w:rsidRPr="009E06FF">
        <w:t xml:space="preserve"> standard course of HER2-directed</w:t>
      </w:r>
      <w:r w:rsidRPr="009E06FF">
        <w:t xml:space="preserve"> adjuvant</w:t>
      </w:r>
      <w:r w:rsidR="008D3DE9" w:rsidRPr="009E06FF">
        <w:t xml:space="preserve"> treatment</w:t>
      </w:r>
      <w:r w:rsidR="00C95085" w:rsidRPr="009E06FF">
        <w:t>.</w:t>
      </w:r>
    </w:p>
    <w:p w14:paraId="291ADE1A" w14:textId="70117A01" w:rsidR="00C95085" w:rsidRPr="009E06FF" w:rsidRDefault="00C95085" w:rsidP="00C95085">
      <w:pPr>
        <w:pStyle w:val="NICEnormal"/>
      </w:pPr>
      <w:r w:rsidRPr="009E06FF">
        <w:t xml:space="preserve">Clinical trial evidence shows that women who have treatment with neratinib have </w:t>
      </w:r>
      <w:r w:rsidR="00904DD7">
        <w:t xml:space="preserve">less </w:t>
      </w:r>
      <w:r w:rsidR="00D2360A">
        <w:t>risk of</w:t>
      </w:r>
      <w:r w:rsidR="00904DD7">
        <w:t xml:space="preserve"> </w:t>
      </w:r>
      <w:r w:rsidR="00D2360A">
        <w:t xml:space="preserve">disease </w:t>
      </w:r>
      <w:r w:rsidR="00904DD7">
        <w:t>recurrence</w:t>
      </w:r>
      <w:r w:rsidRPr="009E06FF">
        <w:t xml:space="preserve"> than women who have treatment with a placebo. We do not know if neratinib increases the length of time people live because the final trial results are not yet available.</w:t>
      </w:r>
    </w:p>
    <w:p w14:paraId="06C75ED8" w14:textId="695DC1E5" w:rsidR="00C95085" w:rsidRPr="009E06FF" w:rsidRDefault="00C95085" w:rsidP="00C95085">
      <w:pPr>
        <w:pStyle w:val="NICEnormal"/>
        <w:tabs>
          <w:tab w:val="left" w:pos="6960"/>
        </w:tabs>
      </w:pPr>
      <w:r w:rsidRPr="009E06FF">
        <w:lastRenderedPageBreak/>
        <w:t>The cost-effectiveness estimates are uncertain, but within the range that NICE normally considers an acceptable use of NHS resources. Therefore, neratinib is recommended for people if trastuzumab is the only HER2-directed treatment in the adjuvant setting they have had, and if they still have signs of cancer in tissue samples (</w:t>
      </w:r>
      <w:r w:rsidR="00A4683A" w:rsidRPr="009E06FF">
        <w:t>residual invasive disease</w:t>
      </w:r>
      <w:r w:rsidR="003123F4" w:rsidRPr="009E06FF">
        <w:t xml:space="preserve"> in the breast or </w:t>
      </w:r>
      <w:r w:rsidR="000500C8" w:rsidRPr="009E06FF">
        <w:t>armpit</w:t>
      </w:r>
      <w:r w:rsidR="00C21EE0" w:rsidRPr="009E06FF">
        <w:t>,</w:t>
      </w:r>
      <w:r w:rsidR="000500C8" w:rsidRPr="009E06FF">
        <w:t xml:space="preserve"> known medically as the </w:t>
      </w:r>
      <w:r w:rsidR="003123F4" w:rsidRPr="009E06FF">
        <w:t>axilla</w:t>
      </w:r>
      <w:r w:rsidRPr="009E06FF">
        <w:t>) if they had treatment before surgery to reduce tumour size (neoadjuvant treatment).</w:t>
      </w:r>
    </w:p>
    <w:p w14:paraId="07A08108" w14:textId="052CFA8A" w:rsidR="0021121C" w:rsidRPr="009E06FF" w:rsidRDefault="003123F4" w:rsidP="00C95085">
      <w:pPr>
        <w:pStyle w:val="NICEnormal"/>
        <w:tabs>
          <w:tab w:val="left" w:pos="6960"/>
        </w:tabs>
      </w:pPr>
      <w:r w:rsidRPr="009E06FF">
        <w:t xml:space="preserve">The </w:t>
      </w:r>
      <w:r w:rsidR="00742463" w:rsidRPr="009E06FF">
        <w:t xml:space="preserve">neratinib </w:t>
      </w:r>
      <w:r w:rsidRPr="009E06FF">
        <w:t xml:space="preserve">trial did not include people who received </w:t>
      </w:r>
      <w:r w:rsidR="00C95085" w:rsidRPr="009E06FF">
        <w:t>adjuvant pertuzumab</w:t>
      </w:r>
      <w:r w:rsidRPr="009E06FF">
        <w:t xml:space="preserve">. </w:t>
      </w:r>
      <w:r w:rsidR="00C95085" w:rsidRPr="009E06FF">
        <w:t>Also, the trial did not include people who had a pathological complete response</w:t>
      </w:r>
      <w:r w:rsidRPr="009E06FF">
        <w:t xml:space="preserve"> (no sign of residual invasive disease in the breast or axilla) </w:t>
      </w:r>
      <w:r w:rsidR="000500C8" w:rsidRPr="009E06FF">
        <w:t>after</w:t>
      </w:r>
      <w:r w:rsidRPr="009E06FF">
        <w:t xml:space="preserve"> neoadjuvant treatment</w:t>
      </w:r>
      <w:r w:rsidR="002073A5" w:rsidRPr="009E06FF">
        <w:t xml:space="preserve">, </w:t>
      </w:r>
      <w:r w:rsidRPr="009E06FF">
        <w:t xml:space="preserve">therefore </w:t>
      </w:r>
      <w:r w:rsidR="000500C8" w:rsidRPr="009E06FF">
        <w:t>these groups</w:t>
      </w:r>
      <w:r w:rsidRPr="009E06FF">
        <w:t xml:space="preserve"> were not included in the recommendations.</w:t>
      </w:r>
    </w:p>
    <w:bookmarkEnd w:id="4"/>
    <w:bookmarkEnd w:id="1"/>
    <w:p w14:paraId="578483DA" w14:textId="1D5A0CBA" w:rsidR="00EA1CB1" w:rsidRPr="009E06FF" w:rsidRDefault="00EA1CB1" w:rsidP="0021121C">
      <w:pPr>
        <w:pStyle w:val="Numberedheading1"/>
      </w:pPr>
      <w:r w:rsidRPr="009E06FF">
        <w:t xml:space="preserve">Information about </w:t>
      </w:r>
      <w:r w:rsidR="00350860" w:rsidRPr="009E06FF">
        <w:t>neratinib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82"/>
      </w:tblGrid>
      <w:tr w:rsidR="00845810" w:rsidRPr="009E06FF" w14:paraId="3A2D635E" w14:textId="77777777" w:rsidTr="00A62251">
        <w:trPr>
          <w:trHeight w:val="1304"/>
        </w:trPr>
        <w:tc>
          <w:tcPr>
            <w:tcW w:w="3085" w:type="dxa"/>
            <w:shd w:val="clear" w:color="auto" w:fill="auto"/>
          </w:tcPr>
          <w:p w14:paraId="11C31CB6" w14:textId="3E9E4D1D" w:rsidR="00845810" w:rsidRPr="009E06FF" w:rsidRDefault="00A62251" w:rsidP="00EA1CB1">
            <w:pPr>
              <w:pStyle w:val="Tabletext"/>
              <w:keepNext w:val="0"/>
              <w:rPr>
                <w:b/>
              </w:rPr>
            </w:pPr>
            <w:r w:rsidRPr="009E06FF">
              <w:rPr>
                <w:b/>
              </w:rPr>
              <w:t>Marketing authorisation indication</w:t>
            </w:r>
          </w:p>
        </w:tc>
        <w:tc>
          <w:tcPr>
            <w:tcW w:w="5982" w:type="dxa"/>
            <w:shd w:val="clear" w:color="auto" w:fill="auto"/>
          </w:tcPr>
          <w:p w14:paraId="41FDA19A" w14:textId="5FACD85A" w:rsidR="002119CD" w:rsidRPr="009E06FF" w:rsidRDefault="00A62251" w:rsidP="00EA1CB1">
            <w:pPr>
              <w:pStyle w:val="Tabletext"/>
              <w:keepNext w:val="0"/>
            </w:pPr>
            <w:r w:rsidRPr="009E06FF">
              <w:t>Neratinib (Nerly</w:t>
            </w:r>
            <w:r w:rsidR="00785D22" w:rsidRPr="009E06FF">
              <w:t>n</w:t>
            </w:r>
            <w:r w:rsidRPr="009E06FF">
              <w:t xml:space="preserve">x, </w:t>
            </w:r>
            <w:bookmarkStart w:id="5" w:name="_Hlk12359767"/>
            <w:r w:rsidRPr="009E06FF">
              <w:t>Pierre Fabre</w:t>
            </w:r>
            <w:bookmarkEnd w:id="5"/>
            <w:r w:rsidRPr="009E06FF">
              <w:t xml:space="preserve">) is indicated for </w:t>
            </w:r>
            <w:bookmarkStart w:id="6" w:name="_Hlk14345596"/>
            <w:r w:rsidRPr="009E06FF">
              <w:t>the extended adjuvant treatment of adults with early</w:t>
            </w:r>
            <w:r w:rsidR="000C79E8" w:rsidRPr="009E06FF">
              <w:t xml:space="preserve"> </w:t>
            </w:r>
            <w:r w:rsidRPr="009E06FF">
              <w:t xml:space="preserve">stage </w:t>
            </w:r>
            <w:r w:rsidR="00BD42EE" w:rsidRPr="009E06FF">
              <w:t>hormone receptor</w:t>
            </w:r>
            <w:r w:rsidR="000C79E8" w:rsidRPr="009E06FF">
              <w:t>-positive</w:t>
            </w:r>
            <w:r w:rsidRPr="009E06FF">
              <w:t>, HER2-overexpressed/amplified breast cancer and who are less than 1 year from the completion of prior adjuvant trastuzumab-based therapy</w:t>
            </w:r>
            <w:bookmarkEnd w:id="6"/>
            <w:r w:rsidRPr="009E06FF">
              <w:t>.</w:t>
            </w:r>
          </w:p>
        </w:tc>
      </w:tr>
      <w:tr w:rsidR="00845810" w:rsidRPr="009E06FF" w14:paraId="6AD1D214" w14:textId="77777777" w:rsidTr="00EA1CB1">
        <w:tc>
          <w:tcPr>
            <w:tcW w:w="3085" w:type="dxa"/>
            <w:shd w:val="clear" w:color="auto" w:fill="auto"/>
          </w:tcPr>
          <w:p w14:paraId="7A49DF7E" w14:textId="77777777" w:rsidR="00845810" w:rsidRPr="009E06FF" w:rsidRDefault="00A83F5F" w:rsidP="00EA1CB1">
            <w:pPr>
              <w:pStyle w:val="Tabletext"/>
              <w:keepNext w:val="0"/>
              <w:rPr>
                <w:b/>
              </w:rPr>
            </w:pPr>
            <w:r w:rsidRPr="009E06FF">
              <w:rPr>
                <w:b/>
              </w:rPr>
              <w:t>Dosage in the marketing authorisation</w:t>
            </w:r>
          </w:p>
        </w:tc>
        <w:tc>
          <w:tcPr>
            <w:tcW w:w="5982" w:type="dxa"/>
            <w:shd w:val="clear" w:color="auto" w:fill="auto"/>
          </w:tcPr>
          <w:p w14:paraId="1DA5559B" w14:textId="04C14A60" w:rsidR="00845810" w:rsidRPr="009E06FF" w:rsidRDefault="00096E93" w:rsidP="00EA1CB1">
            <w:pPr>
              <w:pStyle w:val="Tabletext"/>
              <w:keepNext w:val="0"/>
              <w:rPr>
                <w:highlight w:val="cyan"/>
              </w:rPr>
            </w:pPr>
            <w:r w:rsidRPr="009E06FF">
              <w:t xml:space="preserve">Neratinib is administered orally. </w:t>
            </w:r>
            <w:r w:rsidR="00A62251" w:rsidRPr="009E06FF">
              <w:t xml:space="preserve">The recommended dose is 240 mg neratinib, administered as 6 × 40 mg tablets taken once daily and continually for 1 year. </w:t>
            </w:r>
          </w:p>
        </w:tc>
      </w:tr>
      <w:tr w:rsidR="00845810" w:rsidRPr="009E06FF" w14:paraId="00C8A451" w14:textId="77777777" w:rsidTr="00EA1CB1">
        <w:tc>
          <w:tcPr>
            <w:tcW w:w="3085" w:type="dxa"/>
            <w:shd w:val="clear" w:color="auto" w:fill="auto"/>
          </w:tcPr>
          <w:p w14:paraId="0E754101" w14:textId="77777777" w:rsidR="00845810" w:rsidRPr="009E06FF" w:rsidRDefault="00845810" w:rsidP="00EA1CB1">
            <w:pPr>
              <w:pStyle w:val="Tabletext"/>
              <w:keepNext w:val="0"/>
              <w:rPr>
                <w:b/>
              </w:rPr>
            </w:pPr>
            <w:r w:rsidRPr="009E06FF">
              <w:rPr>
                <w:b/>
              </w:rPr>
              <w:t>Price</w:t>
            </w:r>
          </w:p>
        </w:tc>
        <w:tc>
          <w:tcPr>
            <w:tcW w:w="5982" w:type="dxa"/>
            <w:shd w:val="clear" w:color="auto" w:fill="auto"/>
          </w:tcPr>
          <w:p w14:paraId="42A1D630" w14:textId="4872D3EE" w:rsidR="00235945" w:rsidRPr="009E06FF" w:rsidRDefault="00A62251" w:rsidP="00EA1CB1">
            <w:pPr>
              <w:pStyle w:val="Tabletext"/>
              <w:keepNext w:val="0"/>
            </w:pPr>
            <w:r w:rsidRPr="009E06FF">
              <w:t>£</w:t>
            </w:r>
            <w:r w:rsidR="00577997" w:rsidRPr="009E06FF">
              <w:t xml:space="preserve">4,500 per box of 180 tablets (30 days treatment) </w:t>
            </w:r>
            <w:r w:rsidRPr="009E06FF">
              <w:t xml:space="preserve">(excluding VAT; </w:t>
            </w:r>
            <w:r w:rsidR="004D66CE" w:rsidRPr="009E06FF">
              <w:t>company’s submission</w:t>
            </w:r>
            <w:r w:rsidRPr="009E06FF">
              <w:t xml:space="preserve">). </w:t>
            </w:r>
          </w:p>
          <w:p w14:paraId="37DEFE25" w14:textId="120BACF0" w:rsidR="00C608C1" w:rsidRPr="009E06FF" w:rsidRDefault="00235945" w:rsidP="00A62251">
            <w:pPr>
              <w:pStyle w:val="Tabletext"/>
              <w:keepNext w:val="0"/>
            </w:pPr>
            <w:r w:rsidRPr="009E06FF">
              <w:t xml:space="preserve">The company has a commercial arrangement </w:t>
            </w:r>
            <w:r w:rsidR="00A44F15" w:rsidRPr="009E06FF">
              <w:t>(</w:t>
            </w:r>
            <w:r w:rsidR="00A62251" w:rsidRPr="009E06FF">
              <w:t>simple discount patient access scheme</w:t>
            </w:r>
            <w:r w:rsidR="00A44F15" w:rsidRPr="009E06FF">
              <w:t>).</w:t>
            </w:r>
            <w:r w:rsidRPr="009E06FF">
              <w:t xml:space="preserve"> This makes </w:t>
            </w:r>
            <w:r w:rsidR="00A62251" w:rsidRPr="009E06FF">
              <w:t>neratinib</w:t>
            </w:r>
            <w:r w:rsidRPr="009E06FF">
              <w:t xml:space="preserve"> available to the NHS with a discount. The size of the discount is commercial in confidence. It is the company’s responsibility to let relevant NHS organisations know details of the discount. </w:t>
            </w:r>
          </w:p>
        </w:tc>
      </w:tr>
    </w:tbl>
    <w:p w14:paraId="2C5466DB" w14:textId="77777777" w:rsidR="00F130AD" w:rsidRPr="009E06FF" w:rsidRDefault="00222BEA" w:rsidP="00F130AD">
      <w:pPr>
        <w:pStyle w:val="Numberedheading1"/>
      </w:pPr>
      <w:r w:rsidRPr="009E06FF">
        <w:t>Committee discussion</w:t>
      </w:r>
    </w:p>
    <w:p w14:paraId="3CFAB893" w14:textId="4E8A7386" w:rsidR="002B5772" w:rsidRPr="009E06FF" w:rsidRDefault="00BC7D9E" w:rsidP="002B5772">
      <w:pPr>
        <w:pStyle w:val="NICEnormal"/>
      </w:pPr>
      <w:r w:rsidRPr="009E06FF">
        <w:t xml:space="preserve">The </w:t>
      </w:r>
      <w:r w:rsidR="00343B53" w:rsidRPr="009E06FF">
        <w:t>a</w:t>
      </w:r>
      <w:r w:rsidRPr="009E06FF">
        <w:t xml:space="preserve">ppraisal </w:t>
      </w:r>
      <w:r w:rsidR="00343B53" w:rsidRPr="009E06FF">
        <w:t>c</w:t>
      </w:r>
      <w:r w:rsidRPr="009E06FF">
        <w:t xml:space="preserve">ommittee </w:t>
      </w:r>
      <w:r w:rsidR="00CD7BFC" w:rsidRPr="009E06FF">
        <w:t xml:space="preserve">(section </w:t>
      </w:r>
      <w:r w:rsidR="00555044">
        <w:t>6</w:t>
      </w:r>
      <w:r w:rsidR="00CD7BFC" w:rsidRPr="009E06FF">
        <w:t xml:space="preserve">) </w:t>
      </w:r>
      <w:r w:rsidRPr="009E06FF">
        <w:t xml:space="preserve">considered evidence submitted by </w:t>
      </w:r>
      <w:r w:rsidR="00096E93" w:rsidRPr="009E06FF">
        <w:t>Pierre Fabre</w:t>
      </w:r>
      <w:r w:rsidR="002B5772" w:rsidRPr="009E06FF">
        <w:t>,</w:t>
      </w:r>
      <w:r w:rsidRPr="009E06FF">
        <w:t xml:space="preserve"> a review of this submission by the </w:t>
      </w:r>
      <w:r w:rsidR="00343B53" w:rsidRPr="009E06FF">
        <w:t>e</w:t>
      </w:r>
      <w:r w:rsidRPr="009E06FF">
        <w:t xml:space="preserve">vidence </w:t>
      </w:r>
      <w:r w:rsidR="00343B53" w:rsidRPr="009E06FF">
        <w:t>r</w:t>
      </w:r>
      <w:r w:rsidRPr="009E06FF">
        <w:t xml:space="preserve">eview </w:t>
      </w:r>
      <w:r w:rsidR="00343B53" w:rsidRPr="009E06FF">
        <w:t>g</w:t>
      </w:r>
      <w:r w:rsidRPr="009E06FF">
        <w:t>roup (ERG)</w:t>
      </w:r>
      <w:r w:rsidR="002B5772" w:rsidRPr="009E06FF">
        <w:t xml:space="preserve">, and the technical </w:t>
      </w:r>
      <w:r w:rsidR="00E9265B" w:rsidRPr="009E06FF">
        <w:t>report</w:t>
      </w:r>
      <w:r w:rsidR="007E013D" w:rsidRPr="009E06FF">
        <w:t xml:space="preserve"> developed</w:t>
      </w:r>
      <w:r w:rsidR="00E9265B" w:rsidRPr="009E06FF">
        <w:t xml:space="preserve"> through engagement with stakeholders</w:t>
      </w:r>
      <w:r w:rsidRPr="009E06FF">
        <w:t>.</w:t>
      </w:r>
      <w:r w:rsidR="00C63D4E" w:rsidRPr="009E06FF">
        <w:t xml:space="preserve"> </w:t>
      </w:r>
      <w:r w:rsidR="002B5772" w:rsidRPr="009E06FF">
        <w:t xml:space="preserve">See the </w:t>
      </w:r>
      <w:hyperlink r:id="rId10" w:history="1">
        <w:r w:rsidR="002B5772" w:rsidRPr="009E06FF">
          <w:rPr>
            <w:rStyle w:val="Hyperlink"/>
          </w:rPr>
          <w:t>committee papers</w:t>
        </w:r>
      </w:hyperlink>
      <w:r w:rsidR="002B5772" w:rsidRPr="009E06FF">
        <w:t xml:space="preserve"> for full details of the evidence.</w:t>
      </w:r>
    </w:p>
    <w:p w14:paraId="7987BCA6" w14:textId="77777777" w:rsidR="006B0F36" w:rsidRPr="009E06FF" w:rsidRDefault="002B5772" w:rsidP="00D01B9F">
      <w:pPr>
        <w:pStyle w:val="NICEnormal"/>
      </w:pPr>
      <w:r w:rsidRPr="009E06FF">
        <w:lastRenderedPageBreak/>
        <w:t xml:space="preserve">The appraisal committee was aware </w:t>
      </w:r>
      <w:r w:rsidR="002555BE" w:rsidRPr="009E06FF">
        <w:t>that several</w:t>
      </w:r>
      <w:r w:rsidRPr="009E06FF">
        <w:t xml:space="preserve"> issues were resolved during </w:t>
      </w:r>
      <w:r w:rsidR="006D4D1A" w:rsidRPr="009E06FF">
        <w:t xml:space="preserve">the </w:t>
      </w:r>
      <w:r w:rsidR="00E95253" w:rsidRPr="009E06FF">
        <w:t>technical engagement</w:t>
      </w:r>
      <w:r w:rsidR="006D4D1A" w:rsidRPr="009E06FF">
        <w:t xml:space="preserve"> stage</w:t>
      </w:r>
      <w:r w:rsidR="007D1008" w:rsidRPr="009E06FF">
        <w:t>, and agreed that:</w:t>
      </w:r>
    </w:p>
    <w:p w14:paraId="27FE74F8" w14:textId="4881DEFE" w:rsidR="00C1506C" w:rsidRPr="009E06FF" w:rsidRDefault="00C1506C" w:rsidP="00FA5EF8">
      <w:pPr>
        <w:pStyle w:val="Bulletleft1"/>
      </w:pPr>
      <w:r w:rsidRPr="009E06FF">
        <w:t xml:space="preserve">In the absence of overall survival data, </w:t>
      </w:r>
      <w:r w:rsidR="00496FF0" w:rsidRPr="009E06FF">
        <w:t xml:space="preserve">the </w:t>
      </w:r>
      <w:r w:rsidRPr="009E06FF">
        <w:t>invasive disease-free survival definition used in</w:t>
      </w:r>
      <w:r w:rsidR="00496FF0" w:rsidRPr="009E06FF">
        <w:t xml:space="preserve"> the</w:t>
      </w:r>
      <w:r w:rsidRPr="009E06FF">
        <w:t xml:space="preserve"> ExteNET </w:t>
      </w:r>
      <w:r w:rsidR="00496FF0" w:rsidRPr="009E06FF">
        <w:t xml:space="preserve">trial </w:t>
      </w:r>
      <w:r w:rsidRPr="009E06FF">
        <w:t>is suitable for decision making (issue 2, see technical report page 10</w:t>
      </w:r>
      <w:r w:rsidR="00496FF0" w:rsidRPr="009E06FF">
        <w:t>–</w:t>
      </w:r>
      <w:r w:rsidRPr="009E06FF">
        <w:t>11).</w:t>
      </w:r>
    </w:p>
    <w:p w14:paraId="27FE2370" w14:textId="3954865F" w:rsidR="004C39A7" w:rsidRPr="009E06FF" w:rsidRDefault="004C39A7" w:rsidP="00FA5EF8">
      <w:pPr>
        <w:pStyle w:val="Bulletleft1"/>
      </w:pPr>
      <w:r w:rsidRPr="009E06FF">
        <w:t>The mean neratinib treatment duration and the mean neratinib dose based on ExteNET is suitable for decision making (issue 5, see technical report page 17</w:t>
      </w:r>
      <w:r w:rsidR="00496FF0" w:rsidRPr="009E06FF">
        <w:t>–</w:t>
      </w:r>
      <w:r w:rsidRPr="009E06FF">
        <w:t>19).</w:t>
      </w:r>
    </w:p>
    <w:p w14:paraId="253BE37E" w14:textId="5E8056DB" w:rsidR="00C1506C" w:rsidRPr="009E06FF" w:rsidRDefault="00C1506C" w:rsidP="00C1506C">
      <w:pPr>
        <w:pStyle w:val="Bulletleft1last"/>
        <w:rPr>
          <w:rFonts w:cs="Times New Roman"/>
        </w:rPr>
      </w:pPr>
      <w:r w:rsidRPr="009E06FF">
        <w:rPr>
          <w:rFonts w:cs="Times New Roman"/>
        </w:rPr>
        <w:t>Age-adjusted utilities,</w:t>
      </w:r>
      <w:r w:rsidR="00496FF0" w:rsidRPr="009E06FF">
        <w:rPr>
          <w:rFonts w:cs="Times New Roman"/>
        </w:rPr>
        <w:t xml:space="preserve"> the</w:t>
      </w:r>
      <w:r w:rsidRPr="009E06FF">
        <w:rPr>
          <w:rFonts w:cs="Times New Roman"/>
        </w:rPr>
        <w:t xml:space="preserve"> ExteNET value for disease-free state, and Lindgren et al. 2007 value for distant recurrence are suitable for decision making (issue 6, see technical report page 20–23)</w:t>
      </w:r>
      <w:r w:rsidR="0004407A" w:rsidRPr="009E06FF">
        <w:rPr>
          <w:rFonts w:cs="Times New Roman"/>
        </w:rPr>
        <w:t>.</w:t>
      </w:r>
    </w:p>
    <w:p w14:paraId="61DF7FB9" w14:textId="307ECBB3" w:rsidR="002B5772" w:rsidRPr="009E06FF" w:rsidRDefault="00C21EE0" w:rsidP="009E06FF">
      <w:pPr>
        <w:pStyle w:val="NICEnormal"/>
      </w:pPr>
      <w:r w:rsidRPr="009E06FF">
        <w:t xml:space="preserve">The committee </w:t>
      </w:r>
      <w:r w:rsidR="002B5772" w:rsidRPr="009E06FF">
        <w:t>recognised that there were remaining areas of uncertainty associated with the analyses presented (see technical report</w:t>
      </w:r>
      <w:r w:rsidR="00A33919" w:rsidRPr="009E06FF">
        <w:t>,</w:t>
      </w:r>
      <w:r w:rsidR="002B5772" w:rsidRPr="009E06FF">
        <w:t xml:space="preserve"> </w:t>
      </w:r>
      <w:r w:rsidR="00A33919" w:rsidRPr="009E06FF">
        <w:t xml:space="preserve">table 2, </w:t>
      </w:r>
      <w:r w:rsidR="002B5772" w:rsidRPr="009E06FF">
        <w:t>page</w:t>
      </w:r>
      <w:r w:rsidR="000667AE">
        <w:t> </w:t>
      </w:r>
      <w:r w:rsidR="0004407A" w:rsidRPr="009E06FF">
        <w:t>26</w:t>
      </w:r>
      <w:r w:rsidR="002B5772" w:rsidRPr="009E06FF">
        <w:t>), and took these into account in its decision making. It discussed the following issues</w:t>
      </w:r>
      <w:r w:rsidR="00A33919" w:rsidRPr="009E06FF">
        <w:t xml:space="preserve"> (issues </w:t>
      </w:r>
      <w:r w:rsidR="0004407A" w:rsidRPr="009E06FF">
        <w:t>1</w:t>
      </w:r>
      <w:r w:rsidR="009D783B" w:rsidRPr="009E06FF">
        <w:t xml:space="preserve">, </w:t>
      </w:r>
      <w:r w:rsidR="0004407A" w:rsidRPr="009E06FF">
        <w:t>3</w:t>
      </w:r>
      <w:r w:rsidR="00C63BDA" w:rsidRPr="009E06FF">
        <w:t xml:space="preserve"> and</w:t>
      </w:r>
      <w:r w:rsidR="0004407A" w:rsidRPr="009E06FF">
        <w:t xml:space="preserve"> 4</w:t>
      </w:r>
      <w:r w:rsidR="00A33919" w:rsidRPr="009E06FF">
        <w:t>)</w:t>
      </w:r>
      <w:r w:rsidR="002B5772" w:rsidRPr="009E06FF">
        <w:t xml:space="preserve">, which were outstanding </w:t>
      </w:r>
      <w:r w:rsidR="00E95253" w:rsidRPr="009E06FF">
        <w:t>after</w:t>
      </w:r>
      <w:r w:rsidR="002B5772" w:rsidRPr="009E06FF">
        <w:t xml:space="preserve"> </w:t>
      </w:r>
      <w:r w:rsidR="000205C6" w:rsidRPr="009E06FF">
        <w:t xml:space="preserve">the </w:t>
      </w:r>
      <w:r w:rsidR="002B5772" w:rsidRPr="009E06FF">
        <w:t>technical engagement</w:t>
      </w:r>
      <w:r w:rsidR="000205C6" w:rsidRPr="009E06FF">
        <w:t xml:space="preserve"> stage</w:t>
      </w:r>
      <w:r w:rsidR="002B5772" w:rsidRPr="009E06FF">
        <w:t>.</w:t>
      </w:r>
    </w:p>
    <w:p w14:paraId="1272DA8C" w14:textId="4942D67F" w:rsidR="00643582" w:rsidRPr="009E06FF" w:rsidRDefault="00274FCF" w:rsidP="00643582">
      <w:pPr>
        <w:pStyle w:val="Heading2"/>
      </w:pPr>
      <w:r w:rsidRPr="009E06FF">
        <w:t>Treatment pathway</w:t>
      </w:r>
    </w:p>
    <w:p w14:paraId="7C126B05" w14:textId="568FD869" w:rsidR="00785D22" w:rsidRPr="009E06FF" w:rsidRDefault="00785D22" w:rsidP="00785D22">
      <w:pPr>
        <w:pStyle w:val="Heading3"/>
      </w:pPr>
      <w:bookmarkStart w:id="7" w:name="_Hlk14336854"/>
      <w:r w:rsidRPr="009E06FF">
        <w:t>Neratinib is a</w:t>
      </w:r>
      <w:r w:rsidR="00372B3D" w:rsidRPr="009E06FF">
        <w:t>n</w:t>
      </w:r>
      <w:r w:rsidRPr="009E06FF">
        <w:t xml:space="preserve"> oral treatment</w:t>
      </w:r>
      <w:r w:rsidR="00372B3D" w:rsidRPr="009E06FF">
        <w:t xml:space="preserve"> in a new place in the pathway</w:t>
      </w:r>
    </w:p>
    <w:bookmarkEnd w:id="7"/>
    <w:p w14:paraId="109AADA9" w14:textId="75C8DFD2" w:rsidR="00B22454" w:rsidRPr="009E06FF" w:rsidRDefault="000D2941" w:rsidP="000D7316">
      <w:pPr>
        <w:pStyle w:val="Numberedlevel2text"/>
        <w:rPr>
          <w:lang w:val="en-GB"/>
        </w:rPr>
      </w:pPr>
      <w:r w:rsidRPr="009E06FF">
        <w:rPr>
          <w:lang w:val="en-GB"/>
        </w:rPr>
        <w:fldChar w:fldCharType="begin"/>
      </w:r>
      <w:r w:rsidRPr="009E06FF">
        <w:rPr>
          <w:lang w:val="en-GB"/>
        </w:rPr>
        <w:instrText xml:space="preserve"> HYPERLINK "https://www.nice.org.uk/guidance/ng101" </w:instrText>
      </w:r>
      <w:r w:rsidRPr="009E06FF">
        <w:rPr>
          <w:lang w:val="en-GB"/>
        </w:rPr>
        <w:fldChar w:fldCharType="separate"/>
      </w:r>
      <w:r w:rsidR="001E06EB" w:rsidRPr="009E06FF">
        <w:rPr>
          <w:rStyle w:val="Hyperlink"/>
          <w:lang w:val="en-GB"/>
        </w:rPr>
        <w:t>NICE</w:t>
      </w:r>
      <w:r w:rsidRPr="009E06FF">
        <w:rPr>
          <w:rStyle w:val="Hyperlink"/>
          <w:lang w:val="en-GB"/>
        </w:rPr>
        <w:t>’s guidance on early breast cancer</w:t>
      </w:r>
      <w:r w:rsidRPr="009E06FF">
        <w:rPr>
          <w:lang w:val="en-GB"/>
        </w:rPr>
        <w:fldChar w:fldCharType="end"/>
      </w:r>
      <w:r w:rsidR="001E06EB" w:rsidRPr="009E06FF">
        <w:rPr>
          <w:lang w:val="en-GB"/>
        </w:rPr>
        <w:t xml:space="preserve"> recommends offering adjuvant trastuzumab for 1 year in combination with surgery, chemotherapy and radiotherapy as appropriate. In March 2019, </w:t>
      </w:r>
      <w:r w:rsidRPr="009E06FF">
        <w:rPr>
          <w:lang w:val="en-GB"/>
        </w:rPr>
        <w:t xml:space="preserve">NICE </w:t>
      </w:r>
      <w:r w:rsidR="001E06EB" w:rsidRPr="009E06FF">
        <w:rPr>
          <w:lang w:val="en-GB"/>
        </w:rPr>
        <w:t xml:space="preserve">recommended </w:t>
      </w:r>
      <w:hyperlink r:id="rId11" w:history="1">
        <w:r w:rsidR="008D24B8" w:rsidRPr="009E06FF">
          <w:rPr>
            <w:rStyle w:val="Hyperlink"/>
            <w:lang w:val="en-GB"/>
          </w:rPr>
          <w:t>pertuzumab, with trastuzumab and chemotherapy, for the adjuvant treatment of human epidermal growth factor receptor 2 (HER2)-positive early stage breast cancer</w:t>
        </w:r>
      </w:hyperlink>
      <w:r w:rsidR="001E06EB" w:rsidRPr="009E06FF">
        <w:rPr>
          <w:lang w:val="en-GB"/>
        </w:rPr>
        <w:t xml:space="preserve"> in adults who have lymph node</w:t>
      </w:r>
      <w:r w:rsidR="000667AE">
        <w:rPr>
          <w:lang w:val="en-GB"/>
        </w:rPr>
        <w:t xml:space="preserve"> </w:t>
      </w:r>
      <w:r w:rsidR="001E06EB" w:rsidRPr="009E06FF">
        <w:rPr>
          <w:lang w:val="en-GB"/>
        </w:rPr>
        <w:t xml:space="preserve">positive disease. </w:t>
      </w:r>
      <w:r w:rsidR="007F2870" w:rsidRPr="009E06FF">
        <w:rPr>
          <w:lang w:val="en-GB"/>
        </w:rPr>
        <w:t>N</w:t>
      </w:r>
      <w:r w:rsidR="001E06EB" w:rsidRPr="009E06FF">
        <w:rPr>
          <w:lang w:val="en-GB"/>
        </w:rPr>
        <w:t xml:space="preserve">eoadjuvant </w:t>
      </w:r>
      <w:r w:rsidR="004F4CF7" w:rsidRPr="009E06FF">
        <w:rPr>
          <w:lang w:val="en-GB"/>
        </w:rPr>
        <w:t>treatment</w:t>
      </w:r>
      <w:r w:rsidR="001E06EB" w:rsidRPr="009E06FF">
        <w:rPr>
          <w:lang w:val="en-GB"/>
        </w:rPr>
        <w:t xml:space="preserve"> is </w:t>
      </w:r>
      <w:r w:rsidR="007F2870" w:rsidRPr="009E06FF">
        <w:rPr>
          <w:lang w:val="en-GB"/>
        </w:rPr>
        <w:t xml:space="preserve">also </w:t>
      </w:r>
      <w:r w:rsidR="001E06EB" w:rsidRPr="009E06FF">
        <w:rPr>
          <w:lang w:val="en-GB"/>
        </w:rPr>
        <w:t>an option</w:t>
      </w:r>
      <w:r w:rsidR="00C21EE0" w:rsidRPr="009E06FF">
        <w:rPr>
          <w:lang w:val="en-GB"/>
        </w:rPr>
        <w:t>,</w:t>
      </w:r>
      <w:r w:rsidR="001E06EB" w:rsidRPr="009E06FF">
        <w:rPr>
          <w:lang w:val="en-GB"/>
        </w:rPr>
        <w:t xml:space="preserve"> to reduce tumour size </w:t>
      </w:r>
      <w:r w:rsidR="007F2870" w:rsidRPr="009E06FF">
        <w:rPr>
          <w:lang w:val="en-GB"/>
        </w:rPr>
        <w:t>before</w:t>
      </w:r>
      <w:r w:rsidR="001E06EB" w:rsidRPr="009E06FF">
        <w:rPr>
          <w:lang w:val="en-GB"/>
        </w:rPr>
        <w:t xml:space="preserve"> surgery. </w:t>
      </w:r>
      <w:r w:rsidRPr="009E06FF">
        <w:rPr>
          <w:lang w:val="en-GB"/>
        </w:rPr>
        <w:t xml:space="preserve">NICE </w:t>
      </w:r>
      <w:r w:rsidR="001E06EB" w:rsidRPr="009E06FF">
        <w:rPr>
          <w:lang w:val="en-GB"/>
        </w:rPr>
        <w:t xml:space="preserve">recommends </w:t>
      </w:r>
      <w:hyperlink r:id="rId12" w:history="1">
        <w:r w:rsidR="001E06EB" w:rsidRPr="009E06FF">
          <w:rPr>
            <w:rStyle w:val="Hyperlink"/>
            <w:lang w:val="en-GB"/>
          </w:rPr>
          <w:t>pertuzumab with trastuzumab and chemotherapy as a neoadjuvant treatment</w:t>
        </w:r>
      </w:hyperlink>
      <w:r w:rsidR="001E06EB" w:rsidRPr="009E06FF">
        <w:rPr>
          <w:lang w:val="en-GB"/>
        </w:rPr>
        <w:t xml:space="preserve"> </w:t>
      </w:r>
      <w:r w:rsidRPr="009E06FF">
        <w:rPr>
          <w:lang w:val="en-GB"/>
        </w:rPr>
        <w:t xml:space="preserve">for </w:t>
      </w:r>
      <w:r w:rsidR="001E06EB" w:rsidRPr="009E06FF">
        <w:rPr>
          <w:lang w:val="en-GB"/>
        </w:rPr>
        <w:t>HER2-positive, locally advanced, inflammatory or early</w:t>
      </w:r>
      <w:r w:rsidR="000C79E8" w:rsidRPr="009E06FF">
        <w:rPr>
          <w:lang w:val="en-GB"/>
        </w:rPr>
        <w:t xml:space="preserve"> </w:t>
      </w:r>
      <w:r w:rsidR="001E06EB" w:rsidRPr="009E06FF">
        <w:rPr>
          <w:lang w:val="en-GB"/>
        </w:rPr>
        <w:t>breast</w:t>
      </w:r>
      <w:r w:rsidR="00823870" w:rsidRPr="009E06FF">
        <w:rPr>
          <w:lang w:val="en-GB"/>
        </w:rPr>
        <w:t xml:space="preserve"> cancer</w:t>
      </w:r>
      <w:r w:rsidR="001E06EB" w:rsidRPr="009E06FF">
        <w:rPr>
          <w:lang w:val="en-GB"/>
        </w:rPr>
        <w:t xml:space="preserve"> at high risk of recurrence. </w:t>
      </w:r>
      <w:bookmarkStart w:id="8" w:name="_Hlk14341131"/>
      <w:r w:rsidR="00C153F7" w:rsidRPr="009E06FF">
        <w:rPr>
          <w:lang w:val="en-GB"/>
        </w:rPr>
        <w:t>Neratinib is a</w:t>
      </w:r>
      <w:r w:rsidR="00F8288E" w:rsidRPr="009E06FF">
        <w:rPr>
          <w:lang w:val="en-GB"/>
        </w:rPr>
        <w:t>n</w:t>
      </w:r>
      <w:r w:rsidR="00C153F7" w:rsidRPr="009E06FF">
        <w:rPr>
          <w:lang w:val="en-GB"/>
        </w:rPr>
        <w:t xml:space="preserve"> oral treatment </w:t>
      </w:r>
      <w:r w:rsidR="007F2870" w:rsidRPr="009E06FF">
        <w:rPr>
          <w:lang w:val="en-GB"/>
        </w:rPr>
        <w:t>with</w:t>
      </w:r>
      <w:r w:rsidR="00F8288E" w:rsidRPr="009E06FF">
        <w:rPr>
          <w:lang w:val="en-GB"/>
        </w:rPr>
        <w:t xml:space="preserve"> a </w:t>
      </w:r>
      <w:r w:rsidR="00C153F7" w:rsidRPr="009E06FF">
        <w:rPr>
          <w:lang w:val="en-GB"/>
        </w:rPr>
        <w:t xml:space="preserve">marketing authorisation </w:t>
      </w:r>
      <w:r w:rsidR="00F8288E" w:rsidRPr="009E06FF">
        <w:rPr>
          <w:lang w:val="en-GB"/>
        </w:rPr>
        <w:t xml:space="preserve">for </w:t>
      </w:r>
      <w:r w:rsidR="007D7FE0" w:rsidRPr="009E06FF">
        <w:rPr>
          <w:lang w:val="en-GB"/>
        </w:rPr>
        <w:t xml:space="preserve">the </w:t>
      </w:r>
      <w:r w:rsidR="00F8288E" w:rsidRPr="009E06FF">
        <w:rPr>
          <w:lang w:val="en-GB"/>
        </w:rPr>
        <w:t xml:space="preserve">extended adjuvant treatment of adults with hormone receptor-positive, </w:t>
      </w:r>
      <w:r w:rsidR="00F8288E" w:rsidRPr="009E06FF">
        <w:rPr>
          <w:lang w:val="en-GB"/>
        </w:rPr>
        <w:lastRenderedPageBreak/>
        <w:t>HER2-positive</w:t>
      </w:r>
      <w:r w:rsidR="00823870" w:rsidRPr="009E06FF">
        <w:rPr>
          <w:lang w:val="en-GB"/>
        </w:rPr>
        <w:t xml:space="preserve"> early</w:t>
      </w:r>
      <w:r w:rsidR="00F8288E" w:rsidRPr="009E06FF">
        <w:rPr>
          <w:lang w:val="en-GB"/>
        </w:rPr>
        <w:t xml:space="preserve"> breast cancer who are less than 1 year from the completion of </w:t>
      </w:r>
      <w:r w:rsidR="0045772F" w:rsidRPr="009E06FF">
        <w:rPr>
          <w:lang w:val="en-GB"/>
        </w:rPr>
        <w:t>previous</w:t>
      </w:r>
      <w:r w:rsidR="00F8288E" w:rsidRPr="009E06FF">
        <w:rPr>
          <w:lang w:val="en-GB"/>
        </w:rPr>
        <w:t xml:space="preserve"> adjuvant trastuzumab-based </w:t>
      </w:r>
      <w:r w:rsidR="004F4CF7" w:rsidRPr="009E06FF">
        <w:rPr>
          <w:lang w:val="en-GB"/>
        </w:rPr>
        <w:t>treatment</w:t>
      </w:r>
      <w:r w:rsidR="00F8288E" w:rsidRPr="009E06FF">
        <w:rPr>
          <w:lang w:val="en-GB"/>
        </w:rPr>
        <w:t>.</w:t>
      </w:r>
    </w:p>
    <w:p w14:paraId="4975A7E0" w14:textId="4961F589" w:rsidR="00F8288E" w:rsidRPr="009E06FF" w:rsidRDefault="00F8288E" w:rsidP="007D7FE0">
      <w:pPr>
        <w:pStyle w:val="Heading3"/>
      </w:pPr>
      <w:r w:rsidRPr="009E06FF">
        <w:t xml:space="preserve">It is unclear </w:t>
      </w:r>
      <w:r w:rsidR="007F2870" w:rsidRPr="009E06FF">
        <w:t>who</w:t>
      </w:r>
      <w:r w:rsidRPr="009E06FF">
        <w:t xml:space="preserve"> would receive neratinib in clinical practice</w:t>
      </w:r>
    </w:p>
    <w:p w14:paraId="2FC1CAD5" w14:textId="7B0792FC" w:rsidR="00AA7A01" w:rsidRPr="009E06FF" w:rsidRDefault="00FA0AF6" w:rsidP="000D7316">
      <w:pPr>
        <w:pStyle w:val="Numberedlevel2text"/>
        <w:rPr>
          <w:lang w:val="en-GB"/>
        </w:rPr>
      </w:pPr>
      <w:bookmarkStart w:id="9" w:name="_Hlk14273514"/>
      <w:bookmarkEnd w:id="8"/>
      <w:r w:rsidRPr="009E06FF">
        <w:rPr>
          <w:lang w:val="en-GB"/>
        </w:rPr>
        <w:t>Since the clinical study for neratinib was conducted</w:t>
      </w:r>
      <w:r w:rsidR="000500C8" w:rsidRPr="009E06FF">
        <w:rPr>
          <w:lang w:val="en-GB"/>
        </w:rPr>
        <w:t>,</w:t>
      </w:r>
      <w:r w:rsidR="00A4683A" w:rsidRPr="009E06FF">
        <w:rPr>
          <w:lang w:val="en-GB"/>
        </w:rPr>
        <w:t xml:space="preserve"> the </w:t>
      </w:r>
      <w:r w:rsidRPr="009E06FF">
        <w:rPr>
          <w:lang w:val="en-GB"/>
        </w:rPr>
        <w:t>treatment</w:t>
      </w:r>
      <w:r w:rsidR="00A4683A" w:rsidRPr="009E06FF">
        <w:rPr>
          <w:lang w:val="en-GB"/>
        </w:rPr>
        <w:t xml:space="preserve"> pathway has changed</w:t>
      </w:r>
      <w:r w:rsidR="000500C8" w:rsidRPr="009E06FF">
        <w:rPr>
          <w:lang w:val="en-GB"/>
        </w:rPr>
        <w:t>.</w:t>
      </w:r>
      <w:r w:rsidR="00A4683A" w:rsidRPr="009E06FF">
        <w:rPr>
          <w:lang w:val="en-GB"/>
        </w:rPr>
        <w:t xml:space="preserve"> </w:t>
      </w:r>
      <w:r w:rsidR="000500C8" w:rsidRPr="009E06FF">
        <w:rPr>
          <w:lang w:val="en-GB"/>
        </w:rPr>
        <w:t>P</w:t>
      </w:r>
      <w:r w:rsidRPr="009E06FF">
        <w:rPr>
          <w:lang w:val="en-GB"/>
        </w:rPr>
        <w:t>eople can now receive</w:t>
      </w:r>
      <w:r w:rsidR="00A4683A" w:rsidRPr="009E06FF">
        <w:rPr>
          <w:lang w:val="en-GB"/>
        </w:rPr>
        <w:t xml:space="preserve"> pertuzumab </w:t>
      </w:r>
      <w:r w:rsidRPr="009E06FF">
        <w:rPr>
          <w:lang w:val="en-GB"/>
        </w:rPr>
        <w:t>alongside</w:t>
      </w:r>
      <w:r w:rsidR="002C5694" w:rsidRPr="009E06FF">
        <w:rPr>
          <w:lang w:val="en-GB"/>
        </w:rPr>
        <w:t xml:space="preserve"> trastuzumab</w:t>
      </w:r>
      <w:r w:rsidR="00A4683A" w:rsidRPr="009E06FF">
        <w:rPr>
          <w:lang w:val="en-GB"/>
        </w:rPr>
        <w:t xml:space="preserve"> for adjuvant </w:t>
      </w:r>
      <w:r w:rsidR="00D159DA" w:rsidRPr="009E06FF">
        <w:rPr>
          <w:lang w:val="en-GB"/>
        </w:rPr>
        <w:t>treatment</w:t>
      </w:r>
      <w:r w:rsidR="00A4683A" w:rsidRPr="009E06FF">
        <w:rPr>
          <w:lang w:val="en-GB"/>
        </w:rPr>
        <w:t xml:space="preserve"> in HER2-positive early stage breast cancer</w:t>
      </w:r>
      <w:r w:rsidRPr="009E06FF">
        <w:rPr>
          <w:lang w:val="en-GB"/>
        </w:rPr>
        <w:t xml:space="preserve"> if they have lymph node positive disease</w:t>
      </w:r>
      <w:r w:rsidR="00A4683A" w:rsidRPr="009E06FF">
        <w:rPr>
          <w:lang w:val="en-GB"/>
        </w:rPr>
        <w:t xml:space="preserve">. </w:t>
      </w:r>
      <w:r w:rsidRPr="009E06FF">
        <w:rPr>
          <w:lang w:val="en-GB"/>
        </w:rPr>
        <w:t>T</w:t>
      </w:r>
      <w:r w:rsidR="0014503F" w:rsidRPr="009E06FF">
        <w:rPr>
          <w:lang w:val="en-GB"/>
        </w:rPr>
        <w:t xml:space="preserve">here are no data for neratinib </w:t>
      </w:r>
      <w:r w:rsidR="004F4CF7" w:rsidRPr="009E06FF">
        <w:rPr>
          <w:lang w:val="en-GB"/>
        </w:rPr>
        <w:t>after</w:t>
      </w:r>
      <w:r w:rsidR="0014503F" w:rsidRPr="009E06FF">
        <w:rPr>
          <w:lang w:val="en-GB"/>
        </w:rPr>
        <w:t xml:space="preserve"> combination </w:t>
      </w:r>
      <w:r w:rsidR="004F4CF7" w:rsidRPr="009E06FF">
        <w:rPr>
          <w:lang w:val="en-GB"/>
        </w:rPr>
        <w:t>treatment</w:t>
      </w:r>
      <w:r w:rsidR="0014503F" w:rsidRPr="009E06FF">
        <w:rPr>
          <w:lang w:val="en-GB"/>
        </w:rPr>
        <w:t xml:space="preserve"> with pertuzumab </w:t>
      </w:r>
      <w:r w:rsidR="007F2870" w:rsidRPr="009E06FF">
        <w:rPr>
          <w:lang w:val="en-GB"/>
        </w:rPr>
        <w:t xml:space="preserve">for </w:t>
      </w:r>
      <w:r w:rsidR="0014503F" w:rsidRPr="009E06FF">
        <w:rPr>
          <w:lang w:val="en-GB"/>
        </w:rPr>
        <w:t>early breast cancer.</w:t>
      </w:r>
      <w:r w:rsidR="0014503F" w:rsidRPr="009E06FF" w:rsidDel="00BD1FCF">
        <w:rPr>
          <w:lang w:val="en-GB"/>
        </w:rPr>
        <w:t xml:space="preserve"> </w:t>
      </w:r>
      <w:r w:rsidR="00B60258" w:rsidRPr="009E06FF">
        <w:rPr>
          <w:lang w:val="en-GB"/>
        </w:rPr>
        <w:t xml:space="preserve">The clinical experts </w:t>
      </w:r>
      <w:r w:rsidR="005852F1" w:rsidRPr="009E06FF">
        <w:rPr>
          <w:lang w:val="en-GB"/>
        </w:rPr>
        <w:t>noted that adjuvant pertuzumab treatment is not available for people with node-negative disease and that neratinib could be considered in this population</w:t>
      </w:r>
      <w:r w:rsidR="00251471" w:rsidRPr="009E06FF">
        <w:rPr>
          <w:lang w:val="en-GB"/>
        </w:rPr>
        <w:t xml:space="preserve">. </w:t>
      </w:r>
      <w:r w:rsidR="00B60258" w:rsidRPr="009E06FF">
        <w:rPr>
          <w:lang w:val="en-GB"/>
        </w:rPr>
        <w:t xml:space="preserve">The clinical experts </w:t>
      </w:r>
      <w:r w:rsidRPr="009E06FF">
        <w:rPr>
          <w:lang w:val="en-GB"/>
        </w:rPr>
        <w:t>stated</w:t>
      </w:r>
      <w:r w:rsidR="00B60258" w:rsidRPr="009E06FF">
        <w:rPr>
          <w:lang w:val="en-GB"/>
        </w:rPr>
        <w:t xml:space="preserve"> that the decision </w:t>
      </w:r>
      <w:r w:rsidR="000F2CEA" w:rsidRPr="009E06FF">
        <w:rPr>
          <w:lang w:val="en-GB"/>
        </w:rPr>
        <w:t xml:space="preserve">about </w:t>
      </w:r>
      <w:r w:rsidR="00B60258" w:rsidRPr="009E06FF">
        <w:rPr>
          <w:lang w:val="en-GB"/>
        </w:rPr>
        <w:t>the most suitable treatment</w:t>
      </w:r>
      <w:r w:rsidRPr="009E06FF">
        <w:rPr>
          <w:lang w:val="en-GB"/>
        </w:rPr>
        <w:t xml:space="preserve"> for patients with node positive disease</w:t>
      </w:r>
      <w:r w:rsidR="00B60258" w:rsidRPr="009E06FF">
        <w:rPr>
          <w:lang w:val="en-GB"/>
        </w:rPr>
        <w:t xml:space="preserve"> </w:t>
      </w:r>
      <w:r w:rsidR="007E72F3" w:rsidRPr="009E06FF">
        <w:rPr>
          <w:lang w:val="en-GB"/>
        </w:rPr>
        <w:t>would be</w:t>
      </w:r>
      <w:r w:rsidR="00B60258" w:rsidRPr="009E06FF">
        <w:rPr>
          <w:lang w:val="en-GB"/>
        </w:rPr>
        <w:t xml:space="preserve"> based on the </w:t>
      </w:r>
      <w:r w:rsidRPr="009E06FF">
        <w:rPr>
          <w:lang w:val="en-GB"/>
        </w:rPr>
        <w:t xml:space="preserve">patient’s </w:t>
      </w:r>
      <w:r w:rsidR="00B60258" w:rsidRPr="009E06FF">
        <w:rPr>
          <w:lang w:val="en-GB"/>
        </w:rPr>
        <w:t>preferences.</w:t>
      </w:r>
      <w:r w:rsidR="00372B3D" w:rsidRPr="009E06FF">
        <w:rPr>
          <w:lang w:val="en-GB"/>
        </w:rPr>
        <w:t xml:space="preserve"> </w:t>
      </w:r>
      <w:r w:rsidR="000F2CEA" w:rsidRPr="009E06FF">
        <w:rPr>
          <w:lang w:val="en-GB"/>
        </w:rPr>
        <w:t xml:space="preserve">The clinical experts </w:t>
      </w:r>
      <w:r w:rsidRPr="009E06FF">
        <w:rPr>
          <w:lang w:val="en-GB"/>
        </w:rPr>
        <w:t>explained</w:t>
      </w:r>
      <w:r w:rsidR="006D41D8" w:rsidRPr="009E06FF">
        <w:rPr>
          <w:lang w:val="en-GB"/>
        </w:rPr>
        <w:t xml:space="preserve"> that some people may prefer neratinib because it’s an oral treatment</w:t>
      </w:r>
      <w:r w:rsidR="000500C8" w:rsidRPr="009E06FF">
        <w:rPr>
          <w:lang w:val="en-GB"/>
        </w:rPr>
        <w:t>.</w:t>
      </w:r>
      <w:r w:rsidR="006D41D8" w:rsidRPr="009E06FF">
        <w:rPr>
          <w:lang w:val="en-GB"/>
        </w:rPr>
        <w:t xml:space="preserve"> </w:t>
      </w:r>
      <w:r w:rsidR="000500C8" w:rsidRPr="009E06FF">
        <w:rPr>
          <w:lang w:val="en-GB"/>
        </w:rPr>
        <w:t>T</w:t>
      </w:r>
      <w:r w:rsidR="006D41D8" w:rsidRPr="009E06FF">
        <w:rPr>
          <w:lang w:val="en-GB"/>
        </w:rPr>
        <w:t xml:space="preserve">hey may </w:t>
      </w:r>
      <w:proofErr w:type="gramStart"/>
      <w:r w:rsidR="006D41D8" w:rsidRPr="009E06FF">
        <w:rPr>
          <w:lang w:val="en-GB"/>
        </w:rPr>
        <w:t>prefer</w:t>
      </w:r>
      <w:r w:rsidR="000500C8" w:rsidRPr="009E06FF">
        <w:rPr>
          <w:lang w:val="en-GB"/>
        </w:rPr>
        <w:t xml:space="preserve"> to have</w:t>
      </w:r>
      <w:proofErr w:type="gramEnd"/>
      <w:r w:rsidR="000500C8" w:rsidRPr="009E06FF">
        <w:rPr>
          <w:lang w:val="en-GB"/>
        </w:rPr>
        <w:t xml:space="preserve"> treatment with</w:t>
      </w:r>
      <w:r w:rsidR="006D41D8" w:rsidRPr="009E06FF">
        <w:rPr>
          <w:lang w:val="en-GB"/>
        </w:rPr>
        <w:t xml:space="preserve"> </w:t>
      </w:r>
      <w:r w:rsidR="003C3A64" w:rsidRPr="009E06FF">
        <w:rPr>
          <w:lang w:val="en-GB"/>
        </w:rPr>
        <w:t xml:space="preserve">just </w:t>
      </w:r>
      <w:r w:rsidR="006D41D8" w:rsidRPr="009E06FF">
        <w:rPr>
          <w:lang w:val="en-GB"/>
        </w:rPr>
        <w:t>trastuzumab as the HER2-directed treatment in the adjuvant setting administered subcutaneously</w:t>
      </w:r>
      <w:r w:rsidR="003C3A64" w:rsidRPr="009E06FF">
        <w:rPr>
          <w:lang w:val="en-GB"/>
        </w:rPr>
        <w:t>,</w:t>
      </w:r>
      <w:r w:rsidR="006D41D8" w:rsidRPr="009E06FF">
        <w:rPr>
          <w:lang w:val="en-GB"/>
        </w:rPr>
        <w:t xml:space="preserve"> followed by extended adjuvant treatment with neratinib, </w:t>
      </w:r>
      <w:r w:rsidR="000500C8" w:rsidRPr="009E06FF">
        <w:rPr>
          <w:lang w:val="en-GB"/>
        </w:rPr>
        <w:t xml:space="preserve">as </w:t>
      </w:r>
      <w:r w:rsidR="006D41D8" w:rsidRPr="009E06FF">
        <w:rPr>
          <w:lang w:val="en-GB"/>
        </w:rPr>
        <w:t>both treatment</w:t>
      </w:r>
      <w:r w:rsidR="000500C8" w:rsidRPr="009E06FF">
        <w:rPr>
          <w:lang w:val="en-GB"/>
        </w:rPr>
        <w:t>s can be</w:t>
      </w:r>
      <w:r w:rsidR="006D41D8" w:rsidRPr="009E06FF">
        <w:rPr>
          <w:lang w:val="en-GB"/>
        </w:rPr>
        <w:t xml:space="preserve"> given at home, </w:t>
      </w:r>
      <w:r w:rsidR="000500C8" w:rsidRPr="009E06FF">
        <w:rPr>
          <w:lang w:val="en-GB"/>
        </w:rPr>
        <w:t xml:space="preserve">rather than </w:t>
      </w:r>
      <w:r w:rsidR="006D41D8" w:rsidRPr="009E06FF">
        <w:rPr>
          <w:lang w:val="en-GB"/>
        </w:rPr>
        <w:t xml:space="preserve">intravenous </w:t>
      </w:r>
      <w:r w:rsidRPr="009E06FF">
        <w:rPr>
          <w:lang w:val="en-GB"/>
        </w:rPr>
        <w:t>adjuvant combination treatment with pertuzumab</w:t>
      </w:r>
      <w:r w:rsidR="006D41D8" w:rsidRPr="009E06FF">
        <w:rPr>
          <w:lang w:val="en-GB"/>
        </w:rPr>
        <w:t>. However, it was noted that</w:t>
      </w:r>
      <w:r w:rsidR="00B77357" w:rsidRPr="009E06FF">
        <w:rPr>
          <w:lang w:val="en-GB"/>
        </w:rPr>
        <w:t xml:space="preserve"> neratinib’s</w:t>
      </w:r>
      <w:r w:rsidR="00DE0945" w:rsidRPr="009E06FF">
        <w:rPr>
          <w:lang w:val="en-GB"/>
        </w:rPr>
        <w:t xml:space="preserve"> high level of toxicity (see </w:t>
      </w:r>
      <w:r w:rsidR="00DB36A1" w:rsidRPr="009E06FF">
        <w:rPr>
          <w:lang w:val="en-GB"/>
        </w:rPr>
        <w:t xml:space="preserve">section </w:t>
      </w:r>
      <w:r w:rsidR="00D736C5" w:rsidRPr="009E06FF">
        <w:rPr>
          <w:lang w:val="en-GB"/>
        </w:rPr>
        <w:t>3.</w:t>
      </w:r>
      <w:r w:rsidR="002F74F3" w:rsidRPr="009E06FF">
        <w:rPr>
          <w:lang w:val="en-GB"/>
        </w:rPr>
        <w:t>7</w:t>
      </w:r>
      <w:r w:rsidR="00DE0945" w:rsidRPr="009E06FF">
        <w:rPr>
          <w:lang w:val="en-GB"/>
        </w:rPr>
        <w:t xml:space="preserve">) may </w:t>
      </w:r>
      <w:r w:rsidR="004F4CF7" w:rsidRPr="009E06FF">
        <w:rPr>
          <w:lang w:val="en-GB"/>
        </w:rPr>
        <w:t>mean some</w:t>
      </w:r>
      <w:r w:rsidR="00DE0945" w:rsidRPr="009E06FF">
        <w:rPr>
          <w:lang w:val="en-GB"/>
        </w:rPr>
        <w:t xml:space="preserve"> </w:t>
      </w:r>
      <w:r w:rsidR="004F4CF7" w:rsidRPr="009E06FF">
        <w:rPr>
          <w:lang w:val="en-GB"/>
        </w:rPr>
        <w:t>people have to go to</w:t>
      </w:r>
      <w:r w:rsidR="00056BDD" w:rsidRPr="009E06FF">
        <w:rPr>
          <w:lang w:val="en-GB"/>
        </w:rPr>
        <w:t xml:space="preserve"> </w:t>
      </w:r>
      <w:r w:rsidR="00DE0945" w:rsidRPr="009E06FF">
        <w:rPr>
          <w:lang w:val="en-GB"/>
        </w:rPr>
        <w:t xml:space="preserve">hospital </w:t>
      </w:r>
      <w:r w:rsidR="00B77357" w:rsidRPr="009E06FF">
        <w:rPr>
          <w:lang w:val="en-GB"/>
        </w:rPr>
        <w:t xml:space="preserve">for diarrhoea </w:t>
      </w:r>
      <w:r w:rsidR="00DE0945" w:rsidRPr="009E06FF">
        <w:rPr>
          <w:lang w:val="en-GB"/>
        </w:rPr>
        <w:t xml:space="preserve">treatment. </w:t>
      </w:r>
      <w:r w:rsidR="007E72F3" w:rsidRPr="009E06FF">
        <w:rPr>
          <w:lang w:val="en-GB"/>
        </w:rPr>
        <w:t xml:space="preserve">The committee </w:t>
      </w:r>
      <w:r w:rsidR="00372B3D" w:rsidRPr="009E06FF">
        <w:rPr>
          <w:lang w:val="en-GB"/>
        </w:rPr>
        <w:t xml:space="preserve">recognised that </w:t>
      </w:r>
      <w:r w:rsidR="004F4CF7" w:rsidRPr="009E06FF">
        <w:rPr>
          <w:lang w:val="en-GB"/>
        </w:rPr>
        <w:t>some people</w:t>
      </w:r>
      <w:r w:rsidR="00372B3D" w:rsidRPr="009E06FF">
        <w:rPr>
          <w:lang w:val="en-GB"/>
        </w:rPr>
        <w:t xml:space="preserve"> who </w:t>
      </w:r>
      <w:r w:rsidR="00BC7908" w:rsidRPr="009E06FF">
        <w:rPr>
          <w:lang w:val="en-GB"/>
        </w:rPr>
        <w:t xml:space="preserve">did not receive adjuvant pertuzumab </w:t>
      </w:r>
      <w:r w:rsidR="00372B3D" w:rsidRPr="009E06FF">
        <w:rPr>
          <w:lang w:val="en-GB"/>
        </w:rPr>
        <w:t>would</w:t>
      </w:r>
      <w:r w:rsidR="007E72F3" w:rsidRPr="009E06FF">
        <w:rPr>
          <w:lang w:val="en-GB"/>
        </w:rPr>
        <w:t xml:space="preserve"> benefit from extended adjuvant treatment with neratinib</w:t>
      </w:r>
      <w:r w:rsidR="00056BDD" w:rsidRPr="009E06FF">
        <w:rPr>
          <w:lang w:val="en-GB"/>
        </w:rPr>
        <w:t>.</w:t>
      </w:r>
      <w:r w:rsidR="00372B3D" w:rsidRPr="009E06FF">
        <w:rPr>
          <w:lang w:val="en-GB"/>
        </w:rPr>
        <w:t xml:space="preserve"> </w:t>
      </w:r>
      <w:r w:rsidR="00056BDD" w:rsidRPr="009E06FF">
        <w:rPr>
          <w:lang w:val="en-GB"/>
        </w:rPr>
        <w:t xml:space="preserve">However, </w:t>
      </w:r>
      <w:r w:rsidR="007E72F3" w:rsidRPr="009E06FF">
        <w:rPr>
          <w:lang w:val="en-GB"/>
        </w:rPr>
        <w:t xml:space="preserve">it is unclear which </w:t>
      </w:r>
      <w:r w:rsidR="004F4CF7" w:rsidRPr="009E06FF">
        <w:rPr>
          <w:lang w:val="en-GB"/>
        </w:rPr>
        <w:t xml:space="preserve">people </w:t>
      </w:r>
      <w:r w:rsidR="007E72F3" w:rsidRPr="009E06FF">
        <w:rPr>
          <w:lang w:val="en-GB"/>
        </w:rPr>
        <w:t>would receive neratinib in clinical practice.</w:t>
      </w:r>
    </w:p>
    <w:p w14:paraId="0AA34600" w14:textId="7985D60E" w:rsidR="001A4593" w:rsidRPr="009E06FF" w:rsidRDefault="001A4593" w:rsidP="001A4593">
      <w:pPr>
        <w:pStyle w:val="Heading2"/>
      </w:pPr>
      <w:r w:rsidRPr="009E06FF">
        <w:t>Clinical evidence</w:t>
      </w:r>
    </w:p>
    <w:p w14:paraId="462EFF07" w14:textId="2F0B3C40" w:rsidR="00785D22" w:rsidRPr="009E06FF" w:rsidRDefault="00785D22" w:rsidP="00C153F7">
      <w:pPr>
        <w:pStyle w:val="Heading3"/>
      </w:pPr>
      <w:r w:rsidRPr="009E06FF">
        <w:t>ExteNET is the key trial relevant to this appraisal</w:t>
      </w:r>
    </w:p>
    <w:p w14:paraId="13FA899C" w14:textId="266457D7" w:rsidR="00785D22" w:rsidRPr="009E06FF" w:rsidRDefault="00785D22" w:rsidP="00785D22">
      <w:pPr>
        <w:pStyle w:val="Numberedlevel2text"/>
        <w:rPr>
          <w:lang w:val="en-GB"/>
        </w:rPr>
      </w:pPr>
      <w:r w:rsidRPr="009E06FF">
        <w:rPr>
          <w:lang w:val="en-GB"/>
        </w:rPr>
        <w:t xml:space="preserve">ExteNET (n=2,840) is a phase 3 randomised controlled trial that compared neratinib treatment with placebo in women with HER2-positive breast cancer who had completed adjuvant trastuzumab </w:t>
      </w:r>
      <w:r w:rsidR="004F4CF7" w:rsidRPr="009E06FF">
        <w:rPr>
          <w:lang w:val="en-GB"/>
        </w:rPr>
        <w:t>treatment</w:t>
      </w:r>
      <w:r w:rsidRPr="009E06FF">
        <w:rPr>
          <w:lang w:val="en-GB"/>
        </w:rPr>
        <w:t xml:space="preserve"> within 2 years. The company based its submission on a subgroup of </w:t>
      </w:r>
      <w:r w:rsidR="0089741E" w:rsidRPr="009E06FF">
        <w:rPr>
          <w:lang w:val="en-GB"/>
        </w:rPr>
        <w:t xml:space="preserve">women </w:t>
      </w:r>
      <w:r w:rsidRPr="009E06FF">
        <w:rPr>
          <w:lang w:val="en-GB"/>
        </w:rPr>
        <w:t xml:space="preserve">with </w:t>
      </w:r>
      <w:r w:rsidRPr="009E06FF">
        <w:rPr>
          <w:lang w:val="en-GB"/>
        </w:rPr>
        <w:lastRenderedPageBreak/>
        <w:t xml:space="preserve">early hormone receptor-positive cancer who </w:t>
      </w:r>
      <w:r w:rsidR="00B77357" w:rsidRPr="009E06FF">
        <w:rPr>
          <w:lang w:val="en-GB"/>
        </w:rPr>
        <w:t>were</w:t>
      </w:r>
      <w:r w:rsidRPr="009E06FF">
        <w:rPr>
          <w:lang w:val="en-GB"/>
        </w:rPr>
        <w:t xml:space="preserve"> less than </w:t>
      </w:r>
      <w:r w:rsidR="000667AE" w:rsidRPr="009E06FF">
        <w:rPr>
          <w:lang w:val="en-GB"/>
        </w:rPr>
        <w:t>1</w:t>
      </w:r>
      <w:r w:rsidR="000667AE">
        <w:rPr>
          <w:lang w:val="en-GB"/>
        </w:rPr>
        <w:t> </w:t>
      </w:r>
      <w:r w:rsidRPr="009E06FF">
        <w:rPr>
          <w:lang w:val="en-GB"/>
        </w:rPr>
        <w:t xml:space="preserve">year from </w:t>
      </w:r>
      <w:r w:rsidR="00B77357" w:rsidRPr="009E06FF">
        <w:rPr>
          <w:lang w:val="en-GB"/>
        </w:rPr>
        <w:t>completing</w:t>
      </w:r>
      <w:r w:rsidRPr="009E06FF">
        <w:rPr>
          <w:lang w:val="en-GB"/>
        </w:rPr>
        <w:t xml:space="preserve"> adjuvant trastuzumab-based </w:t>
      </w:r>
      <w:r w:rsidR="004F4CF7" w:rsidRPr="009E06FF">
        <w:rPr>
          <w:lang w:val="en-GB"/>
        </w:rPr>
        <w:t>treatment</w:t>
      </w:r>
      <w:r w:rsidRPr="009E06FF">
        <w:rPr>
          <w:lang w:val="en-GB"/>
        </w:rPr>
        <w:t xml:space="preserve"> (n=1,334). This subgroup</w:t>
      </w:r>
      <w:r w:rsidR="003F5FCD" w:rsidRPr="009E06FF">
        <w:rPr>
          <w:lang w:val="en-GB"/>
        </w:rPr>
        <w:t xml:space="preserve">, </w:t>
      </w:r>
      <w:r w:rsidR="00DC0E9E" w:rsidRPr="009E06FF">
        <w:rPr>
          <w:lang w:val="en-GB"/>
        </w:rPr>
        <w:t xml:space="preserve">referred to as </w:t>
      </w:r>
      <w:r w:rsidR="003F5FCD" w:rsidRPr="009E06FF">
        <w:rPr>
          <w:lang w:val="en-GB"/>
        </w:rPr>
        <w:t xml:space="preserve">the </w:t>
      </w:r>
      <w:r w:rsidR="00DC0E9E" w:rsidRPr="009E06FF">
        <w:rPr>
          <w:lang w:val="en-GB"/>
        </w:rPr>
        <w:t>‘</w:t>
      </w:r>
      <w:r w:rsidR="003F5FCD" w:rsidRPr="009E06FF">
        <w:rPr>
          <w:lang w:val="en-GB"/>
        </w:rPr>
        <w:t>label</w:t>
      </w:r>
      <w:r w:rsidR="00DC0E9E" w:rsidRPr="009E06FF">
        <w:rPr>
          <w:lang w:val="en-GB"/>
        </w:rPr>
        <w:t>’</w:t>
      </w:r>
      <w:r w:rsidR="003F5FCD" w:rsidRPr="009E06FF">
        <w:rPr>
          <w:lang w:val="en-GB"/>
        </w:rPr>
        <w:t xml:space="preserve"> population,</w:t>
      </w:r>
      <w:r w:rsidRPr="009E06FF">
        <w:rPr>
          <w:lang w:val="en-GB"/>
        </w:rPr>
        <w:t xml:space="preserve"> </w:t>
      </w:r>
      <w:r w:rsidR="0089741E" w:rsidRPr="009E06FF">
        <w:rPr>
          <w:lang w:val="en-GB"/>
        </w:rPr>
        <w:t xml:space="preserve">is in line with the neratinib marketing authorisation. It </w:t>
      </w:r>
      <w:r w:rsidRPr="009E06FF">
        <w:rPr>
          <w:lang w:val="en-GB"/>
        </w:rPr>
        <w:t xml:space="preserve">showed better clinical effectiveness and less side effects </w:t>
      </w:r>
      <w:r w:rsidR="00DB36A1" w:rsidRPr="009E06FF">
        <w:rPr>
          <w:lang w:val="en-GB"/>
        </w:rPr>
        <w:t>than the whole trial</w:t>
      </w:r>
      <w:r w:rsidRPr="009E06FF">
        <w:rPr>
          <w:lang w:val="en-GB"/>
        </w:rPr>
        <w:t xml:space="preserve">. The ERG noted that ExteNET was not designed to have statistical power to detect differences between treatments within subgroups. In addition, </w:t>
      </w:r>
      <w:r w:rsidR="0089741E" w:rsidRPr="009E06FF">
        <w:rPr>
          <w:lang w:val="en-GB"/>
        </w:rPr>
        <w:t>it</w:t>
      </w:r>
      <w:r w:rsidRPr="009E06FF">
        <w:rPr>
          <w:lang w:val="en-GB"/>
        </w:rPr>
        <w:t xml:space="preserve"> noted that only 80</w:t>
      </w:r>
      <w:r w:rsidR="000667AE">
        <w:rPr>
          <w:lang w:val="en-GB"/>
        </w:rPr>
        <w:t> </w:t>
      </w:r>
      <w:r w:rsidRPr="009E06FF">
        <w:rPr>
          <w:lang w:val="en-GB"/>
        </w:rPr>
        <w:t>patients were recruited in the UK and that differences in clinical effectiveness by geographical region were reported. The clinical experts suggested that the trial is generalisable to the UK population. However, they noted that clinical trials tend to recruit fitter participants, and that there may be some limitation to the trial generalisability. The committee concluded that ExteNET is the key trial relevant to this appraisal</w:t>
      </w:r>
      <w:r w:rsidR="00BC7908" w:rsidRPr="009E06FF">
        <w:rPr>
          <w:lang w:val="en-GB"/>
        </w:rPr>
        <w:t xml:space="preserve"> and suitable for estimating </w:t>
      </w:r>
      <w:r w:rsidR="003B568B" w:rsidRPr="009E06FF">
        <w:rPr>
          <w:lang w:val="en-GB"/>
        </w:rPr>
        <w:t xml:space="preserve">the </w:t>
      </w:r>
      <w:r w:rsidR="00BC7908" w:rsidRPr="009E06FF">
        <w:rPr>
          <w:lang w:val="en-GB"/>
        </w:rPr>
        <w:t>clinical effectiveness of neratinib.</w:t>
      </w:r>
    </w:p>
    <w:p w14:paraId="7402A4A3" w14:textId="74530EA1" w:rsidR="003F6E57" w:rsidRPr="009E06FF" w:rsidRDefault="007F0731" w:rsidP="003F6E57">
      <w:pPr>
        <w:pStyle w:val="Heading3"/>
      </w:pPr>
      <w:r w:rsidRPr="009E06FF">
        <w:t xml:space="preserve">There is no evidence for </w:t>
      </w:r>
      <w:r w:rsidR="003F6E57" w:rsidRPr="009E06FF">
        <w:t xml:space="preserve">neratinib </w:t>
      </w:r>
      <w:r w:rsidRPr="009E06FF">
        <w:t xml:space="preserve">in </w:t>
      </w:r>
      <w:r w:rsidR="003F6E57" w:rsidRPr="009E06FF">
        <w:t>people</w:t>
      </w:r>
      <w:r w:rsidRPr="009E06FF">
        <w:t xml:space="preserve"> with </w:t>
      </w:r>
      <w:r w:rsidR="000C79E8" w:rsidRPr="009E06FF">
        <w:t xml:space="preserve">a </w:t>
      </w:r>
      <w:r w:rsidR="003F6E57" w:rsidRPr="009E06FF">
        <w:t xml:space="preserve">pathological complete response </w:t>
      </w:r>
      <w:r w:rsidRPr="009E06FF">
        <w:t xml:space="preserve">after </w:t>
      </w:r>
      <w:r w:rsidR="003F6E57" w:rsidRPr="009E06FF">
        <w:t>neoadjuvant</w:t>
      </w:r>
      <w:r w:rsidRPr="009E06FF">
        <w:t xml:space="preserve"> treatment</w:t>
      </w:r>
    </w:p>
    <w:p w14:paraId="28C04ACF" w14:textId="21CF815E" w:rsidR="003F6E57" w:rsidRPr="009E06FF" w:rsidRDefault="003F6E57" w:rsidP="00785D22">
      <w:pPr>
        <w:pStyle w:val="Numberedlevel2text"/>
        <w:rPr>
          <w:lang w:val="en-GB"/>
        </w:rPr>
      </w:pPr>
      <w:r w:rsidRPr="009E06FF">
        <w:rPr>
          <w:lang w:val="en-GB"/>
        </w:rPr>
        <w:t xml:space="preserve">ExteNET </w:t>
      </w:r>
      <w:r w:rsidR="002C5694" w:rsidRPr="009E06FF">
        <w:rPr>
          <w:lang w:val="en-GB"/>
        </w:rPr>
        <w:t>did not include</w:t>
      </w:r>
      <w:r w:rsidRPr="009E06FF">
        <w:rPr>
          <w:lang w:val="en-GB"/>
        </w:rPr>
        <w:t xml:space="preserve"> </w:t>
      </w:r>
      <w:r w:rsidR="003A7C68" w:rsidRPr="009E06FF">
        <w:rPr>
          <w:lang w:val="en-GB"/>
        </w:rPr>
        <w:t xml:space="preserve">people </w:t>
      </w:r>
      <w:r w:rsidRPr="009E06FF">
        <w:rPr>
          <w:lang w:val="en-GB"/>
        </w:rPr>
        <w:t xml:space="preserve">who </w:t>
      </w:r>
      <w:r w:rsidR="004F4CF7" w:rsidRPr="009E06FF">
        <w:rPr>
          <w:lang w:val="en-GB"/>
        </w:rPr>
        <w:t xml:space="preserve">had </w:t>
      </w:r>
      <w:r w:rsidR="000C79E8" w:rsidRPr="009E06FF">
        <w:rPr>
          <w:lang w:val="en-GB"/>
        </w:rPr>
        <w:t xml:space="preserve">a </w:t>
      </w:r>
      <w:r w:rsidRPr="009E06FF">
        <w:rPr>
          <w:lang w:val="en-GB"/>
        </w:rPr>
        <w:t xml:space="preserve">pathological complete response </w:t>
      </w:r>
      <w:r w:rsidR="004F4CF7" w:rsidRPr="009E06FF">
        <w:rPr>
          <w:lang w:val="en-GB"/>
        </w:rPr>
        <w:t>after</w:t>
      </w:r>
      <w:r w:rsidRPr="009E06FF">
        <w:rPr>
          <w:lang w:val="en-GB"/>
        </w:rPr>
        <w:t xml:space="preserve"> neoadjuvant </w:t>
      </w:r>
      <w:r w:rsidR="004F4CF7" w:rsidRPr="009E06FF">
        <w:rPr>
          <w:lang w:val="en-GB"/>
        </w:rPr>
        <w:t>treatment</w:t>
      </w:r>
      <w:r w:rsidRPr="009E06FF">
        <w:rPr>
          <w:lang w:val="en-GB"/>
        </w:rPr>
        <w:t xml:space="preserve">. </w:t>
      </w:r>
      <w:r w:rsidR="003B568B" w:rsidRPr="009E06FF">
        <w:rPr>
          <w:lang w:val="en-GB"/>
        </w:rPr>
        <w:t xml:space="preserve">A pathological complete response means that there was no residual invasive cancer in the breast </w:t>
      </w:r>
      <w:r w:rsidR="002D4DF9" w:rsidRPr="009E06FF">
        <w:rPr>
          <w:lang w:val="en-GB"/>
        </w:rPr>
        <w:t>or axilla</w:t>
      </w:r>
      <w:r w:rsidR="003B568B" w:rsidRPr="009E06FF">
        <w:rPr>
          <w:lang w:val="en-GB"/>
        </w:rPr>
        <w:t xml:space="preserve"> after completing neoadjuvant </w:t>
      </w:r>
      <w:r w:rsidR="00D159DA" w:rsidRPr="009E06FF">
        <w:rPr>
          <w:lang w:val="en-GB"/>
        </w:rPr>
        <w:t>treatment</w:t>
      </w:r>
      <w:r w:rsidR="003B568B" w:rsidRPr="009E06FF">
        <w:rPr>
          <w:lang w:val="en-GB"/>
        </w:rPr>
        <w:t xml:space="preserve">. </w:t>
      </w:r>
      <w:r w:rsidRPr="009E06FF">
        <w:rPr>
          <w:lang w:val="en-GB"/>
        </w:rPr>
        <w:t xml:space="preserve">The committee concluded that there are no data on the clinical effectiveness of neratinib in people who </w:t>
      </w:r>
      <w:r w:rsidR="0089741E" w:rsidRPr="009E06FF">
        <w:rPr>
          <w:lang w:val="en-GB"/>
        </w:rPr>
        <w:t xml:space="preserve">had </w:t>
      </w:r>
      <w:r w:rsidR="000C79E8" w:rsidRPr="009E06FF">
        <w:rPr>
          <w:lang w:val="en-GB"/>
        </w:rPr>
        <w:t xml:space="preserve">a </w:t>
      </w:r>
      <w:r w:rsidRPr="009E06FF">
        <w:rPr>
          <w:lang w:val="en-GB"/>
        </w:rPr>
        <w:t xml:space="preserve">pathological complete response </w:t>
      </w:r>
      <w:r w:rsidR="004F4CF7" w:rsidRPr="009E06FF">
        <w:rPr>
          <w:lang w:val="en-GB"/>
        </w:rPr>
        <w:t>after</w:t>
      </w:r>
      <w:r w:rsidRPr="009E06FF">
        <w:rPr>
          <w:lang w:val="en-GB"/>
        </w:rPr>
        <w:t xml:space="preserve"> neoadjuvant </w:t>
      </w:r>
      <w:r w:rsidR="004F4CF7" w:rsidRPr="009E06FF">
        <w:rPr>
          <w:lang w:val="en-GB"/>
        </w:rPr>
        <w:t>treatment</w:t>
      </w:r>
      <w:r w:rsidR="00BC7908" w:rsidRPr="009E06FF">
        <w:rPr>
          <w:lang w:val="en-GB"/>
        </w:rPr>
        <w:t>.</w:t>
      </w:r>
    </w:p>
    <w:p w14:paraId="40D92C8E" w14:textId="728AA5E6" w:rsidR="002C5694" w:rsidRPr="009E06FF" w:rsidRDefault="002C5694" w:rsidP="002C5694">
      <w:pPr>
        <w:pStyle w:val="Heading3"/>
      </w:pPr>
      <w:r w:rsidRPr="009E06FF">
        <w:t>There is no evidence for neratinib in people who have had pertuzumab treatment</w:t>
      </w:r>
    </w:p>
    <w:p w14:paraId="11E95E73" w14:textId="1D531765" w:rsidR="002C5694" w:rsidRPr="009E06FF" w:rsidRDefault="002C5694" w:rsidP="002C5694">
      <w:pPr>
        <w:pStyle w:val="Numberedlevel2text"/>
        <w:rPr>
          <w:lang w:val="en-GB"/>
        </w:rPr>
      </w:pPr>
      <w:r w:rsidRPr="009E06FF">
        <w:rPr>
          <w:lang w:val="en-GB"/>
        </w:rPr>
        <w:t xml:space="preserve">ExteNET </w:t>
      </w:r>
      <w:r w:rsidR="006E78C1" w:rsidRPr="009E06FF">
        <w:rPr>
          <w:lang w:val="en-GB"/>
        </w:rPr>
        <w:t>did not include p</w:t>
      </w:r>
      <w:r w:rsidR="003A7C68" w:rsidRPr="009E06FF">
        <w:rPr>
          <w:lang w:val="en-GB"/>
        </w:rPr>
        <w:t>e</w:t>
      </w:r>
      <w:r w:rsidR="006E78C1" w:rsidRPr="009E06FF">
        <w:rPr>
          <w:lang w:val="en-GB"/>
        </w:rPr>
        <w:t>o</w:t>
      </w:r>
      <w:r w:rsidR="003A7C68" w:rsidRPr="009E06FF">
        <w:rPr>
          <w:lang w:val="en-GB"/>
        </w:rPr>
        <w:t>p</w:t>
      </w:r>
      <w:r w:rsidR="006E78C1" w:rsidRPr="009E06FF">
        <w:rPr>
          <w:lang w:val="en-GB"/>
        </w:rPr>
        <w:t xml:space="preserve">le who </w:t>
      </w:r>
      <w:r w:rsidRPr="009E06FF">
        <w:rPr>
          <w:lang w:val="en-GB"/>
        </w:rPr>
        <w:t>received pertuzumab</w:t>
      </w:r>
      <w:r w:rsidR="003839E8" w:rsidRPr="009E06FF">
        <w:rPr>
          <w:lang w:val="en-GB"/>
        </w:rPr>
        <w:t xml:space="preserve"> alongside</w:t>
      </w:r>
      <w:r w:rsidRPr="009E06FF">
        <w:rPr>
          <w:lang w:val="en-GB"/>
        </w:rPr>
        <w:t xml:space="preserve"> trastuzumab</w:t>
      </w:r>
      <w:r w:rsidR="003839E8" w:rsidRPr="009E06FF">
        <w:rPr>
          <w:lang w:val="en-GB"/>
        </w:rPr>
        <w:t xml:space="preserve"> in the adjuvant setting</w:t>
      </w:r>
      <w:r w:rsidRPr="009E06FF">
        <w:rPr>
          <w:lang w:val="en-GB"/>
        </w:rPr>
        <w:t xml:space="preserve">. The committee concluded </w:t>
      </w:r>
      <w:r w:rsidR="006E78C1" w:rsidRPr="009E06FF">
        <w:rPr>
          <w:lang w:val="en-GB"/>
        </w:rPr>
        <w:t xml:space="preserve">that there </w:t>
      </w:r>
      <w:r w:rsidRPr="009E06FF">
        <w:rPr>
          <w:lang w:val="en-GB"/>
        </w:rPr>
        <w:t>are no data on the clinical effectiveness of</w:t>
      </w:r>
      <w:r w:rsidR="003839E8" w:rsidRPr="009E06FF">
        <w:rPr>
          <w:lang w:val="en-GB"/>
        </w:rPr>
        <w:t xml:space="preserve"> extended adjuvant</w:t>
      </w:r>
      <w:r w:rsidRPr="009E06FF">
        <w:rPr>
          <w:lang w:val="en-GB"/>
        </w:rPr>
        <w:t xml:space="preserve"> neratinib after </w:t>
      </w:r>
      <w:r w:rsidR="003839E8" w:rsidRPr="009E06FF">
        <w:rPr>
          <w:lang w:val="en-GB"/>
        </w:rPr>
        <w:t>adjuvant</w:t>
      </w:r>
      <w:r w:rsidRPr="009E06FF">
        <w:rPr>
          <w:lang w:val="en-GB"/>
        </w:rPr>
        <w:t xml:space="preserve"> pertuzumab treatment</w:t>
      </w:r>
      <w:r w:rsidR="006E78C1" w:rsidRPr="009E06FF">
        <w:rPr>
          <w:lang w:val="en-GB"/>
        </w:rPr>
        <w:t>.</w:t>
      </w:r>
    </w:p>
    <w:p w14:paraId="11E48C59" w14:textId="03D31754" w:rsidR="00877FB5" w:rsidRPr="009E06FF" w:rsidRDefault="00877FB5" w:rsidP="00877FB5">
      <w:pPr>
        <w:pStyle w:val="Heading3"/>
      </w:pPr>
      <w:r w:rsidRPr="009E06FF">
        <w:lastRenderedPageBreak/>
        <w:t>Neratinib improves invasive disease-free survival compared with placebo</w:t>
      </w:r>
    </w:p>
    <w:p w14:paraId="358F4760" w14:textId="136FD8C0" w:rsidR="003F5FCD" w:rsidRPr="009E06FF" w:rsidRDefault="00877FB5" w:rsidP="003F5FCD">
      <w:pPr>
        <w:pStyle w:val="Numberedlevel2text"/>
        <w:rPr>
          <w:lang w:val="en-GB"/>
        </w:rPr>
      </w:pPr>
      <w:r w:rsidRPr="009E06FF">
        <w:rPr>
          <w:lang w:val="en-GB"/>
        </w:rPr>
        <w:t xml:space="preserve">Invasive disease-free survival was the primary </w:t>
      </w:r>
      <w:r w:rsidR="003F5FCD" w:rsidRPr="009E06FF">
        <w:rPr>
          <w:lang w:val="en-GB"/>
        </w:rPr>
        <w:t>outcome</w:t>
      </w:r>
      <w:r w:rsidRPr="009E06FF">
        <w:rPr>
          <w:lang w:val="en-GB"/>
        </w:rPr>
        <w:t xml:space="preserve"> in </w:t>
      </w:r>
      <w:r w:rsidR="003F5FCD" w:rsidRPr="009E06FF">
        <w:rPr>
          <w:lang w:val="en-GB"/>
        </w:rPr>
        <w:t>ExteNET. The 5-year hazard ratio</w:t>
      </w:r>
      <w:r w:rsidR="00CD33D4" w:rsidRPr="009E06FF">
        <w:rPr>
          <w:lang w:val="en-GB"/>
        </w:rPr>
        <w:t xml:space="preserve"> for invasive disease-free survival</w:t>
      </w:r>
      <w:r w:rsidR="003F5FCD" w:rsidRPr="009E06FF">
        <w:rPr>
          <w:lang w:val="en-GB"/>
        </w:rPr>
        <w:t xml:space="preserve"> for the whole trial was 0.73 (95% confidence interval</w:t>
      </w:r>
      <w:r w:rsidR="00CD33D4" w:rsidRPr="009E06FF">
        <w:rPr>
          <w:lang w:val="en-GB"/>
        </w:rPr>
        <w:t xml:space="preserve"> [CI]</w:t>
      </w:r>
      <w:r w:rsidR="003F5FCD" w:rsidRPr="009E06FF">
        <w:rPr>
          <w:lang w:val="en-GB"/>
        </w:rPr>
        <w:t xml:space="preserve"> 0.57 to 0.92). The 5-year hazard ratio</w:t>
      </w:r>
      <w:r w:rsidR="00CD33D4" w:rsidRPr="009E06FF">
        <w:rPr>
          <w:lang w:val="en-GB"/>
        </w:rPr>
        <w:t xml:space="preserve"> for invasive disease-free survival</w:t>
      </w:r>
      <w:r w:rsidR="003F5FCD" w:rsidRPr="009E06FF">
        <w:rPr>
          <w:lang w:val="en-GB"/>
        </w:rPr>
        <w:t xml:space="preserve"> for the label population was 0.58 (95% </w:t>
      </w:r>
      <w:r w:rsidR="00CD33D4" w:rsidRPr="009E06FF">
        <w:rPr>
          <w:lang w:val="en-GB"/>
        </w:rPr>
        <w:t>CI</w:t>
      </w:r>
      <w:r w:rsidR="003F5FCD" w:rsidRPr="009E06FF">
        <w:rPr>
          <w:lang w:val="en-GB"/>
        </w:rPr>
        <w:t xml:space="preserve"> 0.41 to 0.82).</w:t>
      </w:r>
      <w:r w:rsidR="0046373F" w:rsidRPr="009E06FF">
        <w:rPr>
          <w:lang w:val="en-GB"/>
        </w:rPr>
        <w:t xml:space="preserve"> This suggests a statistically significant improvement in </w:t>
      </w:r>
      <w:r w:rsidR="005125BB">
        <w:rPr>
          <w:lang w:val="en-GB"/>
        </w:rPr>
        <w:t>invasive disease-</w:t>
      </w:r>
      <w:r w:rsidR="0046373F" w:rsidRPr="009E06FF">
        <w:rPr>
          <w:lang w:val="en-GB"/>
        </w:rPr>
        <w:t>free survival for neratinib compared with placebo.</w:t>
      </w:r>
      <w:r w:rsidR="003F5FCD" w:rsidRPr="009E06FF">
        <w:rPr>
          <w:lang w:val="en-GB"/>
        </w:rPr>
        <w:t xml:space="preserve"> Overall survival data were collected in the </w:t>
      </w:r>
      <w:proofErr w:type="gramStart"/>
      <w:r w:rsidR="003F5FCD" w:rsidRPr="009E06FF">
        <w:rPr>
          <w:lang w:val="en-GB"/>
        </w:rPr>
        <w:t>trial, but</w:t>
      </w:r>
      <w:proofErr w:type="gramEnd"/>
      <w:r w:rsidR="003F5FCD" w:rsidRPr="009E06FF">
        <w:rPr>
          <w:lang w:val="en-GB"/>
        </w:rPr>
        <w:t xml:space="preserve"> </w:t>
      </w:r>
      <w:r w:rsidR="00CD33D4" w:rsidRPr="009E06FF">
        <w:rPr>
          <w:lang w:val="en-GB"/>
        </w:rPr>
        <w:t>had not yet been fully analysed at the time of this appraisal</w:t>
      </w:r>
      <w:r w:rsidR="003F5FCD" w:rsidRPr="009E06FF">
        <w:rPr>
          <w:lang w:val="en-GB"/>
        </w:rPr>
        <w:t>. Only 121 death</w:t>
      </w:r>
      <w:r w:rsidR="001A5B49" w:rsidRPr="009E06FF">
        <w:rPr>
          <w:lang w:val="en-GB"/>
        </w:rPr>
        <w:t>s</w:t>
      </w:r>
      <w:r w:rsidR="003F5FCD" w:rsidRPr="009E06FF">
        <w:rPr>
          <w:lang w:val="en-GB"/>
        </w:rPr>
        <w:t xml:space="preserve"> </w:t>
      </w:r>
      <w:r w:rsidR="001A5B49" w:rsidRPr="009E06FF">
        <w:rPr>
          <w:lang w:val="en-GB"/>
        </w:rPr>
        <w:t>were</w:t>
      </w:r>
      <w:r w:rsidR="003F5FCD" w:rsidRPr="009E06FF">
        <w:rPr>
          <w:lang w:val="en-GB"/>
        </w:rPr>
        <w:t xml:space="preserve"> recorded in the whole trial and the final analys</w:t>
      </w:r>
      <w:r w:rsidR="000155D2" w:rsidRPr="009E06FF">
        <w:rPr>
          <w:lang w:val="en-GB"/>
        </w:rPr>
        <w:t>i</w:t>
      </w:r>
      <w:r w:rsidR="003F5FCD" w:rsidRPr="009E06FF">
        <w:rPr>
          <w:lang w:val="en-GB"/>
        </w:rPr>
        <w:t xml:space="preserve">s is expected </w:t>
      </w:r>
      <w:r w:rsidR="001A5B49" w:rsidRPr="009E06FF">
        <w:rPr>
          <w:lang w:val="en-GB"/>
        </w:rPr>
        <w:t xml:space="preserve">after </w:t>
      </w:r>
      <w:r w:rsidR="003F5FCD" w:rsidRPr="009E06FF">
        <w:rPr>
          <w:lang w:val="en-GB"/>
        </w:rPr>
        <w:t>248</w:t>
      </w:r>
      <w:r w:rsidR="000D2941" w:rsidRPr="009E06FF">
        <w:rPr>
          <w:lang w:val="en-GB"/>
        </w:rPr>
        <w:t> deaths</w:t>
      </w:r>
      <w:r w:rsidR="003F5FCD" w:rsidRPr="009E06FF">
        <w:rPr>
          <w:lang w:val="en-GB"/>
        </w:rPr>
        <w:t xml:space="preserve">. </w:t>
      </w:r>
      <w:r w:rsidR="00CD33D4" w:rsidRPr="009E06FF">
        <w:rPr>
          <w:lang w:val="en-GB"/>
        </w:rPr>
        <w:t>O</w:t>
      </w:r>
      <w:r w:rsidR="00660508" w:rsidRPr="009E06FF">
        <w:rPr>
          <w:lang w:val="en-GB"/>
        </w:rPr>
        <w:t xml:space="preserve">verall survival </w:t>
      </w:r>
      <w:r w:rsidR="003F5FCD" w:rsidRPr="009E06FF">
        <w:rPr>
          <w:lang w:val="en-GB"/>
        </w:rPr>
        <w:t>results for the label population</w:t>
      </w:r>
      <w:r w:rsidR="00CD33D4" w:rsidRPr="009E06FF">
        <w:rPr>
          <w:lang w:val="en-GB"/>
        </w:rPr>
        <w:t xml:space="preserve"> were not available at the time of this appraisal</w:t>
      </w:r>
      <w:r w:rsidR="003F5FCD" w:rsidRPr="009E06FF">
        <w:rPr>
          <w:lang w:val="en-GB"/>
        </w:rPr>
        <w:t>. The committee concluded that neratinib</w:t>
      </w:r>
      <w:r w:rsidR="001A5B49" w:rsidRPr="009E06FF">
        <w:rPr>
          <w:lang w:val="en-GB"/>
        </w:rPr>
        <w:t xml:space="preserve"> </w:t>
      </w:r>
      <w:r w:rsidR="00CB682B">
        <w:rPr>
          <w:lang w:val="en-GB"/>
        </w:rPr>
        <w:t xml:space="preserve">improves </w:t>
      </w:r>
      <w:r w:rsidR="00CB682B" w:rsidRPr="00CB682B">
        <w:rPr>
          <w:lang w:val="en-GB"/>
        </w:rPr>
        <w:t xml:space="preserve">invasive disease-free survival </w:t>
      </w:r>
      <w:r w:rsidR="003F5FCD" w:rsidRPr="009E06FF">
        <w:rPr>
          <w:lang w:val="en-GB"/>
        </w:rPr>
        <w:t>compared with placebo in the label population.</w:t>
      </w:r>
      <w:r w:rsidR="005C3E23" w:rsidRPr="009E06FF">
        <w:rPr>
          <w:lang w:val="en-GB"/>
        </w:rPr>
        <w:t xml:space="preserve"> However, it is not known whether neratinib increases the length of time people live because the final trial results are not available.</w:t>
      </w:r>
    </w:p>
    <w:p w14:paraId="04A07252" w14:textId="668B544A" w:rsidR="001A4593" w:rsidRPr="009E06FF" w:rsidRDefault="001A4593" w:rsidP="001A4593">
      <w:pPr>
        <w:pStyle w:val="Heading2"/>
      </w:pPr>
      <w:r w:rsidRPr="009E06FF">
        <w:t>Adverse events</w:t>
      </w:r>
    </w:p>
    <w:p w14:paraId="5FBF0D89" w14:textId="638FE6BD" w:rsidR="005C3E23" w:rsidRPr="009E06FF" w:rsidRDefault="005C3E23" w:rsidP="0046373F">
      <w:pPr>
        <w:pStyle w:val="Heading3"/>
      </w:pPr>
      <w:r w:rsidRPr="009E06FF">
        <w:t xml:space="preserve">Diarrhoea is </w:t>
      </w:r>
      <w:r w:rsidR="00567462" w:rsidRPr="009E06FF">
        <w:t xml:space="preserve">severe </w:t>
      </w:r>
      <w:r w:rsidRPr="009E06FF">
        <w:t xml:space="preserve">in some </w:t>
      </w:r>
      <w:r w:rsidR="004F4CF7" w:rsidRPr="009E06FF">
        <w:t xml:space="preserve">people </w:t>
      </w:r>
      <w:r w:rsidRPr="009E06FF">
        <w:t>but could be managed with prophylaxis</w:t>
      </w:r>
    </w:p>
    <w:p w14:paraId="24D0DCE8" w14:textId="2FF2871F" w:rsidR="005C3E23" w:rsidRPr="009E06FF" w:rsidRDefault="00D736C5">
      <w:pPr>
        <w:pStyle w:val="Numberedlevel2text"/>
        <w:rPr>
          <w:lang w:val="en-GB"/>
        </w:rPr>
      </w:pPr>
      <w:r w:rsidRPr="009E06FF">
        <w:rPr>
          <w:lang w:val="en-GB"/>
        </w:rPr>
        <w:t>N</w:t>
      </w:r>
      <w:r w:rsidR="005C3E23" w:rsidRPr="009E06FF">
        <w:rPr>
          <w:lang w:val="en-GB"/>
        </w:rPr>
        <w:t>eratinib is associated with high rates of diarrhoea, nausea and fatigue and may require hospital visits to treat diarrhoea. In ExteNET, diarrhoea prophylaxis was not used</w:t>
      </w:r>
      <w:r w:rsidRPr="009E06FF">
        <w:rPr>
          <w:lang w:val="en-GB"/>
        </w:rPr>
        <w:t xml:space="preserve">, although </w:t>
      </w:r>
      <w:r w:rsidR="000D7316" w:rsidRPr="009E06FF">
        <w:rPr>
          <w:lang w:val="en-GB"/>
        </w:rPr>
        <w:t xml:space="preserve">people were treated for diarrhoea </w:t>
      </w:r>
      <w:r w:rsidRPr="009E06FF">
        <w:rPr>
          <w:lang w:val="en-GB"/>
        </w:rPr>
        <w:t>as needed</w:t>
      </w:r>
      <w:r w:rsidR="005C3E23" w:rsidRPr="009E06FF">
        <w:rPr>
          <w:lang w:val="en-GB"/>
        </w:rPr>
        <w:t xml:space="preserve">. </w:t>
      </w:r>
      <w:r w:rsidRPr="009E06FF">
        <w:rPr>
          <w:lang w:val="en-GB"/>
        </w:rPr>
        <w:t>T</w:t>
      </w:r>
      <w:r w:rsidR="005C3E23" w:rsidRPr="009E06FF">
        <w:rPr>
          <w:lang w:val="en-GB"/>
        </w:rPr>
        <w:t xml:space="preserve">he company explained that if diarrhoea prophylaxis is used, diarrhoea </w:t>
      </w:r>
      <w:r w:rsidR="000D7316" w:rsidRPr="009E06FF">
        <w:rPr>
          <w:lang w:val="en-GB"/>
        </w:rPr>
        <w:t xml:space="preserve">lasts </w:t>
      </w:r>
      <w:r w:rsidR="005C3E23" w:rsidRPr="009E06FF">
        <w:rPr>
          <w:lang w:val="en-GB"/>
        </w:rPr>
        <w:t xml:space="preserve">approximately 5 days. </w:t>
      </w:r>
      <w:r w:rsidR="00282E81" w:rsidRPr="009E06FF">
        <w:rPr>
          <w:lang w:val="en-GB"/>
        </w:rPr>
        <w:t>C</w:t>
      </w:r>
      <w:r w:rsidR="005C3E23" w:rsidRPr="009E06FF">
        <w:rPr>
          <w:lang w:val="en-GB"/>
        </w:rPr>
        <w:t>linical expert</w:t>
      </w:r>
      <w:r w:rsidR="00785B0A" w:rsidRPr="009E06FF">
        <w:rPr>
          <w:lang w:val="en-GB"/>
        </w:rPr>
        <w:t>s</w:t>
      </w:r>
      <w:r w:rsidR="005C3E23" w:rsidRPr="009E06FF">
        <w:rPr>
          <w:lang w:val="en-GB"/>
        </w:rPr>
        <w:t xml:space="preserve"> confirmed that </w:t>
      </w:r>
      <w:r w:rsidRPr="009E06FF">
        <w:rPr>
          <w:lang w:val="en-GB"/>
        </w:rPr>
        <w:t xml:space="preserve">diarrhoea </w:t>
      </w:r>
      <w:r w:rsidR="005C3E23" w:rsidRPr="009E06FF">
        <w:rPr>
          <w:lang w:val="en-GB"/>
        </w:rPr>
        <w:t xml:space="preserve">is not an issue for all </w:t>
      </w:r>
      <w:r w:rsidR="004F4CF7" w:rsidRPr="009E06FF">
        <w:rPr>
          <w:lang w:val="en-GB"/>
        </w:rPr>
        <w:t>people</w:t>
      </w:r>
      <w:r w:rsidR="005C3E23" w:rsidRPr="009E06FF">
        <w:rPr>
          <w:lang w:val="en-GB"/>
        </w:rPr>
        <w:t xml:space="preserve"> and that it can </w:t>
      </w:r>
      <w:r w:rsidR="00352E46" w:rsidRPr="009E06FF">
        <w:rPr>
          <w:lang w:val="en-GB"/>
        </w:rPr>
        <w:t xml:space="preserve">usually </w:t>
      </w:r>
      <w:r w:rsidR="000D7316" w:rsidRPr="009E06FF">
        <w:rPr>
          <w:lang w:val="en-GB"/>
        </w:rPr>
        <w:t xml:space="preserve">be </w:t>
      </w:r>
      <w:r w:rsidR="005C3E23" w:rsidRPr="009E06FF">
        <w:rPr>
          <w:lang w:val="en-GB"/>
        </w:rPr>
        <w:t xml:space="preserve">managed with </w:t>
      </w:r>
      <w:r w:rsidR="00785B0A" w:rsidRPr="009E06FF">
        <w:rPr>
          <w:lang w:val="en-GB"/>
        </w:rPr>
        <w:t>prophylaxis</w:t>
      </w:r>
      <w:r w:rsidR="005C3E23" w:rsidRPr="009E06FF">
        <w:rPr>
          <w:lang w:val="en-GB"/>
        </w:rPr>
        <w:t>.</w:t>
      </w:r>
      <w:r w:rsidR="009112EF" w:rsidRPr="009E06FF">
        <w:rPr>
          <w:lang w:val="en-GB"/>
        </w:rPr>
        <w:t xml:space="preserve"> </w:t>
      </w:r>
      <w:r w:rsidR="00785B0A" w:rsidRPr="009E06FF">
        <w:rPr>
          <w:lang w:val="en-GB"/>
        </w:rPr>
        <w:t>One</w:t>
      </w:r>
      <w:r w:rsidR="000D7316" w:rsidRPr="009E06FF">
        <w:rPr>
          <w:lang w:val="en-GB"/>
        </w:rPr>
        <w:t xml:space="preserve"> clinical</w:t>
      </w:r>
      <w:r w:rsidR="00785B0A" w:rsidRPr="009E06FF">
        <w:rPr>
          <w:lang w:val="en-GB"/>
        </w:rPr>
        <w:t xml:space="preserve"> expert </w:t>
      </w:r>
      <w:r w:rsidR="00A9135D" w:rsidRPr="009E06FF">
        <w:rPr>
          <w:lang w:val="en-GB"/>
        </w:rPr>
        <w:t>reported feedback from</w:t>
      </w:r>
      <w:r w:rsidR="00785B0A" w:rsidRPr="009E06FF">
        <w:rPr>
          <w:lang w:val="en-GB"/>
        </w:rPr>
        <w:t xml:space="preserve"> </w:t>
      </w:r>
      <w:r w:rsidR="000D7316" w:rsidRPr="009E06FF">
        <w:rPr>
          <w:lang w:val="en-GB"/>
        </w:rPr>
        <w:t>2</w:t>
      </w:r>
      <w:r w:rsidR="000D2941" w:rsidRPr="009E06FF">
        <w:rPr>
          <w:lang w:val="en-GB"/>
        </w:rPr>
        <w:t> </w:t>
      </w:r>
      <w:r w:rsidR="004F4CF7" w:rsidRPr="009E06FF">
        <w:rPr>
          <w:lang w:val="en-GB"/>
        </w:rPr>
        <w:t>people</w:t>
      </w:r>
      <w:r w:rsidR="00785B0A" w:rsidRPr="009E06FF">
        <w:rPr>
          <w:lang w:val="en-GB"/>
        </w:rPr>
        <w:t xml:space="preserve"> who were given neratinib. One </w:t>
      </w:r>
      <w:r w:rsidR="004F4CF7" w:rsidRPr="009E06FF">
        <w:rPr>
          <w:lang w:val="en-GB"/>
        </w:rPr>
        <w:t>person</w:t>
      </w:r>
      <w:r w:rsidR="00785B0A" w:rsidRPr="009E06FF">
        <w:rPr>
          <w:lang w:val="en-GB"/>
        </w:rPr>
        <w:t xml:space="preserve"> did not have any</w:t>
      </w:r>
      <w:r w:rsidR="00A9135D" w:rsidRPr="009E06FF">
        <w:rPr>
          <w:lang w:val="en-GB"/>
        </w:rPr>
        <w:t xml:space="preserve"> diarrhoea</w:t>
      </w:r>
      <w:r w:rsidR="00785B0A" w:rsidRPr="009E06FF">
        <w:rPr>
          <w:lang w:val="en-GB"/>
        </w:rPr>
        <w:t xml:space="preserve">, and the other </w:t>
      </w:r>
      <w:r w:rsidR="000D7316" w:rsidRPr="009E06FF">
        <w:rPr>
          <w:lang w:val="en-GB"/>
        </w:rPr>
        <w:t xml:space="preserve">had </w:t>
      </w:r>
      <w:r w:rsidR="00567462" w:rsidRPr="009E06FF">
        <w:rPr>
          <w:lang w:val="en-GB"/>
        </w:rPr>
        <w:t>severe</w:t>
      </w:r>
      <w:r w:rsidR="00785B0A" w:rsidRPr="009E06FF">
        <w:rPr>
          <w:lang w:val="en-GB"/>
        </w:rPr>
        <w:t xml:space="preserve"> symptoms. It took some time to adjust the diarrhoeal treatment for this </w:t>
      </w:r>
      <w:r w:rsidR="004F4CF7" w:rsidRPr="009E06FF">
        <w:rPr>
          <w:lang w:val="en-GB"/>
        </w:rPr>
        <w:t>person</w:t>
      </w:r>
      <w:r w:rsidR="00785B0A" w:rsidRPr="009E06FF">
        <w:rPr>
          <w:lang w:val="en-GB"/>
        </w:rPr>
        <w:t xml:space="preserve"> before the symptoms diminished, but the </w:t>
      </w:r>
      <w:r w:rsidR="004F4CF7" w:rsidRPr="009E06FF">
        <w:rPr>
          <w:lang w:val="en-GB"/>
        </w:rPr>
        <w:t>person</w:t>
      </w:r>
      <w:r w:rsidR="00785B0A" w:rsidRPr="009E06FF">
        <w:rPr>
          <w:lang w:val="en-GB"/>
        </w:rPr>
        <w:t xml:space="preserve"> wanted to continue taking neratinib. </w:t>
      </w:r>
      <w:r w:rsidR="009112EF" w:rsidRPr="009E06FF">
        <w:rPr>
          <w:lang w:val="en-GB"/>
        </w:rPr>
        <w:t xml:space="preserve">The committee agreed that diarrhoea toxicity is high in some </w:t>
      </w:r>
      <w:r w:rsidR="004F4CF7" w:rsidRPr="009E06FF">
        <w:rPr>
          <w:lang w:val="en-GB"/>
        </w:rPr>
        <w:t>people</w:t>
      </w:r>
      <w:r w:rsidR="009112EF" w:rsidRPr="009E06FF">
        <w:rPr>
          <w:lang w:val="en-GB"/>
        </w:rPr>
        <w:t xml:space="preserve"> but could be managed with prophylaxis and</w:t>
      </w:r>
      <w:r w:rsidRPr="009E06FF">
        <w:rPr>
          <w:lang w:val="en-GB"/>
        </w:rPr>
        <w:t xml:space="preserve"> diarrhoeal </w:t>
      </w:r>
      <w:r w:rsidR="009112EF" w:rsidRPr="009E06FF">
        <w:rPr>
          <w:lang w:val="en-GB"/>
        </w:rPr>
        <w:t>treatments.</w:t>
      </w:r>
    </w:p>
    <w:bookmarkEnd w:id="9"/>
    <w:p w14:paraId="1D0F689F" w14:textId="64539AD5" w:rsidR="00274FCF" w:rsidRPr="009E06FF" w:rsidRDefault="00274FCF" w:rsidP="001A4593">
      <w:pPr>
        <w:pStyle w:val="Heading2"/>
      </w:pPr>
      <w:r w:rsidRPr="009E06FF">
        <w:lastRenderedPageBreak/>
        <w:t>Invasive disease-free survival modelling</w:t>
      </w:r>
    </w:p>
    <w:p w14:paraId="063156E5" w14:textId="739E4010" w:rsidR="007F0731" w:rsidRPr="009E06FF" w:rsidRDefault="007F0731" w:rsidP="007F0731">
      <w:pPr>
        <w:pStyle w:val="Heading3"/>
      </w:pPr>
      <w:r w:rsidRPr="009E06FF">
        <w:t>The company’s use of general population mortality in the model is appropriate</w:t>
      </w:r>
    </w:p>
    <w:p w14:paraId="1358F8A7" w14:textId="30A2A906" w:rsidR="007A4C86" w:rsidRPr="009E06FF" w:rsidRDefault="000D7BBE" w:rsidP="007F0731">
      <w:pPr>
        <w:pStyle w:val="Numberedlevel2text"/>
        <w:rPr>
          <w:lang w:val="en-GB"/>
        </w:rPr>
      </w:pPr>
      <w:r w:rsidRPr="009E06FF">
        <w:rPr>
          <w:lang w:val="en-GB"/>
        </w:rPr>
        <w:t xml:space="preserve">The company developed a </w:t>
      </w:r>
      <w:r w:rsidR="000D7316" w:rsidRPr="009E06FF">
        <w:rPr>
          <w:lang w:val="en-GB"/>
        </w:rPr>
        <w:t>5</w:t>
      </w:r>
      <w:r w:rsidRPr="009E06FF">
        <w:rPr>
          <w:lang w:val="en-GB"/>
        </w:rPr>
        <w:t>-state Markov model to evaluate the cost</w:t>
      </w:r>
      <w:r w:rsidR="000C79E8" w:rsidRPr="009E06FF">
        <w:rPr>
          <w:lang w:val="en-GB"/>
        </w:rPr>
        <w:t xml:space="preserve"> </w:t>
      </w:r>
      <w:r w:rsidRPr="009E06FF">
        <w:rPr>
          <w:lang w:val="en-GB"/>
        </w:rPr>
        <w:t>effectiveness of neratinib (</w:t>
      </w:r>
      <w:r w:rsidR="000D7316" w:rsidRPr="009E06FF">
        <w:rPr>
          <w:lang w:val="en-GB"/>
        </w:rPr>
        <w:t xml:space="preserve">the states were: </w:t>
      </w:r>
      <w:r w:rsidR="00660508" w:rsidRPr="009E06FF">
        <w:rPr>
          <w:lang w:val="en-GB"/>
        </w:rPr>
        <w:t>invasive disease-free</w:t>
      </w:r>
      <w:r w:rsidRPr="009E06FF">
        <w:rPr>
          <w:lang w:val="en-GB"/>
        </w:rPr>
        <w:t xml:space="preserve">, local recurrence, remission, distant recurrence and dead). In the absence of </w:t>
      </w:r>
      <w:r w:rsidR="00660508" w:rsidRPr="009E06FF">
        <w:rPr>
          <w:lang w:val="en-GB"/>
        </w:rPr>
        <w:t xml:space="preserve">overall survival </w:t>
      </w:r>
      <w:r w:rsidRPr="009E06FF">
        <w:rPr>
          <w:lang w:val="en-GB"/>
        </w:rPr>
        <w:t xml:space="preserve">data, </w:t>
      </w:r>
      <w:r w:rsidR="00660508" w:rsidRPr="009E06FF">
        <w:rPr>
          <w:lang w:val="en-GB"/>
        </w:rPr>
        <w:t>invasive disease-free survival</w:t>
      </w:r>
      <w:r w:rsidRPr="009E06FF">
        <w:rPr>
          <w:lang w:val="en-GB"/>
        </w:rPr>
        <w:t xml:space="preserve"> in the label population of the ExteNET trial </w:t>
      </w:r>
      <w:r w:rsidR="000A4DC1" w:rsidRPr="009E06FF">
        <w:rPr>
          <w:lang w:val="en-GB"/>
        </w:rPr>
        <w:t>and a general population mortality rate was</w:t>
      </w:r>
      <w:r w:rsidRPr="009E06FF">
        <w:rPr>
          <w:lang w:val="en-GB"/>
        </w:rPr>
        <w:t xml:space="preserve"> used to estimate </w:t>
      </w:r>
      <w:r w:rsidR="00660508" w:rsidRPr="009E06FF">
        <w:rPr>
          <w:lang w:val="en-GB"/>
        </w:rPr>
        <w:t>overall survival</w:t>
      </w:r>
      <w:r w:rsidRPr="009E06FF">
        <w:rPr>
          <w:lang w:val="en-GB"/>
        </w:rPr>
        <w:t>.</w:t>
      </w:r>
      <w:r w:rsidR="000A4DC1" w:rsidRPr="009E06FF">
        <w:rPr>
          <w:lang w:val="en-GB"/>
        </w:rPr>
        <w:t xml:space="preserve"> </w:t>
      </w:r>
      <w:r w:rsidR="007A4C86" w:rsidRPr="009E06FF">
        <w:rPr>
          <w:lang w:val="en-GB"/>
        </w:rPr>
        <w:t xml:space="preserve">The ERG noted that death </w:t>
      </w:r>
      <w:r w:rsidR="000D7316" w:rsidRPr="009E06FF">
        <w:rPr>
          <w:lang w:val="en-GB"/>
        </w:rPr>
        <w:t>from</w:t>
      </w:r>
      <w:r w:rsidR="007A4C86" w:rsidRPr="009E06FF">
        <w:rPr>
          <w:lang w:val="en-GB"/>
        </w:rPr>
        <w:t xml:space="preserve"> breast cancer is only possible from the distant recurrence health state</w:t>
      </w:r>
      <w:r w:rsidR="000D7316" w:rsidRPr="009E06FF">
        <w:rPr>
          <w:lang w:val="en-GB"/>
        </w:rPr>
        <w:t>.</w:t>
      </w:r>
      <w:r w:rsidR="007A4C86" w:rsidRPr="009E06FF">
        <w:rPr>
          <w:lang w:val="en-GB"/>
        </w:rPr>
        <w:t xml:space="preserve"> </w:t>
      </w:r>
      <w:r w:rsidR="000D7316" w:rsidRPr="009E06FF">
        <w:rPr>
          <w:lang w:val="en-GB"/>
        </w:rPr>
        <w:t>M</w:t>
      </w:r>
      <w:r w:rsidR="007A4C86" w:rsidRPr="009E06FF">
        <w:rPr>
          <w:lang w:val="en-GB"/>
        </w:rPr>
        <w:t>ortality risk for all other health states (</w:t>
      </w:r>
      <w:r w:rsidR="00660508" w:rsidRPr="009E06FF">
        <w:rPr>
          <w:lang w:val="en-GB"/>
        </w:rPr>
        <w:t>invasive disease-free</w:t>
      </w:r>
      <w:r w:rsidR="007A4C86" w:rsidRPr="009E06FF">
        <w:rPr>
          <w:lang w:val="en-GB"/>
        </w:rPr>
        <w:t xml:space="preserve">, local recurrence </w:t>
      </w:r>
      <w:r w:rsidR="000D7316" w:rsidRPr="009E06FF">
        <w:rPr>
          <w:lang w:val="en-GB"/>
        </w:rPr>
        <w:t>and</w:t>
      </w:r>
      <w:r w:rsidR="007A4C86" w:rsidRPr="009E06FF">
        <w:rPr>
          <w:lang w:val="en-GB"/>
        </w:rPr>
        <w:t xml:space="preserve"> remission) is based on general population mortality</w:t>
      </w:r>
      <w:r w:rsidR="000D7316" w:rsidRPr="009E06FF">
        <w:rPr>
          <w:lang w:val="en-GB"/>
        </w:rPr>
        <w:t xml:space="preserve">. The ERG said </w:t>
      </w:r>
      <w:r w:rsidR="007A4C86" w:rsidRPr="009E06FF">
        <w:rPr>
          <w:lang w:val="en-GB"/>
        </w:rPr>
        <w:t xml:space="preserve">that this assumption could underestimate the cost-effectiveness results. The company explained that patients are most likely to move into the distant recurrence health state first and that no patients in ExteNET </w:t>
      </w:r>
      <w:r w:rsidR="006C338D" w:rsidRPr="009E06FF">
        <w:rPr>
          <w:lang w:val="en-GB"/>
        </w:rPr>
        <w:t>died</w:t>
      </w:r>
      <w:r w:rsidR="007A4C86" w:rsidRPr="009E06FF">
        <w:rPr>
          <w:lang w:val="en-GB"/>
        </w:rPr>
        <w:t xml:space="preserve"> from breast cancer without first experiencing a distant recurrence.</w:t>
      </w:r>
      <w:r w:rsidR="004A3C95" w:rsidRPr="009E06FF">
        <w:rPr>
          <w:lang w:val="en-GB"/>
        </w:rPr>
        <w:t xml:space="preserve"> The clinical experts and the ERG agreed that this was a reasonable assumption.</w:t>
      </w:r>
      <w:r w:rsidR="00B20A1A" w:rsidRPr="009E06FF">
        <w:rPr>
          <w:lang w:val="en-GB"/>
        </w:rPr>
        <w:t xml:space="preserve"> </w:t>
      </w:r>
      <w:r w:rsidR="007A4C86" w:rsidRPr="009E06FF">
        <w:rPr>
          <w:lang w:val="en-GB"/>
        </w:rPr>
        <w:t>The committee was satisfied that the use of the general mortality in the model was appropriate</w:t>
      </w:r>
      <w:r w:rsidR="00251471" w:rsidRPr="009E06FF">
        <w:rPr>
          <w:lang w:val="en-GB"/>
        </w:rPr>
        <w:t>.</w:t>
      </w:r>
    </w:p>
    <w:p w14:paraId="50AFD75E" w14:textId="441B7DED" w:rsidR="00F17F90" w:rsidRPr="009E06FF" w:rsidRDefault="00F17F90" w:rsidP="00086280">
      <w:pPr>
        <w:pStyle w:val="Heading3"/>
      </w:pPr>
      <w:r w:rsidRPr="009E06FF">
        <w:t>It is unclear which approach to invasive disease-free survival modelling is the most appropriate</w:t>
      </w:r>
    </w:p>
    <w:p w14:paraId="10179780" w14:textId="6B181F28" w:rsidR="000A4DC1" w:rsidRPr="009E06FF" w:rsidRDefault="00DF6FE1" w:rsidP="0096509C">
      <w:pPr>
        <w:pStyle w:val="Numberedlevel2text"/>
        <w:rPr>
          <w:lang w:val="en-GB"/>
        </w:rPr>
      </w:pPr>
      <w:r w:rsidRPr="009E06FF">
        <w:rPr>
          <w:lang w:val="en-GB"/>
        </w:rPr>
        <w:t>The company investigated whether neratinib’s treatment effect could be modelled assuming proportional hazards between the neratinib and placebo arms of the trial. It concluded that it could</w:t>
      </w:r>
      <w:r w:rsidR="003C3A64" w:rsidRPr="009E06FF">
        <w:rPr>
          <w:lang w:val="en-GB"/>
        </w:rPr>
        <w:t>,</w:t>
      </w:r>
      <w:r w:rsidRPr="009E06FF">
        <w:rPr>
          <w:lang w:val="en-GB"/>
        </w:rPr>
        <w:t xml:space="preserve"> and</w:t>
      </w:r>
      <w:r w:rsidR="00246C15" w:rsidRPr="009E06FF">
        <w:rPr>
          <w:lang w:val="en-GB"/>
        </w:rPr>
        <w:t xml:space="preserve"> </w:t>
      </w:r>
      <w:r w:rsidRPr="009E06FF">
        <w:rPr>
          <w:lang w:val="en-GB"/>
        </w:rPr>
        <w:t>i</w:t>
      </w:r>
      <w:r w:rsidR="00660508" w:rsidRPr="009E06FF">
        <w:rPr>
          <w:lang w:val="en-GB"/>
        </w:rPr>
        <w:t>nvasive disease-free survival</w:t>
      </w:r>
      <w:r w:rsidR="00246C15" w:rsidRPr="009E06FF">
        <w:rPr>
          <w:lang w:val="en-GB"/>
        </w:rPr>
        <w:t xml:space="preserve"> data in the label population were pooled and modelled together with a treatment effect as a covariate. The company chose a flexible-spline Weibull with 1 knot to model </w:t>
      </w:r>
      <w:r w:rsidR="00660508" w:rsidRPr="009E06FF">
        <w:rPr>
          <w:lang w:val="en-GB"/>
        </w:rPr>
        <w:t>invasive disease-free survival</w:t>
      </w:r>
      <w:r w:rsidR="00246C15" w:rsidRPr="009E06FF">
        <w:rPr>
          <w:lang w:val="en-GB"/>
        </w:rPr>
        <w:t xml:space="preserve">. </w:t>
      </w:r>
      <w:r w:rsidR="000A4DC1" w:rsidRPr="009E06FF">
        <w:rPr>
          <w:lang w:val="en-GB"/>
        </w:rPr>
        <w:t>The ERG explained that the assumption of proportional hazards</w:t>
      </w:r>
      <w:r w:rsidR="00E65398" w:rsidRPr="009E06FF">
        <w:rPr>
          <w:lang w:val="en-GB"/>
        </w:rPr>
        <w:t xml:space="preserve"> is uncertain because</w:t>
      </w:r>
      <w:r w:rsidR="000A4DC1" w:rsidRPr="009E06FF">
        <w:rPr>
          <w:lang w:val="en-GB"/>
        </w:rPr>
        <w:t xml:space="preserve"> some </w:t>
      </w:r>
      <w:r w:rsidR="00503A43" w:rsidRPr="009E06FF">
        <w:rPr>
          <w:lang w:val="en-GB"/>
        </w:rPr>
        <w:t xml:space="preserve">of </w:t>
      </w:r>
      <w:r w:rsidR="000A4DC1" w:rsidRPr="009E06FF">
        <w:rPr>
          <w:lang w:val="en-GB"/>
        </w:rPr>
        <w:t xml:space="preserve">the analyses provided by the company suggested that </w:t>
      </w:r>
      <w:r w:rsidR="00E65398" w:rsidRPr="009E06FF">
        <w:rPr>
          <w:lang w:val="en-GB"/>
        </w:rPr>
        <w:t xml:space="preserve">it is </w:t>
      </w:r>
      <w:r w:rsidR="000A4DC1" w:rsidRPr="009E06FF">
        <w:rPr>
          <w:lang w:val="en-GB"/>
        </w:rPr>
        <w:t xml:space="preserve">not valid. The ERG assessed an overall-goodness-of-fit of </w:t>
      </w:r>
      <w:r w:rsidR="00E21202" w:rsidRPr="009E06FF">
        <w:rPr>
          <w:lang w:val="en-GB"/>
        </w:rPr>
        <w:t xml:space="preserve">the </w:t>
      </w:r>
      <w:r w:rsidR="000A4DC1" w:rsidRPr="009E06FF">
        <w:rPr>
          <w:lang w:val="en-GB"/>
        </w:rPr>
        <w:t>models considered by the company</w:t>
      </w:r>
      <w:r w:rsidR="00E21202" w:rsidRPr="009E06FF">
        <w:rPr>
          <w:lang w:val="en-GB"/>
        </w:rPr>
        <w:t>,</w:t>
      </w:r>
      <w:r w:rsidR="000A4DC1" w:rsidRPr="009E06FF">
        <w:rPr>
          <w:lang w:val="en-GB"/>
        </w:rPr>
        <w:t xml:space="preserve"> and stratified models for which the proportional hazard assumption is not needed. </w:t>
      </w:r>
      <w:r w:rsidR="00212281" w:rsidRPr="009E06FF">
        <w:rPr>
          <w:lang w:val="en-GB"/>
        </w:rPr>
        <w:t xml:space="preserve">It </w:t>
      </w:r>
      <w:r w:rsidR="000A4DC1" w:rsidRPr="009E06FF">
        <w:rPr>
          <w:lang w:val="en-GB"/>
        </w:rPr>
        <w:t xml:space="preserve">found that the </w:t>
      </w:r>
      <w:r w:rsidR="000A4DC1" w:rsidRPr="009E06FF">
        <w:rPr>
          <w:lang w:val="en-GB"/>
        </w:rPr>
        <w:lastRenderedPageBreak/>
        <w:t>stratified generalised gamma</w:t>
      </w:r>
      <w:r w:rsidR="000155D2" w:rsidRPr="009E06FF">
        <w:rPr>
          <w:lang w:val="en-GB"/>
        </w:rPr>
        <w:t xml:space="preserve"> model</w:t>
      </w:r>
      <w:r w:rsidR="000A4DC1" w:rsidRPr="009E06FF">
        <w:rPr>
          <w:lang w:val="en-GB"/>
        </w:rPr>
        <w:t xml:space="preserve"> provided the best overall fit for the </w:t>
      </w:r>
      <w:r w:rsidR="00660508" w:rsidRPr="009E06FF">
        <w:rPr>
          <w:lang w:val="en-GB"/>
        </w:rPr>
        <w:t>invasive disease-free survival</w:t>
      </w:r>
      <w:r w:rsidR="000A4DC1" w:rsidRPr="009E06FF">
        <w:rPr>
          <w:lang w:val="en-GB"/>
        </w:rPr>
        <w:t xml:space="preserve"> data and included this model in its preferred base</w:t>
      </w:r>
      <w:r w:rsidR="00E21202" w:rsidRPr="009E06FF">
        <w:rPr>
          <w:lang w:val="en-GB"/>
        </w:rPr>
        <w:t xml:space="preserve"> </w:t>
      </w:r>
      <w:r w:rsidR="000A4DC1" w:rsidRPr="009E06FF">
        <w:rPr>
          <w:lang w:val="en-GB"/>
        </w:rPr>
        <w:t xml:space="preserve">case. </w:t>
      </w:r>
      <w:r w:rsidR="00246C15" w:rsidRPr="009E06FF">
        <w:rPr>
          <w:lang w:val="en-GB"/>
        </w:rPr>
        <w:t xml:space="preserve">In response to technical engagement the company considered the ERG’s model to be a conservative approach </w:t>
      </w:r>
      <w:r w:rsidR="00567462" w:rsidRPr="009E06FF">
        <w:rPr>
          <w:lang w:val="en-GB"/>
        </w:rPr>
        <w:t xml:space="preserve">resulting in </w:t>
      </w:r>
      <w:r w:rsidRPr="009E06FF">
        <w:rPr>
          <w:lang w:val="en-GB"/>
        </w:rPr>
        <w:t>cost-effectiveness results</w:t>
      </w:r>
      <w:r w:rsidR="00567462" w:rsidRPr="009E06FF">
        <w:rPr>
          <w:lang w:val="en-GB"/>
        </w:rPr>
        <w:t xml:space="preserve"> that are at the high end of the most plausible range</w:t>
      </w:r>
      <w:r w:rsidR="00246C15" w:rsidRPr="009E06FF">
        <w:rPr>
          <w:lang w:val="en-GB"/>
        </w:rPr>
        <w:t>.</w:t>
      </w:r>
      <w:r w:rsidR="00246C15" w:rsidRPr="009E06FF" w:rsidDel="00246C15">
        <w:rPr>
          <w:lang w:val="en-GB"/>
        </w:rPr>
        <w:t xml:space="preserve"> </w:t>
      </w:r>
      <w:r w:rsidR="009B5287" w:rsidRPr="009E06FF">
        <w:rPr>
          <w:lang w:val="en-GB"/>
        </w:rPr>
        <w:t>The clinical experts considered both extrapolation</w:t>
      </w:r>
      <w:r w:rsidR="009D5A82" w:rsidRPr="009E06FF">
        <w:rPr>
          <w:lang w:val="en-GB"/>
        </w:rPr>
        <w:t>s</w:t>
      </w:r>
      <w:r w:rsidR="009B5287" w:rsidRPr="009E06FF">
        <w:rPr>
          <w:lang w:val="en-GB"/>
        </w:rPr>
        <w:t xml:space="preserve"> plausible, however they noted </w:t>
      </w:r>
      <w:r w:rsidR="00F812B6" w:rsidRPr="009E06FF">
        <w:rPr>
          <w:lang w:val="en-GB"/>
        </w:rPr>
        <w:t xml:space="preserve">that </w:t>
      </w:r>
      <w:r w:rsidR="009B5287" w:rsidRPr="009E06FF">
        <w:rPr>
          <w:lang w:val="en-GB"/>
        </w:rPr>
        <w:t xml:space="preserve">the extrapolations are difficult to judge </w:t>
      </w:r>
      <w:r w:rsidR="0045772F" w:rsidRPr="009E06FF">
        <w:rPr>
          <w:lang w:val="en-GB"/>
        </w:rPr>
        <w:t xml:space="preserve">because </w:t>
      </w:r>
      <w:r w:rsidR="009B5287" w:rsidRPr="009E06FF">
        <w:rPr>
          <w:lang w:val="en-GB"/>
        </w:rPr>
        <w:t>5</w:t>
      </w:r>
      <w:r w:rsidR="000667AE">
        <w:rPr>
          <w:lang w:val="en-GB"/>
        </w:rPr>
        <w:noBreakHyphen/>
      </w:r>
      <w:r w:rsidR="009B5287" w:rsidRPr="009E06FF">
        <w:rPr>
          <w:lang w:val="en-GB"/>
        </w:rPr>
        <w:t>year</w:t>
      </w:r>
      <w:r w:rsidR="00E21202" w:rsidRPr="009E06FF">
        <w:rPr>
          <w:lang w:val="en-GB"/>
        </w:rPr>
        <w:t xml:space="preserve"> </w:t>
      </w:r>
      <w:r w:rsidR="009B5287" w:rsidRPr="009E06FF">
        <w:rPr>
          <w:lang w:val="en-GB"/>
        </w:rPr>
        <w:t>follow</w:t>
      </w:r>
      <w:r w:rsidR="00E21202" w:rsidRPr="009E06FF">
        <w:rPr>
          <w:lang w:val="en-GB"/>
        </w:rPr>
        <w:t>-</w:t>
      </w:r>
      <w:r w:rsidR="009B5287" w:rsidRPr="009E06FF">
        <w:rPr>
          <w:lang w:val="en-GB"/>
        </w:rPr>
        <w:t>up data from ExteNET is extrapolated for the next 50</w:t>
      </w:r>
      <w:r w:rsidR="000667AE">
        <w:rPr>
          <w:lang w:val="en-GB"/>
        </w:rPr>
        <w:t> </w:t>
      </w:r>
      <w:r w:rsidR="009B5287" w:rsidRPr="009E06FF">
        <w:rPr>
          <w:lang w:val="en-GB"/>
        </w:rPr>
        <w:t>years.</w:t>
      </w:r>
      <w:r w:rsidR="00B91635" w:rsidRPr="009E06FF">
        <w:rPr>
          <w:lang w:val="en-GB"/>
        </w:rPr>
        <w:t xml:space="preserve"> The committee agreed that </w:t>
      </w:r>
      <w:r w:rsidR="00567462" w:rsidRPr="009E06FF">
        <w:rPr>
          <w:lang w:val="en-GB"/>
        </w:rPr>
        <w:t xml:space="preserve">the </w:t>
      </w:r>
      <w:r w:rsidR="00B91635" w:rsidRPr="009E06FF">
        <w:rPr>
          <w:lang w:val="en-GB"/>
        </w:rPr>
        <w:t xml:space="preserve">proportional hazards </w:t>
      </w:r>
      <w:r w:rsidR="00E21202" w:rsidRPr="009E06FF">
        <w:rPr>
          <w:lang w:val="en-GB"/>
        </w:rPr>
        <w:t xml:space="preserve">assumption </w:t>
      </w:r>
      <w:r w:rsidR="00567462" w:rsidRPr="009E06FF">
        <w:rPr>
          <w:lang w:val="en-GB"/>
        </w:rPr>
        <w:t xml:space="preserve">was </w:t>
      </w:r>
      <w:r w:rsidR="00B91635" w:rsidRPr="009E06FF">
        <w:rPr>
          <w:lang w:val="en-GB"/>
        </w:rPr>
        <w:t xml:space="preserve">met for the duration of the trial but </w:t>
      </w:r>
      <w:r w:rsidR="00567462" w:rsidRPr="009E06FF">
        <w:rPr>
          <w:lang w:val="en-GB"/>
        </w:rPr>
        <w:t xml:space="preserve">not </w:t>
      </w:r>
      <w:r w:rsidR="00B91635" w:rsidRPr="009E06FF">
        <w:rPr>
          <w:lang w:val="en-GB"/>
        </w:rPr>
        <w:t>for the extrapolation put forward by the company.</w:t>
      </w:r>
      <w:r w:rsidR="009B5287" w:rsidRPr="009E06FF">
        <w:rPr>
          <w:lang w:val="en-GB"/>
        </w:rPr>
        <w:t xml:space="preserve"> </w:t>
      </w:r>
      <w:r w:rsidR="006455D9" w:rsidRPr="009E06FF">
        <w:rPr>
          <w:lang w:val="en-GB"/>
        </w:rPr>
        <w:t xml:space="preserve">The committee concluded that </w:t>
      </w:r>
      <w:bookmarkStart w:id="10" w:name="_Hlk14943810"/>
      <w:r w:rsidR="006455D9" w:rsidRPr="009E06FF">
        <w:rPr>
          <w:lang w:val="en-GB"/>
        </w:rPr>
        <w:t>it is unclear wh</w:t>
      </w:r>
      <w:r w:rsidR="00B91635" w:rsidRPr="009E06FF">
        <w:rPr>
          <w:lang w:val="en-GB"/>
        </w:rPr>
        <w:t>ich</w:t>
      </w:r>
      <w:r w:rsidR="006455D9" w:rsidRPr="009E06FF">
        <w:rPr>
          <w:lang w:val="en-GB"/>
        </w:rPr>
        <w:t xml:space="preserve"> approach to </w:t>
      </w:r>
      <w:r w:rsidR="00660508" w:rsidRPr="009E06FF">
        <w:rPr>
          <w:lang w:val="en-GB"/>
        </w:rPr>
        <w:t>invasive disease-free survival</w:t>
      </w:r>
      <w:r w:rsidR="006455D9" w:rsidRPr="009E06FF">
        <w:rPr>
          <w:lang w:val="en-GB"/>
        </w:rPr>
        <w:t xml:space="preserve"> modelling is the most appropriate</w:t>
      </w:r>
      <w:r w:rsidR="00B91635" w:rsidRPr="009E06FF">
        <w:rPr>
          <w:lang w:val="en-GB"/>
        </w:rPr>
        <w:t xml:space="preserve"> </w:t>
      </w:r>
      <w:bookmarkEnd w:id="10"/>
      <w:r w:rsidR="00B91635" w:rsidRPr="009E06FF">
        <w:rPr>
          <w:lang w:val="en-GB"/>
        </w:rPr>
        <w:t xml:space="preserve">and </w:t>
      </w:r>
      <w:r w:rsidR="002C5694" w:rsidRPr="009E06FF">
        <w:rPr>
          <w:lang w:val="en-GB"/>
        </w:rPr>
        <w:t>that both approaches could be plausible</w:t>
      </w:r>
      <w:r w:rsidR="007A4C86" w:rsidRPr="009E06FF">
        <w:rPr>
          <w:lang w:val="en-GB"/>
        </w:rPr>
        <w:t>.</w:t>
      </w:r>
    </w:p>
    <w:p w14:paraId="663D4796" w14:textId="17703945" w:rsidR="00274FCF" w:rsidRPr="009E06FF" w:rsidRDefault="00274FCF" w:rsidP="007F0731">
      <w:pPr>
        <w:pStyle w:val="Heading2"/>
      </w:pPr>
      <w:r w:rsidRPr="009E06FF">
        <w:t>Duration and type of treatment effect</w:t>
      </w:r>
    </w:p>
    <w:p w14:paraId="1EE0B7EF" w14:textId="401FDF87" w:rsidR="00274FCF" w:rsidRPr="009E06FF" w:rsidRDefault="00274FCF" w:rsidP="007F0731">
      <w:pPr>
        <w:pStyle w:val="Heading3"/>
      </w:pPr>
      <w:r w:rsidRPr="009E06FF">
        <w:t>The ERG’s approach is appropriate</w:t>
      </w:r>
    </w:p>
    <w:p w14:paraId="20312D46" w14:textId="27B4F795" w:rsidR="00E07D53" w:rsidRPr="009E06FF" w:rsidRDefault="006C338D" w:rsidP="00E07D53">
      <w:pPr>
        <w:pStyle w:val="Numberedlevel2text"/>
        <w:rPr>
          <w:lang w:val="en-GB"/>
        </w:rPr>
      </w:pPr>
      <w:r w:rsidRPr="009E06FF">
        <w:rPr>
          <w:lang w:val="en-GB"/>
        </w:rPr>
        <w:t xml:space="preserve">The company assumed that the treatment effect observed </w:t>
      </w:r>
      <w:r w:rsidR="0045772F" w:rsidRPr="009E06FF">
        <w:rPr>
          <w:lang w:val="en-GB"/>
        </w:rPr>
        <w:t xml:space="preserve">in </w:t>
      </w:r>
      <w:r w:rsidRPr="009E06FF">
        <w:rPr>
          <w:lang w:val="en-GB"/>
        </w:rPr>
        <w:t xml:space="preserve">ExteNET would </w:t>
      </w:r>
      <w:r w:rsidR="002A60F6" w:rsidRPr="009E06FF">
        <w:rPr>
          <w:lang w:val="en-GB"/>
        </w:rPr>
        <w:t>last</w:t>
      </w:r>
      <w:r w:rsidRPr="009E06FF">
        <w:rPr>
          <w:lang w:val="en-GB"/>
        </w:rPr>
        <w:t xml:space="preserve"> beyond the trial time horizon</w:t>
      </w:r>
      <w:r w:rsidR="00E2783B" w:rsidRPr="009E06FF">
        <w:rPr>
          <w:lang w:val="en-GB"/>
        </w:rPr>
        <w:t xml:space="preserve"> until patients had </w:t>
      </w:r>
      <w:r w:rsidR="00567462" w:rsidRPr="009E06FF">
        <w:rPr>
          <w:lang w:val="en-GB"/>
        </w:rPr>
        <w:t xml:space="preserve">a </w:t>
      </w:r>
      <w:r w:rsidR="00E2783B" w:rsidRPr="009E06FF">
        <w:rPr>
          <w:lang w:val="en-GB"/>
        </w:rPr>
        <w:t xml:space="preserve">risk of </w:t>
      </w:r>
      <w:r w:rsidR="00660508" w:rsidRPr="009E06FF">
        <w:rPr>
          <w:lang w:val="en-GB"/>
        </w:rPr>
        <w:t>invasive disease-free survival</w:t>
      </w:r>
      <w:r w:rsidR="00E2783B" w:rsidRPr="009E06FF">
        <w:rPr>
          <w:lang w:val="en-GB"/>
        </w:rPr>
        <w:t xml:space="preserve"> </w:t>
      </w:r>
      <w:r w:rsidR="00567462" w:rsidRPr="009E06FF">
        <w:rPr>
          <w:lang w:val="en-GB"/>
        </w:rPr>
        <w:t xml:space="preserve">equal to </w:t>
      </w:r>
      <w:r w:rsidR="002309F2" w:rsidRPr="009E06FF">
        <w:rPr>
          <w:lang w:val="en-GB"/>
        </w:rPr>
        <w:t xml:space="preserve">the mortality rate </w:t>
      </w:r>
      <w:r w:rsidR="00567462" w:rsidRPr="009E06FF">
        <w:rPr>
          <w:lang w:val="en-GB"/>
        </w:rPr>
        <w:t xml:space="preserve">in </w:t>
      </w:r>
      <w:r w:rsidR="00E2783B" w:rsidRPr="009E06FF">
        <w:rPr>
          <w:lang w:val="en-GB"/>
        </w:rPr>
        <w:t>the general population</w:t>
      </w:r>
      <w:r w:rsidRPr="009E06FF">
        <w:rPr>
          <w:lang w:val="en-GB"/>
        </w:rPr>
        <w:t xml:space="preserve">. </w:t>
      </w:r>
      <w:r w:rsidR="002A60F6" w:rsidRPr="009E06FF">
        <w:rPr>
          <w:lang w:val="en-GB"/>
        </w:rPr>
        <w:t xml:space="preserve">The duration of the treatment effect depends on the </w:t>
      </w:r>
      <w:r w:rsidR="00E07D53" w:rsidRPr="009E06FF">
        <w:rPr>
          <w:lang w:val="en-GB"/>
        </w:rPr>
        <w:t xml:space="preserve">curve </w:t>
      </w:r>
      <w:r w:rsidR="002A60F6" w:rsidRPr="009E06FF">
        <w:rPr>
          <w:lang w:val="en-GB"/>
        </w:rPr>
        <w:t xml:space="preserve">used to model </w:t>
      </w:r>
      <w:r w:rsidR="00660508" w:rsidRPr="009E06FF">
        <w:rPr>
          <w:lang w:val="en-GB"/>
        </w:rPr>
        <w:t>invasive disease-free survival</w:t>
      </w:r>
      <w:r w:rsidR="002A60F6" w:rsidRPr="009E06FF">
        <w:rPr>
          <w:lang w:val="en-GB"/>
        </w:rPr>
        <w:t xml:space="preserve"> and general population mortality. The company assumed a continued effect and applied t</w:t>
      </w:r>
      <w:r w:rsidRPr="009E06FF">
        <w:rPr>
          <w:lang w:val="en-GB"/>
        </w:rPr>
        <w:t xml:space="preserve">he </w:t>
      </w:r>
      <w:bookmarkStart w:id="11" w:name="_Hlk14352340"/>
      <w:r w:rsidR="00660508" w:rsidRPr="009E06FF">
        <w:rPr>
          <w:lang w:val="en-GB"/>
        </w:rPr>
        <w:t>invasive disease-free survival</w:t>
      </w:r>
      <w:r w:rsidRPr="009E06FF">
        <w:rPr>
          <w:lang w:val="en-GB"/>
        </w:rPr>
        <w:t xml:space="preserve"> 5-year hazard ratio from the ExteNET label population of 0.58 (95% </w:t>
      </w:r>
      <w:r w:rsidR="000155D2" w:rsidRPr="009E06FF">
        <w:rPr>
          <w:lang w:val="en-GB"/>
        </w:rPr>
        <w:t>CI</w:t>
      </w:r>
      <w:r w:rsidRPr="009E06FF">
        <w:rPr>
          <w:lang w:val="en-GB"/>
        </w:rPr>
        <w:t xml:space="preserve"> 0.41 to 0.82) </w:t>
      </w:r>
      <w:bookmarkEnd w:id="11"/>
      <w:r w:rsidRPr="009E06FF">
        <w:rPr>
          <w:lang w:val="en-GB"/>
        </w:rPr>
        <w:t xml:space="preserve">from </w:t>
      </w:r>
      <w:r w:rsidR="00E2783B" w:rsidRPr="009E06FF">
        <w:rPr>
          <w:lang w:val="en-GB"/>
        </w:rPr>
        <w:t>month 6</w:t>
      </w:r>
      <w:r w:rsidR="00102BC5" w:rsidRPr="009E06FF">
        <w:rPr>
          <w:lang w:val="en-GB"/>
        </w:rPr>
        <w:t>2.98</w:t>
      </w:r>
      <w:r w:rsidR="00E2783B" w:rsidRPr="009E06FF">
        <w:rPr>
          <w:lang w:val="en-GB"/>
        </w:rPr>
        <w:t xml:space="preserve"> </w:t>
      </w:r>
      <w:r w:rsidRPr="009E06FF">
        <w:rPr>
          <w:lang w:val="en-GB"/>
        </w:rPr>
        <w:t>(</w:t>
      </w:r>
      <w:r w:rsidR="00E2783B" w:rsidRPr="009E06FF">
        <w:rPr>
          <w:lang w:val="en-GB"/>
        </w:rPr>
        <w:t xml:space="preserve">as </w:t>
      </w:r>
      <w:r w:rsidRPr="009E06FF">
        <w:rPr>
          <w:lang w:val="en-GB"/>
        </w:rPr>
        <w:t xml:space="preserve">observed </w:t>
      </w:r>
      <w:r w:rsidR="0045772F" w:rsidRPr="009E06FF">
        <w:rPr>
          <w:lang w:val="en-GB"/>
        </w:rPr>
        <w:t>4</w:t>
      </w:r>
      <w:r w:rsidR="000667AE">
        <w:rPr>
          <w:lang w:val="en-GB"/>
        </w:rPr>
        <w:t> </w:t>
      </w:r>
      <w:r w:rsidRPr="009E06FF">
        <w:rPr>
          <w:lang w:val="en-GB"/>
        </w:rPr>
        <w:t xml:space="preserve">years after </w:t>
      </w:r>
      <w:r w:rsidR="0045772F" w:rsidRPr="009E06FF">
        <w:rPr>
          <w:lang w:val="en-GB"/>
        </w:rPr>
        <w:t>1</w:t>
      </w:r>
      <w:r w:rsidR="000667AE">
        <w:rPr>
          <w:lang w:val="en-GB"/>
        </w:rPr>
        <w:t> </w:t>
      </w:r>
      <w:r w:rsidRPr="009E06FF">
        <w:rPr>
          <w:lang w:val="en-GB"/>
        </w:rPr>
        <w:t xml:space="preserve">year of treatment with neratinib) to </w:t>
      </w:r>
      <w:r w:rsidR="00E2783B" w:rsidRPr="009E06FF">
        <w:rPr>
          <w:lang w:val="en-GB"/>
        </w:rPr>
        <w:t>month</w:t>
      </w:r>
      <w:r w:rsidR="00102BC5" w:rsidRPr="009E06FF">
        <w:rPr>
          <w:lang w:val="en-GB"/>
        </w:rPr>
        <w:t xml:space="preserve"> </w:t>
      </w:r>
      <w:r w:rsidRPr="009E06FF">
        <w:rPr>
          <w:lang w:val="en-GB"/>
        </w:rPr>
        <w:t>129</w:t>
      </w:r>
      <w:r w:rsidR="00E2783B" w:rsidRPr="009E06FF">
        <w:rPr>
          <w:lang w:val="en-GB"/>
        </w:rPr>
        <w:t xml:space="preserve"> (when neratinib and general population mortality hazards are the same)</w:t>
      </w:r>
      <w:r w:rsidR="002A60F6" w:rsidRPr="009E06FF">
        <w:rPr>
          <w:lang w:val="en-GB"/>
        </w:rPr>
        <w:t xml:space="preserve">. This </w:t>
      </w:r>
      <w:r w:rsidR="00E07D53" w:rsidRPr="009E06FF">
        <w:rPr>
          <w:lang w:val="en-GB"/>
        </w:rPr>
        <w:t xml:space="preserve">continued effect </w:t>
      </w:r>
      <w:r w:rsidR="002A60F6" w:rsidRPr="009E06FF">
        <w:rPr>
          <w:lang w:val="en-GB"/>
        </w:rPr>
        <w:t>is</w:t>
      </w:r>
      <w:r w:rsidR="00E2783B" w:rsidRPr="009E06FF">
        <w:rPr>
          <w:lang w:val="en-GB"/>
        </w:rPr>
        <w:t xml:space="preserve"> </w:t>
      </w:r>
      <w:r w:rsidRPr="009E06FF">
        <w:rPr>
          <w:lang w:val="en-GB"/>
        </w:rPr>
        <w:t>followed with a</w:t>
      </w:r>
      <w:r w:rsidR="002A60F6" w:rsidRPr="009E06FF">
        <w:rPr>
          <w:lang w:val="en-GB"/>
        </w:rPr>
        <w:t>n</w:t>
      </w:r>
      <w:r w:rsidR="00E2783B" w:rsidRPr="009E06FF">
        <w:rPr>
          <w:lang w:val="en-GB"/>
        </w:rPr>
        <w:t xml:space="preserve"> </w:t>
      </w:r>
      <w:r w:rsidR="00102BC5" w:rsidRPr="009E06FF">
        <w:rPr>
          <w:lang w:val="en-GB"/>
        </w:rPr>
        <w:t xml:space="preserve">implicit </w:t>
      </w:r>
      <w:r w:rsidRPr="009E06FF">
        <w:rPr>
          <w:lang w:val="en-GB"/>
        </w:rPr>
        <w:t>taper period until mo</w:t>
      </w:r>
      <w:r w:rsidR="00E07D53" w:rsidRPr="009E06FF">
        <w:rPr>
          <w:lang w:val="en-GB"/>
        </w:rPr>
        <w:t>n</w:t>
      </w:r>
      <w:r w:rsidRPr="009E06FF">
        <w:rPr>
          <w:lang w:val="en-GB"/>
        </w:rPr>
        <w:t xml:space="preserve">th 176 </w:t>
      </w:r>
      <w:r w:rsidR="00E2783B" w:rsidRPr="009E06FF">
        <w:rPr>
          <w:lang w:val="en-GB"/>
        </w:rPr>
        <w:t>(</w:t>
      </w:r>
      <w:r w:rsidRPr="009E06FF">
        <w:rPr>
          <w:lang w:val="en-GB"/>
        </w:rPr>
        <w:t>when placebo and general population mortality hazards are the same</w:t>
      </w:r>
      <w:r w:rsidR="00E2783B" w:rsidRPr="009E06FF">
        <w:rPr>
          <w:lang w:val="en-GB"/>
        </w:rPr>
        <w:t>)</w:t>
      </w:r>
      <w:r w:rsidRPr="009E06FF">
        <w:rPr>
          <w:lang w:val="en-GB"/>
        </w:rPr>
        <w:t>.</w:t>
      </w:r>
      <w:r w:rsidR="00E2783B" w:rsidRPr="009E06FF">
        <w:rPr>
          <w:lang w:val="en-GB"/>
        </w:rPr>
        <w:t xml:space="preserve"> Using the ERG’s preferred method to extrapolate </w:t>
      </w:r>
      <w:r w:rsidR="00660508" w:rsidRPr="009E06FF">
        <w:rPr>
          <w:lang w:val="en-GB"/>
        </w:rPr>
        <w:t>invasive disease-free survival</w:t>
      </w:r>
      <w:r w:rsidR="00102BC5" w:rsidRPr="009E06FF">
        <w:rPr>
          <w:lang w:val="en-GB"/>
        </w:rPr>
        <w:t>,</w:t>
      </w:r>
      <w:r w:rsidR="00E2783B" w:rsidRPr="009E06FF">
        <w:rPr>
          <w:lang w:val="en-GB"/>
        </w:rPr>
        <w:t xml:space="preserve"> the </w:t>
      </w:r>
      <w:r w:rsidR="00102BC5" w:rsidRPr="009E06FF">
        <w:rPr>
          <w:lang w:val="en-GB"/>
        </w:rPr>
        <w:t>treatment effect stops at month 140</w:t>
      </w:r>
      <w:r w:rsidR="00E2783B" w:rsidRPr="009E06FF">
        <w:rPr>
          <w:lang w:val="en-GB"/>
        </w:rPr>
        <w:t xml:space="preserve">. </w:t>
      </w:r>
      <w:r w:rsidR="002A60F6" w:rsidRPr="009E06FF">
        <w:rPr>
          <w:lang w:val="en-GB"/>
        </w:rPr>
        <w:t>However</w:t>
      </w:r>
      <w:r w:rsidR="00E2783B" w:rsidRPr="009E06FF">
        <w:rPr>
          <w:lang w:val="en-GB"/>
        </w:rPr>
        <w:t>, the ERG assumed that the tapering starts at the end of the trial</w:t>
      </w:r>
      <w:r w:rsidR="002A60F6" w:rsidRPr="009E06FF">
        <w:rPr>
          <w:lang w:val="en-GB"/>
        </w:rPr>
        <w:t xml:space="preserve"> and last</w:t>
      </w:r>
      <w:r w:rsidR="00503A43" w:rsidRPr="009E06FF">
        <w:rPr>
          <w:lang w:val="en-GB"/>
        </w:rPr>
        <w:t>s</w:t>
      </w:r>
      <w:r w:rsidR="002A60F6" w:rsidRPr="009E06FF">
        <w:rPr>
          <w:lang w:val="en-GB"/>
        </w:rPr>
        <w:t xml:space="preserve"> until mo</w:t>
      </w:r>
      <w:r w:rsidR="00E07D53" w:rsidRPr="009E06FF">
        <w:rPr>
          <w:lang w:val="en-GB"/>
        </w:rPr>
        <w:t>n</w:t>
      </w:r>
      <w:r w:rsidR="002A60F6" w:rsidRPr="009E06FF">
        <w:rPr>
          <w:lang w:val="en-GB"/>
        </w:rPr>
        <w:t xml:space="preserve">th 140. </w:t>
      </w:r>
      <w:r w:rsidR="00B91635" w:rsidRPr="009E06FF">
        <w:rPr>
          <w:lang w:val="en-GB"/>
        </w:rPr>
        <w:t>In response to the</w:t>
      </w:r>
      <w:r w:rsidR="002A60F6" w:rsidRPr="009E06FF">
        <w:rPr>
          <w:lang w:val="en-GB"/>
        </w:rPr>
        <w:t xml:space="preserve"> technical engagement</w:t>
      </w:r>
      <w:r w:rsidR="009D5A82" w:rsidRPr="009E06FF">
        <w:rPr>
          <w:lang w:val="en-GB"/>
        </w:rPr>
        <w:t>,</w:t>
      </w:r>
      <w:r w:rsidR="002A60F6" w:rsidRPr="009E06FF">
        <w:rPr>
          <w:lang w:val="en-GB"/>
        </w:rPr>
        <w:t xml:space="preserve"> the company considered the </w:t>
      </w:r>
      <w:r w:rsidR="002A60F6" w:rsidRPr="009E06FF">
        <w:rPr>
          <w:lang w:val="en-GB"/>
        </w:rPr>
        <w:lastRenderedPageBreak/>
        <w:t>ERG’s approach</w:t>
      </w:r>
      <w:r w:rsidR="0045772F" w:rsidRPr="009E06FF">
        <w:rPr>
          <w:lang w:val="en-GB"/>
        </w:rPr>
        <w:t xml:space="preserve"> to modelling neratinib treatment effect and duration</w:t>
      </w:r>
      <w:r w:rsidR="002A60F6" w:rsidRPr="009E06FF">
        <w:rPr>
          <w:lang w:val="en-GB"/>
        </w:rPr>
        <w:t xml:space="preserve"> to be</w:t>
      </w:r>
      <w:r w:rsidR="00E07D53" w:rsidRPr="009E06FF">
        <w:rPr>
          <w:lang w:val="en-GB"/>
        </w:rPr>
        <w:t xml:space="preserve"> </w:t>
      </w:r>
      <w:r w:rsidR="002A60F6" w:rsidRPr="009E06FF">
        <w:rPr>
          <w:lang w:val="en-GB"/>
        </w:rPr>
        <w:t xml:space="preserve">plausible, although </w:t>
      </w:r>
      <w:r w:rsidR="0045772F" w:rsidRPr="009E06FF">
        <w:rPr>
          <w:lang w:val="en-GB"/>
        </w:rPr>
        <w:t>conservative</w:t>
      </w:r>
      <w:r w:rsidR="002A60F6" w:rsidRPr="009E06FF">
        <w:rPr>
          <w:lang w:val="en-GB"/>
        </w:rPr>
        <w:t>. The clinical experts considered the ERG’s approach to be appropriate. The committee concluded that the ERG’s approach to modelling neratinib treatment effect and duration is appropriate for decision making.</w:t>
      </w:r>
    </w:p>
    <w:p w14:paraId="4777C47E" w14:textId="405AF6D4" w:rsidR="00E07D53" w:rsidRPr="009E06FF" w:rsidRDefault="00ED1525" w:rsidP="00E07D53">
      <w:pPr>
        <w:pStyle w:val="Heading2"/>
      </w:pPr>
      <w:r w:rsidRPr="009E06FF">
        <w:t>Cost-effectiveness estimates</w:t>
      </w:r>
    </w:p>
    <w:p w14:paraId="58B9E07A" w14:textId="0447ACD5" w:rsidR="00E07D53" w:rsidRPr="009E06FF" w:rsidRDefault="00ED1525" w:rsidP="00E07D53">
      <w:pPr>
        <w:pStyle w:val="Heading3"/>
      </w:pPr>
      <w:r w:rsidRPr="009E06FF">
        <w:t xml:space="preserve">The cost-effectiveness estimates are uncertain, but </w:t>
      </w:r>
      <w:r w:rsidR="00EC5A7B" w:rsidRPr="009E06FF">
        <w:t xml:space="preserve">within </w:t>
      </w:r>
      <w:r w:rsidRPr="009E06FF">
        <w:t xml:space="preserve">the </w:t>
      </w:r>
      <w:r w:rsidR="00821C99" w:rsidRPr="009E06FF">
        <w:t xml:space="preserve">range </w:t>
      </w:r>
      <w:r w:rsidRPr="009E06FF">
        <w:t>NICE normally considers an acceptable use of NHS resources</w:t>
      </w:r>
    </w:p>
    <w:p w14:paraId="3913D59B" w14:textId="1AF1834B" w:rsidR="003C1DCA" w:rsidRPr="009E06FF" w:rsidRDefault="00ED1525" w:rsidP="002C6712">
      <w:pPr>
        <w:pStyle w:val="Numberedlevel2text"/>
        <w:rPr>
          <w:lang w:val="en-GB"/>
        </w:rPr>
      </w:pPr>
      <w:r w:rsidRPr="009E06FF">
        <w:rPr>
          <w:lang w:val="en-GB"/>
        </w:rPr>
        <w:t xml:space="preserve">Both the company’s and ERG’s preferred </w:t>
      </w:r>
      <w:r w:rsidR="000025DC" w:rsidRPr="009E06FF">
        <w:rPr>
          <w:lang w:val="en-GB"/>
        </w:rPr>
        <w:t>incremental cost-effectiveness ratios (</w:t>
      </w:r>
      <w:r w:rsidRPr="009E06FF">
        <w:rPr>
          <w:lang w:val="en-GB"/>
        </w:rPr>
        <w:t>ICERs</w:t>
      </w:r>
      <w:r w:rsidR="000025DC" w:rsidRPr="009E06FF">
        <w:rPr>
          <w:lang w:val="en-GB"/>
        </w:rPr>
        <w:t>)</w:t>
      </w:r>
      <w:r w:rsidR="009B2835" w:rsidRPr="009E06FF">
        <w:rPr>
          <w:lang w:val="en-GB"/>
        </w:rPr>
        <w:t xml:space="preserve"> for people for whom trastuzumab is the only HER2-directed treatment in the adjuvant setting, and who did not have a pathological complete response to neoadjuvant treatment (see section 3.4</w:t>
      </w:r>
      <w:r w:rsidR="003C3A64" w:rsidRPr="009E06FF">
        <w:rPr>
          <w:lang w:val="en-GB"/>
        </w:rPr>
        <w:t>–</w:t>
      </w:r>
      <w:r w:rsidR="002F74F3" w:rsidRPr="009E06FF">
        <w:rPr>
          <w:lang w:val="en-GB"/>
        </w:rPr>
        <w:t>5</w:t>
      </w:r>
      <w:r w:rsidR="009B2835" w:rsidRPr="009E06FF">
        <w:rPr>
          <w:lang w:val="en-GB"/>
        </w:rPr>
        <w:t>)</w:t>
      </w:r>
      <w:r w:rsidR="003C3A64" w:rsidRPr="009E06FF">
        <w:rPr>
          <w:lang w:val="en-GB"/>
        </w:rPr>
        <w:t xml:space="preserve"> </w:t>
      </w:r>
      <w:r w:rsidRPr="009E06FF">
        <w:rPr>
          <w:lang w:val="en-GB"/>
        </w:rPr>
        <w:t xml:space="preserve">were </w:t>
      </w:r>
      <w:r w:rsidR="00B200B1" w:rsidRPr="009E06FF">
        <w:rPr>
          <w:lang w:val="en-GB"/>
        </w:rPr>
        <w:t xml:space="preserve">within </w:t>
      </w:r>
      <w:r w:rsidRPr="009E06FF">
        <w:rPr>
          <w:lang w:val="en-GB"/>
        </w:rPr>
        <w:t xml:space="preserve">the </w:t>
      </w:r>
      <w:r w:rsidR="00821C99" w:rsidRPr="009E06FF">
        <w:rPr>
          <w:lang w:val="en-GB"/>
        </w:rPr>
        <w:t xml:space="preserve">range </w:t>
      </w:r>
      <w:r w:rsidRPr="009E06FF">
        <w:rPr>
          <w:lang w:val="en-GB"/>
        </w:rPr>
        <w:t xml:space="preserve">NICE normally considers an acceptable use of NHS resources. </w:t>
      </w:r>
      <w:r w:rsidR="002C5694" w:rsidRPr="009E06FF">
        <w:rPr>
          <w:lang w:val="en-GB"/>
        </w:rPr>
        <w:t>ICERs were presented as commercial in confidence to maintain the confidentiality of the proposed commercial agreement for neratinib</w:t>
      </w:r>
      <w:r w:rsidR="003C3A64" w:rsidRPr="009E06FF">
        <w:rPr>
          <w:lang w:val="en-GB"/>
        </w:rPr>
        <w:t>,</w:t>
      </w:r>
      <w:r w:rsidR="002C5694" w:rsidRPr="009E06FF">
        <w:rPr>
          <w:lang w:val="en-GB"/>
        </w:rPr>
        <w:t xml:space="preserve"> and therefore cannot be reported here. </w:t>
      </w:r>
      <w:r w:rsidRPr="009E06FF">
        <w:rPr>
          <w:lang w:val="en-GB"/>
        </w:rPr>
        <w:t xml:space="preserve">The committee was aware of the uncertainty associated with some of the inputs and assumptions in the model (for example </w:t>
      </w:r>
      <w:r w:rsidR="00660508" w:rsidRPr="009E06FF">
        <w:rPr>
          <w:lang w:val="en-GB"/>
        </w:rPr>
        <w:t>invasive disease-free survival</w:t>
      </w:r>
      <w:r w:rsidRPr="009E06FF">
        <w:rPr>
          <w:lang w:val="en-GB"/>
        </w:rPr>
        <w:t xml:space="preserve"> </w:t>
      </w:r>
      <w:r w:rsidR="0001092F" w:rsidRPr="009E06FF">
        <w:rPr>
          <w:lang w:val="en-GB"/>
        </w:rPr>
        <w:t>modelling as discussed in</w:t>
      </w:r>
      <w:r w:rsidRPr="009E06FF">
        <w:rPr>
          <w:lang w:val="en-GB"/>
        </w:rPr>
        <w:t xml:space="preserve"> section </w:t>
      </w:r>
      <w:r w:rsidR="009D5A82" w:rsidRPr="009E06FF">
        <w:rPr>
          <w:lang w:val="en-GB"/>
        </w:rPr>
        <w:t>3.</w:t>
      </w:r>
      <w:r w:rsidR="002F74F3" w:rsidRPr="009E06FF">
        <w:rPr>
          <w:lang w:val="en-GB"/>
        </w:rPr>
        <w:t>8</w:t>
      </w:r>
      <w:r w:rsidR="00054B30" w:rsidRPr="009E06FF">
        <w:rPr>
          <w:lang w:val="en-GB"/>
        </w:rPr>
        <w:t>–</w:t>
      </w:r>
      <w:r w:rsidR="002F74F3" w:rsidRPr="009E06FF">
        <w:rPr>
          <w:lang w:val="en-GB"/>
        </w:rPr>
        <w:t>9</w:t>
      </w:r>
      <w:r w:rsidR="0001092F" w:rsidRPr="009E06FF">
        <w:rPr>
          <w:lang w:val="en-GB"/>
        </w:rPr>
        <w:t>)</w:t>
      </w:r>
      <w:r w:rsidRPr="009E06FF">
        <w:rPr>
          <w:lang w:val="en-GB"/>
        </w:rPr>
        <w:t>, and the impact of the additional uncertaint</w:t>
      </w:r>
      <w:r w:rsidR="00B91635" w:rsidRPr="009E06FF">
        <w:rPr>
          <w:lang w:val="en-GB"/>
        </w:rPr>
        <w:t>ies</w:t>
      </w:r>
      <w:r w:rsidRPr="009E06FF">
        <w:rPr>
          <w:lang w:val="en-GB"/>
        </w:rPr>
        <w:t xml:space="preserve"> as summarised in </w:t>
      </w:r>
      <w:r w:rsidR="0001092F" w:rsidRPr="009E06FF">
        <w:rPr>
          <w:lang w:val="en-GB"/>
        </w:rPr>
        <w:t xml:space="preserve">the </w:t>
      </w:r>
      <w:r w:rsidRPr="009E06FF">
        <w:rPr>
          <w:lang w:val="en-GB"/>
        </w:rPr>
        <w:t xml:space="preserve">technical </w:t>
      </w:r>
      <w:r w:rsidR="0001092F" w:rsidRPr="009E06FF">
        <w:rPr>
          <w:lang w:val="en-GB"/>
        </w:rPr>
        <w:t>report (</w:t>
      </w:r>
      <w:r w:rsidR="00054B30" w:rsidRPr="009E06FF">
        <w:rPr>
          <w:lang w:val="en-GB"/>
        </w:rPr>
        <w:t>t</w:t>
      </w:r>
      <w:r w:rsidRPr="009E06FF">
        <w:rPr>
          <w:lang w:val="en-GB"/>
        </w:rPr>
        <w:t xml:space="preserve">able 2 </w:t>
      </w:r>
      <w:r w:rsidR="0001092F" w:rsidRPr="009E06FF">
        <w:rPr>
          <w:lang w:val="en-GB"/>
        </w:rPr>
        <w:t>on page 26</w:t>
      </w:r>
      <w:r w:rsidR="00054B30" w:rsidRPr="009E06FF">
        <w:rPr>
          <w:lang w:val="en-GB"/>
        </w:rPr>
        <w:t>–</w:t>
      </w:r>
      <w:r w:rsidR="0001092F" w:rsidRPr="009E06FF">
        <w:rPr>
          <w:lang w:val="en-GB"/>
        </w:rPr>
        <w:t xml:space="preserve">29, </w:t>
      </w:r>
      <w:r w:rsidRPr="009E06FF">
        <w:rPr>
          <w:lang w:val="en-GB"/>
        </w:rPr>
        <w:t xml:space="preserve">and </w:t>
      </w:r>
      <w:r w:rsidR="00054B30" w:rsidRPr="009E06FF">
        <w:rPr>
          <w:lang w:val="en-GB"/>
        </w:rPr>
        <w:t>t</w:t>
      </w:r>
      <w:r w:rsidR="0001092F" w:rsidRPr="009E06FF">
        <w:rPr>
          <w:lang w:val="en-GB"/>
        </w:rPr>
        <w:t xml:space="preserve">able </w:t>
      </w:r>
      <w:r w:rsidRPr="009E06FF">
        <w:rPr>
          <w:lang w:val="en-GB"/>
        </w:rPr>
        <w:t>3</w:t>
      </w:r>
      <w:r w:rsidR="0001092F" w:rsidRPr="009E06FF">
        <w:rPr>
          <w:lang w:val="en-GB"/>
        </w:rPr>
        <w:t xml:space="preserve"> on page 30</w:t>
      </w:r>
      <w:r w:rsidR="00054B30" w:rsidRPr="009E06FF">
        <w:rPr>
          <w:lang w:val="en-GB"/>
        </w:rPr>
        <w:t>–</w:t>
      </w:r>
      <w:r w:rsidR="0001092F" w:rsidRPr="009E06FF">
        <w:rPr>
          <w:lang w:val="en-GB"/>
        </w:rPr>
        <w:t>31)</w:t>
      </w:r>
      <w:r w:rsidR="000155D2" w:rsidRPr="009E06FF">
        <w:rPr>
          <w:lang w:val="en-GB"/>
        </w:rPr>
        <w:t>. It</w:t>
      </w:r>
      <w:r w:rsidR="0001092F" w:rsidRPr="009E06FF">
        <w:rPr>
          <w:lang w:val="en-GB"/>
        </w:rPr>
        <w:t xml:space="preserve"> considered that the most plausible ICER is unknown and could be higher or lower than the company’s and ERG’s preferred ICERs. However, it </w:t>
      </w:r>
      <w:r w:rsidR="009B2835" w:rsidRPr="009E06FF">
        <w:rPr>
          <w:lang w:val="en-GB"/>
        </w:rPr>
        <w:t>agreed</w:t>
      </w:r>
      <w:r w:rsidR="0001092F" w:rsidRPr="009E06FF">
        <w:rPr>
          <w:lang w:val="en-GB"/>
        </w:rPr>
        <w:t xml:space="preserve"> the most plausible ICER </w:t>
      </w:r>
      <w:r w:rsidR="00D55AEF" w:rsidRPr="009E06FF">
        <w:rPr>
          <w:lang w:val="en-GB"/>
        </w:rPr>
        <w:t xml:space="preserve">is </w:t>
      </w:r>
      <w:r w:rsidR="009B2835" w:rsidRPr="009E06FF">
        <w:rPr>
          <w:lang w:val="en-GB"/>
        </w:rPr>
        <w:t xml:space="preserve">unlikely to exceed </w:t>
      </w:r>
      <w:r w:rsidR="00B200B1" w:rsidRPr="009E06FF">
        <w:rPr>
          <w:lang w:val="en-GB"/>
        </w:rPr>
        <w:t>the range</w:t>
      </w:r>
      <w:r w:rsidR="0001092F" w:rsidRPr="009E06FF">
        <w:rPr>
          <w:lang w:val="en-GB"/>
        </w:rPr>
        <w:t xml:space="preserve"> NICE normally considers an acceptable use of NHS resources.</w:t>
      </w:r>
      <w:r w:rsidR="007D2EF6" w:rsidRPr="009E06FF">
        <w:rPr>
          <w:lang w:val="en-GB"/>
        </w:rPr>
        <w:t xml:space="preserve"> It therefore recommended neratinib for </w:t>
      </w:r>
      <w:bookmarkStart w:id="12" w:name="_Hlk15386998"/>
      <w:r w:rsidR="007D2EF6" w:rsidRPr="009E06FF">
        <w:rPr>
          <w:lang w:val="en-GB"/>
        </w:rPr>
        <w:t xml:space="preserve">hormone receptor-positive, HER2-positive </w:t>
      </w:r>
      <w:r w:rsidR="000155D2" w:rsidRPr="009E06FF">
        <w:rPr>
          <w:lang w:val="en-GB"/>
        </w:rPr>
        <w:t xml:space="preserve">early </w:t>
      </w:r>
      <w:r w:rsidR="007D2EF6" w:rsidRPr="009E06FF">
        <w:rPr>
          <w:lang w:val="en-GB"/>
        </w:rPr>
        <w:t xml:space="preserve">breast cancer in adults </w:t>
      </w:r>
      <w:r w:rsidR="00EA2B2C" w:rsidRPr="009E06FF">
        <w:rPr>
          <w:lang w:val="en-GB"/>
        </w:rPr>
        <w:t xml:space="preserve">who </w:t>
      </w:r>
      <w:r w:rsidR="002E5CCC" w:rsidRPr="009E06FF">
        <w:rPr>
          <w:lang w:val="en-GB"/>
        </w:rPr>
        <w:t xml:space="preserve">completed adjuvant trastuzumab-based </w:t>
      </w:r>
      <w:r w:rsidR="00D159DA" w:rsidRPr="009E06FF">
        <w:rPr>
          <w:lang w:val="en-GB"/>
        </w:rPr>
        <w:t>treatment</w:t>
      </w:r>
      <w:r w:rsidR="002E5CCC" w:rsidRPr="009E06FF">
        <w:rPr>
          <w:lang w:val="en-GB"/>
        </w:rPr>
        <w:t xml:space="preserve"> less than 1 year ago</w:t>
      </w:r>
      <w:r w:rsidR="000155D2" w:rsidRPr="009E06FF">
        <w:rPr>
          <w:lang w:val="en-GB"/>
        </w:rPr>
        <w:t>,</w:t>
      </w:r>
      <w:r w:rsidR="00EC0793" w:rsidRPr="009E06FF">
        <w:rPr>
          <w:lang w:val="en-GB"/>
        </w:rPr>
        <w:t xml:space="preserve"> </w:t>
      </w:r>
      <w:r w:rsidR="003C1DCA" w:rsidRPr="009E06FF">
        <w:rPr>
          <w:lang w:val="en-GB"/>
        </w:rPr>
        <w:t xml:space="preserve">only </w:t>
      </w:r>
      <w:r w:rsidR="00EC0793" w:rsidRPr="009E06FF">
        <w:rPr>
          <w:lang w:val="en-GB"/>
        </w:rPr>
        <w:t xml:space="preserve">if </w:t>
      </w:r>
      <w:r w:rsidR="003C1DCA" w:rsidRPr="009E06FF">
        <w:rPr>
          <w:lang w:val="en-GB"/>
        </w:rPr>
        <w:t xml:space="preserve">trastuzumab was the only HER2-directed treatment in the adjuvant setting, and if their cancer did not have a pathological complete response in the neoadjuvant setting </w:t>
      </w:r>
      <w:r w:rsidR="002E5CCC" w:rsidRPr="009E06FF">
        <w:rPr>
          <w:lang w:val="en-GB"/>
        </w:rPr>
        <w:t>(</w:t>
      </w:r>
      <w:r w:rsidR="003C1DCA" w:rsidRPr="009E06FF">
        <w:rPr>
          <w:lang w:val="en-GB"/>
        </w:rPr>
        <w:t xml:space="preserve">if they had neoadjuvant </w:t>
      </w:r>
      <w:r w:rsidR="00D159DA" w:rsidRPr="009E06FF">
        <w:rPr>
          <w:lang w:val="en-GB"/>
        </w:rPr>
        <w:t>treatment</w:t>
      </w:r>
      <w:r w:rsidR="002E5CCC" w:rsidRPr="009E06FF">
        <w:rPr>
          <w:lang w:val="en-GB"/>
        </w:rPr>
        <w:t>)</w:t>
      </w:r>
      <w:r w:rsidR="00B327AA" w:rsidRPr="009E06FF">
        <w:rPr>
          <w:lang w:val="en-GB"/>
        </w:rPr>
        <w:t>.</w:t>
      </w:r>
    </w:p>
    <w:bookmarkEnd w:id="12"/>
    <w:p w14:paraId="35A24B2E" w14:textId="77777777" w:rsidR="00E67F73" w:rsidRPr="00232061" w:rsidRDefault="00E67F73" w:rsidP="00E67F73">
      <w:pPr>
        <w:pStyle w:val="Numberedheading1"/>
      </w:pPr>
      <w:r w:rsidRPr="00232061">
        <w:lastRenderedPageBreak/>
        <w:t>Implementation</w:t>
      </w:r>
    </w:p>
    <w:p w14:paraId="7AF14438" w14:textId="77777777" w:rsidR="00D2360A" w:rsidRDefault="00E67F73" w:rsidP="00E67F73">
      <w:pPr>
        <w:pStyle w:val="Numberedlevel2text"/>
      </w:pPr>
      <w:r w:rsidRPr="00EE2914">
        <w:t xml:space="preserve">Section 7(6) of the </w:t>
      </w:r>
      <w:hyperlink r:id="rId13" w:history="1">
        <w:r w:rsidRPr="00EE2914">
          <w:rPr>
            <w:rStyle w:val="Hyperlink"/>
          </w:rPr>
          <w:t>National Institute for Health and Care Excellence (Constitution and Functions) and the Health and Social Care Information Centre (Functions) Regulations 2013</w:t>
        </w:r>
      </w:hyperlink>
      <w:r w:rsidRPr="00EE2914">
        <w:t xml:space="preserve"> requires clinical commissioning groups, NHS England and, with respect to their public health functions, local authorities to comply with the recommendations in this appraisal within 3 months of its date of publication.</w:t>
      </w:r>
    </w:p>
    <w:p w14:paraId="49D98538" w14:textId="6896C430" w:rsidR="00E67F73" w:rsidRDefault="00E67F73" w:rsidP="00E67F73">
      <w:pPr>
        <w:pStyle w:val="Numberedlevel2text"/>
      </w:pPr>
      <w:r>
        <w:t xml:space="preserve">The Welsh </w:t>
      </w:r>
      <w:r>
        <w:rPr>
          <w:lang w:val="en-GB"/>
        </w:rPr>
        <w:t>m</w:t>
      </w:r>
      <w:proofErr w:type="spellStart"/>
      <w:r>
        <w:t>inister</w:t>
      </w:r>
      <w:r>
        <w:rPr>
          <w:lang w:val="en-GB"/>
        </w:rPr>
        <w:t>s</w:t>
      </w:r>
      <w:proofErr w:type="spellEnd"/>
      <w:r>
        <w:t xml:space="preserve"> ha</w:t>
      </w:r>
      <w:r>
        <w:rPr>
          <w:lang w:val="en-GB"/>
        </w:rPr>
        <w:t>ve</w:t>
      </w:r>
      <w:r>
        <w:t xml:space="preserve"> issued directions to the NHS in Wales on implementing NICE technology appraisal guidance. When a NICE technology appraisal recommends the use of a drug or treatment, or other technology, the NHS in Wales must usually provide funding and resources for it within </w:t>
      </w:r>
      <w:r>
        <w:rPr>
          <w:lang w:val="en-GB"/>
        </w:rPr>
        <w:t>2 </w:t>
      </w:r>
      <w:r>
        <w:t xml:space="preserve">months of the </w:t>
      </w:r>
      <w:r>
        <w:rPr>
          <w:lang w:val="en-GB"/>
        </w:rPr>
        <w:t>first publication of the final appraisal document</w:t>
      </w:r>
      <w:r>
        <w:t>.</w:t>
      </w:r>
    </w:p>
    <w:p w14:paraId="38D8A450" w14:textId="2130CF8B" w:rsidR="00E67F73" w:rsidRDefault="00E67F73" w:rsidP="00537B86">
      <w:pPr>
        <w:pStyle w:val="Numberedlevel2text"/>
      </w:pPr>
      <w:r w:rsidRPr="00EE2914">
        <w:t>When NICE recommends a treatment ‘as an option’, the NHS must make sure it is available within the period set out in the paragraph</w:t>
      </w:r>
      <w:r w:rsidRPr="00904DD7">
        <w:rPr>
          <w:lang w:val="en-GB"/>
        </w:rPr>
        <w:t>s</w:t>
      </w:r>
      <w:r w:rsidRPr="00EE2914">
        <w:t xml:space="preserve"> above. This means that, if a patient has </w:t>
      </w:r>
      <w:r w:rsidRPr="00E67F73">
        <w:t>hormone receptor-positive, human epidermal growth factor receptor 2</w:t>
      </w:r>
      <w:r w:rsidRPr="00904DD7">
        <w:rPr>
          <w:lang w:val="en-GB"/>
        </w:rPr>
        <w:t xml:space="preserve"> (</w:t>
      </w:r>
      <w:r w:rsidRPr="00E67F73">
        <w:t>HER2</w:t>
      </w:r>
      <w:r w:rsidRPr="00904DD7">
        <w:rPr>
          <w:lang w:val="en-GB"/>
        </w:rPr>
        <w:t>)</w:t>
      </w:r>
      <w:r w:rsidRPr="00E67F73">
        <w:t xml:space="preserve">-positive early </w:t>
      </w:r>
      <w:r w:rsidRPr="00904DD7">
        <w:rPr>
          <w:lang w:val="en-GB"/>
        </w:rPr>
        <w:t>breast cancer</w:t>
      </w:r>
      <w:r w:rsidR="00D2360A">
        <w:rPr>
          <w:lang w:val="en-GB"/>
        </w:rPr>
        <w:t xml:space="preserve"> </w:t>
      </w:r>
      <w:r w:rsidRPr="00EE2914">
        <w:t xml:space="preserve">and the doctor responsible for their care thinks that </w:t>
      </w:r>
      <w:r w:rsidRPr="00904DD7">
        <w:rPr>
          <w:lang w:val="en-GB"/>
        </w:rPr>
        <w:t>neratinib</w:t>
      </w:r>
      <w:r w:rsidRPr="00EE2914">
        <w:t xml:space="preserve"> is the right treatment, it should be available for use, in l</w:t>
      </w:r>
      <w:r>
        <w:t>ine with NICE’s recommendations</w:t>
      </w:r>
      <w:r w:rsidRPr="00EE2914">
        <w:t>.</w:t>
      </w:r>
    </w:p>
    <w:p w14:paraId="7940BD1C" w14:textId="77777777" w:rsidR="000F48EC" w:rsidRPr="009E06FF" w:rsidRDefault="007A2801" w:rsidP="002E73E7">
      <w:pPr>
        <w:pStyle w:val="Numberedheading1"/>
      </w:pPr>
      <w:r w:rsidRPr="009E06FF">
        <w:t xml:space="preserve">Proposed date for </w:t>
      </w:r>
      <w:r w:rsidR="00000441" w:rsidRPr="009E06FF">
        <w:t>r</w:t>
      </w:r>
      <w:r w:rsidR="000F48EC" w:rsidRPr="009E06FF">
        <w:t>eview of guidance</w:t>
      </w:r>
    </w:p>
    <w:p w14:paraId="43A3E304" w14:textId="62B88AB5" w:rsidR="001823EB" w:rsidRPr="009E06FF" w:rsidRDefault="001823EB" w:rsidP="001823EB">
      <w:pPr>
        <w:pStyle w:val="Numberedlevel2text"/>
        <w:rPr>
          <w:lang w:val="en-GB"/>
        </w:rPr>
      </w:pPr>
      <w:r w:rsidRPr="009E06FF">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1CB1908E" w14:textId="3FED2350" w:rsidR="004845D0" w:rsidRPr="009E06FF" w:rsidRDefault="00096E93" w:rsidP="00ED5F88">
      <w:pPr>
        <w:pStyle w:val="NICEnormal"/>
      </w:pPr>
      <w:r w:rsidRPr="009E06FF">
        <w:t>Brian Shine</w:t>
      </w:r>
      <w:r w:rsidR="004845D0" w:rsidRPr="009E06FF">
        <w:t xml:space="preserve"> </w:t>
      </w:r>
      <w:r w:rsidR="004845D0" w:rsidRPr="009E06FF">
        <w:br/>
        <w:t xml:space="preserve">Chair, </w:t>
      </w:r>
      <w:r w:rsidR="003847B9" w:rsidRPr="009E06FF">
        <w:t>a</w:t>
      </w:r>
      <w:r w:rsidR="004845D0" w:rsidRPr="009E06FF">
        <w:t xml:space="preserve">ppraisal </w:t>
      </w:r>
      <w:r w:rsidR="003847B9" w:rsidRPr="009E06FF">
        <w:t>c</w:t>
      </w:r>
      <w:r w:rsidR="004845D0" w:rsidRPr="009E06FF">
        <w:t>ommittee</w:t>
      </w:r>
      <w:r w:rsidR="004845D0" w:rsidRPr="009E06FF">
        <w:br/>
      </w:r>
      <w:r w:rsidRPr="009E06FF">
        <w:t>August 2019</w:t>
      </w:r>
    </w:p>
    <w:p w14:paraId="6303619D" w14:textId="77777777" w:rsidR="00B16431" w:rsidRPr="009E06FF" w:rsidRDefault="00B16431" w:rsidP="00B16431">
      <w:pPr>
        <w:pStyle w:val="Numberedheading1"/>
        <w:numPr>
          <w:ilvl w:val="0"/>
          <w:numId w:val="1"/>
        </w:numPr>
      </w:pPr>
      <w:r w:rsidRPr="009E06FF">
        <w:lastRenderedPageBreak/>
        <w:t xml:space="preserve">Appraisal </w:t>
      </w:r>
      <w:r w:rsidR="00343B53" w:rsidRPr="009E06FF">
        <w:t>c</w:t>
      </w:r>
      <w:r w:rsidRPr="009E06FF">
        <w:t>ommittee members and NICE project team</w:t>
      </w:r>
    </w:p>
    <w:p w14:paraId="13C4AF8F" w14:textId="77777777" w:rsidR="00B16431" w:rsidRPr="009E06FF" w:rsidRDefault="00B16431" w:rsidP="00B16431">
      <w:pPr>
        <w:pStyle w:val="Heading2"/>
      </w:pPr>
      <w:r w:rsidRPr="009E06FF">
        <w:t xml:space="preserve">Appraisal </w:t>
      </w:r>
      <w:r w:rsidR="00343B53" w:rsidRPr="009E06FF">
        <w:t>c</w:t>
      </w:r>
      <w:r w:rsidRPr="009E06FF">
        <w:t>ommittee members</w:t>
      </w:r>
    </w:p>
    <w:p w14:paraId="7B8FCD86" w14:textId="50E206D7" w:rsidR="002F2583" w:rsidRPr="009E06FF" w:rsidRDefault="002F2583" w:rsidP="002F2583">
      <w:pPr>
        <w:pStyle w:val="NICEnormal"/>
        <w:rPr>
          <w:rFonts w:eastAsia="Calibri"/>
        </w:rPr>
      </w:pPr>
      <w:r w:rsidRPr="009E06FF">
        <w:t xml:space="preserve">The 4 technology appraisal committees are standing advisory committees of NICE. This topic was considered by </w:t>
      </w:r>
      <w:hyperlink r:id="rId14" w:history="1">
        <w:r w:rsidR="00096E93" w:rsidRPr="009E06FF">
          <w:rPr>
            <w:rStyle w:val="Hyperlink"/>
            <w:rFonts w:eastAsia="Calibri"/>
          </w:rPr>
          <w:t>committee A</w:t>
        </w:r>
      </w:hyperlink>
      <w:r w:rsidR="00096E93" w:rsidRPr="009E06FF">
        <w:t>.</w:t>
      </w:r>
    </w:p>
    <w:p w14:paraId="56CC7FF2" w14:textId="1B63DBA6" w:rsidR="002F2583" w:rsidRPr="009E06FF" w:rsidRDefault="002F2583" w:rsidP="002F2583">
      <w:pPr>
        <w:pStyle w:val="NICEnormal"/>
      </w:pPr>
      <w:r w:rsidRPr="009E06FF">
        <w:t>Committee members are asked to declare any interests in the technology to be appraised. If it is considered there is a conflict of interest, the member is excluded from participating further in that appraisal.</w:t>
      </w:r>
    </w:p>
    <w:p w14:paraId="7E5540E6" w14:textId="77777777" w:rsidR="002F2583" w:rsidRPr="009E06FF" w:rsidRDefault="002F2583" w:rsidP="002F2583">
      <w:pPr>
        <w:pStyle w:val="NICEnormal"/>
      </w:pPr>
      <w:r w:rsidRPr="009E06FF">
        <w:t xml:space="preserve">The </w:t>
      </w:r>
      <w:hyperlink r:id="rId15" w:history="1">
        <w:r w:rsidRPr="009E06FF">
          <w:rPr>
            <w:rStyle w:val="Hyperlink"/>
            <w:rFonts w:eastAsia="Calibri"/>
          </w:rPr>
          <w:t>minutes</w:t>
        </w:r>
      </w:hyperlink>
      <w:r w:rsidRPr="009E06FF">
        <w:t xml:space="preserve"> of each appraisal committee meeting, which include the names of the members who attended and their declarations of interests, are posted on the NICE website.</w:t>
      </w:r>
    </w:p>
    <w:p w14:paraId="2EDD8201" w14:textId="77777777" w:rsidR="00B16431" w:rsidRPr="009E06FF" w:rsidRDefault="00B16431" w:rsidP="00B16431">
      <w:pPr>
        <w:pStyle w:val="Heading2"/>
      </w:pPr>
      <w:r w:rsidRPr="009E06FF">
        <w:t>NICE project team</w:t>
      </w:r>
    </w:p>
    <w:p w14:paraId="02D1297F" w14:textId="60EE2361" w:rsidR="00B16431" w:rsidRPr="009E06FF" w:rsidRDefault="00B16431" w:rsidP="00B16431">
      <w:pPr>
        <w:pStyle w:val="NICEnormal"/>
      </w:pPr>
      <w:r w:rsidRPr="009E06FF">
        <w:t>Each technology appraisal is assigned to a team consisting of 1 or more health technology analysts (who act as technical leads for the appraisal), a technical adviser and a project manager.</w:t>
      </w:r>
    </w:p>
    <w:p w14:paraId="13DC2B3E" w14:textId="77777777" w:rsidR="00096E93" w:rsidRPr="009E06FF" w:rsidRDefault="00096E93" w:rsidP="00096E93">
      <w:pPr>
        <w:pStyle w:val="NICEnormal"/>
      </w:pPr>
      <w:bookmarkStart w:id="13" w:name="Text45"/>
      <w:r w:rsidRPr="009E06FF">
        <w:rPr>
          <w:b/>
        </w:rPr>
        <w:t>Marcela Haasova</w:t>
      </w:r>
      <w:r w:rsidRPr="009E06FF">
        <w:br/>
        <w:t>Technical lead</w:t>
      </w:r>
    </w:p>
    <w:p w14:paraId="0073A147" w14:textId="77777777" w:rsidR="00096E93" w:rsidRPr="009E06FF" w:rsidRDefault="00096E93" w:rsidP="00096E93">
      <w:pPr>
        <w:pStyle w:val="NICEnormal"/>
      </w:pPr>
      <w:r w:rsidRPr="009E06FF">
        <w:rPr>
          <w:b/>
        </w:rPr>
        <w:t>Joanna Richardson</w:t>
      </w:r>
      <w:r w:rsidRPr="009E06FF">
        <w:br/>
        <w:t>Technical adviser</w:t>
      </w:r>
    </w:p>
    <w:p w14:paraId="6EFEBECD" w14:textId="2CEB7998" w:rsidR="00096E93" w:rsidRPr="009E06FF" w:rsidRDefault="00096E93" w:rsidP="00096E93">
      <w:pPr>
        <w:pStyle w:val="NICEnormal"/>
      </w:pPr>
      <w:r w:rsidRPr="009E06FF">
        <w:rPr>
          <w:b/>
        </w:rPr>
        <w:t>Thomas Feist</w:t>
      </w:r>
      <w:r w:rsidRPr="009E06FF">
        <w:br/>
        <w:t>Project manager</w:t>
      </w:r>
      <w:bookmarkEnd w:id="13"/>
    </w:p>
    <w:p w14:paraId="19669C2A" w14:textId="77777777" w:rsidR="006E7647" w:rsidRPr="009E06FF" w:rsidRDefault="006E7647" w:rsidP="00F05E37">
      <w:pPr>
        <w:pStyle w:val="NICEnormal"/>
      </w:pPr>
      <w:r w:rsidRPr="009E06FF">
        <w:t xml:space="preserve">ISBN: </w:t>
      </w:r>
      <w:r w:rsidRPr="009E06FF">
        <w:rPr>
          <w:highlight w:val="green"/>
        </w:rPr>
        <w:t>[to be added at publication]</w:t>
      </w:r>
    </w:p>
    <w:sectPr w:rsidR="006E7647" w:rsidRPr="009E06FF" w:rsidSect="00C76DDA">
      <w:headerReference w:type="default" r:id="rId16"/>
      <w:footerReference w:type="default" r:id="rId1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0818A" w14:textId="77777777" w:rsidR="009E1795" w:rsidRDefault="009E1795">
      <w:r>
        <w:separator/>
      </w:r>
    </w:p>
  </w:endnote>
  <w:endnote w:type="continuationSeparator" w:id="0">
    <w:p w14:paraId="5833F179" w14:textId="77777777" w:rsidR="009E1795" w:rsidRDefault="009E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64AA" w14:textId="3EF2F0B4" w:rsidR="009E1795" w:rsidRPr="003D33FB" w:rsidRDefault="009E1795" w:rsidP="007A7EC8">
    <w:pPr>
      <w:pStyle w:val="NICEnormalsinglespacing"/>
      <w:spacing w:after="120"/>
      <w:rPr>
        <w:sz w:val="18"/>
        <w:szCs w:val="18"/>
      </w:rPr>
    </w:pPr>
    <w:r>
      <w:rPr>
        <w:sz w:val="18"/>
        <w:szCs w:val="18"/>
      </w:rPr>
      <w:t>Appraisal consultation document</w:t>
    </w:r>
    <w:r w:rsidRPr="003D33FB">
      <w:rPr>
        <w:sz w:val="18"/>
        <w:szCs w:val="18"/>
      </w:rPr>
      <w:t xml:space="preserve"> – </w:t>
    </w:r>
    <w:r w:rsidR="0041757D">
      <w:rPr>
        <w:sz w:val="18"/>
        <w:szCs w:val="18"/>
      </w:rPr>
      <w:t>n</w:t>
    </w:r>
    <w:r w:rsidR="0041757D" w:rsidRPr="0041757D">
      <w:rPr>
        <w:sz w:val="18"/>
        <w:szCs w:val="18"/>
      </w:rPr>
      <w:t>eratinib for</w:t>
    </w:r>
    <w:r w:rsidR="003E6797">
      <w:rPr>
        <w:sz w:val="18"/>
        <w:szCs w:val="18"/>
      </w:rPr>
      <w:t xml:space="preserve"> extended</w:t>
    </w:r>
    <w:r w:rsidR="0041757D" w:rsidRPr="0041757D">
      <w:rPr>
        <w:sz w:val="18"/>
        <w:szCs w:val="18"/>
      </w:rPr>
      <w:t xml:space="preserve"> adjuvant treatment of hormone receptor-positive, HER2-positive early stage breast cancer after adjuvant trastuzumab</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3603885B" w14:textId="6FCB00BD" w:rsidR="009E1795" w:rsidRDefault="009E1795" w:rsidP="007A7EC8">
    <w:pPr>
      <w:pStyle w:val="NICEnormalsinglespacing"/>
      <w:spacing w:after="120"/>
      <w:rPr>
        <w:sz w:val="18"/>
        <w:szCs w:val="18"/>
      </w:rPr>
    </w:pPr>
    <w:r w:rsidRPr="003D33FB">
      <w:rPr>
        <w:sz w:val="18"/>
        <w:szCs w:val="18"/>
      </w:rPr>
      <w:t xml:space="preserve">Issue </w:t>
    </w:r>
    <w:r w:rsidR="00847995" w:rsidRPr="003D33FB">
      <w:rPr>
        <w:sz w:val="18"/>
        <w:szCs w:val="18"/>
      </w:rPr>
      <w:t>date:</w:t>
    </w:r>
    <w:r w:rsidR="00847995">
      <w:rPr>
        <w:sz w:val="18"/>
        <w:szCs w:val="18"/>
      </w:rPr>
      <w:t xml:space="preserve"> </w:t>
    </w:r>
    <w:r w:rsidR="00892489">
      <w:rPr>
        <w:sz w:val="18"/>
        <w:szCs w:val="18"/>
      </w:rPr>
      <w:t>August</w:t>
    </w:r>
    <w:r>
      <w:rPr>
        <w:sz w:val="18"/>
        <w:szCs w:val="18"/>
      </w:rPr>
      <w:t xml:space="preserve"> 2019</w:t>
    </w:r>
  </w:p>
  <w:p w14:paraId="4092D730" w14:textId="1F4B43B9" w:rsidR="009E1795" w:rsidRPr="007A7EC8" w:rsidRDefault="009E1795" w:rsidP="007A7EC8">
    <w:pPr>
      <w:pStyle w:val="NICEnormalsinglespacing"/>
      <w:spacing w:after="120"/>
    </w:pPr>
    <w:r>
      <w:rPr>
        <w:sz w:val="18"/>
        <w:szCs w:val="18"/>
      </w:rPr>
      <w:t xml:space="preserve">© NICE 2019.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B0B3" w14:textId="77777777" w:rsidR="009E1795" w:rsidRDefault="009E1795">
      <w:r>
        <w:separator/>
      </w:r>
    </w:p>
  </w:footnote>
  <w:footnote w:type="continuationSeparator" w:id="0">
    <w:p w14:paraId="529DE791" w14:textId="77777777" w:rsidR="009E1795" w:rsidRDefault="009E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7E88" w14:textId="77777777" w:rsidR="009E1795" w:rsidRPr="004E6427" w:rsidRDefault="009E1795"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B7545F"/>
    <w:multiLevelType w:val="hybridMultilevel"/>
    <w:tmpl w:val="EBB6336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9"/>
  </w:num>
  <w:num w:numId="5">
    <w:abstractNumId w:val="10"/>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3"/>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71"/>
    <w:rsid w:val="00000441"/>
    <w:rsid w:val="000025DC"/>
    <w:rsid w:val="00006590"/>
    <w:rsid w:val="000069A4"/>
    <w:rsid w:val="000069F9"/>
    <w:rsid w:val="0000727D"/>
    <w:rsid w:val="0001092F"/>
    <w:rsid w:val="000119FB"/>
    <w:rsid w:val="00014990"/>
    <w:rsid w:val="000155D2"/>
    <w:rsid w:val="000162AD"/>
    <w:rsid w:val="00016A22"/>
    <w:rsid w:val="00016E5E"/>
    <w:rsid w:val="00017610"/>
    <w:rsid w:val="000205C6"/>
    <w:rsid w:val="00021FB0"/>
    <w:rsid w:val="000221AA"/>
    <w:rsid w:val="0002331F"/>
    <w:rsid w:val="00023F26"/>
    <w:rsid w:val="000249F8"/>
    <w:rsid w:val="00026E82"/>
    <w:rsid w:val="00027686"/>
    <w:rsid w:val="00030676"/>
    <w:rsid w:val="00030714"/>
    <w:rsid w:val="000310D6"/>
    <w:rsid w:val="0003322C"/>
    <w:rsid w:val="00034110"/>
    <w:rsid w:val="00035AC1"/>
    <w:rsid w:val="000368FC"/>
    <w:rsid w:val="000376EE"/>
    <w:rsid w:val="000421F8"/>
    <w:rsid w:val="00043262"/>
    <w:rsid w:val="0004407A"/>
    <w:rsid w:val="00045528"/>
    <w:rsid w:val="000500C8"/>
    <w:rsid w:val="00052063"/>
    <w:rsid w:val="00054B30"/>
    <w:rsid w:val="00055408"/>
    <w:rsid w:val="00055DDF"/>
    <w:rsid w:val="00056BDD"/>
    <w:rsid w:val="00057724"/>
    <w:rsid w:val="000616DD"/>
    <w:rsid w:val="00061C83"/>
    <w:rsid w:val="0006624B"/>
    <w:rsid w:val="000667AE"/>
    <w:rsid w:val="000711F1"/>
    <w:rsid w:val="00073DA8"/>
    <w:rsid w:val="000755E6"/>
    <w:rsid w:val="000764D3"/>
    <w:rsid w:val="00080A47"/>
    <w:rsid w:val="00082F77"/>
    <w:rsid w:val="00085C5A"/>
    <w:rsid w:val="00086280"/>
    <w:rsid w:val="000862FC"/>
    <w:rsid w:val="00087323"/>
    <w:rsid w:val="000879ED"/>
    <w:rsid w:val="00090C5D"/>
    <w:rsid w:val="00090DF0"/>
    <w:rsid w:val="00093649"/>
    <w:rsid w:val="00096246"/>
    <w:rsid w:val="00096E93"/>
    <w:rsid w:val="000A0A6E"/>
    <w:rsid w:val="000A2D8B"/>
    <w:rsid w:val="000A4016"/>
    <w:rsid w:val="000A4DC1"/>
    <w:rsid w:val="000A6C40"/>
    <w:rsid w:val="000B0DF8"/>
    <w:rsid w:val="000B70D6"/>
    <w:rsid w:val="000B7F7A"/>
    <w:rsid w:val="000C04A1"/>
    <w:rsid w:val="000C194F"/>
    <w:rsid w:val="000C2222"/>
    <w:rsid w:val="000C79E8"/>
    <w:rsid w:val="000D09ED"/>
    <w:rsid w:val="000D0A87"/>
    <w:rsid w:val="000D0FB1"/>
    <w:rsid w:val="000D11B8"/>
    <w:rsid w:val="000D145B"/>
    <w:rsid w:val="000D2941"/>
    <w:rsid w:val="000D6016"/>
    <w:rsid w:val="000D7185"/>
    <w:rsid w:val="000D7316"/>
    <w:rsid w:val="000D7BBE"/>
    <w:rsid w:val="000E1CED"/>
    <w:rsid w:val="000E24BD"/>
    <w:rsid w:val="000E29D1"/>
    <w:rsid w:val="000E6F19"/>
    <w:rsid w:val="000E7224"/>
    <w:rsid w:val="000F1E3F"/>
    <w:rsid w:val="000F2CEA"/>
    <w:rsid w:val="000F3DBC"/>
    <w:rsid w:val="000F48EC"/>
    <w:rsid w:val="00101F34"/>
    <w:rsid w:val="00102BC5"/>
    <w:rsid w:val="001033D5"/>
    <w:rsid w:val="001039F7"/>
    <w:rsid w:val="00105409"/>
    <w:rsid w:val="00107DBD"/>
    <w:rsid w:val="00113666"/>
    <w:rsid w:val="00114332"/>
    <w:rsid w:val="00116019"/>
    <w:rsid w:val="001169FE"/>
    <w:rsid w:val="00116D19"/>
    <w:rsid w:val="00121E78"/>
    <w:rsid w:val="001230AC"/>
    <w:rsid w:val="00124604"/>
    <w:rsid w:val="001265C0"/>
    <w:rsid w:val="00130D45"/>
    <w:rsid w:val="00131062"/>
    <w:rsid w:val="001337B7"/>
    <w:rsid w:val="00133921"/>
    <w:rsid w:val="00140C93"/>
    <w:rsid w:val="00143536"/>
    <w:rsid w:val="0014503F"/>
    <w:rsid w:val="00145B2F"/>
    <w:rsid w:val="00150440"/>
    <w:rsid w:val="00151D8E"/>
    <w:rsid w:val="00153863"/>
    <w:rsid w:val="001570BC"/>
    <w:rsid w:val="001579BF"/>
    <w:rsid w:val="00161AA0"/>
    <w:rsid w:val="001662BC"/>
    <w:rsid w:val="0017072D"/>
    <w:rsid w:val="00170B60"/>
    <w:rsid w:val="00171A2B"/>
    <w:rsid w:val="00176FB2"/>
    <w:rsid w:val="001823EB"/>
    <w:rsid w:val="00184A64"/>
    <w:rsid w:val="0018716E"/>
    <w:rsid w:val="001873CB"/>
    <w:rsid w:val="00191B56"/>
    <w:rsid w:val="00193945"/>
    <w:rsid w:val="00195110"/>
    <w:rsid w:val="001956FC"/>
    <w:rsid w:val="0019718A"/>
    <w:rsid w:val="001A1AE2"/>
    <w:rsid w:val="001A3F11"/>
    <w:rsid w:val="001A4593"/>
    <w:rsid w:val="001A5B49"/>
    <w:rsid w:val="001B1C85"/>
    <w:rsid w:val="001B1F36"/>
    <w:rsid w:val="001B2DD8"/>
    <w:rsid w:val="001B7E00"/>
    <w:rsid w:val="001C0EF4"/>
    <w:rsid w:val="001C59E4"/>
    <w:rsid w:val="001C609D"/>
    <w:rsid w:val="001D1D43"/>
    <w:rsid w:val="001D536A"/>
    <w:rsid w:val="001D5A3E"/>
    <w:rsid w:val="001E06EB"/>
    <w:rsid w:val="001E27E5"/>
    <w:rsid w:val="001E2CAF"/>
    <w:rsid w:val="001E4D37"/>
    <w:rsid w:val="001F1400"/>
    <w:rsid w:val="001F2E66"/>
    <w:rsid w:val="001F6078"/>
    <w:rsid w:val="001F7251"/>
    <w:rsid w:val="00204F82"/>
    <w:rsid w:val="002073A5"/>
    <w:rsid w:val="0021081C"/>
    <w:rsid w:val="0021121C"/>
    <w:rsid w:val="002119CD"/>
    <w:rsid w:val="00212281"/>
    <w:rsid w:val="002159C9"/>
    <w:rsid w:val="002218BC"/>
    <w:rsid w:val="00222BEA"/>
    <w:rsid w:val="00225439"/>
    <w:rsid w:val="00225F9B"/>
    <w:rsid w:val="002309F2"/>
    <w:rsid w:val="00232061"/>
    <w:rsid w:val="00235945"/>
    <w:rsid w:val="00235CAB"/>
    <w:rsid w:val="00245BF4"/>
    <w:rsid w:val="00246C15"/>
    <w:rsid w:val="00251471"/>
    <w:rsid w:val="002555BE"/>
    <w:rsid w:val="00255679"/>
    <w:rsid w:val="00256494"/>
    <w:rsid w:val="00257B1C"/>
    <w:rsid w:val="002614EA"/>
    <w:rsid w:val="00265B0E"/>
    <w:rsid w:val="00274FCF"/>
    <w:rsid w:val="00282C30"/>
    <w:rsid w:val="00282D7E"/>
    <w:rsid w:val="00282E81"/>
    <w:rsid w:val="00290445"/>
    <w:rsid w:val="00292044"/>
    <w:rsid w:val="00293811"/>
    <w:rsid w:val="002A151A"/>
    <w:rsid w:val="002A2687"/>
    <w:rsid w:val="002A26CE"/>
    <w:rsid w:val="002A486C"/>
    <w:rsid w:val="002A5C23"/>
    <w:rsid w:val="002A60F6"/>
    <w:rsid w:val="002B0AB9"/>
    <w:rsid w:val="002B3340"/>
    <w:rsid w:val="002B5772"/>
    <w:rsid w:val="002B6D1D"/>
    <w:rsid w:val="002C0551"/>
    <w:rsid w:val="002C0CCE"/>
    <w:rsid w:val="002C257D"/>
    <w:rsid w:val="002C2774"/>
    <w:rsid w:val="002C381D"/>
    <w:rsid w:val="002C5694"/>
    <w:rsid w:val="002D4DF9"/>
    <w:rsid w:val="002D79A7"/>
    <w:rsid w:val="002E3F68"/>
    <w:rsid w:val="002E5C16"/>
    <w:rsid w:val="002E5CCC"/>
    <w:rsid w:val="002E73E7"/>
    <w:rsid w:val="002F0AA7"/>
    <w:rsid w:val="002F1B28"/>
    <w:rsid w:val="002F2583"/>
    <w:rsid w:val="002F279A"/>
    <w:rsid w:val="002F2C1A"/>
    <w:rsid w:val="002F2C3B"/>
    <w:rsid w:val="002F4F5B"/>
    <w:rsid w:val="002F68FE"/>
    <w:rsid w:val="002F74F3"/>
    <w:rsid w:val="00300DF8"/>
    <w:rsid w:val="00303156"/>
    <w:rsid w:val="003107AB"/>
    <w:rsid w:val="0031127A"/>
    <w:rsid w:val="003123F4"/>
    <w:rsid w:val="003154E8"/>
    <w:rsid w:val="003157F8"/>
    <w:rsid w:val="00315C29"/>
    <w:rsid w:val="0031664C"/>
    <w:rsid w:val="00324997"/>
    <w:rsid w:val="003256B1"/>
    <w:rsid w:val="00331545"/>
    <w:rsid w:val="003330E6"/>
    <w:rsid w:val="0033333E"/>
    <w:rsid w:val="00336423"/>
    <w:rsid w:val="003368C0"/>
    <w:rsid w:val="00343439"/>
    <w:rsid w:val="00343B53"/>
    <w:rsid w:val="003459E9"/>
    <w:rsid w:val="00346BA7"/>
    <w:rsid w:val="00350860"/>
    <w:rsid w:val="00352E46"/>
    <w:rsid w:val="00354915"/>
    <w:rsid w:val="003621D1"/>
    <w:rsid w:val="00364E30"/>
    <w:rsid w:val="00372031"/>
    <w:rsid w:val="00372955"/>
    <w:rsid w:val="00372B3D"/>
    <w:rsid w:val="003738C2"/>
    <w:rsid w:val="003762F9"/>
    <w:rsid w:val="003838DC"/>
    <w:rsid w:val="003839E8"/>
    <w:rsid w:val="003847B9"/>
    <w:rsid w:val="00385E85"/>
    <w:rsid w:val="0039118D"/>
    <w:rsid w:val="00391AC8"/>
    <w:rsid w:val="00392FB4"/>
    <w:rsid w:val="00394DFF"/>
    <w:rsid w:val="00394E58"/>
    <w:rsid w:val="00395C05"/>
    <w:rsid w:val="003A0250"/>
    <w:rsid w:val="003A04CD"/>
    <w:rsid w:val="003A11AB"/>
    <w:rsid w:val="003A1F14"/>
    <w:rsid w:val="003A2F17"/>
    <w:rsid w:val="003A3974"/>
    <w:rsid w:val="003A5838"/>
    <w:rsid w:val="003A73B5"/>
    <w:rsid w:val="003A7C68"/>
    <w:rsid w:val="003A7DD7"/>
    <w:rsid w:val="003B0BC2"/>
    <w:rsid w:val="003B2444"/>
    <w:rsid w:val="003B37BB"/>
    <w:rsid w:val="003B568B"/>
    <w:rsid w:val="003B5A8F"/>
    <w:rsid w:val="003C1DCA"/>
    <w:rsid w:val="003C36AC"/>
    <w:rsid w:val="003C3A64"/>
    <w:rsid w:val="003C615C"/>
    <w:rsid w:val="003C7EF9"/>
    <w:rsid w:val="003D68D5"/>
    <w:rsid w:val="003D7050"/>
    <w:rsid w:val="003E14CF"/>
    <w:rsid w:val="003E6797"/>
    <w:rsid w:val="003E684C"/>
    <w:rsid w:val="003F168A"/>
    <w:rsid w:val="003F5FCD"/>
    <w:rsid w:val="003F6E57"/>
    <w:rsid w:val="00407D59"/>
    <w:rsid w:val="0041525E"/>
    <w:rsid w:val="00415631"/>
    <w:rsid w:val="00415939"/>
    <w:rsid w:val="0041757D"/>
    <w:rsid w:val="00420742"/>
    <w:rsid w:val="00421005"/>
    <w:rsid w:val="00427A6B"/>
    <w:rsid w:val="00431372"/>
    <w:rsid w:val="00433564"/>
    <w:rsid w:val="00433F6E"/>
    <w:rsid w:val="00437CA3"/>
    <w:rsid w:val="0044027B"/>
    <w:rsid w:val="004408F8"/>
    <w:rsid w:val="00444A64"/>
    <w:rsid w:val="0044648F"/>
    <w:rsid w:val="00446DA2"/>
    <w:rsid w:val="0045772F"/>
    <w:rsid w:val="00457843"/>
    <w:rsid w:val="00462002"/>
    <w:rsid w:val="0046212F"/>
    <w:rsid w:val="00462733"/>
    <w:rsid w:val="00463227"/>
    <w:rsid w:val="0046373F"/>
    <w:rsid w:val="00463973"/>
    <w:rsid w:val="00466674"/>
    <w:rsid w:val="00470F4E"/>
    <w:rsid w:val="00471113"/>
    <w:rsid w:val="00471200"/>
    <w:rsid w:val="00472FF8"/>
    <w:rsid w:val="00475F03"/>
    <w:rsid w:val="004804B3"/>
    <w:rsid w:val="00481E06"/>
    <w:rsid w:val="004820E9"/>
    <w:rsid w:val="0048219F"/>
    <w:rsid w:val="00483119"/>
    <w:rsid w:val="0048361F"/>
    <w:rsid w:val="004845D0"/>
    <w:rsid w:val="004852FF"/>
    <w:rsid w:val="00494E73"/>
    <w:rsid w:val="00496FF0"/>
    <w:rsid w:val="004A2830"/>
    <w:rsid w:val="004A3C95"/>
    <w:rsid w:val="004B0B72"/>
    <w:rsid w:val="004B514C"/>
    <w:rsid w:val="004B7425"/>
    <w:rsid w:val="004C00D8"/>
    <w:rsid w:val="004C39A7"/>
    <w:rsid w:val="004C3DAD"/>
    <w:rsid w:val="004C5923"/>
    <w:rsid w:val="004C6116"/>
    <w:rsid w:val="004C7C61"/>
    <w:rsid w:val="004D0DFD"/>
    <w:rsid w:val="004D1FBE"/>
    <w:rsid w:val="004D4A86"/>
    <w:rsid w:val="004D66CE"/>
    <w:rsid w:val="004D7664"/>
    <w:rsid w:val="004E0632"/>
    <w:rsid w:val="004E074F"/>
    <w:rsid w:val="004E6427"/>
    <w:rsid w:val="004E7625"/>
    <w:rsid w:val="004E7E43"/>
    <w:rsid w:val="004F0031"/>
    <w:rsid w:val="004F1956"/>
    <w:rsid w:val="004F4CF7"/>
    <w:rsid w:val="004F5FC6"/>
    <w:rsid w:val="004F6557"/>
    <w:rsid w:val="004F69FA"/>
    <w:rsid w:val="004F7E13"/>
    <w:rsid w:val="00502E55"/>
    <w:rsid w:val="005037B2"/>
    <w:rsid w:val="00503974"/>
    <w:rsid w:val="00503A43"/>
    <w:rsid w:val="0050455E"/>
    <w:rsid w:val="005047AD"/>
    <w:rsid w:val="00507749"/>
    <w:rsid w:val="00510125"/>
    <w:rsid w:val="00510B1D"/>
    <w:rsid w:val="0051107D"/>
    <w:rsid w:val="005125BB"/>
    <w:rsid w:val="00526C07"/>
    <w:rsid w:val="005273A6"/>
    <w:rsid w:val="00527533"/>
    <w:rsid w:val="00527E88"/>
    <w:rsid w:val="0053387C"/>
    <w:rsid w:val="00534469"/>
    <w:rsid w:val="00534F74"/>
    <w:rsid w:val="00536789"/>
    <w:rsid w:val="00536D2F"/>
    <w:rsid w:val="00540052"/>
    <w:rsid w:val="0054146B"/>
    <w:rsid w:val="00543DB4"/>
    <w:rsid w:val="00543E08"/>
    <w:rsid w:val="005449AD"/>
    <w:rsid w:val="005505ED"/>
    <w:rsid w:val="005512D5"/>
    <w:rsid w:val="00555044"/>
    <w:rsid w:val="005556A2"/>
    <w:rsid w:val="00557E21"/>
    <w:rsid w:val="00564B04"/>
    <w:rsid w:val="00567462"/>
    <w:rsid w:val="00573059"/>
    <w:rsid w:val="0057621E"/>
    <w:rsid w:val="00577997"/>
    <w:rsid w:val="00577B05"/>
    <w:rsid w:val="00580D6F"/>
    <w:rsid w:val="005812C6"/>
    <w:rsid w:val="005852F1"/>
    <w:rsid w:val="005948FA"/>
    <w:rsid w:val="005959BE"/>
    <w:rsid w:val="005961F9"/>
    <w:rsid w:val="00596210"/>
    <w:rsid w:val="00596286"/>
    <w:rsid w:val="00596999"/>
    <w:rsid w:val="005A0F31"/>
    <w:rsid w:val="005A28A1"/>
    <w:rsid w:val="005A38F7"/>
    <w:rsid w:val="005A46D0"/>
    <w:rsid w:val="005A6FB5"/>
    <w:rsid w:val="005B25E4"/>
    <w:rsid w:val="005B30C8"/>
    <w:rsid w:val="005B4F07"/>
    <w:rsid w:val="005B710D"/>
    <w:rsid w:val="005B7778"/>
    <w:rsid w:val="005C007B"/>
    <w:rsid w:val="005C051F"/>
    <w:rsid w:val="005C3E23"/>
    <w:rsid w:val="005C6E7B"/>
    <w:rsid w:val="005C762E"/>
    <w:rsid w:val="005D098C"/>
    <w:rsid w:val="005D3FD9"/>
    <w:rsid w:val="005E14F8"/>
    <w:rsid w:val="005E2139"/>
    <w:rsid w:val="005E46BB"/>
    <w:rsid w:val="006001CC"/>
    <w:rsid w:val="00602B4D"/>
    <w:rsid w:val="00603C94"/>
    <w:rsid w:val="006048E0"/>
    <w:rsid w:val="00604FAD"/>
    <w:rsid w:val="0060662A"/>
    <w:rsid w:val="00611D2A"/>
    <w:rsid w:val="00612789"/>
    <w:rsid w:val="00613D24"/>
    <w:rsid w:val="00614BDA"/>
    <w:rsid w:val="00614CDE"/>
    <w:rsid w:val="006163A1"/>
    <w:rsid w:val="00620D40"/>
    <w:rsid w:val="00621AFB"/>
    <w:rsid w:val="006255BF"/>
    <w:rsid w:val="0062589A"/>
    <w:rsid w:val="00627DD9"/>
    <w:rsid w:val="006307C7"/>
    <w:rsid w:val="00632B82"/>
    <w:rsid w:val="006331B4"/>
    <w:rsid w:val="006343F3"/>
    <w:rsid w:val="00640CF2"/>
    <w:rsid w:val="006417D6"/>
    <w:rsid w:val="00642906"/>
    <w:rsid w:val="00643582"/>
    <w:rsid w:val="00643B75"/>
    <w:rsid w:val="006455D9"/>
    <w:rsid w:val="006457EF"/>
    <w:rsid w:val="00650F96"/>
    <w:rsid w:val="006512B7"/>
    <w:rsid w:val="00651C22"/>
    <w:rsid w:val="00654E92"/>
    <w:rsid w:val="00655679"/>
    <w:rsid w:val="00655B4D"/>
    <w:rsid w:val="00655ED5"/>
    <w:rsid w:val="00660508"/>
    <w:rsid w:val="00665734"/>
    <w:rsid w:val="00671977"/>
    <w:rsid w:val="00671D80"/>
    <w:rsid w:val="00672EFB"/>
    <w:rsid w:val="006739CF"/>
    <w:rsid w:val="0067752C"/>
    <w:rsid w:val="006776A2"/>
    <w:rsid w:val="006801A6"/>
    <w:rsid w:val="0068124B"/>
    <w:rsid w:val="00681610"/>
    <w:rsid w:val="00685D36"/>
    <w:rsid w:val="00687304"/>
    <w:rsid w:val="00690C01"/>
    <w:rsid w:val="00692C71"/>
    <w:rsid w:val="006931A0"/>
    <w:rsid w:val="006935BC"/>
    <w:rsid w:val="00696E55"/>
    <w:rsid w:val="006A0B0E"/>
    <w:rsid w:val="006A3A9C"/>
    <w:rsid w:val="006A3CC5"/>
    <w:rsid w:val="006A52E5"/>
    <w:rsid w:val="006A721F"/>
    <w:rsid w:val="006A7CCF"/>
    <w:rsid w:val="006B0581"/>
    <w:rsid w:val="006B0F36"/>
    <w:rsid w:val="006B30FD"/>
    <w:rsid w:val="006B4254"/>
    <w:rsid w:val="006B58D7"/>
    <w:rsid w:val="006B5CB4"/>
    <w:rsid w:val="006B6DCF"/>
    <w:rsid w:val="006B791B"/>
    <w:rsid w:val="006C338D"/>
    <w:rsid w:val="006C4793"/>
    <w:rsid w:val="006D36FB"/>
    <w:rsid w:val="006D41D8"/>
    <w:rsid w:val="006D42ED"/>
    <w:rsid w:val="006D4D1A"/>
    <w:rsid w:val="006D7285"/>
    <w:rsid w:val="006D73F1"/>
    <w:rsid w:val="006E2A29"/>
    <w:rsid w:val="006E3514"/>
    <w:rsid w:val="006E7421"/>
    <w:rsid w:val="006E7647"/>
    <w:rsid w:val="006E78C1"/>
    <w:rsid w:val="006F162C"/>
    <w:rsid w:val="006F1DA8"/>
    <w:rsid w:val="006F24EB"/>
    <w:rsid w:val="006F4CFA"/>
    <w:rsid w:val="006F5310"/>
    <w:rsid w:val="006F696E"/>
    <w:rsid w:val="006F6B91"/>
    <w:rsid w:val="007040CB"/>
    <w:rsid w:val="0070523B"/>
    <w:rsid w:val="00707D16"/>
    <w:rsid w:val="00715E8A"/>
    <w:rsid w:val="00717226"/>
    <w:rsid w:val="00720FDD"/>
    <w:rsid w:val="007220AC"/>
    <w:rsid w:val="00722883"/>
    <w:rsid w:val="00723AF0"/>
    <w:rsid w:val="00723D55"/>
    <w:rsid w:val="00727911"/>
    <w:rsid w:val="0073007E"/>
    <w:rsid w:val="007311E2"/>
    <w:rsid w:val="00732519"/>
    <w:rsid w:val="0073365B"/>
    <w:rsid w:val="00734F5A"/>
    <w:rsid w:val="00736D97"/>
    <w:rsid w:val="00737CEF"/>
    <w:rsid w:val="00737DDA"/>
    <w:rsid w:val="00742463"/>
    <w:rsid w:val="00746B57"/>
    <w:rsid w:val="00747D90"/>
    <w:rsid w:val="0075162F"/>
    <w:rsid w:val="00751CB9"/>
    <w:rsid w:val="00755E81"/>
    <w:rsid w:val="0075624F"/>
    <w:rsid w:val="00756D96"/>
    <w:rsid w:val="0075762C"/>
    <w:rsid w:val="00763641"/>
    <w:rsid w:val="007668BA"/>
    <w:rsid w:val="00770596"/>
    <w:rsid w:val="00771725"/>
    <w:rsid w:val="0077277D"/>
    <w:rsid w:val="007747D4"/>
    <w:rsid w:val="00774963"/>
    <w:rsid w:val="00775947"/>
    <w:rsid w:val="00780054"/>
    <w:rsid w:val="00781B7F"/>
    <w:rsid w:val="00782DCB"/>
    <w:rsid w:val="00784156"/>
    <w:rsid w:val="00785B0A"/>
    <w:rsid w:val="00785D22"/>
    <w:rsid w:val="007933B3"/>
    <w:rsid w:val="00794D72"/>
    <w:rsid w:val="0079530A"/>
    <w:rsid w:val="007A048E"/>
    <w:rsid w:val="007A19AF"/>
    <w:rsid w:val="007A1E9D"/>
    <w:rsid w:val="007A2801"/>
    <w:rsid w:val="007A4C86"/>
    <w:rsid w:val="007A4EEE"/>
    <w:rsid w:val="007A6DAA"/>
    <w:rsid w:val="007A7EC8"/>
    <w:rsid w:val="007B032C"/>
    <w:rsid w:val="007B1279"/>
    <w:rsid w:val="007B1AF8"/>
    <w:rsid w:val="007B2A16"/>
    <w:rsid w:val="007B4B3F"/>
    <w:rsid w:val="007B787D"/>
    <w:rsid w:val="007B7B7B"/>
    <w:rsid w:val="007C1B58"/>
    <w:rsid w:val="007C3165"/>
    <w:rsid w:val="007C3822"/>
    <w:rsid w:val="007C58D6"/>
    <w:rsid w:val="007C732D"/>
    <w:rsid w:val="007D1008"/>
    <w:rsid w:val="007D2EF6"/>
    <w:rsid w:val="007D3C05"/>
    <w:rsid w:val="007D5B27"/>
    <w:rsid w:val="007D5C80"/>
    <w:rsid w:val="007D62AE"/>
    <w:rsid w:val="007D7FE0"/>
    <w:rsid w:val="007E013D"/>
    <w:rsid w:val="007E2754"/>
    <w:rsid w:val="007E5818"/>
    <w:rsid w:val="007E61A7"/>
    <w:rsid w:val="007E65D7"/>
    <w:rsid w:val="007E72F3"/>
    <w:rsid w:val="007F0731"/>
    <w:rsid w:val="007F2870"/>
    <w:rsid w:val="0080089C"/>
    <w:rsid w:val="00800F36"/>
    <w:rsid w:val="00803318"/>
    <w:rsid w:val="00803456"/>
    <w:rsid w:val="008045AC"/>
    <w:rsid w:val="00811BBD"/>
    <w:rsid w:val="00812976"/>
    <w:rsid w:val="00814DEF"/>
    <w:rsid w:val="00821C99"/>
    <w:rsid w:val="0082239E"/>
    <w:rsid w:val="00823870"/>
    <w:rsid w:val="00825A87"/>
    <w:rsid w:val="0083157B"/>
    <w:rsid w:val="008316E4"/>
    <w:rsid w:val="00831B9B"/>
    <w:rsid w:val="0083312E"/>
    <w:rsid w:val="00835008"/>
    <w:rsid w:val="00842A7E"/>
    <w:rsid w:val="00844D3D"/>
    <w:rsid w:val="0084532E"/>
    <w:rsid w:val="00845810"/>
    <w:rsid w:val="00845F3C"/>
    <w:rsid w:val="00846159"/>
    <w:rsid w:val="00847995"/>
    <w:rsid w:val="008505C3"/>
    <w:rsid w:val="00851677"/>
    <w:rsid w:val="008522C6"/>
    <w:rsid w:val="00852E40"/>
    <w:rsid w:val="0085368A"/>
    <w:rsid w:val="00857A90"/>
    <w:rsid w:val="00857CDD"/>
    <w:rsid w:val="00860EA8"/>
    <w:rsid w:val="0086472B"/>
    <w:rsid w:val="00865954"/>
    <w:rsid w:val="0087368E"/>
    <w:rsid w:val="00877FB5"/>
    <w:rsid w:val="008802D9"/>
    <w:rsid w:val="00880B98"/>
    <w:rsid w:val="00881F26"/>
    <w:rsid w:val="00883071"/>
    <w:rsid w:val="008838A1"/>
    <w:rsid w:val="0088685E"/>
    <w:rsid w:val="0088689E"/>
    <w:rsid w:val="00891794"/>
    <w:rsid w:val="00891929"/>
    <w:rsid w:val="00892489"/>
    <w:rsid w:val="00893176"/>
    <w:rsid w:val="00895446"/>
    <w:rsid w:val="0089741E"/>
    <w:rsid w:val="00897F2F"/>
    <w:rsid w:val="008A05E4"/>
    <w:rsid w:val="008A2098"/>
    <w:rsid w:val="008A32D1"/>
    <w:rsid w:val="008B03D8"/>
    <w:rsid w:val="008B26A6"/>
    <w:rsid w:val="008B2AB7"/>
    <w:rsid w:val="008B61CD"/>
    <w:rsid w:val="008C4A61"/>
    <w:rsid w:val="008C4CB3"/>
    <w:rsid w:val="008C4F0F"/>
    <w:rsid w:val="008C6CFD"/>
    <w:rsid w:val="008C7B45"/>
    <w:rsid w:val="008C7D07"/>
    <w:rsid w:val="008C7F38"/>
    <w:rsid w:val="008D24B8"/>
    <w:rsid w:val="008D3B9E"/>
    <w:rsid w:val="008D3DE9"/>
    <w:rsid w:val="008D55C9"/>
    <w:rsid w:val="008E1226"/>
    <w:rsid w:val="008E7460"/>
    <w:rsid w:val="008E7585"/>
    <w:rsid w:val="008F2E5C"/>
    <w:rsid w:val="008F646F"/>
    <w:rsid w:val="00904DD7"/>
    <w:rsid w:val="00905BF5"/>
    <w:rsid w:val="00906982"/>
    <w:rsid w:val="009076D0"/>
    <w:rsid w:val="009112EF"/>
    <w:rsid w:val="00912778"/>
    <w:rsid w:val="00914F38"/>
    <w:rsid w:val="0091776B"/>
    <w:rsid w:val="00920396"/>
    <w:rsid w:val="0092657D"/>
    <w:rsid w:val="0093051E"/>
    <w:rsid w:val="00931466"/>
    <w:rsid w:val="00932B67"/>
    <w:rsid w:val="00935018"/>
    <w:rsid w:val="0093671F"/>
    <w:rsid w:val="00937D0C"/>
    <w:rsid w:val="00937F0D"/>
    <w:rsid w:val="00941D1F"/>
    <w:rsid w:val="0094366C"/>
    <w:rsid w:val="0094666B"/>
    <w:rsid w:val="00947966"/>
    <w:rsid w:val="009479C0"/>
    <w:rsid w:val="00950914"/>
    <w:rsid w:val="00950C51"/>
    <w:rsid w:val="00951973"/>
    <w:rsid w:val="0095252E"/>
    <w:rsid w:val="00952591"/>
    <w:rsid w:val="00952C90"/>
    <w:rsid w:val="00953ADF"/>
    <w:rsid w:val="00953B55"/>
    <w:rsid w:val="00957E73"/>
    <w:rsid w:val="0096135C"/>
    <w:rsid w:val="0096509C"/>
    <w:rsid w:val="009746D7"/>
    <w:rsid w:val="009808B4"/>
    <w:rsid w:val="00983391"/>
    <w:rsid w:val="00984821"/>
    <w:rsid w:val="00985CFE"/>
    <w:rsid w:val="00987232"/>
    <w:rsid w:val="009961A7"/>
    <w:rsid w:val="0099716A"/>
    <w:rsid w:val="00997705"/>
    <w:rsid w:val="009A0593"/>
    <w:rsid w:val="009A2797"/>
    <w:rsid w:val="009A2C14"/>
    <w:rsid w:val="009A3D97"/>
    <w:rsid w:val="009A3ED6"/>
    <w:rsid w:val="009A598B"/>
    <w:rsid w:val="009A698B"/>
    <w:rsid w:val="009B0E21"/>
    <w:rsid w:val="009B2835"/>
    <w:rsid w:val="009B2D86"/>
    <w:rsid w:val="009B3F94"/>
    <w:rsid w:val="009B5287"/>
    <w:rsid w:val="009B5E70"/>
    <w:rsid w:val="009B621A"/>
    <w:rsid w:val="009B672F"/>
    <w:rsid w:val="009B6EAB"/>
    <w:rsid w:val="009B718D"/>
    <w:rsid w:val="009C0BCC"/>
    <w:rsid w:val="009C2DC8"/>
    <w:rsid w:val="009C3FA3"/>
    <w:rsid w:val="009C45D9"/>
    <w:rsid w:val="009C6F32"/>
    <w:rsid w:val="009C7C71"/>
    <w:rsid w:val="009D2BEF"/>
    <w:rsid w:val="009D5A82"/>
    <w:rsid w:val="009D7187"/>
    <w:rsid w:val="009D783B"/>
    <w:rsid w:val="009E01DD"/>
    <w:rsid w:val="009E06FF"/>
    <w:rsid w:val="009E1795"/>
    <w:rsid w:val="009E547A"/>
    <w:rsid w:val="009F30C8"/>
    <w:rsid w:val="009F4054"/>
    <w:rsid w:val="009F73BA"/>
    <w:rsid w:val="00A02F7D"/>
    <w:rsid w:val="00A03791"/>
    <w:rsid w:val="00A06657"/>
    <w:rsid w:val="00A12DA0"/>
    <w:rsid w:val="00A16DFA"/>
    <w:rsid w:val="00A17C0A"/>
    <w:rsid w:val="00A22FA7"/>
    <w:rsid w:val="00A238D0"/>
    <w:rsid w:val="00A33919"/>
    <w:rsid w:val="00A34A9C"/>
    <w:rsid w:val="00A3601F"/>
    <w:rsid w:val="00A36968"/>
    <w:rsid w:val="00A36E23"/>
    <w:rsid w:val="00A41149"/>
    <w:rsid w:val="00A44745"/>
    <w:rsid w:val="00A44F15"/>
    <w:rsid w:val="00A4683A"/>
    <w:rsid w:val="00A47B7B"/>
    <w:rsid w:val="00A50621"/>
    <w:rsid w:val="00A54175"/>
    <w:rsid w:val="00A55711"/>
    <w:rsid w:val="00A56809"/>
    <w:rsid w:val="00A60D9A"/>
    <w:rsid w:val="00A62251"/>
    <w:rsid w:val="00A63A07"/>
    <w:rsid w:val="00A654A2"/>
    <w:rsid w:val="00A67183"/>
    <w:rsid w:val="00A70079"/>
    <w:rsid w:val="00A71FC5"/>
    <w:rsid w:val="00A73DAD"/>
    <w:rsid w:val="00A76452"/>
    <w:rsid w:val="00A83F5F"/>
    <w:rsid w:val="00A84DF8"/>
    <w:rsid w:val="00A869AC"/>
    <w:rsid w:val="00A86D3D"/>
    <w:rsid w:val="00A9013E"/>
    <w:rsid w:val="00A91238"/>
    <w:rsid w:val="00A9135D"/>
    <w:rsid w:val="00A915F3"/>
    <w:rsid w:val="00A94B17"/>
    <w:rsid w:val="00A94F1F"/>
    <w:rsid w:val="00A95347"/>
    <w:rsid w:val="00AA144C"/>
    <w:rsid w:val="00AA471D"/>
    <w:rsid w:val="00AA4B1C"/>
    <w:rsid w:val="00AA6188"/>
    <w:rsid w:val="00AA7A01"/>
    <w:rsid w:val="00AA7E33"/>
    <w:rsid w:val="00AB265E"/>
    <w:rsid w:val="00AB2948"/>
    <w:rsid w:val="00AB39FA"/>
    <w:rsid w:val="00AB3B30"/>
    <w:rsid w:val="00AB426C"/>
    <w:rsid w:val="00AB451C"/>
    <w:rsid w:val="00AB549B"/>
    <w:rsid w:val="00AB59F2"/>
    <w:rsid w:val="00AC2137"/>
    <w:rsid w:val="00AC3E62"/>
    <w:rsid w:val="00AC5AF9"/>
    <w:rsid w:val="00AC6192"/>
    <w:rsid w:val="00AD2F03"/>
    <w:rsid w:val="00AD57FE"/>
    <w:rsid w:val="00AD6933"/>
    <w:rsid w:val="00AD6B7B"/>
    <w:rsid w:val="00AD7CAB"/>
    <w:rsid w:val="00AE16C9"/>
    <w:rsid w:val="00AE3EF5"/>
    <w:rsid w:val="00AE4F2A"/>
    <w:rsid w:val="00AE5F33"/>
    <w:rsid w:val="00AF0AD5"/>
    <w:rsid w:val="00AF15E6"/>
    <w:rsid w:val="00AF51E7"/>
    <w:rsid w:val="00AF6744"/>
    <w:rsid w:val="00B05620"/>
    <w:rsid w:val="00B10F09"/>
    <w:rsid w:val="00B12E05"/>
    <w:rsid w:val="00B12EBE"/>
    <w:rsid w:val="00B16431"/>
    <w:rsid w:val="00B166A4"/>
    <w:rsid w:val="00B200B1"/>
    <w:rsid w:val="00B20A1A"/>
    <w:rsid w:val="00B219B7"/>
    <w:rsid w:val="00B22454"/>
    <w:rsid w:val="00B24745"/>
    <w:rsid w:val="00B25038"/>
    <w:rsid w:val="00B3159A"/>
    <w:rsid w:val="00B327AA"/>
    <w:rsid w:val="00B33465"/>
    <w:rsid w:val="00B35C09"/>
    <w:rsid w:val="00B379C5"/>
    <w:rsid w:val="00B4183F"/>
    <w:rsid w:val="00B42198"/>
    <w:rsid w:val="00B46AD2"/>
    <w:rsid w:val="00B529AD"/>
    <w:rsid w:val="00B556AF"/>
    <w:rsid w:val="00B60258"/>
    <w:rsid w:val="00B64BBE"/>
    <w:rsid w:val="00B65EA5"/>
    <w:rsid w:val="00B67DE1"/>
    <w:rsid w:val="00B70CC6"/>
    <w:rsid w:val="00B73894"/>
    <w:rsid w:val="00B75403"/>
    <w:rsid w:val="00B77357"/>
    <w:rsid w:val="00B8193F"/>
    <w:rsid w:val="00B8473D"/>
    <w:rsid w:val="00B90410"/>
    <w:rsid w:val="00B90E10"/>
    <w:rsid w:val="00B91635"/>
    <w:rsid w:val="00B964CA"/>
    <w:rsid w:val="00BA31C4"/>
    <w:rsid w:val="00BA4655"/>
    <w:rsid w:val="00BA78B6"/>
    <w:rsid w:val="00BA7935"/>
    <w:rsid w:val="00BB047B"/>
    <w:rsid w:val="00BB4818"/>
    <w:rsid w:val="00BB4AF3"/>
    <w:rsid w:val="00BB6398"/>
    <w:rsid w:val="00BC0155"/>
    <w:rsid w:val="00BC25EF"/>
    <w:rsid w:val="00BC2DAF"/>
    <w:rsid w:val="00BC3753"/>
    <w:rsid w:val="00BC4FD3"/>
    <w:rsid w:val="00BC6827"/>
    <w:rsid w:val="00BC6C7A"/>
    <w:rsid w:val="00BC7908"/>
    <w:rsid w:val="00BC7D9E"/>
    <w:rsid w:val="00BD0372"/>
    <w:rsid w:val="00BD1FCF"/>
    <w:rsid w:val="00BD42EE"/>
    <w:rsid w:val="00BD44F5"/>
    <w:rsid w:val="00BE4340"/>
    <w:rsid w:val="00BE5C41"/>
    <w:rsid w:val="00BE620B"/>
    <w:rsid w:val="00BF0646"/>
    <w:rsid w:val="00BF1C32"/>
    <w:rsid w:val="00BF76A6"/>
    <w:rsid w:val="00C01F23"/>
    <w:rsid w:val="00C044BE"/>
    <w:rsid w:val="00C04BAB"/>
    <w:rsid w:val="00C0607B"/>
    <w:rsid w:val="00C06DEF"/>
    <w:rsid w:val="00C075A2"/>
    <w:rsid w:val="00C107CB"/>
    <w:rsid w:val="00C118C4"/>
    <w:rsid w:val="00C11F58"/>
    <w:rsid w:val="00C120D7"/>
    <w:rsid w:val="00C132D1"/>
    <w:rsid w:val="00C139CA"/>
    <w:rsid w:val="00C13A7D"/>
    <w:rsid w:val="00C1506C"/>
    <w:rsid w:val="00C153F7"/>
    <w:rsid w:val="00C1764A"/>
    <w:rsid w:val="00C21EE0"/>
    <w:rsid w:val="00C241A8"/>
    <w:rsid w:val="00C24ABA"/>
    <w:rsid w:val="00C264CB"/>
    <w:rsid w:val="00C31253"/>
    <w:rsid w:val="00C35129"/>
    <w:rsid w:val="00C419DB"/>
    <w:rsid w:val="00C43101"/>
    <w:rsid w:val="00C476F1"/>
    <w:rsid w:val="00C51429"/>
    <w:rsid w:val="00C51E8F"/>
    <w:rsid w:val="00C52FC0"/>
    <w:rsid w:val="00C53F9E"/>
    <w:rsid w:val="00C559E9"/>
    <w:rsid w:val="00C608C1"/>
    <w:rsid w:val="00C63BDA"/>
    <w:rsid w:val="00C63D4E"/>
    <w:rsid w:val="00C63EA9"/>
    <w:rsid w:val="00C6443C"/>
    <w:rsid w:val="00C665A0"/>
    <w:rsid w:val="00C67725"/>
    <w:rsid w:val="00C700F3"/>
    <w:rsid w:val="00C7092F"/>
    <w:rsid w:val="00C76DDA"/>
    <w:rsid w:val="00C807B3"/>
    <w:rsid w:val="00C825C9"/>
    <w:rsid w:val="00C83EBF"/>
    <w:rsid w:val="00C86CC3"/>
    <w:rsid w:val="00C8723E"/>
    <w:rsid w:val="00C901B1"/>
    <w:rsid w:val="00C90EBC"/>
    <w:rsid w:val="00C91B69"/>
    <w:rsid w:val="00C95085"/>
    <w:rsid w:val="00CA0409"/>
    <w:rsid w:val="00CA3856"/>
    <w:rsid w:val="00CA5A3F"/>
    <w:rsid w:val="00CA67E0"/>
    <w:rsid w:val="00CB0122"/>
    <w:rsid w:val="00CB0269"/>
    <w:rsid w:val="00CB0833"/>
    <w:rsid w:val="00CB18F5"/>
    <w:rsid w:val="00CB682B"/>
    <w:rsid w:val="00CC008E"/>
    <w:rsid w:val="00CC02ED"/>
    <w:rsid w:val="00CC2263"/>
    <w:rsid w:val="00CC63EB"/>
    <w:rsid w:val="00CD022A"/>
    <w:rsid w:val="00CD03BE"/>
    <w:rsid w:val="00CD0707"/>
    <w:rsid w:val="00CD1A25"/>
    <w:rsid w:val="00CD33D4"/>
    <w:rsid w:val="00CD4902"/>
    <w:rsid w:val="00CD65E7"/>
    <w:rsid w:val="00CD7BFC"/>
    <w:rsid w:val="00CE2B95"/>
    <w:rsid w:val="00CE2F1A"/>
    <w:rsid w:val="00CE5908"/>
    <w:rsid w:val="00CF1A11"/>
    <w:rsid w:val="00CF30FC"/>
    <w:rsid w:val="00CF3119"/>
    <w:rsid w:val="00CF4286"/>
    <w:rsid w:val="00CF51CA"/>
    <w:rsid w:val="00CF5CB2"/>
    <w:rsid w:val="00D01B9F"/>
    <w:rsid w:val="00D03B38"/>
    <w:rsid w:val="00D03F87"/>
    <w:rsid w:val="00D04C5C"/>
    <w:rsid w:val="00D04CD4"/>
    <w:rsid w:val="00D07174"/>
    <w:rsid w:val="00D12095"/>
    <w:rsid w:val="00D159DA"/>
    <w:rsid w:val="00D21AEC"/>
    <w:rsid w:val="00D22B2D"/>
    <w:rsid w:val="00D22D06"/>
    <w:rsid w:val="00D2360A"/>
    <w:rsid w:val="00D24772"/>
    <w:rsid w:val="00D26E91"/>
    <w:rsid w:val="00D32134"/>
    <w:rsid w:val="00D3441D"/>
    <w:rsid w:val="00D355C4"/>
    <w:rsid w:val="00D3612A"/>
    <w:rsid w:val="00D37703"/>
    <w:rsid w:val="00D37DBF"/>
    <w:rsid w:val="00D37F25"/>
    <w:rsid w:val="00D42F4F"/>
    <w:rsid w:val="00D44141"/>
    <w:rsid w:val="00D52BF9"/>
    <w:rsid w:val="00D55AEF"/>
    <w:rsid w:val="00D56A53"/>
    <w:rsid w:val="00D603C8"/>
    <w:rsid w:val="00D626CB"/>
    <w:rsid w:val="00D6324F"/>
    <w:rsid w:val="00D63458"/>
    <w:rsid w:val="00D66D37"/>
    <w:rsid w:val="00D736C5"/>
    <w:rsid w:val="00D750CC"/>
    <w:rsid w:val="00D758DC"/>
    <w:rsid w:val="00D81159"/>
    <w:rsid w:val="00D82120"/>
    <w:rsid w:val="00D84369"/>
    <w:rsid w:val="00D84C8F"/>
    <w:rsid w:val="00D873AD"/>
    <w:rsid w:val="00D90BEE"/>
    <w:rsid w:val="00D91AAC"/>
    <w:rsid w:val="00D91C06"/>
    <w:rsid w:val="00D91C9F"/>
    <w:rsid w:val="00D93FD1"/>
    <w:rsid w:val="00DA08F5"/>
    <w:rsid w:val="00DA2ADC"/>
    <w:rsid w:val="00DA3C55"/>
    <w:rsid w:val="00DB01E2"/>
    <w:rsid w:val="00DB0764"/>
    <w:rsid w:val="00DB14CE"/>
    <w:rsid w:val="00DB3506"/>
    <w:rsid w:val="00DB36A1"/>
    <w:rsid w:val="00DB6A2B"/>
    <w:rsid w:val="00DB7A9A"/>
    <w:rsid w:val="00DC0E9E"/>
    <w:rsid w:val="00DC3177"/>
    <w:rsid w:val="00DC3276"/>
    <w:rsid w:val="00DD13AB"/>
    <w:rsid w:val="00DD2841"/>
    <w:rsid w:val="00DD37D8"/>
    <w:rsid w:val="00DD3D71"/>
    <w:rsid w:val="00DD4EB5"/>
    <w:rsid w:val="00DD5902"/>
    <w:rsid w:val="00DE01A4"/>
    <w:rsid w:val="00DE0945"/>
    <w:rsid w:val="00DE3E40"/>
    <w:rsid w:val="00DE4597"/>
    <w:rsid w:val="00DE643F"/>
    <w:rsid w:val="00DF6840"/>
    <w:rsid w:val="00DF6FE1"/>
    <w:rsid w:val="00E010AB"/>
    <w:rsid w:val="00E015AD"/>
    <w:rsid w:val="00E0233F"/>
    <w:rsid w:val="00E02678"/>
    <w:rsid w:val="00E050EC"/>
    <w:rsid w:val="00E06262"/>
    <w:rsid w:val="00E0748A"/>
    <w:rsid w:val="00E07D53"/>
    <w:rsid w:val="00E128A9"/>
    <w:rsid w:val="00E143DA"/>
    <w:rsid w:val="00E14BA3"/>
    <w:rsid w:val="00E16744"/>
    <w:rsid w:val="00E21202"/>
    <w:rsid w:val="00E25953"/>
    <w:rsid w:val="00E2783B"/>
    <w:rsid w:val="00E27F5A"/>
    <w:rsid w:val="00E32BEA"/>
    <w:rsid w:val="00E32F5B"/>
    <w:rsid w:val="00E3797A"/>
    <w:rsid w:val="00E3799F"/>
    <w:rsid w:val="00E37DA2"/>
    <w:rsid w:val="00E37DBB"/>
    <w:rsid w:val="00E4121B"/>
    <w:rsid w:val="00E42FA4"/>
    <w:rsid w:val="00E43ACF"/>
    <w:rsid w:val="00E45864"/>
    <w:rsid w:val="00E4622C"/>
    <w:rsid w:val="00E47F40"/>
    <w:rsid w:val="00E51FFB"/>
    <w:rsid w:val="00E52DD3"/>
    <w:rsid w:val="00E5471E"/>
    <w:rsid w:val="00E558A4"/>
    <w:rsid w:val="00E576D9"/>
    <w:rsid w:val="00E579B3"/>
    <w:rsid w:val="00E65398"/>
    <w:rsid w:val="00E65C76"/>
    <w:rsid w:val="00E65EA1"/>
    <w:rsid w:val="00E6605D"/>
    <w:rsid w:val="00E6611F"/>
    <w:rsid w:val="00E67F73"/>
    <w:rsid w:val="00E770A4"/>
    <w:rsid w:val="00E9168B"/>
    <w:rsid w:val="00E923A0"/>
    <w:rsid w:val="00E9265B"/>
    <w:rsid w:val="00E95253"/>
    <w:rsid w:val="00E978F3"/>
    <w:rsid w:val="00EA1CB1"/>
    <w:rsid w:val="00EA2B2C"/>
    <w:rsid w:val="00EA4141"/>
    <w:rsid w:val="00EA5917"/>
    <w:rsid w:val="00EA6125"/>
    <w:rsid w:val="00EC0435"/>
    <w:rsid w:val="00EC0793"/>
    <w:rsid w:val="00EC09D5"/>
    <w:rsid w:val="00EC2311"/>
    <w:rsid w:val="00EC2946"/>
    <w:rsid w:val="00EC3D0D"/>
    <w:rsid w:val="00EC5A7B"/>
    <w:rsid w:val="00EC7180"/>
    <w:rsid w:val="00ED1525"/>
    <w:rsid w:val="00ED209D"/>
    <w:rsid w:val="00ED2A9A"/>
    <w:rsid w:val="00ED418D"/>
    <w:rsid w:val="00ED46C4"/>
    <w:rsid w:val="00ED5F88"/>
    <w:rsid w:val="00ED664B"/>
    <w:rsid w:val="00ED69D4"/>
    <w:rsid w:val="00ED7359"/>
    <w:rsid w:val="00ED7C2E"/>
    <w:rsid w:val="00EE3A47"/>
    <w:rsid w:val="00EE5111"/>
    <w:rsid w:val="00EE5B10"/>
    <w:rsid w:val="00EF157F"/>
    <w:rsid w:val="00EF2730"/>
    <w:rsid w:val="00EF28D7"/>
    <w:rsid w:val="00F01D63"/>
    <w:rsid w:val="00F03786"/>
    <w:rsid w:val="00F05E37"/>
    <w:rsid w:val="00F07897"/>
    <w:rsid w:val="00F07EF7"/>
    <w:rsid w:val="00F112AC"/>
    <w:rsid w:val="00F11895"/>
    <w:rsid w:val="00F130AD"/>
    <w:rsid w:val="00F17B6E"/>
    <w:rsid w:val="00F17F90"/>
    <w:rsid w:val="00F2002D"/>
    <w:rsid w:val="00F22093"/>
    <w:rsid w:val="00F227E8"/>
    <w:rsid w:val="00F239FB"/>
    <w:rsid w:val="00F24492"/>
    <w:rsid w:val="00F24647"/>
    <w:rsid w:val="00F26374"/>
    <w:rsid w:val="00F26A9F"/>
    <w:rsid w:val="00F30DE4"/>
    <w:rsid w:val="00F331B5"/>
    <w:rsid w:val="00F332E0"/>
    <w:rsid w:val="00F34AF9"/>
    <w:rsid w:val="00F45725"/>
    <w:rsid w:val="00F46A14"/>
    <w:rsid w:val="00F47B58"/>
    <w:rsid w:val="00F47BED"/>
    <w:rsid w:val="00F50295"/>
    <w:rsid w:val="00F53521"/>
    <w:rsid w:val="00F53991"/>
    <w:rsid w:val="00F61722"/>
    <w:rsid w:val="00F617C6"/>
    <w:rsid w:val="00F6208E"/>
    <w:rsid w:val="00F66A33"/>
    <w:rsid w:val="00F66F7C"/>
    <w:rsid w:val="00F70BA5"/>
    <w:rsid w:val="00F71818"/>
    <w:rsid w:val="00F73842"/>
    <w:rsid w:val="00F73B39"/>
    <w:rsid w:val="00F74981"/>
    <w:rsid w:val="00F75C04"/>
    <w:rsid w:val="00F764A2"/>
    <w:rsid w:val="00F812B6"/>
    <w:rsid w:val="00F8288E"/>
    <w:rsid w:val="00F85E31"/>
    <w:rsid w:val="00F90692"/>
    <w:rsid w:val="00F95772"/>
    <w:rsid w:val="00FA0AF6"/>
    <w:rsid w:val="00FA27ED"/>
    <w:rsid w:val="00FA587B"/>
    <w:rsid w:val="00FA5EF8"/>
    <w:rsid w:val="00FA71C0"/>
    <w:rsid w:val="00FB2CA2"/>
    <w:rsid w:val="00FB4289"/>
    <w:rsid w:val="00FC0149"/>
    <w:rsid w:val="00FC1824"/>
    <w:rsid w:val="00FC2985"/>
    <w:rsid w:val="00FC7254"/>
    <w:rsid w:val="00FD008B"/>
    <w:rsid w:val="00FD0E0E"/>
    <w:rsid w:val="00FD12A2"/>
    <w:rsid w:val="00FD424D"/>
    <w:rsid w:val="00FD4958"/>
    <w:rsid w:val="00FD5803"/>
    <w:rsid w:val="00FE2CF0"/>
    <w:rsid w:val="00FF02C0"/>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51FC405"/>
  <w15:chartTrackingRefBased/>
  <w15:docId w15:val="{E5BF0287-AB9D-446E-8212-B85B8A8C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0A2D8B"/>
    <w:rPr>
      <w:rFonts w:ascii="Arial" w:hAnsi="Arial"/>
      <w:sz w:val="20"/>
      <w:szCs w:val="20"/>
    </w:rPr>
  </w:style>
  <w:style w:type="character" w:customStyle="1" w:styleId="FootnoteTextChar">
    <w:name w:val="Footnote Text Char"/>
    <w:link w:val="FootnoteText"/>
    <w:rsid w:val="000A2D8B"/>
    <w:rPr>
      <w:rFonts w:ascii="Arial" w:hAnsi="Arial"/>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C1506C"/>
    <w:rPr>
      <w:color w:val="605E5C"/>
      <w:shd w:val="clear" w:color="auto" w:fill="E1DFDD"/>
    </w:rPr>
  </w:style>
  <w:style w:type="paragraph" w:styleId="EndnoteText">
    <w:name w:val="endnote text"/>
    <w:basedOn w:val="Normal"/>
    <w:link w:val="EndnoteTextChar"/>
    <w:rsid w:val="007220AC"/>
    <w:rPr>
      <w:sz w:val="20"/>
      <w:szCs w:val="20"/>
    </w:rPr>
  </w:style>
  <w:style w:type="character" w:customStyle="1" w:styleId="EndnoteTextChar">
    <w:name w:val="Endnote Text Char"/>
    <w:basedOn w:val="DefaultParagraphFont"/>
    <w:link w:val="EndnoteText"/>
    <w:rsid w:val="007220AC"/>
    <w:rPr>
      <w:lang w:eastAsia="en-US"/>
    </w:rPr>
  </w:style>
  <w:style w:type="character" w:styleId="EndnoteReference">
    <w:name w:val="endnote reference"/>
    <w:basedOn w:val="DefaultParagraphFont"/>
    <w:rsid w:val="00722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107/documents" TargetMode="External"/><Relationship Id="rId13" Type="http://schemas.openxmlformats.org/officeDocument/2006/relationships/hyperlink" Target="http://www.legislation.gov.uk/uksi/2013/259/contents/m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4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569"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 TargetMode="External"/><Relationship Id="rId10" Type="http://schemas.openxmlformats.org/officeDocument/2006/relationships/hyperlink" Target="https://www.nice.org.uk/guidance/indevelopment/gid-ta10107/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Committee-A-Memb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53BC-BAAC-412A-B948-0CF6F34F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new process ACD and FAD template</Template>
  <TotalTime>18</TotalTime>
  <Pages>13</Pages>
  <Words>3412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23386</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Marcela Haasova</dc:creator>
  <cp:keywords/>
  <cp:lastModifiedBy>Marcela Haasova</cp:lastModifiedBy>
  <cp:revision>5</cp:revision>
  <cp:lastPrinted>2019-07-24T08:10:00Z</cp:lastPrinted>
  <dcterms:created xsi:type="dcterms:W3CDTF">2019-07-30T15:55:00Z</dcterms:created>
  <dcterms:modified xsi:type="dcterms:W3CDTF">2019-07-30T16:37:00Z</dcterms:modified>
</cp:coreProperties>
</file>