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C26D" w14:textId="4B62222A" w:rsidR="00443081" w:rsidRPr="00A4265E" w:rsidRDefault="0098593F" w:rsidP="00181A4A">
      <w:pPr>
        <w:pStyle w:val="Title"/>
      </w:pPr>
      <w:r>
        <w:t>R</w:t>
      </w:r>
      <w:r w:rsidR="00016F2C" w:rsidRPr="00A4265E">
        <w:t xml:space="preserve">eview proposal </w:t>
      </w:r>
      <w:r w:rsidR="008C1624" w:rsidRPr="00A4265E">
        <w:t xml:space="preserve">of </w:t>
      </w:r>
      <w:r w:rsidR="002C3284">
        <w:t xml:space="preserve">the </w:t>
      </w:r>
      <w:r w:rsidR="007019F8">
        <w:t xml:space="preserve">definition of rapidly evolving severe multiple sclerosis </w:t>
      </w:r>
      <w:r w:rsidR="002C3284">
        <w:t xml:space="preserve">in the recommendation </w:t>
      </w:r>
      <w:r w:rsidR="007019F8">
        <w:t xml:space="preserve">wording </w:t>
      </w:r>
      <w:r w:rsidR="002C3284">
        <w:t xml:space="preserve">of </w:t>
      </w:r>
      <w:r w:rsidR="005C3727">
        <w:t xml:space="preserve">TA616 cladribine for </w:t>
      </w:r>
      <w:r w:rsidR="005C3727" w:rsidRPr="005C3727">
        <w:t>treating relapsing–remitting multiple sclerosis</w:t>
      </w:r>
    </w:p>
    <w:p w14:paraId="7EB0BA84" w14:textId="77777777" w:rsidR="008C1624" w:rsidRPr="00A4265E" w:rsidRDefault="008C1624" w:rsidP="008C1624">
      <w:pPr>
        <w:pStyle w:val="Paragraphnonumbers"/>
      </w:pPr>
    </w:p>
    <w:p w14:paraId="64F9E071" w14:textId="42CC84C5" w:rsidR="002C3284" w:rsidRPr="00A4265E" w:rsidRDefault="002C3284" w:rsidP="002C3284">
      <w:pPr>
        <w:pStyle w:val="Heading1numbered"/>
      </w:pPr>
      <w:r w:rsidRPr="00A4265E">
        <w:t>Rationale</w:t>
      </w:r>
      <w:r>
        <w:t xml:space="preserve"> for change</w:t>
      </w:r>
    </w:p>
    <w:p w14:paraId="612445CF" w14:textId="1D4C2CD2" w:rsidR="002C3284" w:rsidRDefault="002C3284" w:rsidP="00770A19">
      <w:pPr>
        <w:pStyle w:val="Paragraph"/>
      </w:pPr>
      <w:r>
        <w:t xml:space="preserve">Rapidly evolving severe multiple sclerosis (RES) is defined in the </w:t>
      </w:r>
      <w:hyperlink r:id="rId11" w:history="1">
        <w:r w:rsidR="007019F8" w:rsidRPr="0046506A">
          <w:rPr>
            <w:rStyle w:val="Hyperlink"/>
          </w:rPr>
          <w:t>TA616</w:t>
        </w:r>
      </w:hyperlink>
      <w:r w:rsidR="007019F8">
        <w:t xml:space="preserve"> </w:t>
      </w:r>
      <w:r>
        <w:t>cladribine guidance</w:t>
      </w:r>
      <w:r w:rsidR="007019F8">
        <w:t xml:space="preserve"> (published in 2019)</w:t>
      </w:r>
      <w:r>
        <w:t xml:space="preserve"> </w:t>
      </w:r>
      <w:r w:rsidR="00AB208F">
        <w:t>as 2 relapses in the previous year and 1 T1 gadolinium-enhancing lesion at baseline MRI or a significant increase in T2</w:t>
      </w:r>
      <w:r w:rsidR="00AB208F" w:rsidRPr="00AB208F">
        <w:rPr>
          <w:rFonts w:ascii="Cambria Math" w:hAnsi="Cambria Math" w:cs="Cambria Math"/>
        </w:rPr>
        <w:t>‑</w:t>
      </w:r>
      <w:r w:rsidR="00AB208F">
        <w:t>lesion load compared with a previous MRI.</w:t>
      </w:r>
    </w:p>
    <w:p w14:paraId="53E2C93F" w14:textId="4FCEE75E" w:rsidR="00AB208F" w:rsidRPr="00A4265E" w:rsidRDefault="00AB208F" w:rsidP="00770A19">
      <w:pPr>
        <w:pStyle w:val="Paragraph"/>
      </w:pPr>
      <w:r>
        <w:t xml:space="preserve"> The clinical community</w:t>
      </w:r>
      <w:r w:rsidR="007019F8">
        <w:t xml:space="preserve"> and company</w:t>
      </w:r>
      <w:r>
        <w:t xml:space="preserve"> consider </w:t>
      </w:r>
      <w:proofErr w:type="gramStart"/>
      <w:r>
        <w:t xml:space="preserve">this </w:t>
      </w:r>
      <w:r w:rsidR="00753CB9">
        <w:t>criteria</w:t>
      </w:r>
      <w:proofErr w:type="gramEnd"/>
      <w:r w:rsidR="00753CB9">
        <w:t xml:space="preserve"> </w:t>
      </w:r>
      <w:r w:rsidR="00153277">
        <w:t xml:space="preserve">may </w:t>
      </w:r>
      <w:r w:rsidR="00753CB9">
        <w:t>be</w:t>
      </w:r>
      <w:r>
        <w:t xml:space="preserve"> overly restrictive because</w:t>
      </w:r>
      <w:r w:rsidR="00666F43">
        <w:t xml:space="preserve"> the requirement for 2 MRI scans places significant burden </w:t>
      </w:r>
      <w:r w:rsidR="006E511A">
        <w:t xml:space="preserve">on a limited </w:t>
      </w:r>
      <w:r w:rsidR="00877714">
        <w:t xml:space="preserve">diagnostic and monitoring </w:t>
      </w:r>
      <w:r w:rsidR="006E511A">
        <w:t xml:space="preserve">resource (MRI). </w:t>
      </w:r>
    </w:p>
    <w:p w14:paraId="0CE79509" w14:textId="04AB36EB" w:rsidR="008C1624" w:rsidRPr="00A4265E" w:rsidRDefault="008C1624" w:rsidP="003844B5">
      <w:pPr>
        <w:pStyle w:val="Heading1numbered"/>
      </w:pPr>
      <w:r w:rsidRPr="00A4265E">
        <w:t xml:space="preserve">Proposal </w:t>
      </w:r>
      <w:r w:rsidR="002C3284">
        <w:t>options</w:t>
      </w:r>
    </w:p>
    <w:p w14:paraId="2B4D38C3" w14:textId="6B4ECF58" w:rsidR="008C1624" w:rsidRDefault="00EF0325" w:rsidP="003844B5">
      <w:pPr>
        <w:pStyle w:val="Paragraph"/>
      </w:pPr>
      <w:r>
        <w:t xml:space="preserve">This review aims to investigate implications of changing the recommendation wording through consultation with key stakeholders. There may be a range of potential </w:t>
      </w:r>
      <w:r w:rsidR="002D4C7F">
        <w:t xml:space="preserve">options resulting from </w:t>
      </w:r>
      <w:r>
        <w:t>this review including:</w:t>
      </w:r>
    </w:p>
    <w:p w14:paraId="4D06A2B4" w14:textId="2D79DED2" w:rsidR="00EF0325" w:rsidRDefault="00EF0325" w:rsidP="00EF0325">
      <w:pPr>
        <w:pStyle w:val="Paragraph"/>
        <w:numPr>
          <w:ilvl w:val="1"/>
          <w:numId w:val="20"/>
        </w:numPr>
      </w:pPr>
      <w:r>
        <w:t>No change to the recommendation wording, termination of the review</w:t>
      </w:r>
      <w:r w:rsidR="00FD46B6">
        <w:t>.</w:t>
      </w:r>
    </w:p>
    <w:p w14:paraId="2C5E90CC" w14:textId="40E36F19" w:rsidR="00EF0325" w:rsidRDefault="00EF0325" w:rsidP="00EF0325">
      <w:pPr>
        <w:pStyle w:val="Paragraph"/>
        <w:numPr>
          <w:ilvl w:val="1"/>
          <w:numId w:val="20"/>
        </w:numPr>
      </w:pPr>
      <w:r>
        <w:t xml:space="preserve">An adjustment to the recommendation wording, that does not require further </w:t>
      </w:r>
      <w:r w:rsidR="00FD46B6">
        <w:t xml:space="preserve">submission of </w:t>
      </w:r>
      <w:r>
        <w:t>evidence</w:t>
      </w:r>
      <w:r w:rsidR="00102C9F">
        <w:t xml:space="preserve"> or </w:t>
      </w:r>
      <w:r>
        <w:t>analysis.</w:t>
      </w:r>
    </w:p>
    <w:p w14:paraId="19640E7D" w14:textId="2A35A5C2" w:rsidR="00EF0325" w:rsidRDefault="00EF0325" w:rsidP="00EF0325">
      <w:pPr>
        <w:pStyle w:val="Paragraph"/>
        <w:numPr>
          <w:ilvl w:val="1"/>
          <w:numId w:val="20"/>
        </w:numPr>
      </w:pPr>
      <w:r>
        <w:t>A review of the clinical and/or cost effectiveness of cladribine using alternative definitions for RES</w:t>
      </w:r>
      <w:r w:rsidR="00FD46B6">
        <w:t>.</w:t>
      </w:r>
    </w:p>
    <w:p w14:paraId="761A81BC" w14:textId="6724C988" w:rsidR="00EF0325" w:rsidRDefault="00EF0325" w:rsidP="00EF0325">
      <w:pPr>
        <w:pStyle w:val="Paragraph"/>
        <w:numPr>
          <w:ilvl w:val="1"/>
          <w:numId w:val="20"/>
        </w:numPr>
      </w:pPr>
      <w:r>
        <w:t xml:space="preserve">A review of all recommendations that </w:t>
      </w:r>
      <w:r w:rsidR="00FD46B6">
        <w:t>recommend treatment for RES multiple sclerosis.</w:t>
      </w:r>
    </w:p>
    <w:p w14:paraId="07AB6624" w14:textId="77777777" w:rsidR="008C1624" w:rsidRPr="00A4265E" w:rsidRDefault="008C1624" w:rsidP="003844B5">
      <w:pPr>
        <w:pStyle w:val="Heading1numbered"/>
      </w:pPr>
      <w:r w:rsidRPr="00A4265E">
        <w:t>Summary of new evidence and implications for review</w:t>
      </w:r>
    </w:p>
    <w:p w14:paraId="6EBCC999" w14:textId="2E97A74C" w:rsidR="006E511A" w:rsidRDefault="00877714" w:rsidP="002955ED">
      <w:pPr>
        <w:pStyle w:val="Paragraph"/>
      </w:pPr>
      <w:r>
        <w:t>There is no new evidence presented by the company for this review</w:t>
      </w:r>
      <w:r w:rsidR="00EF0325">
        <w:t xml:space="preserve"> apart from clinical feedback.</w:t>
      </w:r>
      <w:r w:rsidR="00753CB9">
        <w:t xml:space="preserve"> In addition, because of the nature of this review, NICE has not reviewed any updated published literature evidence for cladribine </w:t>
      </w:r>
      <w:proofErr w:type="gramStart"/>
      <w:r w:rsidR="00753CB9">
        <w:t>at this time</w:t>
      </w:r>
      <w:proofErr w:type="gramEnd"/>
      <w:r w:rsidR="00753CB9">
        <w:t>.</w:t>
      </w:r>
    </w:p>
    <w:p w14:paraId="17EC512B" w14:textId="77777777" w:rsidR="00D35290" w:rsidRDefault="00D35290" w:rsidP="006E511A">
      <w:pPr>
        <w:pStyle w:val="Paragraphnonumbers"/>
      </w:pPr>
    </w:p>
    <w:p w14:paraId="2EF3707F" w14:textId="3E571C25" w:rsidR="008C1624" w:rsidRPr="00A4265E" w:rsidRDefault="008C1624" w:rsidP="008C1624">
      <w:pPr>
        <w:pStyle w:val="Heading2"/>
      </w:pPr>
      <w:r w:rsidRPr="00A4265E">
        <w:lastRenderedPageBreak/>
        <w:t>Are there any existing or proposed changes to the marketing authorisation</w:t>
      </w:r>
      <w:r w:rsidR="00FD46B6">
        <w:t xml:space="preserve"> policies</w:t>
      </w:r>
      <w:r w:rsidRPr="00A4265E">
        <w:t xml:space="preserve"> that would affect the existing guidance?</w:t>
      </w:r>
    </w:p>
    <w:p w14:paraId="2531D216" w14:textId="703A42D1" w:rsidR="00153277" w:rsidRDefault="00753CB9" w:rsidP="00153277">
      <w:pPr>
        <w:pStyle w:val="Paragraph"/>
      </w:pPr>
      <w:r>
        <w:t xml:space="preserve"> The </w:t>
      </w:r>
      <w:hyperlink r:id="rId12" w:anchor="about-medicine" w:history="1">
        <w:r w:rsidRPr="00E80298">
          <w:rPr>
            <w:rStyle w:val="Hyperlink"/>
          </w:rPr>
          <w:t>marketing authorisation</w:t>
        </w:r>
      </w:hyperlink>
      <w:r w:rsidR="00153277">
        <w:t xml:space="preserve"> indication</w:t>
      </w:r>
      <w:r>
        <w:t xml:space="preserve"> </w:t>
      </w:r>
      <w:r w:rsidR="00153277">
        <w:t>for cladribine specifies it should be used “for</w:t>
      </w:r>
      <w:r>
        <w:t xml:space="preserve"> </w:t>
      </w:r>
      <w:r w:rsidR="00153277" w:rsidRPr="00153277">
        <w:t>treatment of adult patients with highly active relapsing multiple sclerosis (MS) as defined by clinical or imaging features</w:t>
      </w:r>
      <w:r w:rsidR="00153277">
        <w:t xml:space="preserve">”. These are defined in </w:t>
      </w:r>
      <w:r w:rsidR="00153277" w:rsidRPr="00153277">
        <w:t>section 5.1</w:t>
      </w:r>
      <w:r w:rsidR="00153277">
        <w:t xml:space="preserve"> of the summary of product characteristics as:</w:t>
      </w:r>
    </w:p>
    <w:p w14:paraId="7C40D69E" w14:textId="66B0B33F" w:rsidR="00153277" w:rsidRDefault="00153277" w:rsidP="00153277">
      <w:pPr>
        <w:pStyle w:val="Bullets"/>
      </w:pPr>
      <w:r>
        <w:t>patients with 1 relapse in the previous year and at least 1 T1 Gd+ lesion or 9 or more T2 lesions, while on therapy with other DMDs</w:t>
      </w:r>
    </w:p>
    <w:p w14:paraId="6420F2BB" w14:textId="26CCBD64" w:rsidR="00153277" w:rsidRDefault="00153277" w:rsidP="00153277">
      <w:pPr>
        <w:pStyle w:val="Bullets"/>
      </w:pPr>
      <w:r>
        <w:t>patients with 2 or more relapses in the previous year, whether on DMD treatment or not.</w:t>
      </w:r>
    </w:p>
    <w:p w14:paraId="364BF128" w14:textId="60D2D1E6" w:rsidR="00153277" w:rsidRDefault="00153277" w:rsidP="00BF2269">
      <w:pPr>
        <w:pStyle w:val="Bullets"/>
        <w:numPr>
          <w:ilvl w:val="0"/>
          <w:numId w:val="0"/>
        </w:numPr>
        <w:ind w:left="720"/>
      </w:pPr>
      <w:r>
        <w:t>Therefore, the company do not consider that the current wording</w:t>
      </w:r>
      <w:r w:rsidR="002D4C7F">
        <w:t xml:space="preserve"> of TA616</w:t>
      </w:r>
      <w:r>
        <w:t xml:space="preserve"> reflects</w:t>
      </w:r>
      <w:r w:rsidR="00BF2269">
        <w:t xml:space="preserve"> the definition of RES in the license. However, the clinical evidence considered in the appraisal considered the definition of RES to be “patients with ≥2 relapses in the prior year whether on treatment or not AND Patients with ≥1 T1Gd+ </w:t>
      </w:r>
      <w:proofErr w:type="gramStart"/>
      <w:r w:rsidR="00BF2269">
        <w:t>lesion”</w:t>
      </w:r>
      <w:proofErr w:type="gramEnd"/>
    </w:p>
    <w:p w14:paraId="548D7D32" w14:textId="47D4809F" w:rsidR="008C1624" w:rsidRPr="00A4265E" w:rsidRDefault="00153277" w:rsidP="008C1624">
      <w:pPr>
        <w:pStyle w:val="Heading2"/>
      </w:pPr>
      <w:r>
        <w:t>What w</w:t>
      </w:r>
      <w:r w:rsidR="008C1624" w:rsidRPr="00A4265E">
        <w:t xml:space="preserve">ere </w:t>
      </w:r>
      <w:r>
        <w:t>the</w:t>
      </w:r>
      <w:r w:rsidR="008C1624" w:rsidRPr="00A4265E">
        <w:t xml:space="preserve"> uncertainties identified in the original guidance</w:t>
      </w:r>
      <w:r>
        <w:t xml:space="preserve"> relating to the recommendation wording</w:t>
      </w:r>
      <w:r w:rsidR="008C1624" w:rsidRPr="00A4265E">
        <w:t xml:space="preserve">? </w:t>
      </w:r>
    </w:p>
    <w:p w14:paraId="5308BFBA" w14:textId="658A2702" w:rsidR="008C1624" w:rsidRDefault="009E76E8" w:rsidP="003844B5">
      <w:pPr>
        <w:pStyle w:val="Paragraph"/>
      </w:pPr>
      <w:r>
        <w:t xml:space="preserve"> In the original guidance, </w:t>
      </w:r>
      <w:r w:rsidR="00753CB9">
        <w:t>the committee considered the evidence for cladribine in the RES subgroup used post-hoc analysis</w:t>
      </w:r>
      <w:r w:rsidR="00BF2269">
        <w:t xml:space="preserve">. It has been noted in previous appraisals and clinical discussions that </w:t>
      </w:r>
      <w:r w:rsidR="00C81CE8">
        <w:t>there is uncertainty with predicting which people are likely to follow a RES disease course at the point of clinical decision-making, which is not reflected by post-hoc analysis.</w:t>
      </w:r>
    </w:p>
    <w:p w14:paraId="2B5A88BF" w14:textId="35223F7E" w:rsidR="00C81CE8" w:rsidRDefault="00C81CE8" w:rsidP="00C81CE8">
      <w:pPr>
        <w:pStyle w:val="Paragraph"/>
        <w:numPr>
          <w:ilvl w:val="0"/>
          <w:numId w:val="0"/>
        </w:numPr>
        <w:ind w:left="720"/>
      </w:pPr>
      <w:r>
        <w:t xml:space="preserve">The original guidance also noted that </w:t>
      </w:r>
      <w:r w:rsidRPr="00C81CE8">
        <w:t>the categorisations in marketing authorisations are difficult to use in clinical practice because there is a spectrum of disease activity rather than rigidly defined stages</w:t>
      </w:r>
      <w:r w:rsidR="00CA55E2">
        <w:t>, and no</w:t>
      </w:r>
      <w:r w:rsidR="00CA55E2" w:rsidRPr="00CA55E2">
        <w:t xml:space="preserve"> universally accepted definition of highly active disease</w:t>
      </w:r>
      <w:r w:rsidR="00CA55E2">
        <w:t>.</w:t>
      </w:r>
    </w:p>
    <w:p w14:paraId="661D4624" w14:textId="04C70362" w:rsidR="00C81CE8" w:rsidRDefault="00C81CE8" w:rsidP="00C81CE8">
      <w:pPr>
        <w:pStyle w:val="Paragraph"/>
        <w:numPr>
          <w:ilvl w:val="0"/>
          <w:numId w:val="0"/>
        </w:numPr>
        <w:ind w:left="720"/>
      </w:pPr>
      <w:r>
        <w:t xml:space="preserve">The clinical experts in the original </w:t>
      </w:r>
      <w:r w:rsidR="00CA55E2">
        <w:t>appraisal</w:t>
      </w:r>
      <w:r>
        <w:t xml:space="preserve"> also </w:t>
      </w:r>
      <w:r w:rsidR="00CA55E2">
        <w:t xml:space="preserve">considered that the </w:t>
      </w:r>
      <w:r w:rsidR="00CA55E2" w:rsidRPr="00CA55E2">
        <w:t>increase in T2</w:t>
      </w:r>
      <w:r w:rsidR="00CA55E2" w:rsidRPr="00CA55E2">
        <w:rPr>
          <w:rFonts w:ascii="Cambria Math" w:hAnsi="Cambria Math" w:cs="Cambria Math"/>
        </w:rPr>
        <w:t>‑</w:t>
      </w:r>
      <w:r w:rsidR="00CA55E2" w:rsidRPr="00CA55E2">
        <w:t>lesion numbers compared with a previous MRI are an important indicator of disease activity, and may be more important than the absolute number</w:t>
      </w:r>
      <w:r w:rsidR="00CA55E2">
        <w:t>, which led to the original wording of the recommendation.</w:t>
      </w:r>
    </w:p>
    <w:p w14:paraId="37B94C58" w14:textId="6D0AA84B" w:rsidR="00C81CE8" w:rsidRPr="00A4265E" w:rsidRDefault="00C81CE8" w:rsidP="00C81CE8">
      <w:pPr>
        <w:pStyle w:val="Paragraph"/>
        <w:numPr>
          <w:ilvl w:val="0"/>
          <w:numId w:val="0"/>
        </w:numPr>
        <w:ind w:left="720"/>
      </w:pPr>
      <w:r>
        <w:t>In addition, the company notes that</w:t>
      </w:r>
      <w:r w:rsidR="0046506A">
        <w:t xml:space="preserve"> </w:t>
      </w:r>
      <w:r>
        <w:t xml:space="preserve">changes </w:t>
      </w:r>
      <w:r w:rsidR="0046506A">
        <w:t>to</w:t>
      </w:r>
      <w:r>
        <w:t xml:space="preserve"> the </w:t>
      </w:r>
      <w:hyperlink r:id="rId13" w:history="1">
        <w:r w:rsidRPr="0046506A">
          <w:rPr>
            <w:rStyle w:val="Hyperlink"/>
          </w:rPr>
          <w:t>McDonald criteria</w:t>
        </w:r>
      </w:hyperlink>
      <w:r>
        <w:t xml:space="preserve"> </w:t>
      </w:r>
      <w:r w:rsidR="0046506A">
        <w:t xml:space="preserve">have </w:t>
      </w:r>
      <w:r>
        <w:t>highligh</w:t>
      </w:r>
      <w:r w:rsidR="0046506A">
        <w:t xml:space="preserve">ted </w:t>
      </w:r>
      <w:r>
        <w:t xml:space="preserve">the need for </w:t>
      </w:r>
      <w:r w:rsidRPr="00C81CE8">
        <w:t>reducing diagnostic delays</w:t>
      </w:r>
      <w:r>
        <w:t xml:space="preserve"> and time to patients receiving DMTs. </w:t>
      </w:r>
    </w:p>
    <w:p w14:paraId="11B0373D" w14:textId="77777777" w:rsidR="00A4265E" w:rsidRPr="00A4265E" w:rsidRDefault="00A4265E" w:rsidP="00A4265E">
      <w:pPr>
        <w:pStyle w:val="Heading2"/>
      </w:pPr>
      <w:r w:rsidRPr="00A4265E">
        <w:t>Are there any related pieces of NICE guidance relevant to this appraisal? If so, what implications might this have for the existing guidance?</w:t>
      </w:r>
    </w:p>
    <w:p w14:paraId="3043CB85" w14:textId="41BE863A" w:rsidR="00A4265E" w:rsidRPr="00A4265E" w:rsidRDefault="00FD46B6" w:rsidP="003844B5">
      <w:pPr>
        <w:pStyle w:val="Paragraph"/>
      </w:pPr>
      <w:r>
        <w:t>Both natalizumab (TA</w:t>
      </w:r>
      <w:r w:rsidR="009E76E8">
        <w:t>127) and alemtuzumab (TA312) recommend treatment for a subgroup of people with RES disease. The recommendation wording is similar, defined as “</w:t>
      </w:r>
      <w:r w:rsidR="009E76E8" w:rsidRPr="009E76E8">
        <w:t xml:space="preserve">2 or more disabling relapses in 1 year, and with 1 or more </w:t>
      </w:r>
      <w:r w:rsidR="009E76E8" w:rsidRPr="009E76E8">
        <w:lastRenderedPageBreak/>
        <w:t>gadolinium-enhancing lesions on brain MRI or a significant increase in T2 lesion load compared with a previous MRI</w:t>
      </w:r>
      <w:r w:rsidR="009E76E8">
        <w:t>”.</w:t>
      </w:r>
    </w:p>
    <w:p w14:paraId="33E3752C" w14:textId="69CDB960" w:rsidR="008C1624" w:rsidRPr="00A4265E" w:rsidRDefault="00153277" w:rsidP="00666F43">
      <w:pPr>
        <w:pStyle w:val="Heading1"/>
      </w:pPr>
      <w:r>
        <w:t>Q</w:t>
      </w:r>
      <w:r w:rsidR="007019F8">
        <w:t>uestions for consultation</w:t>
      </w:r>
    </w:p>
    <w:p w14:paraId="3812FA3E" w14:textId="11A88FAE" w:rsidR="00A4265E" w:rsidRDefault="00666F43" w:rsidP="00E421B7">
      <w:pPr>
        <w:pStyle w:val="Bullets"/>
      </w:pPr>
      <w:r w:rsidRPr="00153277">
        <w:t>What is the most appropriate definition of RES multiple sclerosis</w:t>
      </w:r>
      <w:r w:rsidR="00EF0325" w:rsidRPr="00153277">
        <w:t>? How</w:t>
      </w:r>
      <w:r w:rsidRPr="00153277">
        <w:t xml:space="preserve"> can </w:t>
      </w:r>
      <w:r w:rsidR="00BF2269">
        <w:t>people with RES-MS</w:t>
      </w:r>
      <w:r w:rsidR="009E76E8" w:rsidRPr="00153277">
        <w:t xml:space="preserve"> effectively</w:t>
      </w:r>
      <w:r w:rsidR="00EF0325" w:rsidRPr="00153277">
        <w:t xml:space="preserve"> </w:t>
      </w:r>
      <w:r w:rsidRPr="00153277">
        <w:t xml:space="preserve">be </w:t>
      </w:r>
      <w:r w:rsidR="009E76E8" w:rsidRPr="00153277">
        <w:t>diagnosed</w:t>
      </w:r>
      <w:r w:rsidRPr="00153277">
        <w:t xml:space="preserve"> in clinical practice</w:t>
      </w:r>
      <w:r w:rsidR="00591760">
        <w:t xml:space="preserve"> and has this changed since the original appraisal</w:t>
      </w:r>
      <w:r w:rsidRPr="00153277">
        <w:t>?</w:t>
      </w:r>
      <w:r w:rsidR="00FD46B6" w:rsidRPr="00153277">
        <w:t xml:space="preserve"> </w:t>
      </w:r>
    </w:p>
    <w:p w14:paraId="6331AAB3" w14:textId="03F45833" w:rsidR="002D770D" w:rsidRPr="002D770D" w:rsidRDefault="002D770D" w:rsidP="002D770D">
      <w:pPr>
        <w:pStyle w:val="Bullets"/>
      </w:pPr>
      <w:r>
        <w:t>Are there any comments comparators and outcomes listed in the table above and do they align with the</w:t>
      </w:r>
      <w:r w:rsidRPr="002D770D">
        <w:t xml:space="preserve"> </w:t>
      </w:r>
      <w:hyperlink r:id="rId14" w:history="1">
        <w:r w:rsidRPr="002D770D">
          <w:rPr>
            <w:rStyle w:val="Hyperlink"/>
            <w:rFonts w:cs="Arial"/>
          </w:rPr>
          <w:t>NHS England treatment algorithm</w:t>
        </w:r>
      </w:hyperlink>
      <w:r w:rsidRPr="002D770D">
        <w:t>?</w:t>
      </w:r>
    </w:p>
    <w:p w14:paraId="0D3EEA67" w14:textId="1F3F6244" w:rsidR="00153277" w:rsidRPr="00153277" w:rsidRDefault="00153277" w:rsidP="00153277">
      <w:pPr>
        <w:pStyle w:val="Bullets"/>
      </w:pPr>
      <w:r>
        <w:t>What are the current resource constraints and other considerations with using MRI to identify patients with RE</w:t>
      </w:r>
      <w:r w:rsidR="00BF2269">
        <w:t>S-MS</w:t>
      </w:r>
      <w:r>
        <w:t>?</w:t>
      </w:r>
    </w:p>
    <w:p w14:paraId="79309ED8" w14:textId="49F9C83A" w:rsidR="00EF0325" w:rsidRPr="00153277" w:rsidRDefault="00EF0325" w:rsidP="00153277">
      <w:pPr>
        <w:pStyle w:val="Bullets"/>
      </w:pPr>
      <w:r w:rsidRPr="00153277">
        <w:t xml:space="preserve">Are there any additional considerations or advances in ability to predict </w:t>
      </w:r>
      <w:r w:rsidR="00FD46B6" w:rsidRPr="00153277">
        <w:t xml:space="preserve">which populations </w:t>
      </w:r>
      <w:r w:rsidR="009E76E8" w:rsidRPr="00153277">
        <w:t>will likely follow a</w:t>
      </w:r>
      <w:r w:rsidRPr="00153277">
        <w:t xml:space="preserve"> RES</w:t>
      </w:r>
      <w:r w:rsidR="00FD46B6" w:rsidRPr="00153277">
        <w:t xml:space="preserve"> </w:t>
      </w:r>
      <w:r w:rsidR="009E76E8" w:rsidRPr="00153277">
        <w:t xml:space="preserve">course of the </w:t>
      </w:r>
      <w:r w:rsidR="00FD46B6" w:rsidRPr="00153277">
        <w:t>disease</w:t>
      </w:r>
      <w:r w:rsidR="00591760">
        <w:t xml:space="preserve"> before confirmation with a second MRI</w:t>
      </w:r>
      <w:r w:rsidRPr="00153277">
        <w:t>?</w:t>
      </w:r>
    </w:p>
    <w:p w14:paraId="415D3C1D" w14:textId="3A414F74" w:rsidR="00666F43" w:rsidRPr="00153277" w:rsidRDefault="00666F43" w:rsidP="00153277">
      <w:pPr>
        <w:pStyle w:val="Bullets"/>
      </w:pPr>
      <w:r w:rsidRPr="00153277">
        <w:t xml:space="preserve">How </w:t>
      </w:r>
      <w:r w:rsidR="00FD46B6" w:rsidRPr="00153277">
        <w:t>would</w:t>
      </w:r>
      <w:r w:rsidRPr="00153277">
        <w:t xml:space="preserve"> other definitions of RES</w:t>
      </w:r>
      <w:r w:rsidR="00BF2269">
        <w:t>-MS</w:t>
      </w:r>
      <w:r w:rsidRPr="00153277">
        <w:t xml:space="preserve"> align with the clinical evidence for cladribine?</w:t>
      </w:r>
      <w:r w:rsidR="00FD46B6" w:rsidRPr="00153277">
        <w:t xml:space="preserve"> Are there any other sources of evidence for use of cladribine in populations with other definitions</w:t>
      </w:r>
      <w:r w:rsidR="00BF2269">
        <w:t xml:space="preserve"> for RES-MS</w:t>
      </w:r>
      <w:r w:rsidR="00FD46B6" w:rsidRPr="00153277">
        <w:t>?</w:t>
      </w:r>
    </w:p>
    <w:p w14:paraId="11BF159E" w14:textId="46EE2B47" w:rsidR="00753CB9" w:rsidRPr="00153277" w:rsidRDefault="00753CB9" w:rsidP="00153277">
      <w:pPr>
        <w:pStyle w:val="Bullets"/>
      </w:pPr>
      <w:r w:rsidRPr="00153277">
        <w:t xml:space="preserve">Is there any new published evidence </w:t>
      </w:r>
      <w:r w:rsidR="00153277">
        <w:t>for clinical effectiveness of cladribine that should be considered in the scope of this review?</w:t>
      </w:r>
    </w:p>
    <w:p w14:paraId="4302237A" w14:textId="28B7B2D1" w:rsidR="00666F43" w:rsidRPr="00153277" w:rsidRDefault="00666F43" w:rsidP="00153277">
      <w:pPr>
        <w:pStyle w:val="Bullets"/>
      </w:pPr>
      <w:r w:rsidRPr="00153277">
        <w:t>What proportion of people that are diagnosed with RES</w:t>
      </w:r>
      <w:r w:rsidR="00BF2269">
        <w:t xml:space="preserve">-MS </w:t>
      </w:r>
      <w:r w:rsidRPr="00153277">
        <w:t>fulfil each of the criteria</w:t>
      </w:r>
      <w:r w:rsidR="006E511A" w:rsidRPr="00153277">
        <w:t xml:space="preserve"> listed in the recommendation wording?</w:t>
      </w:r>
      <w:r w:rsidR="00EF0325" w:rsidRPr="00153277">
        <w:t xml:space="preserve"> What </w:t>
      </w:r>
      <w:proofErr w:type="gramStart"/>
      <w:r w:rsidR="00EF0325" w:rsidRPr="00153277">
        <w:t>is</w:t>
      </w:r>
      <w:proofErr w:type="gramEnd"/>
      <w:r w:rsidR="00EF0325" w:rsidRPr="00153277">
        <w:t xml:space="preserve"> the most critical criteria for </w:t>
      </w:r>
      <w:r w:rsidR="00FD46B6" w:rsidRPr="00153277">
        <w:t>defining a RES population?</w:t>
      </w:r>
    </w:p>
    <w:p w14:paraId="01FEEF1D" w14:textId="37F06B44" w:rsidR="00877714" w:rsidRPr="00153277" w:rsidRDefault="00877714" w:rsidP="00153277">
      <w:pPr>
        <w:pStyle w:val="Bullets"/>
      </w:pPr>
      <w:r w:rsidRPr="00153277">
        <w:t xml:space="preserve">What can be learnt from the clinical experience of prescribing cladribine during the COVID-19 pandemic as an option if MRI was not possible due to service impact of the pandemic? </w:t>
      </w:r>
    </w:p>
    <w:p w14:paraId="1B01EABA" w14:textId="4069A396" w:rsidR="00877714" w:rsidRPr="00153277" w:rsidRDefault="009E76E8" w:rsidP="00153277">
      <w:pPr>
        <w:pStyle w:val="Bullets"/>
      </w:pPr>
      <w:r w:rsidRPr="00153277">
        <w:t xml:space="preserve">Would there be any </w:t>
      </w:r>
      <w:r w:rsidR="00AB76E9">
        <w:t>reason</w:t>
      </w:r>
      <w:r w:rsidRPr="00153277">
        <w:t xml:space="preserve"> not to apply potential changes to the definition of RES disease to natalizumab and alemtuzumab recommendations?</w:t>
      </w:r>
    </w:p>
    <w:p w14:paraId="49A2EEB8" w14:textId="77777777" w:rsidR="00A4265E" w:rsidRPr="00A4265E" w:rsidRDefault="00A4265E" w:rsidP="003844B5">
      <w:pPr>
        <w:pStyle w:val="Heading1numbered"/>
      </w:pPr>
      <w:r w:rsidRPr="00A4265E">
        <w:t>Equality issues</w:t>
      </w:r>
    </w:p>
    <w:p w14:paraId="0AACD5CC" w14:textId="7F7261AB" w:rsidR="00A4265E" w:rsidRPr="00A4265E" w:rsidRDefault="00666F43" w:rsidP="003844B5">
      <w:pPr>
        <w:pStyle w:val="Paragraph"/>
      </w:pPr>
      <w:r>
        <w:t>No equality issues were identified in the original appraisal.</w:t>
      </w:r>
    </w:p>
    <w:p w14:paraId="1C5F0B53" w14:textId="77777777" w:rsidR="002955ED" w:rsidRDefault="002955ED" w:rsidP="009937C4">
      <w:pPr>
        <w:pStyle w:val="Heading1"/>
      </w:pPr>
    </w:p>
    <w:p w14:paraId="2392BB7E" w14:textId="192005EC" w:rsidR="00A4265E" w:rsidRPr="00A4265E" w:rsidRDefault="00A4265E" w:rsidP="009937C4">
      <w:pPr>
        <w:pStyle w:val="Heading1"/>
      </w:pPr>
      <w:r w:rsidRPr="00A4265E">
        <w:t xml:space="preserve">Proposal paper sign </w:t>
      </w:r>
      <w:proofErr w:type="gramStart"/>
      <w:r w:rsidRPr="00A4265E">
        <w:t>off</w:t>
      </w:r>
      <w:proofErr w:type="gramEnd"/>
    </w:p>
    <w:p w14:paraId="131F6130" w14:textId="15B1B831" w:rsidR="00A4265E" w:rsidRDefault="005C3727" w:rsidP="003D3D3F">
      <w:pPr>
        <w:pStyle w:val="Paragraphnonumbers"/>
        <w:spacing w:line="240" w:lineRule="auto"/>
      </w:pPr>
      <w:r>
        <w:t>Richard Diaz</w:t>
      </w:r>
      <w:r w:rsidR="00A4265E">
        <w:t xml:space="preserve"> – Associate Director, Technology Appraisals and Highly Specialised Technologies</w:t>
      </w:r>
    </w:p>
    <w:p w14:paraId="35E020A4" w14:textId="186670A0" w:rsidR="00A4265E" w:rsidRPr="00A4265E" w:rsidRDefault="005C3727" w:rsidP="003D3D3F">
      <w:pPr>
        <w:pStyle w:val="Paragraphnonumbers"/>
        <w:spacing w:line="240" w:lineRule="auto"/>
      </w:pPr>
      <w:r>
        <w:t>19/02/2024</w:t>
      </w:r>
    </w:p>
    <w:p w14:paraId="725101E0" w14:textId="77777777" w:rsidR="00A4265E" w:rsidRDefault="00A4265E" w:rsidP="009937C4">
      <w:pPr>
        <w:pStyle w:val="Heading1"/>
      </w:pPr>
      <w:r>
        <w:t xml:space="preserve">Contributors to this paper </w:t>
      </w:r>
    </w:p>
    <w:p w14:paraId="7B86D776" w14:textId="4BDFEEAA" w:rsidR="00A4265E" w:rsidRDefault="00A4265E" w:rsidP="003D3D3F">
      <w:pPr>
        <w:pStyle w:val="Paragraphnonumbers"/>
        <w:spacing w:line="240" w:lineRule="auto"/>
      </w:pPr>
      <w:r>
        <w:t xml:space="preserve">Technical Adviser: </w:t>
      </w:r>
      <w:r w:rsidR="005C3727">
        <w:t>Adam Brooke</w:t>
      </w:r>
    </w:p>
    <w:p w14:paraId="7F04C139" w14:textId="73FE8668" w:rsidR="00A4265E" w:rsidRDefault="00A4265E" w:rsidP="003D3D3F">
      <w:pPr>
        <w:pStyle w:val="Paragraphnonumbers"/>
        <w:spacing w:line="240" w:lineRule="auto"/>
      </w:pPr>
      <w:r>
        <w:lastRenderedPageBreak/>
        <w:t xml:space="preserve">Associate Director: </w:t>
      </w:r>
      <w:r w:rsidR="005C3727">
        <w:t>Richard Diaz</w:t>
      </w:r>
    </w:p>
    <w:p w14:paraId="1F3CD9D1" w14:textId="0E8345A2" w:rsidR="0053533C" w:rsidRDefault="003D3D3F" w:rsidP="00591760">
      <w:pPr>
        <w:pStyle w:val="Paragraphnonumbers"/>
        <w:spacing w:line="240" w:lineRule="auto"/>
      </w:pPr>
      <w:r>
        <w:t xml:space="preserve">Programme Manager: </w:t>
      </w:r>
      <w:r w:rsidR="005C3727">
        <w:t>Gavin Kenny</w:t>
      </w:r>
    </w:p>
    <w:p w14:paraId="3EEB34A5" w14:textId="77777777" w:rsidR="002955ED" w:rsidRDefault="002955ED" w:rsidP="00591760">
      <w:pPr>
        <w:pStyle w:val="Paragraphnonumbers"/>
        <w:spacing w:line="240" w:lineRule="auto"/>
      </w:pPr>
    </w:p>
    <w:p w14:paraId="650915F0" w14:textId="77777777" w:rsidR="002955ED" w:rsidRDefault="002955ED" w:rsidP="00591760">
      <w:pPr>
        <w:pStyle w:val="Paragraphnonumbers"/>
        <w:spacing w:line="240" w:lineRule="auto"/>
      </w:pPr>
    </w:p>
    <w:p w14:paraId="6FA01AA2" w14:textId="77777777" w:rsidR="002955ED" w:rsidRDefault="002955ED" w:rsidP="00591760">
      <w:pPr>
        <w:pStyle w:val="Paragraphnonumbers"/>
        <w:spacing w:line="240" w:lineRule="auto"/>
      </w:pPr>
    </w:p>
    <w:p w14:paraId="4CA7A709" w14:textId="77777777" w:rsidR="002955ED" w:rsidRDefault="002955ED">
      <w:pPr>
        <w:rPr>
          <w:rFonts w:ascii="Arial" w:hAnsi="Arial"/>
          <w:b/>
          <w:bCs/>
          <w:kern w:val="28"/>
          <w:sz w:val="32"/>
          <w:szCs w:val="32"/>
        </w:rPr>
      </w:pPr>
      <w:r>
        <w:br w:type="page"/>
      </w:r>
    </w:p>
    <w:p w14:paraId="3C5DD32E" w14:textId="0EC23CEA" w:rsidR="002955ED" w:rsidRDefault="002955ED" w:rsidP="002955ED">
      <w:pPr>
        <w:pStyle w:val="Title"/>
      </w:pPr>
      <w:r>
        <w:lastRenderedPageBreak/>
        <w:t>Appendix 1</w:t>
      </w:r>
    </w:p>
    <w:p w14:paraId="2AABC79B" w14:textId="670E8629" w:rsidR="00CE158F" w:rsidRDefault="00CE158F" w:rsidP="00CE158F">
      <w:pPr>
        <w:pStyle w:val="Heading1"/>
      </w:pPr>
      <w:r>
        <w:t>Scope of review</w:t>
      </w:r>
    </w:p>
    <w:p w14:paraId="631237B2" w14:textId="235F7EDD" w:rsidR="00CE158F" w:rsidRPr="00CE158F" w:rsidRDefault="00CE158F" w:rsidP="00CE158F">
      <w:pPr>
        <w:pStyle w:val="Paragraphnonumbers"/>
      </w:pPr>
      <w:r>
        <w:t>Review proposals require a scope</w:t>
      </w:r>
      <w:r w:rsidR="00E2723E">
        <w:t xml:space="preserve"> using the PICO framework to describe the analysis that would be required if an economic analysis was considered appropriate. Please comment on the suitability of the proposed scope below.</w:t>
      </w:r>
    </w:p>
    <w:p w14:paraId="2E74B277" w14:textId="77777777" w:rsidR="00CE158F" w:rsidRPr="00DC68B6" w:rsidRDefault="00CE158F" w:rsidP="00CE158F">
      <w:pPr>
        <w:pStyle w:val="Heading2"/>
      </w:pPr>
      <w:r>
        <w:t xml:space="preserve">The technology </w:t>
      </w:r>
    </w:p>
    <w:p w14:paraId="0965BB69" w14:textId="17F3AE65" w:rsidR="002955ED" w:rsidRPr="00CE158F" w:rsidRDefault="00CE158F" w:rsidP="002955ED">
      <w:pPr>
        <w:pStyle w:val="Paragraph"/>
        <w:numPr>
          <w:ilvl w:val="0"/>
          <w:numId w:val="42"/>
        </w:numPr>
      </w:pPr>
      <w:r w:rsidRPr="00160666">
        <w:t>Cladribine</w:t>
      </w:r>
      <w:r>
        <w:t xml:space="preserve"> tablets</w:t>
      </w:r>
      <w:r w:rsidRPr="00160666">
        <w:t xml:space="preserve"> (</w:t>
      </w:r>
      <w:proofErr w:type="spellStart"/>
      <w:r>
        <w:t>Mavenclad</w:t>
      </w:r>
      <w:proofErr w:type="spellEnd"/>
      <w:r>
        <w:t>,</w:t>
      </w:r>
      <w:r w:rsidRPr="00160666">
        <w:t xml:space="preserve"> </w:t>
      </w:r>
      <w:r w:rsidRPr="00D002BD">
        <w:t>Merck Serono</w:t>
      </w:r>
      <w:r w:rsidRPr="00160666">
        <w:t xml:space="preserve">) is </w:t>
      </w:r>
      <w:r>
        <w:t xml:space="preserve">an orally administered deaminase-resistant deoxyadenosine analogue that </w:t>
      </w:r>
      <w:r w:rsidRPr="00633AD6">
        <w:t xml:space="preserve">targets </w:t>
      </w:r>
      <w:r>
        <w:t xml:space="preserve">CD19-positive B cells, CD8-positive and CD4-positive T-cells </w:t>
      </w:r>
      <w:r w:rsidRPr="00633AD6">
        <w:t xml:space="preserve">thought to </w:t>
      </w:r>
      <w:r>
        <w:t xml:space="preserve">be an important role in multiple sclerosis. </w:t>
      </w:r>
    </w:p>
    <w:p w14:paraId="47AFAC66" w14:textId="1EF7F970" w:rsidR="002955ED" w:rsidRPr="002955ED" w:rsidRDefault="002955ED" w:rsidP="00CE158F">
      <w:pPr>
        <w:pStyle w:val="Heading2"/>
      </w:pPr>
      <w:r>
        <w:t>Table 1: PICO framework</w:t>
      </w:r>
    </w:p>
    <w:tbl>
      <w:tblPr>
        <w:tblW w:w="8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6237"/>
      </w:tblGrid>
      <w:tr w:rsidR="002955ED" w:rsidRPr="00D35290" w14:paraId="252B80C7" w14:textId="77777777" w:rsidTr="00ED0C4F">
        <w:trPr>
          <w:cantSplit/>
        </w:trPr>
        <w:tc>
          <w:tcPr>
            <w:tcW w:w="2376" w:type="dxa"/>
            <w:shd w:val="clear" w:color="auto" w:fill="D9D9D9"/>
          </w:tcPr>
          <w:p w14:paraId="0BD9EAF7" w14:textId="77777777" w:rsidR="002955ED" w:rsidRPr="00D35290" w:rsidRDefault="002955ED" w:rsidP="00ED0C4F">
            <w:pPr>
              <w:spacing w:before="120"/>
              <w:rPr>
                <w:rFonts w:ascii="Arial" w:hAnsi="Arial" w:cs="Arial"/>
                <w:b/>
                <w:bCs/>
                <w:lang w:eastAsia="en-US"/>
              </w:rPr>
            </w:pPr>
            <w:r w:rsidRPr="00D35290">
              <w:rPr>
                <w:rFonts w:ascii="Arial" w:hAnsi="Arial" w:cs="Arial"/>
                <w:b/>
                <w:bCs/>
                <w:lang w:eastAsia="en-US"/>
              </w:rPr>
              <w:t>Intervention(s)</w:t>
            </w:r>
          </w:p>
        </w:tc>
        <w:tc>
          <w:tcPr>
            <w:tcW w:w="6237" w:type="dxa"/>
          </w:tcPr>
          <w:p w14:paraId="4217C69E" w14:textId="77777777" w:rsidR="002955ED" w:rsidRPr="00D35290" w:rsidRDefault="002955ED" w:rsidP="00ED0C4F">
            <w:pPr>
              <w:spacing w:before="120" w:after="120"/>
              <w:rPr>
                <w:rFonts w:ascii="Arial" w:hAnsi="Arial" w:cs="Arial"/>
                <w:lang w:eastAsia="en-US"/>
              </w:rPr>
            </w:pPr>
            <w:r w:rsidRPr="00D35290">
              <w:rPr>
                <w:rFonts w:ascii="Arial" w:hAnsi="Arial" w:cs="Arial"/>
                <w:noProof/>
                <w:lang w:eastAsia="en-US"/>
              </w:rPr>
              <w:t>Cladribine tablets</w:t>
            </w:r>
          </w:p>
        </w:tc>
      </w:tr>
      <w:tr w:rsidR="002955ED" w:rsidRPr="00D35290" w14:paraId="7CCD6D04" w14:textId="77777777" w:rsidTr="00ED0C4F">
        <w:trPr>
          <w:cantSplit/>
        </w:trPr>
        <w:tc>
          <w:tcPr>
            <w:tcW w:w="2376" w:type="dxa"/>
            <w:shd w:val="clear" w:color="auto" w:fill="D9D9D9"/>
          </w:tcPr>
          <w:p w14:paraId="10F822EB" w14:textId="77777777" w:rsidR="002955ED" w:rsidRPr="00D35290" w:rsidRDefault="002955ED" w:rsidP="00ED0C4F">
            <w:pPr>
              <w:spacing w:before="120"/>
              <w:rPr>
                <w:rFonts w:ascii="Arial" w:hAnsi="Arial" w:cs="Arial"/>
                <w:lang w:eastAsia="en-US"/>
              </w:rPr>
            </w:pPr>
            <w:r w:rsidRPr="00D35290">
              <w:rPr>
                <w:rFonts w:ascii="Arial" w:hAnsi="Arial" w:cs="Arial"/>
                <w:b/>
                <w:bCs/>
                <w:lang w:eastAsia="en-US"/>
              </w:rPr>
              <w:t>Population(s)</w:t>
            </w:r>
          </w:p>
        </w:tc>
        <w:tc>
          <w:tcPr>
            <w:tcW w:w="6237" w:type="dxa"/>
          </w:tcPr>
          <w:p w14:paraId="1A6055EF" w14:textId="29C15412" w:rsidR="002955ED" w:rsidRPr="00D35290" w:rsidRDefault="002955ED" w:rsidP="00ED0C4F">
            <w:pPr>
              <w:spacing w:before="120" w:after="120"/>
              <w:rPr>
                <w:rFonts w:ascii="Arial" w:hAnsi="Arial" w:cs="Arial"/>
                <w:lang w:eastAsia="en-US"/>
              </w:rPr>
            </w:pPr>
            <w:r w:rsidRPr="00D35290">
              <w:rPr>
                <w:rFonts w:ascii="Arial" w:hAnsi="Arial" w:cs="Arial"/>
                <w:lang w:eastAsia="en-US"/>
              </w:rPr>
              <w:t xml:space="preserve">Adults with </w:t>
            </w:r>
            <w:r w:rsidR="00CE158F">
              <w:rPr>
                <w:rFonts w:ascii="Arial" w:hAnsi="Arial" w:cs="Arial"/>
                <w:lang w:eastAsia="en-US"/>
              </w:rPr>
              <w:t xml:space="preserve">rapidly evolving severe </w:t>
            </w:r>
            <w:r w:rsidRPr="00D35290">
              <w:rPr>
                <w:rFonts w:ascii="Arial" w:hAnsi="Arial" w:cs="Arial"/>
                <w:lang w:eastAsia="en-US"/>
              </w:rPr>
              <w:t>relapsing-remitting multiple sclerosis</w:t>
            </w:r>
          </w:p>
        </w:tc>
      </w:tr>
      <w:tr w:rsidR="002955ED" w:rsidRPr="00D35290" w14:paraId="72380541" w14:textId="77777777" w:rsidTr="00ED0C4F">
        <w:trPr>
          <w:cantSplit/>
        </w:trPr>
        <w:tc>
          <w:tcPr>
            <w:tcW w:w="2376" w:type="dxa"/>
            <w:shd w:val="clear" w:color="auto" w:fill="D9D9D9"/>
          </w:tcPr>
          <w:p w14:paraId="6FDC1F52" w14:textId="77777777" w:rsidR="002955ED" w:rsidRPr="00D35290" w:rsidRDefault="002955ED" w:rsidP="00ED0C4F">
            <w:pPr>
              <w:spacing w:before="120"/>
              <w:rPr>
                <w:rFonts w:ascii="Arial" w:hAnsi="Arial" w:cs="Arial"/>
                <w:lang w:eastAsia="en-US"/>
              </w:rPr>
            </w:pPr>
            <w:r w:rsidRPr="002D770D">
              <w:rPr>
                <w:rFonts w:ascii="Arial" w:hAnsi="Arial" w:cs="Arial"/>
                <w:b/>
                <w:bCs/>
              </w:rPr>
              <w:t>Comparators</w:t>
            </w:r>
          </w:p>
        </w:tc>
        <w:tc>
          <w:tcPr>
            <w:tcW w:w="6237" w:type="dxa"/>
          </w:tcPr>
          <w:p w14:paraId="403D17D9" w14:textId="6D92591C" w:rsidR="002955ED" w:rsidRPr="002D770D" w:rsidRDefault="002955ED" w:rsidP="00ED0C4F">
            <w:pPr>
              <w:spacing w:before="120" w:after="120"/>
              <w:rPr>
                <w:rFonts w:ascii="Arial" w:hAnsi="Arial" w:cs="Arial"/>
              </w:rPr>
            </w:pPr>
            <w:r>
              <w:rPr>
                <w:rFonts w:ascii="Arial" w:hAnsi="Arial" w:cs="Arial"/>
              </w:rPr>
              <w:t>F</w:t>
            </w:r>
            <w:r w:rsidRPr="002D770D">
              <w:rPr>
                <w:rFonts w:ascii="Arial" w:hAnsi="Arial" w:cs="Arial"/>
              </w:rPr>
              <w:t>or people with rapidly evolving severe relapsing-remitting multiple sclerosis:</w:t>
            </w:r>
          </w:p>
          <w:p w14:paraId="02C8C30B" w14:textId="77777777" w:rsidR="002955ED" w:rsidRPr="002D770D" w:rsidRDefault="002955ED" w:rsidP="00ED0C4F">
            <w:pPr>
              <w:pStyle w:val="ListParagraph"/>
              <w:numPr>
                <w:ilvl w:val="0"/>
                <w:numId w:val="39"/>
              </w:numPr>
              <w:spacing w:before="120" w:after="120"/>
              <w:rPr>
                <w:rFonts w:ascii="Arial" w:hAnsi="Arial" w:cs="Arial"/>
              </w:rPr>
            </w:pPr>
            <w:r w:rsidRPr="002D770D">
              <w:rPr>
                <w:rFonts w:ascii="Arial" w:hAnsi="Arial" w:cs="Arial"/>
              </w:rPr>
              <w:t>alemtuzumab</w:t>
            </w:r>
          </w:p>
          <w:p w14:paraId="6AEF1CFD" w14:textId="77777777" w:rsidR="002955ED" w:rsidRPr="002D770D" w:rsidRDefault="002955ED" w:rsidP="00ED0C4F">
            <w:pPr>
              <w:pStyle w:val="ListParagraph"/>
              <w:numPr>
                <w:ilvl w:val="0"/>
                <w:numId w:val="39"/>
              </w:numPr>
              <w:spacing w:before="120" w:after="120"/>
              <w:rPr>
                <w:rFonts w:ascii="Arial" w:hAnsi="Arial" w:cs="Arial"/>
              </w:rPr>
            </w:pPr>
            <w:r w:rsidRPr="002D770D">
              <w:rPr>
                <w:rFonts w:ascii="Arial" w:hAnsi="Arial" w:cs="Arial"/>
              </w:rPr>
              <w:t>natalizumab</w:t>
            </w:r>
          </w:p>
        </w:tc>
      </w:tr>
      <w:tr w:rsidR="002955ED" w:rsidRPr="00D35290" w14:paraId="617D9F84" w14:textId="77777777" w:rsidTr="00ED0C4F">
        <w:trPr>
          <w:cantSplit/>
        </w:trPr>
        <w:tc>
          <w:tcPr>
            <w:tcW w:w="2376" w:type="dxa"/>
            <w:shd w:val="clear" w:color="auto" w:fill="D9D9D9"/>
          </w:tcPr>
          <w:p w14:paraId="6A2E7C62" w14:textId="77777777" w:rsidR="002955ED" w:rsidRPr="00D35290" w:rsidRDefault="002955ED" w:rsidP="00ED0C4F">
            <w:pPr>
              <w:spacing w:before="120"/>
              <w:rPr>
                <w:rFonts w:ascii="Arial" w:hAnsi="Arial" w:cs="Arial"/>
                <w:lang w:eastAsia="en-US"/>
              </w:rPr>
            </w:pPr>
            <w:r w:rsidRPr="002D770D">
              <w:rPr>
                <w:rFonts w:ascii="Arial" w:hAnsi="Arial" w:cs="Arial"/>
                <w:b/>
                <w:bCs/>
              </w:rPr>
              <w:t>Outcomes</w:t>
            </w:r>
          </w:p>
        </w:tc>
        <w:tc>
          <w:tcPr>
            <w:tcW w:w="6237" w:type="dxa"/>
          </w:tcPr>
          <w:p w14:paraId="1466997D" w14:textId="77777777" w:rsidR="002955ED" w:rsidRPr="002D770D" w:rsidRDefault="002955ED" w:rsidP="00ED0C4F">
            <w:pPr>
              <w:pStyle w:val="BodyText2"/>
              <w:rPr>
                <w:rFonts w:cs="Arial"/>
                <w:szCs w:val="24"/>
                <w:lang w:val="en-GB"/>
              </w:rPr>
            </w:pPr>
            <w:r w:rsidRPr="002D770D">
              <w:rPr>
                <w:rFonts w:cs="Arial"/>
                <w:szCs w:val="24"/>
                <w:lang w:val="en-GB"/>
              </w:rPr>
              <w:t>The outcome measures to be considered include:</w:t>
            </w:r>
          </w:p>
          <w:p w14:paraId="3F1B1ABD" w14:textId="77777777" w:rsidR="002955ED" w:rsidRPr="002D770D" w:rsidRDefault="002955ED" w:rsidP="00ED0C4F">
            <w:pPr>
              <w:pStyle w:val="BodyText2"/>
              <w:numPr>
                <w:ilvl w:val="0"/>
                <w:numId w:val="40"/>
              </w:numPr>
              <w:rPr>
                <w:rFonts w:cs="Arial"/>
                <w:szCs w:val="24"/>
                <w:lang w:val="en-GB"/>
              </w:rPr>
            </w:pPr>
            <w:r w:rsidRPr="002D770D">
              <w:rPr>
                <w:rFonts w:cs="Arial"/>
                <w:szCs w:val="24"/>
                <w:lang w:val="en-GB"/>
              </w:rPr>
              <w:t>relapse rate</w:t>
            </w:r>
          </w:p>
          <w:p w14:paraId="0DDDA5B2" w14:textId="77777777" w:rsidR="002955ED" w:rsidRPr="002D770D" w:rsidRDefault="002955ED" w:rsidP="00ED0C4F">
            <w:pPr>
              <w:pStyle w:val="BodyText2"/>
              <w:numPr>
                <w:ilvl w:val="0"/>
                <w:numId w:val="40"/>
              </w:numPr>
              <w:rPr>
                <w:rFonts w:cs="Arial"/>
                <w:szCs w:val="24"/>
                <w:lang w:val="en-GB"/>
              </w:rPr>
            </w:pPr>
            <w:r w:rsidRPr="002D770D">
              <w:rPr>
                <w:rFonts w:cs="Arial"/>
                <w:szCs w:val="24"/>
                <w:lang w:val="en-GB"/>
              </w:rPr>
              <w:t>severity of relapse</w:t>
            </w:r>
          </w:p>
          <w:p w14:paraId="0B2A59C3" w14:textId="77777777" w:rsidR="002955ED" w:rsidRPr="002D770D" w:rsidRDefault="002955ED" w:rsidP="00ED0C4F">
            <w:pPr>
              <w:numPr>
                <w:ilvl w:val="0"/>
                <w:numId w:val="40"/>
              </w:numPr>
              <w:spacing w:before="120" w:after="120"/>
              <w:rPr>
                <w:rFonts w:ascii="Arial" w:hAnsi="Arial" w:cs="Arial"/>
              </w:rPr>
            </w:pPr>
            <w:r w:rsidRPr="002D770D">
              <w:rPr>
                <w:rFonts w:ascii="Arial" w:hAnsi="Arial" w:cs="Arial"/>
              </w:rPr>
              <w:t>disability (for example, expanded disability status scale [EDSS])</w:t>
            </w:r>
          </w:p>
          <w:p w14:paraId="72C234E0" w14:textId="77777777" w:rsidR="002955ED" w:rsidRPr="002D770D" w:rsidRDefault="002955ED" w:rsidP="00ED0C4F">
            <w:pPr>
              <w:pStyle w:val="BodyText2"/>
              <w:numPr>
                <w:ilvl w:val="0"/>
                <w:numId w:val="40"/>
              </w:numPr>
              <w:rPr>
                <w:rFonts w:cs="Arial"/>
                <w:szCs w:val="24"/>
                <w:lang w:val="en-GB"/>
              </w:rPr>
            </w:pPr>
            <w:r w:rsidRPr="002D770D">
              <w:rPr>
                <w:rFonts w:cs="Arial"/>
                <w:szCs w:val="24"/>
                <w:lang w:val="en-GB"/>
              </w:rPr>
              <w:t>disease progression</w:t>
            </w:r>
          </w:p>
          <w:p w14:paraId="1F736791" w14:textId="77777777" w:rsidR="002955ED" w:rsidRPr="002D770D" w:rsidRDefault="002955ED" w:rsidP="00ED0C4F">
            <w:pPr>
              <w:numPr>
                <w:ilvl w:val="0"/>
                <w:numId w:val="40"/>
              </w:numPr>
              <w:spacing w:before="120" w:after="120"/>
              <w:rPr>
                <w:rFonts w:ascii="Arial" w:hAnsi="Arial" w:cs="Arial"/>
              </w:rPr>
            </w:pPr>
            <w:r w:rsidRPr="002D770D">
              <w:rPr>
                <w:rFonts w:ascii="Arial" w:hAnsi="Arial" w:cs="Arial"/>
              </w:rPr>
              <w:t xml:space="preserve">symptoms of multiple sclerosis (such as fatigue, </w:t>
            </w:r>
            <w:proofErr w:type="gramStart"/>
            <w:r w:rsidRPr="002D770D">
              <w:rPr>
                <w:rFonts w:ascii="Arial" w:hAnsi="Arial" w:cs="Arial"/>
              </w:rPr>
              <w:t>cognition</w:t>
            </w:r>
            <w:proofErr w:type="gramEnd"/>
            <w:r w:rsidRPr="002D770D">
              <w:rPr>
                <w:rFonts w:ascii="Arial" w:hAnsi="Arial" w:cs="Arial"/>
              </w:rPr>
              <w:t xml:space="preserve"> or visual disturbance)</w:t>
            </w:r>
          </w:p>
          <w:p w14:paraId="2958F8A0" w14:textId="77777777" w:rsidR="002955ED" w:rsidRPr="002D770D" w:rsidRDefault="002955ED" w:rsidP="00ED0C4F">
            <w:pPr>
              <w:numPr>
                <w:ilvl w:val="0"/>
                <w:numId w:val="40"/>
              </w:numPr>
              <w:spacing w:before="120" w:after="120"/>
              <w:rPr>
                <w:rFonts w:ascii="Arial" w:hAnsi="Arial" w:cs="Arial"/>
              </w:rPr>
            </w:pPr>
            <w:r w:rsidRPr="002D770D">
              <w:rPr>
                <w:rFonts w:ascii="Arial" w:hAnsi="Arial" w:cs="Arial"/>
              </w:rPr>
              <w:t>freedom from disease activity (for example lesions on MRI scans)</w:t>
            </w:r>
          </w:p>
          <w:p w14:paraId="5546C886" w14:textId="77777777" w:rsidR="002955ED" w:rsidRPr="002D770D" w:rsidRDefault="002955ED" w:rsidP="00ED0C4F">
            <w:pPr>
              <w:pStyle w:val="BodyText2"/>
              <w:numPr>
                <w:ilvl w:val="0"/>
                <w:numId w:val="40"/>
              </w:numPr>
              <w:rPr>
                <w:rFonts w:cs="Arial"/>
                <w:szCs w:val="24"/>
                <w:lang w:val="en-GB"/>
              </w:rPr>
            </w:pPr>
            <w:r w:rsidRPr="002D770D">
              <w:rPr>
                <w:rFonts w:cs="Arial"/>
                <w:szCs w:val="24"/>
                <w:lang w:val="en-GB"/>
              </w:rPr>
              <w:t>mortality</w:t>
            </w:r>
          </w:p>
          <w:p w14:paraId="17879194" w14:textId="77777777" w:rsidR="002955ED" w:rsidRPr="002D770D" w:rsidRDefault="002955ED" w:rsidP="00ED0C4F">
            <w:pPr>
              <w:numPr>
                <w:ilvl w:val="0"/>
                <w:numId w:val="40"/>
              </w:numPr>
              <w:spacing w:before="120" w:after="120"/>
              <w:rPr>
                <w:rFonts w:ascii="Arial" w:hAnsi="Arial" w:cs="Arial"/>
              </w:rPr>
            </w:pPr>
            <w:r w:rsidRPr="002D770D">
              <w:rPr>
                <w:rFonts w:ascii="Arial" w:hAnsi="Arial" w:cs="Arial"/>
              </w:rPr>
              <w:t>adverse effects of treatment</w:t>
            </w:r>
          </w:p>
          <w:p w14:paraId="46E88686" w14:textId="77777777" w:rsidR="002955ED" w:rsidRPr="00D35290" w:rsidRDefault="002955ED" w:rsidP="00ED0C4F">
            <w:pPr>
              <w:numPr>
                <w:ilvl w:val="0"/>
                <w:numId w:val="37"/>
              </w:numPr>
              <w:spacing w:before="120" w:after="120"/>
              <w:ind w:left="714" w:hanging="357"/>
              <w:rPr>
                <w:rFonts w:ascii="Arial" w:hAnsi="Arial" w:cs="Arial"/>
                <w:lang w:eastAsia="en-US"/>
              </w:rPr>
            </w:pPr>
            <w:r w:rsidRPr="002D770D">
              <w:rPr>
                <w:rFonts w:ascii="Arial" w:hAnsi="Arial" w:cs="Arial"/>
              </w:rPr>
              <w:t>health-related quality of life.</w:t>
            </w:r>
          </w:p>
        </w:tc>
      </w:tr>
      <w:tr w:rsidR="002955ED" w:rsidRPr="00D35290" w14:paraId="489A6769" w14:textId="77777777" w:rsidTr="00ED0C4F">
        <w:trPr>
          <w:cantSplit/>
        </w:trPr>
        <w:tc>
          <w:tcPr>
            <w:tcW w:w="2376" w:type="dxa"/>
            <w:shd w:val="clear" w:color="auto" w:fill="D9D9D9"/>
          </w:tcPr>
          <w:p w14:paraId="2B5D66D1" w14:textId="77777777" w:rsidR="002955ED" w:rsidRPr="00D35290" w:rsidRDefault="002955ED" w:rsidP="00ED0C4F">
            <w:pPr>
              <w:spacing w:before="120"/>
              <w:rPr>
                <w:rFonts w:ascii="Arial" w:hAnsi="Arial" w:cs="Arial"/>
                <w:lang w:eastAsia="en-US"/>
              </w:rPr>
            </w:pPr>
            <w:r w:rsidRPr="002D770D">
              <w:rPr>
                <w:rFonts w:ascii="Arial" w:hAnsi="Arial" w:cs="Arial"/>
                <w:b/>
                <w:bCs/>
              </w:rPr>
              <w:lastRenderedPageBreak/>
              <w:t>Economic analysis</w:t>
            </w:r>
          </w:p>
        </w:tc>
        <w:tc>
          <w:tcPr>
            <w:tcW w:w="6237" w:type="dxa"/>
          </w:tcPr>
          <w:p w14:paraId="393E2DED" w14:textId="77777777" w:rsidR="002955ED" w:rsidRPr="002D770D" w:rsidRDefault="002955ED" w:rsidP="00ED0C4F">
            <w:pPr>
              <w:pStyle w:val="BodyText2"/>
              <w:rPr>
                <w:rFonts w:cs="Arial"/>
                <w:szCs w:val="24"/>
                <w:lang w:val="en-GB"/>
              </w:rPr>
            </w:pPr>
            <w:r w:rsidRPr="002D770D">
              <w:rPr>
                <w:rFonts w:cs="Arial"/>
                <w:szCs w:val="24"/>
                <w:lang w:val="en-GB"/>
              </w:rPr>
              <w:t>The reference case stipulates that the cost effectiveness of treatments should be expressed in terms of incremental cost per quality-adjusted life year.</w:t>
            </w:r>
          </w:p>
          <w:p w14:paraId="2174BA50" w14:textId="77777777" w:rsidR="002955ED" w:rsidRPr="002D770D" w:rsidRDefault="002955ED" w:rsidP="00ED0C4F">
            <w:pPr>
              <w:pStyle w:val="BodyText2"/>
              <w:rPr>
                <w:rFonts w:cs="Arial"/>
                <w:szCs w:val="24"/>
                <w:lang w:val="en-GB"/>
              </w:rPr>
            </w:pPr>
            <w:r w:rsidRPr="002D770D">
              <w:rPr>
                <w:rFonts w:cs="Arial"/>
                <w:szCs w:val="24"/>
                <w:lang w:val="en-GB"/>
              </w:rPr>
              <w:t xml:space="preserve">If the technology is likely to provide similar or greater health benefits at similar or greater health benefits at similar or lower cost than technologies recommended in published NICE technology guidance for the same indication, a cost-comparison may be carried out. </w:t>
            </w:r>
          </w:p>
          <w:p w14:paraId="161C410B" w14:textId="77777777" w:rsidR="002955ED" w:rsidRPr="002D770D" w:rsidRDefault="002955ED" w:rsidP="00ED0C4F">
            <w:pPr>
              <w:pStyle w:val="BodyText2"/>
              <w:rPr>
                <w:rFonts w:cs="Arial"/>
                <w:szCs w:val="24"/>
                <w:lang w:val="en-GB"/>
              </w:rPr>
            </w:pPr>
            <w:r w:rsidRPr="002D770D">
              <w:rPr>
                <w:rFonts w:cs="Arial"/>
                <w:szCs w:val="24"/>
                <w:lang w:val="en-GB"/>
              </w:rPr>
              <w:t>The reference case stipulates that the time horizon for estimating clinical and cost effectiveness should be sufficiently long to reflect any differences in costs or outcomes between the technologies being compared.</w:t>
            </w:r>
          </w:p>
          <w:p w14:paraId="54F7FC64" w14:textId="77777777" w:rsidR="002955ED" w:rsidRPr="00D35290" w:rsidRDefault="002955ED" w:rsidP="00ED0C4F">
            <w:pPr>
              <w:spacing w:before="120" w:after="120"/>
              <w:rPr>
                <w:rFonts w:ascii="Arial" w:hAnsi="Arial" w:cs="Arial"/>
                <w:lang w:eastAsia="en-US"/>
              </w:rPr>
            </w:pPr>
            <w:r w:rsidRPr="002D770D">
              <w:rPr>
                <w:rFonts w:ascii="Arial" w:hAnsi="Arial" w:cs="Arial"/>
              </w:rPr>
              <w:t>Costs will be considered from an NHS and Personal Social Services perspective.</w:t>
            </w:r>
          </w:p>
        </w:tc>
      </w:tr>
      <w:tr w:rsidR="002955ED" w:rsidRPr="00D35290" w14:paraId="3231ACA3" w14:textId="77777777" w:rsidTr="00ED0C4F">
        <w:trPr>
          <w:cantSplit/>
        </w:trPr>
        <w:tc>
          <w:tcPr>
            <w:tcW w:w="2376" w:type="dxa"/>
            <w:shd w:val="clear" w:color="auto" w:fill="D9D9D9"/>
          </w:tcPr>
          <w:p w14:paraId="667E143D" w14:textId="77777777" w:rsidR="002955ED" w:rsidRPr="00D35290" w:rsidRDefault="002955ED" w:rsidP="00ED0C4F">
            <w:pPr>
              <w:spacing w:before="120"/>
              <w:rPr>
                <w:rFonts w:ascii="Arial" w:hAnsi="Arial" w:cs="Arial"/>
                <w:lang w:eastAsia="en-US"/>
              </w:rPr>
            </w:pPr>
            <w:r w:rsidRPr="002D770D">
              <w:rPr>
                <w:rFonts w:ascii="Arial" w:hAnsi="Arial" w:cs="Arial"/>
                <w:b/>
                <w:bCs/>
              </w:rPr>
              <w:t xml:space="preserve">Other considerations </w:t>
            </w:r>
          </w:p>
        </w:tc>
        <w:tc>
          <w:tcPr>
            <w:tcW w:w="6237" w:type="dxa"/>
          </w:tcPr>
          <w:p w14:paraId="0DDB53FC" w14:textId="77777777" w:rsidR="002955ED" w:rsidRPr="00D35290" w:rsidRDefault="002955ED" w:rsidP="00ED0C4F">
            <w:pPr>
              <w:spacing w:before="120" w:after="120"/>
              <w:rPr>
                <w:rFonts w:ascii="Arial" w:hAnsi="Arial" w:cs="Arial"/>
                <w:lang w:eastAsia="en-US"/>
              </w:rPr>
            </w:pPr>
            <w:r w:rsidRPr="002D770D">
              <w:rPr>
                <w:rFonts w:ascii="Arial" w:hAnsi="Arial" w:cs="Arial"/>
              </w:rPr>
              <w:t>Guidance will only be issued in accordance with the marketing authorisation. Where the wording of the therapeutic indication does not include specific treatment combinations, guidance will be issued only in the context of the evidence that has underpinned the marketing authorisation granted by the regulator.</w:t>
            </w:r>
          </w:p>
        </w:tc>
      </w:tr>
      <w:tr w:rsidR="002955ED" w:rsidRPr="00D35290" w14:paraId="7B792014" w14:textId="77777777" w:rsidTr="00ED0C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76" w:type="dxa"/>
            <w:shd w:val="clear" w:color="auto" w:fill="D9D9D9"/>
          </w:tcPr>
          <w:p w14:paraId="36B8A4A2" w14:textId="77777777" w:rsidR="002955ED" w:rsidRPr="00D35290" w:rsidRDefault="002955ED" w:rsidP="00ED0C4F">
            <w:pPr>
              <w:spacing w:before="120"/>
              <w:rPr>
                <w:rFonts w:ascii="Arial" w:hAnsi="Arial" w:cs="Arial"/>
                <w:lang w:eastAsia="en-US"/>
              </w:rPr>
            </w:pPr>
            <w:r w:rsidRPr="002D770D">
              <w:rPr>
                <w:rFonts w:ascii="Arial" w:hAnsi="Arial" w:cs="Arial"/>
                <w:b/>
                <w:bCs/>
              </w:rPr>
              <w:t xml:space="preserve">Related NICE recommendations </w:t>
            </w:r>
          </w:p>
        </w:tc>
        <w:tc>
          <w:tcPr>
            <w:tcW w:w="6237" w:type="dxa"/>
          </w:tcPr>
          <w:p w14:paraId="6490B643" w14:textId="77777777" w:rsidR="002955ED" w:rsidRPr="002D770D" w:rsidRDefault="002955ED" w:rsidP="00ED0C4F">
            <w:pPr>
              <w:pStyle w:val="BodyText2"/>
              <w:tabs>
                <w:tab w:val="left" w:pos="3748"/>
              </w:tabs>
              <w:rPr>
                <w:rFonts w:cs="Arial"/>
                <w:b/>
                <w:bCs/>
                <w:szCs w:val="24"/>
                <w:lang w:val="en-GB"/>
              </w:rPr>
            </w:pPr>
            <w:r w:rsidRPr="002D770D">
              <w:rPr>
                <w:rFonts w:cs="Arial"/>
                <w:b/>
                <w:bCs/>
                <w:szCs w:val="24"/>
                <w:lang w:val="en-GB"/>
              </w:rPr>
              <w:t>Related technology appraisals:</w:t>
            </w:r>
            <w:r w:rsidRPr="002D770D">
              <w:rPr>
                <w:rFonts w:cs="Arial"/>
                <w:b/>
                <w:bCs/>
                <w:szCs w:val="24"/>
                <w:lang w:val="en-GB"/>
              </w:rPr>
              <w:tab/>
            </w:r>
          </w:p>
          <w:p w14:paraId="1EAD1942" w14:textId="77777777" w:rsidR="002955ED" w:rsidRPr="002D770D" w:rsidRDefault="00127C95" w:rsidP="00ED0C4F">
            <w:pPr>
              <w:spacing w:before="120" w:after="120"/>
              <w:rPr>
                <w:rFonts w:ascii="Arial" w:hAnsi="Arial" w:cs="Arial"/>
              </w:rPr>
            </w:pPr>
            <w:hyperlink r:id="rId15" w:history="1">
              <w:r w:rsidR="002955ED" w:rsidRPr="002D770D">
                <w:rPr>
                  <w:rFonts w:ascii="Arial" w:hAnsi="Arial" w:cs="Arial"/>
                  <w:color w:val="0000FF"/>
                  <w:u w:val="single"/>
                </w:rPr>
                <w:t>Diroximel fumarate for treating relapsing-remitting multiple sclerosis</w:t>
              </w:r>
            </w:hyperlink>
            <w:r w:rsidR="002955ED" w:rsidRPr="002D770D">
              <w:rPr>
                <w:rFonts w:ascii="Arial" w:hAnsi="Arial" w:cs="Arial"/>
              </w:rPr>
              <w:t xml:space="preserve"> (2022). </w:t>
            </w:r>
            <w:r w:rsidR="002955ED" w:rsidRPr="002D770D">
              <w:rPr>
                <w:rFonts w:ascii="Arial" w:hAnsi="Arial" w:cs="Arial"/>
                <w:color w:val="000000"/>
              </w:rPr>
              <w:t>NICE technology appraisals guidance 767.</w:t>
            </w:r>
          </w:p>
          <w:p w14:paraId="71AEC88C" w14:textId="77777777" w:rsidR="002955ED" w:rsidRPr="002D770D" w:rsidRDefault="00127C95" w:rsidP="00ED0C4F">
            <w:pPr>
              <w:spacing w:before="120" w:after="120"/>
              <w:rPr>
                <w:rFonts w:ascii="Arial" w:hAnsi="Arial" w:cs="Arial"/>
              </w:rPr>
            </w:pPr>
            <w:hyperlink r:id="rId16" w:history="1">
              <w:r w:rsidR="002955ED" w:rsidRPr="002D770D">
                <w:rPr>
                  <w:rFonts w:ascii="Arial" w:hAnsi="Arial" w:cs="Arial"/>
                  <w:color w:val="0000FF"/>
                  <w:u w:val="single"/>
                </w:rPr>
                <w:t>Ponesimod for treating relapsing multiple sclerosis</w:t>
              </w:r>
            </w:hyperlink>
            <w:r w:rsidR="002955ED" w:rsidRPr="002D770D">
              <w:rPr>
                <w:rFonts w:ascii="Arial" w:hAnsi="Arial" w:cs="Arial"/>
              </w:rPr>
              <w:t xml:space="preserve"> (2022). </w:t>
            </w:r>
            <w:r w:rsidR="002955ED" w:rsidRPr="002D770D">
              <w:rPr>
                <w:rFonts w:ascii="Arial" w:hAnsi="Arial" w:cs="Arial"/>
                <w:color w:val="000000"/>
              </w:rPr>
              <w:t>NICE technology appraisals guidance 767.</w:t>
            </w:r>
          </w:p>
          <w:p w14:paraId="59509F50" w14:textId="77777777" w:rsidR="002955ED" w:rsidRPr="002D770D" w:rsidRDefault="00127C95" w:rsidP="00ED0C4F">
            <w:pPr>
              <w:spacing w:before="120" w:after="120"/>
              <w:rPr>
                <w:rFonts w:ascii="Arial" w:hAnsi="Arial" w:cs="Arial"/>
              </w:rPr>
            </w:pPr>
            <w:hyperlink r:id="rId17" w:history="1">
              <w:r w:rsidR="002955ED" w:rsidRPr="002D770D">
                <w:rPr>
                  <w:rFonts w:ascii="Arial" w:hAnsi="Arial" w:cs="Arial"/>
                  <w:color w:val="0000FF"/>
                  <w:u w:val="single"/>
                </w:rPr>
                <w:t>Ofatumumab for treating relapsing multiple sclerosis</w:t>
              </w:r>
            </w:hyperlink>
            <w:r w:rsidR="002955ED" w:rsidRPr="002D770D">
              <w:rPr>
                <w:rFonts w:ascii="Arial" w:hAnsi="Arial" w:cs="Arial"/>
              </w:rPr>
              <w:t xml:space="preserve"> (2021). </w:t>
            </w:r>
            <w:r w:rsidR="002955ED" w:rsidRPr="002D770D">
              <w:rPr>
                <w:rFonts w:ascii="Arial" w:hAnsi="Arial" w:cs="Arial"/>
                <w:color w:val="000000"/>
              </w:rPr>
              <w:t xml:space="preserve">NICE technology appraisals guidance 699. </w:t>
            </w:r>
          </w:p>
          <w:p w14:paraId="04FCB508" w14:textId="77777777" w:rsidR="002955ED" w:rsidRPr="002D770D" w:rsidRDefault="00127C95" w:rsidP="00ED0C4F">
            <w:pPr>
              <w:spacing w:before="120" w:after="120"/>
              <w:rPr>
                <w:rFonts w:ascii="Arial" w:hAnsi="Arial" w:cs="Arial"/>
              </w:rPr>
            </w:pPr>
            <w:hyperlink r:id="rId18" w:history="1">
              <w:r w:rsidR="002955ED" w:rsidRPr="002D770D">
                <w:rPr>
                  <w:rFonts w:ascii="Arial" w:hAnsi="Arial" w:cs="Arial"/>
                  <w:color w:val="0000FF"/>
                  <w:u w:val="single"/>
                  <w:lang w:val="x-none"/>
                </w:rPr>
                <w:t>Ozanimod for treating relapsing multiple sclerosis</w:t>
              </w:r>
            </w:hyperlink>
            <w:r w:rsidR="002955ED" w:rsidRPr="002D770D">
              <w:rPr>
                <w:rFonts w:ascii="Arial" w:hAnsi="Arial" w:cs="Arial"/>
              </w:rPr>
              <w:t xml:space="preserve"> (2021)</w:t>
            </w:r>
            <w:r w:rsidR="002955ED" w:rsidRPr="002D770D">
              <w:rPr>
                <w:rFonts w:ascii="Arial" w:hAnsi="Arial" w:cs="Arial"/>
                <w:lang w:val="x-none"/>
              </w:rPr>
              <w:t xml:space="preserve">. </w:t>
            </w:r>
            <w:r w:rsidR="002955ED" w:rsidRPr="002D770D">
              <w:rPr>
                <w:rFonts w:ascii="Arial" w:hAnsi="Arial" w:cs="Arial"/>
                <w:color w:val="000000"/>
                <w:lang w:val="x-none"/>
              </w:rPr>
              <w:t xml:space="preserve">NICE technology appraisals guidance </w:t>
            </w:r>
            <w:r w:rsidR="002955ED" w:rsidRPr="002D770D">
              <w:rPr>
                <w:rFonts w:ascii="Arial" w:hAnsi="Arial" w:cs="Arial"/>
                <w:color w:val="000000"/>
              </w:rPr>
              <w:t>TA706</w:t>
            </w:r>
            <w:r w:rsidR="002955ED" w:rsidRPr="002D770D">
              <w:rPr>
                <w:rFonts w:ascii="Arial" w:hAnsi="Arial" w:cs="Arial"/>
                <w:color w:val="000000"/>
                <w:lang w:val="x-none"/>
              </w:rPr>
              <w:t xml:space="preserve">. </w:t>
            </w:r>
          </w:p>
          <w:p w14:paraId="6DB995C5" w14:textId="77777777" w:rsidR="002955ED" w:rsidRPr="002D770D" w:rsidRDefault="00127C95" w:rsidP="00ED0C4F">
            <w:pPr>
              <w:spacing w:before="120" w:after="120"/>
              <w:rPr>
                <w:rFonts w:ascii="Arial" w:hAnsi="Arial" w:cs="Arial"/>
                <w:color w:val="000000"/>
              </w:rPr>
            </w:pPr>
            <w:hyperlink r:id="rId19" w:history="1">
              <w:r w:rsidR="002955ED" w:rsidRPr="002D770D">
                <w:rPr>
                  <w:rStyle w:val="Hyperlink"/>
                  <w:rFonts w:ascii="Arial" w:hAnsi="Arial" w:cs="Arial"/>
                </w:rPr>
                <w:t>Peginterferon beta-1a for treating relapsing–remitting multiple sclerosis</w:t>
              </w:r>
            </w:hyperlink>
            <w:r w:rsidR="002955ED" w:rsidRPr="002D770D">
              <w:rPr>
                <w:rFonts w:ascii="Arial" w:hAnsi="Arial" w:cs="Arial"/>
                <w:color w:val="000000"/>
              </w:rPr>
              <w:t xml:space="preserve"> (2020). </w:t>
            </w:r>
            <w:r w:rsidR="002955ED" w:rsidRPr="002D770D">
              <w:rPr>
                <w:rFonts w:ascii="Arial" w:hAnsi="Arial" w:cs="Arial"/>
                <w:bCs/>
                <w:color w:val="000000"/>
              </w:rPr>
              <w:t xml:space="preserve">NICE technology appraisal guidance 624. </w:t>
            </w:r>
          </w:p>
          <w:p w14:paraId="03B3AAAB" w14:textId="77777777" w:rsidR="002955ED" w:rsidRPr="002D770D" w:rsidRDefault="00127C95" w:rsidP="00ED0C4F">
            <w:pPr>
              <w:spacing w:before="120" w:after="120"/>
              <w:rPr>
                <w:rFonts w:ascii="Arial" w:hAnsi="Arial" w:cs="Arial"/>
                <w:color w:val="000000"/>
              </w:rPr>
            </w:pPr>
            <w:hyperlink r:id="rId20" w:history="1">
              <w:r w:rsidR="002955ED" w:rsidRPr="002D770D">
                <w:rPr>
                  <w:rStyle w:val="Hyperlink"/>
                  <w:rFonts w:ascii="Arial" w:hAnsi="Arial" w:cs="Arial"/>
                </w:rPr>
                <w:t>Cladribine tablets for treating relapsing–remitting multiple sclerosis</w:t>
              </w:r>
            </w:hyperlink>
            <w:r w:rsidR="002955ED" w:rsidRPr="002D770D">
              <w:rPr>
                <w:rFonts w:ascii="Arial" w:hAnsi="Arial" w:cs="Arial"/>
                <w:color w:val="000000"/>
              </w:rPr>
              <w:t xml:space="preserve"> (2017). </w:t>
            </w:r>
            <w:r w:rsidR="002955ED" w:rsidRPr="002D770D">
              <w:rPr>
                <w:rFonts w:ascii="Arial" w:hAnsi="Arial" w:cs="Arial"/>
                <w:bCs/>
                <w:color w:val="000000"/>
              </w:rPr>
              <w:t xml:space="preserve">NICE technology appraisal guidance 616. </w:t>
            </w:r>
          </w:p>
          <w:p w14:paraId="1EA71E97" w14:textId="77777777" w:rsidR="002955ED" w:rsidRPr="002D770D" w:rsidRDefault="00127C95" w:rsidP="00ED0C4F">
            <w:pPr>
              <w:spacing w:before="120" w:after="120"/>
              <w:rPr>
                <w:rFonts w:ascii="Arial" w:hAnsi="Arial" w:cs="Arial"/>
                <w:color w:val="000000"/>
              </w:rPr>
            </w:pPr>
            <w:hyperlink r:id="rId21" w:history="1">
              <w:r w:rsidR="002955ED" w:rsidRPr="002D770D">
                <w:rPr>
                  <w:rStyle w:val="Hyperlink"/>
                  <w:rFonts w:ascii="Arial" w:hAnsi="Arial" w:cs="Arial"/>
                </w:rPr>
                <w:t>Ocrelizumab for treating relapsing–remitting multiple sclerosis</w:t>
              </w:r>
            </w:hyperlink>
            <w:r w:rsidR="002955ED" w:rsidRPr="002D770D">
              <w:rPr>
                <w:rFonts w:ascii="Arial" w:hAnsi="Arial" w:cs="Arial"/>
                <w:color w:val="000000"/>
              </w:rPr>
              <w:t xml:space="preserve"> (2018). </w:t>
            </w:r>
            <w:r w:rsidR="002955ED" w:rsidRPr="002D770D">
              <w:rPr>
                <w:rFonts w:ascii="Arial" w:hAnsi="Arial" w:cs="Arial"/>
                <w:bCs/>
                <w:color w:val="000000"/>
              </w:rPr>
              <w:t xml:space="preserve">NICE technology appraisal guidance 533. </w:t>
            </w:r>
          </w:p>
          <w:p w14:paraId="0C4D50BD" w14:textId="77777777" w:rsidR="002955ED" w:rsidRPr="002D770D" w:rsidRDefault="00127C95" w:rsidP="00ED0C4F">
            <w:pPr>
              <w:spacing w:before="120" w:after="120"/>
              <w:rPr>
                <w:rFonts w:ascii="Arial" w:hAnsi="Arial" w:cs="Arial"/>
                <w:color w:val="000000"/>
              </w:rPr>
            </w:pPr>
            <w:hyperlink r:id="rId22" w:history="1">
              <w:r w:rsidR="002955ED" w:rsidRPr="002D770D">
                <w:rPr>
                  <w:rStyle w:val="Hyperlink"/>
                  <w:rFonts w:ascii="Arial" w:hAnsi="Arial" w:cs="Arial"/>
                </w:rPr>
                <w:t>Beta interferons and glatiramer acetate for treating multiple sclerosis</w:t>
              </w:r>
            </w:hyperlink>
            <w:r w:rsidR="002955ED" w:rsidRPr="002D770D">
              <w:rPr>
                <w:rFonts w:ascii="Arial" w:hAnsi="Arial" w:cs="Arial"/>
                <w:color w:val="000000"/>
              </w:rPr>
              <w:t xml:space="preserve"> (2018). </w:t>
            </w:r>
            <w:r w:rsidR="002955ED" w:rsidRPr="002D770D">
              <w:rPr>
                <w:rFonts w:ascii="Arial" w:hAnsi="Arial" w:cs="Arial"/>
                <w:bCs/>
                <w:color w:val="000000"/>
              </w:rPr>
              <w:t xml:space="preserve">NICE technology appraisal guidance 527. </w:t>
            </w:r>
          </w:p>
          <w:p w14:paraId="0D1F19E3" w14:textId="77777777" w:rsidR="002955ED" w:rsidRPr="002D770D" w:rsidRDefault="00127C95" w:rsidP="00ED0C4F">
            <w:pPr>
              <w:spacing w:before="120" w:after="120"/>
              <w:rPr>
                <w:rFonts w:ascii="Arial" w:hAnsi="Arial" w:cs="Arial"/>
                <w:bCs/>
              </w:rPr>
            </w:pPr>
            <w:hyperlink r:id="rId23" w:tgtFrame="_blank" w:tooltip="View TA320 at NICE website" w:history="1">
              <w:r w:rsidR="002955ED" w:rsidRPr="002D770D">
                <w:rPr>
                  <w:rFonts w:ascii="Arial" w:hAnsi="Arial" w:cs="Arial"/>
                  <w:bCs/>
                  <w:color w:val="0000FF"/>
                  <w:u w:val="single"/>
                </w:rPr>
                <w:t>Dimethyl fumarate for treating relapsing-remitting multiple sclerosis</w:t>
              </w:r>
            </w:hyperlink>
            <w:r w:rsidR="002955ED" w:rsidRPr="002D770D">
              <w:rPr>
                <w:rFonts w:ascii="Arial" w:hAnsi="Arial" w:cs="Arial"/>
                <w:bCs/>
                <w:color w:val="000000"/>
              </w:rPr>
              <w:t xml:space="preserve"> (2014). NICE technology appraisal guidance 320. </w:t>
            </w:r>
          </w:p>
          <w:p w14:paraId="7D30C7EB" w14:textId="77777777" w:rsidR="002955ED" w:rsidRPr="002D770D" w:rsidRDefault="00127C95" w:rsidP="00ED0C4F">
            <w:pPr>
              <w:spacing w:before="120" w:after="120"/>
              <w:rPr>
                <w:rFonts w:ascii="Arial" w:hAnsi="Arial" w:cs="Arial"/>
                <w:bCs/>
              </w:rPr>
            </w:pPr>
            <w:hyperlink r:id="rId24" w:tgtFrame="_blank" w:tooltip="View TA312 at NICE website" w:history="1">
              <w:r w:rsidR="002955ED" w:rsidRPr="002D770D">
                <w:rPr>
                  <w:rFonts w:ascii="Arial" w:hAnsi="Arial" w:cs="Arial"/>
                  <w:bCs/>
                  <w:color w:val="0000FF"/>
                  <w:u w:val="single"/>
                </w:rPr>
                <w:t>Alemtuzumab for treating relapsing–remitting multiple sclerosis</w:t>
              </w:r>
            </w:hyperlink>
            <w:r w:rsidR="002955ED" w:rsidRPr="002D770D">
              <w:rPr>
                <w:rFonts w:ascii="Arial" w:hAnsi="Arial" w:cs="Arial"/>
                <w:bCs/>
                <w:color w:val="000000"/>
              </w:rPr>
              <w:t xml:space="preserve"> (2014). NICE technology appraisal guidance 312.</w:t>
            </w:r>
          </w:p>
          <w:p w14:paraId="537273E3" w14:textId="77777777" w:rsidR="002955ED" w:rsidRPr="002D770D" w:rsidRDefault="00127C95" w:rsidP="00ED0C4F">
            <w:pPr>
              <w:spacing w:before="120" w:after="120"/>
              <w:rPr>
                <w:rFonts w:ascii="Arial" w:hAnsi="Arial" w:cs="Arial"/>
                <w:bCs/>
                <w:color w:val="000000"/>
              </w:rPr>
            </w:pPr>
            <w:hyperlink r:id="rId25" w:tgtFrame="_blank" w:tooltip="View TA303 at NICE website" w:history="1">
              <w:r w:rsidR="002955ED" w:rsidRPr="002D770D">
                <w:rPr>
                  <w:rFonts w:ascii="Arial" w:hAnsi="Arial" w:cs="Arial"/>
                  <w:bCs/>
                  <w:color w:val="0000FF"/>
                  <w:u w:val="single"/>
                </w:rPr>
                <w:t>Teriflunomide for treating relapsing–remitting multiple sclerosis</w:t>
              </w:r>
            </w:hyperlink>
            <w:r w:rsidR="002955ED" w:rsidRPr="002D770D">
              <w:rPr>
                <w:rFonts w:ascii="Arial" w:hAnsi="Arial" w:cs="Arial"/>
                <w:bCs/>
                <w:color w:val="000000"/>
              </w:rPr>
              <w:t xml:space="preserve"> (2014). NICE technology appraisal guidance 303. </w:t>
            </w:r>
          </w:p>
          <w:p w14:paraId="68D4AC7F" w14:textId="77777777" w:rsidR="002955ED" w:rsidRPr="002D770D" w:rsidRDefault="00127C95" w:rsidP="00ED0C4F">
            <w:pPr>
              <w:spacing w:before="120" w:after="120"/>
              <w:rPr>
                <w:rFonts w:ascii="Arial" w:hAnsi="Arial" w:cs="Arial"/>
                <w:bCs/>
                <w:color w:val="000000"/>
              </w:rPr>
            </w:pPr>
            <w:hyperlink r:id="rId26" w:tgtFrame="_blank" w:tooltip="View TA127 at NICE website" w:history="1">
              <w:r w:rsidR="002955ED" w:rsidRPr="002D770D">
                <w:rPr>
                  <w:rFonts w:ascii="Arial" w:hAnsi="Arial" w:cs="Arial"/>
                  <w:bCs/>
                  <w:color w:val="0000FF"/>
                  <w:u w:val="single"/>
                </w:rPr>
                <w:t>Natalizumab for the treatment of adults with highly active relapsing–remitting multiple sclerosis</w:t>
              </w:r>
            </w:hyperlink>
            <w:r w:rsidR="002955ED" w:rsidRPr="002D770D">
              <w:rPr>
                <w:rFonts w:ascii="Arial" w:hAnsi="Arial" w:cs="Arial"/>
                <w:bCs/>
                <w:color w:val="000000"/>
              </w:rPr>
              <w:t xml:space="preserve"> (2007). NICE technology appraisal guidance 1</w:t>
            </w:r>
            <w:r w:rsidR="002955ED" w:rsidRPr="002D770D">
              <w:rPr>
                <w:rFonts w:ascii="Arial" w:hAnsi="Arial" w:cs="Arial"/>
                <w:bCs/>
              </w:rPr>
              <w:t xml:space="preserve">27. </w:t>
            </w:r>
          </w:p>
          <w:p w14:paraId="41EA6698" w14:textId="77777777" w:rsidR="002955ED" w:rsidRPr="002D770D" w:rsidRDefault="002955ED" w:rsidP="00ED0C4F">
            <w:pPr>
              <w:pStyle w:val="BodyText2"/>
              <w:rPr>
                <w:rFonts w:cs="Arial"/>
                <w:b/>
                <w:bCs/>
                <w:szCs w:val="24"/>
                <w:lang w:val="en-GB"/>
              </w:rPr>
            </w:pPr>
          </w:p>
          <w:p w14:paraId="586EA29E" w14:textId="77777777" w:rsidR="002955ED" w:rsidRPr="002D770D" w:rsidRDefault="002955ED" w:rsidP="00ED0C4F">
            <w:pPr>
              <w:pStyle w:val="BodyText2"/>
              <w:rPr>
                <w:rFonts w:cs="Arial"/>
                <w:b/>
                <w:bCs/>
                <w:szCs w:val="24"/>
                <w:lang w:val="en-GB"/>
              </w:rPr>
            </w:pPr>
            <w:r w:rsidRPr="002D770D">
              <w:rPr>
                <w:rFonts w:cs="Arial"/>
                <w:b/>
                <w:bCs/>
                <w:szCs w:val="24"/>
                <w:lang w:val="en-GB"/>
              </w:rPr>
              <w:t>Related technology appraisals in development:</w:t>
            </w:r>
          </w:p>
          <w:p w14:paraId="27617997" w14:textId="77777777" w:rsidR="002955ED" w:rsidRPr="002D770D" w:rsidRDefault="00127C95" w:rsidP="00ED0C4F">
            <w:pPr>
              <w:pStyle w:val="BodyText2"/>
              <w:rPr>
                <w:rFonts w:cs="Arial"/>
                <w:szCs w:val="24"/>
                <w:lang w:val="en-GB"/>
              </w:rPr>
            </w:pPr>
            <w:hyperlink r:id="rId27" w:history="1">
              <w:proofErr w:type="spellStart"/>
              <w:r w:rsidR="002955ED" w:rsidRPr="002D770D">
                <w:rPr>
                  <w:rStyle w:val="Hyperlink"/>
                  <w:rFonts w:cs="Arial"/>
                  <w:szCs w:val="24"/>
                  <w:lang w:val="en-GB"/>
                </w:rPr>
                <w:t>Evobrutinib</w:t>
              </w:r>
              <w:proofErr w:type="spellEnd"/>
              <w:r w:rsidR="002955ED" w:rsidRPr="002D770D">
                <w:rPr>
                  <w:rStyle w:val="Hyperlink"/>
                  <w:rFonts w:cs="Arial"/>
                  <w:szCs w:val="24"/>
                  <w:lang w:val="en-GB"/>
                </w:rPr>
                <w:t xml:space="preserve"> for treating relapsing multiple sclerosis</w:t>
              </w:r>
            </w:hyperlink>
            <w:r w:rsidR="002955ED" w:rsidRPr="002D770D">
              <w:rPr>
                <w:rFonts w:cs="Arial"/>
                <w:szCs w:val="24"/>
                <w:lang w:val="en-GB"/>
              </w:rPr>
              <w:t xml:space="preserve"> [ID6313] Publication date to be </w:t>
            </w:r>
            <w:proofErr w:type="gramStart"/>
            <w:r w:rsidR="002955ED" w:rsidRPr="002D770D">
              <w:rPr>
                <w:rFonts w:cs="Arial"/>
                <w:szCs w:val="24"/>
                <w:lang w:val="en-GB"/>
              </w:rPr>
              <w:t>confirmed</w:t>
            </w:r>
            <w:proofErr w:type="gramEnd"/>
          </w:p>
          <w:p w14:paraId="618268CD" w14:textId="77777777" w:rsidR="002955ED" w:rsidRPr="002D770D" w:rsidRDefault="00127C95" w:rsidP="00ED0C4F">
            <w:pPr>
              <w:pStyle w:val="BodyText2"/>
              <w:rPr>
                <w:rFonts w:cs="Arial"/>
                <w:szCs w:val="24"/>
                <w:lang w:val="en-GB"/>
              </w:rPr>
            </w:pPr>
            <w:hyperlink r:id="rId28" w:history="1">
              <w:r w:rsidR="002955ED" w:rsidRPr="002D770D">
                <w:rPr>
                  <w:rStyle w:val="Hyperlink"/>
                  <w:rFonts w:cs="Arial"/>
                  <w:szCs w:val="24"/>
                  <w:lang w:val="en-GB"/>
                </w:rPr>
                <w:t>Cladribine for treating relapsing multiple sclerosis</w:t>
              </w:r>
            </w:hyperlink>
            <w:r w:rsidR="002955ED" w:rsidRPr="002D770D">
              <w:rPr>
                <w:rFonts w:cs="Arial"/>
                <w:szCs w:val="24"/>
                <w:lang w:val="en-GB"/>
              </w:rPr>
              <w:t xml:space="preserve"> [ID6263] Publication date to be </w:t>
            </w:r>
            <w:proofErr w:type="gramStart"/>
            <w:r w:rsidR="002955ED" w:rsidRPr="002D770D">
              <w:rPr>
                <w:rFonts w:cs="Arial"/>
                <w:szCs w:val="24"/>
                <w:lang w:val="en-GB"/>
              </w:rPr>
              <w:t>confirmed</w:t>
            </w:r>
            <w:proofErr w:type="gramEnd"/>
          </w:p>
          <w:p w14:paraId="62FB5D3B" w14:textId="77777777" w:rsidR="002955ED" w:rsidRPr="002D770D" w:rsidRDefault="002955ED" w:rsidP="00ED0C4F">
            <w:pPr>
              <w:pStyle w:val="BodyText2"/>
              <w:rPr>
                <w:rFonts w:cs="Arial"/>
                <w:szCs w:val="24"/>
                <w:lang w:val="en-GB"/>
              </w:rPr>
            </w:pPr>
          </w:p>
          <w:p w14:paraId="60349BB0" w14:textId="77777777" w:rsidR="002955ED" w:rsidRPr="002D770D" w:rsidRDefault="002955ED" w:rsidP="00ED0C4F">
            <w:pPr>
              <w:pStyle w:val="BodyText2"/>
              <w:rPr>
                <w:rFonts w:cs="Arial"/>
                <w:b/>
                <w:bCs/>
                <w:szCs w:val="24"/>
                <w:lang w:val="en-GB"/>
              </w:rPr>
            </w:pPr>
            <w:r w:rsidRPr="002D770D">
              <w:rPr>
                <w:rFonts w:cs="Arial"/>
                <w:b/>
                <w:bCs/>
                <w:szCs w:val="24"/>
                <w:lang w:val="en-GB"/>
              </w:rPr>
              <w:t>Related NICE guidelines:</w:t>
            </w:r>
          </w:p>
          <w:p w14:paraId="5D45A76C" w14:textId="77777777" w:rsidR="002955ED" w:rsidRPr="002D770D" w:rsidRDefault="00127C95" w:rsidP="00ED0C4F">
            <w:pPr>
              <w:rPr>
                <w:rFonts w:ascii="Arial" w:hAnsi="Arial" w:cs="Arial"/>
              </w:rPr>
            </w:pPr>
            <w:hyperlink r:id="rId29" w:history="1">
              <w:r w:rsidR="002955ED" w:rsidRPr="002D770D">
                <w:rPr>
                  <w:rStyle w:val="Hyperlink"/>
                  <w:rFonts w:ascii="Arial" w:hAnsi="Arial" w:cs="Arial"/>
                </w:rPr>
                <w:t>Multiple sclerosis in adults: management</w:t>
              </w:r>
            </w:hyperlink>
            <w:r w:rsidR="002955ED" w:rsidRPr="002D770D">
              <w:rPr>
                <w:rFonts w:ascii="Arial" w:hAnsi="Arial" w:cs="Arial"/>
              </w:rPr>
              <w:t xml:space="preserve">. (2022) NICE guideline [NG220] </w:t>
            </w:r>
          </w:p>
          <w:p w14:paraId="5434B712" w14:textId="77777777" w:rsidR="002955ED" w:rsidRPr="002D770D" w:rsidRDefault="002955ED" w:rsidP="00ED0C4F">
            <w:pPr>
              <w:rPr>
                <w:rFonts w:ascii="Arial" w:hAnsi="Arial" w:cs="Arial"/>
              </w:rPr>
            </w:pPr>
          </w:p>
          <w:p w14:paraId="05600968" w14:textId="77777777" w:rsidR="002955ED" w:rsidRPr="002D770D" w:rsidRDefault="002955ED" w:rsidP="00ED0C4F">
            <w:pPr>
              <w:pStyle w:val="BodyText2"/>
              <w:rPr>
                <w:rFonts w:cs="Arial"/>
                <w:b/>
                <w:bCs/>
                <w:szCs w:val="24"/>
                <w:lang w:val="en-GB"/>
              </w:rPr>
            </w:pPr>
            <w:r w:rsidRPr="002D770D">
              <w:rPr>
                <w:rFonts w:cs="Arial"/>
                <w:b/>
                <w:bCs/>
                <w:szCs w:val="24"/>
                <w:lang w:val="en-GB"/>
              </w:rPr>
              <w:t>Related quality standards:</w:t>
            </w:r>
          </w:p>
          <w:p w14:paraId="5055826B" w14:textId="77777777" w:rsidR="002955ED" w:rsidRPr="00D35290" w:rsidRDefault="00127C95" w:rsidP="00ED0C4F">
            <w:pPr>
              <w:spacing w:before="120" w:after="120"/>
              <w:rPr>
                <w:rFonts w:ascii="Arial" w:hAnsi="Arial" w:cs="Arial"/>
                <w:lang w:eastAsia="en-US"/>
              </w:rPr>
            </w:pPr>
            <w:hyperlink r:id="rId30" w:history="1">
              <w:r w:rsidR="002955ED" w:rsidRPr="002D770D">
                <w:rPr>
                  <w:rStyle w:val="Hyperlink"/>
                  <w:rFonts w:ascii="Arial" w:hAnsi="Arial" w:cs="Arial"/>
                </w:rPr>
                <w:t>Multiple sclerosis (2016)</w:t>
              </w:r>
            </w:hyperlink>
            <w:r w:rsidR="002955ED" w:rsidRPr="002D770D">
              <w:rPr>
                <w:rFonts w:ascii="Arial" w:hAnsi="Arial" w:cs="Arial"/>
              </w:rPr>
              <w:t>. NICE quality standard 108.</w:t>
            </w:r>
          </w:p>
        </w:tc>
      </w:tr>
      <w:tr w:rsidR="002955ED" w:rsidRPr="00D35290" w14:paraId="02D1AE62" w14:textId="77777777" w:rsidTr="00ED0C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76" w:type="dxa"/>
            <w:shd w:val="clear" w:color="auto" w:fill="D9D9D9"/>
          </w:tcPr>
          <w:p w14:paraId="70D09DF7" w14:textId="77777777" w:rsidR="002955ED" w:rsidRPr="00D35290" w:rsidRDefault="002955ED" w:rsidP="00ED0C4F">
            <w:pPr>
              <w:spacing w:before="120"/>
              <w:rPr>
                <w:rFonts w:ascii="Arial" w:hAnsi="Arial" w:cs="Arial"/>
                <w:b/>
                <w:bCs/>
                <w:lang w:eastAsia="en-US"/>
              </w:rPr>
            </w:pPr>
            <w:r w:rsidRPr="002D770D">
              <w:rPr>
                <w:rFonts w:ascii="Arial" w:hAnsi="Arial" w:cs="Arial"/>
                <w:b/>
                <w:bCs/>
              </w:rPr>
              <w:lastRenderedPageBreak/>
              <w:t xml:space="preserve">Related National Policy </w:t>
            </w:r>
          </w:p>
        </w:tc>
        <w:tc>
          <w:tcPr>
            <w:tcW w:w="6237" w:type="dxa"/>
          </w:tcPr>
          <w:p w14:paraId="0E4912EE" w14:textId="4565F675" w:rsidR="002955ED" w:rsidRPr="002D770D" w:rsidRDefault="002955ED" w:rsidP="00ED0C4F">
            <w:pPr>
              <w:pStyle w:val="BodyText2"/>
              <w:rPr>
                <w:rFonts w:cs="Arial"/>
                <w:szCs w:val="24"/>
                <w:lang w:val="en-GB"/>
              </w:rPr>
            </w:pPr>
            <w:r w:rsidRPr="002D770D">
              <w:rPr>
                <w:rFonts w:cs="Arial"/>
                <w:szCs w:val="24"/>
                <w:lang w:val="en-GB"/>
              </w:rPr>
              <w:t xml:space="preserve">NHS England (2019) </w:t>
            </w:r>
            <w:hyperlink r:id="rId31" w:history="1">
              <w:r w:rsidRPr="002D770D">
                <w:rPr>
                  <w:rStyle w:val="Hyperlink"/>
                  <w:rFonts w:cs="Arial"/>
                  <w:szCs w:val="24"/>
                  <w:lang w:val="en-GB"/>
                </w:rPr>
                <w:t>Treatment Algorithm for Multiple Sclerosis: Disease-Modifying Therapies</w:t>
              </w:r>
            </w:hyperlink>
          </w:p>
          <w:p w14:paraId="2467F43A" w14:textId="77777777" w:rsidR="002955ED" w:rsidRPr="002D770D" w:rsidRDefault="002955ED" w:rsidP="00ED0C4F">
            <w:pPr>
              <w:rPr>
                <w:rFonts w:ascii="Arial" w:hAnsi="Arial" w:cs="Arial"/>
              </w:rPr>
            </w:pPr>
            <w:r w:rsidRPr="002D770D">
              <w:rPr>
                <w:rFonts w:ascii="Arial" w:hAnsi="Arial" w:cs="Arial"/>
              </w:rPr>
              <w:t xml:space="preserve">The NHS Long Term Plan (2019) </w:t>
            </w:r>
            <w:hyperlink r:id="rId32" w:history="1">
              <w:r w:rsidRPr="002D770D">
                <w:rPr>
                  <w:rStyle w:val="Hyperlink"/>
                  <w:rFonts w:ascii="Arial" w:hAnsi="Arial" w:cs="Arial"/>
                </w:rPr>
                <w:t>NHS Long Term Plan</w:t>
              </w:r>
            </w:hyperlink>
          </w:p>
          <w:p w14:paraId="43111EA6" w14:textId="77777777" w:rsidR="002955ED" w:rsidRPr="00D35290" w:rsidRDefault="002955ED" w:rsidP="00ED0C4F">
            <w:pPr>
              <w:spacing w:before="120" w:after="120"/>
              <w:rPr>
                <w:rFonts w:ascii="Arial" w:hAnsi="Arial" w:cs="Arial"/>
                <w:lang w:eastAsia="en-US"/>
              </w:rPr>
            </w:pPr>
            <w:r w:rsidRPr="002D770D">
              <w:rPr>
                <w:rFonts w:ascii="Arial" w:hAnsi="Arial" w:cs="Arial"/>
              </w:rPr>
              <w:t xml:space="preserve">NHS England (2018) </w:t>
            </w:r>
            <w:hyperlink r:id="rId33" w:history="1">
              <w:r w:rsidRPr="002D770D">
                <w:rPr>
                  <w:rStyle w:val="Hyperlink"/>
                  <w:rFonts w:ascii="Arial" w:hAnsi="Arial" w:cs="Arial"/>
                </w:rPr>
                <w:t>NHS manual for prescribed specialist services (2018/2019)</w:t>
              </w:r>
            </w:hyperlink>
            <w:hyperlink w:history="1"/>
          </w:p>
        </w:tc>
      </w:tr>
    </w:tbl>
    <w:p w14:paraId="24773285" w14:textId="77777777" w:rsidR="002955ED" w:rsidRPr="002955ED" w:rsidRDefault="002955ED" w:rsidP="002955ED">
      <w:pPr>
        <w:pStyle w:val="Heading1"/>
      </w:pPr>
    </w:p>
    <w:sectPr w:rsidR="002955ED" w:rsidRPr="002955ED" w:rsidSect="00F412C2">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F0C6E" w14:textId="77777777" w:rsidR="00AD6D6C" w:rsidRDefault="00AD6D6C" w:rsidP="00446BEE">
      <w:r>
        <w:separator/>
      </w:r>
    </w:p>
  </w:endnote>
  <w:endnote w:type="continuationSeparator" w:id="0">
    <w:p w14:paraId="03AA1FA1" w14:textId="77777777" w:rsidR="00AD6D6C" w:rsidRDefault="00AD6D6C" w:rsidP="00446BEE">
      <w:r>
        <w:continuationSeparator/>
      </w:r>
    </w:p>
  </w:endnote>
  <w:endnote w:type="continuationNotice" w:id="1">
    <w:p w14:paraId="071DCD24" w14:textId="77777777" w:rsidR="00AD6D6C" w:rsidRDefault="00AD6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DBA2" w14:textId="77777777" w:rsidR="0021354C" w:rsidRDefault="0021354C">
    <w:pPr>
      <w:pStyle w:val="Footer"/>
    </w:pPr>
  </w:p>
  <w:p w14:paraId="299FC113" w14:textId="0F12C232" w:rsidR="0021354C" w:rsidRPr="00BF405E" w:rsidRDefault="0021354C" w:rsidP="00BF405E">
    <w:pPr>
      <w:pStyle w:val="Paragraphnonumbers"/>
      <w:rPr>
        <w:lang w:val="en-US"/>
      </w:rPr>
    </w:pPr>
    <w:r>
      <w:rPr>
        <w:sz w:val="20"/>
        <w:szCs w:val="20"/>
      </w:rPr>
      <w:t>© NICE 202</w:t>
    </w:r>
    <w:r w:rsidR="00877714">
      <w:rPr>
        <w:sz w:val="20"/>
        <w:szCs w:val="20"/>
      </w:rPr>
      <w:t>4</w:t>
    </w:r>
    <w:r>
      <w:rPr>
        <w:sz w:val="20"/>
        <w:szCs w:val="20"/>
      </w:rPr>
      <w:t xml:space="preserve">. All rights reserved. </w:t>
    </w:r>
    <w:hyperlink r:id="rId1" w:anchor="notice-of-rights" w:history="1">
      <w:r w:rsidRPr="00025653">
        <w:rPr>
          <w:rStyle w:val="Hyperlink"/>
          <w:sz w:val="20"/>
          <w:szCs w:val="20"/>
        </w:rPr>
        <w:t>Subject to Notice of rights.</w:t>
      </w:r>
    </w:hyperlink>
    <w:r>
      <w:tab/>
    </w:r>
    <w:r>
      <w:tab/>
    </w:r>
    <w:r>
      <w:tab/>
    </w:r>
    <w:r>
      <w:tab/>
    </w:r>
    <w:r>
      <w:fldChar w:fldCharType="begin"/>
    </w:r>
    <w:r>
      <w:instrText xml:space="preserve"> PAGE </w:instrText>
    </w:r>
    <w:r>
      <w:fldChar w:fldCharType="separate"/>
    </w:r>
    <w:r>
      <w:rPr>
        <w:noProof/>
      </w:rPr>
      <w:t>1</w:t>
    </w:r>
    <w:r>
      <w:fldChar w:fldCharType="end"/>
    </w:r>
    <w:r>
      <w:t xml:space="preserve"> of </w:t>
    </w:r>
    <w:r w:rsidR="00127C95">
      <w:fldChar w:fldCharType="begin"/>
    </w:r>
    <w:r w:rsidR="00127C95">
      <w:instrText xml:space="preserve"> NUMPAGES  </w:instrText>
    </w:r>
    <w:r w:rsidR="00127C95">
      <w:fldChar w:fldCharType="separate"/>
    </w:r>
    <w:r>
      <w:rPr>
        <w:noProof/>
      </w:rPr>
      <w:t>1</w:t>
    </w:r>
    <w:r w:rsidR="00127C9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1AEC7" w14:textId="77777777" w:rsidR="00AD6D6C" w:rsidRDefault="00AD6D6C" w:rsidP="00446BEE">
      <w:r>
        <w:separator/>
      </w:r>
    </w:p>
  </w:footnote>
  <w:footnote w:type="continuationSeparator" w:id="0">
    <w:p w14:paraId="5D58869C" w14:textId="77777777" w:rsidR="00AD6D6C" w:rsidRDefault="00AD6D6C" w:rsidP="00446BEE">
      <w:r>
        <w:continuationSeparator/>
      </w:r>
    </w:p>
  </w:footnote>
  <w:footnote w:type="continuationNotice" w:id="1">
    <w:p w14:paraId="781DF235" w14:textId="77777777" w:rsidR="00AD6D6C" w:rsidRDefault="00AD6D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B6B4A"/>
    <w:multiLevelType w:val="hybridMultilevel"/>
    <w:tmpl w:val="828CB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B04B32"/>
    <w:multiLevelType w:val="hybridMultilevel"/>
    <w:tmpl w:val="95BCBCE4"/>
    <w:lvl w:ilvl="0" w:tplc="EC0AD8CE">
      <w:start w:val="1"/>
      <w:numFmt w:val="decimal"/>
      <w:pStyle w:val="Sectionheading"/>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A6A366F"/>
    <w:multiLevelType w:val="hybridMultilevel"/>
    <w:tmpl w:val="F536E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F023AB"/>
    <w:multiLevelType w:val="hybridMultilevel"/>
    <w:tmpl w:val="1B282A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AB128F"/>
    <w:multiLevelType w:val="hybridMultilevel"/>
    <w:tmpl w:val="68D66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D74B9F"/>
    <w:multiLevelType w:val="hybridMultilevel"/>
    <w:tmpl w:val="90D6E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04001E"/>
    <w:multiLevelType w:val="hybridMultilevel"/>
    <w:tmpl w:val="2C762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175A07"/>
    <w:multiLevelType w:val="hybridMultilevel"/>
    <w:tmpl w:val="DB4A4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4B5233"/>
    <w:multiLevelType w:val="hybridMultilevel"/>
    <w:tmpl w:val="6CBC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8C1F1C"/>
    <w:multiLevelType w:val="hybridMultilevel"/>
    <w:tmpl w:val="417224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58A44E3A"/>
    <w:multiLevelType w:val="hybridMultilevel"/>
    <w:tmpl w:val="BEBCC3E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867D28"/>
    <w:multiLevelType w:val="hybridMultilevel"/>
    <w:tmpl w:val="57F0F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02B422C4"/>
    <w:lvl w:ilvl="0" w:tplc="D6D67F26">
      <w:start w:val="1"/>
      <w:numFmt w:val="bullet"/>
      <w:pStyle w:val="Bullets"/>
      <w:lvlText w:val=""/>
      <w:lvlJc w:val="left"/>
      <w:pPr>
        <w:ind w:left="1174" w:hanging="454"/>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69FF2E44"/>
    <w:multiLevelType w:val="hybridMultilevel"/>
    <w:tmpl w:val="33E64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160906"/>
    <w:multiLevelType w:val="hybridMultilevel"/>
    <w:tmpl w:val="A9D24B4A"/>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8" w15:restartNumberingAfterBreak="0">
    <w:nsid w:val="6AF910A9"/>
    <w:multiLevelType w:val="hybridMultilevel"/>
    <w:tmpl w:val="90E0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2A071E"/>
    <w:multiLevelType w:val="hybridMultilevel"/>
    <w:tmpl w:val="082CF5DA"/>
    <w:lvl w:ilvl="0" w:tplc="436E3ED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5E37A7"/>
    <w:multiLevelType w:val="hybridMultilevel"/>
    <w:tmpl w:val="9186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C25F5B"/>
    <w:multiLevelType w:val="hybridMultilevel"/>
    <w:tmpl w:val="E152BEBA"/>
    <w:lvl w:ilvl="0" w:tplc="59A22A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E9A1E9A"/>
    <w:multiLevelType w:val="hybridMultilevel"/>
    <w:tmpl w:val="ED7C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14162">
    <w:abstractNumId w:val="23"/>
  </w:num>
  <w:num w:numId="2" w16cid:durableId="620691757">
    <w:abstractNumId w:val="25"/>
  </w:num>
  <w:num w:numId="3" w16cid:durableId="6256708">
    <w:abstractNumId w:val="25"/>
    <w:lvlOverride w:ilvl="0">
      <w:startOverride w:val="1"/>
    </w:lvlOverride>
  </w:num>
  <w:num w:numId="4" w16cid:durableId="994838084">
    <w:abstractNumId w:val="25"/>
    <w:lvlOverride w:ilvl="0">
      <w:startOverride w:val="1"/>
    </w:lvlOverride>
  </w:num>
  <w:num w:numId="5" w16cid:durableId="1295215124">
    <w:abstractNumId w:val="25"/>
    <w:lvlOverride w:ilvl="0">
      <w:startOverride w:val="1"/>
    </w:lvlOverride>
  </w:num>
  <w:num w:numId="6" w16cid:durableId="1220946265">
    <w:abstractNumId w:val="25"/>
    <w:lvlOverride w:ilvl="0">
      <w:startOverride w:val="1"/>
    </w:lvlOverride>
  </w:num>
  <w:num w:numId="7" w16cid:durableId="1885942900">
    <w:abstractNumId w:val="25"/>
    <w:lvlOverride w:ilvl="0">
      <w:startOverride w:val="1"/>
    </w:lvlOverride>
  </w:num>
  <w:num w:numId="8" w16cid:durableId="761410971">
    <w:abstractNumId w:val="9"/>
  </w:num>
  <w:num w:numId="9" w16cid:durableId="620115468">
    <w:abstractNumId w:val="7"/>
  </w:num>
  <w:num w:numId="10" w16cid:durableId="697198881">
    <w:abstractNumId w:val="6"/>
  </w:num>
  <w:num w:numId="11" w16cid:durableId="1558780489">
    <w:abstractNumId w:val="5"/>
  </w:num>
  <w:num w:numId="12" w16cid:durableId="956252322">
    <w:abstractNumId w:val="4"/>
  </w:num>
  <w:num w:numId="13" w16cid:durableId="171066286">
    <w:abstractNumId w:val="8"/>
  </w:num>
  <w:num w:numId="14" w16cid:durableId="1054965015">
    <w:abstractNumId w:val="3"/>
  </w:num>
  <w:num w:numId="15" w16cid:durableId="417098740">
    <w:abstractNumId w:val="2"/>
  </w:num>
  <w:num w:numId="16" w16cid:durableId="1598051033">
    <w:abstractNumId w:val="1"/>
  </w:num>
  <w:num w:numId="17" w16cid:durableId="1041518103">
    <w:abstractNumId w:val="0"/>
  </w:num>
  <w:num w:numId="18" w16cid:durableId="275719882">
    <w:abstractNumId w:val="17"/>
  </w:num>
  <w:num w:numId="19" w16cid:durableId="2025670835">
    <w:abstractNumId w:val="17"/>
    <w:lvlOverride w:ilvl="0">
      <w:startOverride w:val="1"/>
    </w:lvlOverride>
  </w:num>
  <w:num w:numId="20" w16cid:durableId="1781412406">
    <w:abstractNumId w:val="14"/>
  </w:num>
  <w:num w:numId="21" w16cid:durableId="65566781">
    <w:abstractNumId w:val="11"/>
  </w:num>
  <w:num w:numId="22" w16cid:durableId="1289966241">
    <w:abstractNumId w:val="31"/>
  </w:num>
  <w:num w:numId="23" w16cid:durableId="1024482398">
    <w:abstractNumId w:val="31"/>
    <w:lvlOverride w:ilvl="0">
      <w:startOverride w:val="1"/>
    </w:lvlOverride>
  </w:num>
  <w:num w:numId="24" w16cid:durableId="298070986">
    <w:abstractNumId w:val="27"/>
  </w:num>
  <w:num w:numId="25" w16cid:durableId="852451429">
    <w:abstractNumId w:val="21"/>
  </w:num>
  <w:num w:numId="26" w16cid:durableId="32006900">
    <w:abstractNumId w:val="20"/>
  </w:num>
  <w:num w:numId="27" w16cid:durableId="1593587089">
    <w:abstractNumId w:val="24"/>
  </w:num>
  <w:num w:numId="28" w16cid:durableId="51005015">
    <w:abstractNumId w:val="16"/>
  </w:num>
  <w:num w:numId="29" w16cid:durableId="416295574">
    <w:abstractNumId w:val="13"/>
  </w:num>
  <w:num w:numId="30" w16cid:durableId="1043753998">
    <w:abstractNumId w:val="10"/>
  </w:num>
  <w:num w:numId="31" w16cid:durableId="255596514">
    <w:abstractNumId w:val="32"/>
  </w:num>
  <w:num w:numId="32" w16cid:durableId="1568538808">
    <w:abstractNumId w:val="18"/>
  </w:num>
  <w:num w:numId="33" w16cid:durableId="999575985">
    <w:abstractNumId w:val="19"/>
  </w:num>
  <w:num w:numId="34" w16cid:durableId="980573140">
    <w:abstractNumId w:val="28"/>
  </w:num>
  <w:num w:numId="35" w16cid:durableId="1799180445">
    <w:abstractNumId w:val="26"/>
  </w:num>
  <w:num w:numId="36" w16cid:durableId="489906643">
    <w:abstractNumId w:val="14"/>
  </w:num>
  <w:num w:numId="37" w16cid:durableId="548230490">
    <w:abstractNumId w:val="29"/>
  </w:num>
  <w:num w:numId="38" w16cid:durableId="1401976802">
    <w:abstractNumId w:val="30"/>
  </w:num>
  <w:num w:numId="39" w16cid:durableId="1155298967">
    <w:abstractNumId w:val="22"/>
  </w:num>
  <w:num w:numId="40" w16cid:durableId="1906333521">
    <w:abstractNumId w:val="12"/>
  </w:num>
  <w:num w:numId="41" w16cid:durableId="1072312176">
    <w:abstractNumId w:val="15"/>
  </w:num>
  <w:num w:numId="42" w16cid:durableId="65495817">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C2"/>
    <w:rsid w:val="000053F8"/>
    <w:rsid w:val="00006C2F"/>
    <w:rsid w:val="00007800"/>
    <w:rsid w:val="0001656B"/>
    <w:rsid w:val="00016F2C"/>
    <w:rsid w:val="0002080A"/>
    <w:rsid w:val="00024D0A"/>
    <w:rsid w:val="00026F79"/>
    <w:rsid w:val="000274F4"/>
    <w:rsid w:val="0003096D"/>
    <w:rsid w:val="00037565"/>
    <w:rsid w:val="000472DC"/>
    <w:rsid w:val="00054C0D"/>
    <w:rsid w:val="00070065"/>
    <w:rsid w:val="00085E83"/>
    <w:rsid w:val="000A4FEE"/>
    <w:rsid w:val="000B5939"/>
    <w:rsid w:val="000C6D85"/>
    <w:rsid w:val="000C7032"/>
    <w:rsid w:val="000D1D10"/>
    <w:rsid w:val="000D327C"/>
    <w:rsid w:val="000E185D"/>
    <w:rsid w:val="000E7FDC"/>
    <w:rsid w:val="000F0B94"/>
    <w:rsid w:val="00102382"/>
    <w:rsid w:val="00102C9F"/>
    <w:rsid w:val="00111CCE"/>
    <w:rsid w:val="001134E7"/>
    <w:rsid w:val="00127C95"/>
    <w:rsid w:val="001319D2"/>
    <w:rsid w:val="00153277"/>
    <w:rsid w:val="0015449E"/>
    <w:rsid w:val="00170D1F"/>
    <w:rsid w:val="0017149E"/>
    <w:rsid w:val="0017169E"/>
    <w:rsid w:val="00181A4A"/>
    <w:rsid w:val="00185C95"/>
    <w:rsid w:val="00187F9C"/>
    <w:rsid w:val="001B0EE9"/>
    <w:rsid w:val="001B3313"/>
    <w:rsid w:val="001B65B3"/>
    <w:rsid w:val="001C5E34"/>
    <w:rsid w:val="001C65A9"/>
    <w:rsid w:val="001D013E"/>
    <w:rsid w:val="001F08BB"/>
    <w:rsid w:val="002022A2"/>
    <w:rsid w:val="002029A6"/>
    <w:rsid w:val="0021354C"/>
    <w:rsid w:val="00217AC7"/>
    <w:rsid w:val="002212DC"/>
    <w:rsid w:val="002408EA"/>
    <w:rsid w:val="0024310A"/>
    <w:rsid w:val="002679C2"/>
    <w:rsid w:val="00281697"/>
    <w:rsid w:val="002819D7"/>
    <w:rsid w:val="002839FA"/>
    <w:rsid w:val="00287D66"/>
    <w:rsid w:val="002955ED"/>
    <w:rsid w:val="002B21F3"/>
    <w:rsid w:val="002B6950"/>
    <w:rsid w:val="002C1A7E"/>
    <w:rsid w:val="002C3284"/>
    <w:rsid w:val="002C56D0"/>
    <w:rsid w:val="002D3376"/>
    <w:rsid w:val="002D42D0"/>
    <w:rsid w:val="002D4C7F"/>
    <w:rsid w:val="002D770D"/>
    <w:rsid w:val="002E4C83"/>
    <w:rsid w:val="002F00A0"/>
    <w:rsid w:val="00311ED0"/>
    <w:rsid w:val="00322A4E"/>
    <w:rsid w:val="00325848"/>
    <w:rsid w:val="003422B1"/>
    <w:rsid w:val="00344897"/>
    <w:rsid w:val="00353AE2"/>
    <w:rsid w:val="003648C5"/>
    <w:rsid w:val="00364B76"/>
    <w:rsid w:val="00366BF8"/>
    <w:rsid w:val="003722FA"/>
    <w:rsid w:val="003751CC"/>
    <w:rsid w:val="00375906"/>
    <w:rsid w:val="003844B5"/>
    <w:rsid w:val="00384B58"/>
    <w:rsid w:val="003B267B"/>
    <w:rsid w:val="003B2A00"/>
    <w:rsid w:val="003C7AAF"/>
    <w:rsid w:val="003D3D3F"/>
    <w:rsid w:val="003D3F42"/>
    <w:rsid w:val="004075B6"/>
    <w:rsid w:val="00410C81"/>
    <w:rsid w:val="00412A80"/>
    <w:rsid w:val="00413B68"/>
    <w:rsid w:val="00416FD5"/>
    <w:rsid w:val="00420952"/>
    <w:rsid w:val="00433EFF"/>
    <w:rsid w:val="00440431"/>
    <w:rsid w:val="00443081"/>
    <w:rsid w:val="00446BEE"/>
    <w:rsid w:val="0046506A"/>
    <w:rsid w:val="0049374A"/>
    <w:rsid w:val="004C424C"/>
    <w:rsid w:val="004C7F8A"/>
    <w:rsid w:val="005025A1"/>
    <w:rsid w:val="00502CA9"/>
    <w:rsid w:val="0053533C"/>
    <w:rsid w:val="00540E78"/>
    <w:rsid w:val="005523B1"/>
    <w:rsid w:val="00556EE7"/>
    <w:rsid w:val="00572C40"/>
    <w:rsid w:val="00591760"/>
    <w:rsid w:val="00597678"/>
    <w:rsid w:val="005B0A6F"/>
    <w:rsid w:val="005B138C"/>
    <w:rsid w:val="005C3727"/>
    <w:rsid w:val="005D55AF"/>
    <w:rsid w:val="005E50BA"/>
    <w:rsid w:val="0062131B"/>
    <w:rsid w:val="00623074"/>
    <w:rsid w:val="006278DB"/>
    <w:rsid w:val="00644A12"/>
    <w:rsid w:val="00652B10"/>
    <w:rsid w:val="00666F43"/>
    <w:rsid w:val="006921E1"/>
    <w:rsid w:val="006B15CA"/>
    <w:rsid w:val="006C0772"/>
    <w:rsid w:val="006E511A"/>
    <w:rsid w:val="006F4B25"/>
    <w:rsid w:val="006F6496"/>
    <w:rsid w:val="007019F8"/>
    <w:rsid w:val="0070366A"/>
    <w:rsid w:val="00720878"/>
    <w:rsid w:val="00736348"/>
    <w:rsid w:val="00753CB9"/>
    <w:rsid w:val="00760908"/>
    <w:rsid w:val="00770A0B"/>
    <w:rsid w:val="00794C03"/>
    <w:rsid w:val="007B572F"/>
    <w:rsid w:val="007C5BBB"/>
    <w:rsid w:val="007D1C3B"/>
    <w:rsid w:val="007D50AD"/>
    <w:rsid w:val="007D75EF"/>
    <w:rsid w:val="007E6B60"/>
    <w:rsid w:val="007F238D"/>
    <w:rsid w:val="00802FAC"/>
    <w:rsid w:val="0080577E"/>
    <w:rsid w:val="00842D7A"/>
    <w:rsid w:val="00861B92"/>
    <w:rsid w:val="00876BB7"/>
    <w:rsid w:val="00877714"/>
    <w:rsid w:val="0088045F"/>
    <w:rsid w:val="00880606"/>
    <w:rsid w:val="00881034"/>
    <w:rsid w:val="008814FB"/>
    <w:rsid w:val="00891B8C"/>
    <w:rsid w:val="00897B32"/>
    <w:rsid w:val="008C1624"/>
    <w:rsid w:val="008C4C08"/>
    <w:rsid w:val="008E0A3D"/>
    <w:rsid w:val="008F5E30"/>
    <w:rsid w:val="008F6FA4"/>
    <w:rsid w:val="009057B5"/>
    <w:rsid w:val="00912D46"/>
    <w:rsid w:val="00914D7F"/>
    <w:rsid w:val="009565C1"/>
    <w:rsid w:val="00956E19"/>
    <w:rsid w:val="00960084"/>
    <w:rsid w:val="00961076"/>
    <w:rsid w:val="00972682"/>
    <w:rsid w:val="0098593F"/>
    <w:rsid w:val="009937C4"/>
    <w:rsid w:val="009A3D36"/>
    <w:rsid w:val="009A7519"/>
    <w:rsid w:val="009E12B0"/>
    <w:rsid w:val="009E373F"/>
    <w:rsid w:val="009E680B"/>
    <w:rsid w:val="009E76E8"/>
    <w:rsid w:val="00A01E60"/>
    <w:rsid w:val="00A15A1F"/>
    <w:rsid w:val="00A222E3"/>
    <w:rsid w:val="00A30CC2"/>
    <w:rsid w:val="00A30E7D"/>
    <w:rsid w:val="00A3325A"/>
    <w:rsid w:val="00A37E85"/>
    <w:rsid w:val="00A40AAD"/>
    <w:rsid w:val="00A4265E"/>
    <w:rsid w:val="00A43013"/>
    <w:rsid w:val="00A72170"/>
    <w:rsid w:val="00A75474"/>
    <w:rsid w:val="00AB208F"/>
    <w:rsid w:val="00AB6501"/>
    <w:rsid w:val="00AB76E9"/>
    <w:rsid w:val="00AD6D6C"/>
    <w:rsid w:val="00AF108A"/>
    <w:rsid w:val="00B02E55"/>
    <w:rsid w:val="00B036C1"/>
    <w:rsid w:val="00B2148F"/>
    <w:rsid w:val="00B5431F"/>
    <w:rsid w:val="00B81431"/>
    <w:rsid w:val="00B84303"/>
    <w:rsid w:val="00BA0EF9"/>
    <w:rsid w:val="00BA2D53"/>
    <w:rsid w:val="00BB1683"/>
    <w:rsid w:val="00BB5BBD"/>
    <w:rsid w:val="00BF2269"/>
    <w:rsid w:val="00BF405E"/>
    <w:rsid w:val="00BF7FE0"/>
    <w:rsid w:val="00C07CFA"/>
    <w:rsid w:val="00C07E2D"/>
    <w:rsid w:val="00C11AC7"/>
    <w:rsid w:val="00C30F0B"/>
    <w:rsid w:val="00C52EAC"/>
    <w:rsid w:val="00C5426E"/>
    <w:rsid w:val="00C57DEC"/>
    <w:rsid w:val="00C62DD7"/>
    <w:rsid w:val="00C81104"/>
    <w:rsid w:val="00C81CE8"/>
    <w:rsid w:val="00C96411"/>
    <w:rsid w:val="00C97226"/>
    <w:rsid w:val="00CA55E2"/>
    <w:rsid w:val="00CB2054"/>
    <w:rsid w:val="00CB5671"/>
    <w:rsid w:val="00CE158F"/>
    <w:rsid w:val="00CE2481"/>
    <w:rsid w:val="00CF58B7"/>
    <w:rsid w:val="00D351C1"/>
    <w:rsid w:val="00D35290"/>
    <w:rsid w:val="00D35EFB"/>
    <w:rsid w:val="00D504B3"/>
    <w:rsid w:val="00D508DA"/>
    <w:rsid w:val="00D64CEB"/>
    <w:rsid w:val="00D86BF0"/>
    <w:rsid w:val="00D87094"/>
    <w:rsid w:val="00D95524"/>
    <w:rsid w:val="00DE3DBE"/>
    <w:rsid w:val="00DF620D"/>
    <w:rsid w:val="00E02518"/>
    <w:rsid w:val="00E13166"/>
    <w:rsid w:val="00E14DE6"/>
    <w:rsid w:val="00E2134F"/>
    <w:rsid w:val="00E22111"/>
    <w:rsid w:val="00E2524E"/>
    <w:rsid w:val="00E2723E"/>
    <w:rsid w:val="00E40532"/>
    <w:rsid w:val="00E421B7"/>
    <w:rsid w:val="00E51920"/>
    <w:rsid w:val="00E64120"/>
    <w:rsid w:val="00E660A1"/>
    <w:rsid w:val="00E77A81"/>
    <w:rsid w:val="00E80298"/>
    <w:rsid w:val="00EA1F59"/>
    <w:rsid w:val="00EA271C"/>
    <w:rsid w:val="00EA3CCF"/>
    <w:rsid w:val="00EB3266"/>
    <w:rsid w:val="00EC622E"/>
    <w:rsid w:val="00ED2448"/>
    <w:rsid w:val="00ED7E34"/>
    <w:rsid w:val="00EF0325"/>
    <w:rsid w:val="00EF0E17"/>
    <w:rsid w:val="00EF2B63"/>
    <w:rsid w:val="00EF3AF9"/>
    <w:rsid w:val="00EF3D38"/>
    <w:rsid w:val="00F055F1"/>
    <w:rsid w:val="00F23A8B"/>
    <w:rsid w:val="00F24C83"/>
    <w:rsid w:val="00F326FA"/>
    <w:rsid w:val="00F405B4"/>
    <w:rsid w:val="00F412C2"/>
    <w:rsid w:val="00F57DA3"/>
    <w:rsid w:val="00F610AF"/>
    <w:rsid w:val="00F62CF4"/>
    <w:rsid w:val="00F85A74"/>
    <w:rsid w:val="00FA049B"/>
    <w:rsid w:val="00FA2C5A"/>
    <w:rsid w:val="00FA3C67"/>
    <w:rsid w:val="00FA3ECA"/>
    <w:rsid w:val="00FA5E32"/>
    <w:rsid w:val="00FC0886"/>
    <w:rsid w:val="00FC2D11"/>
    <w:rsid w:val="00FC55B1"/>
    <w:rsid w:val="00FC6230"/>
    <w:rsid w:val="00FD46B6"/>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A7491"/>
  <w15:chartTrackingRefBased/>
  <w15:docId w15:val="{01468AAE-BC3C-4E44-B33A-E09FE132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9937C4"/>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PlaceholderText">
    <w:name w:val="Placeholder Text"/>
    <w:basedOn w:val="DefaultParagraphFont"/>
    <w:uiPriority w:val="99"/>
    <w:semiHidden/>
    <w:rsid w:val="008C1624"/>
    <w:rPr>
      <w:color w:val="808080"/>
    </w:rPr>
  </w:style>
  <w:style w:type="character" w:styleId="CommentReference">
    <w:name w:val="annotation reference"/>
    <w:basedOn w:val="DefaultParagraphFont"/>
    <w:semiHidden/>
    <w:unhideWhenUsed/>
    <w:rsid w:val="008C1624"/>
    <w:rPr>
      <w:sz w:val="16"/>
      <w:szCs w:val="16"/>
    </w:rPr>
  </w:style>
  <w:style w:type="paragraph" w:styleId="CommentText">
    <w:name w:val="annotation text"/>
    <w:basedOn w:val="Normal"/>
    <w:link w:val="CommentTextChar"/>
    <w:unhideWhenUsed/>
    <w:rsid w:val="008C1624"/>
    <w:rPr>
      <w:sz w:val="20"/>
      <w:szCs w:val="20"/>
    </w:rPr>
  </w:style>
  <w:style w:type="character" w:customStyle="1" w:styleId="CommentTextChar">
    <w:name w:val="Comment Text Char"/>
    <w:basedOn w:val="DefaultParagraphFont"/>
    <w:link w:val="CommentText"/>
    <w:rsid w:val="008C1624"/>
  </w:style>
  <w:style w:type="paragraph" w:styleId="CommentSubject">
    <w:name w:val="annotation subject"/>
    <w:basedOn w:val="CommentText"/>
    <w:next w:val="CommentText"/>
    <w:link w:val="CommentSubjectChar"/>
    <w:semiHidden/>
    <w:unhideWhenUsed/>
    <w:rsid w:val="008C1624"/>
    <w:rPr>
      <w:b/>
      <w:bCs/>
    </w:rPr>
  </w:style>
  <w:style w:type="character" w:customStyle="1" w:styleId="CommentSubjectChar">
    <w:name w:val="Comment Subject Char"/>
    <w:basedOn w:val="CommentTextChar"/>
    <w:link w:val="CommentSubject"/>
    <w:semiHidden/>
    <w:rsid w:val="008C1624"/>
    <w:rPr>
      <w:b/>
      <w:bCs/>
    </w:rPr>
  </w:style>
  <w:style w:type="table" w:styleId="TableGrid">
    <w:name w:val="Table Grid"/>
    <w:basedOn w:val="TableNormal"/>
    <w:rsid w:val="008C1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ListParagraph"/>
    <w:rsid w:val="0053533C"/>
    <w:pPr>
      <w:numPr>
        <w:numId w:val="21"/>
      </w:numPr>
      <w:tabs>
        <w:tab w:val="num" w:pos="360"/>
      </w:tabs>
      <w:spacing w:before="360" w:after="120"/>
      <w:ind w:left="720" w:firstLine="0"/>
    </w:pPr>
    <w:rPr>
      <w:rFonts w:ascii="Arial" w:hAnsi="Arial"/>
      <w:b/>
      <w:bCs/>
      <w:szCs w:val="20"/>
      <w:lang w:eastAsia="en-US"/>
    </w:rPr>
  </w:style>
  <w:style w:type="paragraph" w:styleId="ListParagraph">
    <w:name w:val="List Paragraph"/>
    <w:basedOn w:val="Normal"/>
    <w:uiPriority w:val="34"/>
    <w:qFormat/>
    <w:rsid w:val="0053533C"/>
    <w:pPr>
      <w:ind w:left="720"/>
      <w:contextualSpacing/>
    </w:pPr>
  </w:style>
  <w:style w:type="character" w:styleId="Hyperlink">
    <w:name w:val="Hyperlink"/>
    <w:uiPriority w:val="99"/>
    <w:rsid w:val="009937C4"/>
    <w:rPr>
      <w:color w:val="0000FF"/>
      <w:u w:val="single"/>
    </w:rPr>
  </w:style>
  <w:style w:type="paragraph" w:styleId="FootnoteText">
    <w:name w:val="footnote text"/>
    <w:basedOn w:val="Normal"/>
    <w:link w:val="FootnoteTextChar"/>
    <w:rsid w:val="009937C4"/>
    <w:pPr>
      <w:spacing w:after="240"/>
    </w:pPr>
    <w:rPr>
      <w:rFonts w:ascii="Arial" w:hAnsi="Arial"/>
      <w:sz w:val="20"/>
      <w:szCs w:val="20"/>
      <w:lang w:val="x-none" w:eastAsia="en-US"/>
    </w:rPr>
  </w:style>
  <w:style w:type="character" w:customStyle="1" w:styleId="FootnoteTextChar">
    <w:name w:val="Footnote Text Char"/>
    <w:basedOn w:val="DefaultParagraphFont"/>
    <w:link w:val="FootnoteText"/>
    <w:rsid w:val="009937C4"/>
    <w:rPr>
      <w:rFonts w:ascii="Arial" w:hAnsi="Arial"/>
      <w:lang w:val="x-none" w:eastAsia="en-US"/>
    </w:rPr>
  </w:style>
  <w:style w:type="character" w:styleId="FootnoteReference">
    <w:name w:val="footnote reference"/>
    <w:rsid w:val="009937C4"/>
    <w:rPr>
      <w:vertAlign w:val="superscript"/>
    </w:rPr>
  </w:style>
  <w:style w:type="character" w:styleId="FollowedHyperlink">
    <w:name w:val="FollowedHyperlink"/>
    <w:basedOn w:val="DefaultParagraphFont"/>
    <w:semiHidden/>
    <w:unhideWhenUsed/>
    <w:rsid w:val="009937C4"/>
    <w:rPr>
      <w:color w:val="800080" w:themeColor="followedHyperlink"/>
      <w:u w:val="single"/>
    </w:rPr>
  </w:style>
  <w:style w:type="paragraph" w:customStyle="1" w:styleId="Heading1numbered">
    <w:name w:val="Heading 1 numbered"/>
    <w:basedOn w:val="Heading1"/>
    <w:link w:val="Heading1numberedChar"/>
    <w:qFormat/>
    <w:rsid w:val="003844B5"/>
  </w:style>
  <w:style w:type="character" w:customStyle="1" w:styleId="Heading1numberedChar">
    <w:name w:val="Heading 1 numbered Char"/>
    <w:basedOn w:val="Heading1Char"/>
    <w:link w:val="Heading1numbered"/>
    <w:rsid w:val="003844B5"/>
    <w:rPr>
      <w:rFonts w:ascii="Arial" w:hAnsi="Arial"/>
      <w:b/>
      <w:bCs/>
      <w:kern w:val="32"/>
      <w:sz w:val="28"/>
      <w:szCs w:val="32"/>
    </w:rPr>
  </w:style>
  <w:style w:type="paragraph" w:styleId="NormalWeb">
    <w:name w:val="Normal (Web)"/>
    <w:basedOn w:val="Normal"/>
    <w:uiPriority w:val="99"/>
    <w:unhideWhenUsed/>
    <w:rsid w:val="0098593F"/>
    <w:pPr>
      <w:spacing w:before="100" w:beforeAutospacing="1" w:after="100" w:afterAutospacing="1"/>
    </w:pPr>
  </w:style>
  <w:style w:type="paragraph" w:styleId="Revision">
    <w:name w:val="Revision"/>
    <w:hidden/>
    <w:uiPriority w:val="99"/>
    <w:semiHidden/>
    <w:rsid w:val="0088045F"/>
    <w:rPr>
      <w:sz w:val="24"/>
      <w:szCs w:val="24"/>
    </w:rPr>
  </w:style>
  <w:style w:type="character" w:styleId="UnresolvedMention">
    <w:name w:val="Unresolved Mention"/>
    <w:basedOn w:val="DefaultParagraphFont"/>
    <w:uiPriority w:val="99"/>
    <w:semiHidden/>
    <w:unhideWhenUsed/>
    <w:rsid w:val="0046506A"/>
    <w:rPr>
      <w:color w:val="605E5C"/>
      <w:shd w:val="clear" w:color="auto" w:fill="E1DFDD"/>
    </w:rPr>
  </w:style>
  <w:style w:type="paragraph" w:styleId="BodyText">
    <w:name w:val="Body Text"/>
    <w:basedOn w:val="Normal"/>
    <w:link w:val="BodyTextChar"/>
    <w:rsid w:val="00D35290"/>
    <w:pPr>
      <w:spacing w:after="240"/>
    </w:pPr>
    <w:rPr>
      <w:rFonts w:ascii="Arial" w:hAnsi="Arial"/>
      <w:szCs w:val="20"/>
      <w:lang w:val="x-none" w:eastAsia="en-US"/>
    </w:rPr>
  </w:style>
  <w:style w:type="character" w:customStyle="1" w:styleId="BodyTextChar">
    <w:name w:val="Body Text Char"/>
    <w:basedOn w:val="DefaultParagraphFont"/>
    <w:link w:val="BodyText"/>
    <w:rsid w:val="00D35290"/>
    <w:rPr>
      <w:rFonts w:ascii="Arial" w:hAnsi="Arial"/>
      <w:sz w:val="24"/>
      <w:lang w:val="x-none" w:eastAsia="en-US"/>
    </w:rPr>
  </w:style>
  <w:style w:type="paragraph" w:styleId="BodyText2">
    <w:name w:val="Body Text 2"/>
    <w:basedOn w:val="BodyText"/>
    <w:link w:val="BodyText2Char"/>
    <w:rsid w:val="002D770D"/>
    <w:pPr>
      <w:spacing w:before="120" w:after="120"/>
    </w:pPr>
  </w:style>
  <w:style w:type="character" w:customStyle="1" w:styleId="BodyText2Char">
    <w:name w:val="Body Text 2 Char"/>
    <w:basedOn w:val="DefaultParagraphFont"/>
    <w:link w:val="BodyText2"/>
    <w:rsid w:val="002D770D"/>
    <w:rPr>
      <w:rFonts w:ascii="Arial" w:hAnsi="Arial"/>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69064">
      <w:bodyDiv w:val="1"/>
      <w:marLeft w:val="0"/>
      <w:marRight w:val="0"/>
      <w:marTop w:val="0"/>
      <w:marBottom w:val="0"/>
      <w:divBdr>
        <w:top w:val="none" w:sz="0" w:space="0" w:color="auto"/>
        <w:left w:val="none" w:sz="0" w:space="0" w:color="auto"/>
        <w:bottom w:val="none" w:sz="0" w:space="0" w:color="auto"/>
        <w:right w:val="none" w:sz="0" w:space="0" w:color="auto"/>
      </w:divBdr>
    </w:div>
    <w:div w:id="1435782057">
      <w:bodyDiv w:val="1"/>
      <w:marLeft w:val="0"/>
      <w:marRight w:val="0"/>
      <w:marTop w:val="0"/>
      <w:marBottom w:val="0"/>
      <w:divBdr>
        <w:top w:val="none" w:sz="0" w:space="0" w:color="auto"/>
        <w:left w:val="none" w:sz="0" w:space="0" w:color="auto"/>
        <w:bottom w:val="none" w:sz="0" w:space="0" w:color="auto"/>
        <w:right w:val="none" w:sz="0" w:space="0" w:color="auto"/>
      </w:divBdr>
      <w:divsChild>
        <w:div w:id="296570451">
          <w:marLeft w:val="0"/>
          <w:marRight w:val="0"/>
          <w:marTop w:val="0"/>
          <w:marBottom w:val="0"/>
          <w:divBdr>
            <w:top w:val="none" w:sz="0" w:space="0" w:color="auto"/>
            <w:left w:val="none" w:sz="0" w:space="0" w:color="auto"/>
            <w:bottom w:val="none" w:sz="0" w:space="0" w:color="auto"/>
            <w:right w:val="none" w:sz="0" w:space="0" w:color="auto"/>
          </w:divBdr>
          <w:divsChild>
            <w:div w:id="1051492101">
              <w:marLeft w:val="0"/>
              <w:marRight w:val="0"/>
              <w:marTop w:val="0"/>
              <w:marBottom w:val="0"/>
              <w:divBdr>
                <w:top w:val="none" w:sz="0" w:space="0" w:color="auto"/>
                <w:left w:val="none" w:sz="0" w:space="0" w:color="auto"/>
                <w:bottom w:val="none" w:sz="0" w:space="0" w:color="auto"/>
                <w:right w:val="none" w:sz="0" w:space="0" w:color="auto"/>
              </w:divBdr>
              <w:divsChild>
                <w:div w:id="989483736">
                  <w:marLeft w:val="0"/>
                  <w:marRight w:val="0"/>
                  <w:marTop w:val="0"/>
                  <w:marBottom w:val="0"/>
                  <w:divBdr>
                    <w:top w:val="none" w:sz="0" w:space="0" w:color="auto"/>
                    <w:left w:val="none" w:sz="0" w:space="0" w:color="auto"/>
                    <w:bottom w:val="none" w:sz="0" w:space="0" w:color="auto"/>
                    <w:right w:val="none" w:sz="0" w:space="0" w:color="auto"/>
                  </w:divBdr>
                  <w:divsChild>
                    <w:div w:id="1272513965">
                      <w:marLeft w:val="0"/>
                      <w:marRight w:val="0"/>
                      <w:marTop w:val="0"/>
                      <w:marBottom w:val="0"/>
                      <w:divBdr>
                        <w:top w:val="none" w:sz="0" w:space="0" w:color="auto"/>
                        <w:left w:val="none" w:sz="0" w:space="0" w:color="auto"/>
                        <w:bottom w:val="none" w:sz="0" w:space="0" w:color="auto"/>
                        <w:right w:val="none" w:sz="0" w:space="0" w:color="auto"/>
                      </w:divBdr>
                      <w:divsChild>
                        <w:div w:id="1818498218">
                          <w:marLeft w:val="0"/>
                          <w:marRight w:val="0"/>
                          <w:marTop w:val="0"/>
                          <w:marBottom w:val="0"/>
                          <w:divBdr>
                            <w:top w:val="none" w:sz="0" w:space="0" w:color="auto"/>
                            <w:left w:val="none" w:sz="0" w:space="0" w:color="auto"/>
                            <w:bottom w:val="none" w:sz="0" w:space="0" w:color="auto"/>
                            <w:right w:val="none" w:sz="0" w:space="0" w:color="auto"/>
                          </w:divBdr>
                          <w:divsChild>
                            <w:div w:id="373116479">
                              <w:marLeft w:val="0"/>
                              <w:marRight w:val="0"/>
                              <w:marTop w:val="0"/>
                              <w:marBottom w:val="0"/>
                              <w:divBdr>
                                <w:top w:val="none" w:sz="0" w:space="0" w:color="auto"/>
                                <w:left w:val="none" w:sz="0" w:space="0" w:color="auto"/>
                                <w:bottom w:val="none" w:sz="0" w:space="0" w:color="auto"/>
                                <w:right w:val="none" w:sz="0" w:space="0" w:color="auto"/>
                              </w:divBdr>
                              <w:divsChild>
                                <w:div w:id="1974556939">
                                  <w:marLeft w:val="360"/>
                                  <w:marRight w:val="360"/>
                                  <w:marTop w:val="0"/>
                                  <w:marBottom w:val="0"/>
                                  <w:divBdr>
                                    <w:top w:val="none" w:sz="0" w:space="0" w:color="auto"/>
                                    <w:left w:val="none" w:sz="0" w:space="0" w:color="auto"/>
                                    <w:bottom w:val="none" w:sz="0" w:space="0" w:color="auto"/>
                                    <w:right w:val="none" w:sz="0" w:space="0" w:color="auto"/>
                                  </w:divBdr>
                                  <w:divsChild>
                                    <w:div w:id="605116255">
                                      <w:marLeft w:val="0"/>
                                      <w:marRight w:val="0"/>
                                      <w:marTop w:val="0"/>
                                      <w:marBottom w:val="0"/>
                                      <w:divBdr>
                                        <w:top w:val="none" w:sz="0" w:space="0" w:color="auto"/>
                                        <w:left w:val="none" w:sz="0" w:space="0" w:color="auto"/>
                                        <w:bottom w:val="none" w:sz="0" w:space="0" w:color="auto"/>
                                        <w:right w:val="none" w:sz="0" w:space="0" w:color="auto"/>
                                      </w:divBdr>
                                      <w:divsChild>
                                        <w:div w:id="1402750351">
                                          <w:marLeft w:val="0"/>
                                          <w:marRight w:val="0"/>
                                          <w:marTop w:val="0"/>
                                          <w:marBottom w:val="300"/>
                                          <w:divBdr>
                                            <w:top w:val="none" w:sz="0" w:space="0" w:color="auto"/>
                                            <w:left w:val="none" w:sz="0" w:space="0" w:color="auto"/>
                                            <w:bottom w:val="none" w:sz="0" w:space="0" w:color="auto"/>
                                            <w:right w:val="none" w:sz="0" w:space="0" w:color="auto"/>
                                          </w:divBdr>
                                          <w:divsChild>
                                            <w:div w:id="1708605550">
                                              <w:marLeft w:val="0"/>
                                              <w:marRight w:val="0"/>
                                              <w:marTop w:val="0"/>
                                              <w:marBottom w:val="0"/>
                                              <w:divBdr>
                                                <w:top w:val="none" w:sz="0" w:space="0" w:color="auto"/>
                                                <w:left w:val="none" w:sz="0" w:space="0" w:color="auto"/>
                                                <w:bottom w:val="none" w:sz="0" w:space="0" w:color="auto"/>
                                                <w:right w:val="none" w:sz="0" w:space="0" w:color="auto"/>
                                              </w:divBdr>
                                              <w:divsChild>
                                                <w:div w:id="1639384791">
                                                  <w:marLeft w:val="0"/>
                                                  <w:marRight w:val="0"/>
                                                  <w:marTop w:val="0"/>
                                                  <w:marBottom w:val="0"/>
                                                  <w:divBdr>
                                                    <w:top w:val="none" w:sz="0" w:space="0" w:color="auto"/>
                                                    <w:left w:val="none" w:sz="0" w:space="0" w:color="auto"/>
                                                    <w:bottom w:val="none" w:sz="0" w:space="0" w:color="auto"/>
                                                    <w:right w:val="none" w:sz="0" w:space="0" w:color="auto"/>
                                                  </w:divBdr>
                                                  <w:divsChild>
                                                    <w:div w:id="4667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9052884">
      <w:bodyDiv w:val="1"/>
      <w:marLeft w:val="0"/>
      <w:marRight w:val="0"/>
      <w:marTop w:val="0"/>
      <w:marBottom w:val="0"/>
      <w:divBdr>
        <w:top w:val="none" w:sz="0" w:space="0" w:color="auto"/>
        <w:left w:val="none" w:sz="0" w:space="0" w:color="auto"/>
        <w:bottom w:val="none" w:sz="0" w:space="0" w:color="auto"/>
        <w:right w:val="none" w:sz="0" w:space="0" w:color="auto"/>
      </w:divBdr>
      <w:divsChild>
        <w:div w:id="318315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lancet.com/journals/laneur/article/PIIS1474-4422(17)30470-2/abstract" TargetMode="External"/><Relationship Id="rId18" Type="http://schemas.openxmlformats.org/officeDocument/2006/relationships/hyperlink" Target="https://www.nice.org.uk/guidance/ta706" TargetMode="External"/><Relationship Id="rId26" Type="http://schemas.openxmlformats.org/officeDocument/2006/relationships/hyperlink" Target="http://www.nice.org.uk/Guidance/TA127" TargetMode="External"/><Relationship Id="rId3" Type="http://schemas.openxmlformats.org/officeDocument/2006/relationships/customXml" Target="../customXml/item3.xml"/><Relationship Id="rId21" Type="http://schemas.openxmlformats.org/officeDocument/2006/relationships/hyperlink" Target="https://www.nice.org.uk/guidance/TA533"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edicines.org.uk/emc/product/8435/smpc" TargetMode="External"/><Relationship Id="rId17" Type="http://schemas.openxmlformats.org/officeDocument/2006/relationships/hyperlink" Target="https://www.nice.org.uk/guidance/ta699" TargetMode="External"/><Relationship Id="rId25" Type="http://schemas.openxmlformats.org/officeDocument/2006/relationships/hyperlink" Target="http://www.nice.org.uk/Guidance/TA303" TargetMode="External"/><Relationship Id="rId33" Type="http://schemas.openxmlformats.org/officeDocument/2006/relationships/hyperlink" Target="https://www.england.nhs.uk/publication/manual-for-prescribed-specialised-services/" TargetMode="External"/><Relationship Id="rId2" Type="http://schemas.openxmlformats.org/officeDocument/2006/relationships/customXml" Target="../customXml/item2.xml"/><Relationship Id="rId16" Type="http://schemas.openxmlformats.org/officeDocument/2006/relationships/hyperlink" Target="https://www.nice.org.uk/guidance/ta767" TargetMode="External"/><Relationship Id="rId20" Type="http://schemas.openxmlformats.org/officeDocument/2006/relationships/hyperlink" Target="https://www.nice.org.uk/guidance/TA616" TargetMode="External"/><Relationship Id="rId29" Type="http://schemas.openxmlformats.org/officeDocument/2006/relationships/hyperlink" Target="https://www.nice.org.uk/guidance/ng2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ta616" TargetMode="External"/><Relationship Id="rId24" Type="http://schemas.openxmlformats.org/officeDocument/2006/relationships/hyperlink" Target="http://www.nice.org.uk/Guidance/TA312" TargetMode="External"/><Relationship Id="rId32" Type="http://schemas.openxmlformats.org/officeDocument/2006/relationships/hyperlink" Target="https://www.longtermplan.nhs.uk/publication/nhs-long-term-plan/" TargetMode="External"/><Relationship Id="rId5" Type="http://schemas.openxmlformats.org/officeDocument/2006/relationships/numbering" Target="numbering.xml"/><Relationship Id="rId15" Type="http://schemas.openxmlformats.org/officeDocument/2006/relationships/hyperlink" Target="https://www.nice.org.uk/guidance/ta794" TargetMode="External"/><Relationship Id="rId23" Type="http://schemas.openxmlformats.org/officeDocument/2006/relationships/hyperlink" Target="http://www.nice.org.uk/Guidance/TA320" TargetMode="External"/><Relationship Id="rId28" Type="http://schemas.openxmlformats.org/officeDocument/2006/relationships/hyperlink" Target="https://www.nice.org.uk/guidance/indevelopment/gid-ta11293"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ice.org.uk/guidance/ta624" TargetMode="External"/><Relationship Id="rId31" Type="http://schemas.openxmlformats.org/officeDocument/2006/relationships/hyperlink" Target="https://www.england.nhs.uk/publication/treatment-algorithm-for-multiple-sclerosis-disease-modifying-therap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publication/treatment-algorithm-for-multiple-sclerosis-disease-modifying-therapies/" TargetMode="External"/><Relationship Id="rId22" Type="http://schemas.openxmlformats.org/officeDocument/2006/relationships/hyperlink" Target="https://www.nice.org.uk/guidance/TA527" TargetMode="External"/><Relationship Id="rId27" Type="http://schemas.openxmlformats.org/officeDocument/2006/relationships/hyperlink" Target="https://www.nice.org.uk/guidance/indevelopment/gid-ta11357" TargetMode="External"/><Relationship Id="rId30" Type="http://schemas.openxmlformats.org/officeDocument/2006/relationships/hyperlink" Target="https://www.nice.org.uk/guidance/qs108"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15D73561E4DF4DBDD617F6DF8D4E00" ma:contentTypeVersion="18" ma:contentTypeDescription="Create a new document." ma:contentTypeScope="" ma:versionID="5ba1a387110a4ec2cebf024b57f9291c">
  <xsd:schema xmlns:xsd="http://www.w3.org/2001/XMLSchema" xmlns:xs="http://www.w3.org/2001/XMLSchema" xmlns:p="http://schemas.microsoft.com/office/2006/metadata/properties" xmlns:ns3="4b9a1d2e-e223-4041-8b68-ec96857a7cf2" xmlns:ns4="bfd69c56-5c11-44d1-8d1c-8744f973650b" targetNamespace="http://schemas.microsoft.com/office/2006/metadata/properties" ma:root="true" ma:fieldsID="fab74ef6f65946f665dde23f5d3086b2" ns3:_="" ns4:_="">
    <xsd:import namespace="4b9a1d2e-e223-4041-8b68-ec96857a7cf2"/>
    <xsd:import namespace="bfd69c56-5c11-44d1-8d1c-8744f97365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a1d2e-e223-4041-8b68-ec96857a7c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69c56-5c11-44d1-8d1c-8744f97365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fd69c56-5c11-44d1-8d1c-8744f973650b" xsi:nil="true"/>
  </documentManagement>
</p:properties>
</file>

<file path=customXml/itemProps1.xml><?xml version="1.0" encoding="utf-8"?>
<ds:datastoreItem xmlns:ds="http://schemas.openxmlformats.org/officeDocument/2006/customXml" ds:itemID="{A56238B2-92AF-4BE5-92A7-0763E4D2FFC8}">
  <ds:schemaRefs>
    <ds:schemaRef ds:uri="http://schemas.microsoft.com/sharepoint/v3/contenttype/forms"/>
  </ds:schemaRefs>
</ds:datastoreItem>
</file>

<file path=customXml/itemProps2.xml><?xml version="1.0" encoding="utf-8"?>
<ds:datastoreItem xmlns:ds="http://schemas.openxmlformats.org/officeDocument/2006/customXml" ds:itemID="{7F789892-4DF7-4A22-A3D2-9945F369D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a1d2e-e223-4041-8b68-ec96857a7cf2"/>
    <ds:schemaRef ds:uri="bfd69c56-5c11-44d1-8d1c-8744f9736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3D2E24-873B-4016-B274-25E09DD1DD37}">
  <ds:schemaRefs>
    <ds:schemaRef ds:uri="http://schemas.openxmlformats.org/officeDocument/2006/bibliography"/>
  </ds:schemaRefs>
</ds:datastoreItem>
</file>

<file path=customXml/itemProps4.xml><?xml version="1.0" encoding="utf-8"?>
<ds:datastoreItem xmlns:ds="http://schemas.openxmlformats.org/officeDocument/2006/customXml" ds:itemID="{9D482112-F0AC-4C22-83BA-2215DECD88C2}">
  <ds:schemaRefs>
    <ds:schemaRef ds:uri="http://schemas.microsoft.com/office/2006/metadata/properties"/>
    <ds:schemaRef ds:uri="http://schemas.microsoft.com/office/infopath/2007/PartnerControls"/>
    <ds:schemaRef ds:uri="bfd69c56-5c11-44d1-8d1c-8744f973650b"/>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1494</Words>
  <Characters>10669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Ng</dc:creator>
  <cp:keywords/>
  <dc:description/>
  <cp:lastModifiedBy>Charlotte Downing</cp:lastModifiedBy>
  <cp:revision>5</cp:revision>
  <dcterms:created xsi:type="dcterms:W3CDTF">2024-03-06T11:31:00Z</dcterms:created>
  <dcterms:modified xsi:type="dcterms:W3CDTF">2024-03-06T17:25:00Z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2024-02-18T18:34:40Z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b94135c6-0fb7-4a02-aeef-145e42fe08f0</vt:lpwstr>
  </property>
  <property fmtid="{D5CDD505-2E9C-101B-9397-08002B2CF9AE}" pid="8" name="MSIP_Label_c69d85d5-6d9e-4305-a294-1f636ec0f2d6_ContentBits">
    <vt:lpwstr>0</vt:lpwstr>
  </property>
  <property fmtid="{D5CDD505-2E9C-101B-9397-08002B2CF9AE}" pid="9" name="ContentTypeId">
    <vt:lpwstr>0x0101004415D73561E4DF4DBDD617F6DF8D4E00</vt:lpwstr>
  </property>
</Properties>
</file>