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819A" w14:textId="77777777" w:rsidR="000F48EC" w:rsidRPr="000F48EC" w:rsidRDefault="000F48EC" w:rsidP="0093671F">
      <w:pPr>
        <w:pStyle w:val="Title2"/>
      </w:pPr>
      <w:bookmarkStart w:id="0" w:name="_GoBack"/>
      <w:bookmarkEnd w:id="0"/>
      <w:r w:rsidRPr="000F48EC">
        <w:t>NATIONAL INSTITUTE FOR HEALTH AND C</w:t>
      </w:r>
      <w:r w:rsidR="00CC63EB">
        <w:t>ARE</w:t>
      </w:r>
      <w:r w:rsidRPr="000F48EC">
        <w:t xml:space="preserve"> EXCELLENCE</w:t>
      </w:r>
    </w:p>
    <w:p w14:paraId="48BDB1D5" w14:textId="17DB1283" w:rsidR="000F48EC" w:rsidRPr="000F48EC" w:rsidRDefault="007A2801" w:rsidP="000069F9">
      <w:pPr>
        <w:pStyle w:val="Title2"/>
      </w:pPr>
      <w:r>
        <w:t>Appraisal consultation document</w:t>
      </w:r>
    </w:p>
    <w:p w14:paraId="58EE6C19" w14:textId="08D61150" w:rsidR="007A2801" w:rsidRPr="000F48EC" w:rsidRDefault="009E562C" w:rsidP="009E562C">
      <w:pPr>
        <w:pStyle w:val="Title1"/>
      </w:pPr>
      <w:r w:rsidRPr="009E562C">
        <w:t>Atezolizumab with carboplatin and etoposide for untreated extensive-stage small-cell lung cancer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72857B4E" w14:textId="77777777" w:rsidTr="00734F5A">
        <w:tc>
          <w:tcPr>
            <w:tcW w:w="8529" w:type="dxa"/>
            <w:shd w:val="clear" w:color="auto" w:fill="auto"/>
          </w:tcPr>
          <w:p w14:paraId="4DB5E601" w14:textId="513890FA" w:rsidR="007A2801" w:rsidRPr="00981B9F" w:rsidRDefault="007A2801" w:rsidP="00734F5A">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rsidR="009E562C">
              <w:t>a</w:t>
            </w:r>
            <w:r w:rsidR="009E562C" w:rsidRPr="009E562C">
              <w:t>tezolizumab with carboplatin and etoposide</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 </w:t>
            </w:r>
          </w:p>
          <w:p w14:paraId="564595EB" w14:textId="5663760E" w:rsidR="007A2801" w:rsidRPr="00981B9F" w:rsidRDefault="007A2801" w:rsidP="00734F5A">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4695453E" w14:textId="77777777" w:rsidR="007A2801" w:rsidRPr="00981494" w:rsidRDefault="007A2801" w:rsidP="00734F5A">
            <w:pPr>
              <w:pStyle w:val="NICEnormalsinglespacing"/>
            </w:pPr>
            <w:r w:rsidRPr="00981494">
              <w:t xml:space="preserve">The </w:t>
            </w:r>
            <w:r>
              <w:t>a</w:t>
            </w:r>
            <w:r w:rsidRPr="00981494">
              <w:t xml:space="preserve">ppraisal </w:t>
            </w:r>
            <w:r>
              <w:t>c</w:t>
            </w:r>
            <w:r w:rsidRPr="00981494">
              <w:t>ommittee is interested in receiving comments on the following:</w:t>
            </w:r>
          </w:p>
          <w:p w14:paraId="678E3270" w14:textId="77777777" w:rsidR="007A2801" w:rsidRPr="00981494" w:rsidRDefault="007A2801" w:rsidP="00734F5A">
            <w:pPr>
              <w:pStyle w:val="Bulletleft1"/>
              <w:spacing w:line="240" w:lineRule="auto"/>
            </w:pPr>
            <w:r w:rsidRPr="00981494">
              <w:t>Has all of the relevant evidence been taken into account?</w:t>
            </w:r>
          </w:p>
          <w:p w14:paraId="5531E780" w14:textId="77777777" w:rsidR="007A2801" w:rsidRPr="00981494" w:rsidRDefault="007A2801" w:rsidP="00734F5A">
            <w:pPr>
              <w:pStyle w:val="Bulletleft1"/>
              <w:spacing w:line="240" w:lineRule="auto"/>
            </w:pPr>
            <w:r w:rsidRPr="00981494">
              <w:t>Are the summaries of clinical and cost effectiveness reasonable interpretations of the evidence?</w:t>
            </w:r>
          </w:p>
          <w:p w14:paraId="768AFA28" w14:textId="77777777" w:rsidR="007A2801" w:rsidRPr="00981494" w:rsidRDefault="007A2801" w:rsidP="00734F5A">
            <w:pPr>
              <w:pStyle w:val="Bulletleft1"/>
              <w:spacing w:line="240" w:lineRule="auto"/>
            </w:pPr>
            <w:r w:rsidRPr="00981494">
              <w:t>Are the recommendations sound and a suitable basis for guidance to the NHS?</w:t>
            </w:r>
          </w:p>
          <w:p w14:paraId="4CABB682" w14:textId="77777777" w:rsidR="007A2801" w:rsidRPr="00981494" w:rsidRDefault="007A2801" w:rsidP="00734F5A">
            <w:pPr>
              <w:pStyle w:val="Bulletleft1"/>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05D856A0" w14:textId="77777777" w:rsidR="007A2801" w:rsidRDefault="007A2801">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5565FFB6" w14:textId="77777777" w:rsidTr="00734F5A">
        <w:tc>
          <w:tcPr>
            <w:tcW w:w="8529" w:type="dxa"/>
            <w:shd w:val="clear" w:color="auto" w:fill="auto"/>
          </w:tcPr>
          <w:p w14:paraId="577FF231" w14:textId="77777777" w:rsidR="007A2801" w:rsidRPr="00E975D0" w:rsidRDefault="007A2801" w:rsidP="00734F5A">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627B393C" w14:textId="77777777" w:rsidR="007A2801" w:rsidRPr="00981494" w:rsidRDefault="007A2801" w:rsidP="00734F5A">
            <w:pPr>
              <w:pStyle w:val="NICEnormalsinglespacing"/>
            </w:pPr>
            <w:r w:rsidRPr="00981494">
              <w:t>After consultation:</w:t>
            </w:r>
          </w:p>
          <w:p w14:paraId="2C4FA12B" w14:textId="77777777" w:rsidR="007A2801" w:rsidRPr="00981494" w:rsidRDefault="007A2801" w:rsidP="00734F5A">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05E6B775" w14:textId="77777777" w:rsidR="007A2801" w:rsidRPr="00981494" w:rsidRDefault="007A2801" w:rsidP="00734F5A">
            <w:pPr>
              <w:pStyle w:val="Bulletleft1"/>
              <w:spacing w:line="240" w:lineRule="auto"/>
            </w:pPr>
            <w:r w:rsidRPr="00981494">
              <w:t xml:space="preserve">At that meeting, the </w:t>
            </w:r>
            <w:r>
              <w:t>c</w:t>
            </w:r>
            <w:r w:rsidRPr="00981494">
              <w:t>ommittee will also consider comments made by people who are not consultees.</w:t>
            </w:r>
          </w:p>
          <w:p w14:paraId="7F18A5E4" w14:textId="77777777" w:rsidR="007A2801" w:rsidRPr="00981494" w:rsidRDefault="007A2801" w:rsidP="00734F5A">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6FA12A57" w14:textId="2E074559" w:rsidR="007A2801" w:rsidRPr="00981494" w:rsidRDefault="007A2801" w:rsidP="00734F5A">
            <w:pPr>
              <w:pStyle w:val="Bulletleft1last"/>
              <w:spacing w:line="240" w:lineRule="auto"/>
            </w:pPr>
            <w:r w:rsidRPr="00981494">
              <w:t>Subject to any appeal by consultees, the final appraisal d</w:t>
            </w:r>
            <w:r>
              <w:t>ocument</w:t>
            </w:r>
            <w:r w:rsidRPr="00981494">
              <w:t xml:space="preserve"> may be used as the basis for NICE’s guidance on using </w:t>
            </w:r>
            <w:r w:rsidR="00373FB6" w:rsidRPr="00373FB6">
              <w:t>atezolizumab with carboplatin and etoposide</w:t>
            </w:r>
            <w:r w:rsidRPr="00981494">
              <w:t xml:space="preserve"> in the NHS in England. </w:t>
            </w:r>
          </w:p>
          <w:p w14:paraId="14E23808" w14:textId="77777777" w:rsidR="007A2801" w:rsidRPr="00981494" w:rsidRDefault="007A2801" w:rsidP="00734F5A">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t>.</w:t>
            </w:r>
          </w:p>
          <w:p w14:paraId="458C3817" w14:textId="77777777" w:rsidR="007A2801" w:rsidRPr="00981494" w:rsidRDefault="007A2801" w:rsidP="00734F5A">
            <w:pPr>
              <w:pStyle w:val="NICEnormalsinglespacing"/>
              <w:rPr>
                <w:b/>
                <w:bCs/>
              </w:rPr>
            </w:pPr>
            <w:r w:rsidRPr="00981494">
              <w:rPr>
                <w:b/>
                <w:bCs/>
              </w:rPr>
              <w:t>The key dates for this appraisal are:</w:t>
            </w:r>
          </w:p>
          <w:p w14:paraId="2F509223" w14:textId="39E85AE5" w:rsidR="007A2801" w:rsidRPr="00981494" w:rsidRDefault="007A2801" w:rsidP="00734F5A">
            <w:pPr>
              <w:pStyle w:val="NICEnormalsinglespacing"/>
            </w:pPr>
            <w:r w:rsidRPr="00981494">
              <w:t xml:space="preserve">Closing date for comments: </w:t>
            </w:r>
            <w:r w:rsidR="00553C06">
              <w:t>2</w:t>
            </w:r>
            <w:r w:rsidR="0009592B">
              <w:t>8</w:t>
            </w:r>
            <w:r w:rsidR="00553C06">
              <w:t xml:space="preserve"> January 2020</w:t>
            </w:r>
          </w:p>
          <w:p w14:paraId="41032301" w14:textId="01CB92EB" w:rsidR="007A2801" w:rsidRPr="00981494" w:rsidRDefault="007A2801" w:rsidP="00734F5A">
            <w:pPr>
              <w:pStyle w:val="NICEnormalsinglespacing"/>
            </w:pPr>
            <w:r w:rsidRPr="00981494">
              <w:t xml:space="preserve">Second </w:t>
            </w:r>
            <w:r>
              <w:t>a</w:t>
            </w:r>
            <w:r w:rsidRPr="00981494">
              <w:t xml:space="preserve">ppraisal </w:t>
            </w:r>
            <w:r>
              <w:t>c</w:t>
            </w:r>
            <w:r w:rsidRPr="00981494">
              <w:t xml:space="preserve">ommittee meeting: </w:t>
            </w:r>
            <w:r w:rsidR="0009592B">
              <w:t>18 February 2020</w:t>
            </w:r>
          </w:p>
          <w:p w14:paraId="3062B27C" w14:textId="6CE67AFA" w:rsidR="007A2801" w:rsidRPr="00981494" w:rsidRDefault="007A2801" w:rsidP="00734F5A">
            <w:pPr>
              <w:pStyle w:val="NICEnormalsinglespacing"/>
            </w:pPr>
            <w:r w:rsidRPr="00981494">
              <w:t xml:space="preserve">Details of membership of the </w:t>
            </w:r>
            <w:r>
              <w:t>a</w:t>
            </w:r>
            <w:r w:rsidRPr="00981494">
              <w:t xml:space="preserve">ppraisal </w:t>
            </w:r>
            <w:r>
              <w:t>c</w:t>
            </w:r>
            <w:r w:rsidRPr="00981494">
              <w:t xml:space="preserve">ommittee are given in section </w:t>
            </w:r>
            <w:r w:rsidR="00767E48">
              <w:t>5</w:t>
            </w:r>
            <w:r>
              <w:t>.</w:t>
            </w:r>
          </w:p>
        </w:tc>
      </w:tr>
    </w:tbl>
    <w:p w14:paraId="450FB997" w14:textId="77777777" w:rsidR="007A2801" w:rsidRDefault="007A2801" w:rsidP="00C76DDA">
      <w:pPr>
        <w:pStyle w:val="NICEnormal"/>
      </w:pPr>
    </w:p>
    <w:p w14:paraId="074FB2D8" w14:textId="77777777" w:rsidR="007A2801" w:rsidRDefault="007A2801">
      <w:pPr>
        <w:rPr>
          <w:rFonts w:ascii="Arial" w:hAnsi="Arial"/>
        </w:rPr>
      </w:pPr>
      <w:r>
        <w:br w:type="page"/>
      </w:r>
    </w:p>
    <w:p w14:paraId="178CCBE8" w14:textId="77777777" w:rsidR="000F48EC" w:rsidRPr="000F48EC" w:rsidRDefault="00B379C5" w:rsidP="00F130AD">
      <w:pPr>
        <w:pStyle w:val="Numberedheading1"/>
      </w:pPr>
      <w:r>
        <w:lastRenderedPageBreak/>
        <w:t>Recommendations</w:t>
      </w:r>
    </w:p>
    <w:p w14:paraId="3C2F6F89" w14:textId="20E50F62" w:rsidR="007A2801" w:rsidRPr="00BC47DC" w:rsidRDefault="00C31BA9" w:rsidP="007A2801">
      <w:pPr>
        <w:pStyle w:val="Numberedlevel2text"/>
        <w:numPr>
          <w:ilvl w:val="1"/>
          <w:numId w:val="14"/>
        </w:numPr>
        <w:rPr>
          <w:lang w:eastAsia="en-GB"/>
        </w:rPr>
      </w:pPr>
      <w:bookmarkStart w:id="1" w:name="_Toc381620808"/>
      <w:bookmarkStart w:id="2" w:name="_Toc381622280"/>
      <w:bookmarkStart w:id="3" w:name="_Toc381622515"/>
      <w:bookmarkStart w:id="4" w:name="_Toc418587316"/>
      <w:bookmarkStart w:id="5" w:name="_Toc418595430"/>
      <w:bookmarkStart w:id="6" w:name="_Toc453860116"/>
      <w:bookmarkStart w:id="7" w:name="_Toc453862081"/>
      <w:bookmarkStart w:id="8" w:name="_Toc453925699"/>
      <w:bookmarkStart w:id="9" w:name="_Toc482372136"/>
      <w:bookmarkStart w:id="10" w:name="_Toc488151979"/>
      <w:r>
        <w:rPr>
          <w:lang w:val="en-GB" w:eastAsia="en-GB"/>
        </w:rPr>
        <w:t>At</w:t>
      </w:r>
      <w:r w:rsidR="009E562C" w:rsidRPr="009E562C">
        <w:rPr>
          <w:lang w:val="en-GB" w:eastAsia="en-GB"/>
        </w:rPr>
        <w:t>ezolizumab with carboplatin and etoposide</w:t>
      </w:r>
      <w:r w:rsidR="007A2801" w:rsidRPr="00FB59B7">
        <w:rPr>
          <w:lang w:eastAsia="en-GB"/>
        </w:rPr>
        <w:t xml:space="preserve"> </w:t>
      </w:r>
      <w:r>
        <w:rPr>
          <w:lang w:val="en-GB" w:eastAsia="en-GB"/>
        </w:rPr>
        <w:t>is not recommended</w:t>
      </w:r>
      <w:r w:rsidR="00FD78F9">
        <w:rPr>
          <w:lang w:val="en-GB" w:eastAsia="en-GB"/>
        </w:rPr>
        <w:t>,</w:t>
      </w:r>
      <w:r>
        <w:rPr>
          <w:lang w:val="en-GB" w:eastAsia="en-GB"/>
        </w:rPr>
        <w:t xml:space="preserve"> </w:t>
      </w:r>
      <w:r w:rsidR="00FD78F9" w:rsidRPr="00981B9F">
        <w:t>within its</w:t>
      </w:r>
      <w:r w:rsidR="006B25CC">
        <w:rPr>
          <w:lang w:val="en-GB"/>
        </w:rPr>
        <w:t xml:space="preserve"> </w:t>
      </w:r>
      <w:r w:rsidR="00FD78F9" w:rsidRPr="00981B9F">
        <w:t>marketing authorisation</w:t>
      </w:r>
      <w:r w:rsidR="00FD78F9">
        <w:t>,</w:t>
      </w:r>
      <w:r w:rsidR="00FD78F9" w:rsidRPr="00981B9F">
        <w:t xml:space="preserve"> </w:t>
      </w:r>
      <w:r>
        <w:rPr>
          <w:lang w:val="en-GB" w:eastAsia="en-GB"/>
        </w:rPr>
        <w:t>for</w:t>
      </w:r>
      <w:r w:rsidR="007A2801" w:rsidRPr="008C5133">
        <w:rPr>
          <w:lang w:val="en-GB" w:eastAsia="en-GB"/>
        </w:rPr>
        <w:t xml:space="preserve"> </w:t>
      </w:r>
      <w:r w:rsidR="00887563">
        <w:rPr>
          <w:lang w:val="en-GB" w:eastAsia="en-GB"/>
        </w:rPr>
        <w:t>untreated</w:t>
      </w:r>
      <w:r w:rsidR="009E562C" w:rsidRPr="009E562C">
        <w:rPr>
          <w:lang w:val="en-GB" w:eastAsia="en-GB"/>
        </w:rPr>
        <w:t xml:space="preserve"> extensive-stage small</w:t>
      </w:r>
      <w:r w:rsidR="003D20E9">
        <w:rPr>
          <w:lang w:val="en-GB" w:eastAsia="en-GB"/>
        </w:rPr>
        <w:t>-</w:t>
      </w:r>
      <w:r w:rsidR="009E562C" w:rsidRPr="009E562C">
        <w:rPr>
          <w:lang w:val="en-GB" w:eastAsia="en-GB"/>
        </w:rPr>
        <w:t>cell lung cancer</w:t>
      </w:r>
      <w:r w:rsidR="007A2801">
        <w:t xml:space="preserve"> in </w:t>
      </w:r>
      <w:r w:rsidR="009E562C">
        <w:rPr>
          <w:rStyle w:val="Numberedlevel2textChar"/>
          <w:bCs/>
          <w:iCs/>
          <w:lang w:val="en-GB"/>
        </w:rPr>
        <w:t>adults</w:t>
      </w:r>
      <w:r w:rsidR="007A2801" w:rsidRPr="008C5133">
        <w:rPr>
          <w:lang w:val="en-GB" w:eastAsia="en-GB"/>
        </w:rPr>
        <w:t>.</w:t>
      </w:r>
      <w:bookmarkEnd w:id="1"/>
      <w:bookmarkEnd w:id="2"/>
      <w:bookmarkEnd w:id="3"/>
      <w:bookmarkEnd w:id="4"/>
      <w:bookmarkEnd w:id="5"/>
      <w:bookmarkEnd w:id="6"/>
      <w:bookmarkEnd w:id="7"/>
      <w:bookmarkEnd w:id="8"/>
      <w:bookmarkEnd w:id="9"/>
      <w:bookmarkEnd w:id="10"/>
    </w:p>
    <w:p w14:paraId="435915D9" w14:textId="0C30854C" w:rsidR="00FD78F9" w:rsidRPr="00FB59B7" w:rsidRDefault="00FD78F9" w:rsidP="007A2801">
      <w:pPr>
        <w:pStyle w:val="Numberedlevel2text"/>
        <w:numPr>
          <w:ilvl w:val="1"/>
          <w:numId w:val="14"/>
        </w:numPr>
        <w:rPr>
          <w:lang w:eastAsia="en-GB"/>
        </w:rPr>
      </w:pPr>
      <w:r w:rsidRPr="0009129B">
        <w:t>This</w:t>
      </w:r>
      <w:r>
        <w:t xml:space="preserve"> recommendation is</w:t>
      </w:r>
      <w:r w:rsidRPr="0009129B">
        <w:t xml:space="preserve"> not intended to affect </w:t>
      </w:r>
      <w:r w:rsidRPr="006A2D99">
        <w:t xml:space="preserve">treatment with </w:t>
      </w:r>
      <w:r>
        <w:rPr>
          <w:lang w:val="en-GB"/>
        </w:rPr>
        <w:t>atezolizumab</w:t>
      </w:r>
      <w:r w:rsidR="004B2B66">
        <w:rPr>
          <w:lang w:val="en-GB"/>
        </w:rPr>
        <w:t>, with carboplatin and etoposide,</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7FF547C3" w14:textId="77777777" w:rsidR="00C11F58" w:rsidRPr="008522C6" w:rsidRDefault="00C11F58" w:rsidP="008522C6">
      <w:pPr>
        <w:pStyle w:val="NICEnormal"/>
        <w:rPr>
          <w:b/>
        </w:rPr>
      </w:pPr>
      <w:r w:rsidRPr="008522C6">
        <w:rPr>
          <w:b/>
        </w:rPr>
        <w:t>Why the committee made these recommendations</w:t>
      </w:r>
    </w:p>
    <w:p w14:paraId="1891491A" w14:textId="63A0AB58" w:rsidR="00F71955" w:rsidRPr="001E36A6" w:rsidRDefault="00E33857" w:rsidP="00F71955">
      <w:pPr>
        <w:pStyle w:val="NICEnormalindented"/>
      </w:pPr>
      <w:r>
        <w:t xml:space="preserve">People with </w:t>
      </w:r>
      <w:r w:rsidR="009E6A0B">
        <w:t xml:space="preserve">untreated </w:t>
      </w:r>
      <w:r>
        <w:t>extensive-stage small</w:t>
      </w:r>
      <w:r w:rsidR="003D20E9">
        <w:t>-</w:t>
      </w:r>
      <w:r>
        <w:t xml:space="preserve">cell lung cancer have carboplatin and etoposide </w:t>
      </w:r>
      <w:r w:rsidR="009E6A0B">
        <w:t xml:space="preserve">chemotherapy </w:t>
      </w:r>
      <w:r>
        <w:t>as the</w:t>
      </w:r>
      <w:r w:rsidR="003F0A7A">
        <w:t>ir</w:t>
      </w:r>
      <w:r>
        <w:t xml:space="preserve"> first treatment. </w:t>
      </w:r>
      <w:r w:rsidR="009954E1">
        <w:t>Clinical trial e</w:t>
      </w:r>
      <w:r>
        <w:t>vidence</w:t>
      </w:r>
      <w:r w:rsidR="00422C9E">
        <w:t xml:space="preserve"> is</w:t>
      </w:r>
      <w:r w:rsidR="0037531D">
        <w:t xml:space="preserve"> in </w:t>
      </w:r>
      <w:bookmarkStart w:id="11" w:name="_Hlk27730655"/>
      <w:r w:rsidR="0037531D">
        <w:t>people with good performance status</w:t>
      </w:r>
      <w:r w:rsidR="00A94EFC">
        <w:t xml:space="preserve"> (</w:t>
      </w:r>
      <w:r w:rsidR="009B6B83">
        <w:t xml:space="preserve">they </w:t>
      </w:r>
      <w:r w:rsidR="004A6935">
        <w:t>are more able</w:t>
      </w:r>
      <w:r w:rsidR="008F7A5F">
        <w:t xml:space="preserve"> to </w:t>
      </w:r>
      <w:r w:rsidR="00A07A77">
        <w:t>do</w:t>
      </w:r>
      <w:r w:rsidR="008F7A5F">
        <w:t xml:space="preserve"> daily </w:t>
      </w:r>
      <w:r w:rsidR="00EE74CC">
        <w:t xml:space="preserve">tasks and ordinary </w:t>
      </w:r>
      <w:r w:rsidR="008F7A5F">
        <w:t>activitie</w:t>
      </w:r>
      <w:r w:rsidR="00EE74CC">
        <w:t>s</w:t>
      </w:r>
      <w:r w:rsidR="00806879">
        <w:t xml:space="preserve"> than those with poorer performance status</w:t>
      </w:r>
      <w:bookmarkEnd w:id="11"/>
      <w:r w:rsidR="008F7A5F">
        <w:t>)</w:t>
      </w:r>
      <w:r w:rsidR="00422C9E">
        <w:t>.</w:t>
      </w:r>
      <w:r>
        <w:t xml:space="preserve"> </w:t>
      </w:r>
      <w:r w:rsidR="00422C9E">
        <w:t xml:space="preserve">It </w:t>
      </w:r>
      <w:r>
        <w:t>suggests that atezolizumab</w:t>
      </w:r>
      <w:r w:rsidR="00E5672B">
        <w:t xml:space="preserve"> with chemotherapy </w:t>
      </w:r>
      <w:r w:rsidR="004B2B66">
        <w:t>could</w:t>
      </w:r>
      <w:r>
        <w:t xml:space="preserve"> help people to </w:t>
      </w:r>
      <w:r w:rsidR="004B2B66">
        <w:t>live</w:t>
      </w:r>
      <w:r>
        <w:t xml:space="preserve"> longer without their disease progressing, and to live for longer</w:t>
      </w:r>
      <w:r w:rsidR="00F71955">
        <w:t xml:space="preserve"> compared with </w:t>
      </w:r>
      <w:r w:rsidR="00E5672B">
        <w:t>chemotherapy alone</w:t>
      </w:r>
      <w:r>
        <w:t>.</w:t>
      </w:r>
      <w:r w:rsidR="00F71955" w:rsidRPr="00F71955">
        <w:t xml:space="preserve"> </w:t>
      </w:r>
      <w:r w:rsidR="00F71955">
        <w:t xml:space="preserve">However, </w:t>
      </w:r>
      <w:r w:rsidR="0037531D">
        <w:t>people</w:t>
      </w:r>
      <w:r w:rsidR="0037531D" w:rsidRPr="001E36A6">
        <w:t xml:space="preserve"> in the NHS in England</w:t>
      </w:r>
      <w:r w:rsidR="0037531D">
        <w:t xml:space="preserve"> are likely to have </w:t>
      </w:r>
      <w:r w:rsidR="006B25CC">
        <w:t>poorer</w:t>
      </w:r>
      <w:r w:rsidR="0037531D">
        <w:t xml:space="preserve"> performance status than people in </w:t>
      </w:r>
      <w:r w:rsidR="00F71955">
        <w:t>the trial</w:t>
      </w:r>
      <w:r w:rsidR="0037531D">
        <w:t>.</w:t>
      </w:r>
    </w:p>
    <w:p w14:paraId="579BEDB5" w14:textId="72AB299A" w:rsidR="002D1D69" w:rsidRDefault="00DB2B33" w:rsidP="007449E8">
      <w:pPr>
        <w:pStyle w:val="NICEnormalindented"/>
      </w:pPr>
      <w:r>
        <w:t>There are</w:t>
      </w:r>
      <w:r w:rsidR="00F71955" w:rsidRPr="001E36A6">
        <w:t xml:space="preserve"> </w:t>
      </w:r>
      <w:r w:rsidR="00FE0103">
        <w:t>uncertainties</w:t>
      </w:r>
      <w:r w:rsidR="00BC364B">
        <w:t xml:space="preserve"> </w:t>
      </w:r>
      <w:r w:rsidR="005C4EB4">
        <w:t>about</w:t>
      </w:r>
      <w:r w:rsidR="00114757">
        <w:t xml:space="preserve"> </w:t>
      </w:r>
      <w:r w:rsidR="008C0098">
        <w:t>how long people having atezolizumab live</w:t>
      </w:r>
      <w:r w:rsidR="00422C9E">
        <w:t>.</w:t>
      </w:r>
      <w:r w:rsidR="00860062">
        <w:t xml:space="preserve"> </w:t>
      </w:r>
      <w:r w:rsidR="00422C9E">
        <w:t xml:space="preserve">These </w:t>
      </w:r>
      <w:r w:rsidR="0037531D">
        <w:t>includ</w:t>
      </w:r>
      <w:r w:rsidR="00422C9E">
        <w:t>e</w:t>
      </w:r>
      <w:r w:rsidR="0037531D">
        <w:t xml:space="preserve"> </w:t>
      </w:r>
      <w:r w:rsidR="00BC364B">
        <w:t>how well the model</w:t>
      </w:r>
      <w:r w:rsidR="0037531D">
        <w:t xml:space="preserve">led curves </w:t>
      </w:r>
      <w:r w:rsidR="00BC364B">
        <w:t>fit the trial data</w:t>
      </w:r>
      <w:r w:rsidR="000A3B14">
        <w:t xml:space="preserve"> and</w:t>
      </w:r>
      <w:r w:rsidR="00A10D97">
        <w:t xml:space="preserve"> </w:t>
      </w:r>
      <w:r w:rsidR="00422C9E">
        <w:t>how well they</w:t>
      </w:r>
      <w:r w:rsidR="00BC364B">
        <w:t xml:space="preserve"> </w:t>
      </w:r>
      <w:r>
        <w:t xml:space="preserve">predict </w:t>
      </w:r>
      <w:r w:rsidR="00BC364B">
        <w:t>long</w:t>
      </w:r>
      <w:r w:rsidR="00230A01">
        <w:t>-</w:t>
      </w:r>
      <w:r w:rsidR="00BC364B">
        <w:t>term survival</w:t>
      </w:r>
      <w:r w:rsidR="00422C9E">
        <w:t>,</w:t>
      </w:r>
      <w:r w:rsidR="0037531D" w:rsidRPr="0037531D">
        <w:t xml:space="preserve"> </w:t>
      </w:r>
      <w:r w:rsidR="00543771">
        <w:t>w</w:t>
      </w:r>
      <w:r w:rsidR="00422C9E">
        <w:t>ith m</w:t>
      </w:r>
      <w:r w:rsidR="0037531D">
        <w:t>ore flexible model</w:t>
      </w:r>
      <w:r w:rsidR="00434BC3">
        <w:t>s</w:t>
      </w:r>
      <w:r w:rsidR="0037531D">
        <w:t xml:space="preserve"> fit</w:t>
      </w:r>
      <w:r w:rsidR="00422C9E">
        <w:t>ting</w:t>
      </w:r>
      <w:r w:rsidR="0037531D">
        <w:t xml:space="preserve"> the trial data better</w:t>
      </w:r>
      <w:r w:rsidR="00422C9E">
        <w:t>.</w:t>
      </w:r>
      <w:r w:rsidR="00C47A83">
        <w:t xml:space="preserve"> </w:t>
      </w:r>
      <w:r w:rsidR="00422C9E">
        <w:t>So</w:t>
      </w:r>
      <w:r w:rsidR="00385B9D">
        <w:t>,</w:t>
      </w:r>
      <w:r w:rsidR="00422C9E">
        <w:t xml:space="preserve"> the </w:t>
      </w:r>
      <w:r w:rsidR="003F0A7A">
        <w:t xml:space="preserve">cost-effectiveness estimates </w:t>
      </w:r>
      <w:r w:rsidR="002239A6">
        <w:t>compari</w:t>
      </w:r>
      <w:r w:rsidR="00881555">
        <w:t>ng</w:t>
      </w:r>
      <w:r w:rsidR="003F0A7A">
        <w:t xml:space="preserve"> atezolizumab</w:t>
      </w:r>
      <w:r w:rsidR="00670BBA">
        <w:t xml:space="preserve"> </w:t>
      </w:r>
      <w:r w:rsidR="00881555">
        <w:t>and</w:t>
      </w:r>
      <w:r w:rsidR="00670BBA">
        <w:t xml:space="preserve"> chemotherapy </w:t>
      </w:r>
      <w:r w:rsidR="00881555">
        <w:t>with</w:t>
      </w:r>
      <w:r w:rsidR="00670BBA">
        <w:t xml:space="preserve"> chemotherapy alone</w:t>
      </w:r>
      <w:r w:rsidR="003F0A7A">
        <w:t xml:space="preserve"> </w:t>
      </w:r>
      <w:r>
        <w:t>are</w:t>
      </w:r>
      <w:r w:rsidR="00434BC3">
        <w:t xml:space="preserve"> </w:t>
      </w:r>
      <w:r w:rsidR="003F0A7A">
        <w:t>highly uncertain</w:t>
      </w:r>
      <w:r w:rsidR="007449E8">
        <w:t>.</w:t>
      </w:r>
    </w:p>
    <w:p w14:paraId="396A54CE" w14:textId="4646F413" w:rsidR="00E33857" w:rsidRDefault="00FE0103" w:rsidP="00B43AC6">
      <w:pPr>
        <w:pStyle w:val="NICEnormalindented"/>
      </w:pPr>
      <w:r>
        <w:t>A</w:t>
      </w:r>
      <w:r w:rsidR="0044682C">
        <w:t xml:space="preserve">tezolizumab </w:t>
      </w:r>
      <w:r w:rsidR="0044682C" w:rsidRPr="003F0A7A">
        <w:t>meet</w:t>
      </w:r>
      <w:r w:rsidR="00BC364B">
        <w:t>s</w:t>
      </w:r>
      <w:r w:rsidR="0044682C" w:rsidRPr="003F0A7A">
        <w:t xml:space="preserve"> NICE's criteria to be considered a life-extending treatment at the end of life</w:t>
      </w:r>
      <w:r w:rsidR="00BA05FD">
        <w:t>.</w:t>
      </w:r>
      <w:r w:rsidR="002D1D69">
        <w:t xml:space="preserve"> </w:t>
      </w:r>
      <w:r w:rsidR="00B43AC6">
        <w:t xml:space="preserve">Even so, </w:t>
      </w:r>
      <w:r w:rsidR="00B43AC6">
        <w:rPr>
          <w:bCs/>
        </w:rPr>
        <w:t>t</w:t>
      </w:r>
      <w:r w:rsidR="002239A6">
        <w:rPr>
          <w:bCs/>
        </w:rPr>
        <w:t xml:space="preserve">he </w:t>
      </w:r>
      <w:r w:rsidR="00670BBA" w:rsidRPr="007056AD">
        <w:rPr>
          <w:bCs/>
        </w:rPr>
        <w:t xml:space="preserve">cost-effectiveness estimates </w:t>
      </w:r>
      <w:r w:rsidR="00243770">
        <w:rPr>
          <w:bCs/>
        </w:rPr>
        <w:t xml:space="preserve">for atezolizumab </w:t>
      </w:r>
      <w:r w:rsidR="00842EC0">
        <w:rPr>
          <w:bCs/>
        </w:rPr>
        <w:t xml:space="preserve">with </w:t>
      </w:r>
      <w:r w:rsidR="002C6A19">
        <w:rPr>
          <w:bCs/>
        </w:rPr>
        <w:t>chemotherapy</w:t>
      </w:r>
      <w:r w:rsidR="00243770">
        <w:rPr>
          <w:bCs/>
        </w:rPr>
        <w:t xml:space="preserve"> </w:t>
      </w:r>
      <w:r w:rsidR="00670BBA" w:rsidRPr="007056AD">
        <w:rPr>
          <w:bCs/>
        </w:rPr>
        <w:t>are</w:t>
      </w:r>
      <w:r w:rsidR="00670BBA">
        <w:t xml:space="preserve"> higher than what </w:t>
      </w:r>
      <w:r w:rsidR="00544FC0">
        <w:t>is</w:t>
      </w:r>
      <w:r w:rsidR="00670BBA">
        <w:t xml:space="preserve"> considered a cost-effective use of NHS resource</w:t>
      </w:r>
      <w:r w:rsidR="00BC364B">
        <w:t>s</w:t>
      </w:r>
      <w:r w:rsidR="00670BBA">
        <w:t xml:space="preserve">. </w:t>
      </w:r>
      <w:r w:rsidR="006D515E">
        <w:t xml:space="preserve">So, </w:t>
      </w:r>
      <w:r w:rsidR="00BC364B">
        <w:t xml:space="preserve">atezolizumab with carboplatin </w:t>
      </w:r>
      <w:r w:rsidR="00BC364B">
        <w:lastRenderedPageBreak/>
        <w:t xml:space="preserve">and etoposide </w:t>
      </w:r>
      <w:r w:rsidR="008F41AE">
        <w:t>is not recommended for</w:t>
      </w:r>
      <w:r w:rsidR="00BC364B">
        <w:t xml:space="preserve"> untreated extensive-stage small-cell lung cancer</w:t>
      </w:r>
      <w:r w:rsidR="0044682C">
        <w:t>.</w:t>
      </w:r>
      <w:r w:rsidR="00BC364B" w:rsidDel="00BC364B">
        <w:t xml:space="preserve"> </w:t>
      </w:r>
    </w:p>
    <w:p w14:paraId="422BBF24" w14:textId="5D14D6D7" w:rsidR="00EA1CB1" w:rsidRDefault="00EA1CB1" w:rsidP="00EA1CB1">
      <w:pPr>
        <w:pStyle w:val="Numberedheading1"/>
        <w:keepLines/>
      </w:pPr>
      <w:r>
        <w:t xml:space="preserve">Information about </w:t>
      </w:r>
      <w:r w:rsidR="00A55B15" w:rsidRPr="00A55B15">
        <w:t xml:space="preserve">atezolizumab </w:t>
      </w:r>
      <w:r w:rsidR="00583C8B">
        <w:t>with</w:t>
      </w:r>
      <w:r w:rsidR="009E5825">
        <w:t xml:space="preserve"> </w:t>
      </w:r>
      <w:r w:rsidR="009E5825" w:rsidRPr="009E5825">
        <w:t>carboplatin and etoposide</w:t>
      </w:r>
    </w:p>
    <w:p w14:paraId="29D2C851" w14:textId="3E492592" w:rsidR="004F6387" w:rsidRDefault="004B1350" w:rsidP="004F6387">
      <w:pPr>
        <w:pStyle w:val="Heading2"/>
      </w:pPr>
      <w:r>
        <w:t>M</w:t>
      </w:r>
      <w:r w:rsidR="004F6387" w:rsidRPr="00A76391">
        <w:t>arketing authorisation indication</w:t>
      </w:r>
    </w:p>
    <w:p w14:paraId="4703BFE4" w14:textId="3D6A8921" w:rsidR="00975FC2" w:rsidRDefault="00975FC2" w:rsidP="00975FC2">
      <w:pPr>
        <w:pStyle w:val="Numberedlevel2text"/>
      </w:pPr>
      <w:r>
        <w:t xml:space="preserve">Atezolizumab (Tecentriq, Roche) </w:t>
      </w:r>
      <w:r w:rsidR="004B2B66">
        <w:rPr>
          <w:lang w:val="en-US"/>
        </w:rPr>
        <w:t>with</w:t>
      </w:r>
      <w:r>
        <w:t xml:space="preserve"> carboplatin</w:t>
      </w:r>
      <w:r>
        <w:rPr>
          <w:lang w:val="en-GB"/>
        </w:rPr>
        <w:t xml:space="preserve"> (generic)</w:t>
      </w:r>
      <w:r>
        <w:t xml:space="preserve"> and etoposide</w:t>
      </w:r>
      <w:r>
        <w:rPr>
          <w:lang w:val="en-GB"/>
        </w:rPr>
        <w:t xml:space="preserve"> (generic)</w:t>
      </w:r>
      <w:r>
        <w:t xml:space="preserve"> is indicated for</w:t>
      </w:r>
      <w:r w:rsidR="00806B73">
        <w:rPr>
          <w:lang w:val="en-GB"/>
        </w:rPr>
        <w:t xml:space="preserve"> ‘</w:t>
      </w:r>
      <w:r>
        <w:t>the first-line treatment of adult patients with extensive-stage small-cell lung cancer (ES-SCLC)</w:t>
      </w:r>
      <w:r w:rsidR="00514ECC">
        <w:rPr>
          <w:lang w:val="en-GB"/>
        </w:rPr>
        <w:t>’</w:t>
      </w:r>
      <w:r>
        <w:t>.</w:t>
      </w:r>
    </w:p>
    <w:p w14:paraId="0F5F939B" w14:textId="6FF0FCB6" w:rsidR="004F6387" w:rsidRPr="00975FC2" w:rsidRDefault="00D229DE" w:rsidP="00975FC2">
      <w:pPr>
        <w:pStyle w:val="Numberedlevel2text"/>
        <w:numPr>
          <w:ilvl w:val="0"/>
          <w:numId w:val="0"/>
        </w:numPr>
        <w:ind w:left="1134"/>
      </w:pPr>
      <w:r>
        <w:t>Atezolizumab received a</w:t>
      </w:r>
      <w:r w:rsidR="004B1350">
        <w:rPr>
          <w:lang w:val="en-GB"/>
        </w:rPr>
        <w:t xml:space="preserve"> </w:t>
      </w:r>
      <w:r w:rsidR="00BB4E35">
        <w:rPr>
          <w:lang w:val="en-GB"/>
        </w:rPr>
        <w:t>promising innovative medicine (</w:t>
      </w:r>
      <w:r w:rsidR="004B1350">
        <w:rPr>
          <w:lang w:val="en-GB"/>
        </w:rPr>
        <w:t>PIM</w:t>
      </w:r>
      <w:r w:rsidR="00BB4E35">
        <w:rPr>
          <w:lang w:val="en-GB"/>
        </w:rPr>
        <w:t>)</w:t>
      </w:r>
      <w:r w:rsidR="004B1350">
        <w:rPr>
          <w:lang w:val="en-GB"/>
        </w:rPr>
        <w:t xml:space="preserve"> designation in November 2018 and a</w:t>
      </w:r>
      <w:r>
        <w:t xml:space="preserve"> positive opinion from the early access to medicines scheme</w:t>
      </w:r>
      <w:r w:rsidR="004B1350">
        <w:rPr>
          <w:lang w:val="en-GB"/>
        </w:rPr>
        <w:t xml:space="preserve"> (EAMS)</w:t>
      </w:r>
      <w:r>
        <w:t xml:space="preserve"> in June 2019.</w:t>
      </w:r>
    </w:p>
    <w:p w14:paraId="60AE5036" w14:textId="2556D29B" w:rsidR="004F6387" w:rsidRDefault="004F6387" w:rsidP="004F6387">
      <w:pPr>
        <w:pStyle w:val="Heading2"/>
      </w:pPr>
      <w:r>
        <w:t>Dosage</w:t>
      </w:r>
    </w:p>
    <w:p w14:paraId="164A21F6" w14:textId="77777777" w:rsidR="00975FC2" w:rsidRPr="00583C8B" w:rsidRDefault="00975FC2" w:rsidP="009E3D8F">
      <w:pPr>
        <w:pStyle w:val="Numberedlevel2text"/>
      </w:pPr>
      <w:r w:rsidRPr="005549FA">
        <w:t>Induction phase, every 3 weeks for 4 cycles:</w:t>
      </w:r>
    </w:p>
    <w:p w14:paraId="41292101" w14:textId="5C06078B" w:rsidR="00583C8B" w:rsidRPr="005549FA" w:rsidRDefault="00583C8B" w:rsidP="00EC7EE7">
      <w:pPr>
        <w:pStyle w:val="Bulletindent1"/>
        <w:rPr>
          <w:rStyle w:val="Numberedlevel2textChar"/>
          <w:bCs w:val="0"/>
          <w:iCs w:val="0"/>
          <w:szCs w:val="24"/>
          <w:lang w:val="en-GB"/>
        </w:rPr>
      </w:pPr>
      <w:r w:rsidRPr="005549FA">
        <w:rPr>
          <w:rStyle w:val="Numberedlevel2textChar"/>
          <w:bCs w:val="0"/>
          <w:iCs w:val="0"/>
          <w:szCs w:val="24"/>
          <w:lang w:val="en-GB"/>
        </w:rPr>
        <w:t>a</w:t>
      </w:r>
      <w:r w:rsidR="00975FC2" w:rsidRPr="005549FA">
        <w:rPr>
          <w:rStyle w:val="Numberedlevel2textChar"/>
          <w:bCs w:val="0"/>
          <w:iCs w:val="0"/>
          <w:szCs w:val="24"/>
          <w:lang w:val="en-GB"/>
        </w:rPr>
        <w:t>tezolizumab: 1,200</w:t>
      </w:r>
      <w:r w:rsidRPr="005549FA">
        <w:rPr>
          <w:rStyle w:val="Numberedlevel2textChar"/>
          <w:bCs w:val="0"/>
          <w:iCs w:val="0"/>
          <w:szCs w:val="24"/>
          <w:lang w:val="en-GB"/>
        </w:rPr>
        <w:t> </w:t>
      </w:r>
      <w:r w:rsidR="00975FC2" w:rsidRPr="005549FA">
        <w:rPr>
          <w:rStyle w:val="Numberedlevel2textChar"/>
          <w:bCs w:val="0"/>
          <w:iCs w:val="0"/>
          <w:szCs w:val="24"/>
          <w:lang w:val="en-GB"/>
        </w:rPr>
        <w:t>mg, intravenously administered, day</w:t>
      </w:r>
      <w:r w:rsidRPr="005549FA">
        <w:rPr>
          <w:rStyle w:val="Numberedlevel2textChar"/>
          <w:bCs w:val="0"/>
          <w:iCs w:val="0"/>
          <w:szCs w:val="24"/>
          <w:lang w:val="en-GB"/>
        </w:rPr>
        <w:t> </w:t>
      </w:r>
      <w:r w:rsidR="00975FC2" w:rsidRPr="005549FA">
        <w:rPr>
          <w:rStyle w:val="Numberedlevel2textChar"/>
          <w:bCs w:val="0"/>
          <w:iCs w:val="0"/>
          <w:szCs w:val="24"/>
          <w:lang w:val="en-GB"/>
        </w:rPr>
        <w:t>1 of each cycle</w:t>
      </w:r>
    </w:p>
    <w:p w14:paraId="449C1E2A" w14:textId="6E6CB3DD" w:rsidR="00583C8B" w:rsidRPr="005549FA" w:rsidRDefault="00583C8B" w:rsidP="008C0098">
      <w:pPr>
        <w:pStyle w:val="Bulletindent1"/>
        <w:rPr>
          <w:rStyle w:val="Numberedlevel2textChar"/>
          <w:bCs w:val="0"/>
          <w:iCs w:val="0"/>
          <w:szCs w:val="24"/>
          <w:lang w:val="en-GB"/>
        </w:rPr>
      </w:pPr>
      <w:r w:rsidRPr="005549FA">
        <w:rPr>
          <w:rStyle w:val="Numberedlevel2textChar"/>
          <w:bCs w:val="0"/>
          <w:iCs w:val="0"/>
          <w:szCs w:val="24"/>
          <w:lang w:val="en-GB"/>
        </w:rPr>
        <w:t>c</w:t>
      </w:r>
      <w:r w:rsidR="00975FC2" w:rsidRPr="005549FA">
        <w:rPr>
          <w:rStyle w:val="Numberedlevel2textChar"/>
          <w:bCs w:val="0"/>
          <w:iCs w:val="0"/>
          <w:szCs w:val="24"/>
          <w:lang w:val="en-GB"/>
        </w:rPr>
        <w:t>arboplatin: (area under the curve 5</w:t>
      </w:r>
      <w:r w:rsidRPr="005549FA">
        <w:rPr>
          <w:rStyle w:val="Numberedlevel2textChar"/>
          <w:bCs w:val="0"/>
          <w:iCs w:val="0"/>
          <w:szCs w:val="24"/>
          <w:lang w:val="en-GB"/>
        </w:rPr>
        <w:t> </w:t>
      </w:r>
      <w:r w:rsidR="00975FC2" w:rsidRPr="005549FA">
        <w:rPr>
          <w:rStyle w:val="Numberedlevel2textChar"/>
          <w:bCs w:val="0"/>
          <w:iCs w:val="0"/>
          <w:szCs w:val="24"/>
          <w:lang w:val="en-GB"/>
        </w:rPr>
        <w:t>mg/ml/min), intravenously administered, day</w:t>
      </w:r>
      <w:r w:rsidRPr="005549FA">
        <w:rPr>
          <w:rStyle w:val="Numberedlevel2textChar"/>
          <w:bCs w:val="0"/>
          <w:iCs w:val="0"/>
          <w:szCs w:val="24"/>
          <w:lang w:val="en-GB"/>
        </w:rPr>
        <w:t> </w:t>
      </w:r>
      <w:r w:rsidR="00975FC2" w:rsidRPr="005549FA">
        <w:rPr>
          <w:rStyle w:val="Numberedlevel2textChar"/>
          <w:bCs w:val="0"/>
          <w:iCs w:val="0"/>
          <w:szCs w:val="24"/>
          <w:lang w:val="en-GB"/>
        </w:rPr>
        <w:t>1 of each cycle</w:t>
      </w:r>
    </w:p>
    <w:p w14:paraId="2FC678A9" w14:textId="6DF927A4" w:rsidR="00975FC2" w:rsidRPr="0036160A" w:rsidRDefault="00583C8B" w:rsidP="005549FA">
      <w:pPr>
        <w:pStyle w:val="Bulletindent1last"/>
        <w:rPr>
          <w:rStyle w:val="Numberedlevel2textChar"/>
          <w:bCs w:val="0"/>
          <w:iCs w:val="0"/>
          <w:lang w:val="en-GB"/>
        </w:rPr>
      </w:pPr>
      <w:r>
        <w:rPr>
          <w:rStyle w:val="Numberedlevel2textChar"/>
          <w:bCs w:val="0"/>
          <w:iCs w:val="0"/>
          <w:lang w:val="en-US"/>
        </w:rPr>
        <w:t>e</w:t>
      </w:r>
      <w:r w:rsidR="00975FC2" w:rsidRPr="00975FC2">
        <w:rPr>
          <w:rStyle w:val="Numberedlevel2textChar"/>
          <w:bCs w:val="0"/>
          <w:iCs w:val="0"/>
        </w:rPr>
        <w:t>toposide: 100</w:t>
      </w:r>
      <w:r>
        <w:rPr>
          <w:rStyle w:val="Numberedlevel2textChar"/>
          <w:bCs w:val="0"/>
          <w:iCs w:val="0"/>
          <w:lang w:val="en-US"/>
        </w:rPr>
        <w:t> </w:t>
      </w:r>
      <w:r w:rsidR="00975FC2" w:rsidRPr="00975FC2">
        <w:rPr>
          <w:rStyle w:val="Numberedlevel2textChar"/>
          <w:bCs w:val="0"/>
          <w:iCs w:val="0"/>
        </w:rPr>
        <w:t>mg/m</w:t>
      </w:r>
      <w:r w:rsidR="00975FC2" w:rsidRPr="0036160A">
        <w:rPr>
          <w:rStyle w:val="Numberedlevel2textChar"/>
          <w:bCs w:val="0"/>
          <w:iCs w:val="0"/>
          <w:vertAlign w:val="superscript"/>
        </w:rPr>
        <w:t>2</w:t>
      </w:r>
      <w:r w:rsidR="00975FC2" w:rsidRPr="00975FC2">
        <w:rPr>
          <w:rStyle w:val="Numberedlevel2textChar"/>
          <w:bCs w:val="0"/>
          <w:iCs w:val="0"/>
        </w:rPr>
        <w:t xml:space="preserve">, intravenously administered, </w:t>
      </w:r>
      <w:r w:rsidR="0036160A">
        <w:rPr>
          <w:rStyle w:val="Numberedlevel2textChar"/>
          <w:bCs w:val="0"/>
          <w:iCs w:val="0"/>
          <w:lang w:val="en-GB"/>
        </w:rPr>
        <w:t xml:space="preserve">on </w:t>
      </w:r>
      <w:r w:rsidR="00975FC2" w:rsidRPr="00975FC2">
        <w:rPr>
          <w:rStyle w:val="Numberedlevel2textChar"/>
          <w:bCs w:val="0"/>
          <w:iCs w:val="0"/>
        </w:rPr>
        <w:t>days</w:t>
      </w:r>
      <w:r>
        <w:rPr>
          <w:rStyle w:val="Numberedlevel2textChar"/>
          <w:bCs w:val="0"/>
          <w:iCs w:val="0"/>
          <w:lang w:val="en-US"/>
        </w:rPr>
        <w:t> </w:t>
      </w:r>
      <w:r w:rsidR="00975FC2" w:rsidRPr="00975FC2">
        <w:rPr>
          <w:rStyle w:val="Numberedlevel2textChar"/>
          <w:bCs w:val="0"/>
          <w:iCs w:val="0"/>
        </w:rPr>
        <w:t>1</w:t>
      </w:r>
      <w:r>
        <w:rPr>
          <w:rStyle w:val="Numberedlevel2textChar"/>
          <w:bCs w:val="0"/>
          <w:iCs w:val="0"/>
          <w:lang w:val="en-US"/>
        </w:rPr>
        <w:t> to </w:t>
      </w:r>
      <w:r w:rsidR="00975FC2" w:rsidRPr="00975FC2">
        <w:rPr>
          <w:rStyle w:val="Numberedlevel2textChar"/>
          <w:bCs w:val="0"/>
          <w:iCs w:val="0"/>
        </w:rPr>
        <w:t>3 of each cycle</w:t>
      </w:r>
      <w:r w:rsidR="0036160A">
        <w:rPr>
          <w:rStyle w:val="Numberedlevel2textChar"/>
          <w:bCs w:val="0"/>
          <w:iCs w:val="0"/>
          <w:lang w:val="en-GB"/>
        </w:rPr>
        <w:t>.</w:t>
      </w:r>
    </w:p>
    <w:p w14:paraId="21D238AB" w14:textId="77777777" w:rsidR="006B19F2" w:rsidRDefault="00975FC2" w:rsidP="00EC7EE7">
      <w:pPr>
        <w:pStyle w:val="NICEnormalindented"/>
        <w:rPr>
          <w:rStyle w:val="Numberedlevel2textChar"/>
          <w:bCs w:val="0"/>
          <w:iCs w:val="0"/>
          <w:lang w:val="en-US"/>
        </w:rPr>
      </w:pPr>
      <w:r w:rsidRPr="005549FA">
        <w:rPr>
          <w:rStyle w:val="Numberedlevel2textChar"/>
          <w:bCs w:val="0"/>
          <w:iCs w:val="0"/>
        </w:rPr>
        <w:t xml:space="preserve">Maintenance phase </w:t>
      </w:r>
      <w:r w:rsidR="00BD5AF8">
        <w:rPr>
          <w:rStyle w:val="Numberedlevel2textChar"/>
          <w:bCs w:val="0"/>
          <w:iCs w:val="0"/>
          <w:lang w:val="en-GB"/>
        </w:rPr>
        <w:t>after</w:t>
      </w:r>
      <w:r w:rsidRPr="005549FA">
        <w:rPr>
          <w:rStyle w:val="Numberedlevel2textChar"/>
          <w:bCs w:val="0"/>
          <w:iCs w:val="0"/>
        </w:rPr>
        <w:t xml:space="preserve"> the induction phase, every 3</w:t>
      </w:r>
      <w:r w:rsidR="0044517E">
        <w:rPr>
          <w:rStyle w:val="Numberedlevel2textChar"/>
          <w:bCs w:val="0"/>
          <w:iCs w:val="0"/>
          <w:lang w:val="en-US"/>
        </w:rPr>
        <w:t> </w:t>
      </w:r>
      <w:r w:rsidRPr="005549FA">
        <w:rPr>
          <w:rStyle w:val="Numberedlevel2textChar"/>
          <w:bCs w:val="0"/>
          <w:iCs w:val="0"/>
        </w:rPr>
        <w:t>weeks until loss of clinical benefit or unmanageable toxicity:</w:t>
      </w:r>
    </w:p>
    <w:p w14:paraId="62C80D38" w14:textId="24DF0E7A" w:rsidR="00975FC2" w:rsidRPr="006B25CC" w:rsidRDefault="0044517E" w:rsidP="006B25CC">
      <w:pPr>
        <w:pStyle w:val="Bulletindent1last"/>
        <w:rPr>
          <w:rStyle w:val="Numberedlevel2textChar"/>
          <w:bCs w:val="0"/>
          <w:iCs w:val="0"/>
          <w:lang w:val="en-US"/>
        </w:rPr>
      </w:pPr>
      <w:r>
        <w:rPr>
          <w:rStyle w:val="Numberedlevel2textChar"/>
          <w:bCs w:val="0"/>
          <w:iCs w:val="0"/>
          <w:lang w:val="en-US"/>
        </w:rPr>
        <w:t>a</w:t>
      </w:r>
      <w:r w:rsidR="00975FC2" w:rsidRPr="006B25CC">
        <w:rPr>
          <w:rStyle w:val="Numberedlevel2textChar"/>
          <w:bCs w:val="0"/>
          <w:iCs w:val="0"/>
          <w:lang w:val="en-US"/>
        </w:rPr>
        <w:t>tezolizumab monotherapy without chemotherapy</w:t>
      </w:r>
      <w:r w:rsidR="00491B1E">
        <w:rPr>
          <w:rStyle w:val="Numberedlevel2textChar"/>
          <w:bCs w:val="0"/>
          <w:iCs w:val="0"/>
          <w:lang w:val="en-US"/>
        </w:rPr>
        <w:t>,</w:t>
      </w:r>
      <w:r w:rsidR="00975FC2" w:rsidRPr="006B25CC">
        <w:rPr>
          <w:rStyle w:val="Numberedlevel2textChar"/>
          <w:bCs w:val="0"/>
          <w:iCs w:val="0"/>
          <w:lang w:val="en-US"/>
        </w:rPr>
        <w:t xml:space="preserve"> 1,200</w:t>
      </w:r>
      <w:r>
        <w:rPr>
          <w:rStyle w:val="Numberedlevel2textChar"/>
          <w:bCs w:val="0"/>
          <w:iCs w:val="0"/>
          <w:lang w:val="en-US"/>
        </w:rPr>
        <w:t> </w:t>
      </w:r>
      <w:r w:rsidR="00975FC2" w:rsidRPr="006B25CC">
        <w:rPr>
          <w:rStyle w:val="Numberedlevel2textChar"/>
          <w:bCs w:val="0"/>
          <w:iCs w:val="0"/>
          <w:lang w:val="en-US"/>
        </w:rPr>
        <w:t xml:space="preserve">mg administered intravenously </w:t>
      </w:r>
      <w:r w:rsidR="0036160A" w:rsidRPr="006B25CC">
        <w:rPr>
          <w:rStyle w:val="Numberedlevel2textChar"/>
          <w:bCs w:val="0"/>
          <w:iCs w:val="0"/>
          <w:lang w:val="en-US"/>
        </w:rPr>
        <w:t xml:space="preserve">on </w:t>
      </w:r>
      <w:r w:rsidR="00975FC2" w:rsidRPr="006B25CC">
        <w:rPr>
          <w:rStyle w:val="Numberedlevel2textChar"/>
          <w:bCs w:val="0"/>
          <w:iCs w:val="0"/>
          <w:lang w:val="en-US"/>
        </w:rPr>
        <w:t>day</w:t>
      </w:r>
      <w:r>
        <w:rPr>
          <w:rStyle w:val="Numberedlevel2textChar"/>
          <w:bCs w:val="0"/>
          <w:iCs w:val="0"/>
          <w:lang w:val="en-US"/>
        </w:rPr>
        <w:t> </w:t>
      </w:r>
      <w:r w:rsidR="00975FC2" w:rsidRPr="006B25CC">
        <w:rPr>
          <w:rStyle w:val="Numberedlevel2textChar"/>
          <w:bCs w:val="0"/>
          <w:iCs w:val="0"/>
          <w:lang w:val="en-US"/>
        </w:rPr>
        <w:t>1 of each cycle</w:t>
      </w:r>
      <w:r w:rsidR="0036160A" w:rsidRPr="006B25CC">
        <w:rPr>
          <w:rStyle w:val="Numberedlevel2textChar"/>
          <w:bCs w:val="0"/>
          <w:iCs w:val="0"/>
          <w:lang w:val="en-US"/>
        </w:rPr>
        <w:t>.</w:t>
      </w:r>
    </w:p>
    <w:p w14:paraId="704DCF28" w14:textId="77777777" w:rsidR="004F6387" w:rsidRDefault="004F6387" w:rsidP="004F6387">
      <w:pPr>
        <w:pStyle w:val="Heading2"/>
      </w:pPr>
      <w:r>
        <w:t>Price</w:t>
      </w:r>
    </w:p>
    <w:p w14:paraId="74111449" w14:textId="5207307A" w:rsidR="004F6387" w:rsidRDefault="00142C83" w:rsidP="004F6387">
      <w:pPr>
        <w:pStyle w:val="Numberedlevel2text"/>
        <w:numPr>
          <w:ilvl w:val="1"/>
          <w:numId w:val="1"/>
        </w:numPr>
      </w:pPr>
      <w:r>
        <w:rPr>
          <w:lang w:val="en-GB"/>
        </w:rPr>
        <w:t>The l</w:t>
      </w:r>
      <w:r w:rsidR="009E3D8F" w:rsidRPr="009E3D8F">
        <w:t>ist price</w:t>
      </w:r>
      <w:r w:rsidR="009E3D8F">
        <w:rPr>
          <w:lang w:val="en-GB"/>
        </w:rPr>
        <w:t xml:space="preserve"> of atezolizumab</w:t>
      </w:r>
      <w:r w:rsidR="009E3D8F" w:rsidRPr="009E3D8F">
        <w:t>: £3</w:t>
      </w:r>
      <w:r w:rsidR="00BD5AF8">
        <w:rPr>
          <w:lang w:val="en-US"/>
        </w:rPr>
        <w:t>,</w:t>
      </w:r>
      <w:r w:rsidR="009E3D8F" w:rsidRPr="009E3D8F">
        <w:t>807.69 per 1,200</w:t>
      </w:r>
      <w:r w:rsidR="004715CA">
        <w:rPr>
          <w:lang w:val="en-US"/>
        </w:rPr>
        <w:t> </w:t>
      </w:r>
      <w:r w:rsidR="009E3D8F" w:rsidRPr="009E3D8F">
        <w:t xml:space="preserve">mg vial (excluding VAT; BNF online, assessed December 2019). </w:t>
      </w:r>
      <w:r>
        <w:rPr>
          <w:lang w:val="en-GB"/>
        </w:rPr>
        <w:t>The m</w:t>
      </w:r>
      <w:r w:rsidR="009E3D8F" w:rsidRPr="009E3D8F">
        <w:t xml:space="preserve">ean treatment cost of </w:t>
      </w:r>
      <w:r w:rsidR="009E3D8F" w:rsidRPr="009E3D8F">
        <w:lastRenderedPageBreak/>
        <w:t>a course of treatment for a patient</w:t>
      </w:r>
      <w:r w:rsidR="00E302FF">
        <w:rPr>
          <w:lang w:val="en-US"/>
        </w:rPr>
        <w:t xml:space="preserve"> with </w:t>
      </w:r>
      <w:r w:rsidR="0074748A">
        <w:rPr>
          <w:lang w:val="en-US"/>
        </w:rPr>
        <w:t>ES</w:t>
      </w:r>
      <w:r w:rsidR="0074748A">
        <w:rPr>
          <w:lang w:val="en-US"/>
        </w:rPr>
        <w:noBreakHyphen/>
      </w:r>
      <w:r w:rsidR="00E302FF">
        <w:rPr>
          <w:lang w:val="en-US"/>
        </w:rPr>
        <w:t>SCLC</w:t>
      </w:r>
      <w:r w:rsidR="009E3D8F" w:rsidRPr="009E3D8F">
        <w:t xml:space="preserve"> is £32,798.39 for atezolizumab (at list price), £76.18 for carboplatin and £30.89 for etoposide.</w:t>
      </w:r>
    </w:p>
    <w:p w14:paraId="4AD4F776" w14:textId="42ADC7CA" w:rsidR="004F6387" w:rsidRDefault="004F6387" w:rsidP="004F6387">
      <w:pPr>
        <w:pStyle w:val="NICEnormalindented"/>
      </w:pPr>
      <w:bookmarkStart w:id="12" w:name="_Hlk24530292"/>
      <w:r>
        <w:t>The company has a</w:t>
      </w:r>
      <w:r w:rsidR="00142C83">
        <w:t>n existing</w:t>
      </w:r>
      <w:r>
        <w:t xml:space="preserve"> commercial arrangement</w:t>
      </w:r>
      <w:r w:rsidR="00142C83">
        <w:t xml:space="preserve"> with the NHS</w:t>
      </w:r>
      <w:r>
        <w:t>. This</w:t>
      </w:r>
      <w:r w:rsidRPr="00B520D8">
        <w:t xml:space="preserve"> makes </w:t>
      </w:r>
      <w:r w:rsidR="009E3D8F">
        <w:t>atezolizumab</w:t>
      </w:r>
      <w:r w:rsidRPr="00B520D8">
        <w:t xml:space="preserve"> available to the NHS with a discount</w:t>
      </w:r>
      <w:r>
        <w:t xml:space="preserve"> and it would have also applied to this indication if the technology had been recommended</w:t>
      </w:r>
      <w:r w:rsidRPr="00B520D8">
        <w:t>. The size of the discount is commercial in confidence. It is the company</w:t>
      </w:r>
      <w:r>
        <w:t>’s responsibility</w:t>
      </w:r>
      <w:r w:rsidRPr="00B520D8">
        <w:t xml:space="preserve"> to </w:t>
      </w:r>
      <w:r>
        <w:t>let</w:t>
      </w:r>
      <w:r w:rsidRPr="00B520D8">
        <w:t xml:space="preserve"> relevant NHS organisations</w:t>
      </w:r>
      <w:r>
        <w:t xml:space="preserve"> know details of the discount.</w:t>
      </w:r>
    </w:p>
    <w:bookmarkEnd w:id="12"/>
    <w:p w14:paraId="2085341C" w14:textId="77777777" w:rsidR="00F130AD" w:rsidRDefault="00222BEA" w:rsidP="00F130AD">
      <w:pPr>
        <w:pStyle w:val="Numberedheading1"/>
      </w:pPr>
      <w:r w:rsidRPr="000F48EC">
        <w:t>Co</w:t>
      </w:r>
      <w:r>
        <w:t>mmittee discussion</w:t>
      </w:r>
    </w:p>
    <w:p w14:paraId="312CE992" w14:textId="066B1EF6" w:rsidR="002B5772" w:rsidRPr="00976BCF" w:rsidRDefault="00BC7D9E" w:rsidP="002B5772">
      <w:pPr>
        <w:pStyle w:val="NICEnormal"/>
      </w:pPr>
      <w:r w:rsidRPr="007D7F83">
        <w:t xml:space="preserve">The </w:t>
      </w:r>
      <w:r w:rsidR="00343B53">
        <w:t>a</w:t>
      </w:r>
      <w:r w:rsidRPr="007D7F83">
        <w:t xml:space="preserve">ppraisal </w:t>
      </w:r>
      <w:r w:rsidR="00343B53">
        <w:t>c</w:t>
      </w:r>
      <w:r w:rsidRPr="007D7F83">
        <w:t xml:space="preserve">ommittee </w:t>
      </w:r>
      <w:r w:rsidR="00CD7BFC">
        <w:t>(</w:t>
      </w:r>
      <w:r w:rsidR="00553C06">
        <w:t xml:space="preserve">section </w:t>
      </w:r>
      <w:r w:rsidR="00553C06">
        <w:fldChar w:fldCharType="begin"/>
      </w:r>
      <w:r w:rsidR="00553C06">
        <w:instrText xml:space="preserve"> REF _Ref26869254 \r \h </w:instrText>
      </w:r>
      <w:r w:rsidR="00553C06">
        <w:fldChar w:fldCharType="separate"/>
      </w:r>
      <w:r w:rsidR="00FF44E2">
        <w:t>5</w:t>
      </w:r>
      <w:r w:rsidR="00553C06">
        <w:fldChar w:fldCharType="end"/>
      </w:r>
      <w:r w:rsidR="00CD7BFC">
        <w:t xml:space="preserve">) </w:t>
      </w:r>
      <w:r w:rsidRPr="007D7F83">
        <w:t xml:space="preserve">considered evidence submitted by </w:t>
      </w:r>
      <w:r w:rsidR="00B042C1">
        <w:t>Roche</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and the technical </w:t>
      </w:r>
      <w:r w:rsidR="00E9265B">
        <w:t>report</w:t>
      </w:r>
      <w:r w:rsidR="007E013D">
        <w:t xml:space="preserve"> developed</w:t>
      </w:r>
      <w:r w:rsidR="0098566B">
        <w:t xml:space="preserve"> by the NICE team</w:t>
      </w:r>
      <w:r w:rsidR="00E9265B">
        <w:t xml:space="preserve"> through engagement with stakeholders</w:t>
      </w:r>
      <w:r w:rsidRPr="007D7F83">
        <w:t>.</w:t>
      </w:r>
      <w:r w:rsidR="00C63D4E">
        <w:t xml:space="preserve"> </w:t>
      </w:r>
      <w:r w:rsidR="002B5772">
        <w:t xml:space="preserve">See the </w:t>
      </w:r>
      <w:hyperlink r:id="rId10" w:history="1">
        <w:r w:rsidR="002B5772">
          <w:rPr>
            <w:rStyle w:val="Hyperlink"/>
          </w:rPr>
          <w:t>committee papers</w:t>
        </w:r>
      </w:hyperlink>
      <w:r w:rsidR="002B5772">
        <w:t xml:space="preserve"> for full details of the </w:t>
      </w:r>
      <w:r w:rsidR="002B5772" w:rsidRPr="00976BCF">
        <w:t>evidence.</w:t>
      </w:r>
    </w:p>
    <w:p w14:paraId="23094B63" w14:textId="77777777" w:rsidR="006B0F36" w:rsidRPr="00976BCF" w:rsidRDefault="002B5772" w:rsidP="00D01B9F">
      <w:pPr>
        <w:pStyle w:val="NICEnormal"/>
      </w:pPr>
      <w:r w:rsidRPr="00976BCF">
        <w:t xml:space="preserve">The appraisal committee was aware </w:t>
      </w:r>
      <w:r w:rsidR="002555BE" w:rsidRPr="00976BCF">
        <w:t>that several</w:t>
      </w:r>
      <w:r w:rsidRPr="00976BCF">
        <w:t xml:space="preserve"> issues were resolved during </w:t>
      </w:r>
      <w:r w:rsidR="006D4D1A" w:rsidRPr="00976BCF">
        <w:t xml:space="preserve">the </w:t>
      </w:r>
      <w:r w:rsidR="00E95253" w:rsidRPr="00976BCF">
        <w:t>technical engagement</w:t>
      </w:r>
      <w:r w:rsidR="006D4D1A" w:rsidRPr="00976BCF">
        <w:t xml:space="preserve"> stage</w:t>
      </w:r>
      <w:r w:rsidR="007D1008" w:rsidRPr="00976BCF">
        <w:t>, and agreed that:</w:t>
      </w:r>
    </w:p>
    <w:p w14:paraId="369DDFC8" w14:textId="26BB4060" w:rsidR="006B0F36" w:rsidRPr="00976BCF" w:rsidRDefault="00B042C1" w:rsidP="006B0F36">
      <w:pPr>
        <w:pStyle w:val="Bulletleft1"/>
      </w:pPr>
      <w:bookmarkStart w:id="13" w:name="_Hlk20992745"/>
      <w:r w:rsidRPr="00976BCF">
        <w:t xml:space="preserve">Carboplatin </w:t>
      </w:r>
      <w:r w:rsidR="007155C6">
        <w:t>with</w:t>
      </w:r>
      <w:r w:rsidRPr="00976BCF">
        <w:t xml:space="preserve"> etoposide is the most relevant comparator for this appraisal </w:t>
      </w:r>
      <w:bookmarkEnd w:id="13"/>
      <w:r w:rsidRPr="00976BCF">
        <w:t>(issue</w:t>
      </w:r>
      <w:r w:rsidR="004C6A49">
        <w:t> </w:t>
      </w:r>
      <w:r w:rsidRPr="00976BCF">
        <w:t>1, see technical report page</w:t>
      </w:r>
      <w:r w:rsidR="004C6A49">
        <w:t> </w:t>
      </w:r>
      <w:r w:rsidRPr="00976BCF">
        <w:t>11)</w:t>
      </w:r>
      <w:r w:rsidR="007155C6">
        <w:t>.</w:t>
      </w:r>
    </w:p>
    <w:p w14:paraId="5167D5D8" w14:textId="1157124B" w:rsidR="00B042C1" w:rsidRPr="00976BCF" w:rsidRDefault="0079261C" w:rsidP="006B0F36">
      <w:pPr>
        <w:pStyle w:val="Bulletleft1"/>
      </w:pPr>
      <w:r>
        <w:t>Because</w:t>
      </w:r>
      <w:r w:rsidR="00B042C1" w:rsidRPr="00976BCF">
        <w:t xml:space="preserve"> carboplatin </w:t>
      </w:r>
      <w:r w:rsidR="00490A4A">
        <w:t>with</w:t>
      </w:r>
      <w:r w:rsidR="00B042C1" w:rsidRPr="00976BCF">
        <w:t xml:space="preserve"> etoposide is the most relevant comparator for this appraisal, clinical data from the I</w:t>
      </w:r>
      <w:r w:rsidR="00AD6287">
        <w:t>M</w:t>
      </w:r>
      <w:r w:rsidR="00B042C1" w:rsidRPr="00976BCF">
        <w:t>power133 trial is acceptable for decision</w:t>
      </w:r>
      <w:r w:rsidR="00EC7EE7">
        <w:t xml:space="preserve"> </w:t>
      </w:r>
      <w:r w:rsidR="00B042C1" w:rsidRPr="00976BCF">
        <w:t>making</w:t>
      </w:r>
      <w:r w:rsidR="00976BCF" w:rsidRPr="00976BCF">
        <w:t xml:space="preserve"> (issue</w:t>
      </w:r>
      <w:r w:rsidR="004C6A49">
        <w:t> </w:t>
      </w:r>
      <w:r w:rsidR="00976BCF" w:rsidRPr="00976BCF">
        <w:t xml:space="preserve">2, </w:t>
      </w:r>
      <w:r w:rsidR="0087357B" w:rsidRPr="00976BCF">
        <w:t xml:space="preserve">see technical report </w:t>
      </w:r>
      <w:r w:rsidR="00976BCF" w:rsidRPr="00976BCF">
        <w:t>page</w:t>
      </w:r>
      <w:r w:rsidR="004C6A49">
        <w:t> </w:t>
      </w:r>
      <w:r w:rsidR="00976BCF" w:rsidRPr="00976BCF">
        <w:t>12)</w:t>
      </w:r>
      <w:r w:rsidR="00FD5B91">
        <w:t>.</w:t>
      </w:r>
    </w:p>
    <w:p w14:paraId="2618FCAE" w14:textId="5BC30C20" w:rsidR="00976BCF" w:rsidRPr="00976BCF" w:rsidRDefault="00976BCF" w:rsidP="006B0F36">
      <w:pPr>
        <w:pStyle w:val="Bulletleft1"/>
      </w:pPr>
      <w:r w:rsidRPr="00976BCF">
        <w:t>The company’s approach of using time</w:t>
      </w:r>
      <w:r w:rsidR="00E745A8">
        <w:t>-</w:t>
      </w:r>
      <w:r w:rsidRPr="00976BCF">
        <w:t>to</w:t>
      </w:r>
      <w:r w:rsidR="00E745A8">
        <w:t>-</w:t>
      </w:r>
      <w:r w:rsidRPr="00976BCF">
        <w:t>death to estimate utility values, using the ERG’s preferred model, is acceptable for decision</w:t>
      </w:r>
      <w:r w:rsidR="00400931">
        <w:t xml:space="preserve"> </w:t>
      </w:r>
      <w:r w:rsidRPr="00976BCF">
        <w:t>making (see section</w:t>
      </w:r>
      <w:r w:rsidR="00D87E82">
        <w:t> </w:t>
      </w:r>
      <w:r w:rsidR="001D3468">
        <w:fldChar w:fldCharType="begin"/>
      </w:r>
      <w:r w:rsidR="001D3468">
        <w:instrText xml:space="preserve"> REF _Ref27579550 \r \h </w:instrText>
      </w:r>
      <w:r w:rsidR="001D3468">
        <w:fldChar w:fldCharType="separate"/>
      </w:r>
      <w:r w:rsidR="00FF44E2">
        <w:t>3.5</w:t>
      </w:r>
      <w:r w:rsidR="001D3468">
        <w:fldChar w:fldCharType="end"/>
      </w:r>
      <w:r w:rsidR="00FA1290">
        <w:t>;</w:t>
      </w:r>
      <w:r w:rsidRPr="00976BCF">
        <w:t xml:space="preserve"> issue</w:t>
      </w:r>
      <w:r w:rsidR="004C6A49">
        <w:t> </w:t>
      </w:r>
      <w:r w:rsidRPr="00976BCF">
        <w:t>3, see technical report page</w:t>
      </w:r>
      <w:r w:rsidR="004C6A49">
        <w:t> </w:t>
      </w:r>
      <w:r w:rsidRPr="00976BCF">
        <w:t>16)</w:t>
      </w:r>
      <w:r w:rsidR="003F1885">
        <w:t>.</w:t>
      </w:r>
    </w:p>
    <w:p w14:paraId="619ED070" w14:textId="151347F5" w:rsidR="00CE2B95" w:rsidRPr="00976BCF" w:rsidRDefault="00976BCF" w:rsidP="006D4D1A">
      <w:pPr>
        <w:pStyle w:val="Bulletleft1last"/>
      </w:pPr>
      <w:r w:rsidRPr="00976BCF">
        <w:t xml:space="preserve">It is appropriate for disutilities associated with adverse events to be incorporated in the model </w:t>
      </w:r>
      <w:r w:rsidR="006B0F36" w:rsidRPr="00976BCF">
        <w:t>(issu</w:t>
      </w:r>
      <w:r w:rsidR="00CE2B95" w:rsidRPr="00976BCF">
        <w:t>e</w:t>
      </w:r>
      <w:r w:rsidR="001D796F">
        <w:t> </w:t>
      </w:r>
      <w:r w:rsidRPr="00976BCF">
        <w:t>4</w:t>
      </w:r>
      <w:r w:rsidR="00CE2B95" w:rsidRPr="00976BCF">
        <w:t>, see technical report page</w:t>
      </w:r>
      <w:r w:rsidR="009F186A">
        <w:t> </w:t>
      </w:r>
      <w:r w:rsidRPr="00976BCF">
        <w:t>18</w:t>
      </w:r>
      <w:r w:rsidR="006B0F36" w:rsidRPr="00976BCF">
        <w:t>)</w:t>
      </w:r>
      <w:r w:rsidR="006D4D1A" w:rsidRPr="00976BCF">
        <w:t>.</w:t>
      </w:r>
    </w:p>
    <w:p w14:paraId="1213F925" w14:textId="6C65F30C" w:rsidR="00355EC5" w:rsidRDefault="005248D4" w:rsidP="009C271B">
      <w:pPr>
        <w:pStyle w:val="NICEnormal"/>
        <w:ind w:left="60"/>
      </w:pPr>
      <w:r>
        <w:t>The committee</w:t>
      </w:r>
      <w:r w:rsidR="002B5772" w:rsidRPr="00976BCF">
        <w:t xml:space="preserve"> recognised that there </w:t>
      </w:r>
      <w:r w:rsidR="000067A6">
        <w:t>was</w:t>
      </w:r>
      <w:r w:rsidR="002B5772" w:rsidRPr="00976BCF">
        <w:t xml:space="preserve"> remaining uncertainty associated with the analyses presented (see technical report</w:t>
      </w:r>
      <w:r w:rsidR="00A33919" w:rsidRPr="00976BCF">
        <w:t>,</w:t>
      </w:r>
      <w:r w:rsidR="002B5772" w:rsidRPr="00976BCF">
        <w:t xml:space="preserve"> page</w:t>
      </w:r>
      <w:r w:rsidR="000067A6">
        <w:t> </w:t>
      </w:r>
      <w:r w:rsidR="00B042C1" w:rsidRPr="00976BCF">
        <w:t>19</w:t>
      </w:r>
      <w:r w:rsidR="002B5772" w:rsidRPr="00976BCF">
        <w:t>), and took th</w:t>
      </w:r>
      <w:r w:rsidR="00B042C1" w:rsidRPr="00976BCF">
        <w:t>is</w:t>
      </w:r>
      <w:r w:rsidR="002B5772" w:rsidRPr="00976BCF">
        <w:t xml:space="preserve"> into account</w:t>
      </w:r>
      <w:r w:rsidR="002B5772">
        <w:t xml:space="preserve"> in its decision</w:t>
      </w:r>
      <w:r w:rsidR="000067A6">
        <w:t xml:space="preserve"> </w:t>
      </w:r>
      <w:r w:rsidR="002B5772">
        <w:t xml:space="preserve">making. It discussed the </w:t>
      </w:r>
      <w:r w:rsidR="00E675B0">
        <w:t>issue of long-term survival estimates</w:t>
      </w:r>
      <w:r w:rsidR="00A33919">
        <w:t xml:space="preserve"> (issue</w:t>
      </w:r>
      <w:r w:rsidR="000067A6">
        <w:t> </w:t>
      </w:r>
      <w:r w:rsidR="00B042C1">
        <w:t>5</w:t>
      </w:r>
      <w:r w:rsidR="009C271B">
        <w:t xml:space="preserve">, see </w:t>
      </w:r>
      <w:r w:rsidR="009C271B">
        <w:lastRenderedPageBreak/>
        <w:t>technical report page 18</w:t>
      </w:r>
      <w:r w:rsidR="00A33919">
        <w:t>)</w:t>
      </w:r>
      <w:r w:rsidR="002B5772">
        <w:t>, which w</w:t>
      </w:r>
      <w:r w:rsidR="00B042C1">
        <w:t>as</w:t>
      </w:r>
      <w:r w:rsidR="002B5772">
        <w:t xml:space="preserve"> outstanding </w:t>
      </w:r>
      <w:r w:rsidR="00E95253">
        <w:t>after</w:t>
      </w:r>
      <w:r w:rsidR="002B5772">
        <w:t xml:space="preserve"> </w:t>
      </w:r>
      <w:r w:rsidR="000205C6">
        <w:t xml:space="preserve">the </w:t>
      </w:r>
      <w:r w:rsidR="002B5772">
        <w:t>technical engagement</w:t>
      </w:r>
      <w:r w:rsidR="000205C6">
        <w:t xml:space="preserve"> stage</w:t>
      </w:r>
      <w:r w:rsidR="00E7541E">
        <w:t>.</w:t>
      </w:r>
      <w:r w:rsidR="00EE3CCE">
        <w:t xml:space="preserve"> </w:t>
      </w:r>
      <w:r w:rsidR="00A50EFE">
        <w:t xml:space="preserve">This included uncertainty </w:t>
      </w:r>
      <w:r w:rsidR="004C00EF">
        <w:t>about</w:t>
      </w:r>
      <w:r w:rsidR="00A50EFE">
        <w:t xml:space="preserve"> how long people having atezolizumab live, and how well the model fitted the trial data and predicted long-term survival. </w:t>
      </w:r>
      <w:r w:rsidR="009F1A52">
        <w:t xml:space="preserve">At the first </w:t>
      </w:r>
      <w:r w:rsidR="00E828F6">
        <w:t>appraisal committee meeting, t</w:t>
      </w:r>
      <w:r w:rsidR="00EE3CCE">
        <w:t>he committee recommended that NICE request further clarification and analyses from the company for the second meeting</w:t>
      </w:r>
      <w:r w:rsidR="000C6E98">
        <w:t>.</w:t>
      </w:r>
      <w:r w:rsidR="00EE3CCE">
        <w:t xml:space="preserve"> </w:t>
      </w:r>
      <w:r w:rsidR="0008209F">
        <w:t>It requested that t</w:t>
      </w:r>
      <w:r w:rsidR="000C6E98">
        <w:t xml:space="preserve">his should </w:t>
      </w:r>
      <w:r w:rsidR="00EE3CCE">
        <w:t xml:space="preserve">include a revised cost-effectiveness model with further methods of estimating overall survival for both atezolizumab and comparator groups. </w:t>
      </w:r>
      <w:r w:rsidR="00E67135">
        <w:t>After re</w:t>
      </w:r>
      <w:r w:rsidR="00EE3CCE">
        <w:t>ceiving</w:t>
      </w:r>
      <w:r w:rsidR="00E67135">
        <w:t xml:space="preserve"> </w:t>
      </w:r>
      <w:r w:rsidR="0008209F">
        <w:t xml:space="preserve">new </w:t>
      </w:r>
      <w:r w:rsidR="00E67135">
        <w:t xml:space="preserve">analyses and information from the company, the committee </w:t>
      </w:r>
      <w:r w:rsidR="00E7541E">
        <w:t>discussed the long-term survival estimates</w:t>
      </w:r>
      <w:r w:rsidR="000C6E98">
        <w:t xml:space="preserve"> again</w:t>
      </w:r>
      <w:r w:rsidR="008141CA">
        <w:t>. It also discussed</w:t>
      </w:r>
      <w:r w:rsidR="00E7541E">
        <w:t xml:space="preserve"> </w:t>
      </w:r>
      <w:r w:rsidR="00E67135">
        <w:t xml:space="preserve">treatment effect duration and </w:t>
      </w:r>
      <w:r w:rsidR="00E7541E">
        <w:t>end</w:t>
      </w:r>
      <w:r w:rsidR="008141CA">
        <w:t xml:space="preserve"> </w:t>
      </w:r>
      <w:r w:rsidR="00E7541E">
        <w:t>of</w:t>
      </w:r>
      <w:r w:rsidR="008141CA">
        <w:t xml:space="preserve"> </w:t>
      </w:r>
      <w:r w:rsidR="00E7541E">
        <w:t xml:space="preserve">life, which were outstanding </w:t>
      </w:r>
      <w:r w:rsidR="001F2DA1">
        <w:t xml:space="preserve">issues </w:t>
      </w:r>
      <w:r w:rsidR="00E7541E">
        <w:t>after the first committee meeting.</w:t>
      </w:r>
    </w:p>
    <w:p w14:paraId="32EB2AA7" w14:textId="21B08A93" w:rsidR="00643582" w:rsidRDefault="00976BCF" w:rsidP="00643582">
      <w:pPr>
        <w:pStyle w:val="Heading2"/>
      </w:pPr>
      <w:r>
        <w:t>Clinical need</w:t>
      </w:r>
      <w:r w:rsidR="000D5200">
        <w:t xml:space="preserve"> and comparator</w:t>
      </w:r>
    </w:p>
    <w:p w14:paraId="4EAE2C18" w14:textId="732C2BB8" w:rsidR="00976BCF" w:rsidRDefault="00976BCF" w:rsidP="00CA2767">
      <w:pPr>
        <w:pStyle w:val="Heading3"/>
      </w:pPr>
      <w:r w:rsidRPr="00976BCF">
        <w:t>There is an unmet need for treatment options in this disease</w:t>
      </w:r>
    </w:p>
    <w:p w14:paraId="140D4110" w14:textId="65D96F07" w:rsidR="00976BCF" w:rsidRPr="00860062" w:rsidRDefault="00976BCF" w:rsidP="00643582">
      <w:pPr>
        <w:pStyle w:val="Numberedlevel2text"/>
        <w:numPr>
          <w:ilvl w:val="1"/>
          <w:numId w:val="1"/>
        </w:numPr>
      </w:pPr>
      <w:r>
        <w:rPr>
          <w:lang w:val="en-GB"/>
        </w:rPr>
        <w:t>A patient expert highlighted th</w:t>
      </w:r>
      <w:r w:rsidR="00C11FC6">
        <w:rPr>
          <w:lang w:val="en-GB"/>
        </w:rPr>
        <w:t xml:space="preserve">at people diagnosed with </w:t>
      </w:r>
      <w:r w:rsidR="00C11FC6" w:rsidRPr="00C11FC6">
        <w:rPr>
          <w:lang w:val="en-GB"/>
        </w:rPr>
        <w:t>extensive-stage small</w:t>
      </w:r>
      <w:r w:rsidR="003D20E9">
        <w:rPr>
          <w:lang w:val="en-GB"/>
        </w:rPr>
        <w:t>-</w:t>
      </w:r>
      <w:r w:rsidR="00C11FC6" w:rsidRPr="00C11FC6">
        <w:rPr>
          <w:lang w:val="en-GB"/>
        </w:rPr>
        <w:t>cell lung cancer</w:t>
      </w:r>
      <w:r w:rsidR="00797866">
        <w:rPr>
          <w:lang w:val="en-GB"/>
        </w:rPr>
        <w:t xml:space="preserve"> (</w:t>
      </w:r>
      <w:r w:rsidR="002218FE">
        <w:rPr>
          <w:lang w:val="en-GB"/>
        </w:rPr>
        <w:t>ES</w:t>
      </w:r>
      <w:r w:rsidR="002218FE">
        <w:rPr>
          <w:lang w:val="en-GB"/>
        </w:rPr>
        <w:noBreakHyphen/>
      </w:r>
      <w:r w:rsidR="00797866">
        <w:rPr>
          <w:lang w:val="en-GB"/>
        </w:rPr>
        <w:t>SCLC)</w:t>
      </w:r>
      <w:r w:rsidR="00C11FC6">
        <w:rPr>
          <w:lang w:val="en-GB"/>
        </w:rPr>
        <w:t xml:space="preserve"> are </w:t>
      </w:r>
      <w:r w:rsidR="00AD6287">
        <w:rPr>
          <w:lang w:val="en-GB"/>
        </w:rPr>
        <w:t xml:space="preserve">often </w:t>
      </w:r>
      <w:r w:rsidR="00C11FC6">
        <w:rPr>
          <w:lang w:val="en-GB"/>
        </w:rPr>
        <w:t>dismayed at the</w:t>
      </w:r>
      <w:r w:rsidR="002A17A3">
        <w:rPr>
          <w:lang w:val="en-GB"/>
        </w:rPr>
        <w:t>ir</w:t>
      </w:r>
      <w:r w:rsidR="00C11FC6">
        <w:rPr>
          <w:lang w:val="en-GB"/>
        </w:rPr>
        <w:t xml:space="preserve"> lack of treatment options, particularly </w:t>
      </w:r>
      <w:r w:rsidR="009C4089">
        <w:rPr>
          <w:lang w:val="en-GB"/>
        </w:rPr>
        <w:t>compared with</w:t>
      </w:r>
      <w:r w:rsidR="00C11FC6">
        <w:rPr>
          <w:lang w:val="en-GB"/>
        </w:rPr>
        <w:t xml:space="preserve"> non-</w:t>
      </w:r>
      <w:r w:rsidR="00C11FC6" w:rsidRPr="00976BCF">
        <w:rPr>
          <w:lang w:val="en-GB"/>
        </w:rPr>
        <w:t>small</w:t>
      </w:r>
      <w:r w:rsidR="003D20E9">
        <w:rPr>
          <w:lang w:val="en-GB"/>
        </w:rPr>
        <w:t>-</w:t>
      </w:r>
      <w:r w:rsidR="00C11FC6" w:rsidRPr="00976BCF">
        <w:rPr>
          <w:lang w:val="en-GB"/>
        </w:rPr>
        <w:t>cell lung cancer</w:t>
      </w:r>
      <w:r w:rsidR="0037248F">
        <w:rPr>
          <w:lang w:val="en-GB"/>
        </w:rPr>
        <w:t xml:space="preserve"> (NSCLC)</w:t>
      </w:r>
      <w:r w:rsidR="00C11FC6">
        <w:rPr>
          <w:lang w:val="en-GB"/>
        </w:rPr>
        <w:t xml:space="preserve">. </w:t>
      </w:r>
      <w:r w:rsidR="00936E16">
        <w:rPr>
          <w:lang w:val="en-GB"/>
        </w:rPr>
        <w:t xml:space="preserve">Treatment options have </w:t>
      </w:r>
      <w:r w:rsidR="009C4089">
        <w:rPr>
          <w:lang w:val="en-GB"/>
        </w:rPr>
        <w:t xml:space="preserve">not </w:t>
      </w:r>
      <w:r w:rsidR="00936E16">
        <w:rPr>
          <w:lang w:val="en-GB"/>
        </w:rPr>
        <w:t>changed for decades, and patients are aware of the success of immunotherapy for treating other cancers. After starting chemotherapy, p</w:t>
      </w:r>
      <w:r w:rsidR="00C11FC6">
        <w:rPr>
          <w:lang w:val="en-GB"/>
        </w:rPr>
        <w:t>eople often feel better</w:t>
      </w:r>
      <w:r w:rsidR="00865C64">
        <w:rPr>
          <w:lang w:val="en-GB"/>
        </w:rPr>
        <w:t xml:space="preserve"> at first</w:t>
      </w:r>
      <w:r w:rsidR="00C11FC6">
        <w:rPr>
          <w:lang w:val="en-GB"/>
        </w:rPr>
        <w:t xml:space="preserve">, but this </w:t>
      </w:r>
      <w:r w:rsidR="0008209F">
        <w:rPr>
          <w:lang w:val="en-GB"/>
        </w:rPr>
        <w:t xml:space="preserve">may </w:t>
      </w:r>
      <w:r w:rsidR="00A97F73">
        <w:rPr>
          <w:lang w:val="en-GB"/>
        </w:rPr>
        <w:t>only</w:t>
      </w:r>
      <w:r w:rsidR="00C11FC6">
        <w:rPr>
          <w:lang w:val="en-GB"/>
        </w:rPr>
        <w:t xml:space="preserve"> last for a few months before their condition deteriorate</w:t>
      </w:r>
      <w:r w:rsidR="00A97F73">
        <w:rPr>
          <w:lang w:val="en-GB"/>
        </w:rPr>
        <w:t>s</w:t>
      </w:r>
      <w:r w:rsidR="00C11FC6">
        <w:rPr>
          <w:lang w:val="en-GB"/>
        </w:rPr>
        <w:t xml:space="preserve">. Any treatment that could extend life, </w:t>
      </w:r>
      <w:r w:rsidR="006522C4">
        <w:rPr>
          <w:lang w:val="en-GB"/>
        </w:rPr>
        <w:t xml:space="preserve">even </w:t>
      </w:r>
      <w:r w:rsidR="00C11FC6">
        <w:rPr>
          <w:lang w:val="en-GB"/>
        </w:rPr>
        <w:t xml:space="preserve">only for a short period, would allow more time for advanced care planning. The patient expert commented that many people with this condition spend their last days in a hospital bed, </w:t>
      </w:r>
      <w:r w:rsidR="006D2203">
        <w:rPr>
          <w:lang w:val="en-GB"/>
        </w:rPr>
        <w:t>meaning</w:t>
      </w:r>
      <w:r w:rsidR="00C11FC6">
        <w:rPr>
          <w:lang w:val="en-GB"/>
        </w:rPr>
        <w:t xml:space="preserve"> a </w:t>
      </w:r>
      <w:r w:rsidR="00083C7A">
        <w:rPr>
          <w:lang w:val="en-GB"/>
        </w:rPr>
        <w:t>worse</w:t>
      </w:r>
      <w:r w:rsidR="00C11FC6">
        <w:rPr>
          <w:lang w:val="en-GB"/>
        </w:rPr>
        <w:t xml:space="preserve"> quality of life for them and their family. More time to plan for end</w:t>
      </w:r>
      <w:r w:rsidR="00BD5AF8">
        <w:rPr>
          <w:lang w:val="en-GB"/>
        </w:rPr>
        <w:t xml:space="preserve"> </w:t>
      </w:r>
      <w:r w:rsidR="00C11FC6">
        <w:rPr>
          <w:lang w:val="en-GB"/>
        </w:rPr>
        <w:t>of</w:t>
      </w:r>
      <w:r w:rsidR="00BD5AF8">
        <w:rPr>
          <w:lang w:val="en-GB"/>
        </w:rPr>
        <w:t xml:space="preserve"> </w:t>
      </w:r>
      <w:r w:rsidR="00C11FC6">
        <w:rPr>
          <w:lang w:val="en-GB"/>
        </w:rPr>
        <w:t>life care could help to reduce the incidence of this.</w:t>
      </w:r>
      <w:r w:rsidR="000E4FE6">
        <w:rPr>
          <w:lang w:val="en-GB"/>
        </w:rPr>
        <w:t xml:space="preserve"> The committee noted that </w:t>
      </w:r>
      <w:r w:rsidR="00660978">
        <w:rPr>
          <w:lang w:val="en-GB"/>
        </w:rPr>
        <w:t>ES</w:t>
      </w:r>
      <w:r w:rsidR="00660978">
        <w:rPr>
          <w:lang w:val="en-GB"/>
        </w:rPr>
        <w:noBreakHyphen/>
      </w:r>
      <w:r w:rsidR="00797866">
        <w:rPr>
          <w:lang w:val="en-GB"/>
        </w:rPr>
        <w:t>SCLC</w:t>
      </w:r>
      <w:r w:rsidR="000E4FE6">
        <w:rPr>
          <w:lang w:val="en-GB"/>
        </w:rPr>
        <w:t xml:space="preserve"> progress</w:t>
      </w:r>
      <w:r w:rsidR="007B2709">
        <w:rPr>
          <w:lang w:val="en-GB"/>
        </w:rPr>
        <w:t>es rapidly</w:t>
      </w:r>
      <w:r w:rsidR="000E4FE6">
        <w:rPr>
          <w:lang w:val="en-GB"/>
        </w:rPr>
        <w:t xml:space="preserve">, and the impact that this </w:t>
      </w:r>
      <w:r w:rsidR="0008209F">
        <w:rPr>
          <w:lang w:val="en-GB"/>
        </w:rPr>
        <w:t xml:space="preserve">has </w:t>
      </w:r>
      <w:r w:rsidR="000E4FE6">
        <w:rPr>
          <w:lang w:val="en-GB"/>
        </w:rPr>
        <w:t xml:space="preserve">on patients and their friends and family. </w:t>
      </w:r>
      <w:r w:rsidR="007B2709">
        <w:rPr>
          <w:lang w:val="en-GB"/>
        </w:rPr>
        <w:t>It</w:t>
      </w:r>
      <w:r w:rsidR="000E4FE6" w:rsidRPr="000E4FE6">
        <w:rPr>
          <w:lang w:val="en-GB"/>
        </w:rPr>
        <w:t xml:space="preserve"> agreed that an additional </w:t>
      </w:r>
      <w:r w:rsidR="009E5825">
        <w:rPr>
          <w:lang w:val="en-GB"/>
        </w:rPr>
        <w:t xml:space="preserve">more effective </w:t>
      </w:r>
      <w:r w:rsidR="000E4FE6" w:rsidRPr="000E4FE6">
        <w:rPr>
          <w:lang w:val="en-GB"/>
        </w:rPr>
        <w:t xml:space="preserve">treatment option would benefit people with untreated </w:t>
      </w:r>
      <w:r w:rsidR="006364C0">
        <w:rPr>
          <w:lang w:val="en-GB"/>
        </w:rPr>
        <w:t>ES</w:t>
      </w:r>
      <w:r w:rsidR="006364C0">
        <w:rPr>
          <w:lang w:val="en-GB"/>
        </w:rPr>
        <w:noBreakHyphen/>
      </w:r>
      <w:r w:rsidR="0078503B">
        <w:rPr>
          <w:lang w:val="en-GB"/>
        </w:rPr>
        <w:t>SCLC,</w:t>
      </w:r>
      <w:r w:rsidR="000E4FE6" w:rsidRPr="000E4FE6">
        <w:rPr>
          <w:lang w:val="en-GB"/>
        </w:rPr>
        <w:t xml:space="preserve"> and concluded that </w:t>
      </w:r>
      <w:r w:rsidR="000E4FE6">
        <w:rPr>
          <w:lang w:val="en-GB"/>
        </w:rPr>
        <w:t>a</w:t>
      </w:r>
      <w:r w:rsidR="000E4FE6" w:rsidRPr="000E4FE6">
        <w:rPr>
          <w:lang w:val="en-GB"/>
        </w:rPr>
        <w:t xml:space="preserve">tezolizumab </w:t>
      </w:r>
      <w:r w:rsidR="00E675B0">
        <w:t>with carboplatin and etoposide</w:t>
      </w:r>
      <w:r w:rsidR="00E675B0" w:rsidRPr="002A17A3">
        <w:t xml:space="preserve"> </w:t>
      </w:r>
      <w:r w:rsidR="000E4FE6" w:rsidRPr="000E4FE6">
        <w:rPr>
          <w:lang w:val="en-GB"/>
        </w:rPr>
        <w:t>would be a welcome treatment option.</w:t>
      </w:r>
    </w:p>
    <w:p w14:paraId="47020332" w14:textId="35389A84" w:rsidR="00355EC5" w:rsidRDefault="00355EC5" w:rsidP="00355EC5">
      <w:pPr>
        <w:pStyle w:val="Heading3"/>
      </w:pPr>
      <w:r>
        <w:lastRenderedPageBreak/>
        <w:t xml:space="preserve">The most appropriate comparator is </w:t>
      </w:r>
      <w:r w:rsidR="000D55CD">
        <w:t>carboplatin and etoposide</w:t>
      </w:r>
      <w:r w:rsidR="00233D72">
        <w:t xml:space="preserve"> </w:t>
      </w:r>
      <w:r w:rsidR="000D55CD">
        <w:t>chemotherapy</w:t>
      </w:r>
    </w:p>
    <w:p w14:paraId="385E591B" w14:textId="1341B326" w:rsidR="000D5200" w:rsidRPr="002A17A3" w:rsidRDefault="00355EC5" w:rsidP="00355EC5">
      <w:pPr>
        <w:pStyle w:val="Numberedlevel2text"/>
        <w:numPr>
          <w:ilvl w:val="1"/>
          <w:numId w:val="1"/>
        </w:numPr>
      </w:pPr>
      <w:r>
        <w:rPr>
          <w:lang w:val="en-US"/>
        </w:rPr>
        <w:t>The company submitted cost-effectiveness analyses comparing</w:t>
      </w:r>
      <w:r w:rsidR="000D55CD">
        <w:rPr>
          <w:lang w:val="en-US"/>
        </w:rPr>
        <w:t xml:space="preserve"> atezolizumab with carboplatin and etoposide, with carboplatin and etoposide chemotherapy</w:t>
      </w:r>
      <w:r w:rsidR="00137B24">
        <w:rPr>
          <w:lang w:val="en-US"/>
        </w:rPr>
        <w:t>.</w:t>
      </w:r>
      <w:r w:rsidR="00715845">
        <w:rPr>
          <w:lang w:val="en-US"/>
        </w:rPr>
        <w:t xml:space="preserve"> </w:t>
      </w:r>
      <w:r w:rsidR="00137B24">
        <w:rPr>
          <w:lang w:val="en-US"/>
        </w:rPr>
        <w:t xml:space="preserve">This </w:t>
      </w:r>
      <w:r w:rsidR="00715845">
        <w:rPr>
          <w:lang w:val="en-US"/>
        </w:rPr>
        <w:t>us</w:t>
      </w:r>
      <w:r w:rsidR="00137B24">
        <w:rPr>
          <w:lang w:val="en-US"/>
        </w:rPr>
        <w:t>ed</w:t>
      </w:r>
      <w:r w:rsidR="00715845">
        <w:rPr>
          <w:lang w:val="en-US"/>
        </w:rPr>
        <w:t xml:space="preserve"> Kaplan-Meier data from Impower133 (see section</w:t>
      </w:r>
      <w:r w:rsidR="00137B24">
        <w:rPr>
          <w:lang w:val="en-US"/>
        </w:rPr>
        <w:t> </w:t>
      </w:r>
      <w:r w:rsidR="00715845">
        <w:rPr>
          <w:lang w:val="en-US"/>
        </w:rPr>
        <w:fldChar w:fldCharType="begin"/>
      </w:r>
      <w:r w:rsidR="00715845">
        <w:rPr>
          <w:lang w:val="en-US"/>
        </w:rPr>
        <w:instrText xml:space="preserve"> REF _Ref26191487 \r \h </w:instrText>
      </w:r>
      <w:r w:rsidR="00715845">
        <w:rPr>
          <w:lang w:val="en-US"/>
        </w:rPr>
      </w:r>
      <w:r w:rsidR="00715845">
        <w:rPr>
          <w:lang w:val="en-US"/>
        </w:rPr>
        <w:fldChar w:fldCharType="separate"/>
      </w:r>
      <w:r w:rsidR="00FF44E2">
        <w:rPr>
          <w:lang w:val="en-US"/>
        </w:rPr>
        <w:t>3.3</w:t>
      </w:r>
      <w:r w:rsidR="00715845">
        <w:rPr>
          <w:lang w:val="en-US"/>
        </w:rPr>
        <w:fldChar w:fldCharType="end"/>
      </w:r>
      <w:r w:rsidR="00715845">
        <w:rPr>
          <w:lang w:val="en-US"/>
        </w:rPr>
        <w:t>)</w:t>
      </w:r>
      <w:r w:rsidR="000D55CD">
        <w:rPr>
          <w:lang w:val="en-US"/>
        </w:rPr>
        <w:t xml:space="preserve">. In response to technical engagement, </w:t>
      </w:r>
      <w:r w:rsidR="0049647E">
        <w:rPr>
          <w:lang w:val="en-US"/>
        </w:rPr>
        <w:t>it</w:t>
      </w:r>
      <w:r w:rsidR="000D55CD">
        <w:rPr>
          <w:lang w:val="en-US"/>
        </w:rPr>
        <w:t xml:space="preserve"> also provided an exploratory comparison with cisplatin and etoposide, but clinical experts explained that less than 5% of people with untreated ES-SCLC would be offered this.</w:t>
      </w:r>
      <w:r>
        <w:rPr>
          <w:lang w:val="en-US"/>
        </w:rPr>
        <w:t xml:space="preserve"> </w:t>
      </w:r>
      <w:r w:rsidRPr="000D5200">
        <w:rPr>
          <w:lang w:val="en-US"/>
        </w:rPr>
        <w:t xml:space="preserve">The committee </w:t>
      </w:r>
      <w:r w:rsidR="00715845">
        <w:rPr>
          <w:lang w:val="en-US"/>
        </w:rPr>
        <w:t>agreed</w:t>
      </w:r>
      <w:r w:rsidR="00715845" w:rsidRPr="000D5200">
        <w:rPr>
          <w:lang w:val="en-US"/>
        </w:rPr>
        <w:t xml:space="preserve"> </w:t>
      </w:r>
      <w:r w:rsidRPr="000D5200">
        <w:rPr>
          <w:lang w:val="en-US"/>
        </w:rPr>
        <w:t>that the most appropriate comparator</w:t>
      </w:r>
      <w:r w:rsidR="000D55CD">
        <w:rPr>
          <w:lang w:val="en-US"/>
        </w:rPr>
        <w:t xml:space="preserve"> for this appraisal</w:t>
      </w:r>
      <w:r>
        <w:rPr>
          <w:lang w:val="en-US"/>
        </w:rPr>
        <w:t xml:space="preserve"> </w:t>
      </w:r>
      <w:r w:rsidR="00421D75">
        <w:rPr>
          <w:lang w:val="en-US"/>
        </w:rPr>
        <w:t>wa</w:t>
      </w:r>
      <w:r>
        <w:rPr>
          <w:lang w:val="en-US"/>
        </w:rPr>
        <w:t>s chemotherapy</w:t>
      </w:r>
      <w:r w:rsidR="000D55CD">
        <w:rPr>
          <w:lang w:val="en-US"/>
        </w:rPr>
        <w:t xml:space="preserve"> consisting of carboplatin and etoposide</w:t>
      </w:r>
      <w:r w:rsidR="00715845">
        <w:rPr>
          <w:lang w:val="en-US"/>
        </w:rPr>
        <w:t>.</w:t>
      </w:r>
    </w:p>
    <w:p w14:paraId="03EE5C3E" w14:textId="586E58C0" w:rsidR="00643582" w:rsidRDefault="002A17A3" w:rsidP="00643582">
      <w:pPr>
        <w:pStyle w:val="Heading2"/>
      </w:pPr>
      <w:r>
        <w:t xml:space="preserve">Clinical </w:t>
      </w:r>
      <w:r w:rsidR="00955A37">
        <w:t xml:space="preserve">trial </w:t>
      </w:r>
      <w:r>
        <w:t>evidence</w:t>
      </w:r>
    </w:p>
    <w:p w14:paraId="6A555EFC" w14:textId="21A00923" w:rsidR="00643582" w:rsidRDefault="002A17A3" w:rsidP="0073007E">
      <w:pPr>
        <w:pStyle w:val="Heading3"/>
      </w:pPr>
      <w:r>
        <w:t>Atezolizumab</w:t>
      </w:r>
      <w:r w:rsidRPr="002A17A3">
        <w:t xml:space="preserve"> </w:t>
      </w:r>
      <w:r w:rsidR="00895B36">
        <w:t>with chemotherapy</w:t>
      </w:r>
      <w:r w:rsidRPr="002A17A3">
        <w:t xml:space="preserve"> improves overall and progression-free survival</w:t>
      </w:r>
      <w:r w:rsidR="0008209F">
        <w:t xml:space="preserve"> compared with</w:t>
      </w:r>
      <w:r w:rsidR="003B59BC">
        <w:t xml:space="preserve"> chemotherapy</w:t>
      </w:r>
      <w:r w:rsidR="005A79D8">
        <w:t xml:space="preserve"> but the long-term benefit is uncertain</w:t>
      </w:r>
    </w:p>
    <w:p w14:paraId="40427B13" w14:textId="4B6240BA" w:rsidR="002A17A3" w:rsidRDefault="002A17A3" w:rsidP="002A17A3">
      <w:pPr>
        <w:pStyle w:val="Numberedlevel2text"/>
        <w:numPr>
          <w:ilvl w:val="1"/>
          <w:numId w:val="1"/>
        </w:numPr>
      </w:pPr>
      <w:bookmarkStart w:id="14" w:name="_Ref26191487"/>
      <w:r w:rsidRPr="002A17A3">
        <w:t xml:space="preserve">The clinical evidence for </w:t>
      </w:r>
      <w:r>
        <w:rPr>
          <w:lang w:val="en-GB"/>
        </w:rPr>
        <w:t>atezolizumab</w:t>
      </w:r>
      <w:r w:rsidRPr="002A17A3">
        <w:t xml:space="preserve"> </w:t>
      </w:r>
      <w:r w:rsidR="00E675B0" w:rsidRPr="00E675B0">
        <w:t xml:space="preserve">with carboplatin and etoposide </w:t>
      </w:r>
      <w:r w:rsidRPr="002A17A3">
        <w:t>came from</w:t>
      </w:r>
      <w:r>
        <w:rPr>
          <w:lang w:val="en-GB"/>
        </w:rPr>
        <w:t xml:space="preserve"> I</w:t>
      </w:r>
      <w:r w:rsidR="00E92C84">
        <w:rPr>
          <w:lang w:val="en-GB"/>
        </w:rPr>
        <w:t>M</w:t>
      </w:r>
      <w:r>
        <w:rPr>
          <w:lang w:val="en-GB"/>
        </w:rPr>
        <w:t>power133</w:t>
      </w:r>
      <w:r w:rsidRPr="002A17A3">
        <w:t xml:space="preserve">, </w:t>
      </w:r>
      <w:r>
        <w:rPr>
          <w:lang w:val="en-GB"/>
        </w:rPr>
        <w:t xml:space="preserve">a </w:t>
      </w:r>
      <w:r w:rsidRPr="002A17A3">
        <w:t xml:space="preserve">randomised placebo-controlled trial. </w:t>
      </w:r>
      <w:r w:rsidR="002500C2">
        <w:rPr>
          <w:lang w:val="en-US"/>
        </w:rPr>
        <w:t>It</w:t>
      </w:r>
      <w:r w:rsidRPr="002A17A3">
        <w:t xml:space="preserve"> compare</w:t>
      </w:r>
      <w:r w:rsidR="00E764AA">
        <w:rPr>
          <w:lang w:val="en-US"/>
        </w:rPr>
        <w:t>d</w:t>
      </w:r>
      <w:r w:rsidRPr="002A17A3">
        <w:t xml:space="preserve"> </w:t>
      </w:r>
      <w:r>
        <w:rPr>
          <w:lang w:val="en-GB"/>
        </w:rPr>
        <w:t>atezolizumab</w:t>
      </w:r>
      <w:r w:rsidRPr="002A17A3">
        <w:t xml:space="preserve"> plus carboplatin and etoposide with placebo plus carboplatin and etoposide in adults with untreated</w:t>
      </w:r>
      <w:r w:rsidR="008F2091" w:rsidRPr="008F2091">
        <w:rPr>
          <w:lang w:val="en-GB"/>
        </w:rPr>
        <w:t xml:space="preserve"> </w:t>
      </w:r>
      <w:r w:rsidR="00936A38">
        <w:rPr>
          <w:lang w:val="en-GB"/>
        </w:rPr>
        <w:t>ES</w:t>
      </w:r>
      <w:r w:rsidR="00936A38">
        <w:rPr>
          <w:lang w:val="en-GB"/>
        </w:rPr>
        <w:noBreakHyphen/>
      </w:r>
      <w:r w:rsidR="002500C2">
        <w:rPr>
          <w:lang w:val="en-GB"/>
        </w:rPr>
        <w:t>SCLC</w:t>
      </w:r>
      <w:r w:rsidR="008F2091">
        <w:rPr>
          <w:lang w:val="en-GB"/>
        </w:rPr>
        <w:t xml:space="preserve"> </w:t>
      </w:r>
      <w:r w:rsidRPr="002A17A3">
        <w:t xml:space="preserve">with an Eastern Cooperative Oncology Group </w:t>
      </w:r>
      <w:r>
        <w:rPr>
          <w:lang w:val="en-GB"/>
        </w:rPr>
        <w:t xml:space="preserve">(ECOG) </w:t>
      </w:r>
      <w:r w:rsidRPr="002A17A3">
        <w:t>performance status of 0</w:t>
      </w:r>
      <w:r w:rsidR="00EE2A34">
        <w:rPr>
          <w:lang w:val="en-US"/>
        </w:rPr>
        <w:t> </w:t>
      </w:r>
      <w:r w:rsidRPr="002A17A3">
        <w:t>or</w:t>
      </w:r>
      <w:r w:rsidR="00EE2A34">
        <w:rPr>
          <w:lang w:val="en-US"/>
        </w:rPr>
        <w:t> </w:t>
      </w:r>
      <w:r w:rsidRPr="002A17A3">
        <w:t>1.</w:t>
      </w:r>
      <w:r w:rsidR="008F2091">
        <w:rPr>
          <w:lang w:val="en-GB"/>
        </w:rPr>
        <w:t xml:space="preserve"> </w:t>
      </w:r>
      <w:r w:rsidR="008F2091" w:rsidRPr="008F2091">
        <w:rPr>
          <w:lang w:val="en-GB"/>
        </w:rPr>
        <w:t>At the</w:t>
      </w:r>
      <w:r w:rsidR="00FE2592">
        <w:rPr>
          <w:lang w:val="en-GB"/>
        </w:rPr>
        <w:t xml:space="preserve"> </w:t>
      </w:r>
      <w:r w:rsidR="008F2091">
        <w:rPr>
          <w:lang w:val="en-GB"/>
        </w:rPr>
        <w:t>April 2018</w:t>
      </w:r>
      <w:r w:rsidR="008F2091" w:rsidRPr="008F2091">
        <w:rPr>
          <w:lang w:val="en-GB"/>
        </w:rPr>
        <w:t xml:space="preserve"> data-cut, median </w:t>
      </w:r>
      <w:r w:rsidR="008F2091">
        <w:rPr>
          <w:lang w:val="en-GB"/>
        </w:rPr>
        <w:t>progression</w:t>
      </w:r>
      <w:r w:rsidR="008053BA">
        <w:rPr>
          <w:lang w:val="en-GB"/>
        </w:rPr>
        <w:t>-</w:t>
      </w:r>
      <w:r w:rsidR="008F2091">
        <w:rPr>
          <w:lang w:val="en-GB"/>
        </w:rPr>
        <w:t>free</w:t>
      </w:r>
      <w:r w:rsidR="008F2091" w:rsidRPr="008F2091">
        <w:rPr>
          <w:lang w:val="en-GB"/>
        </w:rPr>
        <w:t xml:space="preserve"> survival was </w:t>
      </w:r>
      <w:r w:rsidR="008F2091">
        <w:rPr>
          <w:lang w:val="en-GB"/>
        </w:rPr>
        <w:t>5.</w:t>
      </w:r>
      <w:r w:rsidR="00F30FB4">
        <w:rPr>
          <w:lang w:val="en-GB"/>
        </w:rPr>
        <w:t>2</w:t>
      </w:r>
      <w:r w:rsidR="00AB68BF">
        <w:rPr>
          <w:lang w:val="en-GB"/>
        </w:rPr>
        <w:t> </w:t>
      </w:r>
      <w:r w:rsidR="008F2091" w:rsidRPr="008F2091">
        <w:rPr>
          <w:lang w:val="en-GB"/>
        </w:rPr>
        <w:t xml:space="preserve">months for </w:t>
      </w:r>
      <w:r w:rsidR="008F2091">
        <w:rPr>
          <w:lang w:val="en-GB"/>
        </w:rPr>
        <w:t>atezolizumab</w:t>
      </w:r>
      <w:r w:rsidR="008F2091" w:rsidRPr="008F2091">
        <w:rPr>
          <w:lang w:val="en-GB"/>
        </w:rPr>
        <w:t xml:space="preserve"> combination therapy and </w:t>
      </w:r>
      <w:r w:rsidR="008F2091">
        <w:rPr>
          <w:lang w:val="en-GB"/>
        </w:rPr>
        <w:t>4.3</w:t>
      </w:r>
      <w:r w:rsidR="00FA0FF4">
        <w:rPr>
          <w:lang w:val="en-GB"/>
        </w:rPr>
        <w:t> </w:t>
      </w:r>
      <w:r w:rsidR="008F2091" w:rsidRPr="008F2091">
        <w:rPr>
          <w:lang w:val="en-GB"/>
        </w:rPr>
        <w:t>months for standard chemotherapy (hazard ratio [HR] 0.</w:t>
      </w:r>
      <w:r w:rsidR="008F2091">
        <w:rPr>
          <w:lang w:val="en-GB"/>
        </w:rPr>
        <w:t>77</w:t>
      </w:r>
      <w:r w:rsidR="008F2091" w:rsidRPr="008F2091">
        <w:rPr>
          <w:lang w:val="en-GB"/>
        </w:rPr>
        <w:t>, 95% confidence interval [CI] 0.</w:t>
      </w:r>
      <w:r w:rsidR="008F2091">
        <w:rPr>
          <w:lang w:val="en-GB"/>
        </w:rPr>
        <w:t>62</w:t>
      </w:r>
      <w:r w:rsidR="008F2091" w:rsidRPr="008F2091">
        <w:rPr>
          <w:lang w:val="en-GB"/>
        </w:rPr>
        <w:t xml:space="preserve"> to 0.</w:t>
      </w:r>
      <w:r w:rsidR="008F2091">
        <w:rPr>
          <w:lang w:val="en-GB"/>
        </w:rPr>
        <w:t>96</w:t>
      </w:r>
      <w:r w:rsidR="008F2091" w:rsidRPr="008F2091">
        <w:rPr>
          <w:lang w:val="en-GB"/>
        </w:rPr>
        <w:t>).</w:t>
      </w:r>
      <w:r w:rsidR="008F2091">
        <w:rPr>
          <w:lang w:val="en-GB"/>
        </w:rPr>
        <w:t xml:space="preserve"> Overall survival data were provided from a later data-cut (January 2019). M</w:t>
      </w:r>
      <w:r w:rsidR="008F2091" w:rsidRPr="008F2091">
        <w:rPr>
          <w:lang w:val="en-GB"/>
        </w:rPr>
        <w:t xml:space="preserve">edian </w:t>
      </w:r>
      <w:r w:rsidR="008F2091">
        <w:rPr>
          <w:lang w:val="en-GB"/>
        </w:rPr>
        <w:t xml:space="preserve">overall </w:t>
      </w:r>
      <w:r w:rsidR="008F2091" w:rsidRPr="008F2091">
        <w:rPr>
          <w:lang w:val="en-GB"/>
        </w:rPr>
        <w:t xml:space="preserve">survival was </w:t>
      </w:r>
      <w:r w:rsidR="008F2091">
        <w:rPr>
          <w:lang w:val="en-GB"/>
        </w:rPr>
        <w:t>12.3</w:t>
      </w:r>
      <w:r w:rsidR="00FA0FF4">
        <w:rPr>
          <w:lang w:val="en-GB"/>
        </w:rPr>
        <w:t> </w:t>
      </w:r>
      <w:r w:rsidR="008F2091" w:rsidRPr="008F2091">
        <w:rPr>
          <w:lang w:val="en-GB"/>
        </w:rPr>
        <w:t xml:space="preserve">months for </w:t>
      </w:r>
      <w:r w:rsidR="008F2091">
        <w:rPr>
          <w:lang w:val="en-GB"/>
        </w:rPr>
        <w:t>atezolizumab</w:t>
      </w:r>
      <w:r w:rsidR="008F2091" w:rsidRPr="008F2091">
        <w:rPr>
          <w:lang w:val="en-GB"/>
        </w:rPr>
        <w:t xml:space="preserve"> combination therapy and </w:t>
      </w:r>
      <w:r w:rsidR="008F2091">
        <w:rPr>
          <w:lang w:val="en-GB"/>
        </w:rPr>
        <w:t>10.3</w:t>
      </w:r>
      <w:r w:rsidR="00837A1F">
        <w:rPr>
          <w:lang w:val="en-GB"/>
        </w:rPr>
        <w:t> </w:t>
      </w:r>
      <w:r w:rsidR="008F2091" w:rsidRPr="008F2091">
        <w:rPr>
          <w:lang w:val="en-GB"/>
        </w:rPr>
        <w:t>months for standard chemotherapy (HR 0.</w:t>
      </w:r>
      <w:r w:rsidR="008F2091">
        <w:rPr>
          <w:lang w:val="en-GB"/>
        </w:rPr>
        <w:t>76</w:t>
      </w:r>
      <w:r w:rsidR="008F2091" w:rsidRPr="008F2091">
        <w:rPr>
          <w:lang w:val="en-GB"/>
        </w:rPr>
        <w:t>, 95% CI 0.</w:t>
      </w:r>
      <w:r w:rsidR="008F2091">
        <w:rPr>
          <w:lang w:val="en-GB"/>
        </w:rPr>
        <w:t>60</w:t>
      </w:r>
      <w:r w:rsidR="008F2091" w:rsidRPr="008F2091">
        <w:rPr>
          <w:lang w:val="en-GB"/>
        </w:rPr>
        <w:t xml:space="preserve"> to 0.</w:t>
      </w:r>
      <w:r w:rsidR="008F2091">
        <w:rPr>
          <w:lang w:val="en-GB"/>
        </w:rPr>
        <w:t>95</w:t>
      </w:r>
      <w:r w:rsidR="008F2091" w:rsidRPr="008F2091">
        <w:rPr>
          <w:lang w:val="en-GB"/>
        </w:rPr>
        <w:t>)</w:t>
      </w:r>
      <w:r w:rsidR="008F2091">
        <w:rPr>
          <w:lang w:val="en-GB"/>
        </w:rPr>
        <w:t>.</w:t>
      </w:r>
      <w:r w:rsidR="00E745A8">
        <w:rPr>
          <w:lang w:val="en-GB"/>
        </w:rPr>
        <w:t xml:space="preserve"> </w:t>
      </w:r>
      <w:r w:rsidR="005A79D8">
        <w:rPr>
          <w:lang w:val="en-GB"/>
        </w:rPr>
        <w:t xml:space="preserve">The committee considered a Kaplan-Meier plot of overall survival from </w:t>
      </w:r>
      <w:r w:rsidR="00E745A8">
        <w:rPr>
          <w:lang w:val="en-GB"/>
        </w:rPr>
        <w:t>the</w:t>
      </w:r>
      <w:r w:rsidR="005A79D8">
        <w:rPr>
          <w:lang w:val="en-GB"/>
        </w:rPr>
        <w:t xml:space="preserve"> January 2019 data-cut. It noted that the atezolizumab and placebo arms </w:t>
      </w:r>
      <w:r w:rsidR="00E745A8">
        <w:rPr>
          <w:lang w:val="en-GB"/>
        </w:rPr>
        <w:t>had almost come together by about 30</w:t>
      </w:r>
      <w:r w:rsidR="0098178C">
        <w:rPr>
          <w:lang w:val="en-GB"/>
        </w:rPr>
        <w:t> </w:t>
      </w:r>
      <w:r w:rsidR="00E745A8">
        <w:rPr>
          <w:lang w:val="en-GB"/>
        </w:rPr>
        <w:t>months</w:t>
      </w:r>
      <w:r w:rsidR="00E67135">
        <w:rPr>
          <w:lang w:val="en-GB"/>
        </w:rPr>
        <w:t xml:space="preserve">, which could </w:t>
      </w:r>
      <w:r w:rsidR="0098178C">
        <w:rPr>
          <w:lang w:val="en-GB"/>
        </w:rPr>
        <w:t xml:space="preserve">show </w:t>
      </w:r>
      <w:r w:rsidR="00E67135">
        <w:rPr>
          <w:lang w:val="en-GB"/>
        </w:rPr>
        <w:t>that there is</w:t>
      </w:r>
      <w:r w:rsidR="003B59BC">
        <w:rPr>
          <w:lang w:val="en-GB"/>
        </w:rPr>
        <w:t xml:space="preserve"> little</w:t>
      </w:r>
      <w:r w:rsidR="00E67135">
        <w:rPr>
          <w:lang w:val="en-GB"/>
        </w:rPr>
        <w:t xml:space="preserve"> overall survival benefit for the atezolizumab arm </w:t>
      </w:r>
      <w:r w:rsidR="00BE73B1">
        <w:rPr>
          <w:lang w:val="en-GB"/>
        </w:rPr>
        <w:t>after</w:t>
      </w:r>
      <w:r w:rsidR="00E67135">
        <w:rPr>
          <w:lang w:val="en-GB"/>
        </w:rPr>
        <w:t xml:space="preserve"> this</w:t>
      </w:r>
      <w:r w:rsidR="00E745A8">
        <w:rPr>
          <w:lang w:val="en-GB"/>
        </w:rPr>
        <w:t xml:space="preserve">. </w:t>
      </w:r>
      <w:r w:rsidR="005A79D8">
        <w:rPr>
          <w:lang w:val="en-GB"/>
        </w:rPr>
        <w:t>The committee concluded that</w:t>
      </w:r>
      <w:r w:rsidR="00E745A8">
        <w:rPr>
          <w:lang w:val="en-GB"/>
        </w:rPr>
        <w:t xml:space="preserve"> the trial data showed that atezolizumab </w:t>
      </w:r>
      <w:r w:rsidR="00E675B0">
        <w:t>with carboplatin and etoposide</w:t>
      </w:r>
      <w:r w:rsidR="00E675B0" w:rsidRPr="002A17A3">
        <w:t xml:space="preserve"> </w:t>
      </w:r>
      <w:r w:rsidR="00E745A8">
        <w:rPr>
          <w:lang w:val="en-GB"/>
        </w:rPr>
        <w:lastRenderedPageBreak/>
        <w:t xml:space="preserve">improves </w:t>
      </w:r>
      <w:r w:rsidR="00E745A8" w:rsidRPr="00E745A8">
        <w:rPr>
          <w:lang w:val="en-GB"/>
        </w:rPr>
        <w:t>overall and progression-free survival compared with standard chemotherapy, but the long-term benefit on overall survival is uncertain</w:t>
      </w:r>
      <w:r w:rsidR="00E745A8">
        <w:rPr>
          <w:lang w:val="en-GB"/>
        </w:rPr>
        <w:t>.</w:t>
      </w:r>
      <w:bookmarkEnd w:id="14"/>
    </w:p>
    <w:p w14:paraId="08946710" w14:textId="23BD19A3" w:rsidR="002A17A3" w:rsidRDefault="00E92C84" w:rsidP="00E92C84">
      <w:pPr>
        <w:pStyle w:val="Heading3"/>
      </w:pPr>
      <w:r>
        <w:t>Data from I</w:t>
      </w:r>
      <w:r w:rsidR="00A02EC8">
        <w:t>M</w:t>
      </w:r>
      <w:r>
        <w:t>power</w:t>
      </w:r>
      <w:r w:rsidR="003C0B9D">
        <w:t>133</w:t>
      </w:r>
      <w:r>
        <w:t xml:space="preserve"> </w:t>
      </w:r>
      <w:r w:rsidR="002239A6">
        <w:t>are</w:t>
      </w:r>
      <w:r>
        <w:t xml:space="preserve"> not generalisable </w:t>
      </w:r>
      <w:r w:rsidR="00936E16">
        <w:t>to</w:t>
      </w:r>
      <w:r>
        <w:t xml:space="preserve"> people with </w:t>
      </w:r>
      <w:r w:rsidR="003C0B9D">
        <w:t xml:space="preserve">an </w:t>
      </w:r>
      <w:r>
        <w:t>ECO</w:t>
      </w:r>
      <w:r w:rsidR="00936E16">
        <w:t>G</w:t>
      </w:r>
      <w:r>
        <w:t xml:space="preserve"> </w:t>
      </w:r>
      <w:r w:rsidR="004A3C9F">
        <w:t xml:space="preserve">performance status </w:t>
      </w:r>
      <w:r>
        <w:t>scor</w:t>
      </w:r>
      <w:r w:rsidR="003C0B9D">
        <w:t>e of 2 or higher</w:t>
      </w:r>
      <w:r w:rsidR="006B25CC">
        <w:t xml:space="preserve"> which is</w:t>
      </w:r>
      <w:r w:rsidR="004A3C9F">
        <w:t xml:space="preserve"> </w:t>
      </w:r>
      <w:r w:rsidR="00F00D7C">
        <w:t>likely in clinical practice in England</w:t>
      </w:r>
    </w:p>
    <w:p w14:paraId="5CAB72E9" w14:textId="6DA49BD2" w:rsidR="00955A37" w:rsidRDefault="00E92C84" w:rsidP="00233D72">
      <w:pPr>
        <w:pStyle w:val="Numberedlevel2text"/>
        <w:numPr>
          <w:ilvl w:val="1"/>
          <w:numId w:val="1"/>
        </w:numPr>
      </w:pPr>
      <w:r>
        <w:rPr>
          <w:lang w:val="en-GB"/>
        </w:rPr>
        <w:t>I</w:t>
      </w:r>
      <w:r w:rsidR="003E70B2">
        <w:rPr>
          <w:lang w:val="en-GB"/>
        </w:rPr>
        <w:t>M</w:t>
      </w:r>
      <w:r>
        <w:rPr>
          <w:lang w:val="en-GB"/>
        </w:rPr>
        <w:t>power133</w:t>
      </w:r>
      <w:r w:rsidR="001B1DB6">
        <w:rPr>
          <w:lang w:val="en-GB"/>
        </w:rPr>
        <w:t xml:space="preserve"> only</w:t>
      </w:r>
      <w:r w:rsidR="003E70B2">
        <w:rPr>
          <w:lang w:val="en-GB"/>
        </w:rPr>
        <w:t xml:space="preserve"> </w:t>
      </w:r>
      <w:r>
        <w:rPr>
          <w:lang w:val="en-GB"/>
        </w:rPr>
        <w:t>included people with a</w:t>
      </w:r>
      <w:r w:rsidR="00C80789">
        <w:rPr>
          <w:lang w:val="en-GB"/>
        </w:rPr>
        <w:t xml:space="preserve"> good</w:t>
      </w:r>
      <w:r>
        <w:rPr>
          <w:lang w:val="en-GB"/>
        </w:rPr>
        <w:t xml:space="preserve"> ECOG performance status of 0 or 1.</w:t>
      </w:r>
      <w:r w:rsidR="00936E16">
        <w:rPr>
          <w:lang w:val="en-GB"/>
        </w:rPr>
        <w:t xml:space="preserve"> Clinical experts commented that many people with </w:t>
      </w:r>
      <w:r w:rsidR="00206491">
        <w:rPr>
          <w:lang w:val="en-GB"/>
        </w:rPr>
        <w:t xml:space="preserve">untreated </w:t>
      </w:r>
      <w:r w:rsidR="008370DD">
        <w:rPr>
          <w:lang w:val="en-GB"/>
        </w:rPr>
        <w:t>ES</w:t>
      </w:r>
      <w:r w:rsidR="008370DD">
        <w:rPr>
          <w:lang w:val="en-GB"/>
        </w:rPr>
        <w:noBreakHyphen/>
      </w:r>
      <w:r w:rsidR="006B1086">
        <w:rPr>
          <w:lang w:val="en-GB"/>
        </w:rPr>
        <w:t>SCLC</w:t>
      </w:r>
      <w:r w:rsidR="00936E16">
        <w:rPr>
          <w:lang w:val="en-GB"/>
        </w:rPr>
        <w:t xml:space="preserve"> </w:t>
      </w:r>
      <w:r w:rsidR="003C0B9D">
        <w:rPr>
          <w:lang w:val="en-GB"/>
        </w:rPr>
        <w:t xml:space="preserve">in the NHS </w:t>
      </w:r>
      <w:r w:rsidR="001B1DB6">
        <w:rPr>
          <w:lang w:val="en-GB"/>
        </w:rPr>
        <w:t xml:space="preserve">in England </w:t>
      </w:r>
      <w:r w:rsidR="00936E16">
        <w:rPr>
          <w:lang w:val="en-GB"/>
        </w:rPr>
        <w:t xml:space="preserve">are likely to have </w:t>
      </w:r>
      <w:r w:rsidR="003C0B9D">
        <w:rPr>
          <w:lang w:val="en-GB"/>
        </w:rPr>
        <w:t>an ECOG performance status of 2 or higher</w:t>
      </w:r>
      <w:r w:rsidR="00C80789">
        <w:rPr>
          <w:lang w:val="en-GB"/>
        </w:rPr>
        <w:t>, that is</w:t>
      </w:r>
      <w:r w:rsidR="00501104">
        <w:rPr>
          <w:lang w:val="en-GB"/>
        </w:rPr>
        <w:t>,</w:t>
      </w:r>
      <w:r w:rsidR="00C80789">
        <w:rPr>
          <w:lang w:val="en-GB"/>
        </w:rPr>
        <w:t xml:space="preserve"> a worse performance status</w:t>
      </w:r>
      <w:r w:rsidR="003C0B9D">
        <w:rPr>
          <w:lang w:val="en-GB"/>
        </w:rPr>
        <w:t>. They stated that IMpower133 data should not be extrapolated to people with worse performance status because</w:t>
      </w:r>
      <w:r w:rsidR="00EB015D">
        <w:rPr>
          <w:lang w:val="en-GB"/>
        </w:rPr>
        <w:t xml:space="preserve"> </w:t>
      </w:r>
      <w:r w:rsidR="00C80789">
        <w:rPr>
          <w:lang w:val="en-GB"/>
        </w:rPr>
        <w:t xml:space="preserve">treatment effects </w:t>
      </w:r>
      <w:r w:rsidR="003C0B9D">
        <w:rPr>
          <w:lang w:val="en-GB"/>
        </w:rPr>
        <w:t>can be very different for people with a larger disease burden</w:t>
      </w:r>
      <w:r w:rsidR="00D83E60">
        <w:rPr>
          <w:lang w:val="en-GB"/>
        </w:rPr>
        <w:t>.</w:t>
      </w:r>
      <w:r w:rsidR="003C0B9D">
        <w:rPr>
          <w:lang w:val="en-GB"/>
        </w:rPr>
        <w:t xml:space="preserve"> </w:t>
      </w:r>
      <w:r w:rsidR="00D83E60">
        <w:rPr>
          <w:lang w:val="en-GB"/>
        </w:rPr>
        <w:t>L</w:t>
      </w:r>
      <w:r w:rsidR="00FA1290">
        <w:rPr>
          <w:lang w:val="en-GB"/>
        </w:rPr>
        <w:t>ower effectiveness of immunotherap</w:t>
      </w:r>
      <w:r w:rsidR="00C80789">
        <w:rPr>
          <w:lang w:val="en-GB"/>
        </w:rPr>
        <w:t>ies in general</w:t>
      </w:r>
      <w:r w:rsidR="00FA1290">
        <w:rPr>
          <w:lang w:val="en-GB"/>
        </w:rPr>
        <w:t xml:space="preserve"> ha</w:t>
      </w:r>
      <w:r w:rsidR="00C80789">
        <w:rPr>
          <w:lang w:val="en-GB"/>
        </w:rPr>
        <w:t>ve</w:t>
      </w:r>
      <w:r w:rsidR="00FA1290">
        <w:rPr>
          <w:lang w:val="en-GB"/>
        </w:rPr>
        <w:t xml:space="preserve"> been seen in </w:t>
      </w:r>
      <w:r w:rsidR="003C0B9D" w:rsidRPr="00FA1290">
        <w:rPr>
          <w:lang w:val="en-GB"/>
        </w:rPr>
        <w:t xml:space="preserve">people with </w:t>
      </w:r>
      <w:r w:rsidR="00C80789">
        <w:rPr>
          <w:lang w:val="en-GB"/>
        </w:rPr>
        <w:t>a different disease (</w:t>
      </w:r>
      <w:r w:rsidR="0037248F">
        <w:rPr>
          <w:lang w:val="en-GB"/>
        </w:rPr>
        <w:t>NSCLC</w:t>
      </w:r>
      <w:r w:rsidR="00C80789">
        <w:rPr>
          <w:lang w:val="en-GB"/>
        </w:rPr>
        <w:t xml:space="preserve">) </w:t>
      </w:r>
      <w:r w:rsidR="003C0B9D" w:rsidRPr="00FA1290">
        <w:rPr>
          <w:lang w:val="en-GB"/>
        </w:rPr>
        <w:t xml:space="preserve">and an ECOG performance status of 2 or higher. The committee agreed that the treatment effect of atezolizumab </w:t>
      </w:r>
      <w:r w:rsidR="00E675B0">
        <w:t>with carboplatin and etoposide</w:t>
      </w:r>
      <w:r w:rsidR="00E675B0" w:rsidRPr="002A17A3">
        <w:t xml:space="preserve"> </w:t>
      </w:r>
      <w:r w:rsidR="003C0B9D" w:rsidRPr="00FA1290">
        <w:rPr>
          <w:lang w:val="en-GB"/>
        </w:rPr>
        <w:t>s</w:t>
      </w:r>
      <w:r w:rsidR="00807C09">
        <w:rPr>
          <w:lang w:val="en-GB"/>
        </w:rPr>
        <w:t>een</w:t>
      </w:r>
      <w:r w:rsidR="003C0B9D" w:rsidRPr="00FA1290">
        <w:rPr>
          <w:lang w:val="en-GB"/>
        </w:rPr>
        <w:t xml:space="preserve"> in IMpower133 should n</w:t>
      </w:r>
      <w:r w:rsidR="003E70B2" w:rsidRPr="00FA1290">
        <w:rPr>
          <w:lang w:val="en-GB"/>
        </w:rPr>
        <w:t>ot be used to estimate the effectiveness of the treatment for people with worse performance status</w:t>
      </w:r>
      <w:r w:rsidR="006F10D1">
        <w:rPr>
          <w:lang w:val="en-GB"/>
        </w:rPr>
        <w:t xml:space="preserve"> and are not </w:t>
      </w:r>
      <w:r w:rsidR="00860062">
        <w:rPr>
          <w:lang w:val="en-GB"/>
        </w:rPr>
        <w:t>generalisable</w:t>
      </w:r>
      <w:r w:rsidR="006F10D1">
        <w:rPr>
          <w:lang w:val="en-GB"/>
        </w:rPr>
        <w:t xml:space="preserve"> to people in clinical practice in England</w:t>
      </w:r>
      <w:r w:rsidR="001121E4">
        <w:rPr>
          <w:lang w:val="en-GB"/>
        </w:rPr>
        <w:t>.</w:t>
      </w:r>
    </w:p>
    <w:p w14:paraId="662554D0" w14:textId="3117010F" w:rsidR="009513A6" w:rsidRDefault="009513A6" w:rsidP="00DD271F">
      <w:pPr>
        <w:pStyle w:val="Heading2"/>
      </w:pPr>
      <w:r>
        <w:t>Economic model</w:t>
      </w:r>
    </w:p>
    <w:p w14:paraId="4E8E552B" w14:textId="5E42C186" w:rsidR="00DD271F" w:rsidRDefault="00DD271F" w:rsidP="00DD271F">
      <w:pPr>
        <w:pStyle w:val="Heading3"/>
      </w:pPr>
      <w:r>
        <w:t>T</w:t>
      </w:r>
      <w:r w:rsidRPr="00AD1A1F">
        <w:t xml:space="preserve">he company’s time-to-death approach </w:t>
      </w:r>
      <w:r>
        <w:t>f</w:t>
      </w:r>
      <w:r w:rsidRPr="00AD1A1F">
        <w:t>o</w:t>
      </w:r>
      <w:r>
        <w:t>r</w:t>
      </w:r>
      <w:r w:rsidRPr="00AD1A1F">
        <w:t xml:space="preserve"> estimat</w:t>
      </w:r>
      <w:r>
        <w:t>ing</w:t>
      </w:r>
      <w:r w:rsidRPr="00AD1A1F">
        <w:t xml:space="preserve"> util</w:t>
      </w:r>
      <w:r w:rsidR="009513A6">
        <w:t>ity values in the model</w:t>
      </w:r>
      <w:r w:rsidRPr="00AD1A1F">
        <w:t xml:space="preserve"> </w:t>
      </w:r>
      <w:r>
        <w:t>i</w:t>
      </w:r>
      <w:r w:rsidRPr="00AD1A1F">
        <w:t xml:space="preserve">s </w:t>
      </w:r>
      <w:r>
        <w:t xml:space="preserve">accepted </w:t>
      </w:r>
      <w:r w:rsidRPr="00AD1A1F">
        <w:t>for this appraisal</w:t>
      </w:r>
    </w:p>
    <w:p w14:paraId="10D308E0" w14:textId="7BF5D986" w:rsidR="00233D72" w:rsidRDefault="00DD271F" w:rsidP="009C271B">
      <w:pPr>
        <w:pStyle w:val="Numberedlevel2text"/>
      </w:pPr>
      <w:bookmarkStart w:id="15" w:name="_Ref27579550"/>
      <w:r w:rsidRPr="00233D72">
        <w:t xml:space="preserve">The company used a time-to-death approach to get utility values for their base-case economic model. The committee had concerns about this approach. After new analysis was provided at technical engagement, the </w:t>
      </w:r>
      <w:r w:rsidR="00DF61BF">
        <w:rPr>
          <w:lang w:val="en-GB"/>
        </w:rPr>
        <w:t xml:space="preserve">technical team </w:t>
      </w:r>
      <w:r w:rsidR="00DF61BF" w:rsidRPr="00DF61BF">
        <w:t>prefer</w:t>
      </w:r>
      <w:r w:rsidR="00DF61BF">
        <w:rPr>
          <w:lang w:val="en-GB"/>
        </w:rPr>
        <w:t>red</w:t>
      </w:r>
      <w:r w:rsidR="00DF61BF" w:rsidRPr="00DF61BF">
        <w:t xml:space="preserve"> the ERG’s preferred approach of using the ERG</w:t>
      </w:r>
      <w:r w:rsidR="00B63E2A">
        <w:rPr>
          <w:lang w:val="en-US"/>
        </w:rPr>
        <w:t>-</w:t>
      </w:r>
      <w:r w:rsidR="00DF61BF" w:rsidRPr="00DF61BF">
        <w:t xml:space="preserve">requested utility model with </w:t>
      </w:r>
      <w:r w:rsidR="00DF61BF">
        <w:rPr>
          <w:lang w:val="en-GB"/>
        </w:rPr>
        <w:t>‘time-to-death</w:t>
      </w:r>
      <w:r w:rsidR="00DF61BF" w:rsidRPr="00DF61BF">
        <w:t xml:space="preserve"> categories </w:t>
      </w:r>
      <w:r w:rsidR="00DF61BF">
        <w:rPr>
          <w:lang w:val="en-GB"/>
        </w:rPr>
        <w:t>1</w:t>
      </w:r>
      <w:r w:rsidR="00B63E2A">
        <w:rPr>
          <w:lang w:val="en-US"/>
        </w:rPr>
        <w:t> </w:t>
      </w:r>
      <w:r w:rsidR="00DF61BF" w:rsidRPr="00DF61BF">
        <w:t>week earlier</w:t>
      </w:r>
      <w:r w:rsidR="00DF61BF">
        <w:rPr>
          <w:lang w:val="en-GB"/>
        </w:rPr>
        <w:t>’</w:t>
      </w:r>
      <w:r w:rsidR="00DF61BF" w:rsidRPr="00DF61BF">
        <w:t xml:space="preserve"> to estimate utility values.</w:t>
      </w:r>
      <w:r w:rsidR="002C7723">
        <w:rPr>
          <w:lang w:val="en-GB"/>
        </w:rPr>
        <w:t xml:space="preserve"> </w:t>
      </w:r>
      <w:r w:rsidRPr="00233D72">
        <w:t xml:space="preserve">The company stated that disease progression had little effect on quality-of-life data from IMpower133. However, clinical experts commented that they would expect a patient’s quality of life to </w:t>
      </w:r>
      <w:r w:rsidRPr="00233D72">
        <w:lastRenderedPageBreak/>
        <w:t>decrease after disease progression. The committee were concerned that EQ-5D data for patients whose disease had progressed could be biased because of informative censoring (that is, when quality of life after progression is measured before there is any decrease in quality of life caused by progression, or if people whose disease has progressed are less likely to complete quality-of-life questionnaires). Also, during the trial, quality-of-life data might no longer have been reliably collected once a patient’s disease had progressed or they had stopped having treatment. The company commented that their updated time-to-death statistical model for estimating utility based on trial EQ-5D data d</w:t>
      </w:r>
      <w:r w:rsidR="0013195C">
        <w:rPr>
          <w:lang w:val="en-US"/>
        </w:rPr>
        <w:t>id</w:t>
      </w:r>
      <w:r w:rsidRPr="00233D72">
        <w:t xml:space="preserve"> include progression status. However, the committee considered that the problems around informative censoring remain. The company also highlighted that previous appraisals used this approach to estimate utility. However, the committee was aware that recent </w:t>
      </w:r>
      <w:hyperlink r:id="rId11" w:history="1">
        <w:r w:rsidRPr="002472B5">
          <w:rPr>
            <w:rStyle w:val="Hyperlink"/>
          </w:rPr>
          <w:t>NICE technology appraisal guidance on pembrolizumab with carboplatin and paclitaxel for untreated metastatic squamous non-small-cell lung cancer</w:t>
        </w:r>
      </w:hyperlink>
      <w:r w:rsidRPr="00233D72">
        <w:t xml:space="preserve"> preferred using progression-based utility values instead of a time-to-death based approach. The committee concluded that the company’s time-to-death approach to estimate utilities was acceptable for this appraisal, given the specific circumstances but this should not be considered the usual methodology for this disease.</w:t>
      </w:r>
      <w:bookmarkEnd w:id="15"/>
    </w:p>
    <w:p w14:paraId="410D70BC" w14:textId="21A6F0B4" w:rsidR="00C9213C" w:rsidRDefault="00747E3A" w:rsidP="00233D72">
      <w:pPr>
        <w:pStyle w:val="Heading3"/>
      </w:pPr>
      <w:r>
        <w:t>The duration of treatment benefit from the start of treatment is uncertain, but varying th</w:t>
      </w:r>
      <w:r w:rsidR="00FF0DE0">
        <w:t>is</w:t>
      </w:r>
      <w:r>
        <w:t xml:space="preserve"> duration has a small effect on </w:t>
      </w:r>
      <w:r w:rsidR="00955A37">
        <w:t xml:space="preserve">the </w:t>
      </w:r>
      <w:r>
        <w:t>cost</w:t>
      </w:r>
      <w:r w:rsidR="00E2281A">
        <w:t>-</w:t>
      </w:r>
      <w:r>
        <w:t>effectiveness</w:t>
      </w:r>
      <w:r w:rsidR="00955A37">
        <w:t xml:space="preserve"> results</w:t>
      </w:r>
    </w:p>
    <w:p w14:paraId="4AA2087F" w14:textId="5B52575E" w:rsidR="00C9213C" w:rsidRPr="00C9213C" w:rsidRDefault="00C9213C" w:rsidP="00BC47DC">
      <w:pPr>
        <w:pStyle w:val="Numberedlevel2text"/>
      </w:pPr>
      <w:bookmarkStart w:id="16" w:name="_Ref27577450"/>
      <w:r>
        <w:t xml:space="preserve">The committee requested </w:t>
      </w:r>
      <w:r w:rsidR="00370B88">
        <w:rPr>
          <w:lang w:val="en-US"/>
        </w:rPr>
        <w:t>investigation</w:t>
      </w:r>
      <w:r>
        <w:t xml:space="preserve"> of the effect </w:t>
      </w:r>
      <w:r w:rsidR="00370B88">
        <w:rPr>
          <w:lang w:val="en-US"/>
        </w:rPr>
        <w:t xml:space="preserve">of reducing the duration of treatment benefit </w:t>
      </w:r>
      <w:r>
        <w:t>on model results.</w:t>
      </w:r>
      <w:r>
        <w:rPr>
          <w:lang w:val="en-GB"/>
        </w:rPr>
        <w:t xml:space="preserve"> This is because</w:t>
      </w:r>
      <w:r>
        <w:t xml:space="preserve">, based on a Kaplan-Meier data plot of overall survival from IMpower133, there may be no treatment benefit from </w:t>
      </w:r>
      <w:r w:rsidR="006C3FDA">
        <w:rPr>
          <w:lang w:val="en-GB"/>
        </w:rPr>
        <w:t>approximately</w:t>
      </w:r>
      <w:r>
        <w:t xml:space="preserve"> 30</w:t>
      </w:r>
      <w:r w:rsidR="00370B88">
        <w:rPr>
          <w:lang w:val="en-US"/>
        </w:rPr>
        <w:t> </w:t>
      </w:r>
      <w:r>
        <w:t>months</w:t>
      </w:r>
      <w:r>
        <w:rPr>
          <w:lang w:val="en-GB"/>
        </w:rPr>
        <w:t xml:space="preserve"> (see section</w:t>
      </w:r>
      <w:r w:rsidR="00556948">
        <w:rPr>
          <w:lang w:val="en-GB"/>
        </w:rPr>
        <w:t> </w:t>
      </w:r>
      <w:r>
        <w:rPr>
          <w:lang w:val="en-GB"/>
        </w:rPr>
        <w:fldChar w:fldCharType="begin"/>
      </w:r>
      <w:r>
        <w:rPr>
          <w:lang w:val="en-GB"/>
        </w:rPr>
        <w:instrText xml:space="preserve"> REF _Ref26191487 \r \h </w:instrText>
      </w:r>
      <w:r>
        <w:rPr>
          <w:lang w:val="en-GB"/>
        </w:rPr>
      </w:r>
      <w:r>
        <w:rPr>
          <w:lang w:val="en-GB"/>
        </w:rPr>
        <w:fldChar w:fldCharType="separate"/>
      </w:r>
      <w:r w:rsidR="00FF44E2">
        <w:rPr>
          <w:lang w:val="en-GB"/>
        </w:rPr>
        <w:t>3.3</w:t>
      </w:r>
      <w:r>
        <w:rPr>
          <w:lang w:val="en-GB"/>
        </w:rPr>
        <w:fldChar w:fldCharType="end"/>
      </w:r>
      <w:r>
        <w:rPr>
          <w:lang w:val="en-GB"/>
        </w:rPr>
        <w:t>)</w:t>
      </w:r>
      <w:r>
        <w:t>.</w:t>
      </w:r>
      <w:r w:rsidR="004D5702">
        <w:rPr>
          <w:lang w:val="en-GB"/>
        </w:rPr>
        <w:t xml:space="preserve"> The company presented scenario analyses for no </w:t>
      </w:r>
      <w:r w:rsidR="004D5702" w:rsidRPr="00BC47DC">
        <w:t>treatment</w:t>
      </w:r>
      <w:r w:rsidR="004D5702">
        <w:rPr>
          <w:lang w:val="en-GB"/>
        </w:rPr>
        <w:t xml:space="preserve"> effect cut-off, as well as 36, 48 and 60</w:t>
      </w:r>
      <w:r w:rsidR="00EA2B4D">
        <w:rPr>
          <w:lang w:val="en-GB"/>
        </w:rPr>
        <w:t> </w:t>
      </w:r>
      <w:r w:rsidR="004D5702">
        <w:rPr>
          <w:lang w:val="en-GB"/>
        </w:rPr>
        <w:t xml:space="preserve">months from the start of treatment, choosing to </w:t>
      </w:r>
      <w:r w:rsidR="006C3FDA">
        <w:rPr>
          <w:lang w:val="en-GB"/>
        </w:rPr>
        <w:t>use</w:t>
      </w:r>
      <w:r w:rsidR="004D5702">
        <w:rPr>
          <w:lang w:val="en-GB"/>
        </w:rPr>
        <w:t xml:space="preserve"> a 60</w:t>
      </w:r>
      <w:r w:rsidR="00551BC7">
        <w:rPr>
          <w:lang w:val="en-GB"/>
        </w:rPr>
        <w:t>-</w:t>
      </w:r>
      <w:r w:rsidR="004D5702">
        <w:rPr>
          <w:lang w:val="en-GB"/>
        </w:rPr>
        <w:t xml:space="preserve">month effect cut-off in their base case. </w:t>
      </w:r>
      <w:r w:rsidR="004D744E">
        <w:rPr>
          <w:lang w:val="en-GB"/>
        </w:rPr>
        <w:t>The ERG</w:t>
      </w:r>
      <w:r w:rsidR="004D744E" w:rsidRPr="004D744E">
        <w:t xml:space="preserve"> </w:t>
      </w:r>
      <w:r w:rsidR="006B37D7">
        <w:rPr>
          <w:lang w:val="en-US"/>
        </w:rPr>
        <w:t>did</w:t>
      </w:r>
      <w:r w:rsidR="006B37D7" w:rsidRPr="004D744E">
        <w:t xml:space="preserve"> </w:t>
      </w:r>
      <w:r w:rsidR="004D744E" w:rsidRPr="004D744E">
        <w:t xml:space="preserve">a further analysis that showed the </w:t>
      </w:r>
      <w:r w:rsidR="00B56469" w:rsidRPr="002C3FF5">
        <w:t>incremental cost-effectiveness ratio</w:t>
      </w:r>
      <w:r w:rsidR="00B56469">
        <w:rPr>
          <w:lang w:val="en-GB"/>
        </w:rPr>
        <w:t xml:space="preserve"> (</w:t>
      </w:r>
      <w:r w:rsidR="004D744E" w:rsidRPr="004D744E">
        <w:t>ICER</w:t>
      </w:r>
      <w:r w:rsidR="00B56469">
        <w:rPr>
          <w:lang w:val="en-GB"/>
        </w:rPr>
        <w:t>)</w:t>
      </w:r>
      <w:r w:rsidR="004D744E" w:rsidRPr="004D744E">
        <w:t xml:space="preserve"> might be as high as £52,646 </w:t>
      </w:r>
      <w:r w:rsidR="00B56469">
        <w:rPr>
          <w:lang w:val="en-GB"/>
        </w:rPr>
        <w:t xml:space="preserve">per quality-adjusted life year (QALY) gained </w:t>
      </w:r>
      <w:r w:rsidR="004D744E" w:rsidRPr="004D744E">
        <w:t>if the cut-off was as low as 30</w:t>
      </w:r>
      <w:r w:rsidR="00336FC7">
        <w:rPr>
          <w:lang w:val="en-US"/>
        </w:rPr>
        <w:t> </w:t>
      </w:r>
      <w:r w:rsidR="004D744E" w:rsidRPr="004D744E">
        <w:t>months</w:t>
      </w:r>
      <w:r w:rsidR="00336FC7">
        <w:rPr>
          <w:lang w:val="en-US"/>
        </w:rPr>
        <w:t>.</w:t>
      </w:r>
      <w:r w:rsidR="004D744E" w:rsidRPr="004D744E">
        <w:t xml:space="preserve"> </w:t>
      </w:r>
      <w:r w:rsidR="00336FC7">
        <w:rPr>
          <w:lang w:val="en-US"/>
        </w:rPr>
        <w:t>This</w:t>
      </w:r>
      <w:r w:rsidR="004D744E" w:rsidRPr="004D744E">
        <w:t xml:space="preserve"> </w:t>
      </w:r>
      <w:r w:rsidR="00DF7C33">
        <w:rPr>
          <w:lang w:val="en-GB"/>
        </w:rPr>
        <w:t>was</w:t>
      </w:r>
      <w:r w:rsidR="004D744E" w:rsidRPr="004D744E">
        <w:t xml:space="preserve"> </w:t>
      </w:r>
      <w:r w:rsidR="007A65F0">
        <w:rPr>
          <w:lang w:val="en-GB"/>
        </w:rPr>
        <w:t>approximately</w:t>
      </w:r>
      <w:r w:rsidR="004D744E" w:rsidRPr="004D744E">
        <w:t xml:space="preserve"> the </w:t>
      </w:r>
      <w:r w:rsidR="004D744E" w:rsidRPr="004D744E">
        <w:lastRenderedPageBreak/>
        <w:t>maximum follow</w:t>
      </w:r>
      <w:r w:rsidR="00336FC7">
        <w:rPr>
          <w:lang w:val="en-US"/>
        </w:rPr>
        <w:t xml:space="preserve"> </w:t>
      </w:r>
      <w:r w:rsidR="004D744E" w:rsidRPr="004D744E">
        <w:t xml:space="preserve">up in the trial. </w:t>
      </w:r>
      <w:r w:rsidR="004F7FB9">
        <w:rPr>
          <w:lang w:val="en-GB"/>
        </w:rPr>
        <w:t>However, v</w:t>
      </w:r>
      <w:r w:rsidR="00E263DB">
        <w:rPr>
          <w:lang w:val="en-GB"/>
        </w:rPr>
        <w:t>arying the treatment effect duration did not have a large impact on the ICER</w:t>
      </w:r>
      <w:r w:rsidR="00861B0B">
        <w:rPr>
          <w:lang w:val="en-GB"/>
        </w:rPr>
        <w:t xml:space="preserve"> overall</w:t>
      </w:r>
      <w:r w:rsidR="00E263DB">
        <w:rPr>
          <w:lang w:val="en-GB"/>
        </w:rPr>
        <w:t xml:space="preserve">. </w:t>
      </w:r>
      <w:r w:rsidR="00597441">
        <w:rPr>
          <w:lang w:val="en-GB"/>
        </w:rPr>
        <w:t>T</w:t>
      </w:r>
      <w:r w:rsidR="00927597">
        <w:rPr>
          <w:lang w:val="en-GB"/>
        </w:rPr>
        <w:t>he</w:t>
      </w:r>
      <w:r w:rsidR="00E263DB">
        <w:rPr>
          <w:lang w:val="en-GB"/>
        </w:rPr>
        <w:t xml:space="preserve"> company’s preferred 60-month treatment effect duration from </w:t>
      </w:r>
      <w:r w:rsidR="00597441">
        <w:rPr>
          <w:lang w:val="en-GB"/>
        </w:rPr>
        <w:t xml:space="preserve">starting treatment was </w:t>
      </w:r>
      <w:r w:rsidR="00927597">
        <w:rPr>
          <w:lang w:val="en-GB"/>
        </w:rPr>
        <w:t>plausible</w:t>
      </w:r>
      <w:r w:rsidR="005338FB">
        <w:rPr>
          <w:lang w:val="en-GB"/>
        </w:rPr>
        <w:t xml:space="preserve"> but uncertain </w:t>
      </w:r>
      <w:r w:rsidR="00597441">
        <w:rPr>
          <w:lang w:val="en-GB"/>
        </w:rPr>
        <w:t xml:space="preserve">because </w:t>
      </w:r>
      <w:r w:rsidR="002F57F7">
        <w:rPr>
          <w:lang w:val="en-GB"/>
        </w:rPr>
        <w:t xml:space="preserve">follow up </w:t>
      </w:r>
      <w:r w:rsidR="00D621F6">
        <w:rPr>
          <w:lang w:val="en-GB"/>
        </w:rPr>
        <w:t>wa</w:t>
      </w:r>
      <w:r w:rsidR="002F57F7">
        <w:rPr>
          <w:lang w:val="en-GB"/>
        </w:rPr>
        <w:t>s still short</w:t>
      </w:r>
      <w:r w:rsidR="00E263DB">
        <w:rPr>
          <w:lang w:val="en-GB"/>
        </w:rPr>
        <w:t>.</w:t>
      </w:r>
      <w:bookmarkEnd w:id="16"/>
    </w:p>
    <w:p w14:paraId="2A4D81A1" w14:textId="5D49FB8B" w:rsidR="00FA1290" w:rsidRPr="00AE3728" w:rsidRDefault="00BF4F3E" w:rsidP="00FA1290">
      <w:pPr>
        <w:pStyle w:val="Heading3"/>
      </w:pPr>
      <w:r>
        <w:t xml:space="preserve">Flexible </w:t>
      </w:r>
      <w:r w:rsidR="00D548F5">
        <w:t xml:space="preserve">methods of </w:t>
      </w:r>
      <w:r w:rsidR="0000748F" w:rsidRPr="0000748F">
        <w:t>estimating overall survival</w:t>
      </w:r>
      <w:r w:rsidR="00D548F5">
        <w:t xml:space="preserve"> </w:t>
      </w:r>
      <w:r w:rsidR="00355EC5">
        <w:t>were</w:t>
      </w:r>
      <w:r w:rsidR="00D548F5">
        <w:t xml:space="preserve"> explored to identify the most appropriate</w:t>
      </w:r>
      <w:r>
        <w:t xml:space="preserve"> model</w:t>
      </w:r>
      <w:r w:rsidR="00BF3970">
        <w:t xml:space="preserve"> assumptions</w:t>
      </w:r>
      <w:r w:rsidR="00D548F5">
        <w:t xml:space="preserve"> for decision</w:t>
      </w:r>
      <w:r w:rsidR="003E1B4D">
        <w:t xml:space="preserve"> </w:t>
      </w:r>
      <w:r w:rsidR="00D548F5">
        <w:t>making</w:t>
      </w:r>
    </w:p>
    <w:p w14:paraId="77245F00" w14:textId="1C6CE928" w:rsidR="0062753A" w:rsidRPr="003768E2" w:rsidRDefault="00B56469" w:rsidP="00D537BC">
      <w:pPr>
        <w:pStyle w:val="Numberedlevel2text"/>
      </w:pPr>
      <w:r w:rsidRPr="00270476">
        <w:rPr>
          <w:bCs w:val="0"/>
          <w:iCs w:val="0"/>
        </w:rPr>
        <w:t>In its original submission</w:t>
      </w:r>
      <w:r w:rsidR="003F2F90" w:rsidRPr="00270476">
        <w:rPr>
          <w:bCs w:val="0"/>
          <w:iCs w:val="0"/>
        </w:rPr>
        <w:t>, t</w:t>
      </w:r>
      <w:r w:rsidR="00FA4344" w:rsidRPr="00270476">
        <w:rPr>
          <w:bCs w:val="0"/>
          <w:iCs w:val="0"/>
        </w:rPr>
        <w:t xml:space="preserve">he </w:t>
      </w:r>
      <w:r w:rsidR="00973B18" w:rsidRPr="00270476">
        <w:rPr>
          <w:bCs w:val="0"/>
          <w:iCs w:val="0"/>
        </w:rPr>
        <w:t xml:space="preserve">company </w:t>
      </w:r>
      <w:r w:rsidR="00C10906" w:rsidRPr="00270476">
        <w:rPr>
          <w:bCs w:val="0"/>
          <w:iCs w:val="0"/>
        </w:rPr>
        <w:t>used log</w:t>
      </w:r>
      <w:r w:rsidR="00EA5981" w:rsidRPr="00270476">
        <w:rPr>
          <w:bCs w:val="0"/>
          <w:iCs w:val="0"/>
        </w:rPr>
        <w:t>-</w:t>
      </w:r>
      <w:r w:rsidR="00C10906" w:rsidRPr="00270476">
        <w:rPr>
          <w:bCs w:val="0"/>
          <w:iCs w:val="0"/>
        </w:rPr>
        <w:t>logistic extrapolations in its base</w:t>
      </w:r>
      <w:r w:rsidR="00EA5981" w:rsidRPr="008F6BAB">
        <w:t>-</w:t>
      </w:r>
      <w:r w:rsidR="00C10906" w:rsidRPr="008F6BAB">
        <w:t xml:space="preserve">case </w:t>
      </w:r>
      <w:r w:rsidR="00EA5981" w:rsidRPr="008F6BAB">
        <w:t xml:space="preserve">model </w:t>
      </w:r>
      <w:r w:rsidR="00C10906" w:rsidRPr="008F6BAB">
        <w:t xml:space="preserve">and </w:t>
      </w:r>
      <w:r w:rsidR="00084176" w:rsidRPr="008F6BAB">
        <w:t>stated</w:t>
      </w:r>
      <w:r w:rsidR="00973B18" w:rsidRPr="008F6BAB">
        <w:t xml:space="preserve"> that </w:t>
      </w:r>
      <w:r w:rsidR="00084176" w:rsidRPr="008F6BAB">
        <w:t>the</w:t>
      </w:r>
      <w:r w:rsidR="0094758D" w:rsidRPr="008F6BAB">
        <w:t xml:space="preserve"> Weibull extrapolations </w:t>
      </w:r>
      <w:r w:rsidR="00A4733E">
        <w:rPr>
          <w:lang w:val="en-US"/>
        </w:rPr>
        <w:t>wer</w:t>
      </w:r>
      <w:r w:rsidR="00084176" w:rsidRPr="008F6BAB">
        <w:t>e not</w:t>
      </w:r>
      <w:r w:rsidR="0094758D" w:rsidRPr="008F6BAB">
        <w:t xml:space="preserve"> </w:t>
      </w:r>
      <w:r w:rsidR="0094758D" w:rsidRPr="00793695">
        <w:t>appropriate</w:t>
      </w:r>
      <w:r w:rsidR="0094758D" w:rsidRPr="008F6BAB">
        <w:t xml:space="preserve"> for overall survival (the ERG’s preferred approach</w:t>
      </w:r>
      <w:r w:rsidR="003F2F90" w:rsidRPr="008F6BAB">
        <w:t xml:space="preserve"> at the time</w:t>
      </w:r>
      <w:r w:rsidR="0094758D" w:rsidRPr="008F6BAB">
        <w:t>)</w:t>
      </w:r>
      <w:r w:rsidR="00A4733E">
        <w:rPr>
          <w:lang w:val="en-US"/>
        </w:rPr>
        <w:t>.</w:t>
      </w:r>
      <w:r w:rsidR="0094758D" w:rsidRPr="008F6BAB">
        <w:t xml:space="preserve"> </w:t>
      </w:r>
      <w:r w:rsidR="00A4733E">
        <w:rPr>
          <w:lang w:val="en-US"/>
        </w:rPr>
        <w:t xml:space="preserve">This was </w:t>
      </w:r>
      <w:r w:rsidR="0094758D" w:rsidRPr="008F6BAB">
        <w:t>because it predict</w:t>
      </w:r>
      <w:r w:rsidR="00084176" w:rsidRPr="008F6BAB">
        <w:t>ed</w:t>
      </w:r>
      <w:r w:rsidR="0094758D" w:rsidRPr="008F6BAB">
        <w:t xml:space="preserve"> that all people with </w:t>
      </w:r>
      <w:r w:rsidR="00A4733E">
        <w:rPr>
          <w:lang w:val="en-US"/>
        </w:rPr>
        <w:t>ES</w:t>
      </w:r>
      <w:r w:rsidR="00A4733E">
        <w:rPr>
          <w:lang w:val="en-US"/>
        </w:rPr>
        <w:noBreakHyphen/>
        <w:t>SCLC</w:t>
      </w:r>
      <w:r w:rsidR="0094758D" w:rsidRPr="00BC47DC">
        <w:t xml:space="preserve"> </w:t>
      </w:r>
      <w:r w:rsidR="00DE49CE" w:rsidRPr="00BC47DC">
        <w:t>d</w:t>
      </w:r>
      <w:r w:rsidR="00A4733E">
        <w:rPr>
          <w:lang w:val="en-US"/>
        </w:rPr>
        <w:t>id</w:t>
      </w:r>
      <w:r w:rsidR="00DE49CE" w:rsidRPr="00BC47DC">
        <w:t xml:space="preserve"> not survive </w:t>
      </w:r>
      <w:r w:rsidR="00793695">
        <w:rPr>
          <w:lang w:val="en-US"/>
        </w:rPr>
        <w:t>past</w:t>
      </w:r>
      <w:r w:rsidR="00DE49CE" w:rsidRPr="00BC47DC">
        <w:t xml:space="preserve"> </w:t>
      </w:r>
      <w:r w:rsidR="0094758D" w:rsidRPr="00BC47DC">
        <w:t>about 40</w:t>
      </w:r>
      <w:r w:rsidR="00793695">
        <w:rPr>
          <w:lang w:val="en-US"/>
        </w:rPr>
        <w:t> </w:t>
      </w:r>
      <w:r w:rsidR="0094758D" w:rsidRPr="00BC47DC">
        <w:t xml:space="preserve">months. </w:t>
      </w:r>
      <w:r w:rsidR="00106CDA">
        <w:rPr>
          <w:lang w:val="en-US"/>
        </w:rPr>
        <w:t>The company</w:t>
      </w:r>
      <w:r w:rsidR="0094758D" w:rsidRPr="00BC47DC">
        <w:t xml:space="preserve"> commented that several studies showed that people </w:t>
      </w:r>
      <w:r w:rsidR="00EA5A45">
        <w:rPr>
          <w:lang w:val="en-US"/>
        </w:rPr>
        <w:t>having</w:t>
      </w:r>
      <w:r w:rsidR="0094758D" w:rsidRPr="00BC47DC">
        <w:t xml:space="preserve"> standard care are alive after this time</w:t>
      </w:r>
      <w:r w:rsidR="003F2F90" w:rsidRPr="00BC47DC">
        <w:t>, and that</w:t>
      </w:r>
      <w:r w:rsidR="00084176" w:rsidRPr="00BC47DC">
        <w:t xml:space="preserve"> </w:t>
      </w:r>
      <w:r w:rsidR="0008593D">
        <w:rPr>
          <w:lang w:val="en-US"/>
        </w:rPr>
        <w:t>it</w:t>
      </w:r>
      <w:r w:rsidR="00084176" w:rsidRPr="00BC47DC">
        <w:t xml:space="preserve"> expected to see prolonged survival for people </w:t>
      </w:r>
      <w:r w:rsidR="00CE5F1D">
        <w:rPr>
          <w:lang w:val="en-US"/>
        </w:rPr>
        <w:t>having</w:t>
      </w:r>
      <w:r w:rsidR="00084176" w:rsidRPr="00BC47DC">
        <w:t xml:space="preserve"> atezolizumab</w:t>
      </w:r>
      <w:r w:rsidR="00FE06C1">
        <w:rPr>
          <w:lang w:val="en-US"/>
        </w:rPr>
        <w:t>,</w:t>
      </w:r>
      <w:r w:rsidR="00084176" w:rsidRPr="00BC47DC">
        <w:t xml:space="preserve"> consistent with immunotherapeutic effects seen in other indications. Clinical experts commented that </w:t>
      </w:r>
      <w:r w:rsidR="0062753A" w:rsidRPr="00BC47DC">
        <w:t xml:space="preserve">while there is some evidence that immunotherapy causes prolonged remission for </w:t>
      </w:r>
      <w:r w:rsidR="0037248F">
        <w:rPr>
          <w:lang w:val="en-US"/>
        </w:rPr>
        <w:t>NSCLC</w:t>
      </w:r>
      <w:r w:rsidR="0062753A" w:rsidRPr="00BC47DC">
        <w:t>, it is too early to s</w:t>
      </w:r>
      <w:r w:rsidR="00A00403">
        <w:rPr>
          <w:lang w:val="en-US"/>
        </w:rPr>
        <w:t>ee</w:t>
      </w:r>
      <w:r w:rsidR="0062753A" w:rsidRPr="00BC47DC">
        <w:t xml:space="preserve"> if this </w:t>
      </w:r>
      <w:r w:rsidR="00A00403">
        <w:rPr>
          <w:lang w:val="en-US"/>
        </w:rPr>
        <w:t>is</w:t>
      </w:r>
      <w:r w:rsidR="0062753A" w:rsidRPr="00BC47DC">
        <w:t xml:space="preserve"> the case for </w:t>
      </w:r>
      <w:r w:rsidR="003D16C3">
        <w:rPr>
          <w:lang w:val="en-US"/>
        </w:rPr>
        <w:t>SCLC</w:t>
      </w:r>
      <w:r w:rsidR="0062753A" w:rsidRPr="00BC47DC">
        <w:t>.</w:t>
      </w:r>
      <w:r w:rsidR="0062753A" w:rsidRPr="008F6BAB">
        <w:t xml:space="preserve"> </w:t>
      </w:r>
      <w:r w:rsidR="00671046">
        <w:rPr>
          <w:lang w:val="en-GB"/>
        </w:rPr>
        <w:t xml:space="preserve">The committee did not accept that </w:t>
      </w:r>
      <w:r w:rsidR="005D1DF0">
        <w:rPr>
          <w:lang w:val="en-GB"/>
        </w:rPr>
        <w:t>observing</w:t>
      </w:r>
      <w:r w:rsidR="00671046">
        <w:rPr>
          <w:lang w:val="en-GB"/>
        </w:rPr>
        <w:t xml:space="preserve"> a </w:t>
      </w:r>
      <w:r w:rsidR="00076F2A">
        <w:rPr>
          <w:lang w:val="en-GB"/>
        </w:rPr>
        <w:t>longer-term</w:t>
      </w:r>
      <w:r w:rsidR="00671046">
        <w:rPr>
          <w:lang w:val="en-GB"/>
        </w:rPr>
        <w:t xml:space="preserve"> treatment effect in </w:t>
      </w:r>
      <w:r w:rsidR="005D1DF0">
        <w:rPr>
          <w:lang w:val="en-GB"/>
        </w:rPr>
        <w:t>1</w:t>
      </w:r>
      <w:r w:rsidR="00671046">
        <w:rPr>
          <w:lang w:val="en-GB"/>
        </w:rPr>
        <w:t xml:space="preserve"> disease would necessarily translate to another</w:t>
      </w:r>
      <w:r w:rsidR="00681F2E">
        <w:rPr>
          <w:lang w:val="en-GB"/>
        </w:rPr>
        <w:t xml:space="preserve"> disease</w:t>
      </w:r>
      <w:r w:rsidR="00671046">
        <w:rPr>
          <w:lang w:val="en-GB"/>
        </w:rPr>
        <w:t xml:space="preserve">. Confirmatory </w:t>
      </w:r>
      <w:r w:rsidR="00076F2A">
        <w:rPr>
          <w:lang w:val="en-GB"/>
        </w:rPr>
        <w:t>long-term</w:t>
      </w:r>
      <w:r w:rsidR="00671046">
        <w:rPr>
          <w:lang w:val="en-GB"/>
        </w:rPr>
        <w:t xml:space="preserve"> data are </w:t>
      </w:r>
      <w:r w:rsidR="00BE7BA0">
        <w:rPr>
          <w:lang w:val="en-GB"/>
        </w:rPr>
        <w:t>needed</w:t>
      </w:r>
      <w:r w:rsidR="00671046">
        <w:rPr>
          <w:lang w:val="en-GB"/>
        </w:rPr>
        <w:t xml:space="preserve">. </w:t>
      </w:r>
      <w:r w:rsidR="0062753A" w:rsidRPr="008F6BAB">
        <w:t>Th</w:t>
      </w:r>
      <w:r w:rsidR="00671046">
        <w:rPr>
          <w:lang w:val="en-GB"/>
        </w:rPr>
        <w:t>e experts also</w:t>
      </w:r>
      <w:r w:rsidR="0062753A" w:rsidRPr="008F6BAB">
        <w:t xml:space="preserve"> </w:t>
      </w:r>
      <w:r w:rsidR="008C7E6B" w:rsidRPr="008F6BAB">
        <w:t>explained</w:t>
      </w:r>
      <w:r w:rsidR="0062753A" w:rsidRPr="008F6BAB">
        <w:t xml:space="preserve"> that while s</w:t>
      </w:r>
      <w:r w:rsidR="0062753A" w:rsidRPr="008F6BAB">
        <w:rPr>
          <w:bCs w:val="0"/>
          <w:iCs w:val="0"/>
        </w:rPr>
        <w:t xml:space="preserve">ome people with </w:t>
      </w:r>
      <w:r w:rsidR="00BF38ED">
        <w:rPr>
          <w:bCs w:val="0"/>
          <w:iCs w:val="0"/>
          <w:lang w:val="en-US"/>
        </w:rPr>
        <w:t>SCLC</w:t>
      </w:r>
      <w:r w:rsidR="0062753A" w:rsidRPr="008F6BAB">
        <w:rPr>
          <w:bCs w:val="0"/>
          <w:iCs w:val="0"/>
        </w:rPr>
        <w:t xml:space="preserve"> do survive </w:t>
      </w:r>
      <w:r w:rsidR="0062753A" w:rsidRPr="00BE38E4">
        <w:rPr>
          <w:bCs w:val="0"/>
          <w:iCs w:val="0"/>
        </w:rPr>
        <w:t xml:space="preserve">for </w:t>
      </w:r>
      <w:r w:rsidR="0062753A" w:rsidRPr="008F6BAB">
        <w:rPr>
          <w:bCs w:val="0"/>
          <w:iCs w:val="0"/>
        </w:rPr>
        <w:t>5</w:t>
      </w:r>
      <w:r w:rsidR="00B429EB">
        <w:rPr>
          <w:bCs w:val="0"/>
          <w:iCs w:val="0"/>
          <w:lang w:val="en-US"/>
        </w:rPr>
        <w:t> </w:t>
      </w:r>
      <w:r w:rsidR="0062753A" w:rsidRPr="008F6BAB">
        <w:rPr>
          <w:bCs w:val="0"/>
          <w:iCs w:val="0"/>
        </w:rPr>
        <w:t xml:space="preserve">years, </w:t>
      </w:r>
      <w:r w:rsidR="0062753A" w:rsidRPr="00BE38E4">
        <w:rPr>
          <w:bCs w:val="0"/>
          <w:iCs w:val="0"/>
        </w:rPr>
        <w:t>this is mostly people with</w:t>
      </w:r>
      <w:r w:rsidR="0062753A" w:rsidRPr="008F6BAB">
        <w:rPr>
          <w:bCs w:val="0"/>
          <w:iCs w:val="0"/>
        </w:rPr>
        <w:t xml:space="preserve"> early</w:t>
      </w:r>
      <w:r w:rsidR="000B4557">
        <w:rPr>
          <w:bCs w:val="0"/>
          <w:iCs w:val="0"/>
          <w:lang w:val="en-GB"/>
        </w:rPr>
        <w:t>-</w:t>
      </w:r>
      <w:r w:rsidR="0062753A" w:rsidRPr="008F6BAB">
        <w:rPr>
          <w:bCs w:val="0"/>
          <w:iCs w:val="0"/>
        </w:rPr>
        <w:t xml:space="preserve">stage </w:t>
      </w:r>
      <w:r w:rsidR="00F579B1">
        <w:rPr>
          <w:bCs w:val="0"/>
          <w:iCs w:val="0"/>
          <w:lang w:val="en-US"/>
        </w:rPr>
        <w:t>SCLC</w:t>
      </w:r>
      <w:r w:rsidR="0062753A" w:rsidRPr="008F6BAB">
        <w:rPr>
          <w:bCs w:val="0"/>
          <w:iCs w:val="0"/>
        </w:rPr>
        <w:t xml:space="preserve">. </w:t>
      </w:r>
      <w:r w:rsidR="008F49E8">
        <w:rPr>
          <w:bCs w:val="0"/>
          <w:iCs w:val="0"/>
          <w:lang w:val="en-US"/>
        </w:rPr>
        <w:t>N</w:t>
      </w:r>
      <w:r w:rsidR="0062753A" w:rsidRPr="00BE38E4">
        <w:rPr>
          <w:bCs w:val="0"/>
          <w:iCs w:val="0"/>
        </w:rPr>
        <w:t xml:space="preserve">ot everyone with </w:t>
      </w:r>
      <w:r w:rsidR="009725F4">
        <w:rPr>
          <w:bCs w:val="0"/>
          <w:iCs w:val="0"/>
          <w:lang w:val="en-US"/>
        </w:rPr>
        <w:t>ES</w:t>
      </w:r>
      <w:r w:rsidR="009725F4">
        <w:rPr>
          <w:bCs w:val="0"/>
          <w:iCs w:val="0"/>
          <w:lang w:val="en-US"/>
        </w:rPr>
        <w:noBreakHyphen/>
        <w:t>SCLC</w:t>
      </w:r>
      <w:r w:rsidR="0062753A" w:rsidRPr="00270476">
        <w:rPr>
          <w:bCs w:val="0"/>
          <w:iCs w:val="0"/>
        </w:rPr>
        <w:t xml:space="preserve"> would </w:t>
      </w:r>
      <w:r w:rsidR="008C7E6B" w:rsidRPr="008F6BAB">
        <w:t>die from the condition</w:t>
      </w:r>
      <w:r w:rsidR="0062753A" w:rsidRPr="008F6BAB">
        <w:t xml:space="preserve"> </w:t>
      </w:r>
      <w:r w:rsidR="008C7E6B" w:rsidRPr="008F6BAB">
        <w:t>by</w:t>
      </w:r>
      <w:r w:rsidR="0062753A" w:rsidRPr="008F6BAB">
        <w:t xml:space="preserve"> 5</w:t>
      </w:r>
      <w:r w:rsidR="00CE5A7B">
        <w:rPr>
          <w:lang w:val="en-US"/>
        </w:rPr>
        <w:t> </w:t>
      </w:r>
      <w:r w:rsidR="0062753A" w:rsidRPr="008F6BAB">
        <w:t xml:space="preserve">years, </w:t>
      </w:r>
      <w:r w:rsidR="008F49E8">
        <w:rPr>
          <w:lang w:val="en-US"/>
        </w:rPr>
        <w:t>but</w:t>
      </w:r>
      <w:r w:rsidR="0062753A" w:rsidRPr="008F6BAB">
        <w:t xml:space="preserve"> the proportion surviving </w:t>
      </w:r>
      <w:r w:rsidR="008C7E6B" w:rsidRPr="008F6BAB">
        <w:t xml:space="preserve">by that point </w:t>
      </w:r>
      <w:r w:rsidR="0062753A" w:rsidRPr="008F6BAB">
        <w:t>was likely to be less than 1%</w:t>
      </w:r>
      <w:r w:rsidR="0062753A" w:rsidRPr="008F6BAB">
        <w:rPr>
          <w:bCs w:val="0"/>
          <w:iCs w:val="0"/>
        </w:rPr>
        <w:t>.</w:t>
      </w:r>
      <w:r w:rsidR="0062753A" w:rsidRPr="00BE38E4">
        <w:rPr>
          <w:bCs w:val="0"/>
          <w:iCs w:val="0"/>
        </w:rPr>
        <w:t xml:space="preserve"> </w:t>
      </w:r>
      <w:r w:rsidR="006E2352" w:rsidRPr="00BE38E4">
        <w:rPr>
          <w:bCs w:val="0"/>
          <w:iCs w:val="0"/>
        </w:rPr>
        <w:t xml:space="preserve">The committee commented that neither the Weibull or log-logistic </w:t>
      </w:r>
      <w:r w:rsidR="0000748F" w:rsidRPr="00270476">
        <w:rPr>
          <w:bCs w:val="0"/>
          <w:iCs w:val="0"/>
        </w:rPr>
        <w:t xml:space="preserve">models </w:t>
      </w:r>
      <w:r w:rsidR="006E2352" w:rsidRPr="00270476">
        <w:rPr>
          <w:bCs w:val="0"/>
          <w:iCs w:val="0"/>
        </w:rPr>
        <w:t>fitted the I</w:t>
      </w:r>
      <w:r w:rsidR="00D3039D" w:rsidRPr="00270476">
        <w:rPr>
          <w:bCs w:val="0"/>
          <w:iCs w:val="0"/>
        </w:rPr>
        <w:t>M</w:t>
      </w:r>
      <w:r w:rsidR="006E2352" w:rsidRPr="00270476">
        <w:rPr>
          <w:bCs w:val="0"/>
          <w:iCs w:val="0"/>
        </w:rPr>
        <w:t>power133 data very well</w:t>
      </w:r>
      <w:r w:rsidR="00355EC5">
        <w:rPr>
          <w:bCs w:val="0"/>
          <w:iCs w:val="0"/>
          <w:lang w:val="en-GB"/>
        </w:rPr>
        <w:t xml:space="preserve"> and </w:t>
      </w:r>
      <w:r w:rsidR="006E2352" w:rsidRPr="00270476">
        <w:rPr>
          <w:bCs w:val="0"/>
          <w:iCs w:val="0"/>
        </w:rPr>
        <w:t xml:space="preserve">were the least poor fitting of the parametric </w:t>
      </w:r>
      <w:r w:rsidR="00671046">
        <w:rPr>
          <w:bCs w:val="0"/>
          <w:iCs w:val="0"/>
          <w:lang w:val="en-GB"/>
        </w:rPr>
        <w:t xml:space="preserve">survival </w:t>
      </w:r>
      <w:r w:rsidR="006E2352" w:rsidRPr="00270476">
        <w:rPr>
          <w:bCs w:val="0"/>
          <w:iCs w:val="0"/>
        </w:rPr>
        <w:t xml:space="preserve">extrapolations used by the company. </w:t>
      </w:r>
      <w:r w:rsidR="0038624D">
        <w:rPr>
          <w:bCs w:val="0"/>
          <w:iCs w:val="0"/>
          <w:lang w:val="en-US"/>
        </w:rPr>
        <w:t>Also</w:t>
      </w:r>
      <w:r w:rsidR="006E2352" w:rsidRPr="00270476">
        <w:rPr>
          <w:bCs w:val="0"/>
          <w:iCs w:val="0"/>
        </w:rPr>
        <w:t xml:space="preserve">, </w:t>
      </w:r>
      <w:r w:rsidR="00355EC5">
        <w:rPr>
          <w:bCs w:val="0"/>
          <w:iCs w:val="0"/>
          <w:lang w:val="en-GB"/>
        </w:rPr>
        <w:t>looking at</w:t>
      </w:r>
      <w:r w:rsidR="00871E36">
        <w:rPr>
          <w:bCs w:val="0"/>
          <w:iCs w:val="0"/>
          <w:lang w:val="en-GB"/>
        </w:rPr>
        <w:t xml:space="preserve"> </w:t>
      </w:r>
      <w:r w:rsidR="00355EC5" w:rsidRPr="00270476">
        <w:rPr>
          <w:bCs w:val="0"/>
          <w:iCs w:val="0"/>
        </w:rPr>
        <w:t>the hazard over time</w:t>
      </w:r>
      <w:r w:rsidR="00355EC5">
        <w:rPr>
          <w:bCs w:val="0"/>
          <w:iCs w:val="0"/>
          <w:lang w:val="en-GB"/>
        </w:rPr>
        <w:t xml:space="preserve">, there was a </w:t>
      </w:r>
      <w:r w:rsidR="006E2352" w:rsidRPr="00270476">
        <w:rPr>
          <w:bCs w:val="0"/>
          <w:iCs w:val="0"/>
        </w:rPr>
        <w:t>complex</w:t>
      </w:r>
      <w:r w:rsidR="00355EC5">
        <w:rPr>
          <w:bCs w:val="0"/>
          <w:iCs w:val="0"/>
          <w:lang w:val="en-GB"/>
        </w:rPr>
        <w:t xml:space="preserve"> pattern</w:t>
      </w:r>
      <w:r w:rsidR="006E2352" w:rsidRPr="00270476">
        <w:rPr>
          <w:bCs w:val="0"/>
          <w:iCs w:val="0"/>
        </w:rPr>
        <w:t xml:space="preserve"> which </w:t>
      </w:r>
      <w:r w:rsidR="00D3039D" w:rsidRPr="008F6BAB">
        <w:t xml:space="preserve">would </w:t>
      </w:r>
      <w:r w:rsidR="006E2352" w:rsidRPr="008F6BAB">
        <w:t xml:space="preserve">have been </w:t>
      </w:r>
      <w:r w:rsidR="009902C3">
        <w:rPr>
          <w:lang w:val="en-US"/>
        </w:rPr>
        <w:t>clearer</w:t>
      </w:r>
      <w:r w:rsidR="006E2352" w:rsidRPr="008F6BAB">
        <w:t xml:space="preserve"> if a plot of hazard function over time </w:t>
      </w:r>
      <w:r w:rsidR="00355EC5">
        <w:rPr>
          <w:lang w:val="en-US"/>
        </w:rPr>
        <w:t>had been</w:t>
      </w:r>
      <w:r w:rsidR="006E2352" w:rsidRPr="008F6BAB">
        <w:t xml:space="preserve"> provided.</w:t>
      </w:r>
      <w:r w:rsidR="00735E97" w:rsidRPr="008F6BAB">
        <w:t xml:space="preserve"> </w:t>
      </w:r>
      <w:r w:rsidR="0062753A" w:rsidRPr="00BC47DC">
        <w:t>The committee concluded that the Weibull extrapolation for overall survival may be too pessimistic</w:t>
      </w:r>
      <w:r w:rsidR="00DA54FD" w:rsidRPr="00BC47DC">
        <w:t xml:space="preserve"> </w:t>
      </w:r>
      <w:r w:rsidR="00355EC5">
        <w:rPr>
          <w:lang w:val="en-GB"/>
        </w:rPr>
        <w:t>to reflect</w:t>
      </w:r>
      <w:r w:rsidR="00DA54FD" w:rsidRPr="00BC47DC">
        <w:t xml:space="preserve"> the chemotherapy</w:t>
      </w:r>
      <w:r w:rsidR="004D3CA5">
        <w:rPr>
          <w:lang w:val="en-US"/>
        </w:rPr>
        <w:t>-</w:t>
      </w:r>
      <w:r w:rsidR="00DA54FD" w:rsidRPr="00BC47DC">
        <w:t>only group</w:t>
      </w:r>
      <w:r w:rsidR="00355EC5">
        <w:rPr>
          <w:lang w:val="en-GB"/>
        </w:rPr>
        <w:t xml:space="preserve"> outcome</w:t>
      </w:r>
      <w:r w:rsidR="0062753A" w:rsidRPr="00BC47DC">
        <w:t xml:space="preserve">, </w:t>
      </w:r>
      <w:r w:rsidR="008C7E6B" w:rsidRPr="00BC47DC">
        <w:t>and the</w:t>
      </w:r>
      <w:r w:rsidR="0062753A" w:rsidRPr="00BC47DC">
        <w:t xml:space="preserve"> log-logistic may be too optimistic. </w:t>
      </w:r>
      <w:r w:rsidR="00355EC5">
        <w:rPr>
          <w:lang w:val="en-GB"/>
        </w:rPr>
        <w:t xml:space="preserve">It </w:t>
      </w:r>
      <w:r w:rsidR="00D548F5" w:rsidRPr="00BC47DC">
        <w:t xml:space="preserve">did not consider either approach </w:t>
      </w:r>
      <w:r w:rsidR="0062753A" w:rsidRPr="00BC47DC">
        <w:t>suitable</w:t>
      </w:r>
      <w:r w:rsidR="00D548F5" w:rsidRPr="00BC47DC">
        <w:t xml:space="preserve"> for decision</w:t>
      </w:r>
      <w:r w:rsidR="009E62FB">
        <w:rPr>
          <w:lang w:val="en-US"/>
        </w:rPr>
        <w:t xml:space="preserve"> </w:t>
      </w:r>
      <w:r w:rsidR="00D548F5" w:rsidRPr="00BC47DC">
        <w:t>making</w:t>
      </w:r>
      <w:r w:rsidR="00355EC5">
        <w:rPr>
          <w:lang w:val="en-GB"/>
        </w:rPr>
        <w:t xml:space="preserve"> at the first appraisal committee </w:t>
      </w:r>
      <w:r w:rsidR="00355EC5">
        <w:rPr>
          <w:lang w:val="en-GB"/>
        </w:rPr>
        <w:lastRenderedPageBreak/>
        <w:t>meeting</w:t>
      </w:r>
      <w:r w:rsidR="00D548F5" w:rsidRPr="00BC47DC">
        <w:t xml:space="preserve">, and requested that the company provide </w:t>
      </w:r>
      <w:r w:rsidR="00355EC5">
        <w:rPr>
          <w:lang w:val="en-GB"/>
        </w:rPr>
        <w:t>new</w:t>
      </w:r>
      <w:r w:rsidR="00D548F5" w:rsidRPr="00BC47DC">
        <w:t xml:space="preserve"> analys</w:t>
      </w:r>
      <w:r w:rsidR="0094688E" w:rsidRPr="00BC47DC">
        <w:t>es</w:t>
      </w:r>
      <w:r w:rsidR="00D548F5" w:rsidRPr="00BC47DC">
        <w:t xml:space="preserve"> exploring further methods for </w:t>
      </w:r>
      <w:r w:rsidR="0000748F" w:rsidRPr="00BC47DC">
        <w:t>estimating mean overall survival</w:t>
      </w:r>
      <w:r w:rsidR="00DA54FD" w:rsidRPr="003768E2">
        <w:t>.</w:t>
      </w:r>
      <w:r w:rsidR="0094688E" w:rsidRPr="003768E2">
        <w:t xml:space="preserve"> </w:t>
      </w:r>
      <w:r w:rsidR="00DA08BC" w:rsidRPr="003768E2">
        <w:t xml:space="preserve">The committee </w:t>
      </w:r>
      <w:r w:rsidR="009D421A" w:rsidRPr="003768E2">
        <w:t xml:space="preserve">considered </w:t>
      </w:r>
      <w:r w:rsidR="00DA08BC" w:rsidRPr="003768E2">
        <w:t>that alternative</w:t>
      </w:r>
      <w:r w:rsidR="005F7367">
        <w:rPr>
          <w:lang w:val="en-US"/>
        </w:rPr>
        <w:t>,</w:t>
      </w:r>
      <w:r w:rsidR="00DA08BC" w:rsidRPr="003768E2">
        <w:t xml:space="preserve"> more flexible models may allow better representation of the available survival data and would provide a more robust basis for decision</w:t>
      </w:r>
      <w:r w:rsidR="00FE5AF5">
        <w:rPr>
          <w:lang w:val="en-US"/>
        </w:rPr>
        <w:t xml:space="preserve"> </w:t>
      </w:r>
      <w:r w:rsidR="00DA08BC" w:rsidRPr="003768E2">
        <w:t>making.</w:t>
      </w:r>
    </w:p>
    <w:p w14:paraId="20F2124B" w14:textId="1C625CDC" w:rsidR="008C7E6B" w:rsidRDefault="008C7E6B" w:rsidP="008C7E6B">
      <w:pPr>
        <w:pStyle w:val="Heading3"/>
      </w:pPr>
      <w:r>
        <w:t xml:space="preserve">Restricted spline models </w:t>
      </w:r>
      <w:r w:rsidR="008F6BAB">
        <w:t xml:space="preserve">may </w:t>
      </w:r>
      <w:r>
        <w:t>provide the best method for modelling</w:t>
      </w:r>
      <w:r w:rsidR="00BF3970">
        <w:t xml:space="preserve"> atezolizumab with chemotherapy long-term</w:t>
      </w:r>
      <w:r>
        <w:t xml:space="preserve"> overall survival </w:t>
      </w:r>
    </w:p>
    <w:p w14:paraId="4EA3F023" w14:textId="3286DC06" w:rsidR="0083789C" w:rsidRPr="008F6BAB" w:rsidRDefault="00735E97" w:rsidP="009C271B">
      <w:pPr>
        <w:pStyle w:val="Numberedlevel2text"/>
      </w:pPr>
      <w:bookmarkStart w:id="17" w:name="_Ref26749273"/>
      <w:bookmarkStart w:id="18" w:name="_Ref26869420"/>
      <w:bookmarkStart w:id="19" w:name="_Ref27577542"/>
      <w:r w:rsidRPr="00BE38E4">
        <w:rPr>
          <w:bCs w:val="0"/>
          <w:iCs w:val="0"/>
        </w:rPr>
        <w:t>In response to the committee’s request for</w:t>
      </w:r>
      <w:r w:rsidR="00BF3970">
        <w:rPr>
          <w:bCs w:val="0"/>
          <w:iCs w:val="0"/>
          <w:lang w:val="en-GB"/>
        </w:rPr>
        <w:t xml:space="preserve"> new analyses with</w:t>
      </w:r>
      <w:r w:rsidRPr="00BE38E4">
        <w:rPr>
          <w:bCs w:val="0"/>
          <w:iCs w:val="0"/>
        </w:rPr>
        <w:t xml:space="preserve"> alternative models, t</w:t>
      </w:r>
      <w:r w:rsidR="007D3633" w:rsidRPr="00BE38E4">
        <w:rPr>
          <w:bCs w:val="0"/>
          <w:iCs w:val="0"/>
        </w:rPr>
        <w:t xml:space="preserve">he company </w:t>
      </w:r>
      <w:r w:rsidR="0057079B" w:rsidRPr="00270476">
        <w:rPr>
          <w:bCs w:val="0"/>
          <w:iCs w:val="0"/>
        </w:rPr>
        <w:t xml:space="preserve">provided plots of </w:t>
      </w:r>
      <w:r w:rsidR="00355EC5">
        <w:rPr>
          <w:bCs w:val="0"/>
          <w:iCs w:val="0"/>
          <w:lang w:val="en-GB"/>
        </w:rPr>
        <w:t xml:space="preserve">the </w:t>
      </w:r>
      <w:r w:rsidR="0057079B" w:rsidRPr="00270476">
        <w:rPr>
          <w:bCs w:val="0"/>
          <w:iCs w:val="0"/>
        </w:rPr>
        <w:t>hazard function over time</w:t>
      </w:r>
      <w:r w:rsidR="002C7723">
        <w:rPr>
          <w:bCs w:val="0"/>
          <w:iCs w:val="0"/>
          <w:lang w:val="en-GB"/>
        </w:rPr>
        <w:t xml:space="preserve">, </w:t>
      </w:r>
      <w:r w:rsidR="00F80B48" w:rsidRPr="00BE38E4">
        <w:rPr>
          <w:bCs w:val="0"/>
          <w:iCs w:val="0"/>
        </w:rPr>
        <w:t>comment</w:t>
      </w:r>
      <w:r w:rsidR="00196E80">
        <w:rPr>
          <w:bCs w:val="0"/>
          <w:iCs w:val="0"/>
          <w:lang w:val="en-GB"/>
        </w:rPr>
        <w:t>ing</w:t>
      </w:r>
      <w:r w:rsidR="00F80B48" w:rsidRPr="00BE38E4">
        <w:rPr>
          <w:bCs w:val="0"/>
          <w:iCs w:val="0"/>
        </w:rPr>
        <w:t xml:space="preserve"> </w:t>
      </w:r>
      <w:r w:rsidR="0057079B" w:rsidRPr="00BE38E4">
        <w:rPr>
          <w:bCs w:val="0"/>
          <w:iCs w:val="0"/>
        </w:rPr>
        <w:t xml:space="preserve">that long-term </w:t>
      </w:r>
      <w:r w:rsidR="0057079B" w:rsidRPr="00270476">
        <w:rPr>
          <w:bCs w:val="0"/>
          <w:iCs w:val="0"/>
        </w:rPr>
        <w:t xml:space="preserve">hazards were decreasing, and that both </w:t>
      </w:r>
      <w:r w:rsidR="00196E80">
        <w:rPr>
          <w:bCs w:val="0"/>
          <w:iCs w:val="0"/>
          <w:lang w:val="en-GB"/>
        </w:rPr>
        <w:t>groups in</w:t>
      </w:r>
      <w:r w:rsidR="0057079B" w:rsidRPr="00270476">
        <w:rPr>
          <w:bCs w:val="0"/>
          <w:iCs w:val="0"/>
        </w:rPr>
        <w:t xml:space="preserve"> Impower133 had different shape</w:t>
      </w:r>
      <w:r w:rsidR="00196E80">
        <w:rPr>
          <w:bCs w:val="0"/>
          <w:iCs w:val="0"/>
          <w:lang w:val="en-GB"/>
        </w:rPr>
        <w:t>d</w:t>
      </w:r>
      <w:r w:rsidR="0057079B" w:rsidRPr="00270476">
        <w:rPr>
          <w:bCs w:val="0"/>
          <w:iCs w:val="0"/>
        </w:rPr>
        <w:t xml:space="preserve"> curve</w:t>
      </w:r>
      <w:r w:rsidR="00196E80">
        <w:rPr>
          <w:bCs w:val="0"/>
          <w:iCs w:val="0"/>
          <w:lang w:val="en-GB"/>
        </w:rPr>
        <w:t>s</w:t>
      </w:r>
      <w:r w:rsidR="0057079B" w:rsidRPr="00270476">
        <w:rPr>
          <w:bCs w:val="0"/>
          <w:iCs w:val="0"/>
        </w:rPr>
        <w:t xml:space="preserve"> before and after</w:t>
      </w:r>
      <w:r w:rsidR="00196E80">
        <w:rPr>
          <w:bCs w:val="0"/>
          <w:iCs w:val="0"/>
          <w:lang w:val="en-GB"/>
        </w:rPr>
        <w:t xml:space="preserve"> approximately</w:t>
      </w:r>
      <w:r w:rsidR="0057079B" w:rsidRPr="00270476">
        <w:rPr>
          <w:bCs w:val="0"/>
          <w:iCs w:val="0"/>
        </w:rPr>
        <w:t xml:space="preserve"> 5</w:t>
      </w:r>
      <w:r w:rsidR="009B5B3F">
        <w:rPr>
          <w:bCs w:val="0"/>
          <w:iCs w:val="0"/>
          <w:lang w:val="en-US"/>
        </w:rPr>
        <w:t> </w:t>
      </w:r>
      <w:r w:rsidR="0057079B" w:rsidRPr="00270476">
        <w:rPr>
          <w:bCs w:val="0"/>
          <w:iCs w:val="0"/>
        </w:rPr>
        <w:t xml:space="preserve">months. </w:t>
      </w:r>
      <w:r w:rsidR="00425C37" w:rsidRPr="00270476">
        <w:rPr>
          <w:bCs w:val="0"/>
          <w:iCs w:val="0"/>
        </w:rPr>
        <w:t>The</w:t>
      </w:r>
      <w:r w:rsidR="00E65423">
        <w:rPr>
          <w:lang w:val="en-GB"/>
        </w:rPr>
        <w:t xml:space="preserve"> company</w:t>
      </w:r>
      <w:r w:rsidR="00425C37" w:rsidRPr="00BE38E4">
        <w:rPr>
          <w:bCs w:val="0"/>
          <w:iCs w:val="0"/>
        </w:rPr>
        <w:t xml:space="preserve"> </w:t>
      </w:r>
      <w:r w:rsidR="00425C37" w:rsidRPr="00270476">
        <w:rPr>
          <w:bCs w:val="0"/>
          <w:iCs w:val="0"/>
        </w:rPr>
        <w:t xml:space="preserve">validated </w:t>
      </w:r>
      <w:r w:rsidR="00D21E9D" w:rsidRPr="00270476">
        <w:rPr>
          <w:bCs w:val="0"/>
          <w:iCs w:val="0"/>
        </w:rPr>
        <w:t xml:space="preserve">the </w:t>
      </w:r>
      <w:r w:rsidR="006B2438">
        <w:rPr>
          <w:bCs w:val="0"/>
          <w:iCs w:val="0"/>
          <w:lang w:val="en-GB"/>
        </w:rPr>
        <w:t xml:space="preserve">new </w:t>
      </w:r>
      <w:r w:rsidR="00425C37" w:rsidRPr="00270476">
        <w:rPr>
          <w:bCs w:val="0"/>
          <w:iCs w:val="0"/>
        </w:rPr>
        <w:t>models with 8</w:t>
      </w:r>
      <w:r w:rsidR="000B124B">
        <w:rPr>
          <w:bCs w:val="0"/>
          <w:iCs w:val="0"/>
          <w:lang w:val="en-US"/>
        </w:rPr>
        <w:t> </w:t>
      </w:r>
      <w:r w:rsidR="00425C37" w:rsidRPr="00270476">
        <w:rPr>
          <w:bCs w:val="0"/>
          <w:iCs w:val="0"/>
        </w:rPr>
        <w:t xml:space="preserve">consultant oncologists to understand how </w:t>
      </w:r>
      <w:r w:rsidR="006B2438">
        <w:rPr>
          <w:bCs w:val="0"/>
          <w:iCs w:val="0"/>
          <w:lang w:val="en-GB"/>
        </w:rPr>
        <w:t xml:space="preserve">well the </w:t>
      </w:r>
      <w:r w:rsidR="00425C37" w:rsidRPr="00270476">
        <w:rPr>
          <w:bCs w:val="0"/>
          <w:iCs w:val="0"/>
        </w:rPr>
        <w:t xml:space="preserve">extrapolations reflected long-term </w:t>
      </w:r>
      <w:r w:rsidRPr="008F6BAB">
        <w:t>overall survival</w:t>
      </w:r>
      <w:r w:rsidR="00425C37" w:rsidRPr="00BE38E4">
        <w:rPr>
          <w:bCs w:val="0"/>
          <w:iCs w:val="0"/>
        </w:rPr>
        <w:t xml:space="preserve"> in clinical practice. </w:t>
      </w:r>
      <w:bookmarkEnd w:id="17"/>
      <w:r w:rsidR="00B703A6">
        <w:rPr>
          <w:bCs w:val="0"/>
          <w:iCs w:val="0"/>
          <w:lang w:val="en-US"/>
        </w:rPr>
        <w:t>It</w:t>
      </w:r>
      <w:r w:rsidR="0057079B" w:rsidRPr="00BE38E4">
        <w:rPr>
          <w:bCs w:val="0"/>
          <w:iCs w:val="0"/>
        </w:rPr>
        <w:t xml:space="preserve"> presented </w:t>
      </w:r>
      <w:r w:rsidR="007D3633" w:rsidRPr="00270476">
        <w:rPr>
          <w:bCs w:val="0"/>
          <w:iCs w:val="0"/>
        </w:rPr>
        <w:t>a new base</w:t>
      </w:r>
      <w:r w:rsidR="00B703A6">
        <w:rPr>
          <w:bCs w:val="0"/>
          <w:iCs w:val="0"/>
          <w:lang w:val="en-US"/>
        </w:rPr>
        <w:t>-</w:t>
      </w:r>
      <w:r w:rsidR="007D3633" w:rsidRPr="00270476">
        <w:rPr>
          <w:bCs w:val="0"/>
          <w:iCs w:val="0"/>
        </w:rPr>
        <w:t xml:space="preserve">case model </w:t>
      </w:r>
      <w:r w:rsidR="006B2438">
        <w:rPr>
          <w:bCs w:val="0"/>
          <w:iCs w:val="0"/>
          <w:lang w:val="en-GB"/>
        </w:rPr>
        <w:t xml:space="preserve">with changed curve-fitting and extrapolation of </w:t>
      </w:r>
      <w:r w:rsidR="007D3633" w:rsidRPr="00270476">
        <w:rPr>
          <w:bCs w:val="0"/>
          <w:iCs w:val="0"/>
        </w:rPr>
        <w:t>overall</w:t>
      </w:r>
      <w:r w:rsidR="007D3633" w:rsidRPr="008F6BAB">
        <w:t xml:space="preserve"> survival</w:t>
      </w:r>
      <w:r w:rsidR="00FC5F48">
        <w:rPr>
          <w:lang w:val="en-US"/>
        </w:rPr>
        <w:t>.</w:t>
      </w:r>
      <w:r w:rsidR="007D3633" w:rsidRPr="008F6BAB">
        <w:t xml:space="preserve"> </w:t>
      </w:r>
      <w:r w:rsidR="00FC5F48">
        <w:rPr>
          <w:lang w:val="en-US"/>
        </w:rPr>
        <w:t xml:space="preserve">This was </w:t>
      </w:r>
      <w:r w:rsidR="007D3633" w:rsidRPr="008F6BAB">
        <w:t>a hybrid model us</w:t>
      </w:r>
      <w:r w:rsidR="0020022F">
        <w:rPr>
          <w:lang w:val="en-GB"/>
        </w:rPr>
        <w:t>ing</w:t>
      </w:r>
      <w:r w:rsidR="007D3633" w:rsidRPr="008F6BAB">
        <w:t xml:space="preserve"> Kaplan-Meier data</w:t>
      </w:r>
      <w:r w:rsidR="0020022F">
        <w:rPr>
          <w:lang w:val="en-GB"/>
        </w:rPr>
        <w:t xml:space="preserve"> then</w:t>
      </w:r>
      <w:r w:rsidR="007D3633" w:rsidRPr="008F6BAB">
        <w:t xml:space="preserve"> switch</w:t>
      </w:r>
      <w:r w:rsidR="0020022F">
        <w:rPr>
          <w:lang w:val="en-GB"/>
        </w:rPr>
        <w:t>ing</w:t>
      </w:r>
      <w:r w:rsidR="007D3633" w:rsidRPr="008F6BAB">
        <w:t xml:space="preserve"> </w:t>
      </w:r>
      <w:r w:rsidR="0020022F" w:rsidRPr="008F6BAB">
        <w:t>at 20</w:t>
      </w:r>
      <w:r w:rsidR="0020022F">
        <w:rPr>
          <w:lang w:val="en-US"/>
        </w:rPr>
        <w:t> </w:t>
      </w:r>
      <w:r w:rsidR="0020022F" w:rsidRPr="008F6BAB">
        <w:t xml:space="preserve">months </w:t>
      </w:r>
      <w:r w:rsidR="007D3633" w:rsidRPr="008F6BAB">
        <w:t xml:space="preserve">to a log-logistic extrapolation </w:t>
      </w:r>
      <w:r w:rsidR="00553C06">
        <w:rPr>
          <w:lang w:val="en-GB"/>
        </w:rPr>
        <w:t xml:space="preserve">for both the atezolizumab and the chemotherapy </w:t>
      </w:r>
      <w:r w:rsidR="0020022F">
        <w:rPr>
          <w:lang w:val="en-GB"/>
        </w:rPr>
        <w:t>groups</w:t>
      </w:r>
      <w:r w:rsidRPr="008F6BAB">
        <w:t xml:space="preserve">. </w:t>
      </w:r>
      <w:r w:rsidR="00907130" w:rsidRPr="00BE38E4">
        <w:rPr>
          <w:bCs w:val="0"/>
          <w:iCs w:val="0"/>
        </w:rPr>
        <w:t>The ERG</w:t>
      </w:r>
      <w:r w:rsidR="00BF3970">
        <w:rPr>
          <w:bCs w:val="0"/>
          <w:iCs w:val="0"/>
          <w:lang w:val="en-GB"/>
        </w:rPr>
        <w:t xml:space="preserve"> stated that</w:t>
      </w:r>
      <w:r w:rsidR="00907130" w:rsidRPr="00BE38E4">
        <w:rPr>
          <w:bCs w:val="0"/>
          <w:iCs w:val="0"/>
        </w:rPr>
        <w:t xml:space="preserve"> </w:t>
      </w:r>
      <w:r w:rsidR="00907130" w:rsidRPr="008F6BAB">
        <w:t xml:space="preserve">there was </w:t>
      </w:r>
      <w:r w:rsidR="00BF3970">
        <w:rPr>
          <w:lang w:val="en-GB"/>
        </w:rPr>
        <w:t>no</w:t>
      </w:r>
      <w:r w:rsidR="00907130" w:rsidRPr="008F6BAB">
        <w:t xml:space="preserve"> </w:t>
      </w:r>
      <w:r w:rsidR="00671046">
        <w:rPr>
          <w:lang w:val="en-GB"/>
        </w:rPr>
        <w:t xml:space="preserve">compelling </w:t>
      </w:r>
      <w:r w:rsidR="00907130" w:rsidRPr="008F6BAB">
        <w:t>reason to choose a hybrid model of Kaplan-Meier data</w:t>
      </w:r>
      <w:r w:rsidR="0020022F">
        <w:rPr>
          <w:lang w:val="en-GB"/>
        </w:rPr>
        <w:t xml:space="preserve"> </w:t>
      </w:r>
      <w:r w:rsidR="00BF3970">
        <w:rPr>
          <w:lang w:val="en-GB"/>
        </w:rPr>
        <w:t>followed by</w:t>
      </w:r>
      <w:r w:rsidR="00907130" w:rsidRPr="008F6BAB">
        <w:t xml:space="preserve"> extrapolation </w:t>
      </w:r>
      <w:r w:rsidR="00FC5F48">
        <w:rPr>
          <w:lang w:val="en-US"/>
        </w:rPr>
        <w:t>instead of</w:t>
      </w:r>
      <w:r w:rsidR="00907130" w:rsidRPr="008F6BAB">
        <w:t xml:space="preserve"> a parametric </w:t>
      </w:r>
      <w:r w:rsidR="00BF3970">
        <w:rPr>
          <w:lang w:val="en-GB"/>
        </w:rPr>
        <w:t xml:space="preserve">curve </w:t>
      </w:r>
      <w:r w:rsidR="00907130" w:rsidRPr="008F6BAB">
        <w:t>extrapolation alone. The ERG preferred a log-logistic model</w:t>
      </w:r>
      <w:r w:rsidR="0020022F">
        <w:rPr>
          <w:lang w:val="en-GB"/>
        </w:rPr>
        <w:t xml:space="preserve"> </w:t>
      </w:r>
      <w:r w:rsidR="0020022F" w:rsidRPr="008F6BAB">
        <w:t>for the chemotherapy</w:t>
      </w:r>
      <w:r w:rsidR="0020022F">
        <w:rPr>
          <w:lang w:val="en-GB"/>
        </w:rPr>
        <w:t xml:space="preserve"> group</w:t>
      </w:r>
      <w:r w:rsidR="00BF3970">
        <w:rPr>
          <w:lang w:val="en-US"/>
        </w:rPr>
        <w:t xml:space="preserve"> because it</w:t>
      </w:r>
      <w:r w:rsidR="004371A3" w:rsidRPr="008F6BAB">
        <w:t xml:space="preserve"> </w:t>
      </w:r>
      <w:r w:rsidR="00B113B5">
        <w:rPr>
          <w:lang w:val="en-GB"/>
        </w:rPr>
        <w:t xml:space="preserve">was </w:t>
      </w:r>
      <w:r w:rsidR="004371A3" w:rsidRPr="008F6BAB">
        <w:t xml:space="preserve">the most plausible </w:t>
      </w:r>
      <w:r w:rsidR="00BF3970">
        <w:rPr>
          <w:lang w:val="en-US"/>
        </w:rPr>
        <w:t>based on</w:t>
      </w:r>
      <w:r w:rsidR="004371A3" w:rsidRPr="008F6BAB">
        <w:t xml:space="preserve"> statistical fit, visual fit, decreasing hazards and </w:t>
      </w:r>
      <w:r w:rsidR="00577CEB">
        <w:rPr>
          <w:lang w:val="en-US"/>
        </w:rPr>
        <w:t xml:space="preserve">2.5% </w:t>
      </w:r>
      <w:r w:rsidR="004371A3" w:rsidRPr="008F6BAB">
        <w:t>survival at 5</w:t>
      </w:r>
      <w:r w:rsidR="00540D85">
        <w:rPr>
          <w:lang w:val="en-US"/>
        </w:rPr>
        <w:t> </w:t>
      </w:r>
      <w:r w:rsidR="004371A3" w:rsidRPr="008F6BAB">
        <w:t>years</w:t>
      </w:r>
      <w:r w:rsidR="00DB26D8">
        <w:rPr>
          <w:lang w:val="en-US"/>
        </w:rPr>
        <w:t>.</w:t>
      </w:r>
      <w:r w:rsidR="00DE37CD" w:rsidRPr="008F6BAB">
        <w:t xml:space="preserve"> </w:t>
      </w:r>
      <w:r w:rsidR="00DB26D8">
        <w:rPr>
          <w:lang w:val="en-US"/>
        </w:rPr>
        <w:t>The ERG</w:t>
      </w:r>
      <w:r w:rsidR="00DE37CD" w:rsidRPr="008F6BAB">
        <w:t xml:space="preserve"> </w:t>
      </w:r>
      <w:r w:rsidR="00B113B5">
        <w:rPr>
          <w:lang w:val="en-GB"/>
        </w:rPr>
        <w:t xml:space="preserve">further </w:t>
      </w:r>
      <w:r w:rsidR="00706F18">
        <w:rPr>
          <w:lang w:val="en-US"/>
        </w:rPr>
        <w:t>commented</w:t>
      </w:r>
      <w:r w:rsidR="00DE37CD" w:rsidRPr="008F6BAB">
        <w:t xml:space="preserve"> that fitting different models to </w:t>
      </w:r>
      <w:r w:rsidR="00B113B5">
        <w:rPr>
          <w:lang w:val="en-GB"/>
        </w:rPr>
        <w:t xml:space="preserve">each of the </w:t>
      </w:r>
      <w:r w:rsidR="00EB015D">
        <w:rPr>
          <w:lang w:val="en-GB"/>
        </w:rPr>
        <w:t>Kaplan-Meier</w:t>
      </w:r>
      <w:r w:rsidR="00B113B5">
        <w:rPr>
          <w:lang w:val="en-GB"/>
        </w:rPr>
        <w:t xml:space="preserve"> group data </w:t>
      </w:r>
      <w:r w:rsidR="00DE37CD" w:rsidRPr="008F6BAB">
        <w:t xml:space="preserve">may be appropriate, </w:t>
      </w:r>
      <w:r w:rsidR="00DB26D8">
        <w:rPr>
          <w:lang w:val="en-US"/>
        </w:rPr>
        <w:t>because of</w:t>
      </w:r>
      <w:r w:rsidR="00DE37CD" w:rsidRPr="008F6BAB">
        <w:t xml:space="preserve"> the different shapes of the curves and behaviour of the hazards over time.</w:t>
      </w:r>
      <w:r w:rsidR="007612EF" w:rsidRPr="008F6BAB">
        <w:t xml:space="preserve"> </w:t>
      </w:r>
      <w:r w:rsidR="00BA7EC3" w:rsidRPr="003768E2">
        <w:t xml:space="preserve">The committee agreed </w:t>
      </w:r>
      <w:r w:rsidR="0018168C">
        <w:rPr>
          <w:lang w:val="en-GB"/>
        </w:rPr>
        <w:t>to</w:t>
      </w:r>
      <w:r w:rsidR="00BA7EC3" w:rsidRPr="003768E2">
        <w:t xml:space="preserve"> us</w:t>
      </w:r>
      <w:r w:rsidR="0018168C">
        <w:rPr>
          <w:lang w:val="en-GB"/>
        </w:rPr>
        <w:t xml:space="preserve">e </w:t>
      </w:r>
      <w:r w:rsidR="00BA7EC3" w:rsidRPr="003768E2">
        <w:t>a log-logistic method for the chemotherapy arm, with a more flexible</w:t>
      </w:r>
      <w:r w:rsidR="0018168C">
        <w:rPr>
          <w:lang w:val="en-GB"/>
        </w:rPr>
        <w:t xml:space="preserve"> curve-fitting</w:t>
      </w:r>
      <w:r w:rsidR="00BA7EC3" w:rsidRPr="003768E2">
        <w:t xml:space="preserve"> </w:t>
      </w:r>
      <w:r w:rsidR="00860062">
        <w:rPr>
          <w:lang w:val="en-GB"/>
        </w:rPr>
        <w:t>approach</w:t>
      </w:r>
      <w:r w:rsidR="00860062" w:rsidRPr="003768E2">
        <w:t xml:space="preserve"> </w:t>
      </w:r>
      <w:r w:rsidR="00BA7EC3" w:rsidRPr="003768E2">
        <w:t>for the atezolizumab arm</w:t>
      </w:r>
      <w:r w:rsidR="0018168C">
        <w:rPr>
          <w:lang w:val="en-GB"/>
        </w:rPr>
        <w:t xml:space="preserve"> in its decision</w:t>
      </w:r>
      <w:r w:rsidR="00EB015D">
        <w:rPr>
          <w:lang w:val="en-GB"/>
        </w:rPr>
        <w:t xml:space="preserve"> </w:t>
      </w:r>
      <w:r w:rsidR="0018168C">
        <w:rPr>
          <w:lang w:val="en-GB"/>
        </w:rPr>
        <w:t>making</w:t>
      </w:r>
      <w:r w:rsidR="00BA7EC3" w:rsidRPr="003768E2">
        <w:t xml:space="preserve">. </w:t>
      </w:r>
      <w:r w:rsidR="009D5B11">
        <w:rPr>
          <w:lang w:val="en-US"/>
        </w:rPr>
        <w:t>It</w:t>
      </w:r>
      <w:r w:rsidR="00B73620" w:rsidRPr="003768E2">
        <w:t xml:space="preserve"> considered that the</w:t>
      </w:r>
      <w:r w:rsidR="0018168C">
        <w:rPr>
          <w:lang w:val="en-GB"/>
        </w:rPr>
        <w:t xml:space="preserve"> chemotherapy</w:t>
      </w:r>
      <w:r w:rsidR="00B73620" w:rsidRPr="003768E2">
        <w:t xml:space="preserve"> </w:t>
      </w:r>
      <w:r w:rsidR="0018168C">
        <w:rPr>
          <w:lang w:val="en-GB"/>
        </w:rPr>
        <w:t xml:space="preserve">group </w:t>
      </w:r>
      <w:r w:rsidR="00B73620" w:rsidRPr="003768E2">
        <w:t xml:space="preserve">hazard </w:t>
      </w:r>
      <w:r w:rsidR="00EC19E6">
        <w:rPr>
          <w:lang w:val="en-GB"/>
        </w:rPr>
        <w:t>reduc</w:t>
      </w:r>
      <w:r w:rsidR="00B673E7">
        <w:rPr>
          <w:lang w:val="en-GB"/>
        </w:rPr>
        <w:t>e</w:t>
      </w:r>
      <w:r w:rsidR="0018168C">
        <w:rPr>
          <w:lang w:val="en-GB"/>
        </w:rPr>
        <w:t>d</w:t>
      </w:r>
      <w:r w:rsidR="00152626">
        <w:rPr>
          <w:lang w:val="en-GB"/>
        </w:rPr>
        <w:t xml:space="preserve"> over time</w:t>
      </w:r>
      <w:r w:rsidR="00B73620" w:rsidRPr="003768E2">
        <w:t xml:space="preserve">, but </w:t>
      </w:r>
      <w:r w:rsidR="00B941C3" w:rsidRPr="003768E2">
        <w:t xml:space="preserve">this </w:t>
      </w:r>
      <w:r w:rsidR="00B73620" w:rsidRPr="003768E2">
        <w:t>was</w:t>
      </w:r>
      <w:r w:rsidR="00B941C3" w:rsidRPr="003768E2">
        <w:t xml:space="preserve"> </w:t>
      </w:r>
      <w:r w:rsidR="00B73620" w:rsidRPr="003768E2">
        <w:t>n</w:t>
      </w:r>
      <w:r w:rsidR="00B941C3" w:rsidRPr="003768E2">
        <w:t>o</w:t>
      </w:r>
      <w:r w:rsidR="00B73620" w:rsidRPr="003768E2">
        <w:t xml:space="preserve">t reflected in the company’s preferred hybrid model. The committee also considered that visual fit alone should not be the basis for selecting a preferred model. </w:t>
      </w:r>
      <w:r w:rsidR="00B104DC">
        <w:rPr>
          <w:lang w:val="en-US"/>
        </w:rPr>
        <w:t>It</w:t>
      </w:r>
      <w:r w:rsidR="00B73620" w:rsidRPr="003768E2">
        <w:t xml:space="preserve"> w</w:t>
      </w:r>
      <w:r w:rsidR="00B104DC">
        <w:rPr>
          <w:lang w:val="en-US"/>
        </w:rPr>
        <w:t>as</w:t>
      </w:r>
      <w:r w:rsidR="00B73620" w:rsidRPr="003768E2">
        <w:t xml:space="preserve"> concerned that the company’s </w:t>
      </w:r>
      <w:r w:rsidR="00152626">
        <w:rPr>
          <w:lang w:val="en-GB"/>
        </w:rPr>
        <w:t xml:space="preserve">hybrid </w:t>
      </w:r>
      <w:r w:rsidR="00B73620" w:rsidRPr="003768E2">
        <w:t xml:space="preserve">modelling </w:t>
      </w:r>
      <w:r w:rsidR="00B73620" w:rsidRPr="003768E2">
        <w:lastRenderedPageBreak/>
        <w:t xml:space="preserve">was inappropriate, </w:t>
      </w:r>
      <w:r w:rsidR="00AD43C2">
        <w:rPr>
          <w:lang w:val="en-US"/>
        </w:rPr>
        <w:t>because</w:t>
      </w:r>
      <w:r w:rsidR="00B73620" w:rsidRPr="003768E2">
        <w:t xml:space="preserve"> the event hazard rate had been applied for the whole model</w:t>
      </w:r>
      <w:r w:rsidR="0018168C">
        <w:rPr>
          <w:lang w:val="en-GB"/>
        </w:rPr>
        <w:t xml:space="preserve"> duration</w:t>
      </w:r>
      <w:r w:rsidR="00B73620" w:rsidRPr="003768E2">
        <w:t xml:space="preserve">, rather than a hazard rate related to a </w:t>
      </w:r>
      <w:r w:rsidR="0018168C">
        <w:rPr>
          <w:lang w:val="en-GB"/>
        </w:rPr>
        <w:t xml:space="preserve">specific </w:t>
      </w:r>
      <w:r w:rsidR="00B73620" w:rsidRPr="003768E2">
        <w:t>cut-point</w:t>
      </w:r>
      <w:r w:rsidR="0018168C">
        <w:rPr>
          <w:lang w:val="en-GB"/>
        </w:rPr>
        <w:t xml:space="preserve"> in time</w:t>
      </w:r>
      <w:r w:rsidR="00B73620" w:rsidRPr="003768E2">
        <w:t xml:space="preserve">. The committee </w:t>
      </w:r>
      <w:r w:rsidR="0018168C">
        <w:rPr>
          <w:lang w:val="en-GB"/>
        </w:rPr>
        <w:t xml:space="preserve">concluded </w:t>
      </w:r>
      <w:r w:rsidR="00B73620" w:rsidRPr="003768E2">
        <w:t xml:space="preserve">that the most appropriate overall survival model for the atezolizumab arm </w:t>
      </w:r>
      <w:r w:rsidR="0018168C">
        <w:rPr>
          <w:lang w:val="en-GB"/>
        </w:rPr>
        <w:t xml:space="preserve">was </w:t>
      </w:r>
      <w:r w:rsidR="00B73620" w:rsidRPr="003768E2">
        <w:t>one that not only fitted to the whole curve (rather than just a section of it), but also took into account the</w:t>
      </w:r>
      <w:r w:rsidR="0018168C">
        <w:rPr>
          <w:lang w:val="en-GB"/>
        </w:rPr>
        <w:t xml:space="preserve"> changing</w:t>
      </w:r>
      <w:r w:rsidR="00B73620" w:rsidRPr="003768E2">
        <w:t xml:space="preserve"> hazard profile</w:t>
      </w:r>
      <w:r w:rsidR="00152626">
        <w:rPr>
          <w:lang w:val="en-GB"/>
        </w:rPr>
        <w:t xml:space="preserve"> over time</w:t>
      </w:r>
      <w:r w:rsidR="00B73620" w:rsidRPr="003768E2">
        <w:t xml:space="preserve">. </w:t>
      </w:r>
      <w:r w:rsidR="00B941C3" w:rsidRPr="003768E2">
        <w:t>Therefore</w:t>
      </w:r>
      <w:r w:rsidR="00B73620" w:rsidRPr="003768E2">
        <w:t xml:space="preserve">, the committee </w:t>
      </w:r>
      <w:r w:rsidR="00B941C3" w:rsidRPr="003768E2">
        <w:t>agreed</w:t>
      </w:r>
      <w:r w:rsidR="00B73620" w:rsidRPr="003768E2">
        <w:t xml:space="preserve"> that some of the spline-based models </w:t>
      </w:r>
      <w:r w:rsidR="000E5877">
        <w:rPr>
          <w:lang w:val="en-GB"/>
        </w:rPr>
        <w:t xml:space="preserve">for the atezolizumab arm </w:t>
      </w:r>
      <w:r w:rsidR="00B73620" w:rsidRPr="003768E2">
        <w:t>w</w:t>
      </w:r>
      <w:r w:rsidR="0018168C">
        <w:rPr>
          <w:lang w:val="en-GB"/>
        </w:rPr>
        <w:t>ere</w:t>
      </w:r>
      <w:r w:rsidR="00B73620" w:rsidRPr="003768E2">
        <w:t xml:space="preserve"> most appr</w:t>
      </w:r>
      <w:r w:rsidR="00C66C60" w:rsidRPr="003768E2">
        <w:t>opriate</w:t>
      </w:r>
      <w:r w:rsidR="008B4FDC">
        <w:rPr>
          <w:lang w:val="en-GB"/>
        </w:rPr>
        <w:t>, but statistical criteria did not show that</w:t>
      </w:r>
      <w:r w:rsidR="0018168C">
        <w:rPr>
          <w:lang w:val="en-GB"/>
        </w:rPr>
        <w:t xml:space="preserve"> any</w:t>
      </w:r>
      <w:r w:rsidR="008B4FDC">
        <w:rPr>
          <w:lang w:val="en-GB"/>
        </w:rPr>
        <w:t xml:space="preserve"> one was a better choice than </w:t>
      </w:r>
      <w:r w:rsidR="0018168C">
        <w:rPr>
          <w:lang w:val="en-GB"/>
        </w:rPr>
        <w:t>any</w:t>
      </w:r>
      <w:r w:rsidR="008B4FDC">
        <w:rPr>
          <w:lang w:val="en-GB"/>
        </w:rPr>
        <w:t xml:space="preserve"> other</w:t>
      </w:r>
      <w:r w:rsidR="00C66C60" w:rsidRPr="003768E2">
        <w:t xml:space="preserve">. </w:t>
      </w:r>
      <w:r w:rsidR="0018168C">
        <w:rPr>
          <w:lang w:val="en-GB"/>
        </w:rPr>
        <w:t xml:space="preserve">It also noted that </w:t>
      </w:r>
      <w:r w:rsidR="00225DF5">
        <w:rPr>
          <w:lang w:val="en-GB"/>
        </w:rPr>
        <w:t>w</w:t>
      </w:r>
      <w:r w:rsidR="00C66C60" w:rsidRPr="003768E2">
        <w:t>hen using the 60</w:t>
      </w:r>
      <w:r w:rsidR="00EE5C03">
        <w:noBreakHyphen/>
      </w:r>
      <w:r w:rsidR="00C66C60" w:rsidRPr="003768E2">
        <w:t>month treatment effect duration</w:t>
      </w:r>
      <w:r w:rsidR="009C271B">
        <w:rPr>
          <w:lang w:val="en-GB"/>
        </w:rPr>
        <w:t xml:space="preserve"> (see section</w:t>
      </w:r>
      <w:r w:rsidR="00320F19">
        <w:rPr>
          <w:lang w:val="en-GB"/>
        </w:rPr>
        <w:t> </w:t>
      </w:r>
      <w:r w:rsidR="009C271B">
        <w:rPr>
          <w:lang w:val="en-GB"/>
        </w:rPr>
        <w:fldChar w:fldCharType="begin"/>
      </w:r>
      <w:r w:rsidR="009C271B">
        <w:rPr>
          <w:lang w:val="en-GB"/>
        </w:rPr>
        <w:instrText xml:space="preserve"> REF _Ref27577450 \r \h </w:instrText>
      </w:r>
      <w:r w:rsidR="009C271B">
        <w:rPr>
          <w:lang w:val="en-GB"/>
        </w:rPr>
      </w:r>
      <w:r w:rsidR="009C271B">
        <w:rPr>
          <w:lang w:val="en-GB"/>
        </w:rPr>
        <w:fldChar w:fldCharType="separate"/>
      </w:r>
      <w:r w:rsidR="00FF44E2">
        <w:rPr>
          <w:lang w:val="en-GB"/>
        </w:rPr>
        <w:t>3.6</w:t>
      </w:r>
      <w:r w:rsidR="009C271B">
        <w:rPr>
          <w:lang w:val="en-GB"/>
        </w:rPr>
        <w:fldChar w:fldCharType="end"/>
      </w:r>
      <w:r w:rsidR="009C271B">
        <w:rPr>
          <w:lang w:val="en-GB"/>
        </w:rPr>
        <w:t>)</w:t>
      </w:r>
      <w:r w:rsidR="00C66C60" w:rsidRPr="003768E2">
        <w:t>, the ICER generated with a log-logistic model for the chemotherapy arm and</w:t>
      </w:r>
      <w:r w:rsidR="002A295F">
        <w:rPr>
          <w:lang w:val="en-GB"/>
        </w:rPr>
        <w:t xml:space="preserve"> 1</w:t>
      </w:r>
      <w:r w:rsidR="00236437">
        <w:rPr>
          <w:lang w:val="en-GB"/>
        </w:rPr>
        <w:t xml:space="preserve"> of the </w:t>
      </w:r>
      <w:r w:rsidR="00C66C60" w:rsidRPr="003768E2">
        <w:t xml:space="preserve">preferred spline models for the atezolizumab arm would </w:t>
      </w:r>
      <w:r w:rsidR="0035440D">
        <w:rPr>
          <w:lang w:val="en-US"/>
        </w:rPr>
        <w:t>give</w:t>
      </w:r>
      <w:r w:rsidR="00C66C60" w:rsidRPr="003768E2">
        <w:t xml:space="preserve"> an ICER that was over £50,000 per QALY</w:t>
      </w:r>
      <w:r w:rsidR="00DF7C33" w:rsidRPr="003768E2">
        <w:t xml:space="preserve"> gained</w:t>
      </w:r>
      <w:r w:rsidR="00C66C60" w:rsidRPr="003768E2">
        <w:t>, and could be as high as</w:t>
      </w:r>
      <w:r w:rsidR="00EC00B1" w:rsidRPr="003768E2">
        <w:t xml:space="preserve"> </w:t>
      </w:r>
      <w:r w:rsidR="00C66C60" w:rsidRPr="003768E2">
        <w:t>£7</w:t>
      </w:r>
      <w:r w:rsidR="00E54432">
        <w:rPr>
          <w:lang w:val="en-GB"/>
        </w:rPr>
        <w:t>5,544</w:t>
      </w:r>
      <w:r w:rsidR="001460C3">
        <w:rPr>
          <w:lang w:val="en-GB"/>
        </w:rPr>
        <w:t xml:space="preserve"> </w:t>
      </w:r>
      <w:r w:rsidR="00DF7C33" w:rsidRPr="003768E2">
        <w:t>per QALY gained</w:t>
      </w:r>
      <w:r w:rsidR="00C66C60" w:rsidRPr="003768E2">
        <w:t>.</w:t>
      </w:r>
      <w:bookmarkEnd w:id="18"/>
      <w:bookmarkEnd w:id="19"/>
    </w:p>
    <w:p w14:paraId="5AD4338B" w14:textId="19FE2AE6" w:rsidR="00D27B83" w:rsidRDefault="00D27B83" w:rsidP="00643582">
      <w:pPr>
        <w:pStyle w:val="Heading2"/>
      </w:pPr>
      <w:r>
        <w:t>Cost</w:t>
      </w:r>
      <w:r w:rsidR="008C272A">
        <w:t>-</w:t>
      </w:r>
      <w:r>
        <w:t>effectiveness results</w:t>
      </w:r>
    </w:p>
    <w:p w14:paraId="44D3FC4B" w14:textId="3AEF0F2C" w:rsidR="00D27B83" w:rsidRDefault="00D27B83" w:rsidP="00D27B83">
      <w:pPr>
        <w:pStyle w:val="Heading3"/>
      </w:pPr>
      <w:r>
        <w:t xml:space="preserve">The </w:t>
      </w:r>
      <w:r w:rsidR="00C879C0">
        <w:t xml:space="preserve">curve-fitting and extrapolation </w:t>
      </w:r>
      <w:r>
        <w:t>of overall survival ha</w:t>
      </w:r>
      <w:r w:rsidR="0094688E">
        <w:t>s</w:t>
      </w:r>
      <w:r>
        <w:t xml:space="preserve"> a large impact on the ICER</w:t>
      </w:r>
    </w:p>
    <w:p w14:paraId="5D9C0500" w14:textId="3C64F2F5" w:rsidR="00D27B83" w:rsidRPr="00BC47DC" w:rsidRDefault="00D27B83" w:rsidP="00D27B83">
      <w:pPr>
        <w:pStyle w:val="Numberedlevel2text"/>
        <w:rPr>
          <w:strike/>
        </w:rPr>
      </w:pPr>
      <w:r w:rsidRPr="00D27B83">
        <w:t xml:space="preserve">The company’s </w:t>
      </w:r>
      <w:r w:rsidR="00225DF5">
        <w:rPr>
          <w:lang w:val="en-GB"/>
        </w:rPr>
        <w:t xml:space="preserve">new </w:t>
      </w:r>
      <w:r w:rsidRPr="00D27B83">
        <w:t xml:space="preserve">deterministic base case showed that the ICER for </w:t>
      </w:r>
      <w:r>
        <w:rPr>
          <w:lang w:val="en-GB"/>
        </w:rPr>
        <w:t xml:space="preserve">atezolizumab </w:t>
      </w:r>
      <w:r w:rsidR="00BF4359">
        <w:rPr>
          <w:lang w:val="en-GB"/>
        </w:rPr>
        <w:t>and</w:t>
      </w:r>
      <w:r>
        <w:rPr>
          <w:lang w:val="en-GB"/>
        </w:rPr>
        <w:t xml:space="preserve"> chemotherapy</w:t>
      </w:r>
      <w:r w:rsidRPr="00D27B83">
        <w:t xml:space="preserve"> compared with </w:t>
      </w:r>
      <w:r>
        <w:rPr>
          <w:lang w:val="en-GB"/>
        </w:rPr>
        <w:t>chemotherapy alone</w:t>
      </w:r>
      <w:r w:rsidRPr="00D27B83">
        <w:t xml:space="preserve"> was £</w:t>
      </w:r>
      <w:r w:rsidR="00692625" w:rsidRPr="00692625">
        <w:rPr>
          <w:lang w:val="en-GB"/>
        </w:rPr>
        <w:t>41,894</w:t>
      </w:r>
      <w:r w:rsidR="00692625">
        <w:rPr>
          <w:lang w:val="en-GB"/>
        </w:rPr>
        <w:t xml:space="preserve"> </w:t>
      </w:r>
      <w:r w:rsidRPr="00D27B83">
        <w:t xml:space="preserve">per QALY gained. All analyses included the patient access scheme for </w:t>
      </w:r>
      <w:r>
        <w:rPr>
          <w:lang w:val="en-GB"/>
        </w:rPr>
        <w:t>atezolizumab</w:t>
      </w:r>
      <w:r w:rsidRPr="00D27B83">
        <w:t>.</w:t>
      </w:r>
      <w:r>
        <w:rPr>
          <w:lang w:val="en-GB"/>
        </w:rPr>
        <w:t xml:space="preserve"> The ERG preferred to use </w:t>
      </w:r>
      <w:r w:rsidR="00692625">
        <w:rPr>
          <w:lang w:val="en-GB"/>
        </w:rPr>
        <w:t xml:space="preserve">a log-logistic </w:t>
      </w:r>
      <w:r>
        <w:rPr>
          <w:lang w:val="en-GB"/>
        </w:rPr>
        <w:t>extrapolation for long-term survival</w:t>
      </w:r>
      <w:r w:rsidR="00692625">
        <w:rPr>
          <w:lang w:val="en-GB"/>
        </w:rPr>
        <w:t xml:space="preserve"> for the chemotherapy arm</w:t>
      </w:r>
      <w:r w:rsidR="00BF4359">
        <w:rPr>
          <w:lang w:val="en-GB"/>
        </w:rPr>
        <w:t>.</w:t>
      </w:r>
      <w:r>
        <w:rPr>
          <w:lang w:val="en-GB"/>
        </w:rPr>
        <w:t xml:space="preserve"> </w:t>
      </w:r>
      <w:r w:rsidR="00BF4359">
        <w:rPr>
          <w:lang w:val="en-GB"/>
        </w:rPr>
        <w:t>It</w:t>
      </w:r>
      <w:r w:rsidR="00692625">
        <w:rPr>
          <w:lang w:val="en-GB"/>
        </w:rPr>
        <w:t xml:space="preserve"> considered several different </w:t>
      </w:r>
      <w:r w:rsidR="00464B68">
        <w:rPr>
          <w:lang w:val="en-GB"/>
        </w:rPr>
        <w:t xml:space="preserve">plausible </w:t>
      </w:r>
      <w:r w:rsidR="00692625">
        <w:rPr>
          <w:lang w:val="en-GB"/>
        </w:rPr>
        <w:t>extrapolations for the atezolizumab arm, giving ICER</w:t>
      </w:r>
      <w:r w:rsidR="00BF4359">
        <w:rPr>
          <w:lang w:val="en-GB"/>
        </w:rPr>
        <w:t>s</w:t>
      </w:r>
      <w:r w:rsidR="00692625">
        <w:rPr>
          <w:lang w:val="en-GB"/>
        </w:rPr>
        <w:t xml:space="preserve"> between </w:t>
      </w:r>
      <w:r w:rsidR="00692625" w:rsidRPr="00692625">
        <w:rPr>
          <w:lang w:val="en-GB"/>
        </w:rPr>
        <w:t>£39,710</w:t>
      </w:r>
      <w:r w:rsidR="00692625">
        <w:rPr>
          <w:lang w:val="en-GB"/>
        </w:rPr>
        <w:t xml:space="preserve"> and </w:t>
      </w:r>
      <w:r w:rsidR="00692625" w:rsidRPr="00692625">
        <w:rPr>
          <w:lang w:val="en-GB"/>
        </w:rPr>
        <w:t>£75,544</w:t>
      </w:r>
      <w:r w:rsidR="00B87631">
        <w:rPr>
          <w:lang w:val="en-GB"/>
        </w:rPr>
        <w:t xml:space="preserve"> per QALY gained</w:t>
      </w:r>
      <w:r>
        <w:rPr>
          <w:lang w:val="en-GB"/>
        </w:rPr>
        <w:t xml:space="preserve">. </w:t>
      </w:r>
      <w:r w:rsidR="002D4271">
        <w:rPr>
          <w:lang w:val="en-GB"/>
        </w:rPr>
        <w:t>The committee agreed that a log-logistic extrapolation was appropriate for the chemotherapy arm</w:t>
      </w:r>
      <w:r w:rsidR="009C271B">
        <w:rPr>
          <w:lang w:val="en-GB"/>
        </w:rPr>
        <w:t xml:space="preserve"> (see section</w:t>
      </w:r>
      <w:r w:rsidR="00B644D6">
        <w:rPr>
          <w:lang w:val="en-GB"/>
        </w:rPr>
        <w:t> </w:t>
      </w:r>
      <w:r w:rsidR="009C271B">
        <w:rPr>
          <w:lang w:val="en-GB"/>
        </w:rPr>
        <w:fldChar w:fldCharType="begin"/>
      </w:r>
      <w:r w:rsidR="009C271B">
        <w:rPr>
          <w:lang w:val="en-GB"/>
        </w:rPr>
        <w:instrText xml:space="preserve"> REF _Ref27577542 \r \h </w:instrText>
      </w:r>
      <w:r w:rsidR="009C271B">
        <w:rPr>
          <w:lang w:val="en-GB"/>
        </w:rPr>
      </w:r>
      <w:r w:rsidR="009C271B">
        <w:rPr>
          <w:lang w:val="en-GB"/>
        </w:rPr>
        <w:fldChar w:fldCharType="separate"/>
      </w:r>
      <w:r w:rsidR="00FF44E2">
        <w:rPr>
          <w:lang w:val="en-GB"/>
        </w:rPr>
        <w:t>3.8</w:t>
      </w:r>
      <w:r w:rsidR="009C271B">
        <w:rPr>
          <w:lang w:val="en-GB"/>
        </w:rPr>
        <w:fldChar w:fldCharType="end"/>
      </w:r>
      <w:r w:rsidR="009C271B">
        <w:rPr>
          <w:lang w:val="en-GB"/>
        </w:rPr>
        <w:t>)</w:t>
      </w:r>
      <w:r w:rsidR="00BF4359">
        <w:rPr>
          <w:lang w:val="en-GB"/>
        </w:rPr>
        <w:t>.</w:t>
      </w:r>
      <w:r w:rsidR="002D4271">
        <w:rPr>
          <w:lang w:val="en-GB"/>
        </w:rPr>
        <w:t xml:space="preserve"> </w:t>
      </w:r>
      <w:r w:rsidR="00BF4359">
        <w:rPr>
          <w:lang w:val="en-GB"/>
        </w:rPr>
        <w:t>Also, it found</w:t>
      </w:r>
      <w:r w:rsidR="002D4271">
        <w:rPr>
          <w:lang w:val="en-GB"/>
        </w:rPr>
        <w:t xml:space="preserve"> that some of the flexible </w:t>
      </w:r>
      <w:r w:rsidR="00C879C0">
        <w:rPr>
          <w:lang w:val="en-GB"/>
        </w:rPr>
        <w:t xml:space="preserve">curves </w:t>
      </w:r>
      <w:r w:rsidR="00BF4359">
        <w:rPr>
          <w:lang w:val="en-GB"/>
        </w:rPr>
        <w:t>considered</w:t>
      </w:r>
      <w:r w:rsidR="002D4271">
        <w:rPr>
          <w:lang w:val="en-GB"/>
        </w:rPr>
        <w:t xml:space="preserve"> </w:t>
      </w:r>
      <w:r w:rsidR="004D676E">
        <w:rPr>
          <w:lang w:val="en-GB"/>
        </w:rPr>
        <w:t>plausible fits</w:t>
      </w:r>
      <w:r w:rsidR="00406C08">
        <w:rPr>
          <w:lang w:val="en-GB"/>
        </w:rPr>
        <w:t xml:space="preserve"> to the trial data</w:t>
      </w:r>
      <w:r w:rsidR="004D676E">
        <w:rPr>
          <w:lang w:val="en-GB"/>
        </w:rPr>
        <w:t xml:space="preserve"> </w:t>
      </w:r>
      <w:r w:rsidR="00C879C0">
        <w:rPr>
          <w:lang w:val="en-GB"/>
        </w:rPr>
        <w:t xml:space="preserve">by the ERG and technical team </w:t>
      </w:r>
      <w:r w:rsidR="002D4271">
        <w:rPr>
          <w:lang w:val="en-GB"/>
        </w:rPr>
        <w:t>for the atezolizumab</w:t>
      </w:r>
      <w:r w:rsidR="00A50EFE">
        <w:rPr>
          <w:lang w:val="en-GB"/>
        </w:rPr>
        <w:t xml:space="preserve"> </w:t>
      </w:r>
      <w:r w:rsidR="00C879C0">
        <w:rPr>
          <w:lang w:val="en-GB"/>
        </w:rPr>
        <w:t>group</w:t>
      </w:r>
      <w:r w:rsidR="002D4271">
        <w:rPr>
          <w:lang w:val="en-GB"/>
        </w:rPr>
        <w:t xml:space="preserve"> were more appropriate, particularly the spline-based models. This increased the</w:t>
      </w:r>
      <w:r w:rsidR="00C879C0">
        <w:rPr>
          <w:lang w:val="en-GB"/>
        </w:rPr>
        <w:t xml:space="preserve"> most</w:t>
      </w:r>
      <w:r w:rsidR="002D4271">
        <w:rPr>
          <w:lang w:val="en-GB"/>
        </w:rPr>
        <w:t xml:space="preserve"> plausible ICER to between just over £50,000 per QALY gained and £7</w:t>
      </w:r>
      <w:r w:rsidR="00E54432">
        <w:rPr>
          <w:lang w:val="en-GB"/>
        </w:rPr>
        <w:t>5</w:t>
      </w:r>
      <w:r w:rsidR="002D4271">
        <w:rPr>
          <w:lang w:val="en-GB"/>
        </w:rPr>
        <w:t>,</w:t>
      </w:r>
      <w:r w:rsidR="00AB4EF1">
        <w:rPr>
          <w:lang w:val="en-GB"/>
        </w:rPr>
        <w:t xml:space="preserve">544 </w:t>
      </w:r>
      <w:r w:rsidR="002D4271">
        <w:rPr>
          <w:lang w:val="en-GB"/>
        </w:rPr>
        <w:t>per QALY gained</w:t>
      </w:r>
      <w:r w:rsidR="002D4271" w:rsidRPr="00BC47DC">
        <w:rPr>
          <w:lang w:val="en-GB"/>
        </w:rPr>
        <w:t>.</w:t>
      </w:r>
    </w:p>
    <w:p w14:paraId="0E84D904" w14:textId="1F3CC662" w:rsidR="00643582" w:rsidRDefault="00D548F5" w:rsidP="00643582">
      <w:pPr>
        <w:pStyle w:val="Heading2"/>
      </w:pPr>
      <w:r>
        <w:lastRenderedPageBreak/>
        <w:t>End</w:t>
      </w:r>
      <w:r w:rsidR="00BF4359">
        <w:t xml:space="preserve"> </w:t>
      </w:r>
      <w:r>
        <w:t>of</w:t>
      </w:r>
      <w:r w:rsidR="00BF4359">
        <w:t xml:space="preserve"> </w:t>
      </w:r>
      <w:r>
        <w:t>life</w:t>
      </w:r>
    </w:p>
    <w:p w14:paraId="35ED13D5" w14:textId="77777777" w:rsidR="00233D72" w:rsidRDefault="00233D72" w:rsidP="00233D72">
      <w:pPr>
        <w:pStyle w:val="Heading3"/>
      </w:pPr>
      <w:r>
        <w:t>Restricted mean analysis of overall survival data from Impower133 may support atezolizumab with chemotherapy meeting NICE’s end-of-life criteria</w:t>
      </w:r>
    </w:p>
    <w:p w14:paraId="0A9112B3" w14:textId="4BE13AE3" w:rsidR="00233D72" w:rsidRDefault="00233D72" w:rsidP="00233D72">
      <w:pPr>
        <w:pStyle w:val="Numberedlevel2text"/>
      </w:pPr>
      <w:r>
        <w:rPr>
          <w:lang w:val="en-US"/>
        </w:rPr>
        <w:t>A</w:t>
      </w:r>
      <w:r w:rsidRPr="008F6BAB">
        <w:t xml:space="preserve"> restricted mean analysis of the overall survival data from IMpower133 may </w:t>
      </w:r>
      <w:r>
        <w:rPr>
          <w:lang w:val="en-US"/>
        </w:rPr>
        <w:t>help</w:t>
      </w:r>
      <w:r w:rsidRPr="008F6BAB">
        <w:t xml:space="preserve"> estimate the extent that atezolizumab </w:t>
      </w:r>
      <w:r>
        <w:rPr>
          <w:lang w:val="en-US"/>
        </w:rPr>
        <w:t>with</w:t>
      </w:r>
      <w:r w:rsidRPr="008F6BAB">
        <w:t xml:space="preserve"> chemotherapy extends life compared </w:t>
      </w:r>
      <w:r w:rsidRPr="00BE38E4">
        <w:t>with</w:t>
      </w:r>
      <w:r w:rsidRPr="008F6BAB">
        <w:t xml:space="preserve"> chemotherapy alone. </w:t>
      </w:r>
      <w:r w:rsidRPr="003768E2">
        <w:t>The c</w:t>
      </w:r>
      <w:r w:rsidRPr="008F6BAB">
        <w:t>ompany</w:t>
      </w:r>
      <w:r w:rsidRPr="003768E2">
        <w:t xml:space="preserve"> explained that the</w:t>
      </w:r>
      <w:r w:rsidRPr="00BE38E4">
        <w:t xml:space="preserve"> restricted mean survival time</w:t>
      </w:r>
      <w:r w:rsidRPr="00270476">
        <w:t xml:space="preserve"> increas</w:t>
      </w:r>
      <w:r>
        <w:rPr>
          <w:lang w:val="en-US"/>
        </w:rPr>
        <w:t>es</w:t>
      </w:r>
      <w:r w:rsidRPr="00270476">
        <w:t xml:space="preserve"> with further data cuts and get</w:t>
      </w:r>
      <w:r>
        <w:rPr>
          <w:lang w:val="en-US"/>
        </w:rPr>
        <w:t>s</w:t>
      </w:r>
      <w:r w:rsidRPr="00270476">
        <w:t xml:space="preserve"> closer to NICE</w:t>
      </w:r>
      <w:r>
        <w:rPr>
          <w:lang w:val="en-US"/>
        </w:rPr>
        <w:t>’s</w:t>
      </w:r>
      <w:r w:rsidRPr="00270476">
        <w:t xml:space="preserve"> end-of-life extension</w:t>
      </w:r>
      <w:r>
        <w:rPr>
          <w:lang w:val="en-US"/>
        </w:rPr>
        <w:t>-</w:t>
      </w:r>
      <w:r w:rsidRPr="00270476">
        <w:t>to</w:t>
      </w:r>
      <w:r>
        <w:rPr>
          <w:lang w:val="en-US"/>
        </w:rPr>
        <w:t>-</w:t>
      </w:r>
      <w:r w:rsidRPr="00270476">
        <w:t xml:space="preserve">life </w:t>
      </w:r>
      <w:r w:rsidRPr="008F6BAB">
        <w:t xml:space="preserve">criterion. </w:t>
      </w:r>
      <w:r w:rsidRPr="00BE38E4">
        <w:t>With the company’s updated base case, t</w:t>
      </w:r>
      <w:r w:rsidRPr="008F6BAB">
        <w:t xml:space="preserve">he mean difference in </w:t>
      </w:r>
      <w:r w:rsidRPr="00BE38E4">
        <w:t xml:space="preserve">overall survival </w:t>
      </w:r>
      <w:r>
        <w:rPr>
          <w:lang w:val="en-US"/>
        </w:rPr>
        <w:t>wa</w:t>
      </w:r>
      <w:r w:rsidRPr="008F6BAB">
        <w:t>s 4.93</w:t>
      </w:r>
      <w:r>
        <w:rPr>
          <w:lang w:val="en-US"/>
        </w:rPr>
        <w:t> </w:t>
      </w:r>
      <w:r w:rsidRPr="008F6BAB">
        <w:t>months</w:t>
      </w:r>
      <w:r>
        <w:rPr>
          <w:lang w:val="en-US"/>
        </w:rPr>
        <w:t>,</w:t>
      </w:r>
      <w:r w:rsidRPr="008F6BAB">
        <w:t xml:space="preserve"> which is above the 3</w:t>
      </w:r>
      <w:r>
        <w:rPr>
          <w:lang w:val="en-US"/>
        </w:rPr>
        <w:t> </w:t>
      </w:r>
      <w:r w:rsidRPr="008F6BAB">
        <w:t xml:space="preserve">months threshold </w:t>
      </w:r>
      <w:r>
        <w:rPr>
          <w:lang w:val="en-US"/>
        </w:rPr>
        <w:t>needed</w:t>
      </w:r>
      <w:r w:rsidRPr="008F6BAB">
        <w:t xml:space="preserve"> to meet the </w:t>
      </w:r>
      <w:r w:rsidRPr="00BE38E4">
        <w:t>end-of</w:t>
      </w:r>
      <w:r w:rsidRPr="00270476">
        <w:t xml:space="preserve">-life </w:t>
      </w:r>
      <w:r w:rsidRPr="008F6BAB">
        <w:t xml:space="preserve">criteria. </w:t>
      </w:r>
      <w:r w:rsidRPr="003768E2">
        <w:t>The ERG explained that the restricted mean analysis indicate</w:t>
      </w:r>
      <w:r>
        <w:rPr>
          <w:lang w:val="en-US"/>
        </w:rPr>
        <w:t>d</w:t>
      </w:r>
      <w:r w:rsidRPr="003768E2">
        <w:t xml:space="preserve"> that</w:t>
      </w:r>
      <w:r>
        <w:rPr>
          <w:lang w:val="en-US"/>
        </w:rPr>
        <w:t xml:space="preserve"> 1</w:t>
      </w:r>
      <w:r w:rsidRPr="003768E2">
        <w:t xml:space="preserve"> of the end-of-life criteria might not be met if the difference in mean survival based on the trial data only is used to estimate increase in life expectancy. However, the difference in means is larger the later the cut-off, and the model predicts a gain in life expectancy of over 3</w:t>
      </w:r>
      <w:r>
        <w:rPr>
          <w:lang w:val="en-US"/>
        </w:rPr>
        <w:t> </w:t>
      </w:r>
      <w:r w:rsidRPr="003768E2">
        <w:t xml:space="preserve">months using any of the log-logistic based models. The committee </w:t>
      </w:r>
      <w:r>
        <w:rPr>
          <w:lang w:val="en-US"/>
        </w:rPr>
        <w:t>used</w:t>
      </w:r>
      <w:r w:rsidRPr="003768E2">
        <w:t xml:space="preserve"> the evidence on restricted mean analysis </w:t>
      </w:r>
      <w:r>
        <w:rPr>
          <w:lang w:val="en-US"/>
        </w:rPr>
        <w:t xml:space="preserve">to </w:t>
      </w:r>
      <w:r w:rsidRPr="003768E2">
        <w:t xml:space="preserve">discuss whether or not all end-of-life criteria </w:t>
      </w:r>
      <w:r>
        <w:rPr>
          <w:lang w:val="en-US"/>
        </w:rPr>
        <w:t>were</w:t>
      </w:r>
      <w:r w:rsidRPr="003768E2">
        <w:t xml:space="preserve"> met (see section</w:t>
      </w:r>
      <w:r w:rsidR="004726BE">
        <w:rPr>
          <w:lang w:val="en-US"/>
        </w:rPr>
        <w:t> </w:t>
      </w:r>
      <w:r w:rsidRPr="003768E2">
        <w:fldChar w:fldCharType="begin"/>
      </w:r>
      <w:r w:rsidRPr="003768E2">
        <w:instrText xml:space="preserve"> REF _Ref26742671 \r \h </w:instrText>
      </w:r>
      <w:r>
        <w:instrText xml:space="preserve"> \* MERGEFORMAT </w:instrText>
      </w:r>
      <w:r w:rsidRPr="003768E2">
        <w:fldChar w:fldCharType="separate"/>
      </w:r>
      <w:r w:rsidR="00FF44E2">
        <w:t>3.11</w:t>
      </w:r>
      <w:r w:rsidRPr="003768E2">
        <w:fldChar w:fldCharType="end"/>
      </w:r>
      <w:r w:rsidRPr="003768E2">
        <w:t>).</w:t>
      </w:r>
    </w:p>
    <w:p w14:paraId="19862C6C" w14:textId="71815B1B" w:rsidR="00643582" w:rsidRPr="00DF0C5C" w:rsidRDefault="001665C8" w:rsidP="00233D72">
      <w:pPr>
        <w:pStyle w:val="Heading3"/>
      </w:pPr>
      <w:r>
        <w:t>A</w:t>
      </w:r>
      <w:r w:rsidR="0062689A">
        <w:t>tezolizumab</w:t>
      </w:r>
      <w:r w:rsidR="0062689A" w:rsidRPr="0062689A">
        <w:t xml:space="preserve"> </w:t>
      </w:r>
      <w:r w:rsidR="00E675B0">
        <w:t>with carboplatin and etoposide</w:t>
      </w:r>
      <w:r w:rsidR="00E675B0" w:rsidRPr="002A17A3">
        <w:t xml:space="preserve"> </w:t>
      </w:r>
      <w:r w:rsidR="00B76895">
        <w:t xml:space="preserve">for </w:t>
      </w:r>
      <w:r w:rsidR="00860062">
        <w:t>ES-SCLC</w:t>
      </w:r>
      <w:r w:rsidR="00B76895">
        <w:t xml:space="preserve"> </w:t>
      </w:r>
      <w:r w:rsidR="0062689A" w:rsidRPr="0062689A">
        <w:t>meet</w:t>
      </w:r>
      <w:r w:rsidR="00B76895">
        <w:t>s</w:t>
      </w:r>
      <w:r w:rsidR="0062689A" w:rsidRPr="0062689A">
        <w:t xml:space="preserve"> NICE's end-of-life criteria</w:t>
      </w:r>
    </w:p>
    <w:p w14:paraId="2C45CF6F" w14:textId="55529AF8" w:rsidR="00643582" w:rsidRPr="00BC47DC" w:rsidRDefault="00643582" w:rsidP="0062753A">
      <w:pPr>
        <w:pStyle w:val="Numberedlevel2text"/>
        <w:numPr>
          <w:ilvl w:val="1"/>
          <w:numId w:val="1"/>
        </w:numPr>
      </w:pPr>
      <w:bookmarkStart w:id="20" w:name="_Ref26742671"/>
      <w:r>
        <w:t xml:space="preserve">The committee considered the </w:t>
      </w:r>
      <w:r w:rsidRPr="00611D94">
        <w:t>advice</w:t>
      </w:r>
      <w:r>
        <w:t xml:space="preserve"> about life-extending treatments for people with a short life expectancy in NICE’s </w:t>
      </w:r>
      <w:hyperlink r:id="rId12" w:history="1">
        <w:r w:rsidR="00746B57">
          <w:rPr>
            <w:rStyle w:val="Hyperlink"/>
          </w:rPr>
          <w:t>guide to the methods of technology appraisal</w:t>
        </w:r>
      </w:hyperlink>
      <w:r>
        <w:t>.</w:t>
      </w:r>
      <w:r w:rsidR="0062689A">
        <w:rPr>
          <w:lang w:val="en-GB"/>
        </w:rPr>
        <w:t xml:space="preserve"> Based on evidence from IMpower133 and clinical expert opinion, the committee concluded that the life expectancy of people with untreated </w:t>
      </w:r>
      <w:r w:rsidR="00BF4359">
        <w:rPr>
          <w:lang w:val="en-GB"/>
        </w:rPr>
        <w:t>ES</w:t>
      </w:r>
      <w:r w:rsidR="00BF4359">
        <w:rPr>
          <w:lang w:val="en-GB"/>
        </w:rPr>
        <w:noBreakHyphen/>
        <w:t>SCLC</w:t>
      </w:r>
      <w:r w:rsidR="0062689A">
        <w:rPr>
          <w:lang w:val="en-GB"/>
        </w:rPr>
        <w:t xml:space="preserve"> would be under 24</w:t>
      </w:r>
      <w:r w:rsidR="00BF4359">
        <w:rPr>
          <w:lang w:val="en-GB"/>
        </w:rPr>
        <w:t> </w:t>
      </w:r>
      <w:r w:rsidR="0062689A">
        <w:rPr>
          <w:lang w:val="en-GB"/>
        </w:rPr>
        <w:t>months</w:t>
      </w:r>
      <w:r w:rsidR="000B5172">
        <w:rPr>
          <w:lang w:val="en-GB"/>
        </w:rPr>
        <w:t xml:space="preserve"> with current NHS treatment</w:t>
      </w:r>
      <w:r w:rsidR="0062689A">
        <w:rPr>
          <w:lang w:val="en-GB"/>
        </w:rPr>
        <w:t xml:space="preserve">. The company’s </w:t>
      </w:r>
      <w:r w:rsidR="005D2A41">
        <w:rPr>
          <w:lang w:val="en-GB"/>
        </w:rPr>
        <w:t xml:space="preserve">preferred </w:t>
      </w:r>
      <w:r w:rsidR="0062689A">
        <w:rPr>
          <w:lang w:val="en-GB"/>
        </w:rPr>
        <w:t xml:space="preserve">economic model </w:t>
      </w:r>
      <w:r w:rsidR="005926EF">
        <w:rPr>
          <w:lang w:val="en-GB"/>
        </w:rPr>
        <w:t xml:space="preserve">was a </w:t>
      </w:r>
      <w:r w:rsidR="005D2A41">
        <w:rPr>
          <w:lang w:val="en-GB"/>
        </w:rPr>
        <w:t xml:space="preserve">hybrid </w:t>
      </w:r>
      <w:r w:rsidR="00EA7939">
        <w:rPr>
          <w:lang w:val="en-GB"/>
        </w:rPr>
        <w:t>model using</w:t>
      </w:r>
      <w:r w:rsidR="005D2A41">
        <w:rPr>
          <w:lang w:val="en-GB"/>
        </w:rPr>
        <w:t xml:space="preserve"> Kaplan-Meier data with log-logistic extrapolation from 20</w:t>
      </w:r>
      <w:r w:rsidR="005926EF">
        <w:rPr>
          <w:lang w:val="en-GB"/>
        </w:rPr>
        <w:t> </w:t>
      </w:r>
      <w:r w:rsidR="005D2A41">
        <w:rPr>
          <w:lang w:val="en-GB"/>
        </w:rPr>
        <w:t>months</w:t>
      </w:r>
      <w:r w:rsidR="005926EF">
        <w:rPr>
          <w:lang w:val="en-GB"/>
        </w:rPr>
        <w:t>.</w:t>
      </w:r>
      <w:r w:rsidR="005D2A41">
        <w:rPr>
          <w:lang w:val="en-GB"/>
        </w:rPr>
        <w:t xml:space="preserve"> </w:t>
      </w:r>
      <w:r w:rsidR="005926EF">
        <w:rPr>
          <w:lang w:val="en-GB"/>
        </w:rPr>
        <w:t xml:space="preserve">This </w:t>
      </w:r>
      <w:r w:rsidR="0062689A">
        <w:rPr>
          <w:lang w:val="en-GB"/>
        </w:rPr>
        <w:t xml:space="preserve">predicted a mean increase in </w:t>
      </w:r>
      <w:r w:rsidR="00704AF9">
        <w:rPr>
          <w:lang w:val="en-GB"/>
        </w:rPr>
        <w:t>survival</w:t>
      </w:r>
      <w:r w:rsidR="0062689A">
        <w:rPr>
          <w:lang w:val="en-GB"/>
        </w:rPr>
        <w:t xml:space="preserve"> </w:t>
      </w:r>
      <w:r w:rsidR="005D2A41">
        <w:rPr>
          <w:lang w:val="en-GB"/>
        </w:rPr>
        <w:t>of 4.93</w:t>
      </w:r>
      <w:r w:rsidR="005926EF">
        <w:rPr>
          <w:lang w:val="en-GB"/>
        </w:rPr>
        <w:t> </w:t>
      </w:r>
      <w:r w:rsidR="005D2A41">
        <w:rPr>
          <w:lang w:val="en-GB"/>
        </w:rPr>
        <w:t xml:space="preserve">months for </w:t>
      </w:r>
      <w:r w:rsidR="0062689A">
        <w:rPr>
          <w:lang w:val="en-GB"/>
        </w:rPr>
        <w:t>atezoli</w:t>
      </w:r>
      <w:r w:rsidR="00704AF9">
        <w:rPr>
          <w:lang w:val="en-GB"/>
        </w:rPr>
        <w:t>zu</w:t>
      </w:r>
      <w:r w:rsidR="0062689A">
        <w:rPr>
          <w:lang w:val="en-GB"/>
        </w:rPr>
        <w:t>m</w:t>
      </w:r>
      <w:r w:rsidR="00704AF9">
        <w:rPr>
          <w:lang w:val="en-GB"/>
        </w:rPr>
        <w:t>a</w:t>
      </w:r>
      <w:r w:rsidR="0062689A">
        <w:rPr>
          <w:lang w:val="en-GB"/>
        </w:rPr>
        <w:t xml:space="preserve">b </w:t>
      </w:r>
      <w:r w:rsidR="00E675B0">
        <w:t>with carboplatin and etoposide</w:t>
      </w:r>
      <w:r w:rsidR="00704AF9">
        <w:rPr>
          <w:lang w:val="en-GB"/>
        </w:rPr>
        <w:t xml:space="preserve">. </w:t>
      </w:r>
      <w:r w:rsidR="006C4C0A">
        <w:rPr>
          <w:lang w:val="en-GB"/>
        </w:rPr>
        <w:t>The increase in median overall survival from IMpower133 was 2.0</w:t>
      </w:r>
      <w:r w:rsidR="001B2A65">
        <w:rPr>
          <w:lang w:val="en-GB"/>
        </w:rPr>
        <w:t> </w:t>
      </w:r>
      <w:r w:rsidR="006C4C0A">
        <w:rPr>
          <w:lang w:val="en-GB"/>
        </w:rPr>
        <w:t xml:space="preserve">months for atezolizumab </w:t>
      </w:r>
      <w:r w:rsidR="005D6D9C">
        <w:rPr>
          <w:lang w:val="en-GB"/>
        </w:rPr>
        <w:t>compared with</w:t>
      </w:r>
      <w:r w:rsidR="006C4C0A">
        <w:rPr>
          <w:lang w:val="en-GB"/>
        </w:rPr>
        <w:t xml:space="preserve"> placebo (12.3</w:t>
      </w:r>
      <w:r w:rsidR="005D6D9C">
        <w:rPr>
          <w:lang w:val="en-GB"/>
        </w:rPr>
        <w:t> </w:t>
      </w:r>
      <w:r w:rsidR="006C4C0A">
        <w:rPr>
          <w:lang w:val="en-GB"/>
        </w:rPr>
        <w:t xml:space="preserve">months compared </w:t>
      </w:r>
      <w:r w:rsidR="00BD5AF8">
        <w:rPr>
          <w:lang w:val="en-GB"/>
        </w:rPr>
        <w:t>with</w:t>
      </w:r>
      <w:r w:rsidR="006C4C0A">
        <w:rPr>
          <w:lang w:val="en-GB"/>
        </w:rPr>
        <w:t xml:space="preserve"> 10.3</w:t>
      </w:r>
      <w:r w:rsidR="005D6D9C">
        <w:rPr>
          <w:lang w:val="en-GB"/>
        </w:rPr>
        <w:t> </w:t>
      </w:r>
      <w:r w:rsidR="006C4C0A">
        <w:rPr>
          <w:lang w:val="en-GB"/>
        </w:rPr>
        <w:t>months)</w:t>
      </w:r>
      <w:r w:rsidR="002271CC">
        <w:rPr>
          <w:lang w:val="en-GB"/>
        </w:rPr>
        <w:t>.</w:t>
      </w:r>
      <w:r w:rsidR="00F8523F">
        <w:rPr>
          <w:lang w:val="en-GB"/>
        </w:rPr>
        <w:t xml:space="preserve"> </w:t>
      </w:r>
      <w:r w:rsidR="002271CC">
        <w:rPr>
          <w:lang w:val="en-GB"/>
        </w:rPr>
        <w:t>This</w:t>
      </w:r>
      <w:r w:rsidR="00F8523F">
        <w:rPr>
          <w:lang w:val="en-GB"/>
        </w:rPr>
        <w:t xml:space="preserve"> is </w:t>
      </w:r>
      <w:r w:rsidR="00F8523F">
        <w:rPr>
          <w:lang w:val="en-GB"/>
        </w:rPr>
        <w:lastRenderedPageBreak/>
        <w:t>less than what is</w:t>
      </w:r>
      <w:r w:rsidR="00F8523F" w:rsidRPr="00704AF9">
        <w:rPr>
          <w:lang w:val="en-GB"/>
        </w:rPr>
        <w:t xml:space="preserve"> normally considered appropriate for the extension-to-life criterion to be met (</w:t>
      </w:r>
      <w:r w:rsidR="00F8523F">
        <w:rPr>
          <w:lang w:val="en-GB"/>
        </w:rPr>
        <w:t>usually</w:t>
      </w:r>
      <w:r w:rsidR="00F8523F" w:rsidRPr="00704AF9">
        <w:rPr>
          <w:lang w:val="en-GB"/>
        </w:rPr>
        <w:t xml:space="preserve"> 3</w:t>
      </w:r>
      <w:r w:rsidR="002271CC">
        <w:rPr>
          <w:lang w:val="en-GB"/>
        </w:rPr>
        <w:t> </w:t>
      </w:r>
      <w:r w:rsidR="00F8523F" w:rsidRPr="00704AF9">
        <w:rPr>
          <w:lang w:val="en-GB"/>
        </w:rPr>
        <w:t>months</w:t>
      </w:r>
      <w:r w:rsidR="00F8523F">
        <w:rPr>
          <w:lang w:val="en-GB"/>
        </w:rPr>
        <w:t xml:space="preserve"> or more</w:t>
      </w:r>
      <w:r w:rsidR="00F8523F" w:rsidRPr="00704AF9">
        <w:rPr>
          <w:lang w:val="en-GB"/>
        </w:rPr>
        <w:t>)</w:t>
      </w:r>
      <w:r w:rsidR="006C4C0A">
        <w:rPr>
          <w:lang w:val="en-GB"/>
        </w:rPr>
        <w:t xml:space="preserve">. </w:t>
      </w:r>
      <w:r w:rsidR="00704AF9">
        <w:rPr>
          <w:lang w:val="en-GB"/>
        </w:rPr>
        <w:t xml:space="preserve">The committee </w:t>
      </w:r>
      <w:r w:rsidR="004C3C4B">
        <w:rPr>
          <w:lang w:val="en-GB"/>
        </w:rPr>
        <w:t>had</w:t>
      </w:r>
      <w:r w:rsidR="00704AF9">
        <w:rPr>
          <w:lang w:val="en-GB"/>
        </w:rPr>
        <w:t xml:space="preserve"> conclu</w:t>
      </w:r>
      <w:r w:rsidR="004C3C4B">
        <w:rPr>
          <w:lang w:val="en-GB"/>
        </w:rPr>
        <w:t>ded</w:t>
      </w:r>
      <w:r w:rsidR="00704AF9">
        <w:rPr>
          <w:lang w:val="en-GB"/>
        </w:rPr>
        <w:t xml:space="preserve"> that there was uncertainty about the most appropriate method for </w:t>
      </w:r>
      <w:r w:rsidR="0000748F">
        <w:rPr>
          <w:lang w:val="en-GB"/>
        </w:rPr>
        <w:t>estimating mean overall survival</w:t>
      </w:r>
      <w:r w:rsidR="00704AF9">
        <w:rPr>
          <w:lang w:val="en-GB"/>
        </w:rPr>
        <w:t xml:space="preserve"> in this appraisal (see section</w:t>
      </w:r>
      <w:r w:rsidR="004C3C4B">
        <w:rPr>
          <w:lang w:val="en-GB"/>
        </w:rPr>
        <w:t> </w:t>
      </w:r>
      <w:r w:rsidR="00AF0FB1">
        <w:rPr>
          <w:lang w:val="en-GB"/>
        </w:rPr>
        <w:fldChar w:fldCharType="begin"/>
      </w:r>
      <w:r w:rsidR="00AF0FB1">
        <w:rPr>
          <w:lang w:val="en-GB"/>
        </w:rPr>
        <w:instrText xml:space="preserve"> REF _Ref26869420 \r \h </w:instrText>
      </w:r>
      <w:r w:rsidR="00AF0FB1">
        <w:rPr>
          <w:lang w:val="en-GB"/>
        </w:rPr>
      </w:r>
      <w:r w:rsidR="00AF0FB1">
        <w:rPr>
          <w:lang w:val="en-GB"/>
        </w:rPr>
        <w:fldChar w:fldCharType="separate"/>
      </w:r>
      <w:r w:rsidR="00FF44E2">
        <w:rPr>
          <w:lang w:val="en-GB"/>
        </w:rPr>
        <w:t>3.8</w:t>
      </w:r>
      <w:r w:rsidR="00AF0FB1">
        <w:rPr>
          <w:lang w:val="en-GB"/>
        </w:rPr>
        <w:fldChar w:fldCharType="end"/>
      </w:r>
      <w:r w:rsidR="00704AF9">
        <w:rPr>
          <w:lang w:val="en-GB"/>
        </w:rPr>
        <w:t>)</w:t>
      </w:r>
      <w:r w:rsidR="004C3C4B">
        <w:rPr>
          <w:lang w:val="en-GB"/>
        </w:rPr>
        <w:t>.</w:t>
      </w:r>
      <w:r w:rsidR="00F8523F">
        <w:rPr>
          <w:lang w:val="en-GB"/>
        </w:rPr>
        <w:t xml:space="preserve"> </w:t>
      </w:r>
      <w:r w:rsidR="004C3C4B">
        <w:rPr>
          <w:lang w:val="en-GB"/>
        </w:rPr>
        <w:t>However,</w:t>
      </w:r>
      <w:r w:rsidR="00F8523F">
        <w:rPr>
          <w:lang w:val="en-GB"/>
        </w:rPr>
        <w:t xml:space="preserve"> almost all the models</w:t>
      </w:r>
      <w:r w:rsidR="00860062">
        <w:rPr>
          <w:lang w:val="en-GB"/>
        </w:rPr>
        <w:t xml:space="preserve"> for overall survival that it considered plausible</w:t>
      </w:r>
      <w:r w:rsidR="00F8523F">
        <w:rPr>
          <w:lang w:val="en-GB"/>
        </w:rPr>
        <w:t xml:space="preserve"> gave a </w:t>
      </w:r>
      <w:r w:rsidR="00860062">
        <w:rPr>
          <w:lang w:val="en-GB"/>
        </w:rPr>
        <w:t>survival gain</w:t>
      </w:r>
      <w:r w:rsidR="00F8523F">
        <w:rPr>
          <w:lang w:val="en-GB"/>
        </w:rPr>
        <w:t xml:space="preserve"> </w:t>
      </w:r>
      <w:r w:rsidR="00860062">
        <w:rPr>
          <w:lang w:val="en-GB"/>
        </w:rPr>
        <w:t>of 3</w:t>
      </w:r>
      <w:r w:rsidR="00943F1A">
        <w:rPr>
          <w:lang w:val="en-GB"/>
        </w:rPr>
        <w:t> </w:t>
      </w:r>
      <w:r w:rsidR="00860062">
        <w:rPr>
          <w:lang w:val="en-GB"/>
        </w:rPr>
        <w:t>months or more</w:t>
      </w:r>
      <w:r w:rsidR="00233D72">
        <w:rPr>
          <w:lang w:val="en-GB"/>
        </w:rPr>
        <w:t xml:space="preserve"> </w:t>
      </w:r>
      <w:r w:rsidR="00F8523F">
        <w:rPr>
          <w:lang w:val="en-GB"/>
        </w:rPr>
        <w:t xml:space="preserve">for atezolizumab </w:t>
      </w:r>
      <w:r w:rsidR="004C3C4B">
        <w:rPr>
          <w:lang w:val="en-GB"/>
        </w:rPr>
        <w:t>and</w:t>
      </w:r>
      <w:r w:rsidR="00F8523F">
        <w:rPr>
          <w:lang w:val="en-GB"/>
        </w:rPr>
        <w:t xml:space="preserve"> chemotherapy compared </w:t>
      </w:r>
      <w:r w:rsidR="00985DBF">
        <w:rPr>
          <w:lang w:val="en-GB"/>
        </w:rPr>
        <w:t>with</w:t>
      </w:r>
      <w:r w:rsidR="00F8523F">
        <w:rPr>
          <w:lang w:val="en-GB"/>
        </w:rPr>
        <w:t xml:space="preserve"> chemotherapy alone</w:t>
      </w:r>
      <w:r w:rsidR="00704AF9">
        <w:rPr>
          <w:lang w:val="en-GB"/>
        </w:rPr>
        <w:t xml:space="preserve">. </w:t>
      </w:r>
      <w:r w:rsidR="004C3C4B">
        <w:rPr>
          <w:lang w:val="en-GB"/>
        </w:rPr>
        <w:t>So, the committee</w:t>
      </w:r>
      <w:r w:rsidR="00704AF9" w:rsidRPr="00704AF9">
        <w:rPr>
          <w:lang w:val="en-GB"/>
        </w:rPr>
        <w:t xml:space="preserve"> </w:t>
      </w:r>
      <w:r w:rsidR="007A46CD">
        <w:rPr>
          <w:lang w:val="en-GB"/>
        </w:rPr>
        <w:t xml:space="preserve">accepted </w:t>
      </w:r>
      <w:r w:rsidR="004C3C4B">
        <w:rPr>
          <w:lang w:val="en-GB"/>
        </w:rPr>
        <w:t xml:space="preserve">that </w:t>
      </w:r>
      <w:r w:rsidR="00704AF9" w:rsidRPr="00704AF9">
        <w:rPr>
          <w:lang w:val="en-GB"/>
        </w:rPr>
        <w:t xml:space="preserve">this criterion </w:t>
      </w:r>
      <w:r w:rsidR="004C3C4B">
        <w:rPr>
          <w:lang w:val="en-GB"/>
        </w:rPr>
        <w:t>w</w:t>
      </w:r>
      <w:r w:rsidR="00704AF9" w:rsidRPr="00704AF9">
        <w:rPr>
          <w:lang w:val="en-GB"/>
        </w:rPr>
        <w:t xml:space="preserve">as met in this circumstance. </w:t>
      </w:r>
      <w:r w:rsidR="004C3C4B">
        <w:rPr>
          <w:lang w:val="en-GB"/>
        </w:rPr>
        <w:t>It</w:t>
      </w:r>
      <w:r w:rsidR="00704AF9" w:rsidRPr="00704AF9">
        <w:rPr>
          <w:lang w:val="en-GB"/>
        </w:rPr>
        <w:t xml:space="preserve"> concluded that, on balance, </w:t>
      </w:r>
      <w:r w:rsidR="003329CC">
        <w:rPr>
          <w:lang w:val="en-GB"/>
        </w:rPr>
        <w:t xml:space="preserve">with trial and modelled evidence and </w:t>
      </w:r>
      <w:r w:rsidR="005D2A41">
        <w:rPr>
          <w:lang w:val="en-GB"/>
        </w:rPr>
        <w:t>taking both mean and median survival into account,</w:t>
      </w:r>
      <w:r w:rsidR="00225DF5">
        <w:rPr>
          <w:lang w:val="en-GB"/>
        </w:rPr>
        <w:t xml:space="preserve"> the NICE</w:t>
      </w:r>
      <w:r w:rsidR="00233D72">
        <w:rPr>
          <w:lang w:val="en-GB"/>
        </w:rPr>
        <w:t xml:space="preserve"> </w:t>
      </w:r>
      <w:r w:rsidR="00E54432">
        <w:rPr>
          <w:lang w:val="en-GB"/>
        </w:rPr>
        <w:t>criteria</w:t>
      </w:r>
      <w:r w:rsidR="00225DF5">
        <w:rPr>
          <w:lang w:val="en-GB"/>
        </w:rPr>
        <w:t xml:space="preserve"> for a treatment at the end of life</w:t>
      </w:r>
      <w:r w:rsidR="00233D72">
        <w:rPr>
          <w:lang w:val="en-GB"/>
        </w:rPr>
        <w:t xml:space="preserve"> </w:t>
      </w:r>
      <w:r w:rsidR="00225DF5">
        <w:rPr>
          <w:lang w:val="en-GB"/>
        </w:rPr>
        <w:t>were met.</w:t>
      </w:r>
      <w:bookmarkEnd w:id="20"/>
    </w:p>
    <w:p w14:paraId="1EDD910B" w14:textId="1B1E92F1" w:rsidR="002E6BDD" w:rsidRDefault="002E6BDD" w:rsidP="002E6BDD">
      <w:pPr>
        <w:pStyle w:val="Heading2"/>
      </w:pPr>
      <w:r>
        <w:t xml:space="preserve">Cancer Drugs Fund </w:t>
      </w:r>
    </w:p>
    <w:p w14:paraId="351205E0" w14:textId="2A08598D" w:rsidR="002E6BDD" w:rsidRDefault="002E6BDD" w:rsidP="002E6BDD">
      <w:pPr>
        <w:pStyle w:val="Heading3"/>
      </w:pPr>
      <w:r>
        <w:t>Atezolizumab with carboplatin and etoposide is not recommended for use in the Cancer Drugs Fund</w:t>
      </w:r>
    </w:p>
    <w:p w14:paraId="0F7822AB" w14:textId="682E2A58" w:rsidR="002E6BDD" w:rsidRPr="00386A4E" w:rsidRDefault="002E6BDD" w:rsidP="002E6BDD">
      <w:pPr>
        <w:pStyle w:val="Numberedlevel2text"/>
        <w:numPr>
          <w:ilvl w:val="1"/>
          <w:numId w:val="1"/>
        </w:numPr>
      </w:pPr>
      <w:r w:rsidRPr="00386A4E">
        <w:t xml:space="preserve">Having concluded that </w:t>
      </w:r>
      <w:r>
        <w:rPr>
          <w:lang w:val="en-GB"/>
        </w:rPr>
        <w:t>atezolizumab with carboplatin and etoposide</w:t>
      </w:r>
      <w:r w:rsidRPr="00386A4E">
        <w:t xml:space="preserve"> could not be recommended for routine use, the committee considered if it could be recommended for </w:t>
      </w:r>
      <w:r>
        <w:rPr>
          <w:lang w:val="en-GB"/>
        </w:rPr>
        <w:t>untreated</w:t>
      </w:r>
      <w:r w:rsidRPr="00386A4E">
        <w:t xml:space="preserve"> </w:t>
      </w:r>
      <w:r w:rsidR="00AA4A24">
        <w:rPr>
          <w:lang w:val="en-GB"/>
        </w:rPr>
        <w:t>ES</w:t>
      </w:r>
      <w:r w:rsidR="00AA4A24">
        <w:rPr>
          <w:lang w:val="en-GB"/>
        </w:rPr>
        <w:noBreakHyphen/>
        <w:t>SCLC</w:t>
      </w:r>
      <w:r w:rsidRPr="00386A4E">
        <w:t xml:space="preserve"> within the Cancer Drugs Fund</w:t>
      </w:r>
      <w:r>
        <w:rPr>
          <w:lang w:val="en-GB"/>
        </w:rPr>
        <w:t>. The company did not express an interest in the treatment being considered for funding through the Cancer Drugs Fund. The committee considered that the Impower133 evidence was fairly mature</w:t>
      </w:r>
      <w:r w:rsidR="00097E19">
        <w:rPr>
          <w:lang w:val="en-GB"/>
        </w:rPr>
        <w:t>.</w:t>
      </w:r>
      <w:r>
        <w:rPr>
          <w:lang w:val="en-GB"/>
        </w:rPr>
        <w:t xml:space="preserve"> </w:t>
      </w:r>
      <w:r w:rsidR="00097E19">
        <w:rPr>
          <w:lang w:val="en-GB"/>
        </w:rPr>
        <w:t>S</w:t>
      </w:r>
      <w:r>
        <w:rPr>
          <w:lang w:val="en-GB"/>
        </w:rPr>
        <w:t>o</w:t>
      </w:r>
      <w:r w:rsidR="00097E19">
        <w:rPr>
          <w:lang w:val="en-GB"/>
        </w:rPr>
        <w:t>,</w:t>
      </w:r>
      <w:r>
        <w:rPr>
          <w:lang w:val="en-GB"/>
        </w:rPr>
        <w:t xml:space="preserve"> uncertainties </w:t>
      </w:r>
      <w:r w:rsidR="00775D96">
        <w:rPr>
          <w:lang w:val="en-GB"/>
        </w:rPr>
        <w:t>about</w:t>
      </w:r>
      <w:r>
        <w:rPr>
          <w:lang w:val="en-GB"/>
        </w:rPr>
        <w:t xml:space="preserve"> treatment effect duration and overall survival were unlikely to be resolved through further data collection</w:t>
      </w:r>
      <w:r w:rsidR="00097E19">
        <w:rPr>
          <w:lang w:val="en-GB"/>
        </w:rPr>
        <w:t>.</w:t>
      </w:r>
      <w:r>
        <w:rPr>
          <w:lang w:val="en-GB"/>
        </w:rPr>
        <w:t xml:space="preserve"> </w:t>
      </w:r>
      <w:r w:rsidR="00097E19">
        <w:rPr>
          <w:lang w:val="en-GB"/>
        </w:rPr>
        <w:t>Therefore,</w:t>
      </w:r>
      <w:r>
        <w:rPr>
          <w:lang w:val="en-GB"/>
        </w:rPr>
        <w:t xml:space="preserve"> the committee did not recommend </w:t>
      </w:r>
      <w:r w:rsidR="00490B04">
        <w:rPr>
          <w:lang w:val="en-GB"/>
        </w:rPr>
        <w:t xml:space="preserve">atezolizumab with </w:t>
      </w:r>
      <w:r w:rsidR="00490B04" w:rsidRPr="00490B04">
        <w:rPr>
          <w:lang w:val="en-GB"/>
        </w:rPr>
        <w:t>carboplatin and etoposide</w:t>
      </w:r>
      <w:r>
        <w:rPr>
          <w:lang w:val="en-GB"/>
        </w:rPr>
        <w:t xml:space="preserve"> for use in the Cancer Drugs Fund.</w:t>
      </w:r>
    </w:p>
    <w:p w14:paraId="4911B3B5" w14:textId="3BF06E8C" w:rsidR="00643582" w:rsidRDefault="00201F46" w:rsidP="00643582">
      <w:pPr>
        <w:pStyle w:val="Heading2"/>
      </w:pPr>
      <w:r>
        <w:t>Other factors</w:t>
      </w:r>
    </w:p>
    <w:p w14:paraId="4727FF8B" w14:textId="4E1B4E0E" w:rsidR="00643582" w:rsidRPr="00735682" w:rsidRDefault="00201F46" w:rsidP="00201F46">
      <w:pPr>
        <w:pStyle w:val="Heading3"/>
      </w:pPr>
      <w:r w:rsidRPr="00201F46">
        <w:t>There are no equalities issues and all relevant benefits of the t</w:t>
      </w:r>
      <w:r w:rsidR="00490B04">
        <w:t>reatment</w:t>
      </w:r>
      <w:r w:rsidRPr="00201F46">
        <w:t xml:space="preserve"> are captured in the QALY</w:t>
      </w:r>
    </w:p>
    <w:p w14:paraId="69879BBA" w14:textId="29839C04" w:rsidR="00643582" w:rsidRPr="007828DD" w:rsidRDefault="00201F46" w:rsidP="00643582">
      <w:pPr>
        <w:pStyle w:val="Numberedlevel2text"/>
        <w:numPr>
          <w:ilvl w:val="1"/>
          <w:numId w:val="1"/>
        </w:numPr>
      </w:pPr>
      <w:r w:rsidRPr="00201F46">
        <w:t>No relevant equalities issues were identified</w:t>
      </w:r>
      <w:r w:rsidR="00914FE9">
        <w:rPr>
          <w:lang w:val="en-GB"/>
        </w:rPr>
        <w:t xml:space="preserve"> </w:t>
      </w:r>
      <w:r w:rsidR="00914FE9">
        <w:t>that could be addressed by the recommendations in this guidance</w:t>
      </w:r>
      <w:r w:rsidRPr="00201F46">
        <w:t xml:space="preserve">. </w:t>
      </w:r>
      <w:r w:rsidR="0062689A">
        <w:rPr>
          <w:lang w:val="en-GB"/>
        </w:rPr>
        <w:t>Atezolizumab</w:t>
      </w:r>
      <w:r w:rsidRPr="00201F46">
        <w:t xml:space="preserve"> </w:t>
      </w:r>
      <w:r w:rsidR="00E675B0">
        <w:t xml:space="preserve">with carboplatin and </w:t>
      </w:r>
      <w:r w:rsidR="00E675B0">
        <w:lastRenderedPageBreak/>
        <w:t>etoposide</w:t>
      </w:r>
      <w:r w:rsidRPr="00201F46">
        <w:t xml:space="preserve"> may be innovative. However, all relevant benefits of the technology were captured in the QALY.</w:t>
      </w:r>
    </w:p>
    <w:p w14:paraId="126E2BA1" w14:textId="7A749B26" w:rsidR="00643582" w:rsidRDefault="005C3A85" w:rsidP="00643582">
      <w:pPr>
        <w:pStyle w:val="Heading2"/>
      </w:pPr>
      <w:r>
        <w:t>Conclusion</w:t>
      </w:r>
    </w:p>
    <w:p w14:paraId="278C7909" w14:textId="088E51FF" w:rsidR="00DC3177" w:rsidRPr="00DC3177" w:rsidRDefault="00477B2C" w:rsidP="0073007E">
      <w:pPr>
        <w:pStyle w:val="Heading3"/>
      </w:pPr>
      <w:r>
        <w:t>A</w:t>
      </w:r>
      <w:r w:rsidR="00767E48">
        <w:t xml:space="preserve">tezolizumab </w:t>
      </w:r>
      <w:r w:rsidR="00767E48" w:rsidRPr="00767E48">
        <w:t>with carboplatin and etoposide</w:t>
      </w:r>
      <w:r>
        <w:t xml:space="preserve"> is not recommended</w:t>
      </w:r>
      <w:r w:rsidR="00767E48" w:rsidRPr="00767E48">
        <w:t xml:space="preserve"> for untreated </w:t>
      </w:r>
      <w:r w:rsidR="00490B04">
        <w:t>ES-SCLC</w:t>
      </w:r>
    </w:p>
    <w:p w14:paraId="2E63F7B9" w14:textId="38DE34DE" w:rsidR="00CE0A07" w:rsidRPr="003768E2" w:rsidRDefault="00B36B1B" w:rsidP="00D01B9F">
      <w:pPr>
        <w:pStyle w:val="Numberedlevel2text"/>
      </w:pPr>
      <w:r>
        <w:rPr>
          <w:lang w:val="en-GB"/>
        </w:rPr>
        <w:t xml:space="preserve">Although the company provided multiple models of overall survival at the request of the committee and updated their base case, </w:t>
      </w:r>
      <w:r w:rsidR="00985DBF">
        <w:rPr>
          <w:lang w:val="en-GB"/>
        </w:rPr>
        <w:t xml:space="preserve">the committee </w:t>
      </w:r>
      <w:r>
        <w:rPr>
          <w:lang w:val="en-GB"/>
        </w:rPr>
        <w:t xml:space="preserve">still </w:t>
      </w:r>
      <w:r w:rsidR="00835DC6">
        <w:rPr>
          <w:lang w:val="en-GB"/>
        </w:rPr>
        <w:t xml:space="preserve">found </w:t>
      </w:r>
      <w:r>
        <w:rPr>
          <w:lang w:val="en-GB"/>
        </w:rPr>
        <w:t xml:space="preserve">some remaining uncertainty around which of the more flexible models of overall survival </w:t>
      </w:r>
      <w:r w:rsidR="00835DC6">
        <w:rPr>
          <w:lang w:val="en-GB"/>
        </w:rPr>
        <w:t>wa</w:t>
      </w:r>
      <w:r>
        <w:rPr>
          <w:lang w:val="en-GB"/>
        </w:rPr>
        <w:t>s most appropriate</w:t>
      </w:r>
      <w:r w:rsidR="00CE0A07">
        <w:rPr>
          <w:lang w:val="en-GB"/>
        </w:rPr>
        <w:t xml:space="preserve">. However, based on the </w:t>
      </w:r>
      <w:r>
        <w:rPr>
          <w:lang w:val="en-GB"/>
        </w:rPr>
        <w:t xml:space="preserve">various models </w:t>
      </w:r>
      <w:r w:rsidR="00B85A35">
        <w:rPr>
          <w:lang w:val="en-GB"/>
        </w:rPr>
        <w:t xml:space="preserve">with different fits to the atezolizumab and chemotherapy arms </w:t>
      </w:r>
      <w:r w:rsidR="00835DC6">
        <w:rPr>
          <w:lang w:val="en-GB"/>
        </w:rPr>
        <w:t>that the committee found</w:t>
      </w:r>
      <w:r>
        <w:rPr>
          <w:lang w:val="en-GB"/>
        </w:rPr>
        <w:t xml:space="preserve"> plausible</w:t>
      </w:r>
      <w:r w:rsidR="00B85A35">
        <w:rPr>
          <w:lang w:val="en-GB"/>
        </w:rPr>
        <w:t xml:space="preserve"> (see section</w:t>
      </w:r>
      <w:r w:rsidR="00835DC6">
        <w:rPr>
          <w:lang w:val="en-GB"/>
        </w:rPr>
        <w:t> </w:t>
      </w:r>
      <w:r w:rsidR="002D1D69">
        <w:rPr>
          <w:lang w:val="en-GB"/>
        </w:rPr>
        <w:fldChar w:fldCharType="begin"/>
      </w:r>
      <w:r w:rsidR="002D1D69">
        <w:rPr>
          <w:lang w:val="en-GB"/>
        </w:rPr>
        <w:instrText xml:space="preserve"> REF _Ref26749273 \r \h </w:instrText>
      </w:r>
      <w:r w:rsidR="002D1D69">
        <w:rPr>
          <w:lang w:val="en-GB"/>
        </w:rPr>
      </w:r>
      <w:r w:rsidR="002D1D69">
        <w:rPr>
          <w:lang w:val="en-GB"/>
        </w:rPr>
        <w:fldChar w:fldCharType="separate"/>
      </w:r>
      <w:r w:rsidR="00FF44E2">
        <w:rPr>
          <w:lang w:val="en-GB"/>
        </w:rPr>
        <w:t>3.8</w:t>
      </w:r>
      <w:r w:rsidR="002D1D69">
        <w:rPr>
          <w:lang w:val="en-GB"/>
        </w:rPr>
        <w:fldChar w:fldCharType="end"/>
      </w:r>
      <w:r w:rsidR="00B85A35">
        <w:rPr>
          <w:lang w:val="en-GB"/>
        </w:rPr>
        <w:t xml:space="preserve">), the ICER </w:t>
      </w:r>
      <w:r w:rsidR="00835DC6">
        <w:rPr>
          <w:lang w:val="en-GB"/>
        </w:rPr>
        <w:t>wa</w:t>
      </w:r>
      <w:r w:rsidR="00B85A35">
        <w:rPr>
          <w:lang w:val="en-GB"/>
        </w:rPr>
        <w:t>s over £50,000 per QALY gained</w:t>
      </w:r>
      <w:r w:rsidR="00835DC6">
        <w:rPr>
          <w:lang w:val="en-GB"/>
        </w:rPr>
        <w:t>.</w:t>
      </w:r>
      <w:r w:rsidR="00B85A35">
        <w:rPr>
          <w:lang w:val="en-GB"/>
        </w:rPr>
        <w:t xml:space="preserve"> </w:t>
      </w:r>
      <w:r w:rsidR="00835DC6">
        <w:rPr>
          <w:lang w:val="en-GB"/>
        </w:rPr>
        <w:t>This</w:t>
      </w:r>
      <w:r w:rsidR="00B85A35">
        <w:rPr>
          <w:lang w:val="en-GB"/>
        </w:rPr>
        <w:t xml:space="preserve"> is higher than </w:t>
      </w:r>
      <w:r w:rsidR="00AE7DE3">
        <w:rPr>
          <w:lang w:val="en-GB"/>
        </w:rPr>
        <w:t xml:space="preserve">is </w:t>
      </w:r>
      <w:r w:rsidR="00B85A35">
        <w:rPr>
          <w:lang w:val="en-GB"/>
        </w:rPr>
        <w:t>usually considered a cost-effective use of NHS resources, even when applying the NICE end-of-life criteria.</w:t>
      </w:r>
      <w:r w:rsidR="00CE0A07">
        <w:rPr>
          <w:lang w:val="en-GB"/>
        </w:rPr>
        <w:t xml:space="preserve"> The committee</w:t>
      </w:r>
      <w:r w:rsidR="008E2E18" w:rsidRPr="008E2E18">
        <w:rPr>
          <w:lang w:val="en-GB"/>
        </w:rPr>
        <w:t xml:space="preserve"> </w:t>
      </w:r>
      <w:r w:rsidR="00CC25C6">
        <w:rPr>
          <w:lang w:val="en-GB"/>
        </w:rPr>
        <w:t xml:space="preserve">concluded </w:t>
      </w:r>
      <w:r w:rsidR="00B85A35">
        <w:rPr>
          <w:lang w:val="en-GB"/>
        </w:rPr>
        <w:t>not</w:t>
      </w:r>
      <w:r w:rsidR="00CC25C6" w:rsidRPr="001E36A6">
        <w:rPr>
          <w:lang w:val="en-GB"/>
        </w:rPr>
        <w:t xml:space="preserve"> </w:t>
      </w:r>
      <w:r w:rsidR="00225DF5">
        <w:rPr>
          <w:lang w:val="en-GB"/>
        </w:rPr>
        <w:t xml:space="preserve">to </w:t>
      </w:r>
      <w:r w:rsidR="00CC25C6" w:rsidRPr="001E36A6">
        <w:rPr>
          <w:lang w:val="en-GB"/>
        </w:rPr>
        <w:t xml:space="preserve">recommend </w:t>
      </w:r>
      <w:r w:rsidR="00CC25C6">
        <w:rPr>
          <w:lang w:val="en-GB"/>
        </w:rPr>
        <w:t xml:space="preserve">atezolizumab with carboplatin </w:t>
      </w:r>
      <w:r w:rsidR="006455F3">
        <w:rPr>
          <w:lang w:val="en-GB"/>
        </w:rPr>
        <w:t xml:space="preserve">and etoposide </w:t>
      </w:r>
      <w:r w:rsidR="00CC25C6" w:rsidRPr="003575B6">
        <w:rPr>
          <w:lang w:val="en-GB"/>
        </w:rPr>
        <w:t xml:space="preserve">for </w:t>
      </w:r>
      <w:r w:rsidR="00CC25C6">
        <w:rPr>
          <w:lang w:val="en-GB"/>
        </w:rPr>
        <w:t xml:space="preserve">untreated </w:t>
      </w:r>
      <w:r w:rsidR="00C86CE8">
        <w:rPr>
          <w:lang w:val="en-GB"/>
        </w:rPr>
        <w:t>ES</w:t>
      </w:r>
      <w:r w:rsidR="00C86CE8">
        <w:rPr>
          <w:lang w:val="en-GB"/>
        </w:rPr>
        <w:noBreakHyphen/>
        <w:t>SCLC</w:t>
      </w:r>
      <w:r w:rsidR="00CC25C6">
        <w:rPr>
          <w:lang w:val="en-GB"/>
        </w:rPr>
        <w:t>.</w:t>
      </w:r>
    </w:p>
    <w:p w14:paraId="37A97CAD" w14:textId="77777777" w:rsidR="000F48EC" w:rsidRPr="000F48EC" w:rsidRDefault="007A2801" w:rsidP="002E73E7">
      <w:pPr>
        <w:pStyle w:val="Numberedheading1"/>
      </w:pPr>
      <w:r>
        <w:t xml:space="preserve">Proposed date for </w:t>
      </w:r>
      <w:r w:rsidR="00000441">
        <w:t>r</w:t>
      </w:r>
      <w:r w:rsidR="000F48EC" w:rsidRPr="000F48EC">
        <w:t>eview of guidance</w:t>
      </w:r>
    </w:p>
    <w:p w14:paraId="2DBB94C3" w14:textId="3538375E" w:rsidR="00C52FC0" w:rsidRPr="000F48EC" w:rsidRDefault="001823EB" w:rsidP="00201F46">
      <w:pPr>
        <w:pStyle w:val="Numberedlevel2text"/>
      </w:pPr>
      <w:r w:rsidRPr="00044CC7">
        <w:t xml:space="preserve">NICE proposes that the guidance on this technology is considered for review by the </w:t>
      </w:r>
      <w:r>
        <w:rPr>
          <w:lang w:val="en-GB"/>
        </w:rPr>
        <w:t>g</w:t>
      </w:r>
      <w:r w:rsidRPr="00044CC7">
        <w:t xml:space="preserve">uidance </w:t>
      </w:r>
      <w:r>
        <w:rPr>
          <w:lang w:val="en-GB"/>
        </w:rPr>
        <w:t>e</w:t>
      </w:r>
      <w:r w:rsidRPr="00044CC7">
        <w:t>xecutive</w:t>
      </w:r>
      <w:r>
        <w:rPr>
          <w:lang w:val="en-GB"/>
        </w:rPr>
        <w:t xml:space="preserve"> 3 years after publication of the guidance</w:t>
      </w:r>
      <w:r w:rsidRPr="00044CC7">
        <w:t xml:space="preserve">. NICE welcomes comment on this proposed date. The </w:t>
      </w:r>
      <w:r>
        <w:rPr>
          <w:lang w:val="en-GB"/>
        </w:rPr>
        <w:t>g</w:t>
      </w:r>
      <w:r w:rsidRPr="00044CC7">
        <w:t xml:space="preserve">uidance </w:t>
      </w:r>
      <w:r>
        <w:rPr>
          <w:lang w:val="en-GB"/>
        </w:rPr>
        <w:t>e</w:t>
      </w:r>
      <w:r w:rsidRPr="00044CC7">
        <w:t xml:space="preserve">xecutive will decide whether the technology should be reviewed based on information gathered by NICE, and in consultation with consultees and commentators. </w:t>
      </w:r>
    </w:p>
    <w:p w14:paraId="1046C3F3" w14:textId="28921927" w:rsidR="004845D0" w:rsidRDefault="00201F46" w:rsidP="00ED5F88">
      <w:pPr>
        <w:pStyle w:val="NICEnormal"/>
      </w:pPr>
      <w:r w:rsidRPr="00201F46">
        <w:t>Stephen O'Brien</w:t>
      </w:r>
      <w:r w:rsidR="004845D0">
        <w:t xml:space="preserve"> </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C31BA9">
        <w:t>December 2019</w:t>
      </w:r>
    </w:p>
    <w:p w14:paraId="05D80338" w14:textId="77777777" w:rsidR="00B16431" w:rsidRPr="007D7F83" w:rsidRDefault="00B16431" w:rsidP="00B16431">
      <w:pPr>
        <w:pStyle w:val="Numberedheading1"/>
        <w:numPr>
          <w:ilvl w:val="0"/>
          <w:numId w:val="1"/>
        </w:numPr>
      </w:pPr>
      <w:bookmarkStart w:id="21" w:name="_Ref26869254"/>
      <w:r w:rsidRPr="007D7F83">
        <w:lastRenderedPageBreak/>
        <w:t xml:space="preserve">Appraisal </w:t>
      </w:r>
      <w:r w:rsidR="00343B53">
        <w:t>c</w:t>
      </w:r>
      <w:r w:rsidRPr="007D7F83">
        <w:t>ommittee members and NICE project team</w:t>
      </w:r>
      <w:bookmarkEnd w:id="21"/>
    </w:p>
    <w:p w14:paraId="4B0028D3" w14:textId="77777777" w:rsidR="00B16431" w:rsidRPr="007D7F83" w:rsidRDefault="00B16431" w:rsidP="00B16431">
      <w:pPr>
        <w:pStyle w:val="Heading2"/>
      </w:pPr>
      <w:r w:rsidRPr="007D7F83">
        <w:t xml:space="preserve">Appraisal </w:t>
      </w:r>
      <w:r w:rsidR="00343B53">
        <w:t>c</w:t>
      </w:r>
      <w:r w:rsidRPr="007D7F83">
        <w:t>ommittee members</w:t>
      </w:r>
    </w:p>
    <w:p w14:paraId="602B0A4E" w14:textId="3658C696"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13" w:history="1">
        <w:r>
          <w:rPr>
            <w:rStyle w:val="Hyperlink"/>
            <w:rFonts w:eastAsia="Calibri"/>
          </w:rPr>
          <w:t xml:space="preserve">committee </w:t>
        </w:r>
        <w:r w:rsidR="00CE0A07">
          <w:rPr>
            <w:rStyle w:val="Hyperlink"/>
            <w:rFonts w:eastAsia="Calibri"/>
          </w:rPr>
          <w:t>C</w:t>
        </w:r>
      </w:hyperlink>
      <w:r>
        <w:t>.</w:t>
      </w:r>
    </w:p>
    <w:p w14:paraId="6E374280" w14:textId="77777777" w:rsidR="002F2583" w:rsidRDefault="002F2583" w:rsidP="002F2583">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58FF257B" w14:textId="77777777" w:rsidR="002F2583" w:rsidRDefault="002F2583" w:rsidP="002F2583">
      <w:pPr>
        <w:pStyle w:val="NICEnormal"/>
      </w:pPr>
      <w:r>
        <w:t xml:space="preserve">The </w:t>
      </w:r>
      <w:hyperlink r:id="rId14" w:history="1">
        <w:r w:rsidRPr="00742089">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2580C8DC" w14:textId="77777777" w:rsidR="00B16431" w:rsidRPr="007D7F83" w:rsidRDefault="00B16431" w:rsidP="00B16431">
      <w:pPr>
        <w:pStyle w:val="Heading2"/>
      </w:pPr>
      <w:r w:rsidRPr="007D7F83">
        <w:t>NICE project team</w:t>
      </w:r>
    </w:p>
    <w:p w14:paraId="58A6768A" w14:textId="27D01347"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051E6514" w14:textId="2CB420A6" w:rsidR="00B16431" w:rsidRPr="000F2D8A" w:rsidRDefault="00501B75" w:rsidP="00B16431">
      <w:pPr>
        <w:pStyle w:val="NICEnormal"/>
      </w:pPr>
      <w:bookmarkStart w:id="22" w:name="Text45"/>
      <w:r>
        <w:rPr>
          <w:b/>
        </w:rPr>
        <w:t xml:space="preserve">Amy Crossley, </w:t>
      </w:r>
      <w:r w:rsidR="003E6A93">
        <w:rPr>
          <w:b/>
        </w:rPr>
        <w:t>Thomas Walker</w:t>
      </w:r>
      <w:r w:rsidR="006455F3">
        <w:rPr>
          <w:b/>
        </w:rPr>
        <w:t xml:space="preserve"> </w:t>
      </w:r>
      <w:r w:rsidR="00B16431">
        <w:br/>
      </w:r>
      <w:r w:rsidR="00B16431" w:rsidRPr="000F2D8A">
        <w:t xml:space="preserve">Technical </w:t>
      </w:r>
      <w:r w:rsidR="00E65C76">
        <w:t>l</w:t>
      </w:r>
      <w:r w:rsidR="00B16431" w:rsidRPr="000F2D8A">
        <w:t>ead</w:t>
      </w:r>
      <w:r w:rsidR="004A2BC0">
        <w:t>s</w:t>
      </w:r>
    </w:p>
    <w:p w14:paraId="7A1854AD" w14:textId="7C598F71" w:rsidR="00B16431" w:rsidRPr="000F2D8A" w:rsidRDefault="00201F46" w:rsidP="00B16431">
      <w:pPr>
        <w:pStyle w:val="NICEnormal"/>
      </w:pPr>
      <w:r>
        <w:rPr>
          <w:b/>
        </w:rPr>
        <w:t>Sally Doss</w:t>
      </w:r>
      <w:r w:rsidR="00B16431">
        <w:br/>
      </w:r>
      <w:r w:rsidR="00B16431" w:rsidRPr="00AF59A2">
        <w:t xml:space="preserve">Technical </w:t>
      </w:r>
      <w:r w:rsidR="00E65C76">
        <w:t>a</w:t>
      </w:r>
      <w:r w:rsidR="00B16431" w:rsidRPr="00AF59A2">
        <w:t>dviser</w:t>
      </w:r>
    </w:p>
    <w:p w14:paraId="12757BB1" w14:textId="6EEC06E8" w:rsidR="00B16431" w:rsidRPr="000F2D8A" w:rsidRDefault="00201F46" w:rsidP="005D3FD9">
      <w:pPr>
        <w:pStyle w:val="NICEnormal"/>
      </w:pPr>
      <w:r w:rsidRPr="00201F46">
        <w:rPr>
          <w:b/>
          <w:bCs/>
        </w:rPr>
        <w:t>Louise Jafferally</w:t>
      </w:r>
      <w:r w:rsidR="00B16431">
        <w:br/>
      </w:r>
      <w:r w:rsidR="00B16431" w:rsidRPr="000F2D8A">
        <w:t xml:space="preserve">Project </w:t>
      </w:r>
      <w:r w:rsidR="00E65C76">
        <w:t>m</w:t>
      </w:r>
      <w:r w:rsidR="00B16431" w:rsidRPr="000F2D8A">
        <w:t>anager</w:t>
      </w:r>
      <w:bookmarkEnd w:id="22"/>
    </w:p>
    <w:p w14:paraId="4016FF1B"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D6F8" w14:textId="77777777" w:rsidR="00DD271F" w:rsidRDefault="00DD271F">
      <w:r>
        <w:separator/>
      </w:r>
    </w:p>
  </w:endnote>
  <w:endnote w:type="continuationSeparator" w:id="0">
    <w:p w14:paraId="5FCEFED5" w14:textId="77777777" w:rsidR="00DD271F" w:rsidRDefault="00DD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BB0C" w14:textId="279C256F" w:rsidR="00DD271F" w:rsidRPr="003D33FB" w:rsidRDefault="00DD271F"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D548F5">
      <w:rPr>
        <w:sz w:val="18"/>
        <w:szCs w:val="18"/>
      </w:rPr>
      <w:t>Atezolizumab with carboplatin and etoposide for untreated extensive-stage small-cell lung cancer</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D629CFF" w14:textId="63541B74" w:rsidR="00DD271F" w:rsidRDefault="00DD271F" w:rsidP="007A7EC8">
    <w:pPr>
      <w:pStyle w:val="NICEnormalsinglespacing"/>
      <w:spacing w:after="120"/>
      <w:rPr>
        <w:sz w:val="18"/>
        <w:szCs w:val="18"/>
      </w:rPr>
    </w:pPr>
    <w:r w:rsidRPr="003D33FB">
      <w:rPr>
        <w:sz w:val="18"/>
        <w:szCs w:val="18"/>
      </w:rPr>
      <w:t xml:space="preserve">Issue date: </w:t>
    </w:r>
    <w:r w:rsidRPr="00BC47DC">
      <w:rPr>
        <w:sz w:val="18"/>
        <w:szCs w:val="18"/>
      </w:rPr>
      <w:t>December</w:t>
    </w:r>
    <w:r w:rsidRPr="00A63A40">
      <w:rPr>
        <w:sz w:val="18"/>
        <w:szCs w:val="18"/>
      </w:rPr>
      <w:t xml:space="preserve"> </w:t>
    </w:r>
    <w:r w:rsidRPr="00BC47DC">
      <w:rPr>
        <w:sz w:val="18"/>
        <w:szCs w:val="18"/>
      </w:rPr>
      <w:t>2019</w:t>
    </w:r>
  </w:p>
  <w:p w14:paraId="1B2D89D4" w14:textId="35631AC7" w:rsidR="00DD271F" w:rsidRPr="007A7EC8" w:rsidRDefault="00DD271F" w:rsidP="007A7EC8">
    <w:pPr>
      <w:pStyle w:val="NICEnormalsinglespacing"/>
      <w:spacing w:after="120"/>
    </w:pPr>
    <w:r>
      <w:rPr>
        <w:sz w:val="18"/>
        <w:szCs w:val="18"/>
      </w:rPr>
      <w:t xml:space="preserve">© NICE </w:t>
    </w:r>
    <w:r w:rsidRPr="00A63A40">
      <w:rPr>
        <w:sz w:val="18"/>
        <w:szCs w:val="18"/>
      </w:rPr>
      <w:t>2019</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BDA56" w14:textId="77777777" w:rsidR="00DD271F" w:rsidRDefault="00DD271F">
      <w:r>
        <w:separator/>
      </w:r>
    </w:p>
  </w:footnote>
  <w:footnote w:type="continuationSeparator" w:id="0">
    <w:p w14:paraId="42C216DD" w14:textId="77777777" w:rsidR="00DD271F" w:rsidRDefault="00DD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667E" w14:textId="77777777" w:rsidR="00DD271F" w:rsidRPr="004E6427" w:rsidRDefault="00DD271F"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84C49"/>
    <w:multiLevelType w:val="hybridMultilevel"/>
    <w:tmpl w:val="C4DA78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CC3584"/>
    <w:multiLevelType w:val="multilevel"/>
    <w:tmpl w:val="9BBE6B2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strike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5A55201"/>
    <w:multiLevelType w:val="hybridMultilevel"/>
    <w:tmpl w:val="8BFE07B6"/>
    <w:lvl w:ilvl="0" w:tplc="53741CF6">
      <w:start w:val="1"/>
      <w:numFmt w:val="bullet"/>
      <w:lvlText w:val="•"/>
      <w:lvlJc w:val="left"/>
      <w:pPr>
        <w:tabs>
          <w:tab w:val="num" w:pos="720"/>
        </w:tabs>
        <w:ind w:left="720" w:hanging="360"/>
      </w:pPr>
      <w:rPr>
        <w:rFonts w:ascii="Arial" w:hAnsi="Arial" w:hint="default"/>
      </w:rPr>
    </w:lvl>
    <w:lvl w:ilvl="1" w:tplc="6ED2F1B2" w:tentative="1">
      <w:start w:val="1"/>
      <w:numFmt w:val="bullet"/>
      <w:lvlText w:val="•"/>
      <w:lvlJc w:val="left"/>
      <w:pPr>
        <w:tabs>
          <w:tab w:val="num" w:pos="1440"/>
        </w:tabs>
        <w:ind w:left="1440" w:hanging="360"/>
      </w:pPr>
      <w:rPr>
        <w:rFonts w:ascii="Arial" w:hAnsi="Arial" w:hint="default"/>
      </w:rPr>
    </w:lvl>
    <w:lvl w:ilvl="2" w:tplc="F556715E" w:tentative="1">
      <w:start w:val="1"/>
      <w:numFmt w:val="bullet"/>
      <w:lvlText w:val="•"/>
      <w:lvlJc w:val="left"/>
      <w:pPr>
        <w:tabs>
          <w:tab w:val="num" w:pos="2160"/>
        </w:tabs>
        <w:ind w:left="2160" w:hanging="360"/>
      </w:pPr>
      <w:rPr>
        <w:rFonts w:ascii="Arial" w:hAnsi="Arial" w:hint="default"/>
      </w:rPr>
    </w:lvl>
    <w:lvl w:ilvl="3" w:tplc="B46665A2" w:tentative="1">
      <w:start w:val="1"/>
      <w:numFmt w:val="bullet"/>
      <w:lvlText w:val="•"/>
      <w:lvlJc w:val="left"/>
      <w:pPr>
        <w:tabs>
          <w:tab w:val="num" w:pos="2880"/>
        </w:tabs>
        <w:ind w:left="2880" w:hanging="360"/>
      </w:pPr>
      <w:rPr>
        <w:rFonts w:ascii="Arial" w:hAnsi="Arial" w:hint="default"/>
      </w:rPr>
    </w:lvl>
    <w:lvl w:ilvl="4" w:tplc="79ECE370" w:tentative="1">
      <w:start w:val="1"/>
      <w:numFmt w:val="bullet"/>
      <w:lvlText w:val="•"/>
      <w:lvlJc w:val="left"/>
      <w:pPr>
        <w:tabs>
          <w:tab w:val="num" w:pos="3600"/>
        </w:tabs>
        <w:ind w:left="3600" w:hanging="360"/>
      </w:pPr>
      <w:rPr>
        <w:rFonts w:ascii="Arial" w:hAnsi="Arial" w:hint="default"/>
      </w:rPr>
    </w:lvl>
    <w:lvl w:ilvl="5" w:tplc="D564DDCE" w:tentative="1">
      <w:start w:val="1"/>
      <w:numFmt w:val="bullet"/>
      <w:lvlText w:val="•"/>
      <w:lvlJc w:val="left"/>
      <w:pPr>
        <w:tabs>
          <w:tab w:val="num" w:pos="4320"/>
        </w:tabs>
        <w:ind w:left="4320" w:hanging="360"/>
      </w:pPr>
      <w:rPr>
        <w:rFonts w:ascii="Arial" w:hAnsi="Arial" w:hint="default"/>
      </w:rPr>
    </w:lvl>
    <w:lvl w:ilvl="6" w:tplc="A5B0D58A" w:tentative="1">
      <w:start w:val="1"/>
      <w:numFmt w:val="bullet"/>
      <w:lvlText w:val="•"/>
      <w:lvlJc w:val="left"/>
      <w:pPr>
        <w:tabs>
          <w:tab w:val="num" w:pos="5040"/>
        </w:tabs>
        <w:ind w:left="5040" w:hanging="360"/>
      </w:pPr>
      <w:rPr>
        <w:rFonts w:ascii="Arial" w:hAnsi="Arial" w:hint="default"/>
      </w:rPr>
    </w:lvl>
    <w:lvl w:ilvl="7" w:tplc="B30C7060" w:tentative="1">
      <w:start w:val="1"/>
      <w:numFmt w:val="bullet"/>
      <w:lvlText w:val="•"/>
      <w:lvlJc w:val="left"/>
      <w:pPr>
        <w:tabs>
          <w:tab w:val="num" w:pos="5760"/>
        </w:tabs>
        <w:ind w:left="5760" w:hanging="360"/>
      </w:pPr>
      <w:rPr>
        <w:rFonts w:ascii="Arial" w:hAnsi="Arial" w:hint="default"/>
      </w:rPr>
    </w:lvl>
    <w:lvl w:ilvl="8" w:tplc="AF3E75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D942C9"/>
    <w:multiLevelType w:val="hybridMultilevel"/>
    <w:tmpl w:val="C244379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146E9D"/>
    <w:multiLevelType w:val="hybridMultilevel"/>
    <w:tmpl w:val="9D66E4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5"/>
  </w:num>
  <w:num w:numId="4">
    <w:abstractNumId w:val="10"/>
  </w:num>
  <w:num w:numId="5">
    <w:abstractNumId w:val="11"/>
  </w:num>
  <w:num w:numId="6">
    <w:abstractNumId w:val="0"/>
  </w:num>
  <w:num w:numId="7">
    <w:abstractNumId w:val="2"/>
  </w:num>
  <w:num w:numId="8">
    <w:abstractNumId w:val="4"/>
  </w:num>
  <w:num w:numId="9">
    <w:abstractNumId w:val="5"/>
  </w:num>
  <w:num w:numId="10">
    <w:abstractNumId w:val="7"/>
  </w:num>
  <w:num w:numId="11">
    <w:abstractNumId w:val="9"/>
  </w:num>
  <w:num w:numId="12">
    <w:abstractNumId w:val="8"/>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7"/>
  </w:num>
  <w:num w:numId="19">
    <w:abstractNumId w:val="7"/>
  </w:num>
  <w:num w:numId="20">
    <w:abstractNumId w:val="6"/>
  </w:num>
  <w:num w:numId="21">
    <w:abstractNumId w:val="7"/>
  </w:num>
  <w:num w:numId="22">
    <w:abstractNumId w:val="7"/>
  </w:num>
  <w:num w:numId="23">
    <w:abstractNumId w:val="7"/>
  </w:num>
  <w:num w:numId="24">
    <w:abstractNumId w:val="7"/>
  </w:num>
  <w:num w:numId="25">
    <w:abstractNumId w:val="7"/>
  </w:num>
  <w:num w:numId="26">
    <w:abstractNumId w:val="13"/>
  </w:num>
  <w:num w:numId="27">
    <w:abstractNumId w:val="17"/>
  </w:num>
  <w:num w:numId="28">
    <w:abstractNumId w:val="14"/>
  </w:num>
  <w:num w:numId="29">
    <w:abstractNumId w:val="5"/>
  </w:num>
  <w:num w:numId="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DC"/>
    <w:rsid w:val="00000441"/>
    <w:rsid w:val="00006590"/>
    <w:rsid w:val="000067A6"/>
    <w:rsid w:val="000069A4"/>
    <w:rsid w:val="000069F9"/>
    <w:rsid w:val="0000727D"/>
    <w:rsid w:val="0000748F"/>
    <w:rsid w:val="000119FB"/>
    <w:rsid w:val="00014990"/>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49D8"/>
    <w:rsid w:val="00035AC1"/>
    <w:rsid w:val="000368FC"/>
    <w:rsid w:val="000376EE"/>
    <w:rsid w:val="000421F8"/>
    <w:rsid w:val="00042408"/>
    <w:rsid w:val="00043262"/>
    <w:rsid w:val="00045528"/>
    <w:rsid w:val="0005093D"/>
    <w:rsid w:val="00052063"/>
    <w:rsid w:val="00055064"/>
    <w:rsid w:val="00055DDF"/>
    <w:rsid w:val="00057724"/>
    <w:rsid w:val="000606EB"/>
    <w:rsid w:val="00061C83"/>
    <w:rsid w:val="00062CA9"/>
    <w:rsid w:val="0006624B"/>
    <w:rsid w:val="000711F1"/>
    <w:rsid w:val="00073DA8"/>
    <w:rsid w:val="000755E6"/>
    <w:rsid w:val="000764D3"/>
    <w:rsid w:val="00076F2A"/>
    <w:rsid w:val="00080A47"/>
    <w:rsid w:val="0008209F"/>
    <w:rsid w:val="00082F77"/>
    <w:rsid w:val="00083C7A"/>
    <w:rsid w:val="00084176"/>
    <w:rsid w:val="000852A2"/>
    <w:rsid w:val="0008593D"/>
    <w:rsid w:val="00085C5A"/>
    <w:rsid w:val="000862FC"/>
    <w:rsid w:val="00087323"/>
    <w:rsid w:val="000879ED"/>
    <w:rsid w:val="00091906"/>
    <w:rsid w:val="00093649"/>
    <w:rsid w:val="0009592B"/>
    <w:rsid w:val="00096246"/>
    <w:rsid w:val="00096CE2"/>
    <w:rsid w:val="00097E19"/>
    <w:rsid w:val="000A0A6E"/>
    <w:rsid w:val="000A14E0"/>
    <w:rsid w:val="000A23BA"/>
    <w:rsid w:val="000A3B14"/>
    <w:rsid w:val="000A4016"/>
    <w:rsid w:val="000A6C40"/>
    <w:rsid w:val="000B124B"/>
    <w:rsid w:val="000B4557"/>
    <w:rsid w:val="000B5172"/>
    <w:rsid w:val="000B70D6"/>
    <w:rsid w:val="000B7F7A"/>
    <w:rsid w:val="000C04A1"/>
    <w:rsid w:val="000C0E84"/>
    <w:rsid w:val="000C194F"/>
    <w:rsid w:val="000C2222"/>
    <w:rsid w:val="000C4806"/>
    <w:rsid w:val="000C56B1"/>
    <w:rsid w:val="000C6E98"/>
    <w:rsid w:val="000D09ED"/>
    <w:rsid w:val="000D0A87"/>
    <w:rsid w:val="000D0FB1"/>
    <w:rsid w:val="000D11B8"/>
    <w:rsid w:val="000D145B"/>
    <w:rsid w:val="000D5200"/>
    <w:rsid w:val="000D55CD"/>
    <w:rsid w:val="000D5953"/>
    <w:rsid w:val="000D6016"/>
    <w:rsid w:val="000D7185"/>
    <w:rsid w:val="000E1CED"/>
    <w:rsid w:val="000E24BD"/>
    <w:rsid w:val="000E2955"/>
    <w:rsid w:val="000E29D1"/>
    <w:rsid w:val="000E485C"/>
    <w:rsid w:val="000E4FE6"/>
    <w:rsid w:val="000E505D"/>
    <w:rsid w:val="000E5877"/>
    <w:rsid w:val="000E6F19"/>
    <w:rsid w:val="000F1E3F"/>
    <w:rsid w:val="000F2985"/>
    <w:rsid w:val="000F3DBC"/>
    <w:rsid w:val="000F3F4A"/>
    <w:rsid w:val="000F48EC"/>
    <w:rsid w:val="000F5A1A"/>
    <w:rsid w:val="000F7D54"/>
    <w:rsid w:val="00101F34"/>
    <w:rsid w:val="001033D5"/>
    <w:rsid w:val="001039F7"/>
    <w:rsid w:val="00105409"/>
    <w:rsid w:val="00106CDA"/>
    <w:rsid w:val="00107B92"/>
    <w:rsid w:val="00107DBD"/>
    <w:rsid w:val="00110768"/>
    <w:rsid w:val="00110B6B"/>
    <w:rsid w:val="001121E4"/>
    <w:rsid w:val="00113666"/>
    <w:rsid w:val="00113A78"/>
    <w:rsid w:val="00114757"/>
    <w:rsid w:val="001169FE"/>
    <w:rsid w:val="00116D19"/>
    <w:rsid w:val="00121E78"/>
    <w:rsid w:val="001230AC"/>
    <w:rsid w:val="00123294"/>
    <w:rsid w:val="00124604"/>
    <w:rsid w:val="001258D3"/>
    <w:rsid w:val="00125B99"/>
    <w:rsid w:val="001265C0"/>
    <w:rsid w:val="0013195C"/>
    <w:rsid w:val="001337B7"/>
    <w:rsid w:val="00133921"/>
    <w:rsid w:val="00136ED6"/>
    <w:rsid w:val="00137B24"/>
    <w:rsid w:val="00140C93"/>
    <w:rsid w:val="00142C83"/>
    <w:rsid w:val="00143536"/>
    <w:rsid w:val="00145B2F"/>
    <w:rsid w:val="001460C3"/>
    <w:rsid w:val="0014672F"/>
    <w:rsid w:val="00150440"/>
    <w:rsid w:val="001510B1"/>
    <w:rsid w:val="00151D8E"/>
    <w:rsid w:val="001525AA"/>
    <w:rsid w:val="00152626"/>
    <w:rsid w:val="00153082"/>
    <w:rsid w:val="001532B5"/>
    <w:rsid w:val="001570BC"/>
    <w:rsid w:val="001579BF"/>
    <w:rsid w:val="00161AA0"/>
    <w:rsid w:val="0016216E"/>
    <w:rsid w:val="0016279A"/>
    <w:rsid w:val="00165B32"/>
    <w:rsid w:val="001662BC"/>
    <w:rsid w:val="001665C8"/>
    <w:rsid w:val="0017072D"/>
    <w:rsid w:val="00170B60"/>
    <w:rsid w:val="00171A2B"/>
    <w:rsid w:val="00176FB2"/>
    <w:rsid w:val="0018168C"/>
    <w:rsid w:val="001823EB"/>
    <w:rsid w:val="00184A64"/>
    <w:rsid w:val="0018716E"/>
    <w:rsid w:val="001873CB"/>
    <w:rsid w:val="00191B56"/>
    <w:rsid w:val="00193945"/>
    <w:rsid w:val="001956FC"/>
    <w:rsid w:val="00196E80"/>
    <w:rsid w:val="0019718A"/>
    <w:rsid w:val="001A1AE2"/>
    <w:rsid w:val="001B1DB6"/>
    <w:rsid w:val="001B2A65"/>
    <w:rsid w:val="001B2DD8"/>
    <w:rsid w:val="001B7E00"/>
    <w:rsid w:val="001C0CA9"/>
    <w:rsid w:val="001C0EF4"/>
    <w:rsid w:val="001C59E4"/>
    <w:rsid w:val="001D1D43"/>
    <w:rsid w:val="001D3468"/>
    <w:rsid w:val="001D5ACC"/>
    <w:rsid w:val="001D6693"/>
    <w:rsid w:val="001D796F"/>
    <w:rsid w:val="001E157B"/>
    <w:rsid w:val="001E27E5"/>
    <w:rsid w:val="001E2CAF"/>
    <w:rsid w:val="001E4D37"/>
    <w:rsid w:val="001E605A"/>
    <w:rsid w:val="001E6E2E"/>
    <w:rsid w:val="001F1400"/>
    <w:rsid w:val="001F2DA1"/>
    <w:rsid w:val="001F6078"/>
    <w:rsid w:val="001F7251"/>
    <w:rsid w:val="0020022F"/>
    <w:rsid w:val="00201F46"/>
    <w:rsid w:val="002025B6"/>
    <w:rsid w:val="00204EDF"/>
    <w:rsid w:val="00204F82"/>
    <w:rsid w:val="00206491"/>
    <w:rsid w:val="002077F1"/>
    <w:rsid w:val="0021081C"/>
    <w:rsid w:val="002119CD"/>
    <w:rsid w:val="002159C9"/>
    <w:rsid w:val="002218BC"/>
    <w:rsid w:val="002218FE"/>
    <w:rsid w:val="00222BEA"/>
    <w:rsid w:val="002239A6"/>
    <w:rsid w:val="00223F5C"/>
    <w:rsid w:val="00225439"/>
    <w:rsid w:val="00225DF5"/>
    <w:rsid w:val="00225F9B"/>
    <w:rsid w:val="002271CC"/>
    <w:rsid w:val="00230A01"/>
    <w:rsid w:val="00232061"/>
    <w:rsid w:val="00233D72"/>
    <w:rsid w:val="00235945"/>
    <w:rsid w:val="00235CAB"/>
    <w:rsid w:val="00236437"/>
    <w:rsid w:val="00236EDC"/>
    <w:rsid w:val="00243770"/>
    <w:rsid w:val="0024553C"/>
    <w:rsid w:val="00246402"/>
    <w:rsid w:val="00246E55"/>
    <w:rsid w:val="002472B5"/>
    <w:rsid w:val="002500C2"/>
    <w:rsid w:val="00250473"/>
    <w:rsid w:val="00250CC5"/>
    <w:rsid w:val="002512DA"/>
    <w:rsid w:val="00253D34"/>
    <w:rsid w:val="002555BE"/>
    <w:rsid w:val="00255679"/>
    <w:rsid w:val="00257B1C"/>
    <w:rsid w:val="002614EA"/>
    <w:rsid w:val="00265B0E"/>
    <w:rsid w:val="00270476"/>
    <w:rsid w:val="00271006"/>
    <w:rsid w:val="00282C30"/>
    <w:rsid w:val="00282D7E"/>
    <w:rsid w:val="002836FD"/>
    <w:rsid w:val="00290445"/>
    <w:rsid w:val="00292044"/>
    <w:rsid w:val="00293811"/>
    <w:rsid w:val="00293C0B"/>
    <w:rsid w:val="00294CFB"/>
    <w:rsid w:val="002A10C8"/>
    <w:rsid w:val="002A12D0"/>
    <w:rsid w:val="002A151A"/>
    <w:rsid w:val="002A17A3"/>
    <w:rsid w:val="002A2687"/>
    <w:rsid w:val="002A295F"/>
    <w:rsid w:val="002A5C23"/>
    <w:rsid w:val="002A5D36"/>
    <w:rsid w:val="002B1CB4"/>
    <w:rsid w:val="002B3187"/>
    <w:rsid w:val="002B3340"/>
    <w:rsid w:val="002B4846"/>
    <w:rsid w:val="002B5772"/>
    <w:rsid w:val="002B6D1D"/>
    <w:rsid w:val="002C0551"/>
    <w:rsid w:val="002C1CEB"/>
    <w:rsid w:val="002C257D"/>
    <w:rsid w:val="002C2774"/>
    <w:rsid w:val="002C381D"/>
    <w:rsid w:val="002C6A19"/>
    <w:rsid w:val="002C7723"/>
    <w:rsid w:val="002D0908"/>
    <w:rsid w:val="002D1640"/>
    <w:rsid w:val="002D1D69"/>
    <w:rsid w:val="002D2EAE"/>
    <w:rsid w:val="002D4271"/>
    <w:rsid w:val="002D6851"/>
    <w:rsid w:val="002D6B61"/>
    <w:rsid w:val="002D79A7"/>
    <w:rsid w:val="002D7B9B"/>
    <w:rsid w:val="002E3F68"/>
    <w:rsid w:val="002E5C16"/>
    <w:rsid w:val="002E6BDD"/>
    <w:rsid w:val="002E73E7"/>
    <w:rsid w:val="002F0AA7"/>
    <w:rsid w:val="002F1B28"/>
    <w:rsid w:val="002F2583"/>
    <w:rsid w:val="002F279A"/>
    <w:rsid w:val="002F2C1A"/>
    <w:rsid w:val="002F4F5B"/>
    <w:rsid w:val="002F57F7"/>
    <w:rsid w:val="002F5FF6"/>
    <w:rsid w:val="002F68FE"/>
    <w:rsid w:val="002F7893"/>
    <w:rsid w:val="002F7D9C"/>
    <w:rsid w:val="00300DF8"/>
    <w:rsid w:val="00303156"/>
    <w:rsid w:val="003107AB"/>
    <w:rsid w:val="0031127A"/>
    <w:rsid w:val="00312F81"/>
    <w:rsid w:val="00313A50"/>
    <w:rsid w:val="0031425B"/>
    <w:rsid w:val="00314B26"/>
    <w:rsid w:val="003154E8"/>
    <w:rsid w:val="00315C29"/>
    <w:rsid w:val="0031664C"/>
    <w:rsid w:val="00320F19"/>
    <w:rsid w:val="00321966"/>
    <w:rsid w:val="00321CAA"/>
    <w:rsid w:val="00324997"/>
    <w:rsid w:val="003256B1"/>
    <w:rsid w:val="00331545"/>
    <w:rsid w:val="003329CC"/>
    <w:rsid w:val="003330E6"/>
    <w:rsid w:val="0033333E"/>
    <w:rsid w:val="0033429B"/>
    <w:rsid w:val="00336401"/>
    <w:rsid w:val="003368C0"/>
    <w:rsid w:val="00336FC7"/>
    <w:rsid w:val="00343439"/>
    <w:rsid w:val="00343B53"/>
    <w:rsid w:val="003459E9"/>
    <w:rsid w:val="00346BA7"/>
    <w:rsid w:val="00347E02"/>
    <w:rsid w:val="00347E3D"/>
    <w:rsid w:val="003512EA"/>
    <w:rsid w:val="00351304"/>
    <w:rsid w:val="003519FF"/>
    <w:rsid w:val="0035440D"/>
    <w:rsid w:val="00354915"/>
    <w:rsid w:val="00355EC5"/>
    <w:rsid w:val="003572B9"/>
    <w:rsid w:val="0036160A"/>
    <w:rsid w:val="00362C35"/>
    <w:rsid w:val="00364E30"/>
    <w:rsid w:val="00370B88"/>
    <w:rsid w:val="00370C67"/>
    <w:rsid w:val="00372031"/>
    <w:rsid w:val="0037248F"/>
    <w:rsid w:val="00373819"/>
    <w:rsid w:val="003738C2"/>
    <w:rsid w:val="00373FB6"/>
    <w:rsid w:val="0037531D"/>
    <w:rsid w:val="003768E2"/>
    <w:rsid w:val="00380D34"/>
    <w:rsid w:val="003847B9"/>
    <w:rsid w:val="00385B9D"/>
    <w:rsid w:val="00385E85"/>
    <w:rsid w:val="0038624D"/>
    <w:rsid w:val="0039118D"/>
    <w:rsid w:val="00391AC8"/>
    <w:rsid w:val="00392FB4"/>
    <w:rsid w:val="00394DFF"/>
    <w:rsid w:val="00395C05"/>
    <w:rsid w:val="00396AD2"/>
    <w:rsid w:val="003A0250"/>
    <w:rsid w:val="003A04CD"/>
    <w:rsid w:val="003A11AB"/>
    <w:rsid w:val="003A1F14"/>
    <w:rsid w:val="003A3974"/>
    <w:rsid w:val="003A5838"/>
    <w:rsid w:val="003B0BC2"/>
    <w:rsid w:val="003B37BB"/>
    <w:rsid w:val="003B59BC"/>
    <w:rsid w:val="003B637E"/>
    <w:rsid w:val="003C0B9D"/>
    <w:rsid w:val="003C36AC"/>
    <w:rsid w:val="003C76B6"/>
    <w:rsid w:val="003C7EF9"/>
    <w:rsid w:val="003D09A5"/>
    <w:rsid w:val="003D16C3"/>
    <w:rsid w:val="003D20E9"/>
    <w:rsid w:val="003D58B6"/>
    <w:rsid w:val="003D68D5"/>
    <w:rsid w:val="003D7050"/>
    <w:rsid w:val="003D70A9"/>
    <w:rsid w:val="003E14CF"/>
    <w:rsid w:val="003E1B4D"/>
    <w:rsid w:val="003E684C"/>
    <w:rsid w:val="003E6A93"/>
    <w:rsid w:val="003E70B2"/>
    <w:rsid w:val="003F0A7A"/>
    <w:rsid w:val="003F168A"/>
    <w:rsid w:val="003F1885"/>
    <w:rsid w:val="003F2A7A"/>
    <w:rsid w:val="003F2F90"/>
    <w:rsid w:val="003F542B"/>
    <w:rsid w:val="00400931"/>
    <w:rsid w:val="004013EB"/>
    <w:rsid w:val="0040182B"/>
    <w:rsid w:val="00401AEC"/>
    <w:rsid w:val="00402318"/>
    <w:rsid w:val="00404F27"/>
    <w:rsid w:val="004058EF"/>
    <w:rsid w:val="00406C08"/>
    <w:rsid w:val="00407D59"/>
    <w:rsid w:val="00411F91"/>
    <w:rsid w:val="00412FF9"/>
    <w:rsid w:val="0041525E"/>
    <w:rsid w:val="00415939"/>
    <w:rsid w:val="00420742"/>
    <w:rsid w:val="00421005"/>
    <w:rsid w:val="00421D75"/>
    <w:rsid w:val="00422C9E"/>
    <w:rsid w:val="00424DF1"/>
    <w:rsid w:val="00425C37"/>
    <w:rsid w:val="00431372"/>
    <w:rsid w:val="0043243B"/>
    <w:rsid w:val="00433564"/>
    <w:rsid w:val="00433A3E"/>
    <w:rsid w:val="004341E7"/>
    <w:rsid w:val="00434BC3"/>
    <w:rsid w:val="004371A3"/>
    <w:rsid w:val="00437CA3"/>
    <w:rsid w:val="0044027B"/>
    <w:rsid w:val="004408F8"/>
    <w:rsid w:val="00443F9C"/>
    <w:rsid w:val="0044517E"/>
    <w:rsid w:val="0044648F"/>
    <w:rsid w:val="0044682C"/>
    <w:rsid w:val="00446DA2"/>
    <w:rsid w:val="00450F88"/>
    <w:rsid w:val="00451DAD"/>
    <w:rsid w:val="00454055"/>
    <w:rsid w:val="0045678E"/>
    <w:rsid w:val="00457843"/>
    <w:rsid w:val="00460BF4"/>
    <w:rsid w:val="00462002"/>
    <w:rsid w:val="0046212F"/>
    <w:rsid w:val="00462733"/>
    <w:rsid w:val="00463227"/>
    <w:rsid w:val="00463973"/>
    <w:rsid w:val="00464B68"/>
    <w:rsid w:val="00465587"/>
    <w:rsid w:val="00466674"/>
    <w:rsid w:val="0047108F"/>
    <w:rsid w:val="00471113"/>
    <w:rsid w:val="00471200"/>
    <w:rsid w:val="004715CA"/>
    <w:rsid w:val="00471C92"/>
    <w:rsid w:val="004726BE"/>
    <w:rsid w:val="00472FF8"/>
    <w:rsid w:val="00475F03"/>
    <w:rsid w:val="004760E5"/>
    <w:rsid w:val="00477B2C"/>
    <w:rsid w:val="004804B3"/>
    <w:rsid w:val="00481E06"/>
    <w:rsid w:val="004820E9"/>
    <w:rsid w:val="00483119"/>
    <w:rsid w:val="0048361F"/>
    <w:rsid w:val="00484069"/>
    <w:rsid w:val="004845D0"/>
    <w:rsid w:val="004852FF"/>
    <w:rsid w:val="004900DE"/>
    <w:rsid w:val="00490A4A"/>
    <w:rsid w:val="00490B04"/>
    <w:rsid w:val="00490E77"/>
    <w:rsid w:val="00491129"/>
    <w:rsid w:val="00491B1E"/>
    <w:rsid w:val="00493476"/>
    <w:rsid w:val="00494E73"/>
    <w:rsid w:val="004952E2"/>
    <w:rsid w:val="0049647E"/>
    <w:rsid w:val="004A0B7A"/>
    <w:rsid w:val="004A2830"/>
    <w:rsid w:val="004A2BC0"/>
    <w:rsid w:val="004A3C9F"/>
    <w:rsid w:val="004A6935"/>
    <w:rsid w:val="004B1350"/>
    <w:rsid w:val="004B2B66"/>
    <w:rsid w:val="004B32F4"/>
    <w:rsid w:val="004B4059"/>
    <w:rsid w:val="004B514C"/>
    <w:rsid w:val="004B7ECA"/>
    <w:rsid w:val="004C00D8"/>
    <w:rsid w:val="004C00EF"/>
    <w:rsid w:val="004C03C5"/>
    <w:rsid w:val="004C3C4B"/>
    <w:rsid w:val="004C3DAD"/>
    <w:rsid w:val="004C5923"/>
    <w:rsid w:val="004C6116"/>
    <w:rsid w:val="004C6A49"/>
    <w:rsid w:val="004C7C61"/>
    <w:rsid w:val="004C7DF0"/>
    <w:rsid w:val="004D0DFD"/>
    <w:rsid w:val="004D1FBE"/>
    <w:rsid w:val="004D3CA5"/>
    <w:rsid w:val="004D4A86"/>
    <w:rsid w:val="004D5702"/>
    <w:rsid w:val="004D676E"/>
    <w:rsid w:val="004D744E"/>
    <w:rsid w:val="004D7664"/>
    <w:rsid w:val="004D7C75"/>
    <w:rsid w:val="004E074F"/>
    <w:rsid w:val="004E34D8"/>
    <w:rsid w:val="004E4D76"/>
    <w:rsid w:val="004E6427"/>
    <w:rsid w:val="004E7616"/>
    <w:rsid w:val="004E7625"/>
    <w:rsid w:val="004E7E43"/>
    <w:rsid w:val="004F1956"/>
    <w:rsid w:val="004F29E2"/>
    <w:rsid w:val="004F4F1F"/>
    <w:rsid w:val="004F5FC6"/>
    <w:rsid w:val="004F6387"/>
    <w:rsid w:val="004F6557"/>
    <w:rsid w:val="004F69FA"/>
    <w:rsid w:val="004F7FB9"/>
    <w:rsid w:val="00501104"/>
    <w:rsid w:val="00501B75"/>
    <w:rsid w:val="005037B2"/>
    <w:rsid w:val="0050455E"/>
    <w:rsid w:val="005047AD"/>
    <w:rsid w:val="00510B1D"/>
    <w:rsid w:val="0051107D"/>
    <w:rsid w:val="005145A9"/>
    <w:rsid w:val="00514ECC"/>
    <w:rsid w:val="00516B45"/>
    <w:rsid w:val="00516FA0"/>
    <w:rsid w:val="005248D4"/>
    <w:rsid w:val="00526C07"/>
    <w:rsid w:val="005273A6"/>
    <w:rsid w:val="00527533"/>
    <w:rsid w:val="00527E88"/>
    <w:rsid w:val="005305FA"/>
    <w:rsid w:val="0053387C"/>
    <w:rsid w:val="005338FB"/>
    <w:rsid w:val="00534F74"/>
    <w:rsid w:val="00536789"/>
    <w:rsid w:val="00536D2F"/>
    <w:rsid w:val="005378B1"/>
    <w:rsid w:val="00540052"/>
    <w:rsid w:val="00540D85"/>
    <w:rsid w:val="0054146B"/>
    <w:rsid w:val="00543771"/>
    <w:rsid w:val="00543DB4"/>
    <w:rsid w:val="00543E08"/>
    <w:rsid w:val="005449AD"/>
    <w:rsid w:val="00544FC0"/>
    <w:rsid w:val="005457A2"/>
    <w:rsid w:val="00545E12"/>
    <w:rsid w:val="005505ED"/>
    <w:rsid w:val="00551775"/>
    <w:rsid w:val="00551BC7"/>
    <w:rsid w:val="00553C06"/>
    <w:rsid w:val="005549FA"/>
    <w:rsid w:val="00556948"/>
    <w:rsid w:val="00564B04"/>
    <w:rsid w:val="0057079B"/>
    <w:rsid w:val="00573059"/>
    <w:rsid w:val="0057621E"/>
    <w:rsid w:val="00577B05"/>
    <w:rsid w:val="00577CEB"/>
    <w:rsid w:val="00580D6F"/>
    <w:rsid w:val="005812C6"/>
    <w:rsid w:val="00583C8B"/>
    <w:rsid w:val="00590468"/>
    <w:rsid w:val="0059123F"/>
    <w:rsid w:val="005920AB"/>
    <w:rsid w:val="005926EF"/>
    <w:rsid w:val="005948FA"/>
    <w:rsid w:val="005959BE"/>
    <w:rsid w:val="00596210"/>
    <w:rsid w:val="00596286"/>
    <w:rsid w:val="00596999"/>
    <w:rsid w:val="00597441"/>
    <w:rsid w:val="005A0ACC"/>
    <w:rsid w:val="005A0F31"/>
    <w:rsid w:val="005A28A1"/>
    <w:rsid w:val="005A46D0"/>
    <w:rsid w:val="005A6FB5"/>
    <w:rsid w:val="005A79D8"/>
    <w:rsid w:val="005B1A2D"/>
    <w:rsid w:val="005B25E4"/>
    <w:rsid w:val="005B30C8"/>
    <w:rsid w:val="005B7778"/>
    <w:rsid w:val="005C051F"/>
    <w:rsid w:val="005C3A85"/>
    <w:rsid w:val="005C4EB4"/>
    <w:rsid w:val="005C6E7B"/>
    <w:rsid w:val="005C762E"/>
    <w:rsid w:val="005D098C"/>
    <w:rsid w:val="005D19A5"/>
    <w:rsid w:val="005D1DF0"/>
    <w:rsid w:val="005D2A41"/>
    <w:rsid w:val="005D3FD9"/>
    <w:rsid w:val="005D53F4"/>
    <w:rsid w:val="005D5E87"/>
    <w:rsid w:val="005D6D9C"/>
    <w:rsid w:val="005D6EE7"/>
    <w:rsid w:val="005E2139"/>
    <w:rsid w:val="005E23DA"/>
    <w:rsid w:val="005E46BB"/>
    <w:rsid w:val="005E5BDF"/>
    <w:rsid w:val="005F7367"/>
    <w:rsid w:val="006001CC"/>
    <w:rsid w:val="00602415"/>
    <w:rsid w:val="00602B4D"/>
    <w:rsid w:val="00602B62"/>
    <w:rsid w:val="00603C94"/>
    <w:rsid w:val="006048E0"/>
    <w:rsid w:val="00604FAD"/>
    <w:rsid w:val="0060662A"/>
    <w:rsid w:val="006102DC"/>
    <w:rsid w:val="00612789"/>
    <w:rsid w:val="00613D24"/>
    <w:rsid w:val="00614BDA"/>
    <w:rsid w:val="00617B9D"/>
    <w:rsid w:val="0062028C"/>
    <w:rsid w:val="00621AFB"/>
    <w:rsid w:val="0062589A"/>
    <w:rsid w:val="0062689A"/>
    <w:rsid w:val="0062753A"/>
    <w:rsid w:val="006307C7"/>
    <w:rsid w:val="00632B82"/>
    <w:rsid w:val="006331B4"/>
    <w:rsid w:val="006343F3"/>
    <w:rsid w:val="006364C0"/>
    <w:rsid w:val="00637C1C"/>
    <w:rsid w:val="00640CF2"/>
    <w:rsid w:val="006417D6"/>
    <w:rsid w:val="00642906"/>
    <w:rsid w:val="00642B28"/>
    <w:rsid w:val="00643582"/>
    <w:rsid w:val="00643B75"/>
    <w:rsid w:val="006455F3"/>
    <w:rsid w:val="006457EF"/>
    <w:rsid w:val="00645BC2"/>
    <w:rsid w:val="00650F96"/>
    <w:rsid w:val="006512B7"/>
    <w:rsid w:val="00651C22"/>
    <w:rsid w:val="006522C4"/>
    <w:rsid w:val="00653E68"/>
    <w:rsid w:val="00655647"/>
    <w:rsid w:val="00655679"/>
    <w:rsid w:val="00655B4D"/>
    <w:rsid w:val="00655ED5"/>
    <w:rsid w:val="00660978"/>
    <w:rsid w:val="00661E76"/>
    <w:rsid w:val="006652EA"/>
    <w:rsid w:val="006653CE"/>
    <w:rsid w:val="00665734"/>
    <w:rsid w:val="00670BBA"/>
    <w:rsid w:val="00671046"/>
    <w:rsid w:val="00671977"/>
    <w:rsid w:val="00671D80"/>
    <w:rsid w:val="006721F5"/>
    <w:rsid w:val="00672EFB"/>
    <w:rsid w:val="006739CF"/>
    <w:rsid w:val="0067752C"/>
    <w:rsid w:val="006776A2"/>
    <w:rsid w:val="006801A6"/>
    <w:rsid w:val="00681105"/>
    <w:rsid w:val="0068124B"/>
    <w:rsid w:val="00681610"/>
    <w:rsid w:val="00681F2E"/>
    <w:rsid w:val="00685D36"/>
    <w:rsid w:val="00687304"/>
    <w:rsid w:val="0069105E"/>
    <w:rsid w:val="00691196"/>
    <w:rsid w:val="00692625"/>
    <w:rsid w:val="00692C71"/>
    <w:rsid w:val="006931A0"/>
    <w:rsid w:val="006935BC"/>
    <w:rsid w:val="00696E55"/>
    <w:rsid w:val="006A0B0E"/>
    <w:rsid w:val="006A3A9C"/>
    <w:rsid w:val="006A3CC5"/>
    <w:rsid w:val="006A52E5"/>
    <w:rsid w:val="006A5D3E"/>
    <w:rsid w:val="006A7035"/>
    <w:rsid w:val="006A721F"/>
    <w:rsid w:val="006A7CCF"/>
    <w:rsid w:val="006B0581"/>
    <w:rsid w:val="006B0F36"/>
    <w:rsid w:val="006B1086"/>
    <w:rsid w:val="006B19F2"/>
    <w:rsid w:val="006B2438"/>
    <w:rsid w:val="006B25CC"/>
    <w:rsid w:val="006B30FD"/>
    <w:rsid w:val="006B37D7"/>
    <w:rsid w:val="006B4254"/>
    <w:rsid w:val="006B5CB4"/>
    <w:rsid w:val="006B6DCF"/>
    <w:rsid w:val="006B711A"/>
    <w:rsid w:val="006B791B"/>
    <w:rsid w:val="006B7EC0"/>
    <w:rsid w:val="006C11FE"/>
    <w:rsid w:val="006C239E"/>
    <w:rsid w:val="006C3FDA"/>
    <w:rsid w:val="006C4793"/>
    <w:rsid w:val="006C4C0A"/>
    <w:rsid w:val="006D0087"/>
    <w:rsid w:val="006D2203"/>
    <w:rsid w:val="006D36FB"/>
    <w:rsid w:val="006D42ED"/>
    <w:rsid w:val="006D4D1A"/>
    <w:rsid w:val="006D515E"/>
    <w:rsid w:val="006D73F1"/>
    <w:rsid w:val="006D77EC"/>
    <w:rsid w:val="006E20D1"/>
    <w:rsid w:val="006E2352"/>
    <w:rsid w:val="006E2A29"/>
    <w:rsid w:val="006E3514"/>
    <w:rsid w:val="006E4827"/>
    <w:rsid w:val="006E6983"/>
    <w:rsid w:val="006E7421"/>
    <w:rsid w:val="006E7647"/>
    <w:rsid w:val="006F10D1"/>
    <w:rsid w:val="006F162C"/>
    <w:rsid w:val="006F1DA8"/>
    <w:rsid w:val="006F4383"/>
    <w:rsid w:val="006F4CFA"/>
    <w:rsid w:val="006F5310"/>
    <w:rsid w:val="006F5375"/>
    <w:rsid w:val="006F696E"/>
    <w:rsid w:val="006F6B91"/>
    <w:rsid w:val="007038D3"/>
    <w:rsid w:val="007040CB"/>
    <w:rsid w:val="00704AF9"/>
    <w:rsid w:val="0070523B"/>
    <w:rsid w:val="00706F18"/>
    <w:rsid w:val="007078B2"/>
    <w:rsid w:val="00707D16"/>
    <w:rsid w:val="00712A6D"/>
    <w:rsid w:val="0071508F"/>
    <w:rsid w:val="007155C6"/>
    <w:rsid w:val="00715845"/>
    <w:rsid w:val="00715E8A"/>
    <w:rsid w:val="00717226"/>
    <w:rsid w:val="00720FDD"/>
    <w:rsid w:val="00721FE8"/>
    <w:rsid w:val="00722883"/>
    <w:rsid w:val="00723AF0"/>
    <w:rsid w:val="00727911"/>
    <w:rsid w:val="0073007E"/>
    <w:rsid w:val="007311E2"/>
    <w:rsid w:val="00732519"/>
    <w:rsid w:val="0073365B"/>
    <w:rsid w:val="00734F5A"/>
    <w:rsid w:val="00735E97"/>
    <w:rsid w:val="00736D97"/>
    <w:rsid w:val="00737CEF"/>
    <w:rsid w:val="00737DDA"/>
    <w:rsid w:val="00743484"/>
    <w:rsid w:val="007449E8"/>
    <w:rsid w:val="00746B57"/>
    <w:rsid w:val="0074748A"/>
    <w:rsid w:val="00747D90"/>
    <w:rsid w:val="00747E3A"/>
    <w:rsid w:val="0075169C"/>
    <w:rsid w:val="00751CB9"/>
    <w:rsid w:val="00754EE8"/>
    <w:rsid w:val="00754F09"/>
    <w:rsid w:val="0075624F"/>
    <w:rsid w:val="00756D96"/>
    <w:rsid w:val="007570A0"/>
    <w:rsid w:val="007612EF"/>
    <w:rsid w:val="00763641"/>
    <w:rsid w:val="0076593F"/>
    <w:rsid w:val="007668BA"/>
    <w:rsid w:val="00766996"/>
    <w:rsid w:val="00767E48"/>
    <w:rsid w:val="00770596"/>
    <w:rsid w:val="0077277D"/>
    <w:rsid w:val="007747D4"/>
    <w:rsid w:val="00774963"/>
    <w:rsid w:val="00775D96"/>
    <w:rsid w:val="00776381"/>
    <w:rsid w:val="0078136F"/>
    <w:rsid w:val="00781B7F"/>
    <w:rsid w:val="00782DCB"/>
    <w:rsid w:val="00784156"/>
    <w:rsid w:val="0078503B"/>
    <w:rsid w:val="0079261C"/>
    <w:rsid w:val="007933B3"/>
    <w:rsid w:val="00793695"/>
    <w:rsid w:val="00794D72"/>
    <w:rsid w:val="00795DEC"/>
    <w:rsid w:val="00797866"/>
    <w:rsid w:val="007A048E"/>
    <w:rsid w:val="007A19AF"/>
    <w:rsid w:val="007A1B68"/>
    <w:rsid w:val="007A1E9D"/>
    <w:rsid w:val="007A2268"/>
    <w:rsid w:val="007A2801"/>
    <w:rsid w:val="007A46CD"/>
    <w:rsid w:val="007A4A2A"/>
    <w:rsid w:val="007A4EEE"/>
    <w:rsid w:val="007A65F0"/>
    <w:rsid w:val="007A6DAA"/>
    <w:rsid w:val="007A7EC8"/>
    <w:rsid w:val="007B032C"/>
    <w:rsid w:val="007B1AF8"/>
    <w:rsid w:val="007B2709"/>
    <w:rsid w:val="007B2A16"/>
    <w:rsid w:val="007B4B3F"/>
    <w:rsid w:val="007B756A"/>
    <w:rsid w:val="007B787D"/>
    <w:rsid w:val="007B7B7B"/>
    <w:rsid w:val="007C3165"/>
    <w:rsid w:val="007C4C01"/>
    <w:rsid w:val="007C58D6"/>
    <w:rsid w:val="007C732D"/>
    <w:rsid w:val="007D1008"/>
    <w:rsid w:val="007D3633"/>
    <w:rsid w:val="007D409A"/>
    <w:rsid w:val="007D5B27"/>
    <w:rsid w:val="007D5C80"/>
    <w:rsid w:val="007D62AE"/>
    <w:rsid w:val="007D7CD3"/>
    <w:rsid w:val="007E013D"/>
    <w:rsid w:val="007E18A8"/>
    <w:rsid w:val="007E2754"/>
    <w:rsid w:val="007E2AC6"/>
    <w:rsid w:val="007E2E70"/>
    <w:rsid w:val="007E4CEC"/>
    <w:rsid w:val="007E5818"/>
    <w:rsid w:val="007E61A7"/>
    <w:rsid w:val="007E65D7"/>
    <w:rsid w:val="007F0968"/>
    <w:rsid w:val="007F6076"/>
    <w:rsid w:val="007F6129"/>
    <w:rsid w:val="0080089C"/>
    <w:rsid w:val="00801544"/>
    <w:rsid w:val="00803318"/>
    <w:rsid w:val="00803456"/>
    <w:rsid w:val="0080386B"/>
    <w:rsid w:val="00803F7A"/>
    <w:rsid w:val="008053BA"/>
    <w:rsid w:val="00806879"/>
    <w:rsid w:val="00806B73"/>
    <w:rsid w:val="00807C09"/>
    <w:rsid w:val="00811BBD"/>
    <w:rsid w:val="00812976"/>
    <w:rsid w:val="008141CA"/>
    <w:rsid w:val="00814DEF"/>
    <w:rsid w:val="00815249"/>
    <w:rsid w:val="00820731"/>
    <w:rsid w:val="0082239E"/>
    <w:rsid w:val="00823773"/>
    <w:rsid w:val="00824DFA"/>
    <w:rsid w:val="00825A87"/>
    <w:rsid w:val="00827BA4"/>
    <w:rsid w:val="00831B9B"/>
    <w:rsid w:val="00835008"/>
    <w:rsid w:val="00835DC6"/>
    <w:rsid w:val="008370DD"/>
    <w:rsid w:val="0083789C"/>
    <w:rsid w:val="00837A1F"/>
    <w:rsid w:val="00842A7E"/>
    <w:rsid w:val="00842EC0"/>
    <w:rsid w:val="00844D3D"/>
    <w:rsid w:val="0084532E"/>
    <w:rsid w:val="00845810"/>
    <w:rsid w:val="00845F3C"/>
    <w:rsid w:val="00846159"/>
    <w:rsid w:val="008505C3"/>
    <w:rsid w:val="00851677"/>
    <w:rsid w:val="008522C6"/>
    <w:rsid w:val="00852E40"/>
    <w:rsid w:val="00857A90"/>
    <w:rsid w:val="00857CDD"/>
    <w:rsid w:val="00860062"/>
    <w:rsid w:val="00860EA8"/>
    <w:rsid w:val="00861B0B"/>
    <w:rsid w:val="0086472B"/>
    <w:rsid w:val="008657F7"/>
    <w:rsid w:val="00865C64"/>
    <w:rsid w:val="00871E36"/>
    <w:rsid w:val="00872CBB"/>
    <w:rsid w:val="0087357B"/>
    <w:rsid w:val="0087368E"/>
    <w:rsid w:val="008739E1"/>
    <w:rsid w:val="00877F60"/>
    <w:rsid w:val="008802D9"/>
    <w:rsid w:val="00880B98"/>
    <w:rsid w:val="00881555"/>
    <w:rsid w:val="00881F26"/>
    <w:rsid w:val="008838A1"/>
    <w:rsid w:val="0088685E"/>
    <w:rsid w:val="0088689E"/>
    <w:rsid w:val="008870B0"/>
    <w:rsid w:val="00887563"/>
    <w:rsid w:val="00891794"/>
    <w:rsid w:val="00891929"/>
    <w:rsid w:val="00893176"/>
    <w:rsid w:val="008933DC"/>
    <w:rsid w:val="00895446"/>
    <w:rsid w:val="00895B36"/>
    <w:rsid w:val="00895E41"/>
    <w:rsid w:val="008A05E4"/>
    <w:rsid w:val="008A0B46"/>
    <w:rsid w:val="008A1CC6"/>
    <w:rsid w:val="008A2098"/>
    <w:rsid w:val="008A32D1"/>
    <w:rsid w:val="008B03D8"/>
    <w:rsid w:val="008B4FDC"/>
    <w:rsid w:val="008B61CD"/>
    <w:rsid w:val="008C0098"/>
    <w:rsid w:val="008C272A"/>
    <w:rsid w:val="008C4A61"/>
    <w:rsid w:val="008C4CB3"/>
    <w:rsid w:val="008C4DED"/>
    <w:rsid w:val="008C4F0F"/>
    <w:rsid w:val="008C619A"/>
    <w:rsid w:val="008C6CFD"/>
    <w:rsid w:val="008C6D09"/>
    <w:rsid w:val="008C7D07"/>
    <w:rsid w:val="008C7E6B"/>
    <w:rsid w:val="008C7F38"/>
    <w:rsid w:val="008D0608"/>
    <w:rsid w:val="008D3B9E"/>
    <w:rsid w:val="008D55C9"/>
    <w:rsid w:val="008E14AF"/>
    <w:rsid w:val="008E1FD0"/>
    <w:rsid w:val="008E2E18"/>
    <w:rsid w:val="008E678E"/>
    <w:rsid w:val="008E69EE"/>
    <w:rsid w:val="008E71E9"/>
    <w:rsid w:val="008E7460"/>
    <w:rsid w:val="008E7585"/>
    <w:rsid w:val="008F1C5E"/>
    <w:rsid w:val="008F2091"/>
    <w:rsid w:val="008F2E5C"/>
    <w:rsid w:val="008F41AE"/>
    <w:rsid w:val="008F49E8"/>
    <w:rsid w:val="008F646F"/>
    <w:rsid w:val="008F6BAB"/>
    <w:rsid w:val="008F7A5F"/>
    <w:rsid w:val="0090086B"/>
    <w:rsid w:val="00906982"/>
    <w:rsid w:val="00907130"/>
    <w:rsid w:val="009076D0"/>
    <w:rsid w:val="009122A1"/>
    <w:rsid w:val="00914F38"/>
    <w:rsid w:val="00914FE9"/>
    <w:rsid w:val="0091776B"/>
    <w:rsid w:val="00920396"/>
    <w:rsid w:val="009207C5"/>
    <w:rsid w:val="009253CA"/>
    <w:rsid w:val="00925873"/>
    <w:rsid w:val="0092657D"/>
    <w:rsid w:val="00927597"/>
    <w:rsid w:val="00932995"/>
    <w:rsid w:val="00932B67"/>
    <w:rsid w:val="00935018"/>
    <w:rsid w:val="0093671F"/>
    <w:rsid w:val="00936A38"/>
    <w:rsid w:val="00936E16"/>
    <w:rsid w:val="009371F4"/>
    <w:rsid w:val="00937D0C"/>
    <w:rsid w:val="00937F0D"/>
    <w:rsid w:val="009419B4"/>
    <w:rsid w:val="00941D1F"/>
    <w:rsid w:val="00942195"/>
    <w:rsid w:val="0094366C"/>
    <w:rsid w:val="00943F1A"/>
    <w:rsid w:val="0094666B"/>
    <w:rsid w:val="0094688E"/>
    <w:rsid w:val="00947262"/>
    <w:rsid w:val="0094758D"/>
    <w:rsid w:val="009479C0"/>
    <w:rsid w:val="00950914"/>
    <w:rsid w:val="00950C51"/>
    <w:rsid w:val="009513A6"/>
    <w:rsid w:val="009514D7"/>
    <w:rsid w:val="00951973"/>
    <w:rsid w:val="0095252E"/>
    <w:rsid w:val="00952591"/>
    <w:rsid w:val="00952C90"/>
    <w:rsid w:val="00953ADF"/>
    <w:rsid w:val="00953B55"/>
    <w:rsid w:val="00954644"/>
    <w:rsid w:val="00955A37"/>
    <w:rsid w:val="00955EBA"/>
    <w:rsid w:val="00957E73"/>
    <w:rsid w:val="0096135C"/>
    <w:rsid w:val="00965920"/>
    <w:rsid w:val="009725F4"/>
    <w:rsid w:val="009728EC"/>
    <w:rsid w:val="00972E47"/>
    <w:rsid w:val="00973570"/>
    <w:rsid w:val="00973B18"/>
    <w:rsid w:val="009746D7"/>
    <w:rsid w:val="00975FC2"/>
    <w:rsid w:val="00976BCF"/>
    <w:rsid w:val="009808B4"/>
    <w:rsid w:val="0098178C"/>
    <w:rsid w:val="00983391"/>
    <w:rsid w:val="00984821"/>
    <w:rsid w:val="00985556"/>
    <w:rsid w:val="0098566B"/>
    <w:rsid w:val="00985DBF"/>
    <w:rsid w:val="00987D38"/>
    <w:rsid w:val="009902C3"/>
    <w:rsid w:val="00993A6A"/>
    <w:rsid w:val="00995077"/>
    <w:rsid w:val="009954E1"/>
    <w:rsid w:val="009961A7"/>
    <w:rsid w:val="0099716A"/>
    <w:rsid w:val="009A0593"/>
    <w:rsid w:val="009A2797"/>
    <w:rsid w:val="009A2C14"/>
    <w:rsid w:val="009A3D97"/>
    <w:rsid w:val="009A3ED6"/>
    <w:rsid w:val="009A530D"/>
    <w:rsid w:val="009A5758"/>
    <w:rsid w:val="009A598B"/>
    <w:rsid w:val="009A698B"/>
    <w:rsid w:val="009B2D86"/>
    <w:rsid w:val="009B3F94"/>
    <w:rsid w:val="009B5B3F"/>
    <w:rsid w:val="009B5E70"/>
    <w:rsid w:val="009B621A"/>
    <w:rsid w:val="009B672F"/>
    <w:rsid w:val="009B6B83"/>
    <w:rsid w:val="009B6EAB"/>
    <w:rsid w:val="009B718D"/>
    <w:rsid w:val="009B7A6E"/>
    <w:rsid w:val="009C0A28"/>
    <w:rsid w:val="009C0BCC"/>
    <w:rsid w:val="009C271B"/>
    <w:rsid w:val="009C3FA3"/>
    <w:rsid w:val="009C4089"/>
    <w:rsid w:val="009C45D9"/>
    <w:rsid w:val="009C6D33"/>
    <w:rsid w:val="009C6F32"/>
    <w:rsid w:val="009D2BEF"/>
    <w:rsid w:val="009D421A"/>
    <w:rsid w:val="009D5B11"/>
    <w:rsid w:val="009D7074"/>
    <w:rsid w:val="009D7187"/>
    <w:rsid w:val="009D783B"/>
    <w:rsid w:val="009E01DD"/>
    <w:rsid w:val="009E3D8F"/>
    <w:rsid w:val="009E547A"/>
    <w:rsid w:val="009E562C"/>
    <w:rsid w:val="009E5825"/>
    <w:rsid w:val="009E5B26"/>
    <w:rsid w:val="009E62FB"/>
    <w:rsid w:val="009E6A0B"/>
    <w:rsid w:val="009F1248"/>
    <w:rsid w:val="009F186A"/>
    <w:rsid w:val="009F1A52"/>
    <w:rsid w:val="009F30C8"/>
    <w:rsid w:val="009F4054"/>
    <w:rsid w:val="009F58B3"/>
    <w:rsid w:val="00A00403"/>
    <w:rsid w:val="00A01539"/>
    <w:rsid w:val="00A02EC8"/>
    <w:rsid w:val="00A02F7D"/>
    <w:rsid w:val="00A03342"/>
    <w:rsid w:val="00A03791"/>
    <w:rsid w:val="00A06657"/>
    <w:rsid w:val="00A07A77"/>
    <w:rsid w:val="00A10D97"/>
    <w:rsid w:val="00A12DA0"/>
    <w:rsid w:val="00A16DFA"/>
    <w:rsid w:val="00A17B99"/>
    <w:rsid w:val="00A17C0A"/>
    <w:rsid w:val="00A2059B"/>
    <w:rsid w:val="00A22FA7"/>
    <w:rsid w:val="00A238D0"/>
    <w:rsid w:val="00A33919"/>
    <w:rsid w:val="00A3601F"/>
    <w:rsid w:val="00A36968"/>
    <w:rsid w:val="00A41149"/>
    <w:rsid w:val="00A44745"/>
    <w:rsid w:val="00A44E8F"/>
    <w:rsid w:val="00A44F15"/>
    <w:rsid w:val="00A4733E"/>
    <w:rsid w:val="00A47B7B"/>
    <w:rsid w:val="00A50621"/>
    <w:rsid w:val="00A50EFE"/>
    <w:rsid w:val="00A54175"/>
    <w:rsid w:val="00A55B15"/>
    <w:rsid w:val="00A56809"/>
    <w:rsid w:val="00A60D9A"/>
    <w:rsid w:val="00A613CC"/>
    <w:rsid w:val="00A62BF5"/>
    <w:rsid w:val="00A63A07"/>
    <w:rsid w:val="00A63A40"/>
    <w:rsid w:val="00A654A2"/>
    <w:rsid w:val="00A67183"/>
    <w:rsid w:val="00A70079"/>
    <w:rsid w:val="00A76452"/>
    <w:rsid w:val="00A83F5F"/>
    <w:rsid w:val="00A84DF8"/>
    <w:rsid w:val="00A86D3D"/>
    <w:rsid w:val="00A9013E"/>
    <w:rsid w:val="00A915F3"/>
    <w:rsid w:val="00A94B17"/>
    <w:rsid w:val="00A94EFC"/>
    <w:rsid w:val="00A94F1F"/>
    <w:rsid w:val="00A95347"/>
    <w:rsid w:val="00A97F73"/>
    <w:rsid w:val="00AA471D"/>
    <w:rsid w:val="00AA4A24"/>
    <w:rsid w:val="00AA4B1C"/>
    <w:rsid w:val="00AA6188"/>
    <w:rsid w:val="00AA7E33"/>
    <w:rsid w:val="00AB265E"/>
    <w:rsid w:val="00AB2948"/>
    <w:rsid w:val="00AB39FA"/>
    <w:rsid w:val="00AB3A3D"/>
    <w:rsid w:val="00AB3B30"/>
    <w:rsid w:val="00AB426C"/>
    <w:rsid w:val="00AB451C"/>
    <w:rsid w:val="00AB4EF1"/>
    <w:rsid w:val="00AB59F2"/>
    <w:rsid w:val="00AB68BF"/>
    <w:rsid w:val="00AC0189"/>
    <w:rsid w:val="00AC1112"/>
    <w:rsid w:val="00AC3AD6"/>
    <w:rsid w:val="00AC3E62"/>
    <w:rsid w:val="00AC5AF9"/>
    <w:rsid w:val="00AC6192"/>
    <w:rsid w:val="00AD1A1F"/>
    <w:rsid w:val="00AD21FE"/>
    <w:rsid w:val="00AD2B01"/>
    <w:rsid w:val="00AD2F03"/>
    <w:rsid w:val="00AD43C2"/>
    <w:rsid w:val="00AD57FE"/>
    <w:rsid w:val="00AD6287"/>
    <w:rsid w:val="00AD6931"/>
    <w:rsid w:val="00AD6933"/>
    <w:rsid w:val="00AD6B7B"/>
    <w:rsid w:val="00AD7CAB"/>
    <w:rsid w:val="00AE16C9"/>
    <w:rsid w:val="00AE38FB"/>
    <w:rsid w:val="00AE3EF5"/>
    <w:rsid w:val="00AE4F2A"/>
    <w:rsid w:val="00AE5F33"/>
    <w:rsid w:val="00AE7DE3"/>
    <w:rsid w:val="00AF0AD5"/>
    <w:rsid w:val="00AF0FB1"/>
    <w:rsid w:val="00AF15E6"/>
    <w:rsid w:val="00AF51E7"/>
    <w:rsid w:val="00AF6744"/>
    <w:rsid w:val="00B002E1"/>
    <w:rsid w:val="00B00EF3"/>
    <w:rsid w:val="00B02990"/>
    <w:rsid w:val="00B042C1"/>
    <w:rsid w:val="00B05620"/>
    <w:rsid w:val="00B104DC"/>
    <w:rsid w:val="00B113B5"/>
    <w:rsid w:val="00B12E05"/>
    <w:rsid w:val="00B12EBE"/>
    <w:rsid w:val="00B13D07"/>
    <w:rsid w:val="00B16431"/>
    <w:rsid w:val="00B166A4"/>
    <w:rsid w:val="00B17471"/>
    <w:rsid w:val="00B219B7"/>
    <w:rsid w:val="00B25038"/>
    <w:rsid w:val="00B26C3A"/>
    <w:rsid w:val="00B307BE"/>
    <w:rsid w:val="00B30D90"/>
    <w:rsid w:val="00B3159A"/>
    <w:rsid w:val="00B3223B"/>
    <w:rsid w:val="00B33465"/>
    <w:rsid w:val="00B35A85"/>
    <w:rsid w:val="00B35C09"/>
    <w:rsid w:val="00B36B1B"/>
    <w:rsid w:val="00B379C5"/>
    <w:rsid w:val="00B4183F"/>
    <w:rsid w:val="00B42198"/>
    <w:rsid w:val="00B429D4"/>
    <w:rsid w:val="00B429EB"/>
    <w:rsid w:val="00B43AC6"/>
    <w:rsid w:val="00B44CEB"/>
    <w:rsid w:val="00B46AD2"/>
    <w:rsid w:val="00B530D9"/>
    <w:rsid w:val="00B546E3"/>
    <w:rsid w:val="00B547DE"/>
    <w:rsid w:val="00B56469"/>
    <w:rsid w:val="00B63E2A"/>
    <w:rsid w:val="00B644D6"/>
    <w:rsid w:val="00B64528"/>
    <w:rsid w:val="00B64BBE"/>
    <w:rsid w:val="00B673E7"/>
    <w:rsid w:val="00B67D42"/>
    <w:rsid w:val="00B67DE1"/>
    <w:rsid w:val="00B703A6"/>
    <w:rsid w:val="00B70CC6"/>
    <w:rsid w:val="00B73620"/>
    <w:rsid w:val="00B73894"/>
    <w:rsid w:val="00B74A44"/>
    <w:rsid w:val="00B76757"/>
    <w:rsid w:val="00B767DC"/>
    <w:rsid w:val="00B76895"/>
    <w:rsid w:val="00B813C0"/>
    <w:rsid w:val="00B8193F"/>
    <w:rsid w:val="00B81A58"/>
    <w:rsid w:val="00B82D1E"/>
    <w:rsid w:val="00B8473D"/>
    <w:rsid w:val="00B85A35"/>
    <w:rsid w:val="00B86EE6"/>
    <w:rsid w:val="00B87631"/>
    <w:rsid w:val="00B87678"/>
    <w:rsid w:val="00B90410"/>
    <w:rsid w:val="00B90E10"/>
    <w:rsid w:val="00B91E90"/>
    <w:rsid w:val="00B92BD4"/>
    <w:rsid w:val="00B941C3"/>
    <w:rsid w:val="00B964CA"/>
    <w:rsid w:val="00B96FDE"/>
    <w:rsid w:val="00B975E3"/>
    <w:rsid w:val="00BA05FD"/>
    <w:rsid w:val="00BA0B59"/>
    <w:rsid w:val="00BA1752"/>
    <w:rsid w:val="00BA1D06"/>
    <w:rsid w:val="00BA2F60"/>
    <w:rsid w:val="00BA31C4"/>
    <w:rsid w:val="00BA4655"/>
    <w:rsid w:val="00BA78B6"/>
    <w:rsid w:val="00BA7935"/>
    <w:rsid w:val="00BA7EC3"/>
    <w:rsid w:val="00BB047B"/>
    <w:rsid w:val="00BB4818"/>
    <w:rsid w:val="00BB4AF3"/>
    <w:rsid w:val="00BB4E35"/>
    <w:rsid w:val="00BB6398"/>
    <w:rsid w:val="00BB686E"/>
    <w:rsid w:val="00BC25EF"/>
    <w:rsid w:val="00BC2DAF"/>
    <w:rsid w:val="00BC364B"/>
    <w:rsid w:val="00BC47DC"/>
    <w:rsid w:val="00BC4FD3"/>
    <w:rsid w:val="00BC6827"/>
    <w:rsid w:val="00BC6C7A"/>
    <w:rsid w:val="00BC7D9E"/>
    <w:rsid w:val="00BD0256"/>
    <w:rsid w:val="00BD0372"/>
    <w:rsid w:val="00BD33A3"/>
    <w:rsid w:val="00BD44F5"/>
    <w:rsid w:val="00BD5AF8"/>
    <w:rsid w:val="00BE07C1"/>
    <w:rsid w:val="00BE0E39"/>
    <w:rsid w:val="00BE38E4"/>
    <w:rsid w:val="00BE4340"/>
    <w:rsid w:val="00BE5502"/>
    <w:rsid w:val="00BE5C41"/>
    <w:rsid w:val="00BE73B1"/>
    <w:rsid w:val="00BE7BA0"/>
    <w:rsid w:val="00BF0646"/>
    <w:rsid w:val="00BF1C32"/>
    <w:rsid w:val="00BF38ED"/>
    <w:rsid w:val="00BF3970"/>
    <w:rsid w:val="00BF4359"/>
    <w:rsid w:val="00BF46F6"/>
    <w:rsid w:val="00BF4F3E"/>
    <w:rsid w:val="00BF76A6"/>
    <w:rsid w:val="00C01297"/>
    <w:rsid w:val="00C01F23"/>
    <w:rsid w:val="00C044BE"/>
    <w:rsid w:val="00C04BAB"/>
    <w:rsid w:val="00C0607B"/>
    <w:rsid w:val="00C06DEF"/>
    <w:rsid w:val="00C075A2"/>
    <w:rsid w:val="00C1008A"/>
    <w:rsid w:val="00C107CB"/>
    <w:rsid w:val="00C10906"/>
    <w:rsid w:val="00C118C4"/>
    <w:rsid w:val="00C11A0A"/>
    <w:rsid w:val="00C11F58"/>
    <w:rsid w:val="00C11FC6"/>
    <w:rsid w:val="00C120D7"/>
    <w:rsid w:val="00C132D1"/>
    <w:rsid w:val="00C139CA"/>
    <w:rsid w:val="00C13A7D"/>
    <w:rsid w:val="00C149A2"/>
    <w:rsid w:val="00C23217"/>
    <w:rsid w:val="00C241A8"/>
    <w:rsid w:val="00C24ABA"/>
    <w:rsid w:val="00C25AE0"/>
    <w:rsid w:val="00C264CB"/>
    <w:rsid w:val="00C27304"/>
    <w:rsid w:val="00C31253"/>
    <w:rsid w:val="00C31BA9"/>
    <w:rsid w:val="00C32320"/>
    <w:rsid w:val="00C35129"/>
    <w:rsid w:val="00C372DF"/>
    <w:rsid w:val="00C419DB"/>
    <w:rsid w:val="00C4267C"/>
    <w:rsid w:val="00C42B78"/>
    <w:rsid w:val="00C44C74"/>
    <w:rsid w:val="00C47557"/>
    <w:rsid w:val="00C476F1"/>
    <w:rsid w:val="00C47A83"/>
    <w:rsid w:val="00C51429"/>
    <w:rsid w:val="00C51E8F"/>
    <w:rsid w:val="00C52FC0"/>
    <w:rsid w:val="00C53F9E"/>
    <w:rsid w:val="00C559E9"/>
    <w:rsid w:val="00C6077F"/>
    <w:rsid w:val="00C608C1"/>
    <w:rsid w:val="00C6345B"/>
    <w:rsid w:val="00C63D4E"/>
    <w:rsid w:val="00C63E0F"/>
    <w:rsid w:val="00C63EA9"/>
    <w:rsid w:val="00C665A0"/>
    <w:rsid w:val="00C66A4C"/>
    <w:rsid w:val="00C66C60"/>
    <w:rsid w:val="00C67725"/>
    <w:rsid w:val="00C700F3"/>
    <w:rsid w:val="00C7092F"/>
    <w:rsid w:val="00C72303"/>
    <w:rsid w:val="00C73ACE"/>
    <w:rsid w:val="00C76ADF"/>
    <w:rsid w:val="00C76DDA"/>
    <w:rsid w:val="00C80789"/>
    <w:rsid w:val="00C807B3"/>
    <w:rsid w:val="00C825C9"/>
    <w:rsid w:val="00C831BB"/>
    <w:rsid w:val="00C86CC3"/>
    <w:rsid w:val="00C86CE8"/>
    <w:rsid w:val="00C879C0"/>
    <w:rsid w:val="00C901B1"/>
    <w:rsid w:val="00C90EBC"/>
    <w:rsid w:val="00C91B69"/>
    <w:rsid w:val="00C9213C"/>
    <w:rsid w:val="00C97D0F"/>
    <w:rsid w:val="00CA2767"/>
    <w:rsid w:val="00CA3856"/>
    <w:rsid w:val="00CA5A3F"/>
    <w:rsid w:val="00CA67E0"/>
    <w:rsid w:val="00CB0122"/>
    <w:rsid w:val="00CB0269"/>
    <w:rsid w:val="00CB0833"/>
    <w:rsid w:val="00CB0B8C"/>
    <w:rsid w:val="00CB18F5"/>
    <w:rsid w:val="00CB4A14"/>
    <w:rsid w:val="00CB70BB"/>
    <w:rsid w:val="00CC008E"/>
    <w:rsid w:val="00CC02ED"/>
    <w:rsid w:val="00CC25C6"/>
    <w:rsid w:val="00CC63EB"/>
    <w:rsid w:val="00CD022A"/>
    <w:rsid w:val="00CD03BE"/>
    <w:rsid w:val="00CD0707"/>
    <w:rsid w:val="00CD0E35"/>
    <w:rsid w:val="00CD1A25"/>
    <w:rsid w:val="00CD33D1"/>
    <w:rsid w:val="00CD38EF"/>
    <w:rsid w:val="00CD65E7"/>
    <w:rsid w:val="00CD7BFC"/>
    <w:rsid w:val="00CE0A07"/>
    <w:rsid w:val="00CE2B95"/>
    <w:rsid w:val="00CE2F1A"/>
    <w:rsid w:val="00CE5A7B"/>
    <w:rsid w:val="00CE5EF4"/>
    <w:rsid w:val="00CE5F1D"/>
    <w:rsid w:val="00CE6BF1"/>
    <w:rsid w:val="00CF12DB"/>
    <w:rsid w:val="00CF19F4"/>
    <w:rsid w:val="00CF1A11"/>
    <w:rsid w:val="00CF30FC"/>
    <w:rsid w:val="00CF4286"/>
    <w:rsid w:val="00CF5CB2"/>
    <w:rsid w:val="00D0163A"/>
    <w:rsid w:val="00D01B9F"/>
    <w:rsid w:val="00D03B38"/>
    <w:rsid w:val="00D03F87"/>
    <w:rsid w:val="00D04CD4"/>
    <w:rsid w:val="00D05FB8"/>
    <w:rsid w:val="00D07174"/>
    <w:rsid w:val="00D07545"/>
    <w:rsid w:val="00D108D1"/>
    <w:rsid w:val="00D12095"/>
    <w:rsid w:val="00D21AEC"/>
    <w:rsid w:val="00D21E9D"/>
    <w:rsid w:val="00D229DE"/>
    <w:rsid w:val="00D22D06"/>
    <w:rsid w:val="00D24772"/>
    <w:rsid w:val="00D26E91"/>
    <w:rsid w:val="00D27B83"/>
    <w:rsid w:val="00D3039D"/>
    <w:rsid w:val="00D33F36"/>
    <w:rsid w:val="00D3441D"/>
    <w:rsid w:val="00D355C4"/>
    <w:rsid w:val="00D35DA7"/>
    <w:rsid w:val="00D3612A"/>
    <w:rsid w:val="00D37703"/>
    <w:rsid w:val="00D37DBF"/>
    <w:rsid w:val="00D37F25"/>
    <w:rsid w:val="00D42F4F"/>
    <w:rsid w:val="00D44141"/>
    <w:rsid w:val="00D45DD6"/>
    <w:rsid w:val="00D5128F"/>
    <w:rsid w:val="00D51DB7"/>
    <w:rsid w:val="00D537BC"/>
    <w:rsid w:val="00D54628"/>
    <w:rsid w:val="00D548F5"/>
    <w:rsid w:val="00D56A53"/>
    <w:rsid w:val="00D621F6"/>
    <w:rsid w:val="00D625FE"/>
    <w:rsid w:val="00D6324F"/>
    <w:rsid w:val="00D63458"/>
    <w:rsid w:val="00D6399F"/>
    <w:rsid w:val="00D63A34"/>
    <w:rsid w:val="00D65F7B"/>
    <w:rsid w:val="00D66D37"/>
    <w:rsid w:val="00D7053D"/>
    <w:rsid w:val="00D723CF"/>
    <w:rsid w:val="00D74888"/>
    <w:rsid w:val="00D750CC"/>
    <w:rsid w:val="00D7551F"/>
    <w:rsid w:val="00D758DC"/>
    <w:rsid w:val="00D83E60"/>
    <w:rsid w:val="00D84369"/>
    <w:rsid w:val="00D84C8F"/>
    <w:rsid w:val="00D873AD"/>
    <w:rsid w:val="00D87E82"/>
    <w:rsid w:val="00D90BEE"/>
    <w:rsid w:val="00D91AAC"/>
    <w:rsid w:val="00D91B0D"/>
    <w:rsid w:val="00D91C06"/>
    <w:rsid w:val="00D91C9F"/>
    <w:rsid w:val="00D93FD1"/>
    <w:rsid w:val="00D96B4F"/>
    <w:rsid w:val="00D97DE9"/>
    <w:rsid w:val="00DA08BC"/>
    <w:rsid w:val="00DA08F5"/>
    <w:rsid w:val="00DA2ADC"/>
    <w:rsid w:val="00DA3752"/>
    <w:rsid w:val="00DA54FD"/>
    <w:rsid w:val="00DB01E2"/>
    <w:rsid w:val="00DB0764"/>
    <w:rsid w:val="00DB144C"/>
    <w:rsid w:val="00DB1A20"/>
    <w:rsid w:val="00DB26D8"/>
    <w:rsid w:val="00DB2B33"/>
    <w:rsid w:val="00DB3506"/>
    <w:rsid w:val="00DB41BE"/>
    <w:rsid w:val="00DB7A9A"/>
    <w:rsid w:val="00DC3177"/>
    <w:rsid w:val="00DC3276"/>
    <w:rsid w:val="00DC6AB6"/>
    <w:rsid w:val="00DD13AB"/>
    <w:rsid w:val="00DD271F"/>
    <w:rsid w:val="00DD2841"/>
    <w:rsid w:val="00DD37D8"/>
    <w:rsid w:val="00DD3856"/>
    <w:rsid w:val="00DD4055"/>
    <w:rsid w:val="00DD4EB5"/>
    <w:rsid w:val="00DD5902"/>
    <w:rsid w:val="00DD70E8"/>
    <w:rsid w:val="00DE01A4"/>
    <w:rsid w:val="00DE034B"/>
    <w:rsid w:val="00DE37CD"/>
    <w:rsid w:val="00DE3E40"/>
    <w:rsid w:val="00DE4597"/>
    <w:rsid w:val="00DE49CE"/>
    <w:rsid w:val="00DE643F"/>
    <w:rsid w:val="00DF4BE5"/>
    <w:rsid w:val="00DF61BF"/>
    <w:rsid w:val="00DF6840"/>
    <w:rsid w:val="00DF7C33"/>
    <w:rsid w:val="00E00FA1"/>
    <w:rsid w:val="00E010AB"/>
    <w:rsid w:val="00E015AD"/>
    <w:rsid w:val="00E0233F"/>
    <w:rsid w:val="00E02678"/>
    <w:rsid w:val="00E033DD"/>
    <w:rsid w:val="00E050EC"/>
    <w:rsid w:val="00E06262"/>
    <w:rsid w:val="00E06BE1"/>
    <w:rsid w:val="00E0748A"/>
    <w:rsid w:val="00E11BE3"/>
    <w:rsid w:val="00E128A9"/>
    <w:rsid w:val="00E132FA"/>
    <w:rsid w:val="00E143DA"/>
    <w:rsid w:val="00E14BA3"/>
    <w:rsid w:val="00E16473"/>
    <w:rsid w:val="00E16744"/>
    <w:rsid w:val="00E17426"/>
    <w:rsid w:val="00E2281A"/>
    <w:rsid w:val="00E25953"/>
    <w:rsid w:val="00E263DB"/>
    <w:rsid w:val="00E27F5A"/>
    <w:rsid w:val="00E302FF"/>
    <w:rsid w:val="00E32BEA"/>
    <w:rsid w:val="00E32F5B"/>
    <w:rsid w:val="00E33219"/>
    <w:rsid w:val="00E33857"/>
    <w:rsid w:val="00E376C8"/>
    <w:rsid w:val="00E3799F"/>
    <w:rsid w:val="00E37DA2"/>
    <w:rsid w:val="00E40963"/>
    <w:rsid w:val="00E4121B"/>
    <w:rsid w:val="00E42FA4"/>
    <w:rsid w:val="00E43ACF"/>
    <w:rsid w:val="00E448F0"/>
    <w:rsid w:val="00E45864"/>
    <w:rsid w:val="00E4622C"/>
    <w:rsid w:val="00E47072"/>
    <w:rsid w:val="00E47F40"/>
    <w:rsid w:val="00E51FFB"/>
    <w:rsid w:val="00E52DD3"/>
    <w:rsid w:val="00E532DE"/>
    <w:rsid w:val="00E5348F"/>
    <w:rsid w:val="00E54432"/>
    <w:rsid w:val="00E5471E"/>
    <w:rsid w:val="00E558A4"/>
    <w:rsid w:val="00E5672B"/>
    <w:rsid w:val="00E572A2"/>
    <w:rsid w:val="00E576D9"/>
    <w:rsid w:val="00E62CBB"/>
    <w:rsid w:val="00E65423"/>
    <w:rsid w:val="00E65C76"/>
    <w:rsid w:val="00E65EA1"/>
    <w:rsid w:val="00E6605D"/>
    <w:rsid w:val="00E6611F"/>
    <w:rsid w:val="00E665AF"/>
    <w:rsid w:val="00E67135"/>
    <w:rsid w:val="00E675B0"/>
    <w:rsid w:val="00E70893"/>
    <w:rsid w:val="00E745A8"/>
    <w:rsid w:val="00E7541E"/>
    <w:rsid w:val="00E764AA"/>
    <w:rsid w:val="00E828F6"/>
    <w:rsid w:val="00E8405D"/>
    <w:rsid w:val="00E8621D"/>
    <w:rsid w:val="00E9168B"/>
    <w:rsid w:val="00E923A0"/>
    <w:rsid w:val="00E9265B"/>
    <w:rsid w:val="00E92C84"/>
    <w:rsid w:val="00E94625"/>
    <w:rsid w:val="00E95253"/>
    <w:rsid w:val="00E96B1F"/>
    <w:rsid w:val="00E978F3"/>
    <w:rsid w:val="00EA1CB1"/>
    <w:rsid w:val="00EA2B4D"/>
    <w:rsid w:val="00EA3E5F"/>
    <w:rsid w:val="00EA5981"/>
    <w:rsid w:val="00EA5A45"/>
    <w:rsid w:val="00EA6125"/>
    <w:rsid w:val="00EA7939"/>
    <w:rsid w:val="00EB015D"/>
    <w:rsid w:val="00EB073D"/>
    <w:rsid w:val="00EB120F"/>
    <w:rsid w:val="00EC00B1"/>
    <w:rsid w:val="00EC0435"/>
    <w:rsid w:val="00EC19E6"/>
    <w:rsid w:val="00EC4211"/>
    <w:rsid w:val="00EC66D8"/>
    <w:rsid w:val="00EC6C30"/>
    <w:rsid w:val="00EC7180"/>
    <w:rsid w:val="00EC7E49"/>
    <w:rsid w:val="00EC7EE7"/>
    <w:rsid w:val="00ED209D"/>
    <w:rsid w:val="00ED418D"/>
    <w:rsid w:val="00ED41EF"/>
    <w:rsid w:val="00ED46C4"/>
    <w:rsid w:val="00ED5F88"/>
    <w:rsid w:val="00ED664B"/>
    <w:rsid w:val="00ED7359"/>
    <w:rsid w:val="00ED7C2E"/>
    <w:rsid w:val="00EE2A34"/>
    <w:rsid w:val="00EE3CCE"/>
    <w:rsid w:val="00EE5111"/>
    <w:rsid w:val="00EE5C03"/>
    <w:rsid w:val="00EE74CC"/>
    <w:rsid w:val="00EF157F"/>
    <w:rsid w:val="00EF18CA"/>
    <w:rsid w:val="00EF2730"/>
    <w:rsid w:val="00EF28D7"/>
    <w:rsid w:val="00EF336E"/>
    <w:rsid w:val="00EF4124"/>
    <w:rsid w:val="00EF59A1"/>
    <w:rsid w:val="00F00D7C"/>
    <w:rsid w:val="00F01D63"/>
    <w:rsid w:val="00F01EA4"/>
    <w:rsid w:val="00F03786"/>
    <w:rsid w:val="00F05E37"/>
    <w:rsid w:val="00F07897"/>
    <w:rsid w:val="00F07EF7"/>
    <w:rsid w:val="00F112AC"/>
    <w:rsid w:val="00F11529"/>
    <w:rsid w:val="00F130AD"/>
    <w:rsid w:val="00F15DE2"/>
    <w:rsid w:val="00F2002D"/>
    <w:rsid w:val="00F21274"/>
    <w:rsid w:val="00F22093"/>
    <w:rsid w:val="00F227E8"/>
    <w:rsid w:val="00F24647"/>
    <w:rsid w:val="00F26374"/>
    <w:rsid w:val="00F26A9F"/>
    <w:rsid w:val="00F30DE4"/>
    <w:rsid w:val="00F30FB4"/>
    <w:rsid w:val="00F331B5"/>
    <w:rsid w:val="00F3411D"/>
    <w:rsid w:val="00F34AF9"/>
    <w:rsid w:val="00F34F00"/>
    <w:rsid w:val="00F36DC8"/>
    <w:rsid w:val="00F45725"/>
    <w:rsid w:val="00F47B58"/>
    <w:rsid w:val="00F47BED"/>
    <w:rsid w:val="00F53521"/>
    <w:rsid w:val="00F53991"/>
    <w:rsid w:val="00F54D7B"/>
    <w:rsid w:val="00F55AC3"/>
    <w:rsid w:val="00F56671"/>
    <w:rsid w:val="00F56C61"/>
    <w:rsid w:val="00F57359"/>
    <w:rsid w:val="00F579B1"/>
    <w:rsid w:val="00F61722"/>
    <w:rsid w:val="00F617C6"/>
    <w:rsid w:val="00F6208E"/>
    <w:rsid w:val="00F66A33"/>
    <w:rsid w:val="00F66F7C"/>
    <w:rsid w:val="00F70BA5"/>
    <w:rsid w:val="00F71818"/>
    <w:rsid w:val="00F71955"/>
    <w:rsid w:val="00F73842"/>
    <w:rsid w:val="00F73B39"/>
    <w:rsid w:val="00F74981"/>
    <w:rsid w:val="00F75C04"/>
    <w:rsid w:val="00F80B48"/>
    <w:rsid w:val="00F80FC3"/>
    <w:rsid w:val="00F829C2"/>
    <w:rsid w:val="00F84519"/>
    <w:rsid w:val="00F8523F"/>
    <w:rsid w:val="00F85E39"/>
    <w:rsid w:val="00F90692"/>
    <w:rsid w:val="00F95772"/>
    <w:rsid w:val="00FA0FF4"/>
    <w:rsid w:val="00FA1290"/>
    <w:rsid w:val="00FA27ED"/>
    <w:rsid w:val="00FA4344"/>
    <w:rsid w:val="00FA4B07"/>
    <w:rsid w:val="00FB2CA2"/>
    <w:rsid w:val="00FB4289"/>
    <w:rsid w:val="00FC0149"/>
    <w:rsid w:val="00FC1824"/>
    <w:rsid w:val="00FC2985"/>
    <w:rsid w:val="00FC3454"/>
    <w:rsid w:val="00FC5F48"/>
    <w:rsid w:val="00FC7254"/>
    <w:rsid w:val="00FC7A7F"/>
    <w:rsid w:val="00FD008B"/>
    <w:rsid w:val="00FD0E0E"/>
    <w:rsid w:val="00FD12A2"/>
    <w:rsid w:val="00FD424D"/>
    <w:rsid w:val="00FD5803"/>
    <w:rsid w:val="00FD5980"/>
    <w:rsid w:val="00FD5B91"/>
    <w:rsid w:val="00FD78F9"/>
    <w:rsid w:val="00FE0103"/>
    <w:rsid w:val="00FE06C1"/>
    <w:rsid w:val="00FE0A8A"/>
    <w:rsid w:val="00FE0E92"/>
    <w:rsid w:val="00FE13F4"/>
    <w:rsid w:val="00FE2592"/>
    <w:rsid w:val="00FE2CF0"/>
    <w:rsid w:val="00FE45B3"/>
    <w:rsid w:val="00FE4DB8"/>
    <w:rsid w:val="00FE5AF5"/>
    <w:rsid w:val="00FF0DE0"/>
    <w:rsid w:val="00FF20D4"/>
    <w:rsid w:val="00FF2AF6"/>
    <w:rsid w:val="00FF3F44"/>
    <w:rsid w:val="00FF44E2"/>
    <w:rsid w:val="00FF491C"/>
    <w:rsid w:val="00FF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3078EDB"/>
  <w15:chartTrackingRefBased/>
  <w15:docId w15:val="{7A9D4975-2709-4D42-9F80-36363489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7E4CEC"/>
    <w:rPr>
      <w:color w:val="605E5C"/>
      <w:shd w:val="clear" w:color="auto" w:fill="E1DFDD"/>
    </w:rPr>
  </w:style>
  <w:style w:type="character" w:styleId="Strong">
    <w:name w:val="Strong"/>
    <w:basedOn w:val="DefaultParagraphFont"/>
    <w:uiPriority w:val="22"/>
    <w:qFormat/>
    <w:rsid w:val="004B1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638804368">
      <w:bodyDiv w:val="1"/>
      <w:marLeft w:val="0"/>
      <w:marRight w:val="0"/>
      <w:marTop w:val="0"/>
      <w:marBottom w:val="0"/>
      <w:divBdr>
        <w:top w:val="none" w:sz="0" w:space="0" w:color="auto"/>
        <w:left w:val="none" w:sz="0" w:space="0" w:color="auto"/>
        <w:bottom w:val="none" w:sz="0" w:space="0" w:color="auto"/>
        <w:right w:val="none" w:sz="0" w:space="0" w:color="auto"/>
      </w:divBdr>
      <w:divsChild>
        <w:div w:id="378824634">
          <w:marLeft w:val="446"/>
          <w:marRight w:val="0"/>
          <w:marTop w:val="0"/>
          <w:marBottom w:val="0"/>
          <w:divBdr>
            <w:top w:val="none" w:sz="0" w:space="0" w:color="auto"/>
            <w:left w:val="none" w:sz="0" w:space="0" w:color="auto"/>
            <w:bottom w:val="none" w:sz="0" w:space="0" w:color="auto"/>
            <w:right w:val="none" w:sz="0" w:space="0" w:color="auto"/>
          </w:divBdr>
        </w:div>
        <w:div w:id="1011370031">
          <w:marLeft w:val="446"/>
          <w:marRight w:val="0"/>
          <w:marTop w:val="0"/>
          <w:marBottom w:val="0"/>
          <w:divBdr>
            <w:top w:val="none" w:sz="0" w:space="0" w:color="auto"/>
            <w:left w:val="none" w:sz="0" w:space="0" w:color="auto"/>
            <w:bottom w:val="none" w:sz="0" w:space="0" w:color="auto"/>
            <w:right w:val="none" w:sz="0" w:space="0" w:color="auto"/>
          </w:divBdr>
        </w:div>
        <w:div w:id="968782108">
          <w:marLeft w:val="446"/>
          <w:marRight w:val="0"/>
          <w:marTop w:val="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00/documents" TargetMode="External"/><Relationship Id="rId13" Type="http://schemas.openxmlformats.org/officeDocument/2006/relationships/hyperlink" Target="https://www.nice.org.uk/Get-Involved/Meetings-in-public/Technology-appraisal-Committee/Committee-C-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9/chapter/the-appraisal-of-the-evidence-and-structured-decision-ma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6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guidance/indevelopment/gid-ta10400/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3B13-E137-4057-9CC7-ACA1FC6B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169127DC</Template>
  <TotalTime>6</TotalTime>
  <Pages>16</Pages>
  <Words>4242</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29096</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Thomas Walker</dc:creator>
  <cp:keywords/>
  <cp:lastModifiedBy>Louise Jafferally</cp:lastModifiedBy>
  <cp:revision>7</cp:revision>
  <cp:lastPrinted>2019-12-20T14:54:00Z</cp:lastPrinted>
  <dcterms:created xsi:type="dcterms:W3CDTF">2019-12-20T11:02:00Z</dcterms:created>
  <dcterms:modified xsi:type="dcterms:W3CDTF">2019-12-20T14:55:00Z</dcterms:modified>
</cp:coreProperties>
</file>