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62B11" w14:textId="77777777" w:rsidR="000F48EC" w:rsidRPr="000F48EC" w:rsidRDefault="000F48EC" w:rsidP="0093671F">
      <w:pPr>
        <w:pStyle w:val="Title2"/>
      </w:pPr>
      <w:r w:rsidRPr="000F48EC">
        <w:t>NATIONAL INSTITUTE FOR HEALTH AND C</w:t>
      </w:r>
      <w:r w:rsidR="00CC63EB">
        <w:t>ARE</w:t>
      </w:r>
      <w:r w:rsidRPr="000F48EC">
        <w:t xml:space="preserve"> EXCELLENCE</w:t>
      </w:r>
    </w:p>
    <w:p w14:paraId="4DBF1B7E" w14:textId="14A3BDC3" w:rsidR="000F48EC" w:rsidRPr="004A3377" w:rsidRDefault="007A2801" w:rsidP="000069F9">
      <w:pPr>
        <w:pStyle w:val="Title2"/>
      </w:pPr>
      <w:r w:rsidRPr="004A3377">
        <w:t>Appraisal consultation document</w:t>
      </w:r>
    </w:p>
    <w:p w14:paraId="4D614934" w14:textId="2C111E9B" w:rsidR="003F6820" w:rsidRPr="000F48EC" w:rsidRDefault="003F6820" w:rsidP="003F6820">
      <w:pPr>
        <w:pStyle w:val="Title1"/>
      </w:pPr>
      <w:bookmarkStart w:id="0" w:name="_Hlk11935530"/>
      <w:r>
        <w:t xml:space="preserve">Atezolizumab with nab-paclitaxel for </w:t>
      </w:r>
      <w:r w:rsidR="00C24D77">
        <w:t>treating</w:t>
      </w:r>
      <w:r>
        <w:t xml:space="preserve"> </w:t>
      </w:r>
      <w:r w:rsidRPr="00620826">
        <w:t>PD</w:t>
      </w:r>
      <w:r w:rsidR="00F92BD6" w:rsidRPr="00620826">
        <w:noBreakHyphen/>
      </w:r>
      <w:r w:rsidRPr="00620826">
        <w:t>L1-positive</w:t>
      </w:r>
      <w:r w:rsidR="00330E4C" w:rsidRPr="00620826">
        <w:t>,</w:t>
      </w:r>
      <w:r w:rsidRPr="00620826">
        <w:t xml:space="preserve"> </w:t>
      </w:r>
      <w:r w:rsidR="00D46E93">
        <w:t>triple-negative</w:t>
      </w:r>
      <w:r w:rsidR="00B7259C">
        <w:t>, advanced</w:t>
      </w:r>
      <w:r w:rsidR="00D46E93">
        <w:t xml:space="preserve"> </w:t>
      </w:r>
      <w:r>
        <w:t>breast cancer</w:t>
      </w:r>
    </w:p>
    <w:bookmarkEnd w:id="0"/>
    <w:p w14:paraId="74038836" w14:textId="438D424F" w:rsidR="007A2801" w:rsidRPr="000F48EC" w:rsidRDefault="007A2801" w:rsidP="004A3377">
      <w:pPr>
        <w:pStyle w:val="Guidanceissueda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14:paraId="584B7352" w14:textId="77777777" w:rsidTr="00734F5A">
        <w:tc>
          <w:tcPr>
            <w:tcW w:w="8529" w:type="dxa"/>
            <w:shd w:val="clear" w:color="auto" w:fill="auto"/>
          </w:tcPr>
          <w:p w14:paraId="468D7182" w14:textId="19EE3043" w:rsidR="007A2801" w:rsidRPr="00981B9F" w:rsidRDefault="007A2801" w:rsidP="00734F5A">
            <w:pPr>
              <w:pStyle w:val="NICEnormalsinglespacing"/>
            </w:pPr>
            <w:r w:rsidRPr="00981B9F">
              <w:t xml:space="preserve">The Department of Health </w:t>
            </w:r>
            <w:r>
              <w:t xml:space="preserve">and Social Care </w:t>
            </w:r>
            <w:r w:rsidRPr="00981B9F">
              <w:t xml:space="preserve">has asked the National Institute for Health and Care Excellence (NICE) to produce guidance on using </w:t>
            </w:r>
            <w:r w:rsidR="003E6E60">
              <w:t>atezolizumab with nab-paclitaxel</w:t>
            </w:r>
            <w:r w:rsidRPr="00981B9F">
              <w:t xml:space="preserve"> in the NHS in England. The </w:t>
            </w:r>
            <w:r>
              <w:t>a</w:t>
            </w:r>
            <w:r w:rsidRPr="00981B9F">
              <w:t xml:space="preserve">ppraisal </w:t>
            </w:r>
            <w:r>
              <w:t>c</w:t>
            </w:r>
            <w:r w:rsidRPr="00981B9F">
              <w:t xml:space="preserve">ommittee has considered the evidence submitted by the </w:t>
            </w:r>
            <w:r>
              <w:t>company</w:t>
            </w:r>
            <w:r w:rsidRPr="00981B9F">
              <w:t xml:space="preserve"> and the views of non-</w:t>
            </w:r>
            <w:r>
              <w:t>company</w:t>
            </w:r>
            <w:r w:rsidRPr="00981B9F">
              <w:t xml:space="preserve"> consultees and commentators, clinical </w:t>
            </w:r>
            <w:r>
              <w:t>experts</w:t>
            </w:r>
            <w:r w:rsidRPr="00981B9F">
              <w:t xml:space="preserve"> and patient experts. </w:t>
            </w:r>
          </w:p>
          <w:p w14:paraId="3B4865AA" w14:textId="220C36D5" w:rsidR="007A2801" w:rsidRPr="00981B9F" w:rsidRDefault="007A2801" w:rsidP="00734F5A">
            <w:pPr>
              <w:pStyle w:val="NICEnormalsinglespacing"/>
            </w:pPr>
            <w:r w:rsidRPr="00E975D0">
              <w:rPr>
                <w:b/>
              </w:rPr>
              <w:t>This document has been prepared for consultation with the consultees.</w:t>
            </w:r>
            <w:r w:rsidRPr="00981B9F">
              <w:t xml:space="preserve"> It summarises the evidence and views that have been </w:t>
            </w:r>
            <w:proofErr w:type="gramStart"/>
            <w:r w:rsidRPr="00981B9F">
              <w:t>considered, and</w:t>
            </w:r>
            <w:proofErr w:type="gramEnd"/>
            <w:r w:rsidRPr="00981B9F">
              <w:t xml:space="preserve"> sets out the recommendations made by the </w:t>
            </w:r>
            <w:r>
              <w:t>c</w:t>
            </w:r>
            <w:r w:rsidRPr="00981B9F">
              <w:t>ommittee. NICE invites comments from the consultees and commentators for this appraisal and the public. This document should be read along with the evidence (</w:t>
            </w:r>
            <w:r>
              <w:t xml:space="preserve">see </w:t>
            </w:r>
            <w:r w:rsidRPr="00981B9F">
              <w:t xml:space="preserve">the </w:t>
            </w:r>
            <w:hyperlink r:id="rId8" w:history="1">
              <w:r w:rsidRPr="00620826">
                <w:rPr>
                  <w:rStyle w:val="Hyperlink"/>
                </w:rPr>
                <w:t>committee papers</w:t>
              </w:r>
            </w:hyperlink>
            <w:r w:rsidRPr="00620826">
              <w:t>).</w:t>
            </w:r>
          </w:p>
          <w:p w14:paraId="6370F1A3" w14:textId="77777777" w:rsidR="007A2801" w:rsidRPr="00981494" w:rsidRDefault="007A2801" w:rsidP="00734F5A">
            <w:pPr>
              <w:pStyle w:val="NICEnormalsinglespacing"/>
            </w:pPr>
            <w:r w:rsidRPr="00981494">
              <w:t xml:space="preserve">The </w:t>
            </w:r>
            <w:r>
              <w:t>a</w:t>
            </w:r>
            <w:r w:rsidRPr="00981494">
              <w:t xml:space="preserve">ppraisal </w:t>
            </w:r>
            <w:r>
              <w:t>c</w:t>
            </w:r>
            <w:r w:rsidRPr="00981494">
              <w:t>ommittee is interested in receiving comments on the following:</w:t>
            </w:r>
          </w:p>
          <w:p w14:paraId="7EF2F3F8" w14:textId="77777777" w:rsidR="007A2801" w:rsidRPr="00981494" w:rsidRDefault="007A2801" w:rsidP="00734F5A">
            <w:pPr>
              <w:pStyle w:val="Bulletleft1"/>
              <w:spacing w:line="240" w:lineRule="auto"/>
            </w:pPr>
            <w:r w:rsidRPr="00981494">
              <w:t>Has all of the relevant evidence been taken into account?</w:t>
            </w:r>
          </w:p>
          <w:p w14:paraId="498677AA" w14:textId="77777777" w:rsidR="007A2801" w:rsidRPr="00981494" w:rsidRDefault="007A2801" w:rsidP="00734F5A">
            <w:pPr>
              <w:pStyle w:val="Bulletleft1"/>
              <w:spacing w:line="240" w:lineRule="auto"/>
            </w:pPr>
            <w:r w:rsidRPr="00981494">
              <w:t>Are the summaries of clinical and cost effectiveness reasonable interpretations of the evidence?</w:t>
            </w:r>
          </w:p>
          <w:p w14:paraId="46A9974A" w14:textId="77777777" w:rsidR="007A2801" w:rsidRPr="00981494" w:rsidRDefault="007A2801" w:rsidP="00734F5A">
            <w:pPr>
              <w:pStyle w:val="Bulletleft1"/>
              <w:spacing w:line="240" w:lineRule="auto"/>
            </w:pPr>
            <w:r w:rsidRPr="00981494">
              <w:t>Are the recommendations sound and a suitable basis for guidance to the NHS?</w:t>
            </w:r>
          </w:p>
          <w:p w14:paraId="731DC640" w14:textId="77777777" w:rsidR="007A2801" w:rsidRPr="00981494" w:rsidRDefault="007A2801" w:rsidP="00734F5A">
            <w:pPr>
              <w:pStyle w:val="Bulletleft1"/>
              <w:spacing w:line="240" w:lineRule="auto"/>
            </w:pPr>
            <w:r w:rsidRPr="00981494">
              <w:t xml:space="preserve">Are there any aspects of the recommendations that need </w:t>
            </w:r>
            <w:proofErr w:type="gramStart"/>
            <w:r w:rsidRPr="00981494">
              <w:t>particular consideration</w:t>
            </w:r>
            <w:proofErr w:type="gramEnd"/>
            <w:r w:rsidRPr="00981494">
              <w:t xml:space="preserve"> to ensure we avoid unlawful discrimination against any group of people on the grounds of race, gender, disability, religion or belief, sexual orientation, age, gender reassignment, pregnancy and maternity?</w:t>
            </w:r>
          </w:p>
        </w:tc>
      </w:tr>
    </w:tbl>
    <w:p w14:paraId="6193E42F" w14:textId="77777777" w:rsidR="007A2801" w:rsidRDefault="007A2801">
      <w:pPr>
        <w:rPr>
          <w:rFonts w:ascii="Arial" w:hAnsi="Arial"/>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14:paraId="4FAA4C19" w14:textId="77777777" w:rsidTr="00734F5A">
        <w:tc>
          <w:tcPr>
            <w:tcW w:w="8529" w:type="dxa"/>
            <w:shd w:val="clear" w:color="auto" w:fill="auto"/>
          </w:tcPr>
          <w:p w14:paraId="01A5BF49" w14:textId="77777777" w:rsidR="007A2801" w:rsidRPr="00E975D0" w:rsidRDefault="007A2801" w:rsidP="00734F5A">
            <w:pPr>
              <w:pStyle w:val="NICEnormalsinglespacing"/>
              <w:rPr>
                <w:b/>
                <w:bCs/>
              </w:rPr>
            </w:pPr>
            <w:r w:rsidRPr="00E975D0">
              <w:rPr>
                <w:b/>
                <w:bCs/>
              </w:rPr>
              <w:lastRenderedPageBreak/>
              <w:t>Note that this document is not NICE's final guidance on this technology. The recommendations in section 1 may change after consultation.</w:t>
            </w:r>
          </w:p>
          <w:p w14:paraId="4EA80FB0" w14:textId="77777777" w:rsidR="007A2801" w:rsidRPr="00981494" w:rsidRDefault="007A2801" w:rsidP="00734F5A">
            <w:pPr>
              <w:pStyle w:val="NICEnormalsinglespacing"/>
            </w:pPr>
            <w:r w:rsidRPr="00981494">
              <w:t>After consultation:</w:t>
            </w:r>
          </w:p>
          <w:p w14:paraId="206EA74F" w14:textId="77777777" w:rsidR="007A2801" w:rsidRPr="00981494" w:rsidRDefault="007A2801" w:rsidP="00734F5A">
            <w:pPr>
              <w:pStyle w:val="Bulletleft1"/>
              <w:spacing w:line="240" w:lineRule="auto"/>
            </w:pPr>
            <w:r w:rsidRPr="00981494">
              <w:t xml:space="preserve">The </w:t>
            </w:r>
            <w:r>
              <w:t>a</w:t>
            </w:r>
            <w:r w:rsidRPr="00981494">
              <w:t xml:space="preserve">ppraisal </w:t>
            </w:r>
            <w:r>
              <w:t>c</w:t>
            </w:r>
            <w:r w:rsidRPr="00981494">
              <w:t>ommittee will meet again to consider the evidence, this appraisal consultation document and comments from the consultees.</w:t>
            </w:r>
          </w:p>
          <w:p w14:paraId="501554DE" w14:textId="77777777" w:rsidR="007A2801" w:rsidRPr="00981494" w:rsidRDefault="007A2801" w:rsidP="00734F5A">
            <w:pPr>
              <w:pStyle w:val="Bulletleft1"/>
              <w:spacing w:line="240" w:lineRule="auto"/>
            </w:pPr>
            <w:r w:rsidRPr="00981494">
              <w:t xml:space="preserve">At that meeting, the </w:t>
            </w:r>
            <w:r>
              <w:t>c</w:t>
            </w:r>
            <w:r w:rsidRPr="00981494">
              <w:t>ommittee will also consider comments made by people who are not consultees.</w:t>
            </w:r>
          </w:p>
          <w:p w14:paraId="5D65BA50" w14:textId="77777777" w:rsidR="007A2801" w:rsidRPr="00981494" w:rsidRDefault="007A2801" w:rsidP="00734F5A">
            <w:pPr>
              <w:pStyle w:val="Bulletleft1"/>
              <w:spacing w:line="240" w:lineRule="auto"/>
            </w:pPr>
            <w:r w:rsidRPr="00981494">
              <w:t xml:space="preserve">After considering these comments, the </w:t>
            </w:r>
            <w:r>
              <w:t>c</w:t>
            </w:r>
            <w:r w:rsidRPr="00981494">
              <w:t>ommittee will prepare the final appraisal d</w:t>
            </w:r>
            <w:r>
              <w:t>ocument</w:t>
            </w:r>
            <w:r w:rsidRPr="00981494">
              <w:t>.</w:t>
            </w:r>
          </w:p>
          <w:p w14:paraId="22A97DF5" w14:textId="49A053B5" w:rsidR="007A2801" w:rsidRPr="00981494" w:rsidRDefault="007A2801" w:rsidP="00734F5A">
            <w:pPr>
              <w:pStyle w:val="Bulletleft1last"/>
              <w:spacing w:line="240" w:lineRule="auto"/>
            </w:pPr>
            <w:r w:rsidRPr="00981494">
              <w:t>Subject to any appeal by consultees, the final appraisal d</w:t>
            </w:r>
            <w:r>
              <w:t>ocument</w:t>
            </w:r>
            <w:r w:rsidRPr="00981494">
              <w:t xml:space="preserve"> may be used as the basis for NICE’s guidance on using </w:t>
            </w:r>
            <w:r w:rsidR="003E6E60">
              <w:t xml:space="preserve">atezolizumab </w:t>
            </w:r>
            <w:r w:rsidR="00330E4C" w:rsidRPr="00620826">
              <w:t>with</w:t>
            </w:r>
            <w:r w:rsidR="003E6E60">
              <w:t xml:space="preserve"> nab-paclitaxel</w:t>
            </w:r>
            <w:r w:rsidRPr="00981494">
              <w:t xml:space="preserve"> in the NHS in England. </w:t>
            </w:r>
          </w:p>
          <w:p w14:paraId="5B51F33F" w14:textId="77777777" w:rsidR="007A2801" w:rsidRPr="00981494" w:rsidRDefault="007A2801" w:rsidP="00734F5A">
            <w:pPr>
              <w:pStyle w:val="NICEnormalsinglespacing"/>
            </w:pPr>
            <w:r w:rsidRPr="00276C00">
              <w:t xml:space="preserve">For further details, see </w:t>
            </w:r>
            <w:r>
              <w:t>NICE’s</w:t>
            </w:r>
            <w:r w:rsidRPr="00276C00">
              <w:t xml:space="preserve"> </w:t>
            </w:r>
            <w:hyperlink r:id="rId9" w:history="1">
              <w:r w:rsidRPr="00021681">
                <w:rPr>
                  <w:rStyle w:val="Hyperlink"/>
                </w:rPr>
                <w:t>guide to the processes of technology appraisal</w:t>
              </w:r>
            </w:hyperlink>
            <w:r>
              <w:t>.</w:t>
            </w:r>
          </w:p>
          <w:p w14:paraId="71EDB085" w14:textId="77777777" w:rsidR="007A2801" w:rsidRPr="00981494" w:rsidRDefault="007A2801" w:rsidP="00734F5A">
            <w:pPr>
              <w:pStyle w:val="NICEnormalsinglespacing"/>
              <w:rPr>
                <w:b/>
                <w:bCs/>
              </w:rPr>
            </w:pPr>
            <w:r w:rsidRPr="00981494">
              <w:rPr>
                <w:b/>
                <w:bCs/>
              </w:rPr>
              <w:t>The key dates for this appraisal are:</w:t>
            </w:r>
          </w:p>
          <w:p w14:paraId="4699C917" w14:textId="605D0725" w:rsidR="007A2801" w:rsidRPr="00981494" w:rsidRDefault="007A2801" w:rsidP="00734F5A">
            <w:pPr>
              <w:pStyle w:val="NICEnormalsinglespacing"/>
            </w:pPr>
            <w:r w:rsidRPr="00981494">
              <w:t xml:space="preserve">Closing date for comments: </w:t>
            </w:r>
            <w:r w:rsidR="004A3377">
              <w:t>2</w:t>
            </w:r>
            <w:r w:rsidR="00AD73D1">
              <w:t>4</w:t>
            </w:r>
            <w:r w:rsidR="004A3377">
              <w:t>.10.2019</w:t>
            </w:r>
          </w:p>
          <w:p w14:paraId="14C44B0E" w14:textId="01A0BA4E" w:rsidR="007A2801" w:rsidRPr="00981494" w:rsidRDefault="007A2801" w:rsidP="00734F5A">
            <w:pPr>
              <w:pStyle w:val="NICEnormalsinglespacing"/>
            </w:pPr>
            <w:r w:rsidRPr="00981494">
              <w:t xml:space="preserve">Second </w:t>
            </w:r>
            <w:r>
              <w:t>a</w:t>
            </w:r>
            <w:r w:rsidRPr="00981494">
              <w:t xml:space="preserve">ppraisal </w:t>
            </w:r>
            <w:r>
              <w:t>c</w:t>
            </w:r>
            <w:r w:rsidRPr="00981494">
              <w:t xml:space="preserve">ommittee meeting: </w:t>
            </w:r>
            <w:r w:rsidR="004A3377">
              <w:t>12.11.2019</w:t>
            </w:r>
          </w:p>
          <w:p w14:paraId="49800771" w14:textId="01DB2C7B" w:rsidR="007A2801" w:rsidRPr="00981494" w:rsidRDefault="007A2801" w:rsidP="00734F5A">
            <w:pPr>
              <w:pStyle w:val="NICEnormalsinglespacing"/>
            </w:pPr>
            <w:r w:rsidRPr="00981494">
              <w:t xml:space="preserve">Details of membership of the </w:t>
            </w:r>
            <w:r>
              <w:t>a</w:t>
            </w:r>
            <w:r w:rsidRPr="00981494">
              <w:t xml:space="preserve">ppraisal </w:t>
            </w:r>
            <w:r>
              <w:t>c</w:t>
            </w:r>
            <w:r w:rsidRPr="00981494">
              <w:t>ommittee are given in section</w:t>
            </w:r>
            <w:r w:rsidR="00330E4C" w:rsidRPr="00620826">
              <w:t> 5</w:t>
            </w:r>
            <w:r>
              <w:t>.</w:t>
            </w:r>
          </w:p>
        </w:tc>
      </w:tr>
    </w:tbl>
    <w:p w14:paraId="533630F3" w14:textId="77777777" w:rsidR="007A2801" w:rsidRDefault="007A2801" w:rsidP="00C76DDA">
      <w:pPr>
        <w:pStyle w:val="NICEnormal"/>
      </w:pPr>
    </w:p>
    <w:p w14:paraId="6100BA42" w14:textId="77777777" w:rsidR="007A2801" w:rsidRDefault="007A2801">
      <w:pPr>
        <w:rPr>
          <w:rFonts w:ascii="Arial" w:hAnsi="Arial"/>
        </w:rPr>
      </w:pPr>
      <w:r>
        <w:br w:type="page"/>
      </w:r>
      <w:bookmarkStart w:id="1" w:name="_GoBack"/>
      <w:bookmarkEnd w:id="1"/>
    </w:p>
    <w:p w14:paraId="73F669F6" w14:textId="77777777" w:rsidR="000F48EC" w:rsidRPr="000F48EC" w:rsidRDefault="00B379C5" w:rsidP="00F130AD">
      <w:pPr>
        <w:pStyle w:val="Numberedheading1"/>
      </w:pPr>
      <w:r>
        <w:lastRenderedPageBreak/>
        <w:t>Recommendations</w:t>
      </w:r>
    </w:p>
    <w:p w14:paraId="7844DC8F" w14:textId="10E33488" w:rsidR="00FC0149" w:rsidRDefault="00C54B37" w:rsidP="004A3377">
      <w:pPr>
        <w:pStyle w:val="Numberedlevel2text"/>
      </w:pPr>
      <w:r w:rsidRPr="004A3377">
        <w:t>Atezolizumab with nab-paclitaxel</w:t>
      </w:r>
      <w:r w:rsidR="007A2801" w:rsidRPr="00981B9F">
        <w:t xml:space="preserve"> is not recommended</w:t>
      </w:r>
      <w:r w:rsidR="007A2801">
        <w:t>,</w:t>
      </w:r>
      <w:r w:rsidR="007A2801" w:rsidRPr="00981B9F">
        <w:t xml:space="preserve"> within its marketing authorisation</w:t>
      </w:r>
      <w:r w:rsidR="007A2801">
        <w:t>,</w:t>
      </w:r>
      <w:r w:rsidR="007A2801" w:rsidRPr="00981B9F">
        <w:t xml:space="preserve"> for treating </w:t>
      </w:r>
      <w:r w:rsidR="00330E4C" w:rsidRPr="004A3377">
        <w:t xml:space="preserve">triple-negative, </w:t>
      </w:r>
      <w:r w:rsidRPr="004A3377">
        <w:t>unresectable</w:t>
      </w:r>
      <w:r w:rsidR="00330E4C" w:rsidRPr="004A3377">
        <w:t>,</w:t>
      </w:r>
      <w:r w:rsidRPr="004A3377">
        <w:t xml:space="preserve"> locally advanced or metastatic breast cancer </w:t>
      </w:r>
      <w:r w:rsidR="00330E4C" w:rsidRPr="004A3377">
        <w:t xml:space="preserve">in adults </w:t>
      </w:r>
      <w:r w:rsidRPr="004A3377">
        <w:t xml:space="preserve">whose tumours </w:t>
      </w:r>
      <w:r w:rsidR="001D750E">
        <w:rPr>
          <w:lang w:val="en-US"/>
        </w:rPr>
        <w:t>express</w:t>
      </w:r>
      <w:r w:rsidR="003A0CBE" w:rsidRPr="004A3377">
        <w:t xml:space="preserve"> </w:t>
      </w:r>
      <w:r w:rsidRPr="004A3377">
        <w:t>PD</w:t>
      </w:r>
      <w:r w:rsidR="00F92BD6" w:rsidRPr="004A3377">
        <w:noBreakHyphen/>
      </w:r>
      <w:r w:rsidRPr="004A3377">
        <w:t xml:space="preserve">L1 </w:t>
      </w:r>
      <w:r w:rsidR="001D750E">
        <w:rPr>
          <w:lang w:val="en-US"/>
        </w:rPr>
        <w:t>at a level</w:t>
      </w:r>
      <w:r w:rsidR="001D750E" w:rsidRPr="004A3377">
        <w:t xml:space="preserve"> </w:t>
      </w:r>
      <w:r w:rsidR="00330E4C" w:rsidRPr="004A3377">
        <w:t>of</w:t>
      </w:r>
      <w:r w:rsidRPr="004A3377">
        <w:t xml:space="preserve"> 1% </w:t>
      </w:r>
      <w:r w:rsidR="00330E4C" w:rsidRPr="004A3377">
        <w:t xml:space="preserve">or more </w:t>
      </w:r>
      <w:r w:rsidRPr="004A3377">
        <w:t xml:space="preserve">and who have not </w:t>
      </w:r>
      <w:r w:rsidR="00330E4C" w:rsidRPr="004A3377">
        <w:t xml:space="preserve">had </w:t>
      </w:r>
      <w:r w:rsidR="004F7361">
        <w:rPr>
          <w:lang w:val="en-US"/>
        </w:rPr>
        <w:t>previous</w:t>
      </w:r>
      <w:r w:rsidR="004F7361" w:rsidRPr="004A3377">
        <w:t xml:space="preserve"> </w:t>
      </w:r>
      <w:r w:rsidRPr="004A3377">
        <w:t>chemotherapy for metastatic disease</w:t>
      </w:r>
      <w:r w:rsidR="00AB6D3F">
        <w:t>.</w:t>
      </w:r>
    </w:p>
    <w:p w14:paraId="0F910DDD" w14:textId="4B124F91" w:rsidR="007A2801" w:rsidRPr="004A3377" w:rsidRDefault="002F2C1A" w:rsidP="00AB6D3F">
      <w:pPr>
        <w:pStyle w:val="Numberedlevel2text"/>
        <w:numPr>
          <w:ilvl w:val="1"/>
          <w:numId w:val="1"/>
        </w:numPr>
        <w:rPr>
          <w:lang w:val="en-GB"/>
        </w:rPr>
      </w:pPr>
      <w:r w:rsidRPr="004A3377">
        <w:rPr>
          <w:lang w:val="en-GB"/>
        </w:rPr>
        <w:t xml:space="preserve">This recommendation is not intended to affect treatment with </w:t>
      </w:r>
      <w:r w:rsidR="00AB6D3F" w:rsidRPr="004A3377">
        <w:rPr>
          <w:lang w:val="en-GB"/>
        </w:rPr>
        <w:t>atezolizumab</w:t>
      </w:r>
      <w:r w:rsidRPr="004A3377">
        <w:rPr>
          <w:lang w:val="en-GB"/>
        </w:rPr>
        <w:t xml:space="preserve"> </w:t>
      </w:r>
      <w:r w:rsidR="00236E26" w:rsidRPr="004A3377">
        <w:rPr>
          <w:rStyle w:val="Numberedlevel2textChar"/>
          <w:lang w:val="en-GB"/>
        </w:rPr>
        <w:t>with nab-paclitaxel</w:t>
      </w:r>
      <w:r w:rsidRPr="004A3377">
        <w:rPr>
          <w:lang w:val="en-GB"/>
        </w:rPr>
        <w:t xml:space="preserve">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p>
    <w:p w14:paraId="4ACD934D" w14:textId="77777777" w:rsidR="00C11F58" w:rsidRPr="008522C6" w:rsidRDefault="00C11F58" w:rsidP="008522C6">
      <w:pPr>
        <w:pStyle w:val="NICEnormal"/>
        <w:rPr>
          <w:b/>
        </w:rPr>
      </w:pPr>
      <w:r w:rsidRPr="008522C6">
        <w:rPr>
          <w:b/>
        </w:rPr>
        <w:t>Why the committee made these recommendations</w:t>
      </w:r>
    </w:p>
    <w:p w14:paraId="0CE02E5C" w14:textId="0777664F" w:rsidR="00257D1B" w:rsidRDefault="001A34F5" w:rsidP="004A3377">
      <w:pPr>
        <w:pStyle w:val="NICEnormal"/>
      </w:pPr>
      <w:r w:rsidRPr="00620826">
        <w:t>T</w:t>
      </w:r>
      <w:r w:rsidR="00F92BD6" w:rsidRPr="00620826">
        <w:t>here are</w:t>
      </w:r>
      <w:r w:rsidR="006B374A" w:rsidRPr="00620826">
        <w:t xml:space="preserve"> currently</w:t>
      </w:r>
      <w:r w:rsidR="00F92BD6" w:rsidRPr="00620826">
        <w:t xml:space="preserve"> no targeted</w:t>
      </w:r>
      <w:r w:rsidR="009C65E5">
        <w:t>, or immunotherapy</w:t>
      </w:r>
      <w:r w:rsidR="00F92BD6" w:rsidRPr="00620826">
        <w:t xml:space="preserve"> treatments for t</w:t>
      </w:r>
      <w:r w:rsidRPr="00620826">
        <w:t>riple</w:t>
      </w:r>
      <w:r w:rsidR="00F92BD6" w:rsidRPr="00620826">
        <w:t>-</w:t>
      </w:r>
      <w:r>
        <w:t>negative breast cancer</w:t>
      </w:r>
      <w:r w:rsidR="00A96D91" w:rsidRPr="00620826">
        <w:t>. The only treatment option is chemotherapy</w:t>
      </w:r>
      <w:r w:rsidR="009C65E5">
        <w:t xml:space="preserve">, usually with </w:t>
      </w:r>
      <w:proofErr w:type="spellStart"/>
      <w:r w:rsidR="009C65E5">
        <w:t>taxane</w:t>
      </w:r>
      <w:proofErr w:type="spellEnd"/>
      <w:r w:rsidR="009C65E5">
        <w:t xml:space="preserve"> monotherapy</w:t>
      </w:r>
      <w:r w:rsidR="00042C42">
        <w:t xml:space="preserve">. </w:t>
      </w:r>
      <w:r w:rsidR="00042C42" w:rsidRPr="004A3377">
        <w:t xml:space="preserve">Atezolizumab </w:t>
      </w:r>
      <w:r w:rsidR="009C65E5">
        <w:t>is the first immunotherapy to be approved for</w:t>
      </w:r>
      <w:r w:rsidR="00042C42" w:rsidRPr="004A3377">
        <w:t xml:space="preserve"> PD</w:t>
      </w:r>
      <w:r w:rsidR="00F92BD6" w:rsidRPr="00620826">
        <w:noBreakHyphen/>
      </w:r>
      <w:r w:rsidR="00042C42" w:rsidRPr="004A3377">
        <w:t>L1</w:t>
      </w:r>
      <w:r w:rsidR="00F92BD6" w:rsidRPr="00620826">
        <w:t>-</w:t>
      </w:r>
      <w:r w:rsidR="00042C42" w:rsidRPr="004A3377">
        <w:t>positive</w:t>
      </w:r>
      <w:r w:rsidR="00F92BD6" w:rsidRPr="00620826">
        <w:t>,</w:t>
      </w:r>
      <w:r w:rsidR="00042C42" w:rsidRPr="004A3377">
        <w:t xml:space="preserve"> triple</w:t>
      </w:r>
      <w:r w:rsidR="00F92BD6" w:rsidRPr="00620826">
        <w:t>-</w:t>
      </w:r>
      <w:r w:rsidR="00042C42" w:rsidRPr="004A3377">
        <w:t>negative breast cancer</w:t>
      </w:r>
      <w:r w:rsidR="00A128FA">
        <w:t>. It</w:t>
      </w:r>
      <w:r w:rsidR="00E57F34">
        <w:t xml:space="preserve"> is used in combination with the chemotherapy agent, nab-paclitaxel</w:t>
      </w:r>
      <w:r w:rsidR="00042C42">
        <w:t>.</w:t>
      </w:r>
      <w:r w:rsidR="00E57F34">
        <w:t xml:space="preserve"> </w:t>
      </w:r>
    </w:p>
    <w:p w14:paraId="2A40968D" w14:textId="0A9CA19F" w:rsidR="00257D1B" w:rsidRDefault="001C5C54" w:rsidP="001C5C54">
      <w:pPr>
        <w:pStyle w:val="NICEnormal"/>
      </w:pPr>
      <w:r w:rsidRPr="00620826">
        <w:t xml:space="preserve">Clinical trial evidence </w:t>
      </w:r>
      <w:r>
        <w:t>shows</w:t>
      </w:r>
      <w:r w:rsidRPr="00620826">
        <w:t xml:space="preserve"> that </w:t>
      </w:r>
      <w:r>
        <w:t xml:space="preserve">people having </w:t>
      </w:r>
      <w:r w:rsidRPr="00620826">
        <w:t xml:space="preserve">atezolizumab plus nab-paclitaxel </w:t>
      </w:r>
      <w:r>
        <w:t>live longer before their condition gets worse than people having</w:t>
      </w:r>
      <w:r w:rsidRPr="00620826">
        <w:t xml:space="preserve"> </w:t>
      </w:r>
      <w:r w:rsidRPr="003E77A6">
        <w:t>placebo plus nab-paclitaxel</w:t>
      </w:r>
      <w:r w:rsidRPr="00620826">
        <w:t>.</w:t>
      </w:r>
      <w:r>
        <w:t xml:space="preserve"> It also suggests that they live longer. T</w:t>
      </w:r>
      <w:r w:rsidRPr="00620826">
        <w:t xml:space="preserve">here is no direct comparison </w:t>
      </w:r>
      <w:r>
        <w:t>of atezolizumab plus nab-paclitaxel</w:t>
      </w:r>
      <w:r w:rsidRPr="00620826">
        <w:t xml:space="preserve"> with taxanes used in the NHS, such as weekly paclitaxel. </w:t>
      </w:r>
      <w:r>
        <w:t>However, it is reasonable to assume that n</w:t>
      </w:r>
      <w:r w:rsidRPr="00193C67">
        <w:t xml:space="preserve">ab-paclitaxel has </w:t>
      </w:r>
      <w:r w:rsidRPr="00620826">
        <w:t xml:space="preserve">a </w:t>
      </w:r>
      <w:r w:rsidRPr="00193C67">
        <w:t>similar efficacy to weekly paclitaxel</w:t>
      </w:r>
      <w:r>
        <w:t xml:space="preserve">. There is </w:t>
      </w:r>
      <w:r w:rsidRPr="00620826">
        <w:t>an indirect comparison</w:t>
      </w:r>
      <w:r>
        <w:t xml:space="preserve"> </w:t>
      </w:r>
      <w:r w:rsidR="00A128FA">
        <w:t xml:space="preserve">done </w:t>
      </w:r>
      <w:r>
        <w:t>by the company</w:t>
      </w:r>
      <w:r w:rsidR="00970EE7" w:rsidRPr="00970EE7">
        <w:t xml:space="preserve">, which </w:t>
      </w:r>
      <w:r>
        <w:t>is</w:t>
      </w:r>
      <w:r w:rsidR="00970EE7" w:rsidRPr="00970EE7">
        <w:t xml:space="preserve"> unreliable and lac</w:t>
      </w:r>
      <w:r w:rsidR="00D11DC3">
        <w:t>k</w:t>
      </w:r>
      <w:r>
        <w:t>s</w:t>
      </w:r>
      <w:r w:rsidR="00970EE7" w:rsidRPr="00970EE7">
        <w:t xml:space="preserve"> face validity</w:t>
      </w:r>
      <w:r>
        <w:t>.</w:t>
      </w:r>
      <w:r w:rsidR="004408BF">
        <w:t xml:space="preserve"> I</w:t>
      </w:r>
      <w:r w:rsidR="00F41920">
        <w:t>t</w:t>
      </w:r>
      <w:r w:rsidR="00093D24">
        <w:t xml:space="preserve"> </w:t>
      </w:r>
      <w:r w:rsidR="003A7F61" w:rsidRPr="00620826">
        <w:t xml:space="preserve">is </w:t>
      </w:r>
      <w:r w:rsidR="00093D24">
        <w:t xml:space="preserve">reasonable </w:t>
      </w:r>
      <w:r w:rsidR="004408BF">
        <w:t xml:space="preserve">to use nab-paclitaxel as a proxy for weekly paclitaxel and </w:t>
      </w:r>
      <w:r w:rsidR="00093D24">
        <w:t xml:space="preserve">to use data from the </w:t>
      </w:r>
      <w:r w:rsidR="00721754" w:rsidRPr="00620826">
        <w:t>clinical</w:t>
      </w:r>
      <w:r w:rsidR="00093D24">
        <w:t xml:space="preserve"> trial </w:t>
      </w:r>
      <w:r w:rsidR="0002200B">
        <w:t>to</w:t>
      </w:r>
      <w:r w:rsidR="0002200B" w:rsidRPr="00620826">
        <w:t xml:space="preserve"> </w:t>
      </w:r>
      <w:r w:rsidR="00193C67" w:rsidRPr="00193C67">
        <w:t>model the effectiveness of atezolizumab plus nab-paclitaxel</w:t>
      </w:r>
      <w:r w:rsidR="00A128FA">
        <w:t>,</w:t>
      </w:r>
      <w:r w:rsidR="00F41920">
        <w:t xml:space="preserve"> compared with </w:t>
      </w:r>
      <w:r w:rsidR="003E77A6">
        <w:t xml:space="preserve">weekly </w:t>
      </w:r>
      <w:r w:rsidR="00F41920">
        <w:t>paclitaxel.</w:t>
      </w:r>
    </w:p>
    <w:p w14:paraId="4B98DDC5" w14:textId="3067B573" w:rsidR="00372031" w:rsidRDefault="00A17493" w:rsidP="004408BF">
      <w:pPr>
        <w:pStyle w:val="NICEnormal"/>
      </w:pPr>
      <w:r>
        <w:lastRenderedPageBreak/>
        <w:t>A</w:t>
      </w:r>
      <w:r w:rsidR="00CD0F89" w:rsidRPr="00620826">
        <w:t>tezolizumab</w:t>
      </w:r>
      <w:r w:rsidR="00CD0F89">
        <w:t xml:space="preserve"> plus nab</w:t>
      </w:r>
      <w:r w:rsidR="001D09BB" w:rsidRPr="00620826">
        <w:t>-</w:t>
      </w:r>
      <w:r w:rsidR="00CD0F89">
        <w:t xml:space="preserve">paclitaxel compared with weekly paclitaxel </w:t>
      </w:r>
      <w:r w:rsidR="00F74A3C" w:rsidRPr="00620826">
        <w:t>is not</w:t>
      </w:r>
      <w:r w:rsidR="00CD0F89" w:rsidRPr="00CD0F89">
        <w:t xml:space="preserve"> cost effective</w:t>
      </w:r>
      <w:r w:rsidR="00CD0F89">
        <w:t xml:space="preserve">, even </w:t>
      </w:r>
      <w:r w:rsidR="008404E4">
        <w:t>when</w:t>
      </w:r>
      <w:r w:rsidR="008404E4" w:rsidRPr="00620826">
        <w:t xml:space="preserve"> </w:t>
      </w:r>
      <w:r w:rsidR="00F74A3C" w:rsidRPr="00620826">
        <w:t>it is considered to be a life-extending treatment at the end of life</w:t>
      </w:r>
      <w:r w:rsidR="00CD0F89">
        <w:t>.</w:t>
      </w:r>
      <w:r w:rsidR="0051193A">
        <w:t xml:space="preserve"> </w:t>
      </w:r>
      <w:r w:rsidR="00516D4F">
        <w:t xml:space="preserve">In addition, it </w:t>
      </w:r>
      <w:r w:rsidR="001A34F5">
        <w:t xml:space="preserve">does not meet NICE’s </w:t>
      </w:r>
      <w:r w:rsidR="00516D4F">
        <w:t xml:space="preserve">criteria for inclusion in the </w:t>
      </w:r>
      <w:r w:rsidR="001A34F5">
        <w:t>Cancer Drugs Fund</w:t>
      </w:r>
      <w:r w:rsidR="00F74A3C" w:rsidRPr="00620826">
        <w:t>. This is</w:t>
      </w:r>
      <w:r w:rsidR="001A34F5">
        <w:t xml:space="preserve"> because it does not have </w:t>
      </w:r>
      <w:r w:rsidR="00516D4F">
        <w:t xml:space="preserve">the </w:t>
      </w:r>
      <w:r w:rsidR="001A34F5">
        <w:t>potential to be cost effective</w:t>
      </w:r>
      <w:r w:rsidR="003531A3">
        <w:t xml:space="preserve"> at the current price</w:t>
      </w:r>
      <w:r w:rsidR="005663D8">
        <w:t xml:space="preserve">, and </w:t>
      </w:r>
      <w:r w:rsidR="00F74A3C" w:rsidRPr="00620826">
        <w:t>there is no</w:t>
      </w:r>
      <w:r w:rsidR="005663D8">
        <w:t xml:space="preserve"> clear evidence</w:t>
      </w:r>
      <w:r w:rsidR="00516D4F">
        <w:t xml:space="preserve"> </w:t>
      </w:r>
      <w:r w:rsidR="005663D8">
        <w:t xml:space="preserve">that </w:t>
      </w:r>
      <w:r w:rsidR="001A34F5">
        <w:t xml:space="preserve">further </w:t>
      </w:r>
      <w:r w:rsidR="005663D8">
        <w:t xml:space="preserve">trial data would </w:t>
      </w:r>
      <w:r w:rsidR="001A34F5">
        <w:t>resolve the uncertainties</w:t>
      </w:r>
      <w:r w:rsidR="00F74A3C" w:rsidRPr="00620826">
        <w:t>.</w:t>
      </w:r>
      <w:r w:rsidR="005663D8">
        <w:t xml:space="preserve"> </w:t>
      </w:r>
      <w:r w:rsidR="001A34F5">
        <w:t xml:space="preserve">Therefore, atezolizumab plus nab-paclitaxel </w:t>
      </w:r>
      <w:r w:rsidR="00FF0AE3">
        <w:t>is not recommended</w:t>
      </w:r>
      <w:r w:rsidR="001A34F5">
        <w:t xml:space="preserve"> in </w:t>
      </w:r>
      <w:r w:rsidR="002433CE">
        <w:t xml:space="preserve">adults with </w:t>
      </w:r>
      <w:r w:rsidR="00956129">
        <w:t>PD</w:t>
      </w:r>
      <w:r w:rsidR="00956129" w:rsidRPr="00620826">
        <w:noBreakHyphen/>
      </w:r>
      <w:r w:rsidR="00956129">
        <w:t>L1</w:t>
      </w:r>
      <w:r w:rsidR="00956129" w:rsidRPr="00620826">
        <w:t>-</w:t>
      </w:r>
      <w:r w:rsidR="00956129">
        <w:t>positive</w:t>
      </w:r>
      <w:r w:rsidR="004408BF">
        <w:t xml:space="preserve">, triple-negative, </w:t>
      </w:r>
      <w:r w:rsidR="00956129">
        <w:t xml:space="preserve">advanced </w:t>
      </w:r>
      <w:r w:rsidR="002433CE">
        <w:t>breast cancer.</w:t>
      </w:r>
    </w:p>
    <w:p w14:paraId="42809E84" w14:textId="15B51F09" w:rsidR="00EA1CB1" w:rsidRPr="000F48EC" w:rsidRDefault="00EA1CB1" w:rsidP="00EA1CB1">
      <w:pPr>
        <w:pStyle w:val="Numberedheading1"/>
        <w:keepLines/>
      </w:pPr>
      <w:r>
        <w:t xml:space="preserve">Information about </w:t>
      </w:r>
      <w:r w:rsidR="00714557">
        <w:t xml:space="preserve">atezolizumab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82"/>
      </w:tblGrid>
      <w:tr w:rsidR="00845810" w14:paraId="7419BDA2" w14:textId="77777777" w:rsidTr="001E15FF">
        <w:trPr>
          <w:trHeight w:val="1729"/>
        </w:trPr>
        <w:tc>
          <w:tcPr>
            <w:tcW w:w="3085" w:type="dxa"/>
            <w:shd w:val="clear" w:color="auto" w:fill="auto"/>
          </w:tcPr>
          <w:p w14:paraId="5B4E0086" w14:textId="174D9246" w:rsidR="00845810" w:rsidRPr="00EB567E" w:rsidRDefault="00EB567E" w:rsidP="00EA1CB1">
            <w:pPr>
              <w:pStyle w:val="Tabletext"/>
              <w:keepNext w:val="0"/>
              <w:rPr>
                <w:b/>
                <w:bCs/>
              </w:rPr>
            </w:pPr>
            <w:r>
              <w:rPr>
                <w:b/>
                <w:bCs/>
              </w:rPr>
              <w:t>M</w:t>
            </w:r>
            <w:r w:rsidRPr="00EB567E">
              <w:rPr>
                <w:b/>
                <w:bCs/>
              </w:rPr>
              <w:t>arketing authorisation indication</w:t>
            </w:r>
          </w:p>
        </w:tc>
        <w:tc>
          <w:tcPr>
            <w:tcW w:w="5982" w:type="dxa"/>
            <w:shd w:val="clear" w:color="auto" w:fill="auto"/>
          </w:tcPr>
          <w:p w14:paraId="453096E6" w14:textId="5DB5BCD9" w:rsidR="002119CD" w:rsidRPr="001E1FB0" w:rsidRDefault="0051288C" w:rsidP="00EA1CB1">
            <w:pPr>
              <w:pStyle w:val="Tabletext"/>
              <w:keepNext w:val="0"/>
              <w:rPr>
                <w:highlight w:val="cyan"/>
              </w:rPr>
            </w:pPr>
            <w:proofErr w:type="spellStart"/>
            <w:r w:rsidRPr="00736900">
              <w:t>Atezolizumab</w:t>
            </w:r>
            <w:proofErr w:type="spellEnd"/>
            <w:r w:rsidRPr="00736900">
              <w:t xml:space="preserve"> (</w:t>
            </w:r>
            <w:proofErr w:type="spellStart"/>
            <w:r w:rsidRPr="00736900">
              <w:t>Tecentriq</w:t>
            </w:r>
            <w:proofErr w:type="spellEnd"/>
            <w:r w:rsidRPr="00736900">
              <w:t>, Roche</w:t>
            </w:r>
            <w:r w:rsidR="00EB567E" w:rsidRPr="00736900">
              <w:t xml:space="preserve">) </w:t>
            </w:r>
            <w:r w:rsidR="00F92BD6" w:rsidRPr="00736900">
              <w:t>‘</w:t>
            </w:r>
            <w:r w:rsidRPr="00736900">
              <w:t xml:space="preserve">in combination with nab-paclitaxel </w:t>
            </w:r>
            <w:r w:rsidR="00EB567E" w:rsidRPr="00736900">
              <w:t xml:space="preserve">is indicated </w:t>
            </w:r>
            <w:r w:rsidR="00F81319" w:rsidRPr="00736900">
              <w:t>for the treatment of adult patients with unresectable locally advanced or metastatic</w:t>
            </w:r>
            <w:r w:rsidR="00342957" w:rsidRPr="00736900">
              <w:t xml:space="preserve"> triple-negative breast cancer</w:t>
            </w:r>
            <w:r w:rsidR="00F81319" w:rsidRPr="00736900">
              <w:t xml:space="preserve"> </w:t>
            </w:r>
            <w:r w:rsidR="00F92BD6" w:rsidRPr="00736900">
              <w:t>(TBNC)</w:t>
            </w:r>
            <w:r w:rsidR="00F81319" w:rsidRPr="00736900">
              <w:t xml:space="preserve"> whose tumours have PD</w:t>
            </w:r>
            <w:r w:rsidR="00F92BD6" w:rsidRPr="00736900">
              <w:noBreakHyphen/>
            </w:r>
            <w:r w:rsidR="00F81319" w:rsidRPr="00736900">
              <w:t>L1 expression ≥</w:t>
            </w:r>
            <w:r w:rsidR="00F92BD6" w:rsidRPr="00736900">
              <w:t> </w:t>
            </w:r>
            <w:r w:rsidR="00F81319" w:rsidRPr="00736900">
              <w:t>1% and who have not received prior chemotherapy for metastatic disease</w:t>
            </w:r>
            <w:r w:rsidR="00EB567E" w:rsidRPr="00736900">
              <w:t>’</w:t>
            </w:r>
            <w:r w:rsidR="00F92BD6" w:rsidRPr="00736900">
              <w:t>.</w:t>
            </w:r>
          </w:p>
        </w:tc>
      </w:tr>
      <w:tr w:rsidR="00845810" w14:paraId="2E574A98" w14:textId="77777777" w:rsidTr="00EA1CB1">
        <w:tc>
          <w:tcPr>
            <w:tcW w:w="3085" w:type="dxa"/>
            <w:shd w:val="clear" w:color="auto" w:fill="auto"/>
          </w:tcPr>
          <w:p w14:paraId="1A8CE604" w14:textId="77777777" w:rsidR="00845810" w:rsidRPr="00FB6CBF" w:rsidRDefault="00A83F5F" w:rsidP="00EA1CB1">
            <w:pPr>
              <w:pStyle w:val="Tabletext"/>
              <w:keepNext w:val="0"/>
              <w:rPr>
                <w:b/>
              </w:rPr>
            </w:pPr>
            <w:r>
              <w:rPr>
                <w:b/>
              </w:rPr>
              <w:t>Dosage in the marketing authorisation</w:t>
            </w:r>
          </w:p>
        </w:tc>
        <w:tc>
          <w:tcPr>
            <w:tcW w:w="5982" w:type="dxa"/>
            <w:shd w:val="clear" w:color="auto" w:fill="auto"/>
          </w:tcPr>
          <w:p w14:paraId="6350D063" w14:textId="6B6A173B" w:rsidR="00845810" w:rsidRPr="0051288C" w:rsidRDefault="00F81319" w:rsidP="0051288C">
            <w:pPr>
              <w:pStyle w:val="Tabletext"/>
              <w:keepNext w:val="0"/>
            </w:pPr>
            <w:r w:rsidRPr="00F81319">
              <w:t>The recommended dose of atezolizumab is 840</w:t>
            </w:r>
            <w:r w:rsidR="00ED1D9F" w:rsidRPr="00620826">
              <w:t> </w:t>
            </w:r>
            <w:r w:rsidRPr="00F81319">
              <w:t>mg administered by intravenous infusion. For each 28</w:t>
            </w:r>
            <w:r w:rsidR="00633B6F" w:rsidRPr="00620826">
              <w:noBreakHyphen/>
            </w:r>
            <w:r w:rsidRPr="00F81319">
              <w:t>day cycle, atezolizumab is administered on days</w:t>
            </w:r>
            <w:r w:rsidR="00633B6F" w:rsidRPr="00620826">
              <w:t> </w:t>
            </w:r>
            <w:r w:rsidRPr="00F81319">
              <w:t>1 and</w:t>
            </w:r>
            <w:r w:rsidR="00633B6F" w:rsidRPr="00620826">
              <w:t> </w:t>
            </w:r>
            <w:r w:rsidRPr="00F81319">
              <w:t>15, and nab-paclitaxel is administered on days</w:t>
            </w:r>
            <w:r w:rsidR="00633B6F" w:rsidRPr="00620826">
              <w:t> </w:t>
            </w:r>
            <w:r w:rsidRPr="00F81319">
              <w:t>1,</w:t>
            </w:r>
            <w:r w:rsidR="00633B6F" w:rsidRPr="00620826">
              <w:t> </w:t>
            </w:r>
            <w:r w:rsidRPr="00F81319">
              <w:t>8, and</w:t>
            </w:r>
            <w:r w:rsidR="00633B6F" w:rsidRPr="00620826">
              <w:t> </w:t>
            </w:r>
            <w:r w:rsidRPr="00F81319">
              <w:t>15</w:t>
            </w:r>
            <w:r>
              <w:t>.</w:t>
            </w:r>
          </w:p>
        </w:tc>
      </w:tr>
      <w:tr w:rsidR="00845810" w14:paraId="73387366" w14:textId="77777777" w:rsidTr="00EA1CB1">
        <w:tc>
          <w:tcPr>
            <w:tcW w:w="3085" w:type="dxa"/>
            <w:shd w:val="clear" w:color="auto" w:fill="auto"/>
          </w:tcPr>
          <w:p w14:paraId="65D580E2" w14:textId="77777777" w:rsidR="00845810" w:rsidRPr="00FB6CBF" w:rsidRDefault="00845810" w:rsidP="00EA1CB1">
            <w:pPr>
              <w:pStyle w:val="Tabletext"/>
              <w:keepNext w:val="0"/>
              <w:rPr>
                <w:b/>
              </w:rPr>
            </w:pPr>
            <w:r w:rsidRPr="00FB6CBF">
              <w:rPr>
                <w:b/>
              </w:rPr>
              <w:t>Price</w:t>
            </w:r>
          </w:p>
        </w:tc>
        <w:tc>
          <w:tcPr>
            <w:tcW w:w="5982" w:type="dxa"/>
            <w:shd w:val="clear" w:color="auto" w:fill="auto"/>
          </w:tcPr>
          <w:p w14:paraId="584C4022" w14:textId="171998F6" w:rsidR="00BF7A2C" w:rsidRDefault="00BF7A2C" w:rsidP="00EA1CB1">
            <w:pPr>
              <w:pStyle w:val="Tabletext"/>
              <w:keepNext w:val="0"/>
            </w:pPr>
            <w:r w:rsidRPr="00BF7A2C">
              <w:t xml:space="preserve">The list price for </w:t>
            </w:r>
            <w:r w:rsidR="0051288C">
              <w:t>atezolizumab</w:t>
            </w:r>
            <w:r w:rsidRPr="00BF7A2C">
              <w:t xml:space="preserve"> is</w:t>
            </w:r>
            <w:r w:rsidR="0051288C">
              <w:t xml:space="preserve"> </w:t>
            </w:r>
            <w:r w:rsidR="0051288C" w:rsidRPr="0051288C">
              <w:t>£</w:t>
            </w:r>
            <w:r w:rsidR="0051288C" w:rsidRPr="00620826">
              <w:t>3</w:t>
            </w:r>
            <w:r w:rsidR="00633B6F" w:rsidRPr="00620826">
              <w:t>,</w:t>
            </w:r>
            <w:r w:rsidR="0051288C" w:rsidRPr="00620826">
              <w:t>807</w:t>
            </w:r>
            <w:r w:rsidR="0051288C" w:rsidRPr="0051288C">
              <w:t>.69</w:t>
            </w:r>
            <w:r w:rsidR="0051288C">
              <w:t xml:space="preserve"> per </w:t>
            </w:r>
            <w:r w:rsidR="0051288C" w:rsidRPr="00620826">
              <w:t>1</w:t>
            </w:r>
            <w:r w:rsidR="00633B6F" w:rsidRPr="00620826">
              <w:t>,</w:t>
            </w:r>
            <w:r w:rsidR="0051288C" w:rsidRPr="00620826">
              <w:t>200</w:t>
            </w:r>
            <w:r w:rsidR="00633B6F" w:rsidRPr="00620826">
              <w:t> </w:t>
            </w:r>
            <w:r w:rsidR="0051288C" w:rsidRPr="00620826">
              <w:t>mg/20</w:t>
            </w:r>
            <w:r w:rsidR="00633B6F" w:rsidRPr="00620826">
              <w:t> </w:t>
            </w:r>
            <w:r w:rsidR="0051288C" w:rsidRPr="00620826">
              <w:t>ml</w:t>
            </w:r>
            <w:r w:rsidR="00F81319">
              <w:t xml:space="preserve"> vial (excluding VAT, </w:t>
            </w:r>
            <w:r w:rsidR="00633B6F" w:rsidRPr="00620826">
              <w:t>BNF</w:t>
            </w:r>
            <w:r w:rsidR="00F81319">
              <w:t xml:space="preserve"> online</w:t>
            </w:r>
            <w:r w:rsidR="00633B6F" w:rsidRPr="00620826">
              <w:t>,</w:t>
            </w:r>
            <w:r w:rsidR="00F81319">
              <w:t xml:space="preserve"> accessed </w:t>
            </w:r>
            <w:r w:rsidR="00714557">
              <w:t>September</w:t>
            </w:r>
            <w:r w:rsidR="00F81319">
              <w:t xml:space="preserve"> 2019)</w:t>
            </w:r>
            <w:r w:rsidRPr="00BF7A2C">
              <w:t>.</w:t>
            </w:r>
          </w:p>
          <w:p w14:paraId="37F1FBB1" w14:textId="48FE4B35" w:rsidR="00BF7A2C" w:rsidRDefault="00BF7A2C" w:rsidP="00EA1CB1">
            <w:pPr>
              <w:pStyle w:val="Tabletext"/>
              <w:keepNext w:val="0"/>
            </w:pPr>
            <w:r>
              <w:t>The e</w:t>
            </w:r>
            <w:r w:rsidRPr="00BF7A2C">
              <w:t xml:space="preserve">stimated average cost of a course of treatment </w:t>
            </w:r>
            <w:r w:rsidR="00F81319">
              <w:t>(28</w:t>
            </w:r>
            <w:r w:rsidR="00633B6F" w:rsidRPr="00620826">
              <w:t> </w:t>
            </w:r>
            <w:r w:rsidR="00F81319">
              <w:t xml:space="preserve">days) </w:t>
            </w:r>
            <w:r>
              <w:t xml:space="preserve">is </w:t>
            </w:r>
            <w:r w:rsidRPr="00BF7A2C">
              <w:t>£</w:t>
            </w:r>
            <w:r w:rsidR="00F81319">
              <w:t xml:space="preserve">7,617.38 </w:t>
            </w:r>
            <w:r w:rsidRPr="00BF7A2C">
              <w:t>from list</w:t>
            </w:r>
            <w:r w:rsidR="001D09BB" w:rsidRPr="00620826">
              <w:t xml:space="preserve"> </w:t>
            </w:r>
            <w:r w:rsidRPr="00BF7A2C">
              <w:t>price</w:t>
            </w:r>
            <w:r>
              <w:t>.</w:t>
            </w:r>
          </w:p>
          <w:p w14:paraId="5DF0A009" w14:textId="29B5A2F2" w:rsidR="00C608C1" w:rsidRDefault="00A21834" w:rsidP="00A21834">
            <w:pPr>
              <w:pStyle w:val="Tabletext"/>
              <w:keepNext w:val="0"/>
            </w:pPr>
            <w:r>
              <w:t>T</w:t>
            </w:r>
            <w:r w:rsidRPr="004220FB">
              <w:t>he company has a commercial arrangement, which would have applied if the technology had been recommended</w:t>
            </w:r>
            <w:r>
              <w:t>.</w:t>
            </w:r>
            <w:r w:rsidDel="00A21834">
              <w:t xml:space="preserve"> </w:t>
            </w:r>
            <w:r w:rsidR="00235945">
              <w:t>This</w:t>
            </w:r>
            <w:r w:rsidR="00235945" w:rsidRPr="00B520D8">
              <w:t xml:space="preserve"> makes</w:t>
            </w:r>
            <w:r w:rsidR="001E15FF">
              <w:t xml:space="preserve"> </w:t>
            </w:r>
            <w:r w:rsidR="006570B5">
              <w:t xml:space="preserve">atezolizumab </w:t>
            </w:r>
            <w:r w:rsidR="00235945" w:rsidRPr="00B520D8">
              <w:t>available to the NHS with a discount. The size of the discount is commercial in confidence</w:t>
            </w:r>
            <w:r w:rsidR="004220FB" w:rsidRPr="004220FB">
              <w:t>.</w:t>
            </w:r>
          </w:p>
        </w:tc>
      </w:tr>
    </w:tbl>
    <w:p w14:paraId="57B0131A" w14:textId="762ADF0C" w:rsidR="00F130AD" w:rsidRDefault="00222BEA" w:rsidP="00F130AD">
      <w:pPr>
        <w:pStyle w:val="Numberedheading1"/>
      </w:pPr>
      <w:r w:rsidRPr="000F48EC">
        <w:t>Co</w:t>
      </w:r>
      <w:r>
        <w:t>mmittee discussion</w:t>
      </w:r>
    </w:p>
    <w:p w14:paraId="18D9C0D0" w14:textId="1E734520" w:rsidR="002B5772" w:rsidRPr="00C63D4E" w:rsidRDefault="00BC7D9E" w:rsidP="002B5772">
      <w:pPr>
        <w:pStyle w:val="NICEnormal"/>
      </w:pPr>
      <w:r w:rsidRPr="007D7F83">
        <w:t xml:space="preserve">The </w:t>
      </w:r>
      <w:r w:rsidR="00343B53">
        <w:t>a</w:t>
      </w:r>
      <w:r w:rsidRPr="007D7F83">
        <w:t xml:space="preserve">ppraisal </w:t>
      </w:r>
      <w:r w:rsidR="00343B53">
        <w:t>c</w:t>
      </w:r>
      <w:r w:rsidRPr="007D7F83">
        <w:t xml:space="preserve">ommittee </w:t>
      </w:r>
      <w:r w:rsidR="00CD7BFC">
        <w:t>(</w:t>
      </w:r>
      <w:hyperlink w:anchor="committee" w:history="1">
        <w:r w:rsidR="00CD7BFC" w:rsidRPr="00A128FA">
          <w:rPr>
            <w:rStyle w:val="Hyperlink"/>
          </w:rPr>
          <w:t>section</w:t>
        </w:r>
        <w:r w:rsidR="00633B6F" w:rsidRPr="00A128FA">
          <w:rPr>
            <w:rStyle w:val="Hyperlink"/>
          </w:rPr>
          <w:t> 5</w:t>
        </w:r>
      </w:hyperlink>
      <w:r w:rsidR="00CD7BFC" w:rsidRPr="00620826">
        <w:t>)</w:t>
      </w:r>
      <w:r w:rsidR="00CD7BFC">
        <w:t xml:space="preserve"> </w:t>
      </w:r>
      <w:r w:rsidRPr="007D7F83">
        <w:t>considered evidence submitted by</w:t>
      </w:r>
      <w:r w:rsidR="001E1FB0">
        <w:t xml:space="preserve"> </w:t>
      </w:r>
      <w:r w:rsidR="00F81319">
        <w:t>Roche</w:t>
      </w:r>
      <w:r w:rsidR="002B5772">
        <w:t>,</w:t>
      </w:r>
      <w:r w:rsidRPr="00981B9F">
        <w:t xml:space="preserve"> </w:t>
      </w:r>
      <w:r w:rsidRPr="007D7F83">
        <w:t xml:space="preserve">a review of this submission by the </w:t>
      </w:r>
      <w:r w:rsidR="00343B53">
        <w:t>e</w:t>
      </w:r>
      <w:r w:rsidRPr="007D7F83">
        <w:t xml:space="preserve">vidence </w:t>
      </w:r>
      <w:r w:rsidR="00343B53">
        <w:t>r</w:t>
      </w:r>
      <w:r w:rsidRPr="007D7F83">
        <w:t xml:space="preserve">eview </w:t>
      </w:r>
      <w:r w:rsidR="00343B53">
        <w:t>g</w:t>
      </w:r>
      <w:r w:rsidRPr="007D7F83">
        <w:t>roup (ERG)</w:t>
      </w:r>
      <w:r w:rsidR="002B5772">
        <w:t xml:space="preserve">, and the technical </w:t>
      </w:r>
      <w:r w:rsidR="00E9265B">
        <w:t>report</w:t>
      </w:r>
      <w:r w:rsidR="007E013D">
        <w:t xml:space="preserve"> developed</w:t>
      </w:r>
      <w:r w:rsidR="00E9265B">
        <w:t xml:space="preserve"> through engagement with stakeholders</w:t>
      </w:r>
      <w:r w:rsidRPr="007D7F83">
        <w:t>.</w:t>
      </w:r>
      <w:r w:rsidR="00C63D4E">
        <w:t xml:space="preserve"> </w:t>
      </w:r>
      <w:r w:rsidR="002B5772" w:rsidRPr="00620826">
        <w:t xml:space="preserve">See the </w:t>
      </w:r>
      <w:hyperlink r:id="rId10" w:history="1">
        <w:r w:rsidR="002B5772" w:rsidRPr="00620826">
          <w:rPr>
            <w:rStyle w:val="Hyperlink"/>
          </w:rPr>
          <w:t>committee papers</w:t>
        </w:r>
      </w:hyperlink>
      <w:r w:rsidR="002B5772">
        <w:t xml:space="preserve"> for full details of the evidence</w:t>
      </w:r>
      <w:r w:rsidR="002B5772" w:rsidRPr="000F2D8A">
        <w:t>.</w:t>
      </w:r>
    </w:p>
    <w:p w14:paraId="74C6A268" w14:textId="70A3FD81" w:rsidR="006B0F36" w:rsidRDefault="002B5772" w:rsidP="00D01B9F">
      <w:pPr>
        <w:pStyle w:val="NICEnormal"/>
      </w:pPr>
      <w:r>
        <w:t xml:space="preserve">The appraisal committee was aware </w:t>
      </w:r>
      <w:r w:rsidR="002555BE">
        <w:t xml:space="preserve">that </w:t>
      </w:r>
      <w:r w:rsidR="00633B6F" w:rsidRPr="00620826">
        <w:t>1 </w:t>
      </w:r>
      <w:r>
        <w:t xml:space="preserve">issue </w:t>
      </w:r>
      <w:r w:rsidR="00F36502">
        <w:t xml:space="preserve">was </w:t>
      </w:r>
      <w:r>
        <w:t xml:space="preserve">resolved during </w:t>
      </w:r>
      <w:r w:rsidR="006D4D1A">
        <w:t xml:space="preserve">the </w:t>
      </w:r>
      <w:r w:rsidR="00E95253">
        <w:t>technical engagement</w:t>
      </w:r>
      <w:r w:rsidR="006D4D1A">
        <w:t xml:space="preserve"> stage</w:t>
      </w:r>
      <w:r w:rsidR="007D1008">
        <w:t>, and agreed that:</w:t>
      </w:r>
    </w:p>
    <w:p w14:paraId="734A96B9" w14:textId="4EF8C7B7" w:rsidR="004258AD" w:rsidRPr="00620826" w:rsidRDefault="00F36502" w:rsidP="004337CE">
      <w:pPr>
        <w:pStyle w:val="Bulletleft1"/>
        <w:rPr>
          <w:rFonts w:cs="Arial"/>
        </w:rPr>
      </w:pPr>
      <w:r>
        <w:lastRenderedPageBreak/>
        <w:t>The company’s assumption that patients in the progression-free and progressed disease health states have an oncology appointment at 6</w:t>
      </w:r>
      <w:r w:rsidR="00633B6F" w:rsidRPr="00620826">
        <w:t> </w:t>
      </w:r>
      <w:r>
        <w:t>months and then every 2</w:t>
      </w:r>
      <w:r w:rsidR="00633B6F" w:rsidRPr="00620826">
        <w:t> </w:t>
      </w:r>
      <w:r>
        <w:t>months underestimates health</w:t>
      </w:r>
      <w:r w:rsidR="00020F24">
        <w:t>-</w:t>
      </w:r>
      <w:r>
        <w:t xml:space="preserve">resource use in the NHS. </w:t>
      </w:r>
    </w:p>
    <w:p w14:paraId="6D4F986F" w14:textId="3838D6B6" w:rsidR="00FF0253" w:rsidRDefault="00F36502" w:rsidP="004408BF">
      <w:pPr>
        <w:pStyle w:val="Bulletleft1last"/>
      </w:pPr>
      <w:r>
        <w:t>The ERG’s assumption that patients in the NHS have a monthly oncology visit is more plausible</w:t>
      </w:r>
      <w:r w:rsidR="004F26C4">
        <w:t xml:space="preserve"> </w:t>
      </w:r>
      <w:r w:rsidR="004F26C4" w:rsidRPr="004408BF">
        <w:t>and should be used for modelling health</w:t>
      </w:r>
      <w:r w:rsidR="00633B6F" w:rsidRPr="00620826">
        <w:t>-</w:t>
      </w:r>
      <w:r w:rsidR="004F26C4" w:rsidRPr="004408BF">
        <w:t>resource use</w:t>
      </w:r>
      <w:r>
        <w:t>.</w:t>
      </w:r>
    </w:p>
    <w:p w14:paraId="6BF91FCA" w14:textId="3301F638" w:rsidR="002B5772" w:rsidRDefault="002B5772" w:rsidP="00D46E93">
      <w:pPr>
        <w:pStyle w:val="NICEnormal"/>
      </w:pPr>
      <w:r>
        <w:t>It recognised that there were remaining areas of uncertainty associated with the analyses presented (see technical report</w:t>
      </w:r>
      <w:r w:rsidR="00A33919">
        <w:t>,</w:t>
      </w:r>
      <w:r>
        <w:t xml:space="preserve"> </w:t>
      </w:r>
      <w:r w:rsidR="006570B5">
        <w:t>section</w:t>
      </w:r>
      <w:r w:rsidR="004258AD" w:rsidRPr="00620826">
        <w:t> </w:t>
      </w:r>
      <w:r w:rsidR="006570B5">
        <w:t>1.2</w:t>
      </w:r>
      <w:r>
        <w:t xml:space="preserve">), and took these into account in its decision making. It discussed the </w:t>
      </w:r>
      <w:r w:rsidR="00A33919">
        <w:t>issues</w:t>
      </w:r>
      <w:r w:rsidR="004258AD" w:rsidRPr="00620826">
        <w:t> </w:t>
      </w:r>
      <w:r w:rsidR="006570B5">
        <w:t>1, 2,</w:t>
      </w:r>
      <w:r w:rsidR="004258AD" w:rsidRPr="00620826">
        <w:t> </w:t>
      </w:r>
      <w:r w:rsidR="006570B5">
        <w:t>3,</w:t>
      </w:r>
      <w:r w:rsidR="004258AD" w:rsidRPr="00620826">
        <w:t> </w:t>
      </w:r>
      <w:r w:rsidR="006570B5">
        <w:t>4,</w:t>
      </w:r>
      <w:r w:rsidR="004258AD" w:rsidRPr="00620826">
        <w:t> </w:t>
      </w:r>
      <w:r w:rsidR="006570B5">
        <w:t>5,</w:t>
      </w:r>
      <w:r w:rsidR="004258AD" w:rsidRPr="00620826">
        <w:t> </w:t>
      </w:r>
      <w:r w:rsidR="006570B5">
        <w:t>6 and</w:t>
      </w:r>
      <w:r w:rsidR="004258AD" w:rsidRPr="00620826">
        <w:t> </w:t>
      </w:r>
      <w:r w:rsidR="006570B5">
        <w:t>7)</w:t>
      </w:r>
      <w:r>
        <w:t xml:space="preserve">, which were outstanding </w:t>
      </w:r>
      <w:r w:rsidR="00E95253">
        <w:t>after</w:t>
      </w:r>
      <w:r>
        <w:t xml:space="preserve"> </w:t>
      </w:r>
      <w:r w:rsidR="000205C6">
        <w:t xml:space="preserve">the </w:t>
      </w:r>
      <w:r>
        <w:t>technical engagement</w:t>
      </w:r>
      <w:r w:rsidR="000205C6">
        <w:t xml:space="preserve"> stage</w:t>
      </w:r>
      <w:r>
        <w:t xml:space="preserve">. </w:t>
      </w:r>
    </w:p>
    <w:p w14:paraId="05ADA3D3" w14:textId="0E0D30D3" w:rsidR="00A01FDA" w:rsidRDefault="00A01FDA" w:rsidP="00643582">
      <w:pPr>
        <w:pStyle w:val="Heading2"/>
      </w:pPr>
      <w:r>
        <w:t>Clinical need and treatment pathway</w:t>
      </w:r>
    </w:p>
    <w:p w14:paraId="47C40EB9" w14:textId="7E6D3751" w:rsidR="00151086" w:rsidRDefault="00854BC9" w:rsidP="00151086">
      <w:pPr>
        <w:pStyle w:val="Heading3"/>
      </w:pPr>
      <w:r>
        <w:t>The b</w:t>
      </w:r>
      <w:r w:rsidR="00151086">
        <w:t xml:space="preserve">urden of </w:t>
      </w:r>
      <w:r w:rsidR="00F81319">
        <w:t>triple</w:t>
      </w:r>
      <w:r w:rsidR="00F92BD6" w:rsidRPr="00620826">
        <w:t>-</w:t>
      </w:r>
      <w:r w:rsidR="00F81319">
        <w:t xml:space="preserve">negative </w:t>
      </w:r>
      <w:r w:rsidR="00B7259C">
        <w:t xml:space="preserve">advanced </w:t>
      </w:r>
      <w:r w:rsidR="00F81319">
        <w:t>breast cancer</w:t>
      </w:r>
      <w:r w:rsidR="00151086">
        <w:t xml:space="preserve"> is high</w:t>
      </w:r>
    </w:p>
    <w:p w14:paraId="7E5390E0" w14:textId="2603690B" w:rsidR="00B82328" w:rsidRPr="00E37215" w:rsidRDefault="004258AD" w:rsidP="004131DD">
      <w:pPr>
        <w:pStyle w:val="Numberedlevel2text"/>
        <w:rPr>
          <w:lang w:val="en-GB"/>
        </w:rPr>
      </w:pPr>
      <w:r w:rsidRPr="00620826">
        <w:rPr>
          <w:lang w:val="en-GB"/>
        </w:rPr>
        <w:t>The p</w:t>
      </w:r>
      <w:r w:rsidR="00151086" w:rsidRPr="006771FF">
        <w:rPr>
          <w:lang w:val="en-GB"/>
        </w:rPr>
        <w:t>atient expert explained that</w:t>
      </w:r>
      <w:r w:rsidR="009E5BCB" w:rsidRPr="006771FF">
        <w:rPr>
          <w:lang w:val="en-GB"/>
        </w:rPr>
        <w:t xml:space="preserve"> triple</w:t>
      </w:r>
      <w:r w:rsidR="00F92BD6" w:rsidRPr="00620826">
        <w:rPr>
          <w:lang w:val="en-GB"/>
        </w:rPr>
        <w:t>-</w:t>
      </w:r>
      <w:r w:rsidR="009E5BCB" w:rsidRPr="006771FF">
        <w:rPr>
          <w:lang w:val="en-GB"/>
        </w:rPr>
        <w:t xml:space="preserve">negative </w:t>
      </w:r>
      <w:r w:rsidR="00B7259C">
        <w:rPr>
          <w:lang w:val="en-GB"/>
        </w:rPr>
        <w:t>advanced</w:t>
      </w:r>
      <w:r w:rsidR="00B7259C" w:rsidRPr="006771FF">
        <w:rPr>
          <w:lang w:val="en-GB"/>
        </w:rPr>
        <w:t xml:space="preserve"> </w:t>
      </w:r>
      <w:r w:rsidR="009E5BCB" w:rsidRPr="006771FF">
        <w:rPr>
          <w:lang w:val="en-GB"/>
        </w:rPr>
        <w:t xml:space="preserve">breast cancer </w:t>
      </w:r>
      <w:r w:rsidR="006C4A68">
        <w:rPr>
          <w:lang w:val="en-GB"/>
        </w:rPr>
        <w:t xml:space="preserve">is a devastating </w:t>
      </w:r>
      <w:proofErr w:type="gramStart"/>
      <w:r w:rsidR="006C4A68">
        <w:rPr>
          <w:lang w:val="en-GB"/>
        </w:rPr>
        <w:t>condition</w:t>
      </w:r>
      <w:r w:rsidRPr="00620826">
        <w:rPr>
          <w:lang w:val="en-GB"/>
        </w:rPr>
        <w:t>,</w:t>
      </w:r>
      <w:r w:rsidR="006C4A68">
        <w:rPr>
          <w:lang w:val="en-GB"/>
        </w:rPr>
        <w:t xml:space="preserve"> </w:t>
      </w:r>
      <w:r w:rsidR="00707412">
        <w:rPr>
          <w:lang w:val="en-GB"/>
        </w:rPr>
        <w:t>and</w:t>
      </w:r>
      <w:proofErr w:type="gramEnd"/>
      <w:r w:rsidR="00707412">
        <w:rPr>
          <w:lang w:val="en-GB"/>
        </w:rPr>
        <w:t xml:space="preserve"> </w:t>
      </w:r>
      <w:r w:rsidR="009E5BCB" w:rsidRPr="006771FF">
        <w:rPr>
          <w:lang w:val="en-GB"/>
        </w:rPr>
        <w:t xml:space="preserve">has a </w:t>
      </w:r>
      <w:r w:rsidR="009E5BCB" w:rsidRPr="00E426B3">
        <w:rPr>
          <w:lang w:val="en-GB"/>
        </w:rPr>
        <w:t xml:space="preserve">huge negative </w:t>
      </w:r>
      <w:r w:rsidRPr="00620826">
        <w:rPr>
          <w:lang w:val="en-GB"/>
        </w:rPr>
        <w:t xml:space="preserve">effect </w:t>
      </w:r>
      <w:r w:rsidR="009E5BCB" w:rsidRPr="00E426B3">
        <w:rPr>
          <w:lang w:val="en-GB"/>
        </w:rPr>
        <w:t>on the quality of life of patients</w:t>
      </w:r>
      <w:r w:rsidR="00707412">
        <w:rPr>
          <w:lang w:val="en-GB"/>
        </w:rPr>
        <w:t xml:space="preserve"> and their families</w:t>
      </w:r>
      <w:r w:rsidR="009E5BCB" w:rsidRPr="00E426B3">
        <w:rPr>
          <w:lang w:val="en-GB"/>
        </w:rPr>
        <w:t>.</w:t>
      </w:r>
      <w:r w:rsidR="009E5BCB" w:rsidRPr="0011654B">
        <w:rPr>
          <w:lang w:val="en-GB"/>
        </w:rPr>
        <w:t xml:space="preserve"> </w:t>
      </w:r>
      <w:r w:rsidR="00E44978">
        <w:rPr>
          <w:lang w:val="en-GB"/>
        </w:rPr>
        <w:t>P</w:t>
      </w:r>
      <w:r w:rsidR="009E5BCB" w:rsidRPr="00620826">
        <w:rPr>
          <w:lang w:val="en-GB"/>
        </w:rPr>
        <w:t>rogression</w:t>
      </w:r>
      <w:r w:rsidR="009E5BCB" w:rsidRPr="00DC5F87">
        <w:rPr>
          <w:lang w:val="en-GB"/>
        </w:rPr>
        <w:t xml:space="preserve"> </w:t>
      </w:r>
      <w:r w:rsidR="009E5BCB" w:rsidRPr="002D6F51">
        <w:rPr>
          <w:lang w:val="en-GB"/>
        </w:rPr>
        <w:t xml:space="preserve">of the </w:t>
      </w:r>
      <w:r w:rsidRPr="00620826">
        <w:rPr>
          <w:lang w:val="en-GB"/>
        </w:rPr>
        <w:t xml:space="preserve">condition </w:t>
      </w:r>
      <w:r w:rsidR="00115CC4">
        <w:rPr>
          <w:lang w:val="en-GB"/>
        </w:rPr>
        <w:t xml:space="preserve">may be </w:t>
      </w:r>
      <w:r w:rsidR="009E5BCB" w:rsidRPr="002C123A">
        <w:rPr>
          <w:lang w:val="en-GB"/>
        </w:rPr>
        <w:t>more aggres</w:t>
      </w:r>
      <w:r w:rsidR="009E5BCB" w:rsidRPr="003D703D">
        <w:rPr>
          <w:lang w:val="en-GB"/>
        </w:rPr>
        <w:t xml:space="preserve">sive than </w:t>
      </w:r>
      <w:r w:rsidR="00236E26">
        <w:rPr>
          <w:lang w:val="en-GB"/>
        </w:rPr>
        <w:t>in</w:t>
      </w:r>
      <w:r w:rsidR="009E5BCB" w:rsidRPr="003D703D">
        <w:rPr>
          <w:lang w:val="en-GB"/>
        </w:rPr>
        <w:t xml:space="preserve"> other types </w:t>
      </w:r>
      <w:r w:rsidR="009E5BCB" w:rsidRPr="00884F08">
        <w:rPr>
          <w:lang w:val="en-GB"/>
        </w:rPr>
        <w:t>of breast cancer</w:t>
      </w:r>
      <w:r w:rsidRPr="00620826">
        <w:rPr>
          <w:lang w:val="en-GB"/>
        </w:rPr>
        <w:t>,</w:t>
      </w:r>
      <w:r w:rsidR="009E5BCB" w:rsidRPr="00884F08">
        <w:rPr>
          <w:lang w:val="en-GB"/>
        </w:rPr>
        <w:t xml:space="preserve"> and the</w:t>
      </w:r>
      <w:r w:rsidR="009E5BCB" w:rsidRPr="006E482F">
        <w:rPr>
          <w:lang w:val="en-GB"/>
        </w:rPr>
        <w:t xml:space="preserve"> </w:t>
      </w:r>
      <w:r w:rsidRPr="00620826">
        <w:rPr>
          <w:lang w:val="en-GB"/>
        </w:rPr>
        <w:t>outcomes can be</w:t>
      </w:r>
      <w:r w:rsidR="009E5BCB" w:rsidRPr="00620826">
        <w:rPr>
          <w:lang w:val="en-GB"/>
        </w:rPr>
        <w:t xml:space="preserve"> </w:t>
      </w:r>
      <w:r w:rsidR="00671494">
        <w:rPr>
          <w:lang w:val="en-GB"/>
        </w:rPr>
        <w:t>worse</w:t>
      </w:r>
      <w:r w:rsidR="009E5BCB" w:rsidRPr="006E482F">
        <w:rPr>
          <w:lang w:val="en-GB"/>
        </w:rPr>
        <w:t>.</w:t>
      </w:r>
      <w:r w:rsidR="006C4A68">
        <w:rPr>
          <w:lang w:val="en-GB"/>
        </w:rPr>
        <w:t xml:space="preserve"> The prognosis is extremely poor and a</w:t>
      </w:r>
      <w:r w:rsidR="00826134">
        <w:rPr>
          <w:lang w:val="en-GB"/>
        </w:rPr>
        <w:t>verage survival</w:t>
      </w:r>
      <w:r w:rsidR="0011040D">
        <w:rPr>
          <w:lang w:val="en-GB"/>
        </w:rPr>
        <w:t xml:space="preserve"> for advanced disease</w:t>
      </w:r>
      <w:r w:rsidR="00826134">
        <w:rPr>
          <w:lang w:val="en-GB"/>
        </w:rPr>
        <w:t xml:space="preserve"> is 12</w:t>
      </w:r>
      <w:r w:rsidRPr="00620826">
        <w:rPr>
          <w:lang w:val="en-GB"/>
        </w:rPr>
        <w:t> </w:t>
      </w:r>
      <w:r w:rsidR="0011040D">
        <w:rPr>
          <w:lang w:val="en-GB"/>
        </w:rPr>
        <w:t>to</w:t>
      </w:r>
      <w:r w:rsidR="00236E26">
        <w:rPr>
          <w:lang w:val="en-GB"/>
        </w:rPr>
        <w:t xml:space="preserve"> </w:t>
      </w:r>
      <w:r w:rsidR="00826134">
        <w:rPr>
          <w:lang w:val="en-GB"/>
        </w:rPr>
        <w:t>18</w:t>
      </w:r>
      <w:r w:rsidRPr="00620826">
        <w:rPr>
          <w:lang w:val="en-GB"/>
        </w:rPr>
        <w:t> </w:t>
      </w:r>
      <w:r w:rsidR="00826134">
        <w:rPr>
          <w:lang w:val="en-GB"/>
        </w:rPr>
        <w:t xml:space="preserve">months. </w:t>
      </w:r>
      <w:r w:rsidRPr="00620826">
        <w:rPr>
          <w:lang w:val="en-GB"/>
        </w:rPr>
        <w:t>The condition</w:t>
      </w:r>
      <w:r w:rsidR="006771FF">
        <w:rPr>
          <w:lang w:val="en-GB"/>
        </w:rPr>
        <w:t xml:space="preserve"> </w:t>
      </w:r>
      <w:r w:rsidR="006A7D30">
        <w:rPr>
          <w:lang w:val="en-GB"/>
        </w:rPr>
        <w:t xml:space="preserve">often </w:t>
      </w:r>
      <w:r w:rsidR="006771FF">
        <w:rPr>
          <w:lang w:val="en-GB"/>
        </w:rPr>
        <w:t xml:space="preserve">affects </w:t>
      </w:r>
      <w:r w:rsidR="00826134">
        <w:rPr>
          <w:lang w:val="en-GB"/>
        </w:rPr>
        <w:t xml:space="preserve">people </w:t>
      </w:r>
      <w:r w:rsidR="009B61FD">
        <w:rPr>
          <w:lang w:val="en-GB"/>
        </w:rPr>
        <w:t xml:space="preserve">of a </w:t>
      </w:r>
      <w:r w:rsidR="006771FF">
        <w:rPr>
          <w:lang w:val="en-GB"/>
        </w:rPr>
        <w:t xml:space="preserve">younger age </w:t>
      </w:r>
      <w:r w:rsidR="009B61FD">
        <w:rPr>
          <w:lang w:val="en-GB"/>
        </w:rPr>
        <w:t xml:space="preserve">who may have </w:t>
      </w:r>
      <w:r w:rsidR="006771FF">
        <w:rPr>
          <w:lang w:val="en-GB"/>
        </w:rPr>
        <w:t>young children and caring responsibilities</w:t>
      </w:r>
      <w:r w:rsidR="006A7D30">
        <w:rPr>
          <w:lang w:val="en-GB"/>
        </w:rPr>
        <w:t xml:space="preserve">, and who </w:t>
      </w:r>
      <w:r w:rsidRPr="00620826">
        <w:rPr>
          <w:lang w:val="en-GB"/>
        </w:rPr>
        <w:t xml:space="preserve">have to </w:t>
      </w:r>
      <w:r w:rsidR="006771FF">
        <w:rPr>
          <w:lang w:val="en-GB"/>
        </w:rPr>
        <w:t>rely on family members and friends to take on their caring responsibilities. The patient expert emphasised that the burden of the disease on the family is high, both emotionally and financially.</w:t>
      </w:r>
      <w:r w:rsidR="004F26C4">
        <w:rPr>
          <w:lang w:val="en-GB"/>
        </w:rPr>
        <w:t xml:space="preserve"> The committee understood these factors</w:t>
      </w:r>
      <w:r w:rsidRPr="00620826">
        <w:rPr>
          <w:lang w:val="en-GB"/>
        </w:rPr>
        <w:t>. It</w:t>
      </w:r>
      <w:r w:rsidR="004F26C4">
        <w:rPr>
          <w:lang w:val="en-GB"/>
        </w:rPr>
        <w:t xml:space="preserve"> </w:t>
      </w:r>
      <w:r w:rsidR="00866B77">
        <w:rPr>
          <w:lang w:val="en-GB"/>
        </w:rPr>
        <w:t xml:space="preserve">recognised both the poor prognosis and </w:t>
      </w:r>
      <w:r w:rsidRPr="00620826">
        <w:rPr>
          <w:lang w:val="en-GB"/>
        </w:rPr>
        <w:t xml:space="preserve">the disease </w:t>
      </w:r>
      <w:r w:rsidR="00866B77">
        <w:rPr>
          <w:lang w:val="en-GB"/>
        </w:rPr>
        <w:t>burden in</w:t>
      </w:r>
      <w:r w:rsidR="004F26C4" w:rsidRPr="00E37215">
        <w:rPr>
          <w:lang w:val="en-GB"/>
        </w:rPr>
        <w:t xml:space="preserve"> people with</w:t>
      </w:r>
      <w:r w:rsidR="004F26C4">
        <w:rPr>
          <w:lang w:val="en-GB"/>
        </w:rPr>
        <w:t xml:space="preserve"> </w:t>
      </w:r>
      <w:r w:rsidR="004F26C4" w:rsidRPr="006771FF">
        <w:rPr>
          <w:lang w:val="en-GB"/>
        </w:rPr>
        <w:t>triple</w:t>
      </w:r>
      <w:r w:rsidR="00F92BD6" w:rsidRPr="00620826">
        <w:rPr>
          <w:lang w:val="en-GB"/>
        </w:rPr>
        <w:t>-</w:t>
      </w:r>
      <w:r w:rsidR="004F26C4" w:rsidRPr="006771FF">
        <w:rPr>
          <w:lang w:val="en-GB"/>
        </w:rPr>
        <w:t>negative</w:t>
      </w:r>
      <w:r w:rsidR="004131DD">
        <w:rPr>
          <w:lang w:val="en-GB"/>
        </w:rPr>
        <w:t xml:space="preserve"> </w:t>
      </w:r>
      <w:r w:rsidR="00B7259C">
        <w:rPr>
          <w:lang w:val="en-GB"/>
        </w:rPr>
        <w:t>advanced</w:t>
      </w:r>
      <w:r w:rsidR="00B7259C" w:rsidRPr="006771FF">
        <w:rPr>
          <w:lang w:val="en-GB"/>
        </w:rPr>
        <w:t xml:space="preserve"> </w:t>
      </w:r>
      <w:r w:rsidR="004131DD">
        <w:rPr>
          <w:lang w:val="en-GB"/>
        </w:rPr>
        <w:t>breast cancer.</w:t>
      </w:r>
    </w:p>
    <w:p w14:paraId="6B75C0A2" w14:textId="20012C09" w:rsidR="00070DA7" w:rsidRDefault="00151086" w:rsidP="00070DA7">
      <w:pPr>
        <w:pStyle w:val="Heading3"/>
      </w:pPr>
      <w:r>
        <w:t xml:space="preserve">Limited treatment options </w:t>
      </w:r>
      <w:r w:rsidR="00F854BA">
        <w:t xml:space="preserve">are </w:t>
      </w:r>
      <w:r>
        <w:t>available</w:t>
      </w:r>
    </w:p>
    <w:p w14:paraId="427CB348" w14:textId="7A2F71C0" w:rsidR="009C162B" w:rsidRPr="00EB4A68" w:rsidRDefault="00707412" w:rsidP="00070DA7">
      <w:pPr>
        <w:pStyle w:val="Numberedlevel2text"/>
        <w:rPr>
          <w:lang w:val="en-GB"/>
        </w:rPr>
      </w:pPr>
      <w:r>
        <w:rPr>
          <w:lang w:val="en-GB"/>
        </w:rPr>
        <w:t>The clinical and p</w:t>
      </w:r>
      <w:r w:rsidR="00151086" w:rsidRPr="00E37215">
        <w:rPr>
          <w:lang w:val="en-GB"/>
        </w:rPr>
        <w:t>atient expert</w:t>
      </w:r>
      <w:r w:rsidR="009B61FD">
        <w:rPr>
          <w:lang w:val="en-GB"/>
        </w:rPr>
        <w:t>s</w:t>
      </w:r>
      <w:r w:rsidR="00151086" w:rsidRPr="00E37215">
        <w:rPr>
          <w:lang w:val="en-GB"/>
        </w:rPr>
        <w:t xml:space="preserve"> explained that</w:t>
      </w:r>
      <w:r w:rsidR="005C39B8">
        <w:rPr>
          <w:lang w:val="en-GB"/>
        </w:rPr>
        <w:t>,</w:t>
      </w:r>
      <w:r w:rsidR="006771FF" w:rsidRPr="00E37215">
        <w:rPr>
          <w:lang w:val="en-GB"/>
        </w:rPr>
        <w:t xml:space="preserve"> </w:t>
      </w:r>
      <w:r w:rsidR="00940577" w:rsidRPr="00E37215">
        <w:rPr>
          <w:lang w:val="en-GB"/>
        </w:rPr>
        <w:t>unlike in hormone receptor-positive or HER2</w:t>
      </w:r>
      <w:r w:rsidR="005F5DC7" w:rsidRPr="00E37215">
        <w:rPr>
          <w:lang w:val="en-GB"/>
        </w:rPr>
        <w:t>-</w:t>
      </w:r>
      <w:r w:rsidR="00940577" w:rsidRPr="00E37215">
        <w:rPr>
          <w:lang w:val="en-GB"/>
        </w:rPr>
        <w:t>positive breast cancer, there are no specific targeted treatments</w:t>
      </w:r>
      <w:r w:rsidR="006771FF" w:rsidRPr="00E37215">
        <w:rPr>
          <w:lang w:val="en-GB"/>
        </w:rPr>
        <w:t xml:space="preserve"> for people with triple</w:t>
      </w:r>
      <w:r w:rsidR="00F92BD6" w:rsidRPr="00620826">
        <w:rPr>
          <w:lang w:val="en-GB"/>
        </w:rPr>
        <w:t>-</w:t>
      </w:r>
      <w:r w:rsidR="006771FF" w:rsidRPr="00E37215">
        <w:rPr>
          <w:lang w:val="en-US"/>
        </w:rPr>
        <w:t xml:space="preserve">negative </w:t>
      </w:r>
      <w:r w:rsidR="00B7259C" w:rsidRPr="00E37215">
        <w:rPr>
          <w:lang w:val="en-GB"/>
        </w:rPr>
        <w:t xml:space="preserve">advanced </w:t>
      </w:r>
      <w:r w:rsidR="006771FF" w:rsidRPr="00E37215">
        <w:rPr>
          <w:lang w:val="en-GB"/>
        </w:rPr>
        <w:t>breast cancer</w:t>
      </w:r>
      <w:r w:rsidR="00940577" w:rsidRPr="00E37215">
        <w:rPr>
          <w:lang w:val="en-GB"/>
        </w:rPr>
        <w:t>.</w:t>
      </w:r>
      <w:r w:rsidR="001410E2" w:rsidRPr="00E37215">
        <w:rPr>
          <w:lang w:val="en-GB"/>
        </w:rPr>
        <w:t xml:space="preserve"> </w:t>
      </w:r>
      <w:r w:rsidR="004F619D" w:rsidRPr="00E37215">
        <w:rPr>
          <w:lang w:val="en-GB"/>
        </w:rPr>
        <w:t>Currently</w:t>
      </w:r>
      <w:r w:rsidR="00A96D91" w:rsidRPr="00620826">
        <w:rPr>
          <w:lang w:val="en-GB"/>
        </w:rPr>
        <w:t>,</w:t>
      </w:r>
      <w:r w:rsidR="004F619D" w:rsidRPr="00E37215">
        <w:rPr>
          <w:lang w:val="en-GB"/>
        </w:rPr>
        <w:t xml:space="preserve"> the only treatment option for </w:t>
      </w:r>
      <w:r w:rsidR="004258AD" w:rsidRPr="00620826">
        <w:rPr>
          <w:lang w:val="en-GB"/>
        </w:rPr>
        <w:t xml:space="preserve">people </w:t>
      </w:r>
      <w:r w:rsidR="004F619D" w:rsidRPr="00E37215">
        <w:rPr>
          <w:lang w:val="en-GB"/>
        </w:rPr>
        <w:t>with triple</w:t>
      </w:r>
      <w:r w:rsidR="00F92BD6" w:rsidRPr="00620826">
        <w:rPr>
          <w:lang w:val="en-GB"/>
        </w:rPr>
        <w:t>-</w:t>
      </w:r>
      <w:r w:rsidR="004F619D" w:rsidRPr="00E37215">
        <w:rPr>
          <w:lang w:val="en-GB"/>
        </w:rPr>
        <w:t>negative</w:t>
      </w:r>
      <w:r w:rsidR="004F619D" w:rsidRPr="00620826">
        <w:rPr>
          <w:lang w:val="en-GB"/>
        </w:rPr>
        <w:t xml:space="preserve"> </w:t>
      </w:r>
      <w:r w:rsidR="00B7259C" w:rsidRPr="00E37215">
        <w:rPr>
          <w:lang w:val="en-GB"/>
        </w:rPr>
        <w:lastRenderedPageBreak/>
        <w:t xml:space="preserve">advanced </w:t>
      </w:r>
      <w:r w:rsidR="004F619D" w:rsidRPr="00E37215">
        <w:rPr>
          <w:lang w:val="en-GB"/>
        </w:rPr>
        <w:t>breast cancer is chemotherapy,</w:t>
      </w:r>
      <w:r w:rsidR="009C65E5">
        <w:rPr>
          <w:lang w:val="en-GB"/>
        </w:rPr>
        <w:t xml:space="preserve"> usually with a </w:t>
      </w:r>
      <w:proofErr w:type="spellStart"/>
      <w:r w:rsidR="009C65E5">
        <w:rPr>
          <w:lang w:val="en-GB"/>
        </w:rPr>
        <w:t>taxane</w:t>
      </w:r>
      <w:proofErr w:type="spellEnd"/>
      <w:r w:rsidR="00A128FA">
        <w:rPr>
          <w:lang w:val="en-GB"/>
        </w:rPr>
        <w:t>.</w:t>
      </w:r>
      <w:r w:rsidR="004F619D" w:rsidRPr="00E37215">
        <w:rPr>
          <w:lang w:val="en-GB"/>
        </w:rPr>
        <w:t xml:space="preserve"> </w:t>
      </w:r>
      <w:r w:rsidR="00A128FA">
        <w:rPr>
          <w:lang w:val="en-GB"/>
        </w:rPr>
        <w:t>This</w:t>
      </w:r>
      <w:r w:rsidR="00A128FA" w:rsidRPr="00E37215">
        <w:rPr>
          <w:lang w:val="en-GB"/>
        </w:rPr>
        <w:t xml:space="preserve"> </w:t>
      </w:r>
      <w:r w:rsidR="004F619D" w:rsidRPr="00E37215">
        <w:rPr>
          <w:lang w:val="en-GB"/>
        </w:rPr>
        <w:t xml:space="preserve">has side effects including increased risk of infection, hair loss, sickness, nausea and fatigue. </w:t>
      </w:r>
      <w:r w:rsidR="001410E2" w:rsidRPr="00E37215">
        <w:rPr>
          <w:lang w:val="en-GB"/>
        </w:rPr>
        <w:t xml:space="preserve">Atezolizumab is the first </w:t>
      </w:r>
      <w:r w:rsidR="009C65E5">
        <w:rPr>
          <w:lang w:val="en-GB"/>
        </w:rPr>
        <w:t>immuno</w:t>
      </w:r>
      <w:r w:rsidR="00350441" w:rsidRPr="00E37215">
        <w:rPr>
          <w:lang w:val="en-GB"/>
        </w:rPr>
        <w:t xml:space="preserve">therapy </w:t>
      </w:r>
      <w:r w:rsidR="009C65E5">
        <w:rPr>
          <w:lang w:val="en-GB"/>
        </w:rPr>
        <w:t>for</w:t>
      </w:r>
      <w:r w:rsidR="00350441" w:rsidRPr="00E37215">
        <w:rPr>
          <w:lang w:val="en-GB"/>
        </w:rPr>
        <w:t xml:space="preserve"> PD</w:t>
      </w:r>
      <w:r w:rsidR="00F92BD6" w:rsidRPr="00620826">
        <w:rPr>
          <w:lang w:val="en-GB"/>
        </w:rPr>
        <w:noBreakHyphen/>
      </w:r>
      <w:r w:rsidR="00350441" w:rsidRPr="00E37215">
        <w:rPr>
          <w:lang w:val="en-GB"/>
        </w:rPr>
        <w:t>L1</w:t>
      </w:r>
      <w:r w:rsidR="00F92BD6" w:rsidRPr="00620826">
        <w:rPr>
          <w:lang w:val="en-GB"/>
        </w:rPr>
        <w:t>-</w:t>
      </w:r>
      <w:r w:rsidR="00350441" w:rsidRPr="00E37215">
        <w:rPr>
          <w:lang w:val="en-GB"/>
        </w:rPr>
        <w:t>positive</w:t>
      </w:r>
      <w:r w:rsidR="00F92BD6" w:rsidRPr="00620826">
        <w:rPr>
          <w:lang w:val="en-GB"/>
        </w:rPr>
        <w:t>,</w:t>
      </w:r>
      <w:r w:rsidR="00350441" w:rsidRPr="00E37215">
        <w:rPr>
          <w:lang w:val="en-GB"/>
        </w:rPr>
        <w:t xml:space="preserve"> triple</w:t>
      </w:r>
      <w:r w:rsidR="00F92BD6" w:rsidRPr="00620826">
        <w:rPr>
          <w:lang w:val="en-GB"/>
        </w:rPr>
        <w:t>-</w:t>
      </w:r>
      <w:r w:rsidR="00350441" w:rsidRPr="00E37215">
        <w:rPr>
          <w:lang w:val="en-GB"/>
        </w:rPr>
        <w:t>negative breast cancer.</w:t>
      </w:r>
      <w:r w:rsidRPr="00E37215">
        <w:rPr>
          <w:lang w:val="en-GB"/>
        </w:rPr>
        <w:t xml:space="preserve"> It is also the first treatment to </w:t>
      </w:r>
      <w:r w:rsidR="00415C30" w:rsidRPr="00620826">
        <w:rPr>
          <w:lang w:val="en-GB"/>
        </w:rPr>
        <w:t xml:space="preserve">substantially </w:t>
      </w:r>
      <w:r w:rsidRPr="00E37215">
        <w:rPr>
          <w:lang w:val="en-GB"/>
        </w:rPr>
        <w:t xml:space="preserve">improve outcomes for </w:t>
      </w:r>
      <w:r w:rsidR="004258AD" w:rsidRPr="00620826">
        <w:rPr>
          <w:lang w:val="en-GB"/>
        </w:rPr>
        <w:t xml:space="preserve">people </w:t>
      </w:r>
      <w:r w:rsidRPr="00E37215">
        <w:rPr>
          <w:lang w:val="en-GB"/>
        </w:rPr>
        <w:t>with triple</w:t>
      </w:r>
      <w:r w:rsidR="00F92BD6" w:rsidRPr="00620826">
        <w:rPr>
          <w:lang w:val="en-GB"/>
        </w:rPr>
        <w:t>-</w:t>
      </w:r>
      <w:r w:rsidRPr="00E37215">
        <w:rPr>
          <w:lang w:val="en-GB"/>
        </w:rPr>
        <w:t xml:space="preserve">negative breast cancer compared with </w:t>
      </w:r>
      <w:proofErr w:type="spellStart"/>
      <w:r w:rsidR="00940577" w:rsidRPr="00E37215">
        <w:rPr>
          <w:lang w:val="en-GB"/>
        </w:rPr>
        <w:t>taxane</w:t>
      </w:r>
      <w:proofErr w:type="spellEnd"/>
      <w:r w:rsidR="00940577" w:rsidRPr="00E37215">
        <w:rPr>
          <w:lang w:val="en-GB"/>
        </w:rPr>
        <w:t xml:space="preserve"> </w:t>
      </w:r>
      <w:r w:rsidR="005F5DC7" w:rsidRPr="00E37215">
        <w:rPr>
          <w:lang w:val="en-GB"/>
        </w:rPr>
        <w:t>chemotherapy</w:t>
      </w:r>
      <w:r w:rsidR="00BF74B0">
        <w:rPr>
          <w:lang w:val="en-GB"/>
        </w:rPr>
        <w:t xml:space="preserve"> alone</w:t>
      </w:r>
      <w:r w:rsidR="00F92BD6" w:rsidRPr="00620826">
        <w:rPr>
          <w:lang w:val="en-GB"/>
        </w:rPr>
        <w:t>, so</w:t>
      </w:r>
      <w:r w:rsidRPr="00E37215">
        <w:rPr>
          <w:lang w:val="en-GB"/>
        </w:rPr>
        <w:t xml:space="preserve"> is considered to be a major breakthrough in managing the </w:t>
      </w:r>
      <w:r w:rsidR="004258AD" w:rsidRPr="00620826">
        <w:rPr>
          <w:lang w:val="en-GB"/>
        </w:rPr>
        <w:t>condition</w:t>
      </w:r>
      <w:r w:rsidRPr="00620826">
        <w:rPr>
          <w:lang w:val="en-GB"/>
        </w:rPr>
        <w:t>.</w:t>
      </w:r>
      <w:r w:rsidR="004F619D">
        <w:rPr>
          <w:lang w:val="en-US"/>
        </w:rPr>
        <w:t xml:space="preserve"> </w:t>
      </w:r>
      <w:r w:rsidR="00342957" w:rsidRPr="00E37215">
        <w:rPr>
          <w:lang w:val="en-GB"/>
        </w:rPr>
        <w:t>The</w:t>
      </w:r>
      <w:r w:rsidR="00952898" w:rsidRPr="00E37215">
        <w:rPr>
          <w:lang w:val="en-GB"/>
        </w:rPr>
        <w:t xml:space="preserve"> patient expert explained that the</w:t>
      </w:r>
      <w:r w:rsidR="00342957" w:rsidRPr="00E37215">
        <w:rPr>
          <w:lang w:val="en-GB"/>
        </w:rPr>
        <w:t xml:space="preserve"> availability of a new treatment </w:t>
      </w:r>
      <w:r w:rsidR="004258AD" w:rsidRPr="00620826">
        <w:rPr>
          <w:lang w:val="en-GB"/>
        </w:rPr>
        <w:t xml:space="preserve">that </w:t>
      </w:r>
      <w:r w:rsidR="007F0BD8" w:rsidRPr="00E37215">
        <w:rPr>
          <w:lang w:val="en-GB"/>
        </w:rPr>
        <w:t>increases progression-free survival</w:t>
      </w:r>
      <w:r w:rsidR="00342957" w:rsidRPr="00E37215">
        <w:rPr>
          <w:lang w:val="en-GB"/>
        </w:rPr>
        <w:t xml:space="preserve"> </w:t>
      </w:r>
      <w:r w:rsidR="00A73005" w:rsidRPr="00E37215">
        <w:rPr>
          <w:lang w:val="en-GB"/>
        </w:rPr>
        <w:t xml:space="preserve">compared with chemotherapy alone </w:t>
      </w:r>
      <w:r w:rsidR="00342957" w:rsidRPr="00E37215">
        <w:rPr>
          <w:lang w:val="en-GB"/>
        </w:rPr>
        <w:t xml:space="preserve">gives hope to </w:t>
      </w:r>
      <w:r w:rsidR="004258AD" w:rsidRPr="00620826">
        <w:rPr>
          <w:lang w:val="en-GB"/>
        </w:rPr>
        <w:t xml:space="preserve">people with the condition </w:t>
      </w:r>
      <w:r w:rsidR="006B1A42" w:rsidRPr="00E37215">
        <w:rPr>
          <w:lang w:val="en-GB"/>
        </w:rPr>
        <w:t xml:space="preserve">that they </w:t>
      </w:r>
      <w:r w:rsidR="004258AD" w:rsidRPr="00620826">
        <w:rPr>
          <w:lang w:val="en-GB"/>
        </w:rPr>
        <w:t xml:space="preserve">will be able to </w:t>
      </w:r>
      <w:r w:rsidR="007F0BD8" w:rsidRPr="00E37215">
        <w:rPr>
          <w:lang w:val="en-GB"/>
        </w:rPr>
        <w:t>maintain a good quality life for as long as possible.</w:t>
      </w:r>
      <w:r w:rsidR="00350441" w:rsidRPr="00E37215">
        <w:rPr>
          <w:lang w:val="en-GB"/>
        </w:rPr>
        <w:t xml:space="preserve"> </w:t>
      </w:r>
      <w:r w:rsidR="00150219" w:rsidRPr="00E37215">
        <w:rPr>
          <w:lang w:val="en-GB"/>
        </w:rPr>
        <w:t>T</w:t>
      </w:r>
      <w:r w:rsidR="007F0BD8" w:rsidRPr="00E37215">
        <w:rPr>
          <w:lang w:val="en-GB"/>
        </w:rPr>
        <w:t xml:space="preserve">he side effects of atezolizumab plus nab-paclitaxel </w:t>
      </w:r>
      <w:r w:rsidR="0097725D" w:rsidRPr="00E37215">
        <w:rPr>
          <w:lang w:val="en-GB"/>
        </w:rPr>
        <w:t xml:space="preserve">are </w:t>
      </w:r>
      <w:r w:rsidR="00150219" w:rsidRPr="00E37215">
        <w:rPr>
          <w:lang w:val="en-GB"/>
        </w:rPr>
        <w:t>manageable</w:t>
      </w:r>
      <w:r w:rsidR="007F0BD8" w:rsidRPr="00E37215">
        <w:rPr>
          <w:lang w:val="en-GB"/>
        </w:rPr>
        <w:t xml:space="preserve"> and allow </w:t>
      </w:r>
      <w:r w:rsidR="004258AD" w:rsidRPr="00620826">
        <w:rPr>
          <w:lang w:val="en-GB"/>
        </w:rPr>
        <w:t xml:space="preserve">people </w:t>
      </w:r>
      <w:r w:rsidR="007F0BD8" w:rsidRPr="00E37215">
        <w:rPr>
          <w:lang w:val="en-GB"/>
        </w:rPr>
        <w:t xml:space="preserve">to </w:t>
      </w:r>
      <w:r w:rsidR="006B1A42" w:rsidRPr="00E37215">
        <w:rPr>
          <w:lang w:val="en-GB"/>
        </w:rPr>
        <w:t>have</w:t>
      </w:r>
      <w:r w:rsidR="007F0BD8" w:rsidRPr="00E37215">
        <w:rPr>
          <w:lang w:val="en-GB"/>
        </w:rPr>
        <w:t xml:space="preserve"> a reasonabl</w:t>
      </w:r>
      <w:r w:rsidR="00342957" w:rsidRPr="00E37215">
        <w:rPr>
          <w:lang w:val="en-GB"/>
        </w:rPr>
        <w:t>y</w:t>
      </w:r>
      <w:r w:rsidR="007F0BD8" w:rsidRPr="00E37215">
        <w:rPr>
          <w:lang w:val="en-GB"/>
        </w:rPr>
        <w:t xml:space="preserve"> good quality of life.</w:t>
      </w:r>
      <w:r w:rsidR="009F310C" w:rsidRPr="00E37215">
        <w:rPr>
          <w:lang w:val="en-GB"/>
        </w:rPr>
        <w:t xml:space="preserve"> </w:t>
      </w:r>
      <w:r w:rsidR="00150219">
        <w:rPr>
          <w:lang w:val="en-GB"/>
        </w:rPr>
        <w:t>The patient expert also explained that atezolizumab plus nab-paclitaxel is available to some patients via the Early Access to Medicines Scheme</w:t>
      </w:r>
      <w:r w:rsidR="00415C30" w:rsidRPr="00620826">
        <w:rPr>
          <w:lang w:val="en-GB"/>
        </w:rPr>
        <w:t>,</w:t>
      </w:r>
      <w:r w:rsidR="00150219">
        <w:rPr>
          <w:lang w:val="en-GB"/>
        </w:rPr>
        <w:t xml:space="preserve"> and that a negative recommendation would be devastating to patients and their families.</w:t>
      </w:r>
      <w:r w:rsidR="009F310C" w:rsidRPr="0031335C">
        <w:rPr>
          <w:lang w:val="en-GB"/>
        </w:rPr>
        <w:t xml:space="preserve"> </w:t>
      </w:r>
      <w:r w:rsidR="009F310C" w:rsidRPr="00EB4A68">
        <w:rPr>
          <w:lang w:val="en-GB"/>
        </w:rPr>
        <w:t xml:space="preserve">The committee concluded that </w:t>
      </w:r>
      <w:r w:rsidR="009F310C">
        <w:rPr>
          <w:lang w:val="en-GB"/>
        </w:rPr>
        <w:t xml:space="preserve">there is a </w:t>
      </w:r>
      <w:r w:rsidR="00E60005">
        <w:rPr>
          <w:lang w:val="en-GB"/>
        </w:rPr>
        <w:t xml:space="preserve">very </w:t>
      </w:r>
      <w:r w:rsidR="009F310C">
        <w:rPr>
          <w:lang w:val="en-GB"/>
        </w:rPr>
        <w:t xml:space="preserve">high unmet </w:t>
      </w:r>
      <w:r w:rsidR="00DC772C">
        <w:rPr>
          <w:lang w:val="en-GB"/>
        </w:rPr>
        <w:t>clinical</w:t>
      </w:r>
      <w:r w:rsidR="00415C30" w:rsidRPr="00620826">
        <w:rPr>
          <w:lang w:val="en-GB"/>
        </w:rPr>
        <w:t xml:space="preserve"> </w:t>
      </w:r>
      <w:r w:rsidR="009F310C">
        <w:rPr>
          <w:lang w:val="en-GB"/>
        </w:rPr>
        <w:t xml:space="preserve">need among people with </w:t>
      </w:r>
      <w:r w:rsidR="009F310C" w:rsidRPr="00EB4A68">
        <w:rPr>
          <w:lang w:val="en-GB"/>
        </w:rPr>
        <w:t>triple</w:t>
      </w:r>
      <w:r w:rsidR="00F92BD6" w:rsidRPr="00620826">
        <w:rPr>
          <w:lang w:val="en-GB"/>
        </w:rPr>
        <w:t>-</w:t>
      </w:r>
      <w:r w:rsidR="009F310C" w:rsidRPr="00EB4A68">
        <w:rPr>
          <w:lang w:val="en-GB"/>
        </w:rPr>
        <w:t xml:space="preserve">negative </w:t>
      </w:r>
      <w:r w:rsidR="00B7259C">
        <w:rPr>
          <w:lang w:val="en-GB"/>
        </w:rPr>
        <w:t xml:space="preserve">advanced </w:t>
      </w:r>
      <w:r w:rsidR="009F310C" w:rsidRPr="00EB4A68">
        <w:rPr>
          <w:lang w:val="en-GB"/>
        </w:rPr>
        <w:t>breast cancer</w:t>
      </w:r>
      <w:r w:rsidR="00415C30" w:rsidRPr="00620826">
        <w:rPr>
          <w:lang w:val="en-GB"/>
        </w:rPr>
        <w:t>,</w:t>
      </w:r>
      <w:r w:rsidR="009F310C">
        <w:rPr>
          <w:lang w:val="en-GB"/>
        </w:rPr>
        <w:t xml:space="preserve"> and that the</w:t>
      </w:r>
      <w:r w:rsidR="009F310C" w:rsidRPr="00EB4A68">
        <w:rPr>
          <w:lang w:val="en-GB"/>
        </w:rPr>
        <w:t xml:space="preserve"> availability of a new </w:t>
      </w:r>
      <w:r w:rsidR="009C65E5">
        <w:rPr>
          <w:lang w:val="en-GB"/>
        </w:rPr>
        <w:t>immunotherapy</w:t>
      </w:r>
      <w:r w:rsidR="009F310C" w:rsidRPr="00EB4A68">
        <w:rPr>
          <w:lang w:val="en-GB"/>
        </w:rPr>
        <w:t xml:space="preserve"> </w:t>
      </w:r>
      <w:r w:rsidR="0097725D" w:rsidRPr="00EB4A68">
        <w:rPr>
          <w:lang w:val="en-GB"/>
        </w:rPr>
        <w:t xml:space="preserve">is an important development in this </w:t>
      </w:r>
      <w:r w:rsidR="004258AD" w:rsidRPr="00620826">
        <w:rPr>
          <w:lang w:val="en-GB"/>
        </w:rPr>
        <w:t>condition</w:t>
      </w:r>
      <w:r w:rsidR="008D6DE3" w:rsidRPr="00EB4A68">
        <w:rPr>
          <w:lang w:val="en-GB"/>
        </w:rPr>
        <w:t>.</w:t>
      </w:r>
    </w:p>
    <w:p w14:paraId="44F6BC3B" w14:textId="6367E5C1" w:rsidR="009C162B" w:rsidDel="006B1A42" w:rsidRDefault="009C162B" w:rsidP="009C162B">
      <w:pPr>
        <w:pStyle w:val="Heading2"/>
      </w:pPr>
      <w:r w:rsidDel="006B1A42">
        <w:t>PD</w:t>
      </w:r>
      <w:r w:rsidR="00F92BD6" w:rsidRPr="00620826">
        <w:noBreakHyphen/>
      </w:r>
      <w:r w:rsidDel="006B1A42">
        <w:t>L1 testing in triple</w:t>
      </w:r>
      <w:r w:rsidR="00F92BD6" w:rsidRPr="00620826">
        <w:t>-</w:t>
      </w:r>
      <w:r w:rsidDel="006B1A42">
        <w:t xml:space="preserve">negative </w:t>
      </w:r>
      <w:r w:rsidR="00F92BD6" w:rsidRPr="00620826">
        <w:t>advanced</w:t>
      </w:r>
      <w:r w:rsidR="00F92BD6" w:rsidRPr="00620826" w:rsidDel="006B1A42">
        <w:t xml:space="preserve"> </w:t>
      </w:r>
      <w:r w:rsidDel="006B1A42">
        <w:t>breast cancer</w:t>
      </w:r>
    </w:p>
    <w:p w14:paraId="489FEC90" w14:textId="41C9562A" w:rsidR="009C162B" w:rsidDel="009F310C" w:rsidRDefault="008C19B6" w:rsidP="00670A8A">
      <w:pPr>
        <w:pStyle w:val="Heading3"/>
        <w:rPr>
          <w:iCs/>
        </w:rPr>
      </w:pPr>
      <w:r>
        <w:t xml:space="preserve">There </w:t>
      </w:r>
      <w:r w:rsidR="00150219">
        <w:t>would be</w:t>
      </w:r>
      <w:r>
        <w:t xml:space="preserve"> no major barriers to i</w:t>
      </w:r>
      <w:r w:rsidR="009C162B" w:rsidRPr="009C162B">
        <w:t>ntroducing</w:t>
      </w:r>
      <w:r w:rsidR="009C162B" w:rsidDel="009F310C">
        <w:rPr>
          <w:iCs/>
        </w:rPr>
        <w:t xml:space="preserve"> PD</w:t>
      </w:r>
      <w:r w:rsidR="00F92BD6" w:rsidRPr="00620826">
        <w:rPr>
          <w:iCs/>
        </w:rPr>
        <w:noBreakHyphen/>
      </w:r>
      <w:r w:rsidR="009C162B" w:rsidDel="009F310C">
        <w:rPr>
          <w:iCs/>
        </w:rPr>
        <w:t>L1 testing in</w:t>
      </w:r>
      <w:r w:rsidR="008B1B6A">
        <w:rPr>
          <w:iCs/>
        </w:rPr>
        <w:t xml:space="preserve"> </w:t>
      </w:r>
      <w:r w:rsidR="00415C30" w:rsidRPr="00620826">
        <w:rPr>
          <w:iCs/>
        </w:rPr>
        <w:t xml:space="preserve">people </w:t>
      </w:r>
      <w:r w:rsidR="008B1B6A">
        <w:rPr>
          <w:iCs/>
        </w:rPr>
        <w:t>with</w:t>
      </w:r>
      <w:r w:rsidR="009C162B" w:rsidDel="009F310C">
        <w:rPr>
          <w:iCs/>
        </w:rPr>
        <w:t xml:space="preserve"> triple</w:t>
      </w:r>
      <w:r w:rsidR="00F92BD6" w:rsidRPr="00620826">
        <w:rPr>
          <w:iCs/>
        </w:rPr>
        <w:t>-</w:t>
      </w:r>
      <w:r w:rsidR="009C162B" w:rsidDel="009F310C">
        <w:rPr>
          <w:iCs/>
        </w:rPr>
        <w:t>negative breast cancer</w:t>
      </w:r>
    </w:p>
    <w:p w14:paraId="49B62453" w14:textId="58EF40F1" w:rsidR="00825BDC" w:rsidRPr="009436A5" w:rsidRDefault="009C162B" w:rsidP="004131DD">
      <w:pPr>
        <w:pStyle w:val="Numberedlevel2text"/>
        <w:rPr>
          <w:lang w:val="en-GB"/>
        </w:rPr>
      </w:pPr>
      <w:r w:rsidRPr="009436A5" w:rsidDel="009F310C">
        <w:rPr>
          <w:lang w:val="en-GB"/>
        </w:rPr>
        <w:t xml:space="preserve">The marketing authorisation </w:t>
      </w:r>
      <w:r w:rsidRPr="009436A5">
        <w:rPr>
          <w:lang w:val="en-GB"/>
        </w:rPr>
        <w:t>for</w:t>
      </w:r>
      <w:r w:rsidRPr="009436A5" w:rsidDel="009F310C">
        <w:rPr>
          <w:lang w:val="en-GB"/>
        </w:rPr>
        <w:t xml:space="preserve"> atezolizumab</w:t>
      </w:r>
      <w:r w:rsidR="00F2457B" w:rsidRPr="009436A5">
        <w:rPr>
          <w:lang w:val="en-GB"/>
        </w:rPr>
        <w:t xml:space="preserve"> </w:t>
      </w:r>
      <w:r w:rsidRPr="009436A5" w:rsidDel="009F310C">
        <w:rPr>
          <w:lang w:val="en-GB"/>
        </w:rPr>
        <w:t xml:space="preserve">specifies </w:t>
      </w:r>
      <w:r w:rsidR="00AE4FA3">
        <w:rPr>
          <w:lang w:val="en-GB"/>
        </w:rPr>
        <w:t xml:space="preserve">that </w:t>
      </w:r>
      <w:r w:rsidR="00A21834">
        <w:rPr>
          <w:lang w:val="en-GB"/>
        </w:rPr>
        <w:t>is indicated for the treatment of</w:t>
      </w:r>
      <w:r w:rsidRPr="009436A5">
        <w:rPr>
          <w:lang w:val="en-GB"/>
        </w:rPr>
        <w:t xml:space="preserve"> adults with </w:t>
      </w:r>
      <w:r w:rsidRPr="000922CE">
        <w:rPr>
          <w:lang w:val="en-GB"/>
        </w:rPr>
        <w:t>unresectable</w:t>
      </w:r>
      <w:r w:rsidR="00F92BD6" w:rsidRPr="000922CE">
        <w:rPr>
          <w:lang w:val="en-GB"/>
        </w:rPr>
        <w:t>,</w:t>
      </w:r>
      <w:r w:rsidRPr="000922CE">
        <w:rPr>
          <w:lang w:val="en-GB"/>
        </w:rPr>
        <w:t xml:space="preserve"> locally advanced or</w:t>
      </w:r>
      <w:r w:rsidRPr="000922CE" w:rsidDel="009F310C">
        <w:rPr>
          <w:lang w:val="en-GB"/>
        </w:rPr>
        <w:t xml:space="preserve"> metastatic </w:t>
      </w:r>
      <w:r w:rsidRPr="000922CE">
        <w:rPr>
          <w:lang w:val="en-GB"/>
        </w:rPr>
        <w:t>triple</w:t>
      </w:r>
      <w:r w:rsidR="00AE4FA3">
        <w:rPr>
          <w:lang w:val="en-GB"/>
        </w:rPr>
        <w:t>-</w:t>
      </w:r>
      <w:r w:rsidRPr="000922CE">
        <w:rPr>
          <w:lang w:val="en-GB"/>
        </w:rPr>
        <w:t xml:space="preserve">negative </w:t>
      </w:r>
      <w:r w:rsidRPr="000922CE" w:rsidDel="009F310C">
        <w:rPr>
          <w:lang w:val="en-GB"/>
        </w:rPr>
        <w:t xml:space="preserve">breast cancer </w:t>
      </w:r>
      <w:r w:rsidRPr="000922CE">
        <w:rPr>
          <w:lang w:val="en-GB"/>
        </w:rPr>
        <w:t xml:space="preserve">whose tumours </w:t>
      </w:r>
      <w:r w:rsidR="00A21834">
        <w:rPr>
          <w:lang w:val="en-GB"/>
        </w:rPr>
        <w:t>have</w:t>
      </w:r>
      <w:r w:rsidR="00A21834" w:rsidRPr="000922CE">
        <w:rPr>
          <w:lang w:val="en-GB"/>
        </w:rPr>
        <w:t xml:space="preserve"> </w:t>
      </w:r>
      <w:r w:rsidRPr="000922CE" w:rsidDel="009F310C">
        <w:rPr>
          <w:lang w:val="en-GB"/>
        </w:rPr>
        <w:t>PD</w:t>
      </w:r>
      <w:r w:rsidR="00F92BD6" w:rsidRPr="000922CE">
        <w:rPr>
          <w:lang w:val="en-GB"/>
        </w:rPr>
        <w:noBreakHyphen/>
      </w:r>
      <w:r w:rsidRPr="000922CE" w:rsidDel="009F310C">
        <w:rPr>
          <w:lang w:val="en-GB"/>
        </w:rPr>
        <w:t xml:space="preserve">L1 </w:t>
      </w:r>
      <w:r w:rsidR="00A21834">
        <w:rPr>
          <w:lang w:val="en-GB"/>
        </w:rPr>
        <w:t xml:space="preserve">expression </w:t>
      </w:r>
      <w:r w:rsidR="00E44978" w:rsidRPr="000922CE">
        <w:rPr>
          <w:lang w:val="en-GB"/>
        </w:rPr>
        <w:t>at a level</w:t>
      </w:r>
      <w:r w:rsidR="00E44978" w:rsidRPr="000922CE" w:rsidDel="009F310C">
        <w:rPr>
          <w:lang w:val="en-GB"/>
        </w:rPr>
        <w:t xml:space="preserve"> </w:t>
      </w:r>
      <w:r w:rsidR="00F92BD6" w:rsidRPr="000922CE">
        <w:rPr>
          <w:lang w:val="en-GB"/>
        </w:rPr>
        <w:t>of</w:t>
      </w:r>
      <w:r w:rsidRPr="000922CE" w:rsidDel="009F310C">
        <w:rPr>
          <w:lang w:val="en-GB"/>
        </w:rPr>
        <w:t xml:space="preserve"> 1%</w:t>
      </w:r>
      <w:r w:rsidR="004131DD" w:rsidRPr="000922CE">
        <w:rPr>
          <w:lang w:val="en-GB"/>
        </w:rPr>
        <w:t xml:space="preserve"> </w:t>
      </w:r>
      <w:r w:rsidRPr="000922CE" w:rsidDel="009F310C">
        <w:rPr>
          <w:lang w:val="en-GB"/>
        </w:rPr>
        <w:t xml:space="preserve">or more </w:t>
      </w:r>
      <w:r w:rsidR="004131DD" w:rsidRPr="000922CE">
        <w:rPr>
          <w:lang w:val="en-GB"/>
        </w:rPr>
        <w:t xml:space="preserve">and who have not </w:t>
      </w:r>
      <w:r w:rsidR="00F92BD6" w:rsidRPr="000922CE">
        <w:rPr>
          <w:lang w:val="en-GB"/>
        </w:rPr>
        <w:t>had</w:t>
      </w:r>
      <w:r w:rsidR="004131DD" w:rsidRPr="000922CE">
        <w:rPr>
          <w:lang w:val="en-GB"/>
        </w:rPr>
        <w:t xml:space="preserve"> </w:t>
      </w:r>
      <w:r w:rsidR="00E44978" w:rsidRPr="000922CE">
        <w:rPr>
          <w:lang w:val="en-GB"/>
        </w:rPr>
        <w:t xml:space="preserve">previous </w:t>
      </w:r>
      <w:r w:rsidR="004131DD" w:rsidRPr="000922CE">
        <w:rPr>
          <w:lang w:val="en-GB"/>
        </w:rPr>
        <w:t>chemotherapy for metastatic disease</w:t>
      </w:r>
      <w:r w:rsidRPr="009436A5" w:rsidDel="009F310C">
        <w:rPr>
          <w:lang w:val="en-GB"/>
        </w:rPr>
        <w:t>. Currently PD</w:t>
      </w:r>
      <w:r w:rsidR="003A7F61" w:rsidRPr="00620826">
        <w:rPr>
          <w:lang w:val="en-GB"/>
        </w:rPr>
        <w:noBreakHyphen/>
      </w:r>
      <w:r w:rsidRPr="009436A5" w:rsidDel="009F310C">
        <w:rPr>
          <w:lang w:val="en-GB"/>
        </w:rPr>
        <w:t>L1 testing is not part of routine clinical practice in triple</w:t>
      </w:r>
      <w:r w:rsidR="003A7F61" w:rsidRPr="00620826">
        <w:rPr>
          <w:lang w:val="en-GB"/>
        </w:rPr>
        <w:t>-</w:t>
      </w:r>
      <w:r w:rsidRPr="009436A5" w:rsidDel="009F310C">
        <w:rPr>
          <w:lang w:val="en-GB"/>
        </w:rPr>
        <w:t>negative breast cancer</w:t>
      </w:r>
      <w:r w:rsidR="00415C30" w:rsidRPr="00620826">
        <w:rPr>
          <w:lang w:val="en-GB"/>
        </w:rPr>
        <w:t>. H</w:t>
      </w:r>
      <w:r w:rsidRPr="009436A5" w:rsidDel="009F310C">
        <w:rPr>
          <w:lang w:val="en-GB"/>
        </w:rPr>
        <w:t>owever</w:t>
      </w:r>
      <w:r w:rsidR="00415C30" w:rsidRPr="00620826">
        <w:rPr>
          <w:lang w:val="en-GB"/>
        </w:rPr>
        <w:t>,</w:t>
      </w:r>
      <w:r w:rsidRPr="009436A5" w:rsidDel="009F310C">
        <w:rPr>
          <w:lang w:val="en-GB"/>
        </w:rPr>
        <w:t xml:space="preserve"> it is routinely carried out for </w:t>
      </w:r>
      <w:r w:rsidR="00415C30" w:rsidRPr="00620826">
        <w:rPr>
          <w:lang w:val="en-GB"/>
        </w:rPr>
        <w:t>people</w:t>
      </w:r>
      <w:r w:rsidR="00415C30" w:rsidRPr="00620826" w:rsidDel="009F310C">
        <w:rPr>
          <w:lang w:val="en-GB"/>
        </w:rPr>
        <w:t xml:space="preserve"> </w:t>
      </w:r>
      <w:r w:rsidRPr="009436A5" w:rsidDel="009F310C">
        <w:rPr>
          <w:lang w:val="en-GB"/>
        </w:rPr>
        <w:t>with other types of cancer</w:t>
      </w:r>
      <w:r w:rsidR="008B1B6A" w:rsidRPr="009436A5">
        <w:rPr>
          <w:lang w:val="en-GB"/>
        </w:rPr>
        <w:t xml:space="preserve"> such as </w:t>
      </w:r>
      <w:r w:rsidRPr="009436A5" w:rsidDel="009F310C">
        <w:rPr>
          <w:lang w:val="en-GB"/>
        </w:rPr>
        <w:t>non-small-cell lung cancer</w:t>
      </w:r>
      <w:r w:rsidR="00150219">
        <w:rPr>
          <w:lang w:val="en-GB"/>
        </w:rPr>
        <w:t xml:space="preserve"> and</w:t>
      </w:r>
      <w:r w:rsidR="00670A8A">
        <w:rPr>
          <w:lang w:val="en-GB"/>
        </w:rPr>
        <w:t xml:space="preserve"> urothelial ca</w:t>
      </w:r>
      <w:r w:rsidR="00AB41AA">
        <w:rPr>
          <w:lang w:val="en-GB"/>
        </w:rPr>
        <w:t>rcinoma</w:t>
      </w:r>
      <w:r w:rsidRPr="009436A5" w:rsidDel="009F310C">
        <w:rPr>
          <w:lang w:val="en-GB"/>
        </w:rPr>
        <w:t xml:space="preserve">. </w:t>
      </w:r>
      <w:r w:rsidR="00B13BDC" w:rsidRPr="009436A5">
        <w:rPr>
          <w:lang w:val="en-GB"/>
        </w:rPr>
        <w:t>The</w:t>
      </w:r>
      <w:r w:rsidR="003478F6" w:rsidRPr="009436A5">
        <w:rPr>
          <w:lang w:val="en-GB"/>
        </w:rPr>
        <w:t xml:space="preserve"> c</w:t>
      </w:r>
      <w:r w:rsidRPr="009436A5" w:rsidDel="009F310C">
        <w:rPr>
          <w:lang w:val="en-GB"/>
        </w:rPr>
        <w:t xml:space="preserve">linical experts and the </w:t>
      </w:r>
      <w:r w:rsidR="008B1B6A" w:rsidRPr="009436A5">
        <w:rPr>
          <w:lang w:val="en-GB"/>
        </w:rPr>
        <w:t xml:space="preserve">Cancer </w:t>
      </w:r>
      <w:r w:rsidR="008B1B6A" w:rsidRPr="009436A5">
        <w:rPr>
          <w:lang w:val="en-GB"/>
        </w:rPr>
        <w:lastRenderedPageBreak/>
        <w:t>Drugs Fund</w:t>
      </w:r>
      <w:r w:rsidRPr="009436A5" w:rsidDel="009F310C">
        <w:rPr>
          <w:lang w:val="en-GB"/>
        </w:rPr>
        <w:t xml:space="preserve"> clinical lead explained that </w:t>
      </w:r>
      <w:r w:rsidR="00F96728" w:rsidRPr="009436A5">
        <w:rPr>
          <w:lang w:val="en-GB"/>
        </w:rPr>
        <w:t>introducing</w:t>
      </w:r>
      <w:r w:rsidR="008B1B6A" w:rsidRPr="009436A5">
        <w:rPr>
          <w:lang w:val="en-GB"/>
        </w:rPr>
        <w:t xml:space="preserve"> PD</w:t>
      </w:r>
      <w:r w:rsidR="003A7F61" w:rsidRPr="00620826">
        <w:rPr>
          <w:lang w:val="en-GB"/>
        </w:rPr>
        <w:noBreakHyphen/>
      </w:r>
      <w:r w:rsidR="008B1B6A" w:rsidRPr="009436A5">
        <w:rPr>
          <w:lang w:val="en-GB"/>
        </w:rPr>
        <w:t xml:space="preserve">L1 testing for people with </w:t>
      </w:r>
      <w:r w:rsidR="00F96728" w:rsidRPr="009436A5">
        <w:rPr>
          <w:lang w:val="en-GB"/>
        </w:rPr>
        <w:t>triple</w:t>
      </w:r>
      <w:r w:rsidR="003A7F61" w:rsidRPr="00620826">
        <w:rPr>
          <w:lang w:val="en-GB"/>
        </w:rPr>
        <w:t>-</w:t>
      </w:r>
      <w:r w:rsidR="00F96728" w:rsidRPr="009436A5">
        <w:rPr>
          <w:lang w:val="en-GB"/>
        </w:rPr>
        <w:t>negative breast cancer would not be problematic</w:t>
      </w:r>
      <w:r w:rsidR="00415C30" w:rsidRPr="00620826">
        <w:rPr>
          <w:lang w:val="en-GB"/>
        </w:rPr>
        <w:t>,</w:t>
      </w:r>
      <w:r w:rsidR="00464E24" w:rsidRPr="009436A5">
        <w:rPr>
          <w:lang w:val="en-GB"/>
        </w:rPr>
        <w:t xml:space="preserve"> and that the currently used diagnostic tests </w:t>
      </w:r>
      <w:r w:rsidR="00B13BDC" w:rsidRPr="009436A5">
        <w:rPr>
          <w:lang w:val="en-GB"/>
        </w:rPr>
        <w:t>could be</w:t>
      </w:r>
      <w:r w:rsidR="00464E24" w:rsidRPr="009436A5">
        <w:rPr>
          <w:lang w:val="en-GB"/>
        </w:rPr>
        <w:t xml:space="preserve"> use</w:t>
      </w:r>
      <w:r w:rsidR="00B13BDC" w:rsidRPr="009436A5">
        <w:rPr>
          <w:lang w:val="en-GB"/>
        </w:rPr>
        <w:t>d</w:t>
      </w:r>
      <w:r w:rsidR="00464E24" w:rsidRPr="009436A5">
        <w:rPr>
          <w:lang w:val="en-GB"/>
        </w:rPr>
        <w:t>. A</w:t>
      </w:r>
      <w:r w:rsidR="003478F6" w:rsidRPr="009436A5">
        <w:rPr>
          <w:lang w:val="en-GB"/>
        </w:rPr>
        <w:t>lthough additional training and resources would be needed</w:t>
      </w:r>
      <w:r w:rsidR="00464E24" w:rsidRPr="009436A5">
        <w:rPr>
          <w:lang w:val="en-GB"/>
        </w:rPr>
        <w:t xml:space="preserve">, </w:t>
      </w:r>
      <w:r w:rsidR="00150219" w:rsidRPr="009436A5">
        <w:rPr>
          <w:lang w:val="en-GB"/>
        </w:rPr>
        <w:t>the testing would have</w:t>
      </w:r>
      <w:r w:rsidRPr="009436A5">
        <w:rPr>
          <w:lang w:val="en-GB"/>
        </w:rPr>
        <w:t xml:space="preserve"> </w:t>
      </w:r>
      <w:r w:rsidR="00415C30" w:rsidRPr="00620826">
        <w:rPr>
          <w:lang w:val="en-GB"/>
        </w:rPr>
        <w:t xml:space="preserve">a </w:t>
      </w:r>
      <w:r w:rsidRPr="009436A5" w:rsidDel="009F310C">
        <w:rPr>
          <w:lang w:val="en-GB"/>
        </w:rPr>
        <w:t>limited impact on the workflow in laboratories</w:t>
      </w:r>
      <w:r w:rsidRPr="009436A5">
        <w:rPr>
          <w:lang w:val="en-GB"/>
        </w:rPr>
        <w:t>.</w:t>
      </w:r>
      <w:r w:rsidRPr="009436A5" w:rsidDel="009F310C">
        <w:rPr>
          <w:lang w:val="en-GB"/>
        </w:rPr>
        <w:t xml:space="preserve"> </w:t>
      </w:r>
      <w:r w:rsidR="004131DD" w:rsidRPr="009436A5">
        <w:rPr>
          <w:lang w:val="en-GB"/>
        </w:rPr>
        <w:t xml:space="preserve">The committee concluded that </w:t>
      </w:r>
      <w:r w:rsidR="008C19B6" w:rsidRPr="009436A5">
        <w:rPr>
          <w:lang w:val="en-GB"/>
        </w:rPr>
        <w:t>there would be no major barriers to</w:t>
      </w:r>
      <w:r w:rsidR="004131DD" w:rsidRPr="009436A5">
        <w:rPr>
          <w:lang w:val="en-GB"/>
        </w:rPr>
        <w:t xml:space="preserve"> introducing PD</w:t>
      </w:r>
      <w:r w:rsidR="003A7F61" w:rsidRPr="00620826">
        <w:rPr>
          <w:lang w:val="en-GB"/>
        </w:rPr>
        <w:noBreakHyphen/>
      </w:r>
      <w:r w:rsidR="004131DD" w:rsidRPr="009436A5">
        <w:rPr>
          <w:lang w:val="en-GB"/>
        </w:rPr>
        <w:t xml:space="preserve">L1 testing in </w:t>
      </w:r>
      <w:r w:rsidR="00415C30" w:rsidRPr="00620826">
        <w:rPr>
          <w:lang w:val="en-GB"/>
        </w:rPr>
        <w:t xml:space="preserve">people </w:t>
      </w:r>
      <w:r w:rsidR="004131DD" w:rsidRPr="009436A5">
        <w:rPr>
          <w:lang w:val="en-GB"/>
        </w:rPr>
        <w:t>with triple</w:t>
      </w:r>
      <w:r w:rsidR="003A7F61" w:rsidRPr="00620826">
        <w:rPr>
          <w:lang w:val="en-GB"/>
        </w:rPr>
        <w:t>-</w:t>
      </w:r>
      <w:r w:rsidR="004131DD" w:rsidRPr="009436A5">
        <w:rPr>
          <w:lang w:val="en-GB"/>
        </w:rPr>
        <w:t>negative breast cancer.</w:t>
      </w:r>
    </w:p>
    <w:p w14:paraId="38972757" w14:textId="3BE05D84" w:rsidR="003F3793" w:rsidRDefault="003F3793" w:rsidP="003F3793">
      <w:pPr>
        <w:pStyle w:val="Heading2"/>
      </w:pPr>
      <w:r>
        <w:t>Appropriate comparators</w:t>
      </w:r>
    </w:p>
    <w:p w14:paraId="19CCF9EB" w14:textId="27879649" w:rsidR="003F3793" w:rsidRDefault="00E42A9D" w:rsidP="003F3793">
      <w:pPr>
        <w:pStyle w:val="Heading3"/>
      </w:pPr>
      <w:r>
        <w:t>W</w:t>
      </w:r>
      <w:r w:rsidR="003F3793">
        <w:t>eekly paclitaxel is the most relevant comparator</w:t>
      </w:r>
    </w:p>
    <w:p w14:paraId="7A917089" w14:textId="1AF6A6DA" w:rsidR="003F3793" w:rsidRPr="009436A5" w:rsidRDefault="003F3793" w:rsidP="003F3793">
      <w:pPr>
        <w:pStyle w:val="Numberedlevel2text"/>
        <w:rPr>
          <w:lang w:val="en-GB"/>
        </w:rPr>
      </w:pPr>
      <w:r w:rsidRPr="009436A5">
        <w:rPr>
          <w:lang w:val="en-GB"/>
        </w:rPr>
        <w:t xml:space="preserve">The final scope specified </w:t>
      </w:r>
      <w:r w:rsidR="001D09BB" w:rsidRPr="00620826">
        <w:rPr>
          <w:lang w:val="en-GB"/>
        </w:rPr>
        <w:t>2</w:t>
      </w:r>
      <w:r w:rsidR="00415C30" w:rsidRPr="00620826">
        <w:rPr>
          <w:lang w:val="en-GB"/>
        </w:rPr>
        <w:t> </w:t>
      </w:r>
      <w:r w:rsidRPr="009436A5">
        <w:rPr>
          <w:lang w:val="en-GB"/>
        </w:rPr>
        <w:t>groups of comparators</w:t>
      </w:r>
      <w:r w:rsidR="00ED53F9" w:rsidRPr="009436A5">
        <w:rPr>
          <w:lang w:val="en-GB"/>
        </w:rPr>
        <w:t xml:space="preserve">: </w:t>
      </w:r>
      <w:r w:rsidRPr="009436A5">
        <w:rPr>
          <w:lang w:val="en-GB"/>
        </w:rPr>
        <w:t>anthracycline-based chemotherapy and single</w:t>
      </w:r>
      <w:r w:rsidR="00AE4FA3">
        <w:rPr>
          <w:lang w:val="en-GB"/>
        </w:rPr>
        <w:t>-</w:t>
      </w:r>
      <w:r w:rsidRPr="009436A5">
        <w:rPr>
          <w:lang w:val="en-GB"/>
        </w:rPr>
        <w:t>agent taxane</w:t>
      </w:r>
      <w:r w:rsidR="00F2457B" w:rsidRPr="009436A5">
        <w:rPr>
          <w:lang w:val="en-GB"/>
        </w:rPr>
        <w:t>s</w:t>
      </w:r>
      <w:r w:rsidRPr="009436A5">
        <w:rPr>
          <w:lang w:val="en-GB"/>
        </w:rPr>
        <w:t xml:space="preserve"> (docetaxel and paclitaxel). The company did not present evidence </w:t>
      </w:r>
      <w:r w:rsidR="00415C30" w:rsidRPr="00620826">
        <w:rPr>
          <w:lang w:val="en-GB"/>
        </w:rPr>
        <w:t>comparing</w:t>
      </w:r>
      <w:r w:rsidRPr="009436A5">
        <w:rPr>
          <w:lang w:val="en-GB"/>
        </w:rPr>
        <w:t xml:space="preserve"> atezolizumab plus nab-paclitaxel with anthracycline-based chemotherapy</w:t>
      </w:r>
      <w:r w:rsidR="00415C30" w:rsidRPr="00620826">
        <w:rPr>
          <w:lang w:val="en-GB"/>
        </w:rPr>
        <w:t>. It said this was</w:t>
      </w:r>
      <w:r w:rsidRPr="009436A5">
        <w:rPr>
          <w:lang w:val="en-GB"/>
        </w:rPr>
        <w:t xml:space="preserve"> because most </w:t>
      </w:r>
      <w:r w:rsidR="00415C30" w:rsidRPr="00620826">
        <w:rPr>
          <w:lang w:val="en-GB"/>
        </w:rPr>
        <w:t xml:space="preserve">people </w:t>
      </w:r>
      <w:r w:rsidR="00E42A9D" w:rsidRPr="009436A5">
        <w:rPr>
          <w:lang w:val="en-GB"/>
        </w:rPr>
        <w:t>have</w:t>
      </w:r>
      <w:r w:rsidRPr="009436A5">
        <w:rPr>
          <w:lang w:val="en-GB"/>
        </w:rPr>
        <w:t xml:space="preserve"> anthracycline treatment </w:t>
      </w:r>
      <w:r w:rsidR="00CD657F" w:rsidRPr="009436A5">
        <w:rPr>
          <w:lang w:val="en-GB"/>
        </w:rPr>
        <w:t xml:space="preserve">for </w:t>
      </w:r>
      <w:r w:rsidRPr="009436A5">
        <w:rPr>
          <w:lang w:val="en-GB"/>
        </w:rPr>
        <w:t>early breast cancer</w:t>
      </w:r>
      <w:r w:rsidR="00AE4FA3">
        <w:rPr>
          <w:lang w:val="en-GB"/>
        </w:rPr>
        <w:t>,</w:t>
      </w:r>
      <w:r w:rsidRPr="009436A5">
        <w:rPr>
          <w:lang w:val="en-GB"/>
        </w:rPr>
        <w:t xml:space="preserve"> and </w:t>
      </w:r>
      <w:r w:rsidR="00AE4FA3">
        <w:rPr>
          <w:lang w:val="en-GB"/>
        </w:rPr>
        <w:t xml:space="preserve">they </w:t>
      </w:r>
      <w:r w:rsidRPr="009436A5">
        <w:rPr>
          <w:lang w:val="en-GB"/>
        </w:rPr>
        <w:t xml:space="preserve">are unlikely to be eligible for re-treatment </w:t>
      </w:r>
      <w:r w:rsidR="00CD657F" w:rsidRPr="009436A5">
        <w:rPr>
          <w:lang w:val="en-GB"/>
        </w:rPr>
        <w:t xml:space="preserve">at an advanced stage </w:t>
      </w:r>
      <w:r w:rsidR="00F2457B" w:rsidRPr="009436A5">
        <w:rPr>
          <w:lang w:val="en-GB"/>
        </w:rPr>
        <w:t>because anthracyclines have a lifetime maximum cumulative dose</w:t>
      </w:r>
      <w:r w:rsidRPr="009436A5">
        <w:rPr>
          <w:lang w:val="en-GB"/>
        </w:rPr>
        <w:t xml:space="preserve">. Clinical experts explained that </w:t>
      </w:r>
      <w:r w:rsidR="008C19B6" w:rsidRPr="009436A5">
        <w:rPr>
          <w:lang w:val="en-GB"/>
        </w:rPr>
        <w:t>there is no standard of care</w:t>
      </w:r>
      <w:r w:rsidRPr="009436A5">
        <w:rPr>
          <w:lang w:val="en-US"/>
        </w:rPr>
        <w:t xml:space="preserve"> in </w:t>
      </w:r>
      <w:r w:rsidRPr="009436A5">
        <w:rPr>
          <w:lang w:val="en-GB"/>
        </w:rPr>
        <w:t>triple</w:t>
      </w:r>
      <w:r w:rsidR="003A7F61" w:rsidRPr="00620826">
        <w:rPr>
          <w:lang w:val="en-GB"/>
        </w:rPr>
        <w:t>-</w:t>
      </w:r>
      <w:r w:rsidRPr="009436A5">
        <w:rPr>
          <w:lang w:val="en-US"/>
        </w:rPr>
        <w:t xml:space="preserve">negative </w:t>
      </w:r>
      <w:r w:rsidRPr="009436A5">
        <w:rPr>
          <w:lang w:val="en-GB"/>
        </w:rPr>
        <w:t xml:space="preserve">breast </w:t>
      </w:r>
      <w:r w:rsidR="00956129">
        <w:rPr>
          <w:lang w:val="en-US"/>
        </w:rPr>
        <w:t>advanced</w:t>
      </w:r>
      <w:r w:rsidR="00956129" w:rsidRPr="009436A5">
        <w:rPr>
          <w:lang w:val="en-GB"/>
        </w:rPr>
        <w:t xml:space="preserve"> </w:t>
      </w:r>
      <w:r w:rsidRPr="009436A5">
        <w:rPr>
          <w:lang w:val="en-GB"/>
        </w:rPr>
        <w:t>cancer</w:t>
      </w:r>
      <w:r w:rsidR="001D09BB" w:rsidRPr="00620826">
        <w:rPr>
          <w:lang w:val="en-GB"/>
        </w:rPr>
        <w:t>,</w:t>
      </w:r>
      <w:r w:rsidR="008C19B6" w:rsidRPr="009436A5">
        <w:rPr>
          <w:lang w:val="en-GB"/>
        </w:rPr>
        <w:t xml:space="preserve"> but</w:t>
      </w:r>
      <w:r w:rsidRPr="009436A5">
        <w:rPr>
          <w:lang w:val="en-GB"/>
        </w:rPr>
        <w:t xml:space="preserve"> the most commonly used treatments are taxanes, particularly </w:t>
      </w:r>
      <w:r w:rsidR="009A1E4A" w:rsidRPr="009436A5">
        <w:rPr>
          <w:lang w:val="en-GB"/>
        </w:rPr>
        <w:t xml:space="preserve">weekly </w:t>
      </w:r>
      <w:r w:rsidRPr="009436A5">
        <w:rPr>
          <w:lang w:val="en-GB"/>
        </w:rPr>
        <w:t>paclitaxel</w:t>
      </w:r>
      <w:r w:rsidR="00415C30" w:rsidRPr="00620826">
        <w:rPr>
          <w:lang w:val="en-GB"/>
        </w:rPr>
        <w:t>. This is used</w:t>
      </w:r>
      <w:r w:rsidR="008923D6" w:rsidRPr="009436A5">
        <w:rPr>
          <w:lang w:val="en-GB"/>
        </w:rPr>
        <w:t xml:space="preserve"> </w:t>
      </w:r>
      <w:r w:rsidR="00F2457B" w:rsidRPr="009436A5">
        <w:rPr>
          <w:lang w:val="en-GB"/>
        </w:rPr>
        <w:t>because it</w:t>
      </w:r>
      <w:r w:rsidR="008923D6" w:rsidRPr="009436A5">
        <w:rPr>
          <w:lang w:val="en-GB"/>
        </w:rPr>
        <w:t xml:space="preserve"> has a more favourable toxicity profile than docetaxel</w:t>
      </w:r>
      <w:r w:rsidR="00415C30" w:rsidRPr="00620826">
        <w:rPr>
          <w:lang w:val="en-GB"/>
        </w:rPr>
        <w:t>, so people</w:t>
      </w:r>
      <w:r w:rsidR="00F26971" w:rsidRPr="009436A5">
        <w:rPr>
          <w:lang w:val="en-GB"/>
        </w:rPr>
        <w:t xml:space="preserve"> are able </w:t>
      </w:r>
      <w:r w:rsidR="007A0C0F" w:rsidRPr="009436A5">
        <w:rPr>
          <w:lang w:val="en-GB"/>
        </w:rPr>
        <w:t>tolerate treatment</w:t>
      </w:r>
      <w:r w:rsidR="00415C30" w:rsidRPr="00620826">
        <w:rPr>
          <w:lang w:val="en-GB"/>
        </w:rPr>
        <w:t>,</w:t>
      </w:r>
      <w:r w:rsidR="007A0C0F" w:rsidRPr="009436A5">
        <w:rPr>
          <w:lang w:val="en-GB"/>
        </w:rPr>
        <w:t xml:space="preserve"> and maintain</w:t>
      </w:r>
      <w:r w:rsidR="00F26971" w:rsidRPr="009436A5">
        <w:rPr>
          <w:lang w:val="en-GB"/>
        </w:rPr>
        <w:t xml:space="preserve"> </w:t>
      </w:r>
      <w:r w:rsidR="00415C30" w:rsidRPr="00620826">
        <w:rPr>
          <w:lang w:val="en-GB"/>
        </w:rPr>
        <w:t xml:space="preserve">a </w:t>
      </w:r>
      <w:r w:rsidR="00F26971" w:rsidRPr="009436A5">
        <w:rPr>
          <w:lang w:val="en-GB"/>
        </w:rPr>
        <w:t>treatment response</w:t>
      </w:r>
      <w:r w:rsidR="00415C30" w:rsidRPr="00620826">
        <w:rPr>
          <w:lang w:val="en-GB"/>
        </w:rPr>
        <w:t>,</w:t>
      </w:r>
      <w:r w:rsidR="00F26971" w:rsidRPr="009436A5">
        <w:rPr>
          <w:lang w:val="en-GB"/>
        </w:rPr>
        <w:t xml:space="preserve"> for longer</w:t>
      </w:r>
      <w:r w:rsidR="008923D6" w:rsidRPr="009436A5">
        <w:rPr>
          <w:lang w:val="en-GB"/>
        </w:rPr>
        <w:t>.</w:t>
      </w:r>
      <w:r w:rsidR="00C52ADE" w:rsidRPr="009436A5">
        <w:rPr>
          <w:lang w:val="en-GB"/>
        </w:rPr>
        <w:t xml:space="preserve"> </w:t>
      </w:r>
      <w:r w:rsidR="008923D6" w:rsidRPr="009436A5">
        <w:rPr>
          <w:lang w:val="en-GB"/>
        </w:rPr>
        <w:t>The clinical experts</w:t>
      </w:r>
      <w:r w:rsidR="00C52ADE" w:rsidRPr="009436A5">
        <w:rPr>
          <w:lang w:val="en-GB"/>
        </w:rPr>
        <w:t xml:space="preserve"> agreed </w:t>
      </w:r>
      <w:r w:rsidR="008923D6" w:rsidRPr="009436A5">
        <w:rPr>
          <w:lang w:val="en-GB"/>
        </w:rPr>
        <w:t xml:space="preserve">with the company </w:t>
      </w:r>
      <w:r w:rsidR="00C52ADE" w:rsidRPr="009436A5">
        <w:rPr>
          <w:lang w:val="en-GB"/>
        </w:rPr>
        <w:t xml:space="preserve">that anthracycline-based chemotherapy regimens are </w:t>
      </w:r>
      <w:r w:rsidR="008923D6" w:rsidRPr="009436A5">
        <w:rPr>
          <w:lang w:val="en-GB"/>
        </w:rPr>
        <w:t>not commonly</w:t>
      </w:r>
      <w:r w:rsidR="00C52ADE" w:rsidRPr="009436A5">
        <w:rPr>
          <w:lang w:val="en-GB"/>
        </w:rPr>
        <w:t xml:space="preserve"> used</w:t>
      </w:r>
      <w:r w:rsidR="008923D6" w:rsidRPr="009436A5">
        <w:rPr>
          <w:lang w:val="en-GB"/>
        </w:rPr>
        <w:t xml:space="preserve"> </w:t>
      </w:r>
      <w:r w:rsidR="00AE4FA3">
        <w:rPr>
          <w:lang w:val="en-GB"/>
        </w:rPr>
        <w:t>for</w:t>
      </w:r>
      <w:r w:rsidR="00AE4FA3" w:rsidRPr="009436A5">
        <w:rPr>
          <w:lang w:val="en-GB"/>
        </w:rPr>
        <w:t xml:space="preserve"> </w:t>
      </w:r>
      <w:r w:rsidR="008923D6" w:rsidRPr="009436A5">
        <w:rPr>
          <w:lang w:val="en-GB"/>
        </w:rPr>
        <w:t xml:space="preserve">advanced </w:t>
      </w:r>
      <w:r w:rsidR="00415C30" w:rsidRPr="00620826">
        <w:rPr>
          <w:lang w:val="en-GB"/>
        </w:rPr>
        <w:t>breast cancer</w:t>
      </w:r>
      <w:r w:rsidRPr="009436A5">
        <w:rPr>
          <w:lang w:val="en-GB"/>
        </w:rPr>
        <w:t>.</w:t>
      </w:r>
      <w:r w:rsidR="00C52ADE" w:rsidRPr="009436A5">
        <w:rPr>
          <w:lang w:val="en-GB"/>
        </w:rPr>
        <w:t xml:space="preserve"> The committee concluded that weekly paclitaxel is the most relevant comparator.</w:t>
      </w:r>
    </w:p>
    <w:p w14:paraId="1CEE9010" w14:textId="63979F8A" w:rsidR="008923D6" w:rsidRPr="00CC7CF7" w:rsidRDefault="008923D6" w:rsidP="008923D6">
      <w:pPr>
        <w:pStyle w:val="Heading3"/>
      </w:pPr>
      <w:r>
        <w:t xml:space="preserve">Nab-paclitaxel </w:t>
      </w:r>
      <w:r w:rsidR="005F3C5E">
        <w:t>has</w:t>
      </w:r>
      <w:r w:rsidR="005F3C5E" w:rsidRPr="00CC7CF7">
        <w:t xml:space="preserve"> similar efficacy to weekly paclitaxel and docetaxel</w:t>
      </w:r>
    </w:p>
    <w:p w14:paraId="3D8210CC" w14:textId="26B17F51" w:rsidR="006E75E7" w:rsidRPr="00DF19B2" w:rsidRDefault="005F3C5E" w:rsidP="007A0C0F">
      <w:pPr>
        <w:pStyle w:val="Numberedlevel2text"/>
        <w:rPr>
          <w:lang w:val="en-GB"/>
        </w:rPr>
      </w:pPr>
      <w:bookmarkStart w:id="2" w:name="_Ref19114352"/>
      <w:r w:rsidRPr="00807E04">
        <w:rPr>
          <w:lang w:val="en-GB"/>
        </w:rPr>
        <w:t xml:space="preserve">The clinical experts </w:t>
      </w:r>
      <w:r w:rsidR="00415C30" w:rsidRPr="00620826">
        <w:rPr>
          <w:lang w:val="en-GB"/>
        </w:rPr>
        <w:t>explained</w:t>
      </w:r>
      <w:r w:rsidRPr="00620826">
        <w:rPr>
          <w:lang w:val="en-GB"/>
        </w:rPr>
        <w:t xml:space="preserve"> </w:t>
      </w:r>
      <w:r w:rsidRPr="00807E04">
        <w:rPr>
          <w:lang w:val="en-GB"/>
        </w:rPr>
        <w:t xml:space="preserve">that nab-paclitaxel (the form of paclitaxel used in the trial </w:t>
      </w:r>
      <w:r w:rsidR="00057C8A">
        <w:rPr>
          <w:lang w:val="en-GB"/>
        </w:rPr>
        <w:t>in both</w:t>
      </w:r>
      <w:r w:rsidR="00057C8A" w:rsidRPr="00807E04">
        <w:rPr>
          <w:lang w:val="en-GB"/>
        </w:rPr>
        <w:t xml:space="preserve"> </w:t>
      </w:r>
      <w:r w:rsidRPr="00807E04">
        <w:rPr>
          <w:lang w:val="en-GB"/>
        </w:rPr>
        <w:t>the</w:t>
      </w:r>
      <w:r w:rsidR="00057C8A">
        <w:rPr>
          <w:lang w:val="en-GB"/>
        </w:rPr>
        <w:t xml:space="preserve"> intervention and</w:t>
      </w:r>
      <w:r w:rsidRPr="00807E04">
        <w:rPr>
          <w:lang w:val="en-GB"/>
        </w:rPr>
        <w:t xml:space="preserve"> comparator</w:t>
      </w:r>
      <w:r w:rsidR="00057C8A">
        <w:rPr>
          <w:lang w:val="en-GB"/>
        </w:rPr>
        <w:t xml:space="preserve"> arms</w:t>
      </w:r>
      <w:r w:rsidRPr="00807E04">
        <w:rPr>
          <w:lang w:val="en-GB"/>
        </w:rPr>
        <w:t>, see section</w:t>
      </w:r>
      <w:r w:rsidR="00415C30" w:rsidRPr="00620826">
        <w:rPr>
          <w:lang w:val="en-GB"/>
        </w:rPr>
        <w:t> </w:t>
      </w:r>
      <w:r w:rsidR="00A37522">
        <w:rPr>
          <w:lang w:val="en-GB"/>
        </w:rPr>
        <w:t>3.6</w:t>
      </w:r>
      <w:r w:rsidRPr="00807E04">
        <w:rPr>
          <w:lang w:val="en-GB"/>
        </w:rPr>
        <w:t xml:space="preserve">) is not </w:t>
      </w:r>
      <w:r w:rsidR="006203AE">
        <w:rPr>
          <w:lang w:val="en-GB"/>
        </w:rPr>
        <w:t>routinely</w:t>
      </w:r>
      <w:r w:rsidRPr="00807E04">
        <w:rPr>
          <w:lang w:val="en-GB"/>
        </w:rPr>
        <w:t xml:space="preserve"> use</w:t>
      </w:r>
      <w:r w:rsidR="008B1B6A">
        <w:rPr>
          <w:lang w:val="en-GB"/>
        </w:rPr>
        <w:t>d</w:t>
      </w:r>
      <w:r w:rsidRPr="00807E04">
        <w:rPr>
          <w:lang w:val="en-GB"/>
        </w:rPr>
        <w:t xml:space="preserve"> in UK clinical practice. </w:t>
      </w:r>
      <w:r w:rsidR="006203AE">
        <w:rPr>
          <w:lang w:val="en-GB"/>
        </w:rPr>
        <w:t xml:space="preserve">However, it is </w:t>
      </w:r>
      <w:r w:rsidR="00EA5C74">
        <w:rPr>
          <w:lang w:val="en-GB"/>
        </w:rPr>
        <w:lastRenderedPageBreak/>
        <w:t xml:space="preserve">considered to be </w:t>
      </w:r>
      <w:r w:rsidR="006203AE">
        <w:rPr>
          <w:lang w:val="en-GB"/>
        </w:rPr>
        <w:t xml:space="preserve">broadly </w:t>
      </w:r>
      <w:r w:rsidR="00EA5C74">
        <w:rPr>
          <w:lang w:val="en-GB"/>
        </w:rPr>
        <w:t xml:space="preserve">equivalent to the </w:t>
      </w:r>
      <w:r w:rsidR="006203AE">
        <w:rPr>
          <w:lang w:val="en-GB"/>
        </w:rPr>
        <w:t>taxanes</w:t>
      </w:r>
      <w:r w:rsidR="00EA5C74">
        <w:rPr>
          <w:lang w:val="en-GB"/>
        </w:rPr>
        <w:t xml:space="preserve"> </w:t>
      </w:r>
      <w:r w:rsidR="00076EDC">
        <w:rPr>
          <w:lang w:val="en-GB"/>
        </w:rPr>
        <w:t xml:space="preserve">currently </w:t>
      </w:r>
      <w:r w:rsidR="00EA5C74">
        <w:rPr>
          <w:lang w:val="en-GB"/>
        </w:rPr>
        <w:t>in routine use</w:t>
      </w:r>
      <w:r w:rsidR="006203AE">
        <w:rPr>
          <w:lang w:val="en-GB"/>
        </w:rPr>
        <w:t xml:space="preserve"> and may be used when </w:t>
      </w:r>
      <w:r w:rsidR="00415C30" w:rsidRPr="00620826">
        <w:rPr>
          <w:lang w:val="en-GB"/>
        </w:rPr>
        <w:t xml:space="preserve">people </w:t>
      </w:r>
      <w:r w:rsidR="006203AE" w:rsidRPr="00DF19B2">
        <w:rPr>
          <w:lang w:val="en-GB"/>
        </w:rPr>
        <w:t>develop hypersensitivity to</w:t>
      </w:r>
      <w:r w:rsidR="00057C8A">
        <w:rPr>
          <w:lang w:val="en-GB"/>
        </w:rPr>
        <w:t xml:space="preserve"> the conventional formulations of</w:t>
      </w:r>
      <w:r w:rsidR="006203AE">
        <w:rPr>
          <w:lang w:val="en-GB"/>
        </w:rPr>
        <w:t xml:space="preserve"> paclitaxel </w:t>
      </w:r>
      <w:r w:rsidR="00076EDC">
        <w:rPr>
          <w:lang w:val="en-GB"/>
        </w:rPr>
        <w:t xml:space="preserve">or </w:t>
      </w:r>
      <w:r w:rsidR="006203AE">
        <w:rPr>
          <w:lang w:val="en-GB"/>
        </w:rPr>
        <w:t>docetaxel</w:t>
      </w:r>
      <w:r w:rsidR="00F07131">
        <w:rPr>
          <w:lang w:val="en-GB"/>
        </w:rPr>
        <w:t xml:space="preserve">. </w:t>
      </w:r>
      <w:r w:rsidR="00EA5C74">
        <w:rPr>
          <w:lang w:val="en-GB"/>
        </w:rPr>
        <w:t>T</w:t>
      </w:r>
      <w:r w:rsidR="00807E04">
        <w:rPr>
          <w:lang w:val="en-GB"/>
        </w:rPr>
        <w:t xml:space="preserve">he clinical experts explained that </w:t>
      </w:r>
      <w:r w:rsidR="00807E04" w:rsidRPr="00807E04">
        <w:rPr>
          <w:lang w:val="en-GB"/>
        </w:rPr>
        <w:t>nab-paclitaxel</w:t>
      </w:r>
      <w:r w:rsidR="00807E04">
        <w:rPr>
          <w:lang w:val="en-GB"/>
        </w:rPr>
        <w:t xml:space="preserve"> </w:t>
      </w:r>
      <w:r w:rsidR="00076EDC">
        <w:rPr>
          <w:lang w:val="en-GB"/>
        </w:rPr>
        <w:t>gives</w:t>
      </w:r>
      <w:r w:rsidR="00076EDC" w:rsidRPr="00DF19B2">
        <w:rPr>
          <w:lang w:val="en-GB"/>
        </w:rPr>
        <w:t xml:space="preserve"> </w:t>
      </w:r>
      <w:r w:rsidR="004E43AF" w:rsidRPr="00DF19B2">
        <w:rPr>
          <w:lang w:val="en-GB"/>
        </w:rPr>
        <w:t>similar results</w:t>
      </w:r>
      <w:r w:rsidR="004E43AF">
        <w:rPr>
          <w:lang w:val="en-GB"/>
        </w:rPr>
        <w:t xml:space="preserve"> compared with weekly paclitaxel</w:t>
      </w:r>
      <w:r w:rsidR="00EA5C74">
        <w:rPr>
          <w:lang w:val="en-GB"/>
        </w:rPr>
        <w:t>,</w:t>
      </w:r>
      <w:r w:rsidR="004E43AF" w:rsidRPr="00DF19B2">
        <w:rPr>
          <w:lang w:val="en-GB"/>
        </w:rPr>
        <w:t xml:space="preserve"> </w:t>
      </w:r>
      <w:r w:rsidR="00EA5C74">
        <w:rPr>
          <w:lang w:val="en-GB"/>
        </w:rPr>
        <w:t xml:space="preserve">although </w:t>
      </w:r>
      <w:r w:rsidR="004E43AF">
        <w:rPr>
          <w:lang w:val="en-GB"/>
        </w:rPr>
        <w:t>it</w:t>
      </w:r>
      <w:r w:rsidR="004E43AF" w:rsidRPr="00DF19B2">
        <w:rPr>
          <w:lang w:val="en-GB"/>
        </w:rPr>
        <w:t xml:space="preserve"> </w:t>
      </w:r>
      <w:r w:rsidR="00504B66">
        <w:rPr>
          <w:lang w:val="en-GB"/>
        </w:rPr>
        <w:t xml:space="preserve">delivers </w:t>
      </w:r>
      <w:r w:rsidR="004E43AF" w:rsidRPr="00DF19B2">
        <w:rPr>
          <w:lang w:val="en-GB"/>
        </w:rPr>
        <w:t>a slightly higher dose of paclitaxel</w:t>
      </w:r>
      <w:r w:rsidR="00504B66">
        <w:rPr>
          <w:lang w:val="en-GB"/>
        </w:rPr>
        <w:t xml:space="preserve"> </w:t>
      </w:r>
      <w:r w:rsidR="00EA5C74">
        <w:rPr>
          <w:lang w:val="en-GB"/>
        </w:rPr>
        <w:t xml:space="preserve">to the tissue </w:t>
      </w:r>
      <w:r w:rsidR="00504B66">
        <w:rPr>
          <w:lang w:val="en-GB"/>
        </w:rPr>
        <w:t>because of its formulation.</w:t>
      </w:r>
      <w:r w:rsidR="00F30FF0">
        <w:rPr>
          <w:lang w:val="en-GB"/>
        </w:rPr>
        <w:t xml:space="preserve"> The </w:t>
      </w:r>
      <w:r w:rsidR="009E0223">
        <w:rPr>
          <w:lang w:val="en-GB"/>
        </w:rPr>
        <w:t xml:space="preserve">licensing </w:t>
      </w:r>
      <w:r w:rsidR="00F30FF0">
        <w:rPr>
          <w:lang w:val="en-GB"/>
        </w:rPr>
        <w:t xml:space="preserve">studies for nab-paclitaxel </w:t>
      </w:r>
      <w:r w:rsidR="00AE4FA3">
        <w:rPr>
          <w:lang w:val="en-GB"/>
        </w:rPr>
        <w:t xml:space="preserve">showed no </w:t>
      </w:r>
      <w:proofErr w:type="gramStart"/>
      <w:r w:rsidR="00F30FF0">
        <w:rPr>
          <w:lang w:val="en-GB"/>
        </w:rPr>
        <w:t>statistically</w:t>
      </w:r>
      <w:r w:rsidR="00AE4FA3">
        <w:rPr>
          <w:lang w:val="en-GB"/>
        </w:rPr>
        <w:t>-</w:t>
      </w:r>
      <w:r w:rsidR="00F30FF0">
        <w:rPr>
          <w:lang w:val="en-GB"/>
        </w:rPr>
        <w:t>significant</w:t>
      </w:r>
      <w:proofErr w:type="gramEnd"/>
      <w:r w:rsidR="00F30FF0">
        <w:rPr>
          <w:lang w:val="en-GB"/>
        </w:rPr>
        <w:t xml:space="preserve"> difference </w:t>
      </w:r>
      <w:r w:rsidR="009E0223">
        <w:rPr>
          <w:lang w:val="en-GB"/>
        </w:rPr>
        <w:t xml:space="preserve">in progression-free survival or overall survival </w:t>
      </w:r>
      <w:r w:rsidR="00F30FF0">
        <w:rPr>
          <w:lang w:val="en-GB"/>
        </w:rPr>
        <w:t>between paclitaxel and nab-paclitaxel</w:t>
      </w:r>
      <w:r w:rsidR="009E0223">
        <w:rPr>
          <w:lang w:val="en-GB"/>
        </w:rPr>
        <w:t xml:space="preserve"> in patients </w:t>
      </w:r>
      <w:r w:rsidR="00AE4FA3">
        <w:rPr>
          <w:lang w:val="en-GB"/>
        </w:rPr>
        <w:t>having</w:t>
      </w:r>
      <w:r w:rsidR="009E0223">
        <w:rPr>
          <w:lang w:val="en-GB"/>
        </w:rPr>
        <w:t xml:space="preserve"> their first treatment for metastatic breast cancer</w:t>
      </w:r>
      <w:r w:rsidR="00F30FF0">
        <w:rPr>
          <w:lang w:val="en-GB"/>
        </w:rPr>
        <w:t>.</w:t>
      </w:r>
      <w:r w:rsidR="00504B66">
        <w:rPr>
          <w:lang w:val="en-GB"/>
        </w:rPr>
        <w:t xml:space="preserve"> </w:t>
      </w:r>
      <w:r w:rsidR="00076EDC">
        <w:rPr>
          <w:lang w:val="en-GB"/>
        </w:rPr>
        <w:t xml:space="preserve">In terms of overall survival, </w:t>
      </w:r>
      <w:r w:rsidR="001D09BB" w:rsidRPr="00620826">
        <w:rPr>
          <w:lang w:val="en-GB"/>
        </w:rPr>
        <w:t>1 </w:t>
      </w:r>
      <w:r w:rsidR="00EA5C74">
        <w:rPr>
          <w:lang w:val="en-GB"/>
        </w:rPr>
        <w:t xml:space="preserve">clinical expert expected there to be no difference in survival outcomes between weekly paclitaxel and </w:t>
      </w:r>
      <w:r w:rsidR="00D914E6">
        <w:rPr>
          <w:lang w:val="en-GB"/>
        </w:rPr>
        <w:t>n</w:t>
      </w:r>
      <w:r w:rsidR="00EA5C74">
        <w:rPr>
          <w:lang w:val="en-GB"/>
        </w:rPr>
        <w:t>ab</w:t>
      </w:r>
      <w:r w:rsidR="00D914E6">
        <w:rPr>
          <w:lang w:val="en-GB"/>
        </w:rPr>
        <w:t>-</w:t>
      </w:r>
      <w:r w:rsidR="00EA5C74">
        <w:rPr>
          <w:lang w:val="en-GB"/>
        </w:rPr>
        <w:t xml:space="preserve">paclitaxel </w:t>
      </w:r>
      <w:r w:rsidR="00BC269E" w:rsidRPr="00620826">
        <w:rPr>
          <w:lang w:val="en-GB"/>
        </w:rPr>
        <w:t xml:space="preserve">and </w:t>
      </w:r>
      <w:r w:rsidR="00EA5C74">
        <w:rPr>
          <w:lang w:val="en-GB"/>
        </w:rPr>
        <w:t xml:space="preserve">the other </w:t>
      </w:r>
      <w:r w:rsidR="00AE4FA3">
        <w:rPr>
          <w:lang w:val="en-GB"/>
        </w:rPr>
        <w:t xml:space="preserve">expert </w:t>
      </w:r>
      <w:r w:rsidR="00EA5C74">
        <w:rPr>
          <w:lang w:val="en-GB"/>
        </w:rPr>
        <w:t>considered that</w:t>
      </w:r>
      <w:r w:rsidR="00BC269E" w:rsidRPr="00620826">
        <w:rPr>
          <w:lang w:val="en-GB"/>
        </w:rPr>
        <w:t>,</w:t>
      </w:r>
      <w:r w:rsidR="00EA5C74">
        <w:rPr>
          <w:lang w:val="en-GB"/>
        </w:rPr>
        <w:t xml:space="preserve"> if any difference </w:t>
      </w:r>
      <w:r w:rsidR="00AE4FA3">
        <w:rPr>
          <w:lang w:val="en-GB"/>
        </w:rPr>
        <w:t xml:space="preserve">exists </w:t>
      </w:r>
      <w:r w:rsidR="00EA5C74">
        <w:rPr>
          <w:lang w:val="en-GB"/>
        </w:rPr>
        <w:t xml:space="preserve">at all, it would be marginal. </w:t>
      </w:r>
      <w:r w:rsidR="00807E04" w:rsidRPr="00DF19B2">
        <w:rPr>
          <w:lang w:val="en-GB"/>
        </w:rPr>
        <w:t>The committee concluded that nab-paclitaxel</w:t>
      </w:r>
      <w:r w:rsidR="00424808">
        <w:rPr>
          <w:lang w:val="en-GB"/>
        </w:rPr>
        <w:t xml:space="preserve"> </w:t>
      </w:r>
      <w:r w:rsidR="004E43AF">
        <w:rPr>
          <w:lang w:val="en-GB"/>
        </w:rPr>
        <w:t>and weekly paclitaxel have</w:t>
      </w:r>
      <w:r w:rsidR="00424808" w:rsidRPr="00DF19B2">
        <w:rPr>
          <w:lang w:val="en-GB"/>
        </w:rPr>
        <w:t xml:space="preserve"> </w:t>
      </w:r>
      <w:r w:rsidR="004E43AF" w:rsidRPr="00DF19B2">
        <w:rPr>
          <w:lang w:val="en-GB"/>
        </w:rPr>
        <w:t xml:space="preserve">broadly </w:t>
      </w:r>
      <w:r w:rsidR="00424808" w:rsidRPr="00DF19B2">
        <w:rPr>
          <w:lang w:val="en-GB"/>
        </w:rPr>
        <w:t xml:space="preserve">similar efficacy </w:t>
      </w:r>
      <w:r w:rsidR="004E43AF" w:rsidRPr="00DF19B2">
        <w:rPr>
          <w:lang w:val="en-GB"/>
        </w:rPr>
        <w:t>in advanced breast cancer</w:t>
      </w:r>
      <w:r w:rsidR="00424808" w:rsidRPr="00DF19B2">
        <w:rPr>
          <w:lang w:val="en-GB"/>
        </w:rPr>
        <w:t>.</w:t>
      </w:r>
      <w:bookmarkEnd w:id="2"/>
    </w:p>
    <w:p w14:paraId="1244862D" w14:textId="48E7D2AB" w:rsidR="00643582" w:rsidRDefault="005818C3" w:rsidP="00643582">
      <w:pPr>
        <w:pStyle w:val="Heading2"/>
      </w:pPr>
      <w:r>
        <w:t>C</w:t>
      </w:r>
      <w:r w:rsidR="00D55040">
        <w:t>linical trial evidence</w:t>
      </w:r>
      <w:r>
        <w:t xml:space="preserve"> from </w:t>
      </w:r>
      <w:r w:rsidR="000D5299">
        <w:t>IMpassion130</w:t>
      </w:r>
    </w:p>
    <w:p w14:paraId="30D8759F" w14:textId="77777777" w:rsidR="00C54A34" w:rsidRDefault="00C54A34" w:rsidP="00C54A34">
      <w:pPr>
        <w:pStyle w:val="Heading3"/>
      </w:pPr>
      <w:r>
        <w:t>The results of IMpassion130 are generalisable to UK clinical practice</w:t>
      </w:r>
    </w:p>
    <w:p w14:paraId="22DEB59C" w14:textId="41D7033B" w:rsidR="00B82328" w:rsidRPr="00A51D26" w:rsidRDefault="0089638F" w:rsidP="00A00F6F">
      <w:pPr>
        <w:pStyle w:val="Numberedlevel2text"/>
        <w:rPr>
          <w:lang w:val="en-GB"/>
        </w:rPr>
      </w:pPr>
      <w:bookmarkStart w:id="3" w:name="_Ref19111390"/>
      <w:r w:rsidRPr="00490676">
        <w:rPr>
          <w:lang w:val="en-GB"/>
        </w:rPr>
        <w:t xml:space="preserve">IMpassion130 is a double-blind randomised clinical trial </w:t>
      </w:r>
      <w:r w:rsidR="007C4B0D" w:rsidRPr="00620826">
        <w:rPr>
          <w:lang w:val="en-GB"/>
        </w:rPr>
        <w:t xml:space="preserve">comparing </w:t>
      </w:r>
      <w:r w:rsidRPr="00490676">
        <w:rPr>
          <w:lang w:val="en-GB"/>
        </w:rPr>
        <w:t xml:space="preserve">atezolizumab plus nab-paclitaxel with placebo plus nab-paclitaxel in people with triple negative </w:t>
      </w:r>
      <w:r w:rsidR="00956129" w:rsidRPr="00490676">
        <w:rPr>
          <w:lang w:val="en-GB"/>
        </w:rPr>
        <w:t xml:space="preserve">advanced </w:t>
      </w:r>
      <w:r w:rsidRPr="00490676">
        <w:rPr>
          <w:lang w:val="en-GB"/>
        </w:rPr>
        <w:t xml:space="preserve">breast cancer </w:t>
      </w:r>
      <w:r w:rsidR="007C4B0D" w:rsidRPr="00620826">
        <w:rPr>
          <w:lang w:val="en-GB"/>
        </w:rPr>
        <w:t xml:space="preserve">who have </w:t>
      </w:r>
      <w:r w:rsidRPr="00490676">
        <w:rPr>
          <w:lang w:val="en-GB"/>
        </w:rPr>
        <w:t xml:space="preserve">not </w:t>
      </w:r>
      <w:r w:rsidR="007C4B0D" w:rsidRPr="00620826">
        <w:rPr>
          <w:lang w:val="en-GB"/>
        </w:rPr>
        <w:t xml:space="preserve">had </w:t>
      </w:r>
      <w:r w:rsidRPr="00490676">
        <w:rPr>
          <w:lang w:val="en-GB"/>
        </w:rPr>
        <w:t xml:space="preserve">previous </w:t>
      </w:r>
      <w:r w:rsidRPr="00620826">
        <w:rPr>
          <w:lang w:val="en-GB"/>
        </w:rPr>
        <w:t>treat</w:t>
      </w:r>
      <w:r w:rsidR="007C4B0D" w:rsidRPr="00620826">
        <w:rPr>
          <w:lang w:val="en-GB"/>
        </w:rPr>
        <w:t>ment</w:t>
      </w:r>
      <w:r w:rsidRPr="00490676">
        <w:rPr>
          <w:lang w:val="en-GB"/>
        </w:rPr>
        <w:t xml:space="preserve"> for metastatic disease.</w:t>
      </w:r>
      <w:r w:rsidR="00C54A34" w:rsidRPr="00490676">
        <w:rPr>
          <w:lang w:val="en-GB"/>
        </w:rPr>
        <w:t xml:space="preserve"> </w:t>
      </w:r>
      <w:r w:rsidR="000D29B0" w:rsidRPr="00620826">
        <w:rPr>
          <w:lang w:val="en-GB"/>
        </w:rPr>
        <w:t>Nine treatment centres in the UK (46 patients) were included in the trial</w:t>
      </w:r>
      <w:r w:rsidR="00CC7CF7">
        <w:rPr>
          <w:lang w:val="en-GB"/>
        </w:rPr>
        <w:t>.</w:t>
      </w:r>
      <w:r w:rsidR="000D29B0" w:rsidRPr="00620826" w:rsidDel="00F701C1">
        <w:rPr>
          <w:lang w:val="en-GB"/>
        </w:rPr>
        <w:t xml:space="preserve"> </w:t>
      </w:r>
      <w:r w:rsidR="00C54A34" w:rsidRPr="00490676">
        <w:rPr>
          <w:lang w:val="en-GB"/>
        </w:rPr>
        <w:t>For the current appraisal, the company presented a subgroup analysis of patients with</w:t>
      </w:r>
      <w:r w:rsidR="00CC7CF7">
        <w:rPr>
          <w:lang w:val="en-GB"/>
        </w:rPr>
        <w:t xml:space="preserve"> </w:t>
      </w:r>
      <w:r w:rsidR="00CC7CF7" w:rsidRPr="00490676">
        <w:rPr>
          <w:lang w:val="en-GB"/>
        </w:rPr>
        <w:t>PD</w:t>
      </w:r>
      <w:r w:rsidR="00CC7CF7" w:rsidRPr="00620826">
        <w:rPr>
          <w:lang w:val="en-GB"/>
        </w:rPr>
        <w:noBreakHyphen/>
      </w:r>
      <w:r w:rsidR="00CC7CF7" w:rsidRPr="00490676">
        <w:rPr>
          <w:lang w:val="en-GB"/>
        </w:rPr>
        <w:t>L1</w:t>
      </w:r>
      <w:r w:rsidR="00CC7CF7" w:rsidRPr="00620826">
        <w:rPr>
          <w:lang w:val="en-GB"/>
        </w:rPr>
        <w:t>-</w:t>
      </w:r>
      <w:r w:rsidR="00CC7CF7" w:rsidRPr="00490676">
        <w:rPr>
          <w:lang w:val="en-GB"/>
        </w:rPr>
        <w:t>positive</w:t>
      </w:r>
      <w:r w:rsidR="00F12DB9">
        <w:rPr>
          <w:lang w:val="en-GB"/>
        </w:rPr>
        <w:t xml:space="preserve"> </w:t>
      </w:r>
      <w:r w:rsidR="00F12DB9" w:rsidRPr="00490676">
        <w:rPr>
          <w:lang w:val="en-GB"/>
        </w:rPr>
        <w:t>(that is</w:t>
      </w:r>
      <w:r w:rsidR="00F12DB9">
        <w:rPr>
          <w:lang w:val="en-GB"/>
        </w:rPr>
        <w:t>,</w:t>
      </w:r>
      <w:r w:rsidR="00F12DB9" w:rsidRPr="00490676">
        <w:rPr>
          <w:lang w:val="en-GB"/>
        </w:rPr>
        <w:t xml:space="preserve"> PD</w:t>
      </w:r>
      <w:r w:rsidR="00F12DB9" w:rsidRPr="00620826">
        <w:rPr>
          <w:lang w:val="en-GB"/>
        </w:rPr>
        <w:noBreakHyphen/>
      </w:r>
      <w:r w:rsidR="00F12DB9" w:rsidRPr="00490676">
        <w:rPr>
          <w:lang w:val="en-GB"/>
        </w:rPr>
        <w:t xml:space="preserve">L1 expression level of </w:t>
      </w:r>
      <w:r w:rsidR="00F12DB9" w:rsidRPr="00620826">
        <w:rPr>
          <w:lang w:val="en-GB"/>
        </w:rPr>
        <w:t>1%</w:t>
      </w:r>
      <w:r w:rsidR="00F12DB9" w:rsidRPr="00490676">
        <w:rPr>
          <w:lang w:val="en-GB"/>
        </w:rPr>
        <w:t xml:space="preserve"> or more</w:t>
      </w:r>
      <w:r w:rsidR="00F12DB9" w:rsidRPr="00620826">
        <w:rPr>
          <w:lang w:val="en-GB"/>
        </w:rPr>
        <w:t>)</w:t>
      </w:r>
      <w:r w:rsidR="00CC7CF7">
        <w:rPr>
          <w:lang w:val="en-GB"/>
        </w:rPr>
        <w:t>,</w:t>
      </w:r>
      <w:r w:rsidR="00CC7CF7" w:rsidRPr="00490676">
        <w:rPr>
          <w:lang w:val="en-GB"/>
        </w:rPr>
        <w:t xml:space="preserve"> </w:t>
      </w:r>
      <w:r w:rsidR="00CC7CF7">
        <w:rPr>
          <w:lang w:val="en-GB"/>
        </w:rPr>
        <w:t>triple-negative</w:t>
      </w:r>
      <w:r w:rsidR="006B374A" w:rsidRPr="00620826">
        <w:rPr>
          <w:lang w:val="en-GB"/>
        </w:rPr>
        <w:t>,</w:t>
      </w:r>
      <w:r w:rsidR="00C54A34" w:rsidRPr="00620826">
        <w:rPr>
          <w:lang w:val="en-GB"/>
        </w:rPr>
        <w:t xml:space="preserve"> </w:t>
      </w:r>
      <w:r w:rsidR="00F12DB9">
        <w:rPr>
          <w:lang w:val="en-GB"/>
        </w:rPr>
        <w:t>advanced</w:t>
      </w:r>
      <w:r w:rsidR="00F12DB9" w:rsidRPr="00490676">
        <w:rPr>
          <w:lang w:val="en-GB"/>
        </w:rPr>
        <w:t xml:space="preserve"> </w:t>
      </w:r>
      <w:r w:rsidR="00C54A34" w:rsidRPr="00490676">
        <w:rPr>
          <w:lang w:val="en-GB"/>
        </w:rPr>
        <w:t xml:space="preserve">breast cancer. </w:t>
      </w:r>
      <w:r w:rsidR="00F701C1" w:rsidRPr="00620826">
        <w:rPr>
          <w:lang w:val="en-GB"/>
        </w:rPr>
        <w:t>Th</w:t>
      </w:r>
      <w:r w:rsidR="007C4B0D" w:rsidRPr="00620826">
        <w:rPr>
          <w:lang w:val="en-GB"/>
        </w:rPr>
        <w:t>is</w:t>
      </w:r>
      <w:r w:rsidR="00F701C1" w:rsidRPr="00490676">
        <w:rPr>
          <w:lang w:val="en-GB"/>
        </w:rPr>
        <w:t xml:space="preserve"> subgroup </w:t>
      </w:r>
      <w:r w:rsidR="00F701C1" w:rsidRPr="00620826">
        <w:rPr>
          <w:lang w:val="en-GB"/>
        </w:rPr>
        <w:t>represent</w:t>
      </w:r>
      <w:r w:rsidR="007C4B0D" w:rsidRPr="00620826">
        <w:rPr>
          <w:lang w:val="en-GB"/>
        </w:rPr>
        <w:t>ed</w:t>
      </w:r>
      <w:r w:rsidR="00F701C1" w:rsidRPr="00490676">
        <w:rPr>
          <w:lang w:val="en-GB"/>
        </w:rPr>
        <w:t xml:space="preserve"> 41% of the overall trial population. </w:t>
      </w:r>
      <w:r w:rsidR="00490676" w:rsidRPr="00DF19B2">
        <w:rPr>
          <w:lang w:val="en-GB"/>
        </w:rPr>
        <w:t>In the PD</w:t>
      </w:r>
      <w:r w:rsidR="003A7F61" w:rsidRPr="00620826">
        <w:rPr>
          <w:lang w:val="en-GB"/>
        </w:rPr>
        <w:noBreakHyphen/>
      </w:r>
      <w:r w:rsidR="00490676" w:rsidRPr="00DF19B2">
        <w:rPr>
          <w:lang w:val="en-GB"/>
        </w:rPr>
        <w:t>L1</w:t>
      </w:r>
      <w:r w:rsidR="006B374A" w:rsidRPr="00620826">
        <w:rPr>
          <w:lang w:val="en-GB"/>
        </w:rPr>
        <w:t>-positive</w:t>
      </w:r>
      <w:r w:rsidR="00490676" w:rsidRPr="00DF19B2">
        <w:rPr>
          <w:lang w:val="en-GB"/>
        </w:rPr>
        <w:t xml:space="preserve"> subgroup, </w:t>
      </w:r>
      <w:r w:rsidR="00F701C1" w:rsidRPr="00DF19B2">
        <w:rPr>
          <w:lang w:val="en-GB"/>
        </w:rPr>
        <w:t>7</w:t>
      </w:r>
      <w:r w:rsidR="007A0C0F" w:rsidRPr="00DF19B2">
        <w:rPr>
          <w:lang w:val="en-GB"/>
        </w:rPr>
        <w:t>1</w:t>
      </w:r>
      <w:r w:rsidR="00F701C1" w:rsidRPr="00DF19B2">
        <w:rPr>
          <w:lang w:val="en-GB"/>
        </w:rPr>
        <w:t xml:space="preserve">% of patients had </w:t>
      </w:r>
      <w:r w:rsidR="007C4B0D" w:rsidRPr="00620826">
        <w:rPr>
          <w:lang w:val="en-GB"/>
        </w:rPr>
        <w:t xml:space="preserve">had </w:t>
      </w:r>
      <w:r w:rsidR="00F701C1" w:rsidRPr="00DF19B2">
        <w:rPr>
          <w:lang w:val="en-GB"/>
        </w:rPr>
        <w:t xml:space="preserve">previous </w:t>
      </w:r>
      <w:r w:rsidR="00F701C1" w:rsidRPr="00620826">
        <w:rPr>
          <w:lang w:val="en-GB"/>
        </w:rPr>
        <w:t>treat</w:t>
      </w:r>
      <w:r w:rsidR="007C4B0D" w:rsidRPr="00620826">
        <w:rPr>
          <w:lang w:val="en-GB"/>
        </w:rPr>
        <w:t>ment</w:t>
      </w:r>
      <w:r w:rsidR="00F701C1" w:rsidRPr="00DF19B2">
        <w:rPr>
          <w:lang w:val="en-GB"/>
        </w:rPr>
        <w:t xml:space="preserve"> with anthracyclines</w:t>
      </w:r>
      <w:r w:rsidR="00490676" w:rsidRPr="00490676">
        <w:rPr>
          <w:lang w:val="en-GB"/>
        </w:rPr>
        <w:t xml:space="preserve">. </w:t>
      </w:r>
      <w:r w:rsidR="007C4B0D" w:rsidRPr="00620826">
        <w:rPr>
          <w:lang w:val="en-GB"/>
        </w:rPr>
        <w:t>There were 2</w:t>
      </w:r>
      <w:r w:rsidR="00DF19B2">
        <w:rPr>
          <w:lang w:val="en-GB"/>
        </w:rPr>
        <w:t>0</w:t>
      </w:r>
      <w:r w:rsidR="007C4B0D" w:rsidRPr="00620826">
        <w:rPr>
          <w:lang w:val="en-GB"/>
        </w:rPr>
        <w:t>%</w:t>
      </w:r>
      <w:r w:rsidR="00490676" w:rsidRPr="00490676">
        <w:rPr>
          <w:lang w:val="en-GB"/>
        </w:rPr>
        <w:t xml:space="preserve"> </w:t>
      </w:r>
      <w:r w:rsidR="00F701C1" w:rsidRPr="00DF19B2">
        <w:rPr>
          <w:lang w:val="en-GB"/>
        </w:rPr>
        <w:t>of patients in the atezolizumab plus nab-paclitaxel arm and 23%</w:t>
      </w:r>
      <w:r w:rsidR="00490676" w:rsidRPr="00490676">
        <w:rPr>
          <w:lang w:val="en-GB"/>
        </w:rPr>
        <w:t xml:space="preserve"> </w:t>
      </w:r>
      <w:r w:rsidR="00F701C1" w:rsidRPr="00DF19B2">
        <w:rPr>
          <w:lang w:val="en-GB"/>
        </w:rPr>
        <w:t>in the placebo and nab-paclitaxel arm</w:t>
      </w:r>
      <w:r w:rsidR="00AE4FA3">
        <w:rPr>
          <w:lang w:val="en-GB"/>
        </w:rPr>
        <w:t>, all</w:t>
      </w:r>
      <w:r w:rsidR="00F701C1" w:rsidRPr="00DF19B2">
        <w:rPr>
          <w:lang w:val="en-GB"/>
        </w:rPr>
        <w:t xml:space="preserve"> </w:t>
      </w:r>
      <w:r w:rsidR="007C4B0D" w:rsidRPr="00620826">
        <w:rPr>
          <w:lang w:val="en-GB"/>
        </w:rPr>
        <w:t xml:space="preserve">with </w:t>
      </w:r>
      <w:r w:rsidR="00F701C1" w:rsidRPr="00DF19B2">
        <w:rPr>
          <w:lang w:val="en-GB"/>
        </w:rPr>
        <w:t>metastatic disease at</w:t>
      </w:r>
      <w:r w:rsidR="00490676" w:rsidRPr="00490676">
        <w:rPr>
          <w:lang w:val="en-GB"/>
        </w:rPr>
        <w:t xml:space="preserve"> presentation. The clinical experts </w:t>
      </w:r>
      <w:r w:rsidR="002202F5" w:rsidRPr="00620826">
        <w:rPr>
          <w:lang w:val="en-GB"/>
        </w:rPr>
        <w:t>explained</w:t>
      </w:r>
      <w:r w:rsidR="00490676" w:rsidRPr="00620826">
        <w:rPr>
          <w:lang w:val="en-GB"/>
        </w:rPr>
        <w:t xml:space="preserve"> </w:t>
      </w:r>
      <w:r w:rsidR="00490676" w:rsidRPr="00490676">
        <w:rPr>
          <w:lang w:val="en-GB"/>
        </w:rPr>
        <w:t>that</w:t>
      </w:r>
      <w:r w:rsidR="008B1B6A">
        <w:rPr>
          <w:lang w:val="en-GB"/>
        </w:rPr>
        <w:t xml:space="preserve"> these characteristics</w:t>
      </w:r>
      <w:r w:rsidR="00490676">
        <w:rPr>
          <w:lang w:val="en-GB"/>
        </w:rPr>
        <w:t xml:space="preserve"> reflect </w:t>
      </w:r>
      <w:r w:rsidR="00490676" w:rsidRPr="00DF19B2">
        <w:rPr>
          <w:lang w:val="en-GB"/>
        </w:rPr>
        <w:t xml:space="preserve">the population who would be eligible for treatment with atezolizumab plus nab-paclitaxel in the </w:t>
      </w:r>
      <w:r w:rsidR="00490676" w:rsidRPr="00DF19B2">
        <w:rPr>
          <w:lang w:val="en-GB"/>
        </w:rPr>
        <w:lastRenderedPageBreak/>
        <w:t>NHS</w:t>
      </w:r>
      <w:r w:rsidR="00490676">
        <w:rPr>
          <w:lang w:val="en-GB"/>
        </w:rPr>
        <w:t>. The committee concluded that</w:t>
      </w:r>
      <w:r w:rsidR="008B1B6A">
        <w:rPr>
          <w:lang w:val="en-GB"/>
        </w:rPr>
        <w:t xml:space="preserve"> the PD</w:t>
      </w:r>
      <w:r w:rsidR="006B374A" w:rsidRPr="00620826">
        <w:rPr>
          <w:lang w:val="en-GB"/>
        </w:rPr>
        <w:noBreakHyphen/>
      </w:r>
      <w:r w:rsidR="008B1B6A">
        <w:rPr>
          <w:lang w:val="en-GB"/>
        </w:rPr>
        <w:t>L1</w:t>
      </w:r>
      <w:r w:rsidR="006B374A" w:rsidRPr="00620826">
        <w:rPr>
          <w:lang w:val="en-GB"/>
        </w:rPr>
        <w:t>-positive</w:t>
      </w:r>
      <w:r w:rsidR="008B1B6A">
        <w:rPr>
          <w:lang w:val="en-GB"/>
        </w:rPr>
        <w:t xml:space="preserve"> subgroup of IMpassion130 is broadly generalisable to UK clinical practice.</w:t>
      </w:r>
      <w:bookmarkEnd w:id="3"/>
    </w:p>
    <w:p w14:paraId="69DC2E95" w14:textId="1CD10C00" w:rsidR="00643582" w:rsidRDefault="000D5299" w:rsidP="0073007E">
      <w:pPr>
        <w:pStyle w:val="Heading3"/>
      </w:pPr>
      <w:r>
        <w:t xml:space="preserve">Atezolizumab plus nab-paclitaxel </w:t>
      </w:r>
      <w:r w:rsidR="005818C3">
        <w:t>improves progression-free survival</w:t>
      </w:r>
    </w:p>
    <w:p w14:paraId="69EDC09E" w14:textId="0D0ED296" w:rsidR="005818C3" w:rsidRPr="00DF19B2" w:rsidRDefault="005818C3" w:rsidP="005818C3">
      <w:pPr>
        <w:pStyle w:val="Numberedlevel2text"/>
        <w:rPr>
          <w:lang w:val="en-GB"/>
        </w:rPr>
      </w:pPr>
      <w:r>
        <w:rPr>
          <w:lang w:val="en-GB"/>
        </w:rPr>
        <w:t xml:space="preserve">The </w:t>
      </w:r>
      <w:r w:rsidR="00471127">
        <w:rPr>
          <w:lang w:val="en-GB"/>
        </w:rPr>
        <w:t xml:space="preserve">joint </w:t>
      </w:r>
      <w:r>
        <w:rPr>
          <w:lang w:val="en-GB"/>
        </w:rPr>
        <w:t>primary endpoint</w:t>
      </w:r>
      <w:r w:rsidR="00471127">
        <w:rPr>
          <w:lang w:val="en-GB"/>
        </w:rPr>
        <w:t>s</w:t>
      </w:r>
      <w:r>
        <w:rPr>
          <w:lang w:val="en-GB"/>
        </w:rPr>
        <w:t xml:space="preserve"> </w:t>
      </w:r>
      <w:r w:rsidR="0089638F">
        <w:rPr>
          <w:lang w:val="en-GB"/>
        </w:rPr>
        <w:t xml:space="preserve">in IMpassion130 </w:t>
      </w:r>
      <w:r w:rsidR="00471127">
        <w:rPr>
          <w:lang w:val="en-GB"/>
        </w:rPr>
        <w:t>were</w:t>
      </w:r>
      <w:r>
        <w:rPr>
          <w:lang w:val="en-GB"/>
        </w:rPr>
        <w:t xml:space="preserve"> progression-free survival and</w:t>
      </w:r>
      <w:r w:rsidR="00471127">
        <w:rPr>
          <w:lang w:val="en-GB"/>
        </w:rPr>
        <w:t xml:space="preserve"> overall</w:t>
      </w:r>
      <w:r w:rsidR="001D09BB" w:rsidRPr="00620826">
        <w:rPr>
          <w:lang w:val="en-GB"/>
        </w:rPr>
        <w:t xml:space="preserve"> </w:t>
      </w:r>
      <w:r w:rsidR="00471127">
        <w:rPr>
          <w:lang w:val="en-GB"/>
        </w:rPr>
        <w:t xml:space="preserve">survival. </w:t>
      </w:r>
      <w:r w:rsidR="00E426B3">
        <w:rPr>
          <w:lang w:val="en-GB"/>
        </w:rPr>
        <w:t>The trial protocol specified that formal testing of statistical significan</w:t>
      </w:r>
      <w:r w:rsidR="004337CE">
        <w:rPr>
          <w:lang w:val="en-GB"/>
        </w:rPr>
        <w:t>ce</w:t>
      </w:r>
      <w:r w:rsidR="00E426B3">
        <w:rPr>
          <w:lang w:val="en-GB"/>
        </w:rPr>
        <w:t xml:space="preserve"> in the PD</w:t>
      </w:r>
      <w:r w:rsidR="006B374A" w:rsidRPr="00620826">
        <w:rPr>
          <w:lang w:val="en-GB"/>
        </w:rPr>
        <w:noBreakHyphen/>
      </w:r>
      <w:r w:rsidR="00E426B3">
        <w:rPr>
          <w:lang w:val="en-GB"/>
        </w:rPr>
        <w:t>L1</w:t>
      </w:r>
      <w:r w:rsidR="006B374A" w:rsidRPr="00620826">
        <w:rPr>
          <w:lang w:val="en-GB"/>
        </w:rPr>
        <w:t>-positive</w:t>
      </w:r>
      <w:r w:rsidR="00E426B3">
        <w:rPr>
          <w:lang w:val="en-GB"/>
        </w:rPr>
        <w:t xml:space="preserve"> population could only occur if statistical significance was show</w:t>
      </w:r>
      <w:r w:rsidR="00252DED">
        <w:rPr>
          <w:lang w:val="en-GB"/>
        </w:rPr>
        <w:t>n</w:t>
      </w:r>
      <w:r w:rsidR="00E426B3">
        <w:rPr>
          <w:lang w:val="en-GB"/>
        </w:rPr>
        <w:t xml:space="preserve"> in the intention-to-treat population. </w:t>
      </w:r>
      <w:r w:rsidR="004337CE">
        <w:rPr>
          <w:lang w:val="en-GB"/>
        </w:rPr>
        <w:t xml:space="preserve">For </w:t>
      </w:r>
      <w:r w:rsidR="001D09BB" w:rsidRPr="00620826">
        <w:rPr>
          <w:lang w:val="en-GB"/>
        </w:rPr>
        <w:t>progression-free survival</w:t>
      </w:r>
      <w:r w:rsidR="00C52ADE">
        <w:rPr>
          <w:lang w:val="en-GB"/>
        </w:rPr>
        <w:t>, at the</w:t>
      </w:r>
      <w:r w:rsidR="00C52ADE" w:rsidRPr="00E63957">
        <w:rPr>
          <w:lang w:val="en-GB"/>
        </w:rPr>
        <w:t xml:space="preserve"> first data cut</w:t>
      </w:r>
      <w:r w:rsidR="00C52ADE">
        <w:rPr>
          <w:lang w:val="en-GB"/>
        </w:rPr>
        <w:t xml:space="preserve"> in April 2018 (the definitive </w:t>
      </w:r>
      <w:r w:rsidR="001D09BB" w:rsidRPr="00620826">
        <w:rPr>
          <w:lang w:val="en-GB"/>
        </w:rPr>
        <w:t>progression-free survival</w:t>
      </w:r>
      <w:r w:rsidR="00C52ADE">
        <w:rPr>
          <w:lang w:val="en-GB"/>
        </w:rPr>
        <w:t xml:space="preserve"> analysis), there was</w:t>
      </w:r>
      <w:r w:rsidR="00E426B3">
        <w:rPr>
          <w:lang w:val="en-GB"/>
        </w:rPr>
        <w:t xml:space="preserve"> a statistically significant improvement</w:t>
      </w:r>
      <w:r w:rsidR="007D67FA">
        <w:rPr>
          <w:lang w:val="en-GB"/>
        </w:rPr>
        <w:t xml:space="preserve"> with </w:t>
      </w:r>
      <w:r w:rsidR="007D67FA" w:rsidRPr="00490676">
        <w:rPr>
          <w:lang w:val="en-GB"/>
        </w:rPr>
        <w:t>atezolizumab plus nab-paclitaxel</w:t>
      </w:r>
      <w:r w:rsidR="00E426B3">
        <w:rPr>
          <w:lang w:val="en-GB"/>
        </w:rPr>
        <w:t xml:space="preserve"> in both the </w:t>
      </w:r>
      <w:r w:rsidR="003C4FB6" w:rsidRPr="00620826">
        <w:rPr>
          <w:lang w:val="en-GB"/>
        </w:rPr>
        <w:t xml:space="preserve">intention-to-treat </w:t>
      </w:r>
      <w:r w:rsidR="00E426B3">
        <w:rPr>
          <w:lang w:val="en-GB"/>
        </w:rPr>
        <w:t>and the PD</w:t>
      </w:r>
      <w:r w:rsidR="006B374A" w:rsidRPr="00620826">
        <w:rPr>
          <w:lang w:val="en-GB"/>
        </w:rPr>
        <w:noBreakHyphen/>
      </w:r>
      <w:r w:rsidR="00E426B3">
        <w:rPr>
          <w:lang w:val="en-GB"/>
        </w:rPr>
        <w:t>L1</w:t>
      </w:r>
      <w:r w:rsidR="006B374A" w:rsidRPr="00620826">
        <w:rPr>
          <w:lang w:val="en-GB"/>
        </w:rPr>
        <w:t>-</w:t>
      </w:r>
      <w:r w:rsidR="00E426B3">
        <w:rPr>
          <w:lang w:val="en-GB"/>
        </w:rPr>
        <w:t xml:space="preserve">positive population. Median </w:t>
      </w:r>
      <w:r w:rsidR="001D09BB" w:rsidRPr="00620826">
        <w:rPr>
          <w:lang w:val="en-GB"/>
        </w:rPr>
        <w:t>progression-free survival</w:t>
      </w:r>
      <w:r w:rsidR="00E426B3">
        <w:rPr>
          <w:lang w:val="en-GB"/>
        </w:rPr>
        <w:t xml:space="preserve"> in the PD</w:t>
      </w:r>
      <w:r w:rsidR="006B374A" w:rsidRPr="00620826">
        <w:rPr>
          <w:lang w:val="en-GB"/>
        </w:rPr>
        <w:noBreakHyphen/>
      </w:r>
      <w:r w:rsidR="00E426B3">
        <w:rPr>
          <w:lang w:val="en-GB"/>
        </w:rPr>
        <w:t>L1</w:t>
      </w:r>
      <w:r w:rsidR="006B374A" w:rsidRPr="00620826">
        <w:rPr>
          <w:lang w:val="en-GB"/>
        </w:rPr>
        <w:t>-</w:t>
      </w:r>
      <w:r w:rsidR="00E426B3">
        <w:rPr>
          <w:lang w:val="en-GB"/>
        </w:rPr>
        <w:t>positive subgroup was 7.5</w:t>
      </w:r>
      <w:r w:rsidR="006B374A" w:rsidRPr="00620826">
        <w:rPr>
          <w:lang w:val="en-GB"/>
        </w:rPr>
        <w:t> </w:t>
      </w:r>
      <w:r w:rsidR="00E426B3">
        <w:rPr>
          <w:lang w:val="en-GB"/>
        </w:rPr>
        <w:t>months in the atezolizumab plus nab-paclitaxel arm and 5</w:t>
      </w:r>
      <w:r w:rsidR="006952B2" w:rsidRPr="00620826">
        <w:rPr>
          <w:lang w:val="en-GB"/>
        </w:rPr>
        <w:t>.0 </w:t>
      </w:r>
      <w:r w:rsidR="00E426B3">
        <w:rPr>
          <w:lang w:val="en-GB"/>
        </w:rPr>
        <w:t xml:space="preserve">months in the placebo plus nab-paclitaxel arm </w:t>
      </w:r>
      <w:r w:rsidR="006952B2" w:rsidRPr="00620826">
        <w:rPr>
          <w:lang w:val="en-GB"/>
        </w:rPr>
        <w:t>(</w:t>
      </w:r>
      <w:r w:rsidR="00E426B3">
        <w:rPr>
          <w:lang w:val="en-GB"/>
        </w:rPr>
        <w:t>hazard ratio</w:t>
      </w:r>
      <w:r w:rsidR="006952B2" w:rsidRPr="00620826">
        <w:rPr>
          <w:lang w:val="en-GB"/>
        </w:rPr>
        <w:t> </w:t>
      </w:r>
      <w:r w:rsidR="00E426B3">
        <w:rPr>
          <w:lang w:val="en-GB"/>
        </w:rPr>
        <w:t>0.62, 95</w:t>
      </w:r>
      <w:r w:rsidR="00D9052C">
        <w:rPr>
          <w:lang w:val="en-GB"/>
        </w:rPr>
        <w:t>%</w:t>
      </w:r>
      <w:r w:rsidR="006952B2" w:rsidRPr="00620826">
        <w:rPr>
          <w:lang w:val="en-GB"/>
        </w:rPr>
        <w:t> </w:t>
      </w:r>
      <w:r w:rsidR="00E426B3">
        <w:rPr>
          <w:lang w:val="en-GB"/>
        </w:rPr>
        <w:t>confidence interval 0.49</w:t>
      </w:r>
      <w:r w:rsidR="002D41A5" w:rsidRPr="00620826">
        <w:rPr>
          <w:lang w:val="en-GB"/>
        </w:rPr>
        <w:t> </w:t>
      </w:r>
      <w:r w:rsidR="00E426B3">
        <w:rPr>
          <w:lang w:val="en-GB"/>
        </w:rPr>
        <w:t>to</w:t>
      </w:r>
      <w:r w:rsidR="002D41A5" w:rsidRPr="00620826">
        <w:rPr>
          <w:lang w:val="en-GB"/>
        </w:rPr>
        <w:t> </w:t>
      </w:r>
      <w:r w:rsidR="00E426B3">
        <w:rPr>
          <w:lang w:val="en-GB"/>
        </w:rPr>
        <w:t>0.78</w:t>
      </w:r>
      <w:r w:rsidR="006952B2" w:rsidRPr="00620826">
        <w:rPr>
          <w:lang w:val="en-GB"/>
        </w:rPr>
        <w:t>)</w:t>
      </w:r>
      <w:r w:rsidR="00E85282" w:rsidRPr="00620826">
        <w:rPr>
          <w:lang w:val="en-GB"/>
        </w:rPr>
        <w:t>.</w:t>
      </w:r>
      <w:r w:rsidR="00E85282">
        <w:rPr>
          <w:lang w:val="en-GB"/>
        </w:rPr>
        <w:t xml:space="preserve"> The</w:t>
      </w:r>
      <w:r w:rsidR="004337CE">
        <w:rPr>
          <w:lang w:val="en-GB"/>
        </w:rPr>
        <w:t xml:space="preserve"> </w:t>
      </w:r>
      <w:r w:rsidR="004337CE" w:rsidRPr="00DF19B2">
        <w:rPr>
          <w:lang w:val="en-GB"/>
        </w:rPr>
        <w:t xml:space="preserve">committee concluded that </w:t>
      </w:r>
      <w:r w:rsidR="004337CE">
        <w:rPr>
          <w:lang w:val="en-GB"/>
        </w:rPr>
        <w:t>atezolizumab plus nab-paclitaxel improves</w:t>
      </w:r>
      <w:r w:rsidR="004337CE" w:rsidRPr="00DF19B2">
        <w:rPr>
          <w:lang w:val="en-GB"/>
        </w:rPr>
        <w:t xml:space="preserve"> </w:t>
      </w:r>
      <w:r w:rsidR="001D09BB" w:rsidRPr="00620826">
        <w:rPr>
          <w:lang w:val="en-GB"/>
        </w:rPr>
        <w:t>progression-free survival</w:t>
      </w:r>
      <w:r w:rsidR="004337CE" w:rsidRPr="00DF19B2">
        <w:rPr>
          <w:lang w:val="en-GB"/>
        </w:rPr>
        <w:t xml:space="preserve"> </w:t>
      </w:r>
      <w:r w:rsidR="004337CE">
        <w:rPr>
          <w:lang w:val="en-GB"/>
        </w:rPr>
        <w:t>compared with placebo plus nab-paclitaxel.</w:t>
      </w:r>
    </w:p>
    <w:p w14:paraId="1EE850F2" w14:textId="1222D670" w:rsidR="005818C3" w:rsidRDefault="00122E93" w:rsidP="001E3904">
      <w:pPr>
        <w:pStyle w:val="Heading3"/>
      </w:pPr>
      <w:r>
        <w:t xml:space="preserve">The evidence suggests </w:t>
      </w:r>
      <w:r w:rsidR="009F310C">
        <w:t xml:space="preserve">that </w:t>
      </w:r>
      <w:r>
        <w:t>atezolizumab plus nab-paclitaxel increases overall survival</w:t>
      </w:r>
      <w:r w:rsidR="00C54A34">
        <w:t xml:space="preserve"> in the PD</w:t>
      </w:r>
      <w:r w:rsidR="006B374A" w:rsidRPr="00620826">
        <w:noBreakHyphen/>
      </w:r>
      <w:r w:rsidR="00C54A34">
        <w:t>L1</w:t>
      </w:r>
      <w:r w:rsidR="006B374A" w:rsidRPr="00620826">
        <w:t>-</w:t>
      </w:r>
      <w:r w:rsidR="00C54A34">
        <w:t>positive subgroup</w:t>
      </w:r>
    </w:p>
    <w:p w14:paraId="051E3787" w14:textId="0ADE7EFA" w:rsidR="003D703D" w:rsidRPr="00DF19B2" w:rsidRDefault="00D9052C" w:rsidP="00AD6105">
      <w:pPr>
        <w:pStyle w:val="Numberedlevel2text"/>
        <w:rPr>
          <w:lang w:val="en-GB"/>
        </w:rPr>
      </w:pPr>
      <w:bookmarkStart w:id="4" w:name="_Ref19282031"/>
      <w:r w:rsidRPr="00DF19B2">
        <w:rPr>
          <w:lang w:val="en-GB"/>
        </w:rPr>
        <w:t>In</w:t>
      </w:r>
      <w:r w:rsidR="00E63957" w:rsidRPr="00DF19B2">
        <w:rPr>
          <w:lang w:val="en-GB"/>
        </w:rPr>
        <w:t xml:space="preserve"> the </w:t>
      </w:r>
      <w:r w:rsidR="003C4FB6" w:rsidRPr="00620826">
        <w:rPr>
          <w:lang w:val="en-GB"/>
        </w:rPr>
        <w:t xml:space="preserve">intention-to-treat </w:t>
      </w:r>
      <w:r w:rsidR="00E63957" w:rsidRPr="00DF19B2">
        <w:rPr>
          <w:lang w:val="en-GB"/>
        </w:rPr>
        <w:t>population</w:t>
      </w:r>
      <w:r w:rsidR="009571E2" w:rsidRPr="00620826">
        <w:rPr>
          <w:lang w:val="en-GB"/>
        </w:rPr>
        <w:t>,</w:t>
      </w:r>
      <w:r w:rsidR="00E63957" w:rsidRPr="00DF19B2">
        <w:rPr>
          <w:lang w:val="en-GB"/>
        </w:rPr>
        <w:t xml:space="preserve"> the results for</w:t>
      </w:r>
      <w:r w:rsidRPr="00DF19B2">
        <w:rPr>
          <w:lang w:val="en-GB"/>
        </w:rPr>
        <w:t xml:space="preserve"> </w:t>
      </w:r>
      <w:r w:rsidR="001D09BB" w:rsidRPr="00620826">
        <w:rPr>
          <w:lang w:val="en-GB"/>
        </w:rPr>
        <w:t xml:space="preserve">overall survival </w:t>
      </w:r>
      <w:r w:rsidR="007618FD" w:rsidRPr="00DF19B2">
        <w:rPr>
          <w:lang w:val="en-GB"/>
        </w:rPr>
        <w:t xml:space="preserve">in the first interim analysis </w:t>
      </w:r>
      <w:r w:rsidR="00E63957" w:rsidRPr="00DF19B2">
        <w:rPr>
          <w:lang w:val="en-GB"/>
        </w:rPr>
        <w:t>were not</w:t>
      </w:r>
      <w:r w:rsidRPr="00DF19B2">
        <w:rPr>
          <w:lang w:val="en-GB"/>
        </w:rPr>
        <w:t xml:space="preserve"> statistical</w:t>
      </w:r>
      <w:r w:rsidR="007618FD" w:rsidRPr="00DF19B2">
        <w:rPr>
          <w:lang w:val="en-GB"/>
        </w:rPr>
        <w:t xml:space="preserve">ly </w:t>
      </w:r>
      <w:r w:rsidRPr="00DF19B2">
        <w:rPr>
          <w:lang w:val="en-GB"/>
        </w:rPr>
        <w:t>significan</w:t>
      </w:r>
      <w:r w:rsidR="00E63957" w:rsidRPr="00DF19B2">
        <w:rPr>
          <w:lang w:val="en-GB"/>
        </w:rPr>
        <w:t>t</w:t>
      </w:r>
      <w:r w:rsidR="007618FD" w:rsidRPr="00DF19B2">
        <w:rPr>
          <w:lang w:val="en-GB"/>
        </w:rPr>
        <w:t xml:space="preserve">, and formal testing of </w:t>
      </w:r>
      <w:r w:rsidR="001D09BB" w:rsidRPr="00620826">
        <w:rPr>
          <w:lang w:val="en-GB"/>
        </w:rPr>
        <w:t xml:space="preserve">overall survival </w:t>
      </w:r>
      <w:r w:rsidR="007618FD" w:rsidRPr="00DF19B2">
        <w:rPr>
          <w:lang w:val="en-GB"/>
        </w:rPr>
        <w:t>in the PD</w:t>
      </w:r>
      <w:r w:rsidR="006B374A" w:rsidRPr="00620826">
        <w:rPr>
          <w:lang w:val="en-GB"/>
        </w:rPr>
        <w:noBreakHyphen/>
      </w:r>
      <w:r w:rsidR="007618FD" w:rsidRPr="00DF19B2">
        <w:rPr>
          <w:lang w:val="en-GB"/>
        </w:rPr>
        <w:t>L1</w:t>
      </w:r>
      <w:r w:rsidR="006B374A" w:rsidRPr="00620826">
        <w:rPr>
          <w:lang w:val="en-GB"/>
        </w:rPr>
        <w:t>-positive</w:t>
      </w:r>
      <w:r w:rsidR="007618FD" w:rsidRPr="00DF19B2">
        <w:rPr>
          <w:lang w:val="en-GB"/>
        </w:rPr>
        <w:t xml:space="preserve"> subgroup according to the trial protocol was not possible (see section</w:t>
      </w:r>
      <w:r w:rsidR="002D41A5" w:rsidRPr="00620826">
        <w:rPr>
          <w:lang w:val="en-GB"/>
        </w:rPr>
        <w:t> </w:t>
      </w:r>
      <w:r w:rsidR="007618FD" w:rsidRPr="00DF19B2">
        <w:rPr>
          <w:lang w:val="en-GB"/>
        </w:rPr>
        <w:t>3.</w:t>
      </w:r>
      <w:r w:rsidR="007D67FA" w:rsidRPr="00DF19B2">
        <w:rPr>
          <w:lang w:val="en-GB"/>
        </w:rPr>
        <w:t>7</w:t>
      </w:r>
      <w:r w:rsidR="007618FD" w:rsidRPr="00DF19B2">
        <w:rPr>
          <w:lang w:val="en-GB"/>
        </w:rPr>
        <w:t>).</w:t>
      </w:r>
      <w:r w:rsidRPr="00DF19B2">
        <w:rPr>
          <w:lang w:val="en-GB"/>
        </w:rPr>
        <w:t xml:space="preserve"> </w:t>
      </w:r>
      <w:r w:rsidR="003F7763" w:rsidRPr="00DF19B2">
        <w:rPr>
          <w:lang w:val="en-GB"/>
        </w:rPr>
        <w:t>T</w:t>
      </w:r>
      <w:r w:rsidR="007618FD" w:rsidRPr="00DF19B2">
        <w:rPr>
          <w:lang w:val="en-GB"/>
        </w:rPr>
        <w:t>he company present</w:t>
      </w:r>
      <w:r w:rsidR="003F7763" w:rsidRPr="00DF19B2">
        <w:rPr>
          <w:lang w:val="en-GB"/>
        </w:rPr>
        <w:t>ed</w:t>
      </w:r>
      <w:r w:rsidR="007618FD" w:rsidRPr="00DF19B2">
        <w:rPr>
          <w:lang w:val="en-GB"/>
        </w:rPr>
        <w:t xml:space="preserve"> </w:t>
      </w:r>
      <w:r w:rsidRPr="00DF19B2">
        <w:rPr>
          <w:lang w:val="en-GB"/>
        </w:rPr>
        <w:t>an</w:t>
      </w:r>
      <w:r w:rsidR="003F7763" w:rsidRPr="00DF19B2">
        <w:rPr>
          <w:lang w:val="en-GB"/>
        </w:rPr>
        <w:t xml:space="preserve"> informal</w:t>
      </w:r>
      <w:r w:rsidRPr="00DF19B2">
        <w:rPr>
          <w:lang w:val="en-GB"/>
        </w:rPr>
        <w:t xml:space="preserve"> analysis</w:t>
      </w:r>
      <w:r w:rsidR="007618FD" w:rsidRPr="00DF19B2">
        <w:rPr>
          <w:lang w:val="en-GB"/>
        </w:rPr>
        <w:t xml:space="preserve"> of </w:t>
      </w:r>
      <w:r w:rsidR="001D09BB" w:rsidRPr="00620826">
        <w:rPr>
          <w:lang w:val="en-GB"/>
        </w:rPr>
        <w:t xml:space="preserve">overall survival </w:t>
      </w:r>
      <w:r w:rsidRPr="00DF19B2">
        <w:rPr>
          <w:lang w:val="en-GB"/>
        </w:rPr>
        <w:t>in the PD</w:t>
      </w:r>
      <w:r w:rsidR="006B374A" w:rsidRPr="00620826">
        <w:rPr>
          <w:lang w:val="en-GB"/>
        </w:rPr>
        <w:noBreakHyphen/>
      </w:r>
      <w:r w:rsidRPr="00DF19B2">
        <w:rPr>
          <w:lang w:val="en-GB"/>
        </w:rPr>
        <w:t>L1</w:t>
      </w:r>
      <w:r w:rsidR="006B374A" w:rsidRPr="00620826">
        <w:rPr>
          <w:lang w:val="en-GB"/>
        </w:rPr>
        <w:t>-positive</w:t>
      </w:r>
      <w:r w:rsidRPr="00DF19B2">
        <w:rPr>
          <w:lang w:val="en-GB"/>
        </w:rPr>
        <w:t xml:space="preserve"> subgroup. The median </w:t>
      </w:r>
      <w:r w:rsidR="001D09BB" w:rsidRPr="00620826">
        <w:rPr>
          <w:lang w:val="en-GB"/>
        </w:rPr>
        <w:t xml:space="preserve">overall survival </w:t>
      </w:r>
      <w:r w:rsidRPr="00DF19B2">
        <w:rPr>
          <w:lang w:val="en-GB"/>
        </w:rPr>
        <w:t>was 25</w:t>
      </w:r>
      <w:r w:rsidR="009571E2" w:rsidRPr="00620826">
        <w:rPr>
          <w:lang w:val="en-GB"/>
        </w:rPr>
        <w:t>.</w:t>
      </w:r>
      <w:r w:rsidR="002D41A5" w:rsidRPr="00620826">
        <w:rPr>
          <w:lang w:val="en-GB"/>
        </w:rPr>
        <w:t>0 </w:t>
      </w:r>
      <w:r w:rsidRPr="00DF19B2">
        <w:rPr>
          <w:lang w:val="en-GB"/>
        </w:rPr>
        <w:t>months compared with 15.5</w:t>
      </w:r>
      <w:r w:rsidR="002D41A5" w:rsidRPr="00620826">
        <w:rPr>
          <w:lang w:val="en-GB"/>
        </w:rPr>
        <w:t> </w:t>
      </w:r>
      <w:r w:rsidRPr="00DF19B2">
        <w:rPr>
          <w:lang w:val="en-GB"/>
        </w:rPr>
        <w:t>months in the placebo plus nab-paclitaxel population (</w:t>
      </w:r>
      <w:r w:rsidR="002D41A5" w:rsidRPr="00620826">
        <w:rPr>
          <w:lang w:val="en-GB"/>
        </w:rPr>
        <w:t>hazard ratio </w:t>
      </w:r>
      <w:r w:rsidRPr="00DF19B2">
        <w:rPr>
          <w:lang w:val="en-GB"/>
        </w:rPr>
        <w:t>0.62, 95%</w:t>
      </w:r>
      <w:r w:rsidR="002D41A5" w:rsidRPr="00620826">
        <w:rPr>
          <w:lang w:val="en-GB"/>
        </w:rPr>
        <w:t> confidence interval</w:t>
      </w:r>
      <w:r w:rsidRPr="00DF19B2">
        <w:rPr>
          <w:lang w:val="en-GB"/>
        </w:rPr>
        <w:t xml:space="preserve"> 0.45</w:t>
      </w:r>
      <w:r w:rsidR="002D41A5" w:rsidRPr="00620826">
        <w:rPr>
          <w:lang w:val="en-GB"/>
        </w:rPr>
        <w:t> to </w:t>
      </w:r>
      <w:r w:rsidRPr="00DF19B2">
        <w:rPr>
          <w:lang w:val="en-GB"/>
        </w:rPr>
        <w:t>0.86).</w:t>
      </w:r>
      <w:r w:rsidR="00BD169C" w:rsidRPr="00DF19B2">
        <w:rPr>
          <w:lang w:val="en-GB"/>
        </w:rPr>
        <w:t xml:space="preserve"> </w:t>
      </w:r>
      <w:r w:rsidR="00AD6105" w:rsidRPr="00DF19B2">
        <w:rPr>
          <w:lang w:val="en-GB"/>
        </w:rPr>
        <w:t xml:space="preserve">The company </w:t>
      </w:r>
      <w:r w:rsidR="00150219" w:rsidRPr="00DF19B2">
        <w:rPr>
          <w:lang w:val="en-GB"/>
        </w:rPr>
        <w:t>explained</w:t>
      </w:r>
      <w:r w:rsidR="00AD6105" w:rsidRPr="00DF19B2">
        <w:rPr>
          <w:lang w:val="en-GB"/>
        </w:rPr>
        <w:t xml:space="preserve"> that </w:t>
      </w:r>
      <w:r w:rsidR="00E230CF" w:rsidRPr="00DF19B2">
        <w:rPr>
          <w:lang w:val="en-GB"/>
        </w:rPr>
        <w:t>the</w:t>
      </w:r>
      <w:r w:rsidR="00AD6105" w:rsidRPr="00DF19B2">
        <w:rPr>
          <w:lang w:val="en-GB"/>
        </w:rPr>
        <w:t xml:space="preserve"> final analysis </w:t>
      </w:r>
      <w:r w:rsidR="00E230CF" w:rsidRPr="00DF19B2">
        <w:rPr>
          <w:lang w:val="en-GB"/>
        </w:rPr>
        <w:t xml:space="preserve">for </w:t>
      </w:r>
      <w:r w:rsidR="001D09BB" w:rsidRPr="00620826">
        <w:rPr>
          <w:lang w:val="en-GB"/>
        </w:rPr>
        <w:t xml:space="preserve">overall survival </w:t>
      </w:r>
      <w:r w:rsidR="00AD6105" w:rsidRPr="00DF19B2">
        <w:rPr>
          <w:lang w:val="en-GB"/>
        </w:rPr>
        <w:t>is expected in March 2020</w:t>
      </w:r>
      <w:r w:rsidR="009571E2" w:rsidRPr="00620826">
        <w:rPr>
          <w:lang w:val="en-GB"/>
        </w:rPr>
        <w:t>. However</w:t>
      </w:r>
      <w:r w:rsidR="00AD6105" w:rsidRPr="00DF19B2">
        <w:rPr>
          <w:lang w:val="en-GB"/>
        </w:rPr>
        <w:t>,</w:t>
      </w:r>
      <w:r w:rsidR="0022207B" w:rsidRPr="00DF19B2">
        <w:rPr>
          <w:lang w:val="en-GB"/>
        </w:rPr>
        <w:t xml:space="preserve"> </w:t>
      </w:r>
      <w:r w:rsidR="00E230CF" w:rsidRPr="00DF19B2">
        <w:rPr>
          <w:lang w:val="en-GB"/>
        </w:rPr>
        <w:t xml:space="preserve">because the data </w:t>
      </w:r>
      <w:r w:rsidR="009571E2" w:rsidRPr="00620826">
        <w:rPr>
          <w:lang w:val="en-GB"/>
        </w:rPr>
        <w:t xml:space="preserve">are </w:t>
      </w:r>
      <w:r w:rsidR="00E230CF" w:rsidRPr="00DF19B2">
        <w:rPr>
          <w:lang w:val="en-GB"/>
        </w:rPr>
        <w:t>already relatively mature,</w:t>
      </w:r>
      <w:r w:rsidR="00AD6105" w:rsidRPr="00DF19B2">
        <w:rPr>
          <w:lang w:val="en-GB"/>
        </w:rPr>
        <w:t xml:space="preserve"> </w:t>
      </w:r>
      <w:r w:rsidR="009571E2" w:rsidRPr="00620826">
        <w:rPr>
          <w:lang w:val="en-GB"/>
        </w:rPr>
        <w:t xml:space="preserve">the company </w:t>
      </w:r>
      <w:r w:rsidR="00AD6105" w:rsidRPr="00DF19B2">
        <w:rPr>
          <w:lang w:val="en-GB"/>
        </w:rPr>
        <w:t xml:space="preserve">does not expect </w:t>
      </w:r>
      <w:r w:rsidR="00E230CF" w:rsidRPr="00DF19B2">
        <w:rPr>
          <w:lang w:val="en-GB"/>
        </w:rPr>
        <w:t xml:space="preserve">that this will </w:t>
      </w:r>
      <w:r w:rsidR="009571E2" w:rsidRPr="00620826">
        <w:rPr>
          <w:lang w:val="en-GB"/>
        </w:rPr>
        <w:t xml:space="preserve">substantially </w:t>
      </w:r>
      <w:r w:rsidR="00AD6105" w:rsidRPr="00DF19B2">
        <w:rPr>
          <w:lang w:val="en-GB"/>
        </w:rPr>
        <w:t xml:space="preserve">reduce </w:t>
      </w:r>
      <w:r w:rsidR="00AE4B16">
        <w:rPr>
          <w:lang w:val="en-GB"/>
        </w:rPr>
        <w:t xml:space="preserve">the </w:t>
      </w:r>
      <w:r w:rsidR="00AD6105" w:rsidRPr="00DF19B2">
        <w:rPr>
          <w:lang w:val="en-GB"/>
        </w:rPr>
        <w:t>clinical uncertaint</w:t>
      </w:r>
      <w:r w:rsidR="00E230CF" w:rsidRPr="00DF19B2">
        <w:rPr>
          <w:lang w:val="en-GB"/>
        </w:rPr>
        <w:t>y</w:t>
      </w:r>
      <w:r w:rsidR="00BD169C" w:rsidRPr="00DF19B2">
        <w:rPr>
          <w:lang w:val="en-GB"/>
        </w:rPr>
        <w:t xml:space="preserve">. The </w:t>
      </w:r>
      <w:r w:rsidR="00BD169C" w:rsidRPr="00DF19B2">
        <w:rPr>
          <w:lang w:val="en-GB"/>
        </w:rPr>
        <w:lastRenderedPageBreak/>
        <w:t>committee</w:t>
      </w:r>
      <w:r w:rsidR="00E60005" w:rsidRPr="00DF19B2">
        <w:rPr>
          <w:lang w:val="en-GB"/>
        </w:rPr>
        <w:t xml:space="preserve"> concluded that the data suggest that atezolizumab plus nab-paclitaxel increases </w:t>
      </w:r>
      <w:r w:rsidR="00E60005" w:rsidRPr="00DF19B2">
        <w:rPr>
          <w:lang w:val="en-US"/>
        </w:rPr>
        <w:t>overall survival in patients with triple</w:t>
      </w:r>
      <w:r w:rsidR="00AE4B16">
        <w:rPr>
          <w:lang w:val="en-US"/>
        </w:rPr>
        <w:t>-</w:t>
      </w:r>
      <w:r w:rsidR="00E60005" w:rsidRPr="00DF19B2">
        <w:rPr>
          <w:lang w:val="en-US"/>
        </w:rPr>
        <w:t xml:space="preserve">negative </w:t>
      </w:r>
      <w:r w:rsidR="00F12DB9">
        <w:rPr>
          <w:lang w:val="en-US"/>
        </w:rPr>
        <w:t>advanced</w:t>
      </w:r>
      <w:r w:rsidR="00F12DB9" w:rsidRPr="00DF19B2">
        <w:rPr>
          <w:lang w:val="en-US"/>
        </w:rPr>
        <w:t xml:space="preserve"> </w:t>
      </w:r>
      <w:r w:rsidR="00E60005" w:rsidRPr="00DF19B2">
        <w:rPr>
          <w:lang w:val="en-US"/>
        </w:rPr>
        <w:t xml:space="preserve">breast </w:t>
      </w:r>
      <w:proofErr w:type="spellStart"/>
      <w:r w:rsidR="00E60005" w:rsidRPr="00DF19B2">
        <w:rPr>
          <w:lang w:val="en-US"/>
        </w:rPr>
        <w:t>cance</w:t>
      </w:r>
      <w:proofErr w:type="spellEnd"/>
      <w:r w:rsidR="00E60005" w:rsidRPr="00DF19B2">
        <w:rPr>
          <w:lang w:val="en-GB"/>
        </w:rPr>
        <w:t>r</w:t>
      </w:r>
      <w:r w:rsidR="009571E2" w:rsidRPr="00620826">
        <w:rPr>
          <w:lang w:val="en-GB"/>
        </w:rPr>
        <w:t>. H</w:t>
      </w:r>
      <w:r w:rsidR="00AD6105" w:rsidRPr="00DF19B2">
        <w:rPr>
          <w:lang w:val="en-GB"/>
        </w:rPr>
        <w:t>owever</w:t>
      </w:r>
      <w:r w:rsidR="009571E2" w:rsidRPr="00620826">
        <w:rPr>
          <w:lang w:val="en-GB"/>
        </w:rPr>
        <w:t>,</w:t>
      </w:r>
      <w:r w:rsidR="00AD6105" w:rsidRPr="00DF19B2">
        <w:rPr>
          <w:lang w:val="en-GB"/>
        </w:rPr>
        <w:t xml:space="preserve"> it noted that the results </w:t>
      </w:r>
      <w:r w:rsidR="009571E2" w:rsidRPr="00620826">
        <w:rPr>
          <w:lang w:val="en-GB"/>
        </w:rPr>
        <w:t>we</w:t>
      </w:r>
      <w:r w:rsidR="00AD6105" w:rsidRPr="00DF19B2">
        <w:rPr>
          <w:lang w:val="en-GB"/>
        </w:rPr>
        <w:t>re not from a formal analysis</w:t>
      </w:r>
      <w:r w:rsidR="001E3904" w:rsidRPr="00BD169C">
        <w:rPr>
          <w:lang w:val="en-GB"/>
        </w:rPr>
        <w:t>.</w:t>
      </w:r>
      <w:bookmarkEnd w:id="4"/>
    </w:p>
    <w:p w14:paraId="4C348D62" w14:textId="3EA61D20" w:rsidR="002D6F51" w:rsidRDefault="003F3793" w:rsidP="002D6F51">
      <w:pPr>
        <w:pStyle w:val="Heading2"/>
      </w:pPr>
      <w:r>
        <w:t>Indirect c</w:t>
      </w:r>
      <w:r w:rsidR="002D6F51">
        <w:t>omparison with taxanes</w:t>
      </w:r>
    </w:p>
    <w:p w14:paraId="4EBF8432" w14:textId="6B07EE1C" w:rsidR="002D6F51" w:rsidRDefault="002D6F51" w:rsidP="002D6F51">
      <w:pPr>
        <w:pStyle w:val="Heading3"/>
      </w:pPr>
      <w:r>
        <w:t xml:space="preserve">The company’s network </w:t>
      </w:r>
      <w:r w:rsidR="003D703D">
        <w:t>meta-analysis</w:t>
      </w:r>
      <w:r w:rsidR="00FC4D95">
        <w:t xml:space="preserve"> </w:t>
      </w:r>
      <w:r w:rsidR="003A3EAD">
        <w:t>is not reliable and lacks face validity</w:t>
      </w:r>
    </w:p>
    <w:p w14:paraId="170882B1" w14:textId="1B9E194A" w:rsidR="003D5297" w:rsidRPr="00312AFA" w:rsidRDefault="00940B79" w:rsidP="0096142E">
      <w:pPr>
        <w:pStyle w:val="Numberedlevel2text"/>
      </w:pPr>
      <w:bookmarkStart w:id="5" w:name="_Ref19278139"/>
      <w:bookmarkStart w:id="6" w:name="_Ref19115401"/>
      <w:r w:rsidRPr="00DF19B2">
        <w:rPr>
          <w:lang w:val="en-GB"/>
        </w:rPr>
        <w:t xml:space="preserve">In the absence of </w:t>
      </w:r>
      <w:r w:rsidR="002D7938" w:rsidRPr="00DF19B2">
        <w:rPr>
          <w:lang w:val="en-GB"/>
        </w:rPr>
        <w:t xml:space="preserve">a </w:t>
      </w:r>
      <w:r w:rsidRPr="00DF19B2">
        <w:rPr>
          <w:lang w:val="en-GB"/>
        </w:rPr>
        <w:t>head-to-head trial</w:t>
      </w:r>
      <w:r w:rsidR="009A1E4A" w:rsidRPr="00DF19B2">
        <w:rPr>
          <w:lang w:val="en-GB"/>
        </w:rPr>
        <w:t xml:space="preserve"> comparing </w:t>
      </w:r>
      <w:r w:rsidR="009A1E4A" w:rsidRPr="00C54A34">
        <w:rPr>
          <w:lang w:val="en-GB"/>
        </w:rPr>
        <w:t>atezolizumab plus nab-paclitaxel</w:t>
      </w:r>
      <w:r w:rsidR="009A1E4A" w:rsidRPr="00DF19B2">
        <w:rPr>
          <w:lang w:val="en-GB"/>
        </w:rPr>
        <w:t xml:space="preserve"> with </w:t>
      </w:r>
      <w:r w:rsidR="007D67FA" w:rsidRPr="00DF19B2">
        <w:rPr>
          <w:lang w:val="en-GB"/>
        </w:rPr>
        <w:t xml:space="preserve">weekly </w:t>
      </w:r>
      <w:r w:rsidR="003D4994" w:rsidRPr="00DF19B2">
        <w:rPr>
          <w:lang w:val="en-GB"/>
        </w:rPr>
        <w:t>paclitaxel and docetaxel</w:t>
      </w:r>
      <w:r w:rsidR="00BB2FD5" w:rsidRPr="00DF19B2">
        <w:rPr>
          <w:lang w:val="en-GB"/>
        </w:rPr>
        <w:t>, the company presented a type of network meta-analysis (NMA)</w:t>
      </w:r>
      <w:r w:rsidR="004D5F40" w:rsidRPr="00DF19B2">
        <w:rPr>
          <w:lang w:val="en-GB"/>
        </w:rPr>
        <w:t xml:space="preserve"> known as</w:t>
      </w:r>
      <w:r w:rsidR="00BB2FD5" w:rsidRPr="00DF19B2">
        <w:rPr>
          <w:lang w:val="en-GB"/>
        </w:rPr>
        <w:t xml:space="preserve"> a population</w:t>
      </w:r>
      <w:r w:rsidR="00AE4B16">
        <w:rPr>
          <w:lang w:val="en-GB"/>
        </w:rPr>
        <w:t>-</w:t>
      </w:r>
      <w:r w:rsidR="00BB2FD5" w:rsidRPr="00DF19B2">
        <w:rPr>
          <w:lang w:val="en-GB"/>
        </w:rPr>
        <w:t>adjusted indirect comparison</w:t>
      </w:r>
      <w:r w:rsidR="002A0651" w:rsidRPr="00620826">
        <w:rPr>
          <w:lang w:val="en-GB"/>
        </w:rPr>
        <w:t>. This</w:t>
      </w:r>
      <w:r w:rsidR="003D4994" w:rsidRPr="00DF19B2">
        <w:rPr>
          <w:lang w:val="en-GB"/>
        </w:rPr>
        <w:t xml:space="preserve"> </w:t>
      </w:r>
      <w:r w:rsidR="00BB2FD5" w:rsidRPr="00DF19B2">
        <w:rPr>
          <w:lang w:val="en-GB"/>
        </w:rPr>
        <w:t>method</w:t>
      </w:r>
      <w:r w:rsidR="00911D28" w:rsidRPr="00DF19B2">
        <w:rPr>
          <w:lang w:val="en-GB"/>
        </w:rPr>
        <w:t xml:space="preserve"> </w:t>
      </w:r>
      <w:r w:rsidR="00AE4B16">
        <w:rPr>
          <w:lang w:val="en-GB"/>
        </w:rPr>
        <w:t xml:space="preserve">is </w:t>
      </w:r>
      <w:r w:rsidR="00BB2FD5" w:rsidRPr="00DF19B2">
        <w:rPr>
          <w:lang w:val="en-GB"/>
        </w:rPr>
        <w:t>used to link studies in unconnected networks.</w:t>
      </w:r>
      <w:r w:rsidR="004D5F40" w:rsidRPr="00DF19B2">
        <w:rPr>
          <w:lang w:val="en-GB"/>
        </w:rPr>
        <w:t xml:space="preserve"> </w:t>
      </w:r>
      <w:r w:rsidR="002A0651" w:rsidRPr="00620826">
        <w:rPr>
          <w:lang w:val="en-GB"/>
        </w:rPr>
        <w:t>There were 7 </w:t>
      </w:r>
      <w:r w:rsidR="004D5F40" w:rsidRPr="00DF19B2">
        <w:rPr>
          <w:lang w:val="en-GB"/>
        </w:rPr>
        <w:t xml:space="preserve">trials in the </w:t>
      </w:r>
      <w:r w:rsidR="001D09BB" w:rsidRPr="00620826">
        <w:rPr>
          <w:lang w:val="en-GB"/>
        </w:rPr>
        <w:t xml:space="preserve">overall-survival </w:t>
      </w:r>
      <w:r w:rsidR="004D5F40" w:rsidRPr="00DF19B2">
        <w:rPr>
          <w:lang w:val="en-GB"/>
        </w:rPr>
        <w:t xml:space="preserve">analysis and 8 in the </w:t>
      </w:r>
      <w:r w:rsidR="001D09BB" w:rsidRPr="00620826">
        <w:rPr>
          <w:lang w:val="en-GB"/>
        </w:rPr>
        <w:t>progression-free survival</w:t>
      </w:r>
      <w:r w:rsidR="004D5F40" w:rsidRPr="00DF19B2">
        <w:rPr>
          <w:lang w:val="en-GB"/>
        </w:rPr>
        <w:t xml:space="preserve"> analysis</w:t>
      </w:r>
      <w:r w:rsidR="00884F08" w:rsidRPr="00DF19B2">
        <w:rPr>
          <w:lang w:val="en-GB"/>
        </w:rPr>
        <w:t xml:space="preserve">. </w:t>
      </w:r>
      <w:r w:rsidR="00CC649F" w:rsidRPr="004F6A5A">
        <w:rPr>
          <w:lang w:val="en-GB"/>
        </w:rPr>
        <w:t xml:space="preserve">The committee heard from the ERG that the methods used in the NMA were broadly appropriate. </w:t>
      </w:r>
      <w:r w:rsidR="00AE4B16">
        <w:rPr>
          <w:lang w:val="en-GB"/>
        </w:rPr>
        <w:t>However</w:t>
      </w:r>
      <w:r w:rsidR="00CC649F" w:rsidRPr="004F6A5A">
        <w:rPr>
          <w:lang w:val="en-GB"/>
        </w:rPr>
        <w:t>, the ERG had concerns about</w:t>
      </w:r>
      <w:r w:rsidR="000922CE">
        <w:rPr>
          <w:lang w:val="en-GB"/>
        </w:rPr>
        <w:t xml:space="preserve"> </w:t>
      </w:r>
      <w:r w:rsidR="00CC649F" w:rsidRPr="004F6A5A">
        <w:rPr>
          <w:lang w:val="en-GB"/>
        </w:rPr>
        <w:t xml:space="preserve">the approach </w:t>
      </w:r>
      <w:r w:rsidR="00AE4B16">
        <w:rPr>
          <w:lang w:val="en-GB"/>
        </w:rPr>
        <w:t xml:space="preserve">used </w:t>
      </w:r>
      <w:r w:rsidR="00CC649F" w:rsidRPr="004F6A5A">
        <w:rPr>
          <w:lang w:val="en-GB"/>
        </w:rPr>
        <w:t>to estimate the survival times</w:t>
      </w:r>
      <w:r w:rsidR="00CB2381">
        <w:rPr>
          <w:lang w:val="en-GB"/>
        </w:rPr>
        <w:t>, and the assumption</w:t>
      </w:r>
      <w:r w:rsidR="00AE4B16">
        <w:rPr>
          <w:lang w:val="en-GB"/>
        </w:rPr>
        <w:t xml:space="preserve"> that </w:t>
      </w:r>
      <w:r w:rsidR="00CC649F" w:rsidRPr="004F6A5A">
        <w:rPr>
          <w:lang w:val="en-GB"/>
        </w:rPr>
        <w:t xml:space="preserve">the results from patients with unknown PD-L1 disease status </w:t>
      </w:r>
      <w:r w:rsidR="00A45F63">
        <w:rPr>
          <w:lang w:val="en-GB"/>
        </w:rPr>
        <w:t>were</w:t>
      </w:r>
      <w:r w:rsidR="00CC649F" w:rsidRPr="004F6A5A">
        <w:rPr>
          <w:lang w:val="en-GB"/>
        </w:rPr>
        <w:t xml:space="preserve"> generalisable to the subgroup with PD-L1 disease</w:t>
      </w:r>
      <w:r w:rsidR="00A45F63">
        <w:rPr>
          <w:lang w:val="en-GB"/>
        </w:rPr>
        <w:t xml:space="preserve">. </w:t>
      </w:r>
      <w:r w:rsidR="00AE4B16">
        <w:rPr>
          <w:lang w:val="en-GB"/>
        </w:rPr>
        <w:t>It was</w:t>
      </w:r>
      <w:r w:rsidR="00A45F63">
        <w:rPr>
          <w:lang w:val="en-GB"/>
        </w:rPr>
        <w:t xml:space="preserve"> also concerned about</w:t>
      </w:r>
      <w:r w:rsidR="00CC649F" w:rsidRPr="004F6A5A">
        <w:rPr>
          <w:lang w:val="en-GB"/>
        </w:rPr>
        <w:t xml:space="preserve"> the limited data on baseline characteristics on which </w:t>
      </w:r>
      <w:r w:rsidR="00A45F63">
        <w:rPr>
          <w:lang w:val="en-GB"/>
        </w:rPr>
        <w:t>the matching of studies could be based</w:t>
      </w:r>
      <w:r w:rsidR="00CC649F" w:rsidRPr="004F6A5A">
        <w:rPr>
          <w:lang w:val="en-GB"/>
        </w:rPr>
        <w:t xml:space="preserve">. </w:t>
      </w:r>
      <w:r w:rsidR="00AE4B16">
        <w:rPr>
          <w:lang w:val="en-GB"/>
        </w:rPr>
        <w:t>Also</w:t>
      </w:r>
      <w:r w:rsidR="004B5E5A">
        <w:rPr>
          <w:lang w:val="en-GB"/>
        </w:rPr>
        <w:t>, the</w:t>
      </w:r>
      <w:r w:rsidR="00EA120D" w:rsidRPr="00DF19B2">
        <w:rPr>
          <w:lang w:val="en-GB"/>
        </w:rPr>
        <w:t xml:space="preserve"> results of the NMA </w:t>
      </w:r>
      <w:r w:rsidR="002A0651" w:rsidRPr="00620826">
        <w:rPr>
          <w:lang w:val="en-GB"/>
        </w:rPr>
        <w:t xml:space="preserve">were </w:t>
      </w:r>
      <w:r w:rsidR="00EA120D" w:rsidRPr="00DF19B2">
        <w:rPr>
          <w:lang w:val="en-GB"/>
        </w:rPr>
        <w:t>associated with high uncertainty because</w:t>
      </w:r>
      <w:r w:rsidR="00C21F79" w:rsidRPr="00DF19B2">
        <w:rPr>
          <w:lang w:val="en-GB"/>
        </w:rPr>
        <w:t xml:space="preserve"> </w:t>
      </w:r>
      <w:r w:rsidR="00B51D0E" w:rsidRPr="00DF19B2">
        <w:rPr>
          <w:lang w:val="en-GB"/>
        </w:rPr>
        <w:t xml:space="preserve">the </w:t>
      </w:r>
      <w:r w:rsidR="00EA120D" w:rsidRPr="00DF19B2">
        <w:rPr>
          <w:lang w:val="en-GB"/>
        </w:rPr>
        <w:t xml:space="preserve">credible intervals around the point estimates of the </w:t>
      </w:r>
      <w:r w:rsidR="009A1E4A" w:rsidRPr="00DF19B2">
        <w:rPr>
          <w:lang w:val="en-GB"/>
        </w:rPr>
        <w:t xml:space="preserve">hazard ratios </w:t>
      </w:r>
      <w:r w:rsidR="002A0651" w:rsidRPr="00620826">
        <w:rPr>
          <w:lang w:val="en-GB"/>
        </w:rPr>
        <w:t xml:space="preserve">were </w:t>
      </w:r>
      <w:r w:rsidR="00EA120D" w:rsidRPr="00DF19B2">
        <w:rPr>
          <w:lang w:val="en-GB"/>
        </w:rPr>
        <w:t>very wide</w:t>
      </w:r>
      <w:r w:rsidR="002A0651" w:rsidRPr="00620826">
        <w:rPr>
          <w:lang w:val="en-GB"/>
        </w:rPr>
        <w:t>.</w:t>
      </w:r>
      <w:r w:rsidR="00505AFC">
        <w:rPr>
          <w:lang w:val="en-US"/>
        </w:rPr>
        <w:t xml:space="preserve"> The ERG advised that the results should be interpreted with caution. </w:t>
      </w:r>
      <w:r w:rsidR="002A0651" w:rsidRPr="00620826">
        <w:rPr>
          <w:lang w:val="en-GB"/>
        </w:rPr>
        <w:t>This made</w:t>
      </w:r>
      <w:r w:rsidR="00EA120D" w:rsidRPr="00DF19B2">
        <w:rPr>
          <w:lang w:val="en-GB"/>
        </w:rPr>
        <w:t xml:space="preserve"> it difficult to assess whether the effectiveness </w:t>
      </w:r>
      <w:r w:rsidR="003D4994" w:rsidRPr="00DF19B2">
        <w:rPr>
          <w:lang w:val="en-GB"/>
        </w:rPr>
        <w:t xml:space="preserve">of </w:t>
      </w:r>
      <w:r w:rsidR="00EA120D" w:rsidRPr="00DF19B2">
        <w:rPr>
          <w:lang w:val="en-GB"/>
        </w:rPr>
        <w:t>the treatment</w:t>
      </w:r>
      <w:r w:rsidR="00FC4D95" w:rsidRPr="00DF19B2">
        <w:rPr>
          <w:lang w:val="en-GB"/>
        </w:rPr>
        <w:t>s</w:t>
      </w:r>
      <w:r w:rsidR="00EA120D" w:rsidRPr="00DF19B2">
        <w:rPr>
          <w:lang w:val="en-GB"/>
        </w:rPr>
        <w:t xml:space="preserve"> is different. The committee </w:t>
      </w:r>
      <w:r w:rsidR="007B7E58" w:rsidRPr="00DF19B2">
        <w:rPr>
          <w:lang w:val="en-GB"/>
        </w:rPr>
        <w:t>discussed</w:t>
      </w:r>
      <w:r w:rsidR="00EA120D" w:rsidRPr="00DF19B2">
        <w:rPr>
          <w:lang w:val="en-GB"/>
        </w:rPr>
        <w:t xml:space="preserve"> </w:t>
      </w:r>
      <w:r w:rsidR="007B7E58" w:rsidRPr="00DF19B2">
        <w:rPr>
          <w:lang w:val="en-GB"/>
        </w:rPr>
        <w:t xml:space="preserve">the methodology used in the NMA and the steps </w:t>
      </w:r>
      <w:r w:rsidR="00B35FB1" w:rsidRPr="00DF19B2">
        <w:rPr>
          <w:lang w:val="en-GB"/>
        </w:rPr>
        <w:t xml:space="preserve">taken to adjust for heterogeneity in patient characteristics </w:t>
      </w:r>
      <w:r w:rsidR="001D09BB" w:rsidRPr="00620826">
        <w:rPr>
          <w:lang w:val="en-GB"/>
        </w:rPr>
        <w:t>among</w:t>
      </w:r>
      <w:r w:rsidR="00B35FB1" w:rsidRPr="00DF19B2">
        <w:rPr>
          <w:lang w:val="en-GB"/>
        </w:rPr>
        <w:t xml:space="preserve"> the trials. </w:t>
      </w:r>
      <w:r w:rsidR="00E230CF" w:rsidRPr="00DF19B2">
        <w:rPr>
          <w:lang w:val="en-GB"/>
        </w:rPr>
        <w:t>It heard that the company adjusted for</w:t>
      </w:r>
      <w:r w:rsidR="00EA120D" w:rsidRPr="00DF19B2">
        <w:rPr>
          <w:lang w:val="en-GB"/>
        </w:rPr>
        <w:t xml:space="preserve"> </w:t>
      </w:r>
      <w:r w:rsidR="00B35FB1" w:rsidRPr="00DF19B2">
        <w:rPr>
          <w:lang w:val="en-GB"/>
        </w:rPr>
        <w:t xml:space="preserve">age, </w:t>
      </w:r>
      <w:r w:rsidR="002A0651" w:rsidRPr="00620826">
        <w:rPr>
          <w:lang w:val="en-GB"/>
        </w:rPr>
        <w:t>Eastern Cooperative Oncology Group</w:t>
      </w:r>
      <w:r w:rsidR="00DF19B2">
        <w:rPr>
          <w:lang w:val="en-GB"/>
        </w:rPr>
        <w:t xml:space="preserve"> (ECOG)</w:t>
      </w:r>
      <w:r w:rsidR="00B35FB1" w:rsidRPr="00DF19B2">
        <w:rPr>
          <w:lang w:val="en-GB"/>
        </w:rPr>
        <w:t xml:space="preserve"> status, </w:t>
      </w:r>
      <w:r w:rsidR="004F7361">
        <w:rPr>
          <w:lang w:val="en-GB"/>
        </w:rPr>
        <w:t>pr</w:t>
      </w:r>
      <w:r w:rsidR="009832A4">
        <w:rPr>
          <w:lang w:val="en-GB"/>
        </w:rPr>
        <w:t>e</w:t>
      </w:r>
      <w:r w:rsidR="004F7361">
        <w:rPr>
          <w:lang w:val="en-GB"/>
        </w:rPr>
        <w:t>vious</w:t>
      </w:r>
      <w:r w:rsidR="004F7361" w:rsidRPr="00620826">
        <w:rPr>
          <w:lang w:val="en-GB"/>
        </w:rPr>
        <w:t xml:space="preserve"> </w:t>
      </w:r>
      <w:proofErr w:type="spellStart"/>
      <w:r w:rsidR="00B35FB1" w:rsidRPr="00DF19B2">
        <w:rPr>
          <w:lang w:val="en-GB"/>
        </w:rPr>
        <w:t>taxane</w:t>
      </w:r>
      <w:proofErr w:type="spellEnd"/>
      <w:r w:rsidR="00B35FB1" w:rsidRPr="00DF19B2">
        <w:rPr>
          <w:lang w:val="en-GB"/>
        </w:rPr>
        <w:t xml:space="preserve"> use, </w:t>
      </w:r>
      <w:r w:rsidR="002A0651" w:rsidRPr="00620826">
        <w:rPr>
          <w:lang w:val="en-GB"/>
        </w:rPr>
        <w:t xml:space="preserve">and the </w:t>
      </w:r>
      <w:r w:rsidR="00B35FB1" w:rsidRPr="00DF19B2">
        <w:rPr>
          <w:lang w:val="en-GB"/>
        </w:rPr>
        <w:t xml:space="preserve">proportion of patients with liver metastases, visceral disease </w:t>
      </w:r>
      <w:r w:rsidR="00ED3861" w:rsidRPr="00DF19B2">
        <w:rPr>
          <w:lang w:val="en-GB"/>
        </w:rPr>
        <w:t xml:space="preserve">and </w:t>
      </w:r>
      <w:r w:rsidR="00B35FB1" w:rsidRPr="00DF19B2">
        <w:rPr>
          <w:lang w:val="en-GB"/>
        </w:rPr>
        <w:t>bone metastases. The clinical experts confirmed that these are key characteristics that determine treatment response</w:t>
      </w:r>
      <w:r w:rsidR="008216B4" w:rsidRPr="00DF19B2">
        <w:rPr>
          <w:lang w:val="en-GB"/>
        </w:rPr>
        <w:t xml:space="preserve"> in this patient population</w:t>
      </w:r>
      <w:r w:rsidR="002A0651" w:rsidRPr="00620826">
        <w:rPr>
          <w:lang w:val="en-GB"/>
        </w:rPr>
        <w:t>. However, they</w:t>
      </w:r>
      <w:r w:rsidR="00911D28" w:rsidRPr="00DF19B2">
        <w:rPr>
          <w:lang w:val="en-GB"/>
        </w:rPr>
        <w:t xml:space="preserve"> also highlighted that time </w:t>
      </w:r>
      <w:r w:rsidR="00CC649F">
        <w:rPr>
          <w:lang w:val="en-GB"/>
        </w:rPr>
        <w:t xml:space="preserve">from previous </w:t>
      </w:r>
      <w:r w:rsidR="00CC649F">
        <w:rPr>
          <w:lang w:val="en-GB"/>
        </w:rPr>
        <w:lastRenderedPageBreak/>
        <w:t>treatment</w:t>
      </w:r>
      <w:r w:rsidR="00CB2381">
        <w:rPr>
          <w:lang w:val="en-GB"/>
        </w:rPr>
        <w:t xml:space="preserve"> and</w:t>
      </w:r>
      <w:r w:rsidR="00CC649F">
        <w:rPr>
          <w:lang w:val="en-GB"/>
        </w:rPr>
        <w:t xml:space="preserve"> proportion of de novo metastases are</w:t>
      </w:r>
      <w:r w:rsidR="00911D28" w:rsidRPr="00DF19B2">
        <w:rPr>
          <w:lang w:val="en-GB"/>
        </w:rPr>
        <w:t xml:space="preserve"> also </w:t>
      </w:r>
      <w:r w:rsidR="00911D28" w:rsidRPr="00620826">
        <w:rPr>
          <w:lang w:val="en-GB"/>
        </w:rPr>
        <w:t>a</w:t>
      </w:r>
      <w:r w:rsidR="002A0651" w:rsidRPr="00620826">
        <w:rPr>
          <w:lang w:val="en-GB"/>
        </w:rPr>
        <w:t>n important</w:t>
      </w:r>
      <w:r w:rsidR="00911D28" w:rsidRPr="00DF19B2">
        <w:rPr>
          <w:lang w:val="en-GB"/>
        </w:rPr>
        <w:t xml:space="preserve"> determinant of response to </w:t>
      </w:r>
      <w:r w:rsidR="00911D28" w:rsidRPr="00CC649F">
        <w:rPr>
          <w:lang w:val="en-GB"/>
        </w:rPr>
        <w:t>further treatments and prognosis.</w:t>
      </w:r>
      <w:r w:rsidR="00B35FB1" w:rsidRPr="00CC649F">
        <w:rPr>
          <w:lang w:val="en-GB"/>
        </w:rPr>
        <w:t xml:space="preserve"> </w:t>
      </w:r>
      <w:r w:rsidR="00CC649F" w:rsidRPr="004F6A5A">
        <w:rPr>
          <w:lang w:val="en-US"/>
        </w:rPr>
        <w:t>Data on these characteristics were not included in the NMA. The committee heard from the company that, in order to connect trials together in the NMA, they created virtual trials using observational data analysis techniques where patients in one study were propensity</w:t>
      </w:r>
      <w:r w:rsidR="00C224AF">
        <w:rPr>
          <w:lang w:val="en-US"/>
        </w:rPr>
        <w:t>-</w:t>
      </w:r>
      <w:r w:rsidR="00CC649F" w:rsidRPr="004F6A5A">
        <w:rPr>
          <w:lang w:val="en-US"/>
        </w:rPr>
        <w:t xml:space="preserve">score matched to patients in another study. The committee noted the importance of having the relevant data on patient characteristics </w:t>
      </w:r>
      <w:proofErr w:type="gramStart"/>
      <w:r w:rsidR="00CC649F" w:rsidRPr="004F6A5A">
        <w:rPr>
          <w:lang w:val="en-US"/>
        </w:rPr>
        <w:t>in order for</w:t>
      </w:r>
      <w:proofErr w:type="gramEnd"/>
      <w:r w:rsidR="00CC649F" w:rsidRPr="004F6A5A">
        <w:rPr>
          <w:lang w:val="en-US"/>
        </w:rPr>
        <w:t xml:space="preserve"> the match to be appropriate and the resulting </w:t>
      </w:r>
      <w:r w:rsidR="00C224AF">
        <w:rPr>
          <w:lang w:val="en-US"/>
        </w:rPr>
        <w:t>‘</w:t>
      </w:r>
      <w:r w:rsidR="00CC649F" w:rsidRPr="004F6A5A">
        <w:rPr>
          <w:lang w:val="en-US"/>
        </w:rPr>
        <w:t>virtual study</w:t>
      </w:r>
      <w:r w:rsidR="00C224AF">
        <w:rPr>
          <w:lang w:val="en-US"/>
        </w:rPr>
        <w:t>’</w:t>
      </w:r>
      <w:r w:rsidR="00CC649F" w:rsidRPr="004F6A5A">
        <w:rPr>
          <w:lang w:val="en-US"/>
        </w:rPr>
        <w:t xml:space="preserve"> </w:t>
      </w:r>
      <w:r w:rsidR="00C224AF">
        <w:rPr>
          <w:lang w:val="en-US"/>
        </w:rPr>
        <w:t xml:space="preserve">to </w:t>
      </w:r>
      <w:r w:rsidR="00CC649F" w:rsidRPr="004F6A5A">
        <w:rPr>
          <w:lang w:val="en-US"/>
        </w:rPr>
        <w:t>be unbiased. The committee discussed the face validity of the NMA results. T</w:t>
      </w:r>
      <w:r w:rsidR="00CC649F" w:rsidRPr="003F7491">
        <w:rPr>
          <w:lang w:val="en-US"/>
        </w:rPr>
        <w:t xml:space="preserve">he NMA predicted </w:t>
      </w:r>
      <w:r w:rsidR="00CC649F" w:rsidRPr="00DF19B2">
        <w:rPr>
          <w:lang w:val="en-GB"/>
        </w:rPr>
        <w:t xml:space="preserve">higher </w:t>
      </w:r>
      <w:r w:rsidR="00CC649F" w:rsidRPr="00620826">
        <w:rPr>
          <w:lang w:val="en-GB"/>
        </w:rPr>
        <w:t xml:space="preserve">overall survival </w:t>
      </w:r>
      <w:r w:rsidR="00CC649F" w:rsidRPr="00DF19B2">
        <w:rPr>
          <w:lang w:val="en-GB"/>
        </w:rPr>
        <w:t>for docetaxel and paclitaxel compared with nab-paclitaxel in the first 5</w:t>
      </w:r>
      <w:r w:rsidR="00CC649F" w:rsidRPr="00620826">
        <w:rPr>
          <w:lang w:val="en-GB"/>
        </w:rPr>
        <w:t> </w:t>
      </w:r>
      <w:r w:rsidR="00CC649F" w:rsidRPr="00DF19B2">
        <w:rPr>
          <w:lang w:val="en-GB"/>
        </w:rPr>
        <w:t xml:space="preserve">months and then higher </w:t>
      </w:r>
      <w:r w:rsidR="00CC649F" w:rsidRPr="00620826">
        <w:rPr>
          <w:lang w:val="en-GB"/>
        </w:rPr>
        <w:t xml:space="preserve">overall survival </w:t>
      </w:r>
      <w:r w:rsidR="00CC649F" w:rsidRPr="00DF19B2">
        <w:rPr>
          <w:lang w:val="en-GB"/>
        </w:rPr>
        <w:t>for nab-paclitaxel after 5</w:t>
      </w:r>
      <w:r w:rsidR="00CC649F" w:rsidRPr="00620826">
        <w:rPr>
          <w:lang w:val="en-GB"/>
        </w:rPr>
        <w:t> </w:t>
      </w:r>
      <w:r w:rsidR="00CC649F" w:rsidRPr="00DF19B2">
        <w:rPr>
          <w:lang w:val="en-GB"/>
        </w:rPr>
        <w:t>months</w:t>
      </w:r>
      <w:r w:rsidR="00CC649F" w:rsidRPr="004F6A5A">
        <w:rPr>
          <w:lang w:val="en-US"/>
        </w:rPr>
        <w:t>. The clinical experts confirmed that paclitaxel and na</w:t>
      </w:r>
      <w:r w:rsidR="009832A4">
        <w:rPr>
          <w:lang w:val="en-US"/>
        </w:rPr>
        <w:t>b</w:t>
      </w:r>
      <w:r w:rsidR="00CC649F" w:rsidRPr="004F6A5A">
        <w:rPr>
          <w:lang w:val="en-US"/>
        </w:rPr>
        <w:t xml:space="preserve">-paclitaxel </w:t>
      </w:r>
      <w:r w:rsidR="00AA69D1">
        <w:rPr>
          <w:lang w:val="en-US"/>
        </w:rPr>
        <w:t>are</w:t>
      </w:r>
      <w:r w:rsidR="00AA69D1" w:rsidRPr="004F6A5A">
        <w:rPr>
          <w:lang w:val="en-US"/>
        </w:rPr>
        <w:t xml:space="preserve"> </w:t>
      </w:r>
      <w:r w:rsidR="00CC649F" w:rsidRPr="004F6A5A">
        <w:rPr>
          <w:lang w:val="en-US"/>
        </w:rPr>
        <w:t xml:space="preserve">very similar </w:t>
      </w:r>
      <w:r w:rsidR="00425DA8">
        <w:rPr>
          <w:lang w:val="en-US"/>
        </w:rPr>
        <w:t>therefore</w:t>
      </w:r>
      <w:r w:rsidR="00CC649F" w:rsidRPr="004F6A5A">
        <w:rPr>
          <w:lang w:val="en-US"/>
        </w:rPr>
        <w:t xml:space="preserve"> such differences were unlikely. Using the results of the NMA, the cost-effectiveness model predicted much larger differences in </w:t>
      </w:r>
      <w:r w:rsidR="00AA69D1">
        <w:rPr>
          <w:lang w:val="en-US"/>
        </w:rPr>
        <w:t>overall survival</w:t>
      </w:r>
      <w:r w:rsidR="00CC649F" w:rsidRPr="004F6A5A">
        <w:rPr>
          <w:lang w:val="en-US"/>
        </w:rPr>
        <w:t xml:space="preserve"> between na</w:t>
      </w:r>
      <w:r w:rsidR="009832A4">
        <w:rPr>
          <w:lang w:val="en-US"/>
        </w:rPr>
        <w:t>b</w:t>
      </w:r>
      <w:r w:rsidR="00CC649F" w:rsidRPr="004F6A5A">
        <w:rPr>
          <w:lang w:val="en-US"/>
        </w:rPr>
        <w:t xml:space="preserve">-paclitaxel and paclitaxel than those expected by the clinical experts. Furthermore, using the results of the NMA, the cost-effectiveness model predicted </w:t>
      </w:r>
      <w:r w:rsidR="009832A4" w:rsidRPr="00EA7D02">
        <w:rPr>
          <w:lang w:val="en-US"/>
        </w:rPr>
        <w:t xml:space="preserve">better </w:t>
      </w:r>
      <w:r w:rsidR="00AA69D1">
        <w:rPr>
          <w:lang w:val="en-US"/>
        </w:rPr>
        <w:t>overall survival</w:t>
      </w:r>
      <w:r w:rsidR="009832A4">
        <w:rPr>
          <w:lang w:val="en-US"/>
        </w:rPr>
        <w:t xml:space="preserve"> with</w:t>
      </w:r>
      <w:r w:rsidR="009832A4" w:rsidRPr="00EA7D02">
        <w:rPr>
          <w:lang w:val="en-US"/>
        </w:rPr>
        <w:t xml:space="preserve"> </w:t>
      </w:r>
      <w:r w:rsidR="00CC649F" w:rsidRPr="004F6A5A">
        <w:rPr>
          <w:lang w:val="en-US"/>
        </w:rPr>
        <w:t>do</w:t>
      </w:r>
      <w:r w:rsidR="00CC649F" w:rsidRPr="004F26BA">
        <w:rPr>
          <w:lang w:val="en-US"/>
        </w:rPr>
        <w:t xml:space="preserve">cetaxel </w:t>
      </w:r>
      <w:r w:rsidR="00CC649F" w:rsidRPr="00EA7D02">
        <w:rPr>
          <w:lang w:val="en-US"/>
        </w:rPr>
        <w:t xml:space="preserve">than </w:t>
      </w:r>
      <w:r w:rsidR="009832A4">
        <w:rPr>
          <w:lang w:val="en-US"/>
        </w:rPr>
        <w:t xml:space="preserve">with </w:t>
      </w:r>
      <w:r w:rsidR="00CC649F" w:rsidRPr="00EA7D02">
        <w:rPr>
          <w:lang w:val="en-US"/>
        </w:rPr>
        <w:t>paclitaxel</w:t>
      </w:r>
      <w:r w:rsidR="00AA69D1">
        <w:rPr>
          <w:lang w:val="en-US"/>
        </w:rPr>
        <w:t>,</w:t>
      </w:r>
      <w:r w:rsidR="00CC649F" w:rsidRPr="00EA7D02">
        <w:rPr>
          <w:lang w:val="en-US"/>
        </w:rPr>
        <w:t xml:space="preserve"> </w:t>
      </w:r>
      <w:r w:rsidR="009832A4">
        <w:rPr>
          <w:lang w:val="en-US"/>
        </w:rPr>
        <w:t xml:space="preserve">which </w:t>
      </w:r>
      <w:r w:rsidR="00AA69D1">
        <w:rPr>
          <w:lang w:val="en-US"/>
        </w:rPr>
        <w:t xml:space="preserve">is </w:t>
      </w:r>
      <w:r w:rsidR="009832A4">
        <w:rPr>
          <w:lang w:val="en-US"/>
        </w:rPr>
        <w:t>contrary to the expectations of the</w:t>
      </w:r>
      <w:r w:rsidR="00CC649F" w:rsidRPr="003F7491">
        <w:rPr>
          <w:lang w:val="en-US"/>
        </w:rPr>
        <w:t xml:space="preserve"> clinical experts. </w:t>
      </w:r>
      <w:r w:rsidR="00ED3861" w:rsidRPr="00CC649F">
        <w:rPr>
          <w:lang w:val="en-GB"/>
        </w:rPr>
        <w:t>The committee appreciated that the company</w:t>
      </w:r>
      <w:r w:rsidR="00996FF9" w:rsidRPr="00CC649F">
        <w:rPr>
          <w:lang w:val="en-GB"/>
        </w:rPr>
        <w:t>’s NMA incorporated the</w:t>
      </w:r>
      <w:r w:rsidR="00ED3861" w:rsidRPr="00CC649F">
        <w:rPr>
          <w:lang w:val="en-GB"/>
        </w:rPr>
        <w:t xml:space="preserve"> very limited evidence</w:t>
      </w:r>
      <w:r w:rsidR="00996FF9" w:rsidRPr="00CC649F">
        <w:rPr>
          <w:lang w:val="en-GB"/>
        </w:rPr>
        <w:t xml:space="preserve"> </w:t>
      </w:r>
      <w:r w:rsidR="00996FF9" w:rsidRPr="00DF19B2">
        <w:rPr>
          <w:lang w:val="en-GB"/>
        </w:rPr>
        <w:t>available</w:t>
      </w:r>
      <w:r w:rsidR="00ED3861" w:rsidRPr="00DF19B2">
        <w:rPr>
          <w:lang w:val="en-GB"/>
        </w:rPr>
        <w:t xml:space="preserve"> </w:t>
      </w:r>
      <w:r w:rsidR="00996FF9" w:rsidRPr="00DF19B2">
        <w:rPr>
          <w:lang w:val="en-GB"/>
        </w:rPr>
        <w:t>to estimate</w:t>
      </w:r>
      <w:r w:rsidR="00ED3861" w:rsidRPr="00DF19B2">
        <w:rPr>
          <w:lang w:val="en-GB"/>
        </w:rPr>
        <w:t xml:space="preserve"> the relative effectiveness of the treatments. H</w:t>
      </w:r>
      <w:r w:rsidR="008216B4" w:rsidRPr="00DF19B2">
        <w:rPr>
          <w:lang w:val="en-GB"/>
        </w:rPr>
        <w:t>owever</w:t>
      </w:r>
      <w:r w:rsidR="00ED3861" w:rsidRPr="00DF19B2">
        <w:rPr>
          <w:lang w:val="en-GB"/>
        </w:rPr>
        <w:t>, it</w:t>
      </w:r>
      <w:r w:rsidR="008216B4" w:rsidRPr="00DF19B2">
        <w:rPr>
          <w:lang w:val="en-GB"/>
        </w:rPr>
        <w:t xml:space="preserve"> </w:t>
      </w:r>
      <w:r w:rsidR="002A0651" w:rsidRPr="00620826">
        <w:rPr>
          <w:lang w:val="en-GB"/>
        </w:rPr>
        <w:t xml:space="preserve">thought </w:t>
      </w:r>
      <w:r w:rsidR="00BF6DF4" w:rsidRPr="00DF19B2">
        <w:rPr>
          <w:lang w:val="en-GB"/>
        </w:rPr>
        <w:t xml:space="preserve">that there was considerable heterogeneity </w:t>
      </w:r>
      <w:r w:rsidR="001D09BB" w:rsidRPr="00620826">
        <w:rPr>
          <w:lang w:val="en-GB"/>
        </w:rPr>
        <w:t>among</w:t>
      </w:r>
      <w:r w:rsidR="00BF6DF4" w:rsidRPr="00DF19B2">
        <w:rPr>
          <w:lang w:val="en-GB"/>
        </w:rPr>
        <w:t xml:space="preserve"> the trials</w:t>
      </w:r>
      <w:r w:rsidR="00CC649F">
        <w:rPr>
          <w:lang w:val="en-GB"/>
        </w:rPr>
        <w:t xml:space="preserve"> which may not have been appropriately </w:t>
      </w:r>
      <w:proofErr w:type="gramStart"/>
      <w:r w:rsidR="00CC649F">
        <w:rPr>
          <w:lang w:val="en-GB"/>
        </w:rPr>
        <w:t>taken into account</w:t>
      </w:r>
      <w:proofErr w:type="gramEnd"/>
      <w:r w:rsidR="00CC649F">
        <w:rPr>
          <w:lang w:val="en-GB"/>
        </w:rPr>
        <w:t>, given the limitation</w:t>
      </w:r>
      <w:r w:rsidR="00D62C17">
        <w:rPr>
          <w:lang w:val="en-GB"/>
        </w:rPr>
        <w:t>s</w:t>
      </w:r>
      <w:r w:rsidR="00CC649F">
        <w:rPr>
          <w:lang w:val="en-GB"/>
        </w:rPr>
        <w:t xml:space="preserve"> of the data</w:t>
      </w:r>
      <w:r w:rsidR="00BF6DF4" w:rsidRPr="00DF19B2">
        <w:rPr>
          <w:lang w:val="en-GB"/>
        </w:rPr>
        <w:t xml:space="preserve">. It also </w:t>
      </w:r>
      <w:r w:rsidR="00ED3861" w:rsidRPr="00DF19B2">
        <w:rPr>
          <w:lang w:val="en-GB"/>
        </w:rPr>
        <w:t xml:space="preserve">noted </w:t>
      </w:r>
      <w:r w:rsidR="00CC649F">
        <w:rPr>
          <w:lang w:val="en-GB"/>
        </w:rPr>
        <w:t xml:space="preserve">the poor face validity of the results. </w:t>
      </w:r>
      <w:r w:rsidR="00996FF9" w:rsidRPr="00DF19B2">
        <w:rPr>
          <w:lang w:val="en-GB"/>
        </w:rPr>
        <w:t>For these reasons</w:t>
      </w:r>
      <w:r w:rsidR="001E4C03" w:rsidRPr="00DF19B2">
        <w:rPr>
          <w:lang w:val="en-GB"/>
        </w:rPr>
        <w:t xml:space="preserve">, the committee concluded that </w:t>
      </w:r>
      <w:r w:rsidR="00ED3861" w:rsidRPr="00DF19B2">
        <w:rPr>
          <w:lang w:val="en-GB"/>
        </w:rPr>
        <w:t xml:space="preserve">there was great uncertainty in the </w:t>
      </w:r>
      <w:r w:rsidR="0088772C">
        <w:rPr>
          <w:lang w:val="en-GB"/>
        </w:rPr>
        <w:t>NMA</w:t>
      </w:r>
      <w:r w:rsidR="003C3155">
        <w:rPr>
          <w:lang w:val="en-GB"/>
        </w:rPr>
        <w:t>,</w:t>
      </w:r>
      <w:r w:rsidR="00ED3861" w:rsidRPr="00DF19B2">
        <w:rPr>
          <w:lang w:val="en-GB"/>
        </w:rPr>
        <w:t xml:space="preserve"> and that </w:t>
      </w:r>
      <w:r w:rsidR="001E4C03" w:rsidRPr="00DF19B2">
        <w:rPr>
          <w:lang w:val="en-GB"/>
        </w:rPr>
        <w:t xml:space="preserve">the results </w:t>
      </w:r>
      <w:r w:rsidR="002A0651" w:rsidRPr="00620826">
        <w:rPr>
          <w:lang w:val="en-GB"/>
        </w:rPr>
        <w:t>we</w:t>
      </w:r>
      <w:r w:rsidR="00296643" w:rsidRPr="00620826">
        <w:rPr>
          <w:lang w:val="en-GB"/>
        </w:rPr>
        <w:t>re</w:t>
      </w:r>
      <w:r w:rsidR="00296643" w:rsidRPr="00DF19B2">
        <w:rPr>
          <w:lang w:val="en-GB"/>
        </w:rPr>
        <w:t xml:space="preserve"> not robust</w:t>
      </w:r>
      <w:r w:rsidR="001E4C03" w:rsidRPr="00DF19B2">
        <w:rPr>
          <w:lang w:val="en-GB"/>
        </w:rPr>
        <w:t xml:space="preserve"> and </w:t>
      </w:r>
      <w:r w:rsidR="001E4C03" w:rsidRPr="00620826">
        <w:rPr>
          <w:lang w:val="en-GB"/>
        </w:rPr>
        <w:t>lack</w:t>
      </w:r>
      <w:r w:rsidR="002A0651" w:rsidRPr="00620826">
        <w:rPr>
          <w:lang w:val="en-GB"/>
        </w:rPr>
        <w:t>ed</w:t>
      </w:r>
      <w:r w:rsidR="001E4C03" w:rsidRPr="00DF19B2">
        <w:rPr>
          <w:lang w:val="en-GB"/>
        </w:rPr>
        <w:t xml:space="preserve"> face </w:t>
      </w:r>
      <w:r w:rsidR="001E4C03" w:rsidRPr="00CC649F">
        <w:rPr>
          <w:lang w:val="en-GB"/>
        </w:rPr>
        <w:t>validity.</w:t>
      </w:r>
      <w:bookmarkEnd w:id="5"/>
      <w:r w:rsidR="001E4C03" w:rsidRPr="00CC649F">
        <w:t xml:space="preserve"> </w:t>
      </w:r>
      <w:bookmarkEnd w:id="6"/>
    </w:p>
    <w:p w14:paraId="4584DC82" w14:textId="77777777" w:rsidR="00D24236" w:rsidRDefault="00D24236" w:rsidP="00D24236">
      <w:pPr>
        <w:pStyle w:val="Heading2"/>
      </w:pPr>
      <w:r>
        <w:lastRenderedPageBreak/>
        <w:t>Cost effectiveness</w:t>
      </w:r>
    </w:p>
    <w:p w14:paraId="45E645A0" w14:textId="54CD11EB" w:rsidR="00EA120D" w:rsidRPr="00AE2A6C" w:rsidRDefault="003C4FB6" w:rsidP="00EA120D">
      <w:pPr>
        <w:pStyle w:val="Heading3"/>
      </w:pPr>
      <w:bookmarkStart w:id="7" w:name="_Hlk19186842"/>
      <w:r w:rsidRPr="00620826">
        <w:t>T</w:t>
      </w:r>
      <w:r w:rsidR="007C775C" w:rsidRPr="00620826">
        <w:t>he</w:t>
      </w:r>
      <w:r w:rsidR="007C775C" w:rsidRPr="00AE2A6C">
        <w:t xml:space="preserve"> </w:t>
      </w:r>
      <w:r w:rsidR="0096142E">
        <w:t xml:space="preserve">committee preferred to use the </w:t>
      </w:r>
      <w:r w:rsidR="002C4E6D" w:rsidRPr="00AE2A6C">
        <w:t>n</w:t>
      </w:r>
      <w:r w:rsidR="00EA120D" w:rsidRPr="00AE2A6C">
        <w:t>ab-paclitaxel</w:t>
      </w:r>
      <w:r w:rsidR="001A170D" w:rsidRPr="00AE2A6C">
        <w:t xml:space="preserve"> arm of I</w:t>
      </w:r>
      <w:r w:rsidR="002C4E6D" w:rsidRPr="00AE2A6C">
        <w:t>M</w:t>
      </w:r>
      <w:r w:rsidR="001A170D" w:rsidRPr="00AE2A6C">
        <w:t xml:space="preserve">passion130 </w:t>
      </w:r>
      <w:r w:rsidR="0096142E">
        <w:t>a</w:t>
      </w:r>
      <w:r w:rsidR="0096142E" w:rsidRPr="00620826">
        <w:t xml:space="preserve">s </w:t>
      </w:r>
      <w:r w:rsidR="00EA120D" w:rsidRPr="00620826">
        <w:t>a</w:t>
      </w:r>
      <w:r w:rsidR="007C4B0D" w:rsidRPr="00620826">
        <w:t xml:space="preserve"> </w:t>
      </w:r>
      <w:r w:rsidR="00EA120D" w:rsidRPr="00AE2A6C">
        <w:t xml:space="preserve">proxy for </w:t>
      </w:r>
      <w:r w:rsidR="006A299B" w:rsidRPr="00AE2A6C">
        <w:t xml:space="preserve">modelling </w:t>
      </w:r>
      <w:r w:rsidR="00EA120D" w:rsidRPr="00AE2A6C">
        <w:t xml:space="preserve">the effectiveness of </w:t>
      </w:r>
      <w:r w:rsidR="00666293" w:rsidRPr="00AE2A6C">
        <w:t>weekly paclitaxel</w:t>
      </w:r>
      <w:r w:rsidR="002C4E6D" w:rsidRPr="00AE2A6C">
        <w:t xml:space="preserve"> </w:t>
      </w:r>
      <w:r w:rsidR="00C67595">
        <w:t>for the purposes of comparison</w:t>
      </w:r>
      <w:r w:rsidR="00C67595" w:rsidRPr="00AE2A6C">
        <w:t xml:space="preserve"> </w:t>
      </w:r>
      <w:r w:rsidR="002C4E6D" w:rsidRPr="00AE2A6C">
        <w:t>with atezolizumab plus nab-paclitaxel</w:t>
      </w:r>
    </w:p>
    <w:p w14:paraId="4A5FCB5E" w14:textId="70BA1CDE" w:rsidR="00DE480C" w:rsidRPr="00DB68B1" w:rsidRDefault="00136F3C" w:rsidP="002B1B3A">
      <w:pPr>
        <w:pStyle w:val="Numberedlevel2text"/>
        <w:rPr>
          <w:lang w:val="en-GB"/>
        </w:rPr>
      </w:pPr>
      <w:bookmarkStart w:id="8" w:name="_Ref19186888"/>
      <w:bookmarkEnd w:id="7"/>
      <w:r>
        <w:rPr>
          <w:lang w:val="en-GB"/>
        </w:rPr>
        <w:t xml:space="preserve">The company submitted a </w:t>
      </w:r>
      <w:r w:rsidR="006A299B">
        <w:rPr>
          <w:lang w:val="en-GB"/>
        </w:rPr>
        <w:t>3</w:t>
      </w:r>
      <w:r w:rsidR="00620826" w:rsidRPr="00620826">
        <w:rPr>
          <w:lang w:val="en-GB"/>
        </w:rPr>
        <w:noBreakHyphen/>
      </w:r>
      <w:r w:rsidR="006A299B">
        <w:rPr>
          <w:lang w:val="en-GB"/>
        </w:rPr>
        <w:t xml:space="preserve">state </w:t>
      </w:r>
      <w:r w:rsidRPr="00E4158C">
        <w:rPr>
          <w:lang w:val="en-GB"/>
        </w:rPr>
        <w:t xml:space="preserve">partitioned survival model </w:t>
      </w:r>
      <w:r>
        <w:rPr>
          <w:lang w:val="en-GB"/>
        </w:rPr>
        <w:t xml:space="preserve">to estimate the cost effectiveness of </w:t>
      </w:r>
      <w:r w:rsidRPr="00C54A34">
        <w:rPr>
          <w:lang w:val="en-GB"/>
        </w:rPr>
        <w:t>atezolizumab plus nab-paclitaxel</w:t>
      </w:r>
      <w:r w:rsidRPr="00AE2A6C">
        <w:rPr>
          <w:lang w:val="en-GB"/>
        </w:rPr>
        <w:t xml:space="preserve"> </w:t>
      </w:r>
      <w:r>
        <w:rPr>
          <w:lang w:val="en-GB"/>
        </w:rPr>
        <w:t xml:space="preserve">compared with weekly paclitaxel and docetaxel. </w:t>
      </w:r>
      <w:r w:rsidR="008923D6">
        <w:rPr>
          <w:lang w:val="en-GB"/>
        </w:rPr>
        <w:t xml:space="preserve">The </w:t>
      </w:r>
      <w:r>
        <w:rPr>
          <w:lang w:val="en-GB"/>
        </w:rPr>
        <w:t>approach used to model</w:t>
      </w:r>
      <w:r w:rsidRPr="00AE2A6C">
        <w:rPr>
          <w:lang w:val="en-GB"/>
        </w:rPr>
        <w:t xml:space="preserve"> the relative e</w:t>
      </w:r>
      <w:r w:rsidR="008923D6" w:rsidRPr="00AE2A6C">
        <w:rPr>
          <w:lang w:val="en-GB"/>
        </w:rPr>
        <w:t xml:space="preserve">ffectiveness of </w:t>
      </w:r>
      <w:r>
        <w:rPr>
          <w:lang w:val="en-GB"/>
        </w:rPr>
        <w:t>these treatments</w:t>
      </w:r>
      <w:r w:rsidR="004E43AF" w:rsidRPr="00AE2A6C">
        <w:rPr>
          <w:lang w:val="en-GB"/>
        </w:rPr>
        <w:t xml:space="preserve"> </w:t>
      </w:r>
      <w:r w:rsidR="00620826" w:rsidRPr="00620826">
        <w:rPr>
          <w:lang w:val="en-GB"/>
        </w:rPr>
        <w:t>wa</w:t>
      </w:r>
      <w:r w:rsidR="008923D6" w:rsidRPr="00620826">
        <w:rPr>
          <w:lang w:val="en-GB"/>
        </w:rPr>
        <w:t>s</w:t>
      </w:r>
      <w:r w:rsidR="008923D6">
        <w:rPr>
          <w:lang w:val="en-GB"/>
        </w:rPr>
        <w:t xml:space="preserve"> </w:t>
      </w:r>
      <w:r w:rsidR="00DD5913">
        <w:rPr>
          <w:lang w:val="en-GB"/>
        </w:rPr>
        <w:t>a</w:t>
      </w:r>
      <w:r w:rsidR="008923D6">
        <w:rPr>
          <w:lang w:val="en-GB"/>
        </w:rPr>
        <w:t xml:space="preserve"> key driver of the model results. The company used the results of its NMA to model the differences in effectiveness. However, </w:t>
      </w:r>
      <w:r w:rsidR="00620826" w:rsidRPr="00620826">
        <w:rPr>
          <w:lang w:val="en-GB"/>
        </w:rPr>
        <w:t>because of</w:t>
      </w:r>
      <w:r w:rsidR="00EA120D" w:rsidRPr="00AE2A6C">
        <w:rPr>
          <w:lang w:val="en-GB"/>
        </w:rPr>
        <w:t xml:space="preserve"> the limitations of the NMA and the high uncertainty in the results</w:t>
      </w:r>
      <w:r w:rsidR="00424808" w:rsidRPr="00AE2A6C">
        <w:rPr>
          <w:lang w:val="en-GB"/>
        </w:rPr>
        <w:t xml:space="preserve"> (see section</w:t>
      </w:r>
      <w:r w:rsidR="00620826" w:rsidRPr="00620826">
        <w:rPr>
          <w:lang w:val="en-GB"/>
        </w:rPr>
        <w:t> </w:t>
      </w:r>
      <w:r w:rsidR="008A195D" w:rsidRPr="00AE2A6C">
        <w:rPr>
          <w:lang w:val="en-GB"/>
        </w:rPr>
        <w:fldChar w:fldCharType="begin"/>
      </w:r>
      <w:r w:rsidR="008A195D" w:rsidRPr="00AE2A6C">
        <w:rPr>
          <w:lang w:val="en-GB"/>
        </w:rPr>
        <w:instrText xml:space="preserve"> REF _Ref19115401 \r \h </w:instrText>
      </w:r>
      <w:r w:rsidR="008A195D" w:rsidRPr="00AE2A6C">
        <w:rPr>
          <w:lang w:val="en-GB"/>
        </w:rPr>
      </w:r>
      <w:r w:rsidR="008A195D" w:rsidRPr="00AE2A6C">
        <w:rPr>
          <w:lang w:val="en-GB"/>
        </w:rPr>
        <w:fldChar w:fldCharType="separate"/>
      </w:r>
      <w:r w:rsidR="002C3E53">
        <w:rPr>
          <w:lang w:val="en-GB"/>
        </w:rPr>
        <w:t>3.9</w:t>
      </w:r>
      <w:r w:rsidR="008A195D" w:rsidRPr="00AE2A6C">
        <w:rPr>
          <w:lang w:val="en-GB"/>
        </w:rPr>
        <w:fldChar w:fldCharType="end"/>
      </w:r>
      <w:r w:rsidR="00424808" w:rsidRPr="00AE2A6C">
        <w:rPr>
          <w:lang w:val="en-GB"/>
        </w:rPr>
        <w:t>)</w:t>
      </w:r>
      <w:r w:rsidR="00EA120D" w:rsidRPr="00AE2A6C">
        <w:rPr>
          <w:lang w:val="en-GB"/>
        </w:rPr>
        <w:t xml:space="preserve">, the ERG did not consider the results of the NMA to be robust enough to use in the economic model. </w:t>
      </w:r>
      <w:r w:rsidR="00AA1038">
        <w:rPr>
          <w:lang w:val="en-GB"/>
        </w:rPr>
        <w:t>Because</w:t>
      </w:r>
      <w:r w:rsidR="00AA1038" w:rsidRPr="00620826">
        <w:rPr>
          <w:lang w:val="en-GB"/>
        </w:rPr>
        <w:t xml:space="preserve"> </w:t>
      </w:r>
      <w:r w:rsidR="00620826" w:rsidRPr="00620826">
        <w:rPr>
          <w:lang w:val="en-GB"/>
        </w:rPr>
        <w:t>there was no</w:t>
      </w:r>
      <w:r w:rsidR="00EA120D" w:rsidRPr="00AE2A6C">
        <w:rPr>
          <w:lang w:val="en-GB"/>
        </w:rPr>
        <w:t xml:space="preserve"> </w:t>
      </w:r>
      <w:r w:rsidR="00436543" w:rsidRPr="00AE2A6C">
        <w:rPr>
          <w:lang w:val="en-GB"/>
        </w:rPr>
        <w:t xml:space="preserve">clear </w:t>
      </w:r>
      <w:r w:rsidR="00EA120D" w:rsidRPr="00AE2A6C">
        <w:rPr>
          <w:lang w:val="en-GB"/>
        </w:rPr>
        <w:t xml:space="preserve">evidence of </w:t>
      </w:r>
      <w:r w:rsidR="00620826" w:rsidRPr="00620826">
        <w:rPr>
          <w:lang w:val="en-GB"/>
        </w:rPr>
        <w:t xml:space="preserve">a </w:t>
      </w:r>
      <w:r w:rsidR="00EA120D" w:rsidRPr="00AE2A6C">
        <w:rPr>
          <w:lang w:val="en-GB"/>
        </w:rPr>
        <w:t xml:space="preserve">difference between nab-paclitaxel, paclitaxel and docetaxel in </w:t>
      </w:r>
      <w:r w:rsidR="00620826" w:rsidRPr="00620826">
        <w:rPr>
          <w:lang w:val="en-GB"/>
        </w:rPr>
        <w:t xml:space="preserve">terms of </w:t>
      </w:r>
      <w:r w:rsidR="001D09BB" w:rsidRPr="00620826">
        <w:rPr>
          <w:lang w:val="en-GB"/>
        </w:rPr>
        <w:t>overall</w:t>
      </w:r>
      <w:r w:rsidR="00020F24">
        <w:rPr>
          <w:lang w:val="en-GB"/>
        </w:rPr>
        <w:t xml:space="preserve"> survival</w:t>
      </w:r>
      <w:r w:rsidR="001D09BB" w:rsidRPr="00620826">
        <w:rPr>
          <w:lang w:val="en-GB"/>
        </w:rPr>
        <w:t xml:space="preserve"> </w:t>
      </w:r>
      <w:r w:rsidR="00EA120D" w:rsidRPr="00AE2A6C">
        <w:rPr>
          <w:lang w:val="en-GB"/>
        </w:rPr>
        <w:t xml:space="preserve">and </w:t>
      </w:r>
      <w:r w:rsidR="001D09BB" w:rsidRPr="00620826">
        <w:rPr>
          <w:lang w:val="en-GB"/>
        </w:rPr>
        <w:t>progression-free survival</w:t>
      </w:r>
      <w:r w:rsidR="00EA120D" w:rsidRPr="00AE2A6C">
        <w:rPr>
          <w:lang w:val="en-GB"/>
        </w:rPr>
        <w:t xml:space="preserve">, the ERG presented </w:t>
      </w:r>
      <w:r w:rsidR="00436543" w:rsidRPr="00AE2A6C">
        <w:rPr>
          <w:lang w:val="en-GB"/>
        </w:rPr>
        <w:t xml:space="preserve">the </w:t>
      </w:r>
      <w:r w:rsidR="00EA120D" w:rsidRPr="00AE2A6C">
        <w:rPr>
          <w:lang w:val="en-GB"/>
        </w:rPr>
        <w:t xml:space="preserve">results of a scenario analysis </w:t>
      </w:r>
      <w:r w:rsidR="00620826" w:rsidRPr="00620826">
        <w:rPr>
          <w:lang w:val="en-GB"/>
        </w:rPr>
        <w:t>that</w:t>
      </w:r>
      <w:r w:rsidR="00EA120D" w:rsidRPr="00AE2A6C">
        <w:rPr>
          <w:lang w:val="en-GB"/>
        </w:rPr>
        <w:t xml:space="preserve"> assumed equal effectiveness between these treatments</w:t>
      </w:r>
      <w:r w:rsidR="00620826" w:rsidRPr="00620826">
        <w:rPr>
          <w:lang w:val="en-GB"/>
        </w:rPr>
        <w:t>. It</w:t>
      </w:r>
      <w:r w:rsidR="00EA120D" w:rsidRPr="00AE2A6C">
        <w:rPr>
          <w:lang w:val="en-GB"/>
        </w:rPr>
        <w:t xml:space="preserve"> used data from the placebo plus nab-paclitaxel arm of IMpassion130 </w:t>
      </w:r>
      <w:r w:rsidR="00E91315">
        <w:rPr>
          <w:lang w:val="en-GB"/>
        </w:rPr>
        <w:t xml:space="preserve">as a proxy for the effectiveness of other </w:t>
      </w:r>
      <w:proofErr w:type="spellStart"/>
      <w:r w:rsidR="00E91315">
        <w:rPr>
          <w:lang w:val="en-GB"/>
        </w:rPr>
        <w:t>taxane</w:t>
      </w:r>
      <w:proofErr w:type="spellEnd"/>
      <w:r w:rsidR="00E91315">
        <w:rPr>
          <w:lang w:val="en-GB"/>
        </w:rPr>
        <w:t xml:space="preserve"> regimens</w:t>
      </w:r>
      <w:r w:rsidR="00EA120D" w:rsidRPr="00AE2A6C">
        <w:rPr>
          <w:lang w:val="en-GB"/>
        </w:rPr>
        <w:t xml:space="preserve">. </w:t>
      </w:r>
      <w:r w:rsidR="00E45EFE" w:rsidRPr="00AE2A6C">
        <w:rPr>
          <w:lang w:val="en-GB"/>
        </w:rPr>
        <w:t xml:space="preserve">The committee considered which approach was </w:t>
      </w:r>
      <w:r w:rsidR="00937B31" w:rsidRPr="00AE2A6C">
        <w:rPr>
          <w:lang w:val="en-GB"/>
        </w:rPr>
        <w:t xml:space="preserve">more </w:t>
      </w:r>
      <w:r w:rsidR="00E45EFE" w:rsidRPr="00AE2A6C">
        <w:rPr>
          <w:lang w:val="en-GB"/>
        </w:rPr>
        <w:t>appropriate.</w:t>
      </w:r>
      <w:r w:rsidR="008A195D" w:rsidRPr="00AE2A6C">
        <w:rPr>
          <w:lang w:val="en-GB"/>
        </w:rPr>
        <w:t xml:space="preserve"> </w:t>
      </w:r>
      <w:r w:rsidR="00E45EFE" w:rsidRPr="00AE2A6C">
        <w:rPr>
          <w:lang w:val="en-GB"/>
        </w:rPr>
        <w:t>It recalled its previous conclusions that</w:t>
      </w:r>
      <w:r w:rsidR="003A3EAD" w:rsidRPr="00AE2A6C">
        <w:rPr>
          <w:lang w:val="en-GB"/>
        </w:rPr>
        <w:t xml:space="preserve"> the </w:t>
      </w:r>
      <w:r w:rsidR="002C4E6D" w:rsidRPr="00AE2A6C">
        <w:rPr>
          <w:lang w:val="en-GB"/>
        </w:rPr>
        <w:t xml:space="preserve">results of the </w:t>
      </w:r>
      <w:r w:rsidR="003A3EAD" w:rsidRPr="00AE2A6C">
        <w:rPr>
          <w:lang w:val="en-GB"/>
        </w:rPr>
        <w:t xml:space="preserve">NMA </w:t>
      </w:r>
      <w:r w:rsidR="00620826" w:rsidRPr="00620826">
        <w:rPr>
          <w:lang w:val="en-GB"/>
        </w:rPr>
        <w:t xml:space="preserve">were </w:t>
      </w:r>
      <w:r w:rsidR="003A3EAD" w:rsidRPr="00AE2A6C">
        <w:rPr>
          <w:lang w:val="en-GB"/>
        </w:rPr>
        <w:t xml:space="preserve">not reliable and </w:t>
      </w:r>
      <w:r w:rsidR="003A3EAD" w:rsidRPr="00620826">
        <w:rPr>
          <w:lang w:val="en-GB"/>
        </w:rPr>
        <w:t>lack</w:t>
      </w:r>
      <w:r w:rsidR="00620826" w:rsidRPr="00620826">
        <w:rPr>
          <w:lang w:val="en-GB"/>
        </w:rPr>
        <w:t>ed</w:t>
      </w:r>
      <w:r w:rsidR="003A3EAD" w:rsidRPr="00AE2A6C">
        <w:rPr>
          <w:lang w:val="en-GB"/>
        </w:rPr>
        <w:t xml:space="preserve"> face validity (</w:t>
      </w:r>
      <w:r w:rsidR="008A195D" w:rsidRPr="00AE2A6C">
        <w:rPr>
          <w:lang w:val="en-GB"/>
        </w:rPr>
        <w:t>see section</w:t>
      </w:r>
      <w:r w:rsidR="00620826" w:rsidRPr="00620826">
        <w:rPr>
          <w:lang w:val="en-GB"/>
        </w:rPr>
        <w:t> </w:t>
      </w:r>
      <w:r w:rsidR="005F5B1E" w:rsidRPr="00AE2A6C">
        <w:rPr>
          <w:lang w:val="en-GB"/>
        </w:rPr>
        <w:fldChar w:fldCharType="begin"/>
      </w:r>
      <w:r w:rsidR="005F5B1E">
        <w:rPr>
          <w:lang w:val="en-US"/>
        </w:rPr>
        <w:instrText xml:space="preserve"> REF _Ref19278139 \r \h </w:instrText>
      </w:r>
      <w:r w:rsidR="005F5B1E" w:rsidRPr="00AE2A6C">
        <w:rPr>
          <w:lang w:val="en-GB"/>
        </w:rPr>
      </w:r>
      <w:r w:rsidR="005F5B1E" w:rsidRPr="00AE2A6C">
        <w:rPr>
          <w:lang w:val="en-GB"/>
        </w:rPr>
        <w:fldChar w:fldCharType="separate"/>
      </w:r>
      <w:r w:rsidR="002C3E53">
        <w:rPr>
          <w:lang w:val="en-US"/>
        </w:rPr>
        <w:t>3.9</w:t>
      </w:r>
      <w:r w:rsidR="005F5B1E" w:rsidRPr="00AE2A6C">
        <w:rPr>
          <w:lang w:val="en-GB"/>
        </w:rPr>
        <w:fldChar w:fldCharType="end"/>
      </w:r>
      <w:r w:rsidR="003A3EAD" w:rsidRPr="00620826">
        <w:rPr>
          <w:lang w:val="en-GB"/>
        </w:rPr>
        <w:t>)</w:t>
      </w:r>
      <w:r w:rsidR="00620826" w:rsidRPr="00620826">
        <w:rPr>
          <w:lang w:val="en-GB"/>
        </w:rPr>
        <w:t>,</w:t>
      </w:r>
      <w:r w:rsidR="003A3EAD" w:rsidRPr="00AE2A6C">
        <w:rPr>
          <w:lang w:val="en-GB"/>
        </w:rPr>
        <w:t xml:space="preserve"> and</w:t>
      </w:r>
      <w:r w:rsidR="00756200" w:rsidRPr="00AE2A6C">
        <w:rPr>
          <w:lang w:val="en-GB"/>
        </w:rPr>
        <w:t xml:space="preserve"> the feedback from clinical experts that nab-paclitaxel and weekly paclitaxel have broadly similar efficacy</w:t>
      </w:r>
      <w:r w:rsidR="002B1B3A" w:rsidRPr="00AE2A6C">
        <w:rPr>
          <w:lang w:val="en-GB"/>
        </w:rPr>
        <w:t xml:space="preserve"> (see section</w:t>
      </w:r>
      <w:r w:rsidR="00620826" w:rsidRPr="00620826">
        <w:rPr>
          <w:lang w:val="en-GB"/>
        </w:rPr>
        <w:t> </w:t>
      </w:r>
      <w:r w:rsidR="00865968" w:rsidRPr="00AE2A6C">
        <w:rPr>
          <w:lang w:val="en-GB"/>
        </w:rPr>
        <w:fldChar w:fldCharType="begin"/>
      </w:r>
      <w:r w:rsidR="00865968" w:rsidRPr="00AE2A6C">
        <w:rPr>
          <w:lang w:val="en-GB"/>
        </w:rPr>
        <w:instrText xml:space="preserve"> REF _Ref19114352 \r \h </w:instrText>
      </w:r>
      <w:r w:rsidR="00865968" w:rsidRPr="00AE2A6C">
        <w:rPr>
          <w:lang w:val="en-GB"/>
        </w:rPr>
      </w:r>
      <w:r w:rsidR="00865968" w:rsidRPr="00AE2A6C">
        <w:rPr>
          <w:lang w:val="en-GB"/>
        </w:rPr>
        <w:fldChar w:fldCharType="separate"/>
      </w:r>
      <w:r w:rsidR="002C3E53">
        <w:rPr>
          <w:lang w:val="en-GB"/>
        </w:rPr>
        <w:t>3.5</w:t>
      </w:r>
      <w:r w:rsidR="00865968" w:rsidRPr="00AE2A6C">
        <w:rPr>
          <w:lang w:val="en-GB"/>
        </w:rPr>
        <w:fldChar w:fldCharType="end"/>
      </w:r>
      <w:r w:rsidR="002B1B3A" w:rsidRPr="00AE2A6C">
        <w:rPr>
          <w:lang w:val="en-GB"/>
        </w:rPr>
        <w:t>)</w:t>
      </w:r>
      <w:r w:rsidR="00756200" w:rsidRPr="00AE2A6C">
        <w:rPr>
          <w:lang w:val="en-GB"/>
        </w:rPr>
        <w:t xml:space="preserve">. The company argued that this assumption </w:t>
      </w:r>
      <w:r w:rsidR="00620826" w:rsidRPr="00620826">
        <w:rPr>
          <w:lang w:val="en-GB"/>
        </w:rPr>
        <w:t>wa</w:t>
      </w:r>
      <w:r w:rsidR="00756200" w:rsidRPr="00AE2A6C">
        <w:rPr>
          <w:lang w:val="en-GB"/>
        </w:rPr>
        <w:t>s overly conservative</w:t>
      </w:r>
      <w:r w:rsidR="00620826" w:rsidRPr="00620826">
        <w:rPr>
          <w:lang w:val="en-GB"/>
        </w:rPr>
        <w:t xml:space="preserve"> and oversimplified the evidence</w:t>
      </w:r>
      <w:r w:rsidR="00756200" w:rsidRPr="00620826">
        <w:rPr>
          <w:lang w:val="en-GB"/>
        </w:rPr>
        <w:t>.</w:t>
      </w:r>
      <w:r w:rsidR="00756200" w:rsidRPr="00AE2A6C">
        <w:rPr>
          <w:lang w:val="en-GB"/>
        </w:rPr>
        <w:t xml:space="preserve"> </w:t>
      </w:r>
      <w:r w:rsidR="00AF278A" w:rsidRPr="00AE2A6C">
        <w:rPr>
          <w:lang w:val="en-GB"/>
        </w:rPr>
        <w:t>I</w:t>
      </w:r>
      <w:r w:rsidR="00756200" w:rsidRPr="00AE2A6C">
        <w:rPr>
          <w:lang w:val="en-GB"/>
        </w:rPr>
        <w:t xml:space="preserve">t also highlighted that using the NMA predicted </w:t>
      </w:r>
      <w:r w:rsidR="00AA1038">
        <w:rPr>
          <w:lang w:val="en-GB"/>
        </w:rPr>
        <w:t xml:space="preserve">a </w:t>
      </w:r>
      <w:r w:rsidR="00756200" w:rsidRPr="00AE2A6C">
        <w:rPr>
          <w:lang w:val="en-GB"/>
        </w:rPr>
        <w:t>0.197</w:t>
      </w:r>
      <w:r w:rsidR="00620826" w:rsidRPr="00620826">
        <w:rPr>
          <w:lang w:val="en-GB"/>
        </w:rPr>
        <w:noBreakHyphen/>
      </w:r>
      <w:r w:rsidR="00756200" w:rsidRPr="00AE2A6C">
        <w:rPr>
          <w:lang w:val="en-GB"/>
        </w:rPr>
        <w:t xml:space="preserve">year difference </w:t>
      </w:r>
      <w:r w:rsidR="006A299B" w:rsidRPr="00AE2A6C">
        <w:rPr>
          <w:lang w:val="en-GB"/>
        </w:rPr>
        <w:t xml:space="preserve">in life years </w:t>
      </w:r>
      <w:r w:rsidR="00756200" w:rsidRPr="00AE2A6C">
        <w:rPr>
          <w:lang w:val="en-GB"/>
        </w:rPr>
        <w:t>between nab-paclitaxel and paclitaxel</w:t>
      </w:r>
      <w:r w:rsidR="00DB68B1">
        <w:rPr>
          <w:lang w:val="en-GB"/>
        </w:rPr>
        <w:t xml:space="preserve"> </w:t>
      </w:r>
      <w:r w:rsidR="00620826" w:rsidRPr="00620826">
        <w:rPr>
          <w:lang w:val="en-GB"/>
        </w:rPr>
        <w:t>(</w:t>
      </w:r>
      <w:r w:rsidR="00756200" w:rsidRPr="00AE2A6C">
        <w:rPr>
          <w:lang w:val="en-GB"/>
        </w:rPr>
        <w:t>which</w:t>
      </w:r>
      <w:r w:rsidR="00D42F7C" w:rsidRPr="00AE2A6C">
        <w:rPr>
          <w:lang w:val="en-GB"/>
        </w:rPr>
        <w:t xml:space="preserve"> </w:t>
      </w:r>
      <w:r w:rsidR="00620826" w:rsidRPr="00620826">
        <w:rPr>
          <w:lang w:val="en-GB"/>
        </w:rPr>
        <w:t>it</w:t>
      </w:r>
      <w:r w:rsidR="00D42F7C" w:rsidRPr="00AE2A6C">
        <w:rPr>
          <w:lang w:val="en-GB"/>
        </w:rPr>
        <w:t xml:space="preserve"> believed</w:t>
      </w:r>
      <w:r w:rsidR="00756200" w:rsidRPr="00AE2A6C">
        <w:rPr>
          <w:lang w:val="en-GB"/>
        </w:rPr>
        <w:t xml:space="preserve"> </w:t>
      </w:r>
      <w:r w:rsidR="00620826" w:rsidRPr="00620826">
        <w:rPr>
          <w:lang w:val="en-GB"/>
        </w:rPr>
        <w:t>to be</w:t>
      </w:r>
      <w:r w:rsidR="00756200" w:rsidRPr="00AE2A6C">
        <w:rPr>
          <w:lang w:val="en-GB"/>
        </w:rPr>
        <w:t xml:space="preserve"> a marginal difference</w:t>
      </w:r>
      <w:r w:rsidR="00620826" w:rsidRPr="00620826">
        <w:rPr>
          <w:lang w:val="en-GB"/>
        </w:rPr>
        <w:t>)</w:t>
      </w:r>
      <w:r w:rsidR="003E2E44" w:rsidRPr="00AE2A6C">
        <w:rPr>
          <w:lang w:val="en-GB"/>
        </w:rPr>
        <w:t xml:space="preserve"> </w:t>
      </w:r>
      <w:r w:rsidR="00AA1038">
        <w:rPr>
          <w:lang w:val="en-GB"/>
        </w:rPr>
        <w:t>but has</w:t>
      </w:r>
      <w:r w:rsidR="00AA1038" w:rsidRPr="00620826">
        <w:rPr>
          <w:lang w:val="en-GB"/>
        </w:rPr>
        <w:t xml:space="preserve"> </w:t>
      </w:r>
      <w:r w:rsidR="003E2E44" w:rsidRPr="00AE2A6C">
        <w:rPr>
          <w:lang w:val="en-GB"/>
        </w:rPr>
        <w:t xml:space="preserve">a </w:t>
      </w:r>
      <w:r w:rsidR="00620826" w:rsidRPr="00620826">
        <w:rPr>
          <w:lang w:val="en-GB"/>
        </w:rPr>
        <w:t xml:space="preserve">big </w:t>
      </w:r>
      <w:r w:rsidR="003E2E44" w:rsidRPr="00AE2A6C">
        <w:rPr>
          <w:lang w:val="en-GB"/>
        </w:rPr>
        <w:t xml:space="preserve">impact on the </w:t>
      </w:r>
      <w:r w:rsidR="006952B2" w:rsidRPr="00620826">
        <w:rPr>
          <w:lang w:val="en-GB"/>
        </w:rPr>
        <w:t>incremental cost-effectiveness ratio (</w:t>
      </w:r>
      <w:r w:rsidR="003E2E44" w:rsidRPr="00AE2A6C">
        <w:rPr>
          <w:lang w:val="en-GB"/>
        </w:rPr>
        <w:t>ICER</w:t>
      </w:r>
      <w:r w:rsidR="006952B2" w:rsidRPr="00620826">
        <w:rPr>
          <w:lang w:val="en-GB"/>
        </w:rPr>
        <w:t>)</w:t>
      </w:r>
      <w:r w:rsidR="003E2E44" w:rsidRPr="00620826">
        <w:rPr>
          <w:lang w:val="en-GB"/>
        </w:rPr>
        <w:t>.</w:t>
      </w:r>
      <w:r w:rsidR="003E2E44" w:rsidRPr="00AE2A6C">
        <w:rPr>
          <w:lang w:val="en-GB"/>
        </w:rPr>
        <w:t xml:space="preserve"> </w:t>
      </w:r>
      <w:r w:rsidR="006E482F" w:rsidRPr="00AE2A6C">
        <w:rPr>
          <w:lang w:val="en-GB"/>
        </w:rPr>
        <w:t xml:space="preserve">The </w:t>
      </w:r>
      <w:r w:rsidR="003E73E9" w:rsidRPr="00AE2A6C">
        <w:rPr>
          <w:lang w:val="en-GB"/>
        </w:rPr>
        <w:t xml:space="preserve">committee did not consider that </w:t>
      </w:r>
      <w:r w:rsidR="00620826" w:rsidRPr="00620826">
        <w:rPr>
          <w:lang w:val="en-GB"/>
        </w:rPr>
        <w:t>the</w:t>
      </w:r>
      <w:r w:rsidR="003E73E9" w:rsidRPr="00620826">
        <w:rPr>
          <w:lang w:val="en-GB"/>
        </w:rPr>
        <w:t xml:space="preserve"> </w:t>
      </w:r>
      <w:r w:rsidR="003E73E9">
        <w:rPr>
          <w:lang w:val="en-US"/>
        </w:rPr>
        <w:t xml:space="preserve">a </w:t>
      </w:r>
      <w:r w:rsidR="003E73E9" w:rsidRPr="00AE2A6C">
        <w:rPr>
          <w:lang w:val="en-GB"/>
        </w:rPr>
        <w:t>10.2</w:t>
      </w:r>
      <w:r w:rsidR="0088772C" w:rsidRPr="00AE2A6C">
        <w:rPr>
          <w:lang w:val="en-GB"/>
        </w:rPr>
        <w:t>7</w:t>
      </w:r>
      <w:r w:rsidR="00620826" w:rsidRPr="00620826">
        <w:rPr>
          <w:lang w:val="en-GB"/>
        </w:rPr>
        <w:noBreakHyphen/>
      </w:r>
      <w:r w:rsidR="003E73E9" w:rsidRPr="00AE2A6C">
        <w:rPr>
          <w:lang w:val="en-GB"/>
        </w:rPr>
        <w:t>week life year gain</w:t>
      </w:r>
      <w:r w:rsidR="0088772C" w:rsidRPr="00AE2A6C">
        <w:rPr>
          <w:lang w:val="en-GB"/>
        </w:rPr>
        <w:t xml:space="preserve"> predicted by the model</w:t>
      </w:r>
      <w:r w:rsidR="003E73E9" w:rsidRPr="00AE2A6C">
        <w:rPr>
          <w:lang w:val="en-GB"/>
        </w:rPr>
        <w:t xml:space="preserve"> was</w:t>
      </w:r>
      <w:r w:rsidR="00887101" w:rsidRPr="00AE2A6C">
        <w:rPr>
          <w:lang w:val="en-GB"/>
        </w:rPr>
        <w:t xml:space="preserve"> </w:t>
      </w:r>
      <w:r w:rsidR="003E73E9" w:rsidRPr="00AE2A6C">
        <w:rPr>
          <w:lang w:val="en-GB"/>
        </w:rPr>
        <w:t xml:space="preserve">a </w:t>
      </w:r>
      <w:r w:rsidR="00031E92" w:rsidRPr="00AE2A6C">
        <w:rPr>
          <w:lang w:val="en-GB"/>
        </w:rPr>
        <w:t>t</w:t>
      </w:r>
      <w:r w:rsidR="003E73E9" w:rsidRPr="00AE2A6C">
        <w:rPr>
          <w:lang w:val="en-GB"/>
        </w:rPr>
        <w:t>rivial difference</w:t>
      </w:r>
      <w:r w:rsidR="003E73E9" w:rsidRPr="00620826">
        <w:rPr>
          <w:lang w:val="en-GB"/>
        </w:rPr>
        <w:t>.</w:t>
      </w:r>
      <w:r w:rsidR="003E73E9">
        <w:rPr>
          <w:lang w:val="en-US"/>
        </w:rPr>
        <w:t xml:space="preserve"> </w:t>
      </w:r>
      <w:r w:rsidR="00DB68B1">
        <w:rPr>
          <w:lang w:val="en-US"/>
        </w:rPr>
        <w:t xml:space="preserve">It </w:t>
      </w:r>
      <w:r w:rsidR="00A030F8" w:rsidRPr="00DB68B1">
        <w:rPr>
          <w:lang w:val="en-GB"/>
        </w:rPr>
        <w:t xml:space="preserve">accepted </w:t>
      </w:r>
      <w:r w:rsidR="00756200" w:rsidRPr="00DB68B1">
        <w:rPr>
          <w:lang w:val="en-GB"/>
        </w:rPr>
        <w:t xml:space="preserve">that </w:t>
      </w:r>
      <w:r w:rsidR="00C66FDB" w:rsidRPr="00DB68B1">
        <w:rPr>
          <w:lang w:val="en-GB"/>
        </w:rPr>
        <w:t xml:space="preserve">using data from the placebo plus nab-paclitaxel arm of IMpassion130 as a proxy for the effectiveness of weekly paclitaxel </w:t>
      </w:r>
      <w:r w:rsidR="00620826" w:rsidRPr="00620826">
        <w:rPr>
          <w:lang w:val="en-GB"/>
        </w:rPr>
        <w:t>wa</w:t>
      </w:r>
      <w:r w:rsidR="00C66FDB" w:rsidRPr="00DB68B1">
        <w:rPr>
          <w:lang w:val="en-GB"/>
        </w:rPr>
        <w:t xml:space="preserve">s </w:t>
      </w:r>
      <w:r w:rsidR="00756200" w:rsidRPr="00DB68B1">
        <w:rPr>
          <w:lang w:val="en-GB"/>
        </w:rPr>
        <w:t xml:space="preserve">not </w:t>
      </w:r>
      <w:r w:rsidR="00A030F8" w:rsidRPr="00DB68B1">
        <w:rPr>
          <w:lang w:val="en-GB"/>
        </w:rPr>
        <w:t xml:space="preserve">a </w:t>
      </w:r>
      <w:r w:rsidR="00756200" w:rsidRPr="00DB68B1">
        <w:rPr>
          <w:lang w:val="en-GB"/>
        </w:rPr>
        <w:t>perfect</w:t>
      </w:r>
      <w:r w:rsidR="00A030F8" w:rsidRPr="00DB68B1">
        <w:rPr>
          <w:lang w:val="en-GB"/>
        </w:rPr>
        <w:t xml:space="preserve"> approach. However, it </w:t>
      </w:r>
      <w:r w:rsidR="00C66FDB" w:rsidRPr="00DB68B1">
        <w:rPr>
          <w:lang w:val="en-GB"/>
        </w:rPr>
        <w:lastRenderedPageBreak/>
        <w:t xml:space="preserve">considered </w:t>
      </w:r>
      <w:r w:rsidR="00353CE3" w:rsidRPr="00DB68B1">
        <w:rPr>
          <w:lang w:val="en-GB"/>
        </w:rPr>
        <w:t>a</w:t>
      </w:r>
      <w:r w:rsidR="003E2E44" w:rsidRPr="00DB68B1">
        <w:rPr>
          <w:lang w:val="en-GB"/>
        </w:rPr>
        <w:t xml:space="preserve"> </w:t>
      </w:r>
      <w:r w:rsidR="00A030F8" w:rsidRPr="00DB68B1">
        <w:rPr>
          <w:lang w:val="en-GB"/>
        </w:rPr>
        <w:t>randomised</w:t>
      </w:r>
      <w:r w:rsidR="00C66FDB" w:rsidRPr="00DB68B1">
        <w:rPr>
          <w:lang w:val="en-GB"/>
        </w:rPr>
        <w:t xml:space="preserve">, </w:t>
      </w:r>
      <w:r w:rsidR="00A030F8" w:rsidRPr="00DB68B1">
        <w:rPr>
          <w:lang w:val="en-GB"/>
        </w:rPr>
        <w:t>unbiased and contemporaneous comparison</w:t>
      </w:r>
      <w:r w:rsidR="00C66FDB" w:rsidRPr="00DB68B1">
        <w:rPr>
          <w:lang w:val="en-GB"/>
        </w:rPr>
        <w:t xml:space="preserve"> </w:t>
      </w:r>
      <w:r w:rsidR="00620826" w:rsidRPr="00620826">
        <w:rPr>
          <w:lang w:val="en-GB"/>
        </w:rPr>
        <w:t xml:space="preserve">to be </w:t>
      </w:r>
      <w:r w:rsidR="00C66FDB" w:rsidRPr="00DB68B1">
        <w:rPr>
          <w:lang w:val="en-GB"/>
        </w:rPr>
        <w:t xml:space="preserve">more reliable than </w:t>
      </w:r>
      <w:r w:rsidR="00353CE3" w:rsidRPr="00DB68B1">
        <w:rPr>
          <w:lang w:val="en-GB"/>
        </w:rPr>
        <w:t xml:space="preserve">the </w:t>
      </w:r>
      <w:r w:rsidR="00C66FDB" w:rsidRPr="00DB68B1">
        <w:rPr>
          <w:lang w:val="en-GB"/>
        </w:rPr>
        <w:t>NMA</w:t>
      </w:r>
      <w:r w:rsidR="00620826" w:rsidRPr="00620826">
        <w:rPr>
          <w:lang w:val="en-GB"/>
        </w:rPr>
        <w:t>,</w:t>
      </w:r>
      <w:r w:rsidR="00C66FDB" w:rsidRPr="00DB68B1">
        <w:rPr>
          <w:lang w:val="en-GB"/>
        </w:rPr>
        <w:t xml:space="preserve"> which </w:t>
      </w:r>
      <w:r w:rsidR="00620826" w:rsidRPr="00620826">
        <w:rPr>
          <w:lang w:val="en-GB"/>
        </w:rPr>
        <w:t>wa</w:t>
      </w:r>
      <w:r w:rsidR="00C66FDB" w:rsidRPr="00DB68B1">
        <w:rPr>
          <w:lang w:val="en-GB"/>
        </w:rPr>
        <w:t>s based on heterogenous and historical trial populations</w:t>
      </w:r>
      <w:r w:rsidR="00D42F7C" w:rsidRPr="00DB68B1">
        <w:rPr>
          <w:lang w:val="en-GB"/>
        </w:rPr>
        <w:t xml:space="preserve"> and associated with high uncertainty</w:t>
      </w:r>
      <w:r w:rsidR="00C66FDB" w:rsidRPr="00DB68B1">
        <w:rPr>
          <w:lang w:val="en-GB"/>
        </w:rPr>
        <w:t>. The committee therefore concluded that the ERG’s approach</w:t>
      </w:r>
      <w:r w:rsidR="00620826" w:rsidRPr="00620826">
        <w:rPr>
          <w:lang w:val="en-GB"/>
        </w:rPr>
        <w:t>,</w:t>
      </w:r>
      <w:r w:rsidR="00C66FDB" w:rsidRPr="00DB68B1">
        <w:rPr>
          <w:lang w:val="en-GB"/>
        </w:rPr>
        <w:t xml:space="preserve"> using the control arm of Impassion130</w:t>
      </w:r>
      <w:r w:rsidR="00353CE3" w:rsidRPr="00DB68B1">
        <w:rPr>
          <w:lang w:val="en-GB"/>
        </w:rPr>
        <w:t xml:space="preserve"> as a proxy for the effectiveness of weekly paclitaxel</w:t>
      </w:r>
      <w:r w:rsidR="00620826" w:rsidRPr="00620826">
        <w:rPr>
          <w:lang w:val="en-GB"/>
        </w:rPr>
        <w:t>,</w:t>
      </w:r>
      <w:r w:rsidR="00353CE3">
        <w:rPr>
          <w:lang w:val="en-GB"/>
        </w:rPr>
        <w:t xml:space="preserve"> </w:t>
      </w:r>
      <w:r w:rsidR="00353CE3" w:rsidRPr="00DB68B1">
        <w:rPr>
          <w:lang w:val="en-GB"/>
        </w:rPr>
        <w:t xml:space="preserve">was </w:t>
      </w:r>
      <w:r w:rsidR="00386A19" w:rsidRPr="00DB68B1">
        <w:rPr>
          <w:lang w:val="en-GB"/>
        </w:rPr>
        <w:t>preferable</w:t>
      </w:r>
      <w:r w:rsidR="00C66FDB" w:rsidRPr="00DB68B1">
        <w:rPr>
          <w:lang w:val="en-GB"/>
        </w:rPr>
        <w:t>.</w:t>
      </w:r>
      <w:bookmarkEnd w:id="8"/>
    </w:p>
    <w:p w14:paraId="3D81544A" w14:textId="689017A7" w:rsidR="00643582" w:rsidRDefault="00E33CD0" w:rsidP="00643582">
      <w:pPr>
        <w:pStyle w:val="Heading2"/>
      </w:pPr>
      <w:r>
        <w:t>T</w:t>
      </w:r>
      <w:r w:rsidR="002D6F51">
        <w:t>reatment effect</w:t>
      </w:r>
      <w:r w:rsidR="00D55040">
        <w:t xml:space="preserve"> </w:t>
      </w:r>
      <w:r>
        <w:t>d</w:t>
      </w:r>
      <w:r w:rsidRPr="00620826">
        <w:t>uration</w:t>
      </w:r>
    </w:p>
    <w:p w14:paraId="5F40736F" w14:textId="77777777" w:rsidR="00507411" w:rsidRDefault="00756200" w:rsidP="00507411">
      <w:pPr>
        <w:pStyle w:val="Heading3"/>
      </w:pPr>
      <w:r>
        <w:t>Assuming a treatment waning effect is not appropriate</w:t>
      </w:r>
    </w:p>
    <w:p w14:paraId="49E342DD" w14:textId="66FBC92A" w:rsidR="00251724" w:rsidRPr="00DB68B1" w:rsidRDefault="00507411" w:rsidP="00426B67">
      <w:pPr>
        <w:pStyle w:val="Numberedlevel2text"/>
        <w:rPr>
          <w:lang w:val="en-GB"/>
        </w:rPr>
      </w:pPr>
      <w:bookmarkStart w:id="9" w:name="_Ref19281896"/>
      <w:r>
        <w:rPr>
          <w:lang w:val="en-GB"/>
        </w:rPr>
        <w:t>I</w:t>
      </w:r>
      <w:r w:rsidR="006E482F" w:rsidRPr="00DB68B1">
        <w:rPr>
          <w:lang w:val="en-GB"/>
        </w:rPr>
        <w:t>n IMpassion130</w:t>
      </w:r>
      <w:r w:rsidR="004B28E6">
        <w:rPr>
          <w:lang w:val="en-GB"/>
        </w:rPr>
        <w:t>,</w:t>
      </w:r>
      <w:r w:rsidR="006E482F" w:rsidRPr="00DB68B1">
        <w:rPr>
          <w:lang w:val="en-GB"/>
        </w:rPr>
        <w:t xml:space="preserve"> treatment was continued until disease progression or unacceptable toxicity. The median </w:t>
      </w:r>
      <w:r w:rsidR="00E33CD0" w:rsidRPr="00620826">
        <w:rPr>
          <w:lang w:val="en-GB"/>
        </w:rPr>
        <w:t xml:space="preserve">treatment </w:t>
      </w:r>
      <w:r w:rsidR="006E482F" w:rsidRPr="00DB68B1">
        <w:rPr>
          <w:lang w:val="en-GB"/>
        </w:rPr>
        <w:t>duration was 26.4</w:t>
      </w:r>
      <w:r w:rsidR="004B28E6">
        <w:rPr>
          <w:lang w:val="en-GB"/>
        </w:rPr>
        <w:t> </w:t>
      </w:r>
      <w:r w:rsidR="006E482F" w:rsidRPr="00DB68B1">
        <w:rPr>
          <w:lang w:val="en-GB"/>
        </w:rPr>
        <w:t>weeks in the atezolizumab arm and 16.1</w:t>
      </w:r>
      <w:r w:rsidR="004B28E6">
        <w:rPr>
          <w:lang w:val="en-GB"/>
        </w:rPr>
        <w:t> </w:t>
      </w:r>
      <w:r w:rsidR="006E482F" w:rsidRPr="00DB68B1">
        <w:rPr>
          <w:lang w:val="en-GB"/>
        </w:rPr>
        <w:t xml:space="preserve">weeks in the placebo arm. The company assumed that </w:t>
      </w:r>
      <w:r w:rsidR="007A44F7">
        <w:rPr>
          <w:lang w:val="en-GB"/>
        </w:rPr>
        <w:t xml:space="preserve">a </w:t>
      </w:r>
      <w:r w:rsidR="006E482F" w:rsidRPr="00DB68B1">
        <w:rPr>
          <w:lang w:val="en-GB"/>
        </w:rPr>
        <w:t xml:space="preserve">treatment </w:t>
      </w:r>
      <w:r w:rsidR="007A44F7">
        <w:rPr>
          <w:lang w:val="en-GB"/>
        </w:rPr>
        <w:t>benefit</w:t>
      </w:r>
      <w:r w:rsidR="007A44F7" w:rsidRPr="00DB68B1">
        <w:rPr>
          <w:lang w:val="en-GB"/>
        </w:rPr>
        <w:t xml:space="preserve"> </w:t>
      </w:r>
      <w:r w:rsidR="006E482F" w:rsidRPr="00DB68B1">
        <w:rPr>
          <w:lang w:val="en-GB"/>
        </w:rPr>
        <w:t>would be maintained for a lifetime horizon (assumed to be 15</w:t>
      </w:r>
      <w:r w:rsidR="003C4FB6" w:rsidRPr="00620826">
        <w:rPr>
          <w:lang w:val="en-GB"/>
        </w:rPr>
        <w:t> </w:t>
      </w:r>
      <w:r w:rsidR="006E482F" w:rsidRPr="00DB68B1">
        <w:rPr>
          <w:lang w:val="en-GB"/>
        </w:rPr>
        <w:t>years</w:t>
      </w:r>
      <w:r w:rsidR="006E482F" w:rsidRPr="00620826">
        <w:rPr>
          <w:lang w:val="en-GB"/>
        </w:rPr>
        <w:t>)</w:t>
      </w:r>
      <w:r w:rsidR="003C4FB6" w:rsidRPr="00620826">
        <w:rPr>
          <w:lang w:val="en-GB"/>
        </w:rPr>
        <w:t>.</w:t>
      </w:r>
      <w:r w:rsidR="006E482F" w:rsidRPr="00DB68B1">
        <w:rPr>
          <w:lang w:val="en-GB"/>
        </w:rPr>
        <w:t xml:space="preserve"> The ERG considered </w:t>
      </w:r>
      <w:r w:rsidR="004B28E6">
        <w:rPr>
          <w:lang w:val="en-GB"/>
        </w:rPr>
        <w:t xml:space="preserve">that </w:t>
      </w:r>
      <w:r w:rsidR="006E482F" w:rsidRPr="00DB68B1">
        <w:rPr>
          <w:lang w:val="en-GB"/>
        </w:rPr>
        <w:t xml:space="preserve">this assumption </w:t>
      </w:r>
      <w:r w:rsidR="004B28E6">
        <w:rPr>
          <w:lang w:val="en-GB"/>
        </w:rPr>
        <w:t xml:space="preserve">was </w:t>
      </w:r>
      <w:r w:rsidR="006E482F" w:rsidRPr="00DB68B1">
        <w:rPr>
          <w:lang w:val="en-GB"/>
        </w:rPr>
        <w:t>implausible</w:t>
      </w:r>
      <w:r w:rsidR="004B28E6">
        <w:rPr>
          <w:lang w:val="en-GB"/>
        </w:rPr>
        <w:t>. It</w:t>
      </w:r>
      <w:r w:rsidR="006E482F" w:rsidRPr="00DB68B1">
        <w:rPr>
          <w:lang w:val="en-GB"/>
        </w:rPr>
        <w:t xml:space="preserve"> </w:t>
      </w:r>
      <w:r w:rsidR="00303475" w:rsidRPr="00DB68B1">
        <w:rPr>
          <w:lang w:val="en-GB"/>
        </w:rPr>
        <w:t xml:space="preserve">presented </w:t>
      </w:r>
      <w:r w:rsidR="006E482F" w:rsidRPr="00DB68B1">
        <w:rPr>
          <w:lang w:val="en-GB"/>
        </w:rPr>
        <w:t xml:space="preserve">a scenario analysis </w:t>
      </w:r>
      <w:r w:rsidR="00C13C09" w:rsidRPr="00DB68B1">
        <w:rPr>
          <w:lang w:val="en-GB"/>
        </w:rPr>
        <w:t xml:space="preserve">in which </w:t>
      </w:r>
      <w:r w:rsidR="006E482F" w:rsidRPr="00DB68B1">
        <w:rPr>
          <w:lang w:val="en-GB"/>
        </w:rPr>
        <w:t>it limited the treatment effect to 3</w:t>
      </w:r>
      <w:r w:rsidR="004B28E6">
        <w:rPr>
          <w:lang w:val="en-GB"/>
        </w:rPr>
        <w:t> </w:t>
      </w:r>
      <w:r w:rsidR="006E482F" w:rsidRPr="00DB68B1">
        <w:rPr>
          <w:lang w:val="en-GB"/>
        </w:rPr>
        <w:t>or 5</w:t>
      </w:r>
      <w:r w:rsidR="004B28E6">
        <w:rPr>
          <w:lang w:val="en-GB"/>
        </w:rPr>
        <w:t> </w:t>
      </w:r>
      <w:r w:rsidR="006E482F" w:rsidRPr="00DB68B1">
        <w:rPr>
          <w:lang w:val="en-GB"/>
        </w:rPr>
        <w:t xml:space="preserve">years </w:t>
      </w:r>
      <w:r w:rsidR="00303475" w:rsidRPr="00DB68B1">
        <w:rPr>
          <w:lang w:val="en-GB"/>
        </w:rPr>
        <w:t xml:space="preserve">from the </w:t>
      </w:r>
      <w:r w:rsidR="006E482F" w:rsidRPr="00DB68B1">
        <w:rPr>
          <w:lang w:val="en-GB"/>
        </w:rPr>
        <w:t>start of treatment</w:t>
      </w:r>
      <w:r w:rsidR="008E1B44" w:rsidRPr="00DB68B1">
        <w:rPr>
          <w:lang w:val="en-GB"/>
        </w:rPr>
        <w:t>. However, the ERG</w:t>
      </w:r>
      <w:r w:rsidR="001A2D32" w:rsidRPr="00DB68B1">
        <w:rPr>
          <w:lang w:val="en-GB"/>
        </w:rPr>
        <w:t xml:space="preserve"> </w:t>
      </w:r>
      <w:r w:rsidR="008E1B44" w:rsidRPr="00DB68B1">
        <w:rPr>
          <w:lang w:val="en-GB"/>
        </w:rPr>
        <w:t>acknowledged</w:t>
      </w:r>
      <w:r w:rsidR="001A2D32" w:rsidRPr="00DB68B1">
        <w:rPr>
          <w:lang w:val="en-GB"/>
        </w:rPr>
        <w:t xml:space="preserve"> that </w:t>
      </w:r>
      <w:r w:rsidR="006575DE" w:rsidRPr="00DB68B1">
        <w:rPr>
          <w:lang w:val="en-GB"/>
        </w:rPr>
        <w:t xml:space="preserve">there </w:t>
      </w:r>
      <w:r w:rsidR="004B28E6">
        <w:rPr>
          <w:lang w:val="en-GB"/>
        </w:rPr>
        <w:t>wa</w:t>
      </w:r>
      <w:r w:rsidR="006575DE" w:rsidRPr="00DB68B1">
        <w:rPr>
          <w:lang w:val="en-GB"/>
        </w:rPr>
        <w:t xml:space="preserve">s a lack of evidence on </w:t>
      </w:r>
      <w:r w:rsidR="004B28E6">
        <w:rPr>
          <w:lang w:val="en-GB"/>
        </w:rPr>
        <w:t xml:space="preserve">the </w:t>
      </w:r>
      <w:r w:rsidR="006575DE" w:rsidRPr="00DB68B1">
        <w:rPr>
          <w:lang w:val="en-GB"/>
        </w:rPr>
        <w:t>long</w:t>
      </w:r>
      <w:r w:rsidR="004B28E6">
        <w:rPr>
          <w:lang w:val="en-GB"/>
        </w:rPr>
        <w:t>-</w:t>
      </w:r>
      <w:r w:rsidR="006575DE" w:rsidRPr="00DB68B1">
        <w:rPr>
          <w:lang w:val="en-GB"/>
        </w:rPr>
        <w:t xml:space="preserve">term treatment effect and </w:t>
      </w:r>
      <w:r w:rsidR="009F7EE8" w:rsidRPr="00DB68B1">
        <w:rPr>
          <w:lang w:val="en-GB"/>
        </w:rPr>
        <w:t xml:space="preserve">these </w:t>
      </w:r>
      <w:r w:rsidR="004B28E6">
        <w:rPr>
          <w:lang w:val="en-GB"/>
        </w:rPr>
        <w:t>we</w:t>
      </w:r>
      <w:r w:rsidR="009F7EE8" w:rsidRPr="00DB68B1">
        <w:rPr>
          <w:lang w:val="en-GB"/>
        </w:rPr>
        <w:t>re arbitrary time points</w:t>
      </w:r>
      <w:r w:rsidR="006E482F" w:rsidRPr="00DB68B1">
        <w:rPr>
          <w:lang w:val="en-GB"/>
        </w:rPr>
        <w:t>. The company explained that applying a 3</w:t>
      </w:r>
      <w:r w:rsidR="004B28E6">
        <w:rPr>
          <w:lang w:val="en-GB"/>
        </w:rPr>
        <w:noBreakHyphen/>
      </w:r>
      <w:r w:rsidR="006E482F" w:rsidRPr="00DB68B1">
        <w:rPr>
          <w:lang w:val="en-GB"/>
        </w:rPr>
        <w:t xml:space="preserve">year treatment benefit cap </w:t>
      </w:r>
      <w:r w:rsidR="00303475" w:rsidRPr="00620826">
        <w:rPr>
          <w:lang w:val="en-GB"/>
        </w:rPr>
        <w:t>mean</w:t>
      </w:r>
      <w:r w:rsidR="004B28E6">
        <w:rPr>
          <w:lang w:val="en-GB"/>
        </w:rPr>
        <w:t>t</w:t>
      </w:r>
      <w:r w:rsidR="00303475" w:rsidRPr="00DB68B1">
        <w:rPr>
          <w:lang w:val="en-GB"/>
        </w:rPr>
        <w:t xml:space="preserve"> that </w:t>
      </w:r>
      <w:r w:rsidR="006E482F" w:rsidRPr="00DB68B1">
        <w:rPr>
          <w:lang w:val="en-GB"/>
        </w:rPr>
        <w:t>patients still on treatment</w:t>
      </w:r>
      <w:r w:rsidR="00303475" w:rsidRPr="00DB68B1">
        <w:rPr>
          <w:lang w:val="en-GB"/>
        </w:rPr>
        <w:t xml:space="preserve"> at 3</w:t>
      </w:r>
      <w:r w:rsidR="004B28E6">
        <w:rPr>
          <w:lang w:val="en-GB"/>
        </w:rPr>
        <w:t> </w:t>
      </w:r>
      <w:r w:rsidR="00303475" w:rsidRPr="00DB68B1">
        <w:rPr>
          <w:lang w:val="en-GB"/>
        </w:rPr>
        <w:t>years (6%</w:t>
      </w:r>
      <w:r w:rsidR="006E482F" w:rsidRPr="00DB68B1">
        <w:rPr>
          <w:lang w:val="en-GB"/>
        </w:rPr>
        <w:t xml:space="preserve"> in the clinical trial</w:t>
      </w:r>
      <w:r w:rsidR="00303475" w:rsidRPr="00DB68B1">
        <w:rPr>
          <w:lang w:val="en-GB"/>
        </w:rPr>
        <w:t>)</w:t>
      </w:r>
      <w:r w:rsidR="002B1B3A" w:rsidRPr="00DB68B1">
        <w:rPr>
          <w:lang w:val="en-GB"/>
        </w:rPr>
        <w:t xml:space="preserve"> </w:t>
      </w:r>
      <w:r w:rsidR="00303475" w:rsidRPr="00DB68B1">
        <w:rPr>
          <w:lang w:val="en-GB"/>
        </w:rPr>
        <w:t xml:space="preserve">would </w:t>
      </w:r>
      <w:r w:rsidR="006E482F" w:rsidRPr="00DB68B1">
        <w:rPr>
          <w:lang w:val="en-GB"/>
        </w:rPr>
        <w:t>experience no further benefit</w:t>
      </w:r>
      <w:r w:rsidR="001A2D32" w:rsidRPr="00DB68B1">
        <w:rPr>
          <w:lang w:val="en-GB"/>
        </w:rPr>
        <w:t xml:space="preserve">, </w:t>
      </w:r>
      <w:r w:rsidR="008E1B44" w:rsidRPr="00DB68B1">
        <w:rPr>
          <w:lang w:val="en-GB"/>
        </w:rPr>
        <w:t xml:space="preserve">which </w:t>
      </w:r>
      <w:r w:rsidR="001A2D32" w:rsidRPr="00DB68B1">
        <w:rPr>
          <w:lang w:val="en-GB"/>
        </w:rPr>
        <w:t>it did not consider to be clinically plausible</w:t>
      </w:r>
      <w:r w:rsidR="006E482F" w:rsidRPr="00DB68B1">
        <w:rPr>
          <w:lang w:val="en-GB"/>
        </w:rPr>
        <w:t xml:space="preserve">. </w:t>
      </w:r>
      <w:r w:rsidR="001A2D32" w:rsidRPr="00DB68B1">
        <w:rPr>
          <w:lang w:val="en-GB"/>
        </w:rPr>
        <w:t>The committee noted that</w:t>
      </w:r>
      <w:r w:rsidR="004B28E6">
        <w:rPr>
          <w:lang w:val="en-GB"/>
        </w:rPr>
        <w:t>,</w:t>
      </w:r>
      <w:r w:rsidR="001A2D32" w:rsidRPr="00DB68B1">
        <w:rPr>
          <w:lang w:val="en-GB"/>
        </w:rPr>
        <w:t xml:space="preserve"> i</w:t>
      </w:r>
      <w:r w:rsidR="006E482F" w:rsidRPr="00DB68B1">
        <w:rPr>
          <w:lang w:val="en-GB"/>
        </w:rPr>
        <w:t xml:space="preserve">n previous NICE appraisals </w:t>
      </w:r>
      <w:r w:rsidR="004B28E6">
        <w:rPr>
          <w:lang w:val="en-GB"/>
        </w:rPr>
        <w:t>in which</w:t>
      </w:r>
      <w:r w:rsidR="004B28E6" w:rsidRPr="00620826">
        <w:rPr>
          <w:lang w:val="en-GB"/>
        </w:rPr>
        <w:t xml:space="preserve"> </w:t>
      </w:r>
      <w:r w:rsidR="001A2D32" w:rsidRPr="00DB68B1">
        <w:rPr>
          <w:lang w:val="en-GB"/>
        </w:rPr>
        <w:t xml:space="preserve">a </w:t>
      </w:r>
      <w:r w:rsidR="00B62CA4" w:rsidRPr="00DB68B1">
        <w:rPr>
          <w:lang w:val="en-GB"/>
        </w:rPr>
        <w:t xml:space="preserve">treatment duration cap was considered, </w:t>
      </w:r>
      <w:r w:rsidR="001A2D32" w:rsidRPr="00DB68B1">
        <w:rPr>
          <w:lang w:val="en-GB"/>
        </w:rPr>
        <w:t xml:space="preserve">a </w:t>
      </w:r>
      <w:r w:rsidR="00B62CA4" w:rsidRPr="00DB68B1">
        <w:rPr>
          <w:lang w:val="en-GB"/>
        </w:rPr>
        <w:t>treatment stopping rule was applied in the analyses. However, the marketing authori</w:t>
      </w:r>
      <w:r w:rsidR="00303475" w:rsidRPr="00DB68B1">
        <w:rPr>
          <w:lang w:val="en-GB"/>
        </w:rPr>
        <w:t>s</w:t>
      </w:r>
      <w:r w:rsidR="00B62CA4" w:rsidRPr="00DB68B1">
        <w:rPr>
          <w:lang w:val="en-GB"/>
        </w:rPr>
        <w:t>ation</w:t>
      </w:r>
      <w:r w:rsidR="007A1BBD">
        <w:rPr>
          <w:lang w:val="en-GB"/>
        </w:rPr>
        <w:t xml:space="preserve"> for atezolizumab</w:t>
      </w:r>
      <w:r w:rsidR="00B62CA4" w:rsidRPr="00DB68B1">
        <w:rPr>
          <w:lang w:val="en-GB"/>
        </w:rPr>
        <w:t xml:space="preserve"> recommend</w:t>
      </w:r>
      <w:r w:rsidR="007A1BBD">
        <w:rPr>
          <w:lang w:val="en-GB"/>
        </w:rPr>
        <w:t>s</w:t>
      </w:r>
      <w:r w:rsidR="00B62CA4" w:rsidRPr="00DB68B1">
        <w:rPr>
          <w:lang w:val="en-GB"/>
        </w:rPr>
        <w:t xml:space="preserve"> that treatment should </w:t>
      </w:r>
      <w:r w:rsidR="00956129">
        <w:rPr>
          <w:lang w:val="en-GB"/>
        </w:rPr>
        <w:t xml:space="preserve">be </w:t>
      </w:r>
      <w:r w:rsidR="007A1BBD">
        <w:rPr>
          <w:lang w:val="en-GB"/>
        </w:rPr>
        <w:t>continued until</w:t>
      </w:r>
      <w:r w:rsidR="00B62CA4" w:rsidRPr="00DB68B1">
        <w:rPr>
          <w:lang w:val="en-GB"/>
        </w:rPr>
        <w:t xml:space="preserve"> disease progression or </w:t>
      </w:r>
      <w:r w:rsidRPr="00DB68B1">
        <w:rPr>
          <w:lang w:val="en-GB"/>
        </w:rPr>
        <w:t>unacceptable</w:t>
      </w:r>
      <w:r w:rsidR="00B62CA4" w:rsidRPr="00DB68B1">
        <w:rPr>
          <w:lang w:val="en-GB"/>
        </w:rPr>
        <w:t xml:space="preserve"> toxicity. The committee </w:t>
      </w:r>
      <w:r w:rsidR="001A2D32" w:rsidRPr="00DB68B1">
        <w:rPr>
          <w:lang w:val="en-GB"/>
        </w:rPr>
        <w:t>acknowledged that treatment</w:t>
      </w:r>
      <w:r w:rsidR="00AA1038">
        <w:rPr>
          <w:lang w:val="en-GB"/>
        </w:rPr>
        <w:t>-</w:t>
      </w:r>
      <w:r w:rsidR="001A2D32" w:rsidRPr="00DB68B1">
        <w:rPr>
          <w:lang w:val="en-GB"/>
        </w:rPr>
        <w:t xml:space="preserve">effect </w:t>
      </w:r>
      <w:r w:rsidR="00E33CD0">
        <w:rPr>
          <w:lang w:val="en-GB"/>
        </w:rPr>
        <w:t xml:space="preserve">duration </w:t>
      </w:r>
      <w:r w:rsidR="00AA1038">
        <w:rPr>
          <w:lang w:val="en-GB"/>
        </w:rPr>
        <w:t>is</w:t>
      </w:r>
      <w:r w:rsidR="00AA1038" w:rsidRPr="00DB68B1">
        <w:rPr>
          <w:lang w:val="en-GB"/>
        </w:rPr>
        <w:t xml:space="preserve"> </w:t>
      </w:r>
      <w:r w:rsidR="001A2D32" w:rsidRPr="00DB68B1">
        <w:rPr>
          <w:lang w:val="en-GB"/>
        </w:rPr>
        <w:t xml:space="preserve">an area of uncertainty. </w:t>
      </w:r>
      <w:r w:rsidR="00CB339B" w:rsidRPr="00DB68B1">
        <w:rPr>
          <w:lang w:val="en-GB"/>
        </w:rPr>
        <w:t>However, in the absence of evidence, the committee concluded</w:t>
      </w:r>
      <w:r w:rsidR="00166387" w:rsidRPr="00DB68B1">
        <w:rPr>
          <w:lang w:val="en-GB"/>
        </w:rPr>
        <w:t xml:space="preserve"> that </w:t>
      </w:r>
      <w:r w:rsidR="007654C9" w:rsidRPr="00DB68B1">
        <w:rPr>
          <w:lang w:val="en-GB"/>
        </w:rPr>
        <w:t>incorporating</w:t>
      </w:r>
      <w:r w:rsidR="00166387" w:rsidRPr="00DB68B1">
        <w:rPr>
          <w:lang w:val="en-GB"/>
        </w:rPr>
        <w:t xml:space="preserve"> a</w:t>
      </w:r>
      <w:r w:rsidR="007A44F7" w:rsidRPr="00DB68B1">
        <w:rPr>
          <w:lang w:val="en-GB"/>
        </w:rPr>
        <w:t>n arbitrary</w:t>
      </w:r>
      <w:r w:rsidR="00166387" w:rsidRPr="00DB68B1">
        <w:rPr>
          <w:lang w:val="en-GB"/>
        </w:rPr>
        <w:t xml:space="preserve"> </w:t>
      </w:r>
      <w:r w:rsidR="00CB339B" w:rsidRPr="00DB68B1">
        <w:rPr>
          <w:lang w:val="en-GB"/>
        </w:rPr>
        <w:t xml:space="preserve">treatment </w:t>
      </w:r>
      <w:r w:rsidR="00166387" w:rsidRPr="00DB68B1">
        <w:rPr>
          <w:lang w:val="en-GB"/>
        </w:rPr>
        <w:t xml:space="preserve">waning effect </w:t>
      </w:r>
      <w:r w:rsidR="004B28E6">
        <w:rPr>
          <w:lang w:val="en-GB"/>
        </w:rPr>
        <w:t>wa</w:t>
      </w:r>
      <w:r w:rsidR="00CB339B" w:rsidRPr="00DB68B1">
        <w:rPr>
          <w:lang w:val="en-GB"/>
        </w:rPr>
        <w:t xml:space="preserve">s not </w:t>
      </w:r>
      <w:r w:rsidR="00166387" w:rsidRPr="00DB68B1">
        <w:rPr>
          <w:lang w:val="en-GB"/>
        </w:rPr>
        <w:t>appropriate.</w:t>
      </w:r>
      <w:bookmarkEnd w:id="9"/>
    </w:p>
    <w:p w14:paraId="1F7A0CC2" w14:textId="65394EEF" w:rsidR="00F64EF6" w:rsidRDefault="00E33CD0" w:rsidP="00F64EF6">
      <w:pPr>
        <w:pStyle w:val="Heading2"/>
      </w:pPr>
      <w:r>
        <w:lastRenderedPageBreak/>
        <w:t>T</w:t>
      </w:r>
      <w:r w:rsidR="00F64EF6" w:rsidRPr="00620826">
        <w:t xml:space="preserve">reatment </w:t>
      </w:r>
      <w:r>
        <w:t>duration</w:t>
      </w:r>
      <w:r w:rsidR="00F64EF6">
        <w:t xml:space="preserve"> with paclitaxel</w:t>
      </w:r>
    </w:p>
    <w:p w14:paraId="47739168" w14:textId="7E7D8575" w:rsidR="00F64EF6" w:rsidRDefault="00A01D1D" w:rsidP="00F64EF6">
      <w:pPr>
        <w:pStyle w:val="Heading3"/>
      </w:pPr>
      <w:r w:rsidRPr="00620826">
        <w:t>T</w:t>
      </w:r>
      <w:r w:rsidR="00F64EF6">
        <w:t xml:space="preserve">reatment </w:t>
      </w:r>
      <w:r w:rsidRPr="00620826">
        <w:t xml:space="preserve">duration </w:t>
      </w:r>
      <w:r w:rsidR="00F64EF6">
        <w:t xml:space="preserve">with </w:t>
      </w:r>
      <w:r w:rsidR="00C85E4D">
        <w:t xml:space="preserve">weekly </w:t>
      </w:r>
      <w:r w:rsidR="00F64EF6">
        <w:t xml:space="preserve">paclitaxel </w:t>
      </w:r>
      <w:r w:rsidR="00F165F3">
        <w:t xml:space="preserve">is </w:t>
      </w:r>
      <w:r w:rsidR="00B22517">
        <w:t>uncertain</w:t>
      </w:r>
      <w:r w:rsidRPr="00620826">
        <w:t>;</w:t>
      </w:r>
      <w:r w:rsidR="00C22F5E" w:rsidRPr="00DB68B1">
        <w:t xml:space="preserve"> data </w:t>
      </w:r>
      <w:r w:rsidR="002206EB" w:rsidRPr="00DB68B1">
        <w:t xml:space="preserve">on </w:t>
      </w:r>
      <w:r w:rsidR="00C22F5E" w:rsidRPr="00DB68B1">
        <w:t>time to</w:t>
      </w:r>
      <w:r w:rsidR="002206EB" w:rsidRPr="00DB68B1">
        <w:t xml:space="preserve"> </w:t>
      </w:r>
      <w:r w:rsidRPr="00620826">
        <w:t xml:space="preserve">stopping </w:t>
      </w:r>
      <w:r w:rsidR="002206EB" w:rsidRPr="00DB68B1">
        <w:t xml:space="preserve">treatment </w:t>
      </w:r>
      <w:r w:rsidR="00C22F5E" w:rsidRPr="00DB68B1">
        <w:t>from the control arm of I</w:t>
      </w:r>
      <w:r w:rsidR="0055274E" w:rsidRPr="00DB68B1">
        <w:t>M</w:t>
      </w:r>
      <w:r w:rsidR="00C22F5E" w:rsidRPr="00DB68B1">
        <w:t>passion130</w:t>
      </w:r>
      <w:r w:rsidRPr="00620826">
        <w:t xml:space="preserve"> may be more relevant</w:t>
      </w:r>
    </w:p>
    <w:p w14:paraId="5D7624A6" w14:textId="445E12FA" w:rsidR="00166387" w:rsidRPr="00DB68B1" w:rsidRDefault="00F64EF6" w:rsidP="009E4A75">
      <w:pPr>
        <w:pStyle w:val="Numberedlevel2text"/>
        <w:rPr>
          <w:lang w:val="en-GB"/>
        </w:rPr>
      </w:pPr>
      <w:bookmarkStart w:id="10" w:name="_Ref19187362"/>
      <w:r w:rsidRPr="00220B4E">
        <w:rPr>
          <w:lang w:val="en-GB"/>
        </w:rPr>
        <w:t xml:space="preserve">The </w:t>
      </w:r>
      <w:r w:rsidRPr="00DB68B1">
        <w:rPr>
          <w:lang w:val="en-GB"/>
        </w:rPr>
        <w:t xml:space="preserve">company submitted additional evidence </w:t>
      </w:r>
      <w:r w:rsidR="00DD5913" w:rsidRPr="00DB68B1">
        <w:rPr>
          <w:lang w:val="en-GB"/>
        </w:rPr>
        <w:t>during</w:t>
      </w:r>
      <w:r w:rsidRPr="00DB68B1">
        <w:rPr>
          <w:lang w:val="en-GB"/>
        </w:rPr>
        <w:t xml:space="preserve"> technical engagement</w:t>
      </w:r>
      <w:r w:rsidR="00DD12E6">
        <w:rPr>
          <w:lang w:val="en-GB"/>
        </w:rPr>
        <w:t>. This was</w:t>
      </w:r>
      <w:r w:rsidRPr="00DB68B1">
        <w:rPr>
          <w:lang w:val="en-GB"/>
        </w:rPr>
        <w:t xml:space="preserve"> because it </w:t>
      </w:r>
      <w:r w:rsidR="00A6234E" w:rsidRPr="00DB68B1">
        <w:rPr>
          <w:lang w:val="en-GB"/>
        </w:rPr>
        <w:t xml:space="preserve">considered that </w:t>
      </w:r>
      <w:r w:rsidRPr="00DB68B1">
        <w:rPr>
          <w:lang w:val="en-GB"/>
        </w:rPr>
        <w:t>it ha</w:t>
      </w:r>
      <w:r w:rsidR="0055274E" w:rsidRPr="00DB68B1">
        <w:rPr>
          <w:lang w:val="en-GB"/>
        </w:rPr>
        <w:t>d</w:t>
      </w:r>
      <w:r w:rsidRPr="00DB68B1">
        <w:rPr>
          <w:lang w:val="en-GB"/>
        </w:rPr>
        <w:t xml:space="preserve"> misinterpreted how </w:t>
      </w:r>
      <w:r w:rsidR="00C85E4D" w:rsidRPr="00DB68B1">
        <w:rPr>
          <w:lang w:val="en-GB"/>
        </w:rPr>
        <w:t xml:space="preserve">weekly </w:t>
      </w:r>
      <w:r w:rsidRPr="00DB68B1">
        <w:rPr>
          <w:lang w:val="en-GB"/>
        </w:rPr>
        <w:t xml:space="preserve">paclitaxel is administered in the </w:t>
      </w:r>
      <w:proofErr w:type="gramStart"/>
      <w:r w:rsidRPr="00DB68B1">
        <w:rPr>
          <w:lang w:val="en-GB"/>
        </w:rPr>
        <w:t>NHS</w:t>
      </w:r>
      <w:r w:rsidR="00396121" w:rsidRPr="00DB68B1">
        <w:rPr>
          <w:lang w:val="en-GB"/>
        </w:rPr>
        <w:t>,</w:t>
      </w:r>
      <w:r w:rsidRPr="00DB68B1">
        <w:rPr>
          <w:lang w:val="en-GB"/>
        </w:rPr>
        <w:t xml:space="preserve"> and</w:t>
      </w:r>
      <w:proofErr w:type="gramEnd"/>
      <w:r w:rsidRPr="00DB68B1">
        <w:rPr>
          <w:lang w:val="en-GB"/>
        </w:rPr>
        <w:t xml:space="preserve"> </w:t>
      </w:r>
      <w:r w:rsidR="00DD12E6">
        <w:rPr>
          <w:lang w:val="en-GB"/>
        </w:rPr>
        <w:t xml:space="preserve">had </w:t>
      </w:r>
      <w:r w:rsidRPr="00DB68B1">
        <w:rPr>
          <w:lang w:val="en-GB"/>
        </w:rPr>
        <w:t>incorrectly assumed a maximum of 18</w:t>
      </w:r>
      <w:r w:rsidR="00DD12E6">
        <w:rPr>
          <w:lang w:val="en-GB"/>
        </w:rPr>
        <w:t> </w:t>
      </w:r>
      <w:r w:rsidRPr="00DB68B1">
        <w:rPr>
          <w:lang w:val="en-GB"/>
        </w:rPr>
        <w:t>weeks or cycles of treatment. In its updated base</w:t>
      </w:r>
      <w:r w:rsidR="00DD12E6">
        <w:rPr>
          <w:lang w:val="en-GB"/>
        </w:rPr>
        <w:t>-</w:t>
      </w:r>
      <w:r w:rsidRPr="00DB68B1">
        <w:rPr>
          <w:lang w:val="en-GB"/>
        </w:rPr>
        <w:t xml:space="preserve">case </w:t>
      </w:r>
      <w:r w:rsidR="001D09BB" w:rsidRPr="00620826">
        <w:rPr>
          <w:lang w:val="en-GB"/>
        </w:rPr>
        <w:t>model,</w:t>
      </w:r>
      <w:r w:rsidRPr="00DB68B1">
        <w:rPr>
          <w:lang w:val="en-GB"/>
        </w:rPr>
        <w:t xml:space="preserve"> it removed </w:t>
      </w:r>
      <w:r w:rsidR="00B14FEC" w:rsidRPr="00DB68B1">
        <w:rPr>
          <w:lang w:val="en-GB"/>
        </w:rPr>
        <w:t xml:space="preserve">this treatment </w:t>
      </w:r>
      <w:r w:rsidRPr="00DB68B1">
        <w:rPr>
          <w:lang w:val="en-GB"/>
        </w:rPr>
        <w:t xml:space="preserve">cap and assumed that patients </w:t>
      </w:r>
      <w:r w:rsidR="00C85E4D" w:rsidRPr="00DB68B1">
        <w:rPr>
          <w:lang w:val="en-GB"/>
        </w:rPr>
        <w:t>have</w:t>
      </w:r>
      <w:r w:rsidRPr="00DB68B1">
        <w:rPr>
          <w:lang w:val="en-GB"/>
        </w:rPr>
        <w:t xml:space="preserve"> paclitaxel until disease progression</w:t>
      </w:r>
      <w:r w:rsidR="00DD12E6">
        <w:rPr>
          <w:lang w:val="en-GB"/>
        </w:rPr>
        <w:t>. This</w:t>
      </w:r>
      <w:r w:rsidRPr="00DB68B1">
        <w:rPr>
          <w:lang w:val="en-GB"/>
        </w:rPr>
        <w:t xml:space="preserve"> </w:t>
      </w:r>
      <w:r w:rsidR="00DD12E6">
        <w:rPr>
          <w:lang w:val="en-GB"/>
        </w:rPr>
        <w:t>reduced</w:t>
      </w:r>
      <w:r w:rsidR="00DD12E6" w:rsidRPr="00620826">
        <w:rPr>
          <w:lang w:val="en-GB"/>
        </w:rPr>
        <w:t xml:space="preserve"> </w:t>
      </w:r>
      <w:r w:rsidRPr="00DB68B1">
        <w:rPr>
          <w:lang w:val="en-GB"/>
        </w:rPr>
        <w:t xml:space="preserve">the ICER. </w:t>
      </w:r>
      <w:r w:rsidR="00B14FEC" w:rsidRPr="00DB68B1">
        <w:rPr>
          <w:lang w:val="en-GB"/>
        </w:rPr>
        <w:t xml:space="preserve">The ERG </w:t>
      </w:r>
      <w:r w:rsidR="00B14FEC" w:rsidRPr="00620826">
        <w:rPr>
          <w:lang w:val="en-GB"/>
        </w:rPr>
        <w:t>comment</w:t>
      </w:r>
      <w:r w:rsidR="00DD12E6">
        <w:rPr>
          <w:lang w:val="en-GB"/>
        </w:rPr>
        <w:t>ed</w:t>
      </w:r>
      <w:r w:rsidR="00B14FEC" w:rsidRPr="00DB68B1">
        <w:rPr>
          <w:lang w:val="en-GB"/>
        </w:rPr>
        <w:t xml:space="preserve"> that </w:t>
      </w:r>
      <w:r w:rsidR="00DD12E6">
        <w:rPr>
          <w:lang w:val="en-GB"/>
        </w:rPr>
        <w:t xml:space="preserve">it had been given </w:t>
      </w:r>
      <w:r w:rsidR="00B14FEC" w:rsidRPr="00DB68B1">
        <w:rPr>
          <w:lang w:val="en-GB"/>
        </w:rPr>
        <w:t xml:space="preserve">clinical advice </w:t>
      </w:r>
      <w:r w:rsidR="00DD12E6">
        <w:rPr>
          <w:lang w:val="en-GB"/>
        </w:rPr>
        <w:t>suggesting</w:t>
      </w:r>
      <w:r w:rsidR="00B14FEC" w:rsidRPr="00DB68B1">
        <w:rPr>
          <w:lang w:val="en-GB"/>
        </w:rPr>
        <w:t xml:space="preserve"> that treatment beyond 6</w:t>
      </w:r>
      <w:r w:rsidR="00DD12E6">
        <w:rPr>
          <w:lang w:val="en-GB"/>
        </w:rPr>
        <w:t> </w:t>
      </w:r>
      <w:r w:rsidR="00B14FEC" w:rsidRPr="00DB68B1">
        <w:rPr>
          <w:lang w:val="en-GB"/>
        </w:rPr>
        <w:t xml:space="preserve">months is unusual and </w:t>
      </w:r>
      <w:r w:rsidR="003F6674">
        <w:rPr>
          <w:lang w:val="en-GB"/>
        </w:rPr>
        <w:t xml:space="preserve">that it </w:t>
      </w:r>
      <w:r w:rsidR="00B14FEC" w:rsidRPr="00DB68B1">
        <w:rPr>
          <w:lang w:val="en-GB"/>
        </w:rPr>
        <w:t>does not exceed 10</w:t>
      </w:r>
      <w:r w:rsidR="007C4B0D" w:rsidRPr="00620826">
        <w:rPr>
          <w:lang w:val="en-GB"/>
        </w:rPr>
        <w:t> </w:t>
      </w:r>
      <w:r w:rsidR="00B14FEC" w:rsidRPr="00DB68B1">
        <w:rPr>
          <w:lang w:val="en-GB"/>
        </w:rPr>
        <w:t>months</w:t>
      </w:r>
      <w:r w:rsidR="009E4A75" w:rsidRPr="00DB68B1">
        <w:rPr>
          <w:lang w:val="en-GB"/>
        </w:rPr>
        <w:t>. A</w:t>
      </w:r>
      <w:r w:rsidR="002206EB" w:rsidRPr="00DB68B1">
        <w:rPr>
          <w:lang w:val="en-GB"/>
        </w:rPr>
        <w:t>pplying a 10</w:t>
      </w:r>
      <w:r w:rsidR="007C4B0D" w:rsidRPr="00620826">
        <w:rPr>
          <w:lang w:val="en-GB"/>
        </w:rPr>
        <w:noBreakHyphen/>
      </w:r>
      <w:r w:rsidR="002206EB" w:rsidRPr="00DB68B1">
        <w:rPr>
          <w:lang w:val="en-GB"/>
        </w:rPr>
        <w:t xml:space="preserve">month treatment cap </w:t>
      </w:r>
      <w:r w:rsidR="009E4A75" w:rsidRPr="00DB68B1">
        <w:rPr>
          <w:lang w:val="en-GB"/>
        </w:rPr>
        <w:t>in the model</w:t>
      </w:r>
      <w:r w:rsidR="003A69FC" w:rsidRPr="00DB68B1">
        <w:rPr>
          <w:lang w:val="en-GB"/>
        </w:rPr>
        <w:t xml:space="preserve"> also</w:t>
      </w:r>
      <w:r w:rsidR="009E4A75" w:rsidRPr="00DB68B1">
        <w:rPr>
          <w:lang w:val="en-GB"/>
        </w:rPr>
        <w:t xml:space="preserve"> </w:t>
      </w:r>
      <w:r w:rsidR="009E4A75" w:rsidRPr="00620826">
        <w:rPr>
          <w:lang w:val="en-GB"/>
        </w:rPr>
        <w:t>decrease</w:t>
      </w:r>
      <w:r w:rsidR="00DD12E6">
        <w:rPr>
          <w:lang w:val="en-GB"/>
        </w:rPr>
        <w:t>d</w:t>
      </w:r>
      <w:r w:rsidR="009E4A75" w:rsidRPr="00DB68B1">
        <w:rPr>
          <w:lang w:val="en-GB"/>
        </w:rPr>
        <w:t xml:space="preserve"> the ICER but </w:t>
      </w:r>
      <w:r w:rsidR="009E4A75" w:rsidRPr="00620826">
        <w:rPr>
          <w:lang w:val="en-GB"/>
        </w:rPr>
        <w:t>ha</w:t>
      </w:r>
      <w:r w:rsidR="00DD12E6">
        <w:rPr>
          <w:lang w:val="en-GB"/>
        </w:rPr>
        <w:t>d</w:t>
      </w:r>
      <w:r w:rsidR="009E4A75" w:rsidRPr="00DB68B1">
        <w:rPr>
          <w:lang w:val="en-GB"/>
        </w:rPr>
        <w:t xml:space="preserve"> a </w:t>
      </w:r>
      <w:r w:rsidR="002206EB" w:rsidRPr="00DB68B1">
        <w:rPr>
          <w:lang w:val="en-GB"/>
        </w:rPr>
        <w:t>more modest effect</w:t>
      </w:r>
      <w:r w:rsidR="00BC5598" w:rsidRPr="00DB68B1">
        <w:rPr>
          <w:lang w:val="en-GB"/>
        </w:rPr>
        <w:t xml:space="preserve"> than </w:t>
      </w:r>
      <w:r w:rsidR="0088772C">
        <w:rPr>
          <w:lang w:val="en-US"/>
        </w:rPr>
        <w:t xml:space="preserve">the </w:t>
      </w:r>
      <w:r w:rsidR="0088772C" w:rsidRPr="00DB68B1">
        <w:rPr>
          <w:lang w:val="en-GB"/>
        </w:rPr>
        <w:t>company’s scenario</w:t>
      </w:r>
      <w:r w:rsidR="003A69FC" w:rsidRPr="00DB68B1">
        <w:rPr>
          <w:lang w:val="en-GB"/>
        </w:rPr>
        <w:t>.</w:t>
      </w:r>
      <w:r w:rsidR="00B14FEC" w:rsidRPr="00DB68B1">
        <w:rPr>
          <w:lang w:val="en-GB"/>
        </w:rPr>
        <w:t xml:space="preserve"> The clinical experts </w:t>
      </w:r>
      <w:r w:rsidR="007C4B0D" w:rsidRPr="00620826">
        <w:rPr>
          <w:lang w:val="en-GB"/>
        </w:rPr>
        <w:t xml:space="preserve">explained </w:t>
      </w:r>
      <w:r w:rsidR="00B14FEC" w:rsidRPr="00DB68B1">
        <w:rPr>
          <w:lang w:val="en-GB"/>
        </w:rPr>
        <w:t>that</w:t>
      </w:r>
      <w:r w:rsidR="00166387" w:rsidRPr="00DB68B1">
        <w:rPr>
          <w:lang w:val="en-GB"/>
        </w:rPr>
        <w:t xml:space="preserve"> </w:t>
      </w:r>
      <w:r w:rsidR="005F29E0" w:rsidRPr="00DB68B1">
        <w:rPr>
          <w:lang w:val="en-GB"/>
        </w:rPr>
        <w:t>there</w:t>
      </w:r>
      <w:r w:rsidR="00166387" w:rsidRPr="00DB68B1">
        <w:rPr>
          <w:lang w:val="en-GB"/>
        </w:rPr>
        <w:t xml:space="preserve"> is </w:t>
      </w:r>
      <w:r w:rsidR="005F29E0" w:rsidRPr="00DB68B1">
        <w:rPr>
          <w:lang w:val="en-GB"/>
        </w:rPr>
        <w:t xml:space="preserve">variation in the duration of </w:t>
      </w:r>
      <w:r w:rsidR="003A69FC" w:rsidRPr="00DB68B1">
        <w:rPr>
          <w:lang w:val="en-GB"/>
        </w:rPr>
        <w:t xml:space="preserve">paclitaxel </w:t>
      </w:r>
      <w:r w:rsidR="005F29E0" w:rsidRPr="00DB68B1">
        <w:rPr>
          <w:lang w:val="en-GB"/>
        </w:rPr>
        <w:t>treatment in the NHS</w:t>
      </w:r>
      <w:r w:rsidR="00AD3D19">
        <w:rPr>
          <w:lang w:val="en-GB"/>
        </w:rPr>
        <w:t>, but that</w:t>
      </w:r>
      <w:r w:rsidR="00F26E85" w:rsidRPr="00DB68B1">
        <w:rPr>
          <w:lang w:val="en-GB"/>
        </w:rPr>
        <w:t xml:space="preserve"> </w:t>
      </w:r>
      <w:r w:rsidR="00166387" w:rsidRPr="00DB68B1">
        <w:rPr>
          <w:lang w:val="en-GB"/>
        </w:rPr>
        <w:t>patients</w:t>
      </w:r>
      <w:r w:rsidR="00F26E85" w:rsidRPr="00DB68B1">
        <w:rPr>
          <w:lang w:val="en-GB"/>
        </w:rPr>
        <w:t xml:space="preserve"> </w:t>
      </w:r>
      <w:r w:rsidR="005F29E0" w:rsidRPr="00DB68B1">
        <w:rPr>
          <w:lang w:val="en-GB"/>
        </w:rPr>
        <w:t xml:space="preserve">are </w:t>
      </w:r>
      <w:r w:rsidR="007939D9" w:rsidRPr="00DB68B1">
        <w:rPr>
          <w:lang w:val="en-GB"/>
        </w:rPr>
        <w:t xml:space="preserve">increasingly </w:t>
      </w:r>
      <w:r w:rsidR="005F29E0" w:rsidRPr="00DB68B1">
        <w:rPr>
          <w:lang w:val="en-GB"/>
        </w:rPr>
        <w:t>likely</w:t>
      </w:r>
      <w:r w:rsidR="00166387" w:rsidRPr="00DB68B1">
        <w:rPr>
          <w:lang w:val="en-GB"/>
        </w:rPr>
        <w:t xml:space="preserve"> to </w:t>
      </w:r>
      <w:r w:rsidR="00913C5B" w:rsidRPr="00DB68B1">
        <w:rPr>
          <w:lang w:val="en-GB"/>
        </w:rPr>
        <w:t>have</w:t>
      </w:r>
      <w:r w:rsidR="00166387" w:rsidRPr="00DB68B1">
        <w:rPr>
          <w:lang w:val="en-GB"/>
        </w:rPr>
        <w:t xml:space="preserve"> paclitaxel until </w:t>
      </w:r>
      <w:r w:rsidR="00F26E85" w:rsidRPr="00DB68B1">
        <w:rPr>
          <w:lang w:val="en-GB"/>
        </w:rPr>
        <w:t xml:space="preserve">disease </w:t>
      </w:r>
      <w:r w:rsidR="00166387" w:rsidRPr="00DB68B1">
        <w:rPr>
          <w:lang w:val="en-GB"/>
        </w:rPr>
        <w:t xml:space="preserve">progression </w:t>
      </w:r>
      <w:r w:rsidR="00B15B9D" w:rsidRPr="00DB68B1">
        <w:rPr>
          <w:lang w:val="en-GB"/>
        </w:rPr>
        <w:t xml:space="preserve">or </w:t>
      </w:r>
      <w:r w:rsidR="00166387" w:rsidRPr="00DB68B1">
        <w:rPr>
          <w:lang w:val="en-GB"/>
        </w:rPr>
        <w:t>unacceptable toxicity</w:t>
      </w:r>
      <w:r w:rsidR="003F6674">
        <w:rPr>
          <w:lang w:val="en-GB"/>
        </w:rPr>
        <w:t>.</w:t>
      </w:r>
      <w:r w:rsidR="00956129">
        <w:rPr>
          <w:lang w:val="en-GB"/>
        </w:rPr>
        <w:t xml:space="preserve"> </w:t>
      </w:r>
      <w:r w:rsidR="003F6674">
        <w:rPr>
          <w:lang w:val="en-GB"/>
        </w:rPr>
        <w:t>In</w:t>
      </w:r>
      <w:r w:rsidR="00F26E85" w:rsidRPr="00DB68B1">
        <w:rPr>
          <w:lang w:val="en-GB"/>
        </w:rPr>
        <w:t xml:space="preserve"> the past</w:t>
      </w:r>
      <w:r w:rsidR="00AD3D19">
        <w:rPr>
          <w:lang w:val="en-GB"/>
        </w:rPr>
        <w:t>,</w:t>
      </w:r>
      <w:r w:rsidR="00F26E85" w:rsidRPr="00DB68B1">
        <w:rPr>
          <w:lang w:val="en-GB"/>
        </w:rPr>
        <w:t xml:space="preserve"> it was more common to treat for a fixed period</w:t>
      </w:r>
      <w:r w:rsidR="00166387" w:rsidRPr="00DB68B1">
        <w:rPr>
          <w:lang w:val="en-GB"/>
        </w:rPr>
        <w:t xml:space="preserve">. </w:t>
      </w:r>
      <w:r w:rsidR="00AD3D19">
        <w:rPr>
          <w:lang w:val="en-GB"/>
        </w:rPr>
        <w:t>They explained that, t</w:t>
      </w:r>
      <w:r w:rsidR="00B15B9D" w:rsidRPr="00DB68B1">
        <w:rPr>
          <w:lang w:val="en-GB"/>
        </w:rPr>
        <w:t xml:space="preserve">o extend </w:t>
      </w:r>
      <w:r w:rsidR="00913C5B" w:rsidRPr="00DB68B1">
        <w:rPr>
          <w:lang w:val="en-GB"/>
        </w:rPr>
        <w:t xml:space="preserve">the </w:t>
      </w:r>
      <w:r w:rsidR="00B15B9D" w:rsidRPr="00DB68B1">
        <w:rPr>
          <w:lang w:val="en-GB"/>
        </w:rPr>
        <w:t>treatment period</w:t>
      </w:r>
      <w:r w:rsidR="00913C5B" w:rsidRPr="00DB68B1">
        <w:rPr>
          <w:lang w:val="en-GB"/>
        </w:rPr>
        <w:t>,</w:t>
      </w:r>
      <w:r w:rsidR="00B15B9D" w:rsidRPr="00DB68B1">
        <w:rPr>
          <w:lang w:val="en-GB"/>
        </w:rPr>
        <w:t xml:space="preserve"> side effects are </w:t>
      </w:r>
      <w:r w:rsidR="009E4A75" w:rsidRPr="00DB68B1">
        <w:rPr>
          <w:lang w:val="en-GB"/>
        </w:rPr>
        <w:t>often</w:t>
      </w:r>
      <w:r w:rsidR="00B15B9D" w:rsidRPr="00DB68B1">
        <w:rPr>
          <w:lang w:val="en-GB"/>
        </w:rPr>
        <w:t xml:space="preserve"> managed by dose reduction</w:t>
      </w:r>
      <w:r w:rsidR="002206EB" w:rsidRPr="00DB68B1">
        <w:rPr>
          <w:lang w:val="en-GB"/>
        </w:rPr>
        <w:t>s</w:t>
      </w:r>
      <w:r w:rsidR="00913C5B" w:rsidRPr="00DB68B1">
        <w:rPr>
          <w:lang w:val="en-GB"/>
        </w:rPr>
        <w:t xml:space="preserve"> and dose </w:t>
      </w:r>
      <w:r w:rsidR="003F6674">
        <w:rPr>
          <w:lang w:val="en-GB"/>
        </w:rPr>
        <w:t>‘</w:t>
      </w:r>
      <w:r w:rsidR="00913C5B" w:rsidRPr="00DB68B1">
        <w:rPr>
          <w:lang w:val="en-GB"/>
        </w:rPr>
        <w:t>holidays</w:t>
      </w:r>
      <w:r w:rsidR="003F6674">
        <w:rPr>
          <w:lang w:val="en-GB"/>
        </w:rPr>
        <w:t>’</w:t>
      </w:r>
      <w:r w:rsidR="00AD3D19">
        <w:rPr>
          <w:lang w:val="en-GB"/>
        </w:rPr>
        <w:t>,</w:t>
      </w:r>
      <w:r w:rsidR="00BC46E7" w:rsidRPr="00DB68B1">
        <w:rPr>
          <w:lang w:val="en-GB"/>
        </w:rPr>
        <w:t xml:space="preserve"> so </w:t>
      </w:r>
      <w:r w:rsidR="00AD3D19">
        <w:rPr>
          <w:lang w:val="en-GB"/>
        </w:rPr>
        <w:t>assuming</w:t>
      </w:r>
      <w:r w:rsidR="00BC46E7" w:rsidRPr="00DB68B1">
        <w:rPr>
          <w:lang w:val="en-GB"/>
        </w:rPr>
        <w:t xml:space="preserve"> full dosage for all patients until disease progression was not realistic</w:t>
      </w:r>
      <w:r w:rsidR="002206EB" w:rsidRPr="00DB68B1">
        <w:rPr>
          <w:lang w:val="en-GB"/>
        </w:rPr>
        <w:t>.</w:t>
      </w:r>
      <w:r w:rsidR="00B15B9D" w:rsidRPr="00DB68B1">
        <w:rPr>
          <w:lang w:val="en-GB"/>
        </w:rPr>
        <w:t xml:space="preserve"> </w:t>
      </w:r>
      <w:r w:rsidR="00BC46E7" w:rsidRPr="00DB68B1">
        <w:rPr>
          <w:lang w:val="en-GB"/>
        </w:rPr>
        <w:t xml:space="preserve">However, the </w:t>
      </w:r>
      <w:r w:rsidR="002206EB" w:rsidRPr="00DB68B1">
        <w:rPr>
          <w:lang w:val="en-GB"/>
        </w:rPr>
        <w:t xml:space="preserve">committee </w:t>
      </w:r>
      <w:r w:rsidR="005F29E0" w:rsidRPr="00DB68B1">
        <w:rPr>
          <w:lang w:val="en-GB"/>
        </w:rPr>
        <w:t xml:space="preserve">also </w:t>
      </w:r>
      <w:r w:rsidR="002206EB" w:rsidRPr="00DB68B1">
        <w:rPr>
          <w:lang w:val="en-GB"/>
        </w:rPr>
        <w:t xml:space="preserve">heard from </w:t>
      </w:r>
      <w:r w:rsidR="00913C5B" w:rsidRPr="00DB68B1">
        <w:rPr>
          <w:lang w:val="en-GB"/>
        </w:rPr>
        <w:t xml:space="preserve">the </w:t>
      </w:r>
      <w:r w:rsidR="002206EB" w:rsidRPr="00DB68B1">
        <w:rPr>
          <w:lang w:val="en-GB"/>
        </w:rPr>
        <w:t>clinical experts that a</w:t>
      </w:r>
      <w:r w:rsidR="00166387" w:rsidRPr="00DB68B1">
        <w:rPr>
          <w:lang w:val="en-GB"/>
        </w:rPr>
        <w:t>ssuming a</w:t>
      </w:r>
      <w:r w:rsidR="00B15B9D" w:rsidRPr="00DB68B1">
        <w:rPr>
          <w:lang w:val="en-GB"/>
        </w:rPr>
        <w:t>n</w:t>
      </w:r>
      <w:r w:rsidR="00166387" w:rsidRPr="00DB68B1">
        <w:rPr>
          <w:lang w:val="en-GB"/>
        </w:rPr>
        <w:t xml:space="preserve"> </w:t>
      </w:r>
      <w:r w:rsidR="00B15B9D" w:rsidRPr="00DB68B1">
        <w:rPr>
          <w:lang w:val="en-GB"/>
        </w:rPr>
        <w:t>18</w:t>
      </w:r>
      <w:r w:rsidR="00AD3D19">
        <w:rPr>
          <w:lang w:val="en-GB"/>
        </w:rPr>
        <w:noBreakHyphen/>
      </w:r>
      <w:r w:rsidR="00B15B9D" w:rsidRPr="00DB68B1">
        <w:rPr>
          <w:lang w:val="en-GB"/>
        </w:rPr>
        <w:t>cycle</w:t>
      </w:r>
      <w:r w:rsidR="00166387" w:rsidRPr="00DB68B1">
        <w:rPr>
          <w:lang w:val="en-GB"/>
        </w:rPr>
        <w:t xml:space="preserve"> cut</w:t>
      </w:r>
      <w:r w:rsidR="00913C5B" w:rsidRPr="00DB68B1">
        <w:rPr>
          <w:lang w:val="en-GB"/>
        </w:rPr>
        <w:t>-</w:t>
      </w:r>
      <w:r w:rsidR="00166387" w:rsidRPr="00DB68B1">
        <w:rPr>
          <w:lang w:val="en-GB"/>
        </w:rPr>
        <w:t xml:space="preserve">off point </w:t>
      </w:r>
      <w:r w:rsidR="007939D9" w:rsidRPr="00DB68B1">
        <w:rPr>
          <w:lang w:val="en-GB"/>
        </w:rPr>
        <w:t>would be</w:t>
      </w:r>
      <w:r w:rsidR="00166387" w:rsidRPr="00DB68B1">
        <w:rPr>
          <w:lang w:val="en-GB"/>
        </w:rPr>
        <w:t xml:space="preserve"> arbitrary</w:t>
      </w:r>
      <w:r w:rsidR="00B15B9D" w:rsidRPr="00DB68B1">
        <w:rPr>
          <w:lang w:val="en-GB"/>
        </w:rPr>
        <w:t xml:space="preserve"> and </w:t>
      </w:r>
      <w:r w:rsidR="007939D9" w:rsidRPr="00DB68B1">
        <w:rPr>
          <w:lang w:val="en-GB"/>
        </w:rPr>
        <w:t>not supported by</w:t>
      </w:r>
      <w:r w:rsidR="002206EB" w:rsidRPr="00DB68B1">
        <w:rPr>
          <w:lang w:val="en-GB"/>
        </w:rPr>
        <w:t xml:space="preserve"> evidence. Their experience is that most chemotherapies stop working after 10</w:t>
      </w:r>
      <w:r w:rsidR="00AD3D19">
        <w:rPr>
          <w:lang w:val="en-GB"/>
        </w:rPr>
        <w:t> </w:t>
      </w:r>
      <w:r w:rsidR="002206EB" w:rsidRPr="00DB68B1">
        <w:rPr>
          <w:lang w:val="en-GB"/>
        </w:rPr>
        <w:t>months</w:t>
      </w:r>
      <w:r w:rsidR="00A35438" w:rsidRPr="00DB68B1">
        <w:rPr>
          <w:lang w:val="en-GB"/>
        </w:rPr>
        <w:t>. However,</w:t>
      </w:r>
      <w:r w:rsidR="00BC46E7" w:rsidRPr="00DB68B1">
        <w:rPr>
          <w:lang w:val="en-GB"/>
        </w:rPr>
        <w:t xml:space="preserve"> </w:t>
      </w:r>
      <w:r w:rsidR="00AD3D19">
        <w:rPr>
          <w:lang w:val="en-GB"/>
        </w:rPr>
        <w:t>because</w:t>
      </w:r>
      <w:r w:rsidR="00AD3D19" w:rsidRPr="00620826">
        <w:rPr>
          <w:lang w:val="en-GB"/>
        </w:rPr>
        <w:t xml:space="preserve"> </w:t>
      </w:r>
      <w:r w:rsidR="00BC46E7" w:rsidRPr="00DB68B1">
        <w:rPr>
          <w:lang w:val="en-GB"/>
        </w:rPr>
        <w:t>there are no effective alternative treatments</w:t>
      </w:r>
      <w:r w:rsidR="002206EB" w:rsidRPr="00DB68B1">
        <w:rPr>
          <w:lang w:val="en-GB"/>
        </w:rPr>
        <w:t xml:space="preserve"> </w:t>
      </w:r>
      <w:r w:rsidR="004033D4" w:rsidRPr="00DB68B1">
        <w:rPr>
          <w:lang w:val="en-GB"/>
        </w:rPr>
        <w:t xml:space="preserve">in this </w:t>
      </w:r>
      <w:r w:rsidR="004258AD" w:rsidRPr="00620826">
        <w:rPr>
          <w:lang w:val="en-GB"/>
        </w:rPr>
        <w:t>condition</w:t>
      </w:r>
      <w:r w:rsidR="004033D4" w:rsidRPr="00DB68B1">
        <w:rPr>
          <w:lang w:val="en-GB"/>
        </w:rPr>
        <w:t xml:space="preserve">, </w:t>
      </w:r>
      <w:r w:rsidR="00913C5B" w:rsidRPr="00DB68B1">
        <w:rPr>
          <w:lang w:val="en-GB"/>
        </w:rPr>
        <w:t>it is common practice</w:t>
      </w:r>
      <w:r w:rsidR="002206EB" w:rsidRPr="00DB68B1">
        <w:rPr>
          <w:lang w:val="en-GB"/>
        </w:rPr>
        <w:t xml:space="preserve"> to continue </w:t>
      </w:r>
      <w:r w:rsidR="00913C5B" w:rsidRPr="00DB68B1">
        <w:rPr>
          <w:lang w:val="en-GB"/>
        </w:rPr>
        <w:t xml:space="preserve">treatment </w:t>
      </w:r>
      <w:r w:rsidR="002206EB" w:rsidRPr="00DB68B1">
        <w:rPr>
          <w:lang w:val="en-GB"/>
        </w:rPr>
        <w:t xml:space="preserve">until </w:t>
      </w:r>
      <w:r w:rsidR="00BC46E7" w:rsidRPr="00DB68B1">
        <w:rPr>
          <w:lang w:val="en-GB"/>
        </w:rPr>
        <w:t>there is evidence of no further benefit</w:t>
      </w:r>
      <w:r w:rsidR="002206EB" w:rsidRPr="00DB68B1">
        <w:rPr>
          <w:lang w:val="en-GB"/>
        </w:rPr>
        <w:t xml:space="preserve">. </w:t>
      </w:r>
      <w:r w:rsidR="00913C5B" w:rsidRPr="00DB68B1">
        <w:rPr>
          <w:lang w:val="en-GB"/>
        </w:rPr>
        <w:t xml:space="preserve">The committee accepted that </w:t>
      </w:r>
      <w:r w:rsidR="00C22F5E" w:rsidRPr="00DB68B1">
        <w:rPr>
          <w:lang w:val="en-GB"/>
        </w:rPr>
        <w:t>an</w:t>
      </w:r>
      <w:r w:rsidR="00913C5B" w:rsidRPr="00DB68B1">
        <w:rPr>
          <w:lang w:val="en-GB"/>
        </w:rPr>
        <w:t xml:space="preserve"> </w:t>
      </w:r>
      <w:r w:rsidR="00B332C0" w:rsidRPr="00DB68B1">
        <w:rPr>
          <w:lang w:val="en-GB"/>
        </w:rPr>
        <w:t>18</w:t>
      </w:r>
      <w:r w:rsidR="00AD3D19">
        <w:rPr>
          <w:lang w:val="en-GB"/>
        </w:rPr>
        <w:noBreakHyphen/>
      </w:r>
      <w:r w:rsidR="00B332C0" w:rsidRPr="00DB68B1">
        <w:rPr>
          <w:lang w:val="en-GB"/>
        </w:rPr>
        <w:t>cycle</w:t>
      </w:r>
      <w:r w:rsidR="00913C5B" w:rsidRPr="00DB68B1">
        <w:rPr>
          <w:lang w:val="en-GB"/>
        </w:rPr>
        <w:t xml:space="preserve"> </w:t>
      </w:r>
      <w:r w:rsidR="00C22F5E" w:rsidRPr="00DB68B1">
        <w:rPr>
          <w:lang w:val="en-GB"/>
        </w:rPr>
        <w:t xml:space="preserve">treatment cap </w:t>
      </w:r>
      <w:r w:rsidR="00913C5B" w:rsidRPr="00DB68B1">
        <w:rPr>
          <w:lang w:val="en-GB"/>
        </w:rPr>
        <w:t>does not reflect clinical practice</w:t>
      </w:r>
      <w:r w:rsidR="005F29E0" w:rsidRPr="00DB68B1">
        <w:rPr>
          <w:lang w:val="en-GB"/>
        </w:rPr>
        <w:t xml:space="preserve"> in the NHS</w:t>
      </w:r>
      <w:r w:rsidR="00913C5B" w:rsidRPr="00DB68B1">
        <w:rPr>
          <w:lang w:val="en-GB"/>
        </w:rPr>
        <w:t xml:space="preserve">. However, it </w:t>
      </w:r>
      <w:r w:rsidR="006E6C98" w:rsidRPr="00DB68B1">
        <w:rPr>
          <w:lang w:val="en-GB"/>
        </w:rPr>
        <w:t>consi</w:t>
      </w:r>
      <w:r w:rsidR="00BA208E" w:rsidRPr="00DB68B1">
        <w:rPr>
          <w:lang w:val="en-GB"/>
        </w:rPr>
        <w:t>d</w:t>
      </w:r>
      <w:r w:rsidR="006E6C98" w:rsidRPr="00DB68B1">
        <w:rPr>
          <w:lang w:val="en-GB"/>
        </w:rPr>
        <w:t xml:space="preserve">ered </w:t>
      </w:r>
      <w:r w:rsidR="00913C5B" w:rsidRPr="00DB68B1">
        <w:rPr>
          <w:lang w:val="en-GB"/>
        </w:rPr>
        <w:t xml:space="preserve">that the company’s </w:t>
      </w:r>
      <w:r w:rsidR="005F29E0" w:rsidRPr="00DB68B1">
        <w:rPr>
          <w:lang w:val="en-GB"/>
        </w:rPr>
        <w:t xml:space="preserve">revised </w:t>
      </w:r>
      <w:r w:rsidR="003A69FC" w:rsidRPr="00DB68B1">
        <w:rPr>
          <w:lang w:val="en-GB"/>
        </w:rPr>
        <w:t>analysis</w:t>
      </w:r>
      <w:r w:rsidR="00913C5B" w:rsidRPr="00DB68B1">
        <w:rPr>
          <w:lang w:val="en-GB"/>
        </w:rPr>
        <w:t>,</w:t>
      </w:r>
      <w:r w:rsidR="007D71D6" w:rsidRPr="00DB68B1">
        <w:rPr>
          <w:lang w:val="en-GB"/>
        </w:rPr>
        <w:t xml:space="preserve"> which assumed</w:t>
      </w:r>
      <w:r w:rsidR="00913C5B" w:rsidRPr="00DB68B1">
        <w:rPr>
          <w:lang w:val="en-GB"/>
        </w:rPr>
        <w:t xml:space="preserve"> </w:t>
      </w:r>
      <w:r w:rsidR="005F29E0" w:rsidRPr="00DB68B1">
        <w:rPr>
          <w:lang w:val="en-GB"/>
        </w:rPr>
        <w:t xml:space="preserve">all </w:t>
      </w:r>
      <w:r w:rsidR="00913C5B" w:rsidRPr="00DB68B1">
        <w:rPr>
          <w:lang w:val="en-GB"/>
        </w:rPr>
        <w:t xml:space="preserve">patients </w:t>
      </w:r>
      <w:r w:rsidR="005F29E0" w:rsidRPr="00DB68B1">
        <w:rPr>
          <w:lang w:val="en-GB"/>
        </w:rPr>
        <w:t>on</w:t>
      </w:r>
      <w:r w:rsidR="00913C5B" w:rsidRPr="00DB68B1">
        <w:rPr>
          <w:lang w:val="en-GB"/>
        </w:rPr>
        <w:t xml:space="preserve"> paclitaxel </w:t>
      </w:r>
      <w:r w:rsidR="00AD3D19">
        <w:rPr>
          <w:lang w:val="en-GB"/>
        </w:rPr>
        <w:t xml:space="preserve">would </w:t>
      </w:r>
      <w:r w:rsidR="005F29E0" w:rsidRPr="00DB68B1">
        <w:rPr>
          <w:lang w:val="en-GB"/>
        </w:rPr>
        <w:t xml:space="preserve">have it at the full dose </w:t>
      </w:r>
      <w:r w:rsidR="00913C5B" w:rsidRPr="00DB68B1">
        <w:rPr>
          <w:lang w:val="en-GB"/>
        </w:rPr>
        <w:t>until disease progression</w:t>
      </w:r>
      <w:r w:rsidR="005F29E0" w:rsidRPr="00DB68B1">
        <w:rPr>
          <w:lang w:val="en-GB"/>
        </w:rPr>
        <w:t xml:space="preserve">, </w:t>
      </w:r>
      <w:r w:rsidR="00AD3D19">
        <w:rPr>
          <w:lang w:val="en-GB"/>
        </w:rPr>
        <w:t>wa</w:t>
      </w:r>
      <w:r w:rsidR="003C661C" w:rsidRPr="00DB68B1">
        <w:rPr>
          <w:lang w:val="en-GB"/>
        </w:rPr>
        <w:t xml:space="preserve">s not </w:t>
      </w:r>
      <w:r w:rsidR="00BE415D" w:rsidRPr="00DB68B1">
        <w:rPr>
          <w:lang w:val="en-GB"/>
        </w:rPr>
        <w:t>reliable because</w:t>
      </w:r>
      <w:r w:rsidR="005F29E0" w:rsidRPr="00DB68B1">
        <w:rPr>
          <w:lang w:val="en-GB"/>
        </w:rPr>
        <w:t xml:space="preserve"> it </w:t>
      </w:r>
      <w:r w:rsidR="005F29E0" w:rsidRPr="00620826">
        <w:rPr>
          <w:lang w:val="en-GB"/>
        </w:rPr>
        <w:t>d</w:t>
      </w:r>
      <w:r w:rsidR="00AD3D19">
        <w:rPr>
          <w:lang w:val="en-GB"/>
        </w:rPr>
        <w:t>id</w:t>
      </w:r>
      <w:r w:rsidR="005F29E0" w:rsidRPr="00DB68B1">
        <w:rPr>
          <w:lang w:val="en-GB"/>
        </w:rPr>
        <w:t xml:space="preserve"> not account for dose </w:t>
      </w:r>
      <w:r w:rsidR="005F29E0" w:rsidRPr="00DB68B1">
        <w:rPr>
          <w:lang w:val="en-GB"/>
        </w:rPr>
        <w:lastRenderedPageBreak/>
        <w:t>reductions, or for variation in practice</w:t>
      </w:r>
      <w:r w:rsidR="00D30429" w:rsidRPr="00DB68B1">
        <w:rPr>
          <w:lang w:val="en-GB"/>
        </w:rPr>
        <w:t xml:space="preserve"> in the NHS</w:t>
      </w:r>
      <w:r w:rsidR="005F29E0" w:rsidRPr="00DB68B1">
        <w:rPr>
          <w:lang w:val="en-GB"/>
        </w:rPr>
        <w:t xml:space="preserve">. The committee </w:t>
      </w:r>
      <w:r w:rsidR="003C661C" w:rsidRPr="00DB68B1">
        <w:rPr>
          <w:lang w:val="en-GB"/>
        </w:rPr>
        <w:t xml:space="preserve">concluded </w:t>
      </w:r>
      <w:r w:rsidR="005F29E0" w:rsidRPr="00DB68B1">
        <w:rPr>
          <w:lang w:val="en-GB"/>
        </w:rPr>
        <w:t xml:space="preserve">that the company’s </w:t>
      </w:r>
      <w:r w:rsidR="003A69FC" w:rsidRPr="00DB68B1">
        <w:rPr>
          <w:lang w:val="en-GB"/>
        </w:rPr>
        <w:t>updated analysis</w:t>
      </w:r>
      <w:r w:rsidR="005F29E0" w:rsidRPr="00DB68B1">
        <w:rPr>
          <w:lang w:val="en-GB"/>
        </w:rPr>
        <w:t xml:space="preserve"> </w:t>
      </w:r>
      <w:r w:rsidR="00C22F5E" w:rsidRPr="00620826">
        <w:rPr>
          <w:lang w:val="en-GB"/>
        </w:rPr>
        <w:t>overestimate</w:t>
      </w:r>
      <w:r w:rsidR="00AD3D19">
        <w:rPr>
          <w:lang w:val="en-GB"/>
        </w:rPr>
        <w:t>d</w:t>
      </w:r>
      <w:r w:rsidR="00C22F5E" w:rsidRPr="00DB68B1">
        <w:rPr>
          <w:lang w:val="en-GB"/>
        </w:rPr>
        <w:t xml:space="preserve"> </w:t>
      </w:r>
      <w:r w:rsidR="009A3F1B" w:rsidRPr="00DB68B1">
        <w:rPr>
          <w:lang w:val="en-GB"/>
        </w:rPr>
        <w:t xml:space="preserve">average </w:t>
      </w:r>
      <w:r w:rsidR="00E33CD0" w:rsidRPr="00620826">
        <w:rPr>
          <w:lang w:val="en-GB"/>
        </w:rPr>
        <w:t xml:space="preserve">treatment </w:t>
      </w:r>
      <w:r w:rsidR="00C22F5E" w:rsidRPr="00DB68B1">
        <w:rPr>
          <w:lang w:val="en-GB"/>
        </w:rPr>
        <w:t>duration with weekly paclitaxel and the associated costs</w:t>
      </w:r>
      <w:r w:rsidR="0068395A" w:rsidRPr="00DB68B1">
        <w:rPr>
          <w:lang w:val="en-GB"/>
        </w:rPr>
        <w:t xml:space="preserve">. </w:t>
      </w:r>
      <w:r w:rsidR="00E33CD0">
        <w:rPr>
          <w:lang w:val="en-GB"/>
        </w:rPr>
        <w:t>It</w:t>
      </w:r>
      <w:r w:rsidR="0068395A" w:rsidRPr="00DB68B1">
        <w:rPr>
          <w:lang w:val="en-GB"/>
        </w:rPr>
        <w:t xml:space="preserve"> </w:t>
      </w:r>
      <w:r w:rsidR="008A136C" w:rsidRPr="00DB68B1">
        <w:rPr>
          <w:lang w:val="en-GB"/>
        </w:rPr>
        <w:t>suggested</w:t>
      </w:r>
      <w:r w:rsidR="0068395A" w:rsidRPr="00DB68B1">
        <w:rPr>
          <w:lang w:val="en-GB"/>
        </w:rPr>
        <w:t xml:space="preserve"> </w:t>
      </w:r>
      <w:r w:rsidR="007D71D6" w:rsidRPr="00DB68B1">
        <w:rPr>
          <w:lang w:val="en-GB"/>
        </w:rPr>
        <w:t>that</w:t>
      </w:r>
      <w:r w:rsidR="00AD3D19">
        <w:rPr>
          <w:lang w:val="en-GB"/>
        </w:rPr>
        <w:t>,</w:t>
      </w:r>
      <w:r w:rsidR="007D71D6" w:rsidRPr="00DB68B1">
        <w:rPr>
          <w:lang w:val="en-GB"/>
        </w:rPr>
        <w:t xml:space="preserve"> </w:t>
      </w:r>
      <w:r w:rsidR="0068395A" w:rsidRPr="00DB68B1">
        <w:rPr>
          <w:lang w:val="en-GB"/>
        </w:rPr>
        <w:t xml:space="preserve">in the absence of robust real-world evidence, the </w:t>
      </w:r>
      <w:r w:rsidR="00E33CD0" w:rsidRPr="00620826">
        <w:rPr>
          <w:lang w:val="en-GB"/>
        </w:rPr>
        <w:t xml:space="preserve">treatment </w:t>
      </w:r>
      <w:r w:rsidR="00C22F5E" w:rsidRPr="00DB68B1">
        <w:rPr>
          <w:lang w:val="en-GB"/>
        </w:rPr>
        <w:t xml:space="preserve">duration of </w:t>
      </w:r>
      <w:r w:rsidR="00140901" w:rsidRPr="00DB68B1">
        <w:rPr>
          <w:lang w:val="en-GB"/>
        </w:rPr>
        <w:t xml:space="preserve">weekly paclitaxel </w:t>
      </w:r>
      <w:r w:rsidR="0068395A" w:rsidRPr="00DB68B1">
        <w:rPr>
          <w:lang w:val="en-GB"/>
        </w:rPr>
        <w:t xml:space="preserve">may </w:t>
      </w:r>
      <w:r w:rsidR="00E33CD0">
        <w:rPr>
          <w:lang w:val="en-GB"/>
        </w:rPr>
        <w:t>have</w:t>
      </w:r>
      <w:r w:rsidR="00E33CD0" w:rsidRPr="00620826">
        <w:rPr>
          <w:lang w:val="en-GB"/>
        </w:rPr>
        <w:t xml:space="preserve"> </w:t>
      </w:r>
      <w:r w:rsidR="0068395A" w:rsidRPr="00DB68B1">
        <w:rPr>
          <w:lang w:val="en-GB"/>
        </w:rPr>
        <w:t>best</w:t>
      </w:r>
      <w:r w:rsidR="00E33CD0">
        <w:rPr>
          <w:lang w:val="en-GB"/>
        </w:rPr>
        <w:t xml:space="preserve"> been</w:t>
      </w:r>
      <w:r w:rsidR="0068395A" w:rsidRPr="00DB68B1">
        <w:rPr>
          <w:lang w:val="en-GB"/>
        </w:rPr>
        <w:t xml:space="preserve"> informed by the treatment duration in </w:t>
      </w:r>
      <w:r w:rsidR="009E4A75" w:rsidRPr="00DB68B1">
        <w:rPr>
          <w:lang w:val="en-GB"/>
        </w:rPr>
        <w:t>the nab-paclitaxel control arm of IMpassion130 (see section</w:t>
      </w:r>
      <w:r w:rsidR="00E33CD0">
        <w:rPr>
          <w:lang w:val="en-GB"/>
        </w:rPr>
        <w:t> </w:t>
      </w:r>
      <w:r w:rsidR="00B332C0" w:rsidRPr="00DB68B1">
        <w:rPr>
          <w:lang w:val="en-GB"/>
        </w:rPr>
        <w:fldChar w:fldCharType="begin"/>
      </w:r>
      <w:r w:rsidR="00B332C0" w:rsidRPr="00DB68B1">
        <w:rPr>
          <w:lang w:val="en-GB"/>
        </w:rPr>
        <w:instrText xml:space="preserve"> REF _Ref19186888 \r \h </w:instrText>
      </w:r>
      <w:r w:rsidR="00B332C0" w:rsidRPr="00DB68B1">
        <w:rPr>
          <w:lang w:val="en-GB"/>
        </w:rPr>
      </w:r>
      <w:r w:rsidR="00B332C0" w:rsidRPr="00DB68B1">
        <w:rPr>
          <w:lang w:val="en-GB"/>
        </w:rPr>
        <w:fldChar w:fldCharType="separate"/>
      </w:r>
      <w:r w:rsidR="002C3E53">
        <w:rPr>
          <w:lang w:val="en-GB"/>
        </w:rPr>
        <w:t>3.10</w:t>
      </w:r>
      <w:r w:rsidR="00B332C0" w:rsidRPr="00DB68B1">
        <w:rPr>
          <w:lang w:val="en-GB"/>
        </w:rPr>
        <w:fldChar w:fldCharType="end"/>
      </w:r>
      <w:r w:rsidR="0068395A" w:rsidRPr="00DB68B1">
        <w:rPr>
          <w:lang w:val="en-GB"/>
        </w:rPr>
        <w:t>)</w:t>
      </w:r>
      <w:r w:rsidR="00D30429" w:rsidRPr="00DB68B1">
        <w:rPr>
          <w:lang w:val="en-GB"/>
        </w:rPr>
        <w:t xml:space="preserve">. </w:t>
      </w:r>
      <w:r w:rsidR="007939D9" w:rsidRPr="00DB68B1">
        <w:rPr>
          <w:lang w:val="en-GB"/>
        </w:rPr>
        <w:t xml:space="preserve">The committee </w:t>
      </w:r>
      <w:r w:rsidR="009E4A75" w:rsidRPr="00DB68B1">
        <w:rPr>
          <w:lang w:val="en-GB"/>
        </w:rPr>
        <w:t xml:space="preserve">concluded that </w:t>
      </w:r>
      <w:r w:rsidR="00C22F5E" w:rsidRPr="00DB68B1">
        <w:rPr>
          <w:lang w:val="en-GB"/>
        </w:rPr>
        <w:t>average</w:t>
      </w:r>
      <w:r w:rsidR="007939D9" w:rsidRPr="00DB68B1">
        <w:rPr>
          <w:lang w:val="en-GB"/>
        </w:rPr>
        <w:t xml:space="preserve"> </w:t>
      </w:r>
      <w:r w:rsidR="00E33CD0" w:rsidRPr="00620826">
        <w:rPr>
          <w:lang w:val="en-GB"/>
        </w:rPr>
        <w:t xml:space="preserve">treatment </w:t>
      </w:r>
      <w:r w:rsidR="00C22F5E" w:rsidRPr="00DB68B1">
        <w:rPr>
          <w:lang w:val="en-GB"/>
        </w:rPr>
        <w:t>duration with</w:t>
      </w:r>
      <w:r w:rsidR="007939D9" w:rsidRPr="00DB68B1">
        <w:rPr>
          <w:lang w:val="en-GB"/>
        </w:rPr>
        <w:t xml:space="preserve"> </w:t>
      </w:r>
      <w:r w:rsidR="00C22F5E" w:rsidRPr="00DB68B1">
        <w:rPr>
          <w:lang w:val="en-GB"/>
        </w:rPr>
        <w:t xml:space="preserve">weekly </w:t>
      </w:r>
      <w:r w:rsidR="007939D9" w:rsidRPr="00DB68B1">
        <w:rPr>
          <w:lang w:val="en-GB"/>
        </w:rPr>
        <w:t xml:space="preserve">paclitaxel </w:t>
      </w:r>
      <w:r w:rsidR="00E33CD0">
        <w:rPr>
          <w:lang w:val="en-GB"/>
        </w:rPr>
        <w:t>wa</w:t>
      </w:r>
      <w:r w:rsidR="00C22F5E" w:rsidRPr="00DB68B1">
        <w:rPr>
          <w:lang w:val="en-GB"/>
        </w:rPr>
        <w:t>s</w:t>
      </w:r>
      <w:r w:rsidR="007939D9" w:rsidRPr="00DB68B1">
        <w:rPr>
          <w:lang w:val="en-GB"/>
        </w:rPr>
        <w:t xml:space="preserve"> uncertain</w:t>
      </w:r>
      <w:r w:rsidR="00140901" w:rsidRPr="00DB68B1">
        <w:rPr>
          <w:lang w:val="en-GB"/>
        </w:rPr>
        <w:t xml:space="preserve"> </w:t>
      </w:r>
      <w:r w:rsidR="007939D9" w:rsidRPr="00DB68B1">
        <w:rPr>
          <w:lang w:val="en-GB"/>
        </w:rPr>
        <w:t>and</w:t>
      </w:r>
      <w:r w:rsidR="00956F33" w:rsidRPr="00DB68B1">
        <w:rPr>
          <w:lang w:val="en-GB"/>
        </w:rPr>
        <w:t xml:space="preserve"> </w:t>
      </w:r>
      <w:r w:rsidR="007D71D6" w:rsidRPr="00DB68B1">
        <w:rPr>
          <w:lang w:val="en-GB"/>
        </w:rPr>
        <w:t xml:space="preserve">would </w:t>
      </w:r>
      <w:r w:rsidR="00E33CD0">
        <w:rPr>
          <w:lang w:val="en-GB"/>
        </w:rPr>
        <w:t>have</w:t>
      </w:r>
      <w:r w:rsidR="007D71D6" w:rsidRPr="00DB68B1">
        <w:rPr>
          <w:lang w:val="en-GB"/>
        </w:rPr>
        <w:t xml:space="preserve"> </w:t>
      </w:r>
      <w:r w:rsidR="00956F33" w:rsidRPr="00DB68B1">
        <w:rPr>
          <w:lang w:val="en-GB"/>
        </w:rPr>
        <w:t>be</w:t>
      </w:r>
      <w:r w:rsidR="007D71D6" w:rsidRPr="00DB68B1">
        <w:rPr>
          <w:lang w:val="en-GB"/>
        </w:rPr>
        <w:t>st</w:t>
      </w:r>
      <w:r w:rsidR="00956F33" w:rsidRPr="00DB68B1">
        <w:rPr>
          <w:lang w:val="en-GB"/>
        </w:rPr>
        <w:t xml:space="preserve"> </w:t>
      </w:r>
      <w:r w:rsidR="00E33CD0">
        <w:rPr>
          <w:lang w:val="en-GB"/>
        </w:rPr>
        <w:t>been</w:t>
      </w:r>
      <w:r w:rsidR="00956F33" w:rsidRPr="00620826">
        <w:rPr>
          <w:lang w:val="en-GB"/>
        </w:rPr>
        <w:t xml:space="preserve"> </w:t>
      </w:r>
      <w:r w:rsidR="00956F33" w:rsidRPr="00DB68B1">
        <w:rPr>
          <w:lang w:val="en-GB"/>
        </w:rPr>
        <w:t xml:space="preserve">informed by </w:t>
      </w:r>
      <w:r w:rsidR="009E4A75" w:rsidRPr="00DB68B1">
        <w:rPr>
          <w:lang w:val="en-GB"/>
        </w:rPr>
        <w:t xml:space="preserve">data </w:t>
      </w:r>
      <w:r w:rsidR="00956F33" w:rsidRPr="00DB68B1">
        <w:rPr>
          <w:lang w:val="en-GB"/>
        </w:rPr>
        <w:t xml:space="preserve">on time to </w:t>
      </w:r>
      <w:r w:rsidR="00E33CD0">
        <w:rPr>
          <w:lang w:val="en-GB"/>
        </w:rPr>
        <w:t xml:space="preserve">stopping </w:t>
      </w:r>
      <w:r w:rsidR="00956F33" w:rsidRPr="00DB68B1">
        <w:rPr>
          <w:lang w:val="en-GB"/>
        </w:rPr>
        <w:t xml:space="preserve">treatment </w:t>
      </w:r>
      <w:r w:rsidR="009E4A75" w:rsidRPr="00DB68B1">
        <w:rPr>
          <w:lang w:val="en-GB"/>
        </w:rPr>
        <w:t xml:space="preserve">from the </w:t>
      </w:r>
      <w:r w:rsidR="00C22F5E" w:rsidRPr="00DB68B1">
        <w:rPr>
          <w:lang w:val="en-GB"/>
        </w:rPr>
        <w:t xml:space="preserve">control arm of </w:t>
      </w:r>
      <w:r w:rsidR="00956F33" w:rsidRPr="00DB68B1">
        <w:rPr>
          <w:lang w:val="en-GB"/>
        </w:rPr>
        <w:t>Impassion130.</w:t>
      </w:r>
      <w:bookmarkEnd w:id="10"/>
    </w:p>
    <w:p w14:paraId="4A641905" w14:textId="04F9A30B" w:rsidR="00643582" w:rsidRDefault="00D55040" w:rsidP="00643582">
      <w:pPr>
        <w:pStyle w:val="Heading2"/>
      </w:pPr>
      <w:r>
        <w:t>Cost-effectiveness estimate</w:t>
      </w:r>
    </w:p>
    <w:p w14:paraId="7D20B3F9" w14:textId="7C1A0EA3" w:rsidR="00643582" w:rsidRDefault="00F64EF6" w:rsidP="0073007E">
      <w:pPr>
        <w:pStyle w:val="Heading3"/>
      </w:pPr>
      <w:r>
        <w:t xml:space="preserve">Atezolizumab plus nab-paclitaxel </w:t>
      </w:r>
      <w:r w:rsidR="00A46B5B">
        <w:t xml:space="preserve">has not been shown to be cost effective compared with </w:t>
      </w:r>
      <w:r w:rsidR="00CA3B07">
        <w:t>weekly pacl</w:t>
      </w:r>
      <w:r w:rsidR="002F258F">
        <w:t>i</w:t>
      </w:r>
      <w:r w:rsidR="00CA3B07">
        <w:t>taxel</w:t>
      </w:r>
    </w:p>
    <w:p w14:paraId="58D385F0" w14:textId="5DD7B8D5" w:rsidR="001D2B49" w:rsidRPr="00DB68B1" w:rsidRDefault="00DC0B2D" w:rsidP="006B198E">
      <w:pPr>
        <w:pStyle w:val="Numberedlevel2text"/>
        <w:rPr>
          <w:lang w:val="en-GB"/>
        </w:rPr>
      </w:pPr>
      <w:r>
        <w:rPr>
          <w:lang w:val="en-GB"/>
        </w:rPr>
        <w:t xml:space="preserve">Incorporating the committee’s preferred assumptions </w:t>
      </w:r>
      <w:r w:rsidR="00DC772C">
        <w:rPr>
          <w:lang w:val="en-GB"/>
        </w:rPr>
        <w:t>(see</w:t>
      </w:r>
      <w:r>
        <w:rPr>
          <w:lang w:val="en-GB"/>
        </w:rPr>
        <w:t xml:space="preserve"> </w:t>
      </w:r>
      <w:r w:rsidR="006F581D">
        <w:rPr>
          <w:lang w:val="en-GB"/>
        </w:rPr>
        <w:t>section </w:t>
      </w:r>
      <w:r w:rsidR="00B332C0">
        <w:rPr>
          <w:lang w:val="en-GB"/>
        </w:rPr>
        <w:fldChar w:fldCharType="begin"/>
      </w:r>
      <w:r w:rsidR="00B332C0">
        <w:rPr>
          <w:lang w:val="en-GB"/>
        </w:rPr>
        <w:instrText xml:space="preserve"> REF _Ref19186888 \r \h </w:instrText>
      </w:r>
      <w:r w:rsidR="00B332C0">
        <w:rPr>
          <w:lang w:val="en-GB"/>
        </w:rPr>
      </w:r>
      <w:r w:rsidR="00B332C0">
        <w:rPr>
          <w:lang w:val="en-GB"/>
        </w:rPr>
        <w:fldChar w:fldCharType="separate"/>
      </w:r>
      <w:r w:rsidR="002C3E53">
        <w:rPr>
          <w:lang w:val="en-GB"/>
        </w:rPr>
        <w:t>3.10</w:t>
      </w:r>
      <w:r w:rsidR="00B332C0">
        <w:rPr>
          <w:lang w:val="en-GB"/>
        </w:rPr>
        <w:fldChar w:fldCharType="end"/>
      </w:r>
      <w:r w:rsidR="00B332C0">
        <w:rPr>
          <w:lang w:val="en-GB"/>
        </w:rPr>
        <w:t xml:space="preserve"> and</w:t>
      </w:r>
      <w:r w:rsidR="006F581D">
        <w:rPr>
          <w:lang w:val="en-GB"/>
        </w:rPr>
        <w:t xml:space="preserve"> section</w:t>
      </w:r>
      <w:r w:rsidR="00DC772C">
        <w:rPr>
          <w:lang w:val="en-GB"/>
        </w:rPr>
        <w:t> </w:t>
      </w:r>
      <w:r w:rsidR="00B332C0">
        <w:rPr>
          <w:lang w:val="en-GB"/>
        </w:rPr>
        <w:fldChar w:fldCharType="begin"/>
      </w:r>
      <w:r w:rsidR="00B332C0">
        <w:rPr>
          <w:lang w:val="en-GB"/>
        </w:rPr>
        <w:instrText xml:space="preserve"> REF _Ref19187362 \r \h </w:instrText>
      </w:r>
      <w:r w:rsidR="00B332C0">
        <w:rPr>
          <w:lang w:val="en-GB"/>
        </w:rPr>
      </w:r>
      <w:r w:rsidR="00B332C0">
        <w:rPr>
          <w:lang w:val="en-GB"/>
        </w:rPr>
        <w:fldChar w:fldCharType="separate"/>
      </w:r>
      <w:r w:rsidR="002C3E53">
        <w:rPr>
          <w:lang w:val="en-GB"/>
        </w:rPr>
        <w:t>3.12</w:t>
      </w:r>
      <w:r w:rsidR="00B332C0">
        <w:rPr>
          <w:lang w:val="en-GB"/>
        </w:rPr>
        <w:fldChar w:fldCharType="end"/>
      </w:r>
      <w:r w:rsidR="00956129">
        <w:rPr>
          <w:lang w:val="en-GB"/>
        </w:rPr>
        <w:t>1</w:t>
      </w:r>
      <w:r w:rsidR="00DC772C">
        <w:rPr>
          <w:lang w:val="en-GB"/>
        </w:rPr>
        <w:t>)</w:t>
      </w:r>
      <w:r w:rsidRPr="00620826">
        <w:rPr>
          <w:lang w:val="en-GB"/>
        </w:rPr>
        <w:t>,</w:t>
      </w:r>
      <w:r>
        <w:rPr>
          <w:lang w:val="en-GB"/>
        </w:rPr>
        <w:t xml:space="preserve"> t</w:t>
      </w:r>
      <w:r w:rsidR="00A46B5B">
        <w:rPr>
          <w:lang w:val="en-GB"/>
        </w:rPr>
        <w:t>he ICER for</w:t>
      </w:r>
      <w:r w:rsidR="002C123A">
        <w:rPr>
          <w:lang w:val="en-GB"/>
        </w:rPr>
        <w:t xml:space="preserve"> </w:t>
      </w:r>
      <w:r w:rsidR="00F64EF6">
        <w:rPr>
          <w:lang w:val="en-GB"/>
        </w:rPr>
        <w:t xml:space="preserve">atezolizumab plus nab-paclitaxel compared with </w:t>
      </w:r>
      <w:r w:rsidR="00B1296F">
        <w:rPr>
          <w:lang w:val="en-GB"/>
        </w:rPr>
        <w:t xml:space="preserve">weekly </w:t>
      </w:r>
      <w:r w:rsidR="002C123A">
        <w:rPr>
          <w:lang w:val="en-GB"/>
        </w:rPr>
        <w:t>paclitaxel</w:t>
      </w:r>
      <w:r w:rsidR="00F64EF6">
        <w:rPr>
          <w:lang w:val="en-GB"/>
        </w:rPr>
        <w:t xml:space="preserve"> was</w:t>
      </w:r>
      <w:r w:rsidR="002C123A">
        <w:rPr>
          <w:lang w:val="en-GB"/>
        </w:rPr>
        <w:t xml:space="preserve"> £</w:t>
      </w:r>
      <w:r w:rsidR="0002503C">
        <w:rPr>
          <w:lang w:val="en-GB"/>
        </w:rPr>
        <w:t>85,306 p</w:t>
      </w:r>
      <w:r w:rsidR="0026011E">
        <w:rPr>
          <w:lang w:val="en-GB"/>
        </w:rPr>
        <w:t>e</w:t>
      </w:r>
      <w:r w:rsidR="0002503C">
        <w:rPr>
          <w:lang w:val="en-GB"/>
        </w:rPr>
        <w:t xml:space="preserve">r </w:t>
      </w:r>
      <w:r w:rsidR="00DC772C">
        <w:rPr>
          <w:lang w:val="en-GB"/>
        </w:rPr>
        <w:t>quality-adjusted life year (</w:t>
      </w:r>
      <w:r w:rsidR="0002503C">
        <w:rPr>
          <w:lang w:val="en-GB"/>
        </w:rPr>
        <w:t>QALY</w:t>
      </w:r>
      <w:r w:rsidR="00DC772C">
        <w:rPr>
          <w:lang w:val="en-GB"/>
        </w:rPr>
        <w:t>)</w:t>
      </w:r>
      <w:r w:rsidR="0002503C">
        <w:rPr>
          <w:lang w:val="en-GB"/>
        </w:rPr>
        <w:t xml:space="preserve"> gained. </w:t>
      </w:r>
      <w:r w:rsidR="00CA7AD3">
        <w:rPr>
          <w:lang w:val="en-GB"/>
        </w:rPr>
        <w:t>This</w:t>
      </w:r>
      <w:r w:rsidR="0002503C">
        <w:rPr>
          <w:lang w:val="en-GB"/>
        </w:rPr>
        <w:t xml:space="preserve"> </w:t>
      </w:r>
      <w:r w:rsidR="00DC772C">
        <w:rPr>
          <w:lang w:val="en-GB"/>
        </w:rPr>
        <w:t>did</w:t>
      </w:r>
      <w:r w:rsidR="00DC772C" w:rsidRPr="00620826">
        <w:rPr>
          <w:lang w:val="en-GB"/>
        </w:rPr>
        <w:t xml:space="preserve"> </w:t>
      </w:r>
      <w:r w:rsidR="0002503C">
        <w:rPr>
          <w:lang w:val="en-GB"/>
        </w:rPr>
        <w:t xml:space="preserve">not </w:t>
      </w:r>
      <w:r w:rsidR="006B198E">
        <w:rPr>
          <w:lang w:val="en-GB"/>
        </w:rPr>
        <w:t>include the commercial arrangement for nab-paclitaxel, which is confidential</w:t>
      </w:r>
      <w:r w:rsidR="00AF3AF8">
        <w:rPr>
          <w:lang w:val="en-GB"/>
        </w:rPr>
        <w:t>, but the committee took this into account in its decision making</w:t>
      </w:r>
      <w:r w:rsidR="006B198E">
        <w:rPr>
          <w:lang w:val="en-GB"/>
        </w:rPr>
        <w:t xml:space="preserve">. </w:t>
      </w:r>
      <w:r w:rsidR="0026011E">
        <w:rPr>
          <w:lang w:val="en-GB"/>
        </w:rPr>
        <w:t xml:space="preserve">The committee </w:t>
      </w:r>
      <w:r w:rsidR="00574705">
        <w:rPr>
          <w:lang w:val="en-GB"/>
        </w:rPr>
        <w:t xml:space="preserve">acknowledged </w:t>
      </w:r>
      <w:r w:rsidR="0026011E">
        <w:rPr>
          <w:lang w:val="en-GB"/>
        </w:rPr>
        <w:t xml:space="preserve">that </w:t>
      </w:r>
      <w:r w:rsidR="00956129">
        <w:rPr>
          <w:lang w:val="en-GB"/>
        </w:rPr>
        <w:t xml:space="preserve">the </w:t>
      </w:r>
      <w:r w:rsidR="00CA7AD3">
        <w:rPr>
          <w:lang w:val="en-GB"/>
        </w:rPr>
        <w:t xml:space="preserve">ICER </w:t>
      </w:r>
      <w:r w:rsidR="00DC772C">
        <w:rPr>
          <w:lang w:val="en-GB"/>
        </w:rPr>
        <w:t>wa</w:t>
      </w:r>
      <w:r w:rsidR="009A3F1B">
        <w:rPr>
          <w:lang w:val="en-GB"/>
        </w:rPr>
        <w:t xml:space="preserve">s likely to </w:t>
      </w:r>
      <w:r w:rsidR="0002503C">
        <w:rPr>
          <w:lang w:val="en-GB"/>
        </w:rPr>
        <w:t xml:space="preserve">be an </w:t>
      </w:r>
      <w:r w:rsidR="00B332C0">
        <w:rPr>
          <w:lang w:val="en-GB"/>
        </w:rPr>
        <w:t>overestimate</w:t>
      </w:r>
      <w:r w:rsidR="0002503C">
        <w:rPr>
          <w:lang w:val="en-GB"/>
        </w:rPr>
        <w:t xml:space="preserve"> because </w:t>
      </w:r>
      <w:r w:rsidR="009A3F1B">
        <w:rPr>
          <w:lang w:val="en-GB"/>
        </w:rPr>
        <w:t xml:space="preserve">the cost of weekly paclitaxel </w:t>
      </w:r>
      <w:r w:rsidR="00DC772C">
        <w:rPr>
          <w:lang w:val="en-GB"/>
        </w:rPr>
        <w:t>wa</w:t>
      </w:r>
      <w:r w:rsidR="00CB6309">
        <w:rPr>
          <w:lang w:val="en-GB"/>
        </w:rPr>
        <w:t>s</w:t>
      </w:r>
      <w:r w:rsidR="00125767">
        <w:rPr>
          <w:lang w:val="en-GB"/>
        </w:rPr>
        <w:t xml:space="preserve"> underestimated</w:t>
      </w:r>
      <w:r w:rsidR="00574705">
        <w:rPr>
          <w:lang w:val="en-GB"/>
        </w:rPr>
        <w:t xml:space="preserve"> </w:t>
      </w:r>
      <w:r w:rsidR="00E41EA2">
        <w:rPr>
          <w:lang w:val="en-GB"/>
        </w:rPr>
        <w:t xml:space="preserve">in the </w:t>
      </w:r>
      <w:r w:rsidR="00BE415D">
        <w:rPr>
          <w:lang w:val="en-GB"/>
        </w:rPr>
        <w:t>company’s</w:t>
      </w:r>
      <w:r w:rsidR="00E41EA2">
        <w:rPr>
          <w:lang w:val="en-GB"/>
        </w:rPr>
        <w:t xml:space="preserve"> model </w:t>
      </w:r>
      <w:r w:rsidR="0002503C">
        <w:rPr>
          <w:lang w:val="en-GB"/>
        </w:rPr>
        <w:t>(see section</w:t>
      </w:r>
      <w:r w:rsidR="00DC772C">
        <w:rPr>
          <w:lang w:val="en-GB"/>
        </w:rPr>
        <w:t> </w:t>
      </w:r>
      <w:r w:rsidR="00B332C0">
        <w:rPr>
          <w:lang w:val="en-GB"/>
        </w:rPr>
        <w:fldChar w:fldCharType="begin"/>
      </w:r>
      <w:r w:rsidR="00B332C0">
        <w:rPr>
          <w:lang w:val="en-GB"/>
        </w:rPr>
        <w:instrText xml:space="preserve"> REF _Ref19187362 \r \h </w:instrText>
      </w:r>
      <w:r w:rsidR="00B332C0">
        <w:rPr>
          <w:lang w:val="en-GB"/>
        </w:rPr>
      </w:r>
      <w:r w:rsidR="00B332C0">
        <w:rPr>
          <w:lang w:val="en-GB"/>
        </w:rPr>
        <w:fldChar w:fldCharType="separate"/>
      </w:r>
      <w:r w:rsidR="002C3E53">
        <w:rPr>
          <w:lang w:val="en-GB"/>
        </w:rPr>
        <w:t>3.12</w:t>
      </w:r>
      <w:r w:rsidR="00B332C0">
        <w:rPr>
          <w:lang w:val="en-GB"/>
        </w:rPr>
        <w:fldChar w:fldCharType="end"/>
      </w:r>
      <w:r w:rsidR="0002503C">
        <w:rPr>
          <w:lang w:val="en-GB"/>
        </w:rPr>
        <w:t>)</w:t>
      </w:r>
      <w:r w:rsidR="006B198E">
        <w:rPr>
          <w:lang w:val="en-GB"/>
        </w:rPr>
        <w:t>.</w:t>
      </w:r>
      <w:r w:rsidR="0055274E">
        <w:rPr>
          <w:lang w:val="en-GB"/>
        </w:rPr>
        <w:t xml:space="preserve"> </w:t>
      </w:r>
      <w:r w:rsidR="00CA7AD3">
        <w:rPr>
          <w:lang w:val="en-GB"/>
        </w:rPr>
        <w:t xml:space="preserve">However, </w:t>
      </w:r>
      <w:r w:rsidR="006B198E">
        <w:rPr>
          <w:lang w:val="en-GB"/>
        </w:rPr>
        <w:t xml:space="preserve">even </w:t>
      </w:r>
      <w:r w:rsidR="00CA7AD3">
        <w:rPr>
          <w:lang w:val="en-GB"/>
        </w:rPr>
        <w:t xml:space="preserve">assuming higher treatment costs for paclitaxel, the committee concluded that the </w:t>
      </w:r>
      <w:r w:rsidR="006B198E">
        <w:rPr>
          <w:lang w:val="en-GB"/>
        </w:rPr>
        <w:t xml:space="preserve">ICER </w:t>
      </w:r>
      <w:r w:rsidR="00DC772C">
        <w:rPr>
          <w:lang w:val="en-GB"/>
        </w:rPr>
        <w:t>wa</w:t>
      </w:r>
      <w:r w:rsidR="006B198E">
        <w:rPr>
          <w:lang w:val="en-GB"/>
        </w:rPr>
        <w:t xml:space="preserve">s </w:t>
      </w:r>
      <w:r w:rsidR="00CA7AD3">
        <w:rPr>
          <w:lang w:val="en-GB"/>
        </w:rPr>
        <w:t>substantially above</w:t>
      </w:r>
      <w:r w:rsidR="006B198E">
        <w:rPr>
          <w:lang w:val="en-GB"/>
        </w:rPr>
        <w:t xml:space="preserve"> the range normally considered cost effective </w:t>
      </w:r>
      <w:r w:rsidR="00CA7AD3">
        <w:rPr>
          <w:lang w:val="en-GB"/>
        </w:rPr>
        <w:t>(that is, £20</w:t>
      </w:r>
      <w:r w:rsidR="00DC772C">
        <w:rPr>
          <w:lang w:val="en-GB"/>
        </w:rPr>
        <w:t>,000</w:t>
      </w:r>
      <w:r w:rsidR="00CA7AD3">
        <w:rPr>
          <w:lang w:val="en-GB"/>
        </w:rPr>
        <w:t xml:space="preserve"> to £30,000 per QALY gained).</w:t>
      </w:r>
    </w:p>
    <w:p w14:paraId="1C2AA2F2" w14:textId="2D035597" w:rsidR="00643582" w:rsidRDefault="00F81319" w:rsidP="00643582">
      <w:pPr>
        <w:pStyle w:val="Heading2"/>
      </w:pPr>
      <w:r>
        <w:t>End of life</w:t>
      </w:r>
    </w:p>
    <w:p w14:paraId="2AB9E519" w14:textId="73F74091" w:rsidR="00643582" w:rsidRPr="00DF0C5C" w:rsidRDefault="00B07D56" w:rsidP="0073007E">
      <w:pPr>
        <w:pStyle w:val="Heading3"/>
      </w:pPr>
      <w:r>
        <w:t>End-of-life criteria are met</w:t>
      </w:r>
    </w:p>
    <w:p w14:paraId="094391A3" w14:textId="5D5323FC" w:rsidR="00643582" w:rsidRPr="00DB68B1" w:rsidRDefault="00643582" w:rsidP="002C123A">
      <w:pPr>
        <w:pStyle w:val="Numberedlevel2text"/>
        <w:numPr>
          <w:ilvl w:val="1"/>
          <w:numId w:val="1"/>
        </w:numPr>
        <w:rPr>
          <w:lang w:val="en-GB"/>
        </w:rPr>
      </w:pPr>
      <w:r w:rsidRPr="00220B4E">
        <w:rPr>
          <w:lang w:val="en-GB"/>
        </w:rPr>
        <w:t xml:space="preserve">The committee considered </w:t>
      </w:r>
      <w:r w:rsidRPr="00DB68B1">
        <w:rPr>
          <w:lang w:val="en-GB"/>
        </w:rPr>
        <w:t xml:space="preserve">the advice about life-extending treatments for people with a short life expectancy in NICE’s </w:t>
      </w:r>
      <w:hyperlink r:id="rId11" w:history="1">
        <w:r w:rsidR="00746B57" w:rsidRPr="00DB68B1">
          <w:rPr>
            <w:rStyle w:val="Hyperlink"/>
            <w:lang w:val="en-GB"/>
          </w:rPr>
          <w:t xml:space="preserve">guide to the methods of </w:t>
        </w:r>
        <w:r w:rsidR="00746B57" w:rsidRPr="00DB68B1">
          <w:rPr>
            <w:rStyle w:val="Hyperlink"/>
            <w:lang w:val="en-GB"/>
          </w:rPr>
          <w:lastRenderedPageBreak/>
          <w:t>technology appraisal</w:t>
        </w:r>
      </w:hyperlink>
      <w:r w:rsidRPr="00DB68B1">
        <w:rPr>
          <w:lang w:val="en-GB"/>
        </w:rPr>
        <w:t>.</w:t>
      </w:r>
      <w:r w:rsidR="00F81319" w:rsidRPr="00DB68B1">
        <w:rPr>
          <w:lang w:val="en-GB"/>
        </w:rPr>
        <w:t xml:space="preserve"> It considered that all scenario analyses presented by the company and the ERG </w:t>
      </w:r>
      <w:r w:rsidR="00687E37" w:rsidRPr="00DB68B1">
        <w:rPr>
          <w:lang w:val="en-GB"/>
        </w:rPr>
        <w:t>indicated</w:t>
      </w:r>
      <w:r w:rsidR="00F81319" w:rsidRPr="00DB68B1">
        <w:rPr>
          <w:lang w:val="en-GB"/>
        </w:rPr>
        <w:t xml:space="preserve"> that atezolizumab plus nab-paclitaxel offers more than 3</w:t>
      </w:r>
      <w:r w:rsidR="00DC772C">
        <w:rPr>
          <w:lang w:val="en-GB"/>
        </w:rPr>
        <w:t> </w:t>
      </w:r>
      <w:r w:rsidR="00F81319" w:rsidRPr="00620826">
        <w:rPr>
          <w:lang w:val="en-GB"/>
        </w:rPr>
        <w:t>months</w:t>
      </w:r>
      <w:r w:rsidR="00DC772C">
        <w:rPr>
          <w:lang w:val="en-GB"/>
        </w:rPr>
        <w:t>’</w:t>
      </w:r>
      <w:r w:rsidR="00F81319" w:rsidRPr="00DB68B1">
        <w:rPr>
          <w:lang w:val="en-GB"/>
        </w:rPr>
        <w:t xml:space="preserve"> extension to life in a population that has a life expectancy of less than 24</w:t>
      </w:r>
      <w:r w:rsidR="00DC772C">
        <w:rPr>
          <w:lang w:val="en-GB"/>
        </w:rPr>
        <w:t> </w:t>
      </w:r>
      <w:r w:rsidR="00F81319" w:rsidRPr="00DB68B1">
        <w:rPr>
          <w:lang w:val="en-GB"/>
        </w:rPr>
        <w:t xml:space="preserve">months. </w:t>
      </w:r>
      <w:r w:rsidR="001D09BB" w:rsidRPr="00620826">
        <w:rPr>
          <w:lang w:val="en-GB"/>
        </w:rPr>
        <w:t>Therefore,</w:t>
      </w:r>
      <w:r w:rsidR="00F81319" w:rsidRPr="00DB68B1">
        <w:rPr>
          <w:lang w:val="en-GB"/>
        </w:rPr>
        <w:t xml:space="preserve"> it concluded that atezolizumab plus nab-paclitaxel </w:t>
      </w:r>
      <w:r w:rsidR="00B07D56" w:rsidRPr="00DB68B1">
        <w:rPr>
          <w:lang w:val="en-GB"/>
        </w:rPr>
        <w:t xml:space="preserve">fulfils </w:t>
      </w:r>
      <w:r w:rsidR="00687E37" w:rsidRPr="00DB68B1">
        <w:rPr>
          <w:lang w:val="en-GB"/>
        </w:rPr>
        <w:t xml:space="preserve">the </w:t>
      </w:r>
      <w:r w:rsidR="00B07D56" w:rsidRPr="00DB68B1">
        <w:rPr>
          <w:lang w:val="en-GB"/>
        </w:rPr>
        <w:t>end-of-life criteria.</w:t>
      </w:r>
      <w:r w:rsidR="004E2EE3" w:rsidRPr="00DB68B1">
        <w:rPr>
          <w:lang w:val="en-GB"/>
        </w:rPr>
        <w:t xml:space="preserve"> However, </w:t>
      </w:r>
      <w:r w:rsidR="00375472" w:rsidRPr="00DB68B1">
        <w:rPr>
          <w:lang w:val="en-GB"/>
        </w:rPr>
        <w:t xml:space="preserve">even </w:t>
      </w:r>
      <w:r w:rsidR="00E170E9" w:rsidRPr="00DB68B1">
        <w:rPr>
          <w:lang w:val="en-GB"/>
        </w:rPr>
        <w:t>taking into account the greater weight assigned to QALYs at the end of life, atezolizumab plus nab-paclitaxel was not cost effective and could not be recommended</w:t>
      </w:r>
      <w:r w:rsidR="00DC0B2D" w:rsidRPr="00DB68B1">
        <w:rPr>
          <w:lang w:val="en-GB"/>
        </w:rPr>
        <w:t xml:space="preserve"> for routine use in the NHS</w:t>
      </w:r>
      <w:r w:rsidR="00E170E9" w:rsidRPr="00DB68B1">
        <w:rPr>
          <w:lang w:val="en-GB"/>
        </w:rPr>
        <w:t>.</w:t>
      </w:r>
    </w:p>
    <w:p w14:paraId="7461BA73" w14:textId="7D07628B" w:rsidR="002F258F" w:rsidRDefault="002F258F" w:rsidP="002F258F">
      <w:pPr>
        <w:pStyle w:val="Heading3"/>
      </w:pPr>
      <w:r>
        <w:t>Atezolizumab plus nab-paclitaxel does not meet the criteria for inclusion in the Cancer Drugs Fund</w:t>
      </w:r>
    </w:p>
    <w:p w14:paraId="643AB759" w14:textId="5A9FEA10" w:rsidR="002F258F" w:rsidRPr="00DB68B1" w:rsidRDefault="002F258F" w:rsidP="00E62A50">
      <w:pPr>
        <w:pStyle w:val="Numberedlevel2text"/>
        <w:numPr>
          <w:ilvl w:val="1"/>
          <w:numId w:val="1"/>
        </w:numPr>
        <w:rPr>
          <w:lang w:val="en-GB"/>
        </w:rPr>
      </w:pPr>
      <w:r w:rsidRPr="00220B4E">
        <w:rPr>
          <w:lang w:val="en-GB"/>
        </w:rPr>
        <w:t>Having concluded that</w:t>
      </w:r>
      <w:r>
        <w:rPr>
          <w:lang w:val="en-GB"/>
        </w:rPr>
        <w:t xml:space="preserve"> </w:t>
      </w:r>
      <w:bookmarkStart w:id="11" w:name="_Hlk19032840"/>
      <w:r>
        <w:rPr>
          <w:lang w:val="en-GB"/>
        </w:rPr>
        <w:t>a</w:t>
      </w:r>
      <w:r w:rsidRPr="00DB68B1">
        <w:rPr>
          <w:lang w:val="en-GB"/>
        </w:rPr>
        <w:t xml:space="preserve">tezolizumab plus nab-paclitaxel </w:t>
      </w:r>
      <w:bookmarkEnd w:id="11"/>
      <w:r w:rsidRPr="00620826">
        <w:rPr>
          <w:lang w:val="en-GB"/>
        </w:rPr>
        <w:t>c</w:t>
      </w:r>
      <w:r w:rsidR="00DC772C">
        <w:rPr>
          <w:lang w:val="en-GB"/>
        </w:rPr>
        <w:t xml:space="preserve">ould </w:t>
      </w:r>
      <w:r w:rsidRPr="00620826">
        <w:rPr>
          <w:lang w:val="en-GB"/>
        </w:rPr>
        <w:t>not</w:t>
      </w:r>
      <w:r w:rsidRPr="00DB68B1">
        <w:rPr>
          <w:lang w:val="en-GB"/>
        </w:rPr>
        <w:t xml:space="preserve"> be recommended for routine use, the committee considered </w:t>
      </w:r>
      <w:r w:rsidR="00DC772C">
        <w:rPr>
          <w:lang w:val="en-GB"/>
        </w:rPr>
        <w:t>whether</w:t>
      </w:r>
      <w:r w:rsidR="00DC772C" w:rsidRPr="00620826">
        <w:rPr>
          <w:lang w:val="en-GB"/>
        </w:rPr>
        <w:t xml:space="preserve"> </w:t>
      </w:r>
      <w:r w:rsidRPr="00DB68B1">
        <w:rPr>
          <w:lang w:val="en-GB"/>
        </w:rPr>
        <w:t xml:space="preserve">it could be recommended for </w:t>
      </w:r>
      <w:r>
        <w:rPr>
          <w:lang w:val="en-GB"/>
        </w:rPr>
        <w:t xml:space="preserve">use </w:t>
      </w:r>
      <w:r w:rsidRPr="00DB68B1">
        <w:rPr>
          <w:lang w:val="en-GB"/>
        </w:rPr>
        <w:t xml:space="preserve">within the Cancer Drugs Fund. </w:t>
      </w:r>
      <w:r w:rsidR="00DC772C">
        <w:rPr>
          <w:lang w:val="en-GB"/>
        </w:rPr>
        <w:t>It</w:t>
      </w:r>
      <w:r w:rsidRPr="00DB68B1">
        <w:rPr>
          <w:lang w:val="en-GB"/>
        </w:rPr>
        <w:t xml:space="preserve"> discussed the arrangements for the Cancer Drugs Fund agreed by NICE and NHS England in 2016, noting </w:t>
      </w:r>
      <w:r>
        <w:rPr>
          <w:lang w:val="en-GB"/>
        </w:rPr>
        <w:t xml:space="preserve">NICE’s </w:t>
      </w:r>
      <w:hyperlink r:id="rId12" w:history="1">
        <w:r>
          <w:rPr>
            <w:rStyle w:val="Hyperlink"/>
            <w:lang w:val="en-GB"/>
          </w:rPr>
          <w:t>Cancer Drugs Fund methods guide (addendum)</w:t>
        </w:r>
      </w:hyperlink>
      <w:r w:rsidRPr="00DB68B1">
        <w:rPr>
          <w:lang w:val="en-GB"/>
        </w:rPr>
        <w:t xml:space="preserve">. </w:t>
      </w:r>
      <w:r>
        <w:rPr>
          <w:lang w:val="en-GB"/>
        </w:rPr>
        <w:t>The committee recognised that people with triple</w:t>
      </w:r>
      <w:r w:rsidR="003A7F61" w:rsidRPr="00620826">
        <w:rPr>
          <w:lang w:val="en-GB"/>
        </w:rPr>
        <w:t>-</w:t>
      </w:r>
      <w:r>
        <w:rPr>
          <w:lang w:val="en-GB"/>
        </w:rPr>
        <w:t xml:space="preserve">negative </w:t>
      </w:r>
      <w:r w:rsidR="00F12DB9">
        <w:rPr>
          <w:lang w:val="en-GB"/>
        </w:rPr>
        <w:t xml:space="preserve">advanced </w:t>
      </w:r>
      <w:r>
        <w:rPr>
          <w:lang w:val="en-GB"/>
        </w:rPr>
        <w:t>breast cancer have a high unmet clinical need</w:t>
      </w:r>
      <w:r w:rsidR="00DC772C">
        <w:rPr>
          <w:lang w:val="en-GB"/>
        </w:rPr>
        <w:t>,</w:t>
      </w:r>
      <w:r>
        <w:rPr>
          <w:lang w:val="en-GB"/>
        </w:rPr>
        <w:t xml:space="preserve"> and </w:t>
      </w:r>
      <w:r w:rsidR="00F37680">
        <w:rPr>
          <w:lang w:val="en-GB"/>
        </w:rPr>
        <w:t>that</w:t>
      </w:r>
      <w:r>
        <w:rPr>
          <w:lang w:val="en-GB"/>
        </w:rPr>
        <w:t xml:space="preserve"> the</w:t>
      </w:r>
      <w:r w:rsidRPr="00DB68B1">
        <w:rPr>
          <w:lang w:val="en-GB"/>
        </w:rPr>
        <w:t xml:space="preserve"> availability of new </w:t>
      </w:r>
      <w:r w:rsidR="007654C9" w:rsidRPr="00DB68B1">
        <w:rPr>
          <w:lang w:val="en-GB"/>
        </w:rPr>
        <w:t>treatments is very important</w:t>
      </w:r>
      <w:r>
        <w:rPr>
          <w:lang w:val="en-GB"/>
        </w:rPr>
        <w:t>.</w:t>
      </w:r>
      <w:r w:rsidR="006B198E">
        <w:rPr>
          <w:lang w:val="en-GB"/>
        </w:rPr>
        <w:t xml:space="preserve"> </w:t>
      </w:r>
      <w:r w:rsidR="00F37680">
        <w:rPr>
          <w:lang w:val="en-GB"/>
        </w:rPr>
        <w:t>It noted</w:t>
      </w:r>
      <w:r w:rsidR="006B198E">
        <w:rPr>
          <w:lang w:val="en-GB"/>
        </w:rPr>
        <w:t xml:space="preserve"> </w:t>
      </w:r>
      <w:r w:rsidR="00F76467">
        <w:rPr>
          <w:lang w:val="en-GB"/>
        </w:rPr>
        <w:t xml:space="preserve">that the final data cut </w:t>
      </w:r>
      <w:r w:rsidR="00F37680">
        <w:rPr>
          <w:lang w:val="en-GB"/>
        </w:rPr>
        <w:t>for</w:t>
      </w:r>
      <w:r w:rsidR="00F76467">
        <w:rPr>
          <w:lang w:val="en-GB"/>
        </w:rPr>
        <w:t xml:space="preserve"> IMpassion130 is planned for March 2020, which will provide further evidence on overall survival</w:t>
      </w:r>
      <w:r w:rsidR="00F37680">
        <w:rPr>
          <w:lang w:val="en-GB"/>
        </w:rPr>
        <w:t xml:space="preserve">. </w:t>
      </w:r>
      <w:r w:rsidR="001D09BB" w:rsidRPr="00620826">
        <w:rPr>
          <w:lang w:val="en-GB"/>
        </w:rPr>
        <w:t>However,</w:t>
      </w:r>
      <w:r w:rsidR="00F76467">
        <w:rPr>
          <w:lang w:val="en-GB"/>
        </w:rPr>
        <w:t xml:space="preserve"> the </w:t>
      </w:r>
      <w:r w:rsidR="00F37680">
        <w:rPr>
          <w:lang w:val="en-GB"/>
        </w:rPr>
        <w:t xml:space="preserve">committee was aware that </w:t>
      </w:r>
      <w:r w:rsidR="00F76467">
        <w:rPr>
          <w:lang w:val="en-GB"/>
        </w:rPr>
        <w:t xml:space="preserve">the </w:t>
      </w:r>
      <w:r w:rsidR="001D09BB" w:rsidRPr="00620826">
        <w:rPr>
          <w:lang w:val="en-GB"/>
        </w:rPr>
        <w:t xml:space="preserve">overall-survival </w:t>
      </w:r>
      <w:r w:rsidR="00F76467">
        <w:rPr>
          <w:lang w:val="en-GB"/>
        </w:rPr>
        <w:t xml:space="preserve">data </w:t>
      </w:r>
      <w:r w:rsidR="00336D9B">
        <w:rPr>
          <w:lang w:val="en-GB"/>
        </w:rPr>
        <w:t>are</w:t>
      </w:r>
      <w:r w:rsidR="00336D9B" w:rsidRPr="00620826">
        <w:rPr>
          <w:lang w:val="en-GB"/>
        </w:rPr>
        <w:t xml:space="preserve"> </w:t>
      </w:r>
      <w:r w:rsidR="00F37680">
        <w:rPr>
          <w:lang w:val="en-GB"/>
        </w:rPr>
        <w:t>already relatively mature (see section</w:t>
      </w:r>
      <w:r w:rsidR="00336D9B">
        <w:rPr>
          <w:lang w:val="en-GB"/>
        </w:rPr>
        <w:t> </w:t>
      </w:r>
      <w:r w:rsidR="00B332C0">
        <w:rPr>
          <w:lang w:val="en-GB"/>
        </w:rPr>
        <w:fldChar w:fldCharType="begin"/>
      </w:r>
      <w:r w:rsidR="00B332C0">
        <w:rPr>
          <w:lang w:val="en-GB"/>
        </w:rPr>
        <w:instrText xml:space="preserve"> REF _Ref19282031 \r \h </w:instrText>
      </w:r>
      <w:r w:rsidR="00B332C0">
        <w:rPr>
          <w:lang w:val="en-GB"/>
        </w:rPr>
      </w:r>
      <w:r w:rsidR="00B332C0">
        <w:rPr>
          <w:lang w:val="en-GB"/>
        </w:rPr>
        <w:fldChar w:fldCharType="separate"/>
      </w:r>
      <w:r w:rsidR="002C3E53">
        <w:rPr>
          <w:lang w:val="en-GB"/>
        </w:rPr>
        <w:t>3.8</w:t>
      </w:r>
      <w:r w:rsidR="00B332C0">
        <w:rPr>
          <w:lang w:val="en-GB"/>
        </w:rPr>
        <w:fldChar w:fldCharType="end"/>
      </w:r>
      <w:r w:rsidR="00F37680">
        <w:rPr>
          <w:lang w:val="en-GB"/>
        </w:rPr>
        <w:t>)</w:t>
      </w:r>
      <w:r w:rsidR="00F76467">
        <w:rPr>
          <w:lang w:val="en-GB"/>
        </w:rPr>
        <w:t xml:space="preserve">. </w:t>
      </w:r>
      <w:r w:rsidR="00EF1153">
        <w:rPr>
          <w:lang w:val="en-GB"/>
        </w:rPr>
        <w:t xml:space="preserve">The committee </w:t>
      </w:r>
      <w:r w:rsidR="00F76467">
        <w:rPr>
          <w:lang w:val="en-GB"/>
        </w:rPr>
        <w:t xml:space="preserve">also </w:t>
      </w:r>
      <w:r w:rsidR="00EF1153">
        <w:rPr>
          <w:lang w:val="en-GB"/>
        </w:rPr>
        <w:t xml:space="preserve">noted that </w:t>
      </w:r>
      <w:r w:rsidR="00F76467">
        <w:rPr>
          <w:lang w:val="en-GB"/>
        </w:rPr>
        <w:t xml:space="preserve">the IMpassion131 trial </w:t>
      </w:r>
      <w:r w:rsidR="00EF1153">
        <w:rPr>
          <w:lang w:val="en-GB"/>
        </w:rPr>
        <w:t xml:space="preserve">is underway, which </w:t>
      </w:r>
      <w:r w:rsidR="00336D9B">
        <w:rPr>
          <w:lang w:val="en-GB"/>
        </w:rPr>
        <w:t xml:space="preserve">is </w:t>
      </w:r>
      <w:r w:rsidR="00F76467" w:rsidRPr="00620826">
        <w:rPr>
          <w:lang w:val="en-GB"/>
        </w:rPr>
        <w:t>evaluat</w:t>
      </w:r>
      <w:r w:rsidR="00336D9B">
        <w:rPr>
          <w:lang w:val="en-GB"/>
        </w:rPr>
        <w:t>ing</w:t>
      </w:r>
      <w:r w:rsidR="00F76467">
        <w:rPr>
          <w:lang w:val="en-GB"/>
        </w:rPr>
        <w:t xml:space="preserve"> the clinical effectiveness of atezolizumab plus </w:t>
      </w:r>
      <w:r w:rsidR="00EF1153">
        <w:rPr>
          <w:lang w:val="en-GB"/>
        </w:rPr>
        <w:t xml:space="preserve">weekly </w:t>
      </w:r>
      <w:r w:rsidR="00F76467">
        <w:rPr>
          <w:lang w:val="en-GB"/>
        </w:rPr>
        <w:t xml:space="preserve">paclitaxel compared with placebo plus </w:t>
      </w:r>
      <w:r w:rsidR="00EF1153">
        <w:rPr>
          <w:lang w:val="en-GB"/>
        </w:rPr>
        <w:t xml:space="preserve">weekly </w:t>
      </w:r>
      <w:r w:rsidR="00F76467">
        <w:rPr>
          <w:lang w:val="en-GB"/>
        </w:rPr>
        <w:t xml:space="preserve">paclitaxel. The first data cut </w:t>
      </w:r>
      <w:r w:rsidR="00EF1153">
        <w:rPr>
          <w:lang w:val="en-GB"/>
        </w:rPr>
        <w:t xml:space="preserve">for </w:t>
      </w:r>
      <w:r w:rsidR="001D09BB" w:rsidRPr="00620826">
        <w:rPr>
          <w:lang w:val="en-GB"/>
        </w:rPr>
        <w:t>progression-free survival</w:t>
      </w:r>
      <w:r w:rsidR="00F76467">
        <w:rPr>
          <w:lang w:val="en-GB"/>
        </w:rPr>
        <w:t xml:space="preserve"> is expected in </w:t>
      </w:r>
      <w:r w:rsidR="00EF1153">
        <w:rPr>
          <w:lang w:val="en-GB"/>
        </w:rPr>
        <w:t>20</w:t>
      </w:r>
      <w:r w:rsidR="00312AFA">
        <w:rPr>
          <w:lang w:val="en-GB"/>
        </w:rPr>
        <w:t>2</w:t>
      </w:r>
      <w:r w:rsidR="00EF1153">
        <w:rPr>
          <w:lang w:val="en-GB"/>
        </w:rPr>
        <w:t>0</w:t>
      </w:r>
      <w:r w:rsidR="00E62A50">
        <w:rPr>
          <w:lang w:val="en-GB"/>
        </w:rPr>
        <w:t xml:space="preserve">. The committee considered that this </w:t>
      </w:r>
      <w:r w:rsidR="00EF1153">
        <w:rPr>
          <w:lang w:val="en-GB"/>
        </w:rPr>
        <w:t>additional</w:t>
      </w:r>
      <w:r w:rsidR="00E62A50">
        <w:rPr>
          <w:lang w:val="en-GB"/>
        </w:rPr>
        <w:t xml:space="preserve"> data would </w:t>
      </w:r>
      <w:r w:rsidR="00EF1153">
        <w:rPr>
          <w:lang w:val="en-GB"/>
        </w:rPr>
        <w:t xml:space="preserve">not </w:t>
      </w:r>
      <w:r w:rsidR="00E62A50">
        <w:rPr>
          <w:lang w:val="en-GB"/>
        </w:rPr>
        <w:t xml:space="preserve">provide direct evidence for atezolizumab plus nab-paclitaxel </w:t>
      </w:r>
      <w:r w:rsidR="00EF1153">
        <w:rPr>
          <w:lang w:val="en-GB"/>
        </w:rPr>
        <w:t>compared with weekly</w:t>
      </w:r>
      <w:r w:rsidR="00E62A50">
        <w:rPr>
          <w:lang w:val="en-GB"/>
        </w:rPr>
        <w:t xml:space="preserve"> paclitaxel</w:t>
      </w:r>
      <w:r w:rsidR="00076FAE">
        <w:rPr>
          <w:lang w:val="en-GB"/>
        </w:rPr>
        <w:t xml:space="preserve">. </w:t>
      </w:r>
      <w:r w:rsidR="00076FAE" w:rsidRPr="00620826">
        <w:rPr>
          <w:lang w:val="en-GB"/>
        </w:rPr>
        <w:t>Whil</w:t>
      </w:r>
      <w:r w:rsidR="00336D9B">
        <w:rPr>
          <w:lang w:val="en-GB"/>
        </w:rPr>
        <w:t>e</w:t>
      </w:r>
      <w:r w:rsidR="00076FAE">
        <w:rPr>
          <w:lang w:val="en-GB"/>
        </w:rPr>
        <w:t xml:space="preserve"> it may help to show any difference between paclitaxel and nab-paclitaxel by comparing </w:t>
      </w:r>
      <w:r w:rsidR="001D09BB" w:rsidRPr="00620826">
        <w:rPr>
          <w:lang w:val="en-GB"/>
        </w:rPr>
        <w:t>progression-free survival</w:t>
      </w:r>
      <w:r w:rsidR="00076FAE">
        <w:rPr>
          <w:lang w:val="en-GB"/>
        </w:rPr>
        <w:t xml:space="preserve"> in the </w:t>
      </w:r>
      <w:r w:rsidR="001D09BB" w:rsidRPr="00620826">
        <w:rPr>
          <w:lang w:val="en-GB"/>
        </w:rPr>
        <w:t>2 </w:t>
      </w:r>
      <w:r w:rsidR="00076FAE">
        <w:rPr>
          <w:lang w:val="en-GB"/>
        </w:rPr>
        <w:t>trials, the committee was not persuaded that</w:t>
      </w:r>
      <w:r w:rsidR="00E62A50">
        <w:rPr>
          <w:lang w:val="en-GB"/>
        </w:rPr>
        <w:t xml:space="preserve"> the </w:t>
      </w:r>
      <w:r w:rsidR="00341D23">
        <w:rPr>
          <w:lang w:val="en-GB"/>
        </w:rPr>
        <w:t>main</w:t>
      </w:r>
      <w:r w:rsidR="00E62A50">
        <w:rPr>
          <w:lang w:val="en-GB"/>
        </w:rPr>
        <w:t xml:space="preserve"> uncertainty within this </w:t>
      </w:r>
      <w:r w:rsidR="0051193A">
        <w:rPr>
          <w:lang w:val="en-GB"/>
        </w:rPr>
        <w:t>appraisal</w:t>
      </w:r>
      <w:r w:rsidR="00076FAE">
        <w:rPr>
          <w:lang w:val="en-GB"/>
        </w:rPr>
        <w:t xml:space="preserve"> would be addressed</w:t>
      </w:r>
      <w:r w:rsidR="00E62A50">
        <w:rPr>
          <w:lang w:val="en-GB"/>
        </w:rPr>
        <w:t xml:space="preserve">. The committee also considered that the ICERs did not show </w:t>
      </w:r>
      <w:r w:rsidR="00E62A50">
        <w:rPr>
          <w:lang w:val="en-GB"/>
        </w:rPr>
        <w:lastRenderedPageBreak/>
        <w:t>plausible potential for cost</w:t>
      </w:r>
      <w:r w:rsidR="001D09BB" w:rsidRPr="00620826">
        <w:rPr>
          <w:lang w:val="en-GB"/>
        </w:rPr>
        <w:t xml:space="preserve"> </w:t>
      </w:r>
      <w:r w:rsidR="00E62A50">
        <w:rPr>
          <w:lang w:val="en-GB"/>
        </w:rPr>
        <w:t>effectiveness at the current price</w:t>
      </w:r>
      <w:r w:rsidR="00336D9B">
        <w:rPr>
          <w:lang w:val="en-GB"/>
        </w:rPr>
        <w:t>. T</w:t>
      </w:r>
      <w:r w:rsidR="00E62A50">
        <w:rPr>
          <w:lang w:val="en-GB"/>
        </w:rPr>
        <w:t>herefore</w:t>
      </w:r>
      <w:r w:rsidR="00336D9B">
        <w:rPr>
          <w:lang w:val="en-GB"/>
        </w:rPr>
        <w:t>,</w:t>
      </w:r>
      <w:r w:rsidR="00E62A50">
        <w:rPr>
          <w:lang w:val="en-GB"/>
        </w:rPr>
        <w:t xml:space="preserve"> it concluded that atezolizumab plus nab-paclitaxel for treating triple</w:t>
      </w:r>
      <w:r w:rsidR="003A7F61" w:rsidRPr="00620826">
        <w:rPr>
          <w:lang w:val="en-GB"/>
        </w:rPr>
        <w:t>-</w:t>
      </w:r>
      <w:r w:rsidR="00E62A50">
        <w:rPr>
          <w:lang w:val="en-GB"/>
        </w:rPr>
        <w:t xml:space="preserve">negative </w:t>
      </w:r>
      <w:r w:rsidR="003A7F61" w:rsidRPr="00620826">
        <w:rPr>
          <w:lang w:val="en-GB"/>
        </w:rPr>
        <w:t xml:space="preserve">advanced </w:t>
      </w:r>
      <w:r w:rsidR="00E62A50">
        <w:rPr>
          <w:lang w:val="en-GB"/>
        </w:rPr>
        <w:t xml:space="preserve">breast cancer </w:t>
      </w:r>
      <w:r w:rsidR="00336D9B" w:rsidRPr="00620826">
        <w:rPr>
          <w:lang w:val="en-GB"/>
        </w:rPr>
        <w:t>d</w:t>
      </w:r>
      <w:r w:rsidR="00336D9B">
        <w:rPr>
          <w:lang w:val="en-GB"/>
        </w:rPr>
        <w:t>id</w:t>
      </w:r>
      <w:r w:rsidR="00336D9B" w:rsidRPr="00620826">
        <w:rPr>
          <w:lang w:val="en-GB"/>
        </w:rPr>
        <w:t xml:space="preserve"> </w:t>
      </w:r>
      <w:r w:rsidR="00E62A50">
        <w:rPr>
          <w:lang w:val="en-GB"/>
        </w:rPr>
        <w:t>not meet the criteria for inclusion in the Cancer Drugs Fund.</w:t>
      </w:r>
    </w:p>
    <w:p w14:paraId="249DD3D2" w14:textId="4BA7C6A8" w:rsidR="00643582" w:rsidRDefault="00C05530" w:rsidP="00643582">
      <w:pPr>
        <w:pStyle w:val="Heading2"/>
      </w:pPr>
      <w:r>
        <w:t>Other factor</w:t>
      </w:r>
      <w:r w:rsidR="00956129">
        <w:t>s</w:t>
      </w:r>
    </w:p>
    <w:p w14:paraId="37974D05" w14:textId="16A77DE3" w:rsidR="00643582" w:rsidRPr="00DB68B1" w:rsidRDefault="002C123A" w:rsidP="004337CE">
      <w:pPr>
        <w:pStyle w:val="Numberedlevel2text"/>
        <w:rPr>
          <w:lang w:val="en-GB"/>
        </w:rPr>
      </w:pPr>
      <w:r w:rsidRPr="00DB68B1">
        <w:rPr>
          <w:lang w:val="en-GB"/>
        </w:rPr>
        <w:t xml:space="preserve">The company </w:t>
      </w:r>
      <w:r w:rsidR="00C17F3C" w:rsidRPr="00DB68B1">
        <w:rPr>
          <w:lang w:val="en-GB"/>
        </w:rPr>
        <w:t>and clin</w:t>
      </w:r>
      <w:r w:rsidR="00952898" w:rsidRPr="00DB68B1">
        <w:rPr>
          <w:lang w:val="en-GB"/>
        </w:rPr>
        <w:t>i</w:t>
      </w:r>
      <w:r w:rsidR="00C17F3C" w:rsidRPr="00DB68B1">
        <w:rPr>
          <w:lang w:val="en-GB"/>
        </w:rPr>
        <w:t xml:space="preserve">cal experts </w:t>
      </w:r>
      <w:r w:rsidRPr="00620826">
        <w:rPr>
          <w:lang w:val="en-GB"/>
        </w:rPr>
        <w:t>consider</w:t>
      </w:r>
      <w:r w:rsidR="003A7F61" w:rsidRPr="00620826">
        <w:rPr>
          <w:lang w:val="en-GB"/>
        </w:rPr>
        <w:t>ed</w:t>
      </w:r>
      <w:r w:rsidRPr="00DB68B1">
        <w:rPr>
          <w:lang w:val="en-GB"/>
        </w:rPr>
        <w:t xml:space="preserve"> atezolizumab plus nab-paclitaxel to be innovative</w:t>
      </w:r>
      <w:r w:rsidR="00C17F3C" w:rsidRPr="00DB68B1">
        <w:rPr>
          <w:lang w:val="en-GB"/>
        </w:rPr>
        <w:t>,</w:t>
      </w:r>
      <w:r w:rsidR="00B332C0" w:rsidRPr="00DB68B1">
        <w:rPr>
          <w:lang w:val="en-GB"/>
        </w:rPr>
        <w:t xml:space="preserve"> and a major breakthrough in managing triple</w:t>
      </w:r>
      <w:r w:rsidR="003A7F61" w:rsidRPr="00620826">
        <w:rPr>
          <w:lang w:val="en-GB"/>
        </w:rPr>
        <w:t>-</w:t>
      </w:r>
      <w:r w:rsidR="00B332C0" w:rsidRPr="00DB68B1">
        <w:rPr>
          <w:lang w:val="en-GB"/>
        </w:rPr>
        <w:t xml:space="preserve">negative breast cancer. It is the first treatment to </w:t>
      </w:r>
      <w:r w:rsidR="003A7F61" w:rsidRPr="00620826">
        <w:rPr>
          <w:lang w:val="en-GB"/>
        </w:rPr>
        <w:t>substantially</w:t>
      </w:r>
      <w:r w:rsidR="00B332C0" w:rsidRPr="00DB68B1">
        <w:rPr>
          <w:lang w:val="en-GB"/>
        </w:rPr>
        <w:t xml:space="preserve"> improve outcomes compared with chemotherapy </w:t>
      </w:r>
      <w:r w:rsidR="00473CF8" w:rsidRPr="00DB68B1">
        <w:rPr>
          <w:lang w:val="en-GB"/>
        </w:rPr>
        <w:t>in this population</w:t>
      </w:r>
      <w:r w:rsidR="00B332C0" w:rsidRPr="00DB68B1">
        <w:rPr>
          <w:lang w:val="en-GB"/>
        </w:rPr>
        <w:t xml:space="preserve">. </w:t>
      </w:r>
      <w:r w:rsidRPr="00DB68B1">
        <w:rPr>
          <w:lang w:val="en-GB"/>
        </w:rPr>
        <w:t xml:space="preserve">However, the committee considered that all relevant benefits associated with the drug </w:t>
      </w:r>
      <w:r w:rsidR="003A7F61" w:rsidRPr="00620826">
        <w:rPr>
          <w:lang w:val="en-GB"/>
        </w:rPr>
        <w:t>we</w:t>
      </w:r>
      <w:r w:rsidRPr="00620826">
        <w:rPr>
          <w:lang w:val="en-GB"/>
        </w:rPr>
        <w:t>re</w:t>
      </w:r>
      <w:r w:rsidRPr="00DB68B1">
        <w:rPr>
          <w:lang w:val="en-GB"/>
        </w:rPr>
        <w:t xml:space="preserve"> adequately captured in the model</w:t>
      </w:r>
      <w:r w:rsidR="00B07D56" w:rsidRPr="00DB68B1">
        <w:rPr>
          <w:lang w:val="en-GB"/>
        </w:rPr>
        <w:t>.</w:t>
      </w:r>
    </w:p>
    <w:p w14:paraId="410961D9" w14:textId="6984CF62" w:rsidR="00643582" w:rsidRDefault="005818C3" w:rsidP="00643582">
      <w:pPr>
        <w:pStyle w:val="Heading2"/>
      </w:pPr>
      <w:r>
        <w:t>Conclusion</w:t>
      </w:r>
    </w:p>
    <w:p w14:paraId="1FFBA6FD" w14:textId="37B7DDDD" w:rsidR="00DC3177" w:rsidRPr="00DC3177" w:rsidRDefault="00C05914" w:rsidP="00473CF8">
      <w:pPr>
        <w:pStyle w:val="Heading3"/>
      </w:pPr>
      <w:r>
        <w:t>Atezolizumab plus nab-paclitaxel</w:t>
      </w:r>
      <w:r w:rsidRPr="004900DB">
        <w:t xml:space="preserve"> is</w:t>
      </w:r>
      <w:r w:rsidRPr="0031335C">
        <w:t xml:space="preserve"> not recommended</w:t>
      </w:r>
      <w:r>
        <w:t xml:space="preserve"> for PD</w:t>
      </w:r>
      <w:r w:rsidR="003A7F61" w:rsidRPr="00620826">
        <w:noBreakHyphen/>
      </w:r>
      <w:r>
        <w:t>L1</w:t>
      </w:r>
      <w:r w:rsidR="003A7F61" w:rsidRPr="00620826">
        <w:t>-</w:t>
      </w:r>
      <w:r>
        <w:t>positive</w:t>
      </w:r>
      <w:r w:rsidR="003A7F61" w:rsidRPr="00620826">
        <w:t>,</w:t>
      </w:r>
      <w:r>
        <w:t xml:space="preserve"> triple-negative </w:t>
      </w:r>
      <w:r w:rsidR="00956129">
        <w:t xml:space="preserve">advanced </w:t>
      </w:r>
      <w:r>
        <w:t>breast cancer</w:t>
      </w:r>
    </w:p>
    <w:p w14:paraId="1441F3A2" w14:textId="1C450E5F" w:rsidR="001C0EF4" w:rsidRPr="004900DB" w:rsidRDefault="00336D9B" w:rsidP="00D01B9F">
      <w:pPr>
        <w:pStyle w:val="Numberedlevel2text"/>
        <w:rPr>
          <w:lang w:val="en-GB"/>
        </w:rPr>
      </w:pPr>
      <w:r>
        <w:rPr>
          <w:lang w:val="en-GB"/>
        </w:rPr>
        <w:t>Clinical trial evidence has shown that a</w:t>
      </w:r>
      <w:r w:rsidR="00257D1B" w:rsidRPr="004900DB">
        <w:rPr>
          <w:lang w:val="en-GB"/>
        </w:rPr>
        <w:t xml:space="preserve">tezolizumab plus nab-paclitaxel </w:t>
      </w:r>
      <w:r w:rsidR="00257D1B" w:rsidRPr="00620826">
        <w:rPr>
          <w:lang w:val="en-GB"/>
        </w:rPr>
        <w:t>i</w:t>
      </w:r>
      <w:r w:rsidR="00C27C15" w:rsidRPr="00620826">
        <w:rPr>
          <w:lang w:val="en-GB"/>
        </w:rPr>
        <w:t>ncrease</w:t>
      </w:r>
      <w:r>
        <w:rPr>
          <w:lang w:val="en-GB"/>
        </w:rPr>
        <w:t>s</w:t>
      </w:r>
      <w:r w:rsidR="00C27C15" w:rsidRPr="004900DB">
        <w:rPr>
          <w:lang w:val="en-GB"/>
        </w:rPr>
        <w:t xml:space="preserve"> progression-free survival and </w:t>
      </w:r>
      <w:r>
        <w:rPr>
          <w:lang w:val="en-GB"/>
        </w:rPr>
        <w:t xml:space="preserve">suggested it </w:t>
      </w:r>
      <w:r w:rsidR="009F2D93">
        <w:rPr>
          <w:lang w:val="en-GB"/>
        </w:rPr>
        <w:t xml:space="preserve">could increase </w:t>
      </w:r>
      <w:r w:rsidR="00C27C15" w:rsidRPr="004900DB">
        <w:rPr>
          <w:lang w:val="en-GB"/>
        </w:rPr>
        <w:t>overall survival</w:t>
      </w:r>
      <w:r>
        <w:rPr>
          <w:lang w:val="en-GB"/>
        </w:rPr>
        <w:t xml:space="preserve"> compared with placebo plus nab-paclitaxel. However</w:t>
      </w:r>
      <w:r w:rsidR="00C27C15" w:rsidRPr="004900DB">
        <w:rPr>
          <w:lang w:val="en-GB"/>
        </w:rPr>
        <w:t>, when compared with weekly paclitaxel, it has not been shown to be cost effective or to have plausible potential to be cost effective. Therefore</w:t>
      </w:r>
      <w:r w:rsidR="00473CF8" w:rsidRPr="004900DB">
        <w:rPr>
          <w:lang w:val="en-GB"/>
        </w:rPr>
        <w:t>,</w:t>
      </w:r>
      <w:r w:rsidR="00C27C15" w:rsidRPr="004900DB">
        <w:rPr>
          <w:lang w:val="en-GB"/>
        </w:rPr>
        <w:t xml:space="preserve"> atezolizumab plus nab-paclitaxel is not recommended for PD</w:t>
      </w:r>
      <w:r w:rsidR="003A7F61" w:rsidRPr="00620826">
        <w:rPr>
          <w:lang w:val="en-GB"/>
        </w:rPr>
        <w:noBreakHyphen/>
      </w:r>
      <w:r w:rsidR="00C27C15" w:rsidRPr="004900DB">
        <w:rPr>
          <w:lang w:val="en-GB"/>
        </w:rPr>
        <w:t>L1</w:t>
      </w:r>
      <w:r w:rsidR="003A7F61" w:rsidRPr="00620826">
        <w:rPr>
          <w:lang w:val="en-GB"/>
        </w:rPr>
        <w:t>-</w:t>
      </w:r>
      <w:r w:rsidR="00C27C15" w:rsidRPr="004900DB">
        <w:rPr>
          <w:lang w:val="en-GB"/>
        </w:rPr>
        <w:t>positive</w:t>
      </w:r>
      <w:r w:rsidR="003A7F61" w:rsidRPr="00620826">
        <w:rPr>
          <w:lang w:val="en-GB"/>
        </w:rPr>
        <w:t>,</w:t>
      </w:r>
      <w:r w:rsidR="00C27C15">
        <w:rPr>
          <w:lang w:val="en-US"/>
        </w:rPr>
        <w:t xml:space="preserve"> </w:t>
      </w:r>
      <w:r w:rsidR="00C27C15" w:rsidRPr="004900DB">
        <w:rPr>
          <w:lang w:val="en-GB"/>
        </w:rPr>
        <w:t xml:space="preserve">triple-negative </w:t>
      </w:r>
      <w:r w:rsidR="00956129">
        <w:rPr>
          <w:lang w:val="en-US"/>
        </w:rPr>
        <w:t>advanced</w:t>
      </w:r>
      <w:r w:rsidR="00956129" w:rsidRPr="004900DB">
        <w:rPr>
          <w:lang w:val="en-GB"/>
        </w:rPr>
        <w:t xml:space="preserve"> </w:t>
      </w:r>
      <w:r w:rsidR="00C27C15" w:rsidRPr="004900DB">
        <w:rPr>
          <w:lang w:val="en-GB"/>
        </w:rPr>
        <w:t>breast cancer.</w:t>
      </w:r>
    </w:p>
    <w:p w14:paraId="290DB3BD" w14:textId="77777777" w:rsidR="000F48EC" w:rsidRPr="000F48EC" w:rsidRDefault="007A2801" w:rsidP="002E73E7">
      <w:pPr>
        <w:pStyle w:val="Numberedheading1"/>
      </w:pPr>
      <w:r>
        <w:t xml:space="preserve">Proposed date for </w:t>
      </w:r>
      <w:r w:rsidR="00000441">
        <w:t>r</w:t>
      </w:r>
      <w:r w:rsidR="000F48EC" w:rsidRPr="000F48EC">
        <w:t>eview of guidance</w:t>
      </w:r>
    </w:p>
    <w:p w14:paraId="0137DCC6" w14:textId="3A6CD02D" w:rsidR="00C52FC0" w:rsidRPr="004900DB" w:rsidRDefault="001823EB" w:rsidP="00C27C15">
      <w:pPr>
        <w:pStyle w:val="Numberedlevel2text"/>
        <w:rPr>
          <w:lang w:val="en-GB"/>
        </w:rPr>
      </w:pPr>
      <w:r w:rsidRPr="004900DB">
        <w:rPr>
          <w:lang w:val="en-GB"/>
        </w:rPr>
        <w:t xml:space="preserve">NICE proposes that the guidance on this technology is considered for review by the </w:t>
      </w:r>
      <w:r>
        <w:rPr>
          <w:lang w:val="en-GB"/>
        </w:rPr>
        <w:t>g</w:t>
      </w:r>
      <w:r w:rsidRPr="004900DB">
        <w:rPr>
          <w:lang w:val="en-GB"/>
        </w:rPr>
        <w:t xml:space="preserve">uidance </w:t>
      </w:r>
      <w:r>
        <w:rPr>
          <w:lang w:val="en-GB"/>
        </w:rPr>
        <w:t>e</w:t>
      </w:r>
      <w:r w:rsidRPr="004900DB">
        <w:rPr>
          <w:lang w:val="en-GB"/>
        </w:rPr>
        <w:t>xecutive</w:t>
      </w:r>
      <w:r>
        <w:rPr>
          <w:lang w:val="en-GB"/>
        </w:rPr>
        <w:t xml:space="preserve"> 3 years after publication of the guidance</w:t>
      </w:r>
      <w:r w:rsidRPr="004900DB">
        <w:rPr>
          <w:lang w:val="en-GB"/>
        </w:rPr>
        <w:t xml:space="preserve">. NICE welcomes comment on this proposed date. The </w:t>
      </w:r>
      <w:r>
        <w:rPr>
          <w:lang w:val="en-GB"/>
        </w:rPr>
        <w:t>g</w:t>
      </w:r>
      <w:r w:rsidRPr="004900DB">
        <w:rPr>
          <w:lang w:val="en-GB"/>
        </w:rPr>
        <w:t xml:space="preserve">uidance </w:t>
      </w:r>
      <w:r>
        <w:rPr>
          <w:lang w:val="en-GB"/>
        </w:rPr>
        <w:t>e</w:t>
      </w:r>
      <w:r w:rsidRPr="004900DB">
        <w:rPr>
          <w:lang w:val="en-GB"/>
        </w:rPr>
        <w:t>xecutive will decide whether the technology should be reviewed based on information gathered by NICE, and in consultation with consultees and commentators.</w:t>
      </w:r>
    </w:p>
    <w:p w14:paraId="571D4962" w14:textId="3FF10289" w:rsidR="004845D0" w:rsidRDefault="00C27C15" w:rsidP="00ED5F88">
      <w:pPr>
        <w:pStyle w:val="NICEnormal"/>
      </w:pPr>
      <w:r>
        <w:lastRenderedPageBreak/>
        <w:t>Jane Adam</w:t>
      </w:r>
      <w:r w:rsidR="004845D0">
        <w:t xml:space="preserve"> </w:t>
      </w:r>
      <w:r w:rsidR="004845D0">
        <w:br/>
      </w:r>
      <w:r w:rsidR="004845D0" w:rsidRPr="000F2D8A">
        <w:t xml:space="preserve">Chair, </w:t>
      </w:r>
      <w:r w:rsidR="003847B9">
        <w:t>a</w:t>
      </w:r>
      <w:r w:rsidR="004845D0" w:rsidRPr="000F2D8A">
        <w:t xml:space="preserve">ppraisal </w:t>
      </w:r>
      <w:r w:rsidR="003847B9">
        <w:t>c</w:t>
      </w:r>
      <w:r w:rsidR="004845D0" w:rsidRPr="000F2D8A">
        <w:t>ommittee</w:t>
      </w:r>
      <w:r w:rsidR="004845D0">
        <w:br/>
      </w:r>
      <w:r>
        <w:t>October 2019</w:t>
      </w:r>
    </w:p>
    <w:p w14:paraId="199509F3" w14:textId="77777777" w:rsidR="00B16431" w:rsidRPr="007D7F83" w:rsidRDefault="00B16431" w:rsidP="00B16431">
      <w:pPr>
        <w:pStyle w:val="Numberedheading1"/>
        <w:numPr>
          <w:ilvl w:val="0"/>
          <w:numId w:val="1"/>
        </w:numPr>
      </w:pPr>
      <w:bookmarkStart w:id="12" w:name="committee"/>
      <w:bookmarkEnd w:id="12"/>
      <w:r w:rsidRPr="007D7F83">
        <w:t xml:space="preserve">Appraisal </w:t>
      </w:r>
      <w:r w:rsidR="00343B53">
        <w:t>c</w:t>
      </w:r>
      <w:r w:rsidRPr="007D7F83">
        <w:t>ommittee members and NICE project team</w:t>
      </w:r>
    </w:p>
    <w:p w14:paraId="05AB69F3" w14:textId="77777777" w:rsidR="00B16431" w:rsidRPr="007D7F83" w:rsidRDefault="00B16431" w:rsidP="00B16431">
      <w:pPr>
        <w:pStyle w:val="Heading2"/>
      </w:pPr>
      <w:r w:rsidRPr="007D7F83">
        <w:t xml:space="preserve">Appraisal </w:t>
      </w:r>
      <w:r w:rsidR="00343B53">
        <w:t>c</w:t>
      </w:r>
      <w:r w:rsidRPr="007D7F83">
        <w:t>ommittee members</w:t>
      </w:r>
    </w:p>
    <w:p w14:paraId="1C0C4B5F" w14:textId="7B7B25C9" w:rsidR="002F2583" w:rsidRPr="00742089" w:rsidRDefault="002F2583" w:rsidP="002F2583">
      <w:pPr>
        <w:pStyle w:val="NICEnormal"/>
        <w:rPr>
          <w:rFonts w:eastAsia="Calibri"/>
        </w:rPr>
      </w:pPr>
      <w:r>
        <w:t>The 4</w:t>
      </w:r>
      <w:r w:rsidR="00A61007">
        <w:t> </w:t>
      </w:r>
      <w:r>
        <w:t>technology appraisal committees are standing advisory committees of NICE. This topic was considered by</w:t>
      </w:r>
      <w:r w:rsidR="00217E4D">
        <w:t xml:space="preserve"> </w:t>
      </w:r>
      <w:hyperlink r:id="rId13" w:history="1">
        <w:r w:rsidR="00217E4D" w:rsidRPr="00B63546">
          <w:rPr>
            <w:rStyle w:val="Hyperlink"/>
            <w:rFonts w:eastAsia="Calibri"/>
          </w:rPr>
          <w:t>committee A</w:t>
        </w:r>
      </w:hyperlink>
      <w:r w:rsidR="00217E4D">
        <w:rPr>
          <w:rStyle w:val="Hyperlink"/>
          <w:rFonts w:eastAsia="Calibri"/>
        </w:rPr>
        <w:t>.</w:t>
      </w:r>
    </w:p>
    <w:p w14:paraId="1EB448EA" w14:textId="77777777" w:rsidR="002F2583" w:rsidRDefault="002F2583" w:rsidP="002F2583">
      <w:pPr>
        <w:pStyle w:val="NICEnormal"/>
      </w:pPr>
      <w:r>
        <w:t xml:space="preserve">Committee members are asked to declare any interests in the technology to be appraised. If it is considered there is a conflict of interest, the member is excluded from participating further in that appraisal. </w:t>
      </w:r>
    </w:p>
    <w:p w14:paraId="055E04D7" w14:textId="77777777" w:rsidR="002F2583" w:rsidRDefault="002F2583" w:rsidP="002F2583">
      <w:pPr>
        <w:pStyle w:val="NICEnormal"/>
      </w:pPr>
      <w:r>
        <w:t xml:space="preserve">The </w:t>
      </w:r>
      <w:hyperlink r:id="rId14" w:history="1">
        <w:r w:rsidRPr="00742089">
          <w:rPr>
            <w:rStyle w:val="Hyperlink"/>
            <w:rFonts w:eastAsia="Calibri"/>
          </w:rPr>
          <w:t>minutes</w:t>
        </w:r>
      </w:hyperlink>
      <w:r>
        <w:t xml:space="preserve"> of each appraisal committee meeting, which include the names of the members who attended and their declarations of interests, are posted on the NICE website.</w:t>
      </w:r>
    </w:p>
    <w:p w14:paraId="23D9C5DC" w14:textId="77777777" w:rsidR="00B16431" w:rsidRPr="007D7F83" w:rsidRDefault="00B16431" w:rsidP="00B16431">
      <w:pPr>
        <w:pStyle w:val="Heading2"/>
      </w:pPr>
      <w:r w:rsidRPr="007D7F83">
        <w:t>NICE project team</w:t>
      </w:r>
    </w:p>
    <w:p w14:paraId="74885CB0" w14:textId="3E658F40" w:rsidR="00B16431" w:rsidRPr="000F2D8A" w:rsidRDefault="00B16431" w:rsidP="00B16431">
      <w:pPr>
        <w:pStyle w:val="NICEnormal"/>
      </w:pPr>
      <w:r w:rsidRPr="0058413D">
        <w:t xml:space="preserve">Each technology appraisal is assigned to a team consisting of </w:t>
      </w:r>
      <w:r>
        <w:t>1</w:t>
      </w:r>
      <w:r w:rsidR="00A61007">
        <w:t> </w:t>
      </w:r>
      <w:r w:rsidRPr="0058413D">
        <w:t xml:space="preserve">or more health technology analysts (who act as technical leads for the appraisal), a technical adviser and a project manager. </w:t>
      </w:r>
    </w:p>
    <w:p w14:paraId="2E58CEFD" w14:textId="380FFF4B" w:rsidR="00B16431" w:rsidRPr="006570B5" w:rsidRDefault="006570B5" w:rsidP="00B16431">
      <w:pPr>
        <w:pStyle w:val="NICEnormal"/>
        <w:rPr>
          <w:b/>
        </w:rPr>
      </w:pPr>
      <w:bookmarkStart w:id="13" w:name="Text45"/>
      <w:r>
        <w:rPr>
          <w:b/>
        </w:rPr>
        <w:t>Boglarka Mikudina</w:t>
      </w:r>
      <w:r>
        <w:rPr>
          <w:b/>
        </w:rPr>
        <w:br/>
      </w:r>
      <w:r w:rsidR="00B16431" w:rsidRPr="000F2D8A">
        <w:t xml:space="preserve">Technical </w:t>
      </w:r>
      <w:r w:rsidR="00E65C76">
        <w:t>l</w:t>
      </w:r>
      <w:r w:rsidR="00B16431" w:rsidRPr="000F2D8A">
        <w:t>ead</w:t>
      </w:r>
    </w:p>
    <w:p w14:paraId="20098DEA" w14:textId="34D4D655" w:rsidR="00B16431" w:rsidRPr="000F2D8A" w:rsidRDefault="00217E4D" w:rsidP="00B16431">
      <w:pPr>
        <w:pStyle w:val="NICEnormal"/>
      </w:pPr>
      <w:r>
        <w:rPr>
          <w:b/>
        </w:rPr>
        <w:t>Zoe Charles</w:t>
      </w:r>
      <w:r w:rsidR="00B16431">
        <w:br/>
      </w:r>
      <w:r w:rsidR="00B16431" w:rsidRPr="00AF59A2">
        <w:t xml:space="preserve">Technical </w:t>
      </w:r>
      <w:r w:rsidR="00E65C76">
        <w:t>a</w:t>
      </w:r>
      <w:r w:rsidR="00B16431" w:rsidRPr="00AF59A2">
        <w:t>dviser</w:t>
      </w:r>
    </w:p>
    <w:p w14:paraId="299600DB" w14:textId="07AB7E71" w:rsidR="00B16431" w:rsidRPr="000F2D8A" w:rsidRDefault="00217E4D" w:rsidP="005D3FD9">
      <w:pPr>
        <w:pStyle w:val="NICEnormal"/>
      </w:pPr>
      <w:r>
        <w:rPr>
          <w:b/>
        </w:rPr>
        <w:t>Thomas Feist</w:t>
      </w:r>
      <w:r w:rsidR="00B16431">
        <w:br/>
      </w:r>
      <w:r w:rsidR="00B16431" w:rsidRPr="000F2D8A">
        <w:t xml:space="preserve">Project </w:t>
      </w:r>
      <w:r w:rsidR="00E65C76">
        <w:t>m</w:t>
      </w:r>
      <w:r w:rsidR="00B16431" w:rsidRPr="000F2D8A">
        <w:t>anager</w:t>
      </w:r>
      <w:bookmarkEnd w:id="13"/>
    </w:p>
    <w:p w14:paraId="7AABA9E5" w14:textId="77777777" w:rsidR="006E7647" w:rsidRPr="000F48EC" w:rsidRDefault="006E7647" w:rsidP="00F05E37">
      <w:pPr>
        <w:pStyle w:val="NICEnormal"/>
      </w:pPr>
      <w:r>
        <w:t xml:space="preserve">ISBN: </w:t>
      </w:r>
      <w:r w:rsidRPr="004D7C92">
        <w:rPr>
          <w:highlight w:val="green"/>
        </w:rPr>
        <w:t>[to be added at publication]</w:t>
      </w:r>
    </w:p>
    <w:sectPr w:rsidR="006E7647" w:rsidRPr="000F48EC" w:rsidSect="00C76DDA">
      <w:headerReference w:type="default" r:id="rId15"/>
      <w:footerReference w:type="default" r:id="rId1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48D97" w14:textId="77777777" w:rsidR="00CC649F" w:rsidRDefault="00CC649F">
      <w:r>
        <w:separator/>
      </w:r>
    </w:p>
  </w:endnote>
  <w:endnote w:type="continuationSeparator" w:id="0">
    <w:p w14:paraId="644B4727" w14:textId="77777777" w:rsidR="00CC649F" w:rsidRDefault="00CC649F">
      <w:r>
        <w:continuationSeparator/>
      </w:r>
    </w:p>
  </w:endnote>
  <w:endnote w:type="continuationNotice" w:id="1">
    <w:p w14:paraId="05954733" w14:textId="77777777" w:rsidR="00CC649F" w:rsidRDefault="00CC6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CD4C3" w14:textId="17E213D6" w:rsidR="00CC649F" w:rsidRDefault="00CC649F" w:rsidP="004A3377">
    <w:pPr>
      <w:pStyle w:val="NICEnormalsinglespacing"/>
      <w:spacing w:after="120"/>
      <w:rPr>
        <w:sz w:val="18"/>
        <w:szCs w:val="18"/>
      </w:rPr>
    </w:pPr>
    <w:r>
      <w:rPr>
        <w:sz w:val="18"/>
        <w:szCs w:val="18"/>
      </w:rPr>
      <w:t>Appraisal consultation document - Atezoli</w:t>
    </w:r>
    <w:r w:rsidRPr="0051288C">
      <w:rPr>
        <w:sz w:val="18"/>
        <w:szCs w:val="18"/>
      </w:rPr>
      <w:t xml:space="preserve">zumab with nab-paclitaxel for </w:t>
    </w:r>
    <w:r>
      <w:rPr>
        <w:sz w:val="18"/>
        <w:szCs w:val="18"/>
      </w:rPr>
      <w:t>treating</w:t>
    </w:r>
    <w:r w:rsidRPr="0051288C">
      <w:rPr>
        <w:sz w:val="18"/>
        <w:szCs w:val="18"/>
      </w:rPr>
      <w:t xml:space="preserve"> </w:t>
    </w:r>
    <w:r w:rsidR="00B7259C" w:rsidRPr="0051288C">
      <w:rPr>
        <w:sz w:val="18"/>
        <w:szCs w:val="18"/>
      </w:rPr>
      <w:t>PD-L1-positive</w:t>
    </w:r>
    <w:r w:rsidR="00B7259C">
      <w:rPr>
        <w:sz w:val="18"/>
        <w:szCs w:val="18"/>
      </w:rPr>
      <w:t>,</w:t>
    </w:r>
    <w:r w:rsidR="00B7259C" w:rsidRPr="0051288C">
      <w:rPr>
        <w:sz w:val="18"/>
        <w:szCs w:val="18"/>
      </w:rPr>
      <w:t xml:space="preserve"> triple</w:t>
    </w:r>
    <w:r w:rsidR="00B7259C">
      <w:rPr>
        <w:sz w:val="18"/>
        <w:szCs w:val="18"/>
      </w:rPr>
      <w:t>-</w:t>
    </w:r>
    <w:r w:rsidR="00B7259C" w:rsidRPr="0051288C">
      <w:rPr>
        <w:sz w:val="18"/>
        <w:szCs w:val="18"/>
      </w:rPr>
      <w:t>negative</w:t>
    </w:r>
    <w:r w:rsidR="00B7259C">
      <w:rPr>
        <w:sz w:val="18"/>
        <w:szCs w:val="18"/>
      </w:rPr>
      <w:t>,</w:t>
    </w:r>
    <w:r w:rsidR="00B7259C" w:rsidRPr="0051288C">
      <w:rPr>
        <w:sz w:val="18"/>
        <w:szCs w:val="18"/>
      </w:rPr>
      <w:t xml:space="preserve"> advanced breast cancer</w:t>
    </w:r>
    <w:r w:rsidR="00B7259C">
      <w:rPr>
        <w:sz w:val="18"/>
        <w:szCs w:val="18"/>
      </w:rPr>
      <w:t xml:space="preserve"> </w:t>
    </w:r>
  </w:p>
  <w:p w14:paraId="178EBC53" w14:textId="284839F6" w:rsidR="00CC649F" w:rsidRPr="003D33FB" w:rsidRDefault="00CC649F" w:rsidP="007A7EC8">
    <w:pPr>
      <w:pStyle w:val="NICEnormalsinglespacing"/>
      <w:spacing w:after="120"/>
      <w:rPr>
        <w:sz w:val="18"/>
        <w:szCs w:val="18"/>
      </w:rPr>
    </w:pP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18</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18</w:t>
    </w:r>
    <w:r w:rsidRPr="0039118D">
      <w:rPr>
        <w:rStyle w:val="PageNumber"/>
        <w:sz w:val="20"/>
        <w:szCs w:val="20"/>
      </w:rPr>
      <w:fldChar w:fldCharType="end"/>
    </w:r>
  </w:p>
  <w:p w14:paraId="59DB8488" w14:textId="235E2D40" w:rsidR="00CC649F" w:rsidRDefault="00CC649F" w:rsidP="007A7EC8">
    <w:pPr>
      <w:pStyle w:val="NICEnormalsinglespacing"/>
      <w:spacing w:after="120"/>
      <w:rPr>
        <w:sz w:val="18"/>
        <w:szCs w:val="18"/>
      </w:rPr>
    </w:pPr>
    <w:r w:rsidRPr="003D33FB">
      <w:rPr>
        <w:sz w:val="18"/>
        <w:szCs w:val="18"/>
      </w:rPr>
      <w:t xml:space="preserve">Issue date: </w:t>
    </w:r>
    <w:r>
      <w:rPr>
        <w:sz w:val="18"/>
        <w:szCs w:val="18"/>
      </w:rPr>
      <w:t>October 2019</w:t>
    </w:r>
  </w:p>
  <w:p w14:paraId="55784114" w14:textId="68471D60" w:rsidR="00CC649F" w:rsidRPr="007A7EC8" w:rsidRDefault="00CC649F" w:rsidP="007A7EC8">
    <w:pPr>
      <w:pStyle w:val="NICEnormalsinglespacing"/>
      <w:spacing w:after="120"/>
    </w:pPr>
    <w:r>
      <w:rPr>
        <w:sz w:val="18"/>
        <w:szCs w:val="18"/>
      </w:rPr>
      <w:t xml:space="preserve">© NICE 2019.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6F328" w14:textId="77777777" w:rsidR="00CC649F" w:rsidRDefault="00CC649F">
      <w:r>
        <w:separator/>
      </w:r>
    </w:p>
  </w:footnote>
  <w:footnote w:type="continuationSeparator" w:id="0">
    <w:p w14:paraId="360727E0" w14:textId="77777777" w:rsidR="00CC649F" w:rsidRDefault="00CC649F">
      <w:r>
        <w:continuationSeparator/>
      </w:r>
    </w:p>
  </w:footnote>
  <w:footnote w:type="continuationNotice" w:id="1">
    <w:p w14:paraId="2A119B1B" w14:textId="77777777" w:rsidR="00CC649F" w:rsidRDefault="00CC6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5EDC" w14:textId="77777777" w:rsidR="00CC649F" w:rsidRPr="004E6427" w:rsidRDefault="00CC649F"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0B560CE4"/>
    <w:multiLevelType w:val="hybridMultilevel"/>
    <w:tmpl w:val="88DCE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C3584"/>
    <w:multiLevelType w:val="multilevel"/>
    <w:tmpl w:val="E176FFF8"/>
    <w:lvl w:ilvl="0">
      <w:start w:val="1"/>
      <w:numFmt w:val="decimal"/>
      <w:pStyle w:val="Numberedheading1"/>
      <w:lvlText w:val="%1."/>
      <w:lvlJc w:val="left"/>
      <w:pPr>
        <w:ind w:left="360" w:hanging="360"/>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313A32"/>
    <w:multiLevelType w:val="hybridMultilevel"/>
    <w:tmpl w:val="C4F4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11799"/>
    <w:multiLevelType w:val="hybridMultilevel"/>
    <w:tmpl w:val="FBE401BC"/>
    <w:lvl w:ilvl="0" w:tplc="C8DAEF10">
      <w:start w:val="1"/>
      <w:numFmt w:val="bullet"/>
      <w:lvlText w:val="•"/>
      <w:lvlJc w:val="left"/>
      <w:pPr>
        <w:tabs>
          <w:tab w:val="num" w:pos="720"/>
        </w:tabs>
        <w:ind w:left="720" w:hanging="360"/>
      </w:pPr>
      <w:rPr>
        <w:rFonts w:ascii="Arial" w:hAnsi="Arial" w:hint="default"/>
      </w:rPr>
    </w:lvl>
    <w:lvl w:ilvl="1" w:tplc="FE4E8BB6" w:tentative="1">
      <w:start w:val="1"/>
      <w:numFmt w:val="bullet"/>
      <w:lvlText w:val="•"/>
      <w:lvlJc w:val="left"/>
      <w:pPr>
        <w:tabs>
          <w:tab w:val="num" w:pos="1440"/>
        </w:tabs>
        <w:ind w:left="1440" w:hanging="360"/>
      </w:pPr>
      <w:rPr>
        <w:rFonts w:ascii="Arial" w:hAnsi="Arial" w:hint="default"/>
      </w:rPr>
    </w:lvl>
    <w:lvl w:ilvl="2" w:tplc="5586576A" w:tentative="1">
      <w:start w:val="1"/>
      <w:numFmt w:val="bullet"/>
      <w:lvlText w:val="•"/>
      <w:lvlJc w:val="left"/>
      <w:pPr>
        <w:tabs>
          <w:tab w:val="num" w:pos="2160"/>
        </w:tabs>
        <w:ind w:left="2160" w:hanging="360"/>
      </w:pPr>
      <w:rPr>
        <w:rFonts w:ascii="Arial" w:hAnsi="Arial" w:hint="default"/>
      </w:rPr>
    </w:lvl>
    <w:lvl w:ilvl="3" w:tplc="F4EC8B0C" w:tentative="1">
      <w:start w:val="1"/>
      <w:numFmt w:val="bullet"/>
      <w:lvlText w:val="•"/>
      <w:lvlJc w:val="left"/>
      <w:pPr>
        <w:tabs>
          <w:tab w:val="num" w:pos="2880"/>
        </w:tabs>
        <w:ind w:left="2880" w:hanging="360"/>
      </w:pPr>
      <w:rPr>
        <w:rFonts w:ascii="Arial" w:hAnsi="Arial" w:hint="default"/>
      </w:rPr>
    </w:lvl>
    <w:lvl w:ilvl="4" w:tplc="DB389446" w:tentative="1">
      <w:start w:val="1"/>
      <w:numFmt w:val="bullet"/>
      <w:lvlText w:val="•"/>
      <w:lvlJc w:val="left"/>
      <w:pPr>
        <w:tabs>
          <w:tab w:val="num" w:pos="3600"/>
        </w:tabs>
        <w:ind w:left="3600" w:hanging="360"/>
      </w:pPr>
      <w:rPr>
        <w:rFonts w:ascii="Arial" w:hAnsi="Arial" w:hint="default"/>
      </w:rPr>
    </w:lvl>
    <w:lvl w:ilvl="5" w:tplc="B106C432" w:tentative="1">
      <w:start w:val="1"/>
      <w:numFmt w:val="bullet"/>
      <w:lvlText w:val="•"/>
      <w:lvlJc w:val="left"/>
      <w:pPr>
        <w:tabs>
          <w:tab w:val="num" w:pos="4320"/>
        </w:tabs>
        <w:ind w:left="4320" w:hanging="360"/>
      </w:pPr>
      <w:rPr>
        <w:rFonts w:ascii="Arial" w:hAnsi="Arial" w:hint="default"/>
      </w:rPr>
    </w:lvl>
    <w:lvl w:ilvl="6" w:tplc="32881A78" w:tentative="1">
      <w:start w:val="1"/>
      <w:numFmt w:val="bullet"/>
      <w:lvlText w:val="•"/>
      <w:lvlJc w:val="left"/>
      <w:pPr>
        <w:tabs>
          <w:tab w:val="num" w:pos="5040"/>
        </w:tabs>
        <w:ind w:left="5040" w:hanging="360"/>
      </w:pPr>
      <w:rPr>
        <w:rFonts w:ascii="Arial" w:hAnsi="Arial" w:hint="default"/>
      </w:rPr>
    </w:lvl>
    <w:lvl w:ilvl="7" w:tplc="F440D28C" w:tentative="1">
      <w:start w:val="1"/>
      <w:numFmt w:val="bullet"/>
      <w:lvlText w:val="•"/>
      <w:lvlJc w:val="left"/>
      <w:pPr>
        <w:tabs>
          <w:tab w:val="num" w:pos="5760"/>
        </w:tabs>
        <w:ind w:left="5760" w:hanging="360"/>
      </w:pPr>
      <w:rPr>
        <w:rFonts w:ascii="Arial" w:hAnsi="Arial" w:hint="default"/>
      </w:rPr>
    </w:lvl>
    <w:lvl w:ilvl="8" w:tplc="D624D2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D31E86"/>
    <w:multiLevelType w:val="multilevel"/>
    <w:tmpl w:val="5850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150D1D"/>
    <w:multiLevelType w:val="hybridMultilevel"/>
    <w:tmpl w:val="8D9E8538"/>
    <w:lvl w:ilvl="0" w:tplc="4D4CD950">
      <w:start w:val="1"/>
      <w:numFmt w:val="bullet"/>
      <w:lvlText w:val="•"/>
      <w:lvlJc w:val="left"/>
      <w:pPr>
        <w:tabs>
          <w:tab w:val="num" w:pos="720"/>
        </w:tabs>
        <w:ind w:left="720" w:hanging="360"/>
      </w:pPr>
      <w:rPr>
        <w:rFonts w:ascii="Arial" w:hAnsi="Arial" w:hint="default"/>
      </w:rPr>
    </w:lvl>
    <w:lvl w:ilvl="1" w:tplc="6C86D636" w:tentative="1">
      <w:start w:val="1"/>
      <w:numFmt w:val="bullet"/>
      <w:lvlText w:val="•"/>
      <w:lvlJc w:val="left"/>
      <w:pPr>
        <w:tabs>
          <w:tab w:val="num" w:pos="1440"/>
        </w:tabs>
        <w:ind w:left="1440" w:hanging="360"/>
      </w:pPr>
      <w:rPr>
        <w:rFonts w:ascii="Arial" w:hAnsi="Arial" w:hint="default"/>
      </w:rPr>
    </w:lvl>
    <w:lvl w:ilvl="2" w:tplc="9702C068" w:tentative="1">
      <w:start w:val="1"/>
      <w:numFmt w:val="bullet"/>
      <w:lvlText w:val="•"/>
      <w:lvlJc w:val="left"/>
      <w:pPr>
        <w:tabs>
          <w:tab w:val="num" w:pos="2160"/>
        </w:tabs>
        <w:ind w:left="2160" w:hanging="360"/>
      </w:pPr>
      <w:rPr>
        <w:rFonts w:ascii="Arial" w:hAnsi="Arial" w:hint="default"/>
      </w:rPr>
    </w:lvl>
    <w:lvl w:ilvl="3" w:tplc="EBCC8E7C" w:tentative="1">
      <w:start w:val="1"/>
      <w:numFmt w:val="bullet"/>
      <w:lvlText w:val="•"/>
      <w:lvlJc w:val="left"/>
      <w:pPr>
        <w:tabs>
          <w:tab w:val="num" w:pos="2880"/>
        </w:tabs>
        <w:ind w:left="2880" w:hanging="360"/>
      </w:pPr>
      <w:rPr>
        <w:rFonts w:ascii="Arial" w:hAnsi="Arial" w:hint="default"/>
      </w:rPr>
    </w:lvl>
    <w:lvl w:ilvl="4" w:tplc="CA40A78A" w:tentative="1">
      <w:start w:val="1"/>
      <w:numFmt w:val="bullet"/>
      <w:lvlText w:val="•"/>
      <w:lvlJc w:val="left"/>
      <w:pPr>
        <w:tabs>
          <w:tab w:val="num" w:pos="3600"/>
        </w:tabs>
        <w:ind w:left="3600" w:hanging="360"/>
      </w:pPr>
      <w:rPr>
        <w:rFonts w:ascii="Arial" w:hAnsi="Arial" w:hint="default"/>
      </w:rPr>
    </w:lvl>
    <w:lvl w:ilvl="5" w:tplc="CFFEB836" w:tentative="1">
      <w:start w:val="1"/>
      <w:numFmt w:val="bullet"/>
      <w:lvlText w:val="•"/>
      <w:lvlJc w:val="left"/>
      <w:pPr>
        <w:tabs>
          <w:tab w:val="num" w:pos="4320"/>
        </w:tabs>
        <w:ind w:left="4320" w:hanging="360"/>
      </w:pPr>
      <w:rPr>
        <w:rFonts w:ascii="Arial" w:hAnsi="Arial" w:hint="default"/>
      </w:rPr>
    </w:lvl>
    <w:lvl w:ilvl="6" w:tplc="6C9C1CA2" w:tentative="1">
      <w:start w:val="1"/>
      <w:numFmt w:val="bullet"/>
      <w:lvlText w:val="•"/>
      <w:lvlJc w:val="left"/>
      <w:pPr>
        <w:tabs>
          <w:tab w:val="num" w:pos="5040"/>
        </w:tabs>
        <w:ind w:left="5040" w:hanging="360"/>
      </w:pPr>
      <w:rPr>
        <w:rFonts w:ascii="Arial" w:hAnsi="Arial" w:hint="default"/>
      </w:rPr>
    </w:lvl>
    <w:lvl w:ilvl="7" w:tplc="D0D4DA36" w:tentative="1">
      <w:start w:val="1"/>
      <w:numFmt w:val="bullet"/>
      <w:lvlText w:val="•"/>
      <w:lvlJc w:val="left"/>
      <w:pPr>
        <w:tabs>
          <w:tab w:val="num" w:pos="5760"/>
        </w:tabs>
        <w:ind w:left="5760" w:hanging="360"/>
      </w:pPr>
      <w:rPr>
        <w:rFonts w:ascii="Arial" w:hAnsi="Arial" w:hint="default"/>
      </w:rPr>
    </w:lvl>
    <w:lvl w:ilvl="8" w:tplc="E78C62F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
  </w:num>
  <w:num w:numId="3">
    <w:abstractNumId w:val="17"/>
  </w:num>
  <w:num w:numId="4">
    <w:abstractNumId w:val="12"/>
  </w:num>
  <w:num w:numId="5">
    <w:abstractNumId w:val="13"/>
  </w:num>
  <w:num w:numId="6">
    <w:abstractNumId w:val="0"/>
  </w:num>
  <w:num w:numId="7">
    <w:abstractNumId w:val="3"/>
  </w:num>
  <w:num w:numId="8">
    <w:abstractNumId w:val="5"/>
  </w:num>
  <w:num w:numId="9">
    <w:abstractNumId w:val="6"/>
  </w:num>
  <w:num w:numId="10">
    <w:abstractNumId w:val="7"/>
  </w:num>
  <w:num w:numId="11">
    <w:abstractNumId w:val="11"/>
  </w:num>
  <w:num w:numId="12">
    <w:abstractNumId w:val="8"/>
  </w:num>
  <w:num w:numId="13">
    <w:abstractNumId w:val="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8"/>
  </w:num>
  <w:num w:numId="18">
    <w:abstractNumId w:val="7"/>
  </w:num>
  <w:num w:numId="19">
    <w:abstractNumId w:val="7"/>
  </w:num>
  <w:num w:numId="20">
    <w:abstractNumId w:val="7"/>
  </w:num>
  <w:num w:numId="21">
    <w:abstractNumId w:val="16"/>
  </w:num>
  <w:num w:numId="22">
    <w:abstractNumId w:val="7"/>
  </w:num>
  <w:num w:numId="23">
    <w:abstractNumId w:val="7"/>
  </w:num>
  <w:num w:numId="24">
    <w:abstractNumId w:val="7"/>
  </w:num>
  <w:num w:numId="25">
    <w:abstractNumId w:val="10"/>
  </w:num>
  <w:num w:numId="26">
    <w:abstractNumId w:val="14"/>
  </w:num>
  <w:num w:numId="27">
    <w:abstractNumId w:val="7"/>
  </w:num>
  <w:num w:numId="28">
    <w:abstractNumId w:val="9"/>
  </w:num>
  <w:num w:numId="2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723"/>
    <w:rsid w:val="00000441"/>
    <w:rsid w:val="00005399"/>
    <w:rsid w:val="000064C4"/>
    <w:rsid w:val="00006590"/>
    <w:rsid w:val="000069A4"/>
    <w:rsid w:val="000069F9"/>
    <w:rsid w:val="0000727D"/>
    <w:rsid w:val="000119FB"/>
    <w:rsid w:val="00012FB4"/>
    <w:rsid w:val="00014990"/>
    <w:rsid w:val="00016A22"/>
    <w:rsid w:val="00016E5E"/>
    <w:rsid w:val="00016F0F"/>
    <w:rsid w:val="00017610"/>
    <w:rsid w:val="000205C6"/>
    <w:rsid w:val="00020F24"/>
    <w:rsid w:val="00021D69"/>
    <w:rsid w:val="00021FB0"/>
    <w:rsid w:val="0002200B"/>
    <w:rsid w:val="000221AA"/>
    <w:rsid w:val="00023235"/>
    <w:rsid w:val="0002331F"/>
    <w:rsid w:val="00023F26"/>
    <w:rsid w:val="000249F8"/>
    <w:rsid w:val="0002503C"/>
    <w:rsid w:val="00026E82"/>
    <w:rsid w:val="0002771E"/>
    <w:rsid w:val="00030676"/>
    <w:rsid w:val="00030714"/>
    <w:rsid w:val="000310B4"/>
    <w:rsid w:val="00031E92"/>
    <w:rsid w:val="0003322C"/>
    <w:rsid w:val="00034056"/>
    <w:rsid w:val="00034110"/>
    <w:rsid w:val="00035AC1"/>
    <w:rsid w:val="000368FC"/>
    <w:rsid w:val="000376EE"/>
    <w:rsid w:val="00037E23"/>
    <w:rsid w:val="000421F8"/>
    <w:rsid w:val="00042C42"/>
    <w:rsid w:val="00043262"/>
    <w:rsid w:val="00045528"/>
    <w:rsid w:val="00052063"/>
    <w:rsid w:val="00055DDF"/>
    <w:rsid w:val="00057724"/>
    <w:rsid w:val="00057C8A"/>
    <w:rsid w:val="00061C83"/>
    <w:rsid w:val="00062C7C"/>
    <w:rsid w:val="0006308D"/>
    <w:rsid w:val="0006624B"/>
    <w:rsid w:val="00070DA7"/>
    <w:rsid w:val="0007103F"/>
    <w:rsid w:val="000711F1"/>
    <w:rsid w:val="00071F71"/>
    <w:rsid w:val="00072B4E"/>
    <w:rsid w:val="00073DA8"/>
    <w:rsid w:val="000755E6"/>
    <w:rsid w:val="000764D3"/>
    <w:rsid w:val="00076EDC"/>
    <w:rsid w:val="00076FAE"/>
    <w:rsid w:val="00080A47"/>
    <w:rsid w:val="00081EBF"/>
    <w:rsid w:val="00082F77"/>
    <w:rsid w:val="00085C5A"/>
    <w:rsid w:val="000862FC"/>
    <w:rsid w:val="00087323"/>
    <w:rsid w:val="000879ED"/>
    <w:rsid w:val="000922CE"/>
    <w:rsid w:val="00093649"/>
    <w:rsid w:val="00093D24"/>
    <w:rsid w:val="00096246"/>
    <w:rsid w:val="000A0A6E"/>
    <w:rsid w:val="000A4016"/>
    <w:rsid w:val="000A4864"/>
    <w:rsid w:val="000A611C"/>
    <w:rsid w:val="000A6C40"/>
    <w:rsid w:val="000B0DC7"/>
    <w:rsid w:val="000B0E90"/>
    <w:rsid w:val="000B2927"/>
    <w:rsid w:val="000B70D6"/>
    <w:rsid w:val="000B7F7A"/>
    <w:rsid w:val="000C04A1"/>
    <w:rsid w:val="000C194F"/>
    <w:rsid w:val="000C2222"/>
    <w:rsid w:val="000D09ED"/>
    <w:rsid w:val="000D0A87"/>
    <w:rsid w:val="000D0FB1"/>
    <w:rsid w:val="000D11B8"/>
    <w:rsid w:val="000D145B"/>
    <w:rsid w:val="000D1930"/>
    <w:rsid w:val="000D29B0"/>
    <w:rsid w:val="000D4701"/>
    <w:rsid w:val="000D5299"/>
    <w:rsid w:val="000D6016"/>
    <w:rsid w:val="000D7185"/>
    <w:rsid w:val="000E1CED"/>
    <w:rsid w:val="000E24BD"/>
    <w:rsid w:val="000E29D1"/>
    <w:rsid w:val="000E4682"/>
    <w:rsid w:val="000E6F19"/>
    <w:rsid w:val="000F1E3F"/>
    <w:rsid w:val="000F3DBC"/>
    <w:rsid w:val="000F4060"/>
    <w:rsid w:val="000F48EC"/>
    <w:rsid w:val="000F6D56"/>
    <w:rsid w:val="000F755E"/>
    <w:rsid w:val="00101F34"/>
    <w:rsid w:val="001033D5"/>
    <w:rsid w:val="001039F7"/>
    <w:rsid w:val="00105409"/>
    <w:rsid w:val="00107DBD"/>
    <w:rsid w:val="0011040D"/>
    <w:rsid w:val="00113666"/>
    <w:rsid w:val="00115CC4"/>
    <w:rsid w:val="0011654B"/>
    <w:rsid w:val="001169FE"/>
    <w:rsid w:val="00116D19"/>
    <w:rsid w:val="00121E78"/>
    <w:rsid w:val="00122E93"/>
    <w:rsid w:val="001230AC"/>
    <w:rsid w:val="00124604"/>
    <w:rsid w:val="00125767"/>
    <w:rsid w:val="0012603B"/>
    <w:rsid w:val="001265C0"/>
    <w:rsid w:val="00132A16"/>
    <w:rsid w:val="001337B7"/>
    <w:rsid w:val="00133921"/>
    <w:rsid w:val="00136F3C"/>
    <w:rsid w:val="00140598"/>
    <w:rsid w:val="00140901"/>
    <w:rsid w:val="00140BFF"/>
    <w:rsid w:val="00140C93"/>
    <w:rsid w:val="001410E2"/>
    <w:rsid w:val="00143536"/>
    <w:rsid w:val="00145B2F"/>
    <w:rsid w:val="00150219"/>
    <w:rsid w:val="00150440"/>
    <w:rsid w:val="00151086"/>
    <w:rsid w:val="00151D8E"/>
    <w:rsid w:val="00151F1D"/>
    <w:rsid w:val="001570BC"/>
    <w:rsid w:val="001579BF"/>
    <w:rsid w:val="00161AA0"/>
    <w:rsid w:val="00163E43"/>
    <w:rsid w:val="001662BC"/>
    <w:rsid w:val="00166387"/>
    <w:rsid w:val="0017072D"/>
    <w:rsid w:val="00170B60"/>
    <w:rsid w:val="00171A2B"/>
    <w:rsid w:val="00176FB2"/>
    <w:rsid w:val="001823EB"/>
    <w:rsid w:val="00184A64"/>
    <w:rsid w:val="0018615A"/>
    <w:rsid w:val="0018716E"/>
    <w:rsid w:val="001873CB"/>
    <w:rsid w:val="00191B56"/>
    <w:rsid w:val="001933BF"/>
    <w:rsid w:val="00193945"/>
    <w:rsid w:val="00193C67"/>
    <w:rsid w:val="001956FC"/>
    <w:rsid w:val="0019718A"/>
    <w:rsid w:val="001A170D"/>
    <w:rsid w:val="001A1AE2"/>
    <w:rsid w:val="001A2D32"/>
    <w:rsid w:val="001A34F5"/>
    <w:rsid w:val="001A4E6E"/>
    <w:rsid w:val="001A5AD3"/>
    <w:rsid w:val="001B0170"/>
    <w:rsid w:val="001B06FC"/>
    <w:rsid w:val="001B2DD8"/>
    <w:rsid w:val="001B521F"/>
    <w:rsid w:val="001B7E00"/>
    <w:rsid w:val="001C0EF4"/>
    <w:rsid w:val="001C59E4"/>
    <w:rsid w:val="001C5C54"/>
    <w:rsid w:val="001D09BB"/>
    <w:rsid w:val="001D1D43"/>
    <w:rsid w:val="001D2B49"/>
    <w:rsid w:val="001D6DBE"/>
    <w:rsid w:val="001D750E"/>
    <w:rsid w:val="001D7AB2"/>
    <w:rsid w:val="001E15FF"/>
    <w:rsid w:val="001E1FB0"/>
    <w:rsid w:val="001E27E5"/>
    <w:rsid w:val="001E2CAF"/>
    <w:rsid w:val="001E3904"/>
    <w:rsid w:val="001E4C03"/>
    <w:rsid w:val="001E4D37"/>
    <w:rsid w:val="001E5B08"/>
    <w:rsid w:val="001F1400"/>
    <w:rsid w:val="001F490B"/>
    <w:rsid w:val="001F6078"/>
    <w:rsid w:val="001F6BF3"/>
    <w:rsid w:val="001F7251"/>
    <w:rsid w:val="00204F82"/>
    <w:rsid w:val="0021081C"/>
    <w:rsid w:val="002119CD"/>
    <w:rsid w:val="002159C9"/>
    <w:rsid w:val="00216A6B"/>
    <w:rsid w:val="00217E4D"/>
    <w:rsid w:val="002202F5"/>
    <w:rsid w:val="002206EB"/>
    <w:rsid w:val="00220B4E"/>
    <w:rsid w:val="002218BC"/>
    <w:rsid w:val="0022207B"/>
    <w:rsid w:val="00222BEA"/>
    <w:rsid w:val="00225439"/>
    <w:rsid w:val="00225F9B"/>
    <w:rsid w:val="00232061"/>
    <w:rsid w:val="002328BD"/>
    <w:rsid w:val="00235945"/>
    <w:rsid w:val="00235CAB"/>
    <w:rsid w:val="00236E26"/>
    <w:rsid w:val="00240C5F"/>
    <w:rsid w:val="002433CE"/>
    <w:rsid w:val="002448B1"/>
    <w:rsid w:val="00251724"/>
    <w:rsid w:val="00252DED"/>
    <w:rsid w:val="002555BE"/>
    <w:rsid w:val="00255679"/>
    <w:rsid w:val="00256367"/>
    <w:rsid w:val="00257B1C"/>
    <w:rsid w:val="00257D1B"/>
    <w:rsid w:val="0026011E"/>
    <w:rsid w:val="002614EA"/>
    <w:rsid w:val="00265B0E"/>
    <w:rsid w:val="00272B1C"/>
    <w:rsid w:val="00280B9F"/>
    <w:rsid w:val="00282C30"/>
    <w:rsid w:val="00282D7E"/>
    <w:rsid w:val="00290445"/>
    <w:rsid w:val="00292044"/>
    <w:rsid w:val="00293811"/>
    <w:rsid w:val="00296643"/>
    <w:rsid w:val="002A0651"/>
    <w:rsid w:val="002A151A"/>
    <w:rsid w:val="002A2687"/>
    <w:rsid w:val="002A4944"/>
    <w:rsid w:val="002A5C23"/>
    <w:rsid w:val="002B1842"/>
    <w:rsid w:val="002B1B3A"/>
    <w:rsid w:val="002B3340"/>
    <w:rsid w:val="002B34C8"/>
    <w:rsid w:val="002B5772"/>
    <w:rsid w:val="002B6D1D"/>
    <w:rsid w:val="002C0551"/>
    <w:rsid w:val="002C123A"/>
    <w:rsid w:val="002C257D"/>
    <w:rsid w:val="002C2774"/>
    <w:rsid w:val="002C381D"/>
    <w:rsid w:val="002C3E53"/>
    <w:rsid w:val="002C4E6D"/>
    <w:rsid w:val="002D41A5"/>
    <w:rsid w:val="002D6F51"/>
    <w:rsid w:val="002D7938"/>
    <w:rsid w:val="002D79A7"/>
    <w:rsid w:val="002E3F68"/>
    <w:rsid w:val="002E5C16"/>
    <w:rsid w:val="002E6AD4"/>
    <w:rsid w:val="002E73E7"/>
    <w:rsid w:val="002F0AA7"/>
    <w:rsid w:val="002F1B28"/>
    <w:rsid w:val="002F2583"/>
    <w:rsid w:val="002F258F"/>
    <w:rsid w:val="002F279A"/>
    <w:rsid w:val="002F29A3"/>
    <w:rsid w:val="002F2C1A"/>
    <w:rsid w:val="002F355A"/>
    <w:rsid w:val="002F4F5B"/>
    <w:rsid w:val="002F68FE"/>
    <w:rsid w:val="00300DF8"/>
    <w:rsid w:val="00303156"/>
    <w:rsid w:val="00303475"/>
    <w:rsid w:val="003107AB"/>
    <w:rsid w:val="0031127A"/>
    <w:rsid w:val="00312AFA"/>
    <w:rsid w:val="0031335C"/>
    <w:rsid w:val="003154E8"/>
    <w:rsid w:val="00315C29"/>
    <w:rsid w:val="003165BA"/>
    <w:rsid w:val="0031664C"/>
    <w:rsid w:val="003247BD"/>
    <w:rsid w:val="00324997"/>
    <w:rsid w:val="003256B1"/>
    <w:rsid w:val="00330E4C"/>
    <w:rsid w:val="00331545"/>
    <w:rsid w:val="003330E6"/>
    <w:rsid w:val="0033333E"/>
    <w:rsid w:val="003368C0"/>
    <w:rsid w:val="00336D9B"/>
    <w:rsid w:val="00337549"/>
    <w:rsid w:val="00341D23"/>
    <w:rsid w:val="00342957"/>
    <w:rsid w:val="00343439"/>
    <w:rsid w:val="003435A4"/>
    <w:rsid w:val="00343B53"/>
    <w:rsid w:val="003450D1"/>
    <w:rsid w:val="003459E9"/>
    <w:rsid w:val="00346BA7"/>
    <w:rsid w:val="003478F6"/>
    <w:rsid w:val="00350441"/>
    <w:rsid w:val="003531A3"/>
    <w:rsid w:val="00353CE3"/>
    <w:rsid w:val="00354915"/>
    <w:rsid w:val="00355339"/>
    <w:rsid w:val="00364E30"/>
    <w:rsid w:val="0037101E"/>
    <w:rsid w:val="00372031"/>
    <w:rsid w:val="003734EF"/>
    <w:rsid w:val="003738C2"/>
    <w:rsid w:val="00375472"/>
    <w:rsid w:val="00376AFA"/>
    <w:rsid w:val="00377506"/>
    <w:rsid w:val="003847B9"/>
    <w:rsid w:val="00385E85"/>
    <w:rsid w:val="00386A19"/>
    <w:rsid w:val="003870CA"/>
    <w:rsid w:val="0039118D"/>
    <w:rsid w:val="00391AC8"/>
    <w:rsid w:val="00392FB4"/>
    <w:rsid w:val="00394513"/>
    <w:rsid w:val="00394DFF"/>
    <w:rsid w:val="0039525F"/>
    <w:rsid w:val="00395C05"/>
    <w:rsid w:val="00396121"/>
    <w:rsid w:val="00397829"/>
    <w:rsid w:val="003A0250"/>
    <w:rsid w:val="003A04CD"/>
    <w:rsid w:val="003A0CBE"/>
    <w:rsid w:val="003A11AB"/>
    <w:rsid w:val="003A1CB2"/>
    <w:rsid w:val="003A1F14"/>
    <w:rsid w:val="003A3974"/>
    <w:rsid w:val="003A3EAD"/>
    <w:rsid w:val="003A5838"/>
    <w:rsid w:val="003A69FC"/>
    <w:rsid w:val="003A7F61"/>
    <w:rsid w:val="003B0994"/>
    <w:rsid w:val="003B0BC2"/>
    <w:rsid w:val="003B37BB"/>
    <w:rsid w:val="003C3155"/>
    <w:rsid w:val="003C36AC"/>
    <w:rsid w:val="003C4FB6"/>
    <w:rsid w:val="003C661C"/>
    <w:rsid w:val="003C7EF9"/>
    <w:rsid w:val="003D02C5"/>
    <w:rsid w:val="003D441D"/>
    <w:rsid w:val="003D4994"/>
    <w:rsid w:val="003D5297"/>
    <w:rsid w:val="003D68D5"/>
    <w:rsid w:val="003D703D"/>
    <w:rsid w:val="003D7050"/>
    <w:rsid w:val="003E14CF"/>
    <w:rsid w:val="003E2E44"/>
    <w:rsid w:val="003E684C"/>
    <w:rsid w:val="003E6E60"/>
    <w:rsid w:val="003E73E9"/>
    <w:rsid w:val="003E77A6"/>
    <w:rsid w:val="003F168A"/>
    <w:rsid w:val="003F3793"/>
    <w:rsid w:val="003F6674"/>
    <w:rsid w:val="003F6820"/>
    <w:rsid w:val="003F6839"/>
    <w:rsid w:val="003F7763"/>
    <w:rsid w:val="004033D4"/>
    <w:rsid w:val="00407D59"/>
    <w:rsid w:val="00411590"/>
    <w:rsid w:val="004131DD"/>
    <w:rsid w:val="0041525E"/>
    <w:rsid w:val="00415939"/>
    <w:rsid w:val="00415C30"/>
    <w:rsid w:val="00420626"/>
    <w:rsid w:val="00420742"/>
    <w:rsid w:val="00421005"/>
    <w:rsid w:val="004220FB"/>
    <w:rsid w:val="00422151"/>
    <w:rsid w:val="004247D7"/>
    <w:rsid w:val="00424808"/>
    <w:rsid w:val="004258AD"/>
    <w:rsid w:val="00425DA8"/>
    <w:rsid w:val="00426B67"/>
    <w:rsid w:val="00431372"/>
    <w:rsid w:val="00433564"/>
    <w:rsid w:val="004337CE"/>
    <w:rsid w:val="0043453C"/>
    <w:rsid w:val="00436543"/>
    <w:rsid w:val="00437CA3"/>
    <w:rsid w:val="0044027B"/>
    <w:rsid w:val="004408BF"/>
    <w:rsid w:val="004408F8"/>
    <w:rsid w:val="00444859"/>
    <w:rsid w:val="0044648F"/>
    <w:rsid w:val="00446DA2"/>
    <w:rsid w:val="00451346"/>
    <w:rsid w:val="00457843"/>
    <w:rsid w:val="00457C40"/>
    <w:rsid w:val="00462002"/>
    <w:rsid w:val="0046212F"/>
    <w:rsid w:val="00462733"/>
    <w:rsid w:val="00463227"/>
    <w:rsid w:val="00463973"/>
    <w:rsid w:val="00464E24"/>
    <w:rsid w:val="00466674"/>
    <w:rsid w:val="00470D2B"/>
    <w:rsid w:val="00471113"/>
    <w:rsid w:val="00471127"/>
    <w:rsid w:val="00471200"/>
    <w:rsid w:val="00472FF8"/>
    <w:rsid w:val="00473CF8"/>
    <w:rsid w:val="00475F03"/>
    <w:rsid w:val="004804B3"/>
    <w:rsid w:val="00481D34"/>
    <w:rsid w:val="00481E06"/>
    <w:rsid w:val="004820E9"/>
    <w:rsid w:val="00483119"/>
    <w:rsid w:val="0048361F"/>
    <w:rsid w:val="004845D0"/>
    <w:rsid w:val="004852FF"/>
    <w:rsid w:val="004900DB"/>
    <w:rsid w:val="00490676"/>
    <w:rsid w:val="00494E73"/>
    <w:rsid w:val="004A19DB"/>
    <w:rsid w:val="004A2830"/>
    <w:rsid w:val="004A3377"/>
    <w:rsid w:val="004A6A66"/>
    <w:rsid w:val="004B28E6"/>
    <w:rsid w:val="004B514C"/>
    <w:rsid w:val="004B5267"/>
    <w:rsid w:val="004B5E5A"/>
    <w:rsid w:val="004C00D8"/>
    <w:rsid w:val="004C3DAD"/>
    <w:rsid w:val="004C5923"/>
    <w:rsid w:val="004C5971"/>
    <w:rsid w:val="004C6116"/>
    <w:rsid w:val="004C70E8"/>
    <w:rsid w:val="004C7C61"/>
    <w:rsid w:val="004D0DFD"/>
    <w:rsid w:val="004D1FBE"/>
    <w:rsid w:val="004D4A86"/>
    <w:rsid w:val="004D4EDA"/>
    <w:rsid w:val="004D5F40"/>
    <w:rsid w:val="004D7664"/>
    <w:rsid w:val="004D7809"/>
    <w:rsid w:val="004E074F"/>
    <w:rsid w:val="004E2EE3"/>
    <w:rsid w:val="004E43AF"/>
    <w:rsid w:val="004E4EA0"/>
    <w:rsid w:val="004E6427"/>
    <w:rsid w:val="004E7625"/>
    <w:rsid w:val="004E7E43"/>
    <w:rsid w:val="004F1956"/>
    <w:rsid w:val="004F26C4"/>
    <w:rsid w:val="004F5FC6"/>
    <w:rsid w:val="004F619D"/>
    <w:rsid w:val="004F64A8"/>
    <w:rsid w:val="004F6557"/>
    <w:rsid w:val="004F69FA"/>
    <w:rsid w:val="004F7361"/>
    <w:rsid w:val="005037B2"/>
    <w:rsid w:val="0050455E"/>
    <w:rsid w:val="005047AD"/>
    <w:rsid w:val="00504B66"/>
    <w:rsid w:val="00505AFC"/>
    <w:rsid w:val="00507411"/>
    <w:rsid w:val="00510B1D"/>
    <w:rsid w:val="0051107D"/>
    <w:rsid w:val="0051193A"/>
    <w:rsid w:val="0051288C"/>
    <w:rsid w:val="00516D4F"/>
    <w:rsid w:val="00526C07"/>
    <w:rsid w:val="005273A6"/>
    <w:rsid w:val="00527533"/>
    <w:rsid w:val="00527E88"/>
    <w:rsid w:val="0053387C"/>
    <w:rsid w:val="00534F74"/>
    <w:rsid w:val="00536789"/>
    <w:rsid w:val="00536D2F"/>
    <w:rsid w:val="00540052"/>
    <w:rsid w:val="0054146B"/>
    <w:rsid w:val="0054364E"/>
    <w:rsid w:val="00543DB4"/>
    <w:rsid w:val="00543E08"/>
    <w:rsid w:val="005449AD"/>
    <w:rsid w:val="005505ED"/>
    <w:rsid w:val="0055274E"/>
    <w:rsid w:val="00564B04"/>
    <w:rsid w:val="005663D8"/>
    <w:rsid w:val="00566C8C"/>
    <w:rsid w:val="00572813"/>
    <w:rsid w:val="00573059"/>
    <w:rsid w:val="00574705"/>
    <w:rsid w:val="0057621E"/>
    <w:rsid w:val="00577B05"/>
    <w:rsid w:val="00580D6F"/>
    <w:rsid w:val="005812C6"/>
    <w:rsid w:val="005818C3"/>
    <w:rsid w:val="0059312F"/>
    <w:rsid w:val="005948FA"/>
    <w:rsid w:val="005959BE"/>
    <w:rsid w:val="00595CAA"/>
    <w:rsid w:val="00596210"/>
    <w:rsid w:val="00596286"/>
    <w:rsid w:val="00596999"/>
    <w:rsid w:val="005A04D9"/>
    <w:rsid w:val="005A0F31"/>
    <w:rsid w:val="005A28A1"/>
    <w:rsid w:val="005A46D0"/>
    <w:rsid w:val="005A6FB5"/>
    <w:rsid w:val="005B1E7A"/>
    <w:rsid w:val="005B25E4"/>
    <w:rsid w:val="005B30C8"/>
    <w:rsid w:val="005B7778"/>
    <w:rsid w:val="005C051F"/>
    <w:rsid w:val="005C39B8"/>
    <w:rsid w:val="005C3D44"/>
    <w:rsid w:val="005C6E7B"/>
    <w:rsid w:val="005C762E"/>
    <w:rsid w:val="005D098C"/>
    <w:rsid w:val="005D27DB"/>
    <w:rsid w:val="005D3FD9"/>
    <w:rsid w:val="005D6723"/>
    <w:rsid w:val="005E10AB"/>
    <w:rsid w:val="005E2139"/>
    <w:rsid w:val="005E46BB"/>
    <w:rsid w:val="005F29E0"/>
    <w:rsid w:val="005F3C5E"/>
    <w:rsid w:val="005F5B1E"/>
    <w:rsid w:val="005F5DC7"/>
    <w:rsid w:val="006001CC"/>
    <w:rsid w:val="00601B81"/>
    <w:rsid w:val="00602B4D"/>
    <w:rsid w:val="00603C94"/>
    <w:rsid w:val="006048E0"/>
    <w:rsid w:val="00604FAD"/>
    <w:rsid w:val="0060662A"/>
    <w:rsid w:val="00612789"/>
    <w:rsid w:val="00613D24"/>
    <w:rsid w:val="00614BDA"/>
    <w:rsid w:val="006203AE"/>
    <w:rsid w:val="00620826"/>
    <w:rsid w:val="00621AFB"/>
    <w:rsid w:val="0062589A"/>
    <w:rsid w:val="006307C7"/>
    <w:rsid w:val="00632B82"/>
    <w:rsid w:val="00632FE3"/>
    <w:rsid w:val="006331B4"/>
    <w:rsid w:val="00633B6F"/>
    <w:rsid w:val="006343F3"/>
    <w:rsid w:val="00640CF2"/>
    <w:rsid w:val="006417D6"/>
    <w:rsid w:val="00642647"/>
    <w:rsid w:val="00642906"/>
    <w:rsid w:val="00643582"/>
    <w:rsid w:val="00643B75"/>
    <w:rsid w:val="006456FC"/>
    <w:rsid w:val="006457EF"/>
    <w:rsid w:val="00646928"/>
    <w:rsid w:val="00646EEA"/>
    <w:rsid w:val="00647762"/>
    <w:rsid w:val="00650F96"/>
    <w:rsid w:val="006512B7"/>
    <w:rsid w:val="00651C22"/>
    <w:rsid w:val="006543F4"/>
    <w:rsid w:val="00655679"/>
    <w:rsid w:val="00655B4D"/>
    <w:rsid w:val="00655ED5"/>
    <w:rsid w:val="006570B5"/>
    <w:rsid w:val="006575DE"/>
    <w:rsid w:val="00660398"/>
    <w:rsid w:val="00665734"/>
    <w:rsid w:val="0066624E"/>
    <w:rsid w:val="00666293"/>
    <w:rsid w:val="00670A8A"/>
    <w:rsid w:val="00671494"/>
    <w:rsid w:val="00671977"/>
    <w:rsid w:val="00671D80"/>
    <w:rsid w:val="00672EFB"/>
    <w:rsid w:val="006739CF"/>
    <w:rsid w:val="006751BF"/>
    <w:rsid w:val="006771FF"/>
    <w:rsid w:val="0067752C"/>
    <w:rsid w:val="006776A2"/>
    <w:rsid w:val="006801A6"/>
    <w:rsid w:val="0068124B"/>
    <w:rsid w:val="00681610"/>
    <w:rsid w:val="006825AA"/>
    <w:rsid w:val="0068395A"/>
    <w:rsid w:val="0068455B"/>
    <w:rsid w:val="00685D36"/>
    <w:rsid w:val="00687304"/>
    <w:rsid w:val="00687E37"/>
    <w:rsid w:val="00692C71"/>
    <w:rsid w:val="006931A0"/>
    <w:rsid w:val="006935BC"/>
    <w:rsid w:val="0069377A"/>
    <w:rsid w:val="006952B2"/>
    <w:rsid w:val="00696E55"/>
    <w:rsid w:val="006A0B0E"/>
    <w:rsid w:val="006A299B"/>
    <w:rsid w:val="006A3A9C"/>
    <w:rsid w:val="006A3CC5"/>
    <w:rsid w:val="006A52E5"/>
    <w:rsid w:val="006A721F"/>
    <w:rsid w:val="006A7CCF"/>
    <w:rsid w:val="006A7D30"/>
    <w:rsid w:val="006B0581"/>
    <w:rsid w:val="006B0F36"/>
    <w:rsid w:val="006B16D1"/>
    <w:rsid w:val="006B197C"/>
    <w:rsid w:val="006B198E"/>
    <w:rsid w:val="006B1A42"/>
    <w:rsid w:val="006B30FD"/>
    <w:rsid w:val="006B36E0"/>
    <w:rsid w:val="006B374A"/>
    <w:rsid w:val="006B4254"/>
    <w:rsid w:val="006B5CB4"/>
    <w:rsid w:val="006B6DCF"/>
    <w:rsid w:val="006B791B"/>
    <w:rsid w:val="006C4793"/>
    <w:rsid w:val="006C4A68"/>
    <w:rsid w:val="006D1214"/>
    <w:rsid w:val="006D36FB"/>
    <w:rsid w:val="006D42ED"/>
    <w:rsid w:val="006D4D1A"/>
    <w:rsid w:val="006D55CD"/>
    <w:rsid w:val="006D73F1"/>
    <w:rsid w:val="006E2A29"/>
    <w:rsid w:val="006E3514"/>
    <w:rsid w:val="006E482F"/>
    <w:rsid w:val="006E6C98"/>
    <w:rsid w:val="006E6FC6"/>
    <w:rsid w:val="006E6FF9"/>
    <w:rsid w:val="006E7421"/>
    <w:rsid w:val="006E75E7"/>
    <w:rsid w:val="006E7647"/>
    <w:rsid w:val="006F162C"/>
    <w:rsid w:val="006F1DA8"/>
    <w:rsid w:val="006F4CFA"/>
    <w:rsid w:val="006F5310"/>
    <w:rsid w:val="006F581D"/>
    <w:rsid w:val="006F696E"/>
    <w:rsid w:val="006F6B91"/>
    <w:rsid w:val="00700E48"/>
    <w:rsid w:val="007040CB"/>
    <w:rsid w:val="0070523B"/>
    <w:rsid w:val="007056FB"/>
    <w:rsid w:val="00707412"/>
    <w:rsid w:val="00707D16"/>
    <w:rsid w:val="00714557"/>
    <w:rsid w:val="00715E8A"/>
    <w:rsid w:val="00717226"/>
    <w:rsid w:val="00717283"/>
    <w:rsid w:val="00720FDD"/>
    <w:rsid w:val="00721754"/>
    <w:rsid w:val="00722883"/>
    <w:rsid w:val="00723AF0"/>
    <w:rsid w:val="00727911"/>
    <w:rsid w:val="0073007E"/>
    <w:rsid w:val="007311E2"/>
    <w:rsid w:val="007317BA"/>
    <w:rsid w:val="00732519"/>
    <w:rsid w:val="0073365B"/>
    <w:rsid w:val="00734F5A"/>
    <w:rsid w:val="007350F8"/>
    <w:rsid w:val="00736900"/>
    <w:rsid w:val="00736D97"/>
    <w:rsid w:val="00737CEF"/>
    <w:rsid w:val="00737DDA"/>
    <w:rsid w:val="007408DF"/>
    <w:rsid w:val="0074094F"/>
    <w:rsid w:val="00746B57"/>
    <w:rsid w:val="00747D90"/>
    <w:rsid w:val="00751CB9"/>
    <w:rsid w:val="00756200"/>
    <w:rsid w:val="0075624F"/>
    <w:rsid w:val="00756D96"/>
    <w:rsid w:val="007574E0"/>
    <w:rsid w:val="007618FD"/>
    <w:rsid w:val="00763641"/>
    <w:rsid w:val="007654C9"/>
    <w:rsid w:val="007668BA"/>
    <w:rsid w:val="00766C56"/>
    <w:rsid w:val="00770596"/>
    <w:rsid w:val="0077277D"/>
    <w:rsid w:val="007741F2"/>
    <w:rsid w:val="007747D4"/>
    <w:rsid w:val="00774963"/>
    <w:rsid w:val="007770BC"/>
    <w:rsid w:val="00781B7F"/>
    <w:rsid w:val="00782765"/>
    <w:rsid w:val="00782A7A"/>
    <w:rsid w:val="00782DCB"/>
    <w:rsid w:val="00784156"/>
    <w:rsid w:val="007933B3"/>
    <w:rsid w:val="007939D9"/>
    <w:rsid w:val="007940C6"/>
    <w:rsid w:val="00794D72"/>
    <w:rsid w:val="007A0298"/>
    <w:rsid w:val="007A048E"/>
    <w:rsid w:val="007A0C0F"/>
    <w:rsid w:val="007A19AF"/>
    <w:rsid w:val="007A1BBD"/>
    <w:rsid w:val="007A1E9D"/>
    <w:rsid w:val="007A2801"/>
    <w:rsid w:val="007A44F7"/>
    <w:rsid w:val="007A4EEE"/>
    <w:rsid w:val="007A6DAA"/>
    <w:rsid w:val="007A7EC8"/>
    <w:rsid w:val="007B032C"/>
    <w:rsid w:val="007B1312"/>
    <w:rsid w:val="007B1391"/>
    <w:rsid w:val="007B1AF8"/>
    <w:rsid w:val="007B2696"/>
    <w:rsid w:val="007B2A16"/>
    <w:rsid w:val="007B4B3F"/>
    <w:rsid w:val="007B787D"/>
    <w:rsid w:val="007B7B7B"/>
    <w:rsid w:val="007B7E58"/>
    <w:rsid w:val="007C3165"/>
    <w:rsid w:val="007C4B0D"/>
    <w:rsid w:val="007C58D6"/>
    <w:rsid w:val="007C732D"/>
    <w:rsid w:val="007C775C"/>
    <w:rsid w:val="007D1008"/>
    <w:rsid w:val="007D5B27"/>
    <w:rsid w:val="007D5C80"/>
    <w:rsid w:val="007D62AE"/>
    <w:rsid w:val="007D67FA"/>
    <w:rsid w:val="007D71D6"/>
    <w:rsid w:val="007E013D"/>
    <w:rsid w:val="007E2754"/>
    <w:rsid w:val="007E5818"/>
    <w:rsid w:val="007E61A7"/>
    <w:rsid w:val="007E65D7"/>
    <w:rsid w:val="007F0BD8"/>
    <w:rsid w:val="0080089C"/>
    <w:rsid w:val="00801E94"/>
    <w:rsid w:val="00803318"/>
    <w:rsid w:val="00803456"/>
    <w:rsid w:val="00807E04"/>
    <w:rsid w:val="00807EBC"/>
    <w:rsid w:val="00811BBD"/>
    <w:rsid w:val="00812976"/>
    <w:rsid w:val="00814DEF"/>
    <w:rsid w:val="008216B4"/>
    <w:rsid w:val="0082239E"/>
    <w:rsid w:val="0082319A"/>
    <w:rsid w:val="00825A87"/>
    <w:rsid w:val="00825BDC"/>
    <w:rsid w:val="00826134"/>
    <w:rsid w:val="00831B9B"/>
    <w:rsid w:val="00835008"/>
    <w:rsid w:val="008404E4"/>
    <w:rsid w:val="00842A7E"/>
    <w:rsid w:val="00844D3D"/>
    <w:rsid w:val="0084532E"/>
    <w:rsid w:val="00845810"/>
    <w:rsid w:val="00845F3C"/>
    <w:rsid w:val="00846159"/>
    <w:rsid w:val="008505C3"/>
    <w:rsid w:val="00851677"/>
    <w:rsid w:val="008522C6"/>
    <w:rsid w:val="00852E40"/>
    <w:rsid w:val="00854BC9"/>
    <w:rsid w:val="00857A90"/>
    <w:rsid w:val="00857CDD"/>
    <w:rsid w:val="00860EA8"/>
    <w:rsid w:val="0086472B"/>
    <w:rsid w:val="00865968"/>
    <w:rsid w:val="00866B77"/>
    <w:rsid w:val="0087368E"/>
    <w:rsid w:val="00875968"/>
    <w:rsid w:val="008802D9"/>
    <w:rsid w:val="00880B98"/>
    <w:rsid w:val="00881F26"/>
    <w:rsid w:val="008838A1"/>
    <w:rsid w:val="00884F08"/>
    <w:rsid w:val="0088685E"/>
    <w:rsid w:val="0088689E"/>
    <w:rsid w:val="00887101"/>
    <w:rsid w:val="0088752A"/>
    <w:rsid w:val="0088772C"/>
    <w:rsid w:val="00891794"/>
    <w:rsid w:val="00891929"/>
    <w:rsid w:val="008923D6"/>
    <w:rsid w:val="00893176"/>
    <w:rsid w:val="00895446"/>
    <w:rsid w:val="00895606"/>
    <w:rsid w:val="0089638F"/>
    <w:rsid w:val="0089780B"/>
    <w:rsid w:val="008A05E4"/>
    <w:rsid w:val="008A136C"/>
    <w:rsid w:val="008A195D"/>
    <w:rsid w:val="008A2098"/>
    <w:rsid w:val="008A32D1"/>
    <w:rsid w:val="008B03D8"/>
    <w:rsid w:val="008B0C6F"/>
    <w:rsid w:val="008B1B6A"/>
    <w:rsid w:val="008B61CD"/>
    <w:rsid w:val="008C19B6"/>
    <w:rsid w:val="008C4A61"/>
    <w:rsid w:val="008C4CB3"/>
    <w:rsid w:val="008C4F0F"/>
    <w:rsid w:val="008C6CFD"/>
    <w:rsid w:val="008C7D07"/>
    <w:rsid w:val="008C7F38"/>
    <w:rsid w:val="008D19D5"/>
    <w:rsid w:val="008D3B9E"/>
    <w:rsid w:val="008D55C9"/>
    <w:rsid w:val="008D5F3C"/>
    <w:rsid w:val="008D6DE3"/>
    <w:rsid w:val="008D7EEE"/>
    <w:rsid w:val="008E1578"/>
    <w:rsid w:val="008E1B44"/>
    <w:rsid w:val="008E7460"/>
    <w:rsid w:val="008E7585"/>
    <w:rsid w:val="008F2E5C"/>
    <w:rsid w:val="008F646F"/>
    <w:rsid w:val="00905DA9"/>
    <w:rsid w:val="00906982"/>
    <w:rsid w:val="009076D0"/>
    <w:rsid w:val="00911D28"/>
    <w:rsid w:val="00913C5B"/>
    <w:rsid w:val="00914F38"/>
    <w:rsid w:val="009163A5"/>
    <w:rsid w:val="0091776B"/>
    <w:rsid w:val="009179AA"/>
    <w:rsid w:val="00920396"/>
    <w:rsid w:val="0092657D"/>
    <w:rsid w:val="00932B67"/>
    <w:rsid w:val="00935018"/>
    <w:rsid w:val="009364A9"/>
    <w:rsid w:val="0093671F"/>
    <w:rsid w:val="00937B31"/>
    <w:rsid w:val="00937C90"/>
    <w:rsid w:val="00937D0C"/>
    <w:rsid w:val="00937F0D"/>
    <w:rsid w:val="00940577"/>
    <w:rsid w:val="00940B79"/>
    <w:rsid w:val="00941D1F"/>
    <w:rsid w:val="0094262F"/>
    <w:rsid w:val="0094366C"/>
    <w:rsid w:val="009436A5"/>
    <w:rsid w:val="0094666B"/>
    <w:rsid w:val="009479C0"/>
    <w:rsid w:val="00950914"/>
    <w:rsid w:val="00950C51"/>
    <w:rsid w:val="00951973"/>
    <w:rsid w:val="0095252E"/>
    <w:rsid w:val="00952591"/>
    <w:rsid w:val="00952898"/>
    <w:rsid w:val="00952C90"/>
    <w:rsid w:val="00953ADF"/>
    <w:rsid w:val="00953B55"/>
    <w:rsid w:val="00956129"/>
    <w:rsid w:val="00956F33"/>
    <w:rsid w:val="009571E2"/>
    <w:rsid w:val="00957E73"/>
    <w:rsid w:val="0096135C"/>
    <w:rsid w:val="009613E6"/>
    <w:rsid w:val="0096142E"/>
    <w:rsid w:val="00970EE7"/>
    <w:rsid w:val="009746D7"/>
    <w:rsid w:val="00976C45"/>
    <w:rsid w:val="0097725D"/>
    <w:rsid w:val="00977E8E"/>
    <w:rsid w:val="009808B4"/>
    <w:rsid w:val="009832A4"/>
    <w:rsid w:val="00983391"/>
    <w:rsid w:val="00984821"/>
    <w:rsid w:val="00995173"/>
    <w:rsid w:val="009961A7"/>
    <w:rsid w:val="00996FF9"/>
    <w:rsid w:val="0099716A"/>
    <w:rsid w:val="009A0593"/>
    <w:rsid w:val="009A1E4A"/>
    <w:rsid w:val="009A2797"/>
    <w:rsid w:val="009A2C14"/>
    <w:rsid w:val="009A3D97"/>
    <w:rsid w:val="009A3ED6"/>
    <w:rsid w:val="009A3F1B"/>
    <w:rsid w:val="009A598B"/>
    <w:rsid w:val="009A698B"/>
    <w:rsid w:val="009B2D86"/>
    <w:rsid w:val="009B3F94"/>
    <w:rsid w:val="009B46B3"/>
    <w:rsid w:val="009B5BD5"/>
    <w:rsid w:val="009B5E70"/>
    <w:rsid w:val="009B61FD"/>
    <w:rsid w:val="009B621A"/>
    <w:rsid w:val="009B672F"/>
    <w:rsid w:val="009B6EAB"/>
    <w:rsid w:val="009B718D"/>
    <w:rsid w:val="009C0BCC"/>
    <w:rsid w:val="009C162B"/>
    <w:rsid w:val="009C3FA3"/>
    <w:rsid w:val="009C40F9"/>
    <w:rsid w:val="009C45D9"/>
    <w:rsid w:val="009C65E5"/>
    <w:rsid w:val="009C6F32"/>
    <w:rsid w:val="009D2BEF"/>
    <w:rsid w:val="009D7187"/>
    <w:rsid w:val="009D783B"/>
    <w:rsid w:val="009E01DD"/>
    <w:rsid w:val="009E0223"/>
    <w:rsid w:val="009E4A75"/>
    <w:rsid w:val="009E547A"/>
    <w:rsid w:val="009E5BCB"/>
    <w:rsid w:val="009F2D93"/>
    <w:rsid w:val="009F30C8"/>
    <w:rsid w:val="009F310C"/>
    <w:rsid w:val="009F4054"/>
    <w:rsid w:val="009F7EE8"/>
    <w:rsid w:val="00A008FA"/>
    <w:rsid w:val="00A00F6F"/>
    <w:rsid w:val="00A01D1D"/>
    <w:rsid w:val="00A01FDA"/>
    <w:rsid w:val="00A02F7D"/>
    <w:rsid w:val="00A030F8"/>
    <w:rsid w:val="00A03791"/>
    <w:rsid w:val="00A06657"/>
    <w:rsid w:val="00A12435"/>
    <w:rsid w:val="00A128FA"/>
    <w:rsid w:val="00A12DA0"/>
    <w:rsid w:val="00A16DFA"/>
    <w:rsid w:val="00A17493"/>
    <w:rsid w:val="00A17C0A"/>
    <w:rsid w:val="00A21834"/>
    <w:rsid w:val="00A22FA7"/>
    <w:rsid w:val="00A238D0"/>
    <w:rsid w:val="00A2674D"/>
    <w:rsid w:val="00A33919"/>
    <w:rsid w:val="00A35438"/>
    <w:rsid w:val="00A3601F"/>
    <w:rsid w:val="00A36968"/>
    <w:rsid w:val="00A37522"/>
    <w:rsid w:val="00A40298"/>
    <w:rsid w:val="00A41149"/>
    <w:rsid w:val="00A436ED"/>
    <w:rsid w:val="00A44745"/>
    <w:rsid w:val="00A44F15"/>
    <w:rsid w:val="00A45F63"/>
    <w:rsid w:val="00A46B5B"/>
    <w:rsid w:val="00A47B7B"/>
    <w:rsid w:val="00A50621"/>
    <w:rsid w:val="00A51D26"/>
    <w:rsid w:val="00A54175"/>
    <w:rsid w:val="00A56809"/>
    <w:rsid w:val="00A60D9A"/>
    <w:rsid w:val="00A61007"/>
    <w:rsid w:val="00A61E6F"/>
    <w:rsid w:val="00A6234E"/>
    <w:rsid w:val="00A63727"/>
    <w:rsid w:val="00A63A07"/>
    <w:rsid w:val="00A654A2"/>
    <w:rsid w:val="00A67183"/>
    <w:rsid w:val="00A70079"/>
    <w:rsid w:val="00A7188F"/>
    <w:rsid w:val="00A73005"/>
    <w:rsid w:val="00A76452"/>
    <w:rsid w:val="00A83736"/>
    <w:rsid w:val="00A83F5F"/>
    <w:rsid w:val="00A8423B"/>
    <w:rsid w:val="00A84DF8"/>
    <w:rsid w:val="00A86D3D"/>
    <w:rsid w:val="00A9013E"/>
    <w:rsid w:val="00A915F3"/>
    <w:rsid w:val="00A92B85"/>
    <w:rsid w:val="00A94B17"/>
    <w:rsid w:val="00A94F1F"/>
    <w:rsid w:val="00A95347"/>
    <w:rsid w:val="00A96D91"/>
    <w:rsid w:val="00AA1038"/>
    <w:rsid w:val="00AA1149"/>
    <w:rsid w:val="00AA471D"/>
    <w:rsid w:val="00AA4B1C"/>
    <w:rsid w:val="00AA6188"/>
    <w:rsid w:val="00AA69D1"/>
    <w:rsid w:val="00AA7E33"/>
    <w:rsid w:val="00AB21B0"/>
    <w:rsid w:val="00AB265E"/>
    <w:rsid w:val="00AB2948"/>
    <w:rsid w:val="00AB39FA"/>
    <w:rsid w:val="00AB3B30"/>
    <w:rsid w:val="00AB41AA"/>
    <w:rsid w:val="00AB426C"/>
    <w:rsid w:val="00AB451C"/>
    <w:rsid w:val="00AB59F2"/>
    <w:rsid w:val="00AB6D3F"/>
    <w:rsid w:val="00AC18D0"/>
    <w:rsid w:val="00AC23E2"/>
    <w:rsid w:val="00AC3E62"/>
    <w:rsid w:val="00AC5AF9"/>
    <w:rsid w:val="00AC6192"/>
    <w:rsid w:val="00AD2F03"/>
    <w:rsid w:val="00AD3D19"/>
    <w:rsid w:val="00AD57C3"/>
    <w:rsid w:val="00AD57FE"/>
    <w:rsid w:val="00AD6105"/>
    <w:rsid w:val="00AD6933"/>
    <w:rsid w:val="00AD6B7B"/>
    <w:rsid w:val="00AD73D1"/>
    <w:rsid w:val="00AD7CAB"/>
    <w:rsid w:val="00AE16C9"/>
    <w:rsid w:val="00AE2A6C"/>
    <w:rsid w:val="00AE3EF5"/>
    <w:rsid w:val="00AE4B16"/>
    <w:rsid w:val="00AE4F2A"/>
    <w:rsid w:val="00AE4FA3"/>
    <w:rsid w:val="00AE5F33"/>
    <w:rsid w:val="00AF0AD5"/>
    <w:rsid w:val="00AF0DC1"/>
    <w:rsid w:val="00AF15E6"/>
    <w:rsid w:val="00AF278A"/>
    <w:rsid w:val="00AF3AF8"/>
    <w:rsid w:val="00AF51E7"/>
    <w:rsid w:val="00AF6744"/>
    <w:rsid w:val="00B05620"/>
    <w:rsid w:val="00B05EAF"/>
    <w:rsid w:val="00B07422"/>
    <w:rsid w:val="00B07D56"/>
    <w:rsid w:val="00B07F4E"/>
    <w:rsid w:val="00B1296F"/>
    <w:rsid w:val="00B12E05"/>
    <w:rsid w:val="00B12EBE"/>
    <w:rsid w:val="00B13BDC"/>
    <w:rsid w:val="00B14FEC"/>
    <w:rsid w:val="00B15B9D"/>
    <w:rsid w:val="00B15C46"/>
    <w:rsid w:val="00B16431"/>
    <w:rsid w:val="00B166A4"/>
    <w:rsid w:val="00B21811"/>
    <w:rsid w:val="00B219B7"/>
    <w:rsid w:val="00B22517"/>
    <w:rsid w:val="00B25038"/>
    <w:rsid w:val="00B3159A"/>
    <w:rsid w:val="00B332C0"/>
    <w:rsid w:val="00B33465"/>
    <w:rsid w:val="00B35C09"/>
    <w:rsid w:val="00B35FB1"/>
    <w:rsid w:val="00B379C5"/>
    <w:rsid w:val="00B37BFD"/>
    <w:rsid w:val="00B4183F"/>
    <w:rsid w:val="00B42198"/>
    <w:rsid w:val="00B46AD2"/>
    <w:rsid w:val="00B51D0E"/>
    <w:rsid w:val="00B54B48"/>
    <w:rsid w:val="00B62CA4"/>
    <w:rsid w:val="00B64BBE"/>
    <w:rsid w:val="00B67DE1"/>
    <w:rsid w:val="00B70CC6"/>
    <w:rsid w:val="00B7259C"/>
    <w:rsid w:val="00B73894"/>
    <w:rsid w:val="00B804C0"/>
    <w:rsid w:val="00B8193F"/>
    <w:rsid w:val="00B82328"/>
    <w:rsid w:val="00B8473D"/>
    <w:rsid w:val="00B90410"/>
    <w:rsid w:val="00B90E10"/>
    <w:rsid w:val="00B964CA"/>
    <w:rsid w:val="00BA208E"/>
    <w:rsid w:val="00BA31C4"/>
    <w:rsid w:val="00BA4655"/>
    <w:rsid w:val="00BA4AB2"/>
    <w:rsid w:val="00BA78B6"/>
    <w:rsid w:val="00BA7935"/>
    <w:rsid w:val="00BB047B"/>
    <w:rsid w:val="00BB2FD5"/>
    <w:rsid w:val="00BB3FE4"/>
    <w:rsid w:val="00BB4818"/>
    <w:rsid w:val="00BB4AF3"/>
    <w:rsid w:val="00BB6398"/>
    <w:rsid w:val="00BB658E"/>
    <w:rsid w:val="00BC25EF"/>
    <w:rsid w:val="00BC269E"/>
    <w:rsid w:val="00BC2DAF"/>
    <w:rsid w:val="00BC46E7"/>
    <w:rsid w:val="00BC4FD3"/>
    <w:rsid w:val="00BC5598"/>
    <w:rsid w:val="00BC6827"/>
    <w:rsid w:val="00BC6C7A"/>
    <w:rsid w:val="00BC7D9E"/>
    <w:rsid w:val="00BD0372"/>
    <w:rsid w:val="00BD169C"/>
    <w:rsid w:val="00BD4166"/>
    <w:rsid w:val="00BD44F5"/>
    <w:rsid w:val="00BE0C0B"/>
    <w:rsid w:val="00BE415D"/>
    <w:rsid w:val="00BE4340"/>
    <w:rsid w:val="00BE5C41"/>
    <w:rsid w:val="00BE6E52"/>
    <w:rsid w:val="00BF0646"/>
    <w:rsid w:val="00BF1C32"/>
    <w:rsid w:val="00BF6DF4"/>
    <w:rsid w:val="00BF74B0"/>
    <w:rsid w:val="00BF76A6"/>
    <w:rsid w:val="00BF7A2C"/>
    <w:rsid w:val="00C01F23"/>
    <w:rsid w:val="00C044BE"/>
    <w:rsid w:val="00C04BAB"/>
    <w:rsid w:val="00C05530"/>
    <w:rsid w:val="00C05914"/>
    <w:rsid w:val="00C0607B"/>
    <w:rsid w:val="00C06DEF"/>
    <w:rsid w:val="00C075A2"/>
    <w:rsid w:val="00C106D3"/>
    <w:rsid w:val="00C107CB"/>
    <w:rsid w:val="00C118C4"/>
    <w:rsid w:val="00C11F58"/>
    <w:rsid w:val="00C120D7"/>
    <w:rsid w:val="00C132D1"/>
    <w:rsid w:val="00C139CA"/>
    <w:rsid w:val="00C13A7D"/>
    <w:rsid w:val="00C13C09"/>
    <w:rsid w:val="00C17F3C"/>
    <w:rsid w:val="00C21F79"/>
    <w:rsid w:val="00C224AF"/>
    <w:rsid w:val="00C22F5E"/>
    <w:rsid w:val="00C241A8"/>
    <w:rsid w:val="00C24ABA"/>
    <w:rsid w:val="00C24D77"/>
    <w:rsid w:val="00C264CB"/>
    <w:rsid w:val="00C27C15"/>
    <w:rsid w:val="00C30B36"/>
    <w:rsid w:val="00C31253"/>
    <w:rsid w:val="00C35129"/>
    <w:rsid w:val="00C402D5"/>
    <w:rsid w:val="00C419DB"/>
    <w:rsid w:val="00C434F0"/>
    <w:rsid w:val="00C476F1"/>
    <w:rsid w:val="00C51429"/>
    <w:rsid w:val="00C51E8F"/>
    <w:rsid w:val="00C52ADE"/>
    <w:rsid w:val="00C52FC0"/>
    <w:rsid w:val="00C53F9E"/>
    <w:rsid w:val="00C54A34"/>
    <w:rsid w:val="00C54B37"/>
    <w:rsid w:val="00C553B6"/>
    <w:rsid w:val="00C559E9"/>
    <w:rsid w:val="00C608C1"/>
    <w:rsid w:val="00C63D4E"/>
    <w:rsid w:val="00C63EA9"/>
    <w:rsid w:val="00C64048"/>
    <w:rsid w:val="00C665A0"/>
    <w:rsid w:val="00C66FDB"/>
    <w:rsid w:val="00C67595"/>
    <w:rsid w:val="00C67725"/>
    <w:rsid w:val="00C700F3"/>
    <w:rsid w:val="00C7092F"/>
    <w:rsid w:val="00C76DDA"/>
    <w:rsid w:val="00C807B3"/>
    <w:rsid w:val="00C825C9"/>
    <w:rsid w:val="00C85E4D"/>
    <w:rsid w:val="00C86CC3"/>
    <w:rsid w:val="00C901B1"/>
    <w:rsid w:val="00C90EBC"/>
    <w:rsid w:val="00C91B69"/>
    <w:rsid w:val="00C950AE"/>
    <w:rsid w:val="00CA275B"/>
    <w:rsid w:val="00CA3856"/>
    <w:rsid w:val="00CA3B07"/>
    <w:rsid w:val="00CA5A3F"/>
    <w:rsid w:val="00CA67E0"/>
    <w:rsid w:val="00CA7AD3"/>
    <w:rsid w:val="00CB0122"/>
    <w:rsid w:val="00CB0269"/>
    <w:rsid w:val="00CB0833"/>
    <w:rsid w:val="00CB0B01"/>
    <w:rsid w:val="00CB18F5"/>
    <w:rsid w:val="00CB2381"/>
    <w:rsid w:val="00CB339B"/>
    <w:rsid w:val="00CB5D27"/>
    <w:rsid w:val="00CB6309"/>
    <w:rsid w:val="00CC008E"/>
    <w:rsid w:val="00CC02ED"/>
    <w:rsid w:val="00CC1C6B"/>
    <w:rsid w:val="00CC409E"/>
    <w:rsid w:val="00CC63EB"/>
    <w:rsid w:val="00CC649F"/>
    <w:rsid w:val="00CC7CF7"/>
    <w:rsid w:val="00CD022A"/>
    <w:rsid w:val="00CD03BE"/>
    <w:rsid w:val="00CD0707"/>
    <w:rsid w:val="00CD0F89"/>
    <w:rsid w:val="00CD1A25"/>
    <w:rsid w:val="00CD1DB4"/>
    <w:rsid w:val="00CD657F"/>
    <w:rsid w:val="00CD65E7"/>
    <w:rsid w:val="00CD7BFC"/>
    <w:rsid w:val="00CE2B95"/>
    <w:rsid w:val="00CE2F1A"/>
    <w:rsid w:val="00CF1A11"/>
    <w:rsid w:val="00CF30FC"/>
    <w:rsid w:val="00CF4286"/>
    <w:rsid w:val="00CF45B7"/>
    <w:rsid w:val="00CF5437"/>
    <w:rsid w:val="00CF5CB2"/>
    <w:rsid w:val="00CF6F45"/>
    <w:rsid w:val="00D01B9F"/>
    <w:rsid w:val="00D03B38"/>
    <w:rsid w:val="00D03F87"/>
    <w:rsid w:val="00D0429A"/>
    <w:rsid w:val="00D04B55"/>
    <w:rsid w:val="00D04CD4"/>
    <w:rsid w:val="00D07174"/>
    <w:rsid w:val="00D11DC3"/>
    <w:rsid w:val="00D12095"/>
    <w:rsid w:val="00D17FE2"/>
    <w:rsid w:val="00D21AEC"/>
    <w:rsid w:val="00D223A4"/>
    <w:rsid w:val="00D22D06"/>
    <w:rsid w:val="00D24236"/>
    <w:rsid w:val="00D24772"/>
    <w:rsid w:val="00D26E91"/>
    <w:rsid w:val="00D30429"/>
    <w:rsid w:val="00D31D81"/>
    <w:rsid w:val="00D3441D"/>
    <w:rsid w:val="00D355C4"/>
    <w:rsid w:val="00D36029"/>
    <w:rsid w:val="00D3612A"/>
    <w:rsid w:val="00D37703"/>
    <w:rsid w:val="00D37DBF"/>
    <w:rsid w:val="00D37F25"/>
    <w:rsid w:val="00D41D5F"/>
    <w:rsid w:val="00D42F4F"/>
    <w:rsid w:val="00D42F7C"/>
    <w:rsid w:val="00D44141"/>
    <w:rsid w:val="00D46E93"/>
    <w:rsid w:val="00D55040"/>
    <w:rsid w:val="00D56A53"/>
    <w:rsid w:val="00D62C17"/>
    <w:rsid w:val="00D6324F"/>
    <w:rsid w:val="00D63458"/>
    <w:rsid w:val="00D66D37"/>
    <w:rsid w:val="00D67415"/>
    <w:rsid w:val="00D74E1E"/>
    <w:rsid w:val="00D750CC"/>
    <w:rsid w:val="00D758DC"/>
    <w:rsid w:val="00D84369"/>
    <w:rsid w:val="00D84C8F"/>
    <w:rsid w:val="00D873AD"/>
    <w:rsid w:val="00D9052C"/>
    <w:rsid w:val="00D90BEE"/>
    <w:rsid w:val="00D914E6"/>
    <w:rsid w:val="00D91AAC"/>
    <w:rsid w:val="00D91C06"/>
    <w:rsid w:val="00D91C9F"/>
    <w:rsid w:val="00D93FD1"/>
    <w:rsid w:val="00DA08F5"/>
    <w:rsid w:val="00DA2ADC"/>
    <w:rsid w:val="00DA2F65"/>
    <w:rsid w:val="00DA6B02"/>
    <w:rsid w:val="00DB01E2"/>
    <w:rsid w:val="00DB0764"/>
    <w:rsid w:val="00DB3506"/>
    <w:rsid w:val="00DB5928"/>
    <w:rsid w:val="00DB68B1"/>
    <w:rsid w:val="00DB7A9A"/>
    <w:rsid w:val="00DC0B2D"/>
    <w:rsid w:val="00DC3177"/>
    <w:rsid w:val="00DC3276"/>
    <w:rsid w:val="00DC5F87"/>
    <w:rsid w:val="00DC772C"/>
    <w:rsid w:val="00DD12E6"/>
    <w:rsid w:val="00DD13AB"/>
    <w:rsid w:val="00DD2841"/>
    <w:rsid w:val="00DD37D8"/>
    <w:rsid w:val="00DD4EB5"/>
    <w:rsid w:val="00DD5902"/>
    <w:rsid w:val="00DD5913"/>
    <w:rsid w:val="00DE01A4"/>
    <w:rsid w:val="00DE3E40"/>
    <w:rsid w:val="00DE4597"/>
    <w:rsid w:val="00DE480C"/>
    <w:rsid w:val="00DE643F"/>
    <w:rsid w:val="00DF19B2"/>
    <w:rsid w:val="00DF1FB5"/>
    <w:rsid w:val="00DF6840"/>
    <w:rsid w:val="00DF798B"/>
    <w:rsid w:val="00E010AB"/>
    <w:rsid w:val="00E015AD"/>
    <w:rsid w:val="00E0233F"/>
    <w:rsid w:val="00E02678"/>
    <w:rsid w:val="00E0447B"/>
    <w:rsid w:val="00E050EC"/>
    <w:rsid w:val="00E06262"/>
    <w:rsid w:val="00E0748A"/>
    <w:rsid w:val="00E128A9"/>
    <w:rsid w:val="00E143DA"/>
    <w:rsid w:val="00E14BA3"/>
    <w:rsid w:val="00E16744"/>
    <w:rsid w:val="00E170E9"/>
    <w:rsid w:val="00E230CF"/>
    <w:rsid w:val="00E2412D"/>
    <w:rsid w:val="00E25953"/>
    <w:rsid w:val="00E27F5A"/>
    <w:rsid w:val="00E32BEA"/>
    <w:rsid w:val="00E32F5B"/>
    <w:rsid w:val="00E33CD0"/>
    <w:rsid w:val="00E37215"/>
    <w:rsid w:val="00E3799F"/>
    <w:rsid w:val="00E37DA2"/>
    <w:rsid w:val="00E4121B"/>
    <w:rsid w:val="00E41EA2"/>
    <w:rsid w:val="00E426B3"/>
    <w:rsid w:val="00E42A9D"/>
    <w:rsid w:val="00E42FA4"/>
    <w:rsid w:val="00E43ACF"/>
    <w:rsid w:val="00E44978"/>
    <w:rsid w:val="00E45864"/>
    <w:rsid w:val="00E45EFE"/>
    <w:rsid w:val="00E4622C"/>
    <w:rsid w:val="00E47F40"/>
    <w:rsid w:val="00E505FB"/>
    <w:rsid w:val="00E51FFB"/>
    <w:rsid w:val="00E52DD3"/>
    <w:rsid w:val="00E5471E"/>
    <w:rsid w:val="00E558A4"/>
    <w:rsid w:val="00E576D9"/>
    <w:rsid w:val="00E57F34"/>
    <w:rsid w:val="00E60005"/>
    <w:rsid w:val="00E62A50"/>
    <w:rsid w:val="00E63957"/>
    <w:rsid w:val="00E65C76"/>
    <w:rsid w:val="00E65EA1"/>
    <w:rsid w:val="00E6605D"/>
    <w:rsid w:val="00E6611F"/>
    <w:rsid w:val="00E772BE"/>
    <w:rsid w:val="00E85282"/>
    <w:rsid w:val="00E909C4"/>
    <w:rsid w:val="00E91315"/>
    <w:rsid w:val="00E9168B"/>
    <w:rsid w:val="00E923A0"/>
    <w:rsid w:val="00E9265B"/>
    <w:rsid w:val="00E95253"/>
    <w:rsid w:val="00E978F3"/>
    <w:rsid w:val="00EA120D"/>
    <w:rsid w:val="00EA1CB1"/>
    <w:rsid w:val="00EA5C74"/>
    <w:rsid w:val="00EA6125"/>
    <w:rsid w:val="00EB4A68"/>
    <w:rsid w:val="00EB567E"/>
    <w:rsid w:val="00EC0435"/>
    <w:rsid w:val="00EC1F6D"/>
    <w:rsid w:val="00EC666C"/>
    <w:rsid w:val="00EC7180"/>
    <w:rsid w:val="00ED1D9F"/>
    <w:rsid w:val="00ED209D"/>
    <w:rsid w:val="00ED3861"/>
    <w:rsid w:val="00ED418D"/>
    <w:rsid w:val="00ED46C4"/>
    <w:rsid w:val="00ED53F9"/>
    <w:rsid w:val="00ED5F88"/>
    <w:rsid w:val="00ED664B"/>
    <w:rsid w:val="00ED7359"/>
    <w:rsid w:val="00ED7C2E"/>
    <w:rsid w:val="00EE5111"/>
    <w:rsid w:val="00EF1153"/>
    <w:rsid w:val="00EF157F"/>
    <w:rsid w:val="00EF2730"/>
    <w:rsid w:val="00EF28D7"/>
    <w:rsid w:val="00EF5B4B"/>
    <w:rsid w:val="00F01D63"/>
    <w:rsid w:val="00F03786"/>
    <w:rsid w:val="00F05E37"/>
    <w:rsid w:val="00F07131"/>
    <w:rsid w:val="00F07897"/>
    <w:rsid w:val="00F07EF7"/>
    <w:rsid w:val="00F112AC"/>
    <w:rsid w:val="00F12DB9"/>
    <w:rsid w:val="00F130AD"/>
    <w:rsid w:val="00F165F3"/>
    <w:rsid w:val="00F2002D"/>
    <w:rsid w:val="00F22093"/>
    <w:rsid w:val="00F227E8"/>
    <w:rsid w:val="00F2457B"/>
    <w:rsid w:val="00F24647"/>
    <w:rsid w:val="00F26374"/>
    <w:rsid w:val="00F26971"/>
    <w:rsid w:val="00F26A9F"/>
    <w:rsid w:val="00F26E85"/>
    <w:rsid w:val="00F30DE4"/>
    <w:rsid w:val="00F30FF0"/>
    <w:rsid w:val="00F32D17"/>
    <w:rsid w:val="00F331B5"/>
    <w:rsid w:val="00F34AF9"/>
    <w:rsid w:val="00F36502"/>
    <w:rsid w:val="00F37680"/>
    <w:rsid w:val="00F41920"/>
    <w:rsid w:val="00F4345E"/>
    <w:rsid w:val="00F45725"/>
    <w:rsid w:val="00F4572B"/>
    <w:rsid w:val="00F478C0"/>
    <w:rsid w:val="00F47B58"/>
    <w:rsid w:val="00F47BED"/>
    <w:rsid w:val="00F53521"/>
    <w:rsid w:val="00F53991"/>
    <w:rsid w:val="00F61722"/>
    <w:rsid w:val="00F617C6"/>
    <w:rsid w:val="00F6208E"/>
    <w:rsid w:val="00F64EF6"/>
    <w:rsid w:val="00F66A33"/>
    <w:rsid w:val="00F66F7C"/>
    <w:rsid w:val="00F701C1"/>
    <w:rsid w:val="00F70BA5"/>
    <w:rsid w:val="00F71818"/>
    <w:rsid w:val="00F71FDB"/>
    <w:rsid w:val="00F73842"/>
    <w:rsid w:val="00F73B39"/>
    <w:rsid w:val="00F74981"/>
    <w:rsid w:val="00F74A3C"/>
    <w:rsid w:val="00F75C04"/>
    <w:rsid w:val="00F76467"/>
    <w:rsid w:val="00F81319"/>
    <w:rsid w:val="00F854BA"/>
    <w:rsid w:val="00F90692"/>
    <w:rsid w:val="00F92BD6"/>
    <w:rsid w:val="00F949D5"/>
    <w:rsid w:val="00F95772"/>
    <w:rsid w:val="00F961FA"/>
    <w:rsid w:val="00F96728"/>
    <w:rsid w:val="00FA0C85"/>
    <w:rsid w:val="00FA0CA7"/>
    <w:rsid w:val="00FA27ED"/>
    <w:rsid w:val="00FB2CA2"/>
    <w:rsid w:val="00FB4289"/>
    <w:rsid w:val="00FC0149"/>
    <w:rsid w:val="00FC1824"/>
    <w:rsid w:val="00FC2985"/>
    <w:rsid w:val="00FC4D95"/>
    <w:rsid w:val="00FC7254"/>
    <w:rsid w:val="00FD008B"/>
    <w:rsid w:val="00FD0E0E"/>
    <w:rsid w:val="00FD12A2"/>
    <w:rsid w:val="00FD424D"/>
    <w:rsid w:val="00FD5803"/>
    <w:rsid w:val="00FD64E1"/>
    <w:rsid w:val="00FE179B"/>
    <w:rsid w:val="00FE2CF0"/>
    <w:rsid w:val="00FF0253"/>
    <w:rsid w:val="00FF0AE3"/>
    <w:rsid w:val="00FF20D4"/>
    <w:rsid w:val="00FF2AF6"/>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B5D7F74"/>
  <w15:chartTrackingRefBased/>
  <w15:docId w15:val="{D5698711-92CC-4834-958E-675ECDBE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
    <w:qFormat/>
    <w:rsid w:val="004220FB"/>
    <w:pPr>
      <w:numPr>
        <w:numId w:val="10"/>
      </w:numPr>
    </w:pPr>
    <w:rPr>
      <w:szCs w:val="24"/>
      <w:lang w:val="en-GB"/>
    </w:rPr>
  </w:style>
  <w:style w:type="character" w:customStyle="1" w:styleId="Numberedheading1Char">
    <w:name w:val="Numbered heading 1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paragraph" w:styleId="NormalWeb">
    <w:name w:val="Normal (Web)"/>
    <w:basedOn w:val="Normal"/>
    <w:uiPriority w:val="99"/>
    <w:unhideWhenUsed/>
    <w:rsid w:val="00F701C1"/>
    <w:pPr>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AF278A"/>
    <w:rPr>
      <w:color w:val="605E5C"/>
      <w:shd w:val="clear" w:color="auto" w:fill="E1DFDD"/>
    </w:rPr>
  </w:style>
  <w:style w:type="character" w:customStyle="1" w:styleId="Numberedheading1CharChar">
    <w:name w:val="Numbered heading 1 Char Char"/>
    <w:rsid w:val="004220FB"/>
    <w:rPr>
      <w:rFonts w:ascii="Arial" w:hAnsi="Arial" w:cs="Arial"/>
      <w:b/>
      <w:bCs/>
      <w:kern w:val="32"/>
      <w:sz w:val="32"/>
      <w:szCs w:val="24"/>
      <w:lang w:eastAsia="en-US"/>
    </w:rPr>
  </w:style>
  <w:style w:type="character" w:styleId="UnresolvedMention">
    <w:name w:val="Unresolved Mention"/>
    <w:basedOn w:val="DefaultParagraphFont"/>
    <w:uiPriority w:val="99"/>
    <w:semiHidden/>
    <w:unhideWhenUsed/>
    <w:rsid w:val="009E0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5735">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57760709">
      <w:bodyDiv w:val="1"/>
      <w:marLeft w:val="0"/>
      <w:marRight w:val="0"/>
      <w:marTop w:val="0"/>
      <w:marBottom w:val="0"/>
      <w:divBdr>
        <w:top w:val="none" w:sz="0" w:space="0" w:color="auto"/>
        <w:left w:val="none" w:sz="0" w:space="0" w:color="auto"/>
        <w:bottom w:val="none" w:sz="0" w:space="0" w:color="auto"/>
        <w:right w:val="none" w:sz="0" w:space="0" w:color="auto"/>
      </w:divBdr>
    </w:div>
    <w:div w:id="335576842">
      <w:bodyDiv w:val="1"/>
      <w:marLeft w:val="0"/>
      <w:marRight w:val="0"/>
      <w:marTop w:val="0"/>
      <w:marBottom w:val="0"/>
      <w:divBdr>
        <w:top w:val="none" w:sz="0" w:space="0" w:color="auto"/>
        <w:left w:val="none" w:sz="0" w:space="0" w:color="auto"/>
        <w:bottom w:val="none" w:sz="0" w:space="0" w:color="auto"/>
        <w:right w:val="none" w:sz="0" w:space="0" w:color="auto"/>
      </w:divBdr>
    </w:div>
    <w:div w:id="389228354">
      <w:bodyDiv w:val="1"/>
      <w:marLeft w:val="0"/>
      <w:marRight w:val="0"/>
      <w:marTop w:val="0"/>
      <w:marBottom w:val="0"/>
      <w:divBdr>
        <w:top w:val="none" w:sz="0" w:space="0" w:color="auto"/>
        <w:left w:val="none" w:sz="0" w:space="0" w:color="auto"/>
        <w:bottom w:val="none" w:sz="0" w:space="0" w:color="auto"/>
        <w:right w:val="none" w:sz="0" w:space="0" w:color="auto"/>
      </w:divBdr>
      <w:divsChild>
        <w:div w:id="836653990">
          <w:marLeft w:val="547"/>
          <w:marRight w:val="0"/>
          <w:marTop w:val="170"/>
          <w:marBottom w:val="0"/>
          <w:divBdr>
            <w:top w:val="none" w:sz="0" w:space="0" w:color="auto"/>
            <w:left w:val="none" w:sz="0" w:space="0" w:color="auto"/>
            <w:bottom w:val="none" w:sz="0" w:space="0" w:color="auto"/>
            <w:right w:val="none" w:sz="0" w:space="0" w:color="auto"/>
          </w:divBdr>
        </w:div>
        <w:div w:id="1110662100">
          <w:marLeft w:val="547"/>
          <w:marRight w:val="0"/>
          <w:marTop w:val="170"/>
          <w:marBottom w:val="0"/>
          <w:divBdr>
            <w:top w:val="none" w:sz="0" w:space="0" w:color="auto"/>
            <w:left w:val="none" w:sz="0" w:space="0" w:color="auto"/>
            <w:bottom w:val="none" w:sz="0" w:space="0" w:color="auto"/>
            <w:right w:val="none" w:sz="0" w:space="0" w:color="auto"/>
          </w:divBdr>
        </w:div>
        <w:div w:id="488135284">
          <w:marLeft w:val="547"/>
          <w:marRight w:val="0"/>
          <w:marTop w:val="170"/>
          <w:marBottom w:val="0"/>
          <w:divBdr>
            <w:top w:val="none" w:sz="0" w:space="0" w:color="auto"/>
            <w:left w:val="none" w:sz="0" w:space="0" w:color="auto"/>
            <w:bottom w:val="none" w:sz="0" w:space="0" w:color="auto"/>
            <w:right w:val="none" w:sz="0" w:space="0" w:color="auto"/>
          </w:divBdr>
        </w:div>
        <w:div w:id="1611355583">
          <w:marLeft w:val="547"/>
          <w:marRight w:val="0"/>
          <w:marTop w:val="170"/>
          <w:marBottom w:val="0"/>
          <w:divBdr>
            <w:top w:val="none" w:sz="0" w:space="0" w:color="auto"/>
            <w:left w:val="none" w:sz="0" w:space="0" w:color="auto"/>
            <w:bottom w:val="none" w:sz="0" w:space="0" w:color="auto"/>
            <w:right w:val="none" w:sz="0" w:space="0" w:color="auto"/>
          </w:divBdr>
        </w:div>
        <w:div w:id="524365004">
          <w:marLeft w:val="547"/>
          <w:marRight w:val="0"/>
          <w:marTop w:val="170"/>
          <w:marBottom w:val="0"/>
          <w:divBdr>
            <w:top w:val="none" w:sz="0" w:space="0" w:color="auto"/>
            <w:left w:val="none" w:sz="0" w:space="0" w:color="auto"/>
            <w:bottom w:val="none" w:sz="0" w:space="0" w:color="auto"/>
            <w:right w:val="none" w:sz="0" w:space="0" w:color="auto"/>
          </w:divBdr>
        </w:div>
      </w:divsChild>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92345342">
      <w:bodyDiv w:val="1"/>
      <w:marLeft w:val="0"/>
      <w:marRight w:val="0"/>
      <w:marTop w:val="0"/>
      <w:marBottom w:val="0"/>
      <w:divBdr>
        <w:top w:val="none" w:sz="0" w:space="0" w:color="auto"/>
        <w:left w:val="none" w:sz="0" w:space="0" w:color="auto"/>
        <w:bottom w:val="none" w:sz="0" w:space="0" w:color="auto"/>
        <w:right w:val="none" w:sz="0" w:space="0" w:color="auto"/>
      </w:divBdr>
      <w:divsChild>
        <w:div w:id="1457984978">
          <w:marLeft w:val="547"/>
          <w:marRight w:val="0"/>
          <w:marTop w:val="0"/>
          <w:marBottom w:val="0"/>
          <w:divBdr>
            <w:top w:val="none" w:sz="0" w:space="0" w:color="auto"/>
            <w:left w:val="none" w:sz="0" w:space="0" w:color="auto"/>
            <w:bottom w:val="none" w:sz="0" w:space="0" w:color="auto"/>
            <w:right w:val="none" w:sz="0" w:space="0" w:color="auto"/>
          </w:divBdr>
        </w:div>
      </w:divsChild>
    </w:div>
    <w:div w:id="955678101">
      <w:bodyDiv w:val="1"/>
      <w:marLeft w:val="0"/>
      <w:marRight w:val="0"/>
      <w:marTop w:val="0"/>
      <w:marBottom w:val="0"/>
      <w:divBdr>
        <w:top w:val="none" w:sz="0" w:space="0" w:color="auto"/>
        <w:left w:val="none" w:sz="0" w:space="0" w:color="auto"/>
        <w:bottom w:val="none" w:sz="0" w:space="0" w:color="auto"/>
        <w:right w:val="none" w:sz="0" w:space="0" w:color="auto"/>
      </w:divBdr>
    </w:div>
    <w:div w:id="1170215924">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uidance/indevelopment/gid-tag10433/documents" TargetMode="External"/><Relationship Id="rId13" Type="http://schemas.openxmlformats.org/officeDocument/2006/relationships/hyperlink" Target="https://www.nice.org.uk/Get-Involved/Meetings-in-public/Technology-appraisal-Committee/Committee-a-Memb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about/what-we-do/our-programmes/nice-guidance/nice-technology-appraisal-guidance/cancer-drugs-fun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9/chapter/the-appraisal-of-the-evidence-and-structured-decision-mak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ice.org.uk/Guidance/GID-ta10433/Documents"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et-involved/meetings-in-public/technology-appraisal-committ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Appraisals\0%20-%20Cancer\Ovarian\ID1485%20Ovarian%20-%20rucaparib%20(maintenance)\13%20-%20ACD\STA%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FEFB5-41F6-4391-BD1C-74008608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new process ACD and FAD template</Template>
  <TotalTime>11</TotalTime>
  <Pages>18</Pages>
  <Words>4856</Words>
  <Characters>29089</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33878</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Caroline Bregman</dc:creator>
  <cp:keywords/>
  <cp:lastModifiedBy>Marcia Miller</cp:lastModifiedBy>
  <cp:revision>5</cp:revision>
  <cp:lastPrinted>2019-09-26T14:52:00Z</cp:lastPrinted>
  <dcterms:created xsi:type="dcterms:W3CDTF">2019-09-25T14:14:00Z</dcterms:created>
  <dcterms:modified xsi:type="dcterms:W3CDTF">2019-09-26T14:54:00Z</dcterms:modified>
</cp:coreProperties>
</file>