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2DEE2B05" w:rsidR="00D47BA7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47BA7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7574E6" w:rsidRPr="002E18F2">
        <w:rPr>
          <w:rFonts w:ascii="Arial" w:hAnsi="Arial" w:cs="Arial"/>
          <w:b/>
          <w:bCs/>
          <w:color w:val="00506A"/>
          <w:sz w:val="28"/>
          <w:szCs w:val="28"/>
        </w:rPr>
        <w:t>B</w:t>
      </w: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BBDD77" w14:textId="53BDDE6A" w:rsidR="00A43DA6" w:rsidRDefault="00A249FC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A249FC">
        <w:rPr>
          <w:rFonts w:ascii="Arial" w:hAnsi="Arial" w:cs="Arial"/>
          <w:b/>
          <w:bCs/>
          <w:color w:val="00506A"/>
          <w:sz w:val="28"/>
          <w:szCs w:val="28"/>
        </w:rPr>
        <w:t xml:space="preserve">Dapagliflozin for treating heart failure with reduced ejection fraction </w:t>
      </w:r>
      <w:r w:rsidR="00A43DA6" w:rsidRPr="002E18F2">
        <w:rPr>
          <w:rFonts w:ascii="Arial" w:hAnsi="Arial" w:cs="Arial"/>
          <w:b/>
          <w:bCs/>
          <w:color w:val="00506A"/>
          <w:sz w:val="28"/>
          <w:szCs w:val="28"/>
        </w:rPr>
        <w:t>[ID</w:t>
      </w:r>
      <w:r w:rsidR="002E18F2" w:rsidRPr="002E18F2">
        <w:rPr>
          <w:rFonts w:ascii="Arial" w:hAnsi="Arial" w:cs="Arial"/>
          <w:b/>
          <w:bCs/>
          <w:color w:val="00506A"/>
          <w:sz w:val="28"/>
          <w:szCs w:val="28"/>
        </w:rPr>
        <w:t>1</w:t>
      </w:r>
      <w:r>
        <w:rPr>
          <w:rFonts w:ascii="Arial" w:hAnsi="Arial" w:cs="Arial"/>
          <w:b/>
          <w:bCs/>
          <w:color w:val="00506A"/>
          <w:sz w:val="28"/>
          <w:szCs w:val="28"/>
        </w:rPr>
        <w:t>656</w:t>
      </w:r>
      <w:r w:rsidR="00A43DA6" w:rsidRPr="002E18F2">
        <w:rPr>
          <w:rFonts w:ascii="Arial" w:hAnsi="Arial" w:cs="Arial"/>
          <w:b/>
          <w:bCs/>
          <w:color w:val="00506A"/>
          <w:sz w:val="28"/>
          <w:szCs w:val="28"/>
        </w:rPr>
        <w:t>]</w:t>
      </w:r>
    </w:p>
    <w:p w14:paraId="74C01AEC" w14:textId="51DAD783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47BA7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A249FC" w:rsidRPr="00A249FC">
        <w:rPr>
          <w:rFonts w:ascii="Arial" w:hAnsi="Arial" w:cs="Arial"/>
          <w:b/>
          <w:bCs/>
          <w:color w:val="00506A"/>
          <w:sz w:val="28"/>
          <w:szCs w:val="28"/>
        </w:rPr>
        <w:t>24/02/2021</w:t>
      </w:r>
    </w:p>
    <w:p w14:paraId="1C7CC411" w14:textId="77777777" w:rsidR="00D47BA7" w:rsidRDefault="00D47BA7"/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805"/>
        <w:gridCol w:w="1701"/>
        <w:gridCol w:w="3118"/>
        <w:gridCol w:w="1134"/>
        <w:gridCol w:w="1425"/>
        <w:gridCol w:w="1268"/>
        <w:gridCol w:w="2694"/>
      </w:tblGrid>
      <w:tr w:rsidR="004602D6" w:rsidRPr="009F66BF" w14:paraId="111674D1" w14:textId="77777777" w:rsidTr="00117D76">
        <w:trPr>
          <w:trHeight w:val="775"/>
        </w:trPr>
        <w:tc>
          <w:tcPr>
            <w:tcW w:w="2023" w:type="dxa"/>
          </w:tcPr>
          <w:p w14:paraId="626159D9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805" w:type="dxa"/>
          </w:tcPr>
          <w:p w14:paraId="4BC0C4D4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01" w:type="dxa"/>
          </w:tcPr>
          <w:p w14:paraId="3D4BE18B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134" w:type="dxa"/>
          </w:tcPr>
          <w:p w14:paraId="1CD048D0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39C94262" w14:textId="7D8627EE" w:rsidR="004602D6" w:rsidRPr="009F66BF" w:rsidRDefault="004602D6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425" w:type="dxa"/>
          </w:tcPr>
          <w:p w14:paraId="07D4B157" w14:textId="77777777" w:rsidR="004602D6" w:rsidRPr="004602D6" w:rsidRDefault="004602D6" w:rsidP="004602D6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7756DC64" w14:textId="5CBD8E0E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A063D5" w:rsidRPr="001978C7" w14:paraId="2CE3C464" w14:textId="77777777" w:rsidTr="00117D76">
        <w:tc>
          <w:tcPr>
            <w:tcW w:w="2023" w:type="dxa"/>
          </w:tcPr>
          <w:p w14:paraId="18166FA5" w14:textId="04C4FF81" w:rsidR="00A063D5" w:rsidRPr="00A43CD1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Mr 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t>Peter Wheatley Price</w:t>
            </w:r>
          </w:p>
          <w:p w14:paraId="4F8BAFCC" w14:textId="2DA4D21C" w:rsidR="00A063D5" w:rsidRPr="00CC4244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3CE41248" w14:textId="62CDD8B0" w:rsidR="00A063D5" w:rsidRPr="00117D76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TA Committee B Member</w:t>
            </w:r>
          </w:p>
        </w:tc>
        <w:tc>
          <w:tcPr>
            <w:tcW w:w="1701" w:type="dxa"/>
          </w:tcPr>
          <w:p w14:paraId="149E2096" w14:textId="3B4A8C10" w:rsidR="00A063D5" w:rsidRPr="00117D76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Direct – financial </w:t>
            </w:r>
          </w:p>
        </w:tc>
        <w:tc>
          <w:tcPr>
            <w:tcW w:w="3118" w:type="dxa"/>
          </w:tcPr>
          <w:p w14:paraId="39A84FB9" w14:textId="4D6CBEA7" w:rsidR="00A063D5" w:rsidRPr="00A43CD1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Mr 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t>Wheatley Price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’s employer, 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t>Takeda</w:t>
            </w:r>
            <w:r>
              <w:rPr>
                <w:rFonts w:cs="Arial"/>
                <w:b w:val="0"/>
                <w:iCs/>
                <w:sz w:val="22"/>
                <w:szCs w:val="22"/>
              </w:rPr>
              <w:t>,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sell two products listed as potential </w:t>
            </w:r>
            <w:r>
              <w:rPr>
                <w:rFonts w:cs="Arial"/>
                <w:b w:val="0"/>
                <w:iCs/>
                <w:sz w:val="22"/>
                <w:szCs w:val="22"/>
              </w:rPr>
              <w:t>comparators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: </w:t>
            </w:r>
          </w:p>
          <w:p w14:paraId="09073019" w14:textId="3920E214" w:rsidR="00A063D5" w:rsidRPr="00A43CD1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1. </w:t>
            </w:r>
            <w:proofErr w:type="spellStart"/>
            <w:r w:rsidRPr="00A43CD1">
              <w:rPr>
                <w:rFonts w:cs="Arial"/>
                <w:b w:val="0"/>
                <w:iCs/>
                <w:sz w:val="22"/>
                <w:szCs w:val="22"/>
              </w:rPr>
              <w:t>azilsartan</w:t>
            </w:r>
            <w:proofErr w:type="spellEnd"/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A43CD1">
              <w:rPr>
                <w:rFonts w:cs="Arial"/>
                <w:b w:val="0"/>
                <w:iCs/>
                <w:sz w:val="22"/>
                <w:szCs w:val="22"/>
              </w:rPr>
              <w:t>medoxomil</w:t>
            </w:r>
            <w:proofErr w:type="spellEnd"/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potassium (</w:t>
            </w:r>
            <w:r w:rsidR="008532F0">
              <w:rPr>
                <w:rFonts w:cs="Arial"/>
                <w:b w:val="0"/>
                <w:iCs/>
                <w:sz w:val="22"/>
                <w:szCs w:val="22"/>
              </w:rPr>
              <w:t>b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t>rand name EDARBI). Licenced indication: "</w:t>
            </w:r>
            <w:proofErr w:type="spellStart"/>
            <w:r w:rsidRPr="00A43CD1">
              <w:rPr>
                <w:rFonts w:cs="Arial"/>
                <w:b w:val="0"/>
                <w:iCs/>
                <w:sz w:val="22"/>
                <w:szCs w:val="22"/>
              </w:rPr>
              <w:t>Edarbi</w:t>
            </w:r>
            <w:proofErr w:type="spellEnd"/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is indicated for the treatment of essential hypertension in adults"</w:t>
            </w:r>
            <w:r>
              <w:rPr>
                <w:rFonts w:cs="Arial"/>
                <w:b w:val="0"/>
                <w:iCs/>
                <w:sz w:val="22"/>
                <w:szCs w:val="22"/>
              </w:rPr>
              <w:t>.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This is in a </w:t>
            </w:r>
            <w:proofErr w:type="spellStart"/>
            <w:r w:rsidRPr="00A43CD1">
              <w:rPr>
                <w:rFonts w:cs="Arial"/>
                <w:b w:val="0"/>
                <w:iCs/>
                <w:sz w:val="22"/>
                <w:szCs w:val="22"/>
              </w:rPr>
              <w:t>generised</w:t>
            </w:r>
            <w:proofErr w:type="spellEnd"/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</w:t>
            </w:r>
            <w:proofErr w:type="gramStart"/>
            <w:r w:rsidRPr="00A43CD1">
              <w:rPr>
                <w:rFonts w:cs="Arial"/>
                <w:b w:val="0"/>
                <w:iCs/>
                <w:sz w:val="22"/>
                <w:szCs w:val="22"/>
              </w:rPr>
              <w:t>market place</w:t>
            </w:r>
            <w:proofErr w:type="gramEnd"/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and </w:t>
            </w:r>
            <w:r>
              <w:rPr>
                <w:rFonts w:cs="Arial"/>
                <w:b w:val="0"/>
                <w:iCs/>
                <w:sz w:val="22"/>
                <w:szCs w:val="22"/>
              </w:rPr>
              <w:t>Takeda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have no promotional effort or do deals on it. </w:t>
            </w:r>
            <w:r>
              <w:rPr>
                <w:rFonts w:cs="Arial"/>
                <w:b w:val="0"/>
                <w:iCs/>
                <w:sz w:val="22"/>
                <w:szCs w:val="22"/>
              </w:rPr>
              <w:t>Sales were a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total of £55,462 in past year</w:t>
            </w:r>
            <w:r>
              <w:rPr>
                <w:rFonts w:cs="Arial"/>
                <w:b w:val="0"/>
                <w:iCs/>
                <w:sz w:val="22"/>
                <w:szCs w:val="22"/>
              </w:rPr>
              <w:t>.</w:t>
            </w:r>
          </w:p>
          <w:p w14:paraId="1154D876" w14:textId="412FD324" w:rsidR="00A063D5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2. candesartan </w:t>
            </w:r>
            <w:proofErr w:type="spellStart"/>
            <w:r w:rsidRPr="00A43CD1">
              <w:rPr>
                <w:rFonts w:cs="Arial"/>
                <w:b w:val="0"/>
                <w:iCs/>
                <w:sz w:val="22"/>
                <w:szCs w:val="22"/>
              </w:rPr>
              <w:t>cilexetil</w:t>
            </w:r>
            <w:proofErr w:type="spellEnd"/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(Brand name AMIAS). Licence indication includes: "Treatment of adult patients with heart failure and impaired left ventricular systolic function".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 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This is a </w:t>
            </w:r>
            <w:proofErr w:type="spellStart"/>
            <w:r w:rsidRPr="00A43CD1">
              <w:rPr>
                <w:rFonts w:cs="Arial"/>
                <w:b w:val="0"/>
                <w:iCs/>
                <w:sz w:val="22"/>
                <w:szCs w:val="22"/>
              </w:rPr>
              <w:t>generised</w:t>
            </w:r>
            <w:proofErr w:type="spellEnd"/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</w:t>
            </w:r>
            <w:proofErr w:type="gramStart"/>
            <w:r w:rsidRPr="00A43CD1">
              <w:rPr>
                <w:rFonts w:cs="Arial"/>
                <w:b w:val="0"/>
                <w:iCs/>
                <w:sz w:val="22"/>
                <w:szCs w:val="22"/>
              </w:rPr>
              <w:t>market</w:t>
            </w:r>
            <w:proofErr w:type="gramEnd"/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but Takeda have had </w:t>
            </w:r>
            <w:proofErr w:type="spellStart"/>
            <w:r w:rsidRPr="00A43CD1">
              <w:rPr>
                <w:rFonts w:cs="Arial"/>
                <w:b w:val="0"/>
                <w:iCs/>
                <w:sz w:val="22"/>
                <w:szCs w:val="22"/>
              </w:rPr>
              <w:t>commerical</w:t>
            </w:r>
            <w:proofErr w:type="spellEnd"/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deals in place with Boots and other 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lastRenderedPageBreak/>
              <w:t>chains to "brand equalise". Sales per month are now only £20,000 but sales for the last 12 months are £1,329,388.</w:t>
            </w:r>
          </w:p>
        </w:tc>
        <w:tc>
          <w:tcPr>
            <w:tcW w:w="1134" w:type="dxa"/>
          </w:tcPr>
          <w:p w14:paraId="7F00E2A8" w14:textId="14F56965" w:rsidR="00A063D5" w:rsidRPr="00117D76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b w:val="0"/>
                <w:iCs/>
                <w:sz w:val="22"/>
                <w:szCs w:val="22"/>
              </w:rPr>
              <w:lastRenderedPageBreak/>
              <w:t>NA</w:t>
            </w:r>
          </w:p>
        </w:tc>
        <w:tc>
          <w:tcPr>
            <w:tcW w:w="1425" w:type="dxa"/>
          </w:tcPr>
          <w:p w14:paraId="60044549" w14:textId="41DE8015" w:rsidR="00A063D5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20/10/2020</w:t>
            </w:r>
          </w:p>
        </w:tc>
        <w:tc>
          <w:tcPr>
            <w:tcW w:w="1268" w:type="dxa"/>
          </w:tcPr>
          <w:p w14:paraId="1EE2DDE9" w14:textId="131038D5" w:rsidR="00A063D5" w:rsidRPr="00117D76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0067E5B3" w14:textId="389BF940" w:rsidR="00A063D5" w:rsidRPr="00CC4244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CC4244">
              <w:rPr>
                <w:rFonts w:cs="Arial"/>
                <w:b w:val="0"/>
                <w:iCs/>
                <w:sz w:val="22"/>
                <w:szCs w:val="22"/>
              </w:rPr>
              <w:t xml:space="preserve">It was agreed that this declaration 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did not present a conflict of interest as </w:t>
            </w:r>
            <w:r w:rsidRPr="00A063D5">
              <w:rPr>
                <w:rFonts w:cs="Arial"/>
                <w:b w:val="0"/>
                <w:iCs/>
                <w:sz w:val="22"/>
                <w:szCs w:val="22"/>
              </w:rPr>
              <w:t>these drugs (being angiotensin receptor blockers) reflect standard care and dapagliflozin is in addition to standard care. Mr</w:t>
            </w:r>
            <w:r w:rsidRPr="00A43CD1">
              <w:rPr>
                <w:rFonts w:cs="Arial"/>
                <w:b w:val="0"/>
                <w:iCs/>
                <w:sz w:val="22"/>
                <w:szCs w:val="22"/>
              </w:rPr>
              <w:t xml:space="preserve"> Wheatley Price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 participated in this section of the meeting. </w:t>
            </w:r>
            <w:r>
              <w:t xml:space="preserve"> </w:t>
            </w:r>
          </w:p>
        </w:tc>
      </w:tr>
      <w:tr w:rsidR="00A063D5" w:rsidRPr="001978C7" w14:paraId="4BD28135" w14:textId="77777777" w:rsidTr="00117D76">
        <w:tc>
          <w:tcPr>
            <w:tcW w:w="2023" w:type="dxa"/>
          </w:tcPr>
          <w:p w14:paraId="476384EC" w14:textId="2EFDB31A" w:rsidR="00A063D5" w:rsidRPr="00CC4244" w:rsidRDefault="00A063D5" w:rsidP="00A063D5">
            <w:pPr>
              <w:pStyle w:val="Title"/>
              <w:tabs>
                <w:tab w:val="center" w:pos="903"/>
                <w:tab w:val="right" w:pos="1807"/>
              </w:tabs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Dr </w:t>
            </w:r>
            <w:r w:rsidRPr="00A063D5">
              <w:rPr>
                <w:rFonts w:cs="Arial"/>
                <w:b w:val="0"/>
                <w:iCs/>
                <w:sz w:val="22"/>
                <w:szCs w:val="22"/>
              </w:rPr>
              <w:t>Rhiannon Owen</w:t>
            </w:r>
          </w:p>
        </w:tc>
        <w:tc>
          <w:tcPr>
            <w:tcW w:w="1805" w:type="dxa"/>
          </w:tcPr>
          <w:p w14:paraId="4FEF3F34" w14:textId="0064008B" w:rsidR="00A063D5" w:rsidRPr="00117D76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TA Committee B Member</w:t>
            </w:r>
          </w:p>
        </w:tc>
        <w:tc>
          <w:tcPr>
            <w:tcW w:w="1701" w:type="dxa"/>
          </w:tcPr>
          <w:p w14:paraId="28589631" w14:textId="702A076E" w:rsidR="00A063D5" w:rsidRPr="00117D76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Direct – financial </w:t>
            </w:r>
          </w:p>
        </w:tc>
        <w:tc>
          <w:tcPr>
            <w:tcW w:w="3118" w:type="dxa"/>
          </w:tcPr>
          <w:p w14:paraId="6986A9A5" w14:textId="6C1E4DC2" w:rsidR="00A063D5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A</w:t>
            </w:r>
            <w:r w:rsidRPr="00A063D5">
              <w:rPr>
                <w:rFonts w:cs="Arial"/>
                <w:b w:val="0"/>
                <w:iCs/>
                <w:sz w:val="22"/>
                <w:szCs w:val="22"/>
              </w:rPr>
              <w:t xml:space="preserve">cted as a paid consultant for Daiichi Sankyo offering statistical advice on a network meta-analysis of direct acting oral-anticoagulants for the prevention of stroke in atrial fibrillation. </w:t>
            </w:r>
          </w:p>
        </w:tc>
        <w:tc>
          <w:tcPr>
            <w:tcW w:w="1134" w:type="dxa"/>
          </w:tcPr>
          <w:p w14:paraId="6E270298" w14:textId="25D90E8F" w:rsidR="00A063D5" w:rsidRPr="00117D76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699B7162" w14:textId="2ED2E816" w:rsidR="00A063D5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29/10/2020</w:t>
            </w:r>
          </w:p>
        </w:tc>
        <w:tc>
          <w:tcPr>
            <w:tcW w:w="1268" w:type="dxa"/>
          </w:tcPr>
          <w:p w14:paraId="0B59B9A9" w14:textId="706107DC" w:rsidR="00A063D5" w:rsidRPr="00117D76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0C3441F1" w14:textId="36213744" w:rsidR="00A063D5" w:rsidRPr="00CC4244" w:rsidRDefault="00920821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CC4244">
              <w:rPr>
                <w:rFonts w:cs="Arial"/>
                <w:b w:val="0"/>
                <w:iCs/>
                <w:sz w:val="22"/>
                <w:szCs w:val="22"/>
              </w:rPr>
              <w:t xml:space="preserve">It was agreed that this declaration would not prevent Dr </w:t>
            </w:r>
            <w:r>
              <w:rPr>
                <w:rFonts w:cs="Arial"/>
                <w:b w:val="0"/>
                <w:iCs/>
                <w:sz w:val="22"/>
                <w:szCs w:val="22"/>
              </w:rPr>
              <w:t>Owen</w:t>
            </w:r>
            <w:r w:rsidRPr="00CC4244">
              <w:rPr>
                <w:rFonts w:cs="Arial"/>
                <w:b w:val="0"/>
                <w:iCs/>
                <w:sz w:val="22"/>
                <w:szCs w:val="22"/>
              </w:rPr>
              <w:t xml:space="preserve"> </w:t>
            </w:r>
            <w:r w:rsidRPr="00117D76">
              <w:rPr>
                <w:rFonts w:cs="Arial"/>
                <w:b w:val="0"/>
                <w:iCs/>
                <w:sz w:val="22"/>
                <w:szCs w:val="22"/>
              </w:rPr>
              <w:t xml:space="preserve">from 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participating in this section of the meeting. </w:t>
            </w:r>
          </w:p>
        </w:tc>
      </w:tr>
      <w:tr w:rsidR="00A063D5" w:rsidRPr="001978C7" w14:paraId="5BD34DE1" w14:textId="77777777" w:rsidTr="00117D76">
        <w:tc>
          <w:tcPr>
            <w:tcW w:w="2023" w:type="dxa"/>
          </w:tcPr>
          <w:p w14:paraId="17C39BFA" w14:textId="7679416B" w:rsidR="00A063D5" w:rsidRPr="00117D76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CC4244">
              <w:rPr>
                <w:rFonts w:cs="Arial"/>
                <w:b w:val="0"/>
                <w:iCs/>
                <w:sz w:val="22"/>
                <w:szCs w:val="22"/>
              </w:rPr>
              <w:t>Dr Klaus Witte</w:t>
            </w:r>
          </w:p>
        </w:tc>
        <w:tc>
          <w:tcPr>
            <w:tcW w:w="1805" w:type="dxa"/>
          </w:tcPr>
          <w:p w14:paraId="46439073" w14:textId="7D503AE4" w:rsidR="00A063D5" w:rsidRPr="00117D76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rFonts w:cs="Arial"/>
                <w:b w:val="0"/>
                <w:iCs/>
                <w:sz w:val="22"/>
                <w:szCs w:val="22"/>
              </w:rPr>
              <w:t xml:space="preserve">Clinical Expert </w:t>
            </w:r>
          </w:p>
        </w:tc>
        <w:tc>
          <w:tcPr>
            <w:tcW w:w="1701" w:type="dxa"/>
          </w:tcPr>
          <w:p w14:paraId="29096252" w14:textId="27F0B764" w:rsidR="00A063D5" w:rsidRPr="00117D76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3118" w:type="dxa"/>
          </w:tcPr>
          <w:p w14:paraId="0DAB4BC6" w14:textId="77777777" w:rsidR="00A063D5" w:rsidRDefault="00A063D5" w:rsidP="00A063D5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P</w:t>
            </w:r>
            <w:r w:rsidRPr="00F2379D">
              <w:rPr>
                <w:rFonts w:cs="Arial"/>
                <w:b w:val="0"/>
                <w:iCs/>
                <w:sz w:val="22"/>
                <w:szCs w:val="22"/>
              </w:rPr>
              <w:t xml:space="preserve">rovided consulting advice 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to AstraZeneca </w:t>
            </w:r>
            <w:r w:rsidRPr="00F2379D">
              <w:rPr>
                <w:rFonts w:cs="Arial"/>
                <w:b w:val="0"/>
                <w:iCs/>
                <w:sz w:val="22"/>
                <w:szCs w:val="22"/>
              </w:rPr>
              <w:t xml:space="preserve">on how and when the agent would be used in primary and secondary care during meetings at conferences and advisory boards. </w:t>
            </w:r>
          </w:p>
          <w:p w14:paraId="680DB5C2" w14:textId="69301C32" w:rsidR="00A063D5" w:rsidRPr="00117D76" w:rsidRDefault="00A063D5" w:rsidP="00A063D5">
            <w:pPr>
              <w:pStyle w:val="Title"/>
            </w:pPr>
            <w:r>
              <w:rPr>
                <w:rFonts w:cs="Arial"/>
                <w:b w:val="0"/>
                <w:iCs/>
                <w:sz w:val="22"/>
                <w:szCs w:val="22"/>
              </w:rPr>
              <w:t>P</w:t>
            </w:r>
            <w:r w:rsidRPr="00F2379D">
              <w:rPr>
                <w:rFonts w:cs="Arial"/>
                <w:b w:val="0"/>
                <w:iCs/>
                <w:sz w:val="22"/>
                <w:szCs w:val="22"/>
              </w:rPr>
              <w:t>articipated in one advisory board (20th Jan 2020) to discuss how dapagliflo</w:t>
            </w:r>
            <w:r>
              <w:rPr>
                <w:rFonts w:cs="Arial"/>
                <w:b w:val="0"/>
                <w:iCs/>
                <w:sz w:val="22"/>
                <w:szCs w:val="22"/>
              </w:rPr>
              <w:t>z</w:t>
            </w:r>
            <w:r w:rsidRPr="00F2379D">
              <w:rPr>
                <w:rFonts w:cs="Arial"/>
                <w:b w:val="0"/>
                <w:iCs/>
                <w:sz w:val="22"/>
                <w:szCs w:val="22"/>
              </w:rPr>
              <w:t>in would fit into the existing pathway for the management of heart failure</w:t>
            </w:r>
          </w:p>
        </w:tc>
        <w:tc>
          <w:tcPr>
            <w:tcW w:w="1134" w:type="dxa"/>
          </w:tcPr>
          <w:p w14:paraId="7102C8BD" w14:textId="63A48BDF" w:rsidR="00A063D5" w:rsidRPr="00117D76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12DBDEC4" w14:textId="4E5601F2" w:rsidR="00A063D5" w:rsidRPr="00117D76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14/04/2020</w:t>
            </w:r>
          </w:p>
        </w:tc>
        <w:tc>
          <w:tcPr>
            <w:tcW w:w="1268" w:type="dxa"/>
          </w:tcPr>
          <w:p w14:paraId="17FDD275" w14:textId="01C66D8D" w:rsidR="00A063D5" w:rsidRPr="00117D76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7F7F9064" w14:textId="6B9A6C54" w:rsidR="00A063D5" w:rsidRPr="00117D76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CC4244">
              <w:rPr>
                <w:rFonts w:cs="Arial"/>
                <w:b w:val="0"/>
                <w:iCs/>
                <w:sz w:val="22"/>
                <w:szCs w:val="22"/>
              </w:rPr>
              <w:t xml:space="preserve">It was agreed that this declaration would not prevent Dr Witte </w:t>
            </w:r>
            <w:r w:rsidRPr="00117D76">
              <w:rPr>
                <w:rFonts w:cs="Arial"/>
                <w:b w:val="0"/>
                <w:iCs/>
                <w:sz w:val="22"/>
                <w:szCs w:val="22"/>
              </w:rPr>
              <w:t>from providing expert advice to the committee.</w:t>
            </w:r>
          </w:p>
        </w:tc>
      </w:tr>
      <w:tr w:rsidR="00A063D5" w14:paraId="57CAFC58" w14:textId="77777777" w:rsidTr="00117D76">
        <w:tc>
          <w:tcPr>
            <w:tcW w:w="2023" w:type="dxa"/>
          </w:tcPr>
          <w:p w14:paraId="545F8CD3" w14:textId="0AF8A6B7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CC4244">
              <w:rPr>
                <w:rFonts w:cs="Arial"/>
                <w:b w:val="0"/>
                <w:iCs/>
                <w:sz w:val="22"/>
                <w:szCs w:val="22"/>
              </w:rPr>
              <w:t>Dr Klaus Witte</w:t>
            </w:r>
          </w:p>
        </w:tc>
        <w:tc>
          <w:tcPr>
            <w:tcW w:w="1805" w:type="dxa"/>
          </w:tcPr>
          <w:p w14:paraId="70AA5D8E" w14:textId="6CA3D6B5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rFonts w:cs="Arial"/>
                <w:b w:val="0"/>
                <w:iCs/>
                <w:sz w:val="22"/>
                <w:szCs w:val="22"/>
              </w:rPr>
              <w:t xml:space="preserve">Clinical Expert </w:t>
            </w:r>
          </w:p>
        </w:tc>
        <w:tc>
          <w:tcPr>
            <w:tcW w:w="1701" w:type="dxa"/>
          </w:tcPr>
          <w:p w14:paraId="52D407CC" w14:textId="6470D09E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3118" w:type="dxa"/>
          </w:tcPr>
          <w:p w14:paraId="1E7CEFC5" w14:textId="77777777" w:rsidR="00A063D5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O</w:t>
            </w:r>
            <w:r w:rsidRPr="00F2379D">
              <w:rPr>
                <w:b w:val="0"/>
                <w:iCs/>
                <w:sz w:val="22"/>
                <w:szCs w:val="22"/>
              </w:rPr>
              <w:t xml:space="preserve">ut of hours generic primary care discussions on the optimal management of diabetes (not heart failure) for which he received an </w:t>
            </w:r>
            <w:r w:rsidRPr="00F2379D">
              <w:rPr>
                <w:b w:val="0"/>
                <w:iCs/>
                <w:sz w:val="22"/>
                <w:szCs w:val="22"/>
              </w:rPr>
              <w:lastRenderedPageBreak/>
              <w:t>honorarium in September 2019</w:t>
            </w:r>
            <w:r>
              <w:rPr>
                <w:b w:val="0"/>
                <w:iCs/>
                <w:sz w:val="22"/>
                <w:szCs w:val="22"/>
              </w:rPr>
              <w:t>,</w:t>
            </w:r>
            <w:r w:rsidRPr="00F2379D">
              <w:rPr>
                <w:b w:val="0"/>
                <w:iCs/>
                <w:sz w:val="22"/>
                <w:szCs w:val="22"/>
              </w:rPr>
              <w:t xml:space="preserve"> November 2019, January </w:t>
            </w:r>
            <w:proofErr w:type="gramStart"/>
            <w:r w:rsidRPr="00F2379D">
              <w:rPr>
                <w:b w:val="0"/>
                <w:iCs/>
                <w:sz w:val="22"/>
                <w:szCs w:val="22"/>
              </w:rPr>
              <w:t>2020</w:t>
            </w:r>
            <w:proofErr w:type="gramEnd"/>
            <w:r w:rsidRPr="00F2379D">
              <w:rPr>
                <w:b w:val="0"/>
                <w:iCs/>
                <w:sz w:val="22"/>
                <w:szCs w:val="22"/>
              </w:rPr>
              <w:t xml:space="preserve"> and February 2020.</w:t>
            </w:r>
          </w:p>
          <w:p w14:paraId="4CA45437" w14:textId="56CA3508" w:rsidR="00A063D5" w:rsidRPr="00F2379D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Paid involvement in other </w:t>
            </w:r>
            <w:r w:rsidRPr="00F2379D">
              <w:rPr>
                <w:b w:val="0"/>
                <w:iCs/>
                <w:sz w:val="22"/>
                <w:szCs w:val="22"/>
              </w:rPr>
              <w:t>non-promotional educational meetings</w:t>
            </w:r>
            <w:r>
              <w:rPr>
                <w:b w:val="0"/>
                <w:iCs/>
                <w:sz w:val="22"/>
                <w:szCs w:val="22"/>
              </w:rPr>
              <w:t xml:space="preserve"> including:</w:t>
            </w:r>
            <w:r w:rsidRPr="00F2379D">
              <w:rPr>
                <w:b w:val="0"/>
                <w:iCs/>
                <w:sz w:val="22"/>
                <w:szCs w:val="22"/>
              </w:rPr>
              <w:t xml:space="preserve"> </w:t>
            </w:r>
          </w:p>
          <w:p w14:paraId="573F9380" w14:textId="77777777" w:rsidR="00A063D5" w:rsidRPr="00F2379D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F2379D">
              <w:rPr>
                <w:b w:val="0"/>
                <w:iCs/>
                <w:sz w:val="22"/>
                <w:szCs w:val="22"/>
              </w:rPr>
              <w:t xml:space="preserve">1st Sept 2019 (European Society of Cardiology invited talk) – </w:t>
            </w:r>
            <w:proofErr w:type="spellStart"/>
            <w:r w:rsidRPr="00F2379D">
              <w:rPr>
                <w:b w:val="0"/>
                <w:iCs/>
                <w:sz w:val="22"/>
                <w:szCs w:val="22"/>
              </w:rPr>
              <w:t>Sacubatril</w:t>
            </w:r>
            <w:proofErr w:type="spellEnd"/>
            <w:r w:rsidRPr="00F2379D">
              <w:rPr>
                <w:b w:val="0"/>
                <w:iCs/>
                <w:sz w:val="22"/>
                <w:szCs w:val="22"/>
              </w:rPr>
              <w:t>/valsartan (supported by Novartis)</w:t>
            </w:r>
          </w:p>
          <w:p w14:paraId="3D0A8751" w14:textId="77777777" w:rsidR="00A063D5" w:rsidRPr="00F2379D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F2379D">
              <w:rPr>
                <w:b w:val="0"/>
                <w:iCs/>
                <w:sz w:val="22"/>
                <w:szCs w:val="22"/>
              </w:rPr>
              <w:t>1st Sept 2019 (European Society of Cardiology invited talk) - Rivaroxaban (supported by Bayer)</w:t>
            </w:r>
          </w:p>
          <w:p w14:paraId="57F604E4" w14:textId="77777777" w:rsidR="00A063D5" w:rsidRPr="00F2379D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F2379D">
              <w:rPr>
                <w:b w:val="0"/>
                <w:iCs/>
                <w:sz w:val="22"/>
                <w:szCs w:val="22"/>
              </w:rPr>
              <w:t>4th March 2020 – diabetes management (Pfizer/BMS)</w:t>
            </w:r>
          </w:p>
          <w:p w14:paraId="2B3BF6A6" w14:textId="21D101C8" w:rsidR="00A063D5" w:rsidRPr="00CC223C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F2379D">
              <w:rPr>
                <w:b w:val="0"/>
                <w:iCs/>
                <w:sz w:val="22"/>
                <w:szCs w:val="22"/>
              </w:rPr>
              <w:t xml:space="preserve">Participated in </w:t>
            </w:r>
            <w:r>
              <w:rPr>
                <w:b w:val="0"/>
                <w:iCs/>
                <w:sz w:val="22"/>
                <w:szCs w:val="22"/>
              </w:rPr>
              <w:t>e</w:t>
            </w:r>
            <w:r w:rsidRPr="00F2379D">
              <w:rPr>
                <w:b w:val="0"/>
                <w:iCs/>
                <w:sz w:val="22"/>
                <w:szCs w:val="22"/>
              </w:rPr>
              <w:t>ducational activities</w:t>
            </w:r>
            <w:r>
              <w:rPr>
                <w:b w:val="0"/>
                <w:iCs/>
                <w:sz w:val="22"/>
                <w:szCs w:val="22"/>
              </w:rPr>
              <w:t>;</w:t>
            </w:r>
            <w:r w:rsidRPr="00F2379D">
              <w:rPr>
                <w:b w:val="0"/>
                <w:iCs/>
                <w:sz w:val="22"/>
                <w:szCs w:val="22"/>
              </w:rPr>
              <w:t xml:space="preserve"> a primary school education video and classroom teaching in October</w:t>
            </w:r>
            <w:r>
              <w:rPr>
                <w:b w:val="0"/>
                <w:iCs/>
                <w:sz w:val="22"/>
                <w:szCs w:val="22"/>
              </w:rPr>
              <w:t xml:space="preserve"> and </w:t>
            </w:r>
            <w:r w:rsidRPr="00F2379D">
              <w:rPr>
                <w:b w:val="0"/>
                <w:iCs/>
                <w:sz w:val="22"/>
                <w:szCs w:val="22"/>
              </w:rPr>
              <w:t xml:space="preserve">November 2019. The activities were paid for by Bayer. </w:t>
            </w:r>
          </w:p>
        </w:tc>
        <w:tc>
          <w:tcPr>
            <w:tcW w:w="1134" w:type="dxa"/>
          </w:tcPr>
          <w:p w14:paraId="36721A78" w14:textId="3DE39EA7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b w:val="0"/>
                <w:iCs/>
                <w:sz w:val="22"/>
                <w:szCs w:val="22"/>
              </w:rPr>
              <w:lastRenderedPageBreak/>
              <w:t>NA</w:t>
            </w:r>
          </w:p>
        </w:tc>
        <w:tc>
          <w:tcPr>
            <w:tcW w:w="1425" w:type="dxa"/>
          </w:tcPr>
          <w:p w14:paraId="526E311A" w14:textId="0A257490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12/11/2020</w:t>
            </w:r>
          </w:p>
        </w:tc>
        <w:tc>
          <w:tcPr>
            <w:tcW w:w="1268" w:type="dxa"/>
          </w:tcPr>
          <w:p w14:paraId="685EA588" w14:textId="604A5258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1201529D" w14:textId="7127AE02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117D76">
              <w:rPr>
                <w:rFonts w:cs="Arial"/>
                <w:b w:val="0"/>
                <w:iCs/>
                <w:sz w:val="22"/>
                <w:szCs w:val="22"/>
              </w:rPr>
              <w:t xml:space="preserve">It was agreed that these declarations would not prevent </w:t>
            </w:r>
            <w:r w:rsidRPr="00CC4244">
              <w:rPr>
                <w:rFonts w:cs="Arial"/>
                <w:b w:val="0"/>
                <w:iCs/>
                <w:sz w:val="22"/>
                <w:szCs w:val="22"/>
              </w:rPr>
              <w:t xml:space="preserve">Dr Witte </w:t>
            </w:r>
            <w:r w:rsidRPr="00117D76">
              <w:rPr>
                <w:rFonts w:cs="Arial"/>
                <w:b w:val="0"/>
                <w:iCs/>
                <w:sz w:val="22"/>
                <w:szCs w:val="22"/>
              </w:rPr>
              <w:t>from providing expert advice to the committee.</w:t>
            </w:r>
          </w:p>
        </w:tc>
      </w:tr>
      <w:tr w:rsidR="00A063D5" w14:paraId="113840F9" w14:textId="77777777" w:rsidTr="00117D76">
        <w:tc>
          <w:tcPr>
            <w:tcW w:w="2023" w:type="dxa"/>
          </w:tcPr>
          <w:p w14:paraId="213F955C" w14:textId="350007DC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CC223C">
              <w:rPr>
                <w:b w:val="0"/>
                <w:iCs/>
                <w:sz w:val="22"/>
                <w:szCs w:val="22"/>
              </w:rPr>
              <w:t>Mr Nick Hartshorne-Evans</w:t>
            </w:r>
          </w:p>
        </w:tc>
        <w:tc>
          <w:tcPr>
            <w:tcW w:w="1805" w:type="dxa"/>
          </w:tcPr>
          <w:p w14:paraId="1F51B8A6" w14:textId="1DC92BC8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Patient Expert</w:t>
            </w:r>
          </w:p>
        </w:tc>
        <w:tc>
          <w:tcPr>
            <w:tcW w:w="1701" w:type="dxa"/>
          </w:tcPr>
          <w:p w14:paraId="1D25840F" w14:textId="1A65573C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D</w:t>
            </w:r>
            <w:r w:rsidRPr="00CC223C">
              <w:rPr>
                <w:b w:val="0"/>
                <w:iCs/>
                <w:sz w:val="22"/>
                <w:szCs w:val="22"/>
              </w:rPr>
              <w:t>irect non-financial interest</w:t>
            </w:r>
          </w:p>
        </w:tc>
        <w:tc>
          <w:tcPr>
            <w:tcW w:w="3118" w:type="dxa"/>
          </w:tcPr>
          <w:p w14:paraId="4347FF6D" w14:textId="05106501" w:rsidR="00A063D5" w:rsidRPr="00955EC5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S</w:t>
            </w:r>
            <w:r w:rsidRPr="00CC223C">
              <w:rPr>
                <w:b w:val="0"/>
                <w:iCs/>
                <w:sz w:val="22"/>
                <w:szCs w:val="22"/>
              </w:rPr>
              <w:t xml:space="preserve">peaker at </w:t>
            </w:r>
            <w:r>
              <w:rPr>
                <w:b w:val="0"/>
                <w:iCs/>
                <w:sz w:val="22"/>
                <w:szCs w:val="22"/>
              </w:rPr>
              <w:t>a</w:t>
            </w:r>
            <w:r w:rsidRPr="00CC223C">
              <w:rPr>
                <w:b w:val="0"/>
                <w:iCs/>
                <w:sz w:val="22"/>
                <w:szCs w:val="22"/>
              </w:rPr>
              <w:t xml:space="preserve"> ‘hackathon’ </w:t>
            </w:r>
            <w:r>
              <w:rPr>
                <w:b w:val="0"/>
                <w:iCs/>
                <w:sz w:val="22"/>
                <w:szCs w:val="22"/>
              </w:rPr>
              <w:t xml:space="preserve">- </w:t>
            </w:r>
            <w:r w:rsidRPr="00CC223C">
              <w:rPr>
                <w:b w:val="0"/>
                <w:iCs/>
                <w:sz w:val="22"/>
                <w:szCs w:val="22"/>
              </w:rPr>
              <w:t>the monies received went to the Pumping Marvellous charity and not Nick himself.</w:t>
            </w:r>
          </w:p>
        </w:tc>
        <w:tc>
          <w:tcPr>
            <w:tcW w:w="1134" w:type="dxa"/>
          </w:tcPr>
          <w:p w14:paraId="3C1ED97B" w14:textId="37D6C92E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1425" w:type="dxa"/>
          </w:tcPr>
          <w:p w14:paraId="068A1835" w14:textId="246AE3ED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268" w:type="dxa"/>
          </w:tcPr>
          <w:p w14:paraId="7ACF5888" w14:textId="19BE53A5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NA</w:t>
            </w:r>
          </w:p>
        </w:tc>
        <w:tc>
          <w:tcPr>
            <w:tcW w:w="2694" w:type="dxa"/>
          </w:tcPr>
          <w:p w14:paraId="7F844AD8" w14:textId="4907620C" w:rsidR="00A063D5" w:rsidRPr="00961C9E" w:rsidRDefault="00A063D5" w:rsidP="00A063D5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F53B7A">
              <w:rPr>
                <w:b w:val="0"/>
                <w:iCs/>
                <w:sz w:val="22"/>
                <w:szCs w:val="22"/>
              </w:rPr>
              <w:t>It was agreed that this declaration did not prevent M</w:t>
            </w:r>
            <w:r>
              <w:rPr>
                <w:b w:val="0"/>
                <w:iCs/>
                <w:sz w:val="22"/>
                <w:szCs w:val="22"/>
              </w:rPr>
              <w:t>r</w:t>
            </w:r>
            <w:r w:rsidRPr="00CC223C">
              <w:rPr>
                <w:b w:val="0"/>
                <w:iCs/>
                <w:sz w:val="22"/>
                <w:szCs w:val="22"/>
              </w:rPr>
              <w:t xml:space="preserve"> Hartshorne-Evans</w:t>
            </w:r>
            <w:r w:rsidRPr="00F53B7A">
              <w:rPr>
                <w:b w:val="0"/>
                <w:iCs/>
                <w:sz w:val="22"/>
                <w:szCs w:val="22"/>
              </w:rPr>
              <w:t xml:space="preserve"> from providing expert advice to the committee.</w:t>
            </w:r>
          </w:p>
        </w:tc>
      </w:tr>
    </w:tbl>
    <w:p w14:paraId="54EBEC84" w14:textId="55BE71D5" w:rsidR="001A077E" w:rsidRPr="001A077E" w:rsidRDefault="001A077E" w:rsidP="001A077E">
      <w:pPr>
        <w:tabs>
          <w:tab w:val="left" w:pos="3231"/>
        </w:tabs>
      </w:pPr>
    </w:p>
    <w:sectPr w:rsidR="001A077E" w:rsidRPr="001A077E" w:rsidSect="00981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1EDB" w14:textId="77777777" w:rsidR="002E18F2" w:rsidRDefault="002E1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79E7E6FC" w:rsidR="00446BEE" w:rsidRDefault="0005185C" w:rsidP="009F66BF">
    <w:pPr>
      <w:pStyle w:val="Footer"/>
      <w:ind w:hanging="567"/>
    </w:pPr>
    <w:r>
      <w:t>Technology</w:t>
    </w:r>
    <w:r w:rsidR="009F66BF">
      <w:t xml:space="preserve"> advisory committee</w:t>
    </w:r>
    <w:r>
      <w:t xml:space="preserve"> </w:t>
    </w:r>
    <w:r w:rsidR="007574E6" w:rsidRPr="002E18F2">
      <w:t>B</w:t>
    </w:r>
    <w:r w:rsidR="00D47BA7">
      <w:t xml:space="preserve"> – interests register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r w:rsidR="00373AB3">
      <w:fldChar w:fldCharType="begin"/>
    </w:r>
    <w:r w:rsidR="00373AB3">
      <w:instrText xml:space="preserve"> NUMPAGES  </w:instrText>
    </w:r>
    <w:r w:rsidR="00373AB3">
      <w:fldChar w:fldCharType="separate"/>
    </w:r>
    <w:r w:rsidR="001946BB">
      <w:rPr>
        <w:noProof/>
      </w:rPr>
      <w:t>2</w:t>
    </w:r>
    <w:r w:rsidR="00373AB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10DC" w14:textId="77777777" w:rsidR="002E18F2" w:rsidRDefault="002E1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3587" w14:textId="77777777" w:rsidR="002E18F2" w:rsidRDefault="002E1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96749" w14:textId="77777777" w:rsidR="002E18F2" w:rsidRDefault="002E1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35B4F"/>
    <w:rsid w:val="000472DC"/>
    <w:rsid w:val="0005185C"/>
    <w:rsid w:val="00070065"/>
    <w:rsid w:val="000A4FEE"/>
    <w:rsid w:val="000B5102"/>
    <w:rsid w:val="000B5939"/>
    <w:rsid w:val="00111CCE"/>
    <w:rsid w:val="001134E7"/>
    <w:rsid w:val="00117D76"/>
    <w:rsid w:val="0017149E"/>
    <w:rsid w:val="0017169E"/>
    <w:rsid w:val="001811A9"/>
    <w:rsid w:val="00181A4A"/>
    <w:rsid w:val="001946BB"/>
    <w:rsid w:val="0019492D"/>
    <w:rsid w:val="001978C7"/>
    <w:rsid w:val="001A077E"/>
    <w:rsid w:val="001B0EE9"/>
    <w:rsid w:val="001B65B3"/>
    <w:rsid w:val="002029A6"/>
    <w:rsid w:val="0022538A"/>
    <w:rsid w:val="002408EA"/>
    <w:rsid w:val="002819D7"/>
    <w:rsid w:val="002C1A7E"/>
    <w:rsid w:val="002D3376"/>
    <w:rsid w:val="002E18F2"/>
    <w:rsid w:val="00311ED0"/>
    <w:rsid w:val="003404D8"/>
    <w:rsid w:val="00360316"/>
    <w:rsid w:val="003648C5"/>
    <w:rsid w:val="003722FA"/>
    <w:rsid w:val="00373AB3"/>
    <w:rsid w:val="003C7AAF"/>
    <w:rsid w:val="004075B6"/>
    <w:rsid w:val="00420952"/>
    <w:rsid w:val="004327C3"/>
    <w:rsid w:val="00433EFF"/>
    <w:rsid w:val="00443081"/>
    <w:rsid w:val="00446BEE"/>
    <w:rsid w:val="004602D6"/>
    <w:rsid w:val="00465986"/>
    <w:rsid w:val="004A2D1D"/>
    <w:rsid w:val="004B7459"/>
    <w:rsid w:val="004E3A84"/>
    <w:rsid w:val="005025A1"/>
    <w:rsid w:val="00557456"/>
    <w:rsid w:val="006921E1"/>
    <w:rsid w:val="006A3196"/>
    <w:rsid w:val="006F4B25"/>
    <w:rsid w:val="006F6496"/>
    <w:rsid w:val="00736348"/>
    <w:rsid w:val="007574E6"/>
    <w:rsid w:val="00760908"/>
    <w:rsid w:val="007F238D"/>
    <w:rsid w:val="008532F0"/>
    <w:rsid w:val="00861B92"/>
    <w:rsid w:val="008814FB"/>
    <w:rsid w:val="008F5E30"/>
    <w:rsid w:val="00914D7F"/>
    <w:rsid w:val="00920821"/>
    <w:rsid w:val="00955EC5"/>
    <w:rsid w:val="00961C9E"/>
    <w:rsid w:val="009813A0"/>
    <w:rsid w:val="009C1F2B"/>
    <w:rsid w:val="009E680B"/>
    <w:rsid w:val="009F66BF"/>
    <w:rsid w:val="009F74FD"/>
    <w:rsid w:val="00A063D5"/>
    <w:rsid w:val="00A15A1F"/>
    <w:rsid w:val="00A17C0C"/>
    <w:rsid w:val="00A249FC"/>
    <w:rsid w:val="00A3325A"/>
    <w:rsid w:val="00A43013"/>
    <w:rsid w:val="00A43CD1"/>
    <w:rsid w:val="00A43DA6"/>
    <w:rsid w:val="00AF108A"/>
    <w:rsid w:val="00B02E55"/>
    <w:rsid w:val="00B036C1"/>
    <w:rsid w:val="00B5431F"/>
    <w:rsid w:val="00BF7FE0"/>
    <w:rsid w:val="00C81104"/>
    <w:rsid w:val="00C96411"/>
    <w:rsid w:val="00CB5671"/>
    <w:rsid w:val="00CC223C"/>
    <w:rsid w:val="00CC4244"/>
    <w:rsid w:val="00CF58B7"/>
    <w:rsid w:val="00D351C1"/>
    <w:rsid w:val="00D35EFB"/>
    <w:rsid w:val="00D47BA7"/>
    <w:rsid w:val="00D504B3"/>
    <w:rsid w:val="00D607D5"/>
    <w:rsid w:val="00D86BF0"/>
    <w:rsid w:val="00DA7543"/>
    <w:rsid w:val="00E51920"/>
    <w:rsid w:val="00E64120"/>
    <w:rsid w:val="00E660A1"/>
    <w:rsid w:val="00EA3CCF"/>
    <w:rsid w:val="00F055F1"/>
    <w:rsid w:val="00F2379D"/>
    <w:rsid w:val="00F53B7A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paragraph" w:customStyle="1" w:styleId="Numberedbulletpoints">
    <w:name w:val="Numbered bullet points"/>
    <w:basedOn w:val="Paragraph"/>
    <w:qFormat/>
    <w:rsid w:val="00F2379D"/>
    <w:pPr>
      <w:numPr>
        <w:numId w:val="0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517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Joanne Ekeledo</cp:lastModifiedBy>
  <cp:revision>14</cp:revision>
  <dcterms:created xsi:type="dcterms:W3CDTF">2021-04-07T15:07:00Z</dcterms:created>
  <dcterms:modified xsi:type="dcterms:W3CDTF">2021-08-26T17:00:00Z</dcterms:modified>
</cp:coreProperties>
</file>