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4E74E" w14:textId="77777777" w:rsidR="000F48EC" w:rsidRPr="00A41DFF" w:rsidRDefault="000F48EC" w:rsidP="0093671F">
      <w:pPr>
        <w:pStyle w:val="Title2"/>
      </w:pPr>
      <w:bookmarkStart w:id="0" w:name="_Hlk48821412"/>
      <w:r w:rsidRPr="00A41DFF">
        <w:t>NATIONAL INSTITUTE FOR HEALTH AND C</w:t>
      </w:r>
      <w:r w:rsidR="00CC63EB" w:rsidRPr="00A41DFF">
        <w:t>ARE</w:t>
      </w:r>
      <w:r w:rsidRPr="00A41DFF">
        <w:t xml:space="preserve"> EXCELLENCE</w:t>
      </w:r>
    </w:p>
    <w:p w14:paraId="040A8FC7" w14:textId="111C74C5" w:rsidR="000F48EC" w:rsidRPr="00A41DFF" w:rsidRDefault="007A2801" w:rsidP="000069F9">
      <w:pPr>
        <w:pStyle w:val="Title2"/>
      </w:pPr>
      <w:r w:rsidRPr="00A41DFF">
        <w:t>Appraisal consultation document</w:t>
      </w:r>
    </w:p>
    <w:p w14:paraId="243A831C" w14:textId="6389FE5C" w:rsidR="000F48EC" w:rsidRDefault="00D928E6" w:rsidP="00034110">
      <w:pPr>
        <w:pStyle w:val="Title1"/>
      </w:pPr>
      <w:r w:rsidRPr="00A41DFF">
        <w:t xml:space="preserve">Lenalidomide maintenance treatment </w:t>
      </w:r>
      <w:r w:rsidR="000A0C50" w:rsidRPr="00A41DFF">
        <w:t xml:space="preserve">after </w:t>
      </w:r>
      <w:r w:rsidR="000A0C50">
        <w:t xml:space="preserve">an </w:t>
      </w:r>
      <w:r w:rsidR="000A0C50" w:rsidRPr="00A41DFF">
        <w:t>autologous stem cell transplant</w:t>
      </w:r>
      <w:r w:rsidRPr="00A41DFF">
        <w:t xml:space="preserve"> </w:t>
      </w:r>
      <w:r w:rsidR="005B7CA8">
        <w:t xml:space="preserve">for newly diagnosed </w:t>
      </w:r>
      <w:r w:rsidRPr="00A41DFF">
        <w:t>multiple myeloma</w:t>
      </w:r>
    </w:p>
    <w:p w14:paraId="3FEFF88C" w14:textId="610EEBBD" w:rsidR="00ED3837" w:rsidRPr="00A41DFF" w:rsidRDefault="00ED3837" w:rsidP="00034110">
      <w:pPr>
        <w:pStyle w:val="Title1"/>
      </w:pPr>
    </w:p>
    <w:p w14:paraId="07283EA2" w14:textId="72E41610" w:rsidR="007A2801" w:rsidRPr="00A41DFF" w:rsidRDefault="007A2801">
      <w:pPr>
        <w:rPr>
          <w:rFonts w:ascii="Arial" w:hAnsi="Arial"/>
        </w:rPr>
      </w:pPr>
      <w:r w:rsidRPr="00A41DFF">
        <w:br w:type="page"/>
      </w:r>
    </w:p>
    <w:p w14:paraId="159312AA" w14:textId="6F88232C" w:rsidR="007A2801" w:rsidRPr="00A41DFF" w:rsidRDefault="007A2801" w:rsidP="00C76DDA">
      <w:pPr>
        <w:pStyle w:val="NICEnormal"/>
      </w:pPr>
    </w:p>
    <w:p w14:paraId="463FCFCF" w14:textId="126753ED" w:rsidR="007A2801" w:rsidRPr="00A41DFF" w:rsidRDefault="007A2801">
      <w:pPr>
        <w:rPr>
          <w:rFonts w:ascii="Arial" w:hAnsi="Arial"/>
        </w:rPr>
      </w:pPr>
      <w:r w:rsidRPr="00A41DFF">
        <w:br w:type="page"/>
      </w:r>
    </w:p>
    <w:p w14:paraId="1914200D" w14:textId="77777777" w:rsidR="000F48EC" w:rsidRPr="00A41DFF" w:rsidRDefault="00B379C5" w:rsidP="00F130AD">
      <w:pPr>
        <w:pStyle w:val="Numberedheading1"/>
      </w:pPr>
      <w:r w:rsidRPr="00A41DFF">
        <w:lastRenderedPageBreak/>
        <w:t>Recommendations</w:t>
      </w:r>
    </w:p>
    <w:p w14:paraId="7950629B" w14:textId="2323ED00" w:rsidR="00F05D49" w:rsidRPr="00A41DFF" w:rsidRDefault="007F22F4" w:rsidP="00F05D49">
      <w:pPr>
        <w:pStyle w:val="Numberedlevel2text"/>
        <w:numPr>
          <w:ilvl w:val="1"/>
          <w:numId w:val="14"/>
        </w:numPr>
        <w:rPr>
          <w:lang w:val="en-GB" w:eastAsia="en-GB"/>
        </w:rPr>
      </w:pPr>
      <w:r w:rsidRPr="007F22F4">
        <w:rPr>
          <w:lang w:val="en-GB" w:eastAsia="en-GB"/>
        </w:rPr>
        <w:t>Lenalidomide is not recommended, within its marketing authorisation, as maintenance treatment after an autologous stem cell transplant for newly diagnosed multiple myeloma in adults</w:t>
      </w:r>
      <w:r w:rsidR="00F05D49" w:rsidRPr="00A41DFF">
        <w:rPr>
          <w:lang w:val="en-GB"/>
        </w:rPr>
        <w:t>.</w:t>
      </w:r>
    </w:p>
    <w:p w14:paraId="55D28E71" w14:textId="7A596422" w:rsidR="002F2C1A" w:rsidRPr="00A41DFF" w:rsidRDefault="002F2C1A" w:rsidP="002B104C">
      <w:pPr>
        <w:pStyle w:val="Numberedlevel2text"/>
        <w:numPr>
          <w:ilvl w:val="1"/>
          <w:numId w:val="1"/>
        </w:numPr>
      </w:pPr>
      <w:r w:rsidRPr="00A41DFF">
        <w:t xml:space="preserve">This recommendation is not intended to affect treatment with </w:t>
      </w:r>
      <w:r w:rsidR="00E615ED" w:rsidRPr="00A41DFF">
        <w:t>lenalidomide</w:t>
      </w:r>
      <w:r w:rsidRPr="00A41DFF">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3A23F883" w14:textId="77777777" w:rsidR="00C11F58" w:rsidRPr="00A41DFF" w:rsidRDefault="00C11F58" w:rsidP="008522C6">
      <w:pPr>
        <w:pStyle w:val="NICEnormal"/>
        <w:rPr>
          <w:b/>
        </w:rPr>
      </w:pPr>
      <w:r w:rsidRPr="00A41DFF">
        <w:rPr>
          <w:b/>
        </w:rPr>
        <w:t>Why the committee made these recommendations</w:t>
      </w:r>
    </w:p>
    <w:p w14:paraId="4AE1011C" w14:textId="52636476" w:rsidR="00E54704" w:rsidRDefault="00D054E8" w:rsidP="00C52CE9">
      <w:pPr>
        <w:pStyle w:val="NICEnormal"/>
      </w:pPr>
      <w:r w:rsidRPr="00A41DFF">
        <w:t xml:space="preserve">There is currently no </w:t>
      </w:r>
      <w:r w:rsidR="00096FAF">
        <w:t xml:space="preserve">maintenance </w:t>
      </w:r>
      <w:r w:rsidRPr="00A41DFF">
        <w:t xml:space="preserve">treatment </w:t>
      </w:r>
      <w:r w:rsidR="00096FAF">
        <w:t xml:space="preserve">for </w:t>
      </w:r>
      <w:r w:rsidR="00D928E6" w:rsidRPr="00A41DFF">
        <w:t>newly diagnosed multiple myeloma</w:t>
      </w:r>
      <w:r w:rsidR="005B7CA8">
        <w:t xml:space="preserve"> in people who have had an </w:t>
      </w:r>
      <w:r w:rsidR="00D928E6" w:rsidRPr="00A41DFF">
        <w:t xml:space="preserve">autologous stem cell transplant. </w:t>
      </w:r>
      <w:r w:rsidR="00096FAF">
        <w:t>The condition is usually monitored</w:t>
      </w:r>
      <w:r w:rsidRPr="00A41DFF">
        <w:t xml:space="preserve"> until </w:t>
      </w:r>
      <w:r w:rsidR="00096FAF">
        <w:t>it</w:t>
      </w:r>
      <w:r w:rsidRPr="00A41DFF">
        <w:t xml:space="preserve"> </w:t>
      </w:r>
      <w:r w:rsidR="00096FAF">
        <w:t>gets worse</w:t>
      </w:r>
      <w:r w:rsidRPr="00A41DFF">
        <w:t>.</w:t>
      </w:r>
    </w:p>
    <w:p w14:paraId="7967DF1E" w14:textId="200FB3AA" w:rsidR="00D928E6" w:rsidRPr="00A41DFF" w:rsidRDefault="00D928E6" w:rsidP="00C52CE9">
      <w:pPr>
        <w:pStyle w:val="NICEnormal"/>
      </w:pPr>
      <w:r w:rsidRPr="00A41DFF">
        <w:t xml:space="preserve">Clinical trial results show </w:t>
      </w:r>
      <w:r w:rsidR="005B7CA8">
        <w:t>that, compared with monitoring a</w:t>
      </w:r>
      <w:r w:rsidR="00B31AFA">
        <w:t xml:space="preserve">lone, </w:t>
      </w:r>
      <w:r w:rsidRPr="00A41DFF">
        <w:t xml:space="preserve">lenalidomide </w:t>
      </w:r>
      <w:r w:rsidR="00B31AFA">
        <w:t>increases how long people live</w:t>
      </w:r>
      <w:r w:rsidRPr="00A41DFF">
        <w:t xml:space="preserve"> </w:t>
      </w:r>
      <w:r w:rsidR="00D054E8" w:rsidRPr="00A41DFF">
        <w:t xml:space="preserve">and extends the time </w:t>
      </w:r>
      <w:r w:rsidR="00FD000E" w:rsidRPr="00A41DFF">
        <w:t xml:space="preserve">before </w:t>
      </w:r>
      <w:r w:rsidR="00B31AFA">
        <w:t>the condition</w:t>
      </w:r>
      <w:r w:rsidR="00096FAF">
        <w:t xml:space="preserve"> gets worse</w:t>
      </w:r>
      <w:r w:rsidR="00D054E8" w:rsidRPr="00A41DFF">
        <w:t>.</w:t>
      </w:r>
    </w:p>
    <w:p w14:paraId="4A4065CF" w14:textId="0E47AC1B" w:rsidR="00D928E6" w:rsidRPr="00A41DFF" w:rsidRDefault="00D054E8" w:rsidP="00C52CE9">
      <w:pPr>
        <w:pStyle w:val="NICEnormal"/>
      </w:pPr>
      <w:r w:rsidRPr="00A41DFF">
        <w:t>The cost-effectiveness estimates are uncertain</w:t>
      </w:r>
      <w:r w:rsidR="00CF46F9">
        <w:t>. This is</w:t>
      </w:r>
      <w:r w:rsidRPr="00A41DFF">
        <w:t xml:space="preserve"> because</w:t>
      </w:r>
      <w:r w:rsidR="00EA1316">
        <w:t xml:space="preserve"> </w:t>
      </w:r>
      <w:r w:rsidR="00286FCB">
        <w:t>of limitations in</w:t>
      </w:r>
      <w:r w:rsidR="00CF46F9">
        <w:t xml:space="preserve"> the </w:t>
      </w:r>
      <w:r w:rsidR="00B31AFA">
        <w:t xml:space="preserve">cost-effectiveness </w:t>
      </w:r>
      <w:r w:rsidR="00CF46F9">
        <w:t xml:space="preserve">model, and because the model might not </w:t>
      </w:r>
      <w:r w:rsidR="00217354">
        <w:t>reflect</w:t>
      </w:r>
      <w:r w:rsidR="00CF46F9">
        <w:t xml:space="preserve"> what happens in</w:t>
      </w:r>
      <w:r w:rsidR="000A0F50" w:rsidRPr="00A41DFF">
        <w:t xml:space="preserve"> the NHS in England.</w:t>
      </w:r>
      <w:r w:rsidR="005F1B6D">
        <w:t xml:space="preserve"> </w:t>
      </w:r>
      <w:r w:rsidR="00EA1316">
        <w:t>Therefore</w:t>
      </w:r>
      <w:r w:rsidR="000A0F50" w:rsidRPr="00A41DFF">
        <w:t xml:space="preserve">, </w:t>
      </w:r>
      <w:r w:rsidR="008A66F5" w:rsidRPr="00A41DFF">
        <w:t xml:space="preserve">lenalidomide is not recommended </w:t>
      </w:r>
      <w:r w:rsidR="00EA1316">
        <w:t>for use in the NHS</w:t>
      </w:r>
      <w:r w:rsidR="00F30C2A">
        <w:t xml:space="preserve"> </w:t>
      </w:r>
      <w:r w:rsidR="00B31AFA">
        <w:t>for</w:t>
      </w:r>
      <w:r w:rsidR="00F30C2A">
        <w:t xml:space="preserve"> this indication</w:t>
      </w:r>
      <w:r w:rsidR="00C1410F">
        <w:t>.</w:t>
      </w:r>
    </w:p>
    <w:p w14:paraId="034B429B" w14:textId="497DBB29" w:rsidR="00EA1CB1" w:rsidRPr="00A41DFF" w:rsidRDefault="00EA1CB1" w:rsidP="00EA1CB1">
      <w:pPr>
        <w:pStyle w:val="Numberedheading1"/>
        <w:keepLines/>
      </w:pPr>
      <w:r w:rsidRPr="00A41DFF">
        <w:t xml:space="preserve">Information about </w:t>
      </w:r>
      <w:r w:rsidR="001115E4" w:rsidRPr="00A41DFF">
        <w:t>lenalidomide</w:t>
      </w:r>
    </w:p>
    <w:p w14:paraId="7946D80C" w14:textId="75C581B2" w:rsidR="00B82A82" w:rsidRPr="00A41DFF" w:rsidRDefault="00B82A82" w:rsidP="00B82A82">
      <w:pPr>
        <w:pStyle w:val="Heading2"/>
      </w:pPr>
      <w:r w:rsidRPr="00A41DFF">
        <w:t>Marketing authorisation indication</w:t>
      </w:r>
    </w:p>
    <w:p w14:paraId="5CEA9E35" w14:textId="4C0F8284" w:rsidR="007E70E5" w:rsidRPr="00A41DFF" w:rsidRDefault="007E70E5" w:rsidP="00B82A82">
      <w:pPr>
        <w:pStyle w:val="Numberedlevel2text"/>
        <w:numPr>
          <w:ilvl w:val="1"/>
          <w:numId w:val="1"/>
        </w:numPr>
        <w:rPr>
          <w:rStyle w:val="NICEnormalChar"/>
          <w:szCs w:val="28"/>
        </w:rPr>
      </w:pPr>
      <w:r w:rsidRPr="00A41DFF">
        <w:rPr>
          <w:rStyle w:val="NICEnormalChar"/>
          <w:szCs w:val="28"/>
        </w:rPr>
        <w:t>Lenalidomide (Revlimid, Celgene) is indicated for ‘the maintenance treatment of adult patients with newly diagnosed multiple myeloma who have undergone autologous stem cell transplantation’.</w:t>
      </w:r>
    </w:p>
    <w:p w14:paraId="1CE023A2" w14:textId="77777777" w:rsidR="00B82A82" w:rsidRPr="00A41DFF" w:rsidRDefault="00B82A82" w:rsidP="00B82A82">
      <w:pPr>
        <w:pStyle w:val="Heading2"/>
      </w:pPr>
      <w:r w:rsidRPr="00A41DFF">
        <w:lastRenderedPageBreak/>
        <w:t>Dosage in the marketing authorisation</w:t>
      </w:r>
    </w:p>
    <w:p w14:paraId="5DC3C22F" w14:textId="00048697" w:rsidR="00B82A82" w:rsidRPr="00A41DFF" w:rsidRDefault="00FE2CE3" w:rsidP="001A5561">
      <w:pPr>
        <w:pStyle w:val="Numberedlevel2text"/>
        <w:numPr>
          <w:ilvl w:val="1"/>
          <w:numId w:val="1"/>
        </w:numPr>
        <w:rPr>
          <w:rStyle w:val="Numberedlevel2textChar"/>
          <w:lang w:val="en-GB"/>
        </w:rPr>
      </w:pPr>
      <w:r w:rsidRPr="00A41DFF">
        <w:rPr>
          <w:lang w:val="en-GB"/>
        </w:rPr>
        <w:t xml:space="preserve">The dosage schedule is </w:t>
      </w:r>
      <w:r w:rsidR="00570524" w:rsidRPr="00A41DFF">
        <w:rPr>
          <w:lang w:val="en-GB"/>
        </w:rPr>
        <w:t xml:space="preserve">available in the </w:t>
      </w:r>
      <w:hyperlink r:id="rId8" w:history="1">
        <w:r w:rsidR="00570524" w:rsidRPr="00A41DFF">
          <w:rPr>
            <w:rStyle w:val="Hyperlink"/>
            <w:lang w:val="en-GB"/>
          </w:rPr>
          <w:t>summary of product characteristics</w:t>
        </w:r>
      </w:hyperlink>
      <w:r w:rsidR="00570524" w:rsidRPr="00A41DFF">
        <w:rPr>
          <w:lang w:val="en-GB"/>
        </w:rPr>
        <w:t>.</w:t>
      </w:r>
    </w:p>
    <w:p w14:paraId="39FD7817" w14:textId="77777777" w:rsidR="00B82A82" w:rsidRPr="00A41DFF" w:rsidRDefault="00B82A82" w:rsidP="00B82A82">
      <w:pPr>
        <w:pStyle w:val="Heading2"/>
      </w:pPr>
      <w:r w:rsidRPr="00A41DFF">
        <w:t>Price</w:t>
      </w:r>
    </w:p>
    <w:p w14:paraId="11E47C48" w14:textId="4CBF8F59" w:rsidR="00B82A82" w:rsidRPr="00A41DFF" w:rsidRDefault="001115E4" w:rsidP="009C36E1">
      <w:pPr>
        <w:pStyle w:val="Numberedlevel2text"/>
        <w:numPr>
          <w:ilvl w:val="1"/>
          <w:numId w:val="1"/>
        </w:numPr>
      </w:pPr>
      <w:r w:rsidRPr="00A41DFF">
        <w:rPr>
          <w:rStyle w:val="NICEnormalChar"/>
        </w:rPr>
        <w:t>The list price for lenalidomide is £3,780 per pack of 21</w:t>
      </w:r>
      <w:r w:rsidR="00EA1316">
        <w:rPr>
          <w:rStyle w:val="NICEnormalChar"/>
        </w:rPr>
        <w:t> </w:t>
      </w:r>
      <w:r w:rsidRPr="00A41DFF">
        <w:rPr>
          <w:rStyle w:val="NICEnormalChar"/>
        </w:rPr>
        <w:t>tablets, each containing 10</w:t>
      </w:r>
      <w:r w:rsidR="00EA1316">
        <w:rPr>
          <w:rStyle w:val="NICEnormalChar"/>
        </w:rPr>
        <w:t> </w:t>
      </w:r>
      <w:r w:rsidRPr="00A41DFF">
        <w:rPr>
          <w:rStyle w:val="NICEnormalChar"/>
        </w:rPr>
        <w:t>m</w:t>
      </w:r>
      <w:r w:rsidR="00EA1316">
        <w:rPr>
          <w:rStyle w:val="NICEnormalChar"/>
        </w:rPr>
        <w:t>g</w:t>
      </w:r>
      <w:r w:rsidR="006C11F7">
        <w:rPr>
          <w:rStyle w:val="NICEnormalChar"/>
        </w:rPr>
        <w:t xml:space="preserve"> of the active ingredient</w:t>
      </w:r>
      <w:r w:rsidRPr="00A41DFF">
        <w:rPr>
          <w:rStyle w:val="NICEnormalChar"/>
        </w:rPr>
        <w:t xml:space="preserve"> (</w:t>
      </w:r>
      <w:r w:rsidRPr="00A41DFF">
        <w:rPr>
          <w:lang w:val="en-GB"/>
        </w:rPr>
        <w:t>excluding VAT; BNF online, August 2020)</w:t>
      </w:r>
      <w:r w:rsidRPr="00A41DFF">
        <w:rPr>
          <w:rStyle w:val="NICEnormalChar"/>
        </w:rPr>
        <w:t>.</w:t>
      </w:r>
      <w:r w:rsidR="007E70E5" w:rsidRPr="00A41DFF">
        <w:rPr>
          <w:rStyle w:val="NICEnormalChar"/>
        </w:rPr>
        <w:t xml:space="preserve"> </w:t>
      </w:r>
      <w:bookmarkStart w:id="1" w:name="_Hlk24530292"/>
      <w:r w:rsidR="009D340D" w:rsidRPr="00A41DFF">
        <w:t xml:space="preserve">The </w:t>
      </w:r>
      <w:r w:rsidR="00B82A82" w:rsidRPr="00A41DFF">
        <w:t xml:space="preserve">company has a commercial arrangement. This makes </w:t>
      </w:r>
      <w:r w:rsidR="009D340D" w:rsidRPr="00A41DFF">
        <w:t>lenalidomide</w:t>
      </w:r>
      <w:r w:rsidR="00B82A82" w:rsidRPr="00A41DFF">
        <w:t xml:space="preserve"> available to the NHS with a discount</w:t>
      </w:r>
      <w:r w:rsidR="00217354">
        <w:rPr>
          <w:lang w:val="en-GB"/>
        </w:rPr>
        <w:t>, which</w:t>
      </w:r>
      <w:r w:rsidR="00B82A82" w:rsidRPr="00A41DFF">
        <w:t xml:space="preserve"> would have applied to this indication if the technology had been recommended. The size of the discount is commercial in confidence. It is the company’s responsibility to let relevant NHS organisations know details of the discount.</w:t>
      </w:r>
    </w:p>
    <w:bookmarkEnd w:id="1"/>
    <w:p w14:paraId="010CD1DE" w14:textId="77777777" w:rsidR="00F130AD" w:rsidRPr="00A41DFF" w:rsidRDefault="00222BEA" w:rsidP="00F130AD">
      <w:pPr>
        <w:pStyle w:val="Numberedheading1"/>
      </w:pPr>
      <w:r w:rsidRPr="00A41DFF">
        <w:t>Committee discussion</w:t>
      </w:r>
    </w:p>
    <w:p w14:paraId="63DBD40A" w14:textId="7B214AC7" w:rsidR="002B5772" w:rsidRPr="00A41DFF" w:rsidRDefault="00BC7D9E" w:rsidP="002B5772">
      <w:pPr>
        <w:pStyle w:val="NICEnormal"/>
      </w:pPr>
      <w:r w:rsidRPr="00A41DFF">
        <w:t xml:space="preserve">The </w:t>
      </w:r>
      <w:r w:rsidR="00343B53" w:rsidRPr="00A41DFF">
        <w:t>a</w:t>
      </w:r>
      <w:r w:rsidRPr="00A41DFF">
        <w:t xml:space="preserve">ppraisal </w:t>
      </w:r>
      <w:r w:rsidR="00343B53" w:rsidRPr="00A41DFF">
        <w:t>c</w:t>
      </w:r>
      <w:r w:rsidRPr="00A41DFF">
        <w:t xml:space="preserve">ommittee </w:t>
      </w:r>
      <w:r w:rsidR="00CD7BFC" w:rsidRPr="00A41DFF">
        <w:t>(section</w:t>
      </w:r>
      <w:r w:rsidR="005C75FF">
        <w:t> </w:t>
      </w:r>
      <w:r w:rsidR="0020575C" w:rsidRPr="00A41DFF">
        <w:t>5)</w:t>
      </w:r>
      <w:r w:rsidR="00CD7BFC" w:rsidRPr="00A41DFF">
        <w:t xml:space="preserve"> </w:t>
      </w:r>
      <w:r w:rsidRPr="00A41DFF">
        <w:t xml:space="preserve">considered evidence submitted by </w:t>
      </w:r>
      <w:r w:rsidR="007E70E5" w:rsidRPr="00A41DFF">
        <w:t>Celgene</w:t>
      </w:r>
      <w:r w:rsidR="002B5772" w:rsidRPr="00A41DFF">
        <w:t>,</w:t>
      </w:r>
      <w:r w:rsidRPr="00A41DFF">
        <w:t xml:space="preserve"> a review of this submission by the </w:t>
      </w:r>
      <w:r w:rsidR="00343B53" w:rsidRPr="00A41DFF">
        <w:t>e</w:t>
      </w:r>
      <w:r w:rsidRPr="00A41DFF">
        <w:t xml:space="preserve">vidence </w:t>
      </w:r>
      <w:r w:rsidR="00343B53" w:rsidRPr="00A41DFF">
        <w:t>r</w:t>
      </w:r>
      <w:r w:rsidRPr="00A41DFF">
        <w:t xml:space="preserve">eview </w:t>
      </w:r>
      <w:r w:rsidR="00343B53" w:rsidRPr="00A41DFF">
        <w:t>g</w:t>
      </w:r>
      <w:r w:rsidRPr="00A41DFF">
        <w:t>roup (ERG)</w:t>
      </w:r>
      <w:r w:rsidR="002B5772" w:rsidRPr="00A41DFF">
        <w:t xml:space="preserve">, </w:t>
      </w:r>
      <w:r w:rsidR="00E24CDE" w:rsidRPr="00A41DFF">
        <w:t>NICE’s</w:t>
      </w:r>
      <w:r w:rsidR="002B5772" w:rsidRPr="00A41DFF">
        <w:t xml:space="preserve"> technical </w:t>
      </w:r>
      <w:r w:rsidR="00E9265B" w:rsidRPr="00A41DFF">
        <w:t>report</w:t>
      </w:r>
      <w:r w:rsidR="000B1027" w:rsidRPr="00A41DFF">
        <w:t xml:space="preserve"> and responses from</w:t>
      </w:r>
      <w:r w:rsidR="00E9265B" w:rsidRPr="00A41DFF">
        <w:t xml:space="preserve"> stakeholders</w:t>
      </w:r>
      <w:r w:rsidRPr="00A41DFF">
        <w:t>.</w:t>
      </w:r>
      <w:r w:rsidR="00C63D4E" w:rsidRPr="00A41DFF">
        <w:t xml:space="preserve"> </w:t>
      </w:r>
      <w:r w:rsidR="002B5772" w:rsidRPr="00A41DFF">
        <w:t xml:space="preserve">See the </w:t>
      </w:r>
      <w:hyperlink r:id="rId9" w:history="1">
        <w:r w:rsidR="002B5772" w:rsidRPr="00A41DFF">
          <w:rPr>
            <w:rStyle w:val="Hyperlink"/>
          </w:rPr>
          <w:t>committee papers</w:t>
        </w:r>
      </w:hyperlink>
      <w:r w:rsidR="002B5772" w:rsidRPr="00A41DFF">
        <w:t xml:space="preserve"> for full details of the evidence.</w:t>
      </w:r>
    </w:p>
    <w:p w14:paraId="19D3A6A7" w14:textId="220AD2A5" w:rsidR="00643582" w:rsidRPr="00A41DFF" w:rsidRDefault="0029648E" w:rsidP="00643582">
      <w:pPr>
        <w:pStyle w:val="Heading2"/>
      </w:pPr>
      <w:r w:rsidRPr="00A41DFF">
        <w:t>Treatment pathway</w:t>
      </w:r>
    </w:p>
    <w:p w14:paraId="67AD1747" w14:textId="281F3E40" w:rsidR="00643582" w:rsidRPr="00A41DFF" w:rsidRDefault="0029648E" w:rsidP="0073007E">
      <w:pPr>
        <w:pStyle w:val="Heading3"/>
      </w:pPr>
      <w:r w:rsidRPr="00A41DFF">
        <w:t xml:space="preserve">Lenalidomide is </w:t>
      </w:r>
      <w:r w:rsidR="005267B2" w:rsidRPr="00A41DFF">
        <w:t xml:space="preserve">the </w:t>
      </w:r>
      <w:r w:rsidRPr="00A41DFF">
        <w:t xml:space="preserve">only potential option for maintenance treatment </w:t>
      </w:r>
      <w:r w:rsidR="005C75FF">
        <w:t>for</w:t>
      </w:r>
      <w:r w:rsidR="005C75FF" w:rsidRPr="00A41DFF">
        <w:t xml:space="preserve"> </w:t>
      </w:r>
      <w:r w:rsidRPr="00A41DFF">
        <w:t xml:space="preserve">multiple myeloma </w:t>
      </w:r>
      <w:r w:rsidR="00E64140" w:rsidRPr="00A41DFF">
        <w:t>after</w:t>
      </w:r>
      <w:r w:rsidRPr="00A41DFF">
        <w:t xml:space="preserve"> </w:t>
      </w:r>
      <w:r w:rsidR="005C75FF">
        <w:t xml:space="preserve">an autologous </w:t>
      </w:r>
      <w:r w:rsidRPr="00A41DFF">
        <w:t>stem cell transplant</w:t>
      </w:r>
    </w:p>
    <w:p w14:paraId="7B826A8C" w14:textId="38FAFA63" w:rsidR="00DF54F1" w:rsidRPr="00A41DFF" w:rsidRDefault="00217354" w:rsidP="00F458C1">
      <w:pPr>
        <w:pStyle w:val="Numberedlevel2text"/>
        <w:rPr>
          <w:lang w:val="en-GB"/>
        </w:rPr>
      </w:pPr>
      <w:r>
        <w:rPr>
          <w:lang w:val="en-GB"/>
        </w:rPr>
        <w:t>After</w:t>
      </w:r>
      <w:r w:rsidRPr="00A41DFF">
        <w:rPr>
          <w:lang w:val="en-GB"/>
        </w:rPr>
        <w:t xml:space="preserve"> </w:t>
      </w:r>
      <w:r w:rsidR="00CE4466" w:rsidRPr="00A41DFF">
        <w:rPr>
          <w:lang w:val="en-GB"/>
        </w:rPr>
        <w:t>a</w:t>
      </w:r>
      <w:r w:rsidR="00535FC0">
        <w:rPr>
          <w:lang w:val="en-GB"/>
        </w:rPr>
        <w:t xml:space="preserve"> first </w:t>
      </w:r>
      <w:r w:rsidR="00E64140" w:rsidRPr="00A41DFF">
        <w:rPr>
          <w:lang w:val="en-GB"/>
        </w:rPr>
        <w:t>autologous</w:t>
      </w:r>
      <w:r w:rsidR="00CE4466" w:rsidRPr="00A41DFF">
        <w:rPr>
          <w:lang w:val="en-GB"/>
        </w:rPr>
        <w:t xml:space="preserve"> stem cell transplant, </w:t>
      </w:r>
      <w:r>
        <w:rPr>
          <w:lang w:val="en-GB"/>
        </w:rPr>
        <w:t xml:space="preserve">newly diagnosed multiple myeloma is usually monitored until the </w:t>
      </w:r>
      <w:r w:rsidR="00CE4466" w:rsidRPr="00A41DFF">
        <w:rPr>
          <w:lang w:val="en-GB"/>
        </w:rPr>
        <w:t>first relapse</w:t>
      </w:r>
      <w:r>
        <w:rPr>
          <w:lang w:val="en-GB"/>
        </w:rPr>
        <w:t xml:space="preserve">, and not </w:t>
      </w:r>
      <w:r w:rsidR="00E64140" w:rsidRPr="00A41DFF">
        <w:rPr>
          <w:lang w:val="en-GB"/>
        </w:rPr>
        <w:t>active</w:t>
      </w:r>
      <w:r>
        <w:rPr>
          <w:lang w:val="en-GB"/>
        </w:rPr>
        <w:t>ly</w:t>
      </w:r>
      <w:r w:rsidR="00E64140" w:rsidRPr="00A41DFF">
        <w:rPr>
          <w:lang w:val="en-GB"/>
        </w:rPr>
        <w:t xml:space="preserve"> </w:t>
      </w:r>
      <w:r w:rsidRPr="00A41DFF">
        <w:rPr>
          <w:lang w:val="en-GB"/>
        </w:rPr>
        <w:t>treat</w:t>
      </w:r>
      <w:r>
        <w:rPr>
          <w:lang w:val="en-GB"/>
        </w:rPr>
        <w:t>ed</w:t>
      </w:r>
      <w:r w:rsidR="00CE4466" w:rsidRPr="00A41DFF">
        <w:rPr>
          <w:lang w:val="en-GB"/>
        </w:rPr>
        <w:t xml:space="preserve">. Lenalidomide is the only treatment option licensed as a maintenance therapy to replace </w:t>
      </w:r>
      <w:r w:rsidR="00366541">
        <w:rPr>
          <w:lang w:val="en-GB"/>
        </w:rPr>
        <w:t>monitoring</w:t>
      </w:r>
      <w:r w:rsidR="00366541" w:rsidRPr="00A41DFF">
        <w:rPr>
          <w:lang w:val="en-GB"/>
        </w:rPr>
        <w:t xml:space="preserve"> </w:t>
      </w:r>
      <w:r>
        <w:rPr>
          <w:lang w:val="en-GB"/>
        </w:rPr>
        <w:t>for this indication</w:t>
      </w:r>
      <w:r w:rsidR="00E64140" w:rsidRPr="00A41DFF">
        <w:rPr>
          <w:lang w:val="en-GB"/>
        </w:rPr>
        <w:t xml:space="preserve">. Lenalidomide would be </w:t>
      </w:r>
      <w:r w:rsidR="00366541">
        <w:rPr>
          <w:lang w:val="en-GB"/>
        </w:rPr>
        <w:t>us</w:t>
      </w:r>
      <w:r w:rsidR="00366541" w:rsidRPr="00A41DFF">
        <w:rPr>
          <w:lang w:val="en-GB"/>
        </w:rPr>
        <w:t xml:space="preserve">ed </w:t>
      </w:r>
      <w:r w:rsidR="00E64140" w:rsidRPr="00A41DFF">
        <w:rPr>
          <w:lang w:val="en-GB"/>
        </w:rPr>
        <w:t>to try to prolong the time until first relapse.</w:t>
      </w:r>
      <w:r w:rsidR="00CE4466" w:rsidRPr="00A41DFF">
        <w:rPr>
          <w:lang w:val="en-GB"/>
        </w:rPr>
        <w:t xml:space="preserve"> </w:t>
      </w:r>
      <w:r w:rsidR="00C92E96">
        <w:rPr>
          <w:lang w:val="en-GB"/>
        </w:rPr>
        <w:t>The c</w:t>
      </w:r>
      <w:r w:rsidR="00CE4466" w:rsidRPr="00A41DFF">
        <w:rPr>
          <w:lang w:val="en-GB"/>
        </w:rPr>
        <w:t>linical experts advised that</w:t>
      </w:r>
      <w:r w:rsidR="0055131C">
        <w:rPr>
          <w:lang w:val="en-GB"/>
        </w:rPr>
        <w:t xml:space="preserve"> </w:t>
      </w:r>
      <w:r w:rsidR="00C92E96">
        <w:rPr>
          <w:lang w:val="en-GB"/>
        </w:rPr>
        <w:t>most</w:t>
      </w:r>
      <w:r w:rsidR="00CE4466" w:rsidRPr="00A41DFF">
        <w:rPr>
          <w:lang w:val="en-GB"/>
        </w:rPr>
        <w:t xml:space="preserve"> </w:t>
      </w:r>
      <w:r w:rsidR="00366541">
        <w:rPr>
          <w:lang w:val="en-GB"/>
        </w:rPr>
        <w:t xml:space="preserve">people with newly diagnosed multiple myeloma </w:t>
      </w:r>
      <w:r w:rsidR="006162A3">
        <w:rPr>
          <w:lang w:val="en-GB"/>
        </w:rPr>
        <w:t>who have had</w:t>
      </w:r>
      <w:r w:rsidR="00366541">
        <w:rPr>
          <w:lang w:val="en-GB"/>
        </w:rPr>
        <w:t xml:space="preserve"> a first transplant</w:t>
      </w:r>
      <w:r w:rsidR="00FD000E" w:rsidRPr="00A41DFF">
        <w:rPr>
          <w:lang w:val="en-GB"/>
        </w:rPr>
        <w:t xml:space="preserve"> </w:t>
      </w:r>
      <w:r w:rsidR="00CE4466" w:rsidRPr="00A41DFF">
        <w:rPr>
          <w:lang w:val="en-GB"/>
        </w:rPr>
        <w:t xml:space="preserve">would </w:t>
      </w:r>
      <w:r w:rsidR="00C92E96">
        <w:rPr>
          <w:lang w:val="en-GB"/>
        </w:rPr>
        <w:t>have</w:t>
      </w:r>
      <w:r w:rsidR="00C92E96" w:rsidRPr="00A41DFF">
        <w:rPr>
          <w:lang w:val="en-GB"/>
        </w:rPr>
        <w:t xml:space="preserve"> </w:t>
      </w:r>
      <w:r w:rsidR="00CE4466" w:rsidRPr="00A41DFF">
        <w:rPr>
          <w:lang w:val="en-GB"/>
        </w:rPr>
        <w:t xml:space="preserve">lenalidomide maintenance </w:t>
      </w:r>
      <w:r w:rsidR="009B3D4B">
        <w:rPr>
          <w:lang w:val="en-GB"/>
        </w:rPr>
        <w:t xml:space="preserve">treatment </w:t>
      </w:r>
      <w:r w:rsidR="00CE4466" w:rsidRPr="00A41DFF">
        <w:rPr>
          <w:lang w:val="en-GB"/>
        </w:rPr>
        <w:t xml:space="preserve">if it </w:t>
      </w:r>
      <w:r w:rsidR="00C92E96">
        <w:rPr>
          <w:lang w:val="en-GB"/>
        </w:rPr>
        <w:t>was</w:t>
      </w:r>
      <w:r w:rsidR="00CE4466" w:rsidRPr="00A41DFF">
        <w:rPr>
          <w:lang w:val="en-GB"/>
        </w:rPr>
        <w:t xml:space="preserve"> recommended, and </w:t>
      </w:r>
      <w:r w:rsidR="000728A8">
        <w:rPr>
          <w:lang w:val="en-GB"/>
        </w:rPr>
        <w:t xml:space="preserve">that </w:t>
      </w:r>
      <w:r w:rsidR="00CE4466" w:rsidRPr="00A41DFF">
        <w:rPr>
          <w:lang w:val="en-GB"/>
        </w:rPr>
        <w:t xml:space="preserve">only </w:t>
      </w:r>
      <w:r w:rsidR="00CE4466" w:rsidRPr="00A41DFF">
        <w:rPr>
          <w:lang w:val="en-GB"/>
        </w:rPr>
        <w:lastRenderedPageBreak/>
        <w:t xml:space="preserve">a small proportion would </w:t>
      </w:r>
      <w:r w:rsidR="000728A8">
        <w:rPr>
          <w:lang w:val="en-GB"/>
        </w:rPr>
        <w:t>have</w:t>
      </w:r>
      <w:r w:rsidR="000728A8" w:rsidRPr="00A41DFF">
        <w:rPr>
          <w:lang w:val="en-GB"/>
        </w:rPr>
        <w:t xml:space="preserve"> </w:t>
      </w:r>
      <w:r w:rsidR="00CE4466" w:rsidRPr="00A41DFF">
        <w:rPr>
          <w:lang w:val="en-GB"/>
        </w:rPr>
        <w:t xml:space="preserve">no active treatment. </w:t>
      </w:r>
      <w:r w:rsidR="00FD000E" w:rsidRPr="00A41DFF">
        <w:rPr>
          <w:lang w:val="en-GB"/>
        </w:rPr>
        <w:t>The committee was aware that l</w:t>
      </w:r>
      <w:r w:rsidR="00CE4466" w:rsidRPr="00A41DFF">
        <w:rPr>
          <w:lang w:val="en-GB"/>
        </w:rPr>
        <w:t>enalidomide</w:t>
      </w:r>
      <w:r w:rsidR="00DF54F1" w:rsidRPr="00A41DFF">
        <w:rPr>
          <w:lang w:val="en-GB"/>
        </w:rPr>
        <w:t xml:space="preserve"> (</w:t>
      </w:r>
      <w:r w:rsidR="00366541">
        <w:rPr>
          <w:lang w:val="en-GB"/>
        </w:rPr>
        <w:t>plus</w:t>
      </w:r>
      <w:r w:rsidR="00DF54F1" w:rsidRPr="00A41DFF">
        <w:rPr>
          <w:lang w:val="en-GB"/>
        </w:rPr>
        <w:t xml:space="preserve"> dexamethasone)</w:t>
      </w:r>
      <w:r w:rsidR="00CE4466" w:rsidRPr="00A41DFF">
        <w:rPr>
          <w:lang w:val="en-GB"/>
        </w:rPr>
        <w:t xml:space="preserve"> is </w:t>
      </w:r>
      <w:r w:rsidR="00E64140" w:rsidRPr="00A41DFF">
        <w:rPr>
          <w:lang w:val="en-GB"/>
        </w:rPr>
        <w:t xml:space="preserve">currently </w:t>
      </w:r>
      <w:r w:rsidR="00CE4466" w:rsidRPr="00A41DFF">
        <w:rPr>
          <w:lang w:val="en-GB"/>
        </w:rPr>
        <w:t xml:space="preserve">available </w:t>
      </w:r>
      <w:r w:rsidR="00FD000E" w:rsidRPr="00A41DFF">
        <w:rPr>
          <w:lang w:val="en-GB"/>
        </w:rPr>
        <w:t>in the NHS for treating multiple myeloma later in the treatment pathway</w:t>
      </w:r>
      <w:r w:rsidR="003C76B2">
        <w:rPr>
          <w:lang w:val="en-GB"/>
        </w:rPr>
        <w:t xml:space="preserve">. </w:t>
      </w:r>
      <w:r w:rsidR="000728A8">
        <w:rPr>
          <w:lang w:val="en-GB"/>
        </w:rPr>
        <w:t>The</w:t>
      </w:r>
      <w:r w:rsidR="00FD000E" w:rsidRPr="00A41DFF">
        <w:rPr>
          <w:lang w:val="en-GB"/>
        </w:rPr>
        <w:t xml:space="preserve"> c</w:t>
      </w:r>
      <w:r w:rsidR="00E04E62" w:rsidRPr="00A41DFF">
        <w:rPr>
          <w:lang w:val="en-GB"/>
        </w:rPr>
        <w:t>linical exper</w:t>
      </w:r>
      <w:r w:rsidR="00CE4466" w:rsidRPr="00A41DFF">
        <w:rPr>
          <w:lang w:val="en-GB"/>
        </w:rPr>
        <w:t xml:space="preserve">ts </w:t>
      </w:r>
      <w:r w:rsidR="000728A8">
        <w:rPr>
          <w:lang w:val="en-GB"/>
        </w:rPr>
        <w:t xml:space="preserve">explained </w:t>
      </w:r>
      <w:r w:rsidR="00DF54F1" w:rsidRPr="00A41DFF">
        <w:rPr>
          <w:lang w:val="en-GB"/>
        </w:rPr>
        <w:t xml:space="preserve">that </w:t>
      </w:r>
      <w:r w:rsidR="00366541">
        <w:rPr>
          <w:lang w:val="en-GB"/>
        </w:rPr>
        <w:t xml:space="preserve">if </w:t>
      </w:r>
      <w:r w:rsidR="00DF54F1" w:rsidRPr="00A41DFF">
        <w:rPr>
          <w:lang w:val="en-GB"/>
        </w:rPr>
        <w:t xml:space="preserve">people </w:t>
      </w:r>
      <w:r w:rsidR="00366541">
        <w:rPr>
          <w:lang w:val="en-GB"/>
        </w:rPr>
        <w:t>had</w:t>
      </w:r>
      <w:r w:rsidR="009B3D4B">
        <w:rPr>
          <w:lang w:val="en-GB"/>
        </w:rPr>
        <w:t xml:space="preserve"> </w:t>
      </w:r>
      <w:r w:rsidR="00DF54F1" w:rsidRPr="00A41DFF">
        <w:rPr>
          <w:lang w:val="en-GB"/>
        </w:rPr>
        <w:t xml:space="preserve">lenalidomide maintenance </w:t>
      </w:r>
      <w:r w:rsidR="009B3D4B">
        <w:rPr>
          <w:lang w:val="en-GB"/>
        </w:rPr>
        <w:t xml:space="preserve">treatment </w:t>
      </w:r>
      <w:r w:rsidR="00366541">
        <w:rPr>
          <w:lang w:val="en-GB"/>
        </w:rPr>
        <w:t xml:space="preserve">they </w:t>
      </w:r>
      <w:r w:rsidR="00DF54F1" w:rsidRPr="00A41DFF">
        <w:rPr>
          <w:lang w:val="en-GB"/>
        </w:rPr>
        <w:t xml:space="preserve">would not then </w:t>
      </w:r>
      <w:r w:rsidR="000728A8">
        <w:rPr>
          <w:lang w:val="en-GB"/>
        </w:rPr>
        <w:t>have</w:t>
      </w:r>
      <w:r w:rsidR="000728A8" w:rsidRPr="00A41DFF">
        <w:rPr>
          <w:lang w:val="en-GB"/>
        </w:rPr>
        <w:t xml:space="preserve"> </w:t>
      </w:r>
      <w:r w:rsidR="00FD000E" w:rsidRPr="00A41DFF">
        <w:rPr>
          <w:lang w:val="en-GB"/>
        </w:rPr>
        <w:t xml:space="preserve">lenalidomide </w:t>
      </w:r>
      <w:r w:rsidR="00DF54F1" w:rsidRPr="00A41DFF">
        <w:rPr>
          <w:lang w:val="en-GB"/>
        </w:rPr>
        <w:t xml:space="preserve">again later </w:t>
      </w:r>
      <w:r w:rsidR="000728A8">
        <w:rPr>
          <w:lang w:val="en-GB"/>
        </w:rPr>
        <w:t>in the treatment pathway</w:t>
      </w:r>
      <w:r w:rsidR="00FD000E" w:rsidRPr="00A41DFF">
        <w:rPr>
          <w:lang w:val="en-GB"/>
        </w:rPr>
        <w:t>.</w:t>
      </w:r>
      <w:r w:rsidR="00515680" w:rsidRPr="00A41DFF">
        <w:rPr>
          <w:lang w:val="en-GB"/>
        </w:rPr>
        <w:t xml:space="preserve"> </w:t>
      </w:r>
      <w:r w:rsidR="00FD000E" w:rsidRPr="00A41DFF">
        <w:rPr>
          <w:lang w:val="en-GB"/>
        </w:rPr>
        <w:t xml:space="preserve">However, the </w:t>
      </w:r>
      <w:r w:rsidR="002E64BB" w:rsidRPr="00A41DFF">
        <w:rPr>
          <w:lang w:val="en-GB"/>
        </w:rPr>
        <w:t xml:space="preserve">clinical and patient </w:t>
      </w:r>
      <w:r w:rsidR="00FD000E" w:rsidRPr="00A41DFF">
        <w:rPr>
          <w:lang w:val="en-GB"/>
        </w:rPr>
        <w:t xml:space="preserve">experts </w:t>
      </w:r>
      <w:r w:rsidR="00DF54F1" w:rsidRPr="00A41DFF">
        <w:rPr>
          <w:lang w:val="en-GB"/>
        </w:rPr>
        <w:t xml:space="preserve">emphasised that </w:t>
      </w:r>
      <w:r w:rsidR="00515680" w:rsidRPr="00A41DFF">
        <w:rPr>
          <w:lang w:val="en-GB"/>
        </w:rPr>
        <w:t>the benefits of lenalidomide maintenance</w:t>
      </w:r>
      <w:r w:rsidR="00E64140" w:rsidRPr="00A41DFF">
        <w:rPr>
          <w:lang w:val="en-GB"/>
        </w:rPr>
        <w:t xml:space="preserve"> </w:t>
      </w:r>
      <w:r w:rsidR="009B3D4B">
        <w:rPr>
          <w:lang w:val="en-GB"/>
        </w:rPr>
        <w:t xml:space="preserve">treatment </w:t>
      </w:r>
      <w:r w:rsidR="00515680" w:rsidRPr="00A41DFF">
        <w:rPr>
          <w:lang w:val="en-GB"/>
        </w:rPr>
        <w:t xml:space="preserve">outweigh </w:t>
      </w:r>
      <w:r w:rsidR="000728A8">
        <w:rPr>
          <w:lang w:val="en-GB"/>
        </w:rPr>
        <w:t>the</w:t>
      </w:r>
      <w:r w:rsidR="000728A8" w:rsidRPr="00A41DFF">
        <w:rPr>
          <w:lang w:val="en-GB"/>
        </w:rPr>
        <w:t xml:space="preserve"> </w:t>
      </w:r>
      <w:r w:rsidR="00515680" w:rsidRPr="00A41DFF">
        <w:rPr>
          <w:lang w:val="en-GB"/>
        </w:rPr>
        <w:t xml:space="preserve">benefits of </w:t>
      </w:r>
      <w:r w:rsidR="000728A8">
        <w:rPr>
          <w:lang w:val="en-GB"/>
        </w:rPr>
        <w:t>using it</w:t>
      </w:r>
      <w:r w:rsidR="00515680" w:rsidRPr="00A41DFF">
        <w:rPr>
          <w:lang w:val="en-GB"/>
        </w:rPr>
        <w:t xml:space="preserve"> later in the pathway</w:t>
      </w:r>
      <w:r w:rsidR="00337745" w:rsidRPr="00A41DFF">
        <w:rPr>
          <w:lang w:val="en-GB"/>
        </w:rPr>
        <w:t xml:space="preserve">. </w:t>
      </w:r>
      <w:r w:rsidR="00FD000E" w:rsidRPr="00A41DFF">
        <w:rPr>
          <w:lang w:val="en-GB"/>
        </w:rPr>
        <w:t>This is because</w:t>
      </w:r>
      <w:r w:rsidR="000728A8">
        <w:rPr>
          <w:lang w:val="en-GB"/>
        </w:rPr>
        <w:t>,</w:t>
      </w:r>
      <w:r w:rsidR="00FD000E" w:rsidRPr="00A41DFF">
        <w:rPr>
          <w:lang w:val="en-GB"/>
        </w:rPr>
        <w:t xml:space="preserve"> with each line of new therapy, a </w:t>
      </w:r>
      <w:r w:rsidR="000728A8">
        <w:rPr>
          <w:lang w:val="en-GB"/>
        </w:rPr>
        <w:t>substantial</w:t>
      </w:r>
      <w:r w:rsidR="000728A8" w:rsidRPr="00A41DFF">
        <w:rPr>
          <w:lang w:val="en-GB"/>
        </w:rPr>
        <w:t xml:space="preserve"> </w:t>
      </w:r>
      <w:r w:rsidR="00FD000E" w:rsidRPr="00A41DFF">
        <w:rPr>
          <w:lang w:val="en-GB"/>
        </w:rPr>
        <w:t xml:space="preserve">proportion of </w:t>
      </w:r>
      <w:r w:rsidR="009B3D4B">
        <w:rPr>
          <w:lang w:val="en-GB"/>
        </w:rPr>
        <w:t>people</w:t>
      </w:r>
      <w:r w:rsidR="009B3D4B" w:rsidRPr="00A41DFF">
        <w:rPr>
          <w:lang w:val="en-GB"/>
        </w:rPr>
        <w:t xml:space="preserve"> </w:t>
      </w:r>
      <w:r w:rsidR="00FD000E" w:rsidRPr="00A41DFF">
        <w:rPr>
          <w:lang w:val="en-GB"/>
        </w:rPr>
        <w:t xml:space="preserve">stop </w:t>
      </w:r>
      <w:r w:rsidR="000728A8">
        <w:rPr>
          <w:lang w:val="en-GB"/>
        </w:rPr>
        <w:t>having</w:t>
      </w:r>
      <w:r w:rsidR="000728A8" w:rsidRPr="00A41DFF">
        <w:rPr>
          <w:lang w:val="en-GB"/>
        </w:rPr>
        <w:t xml:space="preserve"> </w:t>
      </w:r>
      <w:r w:rsidR="00FD000E" w:rsidRPr="00A41DFF">
        <w:rPr>
          <w:lang w:val="en-GB"/>
        </w:rPr>
        <w:t>treatment because they become too ill or have complications</w:t>
      </w:r>
      <w:r w:rsidR="000728A8">
        <w:rPr>
          <w:lang w:val="en-GB"/>
        </w:rPr>
        <w:t>. Therefore</w:t>
      </w:r>
      <w:r w:rsidR="00FD000E" w:rsidRPr="00A41DFF">
        <w:rPr>
          <w:lang w:val="en-GB"/>
        </w:rPr>
        <w:t xml:space="preserve">, the most effective treatments should be given as soon as possible. </w:t>
      </w:r>
      <w:r w:rsidR="000728A8">
        <w:rPr>
          <w:lang w:val="en-GB"/>
        </w:rPr>
        <w:t>Also</w:t>
      </w:r>
      <w:r w:rsidR="002E64BB" w:rsidRPr="00A41DFF">
        <w:rPr>
          <w:lang w:val="en-GB"/>
        </w:rPr>
        <w:t>,</w:t>
      </w:r>
      <w:r w:rsidR="00FD000E" w:rsidRPr="00A41DFF">
        <w:rPr>
          <w:lang w:val="en-GB"/>
        </w:rPr>
        <w:t xml:space="preserve"> the first remission is </w:t>
      </w:r>
      <w:r w:rsidR="002E64BB" w:rsidRPr="00A41DFF">
        <w:rPr>
          <w:lang w:val="en-GB"/>
        </w:rPr>
        <w:t>often</w:t>
      </w:r>
      <w:r w:rsidR="00FD000E" w:rsidRPr="00A41DFF">
        <w:rPr>
          <w:lang w:val="en-GB"/>
        </w:rPr>
        <w:t xml:space="preserve"> the ‘best’ remission</w:t>
      </w:r>
      <w:r w:rsidR="009B3D4B">
        <w:rPr>
          <w:lang w:val="en-GB"/>
        </w:rPr>
        <w:t xml:space="preserve"> because i</w:t>
      </w:r>
      <w:r w:rsidR="000728A8">
        <w:rPr>
          <w:lang w:val="en-GB"/>
        </w:rPr>
        <w:t>t is when people with the condition are</w:t>
      </w:r>
      <w:r w:rsidR="00FD000E" w:rsidRPr="00A41DFF">
        <w:rPr>
          <w:lang w:val="en-GB"/>
        </w:rPr>
        <w:t xml:space="preserve"> at their fittest</w:t>
      </w:r>
      <w:r w:rsidR="009B3D4B">
        <w:rPr>
          <w:lang w:val="en-GB"/>
        </w:rPr>
        <w:t>. It is also when they</w:t>
      </w:r>
      <w:r w:rsidR="00FD000E" w:rsidRPr="00A41DFF">
        <w:rPr>
          <w:lang w:val="en-GB"/>
        </w:rPr>
        <w:t xml:space="preserve"> ha</w:t>
      </w:r>
      <w:r w:rsidR="009B3D4B">
        <w:rPr>
          <w:lang w:val="en-GB"/>
        </w:rPr>
        <w:t>ve</w:t>
      </w:r>
      <w:r w:rsidR="00FD000E" w:rsidRPr="00A41DFF">
        <w:rPr>
          <w:lang w:val="en-GB"/>
        </w:rPr>
        <w:t xml:space="preserve"> the highest quality of </w:t>
      </w:r>
      <w:proofErr w:type="gramStart"/>
      <w:r w:rsidR="00FD000E" w:rsidRPr="00A41DFF">
        <w:rPr>
          <w:lang w:val="en-GB"/>
        </w:rPr>
        <w:t>life, before</w:t>
      </w:r>
      <w:proofErr w:type="gramEnd"/>
      <w:r w:rsidR="00FD000E" w:rsidRPr="00A41DFF">
        <w:rPr>
          <w:lang w:val="en-GB"/>
        </w:rPr>
        <w:t xml:space="preserve"> the negative </w:t>
      </w:r>
      <w:r w:rsidR="009B3D4B">
        <w:rPr>
          <w:lang w:val="en-GB"/>
        </w:rPr>
        <w:t>effect</w:t>
      </w:r>
      <w:r w:rsidR="009B3D4B" w:rsidRPr="00A41DFF">
        <w:rPr>
          <w:lang w:val="en-GB"/>
        </w:rPr>
        <w:t xml:space="preserve"> </w:t>
      </w:r>
      <w:r w:rsidR="00FD000E" w:rsidRPr="00A41DFF">
        <w:rPr>
          <w:lang w:val="en-GB"/>
        </w:rPr>
        <w:t>of the disease and its treatments</w:t>
      </w:r>
      <w:r w:rsidR="009B3D4B">
        <w:rPr>
          <w:lang w:val="en-GB"/>
        </w:rPr>
        <w:t xml:space="preserve"> have accumulated</w:t>
      </w:r>
      <w:r w:rsidR="00FD000E" w:rsidRPr="00A41DFF">
        <w:rPr>
          <w:lang w:val="en-GB"/>
        </w:rPr>
        <w:t>. Therefore,</w:t>
      </w:r>
      <w:r w:rsidR="00337745" w:rsidRPr="00A41DFF">
        <w:rPr>
          <w:lang w:val="en-GB"/>
        </w:rPr>
        <w:t xml:space="preserve"> extending the first remission maximises the chances of people maintaining </w:t>
      </w:r>
      <w:r w:rsidR="00FD000E" w:rsidRPr="00A41DFF">
        <w:rPr>
          <w:lang w:val="en-GB"/>
        </w:rPr>
        <w:t xml:space="preserve">a higher </w:t>
      </w:r>
      <w:r w:rsidR="00337745" w:rsidRPr="00A41DFF">
        <w:rPr>
          <w:lang w:val="en-GB"/>
        </w:rPr>
        <w:t>quality of life for the longest possible period.</w:t>
      </w:r>
      <w:r w:rsidR="00F458C1" w:rsidRPr="00A41DFF">
        <w:rPr>
          <w:lang w:val="en-GB"/>
        </w:rPr>
        <w:t xml:space="preserve"> </w:t>
      </w:r>
      <w:r w:rsidR="00EA3398" w:rsidRPr="00A41DFF">
        <w:rPr>
          <w:lang w:val="en-GB"/>
        </w:rPr>
        <w:t xml:space="preserve">The patient experts </w:t>
      </w:r>
      <w:r w:rsidR="009B3D4B">
        <w:rPr>
          <w:lang w:val="en-GB"/>
        </w:rPr>
        <w:t xml:space="preserve">also explained </w:t>
      </w:r>
      <w:r w:rsidR="00EA3398" w:rsidRPr="00A41DFF">
        <w:rPr>
          <w:lang w:val="en-GB"/>
        </w:rPr>
        <w:t xml:space="preserve">that lenalidomide </w:t>
      </w:r>
      <w:r w:rsidR="009B3D4B">
        <w:rPr>
          <w:lang w:val="en-GB"/>
        </w:rPr>
        <w:t>i</w:t>
      </w:r>
      <w:r w:rsidR="009B3D4B" w:rsidRPr="00A41DFF">
        <w:rPr>
          <w:lang w:val="en-GB"/>
        </w:rPr>
        <w:t>s</w:t>
      </w:r>
      <w:r w:rsidR="00EA3398" w:rsidRPr="00A41DFF">
        <w:rPr>
          <w:lang w:val="en-GB"/>
        </w:rPr>
        <w:t xml:space="preserve"> </w:t>
      </w:r>
      <w:r w:rsidR="00F86900">
        <w:rPr>
          <w:lang w:val="en-GB"/>
        </w:rPr>
        <w:t xml:space="preserve">a </w:t>
      </w:r>
      <w:r w:rsidR="00B241B6">
        <w:rPr>
          <w:lang w:val="en-GB"/>
        </w:rPr>
        <w:t>well-tolerated</w:t>
      </w:r>
      <w:r w:rsidR="0078789D">
        <w:rPr>
          <w:lang w:val="en-GB"/>
        </w:rPr>
        <w:t xml:space="preserve"> treat</w:t>
      </w:r>
      <w:r w:rsidR="00F86900">
        <w:rPr>
          <w:lang w:val="en-GB"/>
        </w:rPr>
        <w:t>ment</w:t>
      </w:r>
      <w:r w:rsidR="0078789D">
        <w:rPr>
          <w:lang w:val="en-GB"/>
        </w:rPr>
        <w:t xml:space="preserve"> </w:t>
      </w:r>
      <w:r w:rsidR="00347B76" w:rsidRPr="00A41DFF">
        <w:rPr>
          <w:lang w:val="en-GB"/>
        </w:rPr>
        <w:t xml:space="preserve">and </w:t>
      </w:r>
      <w:r w:rsidR="009B3D4B">
        <w:rPr>
          <w:lang w:val="en-GB"/>
        </w:rPr>
        <w:t xml:space="preserve">that, </w:t>
      </w:r>
      <w:r w:rsidR="009B3D4B" w:rsidRPr="00A41DFF">
        <w:rPr>
          <w:lang w:val="en-GB"/>
        </w:rPr>
        <w:t>during the ongoing COVID</w:t>
      </w:r>
      <w:r w:rsidR="009B3D4B">
        <w:rPr>
          <w:lang w:val="en-GB"/>
        </w:rPr>
        <w:noBreakHyphen/>
      </w:r>
      <w:r w:rsidR="009B3D4B" w:rsidRPr="00A41DFF">
        <w:rPr>
          <w:lang w:val="en-GB"/>
        </w:rPr>
        <w:t>19 pandemic</w:t>
      </w:r>
      <w:r w:rsidR="009B3D4B">
        <w:rPr>
          <w:lang w:val="en-GB"/>
        </w:rPr>
        <w:t>, it is</w:t>
      </w:r>
      <w:r w:rsidR="00347B76" w:rsidRPr="00A41DFF">
        <w:rPr>
          <w:lang w:val="en-GB"/>
        </w:rPr>
        <w:t xml:space="preserve"> particularly convenient</w:t>
      </w:r>
      <w:r w:rsidR="0067584E">
        <w:rPr>
          <w:lang w:val="en-GB"/>
        </w:rPr>
        <w:t>. This is</w:t>
      </w:r>
      <w:r w:rsidR="00347B76" w:rsidRPr="00A41DFF">
        <w:rPr>
          <w:lang w:val="en-GB"/>
        </w:rPr>
        <w:t xml:space="preserve"> </w:t>
      </w:r>
      <w:r w:rsidR="00366541">
        <w:rPr>
          <w:lang w:val="en-GB"/>
        </w:rPr>
        <w:t>because</w:t>
      </w:r>
      <w:r w:rsidR="009B3D4B">
        <w:rPr>
          <w:lang w:val="en-GB"/>
        </w:rPr>
        <w:t xml:space="preserve"> it is taken orally</w:t>
      </w:r>
      <w:r w:rsidR="007F22F4">
        <w:rPr>
          <w:lang w:val="en-GB"/>
        </w:rPr>
        <w:t xml:space="preserve"> and does not </w:t>
      </w:r>
      <w:r w:rsidR="0067584E">
        <w:rPr>
          <w:lang w:val="en-GB"/>
        </w:rPr>
        <w:t>need</w:t>
      </w:r>
      <w:r w:rsidR="007F22F4">
        <w:rPr>
          <w:lang w:val="en-GB"/>
        </w:rPr>
        <w:t xml:space="preserve"> a hospital visit</w:t>
      </w:r>
      <w:r w:rsidR="00347B76" w:rsidRPr="00A41DFF">
        <w:rPr>
          <w:lang w:val="en-GB"/>
        </w:rPr>
        <w:t>.</w:t>
      </w:r>
      <w:r w:rsidR="00EA3398" w:rsidRPr="00A41DFF">
        <w:rPr>
          <w:lang w:val="en-GB"/>
        </w:rPr>
        <w:t xml:space="preserve"> </w:t>
      </w:r>
      <w:r w:rsidR="00DF54F1" w:rsidRPr="00A41DFF">
        <w:rPr>
          <w:lang w:val="en-GB"/>
        </w:rPr>
        <w:t>The committee concluded that</w:t>
      </w:r>
      <w:r w:rsidR="00FD000E" w:rsidRPr="00A41DFF">
        <w:rPr>
          <w:lang w:val="en-GB"/>
        </w:rPr>
        <w:t>, if recommended,</w:t>
      </w:r>
      <w:r w:rsidR="00DF54F1" w:rsidRPr="00A41DFF">
        <w:rPr>
          <w:lang w:val="en-GB"/>
        </w:rPr>
        <w:t xml:space="preserve"> lenalidomide would replace </w:t>
      </w:r>
      <w:r w:rsidR="00366541">
        <w:rPr>
          <w:lang w:val="en-GB"/>
        </w:rPr>
        <w:t>monitoring</w:t>
      </w:r>
      <w:r w:rsidR="00366541" w:rsidRPr="00A41DFF">
        <w:rPr>
          <w:lang w:val="en-GB"/>
        </w:rPr>
        <w:t xml:space="preserve"> </w:t>
      </w:r>
      <w:r w:rsidR="00F86900">
        <w:rPr>
          <w:lang w:val="en-GB"/>
        </w:rPr>
        <w:t>for</w:t>
      </w:r>
      <w:r w:rsidR="00F86900" w:rsidRPr="00A41DFF">
        <w:rPr>
          <w:lang w:val="en-GB"/>
        </w:rPr>
        <w:t xml:space="preserve"> </w:t>
      </w:r>
      <w:r w:rsidR="009B3D4B">
        <w:rPr>
          <w:lang w:val="en-GB"/>
        </w:rPr>
        <w:t>most</w:t>
      </w:r>
      <w:r w:rsidR="00DF54F1" w:rsidRPr="00A41DFF">
        <w:rPr>
          <w:lang w:val="en-GB"/>
        </w:rPr>
        <w:t xml:space="preserve"> people </w:t>
      </w:r>
      <w:r w:rsidR="009B3D4B">
        <w:rPr>
          <w:lang w:val="en-GB"/>
        </w:rPr>
        <w:t xml:space="preserve">with newly diagnosed multiple myeloma </w:t>
      </w:r>
      <w:r w:rsidR="006162A3">
        <w:rPr>
          <w:lang w:val="en-GB"/>
        </w:rPr>
        <w:t>who have had</w:t>
      </w:r>
      <w:r w:rsidR="006162A3" w:rsidRPr="00A41DFF">
        <w:rPr>
          <w:lang w:val="en-GB"/>
        </w:rPr>
        <w:t xml:space="preserve"> </w:t>
      </w:r>
      <w:r w:rsidR="009B3D4B">
        <w:rPr>
          <w:lang w:val="en-GB"/>
        </w:rPr>
        <w:t xml:space="preserve">an autologous </w:t>
      </w:r>
      <w:r w:rsidR="00DF54F1" w:rsidRPr="00A41DFF">
        <w:rPr>
          <w:lang w:val="en-GB"/>
        </w:rPr>
        <w:t>stem cell transplant</w:t>
      </w:r>
      <w:r w:rsidR="00E56F5F">
        <w:rPr>
          <w:lang w:val="en-GB"/>
        </w:rPr>
        <w:t>.</w:t>
      </w:r>
    </w:p>
    <w:p w14:paraId="7409A007" w14:textId="383FA5F7" w:rsidR="00DF54F1" w:rsidRPr="00A41DFF" w:rsidRDefault="00424D9A" w:rsidP="00DF54F1">
      <w:pPr>
        <w:pStyle w:val="Heading3"/>
      </w:pPr>
      <w:bookmarkStart w:id="2" w:name="_S_ome_people"/>
      <w:bookmarkEnd w:id="2"/>
      <w:r>
        <w:t>T</w:t>
      </w:r>
      <w:r w:rsidR="00AF1B2A" w:rsidRPr="00A41DFF">
        <w:t xml:space="preserve">he number </w:t>
      </w:r>
      <w:r>
        <w:t>of</w:t>
      </w:r>
      <w:r w:rsidRPr="00A41DFF">
        <w:t xml:space="preserve"> people </w:t>
      </w:r>
      <w:r>
        <w:t>hav</w:t>
      </w:r>
      <w:r w:rsidR="001E3614">
        <w:t>ing</w:t>
      </w:r>
      <w:r w:rsidRPr="00A41DFF">
        <w:t xml:space="preserve"> a second </w:t>
      </w:r>
      <w:r>
        <w:t xml:space="preserve">autologous </w:t>
      </w:r>
      <w:r w:rsidRPr="00A41DFF">
        <w:t xml:space="preserve">stem cell transplant </w:t>
      </w:r>
      <w:r w:rsidR="00B227FA">
        <w:t>is</w:t>
      </w:r>
      <w:r w:rsidR="00B227FA" w:rsidRPr="00A41DFF">
        <w:t xml:space="preserve"> </w:t>
      </w:r>
      <w:r w:rsidR="00AF1B2A" w:rsidRPr="00A41DFF">
        <w:t xml:space="preserve">decreasing </w:t>
      </w:r>
      <w:r w:rsidR="00DC5FFE" w:rsidRPr="00A41DFF">
        <w:t>as alternative treatment options become available</w:t>
      </w:r>
    </w:p>
    <w:p w14:paraId="3023DF39" w14:textId="479D93E9" w:rsidR="00DC5FFE" w:rsidRPr="00A41DFF" w:rsidRDefault="00DC5FFE" w:rsidP="00F458C1">
      <w:pPr>
        <w:pStyle w:val="Numberedlevel2text"/>
        <w:rPr>
          <w:lang w:val="en-GB"/>
        </w:rPr>
      </w:pPr>
      <w:r w:rsidRPr="00A41DFF">
        <w:rPr>
          <w:lang w:val="en-GB"/>
        </w:rPr>
        <w:t>The committee discussed whether a</w:t>
      </w:r>
      <w:r w:rsidR="00DF54F1" w:rsidRPr="00A41DFF">
        <w:rPr>
          <w:lang w:val="en-GB"/>
        </w:rPr>
        <w:t xml:space="preserve"> second </w:t>
      </w:r>
      <w:r w:rsidR="009B3D4B">
        <w:rPr>
          <w:lang w:val="en-GB"/>
        </w:rPr>
        <w:t xml:space="preserve">autologous </w:t>
      </w:r>
      <w:r w:rsidR="00DF54F1" w:rsidRPr="00A41DFF">
        <w:rPr>
          <w:lang w:val="en-GB"/>
        </w:rPr>
        <w:t>stem cell transplant may be an option for some people</w:t>
      </w:r>
      <w:r w:rsidRPr="00A41DFF">
        <w:rPr>
          <w:lang w:val="en-GB"/>
        </w:rPr>
        <w:t xml:space="preserve"> </w:t>
      </w:r>
      <w:r w:rsidR="009B3D4B">
        <w:rPr>
          <w:lang w:val="en-GB"/>
        </w:rPr>
        <w:t>after</w:t>
      </w:r>
      <w:r w:rsidR="009B3D4B" w:rsidRPr="00A41DFF">
        <w:rPr>
          <w:lang w:val="en-GB"/>
        </w:rPr>
        <w:t xml:space="preserve"> </w:t>
      </w:r>
      <w:r w:rsidR="009B3D4B">
        <w:rPr>
          <w:lang w:val="en-GB"/>
        </w:rPr>
        <w:t>a</w:t>
      </w:r>
      <w:r w:rsidR="009B3D4B" w:rsidRPr="00A41DFF">
        <w:rPr>
          <w:lang w:val="en-GB"/>
        </w:rPr>
        <w:t xml:space="preserve"> </w:t>
      </w:r>
      <w:r w:rsidRPr="00A41DFF">
        <w:rPr>
          <w:lang w:val="en-GB"/>
        </w:rPr>
        <w:t>first relapse</w:t>
      </w:r>
      <w:r w:rsidR="00E7124F">
        <w:rPr>
          <w:lang w:val="en-GB"/>
        </w:rPr>
        <w:t xml:space="preserve"> after the</w:t>
      </w:r>
      <w:r w:rsidR="009B3D4B">
        <w:rPr>
          <w:lang w:val="en-GB"/>
        </w:rPr>
        <w:t>ir</w:t>
      </w:r>
      <w:r w:rsidR="00E7124F">
        <w:rPr>
          <w:lang w:val="en-GB"/>
        </w:rPr>
        <w:t xml:space="preserve"> first transplant</w:t>
      </w:r>
      <w:r w:rsidR="00A701C8" w:rsidRPr="00A41DFF">
        <w:rPr>
          <w:lang w:val="en-GB"/>
        </w:rPr>
        <w:t xml:space="preserve">. </w:t>
      </w:r>
      <w:r w:rsidR="00B227FA">
        <w:rPr>
          <w:lang w:val="en-GB"/>
        </w:rPr>
        <w:t>The</w:t>
      </w:r>
      <w:r w:rsidR="002E64BB" w:rsidRPr="00A41DFF">
        <w:rPr>
          <w:lang w:val="en-GB"/>
        </w:rPr>
        <w:t xml:space="preserve"> </w:t>
      </w:r>
      <w:r w:rsidRPr="00A41DFF">
        <w:rPr>
          <w:lang w:val="en-GB"/>
        </w:rPr>
        <w:t>company</w:t>
      </w:r>
      <w:r w:rsidR="009B3D4B">
        <w:rPr>
          <w:lang w:val="en-GB"/>
        </w:rPr>
        <w:t xml:space="preserve"> explained</w:t>
      </w:r>
      <w:r w:rsidRPr="00A41DFF">
        <w:rPr>
          <w:lang w:val="en-GB"/>
        </w:rPr>
        <w:t xml:space="preserve"> that second transplants would be highly unlikely in clinical practice, while the ERG </w:t>
      </w:r>
      <w:r w:rsidR="002E64BB" w:rsidRPr="00A41DFF">
        <w:rPr>
          <w:lang w:val="en-GB"/>
        </w:rPr>
        <w:t xml:space="preserve">stated </w:t>
      </w:r>
      <w:r w:rsidRPr="00A41DFF">
        <w:rPr>
          <w:lang w:val="en-GB"/>
        </w:rPr>
        <w:t>that they are a relevant option.</w:t>
      </w:r>
      <w:r w:rsidR="00F458C1" w:rsidRPr="00A41DFF">
        <w:rPr>
          <w:lang w:val="en-GB"/>
        </w:rPr>
        <w:t xml:space="preserve"> </w:t>
      </w:r>
      <w:r w:rsidR="009B3D4B">
        <w:rPr>
          <w:lang w:val="en-GB"/>
        </w:rPr>
        <w:t>The c</w:t>
      </w:r>
      <w:r w:rsidR="00A701C8" w:rsidRPr="00A41DFF">
        <w:rPr>
          <w:lang w:val="en-GB"/>
        </w:rPr>
        <w:t xml:space="preserve">linical experts advised that </w:t>
      </w:r>
      <w:r w:rsidR="00AF1B2A" w:rsidRPr="00A41DFF">
        <w:rPr>
          <w:lang w:val="en-GB"/>
        </w:rPr>
        <w:t>about 5</w:t>
      </w:r>
      <w:r w:rsidR="009B3D4B">
        <w:rPr>
          <w:lang w:val="en-GB"/>
        </w:rPr>
        <w:t>%</w:t>
      </w:r>
      <w:r w:rsidR="00AF1B2A" w:rsidRPr="00A41DFF">
        <w:rPr>
          <w:lang w:val="en-GB"/>
        </w:rPr>
        <w:t xml:space="preserve"> to 10% of people get a second transplant</w:t>
      </w:r>
      <w:r w:rsidR="00295FD2">
        <w:rPr>
          <w:lang w:val="en-GB"/>
        </w:rPr>
        <w:t>.</w:t>
      </w:r>
      <w:r w:rsidR="00AF1B2A" w:rsidRPr="00A41DFF">
        <w:rPr>
          <w:lang w:val="en-GB"/>
        </w:rPr>
        <w:t xml:space="preserve"> </w:t>
      </w:r>
      <w:r w:rsidR="00295FD2">
        <w:rPr>
          <w:lang w:val="en-GB"/>
        </w:rPr>
        <w:t>M</w:t>
      </w:r>
      <w:r w:rsidR="009B3D4B">
        <w:rPr>
          <w:lang w:val="en-GB"/>
        </w:rPr>
        <w:t xml:space="preserve">ost of </w:t>
      </w:r>
      <w:r w:rsidR="00295FD2">
        <w:rPr>
          <w:lang w:val="en-GB"/>
        </w:rPr>
        <w:t>these people</w:t>
      </w:r>
      <w:r w:rsidR="009B3D4B">
        <w:rPr>
          <w:lang w:val="en-GB"/>
        </w:rPr>
        <w:t xml:space="preserve"> have had a</w:t>
      </w:r>
      <w:r w:rsidR="00A701C8" w:rsidRPr="00A41DFF">
        <w:rPr>
          <w:lang w:val="en-GB"/>
        </w:rPr>
        <w:t xml:space="preserve"> very long remission after their </w:t>
      </w:r>
      <w:r w:rsidR="00B31AFA">
        <w:rPr>
          <w:lang w:val="en-GB"/>
        </w:rPr>
        <w:t xml:space="preserve">first </w:t>
      </w:r>
      <w:r w:rsidR="00A701C8" w:rsidRPr="00A41DFF">
        <w:rPr>
          <w:lang w:val="en-GB"/>
        </w:rPr>
        <w:t>transplant</w:t>
      </w:r>
      <w:r w:rsidR="00437132">
        <w:rPr>
          <w:lang w:val="en-GB"/>
        </w:rPr>
        <w:t xml:space="preserve"> and are fit enough to have a </w:t>
      </w:r>
      <w:r w:rsidR="00437132">
        <w:rPr>
          <w:lang w:val="en-GB"/>
        </w:rPr>
        <w:lastRenderedPageBreak/>
        <w:t>second transplant</w:t>
      </w:r>
      <w:r w:rsidR="00A701C8" w:rsidRPr="00A41DFF">
        <w:rPr>
          <w:lang w:val="en-GB"/>
        </w:rPr>
        <w:t xml:space="preserve">. </w:t>
      </w:r>
      <w:r w:rsidR="00B579F3">
        <w:rPr>
          <w:lang w:val="en-GB"/>
        </w:rPr>
        <w:t>The c</w:t>
      </w:r>
      <w:r w:rsidR="00AF1B2A" w:rsidRPr="00A41DFF">
        <w:rPr>
          <w:lang w:val="en-GB"/>
        </w:rPr>
        <w:t xml:space="preserve">linical and patient experts agreed that the availability of </w:t>
      </w:r>
      <w:r w:rsidR="00437132">
        <w:rPr>
          <w:lang w:val="en-GB"/>
        </w:rPr>
        <w:t xml:space="preserve">effective </w:t>
      </w:r>
      <w:r w:rsidR="00AF1B2A" w:rsidRPr="00A41DFF">
        <w:rPr>
          <w:lang w:val="en-GB"/>
        </w:rPr>
        <w:t>treatments in the Cancer Drugs Fund has led to decreasing rates of second transplants</w:t>
      </w:r>
      <w:r w:rsidR="00B579F3">
        <w:rPr>
          <w:lang w:val="en-GB"/>
        </w:rPr>
        <w:t>. They thought</w:t>
      </w:r>
      <w:r w:rsidR="00AF1B2A" w:rsidRPr="00A41DFF">
        <w:rPr>
          <w:lang w:val="en-GB"/>
        </w:rPr>
        <w:t xml:space="preserve"> that</w:t>
      </w:r>
      <w:r w:rsidR="001E3614" w:rsidRPr="001E3614">
        <w:rPr>
          <w:lang w:val="en-GB"/>
        </w:rPr>
        <w:t xml:space="preserve"> </w:t>
      </w:r>
      <w:r w:rsidR="001E3614" w:rsidRPr="00A41DFF">
        <w:rPr>
          <w:lang w:val="en-GB"/>
        </w:rPr>
        <w:t>these rates would d</w:t>
      </w:r>
      <w:r w:rsidR="00CE5512">
        <w:rPr>
          <w:lang w:val="en-GB"/>
        </w:rPr>
        <w:t>ecrease</w:t>
      </w:r>
      <w:r w:rsidR="001E3614" w:rsidRPr="00A41DFF">
        <w:rPr>
          <w:lang w:val="en-GB"/>
        </w:rPr>
        <w:t xml:space="preserve"> </w:t>
      </w:r>
      <w:r w:rsidR="00CE5512">
        <w:rPr>
          <w:lang w:val="en-GB"/>
        </w:rPr>
        <w:t>more</w:t>
      </w:r>
      <w:r w:rsidR="00AF1B2A" w:rsidRPr="00A41DFF">
        <w:rPr>
          <w:lang w:val="en-GB"/>
        </w:rPr>
        <w:t xml:space="preserve"> if lenalidomide maintenance </w:t>
      </w:r>
      <w:r w:rsidR="00B579F3">
        <w:rPr>
          <w:lang w:val="en-GB"/>
        </w:rPr>
        <w:t>treatment</w:t>
      </w:r>
      <w:r w:rsidR="00B579F3" w:rsidRPr="00A41DFF">
        <w:rPr>
          <w:lang w:val="en-GB"/>
        </w:rPr>
        <w:t xml:space="preserve"> </w:t>
      </w:r>
      <w:r w:rsidR="00CE5512">
        <w:rPr>
          <w:lang w:val="en-GB"/>
        </w:rPr>
        <w:t>wa</w:t>
      </w:r>
      <w:r w:rsidR="00B579F3">
        <w:rPr>
          <w:lang w:val="en-GB"/>
        </w:rPr>
        <w:t>s</w:t>
      </w:r>
      <w:r w:rsidR="00AF1B2A" w:rsidRPr="00A41DFF">
        <w:rPr>
          <w:lang w:val="en-GB"/>
        </w:rPr>
        <w:t xml:space="preserve"> recommended. The committee concluded that about 5</w:t>
      </w:r>
      <w:r w:rsidR="00B579F3">
        <w:rPr>
          <w:lang w:val="en-GB"/>
        </w:rPr>
        <w:t>%</w:t>
      </w:r>
      <w:r w:rsidR="00AF1B2A" w:rsidRPr="00A41DFF">
        <w:rPr>
          <w:lang w:val="en-GB"/>
        </w:rPr>
        <w:t xml:space="preserve"> to 10% of people currently get a second </w:t>
      </w:r>
      <w:r w:rsidR="00B579F3">
        <w:rPr>
          <w:lang w:val="en-GB"/>
        </w:rPr>
        <w:t xml:space="preserve">autologous </w:t>
      </w:r>
      <w:r w:rsidR="00AF1B2A" w:rsidRPr="00A41DFF">
        <w:rPr>
          <w:lang w:val="en-GB"/>
        </w:rPr>
        <w:t xml:space="preserve">stem cell transplant, but these numbers are likely to </w:t>
      </w:r>
      <w:r w:rsidR="00B579F3">
        <w:rPr>
          <w:lang w:val="en-GB"/>
        </w:rPr>
        <w:t>fall</w:t>
      </w:r>
      <w:r w:rsidR="00B579F3" w:rsidRPr="00A41DFF">
        <w:rPr>
          <w:lang w:val="en-GB"/>
        </w:rPr>
        <w:t xml:space="preserve"> </w:t>
      </w:r>
      <w:r w:rsidR="00AF1B2A" w:rsidRPr="00A41DFF">
        <w:rPr>
          <w:lang w:val="en-GB"/>
        </w:rPr>
        <w:t xml:space="preserve">in the future as alternative treatment options become </w:t>
      </w:r>
      <w:r w:rsidRPr="00A41DFF">
        <w:rPr>
          <w:lang w:val="en-GB"/>
        </w:rPr>
        <w:t>available</w:t>
      </w:r>
      <w:r w:rsidR="00AF1B2A" w:rsidRPr="00A41DFF">
        <w:rPr>
          <w:lang w:val="en-GB"/>
        </w:rPr>
        <w:t>.</w:t>
      </w:r>
    </w:p>
    <w:p w14:paraId="342186C1" w14:textId="02231664" w:rsidR="005267B2" w:rsidRPr="00A41DFF" w:rsidRDefault="005267B2" w:rsidP="005267B2">
      <w:pPr>
        <w:pStyle w:val="Heading2"/>
      </w:pPr>
      <w:r w:rsidRPr="00A41DFF">
        <w:t>Licensed dose</w:t>
      </w:r>
    </w:p>
    <w:p w14:paraId="053B7561" w14:textId="2B38BBE5" w:rsidR="005267B2" w:rsidRPr="00A41DFF" w:rsidRDefault="005267B2" w:rsidP="005267B2">
      <w:pPr>
        <w:pStyle w:val="Heading3"/>
      </w:pPr>
      <w:bookmarkStart w:id="3" w:name="_The_dosing_schedule"/>
      <w:bookmarkEnd w:id="3"/>
      <w:r w:rsidRPr="00A41DFF">
        <w:t xml:space="preserve">The dosing </w:t>
      </w:r>
      <w:r w:rsidR="00AC22BD">
        <w:t>schedule</w:t>
      </w:r>
      <w:r w:rsidR="00AC22BD" w:rsidRPr="00A41DFF">
        <w:t xml:space="preserve"> </w:t>
      </w:r>
      <w:r w:rsidRPr="00A41DFF">
        <w:t xml:space="preserve">that </w:t>
      </w:r>
      <w:r w:rsidR="007C5565" w:rsidRPr="00A41DFF">
        <w:t>would</w:t>
      </w:r>
      <w:r w:rsidR="00103668" w:rsidRPr="00A41DFF">
        <w:t xml:space="preserve"> be used</w:t>
      </w:r>
      <w:r w:rsidRPr="00A41DFF">
        <w:t xml:space="preserve"> in clinical practice is different to </w:t>
      </w:r>
      <w:r w:rsidR="00E926A7">
        <w:t xml:space="preserve">that in </w:t>
      </w:r>
      <w:r w:rsidRPr="00A41DFF">
        <w:t>the marketing authorisation</w:t>
      </w:r>
    </w:p>
    <w:p w14:paraId="09E69FD4" w14:textId="05CE7D4B" w:rsidR="00103668" w:rsidRPr="00A41DFF" w:rsidRDefault="00103668" w:rsidP="00011E8C">
      <w:pPr>
        <w:pStyle w:val="Numberedlevel2text"/>
        <w:rPr>
          <w:lang w:val="en-GB"/>
        </w:rPr>
      </w:pPr>
      <w:r w:rsidRPr="00A41DFF">
        <w:rPr>
          <w:lang w:val="en-GB"/>
        </w:rPr>
        <w:t xml:space="preserve">The lenalidomide marketing authorisation recommends </w:t>
      </w:r>
      <w:r w:rsidR="00E926A7">
        <w:rPr>
          <w:lang w:val="en-GB"/>
        </w:rPr>
        <w:t>a dosage of</w:t>
      </w:r>
      <w:r w:rsidR="00E926A7" w:rsidRPr="00A41DFF">
        <w:rPr>
          <w:lang w:val="en-GB"/>
        </w:rPr>
        <w:t xml:space="preserve"> </w:t>
      </w:r>
      <w:r w:rsidRPr="00A41DFF">
        <w:rPr>
          <w:lang w:val="en-GB"/>
        </w:rPr>
        <w:t>10</w:t>
      </w:r>
      <w:r w:rsidR="00E926A7">
        <w:rPr>
          <w:lang w:val="en-GB"/>
        </w:rPr>
        <w:t> </w:t>
      </w:r>
      <w:r w:rsidRPr="00A41DFF">
        <w:rPr>
          <w:lang w:val="en-GB"/>
        </w:rPr>
        <w:t>mg once daily on days</w:t>
      </w:r>
      <w:r w:rsidR="00E926A7">
        <w:rPr>
          <w:lang w:val="en-GB"/>
        </w:rPr>
        <w:t> </w:t>
      </w:r>
      <w:r w:rsidRPr="00A41DFF">
        <w:rPr>
          <w:lang w:val="en-GB"/>
        </w:rPr>
        <w:t>1 to</w:t>
      </w:r>
      <w:r w:rsidR="00E926A7">
        <w:rPr>
          <w:lang w:val="en-GB"/>
        </w:rPr>
        <w:t> </w:t>
      </w:r>
      <w:r w:rsidRPr="00A41DFF">
        <w:rPr>
          <w:lang w:val="en-GB"/>
        </w:rPr>
        <w:t>28 of repeated 28</w:t>
      </w:r>
      <w:r w:rsidR="00E926A7">
        <w:rPr>
          <w:lang w:val="en-GB"/>
        </w:rPr>
        <w:noBreakHyphen/>
      </w:r>
      <w:r w:rsidRPr="00A41DFF">
        <w:rPr>
          <w:lang w:val="en-GB"/>
        </w:rPr>
        <w:t xml:space="preserve">day cycles. However, the </w:t>
      </w:r>
      <w:r w:rsidR="00457CD3">
        <w:rPr>
          <w:lang w:val="en-GB"/>
        </w:rPr>
        <w:t>dosage</w:t>
      </w:r>
      <w:r w:rsidRPr="00A41DFF">
        <w:rPr>
          <w:lang w:val="en-GB"/>
        </w:rPr>
        <w:t xml:space="preserve"> in the company</w:t>
      </w:r>
      <w:r w:rsidR="007C5565" w:rsidRPr="00A41DFF">
        <w:rPr>
          <w:lang w:val="en-GB"/>
        </w:rPr>
        <w:t>’s</w:t>
      </w:r>
      <w:r w:rsidRPr="00A41DFF">
        <w:rPr>
          <w:lang w:val="en-GB"/>
        </w:rPr>
        <w:t xml:space="preserve"> submission is 10</w:t>
      </w:r>
      <w:r w:rsidR="00457CD3">
        <w:rPr>
          <w:lang w:val="en-GB"/>
        </w:rPr>
        <w:t> </w:t>
      </w:r>
      <w:r w:rsidRPr="00A41DFF">
        <w:rPr>
          <w:lang w:val="en-GB"/>
        </w:rPr>
        <w:t>mg once daily on days</w:t>
      </w:r>
      <w:r w:rsidR="00457CD3">
        <w:rPr>
          <w:lang w:val="en-GB"/>
        </w:rPr>
        <w:t> </w:t>
      </w:r>
      <w:r w:rsidRPr="00A41DFF">
        <w:rPr>
          <w:lang w:val="en-GB"/>
        </w:rPr>
        <w:t>1 to</w:t>
      </w:r>
      <w:r w:rsidR="00457CD3">
        <w:rPr>
          <w:lang w:val="en-GB"/>
        </w:rPr>
        <w:t> </w:t>
      </w:r>
      <w:r w:rsidRPr="00A41DFF">
        <w:rPr>
          <w:lang w:val="en-GB"/>
        </w:rPr>
        <w:t>2</w:t>
      </w:r>
      <w:r w:rsidR="007C5565" w:rsidRPr="00A41DFF">
        <w:rPr>
          <w:lang w:val="en-GB"/>
        </w:rPr>
        <w:t>1</w:t>
      </w:r>
      <w:r w:rsidRPr="00A41DFF">
        <w:rPr>
          <w:lang w:val="en-GB"/>
        </w:rPr>
        <w:t xml:space="preserve"> of repeated 28</w:t>
      </w:r>
      <w:r w:rsidR="00457CD3">
        <w:rPr>
          <w:lang w:val="en-GB"/>
        </w:rPr>
        <w:noBreakHyphen/>
      </w:r>
      <w:r w:rsidRPr="00A41DFF">
        <w:rPr>
          <w:lang w:val="en-GB"/>
        </w:rPr>
        <w:t xml:space="preserve">day cycles. This was also the dosing </w:t>
      </w:r>
      <w:r w:rsidR="006D4804">
        <w:rPr>
          <w:lang w:val="en-GB"/>
        </w:rPr>
        <w:t>schedule</w:t>
      </w:r>
      <w:r w:rsidR="006D4804" w:rsidRPr="00A41DFF">
        <w:rPr>
          <w:lang w:val="en-GB"/>
        </w:rPr>
        <w:t xml:space="preserve"> </w:t>
      </w:r>
      <w:r w:rsidRPr="00A41DFF">
        <w:rPr>
          <w:lang w:val="en-GB"/>
        </w:rPr>
        <w:t>used in Myeloma</w:t>
      </w:r>
      <w:r w:rsidR="00457CD3">
        <w:rPr>
          <w:lang w:val="en-GB"/>
        </w:rPr>
        <w:t> </w:t>
      </w:r>
      <w:r w:rsidRPr="00A41DFF">
        <w:rPr>
          <w:lang w:val="en-GB"/>
        </w:rPr>
        <w:t xml:space="preserve">XI, which </w:t>
      </w:r>
      <w:r w:rsidR="0048635A">
        <w:rPr>
          <w:lang w:val="en-GB"/>
        </w:rPr>
        <w:t>wa</w:t>
      </w:r>
      <w:r w:rsidRPr="00A41DFF">
        <w:rPr>
          <w:lang w:val="en-GB"/>
        </w:rPr>
        <w:t>s the main source of clinical evidence in the company’s submission.</w:t>
      </w:r>
      <w:r w:rsidR="00F458C1" w:rsidRPr="00A41DFF">
        <w:rPr>
          <w:lang w:val="en-GB"/>
        </w:rPr>
        <w:t xml:space="preserve"> </w:t>
      </w:r>
      <w:r w:rsidRPr="00A41DFF">
        <w:rPr>
          <w:lang w:val="en-GB"/>
        </w:rPr>
        <w:t xml:space="preserve">The company </w:t>
      </w:r>
      <w:r w:rsidR="00D96989" w:rsidRPr="00A41DFF">
        <w:rPr>
          <w:lang w:val="en-GB"/>
        </w:rPr>
        <w:t xml:space="preserve">stated </w:t>
      </w:r>
      <w:r w:rsidRPr="00A41DFF">
        <w:rPr>
          <w:lang w:val="en-GB"/>
        </w:rPr>
        <w:t xml:space="preserve">that </w:t>
      </w:r>
      <w:r w:rsidR="00515680" w:rsidRPr="00A41DFF">
        <w:rPr>
          <w:lang w:val="en-GB"/>
        </w:rPr>
        <w:t>21</w:t>
      </w:r>
      <w:r w:rsidR="00457CD3">
        <w:rPr>
          <w:lang w:val="en-GB"/>
        </w:rPr>
        <w:t> </w:t>
      </w:r>
      <w:r w:rsidR="00515680" w:rsidRPr="00A41DFF">
        <w:rPr>
          <w:lang w:val="en-GB"/>
        </w:rPr>
        <w:t>days of dosing followed by a 7</w:t>
      </w:r>
      <w:r w:rsidR="00457CD3">
        <w:rPr>
          <w:lang w:val="en-GB"/>
        </w:rPr>
        <w:noBreakHyphen/>
      </w:r>
      <w:proofErr w:type="gramStart"/>
      <w:r w:rsidR="00515680" w:rsidRPr="00A41DFF">
        <w:rPr>
          <w:lang w:val="en-GB"/>
        </w:rPr>
        <w:t>day break</w:t>
      </w:r>
      <w:proofErr w:type="gramEnd"/>
      <w:r w:rsidR="00515680" w:rsidRPr="00A41DFF">
        <w:rPr>
          <w:lang w:val="en-GB"/>
        </w:rPr>
        <w:t xml:space="preserve"> would be used in the NHS</w:t>
      </w:r>
      <w:r w:rsidR="00457CD3">
        <w:rPr>
          <w:lang w:val="en-GB"/>
        </w:rPr>
        <w:t>. This is</w:t>
      </w:r>
      <w:r w:rsidR="00515680" w:rsidRPr="00A41DFF">
        <w:rPr>
          <w:lang w:val="en-GB"/>
        </w:rPr>
        <w:t xml:space="preserve"> because it is used for all other lenalidomide indications </w:t>
      </w:r>
      <w:r w:rsidR="00457CD3">
        <w:rPr>
          <w:lang w:val="en-GB"/>
        </w:rPr>
        <w:t xml:space="preserve">and is the dosage that </w:t>
      </w:r>
      <w:r w:rsidR="00515680" w:rsidRPr="00A41DFF">
        <w:rPr>
          <w:lang w:val="en-GB"/>
        </w:rPr>
        <w:t>healthcare professionals</w:t>
      </w:r>
      <w:r w:rsidRPr="00A41DFF">
        <w:rPr>
          <w:lang w:val="en-GB"/>
        </w:rPr>
        <w:t xml:space="preserve"> are </w:t>
      </w:r>
      <w:r w:rsidR="00AF1B2A" w:rsidRPr="00A41DFF">
        <w:rPr>
          <w:lang w:val="en-GB"/>
        </w:rPr>
        <w:t>familiar with</w:t>
      </w:r>
      <w:r w:rsidR="007C5565" w:rsidRPr="00A41DFF">
        <w:rPr>
          <w:lang w:val="en-GB"/>
        </w:rPr>
        <w:t xml:space="preserve">. </w:t>
      </w:r>
      <w:r w:rsidR="00F054CD" w:rsidRPr="00A41DFF">
        <w:rPr>
          <w:lang w:val="en-GB"/>
        </w:rPr>
        <w:t>The company highlighted that</w:t>
      </w:r>
      <w:r w:rsidR="007C5565" w:rsidRPr="00A41DFF">
        <w:rPr>
          <w:lang w:val="en-GB"/>
        </w:rPr>
        <w:t xml:space="preserve"> there may be safety and tolerability benefits associated with having a treatment-free week</w:t>
      </w:r>
      <w:r w:rsidR="00457CD3">
        <w:rPr>
          <w:lang w:val="en-GB"/>
        </w:rPr>
        <w:t>. It added that this might mean that</w:t>
      </w:r>
      <w:r w:rsidR="00F054CD" w:rsidRPr="00A41DFF">
        <w:rPr>
          <w:lang w:val="en-GB"/>
        </w:rPr>
        <w:t xml:space="preserve"> people </w:t>
      </w:r>
      <w:r w:rsidR="00457CD3">
        <w:rPr>
          <w:lang w:val="en-GB"/>
        </w:rPr>
        <w:t xml:space="preserve">would </w:t>
      </w:r>
      <w:r w:rsidR="00F054CD" w:rsidRPr="00A41DFF">
        <w:rPr>
          <w:lang w:val="en-GB"/>
        </w:rPr>
        <w:t>stay on lenalidomide treatment for longer overall with the 21</w:t>
      </w:r>
      <w:r w:rsidR="00457CD3">
        <w:rPr>
          <w:lang w:val="en-GB"/>
        </w:rPr>
        <w:noBreakHyphen/>
      </w:r>
      <w:r w:rsidR="00F054CD" w:rsidRPr="00A41DFF">
        <w:rPr>
          <w:lang w:val="en-GB"/>
        </w:rPr>
        <w:t xml:space="preserve">day schedule compared </w:t>
      </w:r>
      <w:r w:rsidR="00457CD3">
        <w:rPr>
          <w:lang w:val="en-GB"/>
        </w:rPr>
        <w:t>with</w:t>
      </w:r>
      <w:r w:rsidR="00457CD3" w:rsidRPr="00A41DFF">
        <w:rPr>
          <w:lang w:val="en-GB"/>
        </w:rPr>
        <w:t xml:space="preserve"> </w:t>
      </w:r>
      <w:r w:rsidR="00F054CD" w:rsidRPr="00A41DFF">
        <w:rPr>
          <w:lang w:val="en-GB"/>
        </w:rPr>
        <w:t>the 28</w:t>
      </w:r>
      <w:r w:rsidR="00457CD3">
        <w:rPr>
          <w:lang w:val="en-GB"/>
        </w:rPr>
        <w:noBreakHyphen/>
      </w:r>
      <w:r w:rsidR="00F054CD" w:rsidRPr="00A41DFF">
        <w:rPr>
          <w:lang w:val="en-GB"/>
        </w:rPr>
        <w:t>day schedule</w:t>
      </w:r>
      <w:r w:rsidR="007C5565" w:rsidRPr="00A41DFF">
        <w:rPr>
          <w:lang w:val="en-GB"/>
        </w:rPr>
        <w:t>.</w:t>
      </w:r>
      <w:r w:rsidR="00EA3398" w:rsidRPr="00A41DFF">
        <w:rPr>
          <w:lang w:val="en-GB"/>
        </w:rPr>
        <w:t xml:space="preserve"> </w:t>
      </w:r>
      <w:r w:rsidR="00457CD3">
        <w:rPr>
          <w:lang w:val="en-GB"/>
        </w:rPr>
        <w:t xml:space="preserve">It claimed that </w:t>
      </w:r>
      <w:r w:rsidR="00B31AFA">
        <w:rPr>
          <w:lang w:val="en-GB"/>
        </w:rPr>
        <w:t>using</w:t>
      </w:r>
      <w:r w:rsidR="00B31AFA" w:rsidRPr="00A41DFF">
        <w:rPr>
          <w:lang w:val="en-GB"/>
        </w:rPr>
        <w:t xml:space="preserve"> a </w:t>
      </w:r>
      <w:r w:rsidR="00B31AFA">
        <w:rPr>
          <w:lang w:val="en-GB"/>
        </w:rPr>
        <w:t xml:space="preserve">lenalidomide </w:t>
      </w:r>
      <w:r w:rsidR="00B31AFA" w:rsidRPr="00A41DFF">
        <w:rPr>
          <w:lang w:val="en-GB"/>
        </w:rPr>
        <w:t>dos</w:t>
      </w:r>
      <w:r w:rsidR="00B31AFA">
        <w:rPr>
          <w:lang w:val="en-GB"/>
        </w:rPr>
        <w:t>age that is</w:t>
      </w:r>
      <w:r w:rsidR="00B31AFA" w:rsidRPr="00A41DFF">
        <w:rPr>
          <w:lang w:val="en-GB"/>
        </w:rPr>
        <w:t xml:space="preserve"> tolerate</w:t>
      </w:r>
      <w:r w:rsidR="00B31AFA">
        <w:rPr>
          <w:lang w:val="en-GB"/>
        </w:rPr>
        <w:t>d</w:t>
      </w:r>
      <w:r w:rsidR="00B31AFA" w:rsidRPr="00A41DFF">
        <w:rPr>
          <w:lang w:val="en-GB"/>
        </w:rPr>
        <w:t xml:space="preserve"> for as long as possible</w:t>
      </w:r>
      <w:r w:rsidR="00B31AFA">
        <w:rPr>
          <w:lang w:val="en-GB"/>
        </w:rPr>
        <w:t xml:space="preserve"> </w:t>
      </w:r>
      <w:r w:rsidR="00457CD3">
        <w:rPr>
          <w:lang w:val="en-GB"/>
        </w:rPr>
        <w:t xml:space="preserve">would </w:t>
      </w:r>
      <w:r w:rsidR="00EA3398" w:rsidRPr="00A41DFF">
        <w:rPr>
          <w:lang w:val="en-GB"/>
        </w:rPr>
        <w:t xml:space="preserve">fit with the aim of maintenance treatment, which is to avoid relapse for as long as possible. </w:t>
      </w:r>
      <w:r w:rsidR="00347B76" w:rsidRPr="00A41DFF">
        <w:rPr>
          <w:lang w:val="en-GB"/>
        </w:rPr>
        <w:t xml:space="preserve">The company explained that the only reason </w:t>
      </w:r>
      <w:r w:rsidR="008C3B18">
        <w:rPr>
          <w:lang w:val="en-GB"/>
        </w:rPr>
        <w:t>t</w:t>
      </w:r>
      <w:r w:rsidR="00347B76" w:rsidRPr="00A41DFF">
        <w:rPr>
          <w:lang w:val="en-GB"/>
        </w:rPr>
        <w:t>he licence specifie</w:t>
      </w:r>
      <w:r w:rsidR="008C3B18">
        <w:rPr>
          <w:lang w:val="en-GB"/>
        </w:rPr>
        <w:t>s</w:t>
      </w:r>
      <w:r w:rsidR="00347B76" w:rsidRPr="00A41DFF">
        <w:rPr>
          <w:lang w:val="en-GB"/>
        </w:rPr>
        <w:t xml:space="preserve"> a 28</w:t>
      </w:r>
      <w:r w:rsidR="00457CD3">
        <w:rPr>
          <w:lang w:val="en-GB"/>
        </w:rPr>
        <w:noBreakHyphen/>
      </w:r>
      <w:r w:rsidR="00347B76" w:rsidRPr="00A41DFF">
        <w:rPr>
          <w:lang w:val="en-GB"/>
        </w:rPr>
        <w:t xml:space="preserve">day dosing schedule </w:t>
      </w:r>
      <w:r w:rsidR="008C3B18">
        <w:rPr>
          <w:lang w:val="en-GB"/>
        </w:rPr>
        <w:t>i</w:t>
      </w:r>
      <w:r w:rsidR="00347B76" w:rsidRPr="00A41DFF">
        <w:rPr>
          <w:lang w:val="en-GB"/>
        </w:rPr>
        <w:t xml:space="preserve">s because the </w:t>
      </w:r>
      <w:r w:rsidR="008C3B18">
        <w:rPr>
          <w:lang w:val="en-GB"/>
        </w:rPr>
        <w:t xml:space="preserve">marketing authorisation was </w:t>
      </w:r>
      <w:r w:rsidR="00A41DFF" w:rsidRPr="00A41DFF">
        <w:rPr>
          <w:lang w:val="en-GB"/>
        </w:rPr>
        <w:t xml:space="preserve">based on the </w:t>
      </w:r>
      <w:r w:rsidR="008C3B18">
        <w:rPr>
          <w:lang w:val="en-GB"/>
        </w:rPr>
        <w:t>CALGB</w:t>
      </w:r>
      <w:r w:rsidR="00457CD3">
        <w:rPr>
          <w:lang w:val="en-GB"/>
        </w:rPr>
        <w:t> </w:t>
      </w:r>
      <w:r w:rsidR="008C3B18">
        <w:rPr>
          <w:lang w:val="en-GB"/>
        </w:rPr>
        <w:t>100104</w:t>
      </w:r>
      <w:r w:rsidR="00A41DFF" w:rsidRPr="00A41DFF">
        <w:rPr>
          <w:lang w:val="en-GB"/>
        </w:rPr>
        <w:t xml:space="preserve"> and </w:t>
      </w:r>
      <w:r w:rsidR="008C3B18">
        <w:rPr>
          <w:lang w:val="en-GB"/>
        </w:rPr>
        <w:t>IFM</w:t>
      </w:r>
      <w:r w:rsidR="00457CD3">
        <w:rPr>
          <w:lang w:val="en-GB"/>
        </w:rPr>
        <w:t> </w:t>
      </w:r>
      <w:r w:rsidR="008C3B18">
        <w:rPr>
          <w:lang w:val="en-GB"/>
        </w:rPr>
        <w:t>2005</w:t>
      </w:r>
      <w:r w:rsidR="00457CD3">
        <w:rPr>
          <w:lang w:val="en-GB"/>
        </w:rPr>
        <w:noBreakHyphen/>
      </w:r>
      <w:r w:rsidR="008C3B18">
        <w:rPr>
          <w:lang w:val="en-GB"/>
        </w:rPr>
        <w:t>02</w:t>
      </w:r>
      <w:r w:rsidR="00A41DFF" w:rsidRPr="00A41DFF">
        <w:rPr>
          <w:lang w:val="en-GB"/>
        </w:rPr>
        <w:t xml:space="preserve"> trials, both of which </w:t>
      </w:r>
      <w:r w:rsidR="00A41DFF">
        <w:rPr>
          <w:lang w:val="en-GB"/>
        </w:rPr>
        <w:t>used a 28</w:t>
      </w:r>
      <w:r w:rsidR="00457CD3">
        <w:rPr>
          <w:lang w:val="en-GB"/>
        </w:rPr>
        <w:noBreakHyphen/>
      </w:r>
      <w:r w:rsidR="00A41DFF">
        <w:rPr>
          <w:lang w:val="en-GB"/>
        </w:rPr>
        <w:t xml:space="preserve">day dosing schedule. </w:t>
      </w:r>
      <w:r w:rsidR="00E56BF5">
        <w:rPr>
          <w:lang w:val="en-GB"/>
        </w:rPr>
        <w:t xml:space="preserve">The company also explained that, despite dose </w:t>
      </w:r>
      <w:r w:rsidR="00546BC7">
        <w:rPr>
          <w:lang w:val="en-GB"/>
        </w:rPr>
        <w:t xml:space="preserve">increases </w:t>
      </w:r>
      <w:r w:rsidR="00E56BF5">
        <w:rPr>
          <w:lang w:val="en-GB"/>
        </w:rPr>
        <w:t>from 10</w:t>
      </w:r>
      <w:r w:rsidR="00546BC7">
        <w:rPr>
          <w:lang w:val="en-GB"/>
        </w:rPr>
        <w:t> </w:t>
      </w:r>
      <w:r w:rsidR="00E56BF5">
        <w:rPr>
          <w:lang w:val="en-GB"/>
        </w:rPr>
        <w:t>mg to 15</w:t>
      </w:r>
      <w:r w:rsidR="00546BC7">
        <w:rPr>
          <w:lang w:val="en-GB"/>
        </w:rPr>
        <w:t> </w:t>
      </w:r>
      <w:r w:rsidR="00E56BF5">
        <w:rPr>
          <w:lang w:val="en-GB"/>
        </w:rPr>
        <w:t xml:space="preserve">mg allowed in the </w:t>
      </w:r>
      <w:r w:rsidR="00102FC4">
        <w:rPr>
          <w:lang w:val="en-GB"/>
        </w:rPr>
        <w:t>licence</w:t>
      </w:r>
      <w:r w:rsidR="00E56BF5">
        <w:rPr>
          <w:lang w:val="en-GB"/>
        </w:rPr>
        <w:t>, th</w:t>
      </w:r>
      <w:r w:rsidR="00546BC7">
        <w:rPr>
          <w:lang w:val="en-GB"/>
        </w:rPr>
        <w:t>is</w:t>
      </w:r>
      <w:r w:rsidR="00E56BF5">
        <w:rPr>
          <w:lang w:val="en-GB"/>
        </w:rPr>
        <w:t xml:space="preserve"> would be </w:t>
      </w:r>
      <w:r w:rsidR="00E56BF5">
        <w:rPr>
          <w:lang w:val="en-GB"/>
        </w:rPr>
        <w:lastRenderedPageBreak/>
        <w:t>unlikely in clinical practice</w:t>
      </w:r>
      <w:r w:rsidR="000A5423">
        <w:rPr>
          <w:lang w:val="en-GB"/>
        </w:rPr>
        <w:t>. This is</w:t>
      </w:r>
      <w:r w:rsidR="00E56BF5">
        <w:rPr>
          <w:lang w:val="en-GB"/>
        </w:rPr>
        <w:t xml:space="preserve"> because the risk of safety and tolerability issues would be higher with the 15</w:t>
      </w:r>
      <w:r w:rsidR="00546BC7">
        <w:rPr>
          <w:lang w:val="en-GB"/>
        </w:rPr>
        <w:t> </w:t>
      </w:r>
      <w:r w:rsidR="00E56BF5">
        <w:rPr>
          <w:lang w:val="en-GB"/>
        </w:rPr>
        <w:t xml:space="preserve">mg dose. </w:t>
      </w:r>
      <w:r w:rsidR="00D96989" w:rsidRPr="00A41DFF">
        <w:rPr>
          <w:lang w:val="en-GB"/>
        </w:rPr>
        <w:t>The committee heard unanimous support for</w:t>
      </w:r>
      <w:r w:rsidR="00A41DFF">
        <w:rPr>
          <w:lang w:val="en-GB"/>
        </w:rPr>
        <w:t>,</w:t>
      </w:r>
      <w:r w:rsidR="00D96989" w:rsidRPr="00A41DFF">
        <w:rPr>
          <w:lang w:val="en-GB"/>
        </w:rPr>
        <w:t xml:space="preserve"> </w:t>
      </w:r>
      <w:r w:rsidR="00A41DFF">
        <w:rPr>
          <w:lang w:val="en-GB"/>
        </w:rPr>
        <w:t>and agreement with, all</w:t>
      </w:r>
      <w:r w:rsidR="008C3B18">
        <w:rPr>
          <w:lang w:val="en-GB"/>
        </w:rPr>
        <w:t xml:space="preserve"> of the</w:t>
      </w:r>
      <w:r w:rsidR="00D96989" w:rsidRPr="00A41DFF">
        <w:rPr>
          <w:lang w:val="en-GB"/>
        </w:rPr>
        <w:t xml:space="preserve"> company’s views </w:t>
      </w:r>
      <w:r w:rsidR="00A41DFF">
        <w:rPr>
          <w:lang w:val="en-GB"/>
        </w:rPr>
        <w:t xml:space="preserve">on the dosing schedule </w:t>
      </w:r>
      <w:r w:rsidR="00D96989" w:rsidRPr="00A41DFF">
        <w:rPr>
          <w:lang w:val="en-GB"/>
        </w:rPr>
        <w:t>from the ERG</w:t>
      </w:r>
      <w:r w:rsidR="00B554D8">
        <w:rPr>
          <w:lang w:val="en-GB"/>
        </w:rPr>
        <w:t>,</w:t>
      </w:r>
      <w:r w:rsidR="00D96989" w:rsidRPr="00A41DFF">
        <w:rPr>
          <w:lang w:val="en-GB"/>
        </w:rPr>
        <w:t xml:space="preserve"> </w:t>
      </w:r>
      <w:r w:rsidR="00457CD3">
        <w:rPr>
          <w:lang w:val="en-GB"/>
        </w:rPr>
        <w:t xml:space="preserve">the </w:t>
      </w:r>
      <w:r w:rsidR="00D96989" w:rsidRPr="00A41DFF">
        <w:rPr>
          <w:lang w:val="en-GB"/>
        </w:rPr>
        <w:t>patient and clinical experts</w:t>
      </w:r>
      <w:r w:rsidR="00457CD3">
        <w:rPr>
          <w:lang w:val="en-GB"/>
        </w:rPr>
        <w:t>,</w:t>
      </w:r>
      <w:r w:rsidR="00B554D8">
        <w:rPr>
          <w:lang w:val="en-GB"/>
        </w:rPr>
        <w:t xml:space="preserve"> and other stakeholders</w:t>
      </w:r>
      <w:r w:rsidR="007C5565" w:rsidRPr="00A41DFF">
        <w:rPr>
          <w:lang w:val="en-GB"/>
        </w:rPr>
        <w:t>.</w:t>
      </w:r>
      <w:r w:rsidR="00EA3398" w:rsidRPr="00A41DFF">
        <w:rPr>
          <w:lang w:val="en-GB"/>
        </w:rPr>
        <w:t xml:space="preserve"> </w:t>
      </w:r>
      <w:r w:rsidR="007C5565" w:rsidRPr="00A41DFF">
        <w:rPr>
          <w:lang w:val="en-GB"/>
        </w:rPr>
        <w:t xml:space="preserve">The committee concluded that </w:t>
      </w:r>
      <w:r w:rsidR="00F458C1" w:rsidRPr="00A41DFF">
        <w:rPr>
          <w:lang w:val="en-GB"/>
        </w:rPr>
        <w:t>a</w:t>
      </w:r>
      <w:r w:rsidR="007C5565" w:rsidRPr="00A41DFF">
        <w:rPr>
          <w:lang w:val="en-GB"/>
        </w:rPr>
        <w:t xml:space="preserve"> 21</w:t>
      </w:r>
      <w:r w:rsidR="00457CD3">
        <w:rPr>
          <w:lang w:val="en-GB"/>
        </w:rPr>
        <w:noBreakHyphen/>
      </w:r>
      <w:r w:rsidR="007C5565" w:rsidRPr="00A41DFF">
        <w:rPr>
          <w:lang w:val="en-GB"/>
        </w:rPr>
        <w:t xml:space="preserve">day dosing </w:t>
      </w:r>
      <w:r w:rsidR="00457CD3">
        <w:rPr>
          <w:lang w:val="en-GB"/>
        </w:rPr>
        <w:t>schedule</w:t>
      </w:r>
      <w:r w:rsidR="00457CD3" w:rsidRPr="00A41DFF">
        <w:rPr>
          <w:lang w:val="en-GB"/>
        </w:rPr>
        <w:t xml:space="preserve"> </w:t>
      </w:r>
      <w:r w:rsidR="007C5565" w:rsidRPr="00A41DFF">
        <w:rPr>
          <w:lang w:val="en-GB"/>
        </w:rPr>
        <w:t>would likely be used in clinical practice</w:t>
      </w:r>
      <w:r w:rsidR="009F08DF">
        <w:rPr>
          <w:lang w:val="en-GB"/>
        </w:rPr>
        <w:t xml:space="preserve">, </w:t>
      </w:r>
      <w:r w:rsidR="00AD3CB2">
        <w:rPr>
          <w:lang w:val="en-GB"/>
        </w:rPr>
        <w:t>but</w:t>
      </w:r>
      <w:r w:rsidR="009F08DF">
        <w:rPr>
          <w:lang w:val="en-GB"/>
        </w:rPr>
        <w:t xml:space="preserve"> </w:t>
      </w:r>
      <w:r w:rsidR="007F22F4">
        <w:rPr>
          <w:lang w:val="en-GB"/>
        </w:rPr>
        <w:t xml:space="preserve">it </w:t>
      </w:r>
      <w:r w:rsidR="009F08DF">
        <w:rPr>
          <w:lang w:val="en-GB"/>
        </w:rPr>
        <w:t>noted this is</w:t>
      </w:r>
      <w:r w:rsidR="007F22F4">
        <w:rPr>
          <w:lang w:val="en-GB"/>
        </w:rPr>
        <w:t xml:space="preserve"> off label</w:t>
      </w:r>
      <w:r w:rsidR="007C5565" w:rsidRPr="00A41DFF">
        <w:rPr>
          <w:lang w:val="en-GB"/>
        </w:rPr>
        <w:t>.</w:t>
      </w:r>
      <w:r w:rsidR="00A41DFF">
        <w:rPr>
          <w:lang w:val="en-GB"/>
        </w:rPr>
        <w:t xml:space="preserve"> </w:t>
      </w:r>
      <w:r w:rsidR="009F08DF">
        <w:rPr>
          <w:lang w:val="en-GB"/>
        </w:rPr>
        <w:t>I</w:t>
      </w:r>
      <w:r w:rsidR="006D4804">
        <w:rPr>
          <w:lang w:val="en-GB"/>
        </w:rPr>
        <w:t xml:space="preserve">t also concluded that </w:t>
      </w:r>
      <w:r w:rsidR="00A41DFF">
        <w:rPr>
          <w:lang w:val="en-GB"/>
        </w:rPr>
        <w:t>it would need to consider clinical</w:t>
      </w:r>
      <w:r w:rsidR="006D4804">
        <w:rPr>
          <w:lang w:val="en-GB"/>
        </w:rPr>
        <w:t>-</w:t>
      </w:r>
      <w:r w:rsidR="00A41DFF">
        <w:rPr>
          <w:lang w:val="en-GB"/>
        </w:rPr>
        <w:t xml:space="preserve"> and cost-effectiveness data</w:t>
      </w:r>
      <w:r w:rsidR="00B31AFA">
        <w:rPr>
          <w:lang w:val="en-GB"/>
        </w:rPr>
        <w:t xml:space="preserve"> for</w:t>
      </w:r>
      <w:r w:rsidR="00A41DFF">
        <w:rPr>
          <w:lang w:val="en-GB"/>
        </w:rPr>
        <w:t xml:space="preserve"> </w:t>
      </w:r>
      <w:r w:rsidR="006D4804">
        <w:rPr>
          <w:lang w:val="en-GB"/>
        </w:rPr>
        <w:t>the 28</w:t>
      </w:r>
      <w:r w:rsidR="00E56BF5">
        <w:rPr>
          <w:lang w:val="en-GB"/>
        </w:rPr>
        <w:t>-</w:t>
      </w:r>
      <w:r w:rsidR="006D4804">
        <w:rPr>
          <w:lang w:val="en-GB"/>
        </w:rPr>
        <w:t>day dosing schedule because it reflects the marketing authorisation</w:t>
      </w:r>
      <w:r w:rsidR="00A41DFF">
        <w:rPr>
          <w:lang w:val="en-GB"/>
        </w:rPr>
        <w:t>.</w:t>
      </w:r>
    </w:p>
    <w:p w14:paraId="7662EAFD" w14:textId="0D9B6E36" w:rsidR="00643582" w:rsidRPr="00A41DFF" w:rsidRDefault="006D4804" w:rsidP="00643582">
      <w:pPr>
        <w:pStyle w:val="Heading2"/>
      </w:pPr>
      <w:r>
        <w:t>C</w:t>
      </w:r>
      <w:r w:rsidR="0029648E" w:rsidRPr="00A41DFF">
        <w:t xml:space="preserve">linical </w:t>
      </w:r>
      <w:r w:rsidR="001D3795" w:rsidRPr="00A41DFF">
        <w:t>evidence</w:t>
      </w:r>
    </w:p>
    <w:p w14:paraId="4BDDD0D7" w14:textId="40DAEE0F" w:rsidR="00643582" w:rsidRPr="00A41DFF" w:rsidRDefault="00A04987" w:rsidP="0073007E">
      <w:pPr>
        <w:pStyle w:val="Heading3"/>
      </w:pPr>
      <w:r w:rsidRPr="00A41DFF">
        <w:t>L</w:t>
      </w:r>
      <w:r w:rsidR="005267B2" w:rsidRPr="00A41DFF">
        <w:t>enalidomide is an effective</w:t>
      </w:r>
      <w:r w:rsidR="00337745" w:rsidRPr="00A41DFF">
        <w:t xml:space="preserve"> maintenance</w:t>
      </w:r>
      <w:r w:rsidR="005267B2" w:rsidRPr="00A41DFF">
        <w:t xml:space="preserve"> treatment for people who have had an autologous stem cell transplant</w:t>
      </w:r>
    </w:p>
    <w:p w14:paraId="58C8A7AA" w14:textId="5B1C4186" w:rsidR="00E542C0" w:rsidRPr="00A41DFF" w:rsidRDefault="008C76DC" w:rsidP="00B56653">
      <w:pPr>
        <w:pStyle w:val="Numberedlevel2text"/>
        <w:rPr>
          <w:lang w:val="en-GB"/>
        </w:rPr>
      </w:pPr>
      <w:r w:rsidRPr="00A41DFF">
        <w:rPr>
          <w:lang w:val="en-GB"/>
        </w:rPr>
        <w:t xml:space="preserve">The main clinical evidence for lenalidomide maintenance </w:t>
      </w:r>
      <w:r w:rsidR="00AC22BD">
        <w:rPr>
          <w:lang w:val="en-GB"/>
        </w:rPr>
        <w:t xml:space="preserve">treatment </w:t>
      </w:r>
      <w:r w:rsidRPr="00A41DFF">
        <w:rPr>
          <w:lang w:val="en-GB"/>
        </w:rPr>
        <w:t>came from Myeloma</w:t>
      </w:r>
      <w:r w:rsidR="002B104C">
        <w:rPr>
          <w:lang w:val="en-GB"/>
        </w:rPr>
        <w:t> </w:t>
      </w:r>
      <w:r w:rsidRPr="00A41DFF">
        <w:rPr>
          <w:lang w:val="en-GB"/>
        </w:rPr>
        <w:t xml:space="preserve">XI, a </w:t>
      </w:r>
      <w:r w:rsidR="002B104C">
        <w:rPr>
          <w:lang w:val="en-GB"/>
        </w:rPr>
        <w:t>p</w:t>
      </w:r>
      <w:r w:rsidRPr="00A41DFF">
        <w:rPr>
          <w:lang w:val="en-GB"/>
        </w:rPr>
        <w:t>hase</w:t>
      </w:r>
      <w:r w:rsidR="002B104C">
        <w:rPr>
          <w:lang w:val="en-GB"/>
        </w:rPr>
        <w:t> </w:t>
      </w:r>
      <w:r w:rsidRPr="00A41DFF">
        <w:rPr>
          <w:lang w:val="en-GB"/>
        </w:rPr>
        <w:t>3 open-label randomised trial based in 110</w:t>
      </w:r>
      <w:r w:rsidR="002B104C">
        <w:rPr>
          <w:lang w:val="en-GB"/>
        </w:rPr>
        <w:t> </w:t>
      </w:r>
      <w:r w:rsidRPr="00A41DFF">
        <w:rPr>
          <w:lang w:val="en-GB"/>
        </w:rPr>
        <w:t xml:space="preserve">NHS centres in the UK. </w:t>
      </w:r>
      <w:r w:rsidR="00E542C0" w:rsidRPr="00A41DFF">
        <w:rPr>
          <w:lang w:val="en-GB"/>
        </w:rPr>
        <w:t>A total of 1,971</w:t>
      </w:r>
      <w:r w:rsidR="002B104C">
        <w:rPr>
          <w:lang w:val="en-GB"/>
        </w:rPr>
        <w:t xml:space="preserve"> people with </w:t>
      </w:r>
      <w:r w:rsidR="00E542C0" w:rsidRPr="00A41DFF">
        <w:rPr>
          <w:lang w:val="en-GB"/>
        </w:rPr>
        <w:t>newly diagnosed</w:t>
      </w:r>
      <w:r w:rsidR="00A04987" w:rsidRPr="00A41DFF">
        <w:rPr>
          <w:lang w:val="en-GB"/>
        </w:rPr>
        <w:t xml:space="preserve"> multiple myeloma were enrolled and stratified by their eligibility for </w:t>
      </w:r>
      <w:r w:rsidR="002B104C">
        <w:rPr>
          <w:lang w:val="en-GB"/>
        </w:rPr>
        <w:t xml:space="preserve">an autologous </w:t>
      </w:r>
      <w:r w:rsidR="00A04987" w:rsidRPr="00A41DFF">
        <w:rPr>
          <w:lang w:val="en-GB"/>
        </w:rPr>
        <w:t>stem cell transplant.</w:t>
      </w:r>
      <w:r w:rsidR="00DD67D6" w:rsidRPr="00A41DFF">
        <w:rPr>
          <w:lang w:val="en-GB"/>
        </w:rPr>
        <w:t xml:space="preserve"> </w:t>
      </w:r>
      <w:r w:rsidR="00A04987" w:rsidRPr="00A41DFF">
        <w:rPr>
          <w:lang w:val="en-GB"/>
        </w:rPr>
        <w:t>The trial ha</w:t>
      </w:r>
      <w:r w:rsidR="00DD67D6" w:rsidRPr="00A41DFF">
        <w:rPr>
          <w:lang w:val="en-GB"/>
        </w:rPr>
        <w:t>d</w:t>
      </w:r>
      <w:r w:rsidR="00A04987" w:rsidRPr="00A41DFF">
        <w:rPr>
          <w:lang w:val="en-GB"/>
        </w:rPr>
        <w:t xml:space="preserve"> an adaptive design </w:t>
      </w:r>
      <w:r w:rsidR="00DD67D6" w:rsidRPr="00A41DFF">
        <w:rPr>
          <w:lang w:val="en-GB"/>
        </w:rPr>
        <w:t xml:space="preserve">in which </w:t>
      </w:r>
      <w:r w:rsidR="00A04987" w:rsidRPr="00A41DFF">
        <w:rPr>
          <w:lang w:val="en-GB"/>
        </w:rPr>
        <w:t xml:space="preserve">ongoing trial results </w:t>
      </w:r>
      <w:r w:rsidR="00DD67D6" w:rsidRPr="00A41DFF">
        <w:rPr>
          <w:lang w:val="en-GB"/>
        </w:rPr>
        <w:t>were</w:t>
      </w:r>
      <w:r w:rsidR="00A04987" w:rsidRPr="00A41DFF">
        <w:rPr>
          <w:lang w:val="en-GB"/>
        </w:rPr>
        <w:t xml:space="preserve"> used to inform changes in the protocol</w:t>
      </w:r>
      <w:r w:rsidR="002B104C">
        <w:rPr>
          <w:lang w:val="en-GB"/>
        </w:rPr>
        <w:t xml:space="preserve">. Also, </w:t>
      </w:r>
      <w:r w:rsidR="00E542C0" w:rsidRPr="00A41DFF">
        <w:rPr>
          <w:lang w:val="en-GB"/>
        </w:rPr>
        <w:t>t</w:t>
      </w:r>
      <w:r w:rsidR="00A04987" w:rsidRPr="00A41DFF">
        <w:rPr>
          <w:lang w:val="en-GB"/>
        </w:rPr>
        <w:t xml:space="preserve">here were multiple levels of randomisation in the trial. </w:t>
      </w:r>
      <w:r w:rsidR="00E542C0" w:rsidRPr="00A41DFF">
        <w:rPr>
          <w:lang w:val="en-GB"/>
        </w:rPr>
        <w:t>The company’s submission focused on a smaller cohort of 1,032</w:t>
      </w:r>
      <w:r w:rsidR="00F85463">
        <w:rPr>
          <w:lang w:val="en-GB"/>
        </w:rPr>
        <w:t> </w:t>
      </w:r>
      <w:r w:rsidR="002B104C">
        <w:rPr>
          <w:lang w:val="en-GB"/>
        </w:rPr>
        <w:t>people</w:t>
      </w:r>
      <w:r w:rsidR="002B104C" w:rsidRPr="00A41DFF">
        <w:rPr>
          <w:lang w:val="en-GB"/>
        </w:rPr>
        <w:t xml:space="preserve"> </w:t>
      </w:r>
      <w:r w:rsidR="00E542C0" w:rsidRPr="00A41DFF">
        <w:rPr>
          <w:lang w:val="en-GB"/>
        </w:rPr>
        <w:t>from Myeloma</w:t>
      </w:r>
      <w:r w:rsidR="002B104C">
        <w:rPr>
          <w:lang w:val="en-GB"/>
        </w:rPr>
        <w:t> </w:t>
      </w:r>
      <w:r w:rsidR="00E542C0" w:rsidRPr="00A41DFF">
        <w:rPr>
          <w:lang w:val="en-GB"/>
        </w:rPr>
        <w:t>XI</w:t>
      </w:r>
      <w:r w:rsidR="00726413">
        <w:rPr>
          <w:lang w:val="en-GB"/>
        </w:rPr>
        <w:t>. These people</w:t>
      </w:r>
      <w:r w:rsidR="00E542C0" w:rsidRPr="00A41DFF">
        <w:rPr>
          <w:lang w:val="en-GB"/>
        </w:rPr>
        <w:t xml:space="preserve"> had </w:t>
      </w:r>
      <w:r w:rsidR="002B104C">
        <w:rPr>
          <w:lang w:val="en-GB"/>
        </w:rPr>
        <w:t>had</w:t>
      </w:r>
      <w:r w:rsidR="002B104C" w:rsidRPr="00A41DFF">
        <w:rPr>
          <w:lang w:val="en-GB"/>
        </w:rPr>
        <w:t xml:space="preserve"> </w:t>
      </w:r>
      <w:r w:rsidR="00E542C0" w:rsidRPr="00A41DFF">
        <w:rPr>
          <w:lang w:val="en-GB"/>
        </w:rPr>
        <w:t xml:space="preserve">a </w:t>
      </w:r>
      <w:r w:rsidR="007D6168">
        <w:rPr>
          <w:lang w:val="en-GB"/>
        </w:rPr>
        <w:t xml:space="preserve">first </w:t>
      </w:r>
      <w:r w:rsidR="00E542C0" w:rsidRPr="00A41DFF">
        <w:rPr>
          <w:lang w:val="en-GB"/>
        </w:rPr>
        <w:t xml:space="preserve">transplant and been randomised to </w:t>
      </w:r>
      <w:r w:rsidR="00726413">
        <w:rPr>
          <w:lang w:val="en-GB"/>
        </w:rPr>
        <w:t xml:space="preserve">have </w:t>
      </w:r>
      <w:r w:rsidR="00E542C0" w:rsidRPr="00A41DFF">
        <w:rPr>
          <w:lang w:val="en-GB"/>
        </w:rPr>
        <w:t>maintenance with lenalidomide 10</w:t>
      </w:r>
      <w:r w:rsidR="002B104C">
        <w:rPr>
          <w:lang w:val="en-GB"/>
        </w:rPr>
        <w:t> </w:t>
      </w:r>
      <w:r w:rsidR="00E542C0" w:rsidRPr="00A41DFF">
        <w:rPr>
          <w:lang w:val="en-GB"/>
        </w:rPr>
        <w:t>mg daily on days</w:t>
      </w:r>
      <w:r w:rsidR="002B104C">
        <w:rPr>
          <w:lang w:val="en-GB"/>
        </w:rPr>
        <w:t> </w:t>
      </w:r>
      <w:r w:rsidR="00E542C0" w:rsidRPr="00A41DFF">
        <w:rPr>
          <w:lang w:val="en-GB"/>
        </w:rPr>
        <w:t>1 to</w:t>
      </w:r>
      <w:r w:rsidR="002B104C">
        <w:rPr>
          <w:lang w:val="en-GB"/>
        </w:rPr>
        <w:t> </w:t>
      </w:r>
      <w:r w:rsidR="00E542C0" w:rsidRPr="00A41DFF">
        <w:rPr>
          <w:lang w:val="en-GB"/>
        </w:rPr>
        <w:t>21 of each 28</w:t>
      </w:r>
      <w:r w:rsidR="002B104C">
        <w:rPr>
          <w:lang w:val="en-GB"/>
        </w:rPr>
        <w:noBreakHyphen/>
      </w:r>
      <w:r w:rsidR="00E542C0" w:rsidRPr="00A41DFF">
        <w:rPr>
          <w:lang w:val="en-GB"/>
        </w:rPr>
        <w:t xml:space="preserve">day cycle, or </w:t>
      </w:r>
      <w:r w:rsidR="00B31AFA">
        <w:rPr>
          <w:lang w:val="en-GB"/>
        </w:rPr>
        <w:t>to</w:t>
      </w:r>
      <w:r w:rsidR="00726413">
        <w:rPr>
          <w:lang w:val="en-GB"/>
        </w:rPr>
        <w:t xml:space="preserve"> have</w:t>
      </w:r>
      <w:r w:rsidR="00B31AFA">
        <w:rPr>
          <w:lang w:val="en-GB"/>
        </w:rPr>
        <w:t xml:space="preserve"> </w:t>
      </w:r>
      <w:r w:rsidR="003D31B4">
        <w:rPr>
          <w:lang w:val="en-GB"/>
        </w:rPr>
        <w:t xml:space="preserve">monitoring </w:t>
      </w:r>
      <w:r w:rsidR="00726413">
        <w:rPr>
          <w:lang w:val="en-GB"/>
        </w:rPr>
        <w:t xml:space="preserve">of their disease </w:t>
      </w:r>
      <w:r w:rsidR="003D31B4">
        <w:rPr>
          <w:lang w:val="en-GB"/>
        </w:rPr>
        <w:t>with no lenalidomide treatment</w:t>
      </w:r>
      <w:r w:rsidR="00E542C0" w:rsidRPr="00A41DFF">
        <w:rPr>
          <w:lang w:val="en-GB"/>
        </w:rPr>
        <w:t xml:space="preserve">. </w:t>
      </w:r>
      <w:r w:rsidR="00F054CD" w:rsidRPr="00A41DFF">
        <w:rPr>
          <w:lang w:val="en-GB"/>
        </w:rPr>
        <w:t xml:space="preserve">The company considered this </w:t>
      </w:r>
      <w:r w:rsidR="00D83A60">
        <w:rPr>
          <w:lang w:val="en-GB"/>
        </w:rPr>
        <w:t xml:space="preserve">cohort </w:t>
      </w:r>
      <w:r w:rsidR="00F054CD" w:rsidRPr="00A41DFF">
        <w:rPr>
          <w:lang w:val="en-GB"/>
        </w:rPr>
        <w:t>to be directly relevant to this appraisal</w:t>
      </w:r>
      <w:r w:rsidR="002B104C">
        <w:rPr>
          <w:lang w:val="en-GB"/>
        </w:rPr>
        <w:t xml:space="preserve"> (</w:t>
      </w:r>
      <w:r w:rsidR="00111702">
        <w:rPr>
          <w:lang w:val="en-GB"/>
        </w:rPr>
        <w:t>when Myeloma</w:t>
      </w:r>
      <w:r w:rsidR="002B104C">
        <w:rPr>
          <w:lang w:val="en-GB"/>
        </w:rPr>
        <w:t> </w:t>
      </w:r>
      <w:r w:rsidR="00111702">
        <w:rPr>
          <w:lang w:val="en-GB"/>
        </w:rPr>
        <w:t xml:space="preserve">XI is mentioned from </w:t>
      </w:r>
      <w:r w:rsidR="002B104C">
        <w:rPr>
          <w:lang w:val="en-GB"/>
        </w:rPr>
        <w:t>this point</w:t>
      </w:r>
      <w:r w:rsidR="00111702">
        <w:rPr>
          <w:lang w:val="en-GB"/>
        </w:rPr>
        <w:t xml:space="preserve">, </w:t>
      </w:r>
      <w:r w:rsidR="002B104C">
        <w:rPr>
          <w:lang w:val="en-GB"/>
        </w:rPr>
        <w:t>it is referring to this</w:t>
      </w:r>
      <w:r w:rsidR="00111702">
        <w:rPr>
          <w:lang w:val="en-GB"/>
        </w:rPr>
        <w:t xml:space="preserve"> cohort </w:t>
      </w:r>
      <w:r w:rsidR="003D31B4">
        <w:rPr>
          <w:lang w:val="en-GB"/>
        </w:rPr>
        <w:t xml:space="preserve">of interest </w:t>
      </w:r>
      <w:r w:rsidR="00111702">
        <w:rPr>
          <w:lang w:val="en-GB"/>
        </w:rPr>
        <w:t>unless otherwise specified).</w:t>
      </w:r>
      <w:r w:rsidR="00F054CD" w:rsidRPr="00A41DFF">
        <w:rPr>
          <w:lang w:val="en-GB"/>
        </w:rPr>
        <w:t xml:space="preserve"> </w:t>
      </w:r>
      <w:r w:rsidR="00A04987" w:rsidRPr="00A41DFF">
        <w:rPr>
          <w:lang w:val="en-GB"/>
        </w:rPr>
        <w:t>The primary outcomes were progression-free survival and overall survival</w:t>
      </w:r>
      <w:r w:rsidR="00E542C0" w:rsidRPr="00A41DFF">
        <w:rPr>
          <w:lang w:val="en-GB"/>
        </w:rPr>
        <w:t xml:space="preserve">, both of which were </w:t>
      </w:r>
      <w:r w:rsidR="002B104C">
        <w:rPr>
          <w:lang w:val="en-GB"/>
        </w:rPr>
        <w:t xml:space="preserve">statistically significantly </w:t>
      </w:r>
      <w:r w:rsidR="00E542C0" w:rsidRPr="00A41DFF">
        <w:rPr>
          <w:lang w:val="en-GB"/>
        </w:rPr>
        <w:t xml:space="preserve">longer with lenalidomide maintenance </w:t>
      </w:r>
      <w:r w:rsidR="002B104C">
        <w:rPr>
          <w:lang w:val="en-GB"/>
        </w:rPr>
        <w:t xml:space="preserve">treatment </w:t>
      </w:r>
      <w:r w:rsidR="00E542C0" w:rsidRPr="00A41DFF">
        <w:rPr>
          <w:lang w:val="en-GB"/>
        </w:rPr>
        <w:t xml:space="preserve">than with </w:t>
      </w:r>
      <w:r w:rsidR="003D31B4">
        <w:rPr>
          <w:lang w:val="en-GB"/>
        </w:rPr>
        <w:t>monitoring</w:t>
      </w:r>
      <w:r w:rsidR="00E542C0" w:rsidRPr="00A41DFF">
        <w:rPr>
          <w:lang w:val="en-GB"/>
        </w:rPr>
        <w:t xml:space="preserve">. </w:t>
      </w:r>
      <w:r w:rsidR="00AC22BD">
        <w:rPr>
          <w:lang w:val="en-GB"/>
        </w:rPr>
        <w:t>The c</w:t>
      </w:r>
      <w:r w:rsidR="00E542C0" w:rsidRPr="00A41DFF">
        <w:rPr>
          <w:lang w:val="en-GB"/>
        </w:rPr>
        <w:t xml:space="preserve">linical experts advised that the trial </w:t>
      </w:r>
      <w:r w:rsidR="00AC22BD">
        <w:rPr>
          <w:lang w:val="en-GB"/>
        </w:rPr>
        <w:t>wa</w:t>
      </w:r>
      <w:r w:rsidR="00E542C0" w:rsidRPr="00A41DFF">
        <w:rPr>
          <w:lang w:val="en-GB"/>
        </w:rPr>
        <w:t>s representative of NHS practice</w:t>
      </w:r>
      <w:r w:rsidR="00B31AFA">
        <w:rPr>
          <w:lang w:val="en-GB"/>
        </w:rPr>
        <w:t>,</w:t>
      </w:r>
      <w:r w:rsidR="00E542C0" w:rsidRPr="00A41DFF">
        <w:rPr>
          <w:lang w:val="en-GB"/>
        </w:rPr>
        <w:t xml:space="preserve"> and </w:t>
      </w:r>
      <w:r w:rsidR="00AC22BD">
        <w:rPr>
          <w:lang w:val="en-GB"/>
        </w:rPr>
        <w:t xml:space="preserve">that the </w:t>
      </w:r>
      <w:r w:rsidR="00E542C0" w:rsidRPr="00A41DFF">
        <w:rPr>
          <w:lang w:val="en-GB"/>
        </w:rPr>
        <w:t xml:space="preserve">results </w:t>
      </w:r>
      <w:r w:rsidR="00B31AFA">
        <w:rPr>
          <w:lang w:val="en-GB"/>
        </w:rPr>
        <w:t>wer</w:t>
      </w:r>
      <w:r w:rsidR="00E542C0" w:rsidRPr="00A41DFF">
        <w:rPr>
          <w:lang w:val="en-GB"/>
        </w:rPr>
        <w:t>e generalisable to the population in this appraisal.</w:t>
      </w:r>
      <w:r w:rsidR="00B56653" w:rsidRPr="00A41DFF">
        <w:rPr>
          <w:lang w:val="en-GB"/>
        </w:rPr>
        <w:t xml:space="preserve"> </w:t>
      </w:r>
      <w:r w:rsidR="00E05E49">
        <w:rPr>
          <w:lang w:val="en-GB"/>
        </w:rPr>
        <w:t xml:space="preserve">Based on the results from </w:t>
      </w:r>
      <w:r w:rsidR="00E05E49">
        <w:rPr>
          <w:lang w:val="en-GB"/>
        </w:rPr>
        <w:lastRenderedPageBreak/>
        <w:t>Myeloma XI, t</w:t>
      </w:r>
      <w:r w:rsidR="00E542C0" w:rsidRPr="00A41DFF">
        <w:rPr>
          <w:lang w:val="en-GB"/>
        </w:rPr>
        <w:t>he committee</w:t>
      </w:r>
      <w:r w:rsidR="00F054CD" w:rsidRPr="00A41DFF">
        <w:rPr>
          <w:lang w:val="en-GB"/>
        </w:rPr>
        <w:t xml:space="preserve"> concluded that</w:t>
      </w:r>
      <w:r w:rsidR="00337745" w:rsidRPr="00A41DFF">
        <w:rPr>
          <w:lang w:val="en-GB"/>
        </w:rPr>
        <w:t xml:space="preserve"> lenalidomide is an effective maintenance treatment for newly diagnosed multiple myeloma </w:t>
      </w:r>
      <w:r w:rsidR="00B31AFA">
        <w:rPr>
          <w:lang w:val="en-GB"/>
        </w:rPr>
        <w:t>in people who have had</w:t>
      </w:r>
      <w:r w:rsidR="00337745" w:rsidRPr="00A41DFF">
        <w:rPr>
          <w:lang w:val="en-GB"/>
        </w:rPr>
        <w:t xml:space="preserve"> an autologous stem cell transplant.</w:t>
      </w:r>
    </w:p>
    <w:p w14:paraId="74079E85" w14:textId="19F8FD8B" w:rsidR="005267B2" w:rsidRPr="00A41DFF" w:rsidRDefault="001D3795" w:rsidP="003A2A22">
      <w:pPr>
        <w:pStyle w:val="Heading3"/>
      </w:pPr>
      <w:bookmarkStart w:id="4" w:name="_The_company_should"/>
      <w:bookmarkEnd w:id="4"/>
      <w:r w:rsidRPr="00A41DFF">
        <w:t>The company</w:t>
      </w:r>
      <w:r w:rsidR="00A40971" w:rsidRPr="00A41DFF">
        <w:t xml:space="preserve"> should have presented evidence from other trials of lenalidomide maintenance </w:t>
      </w:r>
      <w:r w:rsidR="00AC22BD">
        <w:t>treatment</w:t>
      </w:r>
    </w:p>
    <w:p w14:paraId="0D5D06E7" w14:textId="0B031C60" w:rsidR="00A40971" w:rsidRPr="00A41DFF" w:rsidRDefault="001D3795" w:rsidP="00011E8C">
      <w:pPr>
        <w:pStyle w:val="Numberedlevel2text"/>
        <w:rPr>
          <w:lang w:val="en-GB"/>
        </w:rPr>
      </w:pPr>
      <w:r w:rsidRPr="00A41DFF">
        <w:rPr>
          <w:lang w:val="en-GB"/>
        </w:rPr>
        <w:t>The company identified 4</w:t>
      </w:r>
      <w:r w:rsidR="00E05E49">
        <w:rPr>
          <w:lang w:val="en-GB"/>
        </w:rPr>
        <w:t> </w:t>
      </w:r>
      <w:r w:rsidRPr="00A41DFF">
        <w:rPr>
          <w:lang w:val="en-GB"/>
        </w:rPr>
        <w:t xml:space="preserve">studies of lenalidomide maintenance </w:t>
      </w:r>
      <w:r w:rsidR="00AC22BD">
        <w:rPr>
          <w:lang w:val="en-GB"/>
        </w:rPr>
        <w:t>treatment</w:t>
      </w:r>
      <w:r w:rsidR="00AC22BD" w:rsidRPr="00A41DFF">
        <w:rPr>
          <w:lang w:val="en-GB"/>
        </w:rPr>
        <w:t xml:space="preserve"> </w:t>
      </w:r>
      <w:r w:rsidRPr="00A41DFF">
        <w:rPr>
          <w:lang w:val="en-GB"/>
        </w:rPr>
        <w:t>in its systematic literature review</w:t>
      </w:r>
      <w:r w:rsidR="00BC0BE7" w:rsidRPr="00A41DFF">
        <w:rPr>
          <w:lang w:val="en-GB"/>
        </w:rPr>
        <w:t xml:space="preserve">: </w:t>
      </w:r>
      <w:r w:rsidRPr="00A41DFF">
        <w:rPr>
          <w:lang w:val="en-GB"/>
        </w:rPr>
        <w:t>Myeloma</w:t>
      </w:r>
      <w:r w:rsidR="00E05E49">
        <w:rPr>
          <w:lang w:val="en-GB"/>
        </w:rPr>
        <w:t> </w:t>
      </w:r>
      <w:r w:rsidRPr="00A41DFF">
        <w:rPr>
          <w:lang w:val="en-GB"/>
        </w:rPr>
        <w:t>XI</w:t>
      </w:r>
      <w:r w:rsidR="00EA0F88">
        <w:rPr>
          <w:lang w:val="en-GB"/>
        </w:rPr>
        <w:t>,</w:t>
      </w:r>
      <w:r w:rsidRPr="00A41DFF">
        <w:rPr>
          <w:lang w:val="en-GB"/>
        </w:rPr>
        <w:t xml:space="preserve"> CALGB</w:t>
      </w:r>
      <w:r w:rsidR="00E05E49">
        <w:rPr>
          <w:lang w:val="en-GB"/>
        </w:rPr>
        <w:t> </w:t>
      </w:r>
      <w:r w:rsidRPr="00A41DFF">
        <w:rPr>
          <w:lang w:val="en-GB"/>
        </w:rPr>
        <w:t>100104</w:t>
      </w:r>
      <w:r w:rsidR="00EA0F88">
        <w:rPr>
          <w:lang w:val="en-GB"/>
        </w:rPr>
        <w:t>,</w:t>
      </w:r>
      <w:r w:rsidRPr="00A41DFF">
        <w:rPr>
          <w:lang w:val="en-GB"/>
        </w:rPr>
        <w:t xml:space="preserve"> GIMEMA and IFM</w:t>
      </w:r>
      <w:r w:rsidR="00E05E49">
        <w:rPr>
          <w:lang w:val="en-GB"/>
        </w:rPr>
        <w:t> </w:t>
      </w:r>
      <w:r w:rsidRPr="00A41DFF">
        <w:rPr>
          <w:lang w:val="en-GB"/>
        </w:rPr>
        <w:t>2005</w:t>
      </w:r>
      <w:r w:rsidR="00E05E49">
        <w:rPr>
          <w:lang w:val="en-GB"/>
        </w:rPr>
        <w:noBreakHyphen/>
      </w:r>
      <w:r w:rsidRPr="00A41DFF">
        <w:rPr>
          <w:lang w:val="en-GB"/>
        </w:rPr>
        <w:t>02. It then applied a subsequent set of criteria to exclude CALGB</w:t>
      </w:r>
      <w:r w:rsidR="00E05E49">
        <w:rPr>
          <w:lang w:val="en-GB"/>
        </w:rPr>
        <w:t> </w:t>
      </w:r>
      <w:r w:rsidRPr="00A41DFF">
        <w:rPr>
          <w:lang w:val="en-GB"/>
        </w:rPr>
        <w:t>100104, GIMEMA, and IFM</w:t>
      </w:r>
      <w:r w:rsidR="00E05E49">
        <w:rPr>
          <w:lang w:val="en-GB"/>
        </w:rPr>
        <w:t> </w:t>
      </w:r>
      <w:r w:rsidRPr="00A41DFF">
        <w:rPr>
          <w:lang w:val="en-GB"/>
        </w:rPr>
        <w:t>2005</w:t>
      </w:r>
      <w:r w:rsidR="00E05E49">
        <w:rPr>
          <w:lang w:val="en-GB"/>
        </w:rPr>
        <w:noBreakHyphen/>
      </w:r>
      <w:r w:rsidRPr="00A41DFF">
        <w:rPr>
          <w:lang w:val="en-GB"/>
        </w:rPr>
        <w:t>02, leaving only Myeloma</w:t>
      </w:r>
      <w:r w:rsidR="00E05E49">
        <w:rPr>
          <w:lang w:val="en-GB"/>
        </w:rPr>
        <w:t> </w:t>
      </w:r>
      <w:r w:rsidRPr="00A41DFF">
        <w:rPr>
          <w:lang w:val="en-GB"/>
        </w:rPr>
        <w:t>XI as a source of clinical</w:t>
      </w:r>
      <w:r w:rsidR="00E05E49">
        <w:rPr>
          <w:lang w:val="en-GB"/>
        </w:rPr>
        <w:t>-</w:t>
      </w:r>
      <w:r w:rsidRPr="00A41DFF">
        <w:rPr>
          <w:lang w:val="en-GB"/>
        </w:rPr>
        <w:t>effectiveness evidence. The company argue</w:t>
      </w:r>
      <w:r w:rsidR="008469C8" w:rsidRPr="00A41DFF">
        <w:rPr>
          <w:lang w:val="en-GB"/>
        </w:rPr>
        <w:t>d</w:t>
      </w:r>
      <w:r w:rsidRPr="00A41DFF">
        <w:rPr>
          <w:lang w:val="en-GB"/>
        </w:rPr>
        <w:t xml:space="preserve"> that Myeloma</w:t>
      </w:r>
      <w:r w:rsidR="00E05E49">
        <w:rPr>
          <w:lang w:val="en-GB"/>
        </w:rPr>
        <w:t> </w:t>
      </w:r>
      <w:r w:rsidRPr="00A41DFF">
        <w:rPr>
          <w:lang w:val="en-GB"/>
        </w:rPr>
        <w:t xml:space="preserve">XI </w:t>
      </w:r>
      <w:r w:rsidR="00E05E49">
        <w:rPr>
          <w:lang w:val="en-GB"/>
        </w:rPr>
        <w:t>was</w:t>
      </w:r>
      <w:r w:rsidRPr="00A41DFF">
        <w:rPr>
          <w:lang w:val="en-GB"/>
        </w:rPr>
        <w:t xml:space="preserve"> the only trial that reflect</w:t>
      </w:r>
      <w:r w:rsidR="00EA0F88">
        <w:rPr>
          <w:lang w:val="en-GB"/>
        </w:rPr>
        <w:t>ed</w:t>
      </w:r>
      <w:r w:rsidRPr="00A41DFF">
        <w:rPr>
          <w:lang w:val="en-GB"/>
        </w:rPr>
        <w:t xml:space="preserve"> the decision problem and UK clinical practice. </w:t>
      </w:r>
      <w:r w:rsidR="00E05E49">
        <w:rPr>
          <w:lang w:val="en-GB"/>
        </w:rPr>
        <w:t>However, it</w:t>
      </w:r>
      <w:r w:rsidR="00BC0BE7" w:rsidRPr="00A41DFF">
        <w:rPr>
          <w:lang w:val="en-GB"/>
        </w:rPr>
        <w:t xml:space="preserve"> used</w:t>
      </w:r>
      <w:r w:rsidR="009006C6" w:rsidRPr="00A41DFF">
        <w:rPr>
          <w:lang w:val="en-GB"/>
        </w:rPr>
        <w:t xml:space="preserve"> </w:t>
      </w:r>
      <w:r w:rsidR="00A267B7">
        <w:rPr>
          <w:lang w:val="en-GB"/>
        </w:rPr>
        <w:t>both</w:t>
      </w:r>
      <w:r w:rsidRPr="00A41DFF">
        <w:rPr>
          <w:lang w:val="en-GB"/>
        </w:rPr>
        <w:t xml:space="preserve"> CALGB</w:t>
      </w:r>
      <w:r w:rsidR="00E05E49">
        <w:rPr>
          <w:lang w:val="en-GB"/>
        </w:rPr>
        <w:t> </w:t>
      </w:r>
      <w:r w:rsidRPr="00A41DFF">
        <w:rPr>
          <w:lang w:val="en-GB"/>
        </w:rPr>
        <w:t xml:space="preserve">100104 </w:t>
      </w:r>
      <w:r w:rsidR="00CD0525" w:rsidRPr="00A41DFF">
        <w:rPr>
          <w:lang w:val="en-GB"/>
        </w:rPr>
        <w:t>and</w:t>
      </w:r>
      <w:r w:rsidRPr="00A41DFF">
        <w:rPr>
          <w:lang w:val="en-GB"/>
        </w:rPr>
        <w:t xml:space="preserve"> Myeloma</w:t>
      </w:r>
      <w:r w:rsidR="00E05E49">
        <w:rPr>
          <w:lang w:val="en-GB"/>
        </w:rPr>
        <w:t> </w:t>
      </w:r>
      <w:r w:rsidRPr="00A41DFF">
        <w:rPr>
          <w:lang w:val="en-GB"/>
        </w:rPr>
        <w:t xml:space="preserve">XI </w:t>
      </w:r>
      <w:r w:rsidR="00CD0525" w:rsidRPr="00A41DFF">
        <w:rPr>
          <w:lang w:val="en-GB"/>
        </w:rPr>
        <w:t xml:space="preserve">data </w:t>
      </w:r>
      <w:r w:rsidRPr="00A41DFF">
        <w:rPr>
          <w:lang w:val="en-GB"/>
        </w:rPr>
        <w:t xml:space="preserve">for survival estimates in </w:t>
      </w:r>
      <w:r w:rsidR="00BC0BE7" w:rsidRPr="00A41DFF">
        <w:rPr>
          <w:lang w:val="en-GB"/>
        </w:rPr>
        <w:t xml:space="preserve">its </w:t>
      </w:r>
      <w:r w:rsidR="00EA0F88">
        <w:rPr>
          <w:lang w:val="en-GB"/>
        </w:rPr>
        <w:t xml:space="preserve">cost-effectiveness </w:t>
      </w:r>
      <w:r w:rsidRPr="00A41DFF">
        <w:rPr>
          <w:lang w:val="en-GB"/>
        </w:rPr>
        <w:t>model</w:t>
      </w:r>
      <w:r w:rsidR="00BC0BE7" w:rsidRPr="00A41DFF">
        <w:rPr>
          <w:lang w:val="en-GB"/>
        </w:rPr>
        <w:t>.</w:t>
      </w:r>
      <w:r w:rsidRPr="00A41DFF">
        <w:rPr>
          <w:lang w:val="en-GB"/>
        </w:rPr>
        <w:t xml:space="preserve"> </w:t>
      </w:r>
      <w:r w:rsidR="00BC0BE7" w:rsidRPr="00A41DFF">
        <w:rPr>
          <w:lang w:val="en-GB"/>
        </w:rPr>
        <w:t xml:space="preserve">The ERG thought </w:t>
      </w:r>
      <w:r w:rsidR="00E05E49">
        <w:rPr>
          <w:lang w:val="en-GB"/>
        </w:rPr>
        <w:t xml:space="preserve">that this meant </w:t>
      </w:r>
      <w:r w:rsidR="00BC0BE7" w:rsidRPr="00A41DFF">
        <w:rPr>
          <w:lang w:val="en-GB"/>
        </w:rPr>
        <w:t xml:space="preserve">the company’s approach was inconsistent. </w:t>
      </w:r>
      <w:r w:rsidR="00EA0F88">
        <w:rPr>
          <w:lang w:val="en-GB"/>
        </w:rPr>
        <w:t>The ERG</w:t>
      </w:r>
      <w:r w:rsidR="00BC0BE7" w:rsidRPr="00A41DFF">
        <w:rPr>
          <w:lang w:val="en-GB"/>
        </w:rPr>
        <w:t xml:space="preserve"> was also concerned that the subsequent set of criteria used to exclude trials was arbitrary and not prespecified. </w:t>
      </w:r>
      <w:r w:rsidR="00EA0F88">
        <w:rPr>
          <w:lang w:val="en-GB"/>
        </w:rPr>
        <w:t>It</w:t>
      </w:r>
      <w:r w:rsidR="00E05E49" w:rsidRPr="00A41DFF">
        <w:rPr>
          <w:lang w:val="en-GB"/>
        </w:rPr>
        <w:t xml:space="preserve"> </w:t>
      </w:r>
      <w:r w:rsidR="00BC0BE7" w:rsidRPr="00A41DFF">
        <w:rPr>
          <w:lang w:val="en-GB"/>
        </w:rPr>
        <w:t>considered</w:t>
      </w:r>
      <w:r w:rsidR="00E05E49">
        <w:rPr>
          <w:lang w:val="en-GB"/>
        </w:rPr>
        <w:t xml:space="preserve"> that</w:t>
      </w:r>
      <w:r w:rsidR="00BC0BE7" w:rsidRPr="00A41DFF">
        <w:rPr>
          <w:lang w:val="en-GB"/>
        </w:rPr>
        <w:t xml:space="preserve"> IFM</w:t>
      </w:r>
      <w:r w:rsidR="00E05E49">
        <w:rPr>
          <w:lang w:val="en-GB"/>
        </w:rPr>
        <w:t> </w:t>
      </w:r>
      <w:r w:rsidR="00BC0BE7" w:rsidRPr="00A41DFF">
        <w:rPr>
          <w:lang w:val="en-GB"/>
        </w:rPr>
        <w:t>2005</w:t>
      </w:r>
      <w:r w:rsidR="00E05E49">
        <w:rPr>
          <w:lang w:val="en-GB"/>
        </w:rPr>
        <w:noBreakHyphen/>
      </w:r>
      <w:r w:rsidR="00BC0BE7" w:rsidRPr="00A41DFF">
        <w:rPr>
          <w:lang w:val="en-GB"/>
        </w:rPr>
        <w:t>02 should have been excluded based on the company’s original systematic literature review criteria</w:t>
      </w:r>
      <w:r w:rsidR="008469C8" w:rsidRPr="00A41DFF">
        <w:rPr>
          <w:lang w:val="en-GB"/>
        </w:rPr>
        <w:t>, but</w:t>
      </w:r>
      <w:r w:rsidR="00D77258">
        <w:rPr>
          <w:lang w:val="en-GB"/>
        </w:rPr>
        <w:t xml:space="preserve"> that</w:t>
      </w:r>
      <w:r w:rsidR="008469C8" w:rsidRPr="00A41DFF">
        <w:rPr>
          <w:lang w:val="en-GB"/>
        </w:rPr>
        <w:t xml:space="preserve"> CALGB</w:t>
      </w:r>
      <w:r w:rsidR="00D77258">
        <w:rPr>
          <w:lang w:val="en-GB"/>
        </w:rPr>
        <w:t> </w:t>
      </w:r>
      <w:r w:rsidR="008469C8" w:rsidRPr="00A41DFF">
        <w:rPr>
          <w:lang w:val="en-GB"/>
        </w:rPr>
        <w:t>100104 and GIMEMA should have been included</w:t>
      </w:r>
      <w:r w:rsidR="00BC0BE7" w:rsidRPr="00A41DFF">
        <w:rPr>
          <w:lang w:val="en-GB"/>
        </w:rPr>
        <w:t>.</w:t>
      </w:r>
      <w:r w:rsidR="00B56653" w:rsidRPr="00A41DFF">
        <w:rPr>
          <w:lang w:val="en-GB"/>
        </w:rPr>
        <w:t xml:space="preserve"> </w:t>
      </w:r>
      <w:r w:rsidR="00BC0BE7" w:rsidRPr="00A41DFF">
        <w:rPr>
          <w:lang w:val="en-GB"/>
        </w:rPr>
        <w:t>The committee agreed that the company’s approach was inconsistent</w:t>
      </w:r>
      <w:r w:rsidR="00576533">
        <w:rPr>
          <w:lang w:val="en-GB"/>
        </w:rPr>
        <w:t xml:space="preserve"> and </w:t>
      </w:r>
      <w:r w:rsidR="00576533" w:rsidRPr="00A41DFF">
        <w:rPr>
          <w:lang w:val="en-GB"/>
        </w:rPr>
        <w:t xml:space="preserve">would have preferred </w:t>
      </w:r>
      <w:r w:rsidR="00D77258">
        <w:rPr>
          <w:lang w:val="en-GB"/>
        </w:rPr>
        <w:t>t</w:t>
      </w:r>
      <w:r w:rsidR="00CA5CC9">
        <w:rPr>
          <w:lang w:val="en-GB"/>
        </w:rPr>
        <w:t>he</w:t>
      </w:r>
      <w:r w:rsidR="00D77258">
        <w:rPr>
          <w:lang w:val="en-GB"/>
        </w:rPr>
        <w:t xml:space="preserve"> company to present </w:t>
      </w:r>
      <w:r w:rsidR="00576533" w:rsidRPr="00A41DFF">
        <w:rPr>
          <w:lang w:val="en-GB"/>
        </w:rPr>
        <w:t>all trials meeting the</w:t>
      </w:r>
      <w:r w:rsidR="00576533">
        <w:rPr>
          <w:lang w:val="en-GB"/>
        </w:rPr>
        <w:t xml:space="preserve"> original</w:t>
      </w:r>
      <w:r w:rsidR="00576533" w:rsidRPr="00A41DFF">
        <w:rPr>
          <w:lang w:val="en-GB"/>
        </w:rPr>
        <w:t xml:space="preserve"> systematic literature review criteria</w:t>
      </w:r>
      <w:r w:rsidR="00BC0BE7" w:rsidRPr="00A41DFF">
        <w:rPr>
          <w:lang w:val="en-GB"/>
        </w:rPr>
        <w:t xml:space="preserve">. </w:t>
      </w:r>
      <w:r w:rsidR="00D77258">
        <w:rPr>
          <w:lang w:val="en-GB"/>
        </w:rPr>
        <w:t xml:space="preserve">The committee </w:t>
      </w:r>
      <w:r w:rsidR="001818BF">
        <w:rPr>
          <w:lang w:val="en-GB"/>
        </w:rPr>
        <w:t>also</w:t>
      </w:r>
      <w:r w:rsidR="001818BF" w:rsidRPr="00A41DFF">
        <w:rPr>
          <w:lang w:val="en-GB"/>
        </w:rPr>
        <w:t xml:space="preserve"> </w:t>
      </w:r>
      <w:r w:rsidR="00BC0BE7" w:rsidRPr="00A41DFF">
        <w:rPr>
          <w:lang w:val="en-GB"/>
        </w:rPr>
        <w:t xml:space="preserve">acknowledged that </w:t>
      </w:r>
      <w:r w:rsidR="00D83A60">
        <w:rPr>
          <w:lang w:val="en-GB"/>
        </w:rPr>
        <w:t xml:space="preserve">the </w:t>
      </w:r>
      <w:r w:rsidR="003D31B4">
        <w:rPr>
          <w:lang w:val="en-GB"/>
        </w:rPr>
        <w:t>cohort of interest</w:t>
      </w:r>
      <w:r w:rsidR="00D83A60">
        <w:rPr>
          <w:lang w:val="en-GB"/>
        </w:rPr>
        <w:t xml:space="preserve"> from </w:t>
      </w:r>
      <w:r w:rsidR="00BC0BE7" w:rsidRPr="00A41DFF">
        <w:rPr>
          <w:lang w:val="en-GB"/>
        </w:rPr>
        <w:t>Myeloma</w:t>
      </w:r>
      <w:r w:rsidR="00D77258">
        <w:rPr>
          <w:lang w:val="en-GB"/>
        </w:rPr>
        <w:t> </w:t>
      </w:r>
      <w:r w:rsidR="00BC0BE7" w:rsidRPr="00A41DFF">
        <w:rPr>
          <w:lang w:val="en-GB"/>
        </w:rPr>
        <w:t xml:space="preserve">XI </w:t>
      </w:r>
      <w:r w:rsidR="00D77258">
        <w:rPr>
          <w:lang w:val="en-GB"/>
        </w:rPr>
        <w:t>was</w:t>
      </w:r>
      <w:r w:rsidR="00D77258" w:rsidRPr="00A41DFF">
        <w:rPr>
          <w:lang w:val="en-GB"/>
        </w:rPr>
        <w:t xml:space="preserve"> </w:t>
      </w:r>
      <w:r w:rsidR="00BC0BE7" w:rsidRPr="00A41DFF">
        <w:rPr>
          <w:lang w:val="en-GB"/>
        </w:rPr>
        <w:t xml:space="preserve">likely to provide the </w:t>
      </w:r>
      <w:r w:rsidR="00A41DFF">
        <w:rPr>
          <w:lang w:val="en-GB"/>
        </w:rPr>
        <w:t>most generalisable</w:t>
      </w:r>
      <w:r w:rsidR="00A41DFF" w:rsidRPr="00A41DFF">
        <w:rPr>
          <w:lang w:val="en-GB"/>
        </w:rPr>
        <w:t xml:space="preserve"> </w:t>
      </w:r>
      <w:r w:rsidR="00BC0BE7" w:rsidRPr="00A41DFF">
        <w:rPr>
          <w:lang w:val="en-GB"/>
        </w:rPr>
        <w:t>source of clinical</w:t>
      </w:r>
      <w:r w:rsidR="00CA5CC9">
        <w:rPr>
          <w:lang w:val="en-GB"/>
        </w:rPr>
        <w:t>-</w:t>
      </w:r>
      <w:r w:rsidR="00BC0BE7" w:rsidRPr="00A41DFF">
        <w:rPr>
          <w:lang w:val="en-GB"/>
        </w:rPr>
        <w:t xml:space="preserve">effectiveness evidence </w:t>
      </w:r>
      <w:r w:rsidR="00A41DFF">
        <w:rPr>
          <w:lang w:val="en-GB"/>
        </w:rPr>
        <w:t xml:space="preserve">to NHS practice. However, because the marketing </w:t>
      </w:r>
      <w:r w:rsidR="001818BF">
        <w:rPr>
          <w:lang w:val="en-GB"/>
        </w:rPr>
        <w:t>authorisation</w:t>
      </w:r>
      <w:r w:rsidR="00A41DFF">
        <w:rPr>
          <w:lang w:val="en-GB"/>
        </w:rPr>
        <w:t xml:space="preserve"> is based on </w:t>
      </w:r>
      <w:r w:rsidR="00D83A60">
        <w:rPr>
          <w:lang w:val="en-GB"/>
        </w:rPr>
        <w:t>trials with</w:t>
      </w:r>
      <w:r w:rsidR="009C2BA4">
        <w:rPr>
          <w:lang w:val="en-GB"/>
        </w:rPr>
        <w:t xml:space="preserve"> </w:t>
      </w:r>
      <w:r w:rsidR="00A41DFF">
        <w:rPr>
          <w:lang w:val="en-GB"/>
        </w:rPr>
        <w:t>28</w:t>
      </w:r>
      <w:r w:rsidR="00D77258">
        <w:rPr>
          <w:lang w:val="en-GB"/>
        </w:rPr>
        <w:noBreakHyphen/>
      </w:r>
      <w:r w:rsidR="00A41DFF">
        <w:rPr>
          <w:lang w:val="en-GB"/>
        </w:rPr>
        <w:t>days</w:t>
      </w:r>
      <w:r w:rsidR="00576533">
        <w:rPr>
          <w:lang w:val="en-GB"/>
        </w:rPr>
        <w:t xml:space="preserve"> of dosing</w:t>
      </w:r>
      <w:r w:rsidR="00A41DFF">
        <w:rPr>
          <w:lang w:val="en-GB"/>
        </w:rPr>
        <w:t xml:space="preserve">, </w:t>
      </w:r>
      <w:r w:rsidR="00D77258">
        <w:rPr>
          <w:lang w:val="en-GB"/>
        </w:rPr>
        <w:t xml:space="preserve">the committee stated that it </w:t>
      </w:r>
      <w:r w:rsidR="00A41DFF">
        <w:rPr>
          <w:lang w:val="en-GB"/>
        </w:rPr>
        <w:t xml:space="preserve">needed to see more </w:t>
      </w:r>
      <w:r w:rsidR="00576533">
        <w:rPr>
          <w:lang w:val="en-GB"/>
        </w:rPr>
        <w:t>evidence</w:t>
      </w:r>
      <w:r w:rsidR="00A41DFF">
        <w:rPr>
          <w:lang w:val="en-GB"/>
        </w:rPr>
        <w:t xml:space="preserve"> on </w:t>
      </w:r>
      <w:r w:rsidR="001818BF">
        <w:rPr>
          <w:lang w:val="en-GB"/>
        </w:rPr>
        <w:t>the clinical effectiveness at this dos</w:t>
      </w:r>
      <w:r w:rsidR="00D77258">
        <w:rPr>
          <w:lang w:val="en-GB"/>
        </w:rPr>
        <w:t>ag</w:t>
      </w:r>
      <w:r w:rsidR="001818BF">
        <w:rPr>
          <w:lang w:val="en-GB"/>
        </w:rPr>
        <w:t>e</w:t>
      </w:r>
      <w:r w:rsidR="00A40971" w:rsidRPr="00A41DFF">
        <w:rPr>
          <w:lang w:val="en-GB"/>
        </w:rPr>
        <w:t>.</w:t>
      </w:r>
    </w:p>
    <w:p w14:paraId="1CDEE38E" w14:textId="738A3D3E" w:rsidR="003A2A22" w:rsidRPr="00A41DFF" w:rsidRDefault="00A41DFF" w:rsidP="00A40971">
      <w:pPr>
        <w:pStyle w:val="Heading3"/>
      </w:pPr>
      <w:r>
        <w:t>The</w:t>
      </w:r>
      <w:r w:rsidR="004C1BAA">
        <w:t xml:space="preserve"> </w:t>
      </w:r>
      <w:r w:rsidR="00DE580C" w:rsidRPr="00A41DFF">
        <w:t xml:space="preserve">safety profile </w:t>
      </w:r>
      <w:r>
        <w:t xml:space="preserve">of lenalidomide </w:t>
      </w:r>
      <w:r w:rsidR="004C1BAA">
        <w:t xml:space="preserve">as a maintenance treatment compared with </w:t>
      </w:r>
      <w:r w:rsidR="003D31B4">
        <w:t>monitoring</w:t>
      </w:r>
      <w:r w:rsidR="004C1BAA">
        <w:t xml:space="preserve"> </w:t>
      </w:r>
      <w:r w:rsidR="003D31B4">
        <w:t>alone</w:t>
      </w:r>
      <w:r w:rsidR="004C1BAA">
        <w:t xml:space="preserve"> </w:t>
      </w:r>
      <w:r w:rsidR="00DE580C" w:rsidRPr="00A41DFF">
        <w:t>is</w:t>
      </w:r>
      <w:r w:rsidR="00CD0525" w:rsidRPr="00A41DFF">
        <w:t xml:space="preserve"> likely to be acceptable</w:t>
      </w:r>
    </w:p>
    <w:p w14:paraId="03904D44" w14:textId="3A7A9EF5" w:rsidR="003A2A22" w:rsidRPr="00A41DFF" w:rsidRDefault="00CD0525" w:rsidP="00011E8C">
      <w:pPr>
        <w:pStyle w:val="Numberedlevel2text"/>
        <w:rPr>
          <w:lang w:val="en-GB"/>
        </w:rPr>
      </w:pPr>
      <w:r w:rsidRPr="00A41DFF">
        <w:rPr>
          <w:lang w:val="en-GB"/>
        </w:rPr>
        <w:t xml:space="preserve">The company </w:t>
      </w:r>
      <w:r w:rsidR="003644AE">
        <w:rPr>
          <w:lang w:val="en-GB"/>
        </w:rPr>
        <w:t xml:space="preserve">explained </w:t>
      </w:r>
      <w:r w:rsidRPr="00A41DFF">
        <w:rPr>
          <w:lang w:val="en-GB"/>
        </w:rPr>
        <w:t xml:space="preserve">that </w:t>
      </w:r>
      <w:r w:rsidR="003A2A22" w:rsidRPr="00A41DFF">
        <w:rPr>
          <w:lang w:val="en-GB"/>
        </w:rPr>
        <w:t xml:space="preserve">there </w:t>
      </w:r>
      <w:r w:rsidR="0048635A">
        <w:rPr>
          <w:lang w:val="en-GB"/>
        </w:rPr>
        <w:t>we</w:t>
      </w:r>
      <w:r w:rsidR="0048635A" w:rsidRPr="00A41DFF">
        <w:rPr>
          <w:lang w:val="en-GB"/>
        </w:rPr>
        <w:t xml:space="preserve">re </w:t>
      </w:r>
      <w:r w:rsidR="003A2A22" w:rsidRPr="00A41DFF">
        <w:rPr>
          <w:lang w:val="en-GB"/>
        </w:rPr>
        <w:t>no adverse</w:t>
      </w:r>
      <w:r w:rsidR="001E37B8">
        <w:rPr>
          <w:lang w:val="en-GB"/>
        </w:rPr>
        <w:t>-</w:t>
      </w:r>
      <w:r w:rsidR="003A2A22" w:rsidRPr="00A41DFF">
        <w:rPr>
          <w:lang w:val="en-GB"/>
        </w:rPr>
        <w:t>event</w:t>
      </w:r>
      <w:r w:rsidR="001E37B8">
        <w:rPr>
          <w:lang w:val="en-GB"/>
        </w:rPr>
        <w:t>s</w:t>
      </w:r>
      <w:r w:rsidR="003A2A22" w:rsidRPr="00A41DFF">
        <w:rPr>
          <w:lang w:val="en-GB"/>
        </w:rPr>
        <w:t xml:space="preserve"> data available </w:t>
      </w:r>
      <w:r w:rsidR="002443F1">
        <w:rPr>
          <w:lang w:val="en-GB"/>
        </w:rPr>
        <w:t>from Myeloma</w:t>
      </w:r>
      <w:r w:rsidR="003644AE">
        <w:rPr>
          <w:lang w:val="en-GB"/>
        </w:rPr>
        <w:t> </w:t>
      </w:r>
      <w:r w:rsidR="002443F1">
        <w:rPr>
          <w:lang w:val="en-GB"/>
        </w:rPr>
        <w:t xml:space="preserve">XI </w:t>
      </w:r>
      <w:r w:rsidR="003A2A22" w:rsidRPr="00A41DFF">
        <w:rPr>
          <w:lang w:val="en-GB"/>
        </w:rPr>
        <w:t xml:space="preserve">for the </w:t>
      </w:r>
      <w:r w:rsidR="003D31B4">
        <w:rPr>
          <w:lang w:val="en-GB"/>
        </w:rPr>
        <w:t>monitoring</w:t>
      </w:r>
      <w:r w:rsidR="003A2A22" w:rsidRPr="00A41DFF">
        <w:rPr>
          <w:lang w:val="en-GB"/>
        </w:rPr>
        <w:t xml:space="preserve"> arm of the </w:t>
      </w:r>
      <w:r w:rsidR="003D31B4">
        <w:rPr>
          <w:lang w:val="en-GB"/>
        </w:rPr>
        <w:t>cohort of interest</w:t>
      </w:r>
      <w:r w:rsidR="00D83A60">
        <w:rPr>
          <w:lang w:val="en-GB"/>
        </w:rPr>
        <w:t>.</w:t>
      </w:r>
      <w:r w:rsidR="000E6FB2">
        <w:rPr>
          <w:lang w:val="en-GB"/>
        </w:rPr>
        <w:t xml:space="preserve"> The ERG </w:t>
      </w:r>
      <w:r w:rsidR="000E6FB2">
        <w:rPr>
          <w:lang w:val="en-GB"/>
        </w:rPr>
        <w:lastRenderedPageBreak/>
        <w:t xml:space="preserve">stated that this was </w:t>
      </w:r>
      <w:r w:rsidRPr="00A41DFF">
        <w:rPr>
          <w:lang w:val="en-GB"/>
        </w:rPr>
        <w:t>an area of uncertainty because</w:t>
      </w:r>
      <w:r w:rsidR="00DE580C" w:rsidRPr="00A41DFF">
        <w:rPr>
          <w:lang w:val="en-GB"/>
        </w:rPr>
        <w:t xml:space="preserve"> between-arm comparisons of adverse event rates </w:t>
      </w:r>
      <w:r w:rsidR="001E37B8">
        <w:rPr>
          <w:lang w:val="en-GB"/>
        </w:rPr>
        <w:t>we</w:t>
      </w:r>
      <w:r w:rsidR="00DE580C" w:rsidRPr="00A41DFF">
        <w:rPr>
          <w:lang w:val="en-GB"/>
        </w:rPr>
        <w:t xml:space="preserve">re needed to understand the </w:t>
      </w:r>
      <w:r w:rsidRPr="00A41DFF">
        <w:rPr>
          <w:lang w:val="en-GB"/>
        </w:rPr>
        <w:t xml:space="preserve">comparative safety profile of lenalidomide maintenance </w:t>
      </w:r>
      <w:r w:rsidR="00AC22BD">
        <w:rPr>
          <w:lang w:val="en-GB"/>
        </w:rPr>
        <w:t>treatment</w:t>
      </w:r>
      <w:r w:rsidRPr="00A41DFF">
        <w:rPr>
          <w:lang w:val="en-GB"/>
        </w:rPr>
        <w:t>.</w:t>
      </w:r>
      <w:r w:rsidR="00B56653" w:rsidRPr="00A41DFF">
        <w:rPr>
          <w:lang w:val="en-GB"/>
        </w:rPr>
        <w:t xml:space="preserve"> </w:t>
      </w:r>
      <w:r w:rsidR="00D83868" w:rsidRPr="00A41DFF">
        <w:rPr>
          <w:lang w:val="en-GB"/>
        </w:rPr>
        <w:t>The company provided adverse</w:t>
      </w:r>
      <w:r w:rsidR="001E37B8">
        <w:rPr>
          <w:lang w:val="en-GB"/>
        </w:rPr>
        <w:t>-</w:t>
      </w:r>
      <w:r w:rsidR="00D83868" w:rsidRPr="00A41DFF">
        <w:rPr>
          <w:lang w:val="en-GB"/>
        </w:rPr>
        <w:t>event</w:t>
      </w:r>
      <w:r w:rsidR="001E37B8">
        <w:rPr>
          <w:lang w:val="en-GB"/>
        </w:rPr>
        <w:t>s</w:t>
      </w:r>
      <w:r w:rsidR="00D83868" w:rsidRPr="00A41DFF">
        <w:rPr>
          <w:lang w:val="en-GB"/>
        </w:rPr>
        <w:t xml:space="preserve"> data from both the lenalidomide and </w:t>
      </w:r>
      <w:r w:rsidR="003D31B4">
        <w:rPr>
          <w:lang w:val="en-GB"/>
        </w:rPr>
        <w:t>monitoring</w:t>
      </w:r>
      <w:r w:rsidR="00D83868" w:rsidRPr="00A41DFF">
        <w:rPr>
          <w:lang w:val="en-GB"/>
        </w:rPr>
        <w:t xml:space="preserve"> arms of CALGB</w:t>
      </w:r>
      <w:r w:rsidR="003644AE">
        <w:rPr>
          <w:lang w:val="en-GB"/>
        </w:rPr>
        <w:t> </w:t>
      </w:r>
      <w:r w:rsidR="00D83868" w:rsidRPr="00A41DFF">
        <w:rPr>
          <w:lang w:val="en-GB"/>
        </w:rPr>
        <w:t>100104</w:t>
      </w:r>
      <w:r w:rsidR="003644AE">
        <w:rPr>
          <w:lang w:val="en-GB"/>
        </w:rPr>
        <w:t xml:space="preserve">. </w:t>
      </w:r>
      <w:r w:rsidR="001E37B8">
        <w:rPr>
          <w:lang w:val="en-GB"/>
        </w:rPr>
        <w:t>The</w:t>
      </w:r>
      <w:r w:rsidR="00D83868" w:rsidRPr="00A41DFF">
        <w:rPr>
          <w:lang w:val="en-GB"/>
        </w:rPr>
        <w:t xml:space="preserve"> ERG thought</w:t>
      </w:r>
      <w:r w:rsidR="003644AE">
        <w:rPr>
          <w:lang w:val="en-GB"/>
        </w:rPr>
        <w:t xml:space="preserve"> that it</w:t>
      </w:r>
      <w:r w:rsidR="00D83868" w:rsidRPr="00A41DFF">
        <w:rPr>
          <w:lang w:val="en-GB"/>
        </w:rPr>
        <w:t xml:space="preserve"> was useful </w:t>
      </w:r>
      <w:r w:rsidR="00B56653" w:rsidRPr="00A41DFF">
        <w:rPr>
          <w:lang w:val="en-GB"/>
        </w:rPr>
        <w:t>as supplementary information</w:t>
      </w:r>
      <w:r w:rsidR="00D83868" w:rsidRPr="00A41DFF">
        <w:rPr>
          <w:lang w:val="en-GB"/>
        </w:rPr>
        <w:t xml:space="preserve"> but </w:t>
      </w:r>
      <w:r w:rsidR="003644AE">
        <w:rPr>
          <w:lang w:val="en-GB"/>
        </w:rPr>
        <w:t xml:space="preserve">that it </w:t>
      </w:r>
      <w:r w:rsidR="00D83868" w:rsidRPr="00A41DFF">
        <w:rPr>
          <w:lang w:val="en-GB"/>
        </w:rPr>
        <w:t xml:space="preserve">was not directly </w:t>
      </w:r>
      <w:r w:rsidR="003D31B4">
        <w:rPr>
          <w:lang w:val="en-GB"/>
        </w:rPr>
        <w:t>generalisable to the population in the NHS</w:t>
      </w:r>
      <w:r w:rsidR="00D83868" w:rsidRPr="00A41DFF">
        <w:rPr>
          <w:lang w:val="en-GB"/>
        </w:rPr>
        <w:t xml:space="preserve">. </w:t>
      </w:r>
      <w:r w:rsidR="003644AE">
        <w:rPr>
          <w:lang w:val="en-GB"/>
        </w:rPr>
        <w:t>The c</w:t>
      </w:r>
      <w:r w:rsidR="00DE580C" w:rsidRPr="00A41DFF">
        <w:rPr>
          <w:lang w:val="en-GB"/>
        </w:rPr>
        <w:t xml:space="preserve">linical experts considered </w:t>
      </w:r>
      <w:r w:rsidR="003644AE">
        <w:rPr>
          <w:lang w:val="en-GB"/>
        </w:rPr>
        <w:t xml:space="preserve">that </w:t>
      </w:r>
      <w:r w:rsidR="00DE580C" w:rsidRPr="00A41DFF">
        <w:rPr>
          <w:lang w:val="en-GB"/>
        </w:rPr>
        <w:t>the rates of adverse even</w:t>
      </w:r>
      <w:r w:rsidR="00971A21" w:rsidRPr="00A41DFF">
        <w:rPr>
          <w:lang w:val="en-GB"/>
        </w:rPr>
        <w:t>ts in the lenalidomide arm of Myeloma</w:t>
      </w:r>
      <w:r w:rsidR="003644AE">
        <w:rPr>
          <w:lang w:val="en-GB"/>
        </w:rPr>
        <w:t> </w:t>
      </w:r>
      <w:r w:rsidR="00971A21" w:rsidRPr="00A41DFF">
        <w:rPr>
          <w:lang w:val="en-GB"/>
        </w:rPr>
        <w:t xml:space="preserve">XI for the </w:t>
      </w:r>
      <w:r w:rsidR="003D31B4">
        <w:rPr>
          <w:lang w:val="en-GB"/>
        </w:rPr>
        <w:t>cohort of interest</w:t>
      </w:r>
      <w:r w:rsidR="00971A21" w:rsidRPr="00A41DFF">
        <w:rPr>
          <w:lang w:val="en-GB"/>
        </w:rPr>
        <w:t xml:space="preserve"> </w:t>
      </w:r>
      <w:r w:rsidR="003644AE">
        <w:rPr>
          <w:lang w:val="en-GB"/>
        </w:rPr>
        <w:t>were</w:t>
      </w:r>
      <w:r w:rsidR="00971A21" w:rsidRPr="00A41DFF">
        <w:rPr>
          <w:lang w:val="en-GB"/>
        </w:rPr>
        <w:t xml:space="preserve"> similar to those seen in clinical practice</w:t>
      </w:r>
      <w:r w:rsidR="00274A48" w:rsidRPr="00A41DFF">
        <w:rPr>
          <w:lang w:val="en-GB"/>
        </w:rPr>
        <w:t xml:space="preserve"> for other indications</w:t>
      </w:r>
      <w:r w:rsidR="00971A21" w:rsidRPr="00A41DFF">
        <w:rPr>
          <w:lang w:val="en-GB"/>
        </w:rPr>
        <w:t xml:space="preserve">. A patient expert explained that results from a survey </w:t>
      </w:r>
      <w:r w:rsidR="0042093D">
        <w:rPr>
          <w:lang w:val="en-GB"/>
        </w:rPr>
        <w:t>done</w:t>
      </w:r>
      <w:r w:rsidR="0042093D" w:rsidRPr="00A41DFF">
        <w:rPr>
          <w:lang w:val="en-GB"/>
        </w:rPr>
        <w:t xml:space="preserve"> </w:t>
      </w:r>
      <w:r w:rsidR="00971A21" w:rsidRPr="00A41DFF">
        <w:rPr>
          <w:lang w:val="en-GB"/>
        </w:rPr>
        <w:t>by Myeloma</w:t>
      </w:r>
      <w:r w:rsidR="003644AE">
        <w:rPr>
          <w:lang w:val="en-GB"/>
        </w:rPr>
        <w:t> </w:t>
      </w:r>
      <w:r w:rsidR="00971A21" w:rsidRPr="00A41DFF">
        <w:rPr>
          <w:lang w:val="en-GB"/>
        </w:rPr>
        <w:t xml:space="preserve">UK </w:t>
      </w:r>
      <w:r w:rsidR="003644AE">
        <w:rPr>
          <w:lang w:val="en-GB"/>
        </w:rPr>
        <w:t>showed that most</w:t>
      </w:r>
      <w:r w:rsidR="00971A21" w:rsidRPr="00A41DFF">
        <w:rPr>
          <w:lang w:val="en-GB"/>
        </w:rPr>
        <w:t xml:space="preserve"> people </w:t>
      </w:r>
      <w:r w:rsidR="00AC22BD">
        <w:rPr>
          <w:lang w:val="en-GB"/>
        </w:rPr>
        <w:t>having</w:t>
      </w:r>
      <w:r w:rsidR="00AC22BD" w:rsidRPr="00A41DFF">
        <w:rPr>
          <w:lang w:val="en-GB"/>
        </w:rPr>
        <w:t xml:space="preserve"> </w:t>
      </w:r>
      <w:r w:rsidR="00971A21" w:rsidRPr="00A41DFF">
        <w:rPr>
          <w:lang w:val="en-GB"/>
        </w:rPr>
        <w:t xml:space="preserve">lenalidomide maintenance </w:t>
      </w:r>
      <w:r w:rsidR="00AC22BD">
        <w:rPr>
          <w:lang w:val="en-GB"/>
        </w:rPr>
        <w:t>treatment</w:t>
      </w:r>
      <w:r w:rsidR="00971A21" w:rsidRPr="00A41DFF">
        <w:rPr>
          <w:lang w:val="en-GB"/>
        </w:rPr>
        <w:t xml:space="preserve"> found it easy to take and </w:t>
      </w:r>
      <w:r w:rsidR="00FE015E">
        <w:rPr>
          <w:lang w:val="en-GB"/>
        </w:rPr>
        <w:t>tolerated</w:t>
      </w:r>
      <w:r w:rsidR="001E37B8" w:rsidRPr="001E37B8">
        <w:rPr>
          <w:lang w:val="en-GB"/>
        </w:rPr>
        <w:t xml:space="preserve"> </w:t>
      </w:r>
      <w:r w:rsidR="001E37B8">
        <w:rPr>
          <w:lang w:val="en-GB"/>
        </w:rPr>
        <w:t>it well</w:t>
      </w:r>
      <w:r w:rsidR="00B63E4D">
        <w:rPr>
          <w:lang w:val="en-GB"/>
        </w:rPr>
        <w:t xml:space="preserve">. </w:t>
      </w:r>
      <w:r w:rsidR="00EB7B62" w:rsidRPr="00A41DFF">
        <w:rPr>
          <w:lang w:val="en-GB"/>
        </w:rPr>
        <w:t xml:space="preserve">The committee acknowledged that </w:t>
      </w:r>
      <w:r w:rsidR="003644AE">
        <w:rPr>
          <w:lang w:val="en-GB"/>
        </w:rPr>
        <w:t xml:space="preserve">there </w:t>
      </w:r>
      <w:r w:rsidR="0042093D">
        <w:rPr>
          <w:lang w:val="en-GB"/>
        </w:rPr>
        <w:t>wa</w:t>
      </w:r>
      <w:r w:rsidR="003644AE">
        <w:rPr>
          <w:lang w:val="en-GB"/>
        </w:rPr>
        <w:t xml:space="preserve">s </w:t>
      </w:r>
      <w:r w:rsidR="00274A48" w:rsidRPr="00A41DFF">
        <w:rPr>
          <w:lang w:val="en-GB"/>
        </w:rPr>
        <w:t xml:space="preserve">some </w:t>
      </w:r>
      <w:r w:rsidR="00EB7B62" w:rsidRPr="00A41DFF">
        <w:rPr>
          <w:lang w:val="en-GB"/>
        </w:rPr>
        <w:t>uncertaint</w:t>
      </w:r>
      <w:r w:rsidR="00274A48" w:rsidRPr="00A41DFF">
        <w:rPr>
          <w:lang w:val="en-GB"/>
        </w:rPr>
        <w:t>y</w:t>
      </w:r>
      <w:r w:rsidR="00EB7B62" w:rsidRPr="00A41DFF">
        <w:rPr>
          <w:lang w:val="en-GB"/>
        </w:rPr>
        <w:t xml:space="preserve"> about</w:t>
      </w:r>
      <w:r w:rsidR="00274A48" w:rsidRPr="00A41DFF">
        <w:rPr>
          <w:lang w:val="en-GB"/>
        </w:rPr>
        <w:t xml:space="preserve"> the</w:t>
      </w:r>
      <w:r w:rsidR="00EB7B62" w:rsidRPr="00A41DFF">
        <w:rPr>
          <w:lang w:val="en-GB"/>
        </w:rPr>
        <w:t xml:space="preserve"> risk of adverse events with lenalidomide maintenance </w:t>
      </w:r>
      <w:r w:rsidR="00AC22BD">
        <w:rPr>
          <w:lang w:val="en-GB"/>
        </w:rPr>
        <w:t>treatment</w:t>
      </w:r>
      <w:r w:rsidR="00AC22BD" w:rsidRPr="00A41DFF">
        <w:rPr>
          <w:lang w:val="en-GB"/>
        </w:rPr>
        <w:t xml:space="preserve"> </w:t>
      </w:r>
      <w:r w:rsidR="00274A48" w:rsidRPr="00A41DFF">
        <w:rPr>
          <w:lang w:val="en-GB"/>
        </w:rPr>
        <w:t xml:space="preserve">compared with </w:t>
      </w:r>
      <w:r w:rsidR="003D31B4">
        <w:rPr>
          <w:lang w:val="en-GB"/>
        </w:rPr>
        <w:t>monitoring</w:t>
      </w:r>
      <w:r w:rsidR="003644AE">
        <w:rPr>
          <w:lang w:val="en-GB"/>
        </w:rPr>
        <w:t>. However,</w:t>
      </w:r>
      <w:r w:rsidR="00274A48" w:rsidRPr="00A41DFF">
        <w:rPr>
          <w:lang w:val="en-GB"/>
        </w:rPr>
        <w:t xml:space="preserve"> </w:t>
      </w:r>
      <w:r w:rsidR="003644AE">
        <w:rPr>
          <w:lang w:val="en-GB"/>
        </w:rPr>
        <w:t>i</w:t>
      </w:r>
      <w:r w:rsidR="00274A48" w:rsidRPr="00A41DFF">
        <w:rPr>
          <w:lang w:val="en-GB"/>
        </w:rPr>
        <w:t>t</w:t>
      </w:r>
      <w:r w:rsidR="00EB7B62" w:rsidRPr="00A41DFF">
        <w:rPr>
          <w:lang w:val="en-GB"/>
        </w:rPr>
        <w:t xml:space="preserve"> concluded that the safety profile </w:t>
      </w:r>
      <w:r w:rsidR="00A125F2">
        <w:rPr>
          <w:lang w:val="en-GB"/>
        </w:rPr>
        <w:t>wa</w:t>
      </w:r>
      <w:r w:rsidR="00EB7B62" w:rsidRPr="00A41DFF">
        <w:rPr>
          <w:lang w:val="en-GB"/>
        </w:rPr>
        <w:t>s likely to be acceptable.</w:t>
      </w:r>
    </w:p>
    <w:p w14:paraId="17A1955C" w14:textId="5300ED1E" w:rsidR="00643582" w:rsidRPr="00A41DFF" w:rsidRDefault="005267B2" w:rsidP="00643582">
      <w:pPr>
        <w:pStyle w:val="Heading2"/>
      </w:pPr>
      <w:r w:rsidRPr="00A41DFF">
        <w:t>The company’s economic model</w:t>
      </w:r>
    </w:p>
    <w:p w14:paraId="2CEBA850" w14:textId="0FED27DB" w:rsidR="00643582" w:rsidRPr="00A41DFF" w:rsidRDefault="00BB5030" w:rsidP="0073007E">
      <w:pPr>
        <w:pStyle w:val="Heading3"/>
      </w:pPr>
      <w:r w:rsidRPr="00A41DFF">
        <w:t>The company’s model structure does not allow assumptions about subsequent treatments to be explored</w:t>
      </w:r>
    </w:p>
    <w:p w14:paraId="379D16CF" w14:textId="3FE8F121" w:rsidR="00AB2792" w:rsidRPr="00A41DFF" w:rsidRDefault="00BB5030" w:rsidP="00B56653">
      <w:pPr>
        <w:pStyle w:val="Numberedlevel2text"/>
        <w:rPr>
          <w:lang w:val="en-GB"/>
        </w:rPr>
      </w:pPr>
      <w:r w:rsidRPr="00A41DFF">
        <w:rPr>
          <w:lang w:val="en-GB"/>
        </w:rPr>
        <w:t>Th</w:t>
      </w:r>
      <w:r w:rsidR="00FD4525">
        <w:rPr>
          <w:lang w:val="en-GB"/>
        </w:rPr>
        <w:t>e</w:t>
      </w:r>
      <w:r w:rsidRPr="00A41DFF">
        <w:rPr>
          <w:lang w:val="en-GB"/>
        </w:rPr>
        <w:t xml:space="preserve"> company chose a partitioned survival </w:t>
      </w:r>
      <w:r w:rsidR="00AD0659" w:rsidRPr="00A41DFF">
        <w:rPr>
          <w:lang w:val="en-GB"/>
        </w:rPr>
        <w:t>model comprising 3</w:t>
      </w:r>
      <w:r w:rsidR="008B297B">
        <w:rPr>
          <w:lang w:val="en-GB"/>
        </w:rPr>
        <w:t> </w:t>
      </w:r>
      <w:r w:rsidR="00AD0659" w:rsidRPr="00A41DFF">
        <w:rPr>
          <w:lang w:val="en-GB"/>
        </w:rPr>
        <w:t>health states (pre</w:t>
      </w:r>
      <w:r w:rsidR="004069E7">
        <w:rPr>
          <w:lang w:val="en-GB"/>
        </w:rPr>
        <w:t>-</w:t>
      </w:r>
      <w:r w:rsidR="00AD0659" w:rsidRPr="00A41DFF">
        <w:rPr>
          <w:lang w:val="en-GB"/>
        </w:rPr>
        <w:t xml:space="preserve">progression, progressive disease and death). It explained that </w:t>
      </w:r>
      <w:r w:rsidR="00D74586" w:rsidRPr="00A41DFF">
        <w:rPr>
          <w:lang w:val="en-GB"/>
        </w:rPr>
        <w:t>it had previously considered a more complex model structure such as a multistate model</w:t>
      </w:r>
      <w:r w:rsidR="008B297B">
        <w:rPr>
          <w:lang w:val="en-GB"/>
        </w:rPr>
        <w:t>. However</w:t>
      </w:r>
      <w:r w:rsidR="00D74586" w:rsidRPr="00A41DFF">
        <w:rPr>
          <w:lang w:val="en-GB"/>
        </w:rPr>
        <w:t>, there were insufficient data to estimate transition probabilities</w:t>
      </w:r>
      <w:r w:rsidR="00F54CFA" w:rsidRPr="00A41DFF">
        <w:rPr>
          <w:lang w:val="en-GB"/>
        </w:rPr>
        <w:t xml:space="preserve"> for this approach</w:t>
      </w:r>
      <w:r w:rsidR="00D74586" w:rsidRPr="00A41DFF">
        <w:rPr>
          <w:lang w:val="en-GB"/>
        </w:rPr>
        <w:t xml:space="preserve">, so </w:t>
      </w:r>
      <w:r w:rsidR="008B297B">
        <w:rPr>
          <w:lang w:val="en-GB"/>
        </w:rPr>
        <w:t xml:space="preserve">it </w:t>
      </w:r>
      <w:r w:rsidR="00D74586" w:rsidRPr="00A41DFF">
        <w:rPr>
          <w:lang w:val="en-GB"/>
        </w:rPr>
        <w:t>chose a partitioned survival model instead.</w:t>
      </w:r>
      <w:r w:rsidR="00AB2792" w:rsidRPr="00A41DFF">
        <w:rPr>
          <w:lang w:val="en-GB"/>
        </w:rPr>
        <w:t xml:space="preserve"> </w:t>
      </w:r>
      <w:r w:rsidR="00D74586" w:rsidRPr="00A41DFF">
        <w:rPr>
          <w:lang w:val="en-GB"/>
        </w:rPr>
        <w:t xml:space="preserve">The ERG </w:t>
      </w:r>
      <w:r w:rsidR="000E6FB2">
        <w:rPr>
          <w:lang w:val="en-GB"/>
        </w:rPr>
        <w:t>stated</w:t>
      </w:r>
      <w:r w:rsidR="000E6FB2" w:rsidRPr="00A41DFF">
        <w:rPr>
          <w:lang w:val="en-GB"/>
        </w:rPr>
        <w:t xml:space="preserve"> </w:t>
      </w:r>
      <w:r w:rsidR="00D74586" w:rsidRPr="00A41DFF">
        <w:rPr>
          <w:lang w:val="en-GB"/>
        </w:rPr>
        <w:t xml:space="preserve">that the </w:t>
      </w:r>
      <w:r w:rsidR="000E6FB2">
        <w:rPr>
          <w:lang w:val="en-GB"/>
        </w:rPr>
        <w:t xml:space="preserve">simple structure of the </w:t>
      </w:r>
      <w:r w:rsidR="00D74586" w:rsidRPr="00A41DFF">
        <w:rPr>
          <w:lang w:val="en-GB"/>
        </w:rPr>
        <w:t xml:space="preserve">company’s model </w:t>
      </w:r>
      <w:r w:rsidR="008B297B" w:rsidRPr="00A41DFF">
        <w:rPr>
          <w:lang w:val="en-GB"/>
        </w:rPr>
        <w:t>d</w:t>
      </w:r>
      <w:r w:rsidR="008B297B">
        <w:rPr>
          <w:lang w:val="en-GB"/>
        </w:rPr>
        <w:t>id</w:t>
      </w:r>
      <w:r w:rsidR="008B297B" w:rsidRPr="00A41DFF">
        <w:rPr>
          <w:lang w:val="en-GB"/>
        </w:rPr>
        <w:t xml:space="preserve"> </w:t>
      </w:r>
      <w:r w:rsidR="00D74586" w:rsidRPr="00A41DFF">
        <w:rPr>
          <w:lang w:val="en-GB"/>
        </w:rPr>
        <w:t xml:space="preserve">not allow uncertainty in the model to be fully </w:t>
      </w:r>
      <w:r w:rsidR="00F54CFA" w:rsidRPr="00A41DFF">
        <w:rPr>
          <w:lang w:val="en-GB"/>
        </w:rPr>
        <w:t xml:space="preserve">explored. It was particularly concerned about the </w:t>
      </w:r>
      <w:r w:rsidR="008B297B">
        <w:rPr>
          <w:lang w:val="en-GB"/>
        </w:rPr>
        <w:t>effect</w:t>
      </w:r>
      <w:r w:rsidR="008B297B" w:rsidRPr="00A41DFF">
        <w:rPr>
          <w:lang w:val="en-GB"/>
        </w:rPr>
        <w:t xml:space="preserve"> </w:t>
      </w:r>
      <w:r w:rsidR="00F54CFA" w:rsidRPr="00A41DFF">
        <w:rPr>
          <w:lang w:val="en-GB"/>
        </w:rPr>
        <w:t>of subsequent treatments</w:t>
      </w:r>
      <w:r w:rsidR="008B297B">
        <w:rPr>
          <w:lang w:val="en-GB"/>
        </w:rPr>
        <w:t>. This was</w:t>
      </w:r>
      <w:r w:rsidR="00F54CFA" w:rsidRPr="00A41DFF">
        <w:rPr>
          <w:lang w:val="en-GB"/>
        </w:rPr>
        <w:t xml:space="preserve"> because </w:t>
      </w:r>
      <w:r w:rsidR="00AB2792" w:rsidRPr="00A41DFF">
        <w:rPr>
          <w:lang w:val="en-GB"/>
        </w:rPr>
        <w:t xml:space="preserve">survival in the </w:t>
      </w:r>
      <w:r w:rsidR="00C07782" w:rsidRPr="00A41DFF">
        <w:rPr>
          <w:lang w:val="en-GB"/>
        </w:rPr>
        <w:t xml:space="preserve">company’s </w:t>
      </w:r>
      <w:r w:rsidR="00AB2792" w:rsidRPr="00A41DFF">
        <w:rPr>
          <w:lang w:val="en-GB"/>
        </w:rPr>
        <w:t xml:space="preserve">model </w:t>
      </w:r>
      <w:r w:rsidR="008B297B">
        <w:rPr>
          <w:lang w:val="en-GB"/>
        </w:rPr>
        <w:t>was</w:t>
      </w:r>
      <w:r w:rsidR="008B297B" w:rsidRPr="00A41DFF">
        <w:rPr>
          <w:lang w:val="en-GB"/>
        </w:rPr>
        <w:t xml:space="preserve"> </w:t>
      </w:r>
      <w:r w:rsidR="00AB2792" w:rsidRPr="00A41DFF">
        <w:rPr>
          <w:lang w:val="en-GB"/>
        </w:rPr>
        <w:t xml:space="preserve">based </w:t>
      </w:r>
      <w:r w:rsidR="008D027D" w:rsidRPr="00A41DFF">
        <w:rPr>
          <w:lang w:val="en-GB"/>
        </w:rPr>
        <w:t>on Myeloma</w:t>
      </w:r>
      <w:r w:rsidR="008B297B">
        <w:rPr>
          <w:lang w:val="en-GB"/>
        </w:rPr>
        <w:t> </w:t>
      </w:r>
      <w:r w:rsidR="008D027D" w:rsidRPr="00A41DFF">
        <w:rPr>
          <w:lang w:val="en-GB"/>
        </w:rPr>
        <w:t>XI and CALGB</w:t>
      </w:r>
      <w:r w:rsidR="008B297B">
        <w:rPr>
          <w:lang w:val="en-GB"/>
        </w:rPr>
        <w:t> </w:t>
      </w:r>
      <w:r w:rsidR="008D027D" w:rsidRPr="00A41DFF">
        <w:rPr>
          <w:lang w:val="en-GB"/>
        </w:rPr>
        <w:t xml:space="preserve">100104, </w:t>
      </w:r>
      <w:r w:rsidR="00286FCB">
        <w:rPr>
          <w:lang w:val="en-GB"/>
        </w:rPr>
        <w:t>and</w:t>
      </w:r>
      <w:r w:rsidR="00286FCB" w:rsidRPr="00A41DFF">
        <w:rPr>
          <w:lang w:val="en-GB"/>
        </w:rPr>
        <w:t xml:space="preserve"> </w:t>
      </w:r>
      <w:r w:rsidR="00F54CFA" w:rsidRPr="00A41DFF">
        <w:rPr>
          <w:lang w:val="en-GB"/>
        </w:rPr>
        <w:t xml:space="preserve">the treatments given at </w:t>
      </w:r>
      <w:r w:rsidR="008B297B">
        <w:rPr>
          <w:lang w:val="en-GB"/>
        </w:rPr>
        <w:t>second</w:t>
      </w:r>
      <w:r w:rsidR="008B297B" w:rsidRPr="00A41DFF">
        <w:rPr>
          <w:lang w:val="en-GB"/>
        </w:rPr>
        <w:t xml:space="preserve"> </w:t>
      </w:r>
      <w:r w:rsidR="00F54CFA" w:rsidRPr="00A41DFF">
        <w:rPr>
          <w:lang w:val="en-GB"/>
        </w:rPr>
        <w:t>line and beyond in</w:t>
      </w:r>
      <w:r w:rsidR="008D027D" w:rsidRPr="00A41DFF">
        <w:rPr>
          <w:lang w:val="en-GB"/>
        </w:rPr>
        <w:t xml:space="preserve"> these trials </w:t>
      </w:r>
      <w:r w:rsidR="00286FCB">
        <w:rPr>
          <w:lang w:val="en-GB"/>
        </w:rPr>
        <w:t>a</w:t>
      </w:r>
      <w:r w:rsidR="008B297B" w:rsidRPr="00A41DFF">
        <w:rPr>
          <w:lang w:val="en-GB"/>
        </w:rPr>
        <w:t xml:space="preserve">re </w:t>
      </w:r>
      <w:r w:rsidR="008D027D" w:rsidRPr="00A41DFF">
        <w:rPr>
          <w:lang w:val="en-GB"/>
        </w:rPr>
        <w:t xml:space="preserve">not generalisable to </w:t>
      </w:r>
      <w:r w:rsidR="004069E7">
        <w:rPr>
          <w:lang w:val="en-GB"/>
        </w:rPr>
        <w:t xml:space="preserve">current </w:t>
      </w:r>
      <w:r w:rsidR="008D027D" w:rsidRPr="00A41DFF">
        <w:rPr>
          <w:lang w:val="en-GB"/>
        </w:rPr>
        <w:t>NHS practice</w:t>
      </w:r>
      <w:r w:rsidR="00F54CFA" w:rsidRPr="00A41DFF">
        <w:rPr>
          <w:lang w:val="en-GB"/>
        </w:rPr>
        <w:t>.</w:t>
      </w:r>
      <w:r w:rsidR="008D027D" w:rsidRPr="00A41DFF">
        <w:rPr>
          <w:lang w:val="en-GB"/>
        </w:rPr>
        <w:t xml:space="preserve"> </w:t>
      </w:r>
      <w:r w:rsidR="008B297B">
        <w:rPr>
          <w:lang w:val="en-GB"/>
        </w:rPr>
        <w:t>T</w:t>
      </w:r>
      <w:r w:rsidR="002D4668">
        <w:rPr>
          <w:lang w:val="en-GB"/>
        </w:rPr>
        <w:t>he treatment of myeloma has</w:t>
      </w:r>
      <w:r w:rsidR="005D33A8">
        <w:rPr>
          <w:lang w:val="en-GB"/>
        </w:rPr>
        <w:t xml:space="preserve"> changed since </w:t>
      </w:r>
      <w:r w:rsidR="00C07782" w:rsidRPr="00A41DFF">
        <w:rPr>
          <w:lang w:val="en-GB"/>
        </w:rPr>
        <w:t>Myeloma</w:t>
      </w:r>
      <w:r w:rsidR="008B297B">
        <w:rPr>
          <w:lang w:val="en-GB"/>
        </w:rPr>
        <w:t> </w:t>
      </w:r>
      <w:r w:rsidR="00C07782" w:rsidRPr="00A41DFF">
        <w:rPr>
          <w:lang w:val="en-GB"/>
        </w:rPr>
        <w:t xml:space="preserve">XI was </w:t>
      </w:r>
      <w:r w:rsidR="005D33A8">
        <w:rPr>
          <w:lang w:val="en-GB"/>
        </w:rPr>
        <w:t>started</w:t>
      </w:r>
      <w:r w:rsidR="00286FCB">
        <w:rPr>
          <w:lang w:val="en-GB"/>
        </w:rPr>
        <w:t xml:space="preserve">, which </w:t>
      </w:r>
      <w:r w:rsidR="00286FCB">
        <w:rPr>
          <w:lang w:val="en-GB"/>
        </w:rPr>
        <w:lastRenderedPageBreak/>
        <w:t>means that,</w:t>
      </w:r>
      <w:r w:rsidR="00C07782" w:rsidRPr="00A41DFF">
        <w:rPr>
          <w:lang w:val="en-GB"/>
        </w:rPr>
        <w:t xml:space="preserve"> despite </w:t>
      </w:r>
      <w:r w:rsidR="008B297B">
        <w:rPr>
          <w:lang w:val="en-GB"/>
        </w:rPr>
        <w:t>it</w:t>
      </w:r>
      <w:r w:rsidR="00C07782" w:rsidRPr="00A41DFF">
        <w:rPr>
          <w:lang w:val="en-GB"/>
        </w:rPr>
        <w:t xml:space="preserve"> being a UK trial</w:t>
      </w:r>
      <w:r w:rsidR="00286FCB">
        <w:rPr>
          <w:lang w:val="en-GB"/>
        </w:rPr>
        <w:t>, the treatment</w:t>
      </w:r>
      <w:r w:rsidR="004069E7">
        <w:rPr>
          <w:lang w:val="en-GB"/>
        </w:rPr>
        <w:t>s</w:t>
      </w:r>
      <w:r w:rsidR="00286FCB">
        <w:rPr>
          <w:lang w:val="en-GB"/>
        </w:rPr>
        <w:t xml:space="preserve"> used do not reflect current NHS practice</w:t>
      </w:r>
      <w:r w:rsidR="008B297B">
        <w:rPr>
          <w:lang w:val="en-GB"/>
        </w:rPr>
        <w:t>. Also,</w:t>
      </w:r>
      <w:r w:rsidR="008D027D" w:rsidRPr="00A41DFF">
        <w:rPr>
          <w:lang w:val="en-GB"/>
        </w:rPr>
        <w:t xml:space="preserve"> CALGB</w:t>
      </w:r>
      <w:r w:rsidR="008B297B">
        <w:rPr>
          <w:lang w:val="en-GB"/>
        </w:rPr>
        <w:t> </w:t>
      </w:r>
      <w:r w:rsidR="008D027D" w:rsidRPr="00A41DFF">
        <w:rPr>
          <w:lang w:val="en-GB"/>
        </w:rPr>
        <w:t xml:space="preserve">100104 </w:t>
      </w:r>
      <w:r w:rsidR="00A80EA8" w:rsidRPr="00A41DFF">
        <w:rPr>
          <w:lang w:val="en-GB"/>
        </w:rPr>
        <w:t>ha</w:t>
      </w:r>
      <w:r w:rsidR="00286FCB">
        <w:rPr>
          <w:lang w:val="en-GB"/>
        </w:rPr>
        <w:t>s</w:t>
      </w:r>
      <w:r w:rsidR="005D33A8">
        <w:rPr>
          <w:lang w:val="en-GB"/>
        </w:rPr>
        <w:t xml:space="preserve"> </w:t>
      </w:r>
      <w:r w:rsidR="00A80EA8" w:rsidRPr="00A41DFF">
        <w:rPr>
          <w:lang w:val="en-GB"/>
        </w:rPr>
        <w:t xml:space="preserve">limited generalisability to the UK because </w:t>
      </w:r>
      <w:r w:rsidR="008B297B">
        <w:rPr>
          <w:lang w:val="en-GB"/>
        </w:rPr>
        <w:t>it</w:t>
      </w:r>
      <w:r w:rsidR="00A80EA8" w:rsidRPr="00A41DFF">
        <w:rPr>
          <w:lang w:val="en-GB"/>
        </w:rPr>
        <w:t xml:space="preserve"> </w:t>
      </w:r>
      <w:r w:rsidR="008D027D" w:rsidRPr="00A41DFF">
        <w:rPr>
          <w:lang w:val="en-GB"/>
        </w:rPr>
        <w:t xml:space="preserve">was based in the </w:t>
      </w:r>
      <w:r w:rsidR="008B297B">
        <w:rPr>
          <w:lang w:val="en-GB"/>
        </w:rPr>
        <w:t>US</w:t>
      </w:r>
      <w:r w:rsidR="008D027D" w:rsidRPr="00A41DFF">
        <w:rPr>
          <w:lang w:val="en-GB"/>
        </w:rPr>
        <w:t>.</w:t>
      </w:r>
      <w:r w:rsidR="00F54CFA" w:rsidRPr="00A41DFF">
        <w:rPr>
          <w:lang w:val="en-GB"/>
        </w:rPr>
        <w:t xml:space="preserve"> The ERG highlighted that the company’s </w:t>
      </w:r>
      <w:r w:rsidR="00D74586" w:rsidRPr="00A41DFF">
        <w:rPr>
          <w:lang w:val="en-GB"/>
        </w:rPr>
        <w:t>partitioned survival model</w:t>
      </w:r>
      <w:r w:rsidR="00F54CFA" w:rsidRPr="00A41DFF">
        <w:rPr>
          <w:lang w:val="en-GB"/>
        </w:rPr>
        <w:t xml:space="preserve"> structure</w:t>
      </w:r>
      <w:r w:rsidR="00D74586" w:rsidRPr="00A41DFF">
        <w:rPr>
          <w:lang w:val="en-GB"/>
        </w:rPr>
        <w:t xml:space="preserve"> </w:t>
      </w:r>
      <w:r w:rsidR="008B297B">
        <w:rPr>
          <w:lang w:val="en-GB"/>
        </w:rPr>
        <w:t xml:space="preserve">did </w:t>
      </w:r>
      <w:r w:rsidR="00D74586" w:rsidRPr="00A41DFF">
        <w:rPr>
          <w:lang w:val="en-GB"/>
        </w:rPr>
        <w:t>not allow alternative assumptions about subsequent treatments to be explored</w:t>
      </w:r>
      <w:r w:rsidR="008B297B">
        <w:rPr>
          <w:lang w:val="en-GB"/>
        </w:rPr>
        <w:t>. This meant that</w:t>
      </w:r>
      <w:r w:rsidR="00F54CFA" w:rsidRPr="00A41DFF">
        <w:rPr>
          <w:lang w:val="en-GB"/>
        </w:rPr>
        <w:t xml:space="preserve"> the modelled survival </w:t>
      </w:r>
      <w:r w:rsidR="00AB2792" w:rsidRPr="00A41DFF">
        <w:rPr>
          <w:lang w:val="en-GB"/>
        </w:rPr>
        <w:t xml:space="preserve">may not </w:t>
      </w:r>
      <w:r w:rsidR="008B297B">
        <w:rPr>
          <w:lang w:val="en-GB"/>
        </w:rPr>
        <w:t>have been</w:t>
      </w:r>
      <w:r w:rsidR="008B297B" w:rsidRPr="00A41DFF">
        <w:rPr>
          <w:lang w:val="en-GB"/>
        </w:rPr>
        <w:t xml:space="preserve"> </w:t>
      </w:r>
      <w:r w:rsidR="00AB2792" w:rsidRPr="00A41DFF">
        <w:rPr>
          <w:lang w:val="en-GB"/>
        </w:rPr>
        <w:t>representative of what would be seen in the NHS.</w:t>
      </w:r>
      <w:r w:rsidR="00B56653" w:rsidRPr="00A41DFF">
        <w:rPr>
          <w:lang w:val="en-GB"/>
        </w:rPr>
        <w:t xml:space="preserve"> </w:t>
      </w:r>
      <w:r w:rsidR="001C61DE" w:rsidRPr="00A41DFF">
        <w:rPr>
          <w:lang w:val="en-GB"/>
        </w:rPr>
        <w:t xml:space="preserve">The committee concluded that the company’s model structure </w:t>
      </w:r>
      <w:r w:rsidR="008B297B" w:rsidRPr="00A41DFF">
        <w:rPr>
          <w:lang w:val="en-GB"/>
        </w:rPr>
        <w:t>ha</w:t>
      </w:r>
      <w:r w:rsidR="008B297B">
        <w:rPr>
          <w:lang w:val="en-GB"/>
        </w:rPr>
        <w:t>d</w:t>
      </w:r>
      <w:r w:rsidR="008B297B" w:rsidRPr="00A41DFF">
        <w:rPr>
          <w:lang w:val="en-GB"/>
        </w:rPr>
        <w:t xml:space="preserve"> </w:t>
      </w:r>
      <w:r w:rsidR="001C61DE" w:rsidRPr="00A41DFF">
        <w:rPr>
          <w:lang w:val="en-GB"/>
        </w:rPr>
        <w:t>limitations</w:t>
      </w:r>
      <w:r w:rsidR="008B297B">
        <w:rPr>
          <w:lang w:val="en-GB"/>
        </w:rPr>
        <w:t xml:space="preserve">. It also concluded that </w:t>
      </w:r>
      <w:r w:rsidR="001C61DE" w:rsidRPr="00A41DFF">
        <w:rPr>
          <w:lang w:val="en-GB"/>
        </w:rPr>
        <w:t xml:space="preserve">there </w:t>
      </w:r>
      <w:r w:rsidR="008B297B">
        <w:rPr>
          <w:lang w:val="en-GB"/>
        </w:rPr>
        <w:t>was</w:t>
      </w:r>
      <w:r w:rsidR="008B297B" w:rsidRPr="00A41DFF">
        <w:rPr>
          <w:lang w:val="en-GB"/>
        </w:rPr>
        <w:t xml:space="preserve"> </w:t>
      </w:r>
      <w:r w:rsidR="001C61DE" w:rsidRPr="00A41DFF">
        <w:rPr>
          <w:lang w:val="en-GB"/>
        </w:rPr>
        <w:t xml:space="preserve">likely to be uncertainty </w:t>
      </w:r>
      <w:r w:rsidR="008B297B">
        <w:rPr>
          <w:lang w:val="en-GB"/>
        </w:rPr>
        <w:t>around</w:t>
      </w:r>
      <w:r w:rsidR="008B297B" w:rsidRPr="00A41DFF">
        <w:rPr>
          <w:lang w:val="en-GB"/>
        </w:rPr>
        <w:t xml:space="preserve"> </w:t>
      </w:r>
      <w:r w:rsidR="001C61DE" w:rsidRPr="00A41DFF">
        <w:rPr>
          <w:lang w:val="en-GB"/>
        </w:rPr>
        <w:t xml:space="preserve">the cost-effectiveness estimate because assumptions about the effects of subsequent therapies on survival </w:t>
      </w:r>
      <w:r w:rsidR="008B297B">
        <w:rPr>
          <w:lang w:val="en-GB"/>
        </w:rPr>
        <w:t>could not</w:t>
      </w:r>
      <w:r w:rsidR="008B297B" w:rsidRPr="00A41DFF">
        <w:rPr>
          <w:lang w:val="en-GB"/>
        </w:rPr>
        <w:t xml:space="preserve"> </w:t>
      </w:r>
      <w:r w:rsidR="001C61DE" w:rsidRPr="00A41DFF">
        <w:rPr>
          <w:lang w:val="en-GB"/>
        </w:rPr>
        <w:t>be fully explored.</w:t>
      </w:r>
    </w:p>
    <w:p w14:paraId="515B8C71" w14:textId="01354667" w:rsidR="00A52D6C" w:rsidRPr="00A41DFF" w:rsidRDefault="002638A2" w:rsidP="00A52D6C">
      <w:pPr>
        <w:pStyle w:val="Heading3"/>
      </w:pPr>
      <w:bookmarkStart w:id="5" w:name="_The_company’s_methods"/>
      <w:bookmarkEnd w:id="5"/>
      <w:r w:rsidRPr="00A41DFF">
        <w:t xml:space="preserve">The company’s </w:t>
      </w:r>
      <w:r w:rsidR="00A52D6C" w:rsidRPr="00A41DFF">
        <w:t xml:space="preserve">methods </w:t>
      </w:r>
      <w:r w:rsidRPr="00A41DFF">
        <w:t>and rationale for pooling</w:t>
      </w:r>
      <w:r w:rsidR="00A52D6C" w:rsidRPr="00A41DFF">
        <w:t xml:space="preserve"> </w:t>
      </w:r>
      <w:r w:rsidR="00510DBD" w:rsidRPr="00A41DFF">
        <w:t>Myeloma</w:t>
      </w:r>
      <w:r w:rsidR="008E2E2F">
        <w:t> </w:t>
      </w:r>
      <w:r w:rsidR="00510DBD" w:rsidRPr="00A41DFF">
        <w:t>XI and CALGB</w:t>
      </w:r>
      <w:r w:rsidR="008E2E2F">
        <w:t> </w:t>
      </w:r>
      <w:r w:rsidR="00510DBD" w:rsidRPr="00A41DFF">
        <w:t xml:space="preserve">100104 </w:t>
      </w:r>
      <w:r w:rsidR="00A52D6C" w:rsidRPr="00A41DFF">
        <w:t>data</w:t>
      </w:r>
      <w:r w:rsidR="008E2E2F">
        <w:t>,</w:t>
      </w:r>
      <w:r w:rsidR="00A52D6C" w:rsidRPr="00A41DFF">
        <w:t xml:space="preserve"> and adjust</w:t>
      </w:r>
      <w:r w:rsidRPr="00A41DFF">
        <w:t>ing</w:t>
      </w:r>
      <w:r w:rsidR="00A52D6C" w:rsidRPr="00A41DFF">
        <w:t xml:space="preserve"> for treatment switching</w:t>
      </w:r>
      <w:r w:rsidR="0021173C">
        <w:t>,</w:t>
      </w:r>
      <w:r w:rsidR="00A52D6C" w:rsidRPr="00A41DFF">
        <w:t xml:space="preserve"> are unclear</w:t>
      </w:r>
    </w:p>
    <w:p w14:paraId="6F3EB167" w14:textId="46313233" w:rsidR="00510DBD" w:rsidRPr="00A41DFF" w:rsidRDefault="00A80EA8" w:rsidP="00011E8C">
      <w:pPr>
        <w:pStyle w:val="Numberedlevel2text"/>
        <w:rPr>
          <w:lang w:val="en-GB"/>
        </w:rPr>
      </w:pPr>
      <w:r w:rsidRPr="00A41DFF">
        <w:rPr>
          <w:lang w:val="en-GB"/>
        </w:rPr>
        <w:t xml:space="preserve">Survival models were needed to predict survival beyond the end of the </w:t>
      </w:r>
      <w:r w:rsidR="00B06D18" w:rsidRPr="00A41DFF">
        <w:rPr>
          <w:lang w:val="en-GB"/>
        </w:rPr>
        <w:t xml:space="preserve">clinical trials </w:t>
      </w:r>
      <w:r w:rsidR="00866CF5">
        <w:rPr>
          <w:lang w:val="en-GB"/>
        </w:rPr>
        <w:t>for</w:t>
      </w:r>
      <w:r w:rsidR="00B06D18">
        <w:rPr>
          <w:lang w:val="en-GB"/>
        </w:rPr>
        <w:t xml:space="preserve"> </w:t>
      </w:r>
      <w:r w:rsidRPr="00A41DFF">
        <w:rPr>
          <w:lang w:val="en-GB"/>
        </w:rPr>
        <w:t xml:space="preserve">lenalidomide maintenance </w:t>
      </w:r>
      <w:r w:rsidR="00AC22BD">
        <w:rPr>
          <w:lang w:val="en-GB"/>
        </w:rPr>
        <w:t>treatment</w:t>
      </w:r>
      <w:r w:rsidR="00826C05" w:rsidRPr="00A41DFF">
        <w:rPr>
          <w:lang w:val="en-GB"/>
        </w:rPr>
        <w:t xml:space="preserve">. </w:t>
      </w:r>
      <w:r w:rsidR="00A52D6C" w:rsidRPr="00A41DFF">
        <w:rPr>
          <w:lang w:val="en-GB"/>
        </w:rPr>
        <w:t xml:space="preserve">In its </w:t>
      </w:r>
      <w:r w:rsidR="009B77C1">
        <w:rPr>
          <w:lang w:val="en-GB"/>
        </w:rPr>
        <w:t xml:space="preserve">original </w:t>
      </w:r>
      <w:r w:rsidR="00A52D6C" w:rsidRPr="00A41DFF">
        <w:rPr>
          <w:lang w:val="en-GB"/>
        </w:rPr>
        <w:t>base case</w:t>
      </w:r>
      <w:r w:rsidR="00AC22BD">
        <w:rPr>
          <w:lang w:val="en-GB"/>
        </w:rPr>
        <w:t>,</w:t>
      </w:r>
      <w:r w:rsidR="00A52D6C" w:rsidRPr="00A41DFF">
        <w:rPr>
          <w:lang w:val="en-GB"/>
        </w:rPr>
        <w:t xml:space="preserve"> the company </w:t>
      </w:r>
      <w:r w:rsidR="00580C63">
        <w:rPr>
          <w:lang w:val="en-GB"/>
        </w:rPr>
        <w:t>fit</w:t>
      </w:r>
      <w:r w:rsidR="007E608D">
        <w:rPr>
          <w:lang w:val="en-GB"/>
        </w:rPr>
        <w:t xml:space="preserve">ted </w:t>
      </w:r>
      <w:r w:rsidR="00580C63">
        <w:rPr>
          <w:lang w:val="en-GB"/>
        </w:rPr>
        <w:t>survival curves to M</w:t>
      </w:r>
      <w:r w:rsidR="009B77C1">
        <w:rPr>
          <w:lang w:val="en-GB"/>
        </w:rPr>
        <w:t>yeloma</w:t>
      </w:r>
      <w:r w:rsidR="008E2E2F">
        <w:rPr>
          <w:lang w:val="en-GB"/>
        </w:rPr>
        <w:t> </w:t>
      </w:r>
      <w:r w:rsidR="009B77C1">
        <w:rPr>
          <w:lang w:val="en-GB"/>
        </w:rPr>
        <w:t xml:space="preserve">XI data </w:t>
      </w:r>
      <w:r w:rsidR="00580C63">
        <w:rPr>
          <w:lang w:val="en-GB"/>
        </w:rPr>
        <w:t>and used CALGB</w:t>
      </w:r>
      <w:r w:rsidR="008E2E2F">
        <w:rPr>
          <w:lang w:val="en-GB"/>
        </w:rPr>
        <w:t> </w:t>
      </w:r>
      <w:r w:rsidR="00580C63">
        <w:rPr>
          <w:lang w:val="en-GB"/>
        </w:rPr>
        <w:t>10</w:t>
      </w:r>
      <w:r w:rsidR="009D6C72">
        <w:rPr>
          <w:lang w:val="en-GB"/>
        </w:rPr>
        <w:t>0</w:t>
      </w:r>
      <w:r w:rsidR="00580C63">
        <w:rPr>
          <w:lang w:val="en-GB"/>
        </w:rPr>
        <w:t>104 data to help with curve selection. H</w:t>
      </w:r>
      <w:r w:rsidR="005173BE">
        <w:rPr>
          <w:lang w:val="en-GB"/>
        </w:rPr>
        <w:t>owever</w:t>
      </w:r>
      <w:r w:rsidR="00580C63">
        <w:rPr>
          <w:lang w:val="en-GB"/>
        </w:rPr>
        <w:t>,</w:t>
      </w:r>
      <w:r w:rsidR="005173BE">
        <w:rPr>
          <w:lang w:val="en-GB"/>
        </w:rPr>
        <w:t xml:space="preserve"> in response to technical engagement</w:t>
      </w:r>
      <w:r w:rsidR="008E2E2F">
        <w:rPr>
          <w:lang w:val="en-GB"/>
        </w:rPr>
        <w:t>,</w:t>
      </w:r>
      <w:r w:rsidR="005173BE">
        <w:rPr>
          <w:lang w:val="en-GB"/>
        </w:rPr>
        <w:t xml:space="preserve"> </w:t>
      </w:r>
      <w:proofErr w:type="gramStart"/>
      <w:r w:rsidR="005173BE">
        <w:rPr>
          <w:lang w:val="en-GB"/>
        </w:rPr>
        <w:t>it</w:t>
      </w:r>
      <w:proofErr w:type="gramEnd"/>
      <w:r w:rsidR="005173BE">
        <w:rPr>
          <w:lang w:val="en-GB"/>
        </w:rPr>
        <w:t xml:space="preserve"> </w:t>
      </w:r>
      <w:r w:rsidR="005173BE" w:rsidRPr="00A41DFF">
        <w:rPr>
          <w:lang w:val="en-GB"/>
        </w:rPr>
        <w:t>pooled data from Myeloma</w:t>
      </w:r>
      <w:r w:rsidR="008E2E2F">
        <w:rPr>
          <w:lang w:val="en-GB"/>
        </w:rPr>
        <w:t> </w:t>
      </w:r>
      <w:r w:rsidR="005173BE" w:rsidRPr="00A41DFF">
        <w:rPr>
          <w:lang w:val="en-GB"/>
        </w:rPr>
        <w:t>XI and CALGB</w:t>
      </w:r>
      <w:r w:rsidR="008E2E2F">
        <w:rPr>
          <w:lang w:val="en-GB"/>
        </w:rPr>
        <w:t> </w:t>
      </w:r>
      <w:r w:rsidR="005173BE" w:rsidRPr="00A41DFF">
        <w:rPr>
          <w:lang w:val="en-GB"/>
        </w:rPr>
        <w:t>100104</w:t>
      </w:r>
      <w:r w:rsidR="008E2E2F">
        <w:rPr>
          <w:lang w:val="en-GB"/>
        </w:rPr>
        <w:t>,</w:t>
      </w:r>
      <w:r w:rsidR="00580C63">
        <w:rPr>
          <w:lang w:val="en-GB"/>
        </w:rPr>
        <w:t xml:space="preserve"> and fit</w:t>
      </w:r>
      <w:r w:rsidR="00B06D18">
        <w:rPr>
          <w:lang w:val="en-GB"/>
        </w:rPr>
        <w:t>ted</w:t>
      </w:r>
      <w:r w:rsidR="00580C63">
        <w:rPr>
          <w:lang w:val="en-GB"/>
        </w:rPr>
        <w:t xml:space="preserve"> curves to the pooled data</w:t>
      </w:r>
      <w:r w:rsidR="00A52D6C" w:rsidRPr="00A41DFF">
        <w:rPr>
          <w:lang w:val="en-GB"/>
        </w:rPr>
        <w:t>.</w:t>
      </w:r>
      <w:r w:rsidR="00510DBD" w:rsidRPr="00A41DFF">
        <w:rPr>
          <w:lang w:val="en-GB"/>
        </w:rPr>
        <w:t xml:space="preserve"> </w:t>
      </w:r>
      <w:r w:rsidR="009D6C72">
        <w:rPr>
          <w:lang w:val="en-GB"/>
        </w:rPr>
        <w:t>It confirmed that it used a simple method for pooling the individual patient data from the trials</w:t>
      </w:r>
      <w:r w:rsidR="007846AE">
        <w:rPr>
          <w:lang w:val="en-GB"/>
        </w:rPr>
        <w:t>. This</w:t>
      </w:r>
      <w:r w:rsidR="009D6C72">
        <w:rPr>
          <w:lang w:val="en-GB"/>
        </w:rPr>
        <w:t xml:space="preserve"> did not involve adjusting CALGB</w:t>
      </w:r>
      <w:r w:rsidR="00866CF5">
        <w:rPr>
          <w:lang w:val="en-GB"/>
        </w:rPr>
        <w:t> </w:t>
      </w:r>
      <w:r w:rsidR="009D6C72">
        <w:rPr>
          <w:lang w:val="en-GB"/>
        </w:rPr>
        <w:t>100104 data to reflect Myeloma</w:t>
      </w:r>
      <w:r w:rsidR="004B1286">
        <w:rPr>
          <w:lang w:val="en-GB"/>
        </w:rPr>
        <w:t> </w:t>
      </w:r>
      <w:r w:rsidR="009D6C72">
        <w:rPr>
          <w:lang w:val="en-GB"/>
        </w:rPr>
        <w:t>XI, for example by adjusting for differences in trial design or population</w:t>
      </w:r>
      <w:r w:rsidR="00B56653" w:rsidRPr="00A41DFF">
        <w:rPr>
          <w:lang w:val="en-GB"/>
        </w:rPr>
        <w:t>.</w:t>
      </w:r>
      <w:r w:rsidR="002E6CCB" w:rsidRPr="00A41DFF">
        <w:rPr>
          <w:lang w:val="en-GB"/>
        </w:rPr>
        <w:t xml:space="preserve"> </w:t>
      </w:r>
      <w:bookmarkStart w:id="6" w:name="_Hlk48727586"/>
      <w:r w:rsidR="00A52D6C" w:rsidRPr="00A41DFF">
        <w:rPr>
          <w:lang w:val="en-GB"/>
        </w:rPr>
        <w:t xml:space="preserve">The ERG </w:t>
      </w:r>
      <w:r w:rsidR="002D3366" w:rsidRPr="00A41DFF">
        <w:rPr>
          <w:lang w:val="en-GB"/>
        </w:rPr>
        <w:t>noted that</w:t>
      </w:r>
      <w:r w:rsidR="00A52D6C" w:rsidRPr="00A41DFF">
        <w:rPr>
          <w:lang w:val="en-GB"/>
        </w:rPr>
        <w:t xml:space="preserve"> </w:t>
      </w:r>
      <w:r w:rsidR="002D3366" w:rsidRPr="00A41DFF">
        <w:rPr>
          <w:lang w:val="en-GB"/>
        </w:rPr>
        <w:t>it was</w:t>
      </w:r>
      <w:r w:rsidR="00A52D6C" w:rsidRPr="00A41DFF">
        <w:rPr>
          <w:lang w:val="en-GB"/>
        </w:rPr>
        <w:t xml:space="preserve"> unable to validate the company’s methods for pooling data because insufficient detail was provided</w:t>
      </w:r>
      <w:bookmarkEnd w:id="6"/>
      <w:r w:rsidR="00A52D6C" w:rsidRPr="00A41DFF">
        <w:rPr>
          <w:lang w:val="en-GB"/>
        </w:rPr>
        <w:t xml:space="preserve">. </w:t>
      </w:r>
      <w:r w:rsidR="002638A2" w:rsidRPr="00A41DFF">
        <w:rPr>
          <w:lang w:val="en-GB"/>
        </w:rPr>
        <w:t xml:space="preserve">The committee </w:t>
      </w:r>
      <w:r w:rsidR="00F559B3">
        <w:rPr>
          <w:lang w:val="en-GB"/>
        </w:rPr>
        <w:t>noted</w:t>
      </w:r>
      <w:r w:rsidR="005173BE">
        <w:rPr>
          <w:lang w:val="en-GB"/>
        </w:rPr>
        <w:t xml:space="preserve"> that</w:t>
      </w:r>
      <w:r w:rsidR="005173BE" w:rsidRPr="00A41DFF">
        <w:rPr>
          <w:lang w:val="en-GB"/>
        </w:rPr>
        <w:t xml:space="preserve"> </w:t>
      </w:r>
      <w:r w:rsidR="002638A2" w:rsidRPr="00A41DFF">
        <w:rPr>
          <w:lang w:val="en-GB"/>
        </w:rPr>
        <w:t>the pooling of Myeloma</w:t>
      </w:r>
      <w:r w:rsidR="008E2E2F">
        <w:rPr>
          <w:lang w:val="en-GB"/>
        </w:rPr>
        <w:t> </w:t>
      </w:r>
      <w:r w:rsidR="002638A2" w:rsidRPr="00A41DFF">
        <w:rPr>
          <w:lang w:val="en-GB"/>
        </w:rPr>
        <w:t>XI and CALGB</w:t>
      </w:r>
      <w:r w:rsidR="008E2E2F">
        <w:rPr>
          <w:lang w:val="en-GB"/>
        </w:rPr>
        <w:t> </w:t>
      </w:r>
      <w:r w:rsidR="002638A2" w:rsidRPr="00A41DFF">
        <w:rPr>
          <w:lang w:val="en-GB"/>
        </w:rPr>
        <w:t xml:space="preserve">100104 data </w:t>
      </w:r>
      <w:r w:rsidR="005173BE">
        <w:rPr>
          <w:lang w:val="en-GB"/>
        </w:rPr>
        <w:t>was essentially</w:t>
      </w:r>
      <w:r w:rsidR="002638A2" w:rsidRPr="00A41DFF">
        <w:rPr>
          <w:lang w:val="en-GB"/>
        </w:rPr>
        <w:t xml:space="preserve"> a meta-analysis</w:t>
      </w:r>
      <w:r w:rsidR="008E2E2F">
        <w:rPr>
          <w:lang w:val="en-GB"/>
        </w:rPr>
        <w:t>. I</w:t>
      </w:r>
      <w:r w:rsidR="002638A2" w:rsidRPr="00A41DFF">
        <w:rPr>
          <w:lang w:val="en-GB"/>
        </w:rPr>
        <w:t xml:space="preserve">t </w:t>
      </w:r>
      <w:r w:rsidR="000F73D6" w:rsidRPr="00A41DFF">
        <w:rPr>
          <w:lang w:val="en-GB"/>
        </w:rPr>
        <w:t xml:space="preserve">was disappointed that </w:t>
      </w:r>
      <w:r w:rsidR="002638A2" w:rsidRPr="00A41DFF">
        <w:rPr>
          <w:lang w:val="en-GB"/>
        </w:rPr>
        <w:t xml:space="preserve">the company’s approach could not be </w:t>
      </w:r>
      <w:r w:rsidR="005173BE">
        <w:rPr>
          <w:lang w:val="en-GB"/>
        </w:rPr>
        <w:t xml:space="preserve">scrutinised and </w:t>
      </w:r>
      <w:r w:rsidR="002638A2" w:rsidRPr="00A41DFF">
        <w:rPr>
          <w:lang w:val="en-GB"/>
        </w:rPr>
        <w:t>validated based on the information provided</w:t>
      </w:r>
      <w:r w:rsidR="000F73D6" w:rsidRPr="00A41DFF">
        <w:rPr>
          <w:lang w:val="en-GB"/>
        </w:rPr>
        <w:t>. The committee</w:t>
      </w:r>
      <w:r w:rsidR="002638A2" w:rsidRPr="00A41DFF">
        <w:rPr>
          <w:lang w:val="en-GB"/>
        </w:rPr>
        <w:t xml:space="preserve"> </w:t>
      </w:r>
      <w:r w:rsidR="000F73D6" w:rsidRPr="00A41DFF">
        <w:rPr>
          <w:lang w:val="en-GB"/>
        </w:rPr>
        <w:t xml:space="preserve">suggested </w:t>
      </w:r>
      <w:r w:rsidR="008E2E2F">
        <w:rPr>
          <w:lang w:val="en-GB"/>
        </w:rPr>
        <w:t xml:space="preserve">that </w:t>
      </w:r>
      <w:r w:rsidR="002638A2" w:rsidRPr="00A41DFF">
        <w:rPr>
          <w:lang w:val="en-GB"/>
        </w:rPr>
        <w:t xml:space="preserve">the company should have </w:t>
      </w:r>
      <w:r w:rsidR="00826C05" w:rsidRPr="00A41DFF">
        <w:rPr>
          <w:lang w:val="en-GB"/>
        </w:rPr>
        <w:t>justified its choice</w:t>
      </w:r>
      <w:r w:rsidR="000F73D6" w:rsidRPr="00A41DFF">
        <w:rPr>
          <w:lang w:val="en-GB"/>
        </w:rPr>
        <w:t xml:space="preserve"> to pool data and</w:t>
      </w:r>
      <w:r w:rsidR="00F559B3">
        <w:rPr>
          <w:lang w:val="en-GB"/>
        </w:rPr>
        <w:t xml:space="preserve"> to</w:t>
      </w:r>
      <w:r w:rsidR="0083792C">
        <w:rPr>
          <w:lang w:val="en-GB"/>
        </w:rPr>
        <w:t xml:space="preserve"> use</w:t>
      </w:r>
      <w:r w:rsidR="000F73D6" w:rsidRPr="00A41DFF">
        <w:rPr>
          <w:lang w:val="en-GB"/>
        </w:rPr>
        <w:t xml:space="preserve"> </w:t>
      </w:r>
      <w:r w:rsidR="008E2E2F">
        <w:rPr>
          <w:lang w:val="en-GB"/>
        </w:rPr>
        <w:t xml:space="preserve">a </w:t>
      </w:r>
      <w:r w:rsidR="002D3366" w:rsidRPr="00A41DFF">
        <w:rPr>
          <w:lang w:val="en-GB"/>
        </w:rPr>
        <w:t xml:space="preserve">simple pooling approach </w:t>
      </w:r>
      <w:r w:rsidR="000F73D6" w:rsidRPr="00A41DFF">
        <w:rPr>
          <w:lang w:val="en-GB"/>
        </w:rPr>
        <w:t>over</w:t>
      </w:r>
      <w:r w:rsidR="002D3366" w:rsidRPr="00A41DFF">
        <w:rPr>
          <w:lang w:val="en-GB"/>
        </w:rPr>
        <w:t xml:space="preserve"> other evidence synthesis methods. </w:t>
      </w:r>
      <w:r w:rsidR="007F4FB7">
        <w:rPr>
          <w:lang w:val="en-GB"/>
        </w:rPr>
        <w:t>Also</w:t>
      </w:r>
      <w:r w:rsidR="009D6C72">
        <w:rPr>
          <w:lang w:val="en-GB"/>
        </w:rPr>
        <w:t>, the company may have been able to explore the assumption that both Myeloma</w:t>
      </w:r>
      <w:r w:rsidR="007F4FB7">
        <w:rPr>
          <w:lang w:val="en-GB"/>
        </w:rPr>
        <w:t> </w:t>
      </w:r>
      <w:r w:rsidR="009D6C72">
        <w:rPr>
          <w:lang w:val="en-GB"/>
        </w:rPr>
        <w:t>XI and CALGB</w:t>
      </w:r>
      <w:r w:rsidR="007F4FB7">
        <w:rPr>
          <w:lang w:val="en-GB"/>
        </w:rPr>
        <w:t> </w:t>
      </w:r>
      <w:r w:rsidR="009D6C72">
        <w:rPr>
          <w:lang w:val="en-GB"/>
        </w:rPr>
        <w:t xml:space="preserve">100104 were estimating the same underlying treatment effect, and therefore </w:t>
      </w:r>
      <w:r w:rsidR="007F4FB7">
        <w:rPr>
          <w:lang w:val="en-GB"/>
        </w:rPr>
        <w:t xml:space="preserve">were </w:t>
      </w:r>
      <w:r w:rsidR="009D6C72">
        <w:rPr>
          <w:lang w:val="en-GB"/>
        </w:rPr>
        <w:lastRenderedPageBreak/>
        <w:t xml:space="preserve">suitable for </w:t>
      </w:r>
      <w:r w:rsidR="007F4FB7">
        <w:rPr>
          <w:lang w:val="en-GB"/>
        </w:rPr>
        <w:t xml:space="preserve">evidence </w:t>
      </w:r>
      <w:r w:rsidR="00B61E7A">
        <w:rPr>
          <w:lang w:val="en-GB"/>
        </w:rPr>
        <w:t>synthesis</w:t>
      </w:r>
      <w:r w:rsidR="007F4FB7">
        <w:rPr>
          <w:lang w:val="en-GB"/>
        </w:rPr>
        <w:t>. It could have done this</w:t>
      </w:r>
      <w:r w:rsidR="009D6C72">
        <w:rPr>
          <w:lang w:val="en-GB"/>
        </w:rPr>
        <w:t xml:space="preserve"> by fitting an interaction term between the fixed effect on treatment and study</w:t>
      </w:r>
      <w:r w:rsidR="005A58AA">
        <w:rPr>
          <w:lang w:val="en-GB"/>
        </w:rPr>
        <w:t>. H</w:t>
      </w:r>
      <w:r w:rsidR="009D6C72">
        <w:rPr>
          <w:lang w:val="en-GB"/>
        </w:rPr>
        <w:t>owever</w:t>
      </w:r>
      <w:r w:rsidR="005A58AA">
        <w:rPr>
          <w:lang w:val="en-GB"/>
        </w:rPr>
        <w:t>,</w:t>
      </w:r>
      <w:r w:rsidR="009D6C72">
        <w:rPr>
          <w:lang w:val="en-GB"/>
        </w:rPr>
        <w:t xml:space="preserve"> it did not appear to have explored this</w:t>
      </w:r>
      <w:r w:rsidR="00654D99" w:rsidRPr="00A41DFF">
        <w:rPr>
          <w:lang w:val="en-GB"/>
        </w:rPr>
        <w:t>.</w:t>
      </w:r>
      <w:r w:rsidR="00011E8C" w:rsidRPr="00A41DFF">
        <w:rPr>
          <w:lang w:val="en-GB"/>
        </w:rPr>
        <w:t xml:space="preserve"> </w:t>
      </w:r>
      <w:r w:rsidR="00F559B3" w:rsidRPr="00A41DFF">
        <w:rPr>
          <w:lang w:val="en-GB"/>
        </w:rPr>
        <w:t>The company explained that it used the rank-preserving structural</w:t>
      </w:r>
      <w:r w:rsidR="00F559B3">
        <w:rPr>
          <w:lang w:val="en-GB"/>
        </w:rPr>
        <w:t>-</w:t>
      </w:r>
      <w:r w:rsidR="00F559B3" w:rsidRPr="00A41DFF">
        <w:rPr>
          <w:lang w:val="en-GB"/>
        </w:rPr>
        <w:t>failure time method to adjust for treatment switching in CALGB</w:t>
      </w:r>
      <w:r w:rsidR="00F559B3">
        <w:rPr>
          <w:lang w:val="en-GB"/>
        </w:rPr>
        <w:t> </w:t>
      </w:r>
      <w:r w:rsidR="00F559B3" w:rsidRPr="00A41DFF">
        <w:rPr>
          <w:lang w:val="en-GB"/>
        </w:rPr>
        <w:t>100104</w:t>
      </w:r>
      <w:r w:rsidR="00F559B3">
        <w:rPr>
          <w:lang w:val="en-GB"/>
        </w:rPr>
        <w:t xml:space="preserve"> and that i</w:t>
      </w:r>
      <w:r w:rsidR="00F559B3" w:rsidRPr="00A41DFF">
        <w:rPr>
          <w:lang w:val="en-GB"/>
        </w:rPr>
        <w:t xml:space="preserve">t did not explore any alternative approaches. </w:t>
      </w:r>
      <w:r w:rsidR="00510DBD" w:rsidRPr="00A41DFF">
        <w:rPr>
          <w:lang w:val="en-GB"/>
        </w:rPr>
        <w:t xml:space="preserve">The committee </w:t>
      </w:r>
      <w:r w:rsidR="000F73D6" w:rsidRPr="00A41DFF">
        <w:rPr>
          <w:lang w:val="en-GB"/>
        </w:rPr>
        <w:t>recognised that</w:t>
      </w:r>
      <w:r w:rsidR="00510DBD" w:rsidRPr="00A41DFF">
        <w:rPr>
          <w:lang w:val="en-GB"/>
        </w:rPr>
        <w:t xml:space="preserve"> different treatment</w:t>
      </w:r>
      <w:r w:rsidR="008E2E2F">
        <w:rPr>
          <w:lang w:val="en-GB"/>
        </w:rPr>
        <w:t>-</w:t>
      </w:r>
      <w:r w:rsidR="00510DBD" w:rsidRPr="00A41DFF">
        <w:rPr>
          <w:lang w:val="en-GB"/>
        </w:rPr>
        <w:t xml:space="preserve">switching adjustment methods </w:t>
      </w:r>
      <w:r w:rsidR="00F713FF">
        <w:rPr>
          <w:lang w:val="en-GB"/>
        </w:rPr>
        <w:t>we</w:t>
      </w:r>
      <w:r w:rsidR="00510DBD" w:rsidRPr="00A41DFF">
        <w:rPr>
          <w:lang w:val="en-GB"/>
        </w:rPr>
        <w:t>re available</w:t>
      </w:r>
      <w:r w:rsidR="00F559B3">
        <w:rPr>
          <w:lang w:val="en-GB"/>
        </w:rPr>
        <w:t xml:space="preserve"> and</w:t>
      </w:r>
      <w:r w:rsidR="00510DBD" w:rsidRPr="00A41DFF">
        <w:rPr>
          <w:lang w:val="en-GB"/>
        </w:rPr>
        <w:t xml:space="preserve"> </w:t>
      </w:r>
      <w:r w:rsidR="00F559B3">
        <w:rPr>
          <w:lang w:val="en-GB"/>
        </w:rPr>
        <w:t xml:space="preserve">was disappointed </w:t>
      </w:r>
      <w:r w:rsidR="00510DBD" w:rsidRPr="00A41DFF">
        <w:rPr>
          <w:lang w:val="en-GB"/>
        </w:rPr>
        <w:t>the company did not provide any justification for using its chosen method.</w:t>
      </w:r>
      <w:r w:rsidR="00011E8C" w:rsidRPr="00A41DFF">
        <w:rPr>
          <w:lang w:val="en-GB"/>
        </w:rPr>
        <w:t xml:space="preserve"> </w:t>
      </w:r>
      <w:r w:rsidR="00B06D18">
        <w:rPr>
          <w:lang w:val="en-GB"/>
        </w:rPr>
        <w:t>It</w:t>
      </w:r>
      <w:r w:rsidR="00510DBD" w:rsidRPr="00A41DFF">
        <w:rPr>
          <w:lang w:val="en-GB"/>
        </w:rPr>
        <w:t xml:space="preserve"> concluded that the</w:t>
      </w:r>
      <w:r w:rsidR="002D3366" w:rsidRPr="00A41DFF">
        <w:rPr>
          <w:lang w:val="en-GB"/>
        </w:rPr>
        <w:t xml:space="preserve"> company’s</w:t>
      </w:r>
      <w:r w:rsidR="00510DBD" w:rsidRPr="00A41DFF">
        <w:rPr>
          <w:lang w:val="en-GB"/>
        </w:rPr>
        <w:t xml:space="preserve"> methods </w:t>
      </w:r>
      <w:r w:rsidR="002D3366" w:rsidRPr="00A41DFF">
        <w:rPr>
          <w:lang w:val="en-GB"/>
        </w:rPr>
        <w:t xml:space="preserve">and rationale for </w:t>
      </w:r>
      <w:r w:rsidR="00510DBD" w:rsidRPr="00A41DFF">
        <w:rPr>
          <w:lang w:val="en-GB"/>
        </w:rPr>
        <w:t>pool</w:t>
      </w:r>
      <w:r w:rsidR="002D3366" w:rsidRPr="00A41DFF">
        <w:rPr>
          <w:lang w:val="en-GB"/>
        </w:rPr>
        <w:t>ing</w:t>
      </w:r>
      <w:r w:rsidR="00510DBD" w:rsidRPr="00A41DFF">
        <w:rPr>
          <w:lang w:val="en-GB"/>
        </w:rPr>
        <w:t xml:space="preserve"> Myeloma</w:t>
      </w:r>
      <w:r w:rsidR="0040611A">
        <w:rPr>
          <w:lang w:val="en-GB"/>
        </w:rPr>
        <w:t> </w:t>
      </w:r>
      <w:r w:rsidR="00510DBD" w:rsidRPr="00A41DFF">
        <w:rPr>
          <w:lang w:val="en-GB"/>
        </w:rPr>
        <w:t>XI and CALGB</w:t>
      </w:r>
      <w:r w:rsidR="0040611A">
        <w:rPr>
          <w:lang w:val="en-GB"/>
        </w:rPr>
        <w:t> </w:t>
      </w:r>
      <w:r w:rsidR="00510DBD" w:rsidRPr="00A41DFF">
        <w:rPr>
          <w:lang w:val="en-GB"/>
        </w:rPr>
        <w:t>100104 data</w:t>
      </w:r>
      <w:r w:rsidR="00B06D18">
        <w:rPr>
          <w:lang w:val="en-GB"/>
        </w:rPr>
        <w:t>,</w:t>
      </w:r>
      <w:r w:rsidR="00510DBD" w:rsidRPr="00A41DFF">
        <w:rPr>
          <w:lang w:val="en-GB"/>
        </w:rPr>
        <w:t xml:space="preserve"> and adjust</w:t>
      </w:r>
      <w:r w:rsidR="002D3366" w:rsidRPr="00A41DFF">
        <w:rPr>
          <w:lang w:val="en-GB"/>
        </w:rPr>
        <w:t>ing</w:t>
      </w:r>
      <w:r w:rsidR="00510DBD" w:rsidRPr="00A41DFF">
        <w:rPr>
          <w:lang w:val="en-GB"/>
        </w:rPr>
        <w:t xml:space="preserve"> for treatment switching</w:t>
      </w:r>
      <w:r w:rsidR="00F713FF">
        <w:rPr>
          <w:lang w:val="en-GB"/>
        </w:rPr>
        <w:t>,</w:t>
      </w:r>
      <w:r w:rsidR="00510DBD" w:rsidRPr="00A41DFF">
        <w:rPr>
          <w:lang w:val="en-GB"/>
        </w:rPr>
        <w:t xml:space="preserve"> </w:t>
      </w:r>
      <w:r w:rsidR="0040611A">
        <w:rPr>
          <w:lang w:val="en-GB"/>
        </w:rPr>
        <w:t>were</w:t>
      </w:r>
      <w:r w:rsidR="0040611A" w:rsidRPr="00A41DFF">
        <w:rPr>
          <w:lang w:val="en-GB"/>
        </w:rPr>
        <w:t xml:space="preserve"> </w:t>
      </w:r>
      <w:r w:rsidR="00510DBD" w:rsidRPr="00A41DFF">
        <w:rPr>
          <w:lang w:val="en-GB"/>
        </w:rPr>
        <w:t>unclear.</w:t>
      </w:r>
    </w:p>
    <w:p w14:paraId="19D73A36" w14:textId="09B93CB3" w:rsidR="001C61DE" w:rsidRPr="00A41DFF" w:rsidRDefault="00FB24F5" w:rsidP="001C61DE">
      <w:pPr>
        <w:pStyle w:val="Heading3"/>
      </w:pPr>
      <w:bookmarkStart w:id="7" w:name="_Survival_extrapolations_should"/>
      <w:bookmarkEnd w:id="7"/>
      <w:r>
        <w:rPr>
          <w:lang w:val="en-US"/>
        </w:rPr>
        <w:t xml:space="preserve">Survival extrapolations should use Myeloma XI data as the main source of evidence but could be supplemented </w:t>
      </w:r>
      <w:r w:rsidR="00F655EC">
        <w:rPr>
          <w:lang w:val="en-US"/>
        </w:rPr>
        <w:t>with</w:t>
      </w:r>
      <w:r>
        <w:rPr>
          <w:lang w:val="en-US"/>
        </w:rPr>
        <w:t xml:space="preserve"> CALGB 100104</w:t>
      </w:r>
      <w:r w:rsidR="00F655EC">
        <w:rPr>
          <w:lang w:val="en-US"/>
        </w:rPr>
        <w:t xml:space="preserve"> data</w:t>
      </w:r>
    </w:p>
    <w:p w14:paraId="604D94C4" w14:textId="18FE5955" w:rsidR="001C61DE" w:rsidRPr="00A41DFF" w:rsidRDefault="000F73D6" w:rsidP="00011E8C">
      <w:pPr>
        <w:pStyle w:val="Numberedlevel2text"/>
        <w:rPr>
          <w:lang w:val="en-GB"/>
        </w:rPr>
      </w:pPr>
      <w:r w:rsidRPr="00A41DFF">
        <w:rPr>
          <w:lang w:val="en-GB"/>
        </w:rPr>
        <w:t>The company and ERG had different preferred approaches to using trial data for survival extrapolations. The company preferred to use data from both Myeloma</w:t>
      </w:r>
      <w:r w:rsidR="00120ADC">
        <w:rPr>
          <w:lang w:val="en-GB"/>
        </w:rPr>
        <w:t> </w:t>
      </w:r>
      <w:r w:rsidRPr="00A41DFF">
        <w:rPr>
          <w:lang w:val="en-GB"/>
        </w:rPr>
        <w:t>XI and CALGB</w:t>
      </w:r>
      <w:r w:rsidR="00120ADC">
        <w:rPr>
          <w:lang w:val="en-GB"/>
        </w:rPr>
        <w:t> </w:t>
      </w:r>
      <w:r w:rsidRPr="00A41DFF">
        <w:rPr>
          <w:lang w:val="en-GB"/>
        </w:rPr>
        <w:t xml:space="preserve">100104 because </w:t>
      </w:r>
      <w:r w:rsidR="00CA0FA5" w:rsidRPr="00A41DFF">
        <w:rPr>
          <w:lang w:val="en-GB"/>
        </w:rPr>
        <w:t>CALGB</w:t>
      </w:r>
      <w:r w:rsidR="00120ADC">
        <w:rPr>
          <w:lang w:val="en-GB"/>
        </w:rPr>
        <w:t> </w:t>
      </w:r>
      <w:r w:rsidR="00CA0FA5" w:rsidRPr="00A41DFF">
        <w:rPr>
          <w:lang w:val="en-GB"/>
        </w:rPr>
        <w:t>100104 provide</w:t>
      </w:r>
      <w:r w:rsidR="00120ADC">
        <w:rPr>
          <w:lang w:val="en-GB"/>
        </w:rPr>
        <w:t>d</w:t>
      </w:r>
      <w:r w:rsidR="00CA0FA5" w:rsidRPr="00A41DFF">
        <w:rPr>
          <w:lang w:val="en-GB"/>
        </w:rPr>
        <w:t xml:space="preserve"> longer-term data.</w:t>
      </w:r>
      <w:r w:rsidR="00654D99" w:rsidRPr="00A41DFF">
        <w:rPr>
          <w:lang w:val="en-GB"/>
        </w:rPr>
        <w:t xml:space="preserve"> It also mentioned that</w:t>
      </w:r>
      <w:r w:rsidR="00120ADC">
        <w:rPr>
          <w:lang w:val="en-GB"/>
        </w:rPr>
        <w:t>,</w:t>
      </w:r>
      <w:r w:rsidR="00654D99" w:rsidRPr="00A41DFF">
        <w:rPr>
          <w:lang w:val="en-GB"/>
        </w:rPr>
        <w:t xml:space="preserve"> despite heterogeneity between the trials, the survival results </w:t>
      </w:r>
      <w:r w:rsidR="00E12B17">
        <w:rPr>
          <w:lang w:val="en-GB"/>
        </w:rPr>
        <w:t>we</w:t>
      </w:r>
      <w:r w:rsidR="00E12B17" w:rsidRPr="00A41DFF">
        <w:rPr>
          <w:lang w:val="en-GB"/>
        </w:rPr>
        <w:t xml:space="preserve">re </w:t>
      </w:r>
      <w:r w:rsidR="00654D99" w:rsidRPr="00A41DFF">
        <w:rPr>
          <w:lang w:val="en-GB"/>
        </w:rPr>
        <w:t>very similar.</w:t>
      </w:r>
      <w:r w:rsidR="00CA0FA5" w:rsidRPr="00A41DFF">
        <w:rPr>
          <w:lang w:val="en-GB"/>
        </w:rPr>
        <w:t xml:space="preserve"> The</w:t>
      </w:r>
      <w:r w:rsidRPr="00A41DFF">
        <w:rPr>
          <w:lang w:val="en-GB"/>
        </w:rPr>
        <w:t xml:space="preserve"> ERG preferred to use </w:t>
      </w:r>
      <w:r w:rsidR="00CA0FA5" w:rsidRPr="00A41DFF">
        <w:rPr>
          <w:lang w:val="en-GB"/>
        </w:rPr>
        <w:t>Myeloma</w:t>
      </w:r>
      <w:r w:rsidR="00120ADC">
        <w:rPr>
          <w:lang w:val="en-GB"/>
        </w:rPr>
        <w:t> </w:t>
      </w:r>
      <w:r w:rsidR="00CA0FA5" w:rsidRPr="00A41DFF">
        <w:rPr>
          <w:lang w:val="en-GB"/>
        </w:rPr>
        <w:t xml:space="preserve">XI data only because of </w:t>
      </w:r>
      <w:r w:rsidR="003111EF" w:rsidRPr="00A41DFF">
        <w:rPr>
          <w:lang w:val="en-GB"/>
        </w:rPr>
        <w:t xml:space="preserve">key </w:t>
      </w:r>
      <w:r w:rsidR="00CA0FA5" w:rsidRPr="00A41DFF">
        <w:rPr>
          <w:lang w:val="en-GB"/>
        </w:rPr>
        <w:t>differences</w:t>
      </w:r>
      <w:r w:rsidR="003111EF" w:rsidRPr="00A41DFF">
        <w:rPr>
          <w:lang w:val="en-GB"/>
        </w:rPr>
        <w:t xml:space="preserve"> between the</w:t>
      </w:r>
      <w:r w:rsidR="00654D99" w:rsidRPr="00A41DFF">
        <w:rPr>
          <w:lang w:val="en-GB"/>
        </w:rPr>
        <w:t xml:space="preserve"> </w:t>
      </w:r>
      <w:r w:rsidR="00120ADC">
        <w:rPr>
          <w:lang w:val="en-GB"/>
        </w:rPr>
        <w:t>2 </w:t>
      </w:r>
      <w:r w:rsidR="003111EF" w:rsidRPr="00A41DFF">
        <w:rPr>
          <w:lang w:val="en-GB"/>
        </w:rPr>
        <w:t xml:space="preserve">trials, such as </w:t>
      </w:r>
      <w:r w:rsidR="00CA0FA5" w:rsidRPr="00A41DFF">
        <w:rPr>
          <w:lang w:val="en-GB"/>
        </w:rPr>
        <w:t>dosing</w:t>
      </w:r>
      <w:r w:rsidR="003111EF" w:rsidRPr="00A41DFF">
        <w:rPr>
          <w:lang w:val="en-GB"/>
        </w:rPr>
        <w:t>,</w:t>
      </w:r>
      <w:r w:rsidR="00CA0FA5" w:rsidRPr="00A41DFF">
        <w:rPr>
          <w:lang w:val="en-GB"/>
        </w:rPr>
        <w:t xml:space="preserve"> baseline characteristics and subsequent treatments. </w:t>
      </w:r>
      <w:r w:rsidR="00654D99" w:rsidRPr="00A41DFF">
        <w:rPr>
          <w:lang w:val="en-GB"/>
        </w:rPr>
        <w:t xml:space="preserve">The committee </w:t>
      </w:r>
      <w:r w:rsidR="00C345B7" w:rsidRPr="00A41DFF">
        <w:rPr>
          <w:lang w:val="en-GB"/>
        </w:rPr>
        <w:t xml:space="preserve">acknowledged </w:t>
      </w:r>
      <w:r w:rsidR="00120ADC">
        <w:rPr>
          <w:lang w:val="en-GB"/>
        </w:rPr>
        <w:t xml:space="preserve">that </w:t>
      </w:r>
      <w:r w:rsidR="00C345B7" w:rsidRPr="00A41DFF">
        <w:rPr>
          <w:lang w:val="en-GB"/>
        </w:rPr>
        <w:t>the differences between the trials mean</w:t>
      </w:r>
      <w:r w:rsidR="00120ADC">
        <w:rPr>
          <w:lang w:val="en-GB"/>
        </w:rPr>
        <w:t>t</w:t>
      </w:r>
      <w:r w:rsidR="00C345B7" w:rsidRPr="00A41DFF">
        <w:rPr>
          <w:lang w:val="en-GB"/>
        </w:rPr>
        <w:t xml:space="preserve"> a simple pooling approach may </w:t>
      </w:r>
      <w:r w:rsidR="00120ADC">
        <w:rPr>
          <w:lang w:val="en-GB"/>
        </w:rPr>
        <w:t>have been</w:t>
      </w:r>
      <w:r w:rsidR="00120ADC" w:rsidRPr="00A41DFF">
        <w:rPr>
          <w:lang w:val="en-GB"/>
        </w:rPr>
        <w:t xml:space="preserve"> </w:t>
      </w:r>
      <w:r w:rsidR="00C345B7" w:rsidRPr="00A41DFF">
        <w:rPr>
          <w:lang w:val="en-GB"/>
        </w:rPr>
        <w:t>inappropriate</w:t>
      </w:r>
      <w:r w:rsidR="008C527A">
        <w:rPr>
          <w:lang w:val="en-GB"/>
        </w:rPr>
        <w:t xml:space="preserve"> (</w:t>
      </w:r>
      <w:r w:rsidR="008C527A" w:rsidRPr="00A41DFF">
        <w:rPr>
          <w:lang w:val="en-GB"/>
        </w:rPr>
        <w:t xml:space="preserve">see </w:t>
      </w:r>
      <w:hyperlink w:anchor="_The_company’s_methods" w:history="1">
        <w:r w:rsidR="008C527A">
          <w:rPr>
            <w:rStyle w:val="Hyperlink"/>
            <w:lang w:val="en-GB"/>
          </w:rPr>
          <w:t>section 3.8</w:t>
        </w:r>
      </w:hyperlink>
      <w:r w:rsidR="008C527A" w:rsidRPr="00A41DFF">
        <w:rPr>
          <w:lang w:val="en-GB"/>
        </w:rPr>
        <w:t>)</w:t>
      </w:r>
      <w:r w:rsidR="00826C05" w:rsidRPr="00A41DFF">
        <w:rPr>
          <w:lang w:val="en-GB"/>
        </w:rPr>
        <w:t>. I</w:t>
      </w:r>
      <w:r w:rsidR="00C345B7" w:rsidRPr="00A41DFF">
        <w:rPr>
          <w:lang w:val="en-GB"/>
        </w:rPr>
        <w:t>n particular</w:t>
      </w:r>
      <w:r w:rsidR="00826C05" w:rsidRPr="00A41DFF">
        <w:rPr>
          <w:lang w:val="en-GB"/>
        </w:rPr>
        <w:t>,</w:t>
      </w:r>
      <w:r w:rsidR="00C345B7" w:rsidRPr="00A41DFF">
        <w:rPr>
          <w:lang w:val="en-GB"/>
        </w:rPr>
        <w:t xml:space="preserve"> the </w:t>
      </w:r>
      <w:r w:rsidR="00826C05" w:rsidRPr="00A41DFF">
        <w:rPr>
          <w:lang w:val="en-GB"/>
        </w:rPr>
        <w:t>2</w:t>
      </w:r>
      <w:r w:rsidR="001C0890">
        <w:rPr>
          <w:lang w:val="en-GB"/>
        </w:rPr>
        <w:t>8</w:t>
      </w:r>
      <w:r w:rsidR="00120ADC">
        <w:rPr>
          <w:lang w:val="en-GB"/>
        </w:rPr>
        <w:noBreakHyphen/>
      </w:r>
      <w:r w:rsidR="00826C05" w:rsidRPr="00A41DFF">
        <w:rPr>
          <w:lang w:val="en-GB"/>
        </w:rPr>
        <w:t xml:space="preserve">day </w:t>
      </w:r>
      <w:r w:rsidR="0069591F" w:rsidRPr="00A41DFF">
        <w:rPr>
          <w:lang w:val="en-GB"/>
        </w:rPr>
        <w:t>dosing regimen</w:t>
      </w:r>
      <w:r w:rsidR="00C345B7" w:rsidRPr="00A41DFF">
        <w:rPr>
          <w:lang w:val="en-GB"/>
        </w:rPr>
        <w:t xml:space="preserve"> in CALGB</w:t>
      </w:r>
      <w:r w:rsidR="00120ADC">
        <w:rPr>
          <w:lang w:val="en-GB"/>
        </w:rPr>
        <w:t> </w:t>
      </w:r>
      <w:r w:rsidR="00C345B7" w:rsidRPr="00A41DFF">
        <w:rPr>
          <w:lang w:val="en-GB"/>
        </w:rPr>
        <w:t>100104 mean</w:t>
      </w:r>
      <w:r w:rsidR="00120ADC">
        <w:rPr>
          <w:lang w:val="en-GB"/>
        </w:rPr>
        <w:t>t</w:t>
      </w:r>
      <w:r w:rsidR="00C345B7" w:rsidRPr="00A41DFF">
        <w:rPr>
          <w:lang w:val="en-GB"/>
        </w:rPr>
        <w:t xml:space="preserve"> </w:t>
      </w:r>
      <w:r w:rsidR="00011E8C" w:rsidRPr="00A41DFF">
        <w:rPr>
          <w:lang w:val="en-GB"/>
        </w:rPr>
        <w:t xml:space="preserve">survival in the model </w:t>
      </w:r>
      <w:r w:rsidR="00120ADC">
        <w:rPr>
          <w:lang w:val="en-GB"/>
        </w:rPr>
        <w:t>was</w:t>
      </w:r>
      <w:r w:rsidR="00011E8C" w:rsidRPr="00A41DFF">
        <w:rPr>
          <w:lang w:val="en-GB"/>
        </w:rPr>
        <w:t xml:space="preserve"> based on a dos</w:t>
      </w:r>
      <w:r w:rsidR="00120ADC">
        <w:rPr>
          <w:lang w:val="en-GB"/>
        </w:rPr>
        <w:t>ag</w:t>
      </w:r>
      <w:r w:rsidR="00011E8C" w:rsidRPr="00A41DFF">
        <w:rPr>
          <w:lang w:val="en-GB"/>
        </w:rPr>
        <w:t xml:space="preserve">e that </w:t>
      </w:r>
      <w:r w:rsidR="005173BE">
        <w:rPr>
          <w:lang w:val="en-GB"/>
        </w:rPr>
        <w:t xml:space="preserve">the company, ERG, and patient and clinical experts </w:t>
      </w:r>
      <w:r w:rsidR="00120ADC">
        <w:rPr>
          <w:lang w:val="en-GB"/>
        </w:rPr>
        <w:t xml:space="preserve">explained </w:t>
      </w:r>
      <w:r w:rsidR="00011E8C" w:rsidRPr="00A41DFF">
        <w:rPr>
          <w:lang w:val="en-GB"/>
        </w:rPr>
        <w:t>would not be given in</w:t>
      </w:r>
      <w:r w:rsidR="0069591F" w:rsidRPr="00A41DFF">
        <w:rPr>
          <w:lang w:val="en-GB"/>
        </w:rPr>
        <w:t xml:space="preserve"> NHS practice</w:t>
      </w:r>
      <w:r w:rsidR="004C47DC">
        <w:rPr>
          <w:lang w:val="en-GB"/>
        </w:rPr>
        <w:t xml:space="preserve">. As such, the company’s survival estimates </w:t>
      </w:r>
      <w:r w:rsidR="00011E8C" w:rsidRPr="00A41DFF">
        <w:rPr>
          <w:lang w:val="en-GB"/>
        </w:rPr>
        <w:t>may</w:t>
      </w:r>
      <w:r w:rsidR="00120ADC">
        <w:rPr>
          <w:lang w:val="en-GB"/>
        </w:rPr>
        <w:t xml:space="preserve"> have</w:t>
      </w:r>
      <w:r w:rsidR="00011E8C" w:rsidRPr="00A41DFF">
        <w:rPr>
          <w:lang w:val="en-GB"/>
        </w:rPr>
        <w:t xml:space="preserve"> be</w:t>
      </w:r>
      <w:r w:rsidR="00120ADC">
        <w:rPr>
          <w:lang w:val="en-GB"/>
        </w:rPr>
        <w:t>en</w:t>
      </w:r>
      <w:r w:rsidR="00011E8C" w:rsidRPr="00A41DFF">
        <w:rPr>
          <w:lang w:val="en-GB"/>
        </w:rPr>
        <w:t xml:space="preserve"> optimistic</w:t>
      </w:r>
      <w:r w:rsidR="004C47DC">
        <w:rPr>
          <w:lang w:val="en-GB"/>
        </w:rPr>
        <w:t xml:space="preserve"> because people </w:t>
      </w:r>
      <w:r w:rsidR="00120ADC">
        <w:rPr>
          <w:lang w:val="en-GB"/>
        </w:rPr>
        <w:t xml:space="preserve">were </w:t>
      </w:r>
      <w:r w:rsidR="004C47DC">
        <w:rPr>
          <w:lang w:val="en-GB"/>
        </w:rPr>
        <w:t>assumed to be benefiting from an extra 7</w:t>
      </w:r>
      <w:r w:rsidR="00120ADC">
        <w:rPr>
          <w:lang w:val="en-GB"/>
        </w:rPr>
        <w:t> </w:t>
      </w:r>
      <w:r w:rsidR="004C47DC">
        <w:rPr>
          <w:lang w:val="en-GB"/>
        </w:rPr>
        <w:t>days of dosing</w:t>
      </w:r>
      <w:r w:rsidR="001818BF">
        <w:rPr>
          <w:lang w:val="en-GB"/>
        </w:rPr>
        <w:t xml:space="preserve">. </w:t>
      </w:r>
      <w:r w:rsidR="004C47DC">
        <w:rPr>
          <w:lang w:val="en-GB"/>
        </w:rPr>
        <w:t>The committee recognised that</w:t>
      </w:r>
      <w:r w:rsidR="005173BE">
        <w:rPr>
          <w:lang w:val="en-GB"/>
        </w:rPr>
        <w:t xml:space="preserve"> </w:t>
      </w:r>
      <w:r w:rsidR="005173BE" w:rsidRPr="00A41DFF">
        <w:rPr>
          <w:lang w:val="en-GB"/>
        </w:rPr>
        <w:t>CALGB</w:t>
      </w:r>
      <w:r w:rsidR="00120ADC">
        <w:rPr>
          <w:lang w:val="en-GB"/>
        </w:rPr>
        <w:t> </w:t>
      </w:r>
      <w:r w:rsidR="005173BE" w:rsidRPr="00A41DFF">
        <w:rPr>
          <w:lang w:val="en-GB"/>
        </w:rPr>
        <w:t xml:space="preserve">100104 </w:t>
      </w:r>
      <w:r w:rsidR="0048635A">
        <w:rPr>
          <w:lang w:val="en-GB"/>
        </w:rPr>
        <w:t xml:space="preserve">had </w:t>
      </w:r>
      <w:r w:rsidR="005173BE" w:rsidRPr="00A41DFF">
        <w:rPr>
          <w:lang w:val="en-GB"/>
        </w:rPr>
        <w:t xml:space="preserve">a longer </w:t>
      </w:r>
      <w:r w:rsidR="00120ADC">
        <w:rPr>
          <w:lang w:val="en-GB"/>
        </w:rPr>
        <w:t xml:space="preserve">median </w:t>
      </w:r>
      <w:r w:rsidR="005173BE" w:rsidRPr="00A41DFF">
        <w:rPr>
          <w:lang w:val="en-GB"/>
        </w:rPr>
        <w:t>follow</w:t>
      </w:r>
      <w:r w:rsidR="00120ADC">
        <w:rPr>
          <w:lang w:val="en-GB"/>
        </w:rPr>
        <w:t xml:space="preserve"> </w:t>
      </w:r>
      <w:r w:rsidR="005173BE" w:rsidRPr="00A41DFF">
        <w:rPr>
          <w:lang w:val="en-GB"/>
        </w:rPr>
        <w:t>up</w:t>
      </w:r>
      <w:r w:rsidR="00120ADC">
        <w:rPr>
          <w:lang w:val="en-GB"/>
        </w:rPr>
        <w:t xml:space="preserve"> (91</w:t>
      </w:r>
      <w:r w:rsidR="008D2F26">
        <w:rPr>
          <w:lang w:val="en-GB"/>
        </w:rPr>
        <w:t> </w:t>
      </w:r>
      <w:r w:rsidR="00120ADC">
        <w:rPr>
          <w:lang w:val="en-GB"/>
        </w:rPr>
        <w:t>months)</w:t>
      </w:r>
      <w:r w:rsidR="005173BE" w:rsidRPr="00A41DFF">
        <w:rPr>
          <w:lang w:val="en-GB"/>
        </w:rPr>
        <w:t xml:space="preserve"> than Myeloma</w:t>
      </w:r>
      <w:r w:rsidR="00120ADC">
        <w:rPr>
          <w:lang w:val="en-GB"/>
        </w:rPr>
        <w:t> </w:t>
      </w:r>
      <w:r w:rsidR="005173BE" w:rsidRPr="00A41DFF">
        <w:rPr>
          <w:lang w:val="en-GB"/>
        </w:rPr>
        <w:t>XI (31</w:t>
      </w:r>
      <w:r w:rsidR="00120ADC">
        <w:rPr>
          <w:lang w:val="en-GB"/>
        </w:rPr>
        <w:t> </w:t>
      </w:r>
      <w:r w:rsidR="005173BE" w:rsidRPr="00A41DFF">
        <w:rPr>
          <w:lang w:val="en-GB"/>
        </w:rPr>
        <w:t>months)</w:t>
      </w:r>
      <w:r w:rsidR="00120ADC">
        <w:rPr>
          <w:lang w:val="en-GB"/>
        </w:rPr>
        <w:t>, so might have</w:t>
      </w:r>
      <w:r w:rsidR="005173BE" w:rsidRPr="00A41DFF">
        <w:rPr>
          <w:lang w:val="en-GB"/>
        </w:rPr>
        <w:t xml:space="preserve"> provide</w:t>
      </w:r>
      <w:r w:rsidR="00120ADC">
        <w:rPr>
          <w:lang w:val="en-GB"/>
        </w:rPr>
        <w:t>d</w:t>
      </w:r>
      <w:r w:rsidR="005173BE" w:rsidRPr="00A41DFF">
        <w:rPr>
          <w:lang w:val="en-GB"/>
        </w:rPr>
        <w:t xml:space="preserve"> some useful information about longer-term survival. </w:t>
      </w:r>
      <w:r w:rsidR="005A58AA">
        <w:rPr>
          <w:lang w:val="en-GB"/>
        </w:rPr>
        <w:t>The committee concluded that it would prefer to see a survival analysis that use</w:t>
      </w:r>
      <w:r w:rsidR="00BC1F9F">
        <w:rPr>
          <w:lang w:val="en-GB"/>
        </w:rPr>
        <w:t>d</w:t>
      </w:r>
      <w:r w:rsidR="005A58AA">
        <w:rPr>
          <w:lang w:val="en-GB"/>
        </w:rPr>
        <w:t xml:space="preserve"> Myeloma</w:t>
      </w:r>
      <w:r w:rsidR="00BC1F9F">
        <w:rPr>
          <w:lang w:val="en-GB"/>
        </w:rPr>
        <w:t> </w:t>
      </w:r>
      <w:r w:rsidR="005A58AA">
        <w:rPr>
          <w:lang w:val="en-GB"/>
        </w:rPr>
        <w:t>XI as the main source of evidence. CALGB</w:t>
      </w:r>
      <w:r w:rsidR="00BC1F9F">
        <w:rPr>
          <w:lang w:val="en-GB"/>
        </w:rPr>
        <w:t> </w:t>
      </w:r>
      <w:r w:rsidR="005A58AA">
        <w:rPr>
          <w:lang w:val="en-GB"/>
        </w:rPr>
        <w:t xml:space="preserve">100104 could </w:t>
      </w:r>
      <w:r w:rsidR="005A58AA">
        <w:rPr>
          <w:lang w:val="en-GB"/>
        </w:rPr>
        <w:lastRenderedPageBreak/>
        <w:t xml:space="preserve">be used to </w:t>
      </w:r>
      <w:r w:rsidR="00BC1F9F">
        <w:rPr>
          <w:lang w:val="en-GB"/>
        </w:rPr>
        <w:t>help</w:t>
      </w:r>
      <w:r w:rsidR="005A58AA">
        <w:rPr>
          <w:lang w:val="en-GB"/>
        </w:rPr>
        <w:t xml:space="preserve"> extrapolation, with data adjusted to reflect the Myeloma</w:t>
      </w:r>
      <w:r w:rsidR="00BC1F9F">
        <w:rPr>
          <w:lang w:val="en-GB"/>
        </w:rPr>
        <w:t> </w:t>
      </w:r>
      <w:r w:rsidR="005A58AA">
        <w:rPr>
          <w:lang w:val="en-GB"/>
        </w:rPr>
        <w:t>XI population as far as possible and condition</w:t>
      </w:r>
      <w:r w:rsidR="008C5505">
        <w:rPr>
          <w:lang w:val="en-GB"/>
        </w:rPr>
        <w:t>al</w:t>
      </w:r>
      <w:r w:rsidR="005A58AA">
        <w:rPr>
          <w:lang w:val="en-GB"/>
        </w:rPr>
        <w:t xml:space="preserve"> on the underlying survival of patients in Myeloma</w:t>
      </w:r>
      <w:r w:rsidR="00BC1F9F">
        <w:rPr>
          <w:lang w:val="en-GB"/>
        </w:rPr>
        <w:t> </w:t>
      </w:r>
      <w:r w:rsidR="005A58AA">
        <w:rPr>
          <w:lang w:val="en-GB"/>
        </w:rPr>
        <w:t>XI.</w:t>
      </w:r>
    </w:p>
    <w:p w14:paraId="23E9C644" w14:textId="1B69527C" w:rsidR="002A5A5F" w:rsidRPr="00A41DFF" w:rsidRDefault="002A5A5F" w:rsidP="002A5A5F">
      <w:pPr>
        <w:pStyle w:val="Heading2"/>
      </w:pPr>
      <w:r w:rsidRPr="00A41DFF">
        <w:t>Waning of treatment effect</w:t>
      </w:r>
    </w:p>
    <w:p w14:paraId="5A67F46B" w14:textId="53CB60B2" w:rsidR="002A5A5F" w:rsidRPr="00A41DFF" w:rsidRDefault="00A40D39" w:rsidP="002A5A5F">
      <w:pPr>
        <w:pStyle w:val="Heading3"/>
      </w:pPr>
      <w:bookmarkStart w:id="8" w:name="_The_treatment_effect"/>
      <w:bookmarkEnd w:id="8"/>
      <w:r w:rsidRPr="00A41DFF">
        <w:t xml:space="preserve">The treatment effect of lenalidomide </w:t>
      </w:r>
      <w:r w:rsidR="00CC59FE" w:rsidRPr="00A41DFF">
        <w:t xml:space="preserve">maintenance </w:t>
      </w:r>
      <w:r w:rsidRPr="00A41DFF">
        <w:t>may wane over time</w:t>
      </w:r>
      <w:r w:rsidR="00D12CDD" w:rsidRPr="00A41DFF">
        <w:t xml:space="preserve"> and this should be </w:t>
      </w:r>
      <w:r w:rsidR="005B247C" w:rsidRPr="00A41DFF">
        <w:t>included</w:t>
      </w:r>
      <w:r w:rsidR="00D12CDD" w:rsidRPr="00A41DFF">
        <w:t xml:space="preserve"> in the model</w:t>
      </w:r>
    </w:p>
    <w:p w14:paraId="044A57A6" w14:textId="21BC4B63" w:rsidR="00654D99" w:rsidRPr="00A41DFF" w:rsidRDefault="00DC7839" w:rsidP="00011E8C">
      <w:pPr>
        <w:pStyle w:val="Numberedlevel2text"/>
        <w:rPr>
          <w:lang w:val="en-GB"/>
        </w:rPr>
      </w:pPr>
      <w:r w:rsidRPr="00A41DFF">
        <w:rPr>
          <w:lang w:val="en-GB"/>
        </w:rPr>
        <w:t xml:space="preserve">Treatment waning refers to whether or not the relative treatment effect between lenalidomide and </w:t>
      </w:r>
      <w:r w:rsidR="003D31B4">
        <w:rPr>
          <w:lang w:val="en-GB"/>
        </w:rPr>
        <w:t>monitoring</w:t>
      </w:r>
      <w:r w:rsidR="004334D7">
        <w:rPr>
          <w:lang w:val="en-GB"/>
        </w:rPr>
        <w:t xml:space="preserve"> of the condition</w:t>
      </w:r>
      <w:r w:rsidRPr="00A41DFF">
        <w:rPr>
          <w:lang w:val="en-GB"/>
        </w:rPr>
        <w:t xml:space="preserve"> is likely to reduce over time</w:t>
      </w:r>
      <w:r w:rsidR="00CF4B7B">
        <w:rPr>
          <w:lang w:val="en-GB"/>
        </w:rPr>
        <w:t xml:space="preserve"> after people stop taking lenalidomide</w:t>
      </w:r>
      <w:r w:rsidRPr="00A41DFF">
        <w:rPr>
          <w:lang w:val="en-GB"/>
        </w:rPr>
        <w:t xml:space="preserve">. </w:t>
      </w:r>
      <w:r w:rsidR="00FD4525">
        <w:rPr>
          <w:lang w:val="en-GB"/>
        </w:rPr>
        <w:t>Not including</w:t>
      </w:r>
      <w:r w:rsidRPr="00A41DFF">
        <w:rPr>
          <w:lang w:val="en-GB"/>
        </w:rPr>
        <w:t xml:space="preserve"> treatment waning in the model implies</w:t>
      </w:r>
      <w:r w:rsidR="008C527A">
        <w:rPr>
          <w:lang w:val="en-GB"/>
        </w:rPr>
        <w:t xml:space="preserve"> that the relative treatment effect </w:t>
      </w:r>
      <w:r w:rsidR="00EF2527">
        <w:rPr>
          <w:lang w:val="en-GB"/>
        </w:rPr>
        <w:t>stays the same and</w:t>
      </w:r>
      <w:r w:rsidRPr="00A41DFF">
        <w:rPr>
          <w:lang w:val="en-GB"/>
        </w:rPr>
        <w:t xml:space="preserve"> lenalidomide </w:t>
      </w:r>
      <w:r w:rsidR="00EF2527">
        <w:rPr>
          <w:lang w:val="en-GB"/>
        </w:rPr>
        <w:t>remains more</w:t>
      </w:r>
      <w:r w:rsidR="008C527A">
        <w:rPr>
          <w:lang w:val="en-GB"/>
        </w:rPr>
        <w:t xml:space="preserve"> effective than</w:t>
      </w:r>
      <w:r w:rsidRPr="00A41DFF">
        <w:rPr>
          <w:lang w:val="en-GB"/>
        </w:rPr>
        <w:t xml:space="preserve"> </w:t>
      </w:r>
      <w:r w:rsidR="003D31B4">
        <w:rPr>
          <w:lang w:val="en-GB"/>
        </w:rPr>
        <w:t xml:space="preserve">monitoring </w:t>
      </w:r>
      <w:r w:rsidRPr="00A41DFF">
        <w:rPr>
          <w:lang w:val="en-GB"/>
        </w:rPr>
        <w:t xml:space="preserve">for the </w:t>
      </w:r>
      <w:r w:rsidR="005A58AA">
        <w:rPr>
          <w:lang w:val="en-GB"/>
        </w:rPr>
        <w:t xml:space="preserve">entire </w:t>
      </w:r>
      <w:r w:rsidRPr="00A41DFF">
        <w:rPr>
          <w:lang w:val="en-GB"/>
        </w:rPr>
        <w:t xml:space="preserve">modelled time horizon, even if people are no longer on treatment. </w:t>
      </w:r>
      <w:r w:rsidR="00FD4525">
        <w:rPr>
          <w:lang w:val="en-GB"/>
        </w:rPr>
        <w:t>B</w:t>
      </w:r>
      <w:r w:rsidR="00FD4525" w:rsidRPr="00A41DFF">
        <w:rPr>
          <w:lang w:val="en-GB"/>
        </w:rPr>
        <w:t>ased on its survival curves</w:t>
      </w:r>
      <w:r w:rsidR="00F708DF">
        <w:rPr>
          <w:lang w:val="en-GB"/>
        </w:rPr>
        <w:t>,</w:t>
      </w:r>
      <w:r w:rsidR="00FD4525">
        <w:rPr>
          <w:lang w:val="en-GB"/>
        </w:rPr>
        <w:t xml:space="preserve"> t</w:t>
      </w:r>
      <w:r w:rsidR="00CA0FA5" w:rsidRPr="00A41DFF">
        <w:rPr>
          <w:lang w:val="en-GB"/>
        </w:rPr>
        <w:t xml:space="preserve">he company </w:t>
      </w:r>
      <w:r w:rsidR="00A40D39" w:rsidRPr="00A41DFF">
        <w:rPr>
          <w:lang w:val="en-GB"/>
        </w:rPr>
        <w:t xml:space="preserve">took the view that there </w:t>
      </w:r>
      <w:r w:rsidR="00FD4525">
        <w:rPr>
          <w:lang w:val="en-GB"/>
        </w:rPr>
        <w:t>wa</w:t>
      </w:r>
      <w:r w:rsidR="00FD4525" w:rsidRPr="00A41DFF">
        <w:rPr>
          <w:lang w:val="en-GB"/>
        </w:rPr>
        <w:t xml:space="preserve">s </w:t>
      </w:r>
      <w:r w:rsidR="00A40D39" w:rsidRPr="00A41DFF">
        <w:rPr>
          <w:lang w:val="en-GB"/>
        </w:rPr>
        <w:t>no</w:t>
      </w:r>
      <w:r w:rsidR="006A2BCE" w:rsidRPr="00A41DFF">
        <w:rPr>
          <w:lang w:val="en-GB"/>
        </w:rPr>
        <w:t xml:space="preserve"> evidence of a treatment</w:t>
      </w:r>
      <w:r w:rsidR="00211CD9">
        <w:rPr>
          <w:lang w:val="en-GB"/>
        </w:rPr>
        <w:t>-</w:t>
      </w:r>
      <w:r w:rsidR="006A2BCE" w:rsidRPr="00A41DFF">
        <w:rPr>
          <w:lang w:val="en-GB"/>
        </w:rPr>
        <w:t xml:space="preserve">waning effect with </w:t>
      </w:r>
      <w:r w:rsidR="00A40D39" w:rsidRPr="00A41DFF">
        <w:rPr>
          <w:lang w:val="en-GB"/>
        </w:rPr>
        <w:t>lenalidomide.</w:t>
      </w:r>
      <w:r w:rsidR="00011E8C" w:rsidRPr="00A41DFF">
        <w:rPr>
          <w:lang w:val="en-GB"/>
        </w:rPr>
        <w:t xml:space="preserve"> </w:t>
      </w:r>
      <w:r w:rsidR="00A40D39" w:rsidRPr="00A41DFF">
        <w:rPr>
          <w:lang w:val="en-GB"/>
        </w:rPr>
        <w:t xml:space="preserve">The ERG </w:t>
      </w:r>
      <w:r w:rsidR="00D12CDD" w:rsidRPr="00A41DFF">
        <w:rPr>
          <w:lang w:val="en-GB"/>
        </w:rPr>
        <w:t>did not include a treatment</w:t>
      </w:r>
      <w:r w:rsidR="00211CD9">
        <w:rPr>
          <w:lang w:val="en-GB"/>
        </w:rPr>
        <w:t>-</w:t>
      </w:r>
      <w:r w:rsidR="00D12CDD" w:rsidRPr="00A41DFF">
        <w:rPr>
          <w:lang w:val="en-GB"/>
        </w:rPr>
        <w:t xml:space="preserve">waning effect in its base case but explained that there </w:t>
      </w:r>
      <w:r w:rsidR="005F30FE">
        <w:rPr>
          <w:lang w:val="en-GB"/>
        </w:rPr>
        <w:t>we</w:t>
      </w:r>
      <w:r w:rsidR="005F30FE" w:rsidRPr="00A41DFF">
        <w:rPr>
          <w:lang w:val="en-GB"/>
        </w:rPr>
        <w:t xml:space="preserve">re </w:t>
      </w:r>
      <w:r w:rsidR="00D12CDD" w:rsidRPr="00A41DFF">
        <w:rPr>
          <w:lang w:val="en-GB"/>
        </w:rPr>
        <w:t xml:space="preserve">no long-term data to rule out the possibility that the relative treatment effect decreases over time. </w:t>
      </w:r>
      <w:r w:rsidR="005B247C" w:rsidRPr="00A41DFF">
        <w:rPr>
          <w:lang w:val="en-GB"/>
        </w:rPr>
        <w:t xml:space="preserve">The ERG therefore </w:t>
      </w:r>
      <w:r w:rsidR="00FD4525">
        <w:rPr>
          <w:lang w:val="en-GB"/>
        </w:rPr>
        <w:t>did</w:t>
      </w:r>
      <w:r w:rsidR="00FD4525" w:rsidRPr="00A41DFF">
        <w:rPr>
          <w:lang w:val="en-GB"/>
        </w:rPr>
        <w:t xml:space="preserve"> </w:t>
      </w:r>
      <w:r w:rsidR="005B247C" w:rsidRPr="00A41DFF">
        <w:rPr>
          <w:lang w:val="en-GB"/>
        </w:rPr>
        <w:t>a scenario analysis that looked at different treatment</w:t>
      </w:r>
      <w:r w:rsidR="005F30FE">
        <w:rPr>
          <w:lang w:val="en-GB"/>
        </w:rPr>
        <w:t>-</w:t>
      </w:r>
      <w:r w:rsidR="005B247C" w:rsidRPr="00A41DFF">
        <w:rPr>
          <w:lang w:val="en-GB"/>
        </w:rPr>
        <w:t>waning scenarios</w:t>
      </w:r>
      <w:r w:rsidR="00FD4525">
        <w:rPr>
          <w:lang w:val="en-GB"/>
        </w:rPr>
        <w:t>. It</w:t>
      </w:r>
      <w:r w:rsidR="005B247C" w:rsidRPr="00A41DFF">
        <w:rPr>
          <w:lang w:val="en-GB"/>
        </w:rPr>
        <w:t xml:space="preserve"> found the cost-effectiveness estimate to be sensitive to assumptions about how long the treatment effect lasts for.</w:t>
      </w:r>
      <w:r w:rsidR="00011E8C" w:rsidRPr="00A41DFF">
        <w:rPr>
          <w:lang w:val="en-GB"/>
        </w:rPr>
        <w:t xml:space="preserve"> </w:t>
      </w:r>
      <w:r w:rsidR="006B1686">
        <w:rPr>
          <w:lang w:val="en-GB"/>
        </w:rPr>
        <w:t>The c</w:t>
      </w:r>
      <w:r w:rsidRPr="00A41DFF">
        <w:rPr>
          <w:lang w:val="en-GB"/>
        </w:rPr>
        <w:t>linical experts advised that they would</w:t>
      </w:r>
      <w:r w:rsidR="005B247C" w:rsidRPr="00A41DFF">
        <w:rPr>
          <w:lang w:val="en-GB"/>
        </w:rPr>
        <w:t xml:space="preserve"> not </w:t>
      </w:r>
      <w:r w:rsidRPr="00A41DFF">
        <w:rPr>
          <w:lang w:val="en-GB"/>
        </w:rPr>
        <w:t xml:space="preserve">expect </w:t>
      </w:r>
      <w:r w:rsidR="001D119B" w:rsidRPr="005A58AA">
        <w:rPr>
          <w:lang w:val="en-GB"/>
        </w:rPr>
        <w:t>lenalidomide</w:t>
      </w:r>
      <w:r w:rsidRPr="005A58AA">
        <w:rPr>
          <w:lang w:val="en-GB"/>
        </w:rPr>
        <w:t xml:space="preserve"> to </w:t>
      </w:r>
      <w:r w:rsidR="001D119B" w:rsidRPr="005A58AA">
        <w:rPr>
          <w:lang w:val="en-GB"/>
        </w:rPr>
        <w:t xml:space="preserve">have </w:t>
      </w:r>
      <w:r w:rsidR="005B247C" w:rsidRPr="005A58AA">
        <w:rPr>
          <w:lang w:val="en-GB"/>
        </w:rPr>
        <w:t>a continued effect after people had stopped taking it.</w:t>
      </w:r>
      <w:r w:rsidR="00011E8C" w:rsidRPr="005A58AA">
        <w:rPr>
          <w:lang w:val="en-GB"/>
        </w:rPr>
        <w:t xml:space="preserve"> </w:t>
      </w:r>
      <w:r w:rsidR="005A58AA" w:rsidRPr="005A58AA">
        <w:rPr>
          <w:lang w:val="en-GB"/>
        </w:rPr>
        <w:t xml:space="preserve">The committee would </w:t>
      </w:r>
      <w:r w:rsidR="005A58AA">
        <w:rPr>
          <w:lang w:val="en-GB"/>
        </w:rPr>
        <w:t xml:space="preserve">therefore </w:t>
      </w:r>
      <w:r w:rsidR="005A58AA" w:rsidRPr="005A58AA">
        <w:rPr>
          <w:lang w:val="en-GB"/>
        </w:rPr>
        <w:t>like to see an analysis in which the relative treatment effect for lenalidomide diminishe</w:t>
      </w:r>
      <w:r w:rsidR="006B1686">
        <w:rPr>
          <w:lang w:val="en-GB"/>
        </w:rPr>
        <w:t>d</w:t>
      </w:r>
      <w:r w:rsidR="005A58AA" w:rsidRPr="005A58AA">
        <w:rPr>
          <w:lang w:val="en-GB"/>
        </w:rPr>
        <w:t xml:space="preserve"> over time beyond the end of the trial period, which reflect</w:t>
      </w:r>
      <w:r w:rsidR="005A58AA">
        <w:rPr>
          <w:lang w:val="en-GB"/>
        </w:rPr>
        <w:t>s</w:t>
      </w:r>
      <w:r w:rsidR="005A58AA" w:rsidRPr="005A58AA">
        <w:rPr>
          <w:lang w:val="en-GB"/>
        </w:rPr>
        <w:t xml:space="preserve"> clinically plausible scenarios.</w:t>
      </w:r>
      <w:r w:rsidR="005A58AA">
        <w:rPr>
          <w:i/>
          <w:iCs w:val="0"/>
          <w:lang w:val="en-GB"/>
        </w:rPr>
        <w:t xml:space="preserve"> </w:t>
      </w:r>
      <w:r w:rsidR="00CC59FE" w:rsidRPr="00A41DFF">
        <w:rPr>
          <w:lang w:val="en-GB"/>
        </w:rPr>
        <w:t xml:space="preserve">The committee concluded that the treatment effect of lenalidomide therapy may wane over time and </w:t>
      </w:r>
      <w:r w:rsidR="005F30FE">
        <w:rPr>
          <w:lang w:val="en-GB"/>
        </w:rPr>
        <w:t xml:space="preserve">that </w:t>
      </w:r>
      <w:r w:rsidR="00CC59FE" w:rsidRPr="00A41DFF">
        <w:rPr>
          <w:lang w:val="en-GB"/>
        </w:rPr>
        <w:t xml:space="preserve">this should </w:t>
      </w:r>
      <w:r w:rsidR="00FD4525">
        <w:rPr>
          <w:lang w:val="en-GB"/>
        </w:rPr>
        <w:t>have been</w:t>
      </w:r>
      <w:r w:rsidR="00FD4525" w:rsidRPr="00A41DFF">
        <w:rPr>
          <w:lang w:val="en-GB"/>
        </w:rPr>
        <w:t xml:space="preserve"> </w:t>
      </w:r>
      <w:r w:rsidR="00CC59FE" w:rsidRPr="00A41DFF">
        <w:rPr>
          <w:lang w:val="en-GB"/>
        </w:rPr>
        <w:t>included in the company’s model.</w:t>
      </w:r>
    </w:p>
    <w:p w14:paraId="67A4E040" w14:textId="5621F641" w:rsidR="00643582" w:rsidRPr="00A41DFF" w:rsidRDefault="003A2A22" w:rsidP="00643582">
      <w:pPr>
        <w:pStyle w:val="Heading2"/>
      </w:pPr>
      <w:r w:rsidRPr="00A41DFF">
        <w:lastRenderedPageBreak/>
        <w:t>Costs of subsequent treatments</w:t>
      </w:r>
    </w:p>
    <w:p w14:paraId="3B3BD343" w14:textId="6FF10B41" w:rsidR="00643582" w:rsidRPr="00A41DFF" w:rsidRDefault="00805C26" w:rsidP="0073007E">
      <w:pPr>
        <w:pStyle w:val="Heading3"/>
      </w:pPr>
      <w:bookmarkStart w:id="9" w:name="_Costs_of_subsequent"/>
      <w:bookmarkEnd w:id="9"/>
      <w:r w:rsidRPr="00A41DFF">
        <w:t xml:space="preserve">Costs of subsequent treatments are highly uncertain </w:t>
      </w:r>
      <w:r w:rsidR="007601BA" w:rsidRPr="00A41DFF">
        <w:t>so scenarios should be presented</w:t>
      </w:r>
    </w:p>
    <w:p w14:paraId="04F93D81" w14:textId="35F02E40" w:rsidR="00361862" w:rsidRPr="00A41DFF" w:rsidRDefault="005F342A" w:rsidP="005F342A">
      <w:pPr>
        <w:pStyle w:val="Numberedlevel2text"/>
        <w:rPr>
          <w:lang w:val="en-GB"/>
        </w:rPr>
      </w:pPr>
      <w:r>
        <w:rPr>
          <w:lang w:val="en-GB"/>
        </w:rPr>
        <w:t>The company</w:t>
      </w:r>
      <w:r w:rsidR="005F30FE">
        <w:rPr>
          <w:lang w:val="en-GB"/>
        </w:rPr>
        <w:t>’s</w:t>
      </w:r>
      <w:r>
        <w:rPr>
          <w:lang w:val="en-GB"/>
        </w:rPr>
        <w:t xml:space="preserve"> model included the costs </w:t>
      </w:r>
      <w:r w:rsidR="006176EA">
        <w:rPr>
          <w:lang w:val="en-GB"/>
        </w:rPr>
        <w:t>of</w:t>
      </w:r>
      <w:r>
        <w:rPr>
          <w:lang w:val="en-GB"/>
        </w:rPr>
        <w:t xml:space="preserve"> </w:t>
      </w:r>
      <w:r w:rsidR="008B297B">
        <w:rPr>
          <w:lang w:val="en-GB"/>
        </w:rPr>
        <w:t>second</w:t>
      </w:r>
      <w:r w:rsidR="00B620B2">
        <w:rPr>
          <w:lang w:val="en-GB"/>
        </w:rPr>
        <w:t>-</w:t>
      </w:r>
      <w:r w:rsidR="00FC0230">
        <w:rPr>
          <w:lang w:val="en-GB"/>
        </w:rPr>
        <w:t xml:space="preserve"> </w:t>
      </w:r>
      <w:r>
        <w:rPr>
          <w:lang w:val="en-GB"/>
        </w:rPr>
        <w:t xml:space="preserve">and </w:t>
      </w:r>
      <w:r w:rsidR="008B297B">
        <w:rPr>
          <w:lang w:val="en-GB"/>
        </w:rPr>
        <w:t>third</w:t>
      </w:r>
      <w:r w:rsidR="00B620B2">
        <w:rPr>
          <w:lang w:val="en-GB"/>
        </w:rPr>
        <w:t>-</w:t>
      </w:r>
      <w:r w:rsidR="00FC0230">
        <w:rPr>
          <w:lang w:val="en-GB"/>
        </w:rPr>
        <w:t>line</w:t>
      </w:r>
      <w:r>
        <w:rPr>
          <w:lang w:val="en-GB"/>
        </w:rPr>
        <w:t xml:space="preserve"> treatments given after maintenance</w:t>
      </w:r>
      <w:r w:rsidR="005F30FE">
        <w:rPr>
          <w:lang w:val="en-GB"/>
        </w:rPr>
        <w:t xml:space="preserve"> treatment</w:t>
      </w:r>
      <w:r>
        <w:rPr>
          <w:lang w:val="en-GB"/>
        </w:rPr>
        <w:t xml:space="preserve">. </w:t>
      </w:r>
      <w:r w:rsidR="007601BA" w:rsidRPr="00A41DFF">
        <w:rPr>
          <w:lang w:val="en-GB"/>
        </w:rPr>
        <w:t xml:space="preserve">The </w:t>
      </w:r>
      <w:r>
        <w:rPr>
          <w:lang w:val="en-GB"/>
        </w:rPr>
        <w:t xml:space="preserve">committee was aware </w:t>
      </w:r>
      <w:r w:rsidR="007601BA" w:rsidRPr="00A41DFF">
        <w:rPr>
          <w:lang w:val="en-GB"/>
        </w:rPr>
        <w:t xml:space="preserve">that </w:t>
      </w:r>
      <w:r w:rsidR="00B620B2">
        <w:rPr>
          <w:lang w:val="en-GB"/>
        </w:rPr>
        <w:t xml:space="preserve">the </w:t>
      </w:r>
      <w:r w:rsidR="007601BA" w:rsidRPr="00A41DFF">
        <w:rPr>
          <w:lang w:val="en-GB"/>
        </w:rPr>
        <w:t>subsequent therapies used in Myeloma</w:t>
      </w:r>
      <w:r w:rsidR="00B620B2">
        <w:rPr>
          <w:lang w:val="en-GB"/>
        </w:rPr>
        <w:t> </w:t>
      </w:r>
      <w:r w:rsidR="007601BA" w:rsidRPr="00A41DFF">
        <w:rPr>
          <w:lang w:val="en-GB"/>
        </w:rPr>
        <w:t xml:space="preserve">XI are no longer generalisable to NHS practice. </w:t>
      </w:r>
      <w:r>
        <w:rPr>
          <w:lang w:val="en-GB"/>
        </w:rPr>
        <w:t>The c</w:t>
      </w:r>
      <w:r w:rsidR="0046188E" w:rsidRPr="00A41DFF">
        <w:rPr>
          <w:lang w:val="en-GB"/>
        </w:rPr>
        <w:t xml:space="preserve">linical experts explained that most people who have had a </w:t>
      </w:r>
      <w:r w:rsidR="003E40FA">
        <w:rPr>
          <w:lang w:val="en-GB"/>
        </w:rPr>
        <w:t xml:space="preserve">first </w:t>
      </w:r>
      <w:r w:rsidR="00B620B2">
        <w:rPr>
          <w:lang w:val="en-GB"/>
        </w:rPr>
        <w:t xml:space="preserve">autologous </w:t>
      </w:r>
      <w:r w:rsidR="0046188E" w:rsidRPr="00A41DFF">
        <w:rPr>
          <w:lang w:val="en-GB"/>
        </w:rPr>
        <w:t xml:space="preserve">stem cell transplant will go on to </w:t>
      </w:r>
      <w:r w:rsidR="00AC22BD">
        <w:rPr>
          <w:lang w:val="en-GB"/>
        </w:rPr>
        <w:t>have</w:t>
      </w:r>
      <w:r w:rsidR="00AC22BD" w:rsidRPr="00A41DFF">
        <w:rPr>
          <w:lang w:val="en-GB"/>
        </w:rPr>
        <w:t xml:space="preserve"> </w:t>
      </w:r>
      <w:r w:rsidR="0046188E" w:rsidRPr="00A41DFF">
        <w:rPr>
          <w:lang w:val="en-GB"/>
        </w:rPr>
        <w:t xml:space="preserve">a treatment recommended in the Cancer Drugs Fund at a later line of therapy. </w:t>
      </w:r>
      <w:r>
        <w:rPr>
          <w:lang w:val="en-GB"/>
        </w:rPr>
        <w:t>However, t</w:t>
      </w:r>
      <w:r w:rsidRPr="00A41DFF">
        <w:rPr>
          <w:lang w:val="en-GB"/>
        </w:rPr>
        <w:t xml:space="preserve">he </w:t>
      </w:r>
      <w:hyperlink r:id="rId10" w:history="1">
        <w:r w:rsidR="00B620B2">
          <w:rPr>
            <w:rStyle w:val="Hyperlink"/>
            <w:lang w:val="en-GB"/>
          </w:rPr>
          <w:t>NICE Cancer Drugs Fund position statement</w:t>
        </w:r>
      </w:hyperlink>
      <w:r w:rsidRPr="00A41DFF">
        <w:rPr>
          <w:lang w:val="en-GB"/>
        </w:rPr>
        <w:t xml:space="preserve"> specifies that companies should not include treatments recommended for use in the Cancer Drugs Fund as treatment</w:t>
      </w:r>
      <w:r w:rsidR="005F30FE">
        <w:rPr>
          <w:lang w:val="en-GB"/>
        </w:rPr>
        <w:t>-</w:t>
      </w:r>
      <w:r w:rsidRPr="00A41DFF">
        <w:rPr>
          <w:lang w:val="en-GB"/>
        </w:rPr>
        <w:t>sequence products in their economic modelling</w:t>
      </w:r>
      <w:r w:rsidR="00B620B2">
        <w:rPr>
          <w:lang w:val="en-GB"/>
        </w:rPr>
        <w:t>. This is</w:t>
      </w:r>
      <w:r>
        <w:rPr>
          <w:lang w:val="en-GB"/>
        </w:rPr>
        <w:t xml:space="preserve"> because they do not yet reflect routine NHS practice</w:t>
      </w:r>
      <w:r w:rsidRPr="00A41DFF">
        <w:rPr>
          <w:lang w:val="en-GB"/>
        </w:rPr>
        <w:t xml:space="preserve">. </w:t>
      </w:r>
      <w:r w:rsidR="0046188E" w:rsidRPr="00A41DFF">
        <w:rPr>
          <w:lang w:val="en-GB"/>
        </w:rPr>
        <w:t xml:space="preserve">The committee acknowledged that this </w:t>
      </w:r>
      <w:r w:rsidR="00B620B2" w:rsidRPr="00A41DFF">
        <w:rPr>
          <w:lang w:val="en-GB"/>
        </w:rPr>
        <w:t>ma</w:t>
      </w:r>
      <w:r w:rsidR="00B620B2">
        <w:rPr>
          <w:lang w:val="en-GB"/>
        </w:rPr>
        <w:t>d</w:t>
      </w:r>
      <w:r w:rsidR="00B620B2" w:rsidRPr="00A41DFF">
        <w:rPr>
          <w:lang w:val="en-GB"/>
        </w:rPr>
        <w:t xml:space="preserve">e </w:t>
      </w:r>
      <w:r w:rsidR="0046188E" w:rsidRPr="00A41DFF">
        <w:rPr>
          <w:lang w:val="en-GB"/>
        </w:rPr>
        <w:t xml:space="preserve">it difficult to develop assumptions about subsequent therapies in the model, and that any assumptions </w:t>
      </w:r>
      <w:r w:rsidR="00B620B2">
        <w:rPr>
          <w:lang w:val="en-GB"/>
        </w:rPr>
        <w:t>were</w:t>
      </w:r>
      <w:r w:rsidR="00427620" w:rsidRPr="00A41DFF">
        <w:rPr>
          <w:lang w:val="en-GB"/>
        </w:rPr>
        <w:t xml:space="preserve"> hypothetical and</w:t>
      </w:r>
      <w:r w:rsidR="0046188E" w:rsidRPr="00A41DFF">
        <w:rPr>
          <w:lang w:val="en-GB"/>
        </w:rPr>
        <w:t xml:space="preserve"> highly uncertain. The company developed a set of assumptions about the proportions of different therapies used at </w:t>
      </w:r>
      <w:r w:rsidR="008B297B">
        <w:rPr>
          <w:lang w:val="en-GB"/>
        </w:rPr>
        <w:t>second</w:t>
      </w:r>
      <w:r w:rsidR="0046188E" w:rsidRPr="00A41DFF">
        <w:rPr>
          <w:lang w:val="en-GB"/>
        </w:rPr>
        <w:t xml:space="preserve"> and </w:t>
      </w:r>
      <w:r w:rsidR="008B297B">
        <w:rPr>
          <w:lang w:val="en-GB"/>
        </w:rPr>
        <w:t>third</w:t>
      </w:r>
      <w:r w:rsidR="0046188E" w:rsidRPr="00A41DFF">
        <w:rPr>
          <w:lang w:val="en-GB"/>
        </w:rPr>
        <w:t xml:space="preserve"> line in the model. </w:t>
      </w:r>
      <w:r w:rsidR="00BE2E44" w:rsidRPr="00A41DFF">
        <w:rPr>
          <w:lang w:val="en-GB"/>
        </w:rPr>
        <w:t>The ERG highlighted some concerns about these assumptions</w:t>
      </w:r>
      <w:r w:rsidR="00B620B2">
        <w:rPr>
          <w:lang w:val="en-GB"/>
        </w:rPr>
        <w:t>. I</w:t>
      </w:r>
      <w:r w:rsidR="001D66C7" w:rsidRPr="00A41DFF">
        <w:rPr>
          <w:lang w:val="en-GB"/>
        </w:rPr>
        <w:t xml:space="preserve">t disagreed that there would be differences in the proportion of people with ‘no treatment’ at </w:t>
      </w:r>
      <w:r w:rsidR="008B297B">
        <w:rPr>
          <w:lang w:val="en-GB"/>
        </w:rPr>
        <w:t>third</w:t>
      </w:r>
      <w:r w:rsidR="001D66C7" w:rsidRPr="00A41DFF">
        <w:rPr>
          <w:lang w:val="en-GB"/>
        </w:rPr>
        <w:t xml:space="preserve"> line between arms</w:t>
      </w:r>
      <w:r w:rsidR="00FB32A8">
        <w:rPr>
          <w:lang w:val="en-GB"/>
        </w:rPr>
        <w:t>. Also</w:t>
      </w:r>
      <w:r w:rsidR="001D66C7">
        <w:rPr>
          <w:lang w:val="en-GB"/>
        </w:rPr>
        <w:t xml:space="preserve">, </w:t>
      </w:r>
      <w:r w:rsidR="00BE2E44" w:rsidRPr="00A41DFF">
        <w:rPr>
          <w:lang w:val="en-GB"/>
        </w:rPr>
        <w:t xml:space="preserve">it did not think lenalidomide or carfilzomib should be used </w:t>
      </w:r>
      <w:r w:rsidR="008B297B">
        <w:rPr>
          <w:lang w:val="en-GB"/>
        </w:rPr>
        <w:t>second</w:t>
      </w:r>
      <w:r w:rsidR="00BE2E44" w:rsidRPr="00A41DFF">
        <w:rPr>
          <w:lang w:val="en-GB"/>
        </w:rPr>
        <w:t xml:space="preserve"> line because neither is currently </w:t>
      </w:r>
      <w:r w:rsidR="00F708DF">
        <w:rPr>
          <w:lang w:val="en-GB"/>
        </w:rPr>
        <w:t>recommended</w:t>
      </w:r>
      <w:r w:rsidR="00F708DF" w:rsidRPr="00A41DFF">
        <w:rPr>
          <w:lang w:val="en-GB"/>
        </w:rPr>
        <w:t xml:space="preserve"> </w:t>
      </w:r>
      <w:r w:rsidR="00BE2E44" w:rsidRPr="00A41DFF">
        <w:rPr>
          <w:lang w:val="en-GB"/>
        </w:rPr>
        <w:t>by NICE</w:t>
      </w:r>
      <w:r w:rsidR="00F708DF">
        <w:rPr>
          <w:lang w:val="en-GB"/>
        </w:rPr>
        <w:t xml:space="preserve"> at this position in the pathway</w:t>
      </w:r>
      <w:r w:rsidR="001D66C7">
        <w:rPr>
          <w:lang w:val="en-GB"/>
        </w:rPr>
        <w:t xml:space="preserve">. </w:t>
      </w:r>
      <w:r w:rsidR="00C32F0C" w:rsidRPr="00A41DFF">
        <w:rPr>
          <w:lang w:val="en-GB"/>
        </w:rPr>
        <w:t xml:space="preserve">The ERG </w:t>
      </w:r>
      <w:r w:rsidR="00C32F0C">
        <w:rPr>
          <w:lang w:val="en-GB"/>
        </w:rPr>
        <w:t xml:space="preserve">therefore </w:t>
      </w:r>
      <w:r w:rsidR="00C32F0C" w:rsidRPr="00A41DFF">
        <w:rPr>
          <w:lang w:val="en-GB"/>
        </w:rPr>
        <w:t xml:space="preserve">developed its own set of assumptions. </w:t>
      </w:r>
      <w:r w:rsidR="003254AC">
        <w:rPr>
          <w:lang w:val="en-GB"/>
        </w:rPr>
        <w:t>The Cancer Drugs Fund clinical lead estimated that</w:t>
      </w:r>
      <w:r w:rsidR="00FB32A8">
        <w:rPr>
          <w:lang w:val="en-GB"/>
        </w:rPr>
        <w:t>,</w:t>
      </w:r>
      <w:r w:rsidR="003254AC">
        <w:rPr>
          <w:lang w:val="en-GB"/>
        </w:rPr>
        <w:t xml:space="preserve"> if </w:t>
      </w:r>
      <w:r w:rsidR="003254AC" w:rsidRPr="00A41DFF">
        <w:rPr>
          <w:lang w:val="en-GB"/>
        </w:rPr>
        <w:t>treatments recommended for use in the Cancer Drugs Fund</w:t>
      </w:r>
      <w:r w:rsidR="003254AC">
        <w:rPr>
          <w:lang w:val="en-GB"/>
        </w:rPr>
        <w:t xml:space="preserve"> were not available, about half of people </w:t>
      </w:r>
      <w:r w:rsidR="00366541">
        <w:rPr>
          <w:lang w:val="en-GB"/>
        </w:rPr>
        <w:t xml:space="preserve">whose condition </w:t>
      </w:r>
      <w:r w:rsidR="00F708DF">
        <w:rPr>
          <w:lang w:val="en-GB"/>
        </w:rPr>
        <w:t>was</w:t>
      </w:r>
      <w:r w:rsidR="00366541">
        <w:rPr>
          <w:lang w:val="en-GB"/>
        </w:rPr>
        <w:t xml:space="preserve"> monitored</w:t>
      </w:r>
      <w:r w:rsidR="003254AC">
        <w:rPr>
          <w:lang w:val="en-GB"/>
        </w:rPr>
        <w:t xml:space="preserve"> </w:t>
      </w:r>
      <w:r w:rsidR="00FB32A8">
        <w:rPr>
          <w:lang w:val="en-GB"/>
        </w:rPr>
        <w:t xml:space="preserve">after </w:t>
      </w:r>
      <w:r w:rsidR="003254AC">
        <w:rPr>
          <w:lang w:val="en-GB"/>
        </w:rPr>
        <w:t xml:space="preserve">their first transplant would </w:t>
      </w:r>
      <w:r w:rsidR="00F708DF">
        <w:rPr>
          <w:lang w:val="en-GB"/>
        </w:rPr>
        <w:t xml:space="preserve">then </w:t>
      </w:r>
      <w:r w:rsidR="00AC22BD">
        <w:rPr>
          <w:lang w:val="en-GB"/>
        </w:rPr>
        <w:t xml:space="preserve">have </w:t>
      </w:r>
      <w:r w:rsidR="003254AC">
        <w:rPr>
          <w:lang w:val="en-GB"/>
        </w:rPr>
        <w:t xml:space="preserve">lenalidomide plus dexamethasone after their first relapse. </w:t>
      </w:r>
      <w:r w:rsidR="00EF2527">
        <w:rPr>
          <w:lang w:val="en-GB"/>
        </w:rPr>
        <w:t xml:space="preserve">The clinical experts agreed with this estimate. </w:t>
      </w:r>
      <w:r w:rsidR="0046188E" w:rsidRPr="00A41DFF">
        <w:rPr>
          <w:lang w:val="en-GB"/>
        </w:rPr>
        <w:t xml:space="preserve">The committee recognised the company’s </w:t>
      </w:r>
      <w:r w:rsidR="005F30FE">
        <w:rPr>
          <w:lang w:val="en-GB"/>
        </w:rPr>
        <w:t xml:space="preserve">and </w:t>
      </w:r>
      <w:r w:rsidR="00BE2E44" w:rsidRPr="00A41DFF">
        <w:rPr>
          <w:lang w:val="en-GB"/>
        </w:rPr>
        <w:t xml:space="preserve">ERG’s </w:t>
      </w:r>
      <w:r w:rsidR="0046188E" w:rsidRPr="00A41DFF">
        <w:rPr>
          <w:lang w:val="en-GB"/>
        </w:rPr>
        <w:t>attempt</w:t>
      </w:r>
      <w:r w:rsidR="00BE2E44" w:rsidRPr="00A41DFF">
        <w:rPr>
          <w:lang w:val="en-GB"/>
        </w:rPr>
        <w:t>s</w:t>
      </w:r>
      <w:r w:rsidR="0046188E" w:rsidRPr="00A41DFF">
        <w:rPr>
          <w:lang w:val="en-GB"/>
        </w:rPr>
        <w:t xml:space="preserve"> to </w:t>
      </w:r>
      <w:r w:rsidR="00BE2E44" w:rsidRPr="00A41DFF">
        <w:rPr>
          <w:lang w:val="en-GB"/>
        </w:rPr>
        <w:t xml:space="preserve">explore different subsequent therapy assumptions. </w:t>
      </w:r>
      <w:r w:rsidR="007A4681" w:rsidRPr="00A41DFF">
        <w:rPr>
          <w:lang w:val="en-GB"/>
        </w:rPr>
        <w:t>It was satisfied that the rates of second transplants would be 5</w:t>
      </w:r>
      <w:r w:rsidR="00FB32A8">
        <w:rPr>
          <w:lang w:val="en-GB"/>
        </w:rPr>
        <w:t>%</w:t>
      </w:r>
      <w:r w:rsidR="005F30FE">
        <w:rPr>
          <w:lang w:val="en-GB"/>
        </w:rPr>
        <w:t xml:space="preserve"> </w:t>
      </w:r>
      <w:r w:rsidR="007A4681" w:rsidRPr="00A41DFF">
        <w:rPr>
          <w:lang w:val="en-GB"/>
        </w:rPr>
        <w:t xml:space="preserve">to 10% (see </w:t>
      </w:r>
      <w:hyperlink w:anchor="_S_ome_people" w:history="1">
        <w:r w:rsidR="00FB32A8">
          <w:rPr>
            <w:rStyle w:val="Hyperlink"/>
            <w:lang w:val="en-GB"/>
          </w:rPr>
          <w:t>section 3.2</w:t>
        </w:r>
      </w:hyperlink>
      <w:r w:rsidR="007A4681" w:rsidRPr="00A41DFF">
        <w:rPr>
          <w:lang w:val="en-GB"/>
        </w:rPr>
        <w:t>)</w:t>
      </w:r>
      <w:r w:rsidR="00FB32A8">
        <w:rPr>
          <w:lang w:val="en-GB"/>
        </w:rPr>
        <w:t>,</w:t>
      </w:r>
      <w:r w:rsidR="007A4681" w:rsidRPr="00A41DFF">
        <w:rPr>
          <w:lang w:val="en-GB"/>
        </w:rPr>
        <w:t xml:space="preserve"> but that the </w:t>
      </w:r>
      <w:r w:rsidR="007A4681" w:rsidRPr="00A41DFF">
        <w:rPr>
          <w:lang w:val="en-GB"/>
        </w:rPr>
        <w:lastRenderedPageBreak/>
        <w:t>other assumptions could not be verified</w:t>
      </w:r>
      <w:r w:rsidR="00427620" w:rsidRPr="00A41DFF">
        <w:rPr>
          <w:lang w:val="en-GB"/>
        </w:rPr>
        <w:t xml:space="preserve"> so should be explored in more detail</w:t>
      </w:r>
      <w:r w:rsidR="007A4681" w:rsidRPr="00A41DFF">
        <w:rPr>
          <w:lang w:val="en-GB"/>
        </w:rPr>
        <w:t>.</w:t>
      </w:r>
      <w:r w:rsidR="009A3892">
        <w:rPr>
          <w:lang w:val="en-GB"/>
        </w:rPr>
        <w:t xml:space="preserve"> The committee</w:t>
      </w:r>
      <w:r w:rsidR="007A4681" w:rsidRPr="00A41DFF">
        <w:rPr>
          <w:lang w:val="en-GB"/>
        </w:rPr>
        <w:t xml:space="preserve"> concluded that it would </w:t>
      </w:r>
      <w:r w:rsidR="005F30FE">
        <w:rPr>
          <w:lang w:val="en-GB"/>
        </w:rPr>
        <w:t xml:space="preserve">have </w:t>
      </w:r>
      <w:r w:rsidR="007A4681" w:rsidRPr="00A41DFF">
        <w:rPr>
          <w:lang w:val="en-GB"/>
        </w:rPr>
        <w:t>like</w:t>
      </w:r>
      <w:r w:rsidR="005F30FE">
        <w:rPr>
          <w:lang w:val="en-GB"/>
        </w:rPr>
        <w:t>d</w:t>
      </w:r>
      <w:r w:rsidR="007A4681" w:rsidRPr="00A41DFF">
        <w:rPr>
          <w:lang w:val="en-GB"/>
        </w:rPr>
        <w:t xml:space="preserve"> to see a range of scenarios b</w:t>
      </w:r>
      <w:r w:rsidR="00011E8C" w:rsidRPr="00A41DFF">
        <w:rPr>
          <w:lang w:val="en-GB"/>
        </w:rPr>
        <w:t>ecause of the high levels of uncertainty</w:t>
      </w:r>
      <w:r w:rsidR="00FB32A8">
        <w:rPr>
          <w:lang w:val="en-GB"/>
        </w:rPr>
        <w:t>. It also concluded</w:t>
      </w:r>
      <w:r w:rsidR="001D66C7">
        <w:rPr>
          <w:lang w:val="en-GB"/>
        </w:rPr>
        <w:t xml:space="preserve"> that these assumptions should </w:t>
      </w:r>
      <w:r w:rsidR="005F30FE">
        <w:rPr>
          <w:lang w:val="en-GB"/>
        </w:rPr>
        <w:t xml:space="preserve">have </w:t>
      </w:r>
      <w:r w:rsidR="001D66C7">
        <w:rPr>
          <w:lang w:val="en-GB"/>
        </w:rPr>
        <w:t>reflect</w:t>
      </w:r>
      <w:r w:rsidR="005F30FE">
        <w:rPr>
          <w:lang w:val="en-GB"/>
        </w:rPr>
        <w:t>ed</w:t>
      </w:r>
      <w:r w:rsidR="001D66C7">
        <w:rPr>
          <w:lang w:val="en-GB"/>
        </w:rPr>
        <w:t xml:space="preserve"> as </w:t>
      </w:r>
      <w:r w:rsidR="00C32F0C">
        <w:rPr>
          <w:lang w:val="en-GB"/>
        </w:rPr>
        <w:t xml:space="preserve">closely </w:t>
      </w:r>
      <w:r w:rsidR="001D66C7">
        <w:rPr>
          <w:lang w:val="en-GB"/>
        </w:rPr>
        <w:t xml:space="preserve">as possible treatments </w:t>
      </w:r>
      <w:r w:rsidR="00C32F0C">
        <w:rPr>
          <w:lang w:val="en-GB"/>
        </w:rPr>
        <w:t xml:space="preserve">that </w:t>
      </w:r>
      <w:r w:rsidR="001D66C7">
        <w:rPr>
          <w:lang w:val="en-GB"/>
        </w:rPr>
        <w:t>are currently given in NHS practice, and what would be given in the absence of C</w:t>
      </w:r>
      <w:r w:rsidR="00FB32A8">
        <w:rPr>
          <w:lang w:val="en-GB"/>
        </w:rPr>
        <w:t xml:space="preserve">ancer </w:t>
      </w:r>
      <w:r w:rsidR="001D66C7">
        <w:rPr>
          <w:lang w:val="en-GB"/>
        </w:rPr>
        <w:t>D</w:t>
      </w:r>
      <w:r w:rsidR="00FB32A8">
        <w:rPr>
          <w:lang w:val="en-GB"/>
        </w:rPr>
        <w:t xml:space="preserve">rugs </w:t>
      </w:r>
      <w:r w:rsidR="001D66C7">
        <w:rPr>
          <w:lang w:val="en-GB"/>
        </w:rPr>
        <w:t>F</w:t>
      </w:r>
      <w:r w:rsidR="00FB32A8">
        <w:rPr>
          <w:lang w:val="en-GB"/>
        </w:rPr>
        <w:t>und</w:t>
      </w:r>
      <w:r w:rsidR="001D66C7">
        <w:rPr>
          <w:lang w:val="en-GB"/>
        </w:rPr>
        <w:t xml:space="preserve"> treatments</w:t>
      </w:r>
      <w:r w:rsidR="007A4681" w:rsidRPr="00A41DFF">
        <w:rPr>
          <w:lang w:val="en-GB"/>
        </w:rPr>
        <w:t>.</w:t>
      </w:r>
    </w:p>
    <w:p w14:paraId="034C5EEF" w14:textId="478FD2DD" w:rsidR="00643582" w:rsidRPr="00A41DFF" w:rsidRDefault="002A5A5F" w:rsidP="00643582">
      <w:pPr>
        <w:pStyle w:val="Heading2"/>
      </w:pPr>
      <w:r w:rsidRPr="00A41DFF">
        <w:t>Dose adjustments and drug wastage</w:t>
      </w:r>
    </w:p>
    <w:p w14:paraId="23E2B4CB" w14:textId="5ED24735" w:rsidR="00643582" w:rsidRPr="00A41DFF" w:rsidRDefault="00A52D6C" w:rsidP="0073007E">
      <w:pPr>
        <w:pStyle w:val="Heading3"/>
      </w:pPr>
      <w:bookmarkStart w:id="10" w:name="_Myeloma_XI_trial"/>
      <w:bookmarkStart w:id="11" w:name="_Hlk48317733"/>
      <w:bookmarkEnd w:id="10"/>
      <w:r w:rsidRPr="00A41DFF">
        <w:t>Myeloma</w:t>
      </w:r>
      <w:r w:rsidR="00FB32A8">
        <w:t> </w:t>
      </w:r>
      <w:r w:rsidRPr="00A41DFF">
        <w:t>XI trial data should be used to estimate relative dose intensity</w:t>
      </w:r>
    </w:p>
    <w:bookmarkEnd w:id="11"/>
    <w:p w14:paraId="155ECD2A" w14:textId="5626E477" w:rsidR="00E4708B" w:rsidRPr="00FC0230" w:rsidRDefault="00F909DD" w:rsidP="00FC0230">
      <w:pPr>
        <w:pStyle w:val="Numberedlevel2text"/>
        <w:rPr>
          <w:lang w:val="en-GB"/>
        </w:rPr>
      </w:pPr>
      <w:r w:rsidRPr="00A41DFF">
        <w:rPr>
          <w:lang w:val="en-GB"/>
        </w:rPr>
        <w:t xml:space="preserve">Relative dose intensity </w:t>
      </w:r>
      <w:r w:rsidR="00826C05" w:rsidRPr="00A41DFF">
        <w:rPr>
          <w:lang w:val="en-GB"/>
        </w:rPr>
        <w:t xml:space="preserve">is </w:t>
      </w:r>
      <w:r w:rsidRPr="00A41DFF">
        <w:rPr>
          <w:lang w:val="en-GB"/>
        </w:rPr>
        <w:t xml:space="preserve">the </w:t>
      </w:r>
      <w:r w:rsidR="00826C05" w:rsidRPr="00A41DFF">
        <w:rPr>
          <w:lang w:val="en-GB"/>
        </w:rPr>
        <w:t>percentage</w:t>
      </w:r>
      <w:r w:rsidRPr="00A41DFF">
        <w:rPr>
          <w:lang w:val="en-GB"/>
        </w:rPr>
        <w:t xml:space="preserve"> of the </w:t>
      </w:r>
      <w:r w:rsidR="00C40E78" w:rsidRPr="00A41DFF">
        <w:rPr>
          <w:lang w:val="en-GB"/>
        </w:rPr>
        <w:t>prescribed</w:t>
      </w:r>
      <w:r w:rsidRPr="00A41DFF">
        <w:rPr>
          <w:lang w:val="en-GB"/>
        </w:rPr>
        <w:t xml:space="preserve"> dose</w:t>
      </w:r>
      <w:r w:rsidR="00C40E78" w:rsidRPr="00A41DFF">
        <w:rPr>
          <w:lang w:val="en-GB"/>
        </w:rPr>
        <w:t xml:space="preserve"> of lenalidomide</w:t>
      </w:r>
      <w:r w:rsidRPr="00A41DFF">
        <w:rPr>
          <w:lang w:val="en-GB"/>
        </w:rPr>
        <w:t xml:space="preserve"> that people </w:t>
      </w:r>
      <w:r w:rsidR="00C40E78" w:rsidRPr="00A41DFF">
        <w:rPr>
          <w:lang w:val="en-GB"/>
        </w:rPr>
        <w:t xml:space="preserve">take. Assumptions about the relative dose intensity </w:t>
      </w:r>
      <w:r w:rsidR="005F30FE" w:rsidRPr="00A41DFF">
        <w:rPr>
          <w:lang w:val="en-GB"/>
        </w:rPr>
        <w:t>c</w:t>
      </w:r>
      <w:r w:rsidR="005F30FE">
        <w:rPr>
          <w:lang w:val="en-GB"/>
        </w:rPr>
        <w:t>ould</w:t>
      </w:r>
      <w:r w:rsidR="005F30FE" w:rsidRPr="00A41DFF">
        <w:rPr>
          <w:lang w:val="en-GB"/>
        </w:rPr>
        <w:t xml:space="preserve"> </w:t>
      </w:r>
      <w:r w:rsidR="00C40E78" w:rsidRPr="00A41DFF">
        <w:rPr>
          <w:lang w:val="en-GB"/>
        </w:rPr>
        <w:t xml:space="preserve">affect the cost-effectiveness estimate because it </w:t>
      </w:r>
      <w:r w:rsidR="00FB32A8">
        <w:rPr>
          <w:lang w:val="en-GB"/>
        </w:rPr>
        <w:t>shows</w:t>
      </w:r>
      <w:r w:rsidR="00FB32A8" w:rsidRPr="00A41DFF">
        <w:rPr>
          <w:lang w:val="en-GB"/>
        </w:rPr>
        <w:t xml:space="preserve"> </w:t>
      </w:r>
      <w:r w:rsidR="00C40E78" w:rsidRPr="00A41DFF">
        <w:rPr>
          <w:lang w:val="en-GB"/>
        </w:rPr>
        <w:t>how much of the total cost of a prescribed drug is incurred</w:t>
      </w:r>
      <w:r w:rsidR="001D66C7">
        <w:rPr>
          <w:lang w:val="en-GB"/>
        </w:rPr>
        <w:t xml:space="preserve"> (with a lower relative dose intensity meaning lower accrued drug costs)</w:t>
      </w:r>
      <w:r w:rsidR="00C40E78" w:rsidRPr="00A41DFF">
        <w:rPr>
          <w:lang w:val="en-GB"/>
        </w:rPr>
        <w:t>.</w:t>
      </w:r>
      <w:r w:rsidR="00427620" w:rsidRPr="00A41DFF">
        <w:rPr>
          <w:lang w:val="en-GB"/>
        </w:rPr>
        <w:t xml:space="preserve"> </w:t>
      </w:r>
      <w:r w:rsidR="00C40E78" w:rsidRPr="00A41DFF">
        <w:rPr>
          <w:lang w:val="en-GB"/>
        </w:rPr>
        <w:t>The company use</w:t>
      </w:r>
      <w:r w:rsidR="00A97E66" w:rsidRPr="00A41DFF">
        <w:rPr>
          <w:lang w:val="en-GB"/>
        </w:rPr>
        <w:t>d</w:t>
      </w:r>
      <w:r w:rsidR="00C40E78" w:rsidRPr="00A41DFF">
        <w:rPr>
          <w:lang w:val="en-GB"/>
        </w:rPr>
        <w:t xml:space="preserve"> </w:t>
      </w:r>
      <w:r w:rsidR="00BE5C37">
        <w:rPr>
          <w:lang w:val="en-GB"/>
        </w:rPr>
        <w:t xml:space="preserve">individual patient data from </w:t>
      </w:r>
      <w:r w:rsidR="00C40E78" w:rsidRPr="00A41DFF">
        <w:rPr>
          <w:lang w:val="en-GB"/>
        </w:rPr>
        <w:t>Myeloma</w:t>
      </w:r>
      <w:r w:rsidR="00FB32A8">
        <w:rPr>
          <w:lang w:val="en-GB"/>
        </w:rPr>
        <w:t> </w:t>
      </w:r>
      <w:r w:rsidR="00C40E78" w:rsidRPr="00A41DFF">
        <w:rPr>
          <w:lang w:val="en-GB"/>
        </w:rPr>
        <w:t xml:space="preserve">XI to estimate the relative dose intensity for lenalidomide maintenance </w:t>
      </w:r>
      <w:r w:rsidR="00AC22BD">
        <w:rPr>
          <w:lang w:val="en-GB"/>
        </w:rPr>
        <w:t>treatment</w:t>
      </w:r>
      <w:r w:rsidR="00C40E78" w:rsidRPr="00A41DFF">
        <w:rPr>
          <w:lang w:val="en-GB"/>
        </w:rPr>
        <w:t xml:space="preserve">. </w:t>
      </w:r>
      <w:r w:rsidR="000E0FD4">
        <w:rPr>
          <w:lang w:val="en-GB"/>
        </w:rPr>
        <w:t xml:space="preserve">This is </w:t>
      </w:r>
      <w:r w:rsidR="00C40E78" w:rsidRPr="00A41DFF">
        <w:rPr>
          <w:lang w:val="en-GB"/>
        </w:rPr>
        <w:t>commercial in confidence so cannot be stated here. The ERG</w:t>
      </w:r>
      <w:r w:rsidR="00FB32A8">
        <w:rPr>
          <w:lang w:val="en-GB"/>
        </w:rPr>
        <w:t>’s</w:t>
      </w:r>
      <w:r w:rsidR="00C40E78" w:rsidRPr="00A41DFF">
        <w:rPr>
          <w:lang w:val="en-GB"/>
        </w:rPr>
        <w:t xml:space="preserve"> </w:t>
      </w:r>
      <w:r w:rsidR="000E0FD4">
        <w:rPr>
          <w:lang w:val="en-GB"/>
        </w:rPr>
        <w:t>opinion</w:t>
      </w:r>
      <w:r w:rsidR="00B060B6">
        <w:rPr>
          <w:lang w:val="en-GB"/>
        </w:rPr>
        <w:t xml:space="preserve"> was</w:t>
      </w:r>
      <w:r w:rsidR="000E0FD4">
        <w:rPr>
          <w:lang w:val="en-GB"/>
        </w:rPr>
        <w:t xml:space="preserve"> </w:t>
      </w:r>
      <w:r w:rsidR="001D66C7">
        <w:rPr>
          <w:lang w:val="en-GB"/>
        </w:rPr>
        <w:t>that</w:t>
      </w:r>
      <w:r w:rsidR="001D66C7" w:rsidRPr="00A41DFF">
        <w:rPr>
          <w:lang w:val="en-GB"/>
        </w:rPr>
        <w:t xml:space="preserve"> </w:t>
      </w:r>
      <w:r w:rsidR="00C40E78" w:rsidRPr="00A41DFF">
        <w:rPr>
          <w:lang w:val="en-GB"/>
        </w:rPr>
        <w:t>the company’s relative dose</w:t>
      </w:r>
      <w:r w:rsidR="00CA5CC9">
        <w:rPr>
          <w:lang w:val="en-GB"/>
        </w:rPr>
        <w:t>-</w:t>
      </w:r>
      <w:r w:rsidR="00C40E78" w:rsidRPr="00A41DFF">
        <w:rPr>
          <w:lang w:val="en-GB"/>
        </w:rPr>
        <w:t xml:space="preserve">intensity estimate was too low, </w:t>
      </w:r>
      <w:r w:rsidR="00C76D22">
        <w:rPr>
          <w:lang w:val="en-GB"/>
        </w:rPr>
        <w:t>so</w:t>
      </w:r>
      <w:r w:rsidR="00011114" w:rsidRPr="00A41DFF">
        <w:rPr>
          <w:lang w:val="en-GB"/>
        </w:rPr>
        <w:t xml:space="preserve"> the </w:t>
      </w:r>
      <w:r w:rsidR="00C40E78" w:rsidRPr="00A41DFF">
        <w:rPr>
          <w:lang w:val="en-GB"/>
        </w:rPr>
        <w:t xml:space="preserve">cost-effectiveness estimate was optimistic. It </w:t>
      </w:r>
      <w:r w:rsidR="00366541">
        <w:rPr>
          <w:lang w:val="en-GB"/>
        </w:rPr>
        <w:t>noted</w:t>
      </w:r>
      <w:r w:rsidR="00366541" w:rsidRPr="00A41DFF">
        <w:rPr>
          <w:lang w:val="en-GB"/>
        </w:rPr>
        <w:t xml:space="preserve"> </w:t>
      </w:r>
      <w:r w:rsidR="00C40E78" w:rsidRPr="00A41DFF">
        <w:rPr>
          <w:lang w:val="en-GB"/>
        </w:rPr>
        <w:t>that the company’s relative dose</w:t>
      </w:r>
      <w:r w:rsidR="00C76D22">
        <w:rPr>
          <w:lang w:val="en-GB"/>
        </w:rPr>
        <w:t>-</w:t>
      </w:r>
      <w:r w:rsidR="00C40E78" w:rsidRPr="00A41DFF">
        <w:rPr>
          <w:lang w:val="en-GB"/>
        </w:rPr>
        <w:t>intensity estimate from Myeloma</w:t>
      </w:r>
      <w:r w:rsidR="00C76D22">
        <w:rPr>
          <w:lang w:val="en-GB"/>
        </w:rPr>
        <w:t> </w:t>
      </w:r>
      <w:r w:rsidR="00C40E78" w:rsidRPr="00A41DFF">
        <w:rPr>
          <w:lang w:val="en-GB"/>
        </w:rPr>
        <w:t xml:space="preserve">XI was lower than </w:t>
      </w:r>
      <w:r w:rsidR="00011114" w:rsidRPr="00A41DFF">
        <w:rPr>
          <w:lang w:val="en-GB"/>
        </w:rPr>
        <w:t>in TOURMALINE</w:t>
      </w:r>
      <w:r w:rsidR="00C76D22">
        <w:rPr>
          <w:lang w:val="en-GB"/>
        </w:rPr>
        <w:noBreakHyphen/>
      </w:r>
      <w:r w:rsidR="00011114" w:rsidRPr="00A41DFF">
        <w:rPr>
          <w:lang w:val="en-GB"/>
        </w:rPr>
        <w:t>MM1 (TMM1)</w:t>
      </w:r>
      <w:r w:rsidR="00C76D22">
        <w:rPr>
          <w:lang w:val="en-GB"/>
        </w:rPr>
        <w:t>. This trial</w:t>
      </w:r>
      <w:r w:rsidR="00A54149">
        <w:rPr>
          <w:lang w:val="en-GB"/>
        </w:rPr>
        <w:t xml:space="preserve"> </w:t>
      </w:r>
      <w:r w:rsidR="00EF2527">
        <w:rPr>
          <w:lang w:val="en-GB"/>
        </w:rPr>
        <w:t>was found by the ERG and was in people with relapsed or refractory</w:t>
      </w:r>
      <w:r w:rsidR="00F72706">
        <w:rPr>
          <w:lang w:val="en-GB"/>
        </w:rPr>
        <w:t xml:space="preserve"> multiple</w:t>
      </w:r>
      <w:r w:rsidR="00EF2527">
        <w:rPr>
          <w:lang w:val="en-GB"/>
        </w:rPr>
        <w:t xml:space="preserve"> myeloma so was not directly relevant to this appraisal. </w:t>
      </w:r>
      <w:r w:rsidR="00F72706">
        <w:rPr>
          <w:lang w:val="en-GB"/>
        </w:rPr>
        <w:t xml:space="preserve">TMM1 </w:t>
      </w:r>
      <w:r w:rsidR="00A54149">
        <w:rPr>
          <w:lang w:val="en-GB"/>
        </w:rPr>
        <w:t>had</w:t>
      </w:r>
      <w:r w:rsidR="00A54149" w:rsidRPr="00A41DFF">
        <w:rPr>
          <w:lang w:val="en-GB"/>
        </w:rPr>
        <w:t xml:space="preserve"> </w:t>
      </w:r>
      <w:r w:rsidR="00C40E78" w:rsidRPr="00A41DFF">
        <w:rPr>
          <w:lang w:val="en-GB"/>
        </w:rPr>
        <w:t>used a higher</w:t>
      </w:r>
      <w:r w:rsidR="00011114" w:rsidRPr="00A41DFF">
        <w:rPr>
          <w:lang w:val="en-GB"/>
        </w:rPr>
        <w:t xml:space="preserve"> lenalidomide</w:t>
      </w:r>
      <w:r w:rsidR="00C40E78" w:rsidRPr="00A41DFF">
        <w:rPr>
          <w:lang w:val="en-GB"/>
        </w:rPr>
        <w:t xml:space="preserve"> dose of 25</w:t>
      </w:r>
      <w:r w:rsidR="00C76D22">
        <w:rPr>
          <w:lang w:val="en-GB"/>
        </w:rPr>
        <w:t> </w:t>
      </w:r>
      <w:r w:rsidR="00C40E78" w:rsidRPr="00A41DFF">
        <w:rPr>
          <w:lang w:val="en-GB"/>
        </w:rPr>
        <w:t xml:space="preserve">mg daily on </w:t>
      </w:r>
      <w:r w:rsidR="00C76D22">
        <w:rPr>
          <w:lang w:val="en-GB"/>
        </w:rPr>
        <w:t>d</w:t>
      </w:r>
      <w:r w:rsidR="00C76D22" w:rsidRPr="00A41DFF">
        <w:rPr>
          <w:lang w:val="en-GB"/>
        </w:rPr>
        <w:t>ays</w:t>
      </w:r>
      <w:r w:rsidR="00C76D22">
        <w:rPr>
          <w:lang w:val="en-GB"/>
        </w:rPr>
        <w:t> </w:t>
      </w:r>
      <w:r w:rsidR="00C40E78" w:rsidRPr="00A41DFF">
        <w:rPr>
          <w:lang w:val="en-GB"/>
        </w:rPr>
        <w:t>1 to</w:t>
      </w:r>
      <w:r w:rsidR="00C76D22">
        <w:rPr>
          <w:lang w:val="en-GB"/>
        </w:rPr>
        <w:t> </w:t>
      </w:r>
      <w:r w:rsidR="00C40E78" w:rsidRPr="00A41DFF">
        <w:rPr>
          <w:lang w:val="en-GB"/>
        </w:rPr>
        <w:t>21 of each 28</w:t>
      </w:r>
      <w:r w:rsidR="00C76D22">
        <w:rPr>
          <w:lang w:val="en-GB"/>
        </w:rPr>
        <w:noBreakHyphen/>
      </w:r>
      <w:r w:rsidR="00C40E78" w:rsidRPr="00A41DFF">
        <w:rPr>
          <w:lang w:val="en-GB"/>
        </w:rPr>
        <w:t>day cycle</w:t>
      </w:r>
      <w:r w:rsidR="00011114" w:rsidRPr="00A41DFF">
        <w:rPr>
          <w:lang w:val="en-GB"/>
        </w:rPr>
        <w:t xml:space="preserve">. The ERG argued that this </w:t>
      </w:r>
      <w:r w:rsidR="005F30FE">
        <w:rPr>
          <w:lang w:val="en-GB"/>
        </w:rPr>
        <w:t>wa</w:t>
      </w:r>
      <w:r w:rsidR="00011114" w:rsidRPr="00A41DFF">
        <w:rPr>
          <w:lang w:val="en-GB"/>
        </w:rPr>
        <w:t>s counterintuitive because people taking a higher dose would be expected</w:t>
      </w:r>
      <w:r w:rsidR="00011114" w:rsidRPr="00A41DFF">
        <w:rPr>
          <w:rFonts w:cs="Arial"/>
          <w:lang w:val="en-GB"/>
        </w:rPr>
        <w:t xml:space="preserve"> </w:t>
      </w:r>
      <w:r w:rsidR="009D6C72">
        <w:rPr>
          <w:rFonts w:cs="Arial"/>
          <w:lang w:val="en-GB"/>
        </w:rPr>
        <w:t xml:space="preserve">to have more safety and tolerability issues, so would </w:t>
      </w:r>
      <w:r w:rsidR="00011114" w:rsidRPr="00A41DFF">
        <w:rPr>
          <w:rFonts w:cs="Arial"/>
          <w:lang w:val="en-GB"/>
        </w:rPr>
        <w:t>be less likely to maintain the target dose</w:t>
      </w:r>
      <w:r w:rsidR="00CA7A96" w:rsidRPr="00A41DFF">
        <w:rPr>
          <w:rFonts w:cs="Arial"/>
          <w:lang w:val="en-GB"/>
        </w:rPr>
        <w:t>. It</w:t>
      </w:r>
      <w:r w:rsidR="00A97E66" w:rsidRPr="00A41DFF">
        <w:rPr>
          <w:rFonts w:cs="Arial"/>
          <w:lang w:val="en-GB"/>
        </w:rPr>
        <w:t xml:space="preserve"> therefore used the relative dose intensity of 94.9% from TMM1 in its own base case.</w:t>
      </w:r>
      <w:r w:rsidR="00427620" w:rsidRPr="00A41DFF">
        <w:rPr>
          <w:rFonts w:cs="Arial"/>
          <w:lang w:val="en-GB"/>
        </w:rPr>
        <w:t xml:space="preserve"> </w:t>
      </w:r>
      <w:r w:rsidR="00246E17" w:rsidRPr="00A41DFF">
        <w:rPr>
          <w:rFonts w:cs="Arial"/>
          <w:lang w:val="en-GB"/>
        </w:rPr>
        <w:t xml:space="preserve">The ERG also </w:t>
      </w:r>
      <w:r w:rsidR="008E186F" w:rsidRPr="00A41DFF">
        <w:rPr>
          <w:rFonts w:cs="Arial"/>
          <w:lang w:val="en-GB"/>
        </w:rPr>
        <w:t>considered that</w:t>
      </w:r>
      <w:r w:rsidR="00246E17" w:rsidRPr="00A41DFF">
        <w:rPr>
          <w:rFonts w:cs="Arial"/>
          <w:lang w:val="en-GB"/>
        </w:rPr>
        <w:t xml:space="preserve"> the company did not provide enough </w:t>
      </w:r>
      <w:r w:rsidR="008E186F" w:rsidRPr="00A41DFF">
        <w:rPr>
          <w:rFonts w:cs="Arial"/>
          <w:lang w:val="en-GB"/>
        </w:rPr>
        <w:t xml:space="preserve">clear </w:t>
      </w:r>
      <w:r w:rsidR="00246E17" w:rsidRPr="00A41DFF">
        <w:rPr>
          <w:rFonts w:cs="Arial"/>
          <w:lang w:val="en-GB"/>
        </w:rPr>
        <w:t xml:space="preserve">information </w:t>
      </w:r>
      <w:r w:rsidR="008E186F" w:rsidRPr="00A41DFF">
        <w:rPr>
          <w:rFonts w:cs="Arial"/>
          <w:lang w:val="en-GB"/>
        </w:rPr>
        <w:t xml:space="preserve">to allow for its </w:t>
      </w:r>
      <w:r w:rsidR="00CA7A96" w:rsidRPr="00A41DFF">
        <w:rPr>
          <w:rFonts w:cs="Arial"/>
          <w:lang w:val="en-GB"/>
        </w:rPr>
        <w:t>relative dose</w:t>
      </w:r>
      <w:r w:rsidR="00C76D22">
        <w:rPr>
          <w:rFonts w:cs="Arial"/>
          <w:lang w:val="en-GB"/>
        </w:rPr>
        <w:t>-</w:t>
      </w:r>
      <w:r w:rsidR="00CA7A96" w:rsidRPr="00A41DFF">
        <w:rPr>
          <w:rFonts w:cs="Arial"/>
          <w:lang w:val="en-GB"/>
        </w:rPr>
        <w:t>intensity calculation</w:t>
      </w:r>
      <w:r w:rsidR="008E186F" w:rsidRPr="00A41DFF">
        <w:rPr>
          <w:rFonts w:cs="Arial"/>
          <w:lang w:val="en-GB"/>
        </w:rPr>
        <w:t xml:space="preserve"> to be validated. </w:t>
      </w:r>
      <w:r w:rsidR="00246E17" w:rsidRPr="00A41DFF">
        <w:rPr>
          <w:rFonts w:cs="Arial"/>
          <w:lang w:val="en-GB"/>
        </w:rPr>
        <w:t xml:space="preserve">The committee </w:t>
      </w:r>
      <w:r w:rsidR="00A97E66" w:rsidRPr="00A41DFF">
        <w:rPr>
          <w:rFonts w:cs="Arial"/>
          <w:lang w:val="en-GB"/>
        </w:rPr>
        <w:t xml:space="preserve">was </w:t>
      </w:r>
      <w:r w:rsidR="00C76D22">
        <w:rPr>
          <w:rFonts w:cs="Arial"/>
          <w:lang w:val="en-GB"/>
        </w:rPr>
        <w:t>aware</w:t>
      </w:r>
      <w:r w:rsidR="00C76D22" w:rsidRPr="00A41DFF">
        <w:rPr>
          <w:rFonts w:cs="Arial"/>
          <w:lang w:val="en-GB"/>
        </w:rPr>
        <w:t xml:space="preserve"> </w:t>
      </w:r>
      <w:r w:rsidR="00A97E66" w:rsidRPr="00A41DFF">
        <w:rPr>
          <w:rFonts w:cs="Arial"/>
          <w:lang w:val="en-GB"/>
        </w:rPr>
        <w:t>of the higher relative dose</w:t>
      </w:r>
      <w:r w:rsidR="00C76D22">
        <w:rPr>
          <w:rFonts w:cs="Arial"/>
          <w:lang w:val="en-GB"/>
        </w:rPr>
        <w:t>-</w:t>
      </w:r>
      <w:r w:rsidR="00A97E66" w:rsidRPr="00A41DFF">
        <w:rPr>
          <w:rFonts w:cs="Arial"/>
          <w:lang w:val="en-GB"/>
        </w:rPr>
        <w:t>intensity estimate from TMM1 compared with Myeloma</w:t>
      </w:r>
      <w:r w:rsidR="00C76D22">
        <w:rPr>
          <w:rFonts w:cs="Arial"/>
          <w:lang w:val="en-GB"/>
        </w:rPr>
        <w:t> </w:t>
      </w:r>
      <w:r w:rsidR="00A97E66" w:rsidRPr="00A41DFF">
        <w:rPr>
          <w:rFonts w:cs="Arial"/>
          <w:lang w:val="en-GB"/>
        </w:rPr>
        <w:t>XI</w:t>
      </w:r>
      <w:r w:rsidR="00C76D22">
        <w:rPr>
          <w:rFonts w:cs="Arial"/>
          <w:lang w:val="en-GB"/>
        </w:rPr>
        <w:t>. H</w:t>
      </w:r>
      <w:r w:rsidR="00A97E66" w:rsidRPr="00A41DFF">
        <w:rPr>
          <w:rFonts w:cs="Arial"/>
          <w:lang w:val="en-GB"/>
        </w:rPr>
        <w:t>owever</w:t>
      </w:r>
      <w:r w:rsidR="00C76D22">
        <w:rPr>
          <w:rFonts w:cs="Arial"/>
          <w:lang w:val="en-GB"/>
        </w:rPr>
        <w:t>, it</w:t>
      </w:r>
      <w:r w:rsidR="00A97E66" w:rsidRPr="00A41DFF">
        <w:rPr>
          <w:rFonts w:cs="Arial"/>
          <w:lang w:val="en-GB"/>
        </w:rPr>
        <w:t xml:space="preserve"> decided that Myeloma</w:t>
      </w:r>
      <w:r w:rsidR="00C76D22">
        <w:rPr>
          <w:rFonts w:cs="Arial"/>
          <w:lang w:val="en-GB"/>
        </w:rPr>
        <w:t> </w:t>
      </w:r>
      <w:r w:rsidR="00A97E66" w:rsidRPr="00A41DFF">
        <w:rPr>
          <w:rFonts w:cs="Arial"/>
          <w:lang w:val="en-GB"/>
        </w:rPr>
        <w:t xml:space="preserve">XI </w:t>
      </w:r>
      <w:r w:rsidR="00C76D22">
        <w:rPr>
          <w:rFonts w:cs="Arial"/>
          <w:lang w:val="en-GB"/>
        </w:rPr>
        <w:lastRenderedPageBreak/>
        <w:t>wa</w:t>
      </w:r>
      <w:r w:rsidR="00A97E66" w:rsidRPr="00A41DFF">
        <w:rPr>
          <w:rFonts w:cs="Arial"/>
          <w:lang w:val="en-GB"/>
        </w:rPr>
        <w:t xml:space="preserve">s a better source of information because it </w:t>
      </w:r>
      <w:r w:rsidR="00C76D22">
        <w:rPr>
          <w:rFonts w:cs="Arial"/>
          <w:lang w:val="en-GB"/>
        </w:rPr>
        <w:t>wa</w:t>
      </w:r>
      <w:r w:rsidR="00A97E66" w:rsidRPr="00A41DFF">
        <w:rPr>
          <w:rFonts w:cs="Arial"/>
          <w:lang w:val="en-GB"/>
        </w:rPr>
        <w:t>s directly relevant to the decision problem</w:t>
      </w:r>
      <w:r w:rsidR="00CA7A96" w:rsidRPr="00A41DFF">
        <w:rPr>
          <w:rFonts w:cs="Arial"/>
          <w:lang w:val="en-GB"/>
        </w:rPr>
        <w:t xml:space="preserve"> and was based in the UK</w:t>
      </w:r>
      <w:r w:rsidR="00A97E66" w:rsidRPr="00A41DFF">
        <w:rPr>
          <w:rFonts w:cs="Arial"/>
          <w:lang w:val="en-GB"/>
        </w:rPr>
        <w:t>.</w:t>
      </w:r>
      <w:r w:rsidR="00CA7A96" w:rsidRPr="00A41DFF">
        <w:rPr>
          <w:rFonts w:cs="Arial"/>
          <w:lang w:val="en-GB"/>
        </w:rPr>
        <w:t xml:space="preserve"> Conversely, TMM1 </w:t>
      </w:r>
      <w:r w:rsidR="00C76D22">
        <w:rPr>
          <w:rFonts w:cs="Arial"/>
          <w:lang w:val="en-GB"/>
        </w:rPr>
        <w:t>included people with</w:t>
      </w:r>
      <w:r w:rsidR="00CA7A96" w:rsidRPr="00A41DFF">
        <w:rPr>
          <w:rFonts w:cs="Arial"/>
          <w:lang w:val="en-GB"/>
        </w:rPr>
        <w:t xml:space="preserve"> relapsed and refractory multiple myeloma and was international.</w:t>
      </w:r>
      <w:r w:rsidR="00A97E66" w:rsidRPr="00A41DFF">
        <w:rPr>
          <w:rFonts w:cs="Arial"/>
          <w:lang w:val="en-GB"/>
        </w:rPr>
        <w:t xml:space="preserve"> The committee </w:t>
      </w:r>
      <w:r w:rsidR="008B4720">
        <w:rPr>
          <w:rFonts w:cs="Arial"/>
          <w:lang w:val="en-GB"/>
        </w:rPr>
        <w:t xml:space="preserve">concluded that </w:t>
      </w:r>
      <w:r w:rsidR="00F87E56">
        <w:rPr>
          <w:rFonts w:cs="Arial"/>
          <w:lang w:val="en-GB"/>
        </w:rPr>
        <w:t>Myeloma</w:t>
      </w:r>
      <w:r w:rsidR="00C76D22">
        <w:rPr>
          <w:rFonts w:cs="Arial"/>
          <w:lang w:val="en-GB"/>
        </w:rPr>
        <w:t> </w:t>
      </w:r>
      <w:r w:rsidR="00F87E56">
        <w:rPr>
          <w:rFonts w:cs="Arial"/>
          <w:lang w:val="en-GB"/>
        </w:rPr>
        <w:t xml:space="preserve">XI should </w:t>
      </w:r>
      <w:r w:rsidR="00C76D22">
        <w:rPr>
          <w:rFonts w:cs="Arial"/>
          <w:lang w:val="en-GB"/>
        </w:rPr>
        <w:t xml:space="preserve">have been </w:t>
      </w:r>
      <w:r w:rsidR="00F87E56">
        <w:rPr>
          <w:rFonts w:cs="Arial"/>
          <w:lang w:val="en-GB"/>
        </w:rPr>
        <w:t>used to estimate relative dose intensity</w:t>
      </w:r>
      <w:r w:rsidR="00C76D22">
        <w:rPr>
          <w:rFonts w:cs="Arial"/>
          <w:lang w:val="en-GB"/>
        </w:rPr>
        <w:t>. It also concluded</w:t>
      </w:r>
      <w:r w:rsidR="00F87E56">
        <w:rPr>
          <w:rFonts w:cs="Arial"/>
          <w:lang w:val="en-GB"/>
        </w:rPr>
        <w:t xml:space="preserve"> that the company should </w:t>
      </w:r>
      <w:r w:rsidR="00C76D22">
        <w:rPr>
          <w:rFonts w:cs="Arial"/>
          <w:lang w:val="en-GB"/>
        </w:rPr>
        <w:t xml:space="preserve">have </w:t>
      </w:r>
      <w:r w:rsidR="00F87E56">
        <w:rPr>
          <w:rFonts w:cs="Arial"/>
          <w:lang w:val="en-GB"/>
        </w:rPr>
        <w:t>provide</w:t>
      </w:r>
      <w:r w:rsidR="00C76D22">
        <w:rPr>
          <w:rFonts w:cs="Arial"/>
          <w:lang w:val="en-GB"/>
        </w:rPr>
        <w:t>d</w:t>
      </w:r>
      <w:r w:rsidR="00F87E56">
        <w:rPr>
          <w:rFonts w:cs="Arial"/>
          <w:lang w:val="en-GB"/>
        </w:rPr>
        <w:t xml:space="preserve"> </w:t>
      </w:r>
      <w:r w:rsidR="00243A69">
        <w:rPr>
          <w:rFonts w:cs="Arial"/>
          <w:lang w:val="en-GB"/>
        </w:rPr>
        <w:t xml:space="preserve">the </w:t>
      </w:r>
      <w:r w:rsidR="00F87E56">
        <w:rPr>
          <w:rFonts w:cs="Arial"/>
          <w:lang w:val="en-GB"/>
        </w:rPr>
        <w:t>full methods</w:t>
      </w:r>
      <w:r w:rsidR="00243A69">
        <w:rPr>
          <w:rFonts w:cs="Arial"/>
          <w:lang w:val="en-GB"/>
        </w:rPr>
        <w:t xml:space="preserve"> </w:t>
      </w:r>
      <w:r w:rsidR="008B4720">
        <w:rPr>
          <w:rFonts w:cs="Arial"/>
          <w:lang w:val="en-GB"/>
        </w:rPr>
        <w:t xml:space="preserve">it </w:t>
      </w:r>
      <w:r w:rsidR="00243A69">
        <w:rPr>
          <w:rFonts w:cs="Arial"/>
          <w:lang w:val="en-GB"/>
        </w:rPr>
        <w:t xml:space="preserve">used to determine this </w:t>
      </w:r>
      <w:r w:rsidR="00C76D22">
        <w:rPr>
          <w:rFonts w:cs="Arial"/>
          <w:lang w:val="en-GB"/>
        </w:rPr>
        <w:t xml:space="preserve">so that the ERG could </w:t>
      </w:r>
      <w:r w:rsidR="00243A69">
        <w:rPr>
          <w:rFonts w:cs="Arial"/>
          <w:lang w:val="en-GB"/>
        </w:rPr>
        <w:t>validat</w:t>
      </w:r>
      <w:r w:rsidR="00C76D22">
        <w:rPr>
          <w:rFonts w:cs="Arial"/>
          <w:lang w:val="en-GB"/>
        </w:rPr>
        <w:t>e it</w:t>
      </w:r>
      <w:r w:rsidR="00243A69">
        <w:rPr>
          <w:rFonts w:cs="Arial"/>
          <w:lang w:val="en-GB"/>
        </w:rPr>
        <w:t>.</w:t>
      </w:r>
    </w:p>
    <w:p w14:paraId="694C0BC9" w14:textId="642BC4F7" w:rsidR="00B82A82" w:rsidRPr="00A41DFF" w:rsidRDefault="002A5A5F" w:rsidP="00B82A82">
      <w:pPr>
        <w:pStyle w:val="Heading2"/>
      </w:pPr>
      <w:r w:rsidRPr="00A41DFF">
        <w:t>Cost-effectiveness estimate</w:t>
      </w:r>
    </w:p>
    <w:p w14:paraId="43A5CEAF" w14:textId="77777777" w:rsidR="008F6474" w:rsidRPr="00A41DFF" w:rsidRDefault="008F6474" w:rsidP="008F6474">
      <w:pPr>
        <w:pStyle w:val="Heading3"/>
      </w:pPr>
      <w:r w:rsidRPr="00A41DFF">
        <w:t>No analyses reflect the committee’s preferred assumptions</w:t>
      </w:r>
    </w:p>
    <w:p w14:paraId="4AF6D76E" w14:textId="2C59CE08" w:rsidR="008F6474" w:rsidRPr="00A41DFF" w:rsidRDefault="008F6474" w:rsidP="008F6474">
      <w:pPr>
        <w:pStyle w:val="Numberedlevel2text"/>
        <w:numPr>
          <w:ilvl w:val="1"/>
          <w:numId w:val="1"/>
        </w:numPr>
        <w:rPr>
          <w:lang w:val="en-GB"/>
        </w:rPr>
      </w:pPr>
      <w:r w:rsidRPr="00A41DFF">
        <w:rPr>
          <w:lang w:val="en-GB"/>
        </w:rPr>
        <w:t>Because of confidential commercial arrangements for lenalidomide and other treatments in the model, the cost-effectiveness results cannot be reported here. However, none of the company’s nor the ERG’s analyses reflected the committee’s preferences. The committee would have preferred to see:</w:t>
      </w:r>
    </w:p>
    <w:p w14:paraId="2289D42F" w14:textId="7D6B241A" w:rsidR="00C61087" w:rsidRPr="00A41DFF" w:rsidRDefault="00CA5CC9" w:rsidP="00C61087">
      <w:pPr>
        <w:pStyle w:val="Bulletindent1"/>
      </w:pPr>
      <w:bookmarkStart w:id="12" w:name="_Hlk48576845"/>
      <w:r>
        <w:rPr>
          <w:lang w:eastAsia="en-GB"/>
        </w:rPr>
        <w:t>c</w:t>
      </w:r>
      <w:r w:rsidR="00C61087" w:rsidRPr="00A41DFF">
        <w:rPr>
          <w:lang w:eastAsia="en-GB"/>
        </w:rPr>
        <w:t>linical</w:t>
      </w:r>
      <w:r>
        <w:rPr>
          <w:lang w:eastAsia="en-GB"/>
        </w:rPr>
        <w:t>-</w:t>
      </w:r>
      <w:r w:rsidR="00C61087" w:rsidRPr="00A41DFF">
        <w:rPr>
          <w:lang w:eastAsia="en-GB"/>
        </w:rPr>
        <w:t>effectiveness evidence from the CALGB</w:t>
      </w:r>
      <w:r>
        <w:rPr>
          <w:lang w:eastAsia="en-GB"/>
        </w:rPr>
        <w:noBreakHyphen/>
      </w:r>
      <w:r w:rsidR="00C61087" w:rsidRPr="00A41DFF">
        <w:rPr>
          <w:lang w:eastAsia="en-GB"/>
        </w:rPr>
        <w:t xml:space="preserve">100104 and GIMEMA trials of lenalidomide maintenance </w:t>
      </w:r>
      <w:r w:rsidR="00AC22BD">
        <w:rPr>
          <w:lang w:eastAsia="en-GB"/>
        </w:rPr>
        <w:t>treatment</w:t>
      </w:r>
      <w:r w:rsidR="00F72706">
        <w:rPr>
          <w:lang w:eastAsia="en-GB"/>
        </w:rPr>
        <w:t xml:space="preserve"> </w:t>
      </w:r>
      <w:r w:rsidR="00F72706">
        <w:t>(</w:t>
      </w:r>
      <w:r w:rsidR="00F72706" w:rsidRPr="00A41DFF">
        <w:t xml:space="preserve">see </w:t>
      </w:r>
      <w:hyperlink w:anchor="_The_company_should" w:history="1">
        <w:r w:rsidR="00F72706">
          <w:rPr>
            <w:rStyle w:val="Hyperlink"/>
          </w:rPr>
          <w:t>section 3.5</w:t>
        </w:r>
      </w:hyperlink>
      <w:r w:rsidR="00F72706" w:rsidRPr="00A41DFF">
        <w:t>)</w:t>
      </w:r>
    </w:p>
    <w:p w14:paraId="1C9DD476" w14:textId="1E7A5BB7" w:rsidR="00C61087" w:rsidRPr="00A41DFF" w:rsidRDefault="000212FF" w:rsidP="00C61087">
      <w:pPr>
        <w:pStyle w:val="Bulletindent1"/>
      </w:pPr>
      <w:r>
        <w:t>survival estimates in the economic model based on Myeloma</w:t>
      </w:r>
      <w:r w:rsidR="002C7A08">
        <w:t> </w:t>
      </w:r>
      <w:r>
        <w:t>XI data, with CALGB</w:t>
      </w:r>
      <w:r w:rsidR="002C7A08">
        <w:t> </w:t>
      </w:r>
      <w:r>
        <w:t>100104 data</w:t>
      </w:r>
      <w:r w:rsidR="00102FC4">
        <w:t xml:space="preserve"> (adjusted to reflect the Myeloma</w:t>
      </w:r>
      <w:r w:rsidR="002C7A08">
        <w:t> </w:t>
      </w:r>
      <w:r w:rsidR="00102FC4">
        <w:t xml:space="preserve">XI population as </w:t>
      </w:r>
      <w:r w:rsidR="00F0507D">
        <w:t>closely</w:t>
      </w:r>
      <w:r w:rsidR="00102FC4">
        <w:t xml:space="preserve"> as possible</w:t>
      </w:r>
      <w:r w:rsidR="00BA2BEB">
        <w:t>,</w:t>
      </w:r>
      <w:r w:rsidR="00102FC4">
        <w:t xml:space="preserve"> and </w:t>
      </w:r>
      <w:r w:rsidR="00BA2BEB">
        <w:t>condition</w:t>
      </w:r>
      <w:r w:rsidR="008C5505">
        <w:t>al</w:t>
      </w:r>
      <w:r w:rsidR="00102FC4">
        <w:t xml:space="preserve"> on the underlying survival of patients in Myeloma</w:t>
      </w:r>
      <w:r w:rsidR="00F0507D">
        <w:t> </w:t>
      </w:r>
      <w:r w:rsidR="00102FC4">
        <w:t xml:space="preserve">XI) </w:t>
      </w:r>
      <w:r>
        <w:t xml:space="preserve">used to </w:t>
      </w:r>
      <w:r w:rsidR="00F0507D">
        <w:t>help</w:t>
      </w:r>
      <w:r>
        <w:t xml:space="preserve"> longer-term extrapolation</w:t>
      </w:r>
      <w:r w:rsidR="00F72706">
        <w:t xml:space="preserve">, </w:t>
      </w:r>
      <w:r w:rsidR="00F0507D">
        <w:t>with</w:t>
      </w:r>
      <w:r w:rsidR="00F72706">
        <w:t xml:space="preserve"> all methods explained in detail (</w:t>
      </w:r>
      <w:r w:rsidR="00F72706" w:rsidRPr="00A41DFF">
        <w:t xml:space="preserve">see </w:t>
      </w:r>
      <w:hyperlink w:anchor="_Survival_extrapolations_should" w:history="1">
        <w:r w:rsidR="00F72706">
          <w:rPr>
            <w:rStyle w:val="Hyperlink"/>
          </w:rPr>
          <w:t>section 3.9</w:t>
        </w:r>
      </w:hyperlink>
      <w:r w:rsidR="00F72706" w:rsidRPr="00A41DFF">
        <w:t>)</w:t>
      </w:r>
    </w:p>
    <w:p w14:paraId="6DEC6DFC" w14:textId="7490F85E" w:rsidR="00C61087" w:rsidRPr="00A41DFF" w:rsidRDefault="00CA5CC9" w:rsidP="00C61087">
      <w:pPr>
        <w:pStyle w:val="Bulletindent1"/>
      </w:pPr>
      <w:r>
        <w:rPr>
          <w:lang w:eastAsia="en-GB"/>
        </w:rPr>
        <w:t xml:space="preserve">the </w:t>
      </w:r>
      <w:r w:rsidR="00C61087">
        <w:rPr>
          <w:lang w:eastAsia="en-GB"/>
        </w:rPr>
        <w:t>company’s j</w:t>
      </w:r>
      <w:r w:rsidR="00C61087" w:rsidRPr="00A41DFF">
        <w:rPr>
          <w:lang w:eastAsia="en-GB"/>
        </w:rPr>
        <w:t>ustification for using the rank-preserving structural</w:t>
      </w:r>
      <w:r>
        <w:rPr>
          <w:lang w:eastAsia="en-GB"/>
        </w:rPr>
        <w:t>-</w:t>
      </w:r>
      <w:r w:rsidR="00C61087" w:rsidRPr="00A41DFF">
        <w:rPr>
          <w:lang w:eastAsia="en-GB"/>
        </w:rPr>
        <w:t>failure time model over other methods to adjust for treatment switching in CALGB</w:t>
      </w:r>
      <w:r>
        <w:rPr>
          <w:lang w:eastAsia="en-GB"/>
        </w:rPr>
        <w:t> </w:t>
      </w:r>
      <w:r w:rsidR="00C61087" w:rsidRPr="00A41DFF">
        <w:rPr>
          <w:lang w:eastAsia="en-GB"/>
        </w:rPr>
        <w:t>100104</w:t>
      </w:r>
      <w:r w:rsidR="00F72706">
        <w:rPr>
          <w:lang w:eastAsia="en-GB"/>
        </w:rPr>
        <w:t xml:space="preserve"> </w:t>
      </w:r>
      <w:r w:rsidR="00F72706">
        <w:t>(</w:t>
      </w:r>
      <w:r w:rsidR="00F72706" w:rsidRPr="00A41DFF">
        <w:t xml:space="preserve">see </w:t>
      </w:r>
      <w:hyperlink w:anchor="_The_company’s_methods" w:history="1">
        <w:r w:rsidR="00F72706">
          <w:rPr>
            <w:rStyle w:val="Hyperlink"/>
          </w:rPr>
          <w:t>section 3.8</w:t>
        </w:r>
      </w:hyperlink>
      <w:r w:rsidR="00F72706" w:rsidRPr="00A41DFF">
        <w:t>)</w:t>
      </w:r>
    </w:p>
    <w:p w14:paraId="22444274" w14:textId="7653C842" w:rsidR="00C61087" w:rsidRPr="00A41DFF" w:rsidRDefault="00C61087" w:rsidP="00C61087">
      <w:pPr>
        <w:pStyle w:val="Bulletindent1"/>
      </w:pPr>
      <w:r w:rsidRPr="00A41DFF">
        <w:rPr>
          <w:lang w:eastAsia="en-GB"/>
        </w:rPr>
        <w:t>waning of the treatment effect of lenalidomide</w:t>
      </w:r>
      <w:r w:rsidR="00F72706">
        <w:rPr>
          <w:lang w:eastAsia="en-GB"/>
        </w:rPr>
        <w:t xml:space="preserve"> </w:t>
      </w:r>
      <w:r w:rsidR="00F72706">
        <w:t>(</w:t>
      </w:r>
      <w:r w:rsidR="00F72706" w:rsidRPr="00A41DFF">
        <w:t xml:space="preserve">see </w:t>
      </w:r>
      <w:hyperlink w:anchor="_The_treatment_effect" w:history="1">
        <w:r w:rsidR="00F72706">
          <w:rPr>
            <w:rStyle w:val="Hyperlink"/>
          </w:rPr>
          <w:t>section 3.10</w:t>
        </w:r>
      </w:hyperlink>
      <w:r w:rsidR="00F72706" w:rsidRPr="00A41DFF">
        <w:t>)</w:t>
      </w:r>
    </w:p>
    <w:p w14:paraId="2FB610D1" w14:textId="5901281B" w:rsidR="00C61087" w:rsidRPr="00A41DFF" w:rsidRDefault="00C61087" w:rsidP="00C61087">
      <w:pPr>
        <w:pStyle w:val="Bulletindent1"/>
      </w:pPr>
      <w:r w:rsidRPr="00A41DFF">
        <w:rPr>
          <w:lang w:eastAsia="en-GB"/>
        </w:rPr>
        <w:t>5</w:t>
      </w:r>
      <w:r w:rsidR="00AC22BD">
        <w:rPr>
          <w:lang w:eastAsia="en-GB"/>
        </w:rPr>
        <w:t>%</w:t>
      </w:r>
      <w:r w:rsidR="00FA7352">
        <w:rPr>
          <w:lang w:eastAsia="en-GB"/>
        </w:rPr>
        <w:t> </w:t>
      </w:r>
      <w:r w:rsidRPr="00A41DFF">
        <w:rPr>
          <w:lang w:eastAsia="en-GB"/>
        </w:rPr>
        <w:t>to 10%</w:t>
      </w:r>
      <w:r w:rsidR="00FA7352">
        <w:rPr>
          <w:lang w:eastAsia="en-GB"/>
        </w:rPr>
        <w:t> </w:t>
      </w:r>
      <w:r w:rsidRPr="00A41DFF">
        <w:rPr>
          <w:lang w:eastAsia="en-GB"/>
        </w:rPr>
        <w:t xml:space="preserve">of people </w:t>
      </w:r>
      <w:r w:rsidR="00AC22BD">
        <w:rPr>
          <w:lang w:eastAsia="en-GB"/>
        </w:rPr>
        <w:t>having</w:t>
      </w:r>
      <w:r w:rsidR="00AC22BD" w:rsidRPr="00A41DFF">
        <w:rPr>
          <w:lang w:eastAsia="en-GB"/>
        </w:rPr>
        <w:t xml:space="preserve"> </w:t>
      </w:r>
      <w:r w:rsidRPr="00A41DFF">
        <w:rPr>
          <w:lang w:eastAsia="en-GB"/>
        </w:rPr>
        <w:t xml:space="preserve">a second </w:t>
      </w:r>
      <w:r w:rsidR="00CA5CC9">
        <w:rPr>
          <w:lang w:eastAsia="en-GB"/>
        </w:rPr>
        <w:t xml:space="preserve">autologous </w:t>
      </w:r>
      <w:r w:rsidRPr="00A41DFF">
        <w:rPr>
          <w:lang w:eastAsia="en-GB"/>
        </w:rPr>
        <w:t>stem cell transplant</w:t>
      </w:r>
      <w:r w:rsidR="00FA7352">
        <w:rPr>
          <w:lang w:eastAsia="en-GB"/>
        </w:rPr>
        <w:t>,</w:t>
      </w:r>
      <w:r>
        <w:rPr>
          <w:lang w:eastAsia="en-GB"/>
        </w:rPr>
        <w:t xml:space="preserve"> and a range of assumptions for the proportions of people </w:t>
      </w:r>
      <w:r w:rsidR="00AC22BD">
        <w:rPr>
          <w:lang w:eastAsia="en-GB"/>
        </w:rPr>
        <w:t xml:space="preserve">having </w:t>
      </w:r>
      <w:r>
        <w:rPr>
          <w:lang w:eastAsia="en-GB"/>
        </w:rPr>
        <w:t>other subsequent therapies</w:t>
      </w:r>
      <w:r w:rsidRPr="00C61087">
        <w:rPr>
          <w:lang w:eastAsia="en-GB"/>
        </w:rPr>
        <w:t xml:space="preserve"> </w:t>
      </w:r>
      <w:r>
        <w:rPr>
          <w:lang w:eastAsia="en-GB"/>
        </w:rPr>
        <w:t>f</w:t>
      </w:r>
      <w:r w:rsidRPr="00A41DFF">
        <w:rPr>
          <w:lang w:eastAsia="en-GB"/>
        </w:rPr>
        <w:t>or the purposes of estimating subsequent treatment costs in the model</w:t>
      </w:r>
      <w:r w:rsidR="00F72706">
        <w:rPr>
          <w:lang w:eastAsia="en-GB"/>
        </w:rPr>
        <w:t xml:space="preserve"> </w:t>
      </w:r>
      <w:r w:rsidR="00F72706">
        <w:t>(</w:t>
      </w:r>
      <w:r w:rsidR="00F72706" w:rsidRPr="00A41DFF">
        <w:t xml:space="preserve">see </w:t>
      </w:r>
      <w:hyperlink w:anchor="_Costs_of_subsequent" w:history="1">
        <w:r w:rsidR="00F72706">
          <w:rPr>
            <w:rStyle w:val="Hyperlink"/>
          </w:rPr>
          <w:t>section 3.11</w:t>
        </w:r>
      </w:hyperlink>
      <w:r w:rsidR="00F72706" w:rsidRPr="00A41DFF">
        <w:t>)</w:t>
      </w:r>
    </w:p>
    <w:p w14:paraId="76AFF000" w14:textId="3835FB1B" w:rsidR="00C61087" w:rsidRDefault="00C61087" w:rsidP="00C61087">
      <w:pPr>
        <w:pStyle w:val="Bulletindent1"/>
      </w:pPr>
      <w:r w:rsidRPr="00A41DFF">
        <w:rPr>
          <w:lang w:eastAsia="en-GB"/>
        </w:rPr>
        <w:lastRenderedPageBreak/>
        <w:t xml:space="preserve">detailed methods </w:t>
      </w:r>
      <w:r>
        <w:rPr>
          <w:lang w:eastAsia="en-GB"/>
        </w:rPr>
        <w:t xml:space="preserve">for </w:t>
      </w:r>
      <w:r w:rsidRPr="00A41DFF">
        <w:rPr>
          <w:lang w:eastAsia="en-GB"/>
        </w:rPr>
        <w:t>how the relative dose intensity was calculated using Myeloma</w:t>
      </w:r>
      <w:r w:rsidR="00CA5CC9">
        <w:rPr>
          <w:lang w:eastAsia="en-GB"/>
        </w:rPr>
        <w:t> </w:t>
      </w:r>
      <w:r w:rsidRPr="00A41DFF">
        <w:rPr>
          <w:lang w:eastAsia="en-GB"/>
        </w:rPr>
        <w:t>XI data</w:t>
      </w:r>
      <w:r w:rsidR="00F72706">
        <w:rPr>
          <w:lang w:eastAsia="en-GB"/>
        </w:rPr>
        <w:t xml:space="preserve"> </w:t>
      </w:r>
      <w:r w:rsidR="00F72706">
        <w:t>(</w:t>
      </w:r>
      <w:r w:rsidR="00F72706" w:rsidRPr="00A41DFF">
        <w:t xml:space="preserve">see </w:t>
      </w:r>
      <w:hyperlink w:anchor="_Myeloma_XI_trial" w:history="1">
        <w:r w:rsidR="00F72706">
          <w:rPr>
            <w:rStyle w:val="Hyperlink"/>
          </w:rPr>
          <w:t>section 3.12</w:t>
        </w:r>
      </w:hyperlink>
      <w:r w:rsidR="00F72706" w:rsidRPr="00A41DFF">
        <w:t>)</w:t>
      </w:r>
    </w:p>
    <w:p w14:paraId="5697142E" w14:textId="4357929D" w:rsidR="00C61087" w:rsidRPr="00A41DFF" w:rsidRDefault="00C61087" w:rsidP="007A7D2A">
      <w:pPr>
        <w:pStyle w:val="Bulletindent1last"/>
      </w:pPr>
      <w:r>
        <w:rPr>
          <w:lang w:eastAsia="en-GB"/>
        </w:rPr>
        <w:t>a model scenario reflecting a 1</w:t>
      </w:r>
      <w:r w:rsidR="00AC22BD">
        <w:rPr>
          <w:lang w:eastAsia="en-GB"/>
        </w:rPr>
        <w:noBreakHyphen/>
        <w:t>day</w:t>
      </w:r>
      <w:r>
        <w:rPr>
          <w:lang w:eastAsia="en-GB"/>
        </w:rPr>
        <w:t xml:space="preserve"> to 28</w:t>
      </w:r>
      <w:r w:rsidR="00AC22BD">
        <w:rPr>
          <w:lang w:eastAsia="en-GB"/>
        </w:rPr>
        <w:noBreakHyphen/>
      </w:r>
      <w:r>
        <w:rPr>
          <w:lang w:eastAsia="en-GB"/>
        </w:rPr>
        <w:t>day lenalidomide treatment regimen</w:t>
      </w:r>
      <w:r w:rsidR="00F72706">
        <w:rPr>
          <w:lang w:eastAsia="en-GB"/>
        </w:rPr>
        <w:t xml:space="preserve"> </w:t>
      </w:r>
      <w:r w:rsidR="00F72706">
        <w:t>(</w:t>
      </w:r>
      <w:r w:rsidR="00F72706" w:rsidRPr="00A41DFF">
        <w:t xml:space="preserve">see </w:t>
      </w:r>
      <w:hyperlink w:anchor="_The_dosing_schedule" w:history="1">
        <w:r w:rsidR="00F72706">
          <w:rPr>
            <w:rStyle w:val="Hyperlink"/>
          </w:rPr>
          <w:t>section 3.3</w:t>
        </w:r>
      </w:hyperlink>
      <w:r w:rsidR="00F72706" w:rsidRPr="00A41DFF">
        <w:t>)</w:t>
      </w:r>
      <w:r w:rsidR="00CA5CC9">
        <w:rPr>
          <w:lang w:eastAsia="en-GB"/>
        </w:rPr>
        <w:t>.</w:t>
      </w:r>
    </w:p>
    <w:bookmarkEnd w:id="12"/>
    <w:p w14:paraId="532FBA9D" w14:textId="77777777" w:rsidR="002F50EA" w:rsidRDefault="005D7FC8" w:rsidP="007A7D2A">
      <w:pPr>
        <w:pStyle w:val="Heading2"/>
      </w:pPr>
      <w:r w:rsidRPr="00A41DFF">
        <w:t>Other factors</w:t>
      </w:r>
    </w:p>
    <w:p w14:paraId="27667B47" w14:textId="290153D3" w:rsidR="00AC22BD" w:rsidRPr="005B7CA8" w:rsidRDefault="002F50EA" w:rsidP="007A7D2A">
      <w:pPr>
        <w:pStyle w:val="Heading3"/>
      </w:pPr>
      <w:r>
        <w:t xml:space="preserve">There is </w:t>
      </w:r>
      <w:r w:rsidR="00AC22BD" w:rsidRPr="002F50EA">
        <w:t xml:space="preserve">no evidence to suggest </w:t>
      </w:r>
      <w:r>
        <w:t xml:space="preserve">any </w:t>
      </w:r>
      <w:r w:rsidR="00AC22BD" w:rsidRPr="002F50EA">
        <w:t xml:space="preserve">additional benefits not adequately captured by the </w:t>
      </w:r>
      <w:r w:rsidR="004E0FC0" w:rsidRPr="002F50EA">
        <w:t>quality-adjusted life years</w:t>
      </w:r>
      <w:r w:rsidRPr="002F50EA">
        <w:t xml:space="preserve"> </w:t>
      </w:r>
      <w:r>
        <w:t>and no equalities issues</w:t>
      </w:r>
    </w:p>
    <w:p w14:paraId="297EBCCB" w14:textId="5F2FB456" w:rsidR="00643582" w:rsidRDefault="00A54149" w:rsidP="00643582">
      <w:pPr>
        <w:pStyle w:val="Numberedlevel2text"/>
        <w:numPr>
          <w:ilvl w:val="1"/>
          <w:numId w:val="1"/>
        </w:numPr>
        <w:rPr>
          <w:lang w:val="en-GB"/>
        </w:rPr>
      </w:pPr>
      <w:r>
        <w:t xml:space="preserve">The committee was aware that there is currently no active maintenance treatment </w:t>
      </w:r>
      <w:r w:rsidR="00AC22BD">
        <w:t xml:space="preserve">for newly diagnosed multiple myeloma </w:t>
      </w:r>
      <w:r w:rsidR="002F50EA">
        <w:t>in adults</w:t>
      </w:r>
      <w:r w:rsidR="002F50EA" w:rsidRPr="00A41DFF">
        <w:t xml:space="preserve"> </w:t>
      </w:r>
      <w:r w:rsidR="002F50EA">
        <w:t>who have had an</w:t>
      </w:r>
      <w:r w:rsidR="00AC22BD">
        <w:t xml:space="preserve"> autologous stem cell transplant </w:t>
      </w:r>
      <w:r>
        <w:t>in the UK, which represents a gap in NHS practice. However, it saw no evidence to suggest</w:t>
      </w:r>
      <w:r w:rsidR="00427620" w:rsidRPr="00A41DFF">
        <w:t xml:space="preserve"> additional benefits not adequately captured by the </w:t>
      </w:r>
      <w:r w:rsidR="004E0FC0">
        <w:t>quality-adjusted life years</w:t>
      </w:r>
      <w:r w:rsidR="00427620" w:rsidRPr="00A41DFF">
        <w:t>.</w:t>
      </w:r>
      <w:r w:rsidR="002F50EA">
        <w:t xml:space="preserve"> </w:t>
      </w:r>
      <w:r w:rsidR="005D7FC8" w:rsidRPr="00A41DFF">
        <w:rPr>
          <w:lang w:val="en-GB"/>
        </w:rPr>
        <w:t>No equality</w:t>
      </w:r>
      <w:r w:rsidR="00AC22BD">
        <w:rPr>
          <w:lang w:val="en-GB"/>
        </w:rPr>
        <w:t xml:space="preserve"> or </w:t>
      </w:r>
      <w:r w:rsidR="005D7FC8" w:rsidRPr="00A41DFF">
        <w:rPr>
          <w:lang w:val="en-GB"/>
        </w:rPr>
        <w:t>social value judgement issues were identified.</w:t>
      </w:r>
    </w:p>
    <w:p w14:paraId="4FB609FB" w14:textId="1E372B79" w:rsidR="002F50EA" w:rsidRDefault="002F50EA" w:rsidP="007A7D2A">
      <w:pPr>
        <w:pStyle w:val="Heading2"/>
      </w:pPr>
      <w:r>
        <w:t>Conclusion</w:t>
      </w:r>
    </w:p>
    <w:p w14:paraId="2350DECA" w14:textId="2D472988" w:rsidR="002F50EA" w:rsidRDefault="002F50EA" w:rsidP="007A7D2A">
      <w:pPr>
        <w:pStyle w:val="Heading3"/>
        <w:rPr>
          <w:lang w:eastAsia="en-GB"/>
        </w:rPr>
      </w:pPr>
      <w:r>
        <w:t>Lenalidomide</w:t>
      </w:r>
      <w:r w:rsidR="00CB563B">
        <w:t xml:space="preserve"> maintenance treatment</w:t>
      </w:r>
      <w:r>
        <w:t xml:space="preserve"> is not recommended for routine use in the NHS</w:t>
      </w:r>
    </w:p>
    <w:p w14:paraId="458B7063" w14:textId="5425063C" w:rsidR="002F50EA" w:rsidRPr="00FA7352" w:rsidRDefault="00FA7352" w:rsidP="00BA63C8">
      <w:pPr>
        <w:pStyle w:val="Numberedlevel2text"/>
      </w:pPr>
      <w:r>
        <w:t>T</w:t>
      </w:r>
      <w:r w:rsidRPr="00FA7352">
        <w:t>he clinical trial results show</w:t>
      </w:r>
      <w:r>
        <w:rPr>
          <w:lang w:val="en-GB"/>
        </w:rPr>
        <w:t>ed</w:t>
      </w:r>
      <w:r w:rsidRPr="00FA7352">
        <w:t xml:space="preserve"> that</w:t>
      </w:r>
      <w:r>
        <w:t xml:space="preserve"> </w:t>
      </w:r>
      <w:r w:rsidRPr="00FA7352">
        <w:t xml:space="preserve">lenalidomide </w:t>
      </w:r>
      <w:r>
        <w:t xml:space="preserve">maintenance treatment </w:t>
      </w:r>
      <w:r w:rsidRPr="00A41DFF">
        <w:t xml:space="preserve">improves survival and extends the time before first relapse compared with </w:t>
      </w:r>
      <w:r w:rsidR="003D31B4">
        <w:rPr>
          <w:lang w:val="en-US"/>
        </w:rPr>
        <w:t>monitoring</w:t>
      </w:r>
      <w:r w:rsidRPr="00A41DFF">
        <w:t xml:space="preserve"> alone</w:t>
      </w:r>
      <w:r>
        <w:t xml:space="preserve"> in people with newly diagnosed multiple myeloma who have had an autologous stem cell transplant</w:t>
      </w:r>
      <w:r w:rsidRPr="00FA7352">
        <w:rPr>
          <w:lang w:val="en-GB"/>
        </w:rPr>
        <w:t xml:space="preserve">. </w:t>
      </w:r>
      <w:r>
        <w:rPr>
          <w:lang w:val="en-GB"/>
        </w:rPr>
        <w:t>However, the</w:t>
      </w:r>
      <w:r w:rsidRPr="00FA7352">
        <w:rPr>
          <w:lang w:val="en-GB"/>
        </w:rPr>
        <w:t xml:space="preserve"> costs and effects of subsequent treatments in the lenalidomide clinical trials d</w:t>
      </w:r>
      <w:r>
        <w:rPr>
          <w:lang w:val="en-GB"/>
        </w:rPr>
        <w:t>id</w:t>
      </w:r>
      <w:r w:rsidRPr="00FA7352">
        <w:rPr>
          <w:lang w:val="en-GB"/>
        </w:rPr>
        <w:t xml:space="preserve"> not reflect NHS clinical practice in England. </w:t>
      </w:r>
      <w:r w:rsidR="00BA63C8">
        <w:rPr>
          <w:lang w:val="en-GB"/>
        </w:rPr>
        <w:t>Also, t</w:t>
      </w:r>
      <w:r w:rsidRPr="00FA7352">
        <w:rPr>
          <w:lang w:val="en-GB"/>
        </w:rPr>
        <w:t xml:space="preserve">he cost-effectiveness estimates </w:t>
      </w:r>
      <w:r>
        <w:rPr>
          <w:lang w:val="en-GB"/>
        </w:rPr>
        <w:t>we</w:t>
      </w:r>
      <w:r w:rsidRPr="00FA7352">
        <w:rPr>
          <w:lang w:val="en-GB"/>
        </w:rPr>
        <w:t>re uncertain because the company did not present some of its methods in enough detail to be adequately scrutinised</w:t>
      </w:r>
      <w:r>
        <w:rPr>
          <w:lang w:val="en-GB"/>
        </w:rPr>
        <w:t xml:space="preserve">. </w:t>
      </w:r>
      <w:r w:rsidR="00BA63C8">
        <w:rPr>
          <w:lang w:val="en-GB"/>
        </w:rPr>
        <w:t>In addition,</w:t>
      </w:r>
      <w:r w:rsidRPr="00FA7352">
        <w:rPr>
          <w:lang w:val="en-GB"/>
        </w:rPr>
        <w:t xml:space="preserve"> none of the </w:t>
      </w:r>
      <w:r w:rsidR="00CB563B">
        <w:rPr>
          <w:lang w:val="en-GB"/>
        </w:rPr>
        <w:t xml:space="preserve">company’s </w:t>
      </w:r>
      <w:r w:rsidRPr="00FA7352">
        <w:rPr>
          <w:lang w:val="en-GB"/>
        </w:rPr>
        <w:t>analyses reflect</w:t>
      </w:r>
      <w:r w:rsidR="00BA63C8">
        <w:rPr>
          <w:lang w:val="en-GB"/>
        </w:rPr>
        <w:t>ed</w:t>
      </w:r>
      <w:r w:rsidRPr="00FA7352">
        <w:rPr>
          <w:lang w:val="en-GB"/>
        </w:rPr>
        <w:t xml:space="preserve"> the committee’s preferred assumptions</w:t>
      </w:r>
      <w:r w:rsidR="00BA63C8">
        <w:rPr>
          <w:lang w:val="en-GB"/>
        </w:rPr>
        <w:t xml:space="preserve">. Therefore, the committee did not recommend </w:t>
      </w:r>
      <w:r w:rsidRPr="00FA7352">
        <w:t>lenalidomide</w:t>
      </w:r>
      <w:r w:rsidR="00BA63C8">
        <w:rPr>
          <w:lang w:val="en-GB"/>
        </w:rPr>
        <w:t xml:space="preserve"> maintenance treatment </w:t>
      </w:r>
      <w:r w:rsidR="00CB563B" w:rsidRPr="00FA7352">
        <w:t>for</w:t>
      </w:r>
      <w:r w:rsidR="00CB563B">
        <w:rPr>
          <w:lang w:val="en-GB"/>
        </w:rPr>
        <w:t xml:space="preserve"> routine</w:t>
      </w:r>
      <w:r w:rsidR="00CB563B" w:rsidRPr="00FA7352">
        <w:t xml:space="preserve"> use in the NHS</w:t>
      </w:r>
      <w:r w:rsidR="00CB563B">
        <w:rPr>
          <w:lang w:val="en-GB"/>
        </w:rPr>
        <w:t xml:space="preserve"> </w:t>
      </w:r>
      <w:r w:rsidR="00BA63C8">
        <w:rPr>
          <w:lang w:val="en-GB"/>
        </w:rPr>
        <w:t>for newly diagnosed multiple myeloma in adults who have had an autologous stem cell transplant</w:t>
      </w:r>
      <w:r w:rsidRPr="00FA7352">
        <w:t>.</w:t>
      </w:r>
    </w:p>
    <w:p w14:paraId="03D36DAE" w14:textId="77777777" w:rsidR="000F48EC" w:rsidRPr="00A41DFF" w:rsidRDefault="007A2801" w:rsidP="002E73E7">
      <w:pPr>
        <w:pStyle w:val="Numberedheading1"/>
      </w:pPr>
      <w:r w:rsidRPr="00A41DFF">
        <w:lastRenderedPageBreak/>
        <w:t xml:space="preserve">Proposed date for </w:t>
      </w:r>
      <w:r w:rsidR="00000441" w:rsidRPr="00A41DFF">
        <w:t>r</w:t>
      </w:r>
      <w:r w:rsidR="000F48EC" w:rsidRPr="00A41DFF">
        <w:t>eview of guidance</w:t>
      </w:r>
    </w:p>
    <w:p w14:paraId="61235D84" w14:textId="2DCB5CF1" w:rsidR="001823EB" w:rsidRPr="00A41DFF" w:rsidRDefault="001823EB" w:rsidP="001823EB">
      <w:pPr>
        <w:pStyle w:val="Numberedlevel2text"/>
        <w:rPr>
          <w:lang w:val="en-GB"/>
        </w:rPr>
      </w:pPr>
      <w:r w:rsidRPr="00A41DFF">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7235BF1A" w14:textId="1BB6B610" w:rsidR="004845D0" w:rsidRPr="00A41DFF" w:rsidRDefault="0020575C" w:rsidP="0020575C">
      <w:pPr>
        <w:pStyle w:val="NICEnormalindented"/>
        <w:ind w:left="0"/>
      </w:pPr>
      <w:r w:rsidRPr="00A41DFF">
        <w:t>Sanjeev Patel</w:t>
      </w:r>
      <w:r w:rsidR="004845D0" w:rsidRPr="00A41DFF">
        <w:br/>
        <w:t xml:space="preserve">Chair, </w:t>
      </w:r>
      <w:r w:rsidR="003847B9" w:rsidRPr="00A41DFF">
        <w:t>a</w:t>
      </w:r>
      <w:r w:rsidR="004845D0" w:rsidRPr="00A41DFF">
        <w:t xml:space="preserve">ppraisal </w:t>
      </w:r>
      <w:r w:rsidR="003847B9" w:rsidRPr="00A41DFF">
        <w:t>c</w:t>
      </w:r>
      <w:r w:rsidR="004845D0" w:rsidRPr="00A41DFF">
        <w:t>ommittee</w:t>
      </w:r>
      <w:r w:rsidR="004845D0" w:rsidRPr="00A41DFF">
        <w:br/>
      </w:r>
      <w:r w:rsidR="008241FC">
        <w:t>August 2020</w:t>
      </w:r>
    </w:p>
    <w:p w14:paraId="12F13E76" w14:textId="77777777" w:rsidR="00B16431" w:rsidRPr="00A41DFF" w:rsidRDefault="00B16431" w:rsidP="00B16431">
      <w:pPr>
        <w:pStyle w:val="Numberedheading1"/>
        <w:numPr>
          <w:ilvl w:val="0"/>
          <w:numId w:val="1"/>
        </w:numPr>
      </w:pPr>
      <w:r w:rsidRPr="00A41DFF">
        <w:t xml:space="preserve">Appraisal </w:t>
      </w:r>
      <w:r w:rsidR="00343B53" w:rsidRPr="00A41DFF">
        <w:t>c</w:t>
      </w:r>
      <w:r w:rsidRPr="00A41DFF">
        <w:t>ommittee members and NICE project team</w:t>
      </w:r>
    </w:p>
    <w:p w14:paraId="4BF5EBA4" w14:textId="77777777" w:rsidR="00B16431" w:rsidRPr="00A41DFF" w:rsidRDefault="00B16431" w:rsidP="00B16431">
      <w:pPr>
        <w:pStyle w:val="Heading2"/>
      </w:pPr>
      <w:r w:rsidRPr="00A41DFF">
        <w:t xml:space="preserve">Appraisal </w:t>
      </w:r>
      <w:r w:rsidR="00343B53" w:rsidRPr="00A41DFF">
        <w:t>c</w:t>
      </w:r>
      <w:r w:rsidRPr="00A41DFF">
        <w:t>ommittee members</w:t>
      </w:r>
    </w:p>
    <w:p w14:paraId="345DC3F4" w14:textId="5F802392" w:rsidR="002F2583" w:rsidRPr="00A41DFF" w:rsidRDefault="002F2583" w:rsidP="002F2583">
      <w:pPr>
        <w:pStyle w:val="NICEnormal"/>
        <w:rPr>
          <w:rFonts w:eastAsia="Calibri"/>
        </w:rPr>
      </w:pPr>
      <w:r w:rsidRPr="00A41DFF">
        <w:t>The 4</w:t>
      </w:r>
      <w:r w:rsidR="00AC22BD">
        <w:t> </w:t>
      </w:r>
      <w:r w:rsidRPr="00A41DFF">
        <w:t xml:space="preserve">technology appraisal committees are standing advisory committees of NICE. This topic was considered by </w:t>
      </w:r>
      <w:hyperlink r:id="rId11" w:history="1">
        <w:r w:rsidR="005D7FC8" w:rsidRPr="00A41DFF">
          <w:rPr>
            <w:rStyle w:val="Hyperlink"/>
            <w:rFonts w:eastAsia="Calibri"/>
          </w:rPr>
          <w:t>committee B</w:t>
        </w:r>
      </w:hyperlink>
      <w:r w:rsidRPr="00A41DFF">
        <w:t>.</w:t>
      </w:r>
    </w:p>
    <w:p w14:paraId="0C332529" w14:textId="628BF092" w:rsidR="002F2583" w:rsidRPr="00A41DFF" w:rsidRDefault="002F2583" w:rsidP="002F2583">
      <w:pPr>
        <w:pStyle w:val="NICEnormal"/>
      </w:pPr>
      <w:r w:rsidRPr="00A41DFF">
        <w:t>Committee members are asked to declare any interests in the technology to be appraised. If it is considered there is a conflict of interest, the member is excluded from participating further in that appraisal.</w:t>
      </w:r>
    </w:p>
    <w:p w14:paraId="21254E3E" w14:textId="77777777" w:rsidR="002F2583" w:rsidRPr="00A41DFF" w:rsidRDefault="002F2583" w:rsidP="002F2583">
      <w:pPr>
        <w:pStyle w:val="NICEnormal"/>
      </w:pPr>
      <w:r w:rsidRPr="00A41DFF">
        <w:t xml:space="preserve">The </w:t>
      </w:r>
      <w:hyperlink r:id="rId12" w:history="1">
        <w:r w:rsidRPr="00A41DFF">
          <w:rPr>
            <w:rStyle w:val="Hyperlink"/>
            <w:rFonts w:eastAsia="Calibri"/>
          </w:rPr>
          <w:t>minutes</w:t>
        </w:r>
        <w:r w:rsidRPr="00A41DFF">
          <w:rPr>
            <w:rStyle w:val="Hyperlink"/>
          </w:rPr>
          <w:t xml:space="preserve"> of each appraisal committee meeting</w:t>
        </w:r>
      </w:hyperlink>
      <w:r w:rsidRPr="00A41DFF">
        <w:t>, which include the names of the members who attended and their declarations of interests, are posted on the NICE website.</w:t>
      </w:r>
    </w:p>
    <w:p w14:paraId="22811D51" w14:textId="77777777" w:rsidR="00B16431" w:rsidRPr="00A41DFF" w:rsidRDefault="00B16431" w:rsidP="00B16431">
      <w:pPr>
        <w:pStyle w:val="Heading2"/>
      </w:pPr>
      <w:r w:rsidRPr="00A41DFF">
        <w:t>NICE project team</w:t>
      </w:r>
    </w:p>
    <w:p w14:paraId="4E4E82BE" w14:textId="040A7AE2" w:rsidR="00B16431" w:rsidRPr="00A41DFF" w:rsidRDefault="00B16431" w:rsidP="00B16431">
      <w:pPr>
        <w:pStyle w:val="NICEnormal"/>
      </w:pPr>
      <w:r w:rsidRPr="00A41DFF">
        <w:t>Each technology appraisal is assigned to a team consisting of 1</w:t>
      </w:r>
      <w:r w:rsidR="00AC22BD">
        <w:t> </w:t>
      </w:r>
      <w:r w:rsidRPr="00A41DFF">
        <w:t>or more health technology analysts (who act as technical leads for the appraisal), a technical adviser and a project manager.</w:t>
      </w:r>
    </w:p>
    <w:p w14:paraId="34FA9674" w14:textId="1D5A82D1" w:rsidR="00B16431" w:rsidRPr="00A41DFF" w:rsidRDefault="00D928E6" w:rsidP="00B16431">
      <w:pPr>
        <w:pStyle w:val="NICEnormal"/>
      </w:pPr>
      <w:bookmarkStart w:id="13" w:name="Text45"/>
      <w:r w:rsidRPr="00A41DFF">
        <w:rPr>
          <w:b/>
        </w:rPr>
        <w:lastRenderedPageBreak/>
        <w:t>Hannah Nicholas</w:t>
      </w:r>
      <w:r w:rsidR="00B16431" w:rsidRPr="00A41DFF">
        <w:br/>
        <w:t xml:space="preserve">Technical </w:t>
      </w:r>
      <w:r w:rsidR="00E65C76" w:rsidRPr="00A41DFF">
        <w:t>l</w:t>
      </w:r>
      <w:r w:rsidR="00B16431" w:rsidRPr="00A41DFF">
        <w:t>ead</w:t>
      </w:r>
    </w:p>
    <w:p w14:paraId="0C6ABB68" w14:textId="0B38BB69" w:rsidR="00B16431" w:rsidRPr="00A41DFF" w:rsidRDefault="00D928E6" w:rsidP="00B16431">
      <w:pPr>
        <w:pStyle w:val="NICEnormal"/>
      </w:pPr>
      <w:r w:rsidRPr="00A41DFF">
        <w:rPr>
          <w:b/>
        </w:rPr>
        <w:t>Carl Prescott</w:t>
      </w:r>
      <w:r w:rsidR="00B16431" w:rsidRPr="00A41DFF">
        <w:br/>
        <w:t xml:space="preserve">Technical </w:t>
      </w:r>
      <w:r w:rsidR="00E65C76" w:rsidRPr="00A41DFF">
        <w:t>a</w:t>
      </w:r>
      <w:r w:rsidR="00B16431" w:rsidRPr="00A41DFF">
        <w:t>dviser</w:t>
      </w:r>
    </w:p>
    <w:p w14:paraId="7FF926EA" w14:textId="6E8F91B8" w:rsidR="00D928E6" w:rsidRPr="00A41DFF" w:rsidRDefault="00D928E6" w:rsidP="00D928E6">
      <w:pPr>
        <w:pStyle w:val="NICEnormal"/>
      </w:pPr>
      <w:r w:rsidRPr="00A41DFF">
        <w:rPr>
          <w:b/>
        </w:rPr>
        <w:t>Eleanor Donegan</w:t>
      </w:r>
      <w:r w:rsidRPr="00A41DFF">
        <w:br/>
        <w:t>Technical adviser</w:t>
      </w:r>
    </w:p>
    <w:p w14:paraId="75A44165" w14:textId="60030683" w:rsidR="00B16431" w:rsidRPr="00A41DFF" w:rsidRDefault="00D928E6" w:rsidP="005D3FD9">
      <w:pPr>
        <w:pStyle w:val="NICEnormal"/>
      </w:pPr>
      <w:r w:rsidRPr="00A41DFF">
        <w:rPr>
          <w:b/>
        </w:rPr>
        <w:t>Jeremy Powell</w:t>
      </w:r>
      <w:r w:rsidR="00B16431" w:rsidRPr="00A41DFF">
        <w:br/>
        <w:t xml:space="preserve">Project </w:t>
      </w:r>
      <w:r w:rsidR="00E65C76" w:rsidRPr="00A41DFF">
        <w:t>m</w:t>
      </w:r>
      <w:r w:rsidR="00B16431" w:rsidRPr="00A41DFF">
        <w:t>anager</w:t>
      </w:r>
      <w:bookmarkEnd w:id="13"/>
    </w:p>
    <w:p w14:paraId="396DBDDF" w14:textId="77777777" w:rsidR="006E7647" w:rsidRPr="00A41DFF" w:rsidRDefault="006E7647" w:rsidP="00F05E37">
      <w:pPr>
        <w:pStyle w:val="NICEnormal"/>
      </w:pPr>
      <w:r w:rsidRPr="00A41DFF">
        <w:t xml:space="preserve">ISBN: </w:t>
      </w:r>
      <w:r w:rsidRPr="00A41DFF">
        <w:rPr>
          <w:highlight w:val="green"/>
        </w:rPr>
        <w:t>[to be added at publication]</w:t>
      </w:r>
      <w:bookmarkEnd w:id="0"/>
    </w:p>
    <w:sectPr w:rsidR="006E7647" w:rsidRPr="00A41DFF" w:rsidSect="00C76DDA">
      <w:headerReference w:type="default" r:id="rId13"/>
      <w:footerReference w:type="defaul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F857D" w14:textId="77777777" w:rsidR="00EF2527" w:rsidRDefault="00EF2527">
      <w:r>
        <w:separator/>
      </w:r>
    </w:p>
  </w:endnote>
  <w:endnote w:type="continuationSeparator" w:id="0">
    <w:p w14:paraId="01B5004B" w14:textId="77777777" w:rsidR="00EF2527" w:rsidRDefault="00EF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25341" w14:textId="1403BD35" w:rsidR="00EF2527" w:rsidRPr="003D33FB" w:rsidRDefault="00EF2527" w:rsidP="007A7EC8">
    <w:pPr>
      <w:pStyle w:val="NICEnormalsinglespacing"/>
      <w:spacing w:after="120"/>
      <w:rPr>
        <w:sz w:val="18"/>
        <w:szCs w:val="18"/>
      </w:rPr>
    </w:pPr>
    <w:r w:rsidRPr="00313894">
      <w:rPr>
        <w:sz w:val="18"/>
        <w:szCs w:val="18"/>
      </w:rPr>
      <w:t>Appraisal consultation document – Lenalidomide</w:t>
    </w:r>
    <w:r w:rsidRPr="00D928E6">
      <w:rPr>
        <w:sz w:val="18"/>
        <w:szCs w:val="18"/>
      </w:rPr>
      <w:t xml:space="preserve"> maintenance treatment after </w:t>
    </w:r>
    <w:r>
      <w:rPr>
        <w:sz w:val="18"/>
        <w:szCs w:val="18"/>
      </w:rPr>
      <w:t xml:space="preserve">an </w:t>
    </w:r>
    <w:r w:rsidRPr="00D928E6">
      <w:rPr>
        <w:sz w:val="18"/>
        <w:szCs w:val="18"/>
      </w:rPr>
      <w:t>autologous stem cell transplant</w:t>
    </w:r>
    <w:r>
      <w:rPr>
        <w:sz w:val="18"/>
        <w:szCs w:val="18"/>
      </w:rPr>
      <w:t xml:space="preserve"> for</w:t>
    </w:r>
    <w:r w:rsidRPr="00D928E6">
      <w:rPr>
        <w:sz w:val="18"/>
        <w:szCs w:val="18"/>
      </w:rPr>
      <w:t xml:space="preserve"> newly diagnosed multiple myeloma</w:t>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6E50BBD4" w14:textId="7F0EB302" w:rsidR="00EF2527" w:rsidRDefault="00EF2527" w:rsidP="007A7EC8">
    <w:pPr>
      <w:pStyle w:val="NICEnormalsinglespacing"/>
      <w:spacing w:after="120"/>
      <w:rPr>
        <w:sz w:val="18"/>
        <w:szCs w:val="18"/>
      </w:rPr>
    </w:pPr>
    <w:r w:rsidRPr="003D33FB">
      <w:rPr>
        <w:sz w:val="18"/>
        <w:szCs w:val="18"/>
      </w:rPr>
      <w:t xml:space="preserve">Issue date: </w:t>
    </w:r>
    <w:r>
      <w:rPr>
        <w:sz w:val="18"/>
        <w:szCs w:val="18"/>
      </w:rPr>
      <w:t>August 2020</w:t>
    </w:r>
  </w:p>
  <w:p w14:paraId="2A429E57" w14:textId="4F96CFB2" w:rsidR="00EF2527" w:rsidRPr="007A7EC8" w:rsidRDefault="00EF2527"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FBBC1" w14:textId="77777777" w:rsidR="00EF2527" w:rsidRDefault="00EF2527">
      <w:r>
        <w:separator/>
      </w:r>
    </w:p>
  </w:footnote>
  <w:footnote w:type="continuationSeparator" w:id="0">
    <w:p w14:paraId="6D06989E" w14:textId="77777777" w:rsidR="00EF2527" w:rsidRDefault="00EF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E8E55" w14:textId="77777777" w:rsidR="00EF2527" w:rsidRPr="004E6427" w:rsidRDefault="00EF2527"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4127"/>
    <w:multiLevelType w:val="hybridMultilevel"/>
    <w:tmpl w:val="61C2B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84245"/>
    <w:multiLevelType w:val="hybridMultilevel"/>
    <w:tmpl w:val="438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35190D"/>
    <w:multiLevelType w:val="singleLevel"/>
    <w:tmpl w:val="B1103AE6"/>
    <w:lvl w:ilvl="0">
      <w:start w:val="1"/>
      <w:numFmt w:val="bullet"/>
      <w:pStyle w:val="listbull"/>
      <w:lvlText w:val=""/>
      <w:lvlJc w:val="left"/>
      <w:pPr>
        <w:tabs>
          <w:tab w:val="num" w:pos="432"/>
        </w:tabs>
        <w:ind w:left="432" w:hanging="432"/>
      </w:pPr>
      <w:rPr>
        <w:rFonts w:ascii="Symbol" w:hAnsi="Symbol" w:cs="Symbol" w:hint="default"/>
        <w:color w:val="auto"/>
      </w:rPr>
    </w:lvl>
  </w:abstractNum>
  <w:abstractNum w:abstractNumId="11" w15:restartNumberingAfterBreak="0">
    <w:nsid w:val="31CD45E9"/>
    <w:multiLevelType w:val="hybridMultilevel"/>
    <w:tmpl w:val="761E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C5363F"/>
    <w:multiLevelType w:val="hybridMultilevel"/>
    <w:tmpl w:val="9184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E5DBE"/>
    <w:multiLevelType w:val="hybridMultilevel"/>
    <w:tmpl w:val="133E9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01EC0"/>
    <w:multiLevelType w:val="singleLevel"/>
    <w:tmpl w:val="71B6C73C"/>
    <w:lvl w:ilvl="0">
      <w:start w:val="1"/>
      <w:numFmt w:val="bullet"/>
      <w:pStyle w:val="listindentbull"/>
      <w:lvlText w:val=""/>
      <w:lvlJc w:val="left"/>
      <w:pPr>
        <w:ind w:left="1080" w:hanging="360"/>
      </w:pPr>
      <w:rPr>
        <w:rFonts w:ascii="Symbol" w:hAnsi="Symbol" w:cs="Symbol" w:hint="default"/>
        <w:color w:val="auto"/>
      </w:rPr>
    </w:lvl>
  </w:abstractNum>
  <w:abstractNum w:abstractNumId="16"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F9310C0"/>
    <w:multiLevelType w:val="hybridMultilevel"/>
    <w:tmpl w:val="CCF4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65117D5"/>
    <w:multiLevelType w:val="hybridMultilevel"/>
    <w:tmpl w:val="D3D6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D457BD"/>
    <w:multiLevelType w:val="hybridMultilevel"/>
    <w:tmpl w:val="8DAE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B21115C"/>
    <w:multiLevelType w:val="hybridMultilevel"/>
    <w:tmpl w:val="5FE2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3644AE"/>
    <w:multiLevelType w:val="hybridMultilevel"/>
    <w:tmpl w:val="2914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30" w15:restartNumberingAfterBreak="0">
    <w:nsid w:val="732B7667"/>
    <w:multiLevelType w:val="hybridMultilevel"/>
    <w:tmpl w:val="22184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FD04AF"/>
    <w:multiLevelType w:val="hybridMultilevel"/>
    <w:tmpl w:val="A1BE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62153"/>
    <w:multiLevelType w:val="hybridMultilevel"/>
    <w:tmpl w:val="33B6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2"/>
  </w:num>
  <w:num w:numId="3">
    <w:abstractNumId w:val="25"/>
  </w:num>
  <w:num w:numId="4">
    <w:abstractNumId w:val="16"/>
  </w:num>
  <w:num w:numId="5">
    <w:abstractNumId w:val="17"/>
  </w:num>
  <w:num w:numId="6">
    <w:abstractNumId w:val="1"/>
  </w:num>
  <w:num w:numId="7">
    <w:abstractNumId w:val="3"/>
  </w:num>
  <w:num w:numId="8">
    <w:abstractNumId w:val="5"/>
  </w:num>
  <w:num w:numId="9">
    <w:abstractNumId w:val="7"/>
  </w:num>
  <w:num w:numId="10">
    <w:abstractNumId w:val="8"/>
  </w:num>
  <w:num w:numId="11">
    <w:abstractNumId w:val="12"/>
  </w:num>
  <w:num w:numId="12">
    <w:abstractNumId w:val="9"/>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8"/>
  </w:num>
  <w:num w:numId="18">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num>
  <w:num w:numId="21">
    <w:abstractNumId w:val="8"/>
  </w:num>
  <w:num w:numId="22">
    <w:abstractNumId w:val="22"/>
  </w:num>
  <w:num w:numId="23">
    <w:abstractNumId w:val="24"/>
  </w:num>
  <w:num w:numId="24">
    <w:abstractNumId w:val="8"/>
  </w:num>
  <w:num w:numId="25">
    <w:abstractNumId w:val="26"/>
  </w:num>
  <w:num w:numId="26">
    <w:abstractNumId w:val="11"/>
  </w:num>
  <w:num w:numId="27">
    <w:abstractNumId w:val="31"/>
  </w:num>
  <w:num w:numId="28">
    <w:abstractNumId w:val="30"/>
  </w:num>
  <w:num w:numId="29">
    <w:abstractNumId w:val="27"/>
  </w:num>
  <w:num w:numId="30">
    <w:abstractNumId w:val="14"/>
  </w:num>
  <w:num w:numId="31">
    <w:abstractNumId w:val="13"/>
  </w:num>
  <w:num w:numId="32">
    <w:abstractNumId w:val="0"/>
  </w:num>
  <w:num w:numId="33">
    <w:abstractNumId w:val="18"/>
  </w:num>
  <w:num w:numId="34">
    <w:abstractNumId w:val="23"/>
  </w:num>
  <w:num w:numId="35">
    <w:abstractNumId w:val="32"/>
  </w:num>
  <w:num w:numId="36">
    <w:abstractNumId w:val="10"/>
  </w:num>
  <w:num w:numId="37">
    <w:abstractNumId w:val="15"/>
  </w:num>
  <w:num w:numId="38">
    <w:abstractNumId w:val="6"/>
  </w:num>
  <w:num w:numId="39">
    <w:abstractNumId w:val="21"/>
  </w:num>
  <w:num w:numId="4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FB7"/>
    <w:rsid w:val="00000441"/>
    <w:rsid w:val="00006590"/>
    <w:rsid w:val="000069A4"/>
    <w:rsid w:val="000069F9"/>
    <w:rsid w:val="0000727D"/>
    <w:rsid w:val="00011114"/>
    <w:rsid w:val="000119FB"/>
    <w:rsid w:val="00011E8C"/>
    <w:rsid w:val="00014810"/>
    <w:rsid w:val="00014990"/>
    <w:rsid w:val="00016A22"/>
    <w:rsid w:val="00016E5E"/>
    <w:rsid w:val="00017610"/>
    <w:rsid w:val="000205C6"/>
    <w:rsid w:val="000212FF"/>
    <w:rsid w:val="00021FB0"/>
    <w:rsid w:val="000221AA"/>
    <w:rsid w:val="0002331F"/>
    <w:rsid w:val="00023F26"/>
    <w:rsid w:val="000249F8"/>
    <w:rsid w:val="00026E82"/>
    <w:rsid w:val="00030676"/>
    <w:rsid w:val="00030714"/>
    <w:rsid w:val="0003322C"/>
    <w:rsid w:val="00034110"/>
    <w:rsid w:val="00035AC1"/>
    <w:rsid w:val="000368FC"/>
    <w:rsid w:val="000376EE"/>
    <w:rsid w:val="000421F8"/>
    <w:rsid w:val="00043262"/>
    <w:rsid w:val="00043FAE"/>
    <w:rsid w:val="00045528"/>
    <w:rsid w:val="00052063"/>
    <w:rsid w:val="00055DDF"/>
    <w:rsid w:val="00057724"/>
    <w:rsid w:val="00061C83"/>
    <w:rsid w:val="0006624B"/>
    <w:rsid w:val="000711F1"/>
    <w:rsid w:val="000720FF"/>
    <w:rsid w:val="000728A8"/>
    <w:rsid w:val="00073DA8"/>
    <w:rsid w:val="000747E8"/>
    <w:rsid w:val="00075185"/>
    <w:rsid w:val="000755E6"/>
    <w:rsid w:val="000764D3"/>
    <w:rsid w:val="00080A47"/>
    <w:rsid w:val="00082F77"/>
    <w:rsid w:val="00085C5A"/>
    <w:rsid w:val="000862FC"/>
    <w:rsid w:val="00087323"/>
    <w:rsid w:val="000879ED"/>
    <w:rsid w:val="00093649"/>
    <w:rsid w:val="00096246"/>
    <w:rsid w:val="00096FAF"/>
    <w:rsid w:val="000A0A6E"/>
    <w:rsid w:val="000A0C50"/>
    <w:rsid w:val="000A0F50"/>
    <w:rsid w:val="000A4016"/>
    <w:rsid w:val="000A5423"/>
    <w:rsid w:val="000A6C40"/>
    <w:rsid w:val="000B1027"/>
    <w:rsid w:val="000B70D6"/>
    <w:rsid w:val="000B7F7A"/>
    <w:rsid w:val="000C04A1"/>
    <w:rsid w:val="000C194F"/>
    <w:rsid w:val="000C2222"/>
    <w:rsid w:val="000D07E7"/>
    <w:rsid w:val="000D09ED"/>
    <w:rsid w:val="000D0A87"/>
    <w:rsid w:val="000D0FB1"/>
    <w:rsid w:val="000D11B8"/>
    <w:rsid w:val="000D145B"/>
    <w:rsid w:val="000D6016"/>
    <w:rsid w:val="000D7185"/>
    <w:rsid w:val="000E0FD4"/>
    <w:rsid w:val="000E1CED"/>
    <w:rsid w:val="000E24BD"/>
    <w:rsid w:val="000E29D1"/>
    <w:rsid w:val="000E6F19"/>
    <w:rsid w:val="000E6FB2"/>
    <w:rsid w:val="000F115E"/>
    <w:rsid w:val="000F1B3B"/>
    <w:rsid w:val="000F1E3F"/>
    <w:rsid w:val="000F3DBC"/>
    <w:rsid w:val="000F48EC"/>
    <w:rsid w:val="000F4B4B"/>
    <w:rsid w:val="000F5D8D"/>
    <w:rsid w:val="000F73D6"/>
    <w:rsid w:val="001017A9"/>
    <w:rsid w:val="00101F34"/>
    <w:rsid w:val="00102FC4"/>
    <w:rsid w:val="001030E1"/>
    <w:rsid w:val="001033D5"/>
    <w:rsid w:val="00103668"/>
    <w:rsid w:val="001039F7"/>
    <w:rsid w:val="00105409"/>
    <w:rsid w:val="00107DBD"/>
    <w:rsid w:val="001115E4"/>
    <w:rsid w:val="00111702"/>
    <w:rsid w:val="00113666"/>
    <w:rsid w:val="001169FE"/>
    <w:rsid w:val="00116D19"/>
    <w:rsid w:val="00116DCA"/>
    <w:rsid w:val="00117513"/>
    <w:rsid w:val="00120ADC"/>
    <w:rsid w:val="00121E78"/>
    <w:rsid w:val="001230AC"/>
    <w:rsid w:val="00123F4B"/>
    <w:rsid w:val="00124604"/>
    <w:rsid w:val="001265C0"/>
    <w:rsid w:val="00127505"/>
    <w:rsid w:val="001337B7"/>
    <w:rsid w:val="00133921"/>
    <w:rsid w:val="001344B3"/>
    <w:rsid w:val="00140C93"/>
    <w:rsid w:val="00143536"/>
    <w:rsid w:val="00145B2F"/>
    <w:rsid w:val="00150440"/>
    <w:rsid w:val="00151D8E"/>
    <w:rsid w:val="001570BC"/>
    <w:rsid w:val="001579BF"/>
    <w:rsid w:val="00161AA0"/>
    <w:rsid w:val="001662BC"/>
    <w:rsid w:val="001679F2"/>
    <w:rsid w:val="0017072D"/>
    <w:rsid w:val="00170B60"/>
    <w:rsid w:val="00171A2B"/>
    <w:rsid w:val="00176FB2"/>
    <w:rsid w:val="001818BF"/>
    <w:rsid w:val="001823EB"/>
    <w:rsid w:val="00183748"/>
    <w:rsid w:val="00184A64"/>
    <w:rsid w:val="0018716E"/>
    <w:rsid w:val="001873CB"/>
    <w:rsid w:val="00191B56"/>
    <w:rsid w:val="00193945"/>
    <w:rsid w:val="001956FC"/>
    <w:rsid w:val="00196FE1"/>
    <w:rsid w:val="0019718A"/>
    <w:rsid w:val="001A1AE2"/>
    <w:rsid w:val="001A5561"/>
    <w:rsid w:val="001B2DD8"/>
    <w:rsid w:val="001B7E00"/>
    <w:rsid w:val="001C0890"/>
    <w:rsid w:val="001C0EF4"/>
    <w:rsid w:val="001C59E4"/>
    <w:rsid w:val="001C618A"/>
    <w:rsid w:val="001C61DE"/>
    <w:rsid w:val="001D119B"/>
    <w:rsid w:val="001D1D43"/>
    <w:rsid w:val="001D3795"/>
    <w:rsid w:val="001D37F6"/>
    <w:rsid w:val="001D66C7"/>
    <w:rsid w:val="001E27E5"/>
    <w:rsid w:val="001E2CAF"/>
    <w:rsid w:val="001E3614"/>
    <w:rsid w:val="001E37B8"/>
    <w:rsid w:val="001E4D37"/>
    <w:rsid w:val="001F1400"/>
    <w:rsid w:val="001F21BA"/>
    <w:rsid w:val="001F6078"/>
    <w:rsid w:val="001F7251"/>
    <w:rsid w:val="00204F82"/>
    <w:rsid w:val="0020575C"/>
    <w:rsid w:val="0021081C"/>
    <w:rsid w:val="0021173C"/>
    <w:rsid w:val="002119CD"/>
    <w:rsid w:val="00211CD9"/>
    <w:rsid w:val="002159C9"/>
    <w:rsid w:val="00217354"/>
    <w:rsid w:val="00217FB0"/>
    <w:rsid w:val="002218BC"/>
    <w:rsid w:val="00222BEA"/>
    <w:rsid w:val="00225439"/>
    <w:rsid w:val="00225F9B"/>
    <w:rsid w:val="00232061"/>
    <w:rsid w:val="00235945"/>
    <w:rsid w:val="00235CAB"/>
    <w:rsid w:val="00243A69"/>
    <w:rsid w:val="002443F1"/>
    <w:rsid w:val="00246E17"/>
    <w:rsid w:val="00253EB9"/>
    <w:rsid w:val="002555BE"/>
    <w:rsid w:val="00255679"/>
    <w:rsid w:val="00257B1C"/>
    <w:rsid w:val="0026043C"/>
    <w:rsid w:val="002614EA"/>
    <w:rsid w:val="002638A2"/>
    <w:rsid w:val="00265B0E"/>
    <w:rsid w:val="0026755F"/>
    <w:rsid w:val="002732FC"/>
    <w:rsid w:val="00274A48"/>
    <w:rsid w:val="00282C30"/>
    <w:rsid w:val="00282D7E"/>
    <w:rsid w:val="00286FCB"/>
    <w:rsid w:val="00290445"/>
    <w:rsid w:val="00292044"/>
    <w:rsid w:val="00293811"/>
    <w:rsid w:val="00295FD2"/>
    <w:rsid w:val="0029648E"/>
    <w:rsid w:val="002A151A"/>
    <w:rsid w:val="002A2687"/>
    <w:rsid w:val="002A5A5F"/>
    <w:rsid w:val="002A5C23"/>
    <w:rsid w:val="002A686F"/>
    <w:rsid w:val="002B104C"/>
    <w:rsid w:val="002B1FD9"/>
    <w:rsid w:val="002B3340"/>
    <w:rsid w:val="002B35E0"/>
    <w:rsid w:val="002B5772"/>
    <w:rsid w:val="002B6D1D"/>
    <w:rsid w:val="002C0551"/>
    <w:rsid w:val="002C257D"/>
    <w:rsid w:val="002C2774"/>
    <w:rsid w:val="002C381D"/>
    <w:rsid w:val="002C447C"/>
    <w:rsid w:val="002C6472"/>
    <w:rsid w:val="002C7A08"/>
    <w:rsid w:val="002D3366"/>
    <w:rsid w:val="002D3D46"/>
    <w:rsid w:val="002D4668"/>
    <w:rsid w:val="002D79A7"/>
    <w:rsid w:val="002E3F68"/>
    <w:rsid w:val="002E5C16"/>
    <w:rsid w:val="002E64BB"/>
    <w:rsid w:val="002E6CCB"/>
    <w:rsid w:val="002E73E7"/>
    <w:rsid w:val="002E7961"/>
    <w:rsid w:val="002F0AA7"/>
    <w:rsid w:val="002F1B28"/>
    <w:rsid w:val="002F2583"/>
    <w:rsid w:val="002F279A"/>
    <w:rsid w:val="002F2C1A"/>
    <w:rsid w:val="002F4F5B"/>
    <w:rsid w:val="002F50EA"/>
    <w:rsid w:val="002F5C22"/>
    <w:rsid w:val="002F68FE"/>
    <w:rsid w:val="00300DF8"/>
    <w:rsid w:val="00303156"/>
    <w:rsid w:val="003107AB"/>
    <w:rsid w:val="003111EF"/>
    <w:rsid w:val="0031127A"/>
    <w:rsid w:val="00311A01"/>
    <w:rsid w:val="00313894"/>
    <w:rsid w:val="003154E8"/>
    <w:rsid w:val="00315C29"/>
    <w:rsid w:val="0031664C"/>
    <w:rsid w:val="00324997"/>
    <w:rsid w:val="003254AC"/>
    <w:rsid w:val="003256B1"/>
    <w:rsid w:val="003278D0"/>
    <w:rsid w:val="00331545"/>
    <w:rsid w:val="003330E6"/>
    <w:rsid w:val="0033333E"/>
    <w:rsid w:val="003368C0"/>
    <w:rsid w:val="00337745"/>
    <w:rsid w:val="00343439"/>
    <w:rsid w:val="00343B53"/>
    <w:rsid w:val="003459E9"/>
    <w:rsid w:val="00346BA7"/>
    <w:rsid w:val="00347B76"/>
    <w:rsid w:val="00350AAE"/>
    <w:rsid w:val="00352DC1"/>
    <w:rsid w:val="00354915"/>
    <w:rsid w:val="00361862"/>
    <w:rsid w:val="003644AE"/>
    <w:rsid w:val="00364E30"/>
    <w:rsid w:val="00366541"/>
    <w:rsid w:val="00372031"/>
    <w:rsid w:val="00373490"/>
    <w:rsid w:val="003738C2"/>
    <w:rsid w:val="00375AC3"/>
    <w:rsid w:val="00383594"/>
    <w:rsid w:val="00383676"/>
    <w:rsid w:val="003847B9"/>
    <w:rsid w:val="00385E85"/>
    <w:rsid w:val="0039118D"/>
    <w:rsid w:val="00391AC8"/>
    <w:rsid w:val="00392FB4"/>
    <w:rsid w:val="00394DFF"/>
    <w:rsid w:val="00395C05"/>
    <w:rsid w:val="003A0250"/>
    <w:rsid w:val="003A04CD"/>
    <w:rsid w:val="003A11AB"/>
    <w:rsid w:val="003A1F14"/>
    <w:rsid w:val="003A2A22"/>
    <w:rsid w:val="003A3974"/>
    <w:rsid w:val="003A5838"/>
    <w:rsid w:val="003B0BC2"/>
    <w:rsid w:val="003B37BB"/>
    <w:rsid w:val="003C36AC"/>
    <w:rsid w:val="003C76B2"/>
    <w:rsid w:val="003C7EF9"/>
    <w:rsid w:val="003D31B4"/>
    <w:rsid w:val="003D64F9"/>
    <w:rsid w:val="003D68D5"/>
    <w:rsid w:val="003D7050"/>
    <w:rsid w:val="003E14CF"/>
    <w:rsid w:val="003E40FA"/>
    <w:rsid w:val="003E65B0"/>
    <w:rsid w:val="003E684C"/>
    <w:rsid w:val="003F168A"/>
    <w:rsid w:val="0040611A"/>
    <w:rsid w:val="004069E7"/>
    <w:rsid w:val="00407D59"/>
    <w:rsid w:val="0041525E"/>
    <w:rsid w:val="00415939"/>
    <w:rsid w:val="00420742"/>
    <w:rsid w:val="0042093D"/>
    <w:rsid w:val="00421005"/>
    <w:rsid w:val="0042482A"/>
    <w:rsid w:val="00424D9A"/>
    <w:rsid w:val="00427620"/>
    <w:rsid w:val="004303DE"/>
    <w:rsid w:val="00431372"/>
    <w:rsid w:val="004334D7"/>
    <w:rsid w:val="00433564"/>
    <w:rsid w:val="00435536"/>
    <w:rsid w:val="00437132"/>
    <w:rsid w:val="00437CA3"/>
    <w:rsid w:val="0044027B"/>
    <w:rsid w:val="004408F8"/>
    <w:rsid w:val="0044313B"/>
    <w:rsid w:val="0044648F"/>
    <w:rsid w:val="00446DA2"/>
    <w:rsid w:val="00447219"/>
    <w:rsid w:val="00457843"/>
    <w:rsid w:val="00457CD3"/>
    <w:rsid w:val="0046188E"/>
    <w:rsid w:val="00462002"/>
    <w:rsid w:val="0046212F"/>
    <w:rsid w:val="00462733"/>
    <w:rsid w:val="00463227"/>
    <w:rsid w:val="00463973"/>
    <w:rsid w:val="00463DE7"/>
    <w:rsid w:val="00466674"/>
    <w:rsid w:val="00471113"/>
    <w:rsid w:val="00471200"/>
    <w:rsid w:val="00472FF8"/>
    <w:rsid w:val="00475F03"/>
    <w:rsid w:val="0047758B"/>
    <w:rsid w:val="004804B3"/>
    <w:rsid w:val="00481E06"/>
    <w:rsid w:val="004820E9"/>
    <w:rsid w:val="00483119"/>
    <w:rsid w:val="0048361F"/>
    <w:rsid w:val="004845D0"/>
    <w:rsid w:val="004852FF"/>
    <w:rsid w:val="0048635A"/>
    <w:rsid w:val="00490380"/>
    <w:rsid w:val="00492FDA"/>
    <w:rsid w:val="00494E73"/>
    <w:rsid w:val="004A2830"/>
    <w:rsid w:val="004A3C59"/>
    <w:rsid w:val="004B1286"/>
    <w:rsid w:val="004B514C"/>
    <w:rsid w:val="004B7D57"/>
    <w:rsid w:val="004C00D8"/>
    <w:rsid w:val="004C1BAA"/>
    <w:rsid w:val="004C3DAD"/>
    <w:rsid w:val="004C47DC"/>
    <w:rsid w:val="004C5923"/>
    <w:rsid w:val="004C6116"/>
    <w:rsid w:val="004C7C61"/>
    <w:rsid w:val="004D0DFD"/>
    <w:rsid w:val="004D1FBE"/>
    <w:rsid w:val="004D4A86"/>
    <w:rsid w:val="004D7664"/>
    <w:rsid w:val="004E074F"/>
    <w:rsid w:val="004E0FC0"/>
    <w:rsid w:val="004E6427"/>
    <w:rsid w:val="004E7625"/>
    <w:rsid w:val="004E7E43"/>
    <w:rsid w:val="004F1956"/>
    <w:rsid w:val="004F5B7D"/>
    <w:rsid w:val="004F5FC6"/>
    <w:rsid w:val="004F69FA"/>
    <w:rsid w:val="005037B2"/>
    <w:rsid w:val="005039A3"/>
    <w:rsid w:val="0050455E"/>
    <w:rsid w:val="005047AD"/>
    <w:rsid w:val="00510B1D"/>
    <w:rsid w:val="00510DBD"/>
    <w:rsid w:val="0051107D"/>
    <w:rsid w:val="00511167"/>
    <w:rsid w:val="00515680"/>
    <w:rsid w:val="005173BE"/>
    <w:rsid w:val="005267B2"/>
    <w:rsid w:val="00526C07"/>
    <w:rsid w:val="005273A6"/>
    <w:rsid w:val="00527533"/>
    <w:rsid w:val="00527E88"/>
    <w:rsid w:val="0053387C"/>
    <w:rsid w:val="00534F74"/>
    <w:rsid w:val="00535FC0"/>
    <w:rsid w:val="00536789"/>
    <w:rsid w:val="00536D2F"/>
    <w:rsid w:val="00540052"/>
    <w:rsid w:val="0054146B"/>
    <w:rsid w:val="00543DB4"/>
    <w:rsid w:val="00543E08"/>
    <w:rsid w:val="005449AD"/>
    <w:rsid w:val="00546BC7"/>
    <w:rsid w:val="0054765F"/>
    <w:rsid w:val="005505ED"/>
    <w:rsid w:val="0055131C"/>
    <w:rsid w:val="0055315E"/>
    <w:rsid w:val="00564B04"/>
    <w:rsid w:val="00565D43"/>
    <w:rsid w:val="00565E20"/>
    <w:rsid w:val="00570524"/>
    <w:rsid w:val="0057116C"/>
    <w:rsid w:val="00571A95"/>
    <w:rsid w:val="00573059"/>
    <w:rsid w:val="0057621E"/>
    <w:rsid w:val="00576533"/>
    <w:rsid w:val="00577B05"/>
    <w:rsid w:val="00580C63"/>
    <w:rsid w:val="00580D6F"/>
    <w:rsid w:val="005812C6"/>
    <w:rsid w:val="0058382A"/>
    <w:rsid w:val="005948FA"/>
    <w:rsid w:val="005959BE"/>
    <w:rsid w:val="00596210"/>
    <w:rsid w:val="00596286"/>
    <w:rsid w:val="00596999"/>
    <w:rsid w:val="005A0F31"/>
    <w:rsid w:val="005A28A1"/>
    <w:rsid w:val="005A46D0"/>
    <w:rsid w:val="005A58AA"/>
    <w:rsid w:val="005A6FB5"/>
    <w:rsid w:val="005B247C"/>
    <w:rsid w:val="005B25E4"/>
    <w:rsid w:val="005B30C8"/>
    <w:rsid w:val="005B7778"/>
    <w:rsid w:val="005B7CA8"/>
    <w:rsid w:val="005C051F"/>
    <w:rsid w:val="005C245C"/>
    <w:rsid w:val="005C6E7B"/>
    <w:rsid w:val="005C75FF"/>
    <w:rsid w:val="005C762E"/>
    <w:rsid w:val="005D098C"/>
    <w:rsid w:val="005D33A8"/>
    <w:rsid w:val="005D3FD9"/>
    <w:rsid w:val="005D7FC8"/>
    <w:rsid w:val="005E2139"/>
    <w:rsid w:val="005E46BB"/>
    <w:rsid w:val="005E7605"/>
    <w:rsid w:val="005F0666"/>
    <w:rsid w:val="005F1B6D"/>
    <w:rsid w:val="005F30FE"/>
    <w:rsid w:val="005F338F"/>
    <w:rsid w:val="005F342A"/>
    <w:rsid w:val="006001CC"/>
    <w:rsid w:val="00602B4D"/>
    <w:rsid w:val="00603C94"/>
    <w:rsid w:val="006048E0"/>
    <w:rsid w:val="00604FAD"/>
    <w:rsid w:val="0060662A"/>
    <w:rsid w:val="00612789"/>
    <w:rsid w:val="00613D24"/>
    <w:rsid w:val="00614BDA"/>
    <w:rsid w:val="006162A3"/>
    <w:rsid w:val="00616B06"/>
    <w:rsid w:val="006176EA"/>
    <w:rsid w:val="00621AFB"/>
    <w:rsid w:val="0062589A"/>
    <w:rsid w:val="006307C7"/>
    <w:rsid w:val="00632B82"/>
    <w:rsid w:val="006331B4"/>
    <w:rsid w:val="006343F3"/>
    <w:rsid w:val="00634833"/>
    <w:rsid w:val="00635C7C"/>
    <w:rsid w:val="00640CF2"/>
    <w:rsid w:val="006417D6"/>
    <w:rsid w:val="00642906"/>
    <w:rsid w:val="00643582"/>
    <w:rsid w:val="00643B75"/>
    <w:rsid w:val="006457EF"/>
    <w:rsid w:val="00647D16"/>
    <w:rsid w:val="00650F96"/>
    <w:rsid w:val="006512B7"/>
    <w:rsid w:val="00651C22"/>
    <w:rsid w:val="00654D99"/>
    <w:rsid w:val="00655679"/>
    <w:rsid w:val="00655B4D"/>
    <w:rsid w:val="00655ED5"/>
    <w:rsid w:val="00665734"/>
    <w:rsid w:val="00671977"/>
    <w:rsid w:val="00671BCE"/>
    <w:rsid w:val="00671D80"/>
    <w:rsid w:val="00672EFB"/>
    <w:rsid w:val="006739CF"/>
    <w:rsid w:val="0067584E"/>
    <w:rsid w:val="0067752C"/>
    <w:rsid w:val="006776A2"/>
    <w:rsid w:val="006801A6"/>
    <w:rsid w:val="00681198"/>
    <w:rsid w:val="0068124B"/>
    <w:rsid w:val="00681610"/>
    <w:rsid w:val="00684AD6"/>
    <w:rsid w:val="00685D36"/>
    <w:rsid w:val="006863AD"/>
    <w:rsid w:val="00687304"/>
    <w:rsid w:val="00692C71"/>
    <w:rsid w:val="006931A0"/>
    <w:rsid w:val="006935BC"/>
    <w:rsid w:val="0069591F"/>
    <w:rsid w:val="00696E55"/>
    <w:rsid w:val="006A0B0E"/>
    <w:rsid w:val="006A1480"/>
    <w:rsid w:val="006A2BCE"/>
    <w:rsid w:val="006A3A9C"/>
    <w:rsid w:val="006A3CC5"/>
    <w:rsid w:val="006A721F"/>
    <w:rsid w:val="006A7CCF"/>
    <w:rsid w:val="006B0581"/>
    <w:rsid w:val="006B0F36"/>
    <w:rsid w:val="006B1686"/>
    <w:rsid w:val="006B30FD"/>
    <w:rsid w:val="006B4254"/>
    <w:rsid w:val="006B5CB4"/>
    <w:rsid w:val="006B6DCF"/>
    <w:rsid w:val="006B791B"/>
    <w:rsid w:val="006C11F7"/>
    <w:rsid w:val="006C4793"/>
    <w:rsid w:val="006C5EC9"/>
    <w:rsid w:val="006D36FB"/>
    <w:rsid w:val="006D42ED"/>
    <w:rsid w:val="006D4804"/>
    <w:rsid w:val="006D4D1A"/>
    <w:rsid w:val="006D73F1"/>
    <w:rsid w:val="006E2A29"/>
    <w:rsid w:val="006E2FE6"/>
    <w:rsid w:val="006E3514"/>
    <w:rsid w:val="006E383E"/>
    <w:rsid w:val="006E7421"/>
    <w:rsid w:val="006E7647"/>
    <w:rsid w:val="006F162C"/>
    <w:rsid w:val="006F1DA8"/>
    <w:rsid w:val="006F22E9"/>
    <w:rsid w:val="006F4CFA"/>
    <w:rsid w:val="006F4FAA"/>
    <w:rsid w:val="006F5310"/>
    <w:rsid w:val="006F696E"/>
    <w:rsid w:val="006F6B91"/>
    <w:rsid w:val="00700932"/>
    <w:rsid w:val="007040CB"/>
    <w:rsid w:val="00704406"/>
    <w:rsid w:val="0070523B"/>
    <w:rsid w:val="00707C41"/>
    <w:rsid w:val="00707D16"/>
    <w:rsid w:val="007111DC"/>
    <w:rsid w:val="00715E8A"/>
    <w:rsid w:val="00717226"/>
    <w:rsid w:val="00720FDD"/>
    <w:rsid w:val="00722883"/>
    <w:rsid w:val="00723AF0"/>
    <w:rsid w:val="00726413"/>
    <w:rsid w:val="00727911"/>
    <w:rsid w:val="00727C87"/>
    <w:rsid w:val="0073007E"/>
    <w:rsid w:val="007311E2"/>
    <w:rsid w:val="00732519"/>
    <w:rsid w:val="0073365B"/>
    <w:rsid w:val="00734F5A"/>
    <w:rsid w:val="0073579D"/>
    <w:rsid w:val="007368EC"/>
    <w:rsid w:val="00736D97"/>
    <w:rsid w:val="00737CEF"/>
    <w:rsid w:val="00737DDA"/>
    <w:rsid w:val="00746B57"/>
    <w:rsid w:val="00747D90"/>
    <w:rsid w:val="007501B9"/>
    <w:rsid w:val="00751CB9"/>
    <w:rsid w:val="0075624F"/>
    <w:rsid w:val="00756D96"/>
    <w:rsid w:val="007601BA"/>
    <w:rsid w:val="007620C2"/>
    <w:rsid w:val="00763641"/>
    <w:rsid w:val="007668BA"/>
    <w:rsid w:val="00770596"/>
    <w:rsid w:val="0077277D"/>
    <w:rsid w:val="007747D4"/>
    <w:rsid w:val="00774963"/>
    <w:rsid w:val="00775655"/>
    <w:rsid w:val="00781B7F"/>
    <w:rsid w:val="00782DCB"/>
    <w:rsid w:val="00783D12"/>
    <w:rsid w:val="00784156"/>
    <w:rsid w:val="007846AE"/>
    <w:rsid w:val="0078789D"/>
    <w:rsid w:val="00793379"/>
    <w:rsid w:val="007933B3"/>
    <w:rsid w:val="00794D72"/>
    <w:rsid w:val="007A048E"/>
    <w:rsid w:val="007A19AF"/>
    <w:rsid w:val="007A1E9D"/>
    <w:rsid w:val="007A2801"/>
    <w:rsid w:val="007A4681"/>
    <w:rsid w:val="007A4EEE"/>
    <w:rsid w:val="007A6DAA"/>
    <w:rsid w:val="007A7D2A"/>
    <w:rsid w:val="007A7EC8"/>
    <w:rsid w:val="007B032C"/>
    <w:rsid w:val="007B1AF8"/>
    <w:rsid w:val="007B2A16"/>
    <w:rsid w:val="007B4B3F"/>
    <w:rsid w:val="007B787D"/>
    <w:rsid w:val="007B7B7B"/>
    <w:rsid w:val="007C3165"/>
    <w:rsid w:val="007C5565"/>
    <w:rsid w:val="007C58D6"/>
    <w:rsid w:val="007C732D"/>
    <w:rsid w:val="007D1008"/>
    <w:rsid w:val="007D5B27"/>
    <w:rsid w:val="007D5C80"/>
    <w:rsid w:val="007D6168"/>
    <w:rsid w:val="007D62AE"/>
    <w:rsid w:val="007E013D"/>
    <w:rsid w:val="007E2754"/>
    <w:rsid w:val="007E5818"/>
    <w:rsid w:val="007E608D"/>
    <w:rsid w:val="007E61A7"/>
    <w:rsid w:val="007E65D7"/>
    <w:rsid w:val="007E70E5"/>
    <w:rsid w:val="007F227E"/>
    <w:rsid w:val="007F22F4"/>
    <w:rsid w:val="007F4FB7"/>
    <w:rsid w:val="0080089C"/>
    <w:rsid w:val="00803318"/>
    <w:rsid w:val="00803456"/>
    <w:rsid w:val="0080390A"/>
    <w:rsid w:val="00803C4A"/>
    <w:rsid w:val="00805C26"/>
    <w:rsid w:val="00811BBD"/>
    <w:rsid w:val="0081256A"/>
    <w:rsid w:val="00812976"/>
    <w:rsid w:val="00814DEF"/>
    <w:rsid w:val="00820D4D"/>
    <w:rsid w:val="0082239E"/>
    <w:rsid w:val="008241FC"/>
    <w:rsid w:val="00825A87"/>
    <w:rsid w:val="00826C05"/>
    <w:rsid w:val="00831B9B"/>
    <w:rsid w:val="00835008"/>
    <w:rsid w:val="00836864"/>
    <w:rsid w:val="0083792C"/>
    <w:rsid w:val="00842A7E"/>
    <w:rsid w:val="00844D3D"/>
    <w:rsid w:val="0084532E"/>
    <w:rsid w:val="00845810"/>
    <w:rsid w:val="00845F3C"/>
    <w:rsid w:val="00846159"/>
    <w:rsid w:val="008469C8"/>
    <w:rsid w:val="008505C3"/>
    <w:rsid w:val="00851677"/>
    <w:rsid w:val="008522C6"/>
    <w:rsid w:val="00852E40"/>
    <w:rsid w:val="00857A90"/>
    <w:rsid w:val="00857CDD"/>
    <w:rsid w:val="0086041E"/>
    <w:rsid w:val="00860EA8"/>
    <w:rsid w:val="0086472B"/>
    <w:rsid w:val="0086552E"/>
    <w:rsid w:val="00866CF5"/>
    <w:rsid w:val="0087368E"/>
    <w:rsid w:val="00874BFA"/>
    <w:rsid w:val="008776F1"/>
    <w:rsid w:val="008802D9"/>
    <w:rsid w:val="00880B98"/>
    <w:rsid w:val="00881F26"/>
    <w:rsid w:val="00882DA6"/>
    <w:rsid w:val="00883522"/>
    <w:rsid w:val="008838A1"/>
    <w:rsid w:val="0088685E"/>
    <w:rsid w:val="0088689E"/>
    <w:rsid w:val="00891794"/>
    <w:rsid w:val="00891929"/>
    <w:rsid w:val="00893176"/>
    <w:rsid w:val="00895446"/>
    <w:rsid w:val="008A05E4"/>
    <w:rsid w:val="008A2098"/>
    <w:rsid w:val="008A32D1"/>
    <w:rsid w:val="008A66F5"/>
    <w:rsid w:val="008B03D8"/>
    <w:rsid w:val="008B297B"/>
    <w:rsid w:val="008B4290"/>
    <w:rsid w:val="008B4720"/>
    <w:rsid w:val="008B61CD"/>
    <w:rsid w:val="008C0A58"/>
    <w:rsid w:val="008C25D0"/>
    <w:rsid w:val="008C323D"/>
    <w:rsid w:val="008C3B18"/>
    <w:rsid w:val="008C4A61"/>
    <w:rsid w:val="008C4CB3"/>
    <w:rsid w:val="008C4F0F"/>
    <w:rsid w:val="008C527A"/>
    <w:rsid w:val="008C5505"/>
    <w:rsid w:val="008C6AB2"/>
    <w:rsid w:val="008C6CFD"/>
    <w:rsid w:val="008C76DC"/>
    <w:rsid w:val="008C7D07"/>
    <w:rsid w:val="008C7F38"/>
    <w:rsid w:val="008D027D"/>
    <w:rsid w:val="008D2F26"/>
    <w:rsid w:val="008D3B9E"/>
    <w:rsid w:val="008D55C9"/>
    <w:rsid w:val="008E186F"/>
    <w:rsid w:val="008E2E2F"/>
    <w:rsid w:val="008E7460"/>
    <w:rsid w:val="008E7585"/>
    <w:rsid w:val="008F0B5C"/>
    <w:rsid w:val="008F2E5C"/>
    <w:rsid w:val="008F646F"/>
    <w:rsid w:val="008F6474"/>
    <w:rsid w:val="009006C6"/>
    <w:rsid w:val="00906982"/>
    <w:rsid w:val="009076D0"/>
    <w:rsid w:val="009100E2"/>
    <w:rsid w:val="00914F38"/>
    <w:rsid w:val="0091776B"/>
    <w:rsid w:val="00920396"/>
    <w:rsid w:val="0092657D"/>
    <w:rsid w:val="00932B67"/>
    <w:rsid w:val="00935018"/>
    <w:rsid w:val="0093671F"/>
    <w:rsid w:val="00937D0C"/>
    <w:rsid w:val="00937F0D"/>
    <w:rsid w:val="00941D1F"/>
    <w:rsid w:val="0094366C"/>
    <w:rsid w:val="0094666B"/>
    <w:rsid w:val="009479C0"/>
    <w:rsid w:val="00950914"/>
    <w:rsid w:val="00950C51"/>
    <w:rsid w:val="00951973"/>
    <w:rsid w:val="0095252E"/>
    <w:rsid w:val="00952591"/>
    <w:rsid w:val="00952C90"/>
    <w:rsid w:val="00953ADF"/>
    <w:rsid w:val="00953B55"/>
    <w:rsid w:val="0095579B"/>
    <w:rsid w:val="00957E73"/>
    <w:rsid w:val="0096135C"/>
    <w:rsid w:val="00970745"/>
    <w:rsid w:val="00971A21"/>
    <w:rsid w:val="0097402B"/>
    <w:rsid w:val="009746D7"/>
    <w:rsid w:val="009808B4"/>
    <w:rsid w:val="00983391"/>
    <w:rsid w:val="00984821"/>
    <w:rsid w:val="009961A7"/>
    <w:rsid w:val="0099716A"/>
    <w:rsid w:val="009A0593"/>
    <w:rsid w:val="009A07CE"/>
    <w:rsid w:val="009A2797"/>
    <w:rsid w:val="009A2C14"/>
    <w:rsid w:val="009A3892"/>
    <w:rsid w:val="009A3D97"/>
    <w:rsid w:val="009A3ED6"/>
    <w:rsid w:val="009A598B"/>
    <w:rsid w:val="009A698B"/>
    <w:rsid w:val="009B2D86"/>
    <w:rsid w:val="009B3D4B"/>
    <w:rsid w:val="009B3F94"/>
    <w:rsid w:val="009B5E70"/>
    <w:rsid w:val="009B621A"/>
    <w:rsid w:val="009B672F"/>
    <w:rsid w:val="009B6EAB"/>
    <w:rsid w:val="009B718D"/>
    <w:rsid w:val="009B77C1"/>
    <w:rsid w:val="009C0BCC"/>
    <w:rsid w:val="009C2BA4"/>
    <w:rsid w:val="009C36E1"/>
    <w:rsid w:val="009C3FA3"/>
    <w:rsid w:val="009C45D9"/>
    <w:rsid w:val="009C6530"/>
    <w:rsid w:val="009C6F32"/>
    <w:rsid w:val="009D2BEF"/>
    <w:rsid w:val="009D340D"/>
    <w:rsid w:val="009D358E"/>
    <w:rsid w:val="009D50A6"/>
    <w:rsid w:val="009D6643"/>
    <w:rsid w:val="009D6C72"/>
    <w:rsid w:val="009D7187"/>
    <w:rsid w:val="009D783B"/>
    <w:rsid w:val="009E01DD"/>
    <w:rsid w:val="009E547A"/>
    <w:rsid w:val="009F08DF"/>
    <w:rsid w:val="009F30C8"/>
    <w:rsid w:val="009F4054"/>
    <w:rsid w:val="009F58D8"/>
    <w:rsid w:val="00A02F7D"/>
    <w:rsid w:val="00A03791"/>
    <w:rsid w:val="00A04987"/>
    <w:rsid w:val="00A06657"/>
    <w:rsid w:val="00A125F2"/>
    <w:rsid w:val="00A12DA0"/>
    <w:rsid w:val="00A16DFA"/>
    <w:rsid w:val="00A17C0A"/>
    <w:rsid w:val="00A22FA7"/>
    <w:rsid w:val="00A238D0"/>
    <w:rsid w:val="00A267B7"/>
    <w:rsid w:val="00A33919"/>
    <w:rsid w:val="00A346B2"/>
    <w:rsid w:val="00A3601F"/>
    <w:rsid w:val="00A36222"/>
    <w:rsid w:val="00A36968"/>
    <w:rsid w:val="00A40971"/>
    <w:rsid w:val="00A40D39"/>
    <w:rsid w:val="00A41149"/>
    <w:rsid w:val="00A41DFF"/>
    <w:rsid w:val="00A44745"/>
    <w:rsid w:val="00A44F15"/>
    <w:rsid w:val="00A47B7B"/>
    <w:rsid w:val="00A50621"/>
    <w:rsid w:val="00A52D6C"/>
    <w:rsid w:val="00A54149"/>
    <w:rsid w:val="00A54175"/>
    <w:rsid w:val="00A56809"/>
    <w:rsid w:val="00A60D9A"/>
    <w:rsid w:val="00A63A07"/>
    <w:rsid w:val="00A64C70"/>
    <w:rsid w:val="00A654A2"/>
    <w:rsid w:val="00A67183"/>
    <w:rsid w:val="00A70079"/>
    <w:rsid w:val="00A701C8"/>
    <w:rsid w:val="00A76391"/>
    <w:rsid w:val="00A76452"/>
    <w:rsid w:val="00A80EA8"/>
    <w:rsid w:val="00A83F5F"/>
    <w:rsid w:val="00A84DF8"/>
    <w:rsid w:val="00A86D3D"/>
    <w:rsid w:val="00A9013E"/>
    <w:rsid w:val="00A915F3"/>
    <w:rsid w:val="00A94B17"/>
    <w:rsid w:val="00A94F1F"/>
    <w:rsid w:val="00A95347"/>
    <w:rsid w:val="00A97E66"/>
    <w:rsid w:val="00AA2121"/>
    <w:rsid w:val="00AA349C"/>
    <w:rsid w:val="00AA471D"/>
    <w:rsid w:val="00AA4B1C"/>
    <w:rsid w:val="00AA6188"/>
    <w:rsid w:val="00AA7E33"/>
    <w:rsid w:val="00AB265E"/>
    <w:rsid w:val="00AB2792"/>
    <w:rsid w:val="00AB2948"/>
    <w:rsid w:val="00AB39FA"/>
    <w:rsid w:val="00AB3B30"/>
    <w:rsid w:val="00AB426C"/>
    <w:rsid w:val="00AB451C"/>
    <w:rsid w:val="00AB59F2"/>
    <w:rsid w:val="00AB783A"/>
    <w:rsid w:val="00AC22BD"/>
    <w:rsid w:val="00AC3E62"/>
    <w:rsid w:val="00AC5620"/>
    <w:rsid w:val="00AC5AF9"/>
    <w:rsid w:val="00AC6102"/>
    <w:rsid w:val="00AC6192"/>
    <w:rsid w:val="00AD0659"/>
    <w:rsid w:val="00AD0A5C"/>
    <w:rsid w:val="00AD2C77"/>
    <w:rsid w:val="00AD2F03"/>
    <w:rsid w:val="00AD3CB2"/>
    <w:rsid w:val="00AD57FE"/>
    <w:rsid w:val="00AD6933"/>
    <w:rsid w:val="00AD6B7B"/>
    <w:rsid w:val="00AD7CAB"/>
    <w:rsid w:val="00AE0D6A"/>
    <w:rsid w:val="00AE10BE"/>
    <w:rsid w:val="00AE16C9"/>
    <w:rsid w:val="00AE3EF5"/>
    <w:rsid w:val="00AE4F2A"/>
    <w:rsid w:val="00AE5F33"/>
    <w:rsid w:val="00AF0AD5"/>
    <w:rsid w:val="00AF15E6"/>
    <w:rsid w:val="00AF1B2A"/>
    <w:rsid w:val="00AF3A1E"/>
    <w:rsid w:val="00AF51E7"/>
    <w:rsid w:val="00AF6744"/>
    <w:rsid w:val="00B05620"/>
    <w:rsid w:val="00B060B6"/>
    <w:rsid w:val="00B06D18"/>
    <w:rsid w:val="00B12E05"/>
    <w:rsid w:val="00B12EBE"/>
    <w:rsid w:val="00B16431"/>
    <w:rsid w:val="00B166A4"/>
    <w:rsid w:val="00B219B7"/>
    <w:rsid w:val="00B227FA"/>
    <w:rsid w:val="00B241B6"/>
    <w:rsid w:val="00B25038"/>
    <w:rsid w:val="00B27FF1"/>
    <w:rsid w:val="00B3159A"/>
    <w:rsid w:val="00B31AFA"/>
    <w:rsid w:val="00B33465"/>
    <w:rsid w:val="00B35C09"/>
    <w:rsid w:val="00B379C5"/>
    <w:rsid w:val="00B4183F"/>
    <w:rsid w:val="00B42198"/>
    <w:rsid w:val="00B468FC"/>
    <w:rsid w:val="00B46AD2"/>
    <w:rsid w:val="00B554D8"/>
    <w:rsid w:val="00B56653"/>
    <w:rsid w:val="00B579F3"/>
    <w:rsid w:val="00B614E3"/>
    <w:rsid w:val="00B61E7A"/>
    <w:rsid w:val="00B62067"/>
    <w:rsid w:val="00B620B2"/>
    <w:rsid w:val="00B63E4D"/>
    <w:rsid w:val="00B64BBE"/>
    <w:rsid w:val="00B67DE1"/>
    <w:rsid w:val="00B70CC6"/>
    <w:rsid w:val="00B73894"/>
    <w:rsid w:val="00B748EF"/>
    <w:rsid w:val="00B74B84"/>
    <w:rsid w:val="00B8193F"/>
    <w:rsid w:val="00B82A82"/>
    <w:rsid w:val="00B8464A"/>
    <w:rsid w:val="00B8473D"/>
    <w:rsid w:val="00B90410"/>
    <w:rsid w:val="00B90E10"/>
    <w:rsid w:val="00B964CA"/>
    <w:rsid w:val="00BA0357"/>
    <w:rsid w:val="00BA2BEB"/>
    <w:rsid w:val="00BA31C4"/>
    <w:rsid w:val="00BA4655"/>
    <w:rsid w:val="00BA63C8"/>
    <w:rsid w:val="00BA78B6"/>
    <w:rsid w:val="00BA7935"/>
    <w:rsid w:val="00BB047B"/>
    <w:rsid w:val="00BB4818"/>
    <w:rsid w:val="00BB4AF3"/>
    <w:rsid w:val="00BB5030"/>
    <w:rsid w:val="00BB6398"/>
    <w:rsid w:val="00BC0BE7"/>
    <w:rsid w:val="00BC1F9F"/>
    <w:rsid w:val="00BC25EF"/>
    <w:rsid w:val="00BC2DAF"/>
    <w:rsid w:val="00BC4FD3"/>
    <w:rsid w:val="00BC6827"/>
    <w:rsid w:val="00BC6C7A"/>
    <w:rsid w:val="00BC7D9E"/>
    <w:rsid w:val="00BD0372"/>
    <w:rsid w:val="00BD44F5"/>
    <w:rsid w:val="00BE2E44"/>
    <w:rsid w:val="00BE4340"/>
    <w:rsid w:val="00BE5C37"/>
    <w:rsid w:val="00BE5C41"/>
    <w:rsid w:val="00BF0646"/>
    <w:rsid w:val="00BF1C32"/>
    <w:rsid w:val="00BF76A6"/>
    <w:rsid w:val="00C0068D"/>
    <w:rsid w:val="00C00FB2"/>
    <w:rsid w:val="00C01F23"/>
    <w:rsid w:val="00C044BE"/>
    <w:rsid w:val="00C04BAB"/>
    <w:rsid w:val="00C0607B"/>
    <w:rsid w:val="00C06DEF"/>
    <w:rsid w:val="00C075A2"/>
    <w:rsid w:val="00C07782"/>
    <w:rsid w:val="00C107CB"/>
    <w:rsid w:val="00C118C4"/>
    <w:rsid w:val="00C11F58"/>
    <w:rsid w:val="00C120D7"/>
    <w:rsid w:val="00C132D1"/>
    <w:rsid w:val="00C139CA"/>
    <w:rsid w:val="00C13A7D"/>
    <w:rsid w:val="00C1410F"/>
    <w:rsid w:val="00C15419"/>
    <w:rsid w:val="00C21A67"/>
    <w:rsid w:val="00C21D87"/>
    <w:rsid w:val="00C241A8"/>
    <w:rsid w:val="00C24ABA"/>
    <w:rsid w:val="00C264CB"/>
    <w:rsid w:val="00C31253"/>
    <w:rsid w:val="00C32F0C"/>
    <w:rsid w:val="00C337D3"/>
    <w:rsid w:val="00C345B7"/>
    <w:rsid w:val="00C35129"/>
    <w:rsid w:val="00C40E78"/>
    <w:rsid w:val="00C41197"/>
    <w:rsid w:val="00C419DB"/>
    <w:rsid w:val="00C470EC"/>
    <w:rsid w:val="00C476F1"/>
    <w:rsid w:val="00C51429"/>
    <w:rsid w:val="00C51E8F"/>
    <w:rsid w:val="00C52CE9"/>
    <w:rsid w:val="00C52FC0"/>
    <w:rsid w:val="00C53F9E"/>
    <w:rsid w:val="00C559E9"/>
    <w:rsid w:val="00C608C1"/>
    <w:rsid w:val="00C61087"/>
    <w:rsid w:val="00C63D4E"/>
    <w:rsid w:val="00C63EA9"/>
    <w:rsid w:val="00C650B1"/>
    <w:rsid w:val="00C659BB"/>
    <w:rsid w:val="00C665A0"/>
    <w:rsid w:val="00C67725"/>
    <w:rsid w:val="00C700F3"/>
    <w:rsid w:val="00C7092F"/>
    <w:rsid w:val="00C76D22"/>
    <w:rsid w:val="00C76DDA"/>
    <w:rsid w:val="00C807B3"/>
    <w:rsid w:val="00C825C9"/>
    <w:rsid w:val="00C86CC3"/>
    <w:rsid w:val="00C86E37"/>
    <w:rsid w:val="00C901B1"/>
    <w:rsid w:val="00C90EBC"/>
    <w:rsid w:val="00C91B69"/>
    <w:rsid w:val="00C92E96"/>
    <w:rsid w:val="00C93FF5"/>
    <w:rsid w:val="00CA0FA5"/>
    <w:rsid w:val="00CA3856"/>
    <w:rsid w:val="00CA5A3F"/>
    <w:rsid w:val="00CA5CC9"/>
    <w:rsid w:val="00CA67E0"/>
    <w:rsid w:val="00CA6F8A"/>
    <w:rsid w:val="00CA7A96"/>
    <w:rsid w:val="00CB0122"/>
    <w:rsid w:val="00CB0269"/>
    <w:rsid w:val="00CB0833"/>
    <w:rsid w:val="00CB18F5"/>
    <w:rsid w:val="00CB563B"/>
    <w:rsid w:val="00CC008E"/>
    <w:rsid w:val="00CC02ED"/>
    <w:rsid w:val="00CC59FE"/>
    <w:rsid w:val="00CC63EB"/>
    <w:rsid w:val="00CC7002"/>
    <w:rsid w:val="00CD022A"/>
    <w:rsid w:val="00CD03BE"/>
    <w:rsid w:val="00CD0525"/>
    <w:rsid w:val="00CD0707"/>
    <w:rsid w:val="00CD1A25"/>
    <w:rsid w:val="00CD2E16"/>
    <w:rsid w:val="00CD474C"/>
    <w:rsid w:val="00CD65E7"/>
    <w:rsid w:val="00CD7BFC"/>
    <w:rsid w:val="00CE2B95"/>
    <w:rsid w:val="00CE2F1A"/>
    <w:rsid w:val="00CE4466"/>
    <w:rsid w:val="00CE5512"/>
    <w:rsid w:val="00CF1A11"/>
    <w:rsid w:val="00CF30FC"/>
    <w:rsid w:val="00CF3F45"/>
    <w:rsid w:val="00CF4286"/>
    <w:rsid w:val="00CF46F9"/>
    <w:rsid w:val="00CF4B7B"/>
    <w:rsid w:val="00CF5CB2"/>
    <w:rsid w:val="00D019BA"/>
    <w:rsid w:val="00D01B9F"/>
    <w:rsid w:val="00D02F22"/>
    <w:rsid w:val="00D03B38"/>
    <w:rsid w:val="00D03F87"/>
    <w:rsid w:val="00D04CD4"/>
    <w:rsid w:val="00D054E8"/>
    <w:rsid w:val="00D07174"/>
    <w:rsid w:val="00D1170B"/>
    <w:rsid w:val="00D12095"/>
    <w:rsid w:val="00D12CDD"/>
    <w:rsid w:val="00D15053"/>
    <w:rsid w:val="00D21AEC"/>
    <w:rsid w:val="00D22D06"/>
    <w:rsid w:val="00D24772"/>
    <w:rsid w:val="00D26E91"/>
    <w:rsid w:val="00D272A6"/>
    <w:rsid w:val="00D33ED1"/>
    <w:rsid w:val="00D3441D"/>
    <w:rsid w:val="00D355C4"/>
    <w:rsid w:val="00D3612A"/>
    <w:rsid w:val="00D37703"/>
    <w:rsid w:val="00D37B4C"/>
    <w:rsid w:val="00D37DBF"/>
    <w:rsid w:val="00D37F25"/>
    <w:rsid w:val="00D42F4F"/>
    <w:rsid w:val="00D44141"/>
    <w:rsid w:val="00D446D6"/>
    <w:rsid w:val="00D53018"/>
    <w:rsid w:val="00D54876"/>
    <w:rsid w:val="00D5496B"/>
    <w:rsid w:val="00D56A53"/>
    <w:rsid w:val="00D6324F"/>
    <w:rsid w:val="00D63458"/>
    <w:rsid w:val="00D66D37"/>
    <w:rsid w:val="00D70E43"/>
    <w:rsid w:val="00D74586"/>
    <w:rsid w:val="00D750CC"/>
    <w:rsid w:val="00D758DC"/>
    <w:rsid w:val="00D77258"/>
    <w:rsid w:val="00D83868"/>
    <w:rsid w:val="00D83A60"/>
    <w:rsid w:val="00D84369"/>
    <w:rsid w:val="00D84C8F"/>
    <w:rsid w:val="00D873AD"/>
    <w:rsid w:val="00D90BEE"/>
    <w:rsid w:val="00D91AAC"/>
    <w:rsid w:val="00D91C06"/>
    <w:rsid w:val="00D91C9F"/>
    <w:rsid w:val="00D928E6"/>
    <w:rsid w:val="00D93FD1"/>
    <w:rsid w:val="00D95FB7"/>
    <w:rsid w:val="00D96989"/>
    <w:rsid w:val="00DA08F5"/>
    <w:rsid w:val="00DA2ADC"/>
    <w:rsid w:val="00DA62CF"/>
    <w:rsid w:val="00DA74C0"/>
    <w:rsid w:val="00DB01E2"/>
    <w:rsid w:val="00DB0764"/>
    <w:rsid w:val="00DB3506"/>
    <w:rsid w:val="00DB5981"/>
    <w:rsid w:val="00DB7A9A"/>
    <w:rsid w:val="00DC0DBB"/>
    <w:rsid w:val="00DC3177"/>
    <w:rsid w:val="00DC3276"/>
    <w:rsid w:val="00DC5FFE"/>
    <w:rsid w:val="00DC7839"/>
    <w:rsid w:val="00DD13AB"/>
    <w:rsid w:val="00DD2841"/>
    <w:rsid w:val="00DD323F"/>
    <w:rsid w:val="00DD37D8"/>
    <w:rsid w:val="00DD4EB5"/>
    <w:rsid w:val="00DD5902"/>
    <w:rsid w:val="00DD67D6"/>
    <w:rsid w:val="00DE01A4"/>
    <w:rsid w:val="00DE2A39"/>
    <w:rsid w:val="00DE3E40"/>
    <w:rsid w:val="00DE4597"/>
    <w:rsid w:val="00DE580C"/>
    <w:rsid w:val="00DE643F"/>
    <w:rsid w:val="00DF54F1"/>
    <w:rsid w:val="00DF6840"/>
    <w:rsid w:val="00E010AB"/>
    <w:rsid w:val="00E015AD"/>
    <w:rsid w:val="00E0233F"/>
    <w:rsid w:val="00E02678"/>
    <w:rsid w:val="00E04E62"/>
    <w:rsid w:val="00E050EC"/>
    <w:rsid w:val="00E05E49"/>
    <w:rsid w:val="00E06262"/>
    <w:rsid w:val="00E0748A"/>
    <w:rsid w:val="00E128A9"/>
    <w:rsid w:val="00E12B17"/>
    <w:rsid w:val="00E143DA"/>
    <w:rsid w:val="00E14BA3"/>
    <w:rsid w:val="00E15381"/>
    <w:rsid w:val="00E16744"/>
    <w:rsid w:val="00E24CDE"/>
    <w:rsid w:val="00E25953"/>
    <w:rsid w:val="00E27F5A"/>
    <w:rsid w:val="00E3145D"/>
    <w:rsid w:val="00E32BEA"/>
    <w:rsid w:val="00E32F5B"/>
    <w:rsid w:val="00E352EB"/>
    <w:rsid w:val="00E3799F"/>
    <w:rsid w:val="00E37DA2"/>
    <w:rsid w:val="00E4121B"/>
    <w:rsid w:val="00E4286E"/>
    <w:rsid w:val="00E42FA4"/>
    <w:rsid w:val="00E43ACF"/>
    <w:rsid w:val="00E43B5E"/>
    <w:rsid w:val="00E45864"/>
    <w:rsid w:val="00E4622C"/>
    <w:rsid w:val="00E46313"/>
    <w:rsid w:val="00E4708B"/>
    <w:rsid w:val="00E47F40"/>
    <w:rsid w:val="00E51FFB"/>
    <w:rsid w:val="00E52DD3"/>
    <w:rsid w:val="00E53F9C"/>
    <w:rsid w:val="00E542C0"/>
    <w:rsid w:val="00E54704"/>
    <w:rsid w:val="00E5471E"/>
    <w:rsid w:val="00E558A4"/>
    <w:rsid w:val="00E56BF5"/>
    <w:rsid w:val="00E56F5F"/>
    <w:rsid w:val="00E576D9"/>
    <w:rsid w:val="00E615ED"/>
    <w:rsid w:val="00E63D38"/>
    <w:rsid w:val="00E64140"/>
    <w:rsid w:val="00E65C76"/>
    <w:rsid w:val="00E65EA1"/>
    <w:rsid w:val="00E6605D"/>
    <w:rsid w:val="00E6611F"/>
    <w:rsid w:val="00E7124F"/>
    <w:rsid w:val="00E9168B"/>
    <w:rsid w:val="00E91A28"/>
    <w:rsid w:val="00E923A0"/>
    <w:rsid w:val="00E9265B"/>
    <w:rsid w:val="00E926A7"/>
    <w:rsid w:val="00E95253"/>
    <w:rsid w:val="00E95569"/>
    <w:rsid w:val="00E978F3"/>
    <w:rsid w:val="00EA0F88"/>
    <w:rsid w:val="00EA1316"/>
    <w:rsid w:val="00EA1CB1"/>
    <w:rsid w:val="00EA3398"/>
    <w:rsid w:val="00EA6125"/>
    <w:rsid w:val="00EB7B62"/>
    <w:rsid w:val="00EC0435"/>
    <w:rsid w:val="00EC2B2D"/>
    <w:rsid w:val="00EC7180"/>
    <w:rsid w:val="00ED209D"/>
    <w:rsid w:val="00ED3837"/>
    <w:rsid w:val="00ED418D"/>
    <w:rsid w:val="00ED46C4"/>
    <w:rsid w:val="00ED5F88"/>
    <w:rsid w:val="00ED664B"/>
    <w:rsid w:val="00ED7359"/>
    <w:rsid w:val="00ED7C2E"/>
    <w:rsid w:val="00EE0A3D"/>
    <w:rsid w:val="00EE5111"/>
    <w:rsid w:val="00EF157F"/>
    <w:rsid w:val="00EF2527"/>
    <w:rsid w:val="00EF2730"/>
    <w:rsid w:val="00EF28D7"/>
    <w:rsid w:val="00F01D63"/>
    <w:rsid w:val="00F03786"/>
    <w:rsid w:val="00F03AB8"/>
    <w:rsid w:val="00F0507D"/>
    <w:rsid w:val="00F054CD"/>
    <w:rsid w:val="00F05D49"/>
    <w:rsid w:val="00F05E37"/>
    <w:rsid w:val="00F07897"/>
    <w:rsid w:val="00F07EF7"/>
    <w:rsid w:val="00F112AC"/>
    <w:rsid w:val="00F130AD"/>
    <w:rsid w:val="00F2002D"/>
    <w:rsid w:val="00F22093"/>
    <w:rsid w:val="00F227E8"/>
    <w:rsid w:val="00F229A6"/>
    <w:rsid w:val="00F24647"/>
    <w:rsid w:val="00F26374"/>
    <w:rsid w:val="00F26A9F"/>
    <w:rsid w:val="00F272C2"/>
    <w:rsid w:val="00F30C2A"/>
    <w:rsid w:val="00F30DE4"/>
    <w:rsid w:val="00F331B5"/>
    <w:rsid w:val="00F33CC2"/>
    <w:rsid w:val="00F34AF9"/>
    <w:rsid w:val="00F41E62"/>
    <w:rsid w:val="00F45725"/>
    <w:rsid w:val="00F458C1"/>
    <w:rsid w:val="00F45FBD"/>
    <w:rsid w:val="00F47B58"/>
    <w:rsid w:val="00F47BED"/>
    <w:rsid w:val="00F507FA"/>
    <w:rsid w:val="00F53521"/>
    <w:rsid w:val="00F53991"/>
    <w:rsid w:val="00F54CFA"/>
    <w:rsid w:val="00F559B3"/>
    <w:rsid w:val="00F60A72"/>
    <w:rsid w:val="00F61722"/>
    <w:rsid w:val="00F617C6"/>
    <w:rsid w:val="00F6208E"/>
    <w:rsid w:val="00F655EC"/>
    <w:rsid w:val="00F66A33"/>
    <w:rsid w:val="00F66F7C"/>
    <w:rsid w:val="00F708DF"/>
    <w:rsid w:val="00F70BA5"/>
    <w:rsid w:val="00F713FF"/>
    <w:rsid w:val="00F71818"/>
    <w:rsid w:val="00F72706"/>
    <w:rsid w:val="00F73842"/>
    <w:rsid w:val="00F73B39"/>
    <w:rsid w:val="00F74981"/>
    <w:rsid w:val="00F75C04"/>
    <w:rsid w:val="00F81411"/>
    <w:rsid w:val="00F81F50"/>
    <w:rsid w:val="00F85463"/>
    <w:rsid w:val="00F86900"/>
    <w:rsid w:val="00F87E56"/>
    <w:rsid w:val="00F90692"/>
    <w:rsid w:val="00F909DD"/>
    <w:rsid w:val="00F95772"/>
    <w:rsid w:val="00F95EF3"/>
    <w:rsid w:val="00FA0846"/>
    <w:rsid w:val="00FA27ED"/>
    <w:rsid w:val="00FA66A0"/>
    <w:rsid w:val="00FA7352"/>
    <w:rsid w:val="00FB24F5"/>
    <w:rsid w:val="00FB2CA2"/>
    <w:rsid w:val="00FB32A8"/>
    <w:rsid w:val="00FB4289"/>
    <w:rsid w:val="00FB7AFF"/>
    <w:rsid w:val="00FC0149"/>
    <w:rsid w:val="00FC0230"/>
    <w:rsid w:val="00FC160B"/>
    <w:rsid w:val="00FC1824"/>
    <w:rsid w:val="00FC2985"/>
    <w:rsid w:val="00FC7254"/>
    <w:rsid w:val="00FD000E"/>
    <w:rsid w:val="00FD008B"/>
    <w:rsid w:val="00FD0E0E"/>
    <w:rsid w:val="00FD12A2"/>
    <w:rsid w:val="00FD424D"/>
    <w:rsid w:val="00FD4525"/>
    <w:rsid w:val="00FD5803"/>
    <w:rsid w:val="00FE015E"/>
    <w:rsid w:val="00FE2CE3"/>
    <w:rsid w:val="00FE2CF0"/>
    <w:rsid w:val="00FE5271"/>
    <w:rsid w:val="00FE7F11"/>
    <w:rsid w:val="00FF1267"/>
    <w:rsid w:val="00FF20D4"/>
    <w:rsid w:val="00FF2AF6"/>
    <w:rsid w:val="00FF3325"/>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E22A0DF"/>
  <w15:chartTrackingRefBased/>
  <w15:docId w15:val="{D0808682-739C-4A93-8D7D-52FFD61D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AC22BD"/>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AC22BD"/>
    <w:rPr>
      <w:rFonts w:ascii="Arial" w:hAnsi="Arial" w:cs="Arial"/>
      <w:b/>
      <w:bCs/>
      <w:sz w:val="26"/>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F81F50"/>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F81F50"/>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F81F5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F81F50"/>
    <w:pPr>
      <w:numPr>
        <w:numId w:val="2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F81F50"/>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listbull">
    <w:name w:val="list:bull"/>
    <w:basedOn w:val="Normal"/>
    <w:link w:val="listbullChar"/>
    <w:qFormat/>
    <w:rsid w:val="00CA0FA5"/>
    <w:pPr>
      <w:numPr>
        <w:numId w:val="36"/>
      </w:numPr>
      <w:spacing w:after="200" w:line="360" w:lineRule="auto"/>
    </w:pPr>
    <w:rPr>
      <w:rFonts w:ascii="Arial" w:eastAsiaTheme="minorHAnsi" w:hAnsi="Arial" w:cs="Arial"/>
      <w:sz w:val="22"/>
      <w:szCs w:val="22"/>
    </w:rPr>
  </w:style>
  <w:style w:type="character" w:customStyle="1" w:styleId="listbullChar">
    <w:name w:val="list:bull Char"/>
    <w:basedOn w:val="DefaultParagraphFont"/>
    <w:link w:val="listbull"/>
    <w:rsid w:val="00CA0FA5"/>
    <w:rPr>
      <w:rFonts w:ascii="Arial" w:eastAsiaTheme="minorHAnsi" w:hAnsi="Arial" w:cs="Arial"/>
      <w:sz w:val="22"/>
      <w:szCs w:val="22"/>
      <w:lang w:eastAsia="en-US"/>
    </w:rPr>
  </w:style>
  <w:style w:type="paragraph" w:customStyle="1" w:styleId="listindentbull">
    <w:name w:val="list:indent bull"/>
    <w:link w:val="listindentbullChar"/>
    <w:qFormat/>
    <w:rsid w:val="00CA0FA5"/>
    <w:pPr>
      <w:numPr>
        <w:numId w:val="37"/>
      </w:numPr>
      <w:spacing w:after="200" w:line="360" w:lineRule="auto"/>
    </w:pPr>
    <w:rPr>
      <w:rFonts w:ascii="Arial" w:hAnsi="Arial" w:cs="Arial"/>
      <w:noProof/>
      <w:sz w:val="22"/>
      <w:szCs w:val="22"/>
      <w:lang w:eastAsia="en-US"/>
    </w:rPr>
  </w:style>
  <w:style w:type="character" w:customStyle="1" w:styleId="listindentbullChar">
    <w:name w:val="list:indent bull Char"/>
    <w:basedOn w:val="DefaultParagraphFont"/>
    <w:link w:val="listindentbull"/>
    <w:locked/>
    <w:rsid w:val="00CA0FA5"/>
    <w:rPr>
      <w:rFonts w:ascii="Arial" w:hAnsi="Arial" w:cs="Arial"/>
      <w:noProof/>
      <w:sz w:val="22"/>
      <w:szCs w:val="22"/>
      <w:lang w:eastAsia="en-US"/>
    </w:rPr>
  </w:style>
  <w:style w:type="paragraph" w:customStyle="1" w:styleId="Section412paragraphs">
    <w:name w:val="Section 4.1.2 paragraphs"/>
    <w:basedOn w:val="NICEnormal"/>
    <w:rsid w:val="00ED383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54044719">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63724810">
      <w:bodyDiv w:val="1"/>
      <w:marLeft w:val="0"/>
      <w:marRight w:val="0"/>
      <w:marTop w:val="0"/>
      <w:marBottom w:val="0"/>
      <w:divBdr>
        <w:top w:val="none" w:sz="0" w:space="0" w:color="auto"/>
        <w:left w:val="none" w:sz="0" w:space="0" w:color="auto"/>
        <w:bottom w:val="none" w:sz="0" w:space="0" w:color="auto"/>
        <w:right w:val="none" w:sz="0" w:space="0" w:color="auto"/>
      </w:divBdr>
    </w:div>
    <w:div w:id="1908999648">
      <w:bodyDiv w:val="1"/>
      <w:marLeft w:val="0"/>
      <w:marRight w:val="0"/>
      <w:marTop w:val="0"/>
      <w:marBottom w:val="0"/>
      <w:divBdr>
        <w:top w:val="none" w:sz="0" w:space="0" w:color="auto"/>
        <w:left w:val="none" w:sz="0" w:space="0" w:color="auto"/>
        <w:bottom w:val="none" w:sz="0" w:space="0" w:color="auto"/>
        <w:right w:val="none" w:sz="0" w:space="0" w:color="auto"/>
      </w:divBdr>
    </w:div>
    <w:div w:id="1917468317">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ines.org.uk/emc/product/347/smp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technology-appraisal-committ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et-Involved/Meetings-in-public/Technology-appraisal-Committee/Committee-B-Memb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Media/Default/About/what-we-do/NICE-guidance/NICE-technology-appraisal-guidance/cancer-drugs-fund/CDF-comparator-position-statement.pdf" TargetMode="External"/><Relationship Id="rId4" Type="http://schemas.openxmlformats.org/officeDocument/2006/relationships/settings" Target="settings.xml"/><Relationship Id="rId9" Type="http://schemas.openxmlformats.org/officeDocument/2006/relationships/hyperlink" Target="http://www.nice.org.uk/Guidance/GID-tag430/Docume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Global\NICE\NICE%20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template.dotx</Template>
  <TotalTime>1</TotalTime>
  <Pages>18</Pages>
  <Words>4473</Words>
  <Characters>25394</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29808</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Hannah Nicholas</dc:creator>
  <cp:keywords/>
  <cp:lastModifiedBy>Hannah Nicholas</cp:lastModifiedBy>
  <cp:revision>2</cp:revision>
  <cp:lastPrinted>2012-11-14T14:34:00Z</cp:lastPrinted>
  <dcterms:created xsi:type="dcterms:W3CDTF">2020-09-07T11:12:00Z</dcterms:created>
  <dcterms:modified xsi:type="dcterms:W3CDTF">2020-09-07T11:12:00Z</dcterms:modified>
</cp:coreProperties>
</file>