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E852" w14:textId="77777777" w:rsidR="000F2D8A" w:rsidRPr="000F2D8A" w:rsidRDefault="000F2D8A" w:rsidP="003253AC">
      <w:pPr>
        <w:pStyle w:val="Title2"/>
      </w:pPr>
      <w:r w:rsidRPr="000F2D8A">
        <w:t>NATIONAL INSTITUTE FOR HEALTH AND C</w:t>
      </w:r>
      <w:r w:rsidR="00E877D5">
        <w:t>ARE</w:t>
      </w:r>
      <w:r w:rsidRPr="000F2D8A">
        <w:t xml:space="preserve"> EXCELLENCE</w:t>
      </w:r>
    </w:p>
    <w:p w14:paraId="4C828747" w14:textId="77777777" w:rsidR="000F2D8A" w:rsidRPr="000F2D8A" w:rsidRDefault="000F2D8A" w:rsidP="003253AC">
      <w:pPr>
        <w:pStyle w:val="Title2"/>
      </w:pPr>
      <w:r w:rsidRPr="000F2D8A">
        <w:t>Appraisal consultation document</w:t>
      </w:r>
    </w:p>
    <w:p w14:paraId="468C8170" w14:textId="1E632C20" w:rsidR="00BB0F00" w:rsidRPr="000412F6" w:rsidRDefault="000903A3" w:rsidP="000412F6">
      <w:pPr>
        <w:pStyle w:val="Title1"/>
      </w:pPr>
      <w:r w:rsidRPr="000412F6">
        <w:t>Selective internal radiation therapies (SIRT</w:t>
      </w:r>
      <w:r w:rsidR="0046122E">
        <w:t>s</w:t>
      </w:r>
      <w:r w:rsidRPr="000412F6">
        <w:t>) for treating hepatocellular carcinoma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9"/>
      </w:tblGrid>
      <w:tr w:rsidR="00BB0F00" w14:paraId="10876583" w14:textId="77777777" w:rsidTr="003A7701">
        <w:tc>
          <w:tcPr>
            <w:tcW w:w="8529" w:type="dxa"/>
            <w:shd w:val="clear" w:color="auto" w:fill="auto"/>
          </w:tcPr>
          <w:p w14:paraId="3B81B891" w14:textId="2E8AB148" w:rsidR="00BB0F00" w:rsidRPr="00BB0F00" w:rsidRDefault="00BB0F00" w:rsidP="003A7701">
            <w:pPr>
              <w:pStyle w:val="NICEnormalsinglespacing"/>
            </w:pPr>
            <w:r w:rsidRPr="00BB0F00">
              <w:t>The Department of Health</w:t>
            </w:r>
            <w:r w:rsidR="008804C5">
              <w:t xml:space="preserve"> and Social Care</w:t>
            </w:r>
            <w:r w:rsidRPr="00BB0F00">
              <w:t xml:space="preserve"> has asked the National Institute for Health and Care Excellence (NICE) to produce guidance on using </w:t>
            </w:r>
            <w:proofErr w:type="spellStart"/>
            <w:r w:rsidR="00243A38">
              <w:t>QuiremSpheres</w:t>
            </w:r>
            <w:proofErr w:type="spellEnd"/>
            <w:r w:rsidR="00243A38">
              <w:t xml:space="preserve">, </w:t>
            </w:r>
            <w:r w:rsidR="006B745C">
              <w:t>SIR-Spheres</w:t>
            </w:r>
            <w:r w:rsidR="00243A38">
              <w:t xml:space="preserve"> and</w:t>
            </w:r>
            <w:r w:rsidR="006B745C">
              <w:t xml:space="preserve"> </w:t>
            </w:r>
            <w:proofErr w:type="spellStart"/>
            <w:r w:rsidR="006B745C">
              <w:t>TheraSphere</w:t>
            </w:r>
            <w:proofErr w:type="spellEnd"/>
            <w:r w:rsidR="006B745C">
              <w:t xml:space="preserve"> </w:t>
            </w:r>
            <w:r w:rsidRPr="00BB0F00">
              <w:t xml:space="preserve">in the NHS in England. The </w:t>
            </w:r>
            <w:r w:rsidR="009A7EF6">
              <w:t>a</w:t>
            </w:r>
            <w:r w:rsidRPr="00BB0F00">
              <w:t xml:space="preserve">ppraisal </w:t>
            </w:r>
            <w:r w:rsidR="009A7EF6">
              <w:t>c</w:t>
            </w:r>
            <w:r w:rsidRPr="00BB0F00">
              <w:t>ommittee has considered the evidence submitted and the views of non-</w:t>
            </w:r>
            <w:r w:rsidR="00B01F01">
              <w:t>company</w:t>
            </w:r>
            <w:r w:rsidRPr="00BB0F00">
              <w:t xml:space="preserve"> consultees and commentators, clinical </w:t>
            </w:r>
            <w:r w:rsidR="00F62396">
              <w:t>experts</w:t>
            </w:r>
            <w:r w:rsidRPr="00BB0F00">
              <w:t xml:space="preserve"> and patient experts. </w:t>
            </w:r>
          </w:p>
          <w:p w14:paraId="7A92634C" w14:textId="5004060D" w:rsidR="00BB0F00" w:rsidRPr="00BB0F00" w:rsidRDefault="00BB0F00" w:rsidP="003A7701">
            <w:pPr>
              <w:pStyle w:val="NICEnormalsinglespacing"/>
            </w:pPr>
            <w:r w:rsidRPr="003A7701">
              <w:rPr>
                <w:b/>
              </w:rPr>
              <w:t>This document has been prepared for consultation with the consultees.</w:t>
            </w:r>
            <w:r w:rsidRPr="00BB0F00">
              <w:t xml:space="preserve"> It summarises the evidence and views that have been </w:t>
            </w:r>
            <w:proofErr w:type="gramStart"/>
            <w:r w:rsidRPr="00BB0F00">
              <w:t>considered, and</w:t>
            </w:r>
            <w:proofErr w:type="gramEnd"/>
            <w:r w:rsidRPr="00BB0F00">
              <w:t xml:space="preserve"> sets out the recommendations made by the </w:t>
            </w:r>
            <w:r w:rsidR="00335FF9">
              <w:t>c</w:t>
            </w:r>
            <w:r w:rsidRPr="00BB0F00">
              <w:t xml:space="preserve">ommittee. NICE invites comments from the consultees and commentators for this appraisal </w:t>
            </w:r>
            <w:r w:rsidR="000D24AA" w:rsidRPr="00981B9F">
              <w:t>and the public. This document should be read along with the evidence (</w:t>
            </w:r>
            <w:r w:rsidR="00D539F7">
              <w:t xml:space="preserve">see </w:t>
            </w:r>
            <w:r w:rsidR="000D24AA" w:rsidRPr="00981B9F">
              <w:t xml:space="preserve">the </w:t>
            </w:r>
            <w:hyperlink r:id="rId8" w:history="1">
              <w:r w:rsidR="009A7EF6">
                <w:rPr>
                  <w:rStyle w:val="Hyperlink"/>
                </w:rPr>
                <w:t>committee papers</w:t>
              </w:r>
            </w:hyperlink>
            <w:r w:rsidR="000D24AA" w:rsidRPr="00981B9F">
              <w:t>).</w:t>
            </w:r>
          </w:p>
          <w:p w14:paraId="5CF84588" w14:textId="77777777" w:rsidR="00BB0F00" w:rsidRPr="00BB0F00" w:rsidRDefault="00BB0F00" w:rsidP="003A7701">
            <w:pPr>
              <w:pStyle w:val="NICEnormalsinglespacing"/>
            </w:pPr>
            <w:r w:rsidRPr="00BB0F00">
              <w:t xml:space="preserve">The </w:t>
            </w:r>
            <w:r w:rsidR="009A7EF6">
              <w:t>appraisal c</w:t>
            </w:r>
            <w:r w:rsidRPr="00BB0F00">
              <w:t>ommittee is interested in receiving comments on the following:</w:t>
            </w:r>
          </w:p>
          <w:p w14:paraId="3B90540A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 xml:space="preserve">Has </w:t>
            </w:r>
            <w:proofErr w:type="gramStart"/>
            <w:r w:rsidRPr="00276C00">
              <w:t>all of</w:t>
            </w:r>
            <w:proofErr w:type="gramEnd"/>
            <w:r w:rsidRPr="00276C00">
              <w:t xml:space="preserve"> the relevant evidence been taken into account?</w:t>
            </w:r>
          </w:p>
          <w:p w14:paraId="2AF4D11C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>Are the summaries of clinical and cost effectiveness reasonable interpretations of the evidence?</w:t>
            </w:r>
          </w:p>
          <w:p w14:paraId="0D06F1F9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>Are the recommendations sound and a suitable basis for guidance to the NHS?</w:t>
            </w:r>
          </w:p>
          <w:p w14:paraId="5E7D85EB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 xml:space="preserve">Are there any aspects of the recommendations that need </w:t>
            </w:r>
            <w:proofErr w:type="gramStart"/>
            <w:r w:rsidRPr="00276C00">
              <w:t>particular consideration</w:t>
            </w:r>
            <w:proofErr w:type="gramEnd"/>
            <w:r w:rsidRPr="00276C00">
              <w:t xml:space="preserve"> to ensure we avoid unlawful discrimination against any group of people on the grounds of race, gender, disability, religion or belief, sexual orientation, age, gender reassignment, pregnancy and maternity?</w:t>
            </w:r>
          </w:p>
        </w:tc>
      </w:tr>
    </w:tbl>
    <w:p w14:paraId="354DFD9A" w14:textId="77777777" w:rsidR="00BB0F00" w:rsidRDefault="00B01F01" w:rsidP="00652DB1">
      <w:pPr>
        <w:pStyle w:val="Numberedlevel2text"/>
        <w:numPr>
          <w:ilvl w:val="0"/>
          <w:numId w:val="0"/>
        </w:numPr>
        <w:ind w:left="1134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9"/>
      </w:tblGrid>
      <w:tr w:rsidR="00BB0F00" w14:paraId="7D1AF0E4" w14:textId="77777777" w:rsidTr="003A7701">
        <w:tc>
          <w:tcPr>
            <w:tcW w:w="8529" w:type="dxa"/>
            <w:shd w:val="clear" w:color="auto" w:fill="auto"/>
          </w:tcPr>
          <w:p w14:paraId="0C06BA77" w14:textId="77777777" w:rsidR="00BB0F00" w:rsidRPr="00276C00" w:rsidRDefault="00BB0F00" w:rsidP="00276C00">
            <w:pPr>
              <w:pStyle w:val="NICEnormalsinglespacing"/>
              <w:rPr>
                <w:b/>
                <w:bCs/>
              </w:rPr>
            </w:pPr>
            <w:r w:rsidRPr="00276C00">
              <w:rPr>
                <w:b/>
                <w:bCs/>
              </w:rPr>
              <w:lastRenderedPageBreak/>
              <w:t xml:space="preserve">Note that this document is not NICE's final guidance on </w:t>
            </w:r>
            <w:r w:rsidR="006B745C">
              <w:rPr>
                <w:b/>
                <w:bCs/>
              </w:rPr>
              <w:t>these technologies</w:t>
            </w:r>
            <w:r w:rsidRPr="00276C00">
              <w:rPr>
                <w:b/>
                <w:bCs/>
              </w:rPr>
              <w:t>. The recommendations in section 1 may change after consultation.</w:t>
            </w:r>
          </w:p>
          <w:p w14:paraId="792C1F93" w14:textId="77777777" w:rsidR="00BB0F00" w:rsidRPr="00276C00" w:rsidRDefault="00BB0F00" w:rsidP="00276C00">
            <w:pPr>
              <w:pStyle w:val="NICEnormalsinglespacing"/>
            </w:pPr>
            <w:r w:rsidRPr="00276C00">
              <w:t>After consultation:</w:t>
            </w:r>
          </w:p>
          <w:p w14:paraId="2CC43B05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 xml:space="preserve">The </w:t>
            </w:r>
            <w:r w:rsidR="009A7EF6">
              <w:t>a</w:t>
            </w:r>
            <w:r w:rsidRPr="00276C00">
              <w:t xml:space="preserve">ppraisal </w:t>
            </w:r>
            <w:r w:rsidR="009A7EF6">
              <w:t>c</w:t>
            </w:r>
            <w:r w:rsidRPr="00276C00">
              <w:t>ommittee will meet again to consider the evidence, this appraisal consultation document and comments from the consultees.</w:t>
            </w:r>
          </w:p>
          <w:p w14:paraId="7F1908F4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 xml:space="preserve">At that meeting, the </w:t>
            </w:r>
            <w:r w:rsidR="009A7EF6">
              <w:t>c</w:t>
            </w:r>
            <w:r w:rsidRPr="00276C00">
              <w:t>ommittee will also consider comments made by people who are not consultees.</w:t>
            </w:r>
          </w:p>
          <w:p w14:paraId="7E79662F" w14:textId="77777777" w:rsidR="00BB0F00" w:rsidRPr="00276C00" w:rsidRDefault="00BB0F00" w:rsidP="00276C00">
            <w:pPr>
              <w:pStyle w:val="Bulletleft1"/>
              <w:spacing w:line="240" w:lineRule="auto"/>
            </w:pPr>
            <w:r w:rsidRPr="00276C00">
              <w:t xml:space="preserve">After considering these comments, the </w:t>
            </w:r>
            <w:r w:rsidR="009A7EF6">
              <w:t>c</w:t>
            </w:r>
            <w:r w:rsidRPr="00276C00">
              <w:t>ommittee will prepare the final appraisal d</w:t>
            </w:r>
            <w:r w:rsidR="002316F1">
              <w:t>ocument</w:t>
            </w:r>
            <w:r w:rsidRPr="00276C00">
              <w:t>.</w:t>
            </w:r>
          </w:p>
          <w:p w14:paraId="1252087F" w14:textId="63688579" w:rsidR="00BB0F00" w:rsidRPr="00BB0F00" w:rsidRDefault="00BB0F00" w:rsidP="00276C00">
            <w:pPr>
              <w:pStyle w:val="Bulletleft1last"/>
              <w:spacing w:line="240" w:lineRule="auto"/>
            </w:pPr>
            <w:r w:rsidRPr="00BB0F00">
              <w:t xml:space="preserve">Subject to any appeal by consultees, the </w:t>
            </w:r>
            <w:r w:rsidR="005C22B1" w:rsidRPr="00276C00">
              <w:t>final appraisal d</w:t>
            </w:r>
            <w:r w:rsidR="002316F1">
              <w:t>ocument</w:t>
            </w:r>
            <w:r w:rsidRPr="00BB0F00">
              <w:t xml:space="preserve"> may be used as the </w:t>
            </w:r>
            <w:r w:rsidRPr="00276C00">
              <w:t>basis</w:t>
            </w:r>
            <w:r w:rsidRPr="00BB0F00">
              <w:t xml:space="preserve"> for NICE’s guidance on using </w:t>
            </w:r>
            <w:proofErr w:type="spellStart"/>
            <w:r w:rsidR="00404DF9">
              <w:t>QuiremSpheres</w:t>
            </w:r>
            <w:proofErr w:type="spellEnd"/>
            <w:r w:rsidR="00404DF9">
              <w:t xml:space="preserve">, </w:t>
            </w:r>
            <w:r w:rsidR="006B745C">
              <w:t>SIR-Spheres</w:t>
            </w:r>
            <w:r w:rsidR="00404DF9">
              <w:t xml:space="preserve"> and</w:t>
            </w:r>
            <w:r w:rsidR="006B745C">
              <w:t xml:space="preserve"> </w:t>
            </w:r>
            <w:proofErr w:type="spellStart"/>
            <w:r w:rsidR="006B745C">
              <w:t>TheraS</w:t>
            </w:r>
            <w:r w:rsidR="006057AA">
              <w:t>p</w:t>
            </w:r>
            <w:r w:rsidR="006B745C">
              <w:t>here</w:t>
            </w:r>
            <w:proofErr w:type="spellEnd"/>
            <w:r w:rsidR="006B745C">
              <w:t xml:space="preserve"> </w:t>
            </w:r>
            <w:r w:rsidRPr="00BB0F00">
              <w:t xml:space="preserve">in the NHS in England. </w:t>
            </w:r>
          </w:p>
          <w:p w14:paraId="701CA782" w14:textId="77777777" w:rsidR="00BB0F00" w:rsidRPr="00276C00" w:rsidRDefault="00BB0F00" w:rsidP="00276C00">
            <w:pPr>
              <w:pStyle w:val="NICEnormalsinglespacing"/>
            </w:pPr>
            <w:r w:rsidRPr="00276C00">
              <w:t xml:space="preserve">For further details, see </w:t>
            </w:r>
            <w:r w:rsidR="002760B9">
              <w:t>NICE’s</w:t>
            </w:r>
            <w:r w:rsidRPr="00276C00">
              <w:t xml:space="preserve"> </w:t>
            </w:r>
            <w:hyperlink r:id="rId9" w:history="1">
              <w:r w:rsidR="00BB781C" w:rsidRPr="00021681">
                <w:rPr>
                  <w:rStyle w:val="Hyperlink"/>
                </w:rPr>
                <w:t>guide to the processes of technology appraisal</w:t>
              </w:r>
            </w:hyperlink>
            <w:r w:rsidRPr="00276C00">
              <w:t>.</w:t>
            </w:r>
          </w:p>
          <w:p w14:paraId="165308FC" w14:textId="77777777" w:rsidR="00BB0F00" w:rsidRPr="00276C00" w:rsidRDefault="00BB0F00" w:rsidP="00276C00">
            <w:pPr>
              <w:pStyle w:val="NICEnormalsinglespacing"/>
              <w:rPr>
                <w:b/>
                <w:bCs/>
              </w:rPr>
            </w:pPr>
            <w:r w:rsidRPr="00276C00">
              <w:rPr>
                <w:b/>
                <w:bCs/>
              </w:rPr>
              <w:t>The key dates for this appraisal are:</w:t>
            </w:r>
          </w:p>
          <w:p w14:paraId="0A8C6E9C" w14:textId="290A7784" w:rsidR="00BB0F00" w:rsidRPr="00276C00" w:rsidRDefault="00BB0F00" w:rsidP="00276C00">
            <w:pPr>
              <w:pStyle w:val="NICEnormalsinglespacing"/>
            </w:pPr>
            <w:r w:rsidRPr="00276C00">
              <w:t xml:space="preserve">Closing date for comments: </w:t>
            </w:r>
            <w:r w:rsidR="00AC7259">
              <w:t>8 January 2020</w:t>
            </w:r>
          </w:p>
          <w:p w14:paraId="487C1FF4" w14:textId="1197B9CE" w:rsidR="00BB0F00" w:rsidRPr="00276C00" w:rsidRDefault="00BB0F00" w:rsidP="008048B0">
            <w:pPr>
              <w:pStyle w:val="NICEnormalsinglespacing"/>
            </w:pPr>
            <w:r w:rsidRPr="00276C00">
              <w:t xml:space="preserve">Second </w:t>
            </w:r>
            <w:r w:rsidR="009A7EF6">
              <w:t>a</w:t>
            </w:r>
            <w:r w:rsidRPr="00276C00">
              <w:t xml:space="preserve">ppraisal </w:t>
            </w:r>
            <w:r w:rsidR="009A7EF6">
              <w:t>c</w:t>
            </w:r>
            <w:r w:rsidRPr="00276C00">
              <w:t xml:space="preserve">ommittee meeting: </w:t>
            </w:r>
            <w:r w:rsidR="00AC7259">
              <w:t>22</w:t>
            </w:r>
            <w:r w:rsidR="00404DF9">
              <w:t xml:space="preserve"> </w:t>
            </w:r>
            <w:r w:rsidR="00AC7259">
              <w:t>January</w:t>
            </w:r>
            <w:r w:rsidR="00404DF9">
              <w:t xml:space="preserve"> 2020</w:t>
            </w:r>
          </w:p>
          <w:p w14:paraId="5CE29FD7" w14:textId="6A5715FA" w:rsidR="00BB0F00" w:rsidRPr="00276C00" w:rsidRDefault="00DE644A" w:rsidP="008048B0">
            <w:pPr>
              <w:pStyle w:val="NICEnormalsinglespacing"/>
            </w:pPr>
            <w:r w:rsidRPr="00276C00">
              <w:t xml:space="preserve">Details of membership of the </w:t>
            </w:r>
            <w:r>
              <w:t>a</w:t>
            </w:r>
            <w:r w:rsidRPr="00276C00">
              <w:t xml:space="preserve">ppraisal </w:t>
            </w:r>
            <w:r>
              <w:t>c</w:t>
            </w:r>
            <w:r w:rsidRPr="00276C00">
              <w:t xml:space="preserve">ommittee are given in section </w:t>
            </w:r>
            <w:r w:rsidR="003E2004">
              <w:fldChar w:fldCharType="begin"/>
            </w:r>
            <w:r w:rsidR="003E2004">
              <w:instrText xml:space="preserve"> REF _Ref23755622 \r \h </w:instrText>
            </w:r>
            <w:r w:rsidR="003E2004">
              <w:fldChar w:fldCharType="separate"/>
            </w:r>
            <w:r w:rsidR="00D06228">
              <w:t>5</w:t>
            </w:r>
            <w:r w:rsidR="003E2004">
              <w:fldChar w:fldCharType="end"/>
            </w:r>
            <w:r>
              <w:t>.</w:t>
            </w:r>
          </w:p>
        </w:tc>
      </w:tr>
    </w:tbl>
    <w:p w14:paraId="0D98495A" w14:textId="77777777" w:rsidR="00BB0F00" w:rsidRDefault="00BB0F00" w:rsidP="00BB0F00">
      <w:pPr>
        <w:pStyle w:val="NICEnormal"/>
      </w:pPr>
    </w:p>
    <w:p w14:paraId="2642B22D" w14:textId="77777777" w:rsidR="000F2D8A" w:rsidRPr="000F2D8A" w:rsidRDefault="00B01F01" w:rsidP="00B76ABD">
      <w:pPr>
        <w:pStyle w:val="Numberedheading1"/>
      </w:pPr>
      <w:r>
        <w:br w:type="page"/>
      </w:r>
      <w:r w:rsidR="00B8229E">
        <w:lastRenderedPageBreak/>
        <w:t>R</w:t>
      </w:r>
      <w:r w:rsidR="000F2D8A" w:rsidRPr="000F2D8A">
        <w:t>ecommendations</w:t>
      </w:r>
    </w:p>
    <w:p w14:paraId="48A3ED2F" w14:textId="4DBDD4DF" w:rsidR="00CE0399" w:rsidRDefault="00404DF9" w:rsidP="00AC7259">
      <w:pPr>
        <w:pStyle w:val="Numberedlevel2text"/>
      </w:pPr>
      <w:r>
        <w:t>The s</w:t>
      </w:r>
      <w:r w:rsidR="004C4481">
        <w:t>elective internal radiation therapies</w:t>
      </w:r>
      <w:r w:rsidR="00CE0399" w:rsidRPr="00F765C7">
        <w:t xml:space="preserve"> </w:t>
      </w:r>
      <w:r>
        <w:t xml:space="preserve">(SIRTs) </w:t>
      </w:r>
      <w:proofErr w:type="spellStart"/>
      <w:r>
        <w:rPr>
          <w:lang w:val="en-US"/>
        </w:rPr>
        <w:t>QuiremSpheres</w:t>
      </w:r>
      <w:proofErr w:type="spellEnd"/>
      <w:r>
        <w:rPr>
          <w:lang w:val="en-US"/>
        </w:rPr>
        <w:t>, SIR</w:t>
      </w:r>
      <w:r>
        <w:rPr>
          <w:lang w:val="en-US"/>
        </w:rPr>
        <w:noBreakHyphen/>
        <w:t xml:space="preserve">Spheres and </w:t>
      </w:r>
      <w:proofErr w:type="spellStart"/>
      <w:r>
        <w:rPr>
          <w:lang w:val="en-US"/>
        </w:rPr>
        <w:t>TheraSphere</w:t>
      </w:r>
      <w:proofErr w:type="spellEnd"/>
      <w:r>
        <w:rPr>
          <w:lang w:val="en-US"/>
        </w:rPr>
        <w:t xml:space="preserve"> </w:t>
      </w:r>
      <w:r w:rsidR="004C4481">
        <w:t>are</w:t>
      </w:r>
      <w:r w:rsidR="00CE0399" w:rsidRPr="00F765C7">
        <w:t xml:space="preserve"> </w:t>
      </w:r>
      <w:r w:rsidR="005C22B1">
        <w:t xml:space="preserve">not </w:t>
      </w:r>
      <w:r w:rsidR="00CE0399" w:rsidRPr="00F765C7">
        <w:t xml:space="preserve">recommended, within </w:t>
      </w:r>
      <w:r w:rsidR="004C4481">
        <w:t xml:space="preserve">their </w:t>
      </w:r>
      <w:r>
        <w:t>CE marking</w:t>
      </w:r>
      <w:r w:rsidR="00CE0399" w:rsidRPr="00F765C7">
        <w:t xml:space="preserve">, for treating </w:t>
      </w:r>
      <w:r w:rsidR="004C4481">
        <w:t>hepatocellular carcinoma</w:t>
      </w:r>
      <w:r w:rsidR="005C22B1">
        <w:t xml:space="preserve"> in </w:t>
      </w:r>
      <w:r w:rsidR="004C4481">
        <w:t>adults</w:t>
      </w:r>
      <w:r w:rsidR="00CE0399" w:rsidRPr="00F765C7">
        <w:t>.</w:t>
      </w:r>
    </w:p>
    <w:p w14:paraId="0F304190" w14:textId="77777777" w:rsidR="00D7603E" w:rsidRPr="004C37C2" w:rsidRDefault="00D7603E" w:rsidP="004C37C2">
      <w:pPr>
        <w:pStyle w:val="NICEnormal"/>
        <w:rPr>
          <w:b/>
        </w:rPr>
      </w:pPr>
      <w:r w:rsidRPr="004C37C2">
        <w:rPr>
          <w:b/>
        </w:rPr>
        <w:t>Why the committee made these recommendations</w:t>
      </w:r>
    </w:p>
    <w:p w14:paraId="494FE430" w14:textId="2A1B45C8" w:rsidR="00D7603E" w:rsidRDefault="003E2004" w:rsidP="00D23F2C">
      <w:pPr>
        <w:pStyle w:val="NICEnormalindented"/>
      </w:pPr>
      <w:r w:rsidRPr="003E2004">
        <w:t xml:space="preserve">Treatment for </w:t>
      </w:r>
      <w:r>
        <w:t>h</w:t>
      </w:r>
      <w:r w:rsidDel="008118EC">
        <w:t xml:space="preserve">epatocellular carcinoma </w:t>
      </w:r>
      <w:r>
        <w:t>(</w:t>
      </w:r>
      <w:r w:rsidRPr="003E2004">
        <w:t>HCC</w:t>
      </w:r>
      <w:r>
        <w:t>)</w:t>
      </w:r>
      <w:r w:rsidRPr="003E2004">
        <w:t xml:space="preserve"> depends on the </w:t>
      </w:r>
      <w:r w:rsidR="00150DBD">
        <w:t xml:space="preserve">stage of </w:t>
      </w:r>
      <w:r w:rsidRPr="003E2004">
        <w:t xml:space="preserve">cancer and </w:t>
      </w:r>
      <w:r w:rsidR="00366E08">
        <w:t xml:space="preserve">the </w:t>
      </w:r>
      <w:r w:rsidRPr="003E2004">
        <w:t>liver function.</w:t>
      </w:r>
      <w:r>
        <w:t xml:space="preserve"> </w:t>
      </w:r>
      <w:r w:rsidR="00AC7259">
        <w:t>It</w:t>
      </w:r>
      <w:r w:rsidR="00B239C6">
        <w:t xml:space="preserve"> include</w:t>
      </w:r>
      <w:r w:rsidR="00CC12CE">
        <w:t>s</w:t>
      </w:r>
      <w:r w:rsidR="00B239C6">
        <w:t xml:space="preserve"> </w:t>
      </w:r>
      <w:r w:rsidR="00201FE6">
        <w:t>surgery</w:t>
      </w:r>
      <w:r w:rsidR="00150DBD">
        <w:t>,</w:t>
      </w:r>
      <w:r w:rsidR="00201FE6">
        <w:t xml:space="preserve"> ablation, </w:t>
      </w:r>
      <w:proofErr w:type="spellStart"/>
      <w:r w:rsidR="00201FE6" w:rsidRPr="00201FE6">
        <w:t>transarterial</w:t>
      </w:r>
      <w:proofErr w:type="spellEnd"/>
      <w:r w:rsidR="00201FE6" w:rsidRPr="00201FE6">
        <w:t xml:space="preserve"> therapies</w:t>
      </w:r>
      <w:r w:rsidR="00201FE6">
        <w:t>, chemotherapy</w:t>
      </w:r>
      <w:r w:rsidR="00150DBD">
        <w:t xml:space="preserve"> (such as </w:t>
      </w:r>
      <w:proofErr w:type="spellStart"/>
      <w:r w:rsidR="00150DBD">
        <w:t>lenvatinib</w:t>
      </w:r>
      <w:proofErr w:type="spellEnd"/>
      <w:r w:rsidR="00150DBD">
        <w:t xml:space="preserve"> and sorafenib)</w:t>
      </w:r>
      <w:r w:rsidR="00201FE6">
        <w:t xml:space="preserve"> and best supportive care. T</w:t>
      </w:r>
      <w:r w:rsidR="00201FE6" w:rsidRPr="00201FE6">
        <w:t xml:space="preserve">reatment </w:t>
      </w:r>
      <w:r w:rsidR="00CC12CE">
        <w:t>does not cure the disease</w:t>
      </w:r>
      <w:r w:rsidR="00201FE6" w:rsidRPr="00201FE6">
        <w:t xml:space="preserve"> for </w:t>
      </w:r>
      <w:r w:rsidR="009E2B4D">
        <w:t>most</w:t>
      </w:r>
      <w:r w:rsidR="00201FE6" w:rsidRPr="00201FE6">
        <w:t xml:space="preserve"> people.</w:t>
      </w:r>
    </w:p>
    <w:p w14:paraId="4E9B70A9" w14:textId="717820A6" w:rsidR="002657F7" w:rsidRDefault="00243A38" w:rsidP="00D23F2C">
      <w:pPr>
        <w:pStyle w:val="NICEnormalindented"/>
      </w:pPr>
      <w:proofErr w:type="spellStart"/>
      <w:r>
        <w:t>QuiremSpheres</w:t>
      </w:r>
      <w:proofErr w:type="spellEnd"/>
      <w:r>
        <w:t xml:space="preserve">, </w:t>
      </w:r>
      <w:r w:rsidR="002657F7">
        <w:t>SIR-Spheres</w:t>
      </w:r>
      <w:r>
        <w:t xml:space="preserve"> and</w:t>
      </w:r>
      <w:r w:rsidR="002657F7">
        <w:t xml:space="preserve"> </w:t>
      </w:r>
      <w:proofErr w:type="spellStart"/>
      <w:r w:rsidR="002657F7">
        <w:t>TheraSphere</w:t>
      </w:r>
      <w:proofErr w:type="spellEnd"/>
      <w:r w:rsidR="002657F7">
        <w:t xml:space="preserve"> </w:t>
      </w:r>
      <w:r w:rsidR="00F500D8">
        <w:t>are</w:t>
      </w:r>
      <w:r w:rsidR="002657F7">
        <w:t xml:space="preserve"> SIRTs</w:t>
      </w:r>
      <w:r w:rsidR="00F500D8">
        <w:t>. These</w:t>
      </w:r>
      <w:r w:rsidR="002657F7" w:rsidRPr="002657F7">
        <w:t xml:space="preserve"> </w:t>
      </w:r>
      <w:r w:rsidR="002657F7">
        <w:t xml:space="preserve">are small radioactive beads that </w:t>
      </w:r>
      <w:r w:rsidR="00CC12CE">
        <w:t xml:space="preserve">are injected into the liver’s </w:t>
      </w:r>
      <w:r w:rsidR="002657F7">
        <w:t xml:space="preserve">blood </w:t>
      </w:r>
      <w:r w:rsidR="00CC12CE">
        <w:t xml:space="preserve">supply </w:t>
      </w:r>
      <w:r w:rsidR="002657F7">
        <w:t xml:space="preserve">to treat liver cancer. </w:t>
      </w:r>
      <w:r w:rsidR="00CC12CE">
        <w:t xml:space="preserve">In clinical trials, </w:t>
      </w:r>
      <w:r w:rsidR="002657F7">
        <w:t xml:space="preserve">SIR-Spheres </w:t>
      </w:r>
      <w:r w:rsidR="00CC12CE">
        <w:t xml:space="preserve">has </w:t>
      </w:r>
      <w:r w:rsidR="002657F7">
        <w:t xml:space="preserve">not been shown to improve survival compared </w:t>
      </w:r>
      <w:r w:rsidR="000412F6">
        <w:t>with</w:t>
      </w:r>
      <w:r w:rsidR="002657F7">
        <w:t xml:space="preserve"> available treatment options. </w:t>
      </w:r>
      <w:r w:rsidR="00F500D8">
        <w:t>T</w:t>
      </w:r>
      <w:r w:rsidR="002657F7">
        <w:t xml:space="preserve">here is </w:t>
      </w:r>
      <w:r w:rsidR="0045516A">
        <w:t>very limited</w:t>
      </w:r>
      <w:r w:rsidR="00CC12CE">
        <w:t xml:space="preserve"> </w:t>
      </w:r>
      <w:r w:rsidR="002657F7">
        <w:t xml:space="preserve">clinical evidence </w:t>
      </w:r>
      <w:r w:rsidR="00CC12CE">
        <w:t xml:space="preserve">to compare the effectiveness of </w:t>
      </w:r>
      <w:proofErr w:type="spellStart"/>
      <w:r w:rsidR="000412F6">
        <w:t>QuiremSpheres</w:t>
      </w:r>
      <w:proofErr w:type="spellEnd"/>
      <w:r w:rsidR="000412F6">
        <w:t xml:space="preserve"> and </w:t>
      </w:r>
      <w:proofErr w:type="spellStart"/>
      <w:r w:rsidR="002657F7">
        <w:t>TheraSphere</w:t>
      </w:r>
      <w:proofErr w:type="spellEnd"/>
      <w:r w:rsidR="002657F7">
        <w:t xml:space="preserve"> </w:t>
      </w:r>
      <w:r w:rsidR="000412F6">
        <w:t>with</w:t>
      </w:r>
      <w:r w:rsidR="002657F7">
        <w:t xml:space="preserve"> </w:t>
      </w:r>
      <w:r w:rsidR="00CC12CE">
        <w:t xml:space="preserve">other </w:t>
      </w:r>
      <w:r w:rsidR="002657F7">
        <w:t>treatment</w:t>
      </w:r>
      <w:r w:rsidR="00CC12CE">
        <w:t>s.</w:t>
      </w:r>
      <w:r w:rsidR="003F2BFA">
        <w:t xml:space="preserve"> </w:t>
      </w:r>
      <w:r w:rsidR="00CC12CE">
        <w:t xml:space="preserve">Also, </w:t>
      </w:r>
      <w:r w:rsidR="00DB0003">
        <w:t xml:space="preserve">there </w:t>
      </w:r>
      <w:r w:rsidR="00150DBD">
        <w:t xml:space="preserve">are </w:t>
      </w:r>
      <w:r w:rsidR="00DB0003">
        <w:t xml:space="preserve">not enough data to </w:t>
      </w:r>
      <w:r w:rsidR="00150DBD">
        <w:t xml:space="preserve">compare </w:t>
      </w:r>
      <w:r w:rsidR="00DB0003">
        <w:t>the effectiveness of the 3 SIRTs with each other.</w:t>
      </w:r>
    </w:p>
    <w:p w14:paraId="33110E15" w14:textId="103E53B5" w:rsidR="00F500D8" w:rsidRPr="003E2004" w:rsidRDefault="000412F6" w:rsidP="00D23F2C">
      <w:pPr>
        <w:pStyle w:val="NICEnormalindented"/>
      </w:pPr>
      <w:r w:rsidRPr="000412F6">
        <w:t xml:space="preserve">There </w:t>
      </w:r>
      <w:r w:rsidR="00CC12CE">
        <w:t>is</w:t>
      </w:r>
      <w:r w:rsidR="00CC12CE" w:rsidRPr="000412F6">
        <w:t xml:space="preserve"> </w:t>
      </w:r>
      <w:r w:rsidR="00150DBD">
        <w:t xml:space="preserve">not enough evidence to </w:t>
      </w:r>
      <w:r w:rsidR="00BD1A25">
        <w:t>consider</w:t>
      </w:r>
      <w:r w:rsidRPr="000412F6">
        <w:t xml:space="preserve"> SIRTs </w:t>
      </w:r>
      <w:r w:rsidR="00BD1A25">
        <w:t>a</w:t>
      </w:r>
      <w:r w:rsidR="00BD1A25" w:rsidRPr="000412F6">
        <w:t xml:space="preserve"> </w:t>
      </w:r>
      <w:r w:rsidRPr="000412F6">
        <w:t>cost</w:t>
      </w:r>
      <w:r w:rsidR="00C15B87">
        <w:noBreakHyphen/>
      </w:r>
      <w:r w:rsidRPr="000412F6">
        <w:t>effective</w:t>
      </w:r>
      <w:r w:rsidR="00BD1A25">
        <w:t xml:space="preserve"> use of NHS resources</w:t>
      </w:r>
      <w:r w:rsidRPr="000412F6">
        <w:t xml:space="preserve"> for </w:t>
      </w:r>
      <w:r>
        <w:t>early and intermediate stage HCC</w:t>
      </w:r>
      <w:r w:rsidRPr="000412F6">
        <w:t xml:space="preserve">. For people with </w:t>
      </w:r>
      <w:r>
        <w:t>advanced stage HCC</w:t>
      </w:r>
      <w:r w:rsidR="00BD1A25">
        <w:t>, the</w:t>
      </w:r>
      <w:r w:rsidRPr="000412F6">
        <w:t xml:space="preserve"> economic analysis shows </w:t>
      </w:r>
      <w:r w:rsidR="00F16B4E">
        <w:t xml:space="preserve">that </w:t>
      </w:r>
      <w:r w:rsidR="00F500D8">
        <w:t xml:space="preserve">SIRTs are </w:t>
      </w:r>
      <w:r w:rsidR="0045516A">
        <w:t>less</w:t>
      </w:r>
      <w:r w:rsidR="00CC12CE">
        <w:t xml:space="preserve"> clinically effective </w:t>
      </w:r>
      <w:r w:rsidR="00F16B4E">
        <w:t xml:space="preserve">and </w:t>
      </w:r>
      <w:r w:rsidR="002C3A3A">
        <w:t xml:space="preserve">cost </w:t>
      </w:r>
      <w:r w:rsidR="00F16B4E">
        <w:t xml:space="preserve">more than </w:t>
      </w:r>
      <w:proofErr w:type="spellStart"/>
      <w:r w:rsidR="006057AA">
        <w:t>lenvatinib</w:t>
      </w:r>
      <w:proofErr w:type="spellEnd"/>
      <w:r w:rsidR="006057AA">
        <w:t xml:space="preserve"> or sorafenib</w:t>
      </w:r>
      <w:r w:rsidR="00F16B4E">
        <w:t>. Because of this</w:t>
      </w:r>
      <w:r w:rsidR="00CC12CE">
        <w:t>,</w:t>
      </w:r>
      <w:r w:rsidR="00F16B4E">
        <w:t xml:space="preserve"> SIRTs </w:t>
      </w:r>
      <w:r w:rsidR="00CC12CE">
        <w:t xml:space="preserve">are not </w:t>
      </w:r>
      <w:r w:rsidR="00F16B4E">
        <w:t>recommended.</w:t>
      </w:r>
    </w:p>
    <w:p w14:paraId="18F1EC18" w14:textId="61D8D7F3" w:rsidR="000F2D8A" w:rsidRDefault="00E06FDE" w:rsidP="003253AC">
      <w:pPr>
        <w:pStyle w:val="Numberedheading1"/>
      </w:pPr>
      <w:r>
        <w:t xml:space="preserve">Information about </w:t>
      </w:r>
      <w:proofErr w:type="spellStart"/>
      <w:r w:rsidR="00150DBD">
        <w:t>QuiremSphere</w:t>
      </w:r>
      <w:proofErr w:type="spellEnd"/>
      <w:r w:rsidR="00150DBD">
        <w:t xml:space="preserve">, </w:t>
      </w:r>
      <w:r w:rsidR="000903A3">
        <w:t xml:space="preserve">SIR-Spheres </w:t>
      </w:r>
      <w:r w:rsidR="00150DBD">
        <w:t xml:space="preserve">and </w:t>
      </w:r>
      <w:proofErr w:type="spellStart"/>
      <w:r w:rsidR="000903A3">
        <w:t>TheraSphere</w:t>
      </w:r>
      <w:proofErr w:type="spellEnd"/>
      <w:r w:rsidR="000903A3">
        <w:t xml:space="preserve"> </w:t>
      </w:r>
    </w:p>
    <w:tbl>
      <w:tblPr>
        <w:tblpPr w:leftFromText="180" w:rightFromText="180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44"/>
      </w:tblGrid>
      <w:tr w:rsidR="00987ED9" w14:paraId="738FFB9A" w14:textId="77777777" w:rsidTr="00987ED9">
        <w:trPr>
          <w:trHeight w:val="274"/>
        </w:trPr>
        <w:tc>
          <w:tcPr>
            <w:tcW w:w="8529" w:type="dxa"/>
            <w:gridSpan w:val="2"/>
            <w:shd w:val="clear" w:color="auto" w:fill="auto"/>
          </w:tcPr>
          <w:p w14:paraId="78C9DF7F" w14:textId="77777777" w:rsidR="00987ED9" w:rsidRPr="00F16B4E" w:rsidRDefault="00987ED9" w:rsidP="00987ED9">
            <w:pPr>
              <w:pStyle w:val="Tabletext"/>
              <w:contextualSpacing/>
              <w:rPr>
                <w:b/>
                <w:bCs/>
              </w:rPr>
            </w:pPr>
            <w:proofErr w:type="spellStart"/>
            <w:r w:rsidRPr="00F16B4E">
              <w:rPr>
                <w:b/>
                <w:bCs/>
              </w:rPr>
              <w:t>QuiremSpheres</w:t>
            </w:r>
            <w:proofErr w:type="spellEnd"/>
            <w:r w:rsidRPr="00F16B4E">
              <w:rPr>
                <w:b/>
                <w:bCs/>
              </w:rPr>
              <w:t xml:space="preserve"> (Terumo Europe)</w:t>
            </w:r>
          </w:p>
        </w:tc>
      </w:tr>
      <w:tr w:rsidR="00987ED9" w14:paraId="473DEB8E" w14:textId="77777777" w:rsidTr="00987ED9">
        <w:tc>
          <w:tcPr>
            <w:tcW w:w="3085" w:type="dxa"/>
            <w:shd w:val="clear" w:color="auto" w:fill="auto"/>
          </w:tcPr>
          <w:p w14:paraId="75B43582" w14:textId="77777777" w:rsidR="00987ED9" w:rsidRPr="000903A3" w:rsidRDefault="00987ED9" w:rsidP="00987ED9">
            <w:pPr>
              <w:pStyle w:val="Tabletext"/>
              <w:contextualSpacing/>
              <w:rPr>
                <w:b/>
                <w:bCs/>
              </w:rPr>
            </w:pPr>
            <w:r w:rsidRPr="000903A3">
              <w:rPr>
                <w:b/>
                <w:bCs/>
              </w:rPr>
              <w:t>CE marking</w:t>
            </w:r>
          </w:p>
        </w:tc>
        <w:tc>
          <w:tcPr>
            <w:tcW w:w="5444" w:type="dxa"/>
            <w:shd w:val="clear" w:color="auto" w:fill="auto"/>
          </w:tcPr>
          <w:p w14:paraId="1D75B217" w14:textId="24E8D1C7" w:rsidR="00987ED9" w:rsidRDefault="00987ED9" w:rsidP="00987ED9">
            <w:pPr>
              <w:pStyle w:val="Tabletext"/>
              <w:contextualSpacing/>
            </w:pPr>
            <w:proofErr w:type="spellStart"/>
            <w:r w:rsidRPr="00813191">
              <w:t>QuiremSpheres</w:t>
            </w:r>
            <w:proofErr w:type="spellEnd"/>
            <w:r w:rsidRPr="00813191">
              <w:t xml:space="preserve"> received</w:t>
            </w:r>
            <w:r>
              <w:t xml:space="preserve"> its</w:t>
            </w:r>
            <w:r w:rsidRPr="00813191">
              <w:t xml:space="preserve"> CE </w:t>
            </w:r>
            <w:r>
              <w:t>m</w:t>
            </w:r>
            <w:r w:rsidRPr="00813191">
              <w:t>ark on 1</w:t>
            </w:r>
            <w:r>
              <w:t> </w:t>
            </w:r>
            <w:r w:rsidRPr="00813191">
              <w:t>April 2015</w:t>
            </w:r>
            <w:r>
              <w:t>.</w:t>
            </w:r>
            <w:r w:rsidRPr="00813191">
              <w:t xml:space="preserve"> </w:t>
            </w:r>
            <w:r>
              <w:t xml:space="preserve">It </w:t>
            </w:r>
            <w:r w:rsidRPr="00813191">
              <w:t xml:space="preserve">is classified as an Active Implantable Medical Device (AIMD) </w:t>
            </w:r>
            <w:r>
              <w:t>by Council</w:t>
            </w:r>
            <w:r w:rsidRPr="00813191">
              <w:t xml:space="preserve"> Directive 90/385/EEC. </w:t>
            </w:r>
            <w:r>
              <w:t>It is indicated for treating</w:t>
            </w:r>
            <w:r w:rsidRPr="00F16B4E">
              <w:t xml:space="preserve"> unresectable liver tumours</w:t>
            </w:r>
            <w:r>
              <w:t>.</w:t>
            </w:r>
          </w:p>
        </w:tc>
      </w:tr>
      <w:tr w:rsidR="00987ED9" w14:paraId="119B9DC9" w14:textId="77777777" w:rsidTr="00987ED9">
        <w:tc>
          <w:tcPr>
            <w:tcW w:w="3085" w:type="dxa"/>
            <w:shd w:val="clear" w:color="auto" w:fill="auto"/>
          </w:tcPr>
          <w:p w14:paraId="2D828034" w14:textId="77777777" w:rsidR="00987ED9" w:rsidRPr="00FB6CBF" w:rsidRDefault="00987ED9" w:rsidP="00987ED9">
            <w:pPr>
              <w:pStyle w:val="Tabletext"/>
              <w:contextualSpacing/>
              <w:rPr>
                <w:b/>
              </w:rPr>
            </w:pPr>
            <w:r>
              <w:rPr>
                <w:b/>
              </w:rPr>
              <w:lastRenderedPageBreak/>
              <w:t>Dosage in the CE mark</w:t>
            </w:r>
          </w:p>
        </w:tc>
        <w:tc>
          <w:tcPr>
            <w:tcW w:w="5444" w:type="dxa"/>
            <w:shd w:val="clear" w:color="auto" w:fill="auto"/>
          </w:tcPr>
          <w:p w14:paraId="027D07A9" w14:textId="1A34AF75" w:rsidR="00987ED9" w:rsidRDefault="00987ED9" w:rsidP="00987ED9">
            <w:pPr>
              <w:pStyle w:val="Tabletext"/>
              <w:contextualSpacing/>
            </w:pPr>
            <w:r>
              <w:t>The company has stated that the</w:t>
            </w:r>
            <w:r w:rsidRPr="008F1596">
              <w:t xml:space="preserve"> typical number of particles that are </w:t>
            </w:r>
            <w:r>
              <w:t>given</w:t>
            </w:r>
            <w:r w:rsidRPr="008F1596">
              <w:t xml:space="preserve"> </w:t>
            </w:r>
            <w:r>
              <w:t>by</w:t>
            </w:r>
            <w:r w:rsidRPr="008F1596">
              <w:t xml:space="preserve"> </w:t>
            </w:r>
            <w:proofErr w:type="spellStart"/>
            <w:r w:rsidRPr="008F1596">
              <w:t>QuiremSpheres</w:t>
            </w:r>
            <w:proofErr w:type="spellEnd"/>
            <w:r>
              <w:t xml:space="preserve"> </w:t>
            </w:r>
            <w:r w:rsidRPr="008F1596">
              <w:t>is approximately 20</w:t>
            </w:r>
            <w:r>
              <w:t xml:space="preserve"> to </w:t>
            </w:r>
            <w:r w:rsidRPr="008F1596">
              <w:t>30</w:t>
            </w:r>
            <w:r>
              <w:t> </w:t>
            </w:r>
            <w:r w:rsidRPr="008F1596">
              <w:t>million</w:t>
            </w:r>
            <w:r>
              <w:t>.</w:t>
            </w:r>
          </w:p>
        </w:tc>
      </w:tr>
      <w:tr w:rsidR="00987ED9" w14:paraId="07BDDEDD" w14:textId="77777777" w:rsidTr="00987ED9">
        <w:tc>
          <w:tcPr>
            <w:tcW w:w="3085" w:type="dxa"/>
            <w:shd w:val="clear" w:color="auto" w:fill="auto"/>
          </w:tcPr>
          <w:p w14:paraId="1A00F520" w14:textId="77777777" w:rsidR="00987ED9" w:rsidRPr="00FB6CBF" w:rsidRDefault="00987ED9" w:rsidP="00987ED9">
            <w:pPr>
              <w:pStyle w:val="Tabletext"/>
              <w:contextualSpacing/>
              <w:rPr>
                <w:b/>
              </w:rPr>
            </w:pPr>
            <w:r w:rsidRPr="00FB6CBF">
              <w:rPr>
                <w:b/>
              </w:rPr>
              <w:t>Price</w:t>
            </w:r>
          </w:p>
        </w:tc>
        <w:tc>
          <w:tcPr>
            <w:tcW w:w="5444" w:type="dxa"/>
            <w:shd w:val="clear" w:color="auto" w:fill="auto"/>
          </w:tcPr>
          <w:p w14:paraId="01CD5C26" w14:textId="77777777" w:rsidR="00987ED9" w:rsidRDefault="00987ED9" w:rsidP="00987ED9">
            <w:pPr>
              <w:pStyle w:val="Tabletext"/>
              <w:contextualSpacing/>
            </w:pPr>
            <w:r w:rsidRPr="002F2ADC">
              <w:t xml:space="preserve">The company has stated that the cost of </w:t>
            </w:r>
            <w:proofErr w:type="spellStart"/>
            <w:r>
              <w:t>Quirem</w:t>
            </w:r>
            <w:r w:rsidRPr="002F2ADC">
              <w:t>Spheres</w:t>
            </w:r>
            <w:proofErr w:type="spellEnd"/>
            <w:r w:rsidRPr="002F2ADC">
              <w:t xml:space="preserve"> is £9,896</w:t>
            </w:r>
            <w:r>
              <w:t xml:space="preserve"> </w:t>
            </w:r>
            <w:r w:rsidRPr="002F2ADC">
              <w:t>for a single treatment.</w:t>
            </w:r>
          </w:p>
          <w:p w14:paraId="76D2957D" w14:textId="3E54CB96" w:rsidR="00987ED9" w:rsidRDefault="00987ED9" w:rsidP="00987ED9">
            <w:pPr>
              <w:pStyle w:val="Tabletext"/>
              <w:contextualSpacing/>
            </w:pPr>
            <w:r>
              <w:t>The company has a commercial arrangement (simple discount patient access scheme), which would have applied if the technology had been recommended.</w:t>
            </w:r>
          </w:p>
        </w:tc>
      </w:tr>
    </w:tbl>
    <w:p w14:paraId="13FB025A" w14:textId="14F7E648" w:rsidR="00BC18D2" w:rsidRPr="00BC18D2" w:rsidRDefault="00BC18D2" w:rsidP="004573BE">
      <w:pPr>
        <w:pStyle w:val="NICEnormal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44"/>
      </w:tblGrid>
      <w:tr w:rsidR="00D03FA7" w:rsidRPr="00CD292F" w14:paraId="7ECBBA87" w14:textId="77777777" w:rsidTr="00D03FA7">
        <w:trPr>
          <w:trHeight w:val="274"/>
        </w:trPr>
        <w:tc>
          <w:tcPr>
            <w:tcW w:w="8529" w:type="dxa"/>
            <w:gridSpan w:val="2"/>
            <w:shd w:val="clear" w:color="auto" w:fill="auto"/>
          </w:tcPr>
          <w:p w14:paraId="1DA9310E" w14:textId="54B6F877" w:rsidR="00D03FA7" w:rsidRPr="00CD292F" w:rsidRDefault="00D03FA7" w:rsidP="00745ED4">
            <w:pPr>
              <w:pStyle w:val="Tabletext"/>
              <w:rPr>
                <w:rFonts w:cs="Arial"/>
                <w:b/>
                <w:bCs/>
              </w:rPr>
            </w:pPr>
            <w:r w:rsidRPr="00CD292F">
              <w:rPr>
                <w:rFonts w:cs="Arial"/>
                <w:b/>
                <w:bCs/>
              </w:rPr>
              <w:t>SIR-Spheres (SIRTEX)</w:t>
            </w:r>
          </w:p>
        </w:tc>
      </w:tr>
      <w:tr w:rsidR="00987ED9" w:rsidRPr="00CD292F" w14:paraId="6B9AE0AA" w14:textId="77777777" w:rsidTr="00FF52F3">
        <w:tc>
          <w:tcPr>
            <w:tcW w:w="3085" w:type="dxa"/>
            <w:shd w:val="clear" w:color="auto" w:fill="auto"/>
          </w:tcPr>
          <w:p w14:paraId="1F9601ED" w14:textId="77777777" w:rsidR="00987ED9" w:rsidRPr="00CD292F" w:rsidRDefault="00987ED9" w:rsidP="00987ED9">
            <w:pPr>
              <w:pStyle w:val="Tabletext"/>
              <w:rPr>
                <w:rFonts w:cs="Arial"/>
                <w:b/>
                <w:bCs/>
              </w:rPr>
            </w:pPr>
            <w:r w:rsidRPr="00CD292F">
              <w:rPr>
                <w:rFonts w:cs="Arial"/>
                <w:b/>
                <w:bCs/>
              </w:rPr>
              <w:t>CE marking</w:t>
            </w:r>
          </w:p>
        </w:tc>
        <w:tc>
          <w:tcPr>
            <w:tcW w:w="5444" w:type="dxa"/>
            <w:shd w:val="clear" w:color="auto" w:fill="auto"/>
          </w:tcPr>
          <w:p w14:paraId="3AD07EBD" w14:textId="2F7A7A2F" w:rsidR="00987ED9" w:rsidRPr="00CD292F" w:rsidRDefault="00987ED9" w:rsidP="00987ED9">
            <w:pPr>
              <w:pStyle w:val="Tabletext"/>
              <w:rPr>
                <w:rFonts w:cs="Arial"/>
              </w:rPr>
            </w:pPr>
            <w:r w:rsidRPr="00CD292F">
              <w:rPr>
                <w:rFonts w:cs="Arial"/>
              </w:rPr>
              <w:t xml:space="preserve">SIR-Spheres received </w:t>
            </w:r>
            <w:r>
              <w:rPr>
                <w:rFonts w:cs="Arial"/>
              </w:rPr>
              <w:t xml:space="preserve">its </w:t>
            </w:r>
            <w:r w:rsidRPr="00CD292F">
              <w:rPr>
                <w:rFonts w:cs="Arial"/>
              </w:rPr>
              <w:t xml:space="preserve">CE </w:t>
            </w:r>
            <w:r>
              <w:rPr>
                <w:rFonts w:cs="Arial"/>
              </w:rPr>
              <w:t>m</w:t>
            </w:r>
            <w:r w:rsidRPr="00CD292F">
              <w:rPr>
                <w:rFonts w:cs="Arial"/>
              </w:rPr>
              <w:t xml:space="preserve">ark </w:t>
            </w:r>
            <w:r>
              <w:rPr>
                <w:rFonts w:cs="Arial"/>
              </w:rPr>
              <w:t>as a</w:t>
            </w:r>
            <w:r w:rsidRPr="00CD292F">
              <w:rPr>
                <w:rFonts w:cs="Arial"/>
              </w:rPr>
              <w:t xml:space="preserve"> class III active medical device in October 2002. It is indicated for treating advanced inoperable liver tumours</w:t>
            </w:r>
            <w:r>
              <w:rPr>
                <w:rFonts w:cs="Arial"/>
              </w:rPr>
              <w:t>.</w:t>
            </w:r>
          </w:p>
        </w:tc>
      </w:tr>
      <w:tr w:rsidR="00987ED9" w:rsidRPr="00CD292F" w14:paraId="37DD8F61" w14:textId="77777777" w:rsidTr="00FF52F3">
        <w:tc>
          <w:tcPr>
            <w:tcW w:w="3085" w:type="dxa"/>
            <w:shd w:val="clear" w:color="auto" w:fill="auto"/>
          </w:tcPr>
          <w:p w14:paraId="2FA9C8F4" w14:textId="644BF3D0" w:rsidR="00987ED9" w:rsidRPr="00CD292F" w:rsidRDefault="00987ED9" w:rsidP="00987ED9">
            <w:pPr>
              <w:pStyle w:val="Tabletext"/>
              <w:rPr>
                <w:rFonts w:cs="Arial"/>
                <w:b/>
              </w:rPr>
            </w:pPr>
            <w:r w:rsidRPr="00CD292F">
              <w:rPr>
                <w:rFonts w:cs="Arial"/>
                <w:b/>
              </w:rPr>
              <w:t>Dosage in the CE mark</w:t>
            </w:r>
          </w:p>
        </w:tc>
        <w:tc>
          <w:tcPr>
            <w:tcW w:w="5444" w:type="dxa"/>
            <w:shd w:val="clear" w:color="auto" w:fill="auto"/>
          </w:tcPr>
          <w:p w14:paraId="4C3567D7" w14:textId="600F258A" w:rsidR="00987ED9" w:rsidRPr="00CD292F" w:rsidRDefault="00987ED9" w:rsidP="00987ED9">
            <w:pPr>
              <w:pStyle w:val="Tabletext"/>
              <w:rPr>
                <w:rFonts w:cs="Arial"/>
              </w:rPr>
            </w:pPr>
            <w:r w:rsidRPr="00CD292F">
              <w:t>SIR</w:t>
            </w:r>
            <w:r w:rsidRPr="00CD292F">
              <w:rPr>
                <w:rFonts w:ascii="Cambria Math" w:hAnsi="Cambria Math" w:cs="Cambria Math"/>
              </w:rPr>
              <w:t>‑</w:t>
            </w:r>
            <w:r w:rsidRPr="00CD292F">
              <w:t xml:space="preserve">Spheres </w:t>
            </w:r>
            <w:r w:rsidR="00C15B87">
              <w:t>is</w:t>
            </w:r>
            <w:r w:rsidRPr="00CD292F">
              <w:t xml:space="preserve"> </w:t>
            </w:r>
            <w:r>
              <w:t>given</w:t>
            </w:r>
            <w:r w:rsidRPr="00CD292F">
              <w:t xml:space="preserve"> through a catheter to the hepatic artery. </w:t>
            </w:r>
            <w:r w:rsidR="00C15B87">
              <w:t>It is</w:t>
            </w:r>
            <w:r w:rsidRPr="00CD292F">
              <w:t xml:space="preserve"> supplied at 3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 xml:space="preserve"> yttrium</w:t>
            </w:r>
            <w:r>
              <w:rPr>
                <w:rFonts w:ascii="Cambria Math" w:hAnsi="Cambria Math" w:cs="Cambria Math"/>
              </w:rPr>
              <w:noBreakHyphen/>
            </w:r>
            <w:r w:rsidRPr="00CD292F">
              <w:t>90 per vial in 5</w:t>
            </w:r>
            <w:r>
              <w:t> </w:t>
            </w:r>
            <w:r w:rsidRPr="00CD292F">
              <w:t>ml water for injection in a shielded shipping vial. Each vial contains 40</w:t>
            </w:r>
            <w:r>
              <w:t xml:space="preserve"> to </w:t>
            </w:r>
            <w:r w:rsidRPr="00CD292F">
              <w:t>80</w:t>
            </w:r>
            <w:r>
              <w:t> </w:t>
            </w:r>
            <w:r w:rsidRPr="00CD292F">
              <w:t>million microspheres, ranging from 20</w:t>
            </w:r>
            <w:r>
              <w:t xml:space="preserve"> to </w:t>
            </w:r>
            <w:r w:rsidRPr="00CD292F">
              <w:t>60</w:t>
            </w:r>
            <w:r>
              <w:t> </w:t>
            </w:r>
            <w:r w:rsidRPr="00CD292F">
              <w:t>micrometres in diameter (median diameter 32.5</w:t>
            </w:r>
            <w:r>
              <w:t> </w:t>
            </w:r>
            <w:r w:rsidRPr="00CD292F">
              <w:t>micrometres). The maximum range of beta emission in tissue is 11</w:t>
            </w:r>
            <w:r>
              <w:t> </w:t>
            </w:r>
            <w:r w:rsidRPr="00CD292F">
              <w:t>mm with a mean of 2.5</w:t>
            </w:r>
            <w:r>
              <w:t> </w:t>
            </w:r>
            <w:r w:rsidRPr="00CD292F">
              <w:t>mm. The average number of particles implanted is 30</w:t>
            </w:r>
            <w:r>
              <w:rPr>
                <w:rFonts w:cs="Arial"/>
              </w:rPr>
              <w:t>×</w:t>
            </w:r>
            <w:r>
              <w:t>10</w:t>
            </w:r>
            <w:r>
              <w:rPr>
                <w:vertAlign w:val="superscript"/>
              </w:rPr>
              <w:t>6</w:t>
            </w:r>
            <w:r w:rsidRPr="00CD292F">
              <w:t xml:space="preserve"> </w:t>
            </w:r>
            <w:r>
              <w:t>to</w:t>
            </w:r>
            <w:r w:rsidRPr="00CD292F">
              <w:t xml:space="preserve"> 60</w:t>
            </w:r>
            <w:r>
              <w:rPr>
                <w:rFonts w:cs="Arial"/>
              </w:rPr>
              <w:t>×</w:t>
            </w:r>
            <w:r>
              <w:t>10</w:t>
            </w:r>
            <w:r>
              <w:rPr>
                <w:vertAlign w:val="superscript"/>
              </w:rPr>
              <w:t>6</w:t>
            </w:r>
            <w:r w:rsidRPr="00CD292F">
              <w:t>.</w:t>
            </w:r>
          </w:p>
        </w:tc>
      </w:tr>
      <w:tr w:rsidR="00987ED9" w:rsidRPr="00CD292F" w14:paraId="779D5F82" w14:textId="77777777" w:rsidTr="00FF52F3">
        <w:tc>
          <w:tcPr>
            <w:tcW w:w="3085" w:type="dxa"/>
            <w:shd w:val="clear" w:color="auto" w:fill="auto"/>
          </w:tcPr>
          <w:p w14:paraId="49D241C5" w14:textId="77777777" w:rsidR="00987ED9" w:rsidRPr="00CD292F" w:rsidRDefault="00987ED9" w:rsidP="00987ED9">
            <w:pPr>
              <w:pStyle w:val="Tabletext"/>
              <w:rPr>
                <w:rFonts w:cs="Arial"/>
                <w:b/>
              </w:rPr>
            </w:pPr>
            <w:r w:rsidRPr="00CD292F">
              <w:rPr>
                <w:rFonts w:cs="Arial"/>
                <w:b/>
              </w:rPr>
              <w:t>Price</w:t>
            </w:r>
          </w:p>
        </w:tc>
        <w:tc>
          <w:tcPr>
            <w:tcW w:w="5444" w:type="dxa"/>
            <w:shd w:val="clear" w:color="auto" w:fill="auto"/>
          </w:tcPr>
          <w:p w14:paraId="2C23E1E2" w14:textId="5396DACE" w:rsidR="00987ED9" w:rsidRPr="00CD292F" w:rsidRDefault="00987ED9" w:rsidP="00987ED9">
            <w:pPr>
              <w:pStyle w:val="Tabletext"/>
              <w:rPr>
                <w:rFonts w:cs="Arial"/>
              </w:rPr>
            </w:pPr>
            <w:r w:rsidRPr="00CD292F">
              <w:rPr>
                <w:rFonts w:cs="Arial"/>
              </w:rPr>
              <w:t>The company has stated that the cost of SIR</w:t>
            </w:r>
            <w:r>
              <w:rPr>
                <w:rFonts w:cs="Arial"/>
              </w:rPr>
              <w:noBreakHyphen/>
            </w:r>
            <w:r w:rsidRPr="00CD292F">
              <w:rPr>
                <w:rFonts w:cs="Arial"/>
              </w:rPr>
              <w:t>Spheres is £8,000 for a single treatment. Costs may vary in different settings because of negotiated procurement discounts.</w:t>
            </w:r>
          </w:p>
        </w:tc>
      </w:tr>
    </w:tbl>
    <w:p w14:paraId="6B65F835" w14:textId="0792A22F" w:rsidR="0050276F" w:rsidRPr="00AC7259" w:rsidRDefault="0050276F" w:rsidP="00AC725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44"/>
      </w:tblGrid>
      <w:tr w:rsidR="00D03FA7" w:rsidRPr="00CD292F" w14:paraId="79A626B6" w14:textId="77777777" w:rsidTr="008F4E54">
        <w:trPr>
          <w:trHeight w:val="274"/>
        </w:trPr>
        <w:tc>
          <w:tcPr>
            <w:tcW w:w="8529" w:type="dxa"/>
            <w:gridSpan w:val="2"/>
            <w:shd w:val="clear" w:color="auto" w:fill="auto"/>
          </w:tcPr>
          <w:p w14:paraId="737C1107" w14:textId="730BC3F2" w:rsidR="00D03FA7" w:rsidRPr="00CD292F" w:rsidRDefault="00D03FA7" w:rsidP="00D03FA7">
            <w:pPr>
              <w:pStyle w:val="Tabletext"/>
              <w:rPr>
                <w:rFonts w:cs="Arial"/>
                <w:b/>
                <w:bCs/>
              </w:rPr>
            </w:pPr>
            <w:proofErr w:type="spellStart"/>
            <w:r w:rsidRPr="00CD292F">
              <w:rPr>
                <w:rFonts w:cs="Arial"/>
                <w:b/>
                <w:bCs/>
              </w:rPr>
              <w:t>TheraSphere</w:t>
            </w:r>
            <w:proofErr w:type="spellEnd"/>
            <w:r w:rsidRPr="00CD292F">
              <w:rPr>
                <w:rFonts w:cs="Arial"/>
                <w:b/>
                <w:bCs/>
              </w:rPr>
              <w:t xml:space="preserve"> (BTG)</w:t>
            </w:r>
          </w:p>
        </w:tc>
      </w:tr>
      <w:tr w:rsidR="00987ED9" w:rsidRPr="00CD292F" w14:paraId="1922EDBB" w14:textId="77777777" w:rsidTr="008F4E54">
        <w:tc>
          <w:tcPr>
            <w:tcW w:w="3085" w:type="dxa"/>
            <w:shd w:val="clear" w:color="auto" w:fill="auto"/>
          </w:tcPr>
          <w:p w14:paraId="762806FB" w14:textId="77777777" w:rsidR="00987ED9" w:rsidRPr="00CD292F" w:rsidRDefault="00987ED9" w:rsidP="00987ED9">
            <w:pPr>
              <w:pStyle w:val="Tabletext"/>
              <w:rPr>
                <w:rFonts w:cs="Arial"/>
                <w:b/>
                <w:bCs/>
              </w:rPr>
            </w:pPr>
            <w:r w:rsidRPr="00CD292F">
              <w:rPr>
                <w:rFonts w:cs="Arial"/>
                <w:b/>
                <w:bCs/>
              </w:rPr>
              <w:t>CE marking</w:t>
            </w:r>
          </w:p>
        </w:tc>
        <w:tc>
          <w:tcPr>
            <w:tcW w:w="5444" w:type="dxa"/>
            <w:shd w:val="clear" w:color="auto" w:fill="auto"/>
          </w:tcPr>
          <w:p w14:paraId="4DB7A432" w14:textId="46774399" w:rsidR="00987ED9" w:rsidRPr="00CD292F" w:rsidRDefault="00987ED9" w:rsidP="00987ED9">
            <w:pPr>
              <w:pStyle w:val="Tabletext"/>
              <w:rPr>
                <w:rFonts w:cs="Arial"/>
              </w:rPr>
            </w:pPr>
            <w:proofErr w:type="spellStart"/>
            <w:r w:rsidRPr="00CD292F">
              <w:rPr>
                <w:rFonts w:cs="Arial"/>
              </w:rPr>
              <w:t>TheraSphere</w:t>
            </w:r>
            <w:proofErr w:type="spellEnd"/>
            <w:r w:rsidRPr="00CD292F">
              <w:rPr>
                <w:rFonts w:cs="Arial"/>
              </w:rPr>
              <w:t xml:space="preserve"> received </w:t>
            </w:r>
            <w:r>
              <w:rPr>
                <w:rFonts w:cs="Arial"/>
              </w:rPr>
              <w:t xml:space="preserve">its </w:t>
            </w:r>
            <w:r w:rsidRPr="00CD292F">
              <w:rPr>
                <w:rFonts w:cs="Arial"/>
              </w:rPr>
              <w:t xml:space="preserve">CE </w:t>
            </w:r>
            <w:r>
              <w:rPr>
                <w:rFonts w:cs="Arial"/>
              </w:rPr>
              <w:t>m</w:t>
            </w:r>
            <w:r w:rsidRPr="00CD292F">
              <w:rPr>
                <w:rFonts w:cs="Arial"/>
              </w:rPr>
              <w:t>ark</w:t>
            </w:r>
            <w:r>
              <w:rPr>
                <w:rFonts w:cs="Arial"/>
              </w:rPr>
              <w:t xml:space="preserve"> as a</w:t>
            </w:r>
            <w:r w:rsidRPr="00CD292F">
              <w:rPr>
                <w:rFonts w:cs="Arial"/>
              </w:rPr>
              <w:t xml:space="preserve"> class</w:t>
            </w:r>
            <w:r>
              <w:rPr>
                <w:rFonts w:cs="Arial"/>
              </w:rPr>
              <w:t> </w:t>
            </w:r>
            <w:r w:rsidRPr="00CD292F">
              <w:rPr>
                <w:rFonts w:cs="Arial"/>
              </w:rPr>
              <w:t>III active medical device in September 2014. It is indicated for treating hepatic neoplasia</w:t>
            </w:r>
            <w:r>
              <w:rPr>
                <w:rFonts w:cs="Arial"/>
              </w:rPr>
              <w:t>.</w:t>
            </w:r>
          </w:p>
        </w:tc>
      </w:tr>
      <w:tr w:rsidR="00987ED9" w:rsidRPr="00CD292F" w14:paraId="63DEBC00" w14:textId="77777777" w:rsidTr="008F4E54">
        <w:tc>
          <w:tcPr>
            <w:tcW w:w="3085" w:type="dxa"/>
            <w:shd w:val="clear" w:color="auto" w:fill="auto"/>
          </w:tcPr>
          <w:p w14:paraId="6C06D10F" w14:textId="77777777" w:rsidR="00987ED9" w:rsidRPr="00CD292F" w:rsidRDefault="00987ED9" w:rsidP="00987ED9">
            <w:pPr>
              <w:pStyle w:val="Tabletext"/>
              <w:rPr>
                <w:rFonts w:cs="Arial"/>
                <w:b/>
              </w:rPr>
            </w:pPr>
            <w:r w:rsidRPr="00CD292F">
              <w:rPr>
                <w:rFonts w:cs="Arial"/>
                <w:b/>
              </w:rPr>
              <w:t>Dosage in the CE mark</w:t>
            </w:r>
          </w:p>
        </w:tc>
        <w:tc>
          <w:tcPr>
            <w:tcW w:w="5444" w:type="dxa"/>
            <w:shd w:val="clear" w:color="auto" w:fill="auto"/>
          </w:tcPr>
          <w:p w14:paraId="78EAD448" w14:textId="1B7CEABA" w:rsidR="00987ED9" w:rsidRPr="00CD292F" w:rsidRDefault="00987ED9" w:rsidP="00987ED9">
            <w:pPr>
              <w:pStyle w:val="Tabletext"/>
              <w:rPr>
                <w:rFonts w:cs="Arial"/>
              </w:rPr>
            </w:pPr>
            <w:proofErr w:type="spellStart"/>
            <w:r w:rsidRPr="00CD292F">
              <w:t>TheraSphere</w:t>
            </w:r>
            <w:proofErr w:type="spellEnd"/>
            <w:r w:rsidRPr="00CD292F">
              <w:t xml:space="preserve"> </w:t>
            </w:r>
            <w:r w:rsidR="00C15B87">
              <w:t>is</w:t>
            </w:r>
            <w:r w:rsidRPr="00CD292F">
              <w:t xml:space="preserve"> </w:t>
            </w:r>
            <w:r>
              <w:t>given</w:t>
            </w:r>
            <w:r w:rsidRPr="00CD292F">
              <w:t xml:space="preserve"> through a catheter to the hepatic artery. </w:t>
            </w:r>
            <w:r w:rsidR="00C15B87">
              <w:t>It is</w:t>
            </w:r>
            <w:r w:rsidRPr="00CD292F">
              <w:t xml:space="preserve"> supplied in 6 dose sizes: 3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>, 5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>, 7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>, 10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>, 15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 xml:space="preserve"> or 20 </w:t>
            </w:r>
            <w:proofErr w:type="spellStart"/>
            <w:r w:rsidRPr="00CD292F">
              <w:t>GBq</w:t>
            </w:r>
            <w:proofErr w:type="spellEnd"/>
            <w:r w:rsidRPr="00CD292F">
              <w:t xml:space="preserve"> in 0.6 ml pyrogen</w:t>
            </w:r>
            <w:r w:rsidRPr="00CD292F">
              <w:noBreakHyphen/>
              <w:t>free water supplied in a 1 ml vial, in</w:t>
            </w:r>
            <w:r>
              <w:t>side</w:t>
            </w:r>
            <w:r w:rsidRPr="00CD292F">
              <w:t xml:space="preserve"> an acrylic shield. Custom dose sizes are also available in increments of 0.5 </w:t>
            </w:r>
            <w:proofErr w:type="spellStart"/>
            <w:r w:rsidRPr="00CD292F">
              <w:t>GBq</w:t>
            </w:r>
            <w:proofErr w:type="spellEnd"/>
            <w:r w:rsidRPr="00CD292F">
              <w:t xml:space="preserve"> between 3</w:t>
            </w:r>
            <w:r>
              <w:t> </w:t>
            </w:r>
            <w:proofErr w:type="spellStart"/>
            <w:r w:rsidRPr="00CD292F">
              <w:t>GBq</w:t>
            </w:r>
            <w:proofErr w:type="spellEnd"/>
            <w:r w:rsidRPr="00CD292F">
              <w:t xml:space="preserve"> and 20 </w:t>
            </w:r>
            <w:proofErr w:type="spellStart"/>
            <w:r w:rsidRPr="00CD292F">
              <w:t>GBq</w:t>
            </w:r>
            <w:proofErr w:type="spellEnd"/>
            <w:r w:rsidRPr="00CD292F">
              <w:t xml:space="preserve">. A single treatment with </w:t>
            </w:r>
            <w:proofErr w:type="spellStart"/>
            <w:r w:rsidRPr="00CD292F">
              <w:t>TheraSphere</w:t>
            </w:r>
            <w:proofErr w:type="spellEnd"/>
            <w:r w:rsidRPr="00CD292F">
              <w:t xml:space="preserve"> contains 1.2</w:t>
            </w:r>
            <w:r>
              <w:t xml:space="preserve"> to </w:t>
            </w:r>
            <w:r w:rsidRPr="00CD292F">
              <w:t>8 million microspheres. The recommended dose to the liver is 80 </w:t>
            </w:r>
            <w:proofErr w:type="spellStart"/>
            <w:r w:rsidRPr="00CD292F">
              <w:t>Gy</w:t>
            </w:r>
            <w:proofErr w:type="spellEnd"/>
            <w:r w:rsidRPr="00CD292F">
              <w:t xml:space="preserve"> to 150 </w:t>
            </w:r>
            <w:proofErr w:type="spellStart"/>
            <w:r w:rsidRPr="00CD292F">
              <w:t>Gy</w:t>
            </w:r>
            <w:proofErr w:type="spellEnd"/>
            <w:r w:rsidRPr="00CD292F">
              <w:t>.</w:t>
            </w:r>
          </w:p>
        </w:tc>
      </w:tr>
      <w:tr w:rsidR="00987ED9" w:rsidRPr="00CD292F" w14:paraId="144D728D" w14:textId="77777777" w:rsidTr="008F4E54">
        <w:tc>
          <w:tcPr>
            <w:tcW w:w="3085" w:type="dxa"/>
            <w:shd w:val="clear" w:color="auto" w:fill="auto"/>
          </w:tcPr>
          <w:p w14:paraId="72DF30ED" w14:textId="77777777" w:rsidR="00987ED9" w:rsidRPr="00CD292F" w:rsidRDefault="00987ED9" w:rsidP="00987ED9">
            <w:pPr>
              <w:pStyle w:val="Tabletext"/>
              <w:rPr>
                <w:rFonts w:cs="Arial"/>
                <w:b/>
              </w:rPr>
            </w:pPr>
            <w:r w:rsidRPr="00CD292F">
              <w:rPr>
                <w:rFonts w:cs="Arial"/>
                <w:b/>
              </w:rPr>
              <w:t>Price</w:t>
            </w:r>
          </w:p>
        </w:tc>
        <w:tc>
          <w:tcPr>
            <w:tcW w:w="5444" w:type="dxa"/>
            <w:shd w:val="clear" w:color="auto" w:fill="auto"/>
          </w:tcPr>
          <w:p w14:paraId="38B50A00" w14:textId="1AC1B50E" w:rsidR="00987ED9" w:rsidRPr="00CD292F" w:rsidRDefault="00987ED9" w:rsidP="00987ED9">
            <w:pPr>
              <w:pStyle w:val="Tabletext"/>
              <w:rPr>
                <w:rFonts w:cs="Arial"/>
              </w:rPr>
            </w:pPr>
            <w:r w:rsidRPr="00CD292F">
              <w:rPr>
                <w:rFonts w:cs="Arial"/>
              </w:rPr>
              <w:t>The company has stated that the cost of Thera</w:t>
            </w:r>
            <w:r>
              <w:rPr>
                <w:rFonts w:cs="Arial"/>
              </w:rPr>
              <w:noBreakHyphen/>
            </w:r>
            <w:r w:rsidRPr="00CD292F">
              <w:rPr>
                <w:rFonts w:cs="Arial"/>
              </w:rPr>
              <w:t>Spheres is £8,000 for a single treatment. Costs may vary in different settings because of negotiated procurement discounts.</w:t>
            </w:r>
          </w:p>
        </w:tc>
      </w:tr>
    </w:tbl>
    <w:p w14:paraId="1F64A78A" w14:textId="6D9F705D" w:rsidR="00D03FA7" w:rsidRPr="00AC7259" w:rsidRDefault="00D03FA7" w:rsidP="00AC7259">
      <w:pPr>
        <w:rPr>
          <w:rFonts w:ascii="Arial" w:hAnsi="Arial" w:cs="Arial"/>
        </w:rPr>
      </w:pPr>
    </w:p>
    <w:p w14:paraId="41EFFE5E" w14:textId="77777777" w:rsidR="00C67912" w:rsidRPr="000F2D8A" w:rsidRDefault="00C67912" w:rsidP="00C67912">
      <w:pPr>
        <w:pStyle w:val="Numberedheading1"/>
      </w:pPr>
      <w:r w:rsidRPr="000F2D8A">
        <w:lastRenderedPageBreak/>
        <w:t>Co</w:t>
      </w:r>
      <w:r>
        <w:t>mmittee discussion</w:t>
      </w:r>
    </w:p>
    <w:p w14:paraId="2EFE3264" w14:textId="7644A5D6" w:rsidR="00346492" w:rsidRPr="00346492" w:rsidRDefault="000F2D8A" w:rsidP="006759F6">
      <w:pPr>
        <w:pStyle w:val="NICEnormal"/>
      </w:pPr>
      <w:r w:rsidRPr="000F2D8A">
        <w:t xml:space="preserve">The </w:t>
      </w:r>
      <w:r w:rsidR="0094534D">
        <w:t>a</w:t>
      </w:r>
      <w:r w:rsidRPr="000F2D8A">
        <w:t xml:space="preserve">ppraisal </w:t>
      </w:r>
      <w:r w:rsidR="0094534D">
        <w:t>c</w:t>
      </w:r>
      <w:r w:rsidRPr="000F2D8A">
        <w:t xml:space="preserve">ommittee </w:t>
      </w:r>
      <w:r w:rsidR="00AC42A4">
        <w:t xml:space="preserve">(section </w:t>
      </w:r>
      <w:r w:rsidR="00CD292F">
        <w:fldChar w:fldCharType="begin"/>
      </w:r>
      <w:r w:rsidR="00CD292F">
        <w:instrText xml:space="preserve"> REF _Ref23755622 \r \h </w:instrText>
      </w:r>
      <w:r w:rsidR="00CD292F">
        <w:fldChar w:fldCharType="separate"/>
      </w:r>
      <w:r w:rsidR="00D06228">
        <w:t>5</w:t>
      </w:r>
      <w:r w:rsidR="00CD292F">
        <w:fldChar w:fldCharType="end"/>
      </w:r>
      <w:r w:rsidR="00AC42A4">
        <w:t xml:space="preserve">) </w:t>
      </w:r>
      <w:r w:rsidRPr="000F2D8A">
        <w:t xml:space="preserve">considered evidence from </w:t>
      </w:r>
      <w:proofErr w:type="gramStart"/>
      <w:r w:rsidRPr="000F2D8A">
        <w:t>a number of</w:t>
      </w:r>
      <w:proofErr w:type="gramEnd"/>
      <w:r w:rsidRPr="000F2D8A">
        <w:t xml:space="preserve"> sources.</w:t>
      </w:r>
      <w:r w:rsidR="004B6779">
        <w:t xml:space="preserve"> See the </w:t>
      </w:r>
      <w:hyperlink r:id="rId10" w:history="1">
        <w:r w:rsidR="00FB47CB" w:rsidRPr="00FB47CB">
          <w:rPr>
            <w:rStyle w:val="Hyperlink"/>
          </w:rPr>
          <w:t>committee papers</w:t>
        </w:r>
      </w:hyperlink>
      <w:r w:rsidR="00FB47CB">
        <w:t xml:space="preserve"> </w:t>
      </w:r>
      <w:r w:rsidR="004B6779">
        <w:t>for full details of the evidence.</w:t>
      </w:r>
    </w:p>
    <w:p w14:paraId="3035CFF9" w14:textId="12E75586" w:rsidR="00C67912" w:rsidRDefault="00D774CA" w:rsidP="00C67912">
      <w:pPr>
        <w:pStyle w:val="Heading2"/>
      </w:pPr>
      <w:r>
        <w:t>Potential n</w:t>
      </w:r>
      <w:r w:rsidR="009F711E">
        <w:t>ew treatment option</w:t>
      </w:r>
      <w:r w:rsidR="00C67912">
        <w:t xml:space="preserve"> </w:t>
      </w:r>
    </w:p>
    <w:p w14:paraId="45F490AE" w14:textId="23C4967A" w:rsidR="009F711E" w:rsidRDefault="009F711E" w:rsidP="009F711E">
      <w:pPr>
        <w:pStyle w:val="Heading3"/>
      </w:pPr>
      <w:r>
        <w:t xml:space="preserve">People with </w:t>
      </w:r>
      <w:r w:rsidR="00DE1D60">
        <w:t>hepatocellular carcinoma</w:t>
      </w:r>
      <w:r>
        <w:t xml:space="preserve"> </w:t>
      </w:r>
      <w:r w:rsidR="00DE1D60">
        <w:t>would</w:t>
      </w:r>
      <w:r>
        <w:t xml:space="preserve"> welcome a new treatment option</w:t>
      </w:r>
    </w:p>
    <w:p w14:paraId="0D00B7DD" w14:textId="02401590" w:rsidR="00701E46" w:rsidRPr="002917B2" w:rsidRDefault="00DE1D60" w:rsidP="009E0CD9">
      <w:pPr>
        <w:pStyle w:val="Numberedlevel2text"/>
      </w:pPr>
      <w:r w:rsidRPr="00DE1D60">
        <w:t>Hepatocellular carcinoma</w:t>
      </w:r>
      <w:r w:rsidR="00CA265F">
        <w:rPr>
          <w:lang w:val="en-GB"/>
        </w:rPr>
        <w:t xml:space="preserve"> (HCC)</w:t>
      </w:r>
      <w:r w:rsidRPr="00DE1D60">
        <w:t xml:space="preserve"> is the most common form of liver cancer in England</w:t>
      </w:r>
      <w:r>
        <w:rPr>
          <w:lang w:val="en-GB"/>
        </w:rPr>
        <w:t>.</w:t>
      </w:r>
      <w:r w:rsidRPr="00DE1D60">
        <w:t xml:space="preserve"> Treatment </w:t>
      </w:r>
      <w:r w:rsidRPr="003E2004">
        <w:rPr>
          <w:lang w:val="en-GB"/>
        </w:rPr>
        <w:t>depends on the location and stage of the cancer, and how well the liver</w:t>
      </w:r>
      <w:r w:rsidR="00C40437">
        <w:rPr>
          <w:lang w:val="en-GB"/>
        </w:rPr>
        <w:t xml:space="preserve"> is </w:t>
      </w:r>
      <w:r w:rsidR="00AC7259">
        <w:rPr>
          <w:lang w:val="en-GB"/>
        </w:rPr>
        <w:t>functioning</w:t>
      </w:r>
      <w:r w:rsidRPr="003E2004">
        <w:rPr>
          <w:lang w:val="en-GB"/>
        </w:rPr>
        <w:t>.</w:t>
      </w:r>
      <w:r>
        <w:rPr>
          <w:lang w:val="en-GB"/>
        </w:rPr>
        <w:t xml:space="preserve"> Treatment options include surgery or ablation in early disease, </w:t>
      </w:r>
      <w:proofErr w:type="spellStart"/>
      <w:r w:rsidRPr="00201FE6">
        <w:rPr>
          <w:lang w:val="en-GB"/>
        </w:rPr>
        <w:t>transarterial</w:t>
      </w:r>
      <w:proofErr w:type="spellEnd"/>
      <w:r w:rsidRPr="00201FE6">
        <w:rPr>
          <w:lang w:val="en-GB"/>
        </w:rPr>
        <w:t xml:space="preserve"> therapies</w:t>
      </w:r>
      <w:r>
        <w:rPr>
          <w:lang w:val="en-GB"/>
        </w:rPr>
        <w:t xml:space="preserve"> in intermediate stage disease, </w:t>
      </w:r>
      <w:r w:rsidR="00C40437">
        <w:rPr>
          <w:lang w:val="en-GB"/>
        </w:rPr>
        <w:t xml:space="preserve">and </w:t>
      </w:r>
      <w:r>
        <w:rPr>
          <w:lang w:val="en-GB"/>
        </w:rPr>
        <w:t>chemotherapy in advanced stage disease</w:t>
      </w:r>
      <w:r w:rsidR="00C40437">
        <w:rPr>
          <w:lang w:val="en-GB"/>
        </w:rPr>
        <w:t>, as well as</w:t>
      </w:r>
      <w:r>
        <w:rPr>
          <w:lang w:val="en-GB"/>
        </w:rPr>
        <w:t xml:space="preserve"> best supportive care. T</w:t>
      </w:r>
      <w:r w:rsidRPr="00201FE6">
        <w:rPr>
          <w:lang w:val="en-GB"/>
        </w:rPr>
        <w:t xml:space="preserve">reatment </w:t>
      </w:r>
      <w:r w:rsidR="00C40437">
        <w:rPr>
          <w:lang w:val="en-GB"/>
        </w:rPr>
        <w:t>does not cure the disease for</w:t>
      </w:r>
      <w:r w:rsidRPr="00201FE6">
        <w:rPr>
          <w:lang w:val="en-GB"/>
        </w:rPr>
        <w:t xml:space="preserve"> many people.</w:t>
      </w:r>
      <w:r>
        <w:rPr>
          <w:lang w:val="en-GB"/>
        </w:rPr>
        <w:t xml:space="preserve"> Patient experts explained that HCC can </w:t>
      </w:r>
      <w:r>
        <w:t xml:space="preserve">have a </w:t>
      </w:r>
      <w:r>
        <w:rPr>
          <w:lang w:val="en-US"/>
        </w:rPr>
        <w:t>substantial</w:t>
      </w:r>
      <w:r>
        <w:t xml:space="preserve"> impact on quality of life</w:t>
      </w:r>
      <w:r>
        <w:rPr>
          <w:lang w:val="en-GB"/>
        </w:rPr>
        <w:t xml:space="preserve">. </w:t>
      </w:r>
      <w:r w:rsidRPr="00DE1D60">
        <w:rPr>
          <w:lang w:val="en-GB"/>
        </w:rPr>
        <w:t xml:space="preserve">People with HCC and </w:t>
      </w:r>
      <w:r>
        <w:rPr>
          <w:lang w:val="en-GB"/>
        </w:rPr>
        <w:t xml:space="preserve">their </w:t>
      </w:r>
      <w:r w:rsidRPr="00DE1D60">
        <w:rPr>
          <w:lang w:val="en-GB"/>
        </w:rPr>
        <w:t>carers live with uncertainty</w:t>
      </w:r>
      <w:r w:rsidR="00150DBD">
        <w:rPr>
          <w:lang w:val="en-GB"/>
        </w:rPr>
        <w:t xml:space="preserve"> and</w:t>
      </w:r>
      <w:r w:rsidR="0045516A">
        <w:rPr>
          <w:lang w:val="en-GB"/>
        </w:rPr>
        <w:t xml:space="preserve"> </w:t>
      </w:r>
      <w:r w:rsidRPr="00DE1D60">
        <w:rPr>
          <w:lang w:val="en-GB"/>
        </w:rPr>
        <w:t>hopelessness</w:t>
      </w:r>
      <w:r w:rsidR="00150DBD">
        <w:rPr>
          <w:lang w:val="en-GB"/>
        </w:rPr>
        <w:t>.</w:t>
      </w:r>
      <w:r w:rsidRPr="00DE1D60">
        <w:rPr>
          <w:lang w:val="en-GB"/>
        </w:rPr>
        <w:t xml:space="preserve"> </w:t>
      </w:r>
      <w:r w:rsidR="0045516A">
        <w:rPr>
          <w:lang w:val="en-GB"/>
        </w:rPr>
        <w:t>O</w:t>
      </w:r>
      <w:r w:rsidRPr="00DE1D60">
        <w:rPr>
          <w:lang w:val="en-GB"/>
        </w:rPr>
        <w:t>ften</w:t>
      </w:r>
      <w:r w:rsidR="00150DBD">
        <w:rPr>
          <w:lang w:val="en-GB"/>
        </w:rPr>
        <w:t xml:space="preserve"> people with HCC also live with</w:t>
      </w:r>
      <w:r w:rsidRPr="00DE1D60">
        <w:rPr>
          <w:lang w:val="en-GB"/>
        </w:rPr>
        <w:t xml:space="preserve"> stigma and isolation</w:t>
      </w:r>
      <w:r>
        <w:rPr>
          <w:lang w:val="en-GB"/>
        </w:rPr>
        <w:t xml:space="preserve"> because of underlying </w:t>
      </w:r>
      <w:r w:rsidR="000412F6">
        <w:rPr>
          <w:lang w:val="en-GB"/>
        </w:rPr>
        <w:t>cause</w:t>
      </w:r>
      <w:r w:rsidR="00C40437">
        <w:rPr>
          <w:lang w:val="en-GB"/>
        </w:rPr>
        <w:t>s</w:t>
      </w:r>
      <w:r w:rsidR="000412F6">
        <w:rPr>
          <w:lang w:val="en-GB"/>
        </w:rPr>
        <w:t xml:space="preserve"> of disease such as alcohol</w:t>
      </w:r>
      <w:r>
        <w:rPr>
          <w:lang w:val="en-GB"/>
        </w:rPr>
        <w:t xml:space="preserve">. Clinical experts </w:t>
      </w:r>
      <w:r w:rsidR="00221177">
        <w:rPr>
          <w:lang w:val="en-GB"/>
        </w:rPr>
        <w:t xml:space="preserve">highlighted that </w:t>
      </w:r>
      <w:r w:rsidR="00221177" w:rsidRPr="00221177">
        <w:rPr>
          <w:lang w:val="en-GB"/>
        </w:rPr>
        <w:t>people with advanced HCC have a poor prognosis</w:t>
      </w:r>
      <w:r w:rsidR="00221177">
        <w:rPr>
          <w:lang w:val="en-GB"/>
        </w:rPr>
        <w:t xml:space="preserve"> with median </w:t>
      </w:r>
      <w:r w:rsidR="000412F6">
        <w:rPr>
          <w:lang w:val="en-GB"/>
        </w:rPr>
        <w:t>life</w:t>
      </w:r>
      <w:r w:rsidR="00221177">
        <w:rPr>
          <w:lang w:val="en-GB"/>
        </w:rPr>
        <w:t xml:space="preserve"> expectancy of less than 12</w:t>
      </w:r>
      <w:r w:rsidR="00C40437">
        <w:rPr>
          <w:lang w:val="en-GB"/>
        </w:rPr>
        <w:t> </w:t>
      </w:r>
      <w:r w:rsidR="00221177">
        <w:rPr>
          <w:lang w:val="en-GB"/>
        </w:rPr>
        <w:t>months</w:t>
      </w:r>
      <w:r w:rsidR="00701E46">
        <w:rPr>
          <w:lang w:val="en-GB"/>
        </w:rPr>
        <w:t>.</w:t>
      </w:r>
      <w:r w:rsidR="00701E46" w:rsidDel="00701E46">
        <w:rPr>
          <w:lang w:val="en-GB"/>
        </w:rPr>
        <w:t xml:space="preserve"> </w:t>
      </w:r>
      <w:r w:rsidR="0047627E">
        <w:rPr>
          <w:lang w:val="en-GB"/>
        </w:rPr>
        <w:t xml:space="preserve">The committee concluded </w:t>
      </w:r>
      <w:r w:rsidR="00221177" w:rsidRPr="00221177">
        <w:rPr>
          <w:lang w:val="en-GB"/>
        </w:rPr>
        <w:t xml:space="preserve">that people with </w:t>
      </w:r>
      <w:r w:rsidR="001234C4">
        <w:rPr>
          <w:lang w:val="en-GB"/>
        </w:rPr>
        <w:t>HCC</w:t>
      </w:r>
      <w:r w:rsidR="00221177" w:rsidRPr="00221177">
        <w:rPr>
          <w:lang w:val="en-GB"/>
        </w:rPr>
        <w:t xml:space="preserve"> would welcome a new treatment option.</w:t>
      </w:r>
    </w:p>
    <w:p w14:paraId="35DFDA27" w14:textId="5EBDEDCB" w:rsidR="00652417" w:rsidRDefault="00652417" w:rsidP="00652417">
      <w:pPr>
        <w:pStyle w:val="Heading3"/>
      </w:pPr>
      <w:r>
        <w:t>People with HCC and portal vein thrombosis are a relevant subgroup</w:t>
      </w:r>
    </w:p>
    <w:p w14:paraId="31191820" w14:textId="137A1695" w:rsidR="0047627E" w:rsidRPr="009F711E" w:rsidRDefault="0047627E" w:rsidP="009E0CD9">
      <w:pPr>
        <w:pStyle w:val="Numberedlevel2text"/>
      </w:pPr>
      <w:r>
        <w:rPr>
          <w:lang w:val="en-GB"/>
        </w:rPr>
        <w:t xml:space="preserve">The clinical experts explained that portal vein involvement, such as portal vein thrombosis (PVT), is a common comorbidity that might negatively affect prognosis. PVT </w:t>
      </w:r>
      <w:r w:rsidR="00892D51">
        <w:rPr>
          <w:lang w:val="en-GB"/>
        </w:rPr>
        <w:t>happens</w:t>
      </w:r>
      <w:r>
        <w:rPr>
          <w:lang w:val="en-GB"/>
        </w:rPr>
        <w:t xml:space="preserve"> when</w:t>
      </w:r>
      <w:r w:rsidR="00652417">
        <w:rPr>
          <w:lang w:val="en-GB"/>
        </w:rPr>
        <w:t xml:space="preserve"> a blood clot narrows</w:t>
      </w:r>
      <w:r>
        <w:rPr>
          <w:lang w:val="en-GB"/>
        </w:rPr>
        <w:t xml:space="preserve"> the </w:t>
      </w:r>
      <w:r w:rsidR="00652417">
        <w:rPr>
          <w:lang w:val="en-GB"/>
        </w:rPr>
        <w:t>vein that takes blood to the liver from the intestine</w:t>
      </w:r>
      <w:r w:rsidR="002C65D9">
        <w:rPr>
          <w:lang w:val="en-GB"/>
        </w:rPr>
        <w:t>s</w:t>
      </w:r>
      <w:r w:rsidR="00652417">
        <w:rPr>
          <w:lang w:val="en-GB"/>
        </w:rPr>
        <w:t xml:space="preserve">. </w:t>
      </w:r>
      <w:r w:rsidRPr="00221177">
        <w:rPr>
          <w:lang w:val="en-GB"/>
        </w:rPr>
        <w:t xml:space="preserve">The committee </w:t>
      </w:r>
      <w:r w:rsidR="00652417">
        <w:rPr>
          <w:lang w:val="en-GB"/>
        </w:rPr>
        <w:t xml:space="preserve">understood </w:t>
      </w:r>
      <w:r>
        <w:rPr>
          <w:lang w:val="en-GB"/>
        </w:rPr>
        <w:t xml:space="preserve">that people with PVT </w:t>
      </w:r>
      <w:r w:rsidR="00652417">
        <w:rPr>
          <w:lang w:val="en-GB"/>
        </w:rPr>
        <w:t xml:space="preserve">were included in the NICE scope for this appraisal. It concluded that evidence </w:t>
      </w:r>
      <w:r w:rsidR="002C65D9">
        <w:rPr>
          <w:lang w:val="en-GB"/>
        </w:rPr>
        <w:t>for</w:t>
      </w:r>
      <w:r w:rsidR="00652417">
        <w:rPr>
          <w:lang w:val="en-GB"/>
        </w:rPr>
        <w:t xml:space="preserve"> people with HCC and PVT should be considered.</w:t>
      </w:r>
    </w:p>
    <w:p w14:paraId="71CC8026" w14:textId="388B3892" w:rsidR="00B77C63" w:rsidRDefault="00B77C63" w:rsidP="00B77C63">
      <w:pPr>
        <w:pStyle w:val="Heading3"/>
      </w:pPr>
      <w:r>
        <w:lastRenderedPageBreak/>
        <w:t>This appraisal assess</w:t>
      </w:r>
      <w:r w:rsidR="001768BB">
        <w:t>es</w:t>
      </w:r>
      <w:r>
        <w:t xml:space="preserve"> 3 </w:t>
      </w:r>
      <w:r w:rsidR="006C6395">
        <w:t>selective internal radiation therapies (</w:t>
      </w:r>
      <w:r>
        <w:t>SIRTs</w:t>
      </w:r>
      <w:r w:rsidR="006C6395">
        <w:t>)</w:t>
      </w:r>
      <w:r>
        <w:t xml:space="preserve"> for treating hepatocellular carcinoma</w:t>
      </w:r>
    </w:p>
    <w:p w14:paraId="279BD54B" w14:textId="04AE52E4" w:rsidR="00B77C63" w:rsidRPr="00546015" w:rsidRDefault="00B77C63" w:rsidP="00B77C63">
      <w:pPr>
        <w:pStyle w:val="Numberedlevel2text"/>
      </w:pPr>
      <w:bookmarkStart w:id="0" w:name="_Ref25587610"/>
      <w:proofErr w:type="spellStart"/>
      <w:r>
        <w:rPr>
          <w:lang w:val="en-GB"/>
        </w:rPr>
        <w:t>QuiremSpheres</w:t>
      </w:r>
      <w:proofErr w:type="spellEnd"/>
      <w:r>
        <w:rPr>
          <w:lang w:val="en-GB"/>
        </w:rPr>
        <w:t xml:space="preserve">, SIR-Spheres and </w:t>
      </w:r>
      <w:proofErr w:type="spellStart"/>
      <w:r>
        <w:rPr>
          <w:lang w:val="en-GB"/>
        </w:rPr>
        <w:t>TheraSphere</w:t>
      </w:r>
      <w:proofErr w:type="spellEnd"/>
      <w:r>
        <w:rPr>
          <w:lang w:val="en-GB"/>
        </w:rPr>
        <w:t xml:space="preserve"> are SIRTs. These</w:t>
      </w:r>
      <w:r w:rsidRPr="002657F7">
        <w:rPr>
          <w:lang w:val="en-GB"/>
        </w:rPr>
        <w:t xml:space="preserve"> </w:t>
      </w:r>
      <w:r>
        <w:rPr>
          <w:lang w:val="en-GB"/>
        </w:rPr>
        <w:t xml:space="preserve">are small radioactive beads that are injected into the liver’s blood supply to treat liver cancer. The 3 SIRTs are medical devices with CE marks for their licenced indications. </w:t>
      </w:r>
      <w:proofErr w:type="spellStart"/>
      <w:r>
        <w:rPr>
          <w:lang w:val="en-GB"/>
        </w:rPr>
        <w:t>QuiremSpheres</w:t>
      </w:r>
      <w:proofErr w:type="spellEnd"/>
      <w:r>
        <w:rPr>
          <w:lang w:val="en-GB"/>
        </w:rPr>
        <w:t xml:space="preserve"> is </w:t>
      </w:r>
      <w:r>
        <w:t>indicated for treating</w:t>
      </w:r>
      <w:r w:rsidRPr="00F16B4E">
        <w:t xml:space="preserve"> unresectable liver tumours</w:t>
      </w:r>
      <w:r>
        <w:rPr>
          <w:lang w:val="en-GB"/>
        </w:rPr>
        <w:t>, SIR</w:t>
      </w:r>
      <w:r>
        <w:rPr>
          <w:lang w:val="en-GB"/>
        </w:rPr>
        <w:noBreakHyphen/>
        <w:t xml:space="preserve">Spheres for </w:t>
      </w:r>
      <w:r w:rsidRPr="00CD292F">
        <w:rPr>
          <w:rFonts w:cs="Arial"/>
        </w:rPr>
        <w:t>treating advanced inoperable liver tumours</w:t>
      </w:r>
      <w:r>
        <w:rPr>
          <w:rFonts w:cs="Arial"/>
          <w:lang w:val="en-GB"/>
        </w:rPr>
        <w:t xml:space="preserve"> and </w:t>
      </w:r>
      <w:proofErr w:type="spellStart"/>
      <w:r>
        <w:rPr>
          <w:rFonts w:cs="Arial"/>
          <w:lang w:val="en-GB"/>
        </w:rPr>
        <w:t>TheraSphere</w:t>
      </w:r>
      <w:proofErr w:type="spellEnd"/>
      <w:r>
        <w:rPr>
          <w:rFonts w:cs="Arial"/>
          <w:lang w:val="en-GB"/>
        </w:rPr>
        <w:t xml:space="preserve"> for </w:t>
      </w:r>
      <w:r w:rsidRPr="00CD292F">
        <w:rPr>
          <w:rFonts w:cs="Arial"/>
        </w:rPr>
        <w:t>treating hepatic neoplasia</w:t>
      </w:r>
      <w:r>
        <w:rPr>
          <w:lang w:val="en-GB"/>
        </w:rPr>
        <w:t xml:space="preserve">. </w:t>
      </w:r>
      <w:r w:rsidR="0045516A">
        <w:rPr>
          <w:lang w:val="en-GB"/>
        </w:rPr>
        <w:t>The c</w:t>
      </w:r>
      <w:r>
        <w:rPr>
          <w:lang w:val="en-GB"/>
        </w:rPr>
        <w:t>ommittee was aware that the scope for the appraisal was narrower than the CE marks</w:t>
      </w:r>
      <w:r w:rsidR="0045516A">
        <w:rPr>
          <w:lang w:val="en-GB"/>
        </w:rPr>
        <w:t xml:space="preserve">, </w:t>
      </w:r>
      <w:r w:rsidR="00363279">
        <w:rPr>
          <w:lang w:val="en-GB"/>
        </w:rPr>
        <w:t>because it</w:t>
      </w:r>
      <w:r>
        <w:rPr>
          <w:lang w:val="en-GB"/>
        </w:rPr>
        <w:t xml:space="preserve"> only</w:t>
      </w:r>
      <w:r w:rsidR="00363279">
        <w:rPr>
          <w:lang w:val="en-GB"/>
        </w:rPr>
        <w:t xml:space="preserve"> included</w:t>
      </w:r>
      <w:r>
        <w:rPr>
          <w:lang w:val="en-GB"/>
        </w:rPr>
        <w:t xml:space="preserve"> unresectable hepatocellular carcinoma. The committee agreed that the 3</w:t>
      </w:r>
      <w:r w:rsidR="0086334F">
        <w:rPr>
          <w:lang w:val="en-GB"/>
        </w:rPr>
        <w:t> </w:t>
      </w:r>
      <w:r>
        <w:rPr>
          <w:lang w:val="en-GB"/>
        </w:rPr>
        <w:t xml:space="preserve">SIRTs should be compared </w:t>
      </w:r>
      <w:r w:rsidR="0045516A">
        <w:rPr>
          <w:lang w:val="en-GB"/>
        </w:rPr>
        <w:t>with</w:t>
      </w:r>
      <w:r>
        <w:rPr>
          <w:lang w:val="en-GB"/>
        </w:rPr>
        <w:t xml:space="preserve"> each other and </w:t>
      </w:r>
      <w:r w:rsidR="00873B95">
        <w:rPr>
          <w:lang w:val="en-GB"/>
        </w:rPr>
        <w:t xml:space="preserve">with </w:t>
      </w:r>
      <w:r>
        <w:rPr>
          <w:lang w:val="en-GB"/>
        </w:rPr>
        <w:t>available treatments to assess their cost</w:t>
      </w:r>
      <w:r w:rsidR="0045516A">
        <w:rPr>
          <w:lang w:val="en-GB"/>
        </w:rPr>
        <w:t xml:space="preserve"> </w:t>
      </w:r>
      <w:r>
        <w:rPr>
          <w:lang w:val="en-GB"/>
        </w:rPr>
        <w:t>effectiveness for treating hepatocellular carcinoma.</w:t>
      </w:r>
      <w:bookmarkEnd w:id="0"/>
      <w:r>
        <w:rPr>
          <w:lang w:val="en-GB"/>
        </w:rPr>
        <w:t xml:space="preserve"> </w:t>
      </w:r>
    </w:p>
    <w:p w14:paraId="768768CD" w14:textId="6F3DCA4E" w:rsidR="009E0CD9" w:rsidRPr="009E0CD9" w:rsidRDefault="009E0CD9" w:rsidP="00546015">
      <w:pPr>
        <w:pStyle w:val="Heading3"/>
      </w:pPr>
      <w:r w:rsidRPr="009E0CD9">
        <w:t>SIRTs</w:t>
      </w:r>
      <w:r>
        <w:t xml:space="preserve"> might </w:t>
      </w:r>
      <w:r w:rsidR="0045516A">
        <w:t>have</w:t>
      </w:r>
      <w:r>
        <w:t xml:space="preserve"> fewer and less severe side effects</w:t>
      </w:r>
      <w:r w:rsidR="0045516A">
        <w:t xml:space="preserve"> than other treatment options</w:t>
      </w:r>
    </w:p>
    <w:p w14:paraId="4D5D38C0" w14:textId="1E82D5B3" w:rsidR="00B77C63" w:rsidRPr="005B02AE" w:rsidRDefault="00CC7C30" w:rsidP="00B77C63">
      <w:pPr>
        <w:pStyle w:val="Numberedlevel2text"/>
      </w:pPr>
      <w:r>
        <w:rPr>
          <w:lang w:val="en-GB"/>
        </w:rPr>
        <w:t>C</w:t>
      </w:r>
      <w:r w:rsidR="00B77C63" w:rsidRPr="00221177">
        <w:rPr>
          <w:lang w:val="en-GB"/>
        </w:rPr>
        <w:t xml:space="preserve">linical and patient experts </w:t>
      </w:r>
      <w:r w:rsidR="00B77C63">
        <w:rPr>
          <w:lang w:val="en-GB"/>
        </w:rPr>
        <w:t>stated</w:t>
      </w:r>
      <w:r w:rsidR="00B77C63" w:rsidRPr="00221177">
        <w:rPr>
          <w:lang w:val="en-GB"/>
        </w:rPr>
        <w:t xml:space="preserve"> that </w:t>
      </w:r>
      <w:r w:rsidR="00B77C63">
        <w:rPr>
          <w:lang w:val="en-GB"/>
        </w:rPr>
        <w:t>there were fewer and less severe side effects</w:t>
      </w:r>
      <w:r w:rsidR="00B77C63" w:rsidRPr="00221177">
        <w:rPr>
          <w:lang w:val="en-GB"/>
        </w:rPr>
        <w:t xml:space="preserve"> </w:t>
      </w:r>
      <w:r w:rsidR="00B77C63">
        <w:rPr>
          <w:lang w:val="en-GB"/>
        </w:rPr>
        <w:t>with</w:t>
      </w:r>
      <w:r w:rsidR="00B77C63" w:rsidRPr="00221177">
        <w:rPr>
          <w:lang w:val="en-GB"/>
        </w:rPr>
        <w:t xml:space="preserve"> </w:t>
      </w:r>
      <w:r w:rsidR="00B77C63">
        <w:rPr>
          <w:lang w:val="en-GB"/>
        </w:rPr>
        <w:t>SIRTs</w:t>
      </w:r>
      <w:r w:rsidR="00B77C63" w:rsidRPr="00221177">
        <w:rPr>
          <w:lang w:val="en-GB"/>
        </w:rPr>
        <w:t xml:space="preserve"> </w:t>
      </w:r>
      <w:r w:rsidR="00B77C63">
        <w:rPr>
          <w:lang w:val="en-GB"/>
        </w:rPr>
        <w:t>than with other treatments</w:t>
      </w:r>
      <w:r w:rsidR="00B77C63" w:rsidRPr="00221177">
        <w:rPr>
          <w:lang w:val="en-GB"/>
        </w:rPr>
        <w:t xml:space="preserve">. </w:t>
      </w:r>
      <w:r w:rsidR="00B77C63">
        <w:rPr>
          <w:lang w:val="en-GB"/>
        </w:rPr>
        <w:t xml:space="preserve">Also, side effects from SIRTs are temporary, whereas side effects from </w:t>
      </w:r>
      <w:r w:rsidR="009E0CD9">
        <w:rPr>
          <w:lang w:val="en-GB"/>
        </w:rPr>
        <w:t>chemotherap</w:t>
      </w:r>
      <w:r w:rsidR="00777F0A">
        <w:rPr>
          <w:lang w:val="en-GB"/>
        </w:rPr>
        <w:t>ies</w:t>
      </w:r>
      <w:r w:rsidR="009E0CD9">
        <w:rPr>
          <w:lang w:val="en-GB"/>
        </w:rPr>
        <w:t xml:space="preserve"> such as sorafenib and </w:t>
      </w:r>
      <w:proofErr w:type="spellStart"/>
      <w:r w:rsidR="009E0CD9">
        <w:rPr>
          <w:lang w:val="en-GB"/>
        </w:rPr>
        <w:t>lenvatinib</w:t>
      </w:r>
      <w:proofErr w:type="spellEnd"/>
      <w:r w:rsidR="00B77C63">
        <w:rPr>
          <w:lang w:val="en-GB"/>
        </w:rPr>
        <w:t xml:space="preserve"> can continue for the whole treatment course.</w:t>
      </w:r>
      <w:r w:rsidR="0045516A">
        <w:rPr>
          <w:lang w:val="en-GB"/>
        </w:rPr>
        <w:t xml:space="preserve"> T</w:t>
      </w:r>
      <w:r w:rsidR="009E0CD9">
        <w:rPr>
          <w:lang w:val="en-GB"/>
        </w:rPr>
        <w:t>he clinical expert</w:t>
      </w:r>
      <w:r w:rsidR="002917B2">
        <w:rPr>
          <w:lang w:val="en-GB"/>
        </w:rPr>
        <w:t>s</w:t>
      </w:r>
      <w:r w:rsidR="009E0CD9">
        <w:rPr>
          <w:lang w:val="en-GB"/>
        </w:rPr>
        <w:t xml:space="preserve"> </w:t>
      </w:r>
      <w:r w:rsidR="0045516A">
        <w:rPr>
          <w:lang w:val="en-GB"/>
        </w:rPr>
        <w:t xml:space="preserve">also </w:t>
      </w:r>
      <w:r w:rsidR="009E0CD9">
        <w:rPr>
          <w:lang w:val="en-GB"/>
        </w:rPr>
        <w:t xml:space="preserve">stated that </w:t>
      </w:r>
      <w:r w:rsidR="0045516A">
        <w:rPr>
          <w:lang w:val="en-GB"/>
        </w:rPr>
        <w:t xml:space="preserve">SIRTs might extend life expectancy </w:t>
      </w:r>
      <w:r w:rsidR="009E0CD9">
        <w:rPr>
          <w:lang w:val="en-GB"/>
        </w:rPr>
        <w:t>in advanced stage disease</w:t>
      </w:r>
      <w:r w:rsidR="00B77C63">
        <w:rPr>
          <w:lang w:val="en-GB"/>
        </w:rPr>
        <w:t xml:space="preserve">. </w:t>
      </w:r>
      <w:r w:rsidR="009E0CD9">
        <w:rPr>
          <w:lang w:val="en-GB"/>
        </w:rPr>
        <w:t>The committee agreed that SIRTs might have fewer and less severe side effects than current treatments.</w:t>
      </w:r>
    </w:p>
    <w:p w14:paraId="1B6218E5" w14:textId="7C27FAF2" w:rsidR="00B77C63" w:rsidRPr="00701349" w:rsidRDefault="00B77C63" w:rsidP="00B77C63">
      <w:pPr>
        <w:pStyle w:val="Heading3"/>
      </w:pPr>
      <w:r>
        <w:t>SIRTs are</w:t>
      </w:r>
      <w:r w:rsidR="0045516A">
        <w:t xml:space="preserve"> already</w:t>
      </w:r>
      <w:r>
        <w:t xml:space="preserve"> used in the NHS</w:t>
      </w:r>
      <w:r w:rsidR="0045516A">
        <w:t>,</w:t>
      </w:r>
      <w:r>
        <w:t xml:space="preserve"> but not for HCC</w:t>
      </w:r>
    </w:p>
    <w:p w14:paraId="1D61CC1B" w14:textId="0B5DED7D" w:rsidR="00B77C63" w:rsidRPr="00DC451C" w:rsidRDefault="00B77C63" w:rsidP="00B77C63">
      <w:pPr>
        <w:pStyle w:val="Numberedlevel2text"/>
      </w:pPr>
      <w:r>
        <w:t xml:space="preserve">The clinical experts and NHS England explained that </w:t>
      </w:r>
      <w:r w:rsidRPr="00701349">
        <w:t>SIRTs are available in</w:t>
      </w:r>
      <w:r>
        <w:rPr>
          <w:lang w:val="en-US"/>
        </w:rPr>
        <w:t xml:space="preserve"> some</w:t>
      </w:r>
      <w:r w:rsidRPr="00701349">
        <w:t xml:space="preserve"> specialist centres</w:t>
      </w:r>
      <w:r>
        <w:rPr>
          <w:lang w:val="en-GB"/>
        </w:rPr>
        <w:t xml:space="preserve"> across England for other cancers (such as metastatic colorectal cancer).</w:t>
      </w:r>
      <w:r w:rsidRPr="00701349">
        <w:t xml:space="preserve"> </w:t>
      </w:r>
      <w:r>
        <w:rPr>
          <w:lang w:val="en-GB"/>
        </w:rPr>
        <w:t xml:space="preserve">The clinical experts explained that </w:t>
      </w:r>
      <w:r w:rsidRPr="00B57F88">
        <w:t>SIRTs for HCC have been</w:t>
      </w:r>
      <w:r>
        <w:rPr>
          <w:lang w:val="en-GB"/>
        </w:rPr>
        <w:t xml:space="preserve"> used</w:t>
      </w:r>
      <w:r w:rsidRPr="00B57F88">
        <w:t xml:space="preserve"> in England </w:t>
      </w:r>
      <w:r>
        <w:rPr>
          <w:lang w:val="en-GB"/>
        </w:rPr>
        <w:t>through</w:t>
      </w:r>
      <w:r w:rsidRPr="00B57F88">
        <w:t xml:space="preserve"> compassionate </w:t>
      </w:r>
      <w:proofErr w:type="gramStart"/>
      <w:r w:rsidRPr="00B57F88">
        <w:t>schemes</w:t>
      </w:r>
      <w:r>
        <w:rPr>
          <w:lang w:val="en-US"/>
        </w:rPr>
        <w:t>, but</w:t>
      </w:r>
      <w:proofErr w:type="gramEnd"/>
      <w:r>
        <w:rPr>
          <w:lang w:val="en-US"/>
        </w:rPr>
        <w:t xml:space="preserve"> </w:t>
      </w:r>
      <w:r w:rsidR="00F8470A">
        <w:rPr>
          <w:lang w:val="en-US"/>
        </w:rPr>
        <w:t xml:space="preserve">are </w:t>
      </w:r>
      <w:r>
        <w:rPr>
          <w:lang w:val="en-US"/>
        </w:rPr>
        <w:t>not currently available through routine commissioning</w:t>
      </w:r>
      <w:r w:rsidRPr="00B57F88">
        <w:t xml:space="preserve">. </w:t>
      </w:r>
      <w:r>
        <w:rPr>
          <w:lang w:val="en-GB"/>
        </w:rPr>
        <w:t>The committee understood that SIRTs are currently not commissioned for HCC in the NHS but that the infrastructure exists in some specialist centres.</w:t>
      </w:r>
    </w:p>
    <w:p w14:paraId="734F81E6" w14:textId="7F2CC5AE" w:rsidR="00C67912" w:rsidRDefault="001234C4" w:rsidP="00C67912">
      <w:pPr>
        <w:pStyle w:val="Heading2"/>
      </w:pPr>
      <w:r>
        <w:lastRenderedPageBreak/>
        <w:t>Clinical management</w:t>
      </w:r>
    </w:p>
    <w:p w14:paraId="722E8DE7" w14:textId="64701681" w:rsidR="00A13DA0" w:rsidRDefault="0085475D" w:rsidP="00A13DA0">
      <w:pPr>
        <w:pStyle w:val="Heading3"/>
      </w:pPr>
      <w:r>
        <w:t>Stage of cancer and liver function characterise</w:t>
      </w:r>
      <w:r w:rsidR="006E348A">
        <w:t>s</w:t>
      </w:r>
      <w:r>
        <w:t xml:space="preserve"> the disease and therefore p</w:t>
      </w:r>
      <w:r w:rsidR="00A13DA0">
        <w:t xml:space="preserve">eople with HCC are a heterogenous population </w:t>
      </w:r>
    </w:p>
    <w:p w14:paraId="549935C2" w14:textId="0FE2DC6D" w:rsidR="003F6D6A" w:rsidRPr="00546015" w:rsidRDefault="00A13DA0" w:rsidP="006E64C0">
      <w:pPr>
        <w:pStyle w:val="Numberedlevel2text"/>
      </w:pPr>
      <w:bookmarkStart w:id="1" w:name="_Ref25656105"/>
      <w:r>
        <w:t>There are different causes of HCC</w:t>
      </w:r>
      <w:r w:rsidR="007A0B99">
        <w:rPr>
          <w:lang w:val="en-US"/>
        </w:rPr>
        <w:t>,</w:t>
      </w:r>
      <w:r>
        <w:t xml:space="preserve"> including cirrhosis, </w:t>
      </w:r>
      <w:r w:rsidR="002154EB">
        <w:rPr>
          <w:lang w:val="en-GB"/>
        </w:rPr>
        <w:t xml:space="preserve">alcohol, </w:t>
      </w:r>
      <w:r>
        <w:t xml:space="preserve">fatty liver disease and hepatitis. Therefore, people with HCC are a heterogenous population and their disease is characterised by both cancer and liver function. </w:t>
      </w:r>
      <w:r w:rsidR="00C40437">
        <w:rPr>
          <w:lang w:val="en-GB"/>
        </w:rPr>
        <w:t>T</w:t>
      </w:r>
      <w:proofErr w:type="spellStart"/>
      <w:r>
        <w:t>reatment</w:t>
      </w:r>
      <w:proofErr w:type="spellEnd"/>
      <w:r>
        <w:t xml:space="preserve"> choice is multifaceted because both the cancer and liver function affect treatment outcome</w:t>
      </w:r>
      <w:r w:rsidR="00C17376">
        <w:rPr>
          <w:lang w:val="en-US"/>
        </w:rPr>
        <w:t>s</w:t>
      </w:r>
      <w:r>
        <w:t>.</w:t>
      </w:r>
      <w:r w:rsidR="003F6D6A">
        <w:rPr>
          <w:lang w:val="en-GB"/>
        </w:rPr>
        <w:t xml:space="preserve"> </w:t>
      </w:r>
      <w:r w:rsidR="002917B2">
        <w:rPr>
          <w:lang w:val="en-GB"/>
        </w:rPr>
        <w:t>Clinical experts advised that c</w:t>
      </w:r>
      <w:r w:rsidR="00E61D25" w:rsidRPr="0085475D">
        <w:rPr>
          <w:lang w:val="en-GB"/>
        </w:rPr>
        <w:t>linicians use the Barcelona Clinic Liver Cancer (BCLC) staging system</w:t>
      </w:r>
      <w:r w:rsidR="00E61D25" w:rsidRPr="00FF63C0">
        <w:rPr>
          <w:lang w:val="en-GB"/>
        </w:rPr>
        <w:t xml:space="preserve"> and the Child-Pugh sco</w:t>
      </w:r>
      <w:r w:rsidR="00E61D25" w:rsidRPr="0085475D">
        <w:rPr>
          <w:lang w:val="en-GB"/>
        </w:rPr>
        <w:t>re to help treatment decisions.</w:t>
      </w:r>
      <w:bookmarkEnd w:id="1"/>
      <w:r w:rsidR="00E61D25" w:rsidRPr="0085475D">
        <w:rPr>
          <w:lang w:val="en-GB"/>
        </w:rPr>
        <w:t xml:space="preserve"> </w:t>
      </w:r>
    </w:p>
    <w:p w14:paraId="11D8BCD9" w14:textId="4AC1ED45" w:rsidR="003F6D6A" w:rsidRDefault="0085475D" w:rsidP="00D23F2C">
      <w:pPr>
        <w:pStyle w:val="Bulletindent1"/>
      </w:pPr>
      <w:r w:rsidRPr="0085042A">
        <w:t xml:space="preserve">BCLC staging </w:t>
      </w:r>
      <w:r w:rsidR="00363DB2" w:rsidRPr="0085042A">
        <w:t xml:space="preserve">looks at the number and size of </w:t>
      </w:r>
      <w:proofErr w:type="spellStart"/>
      <w:r w:rsidR="00363DB2" w:rsidRPr="0085042A">
        <w:t>tumours</w:t>
      </w:r>
      <w:proofErr w:type="spellEnd"/>
      <w:r w:rsidR="00363DB2" w:rsidRPr="0085042A">
        <w:t xml:space="preserve"> in the liver</w:t>
      </w:r>
      <w:r w:rsidR="00363DB2" w:rsidRPr="00B529F6">
        <w:t xml:space="preserve">. There are 5 </w:t>
      </w:r>
      <w:r w:rsidR="00363DB2" w:rsidRPr="00CF1955">
        <w:rPr>
          <w:bCs/>
          <w:iCs/>
        </w:rPr>
        <w:t>stages</w:t>
      </w:r>
      <w:r w:rsidR="003F6D6A">
        <w:t>:</w:t>
      </w:r>
      <w:r w:rsidR="00363DB2" w:rsidRPr="0085042A">
        <w:t xml:space="preserve"> very early stage (BCLC 0), early stage (BCLC A), intermediate stage (BCLC B), intermediate stage (BCLC </w:t>
      </w:r>
      <w:r w:rsidR="00363DB2" w:rsidRPr="00B529F6">
        <w:t>C) and terminal stage (BCLC D)</w:t>
      </w:r>
      <w:r w:rsidR="00363DB2" w:rsidRPr="003F6D6A">
        <w:t xml:space="preserve">. The committee </w:t>
      </w:r>
      <w:r w:rsidR="003F6D6A">
        <w:t>agreed</w:t>
      </w:r>
      <w:r w:rsidR="00363DB2" w:rsidRPr="0085042A">
        <w:t xml:space="preserve"> that </w:t>
      </w:r>
      <w:r w:rsidR="003F6D6A">
        <w:t>stages</w:t>
      </w:r>
      <w:r w:rsidR="00363DB2" w:rsidRPr="0085042A">
        <w:t xml:space="preserve"> A, B and </w:t>
      </w:r>
      <w:r w:rsidR="00363DB2" w:rsidRPr="00B529F6">
        <w:t xml:space="preserve">C align with the </w:t>
      </w:r>
      <w:r w:rsidR="00363DB2" w:rsidRPr="003F6D6A">
        <w:t xml:space="preserve">scope for this appraisal. </w:t>
      </w:r>
    </w:p>
    <w:p w14:paraId="6F6F5B59" w14:textId="69D48048" w:rsidR="003F6D6A" w:rsidRPr="00646BEB" w:rsidRDefault="0085475D" w:rsidP="00D23F2C">
      <w:pPr>
        <w:pStyle w:val="Bulletindent1"/>
      </w:pPr>
      <w:r>
        <w:t>T</w:t>
      </w:r>
      <w:r w:rsidR="00EA5935">
        <w:t>he Child</w:t>
      </w:r>
      <w:r>
        <w:noBreakHyphen/>
      </w:r>
      <w:r w:rsidR="00EA5935">
        <w:t xml:space="preserve">Pugh score </w:t>
      </w:r>
      <w:r w:rsidR="00B30B8C">
        <w:t xml:space="preserve">looks at the liver function. It </w:t>
      </w:r>
      <w:r>
        <w:t>has 5 component</w:t>
      </w:r>
      <w:r w:rsidR="003F6D6A">
        <w:t>s:</w:t>
      </w:r>
      <w:r>
        <w:t xml:space="preserve"> serum albumin levels, bilirubin levels, t</w:t>
      </w:r>
      <w:r w:rsidRPr="0085475D">
        <w:t>ime for blood to clot</w:t>
      </w:r>
      <w:r>
        <w:t>, p</w:t>
      </w:r>
      <w:r w:rsidRPr="0085475D">
        <w:t>resence of ascite</w:t>
      </w:r>
      <w:r w:rsidR="002917B2">
        <w:t>s (</w:t>
      </w:r>
      <w:r w:rsidR="002917B2" w:rsidRPr="002917B2">
        <w:t xml:space="preserve">fluid in </w:t>
      </w:r>
      <w:r w:rsidR="00F8470A">
        <w:t xml:space="preserve">the </w:t>
      </w:r>
      <w:r w:rsidR="002917B2" w:rsidRPr="002917B2">
        <w:t>peritoneal cavity</w:t>
      </w:r>
      <w:r w:rsidR="002917B2">
        <w:t>)</w:t>
      </w:r>
      <w:r>
        <w:t xml:space="preserve"> and p</w:t>
      </w:r>
      <w:r w:rsidRPr="0085475D">
        <w:t>resence of hepatic encephalopathy</w:t>
      </w:r>
      <w:r>
        <w:t xml:space="preserve">. </w:t>
      </w:r>
      <w:r w:rsidR="0047745E">
        <w:t>There are 3</w:t>
      </w:r>
      <w:r w:rsidR="00D75AC7">
        <w:t> </w:t>
      </w:r>
      <w:r w:rsidR="0047745E">
        <w:t xml:space="preserve">classes: </w:t>
      </w:r>
      <w:r w:rsidR="00F8470A">
        <w:t>class</w:t>
      </w:r>
      <w:r w:rsidR="002A287D">
        <w:t xml:space="preserve"> </w:t>
      </w:r>
      <w:r w:rsidR="0047745E">
        <w:t xml:space="preserve">A </w:t>
      </w:r>
      <w:r w:rsidR="002A287D">
        <w:t>(</w:t>
      </w:r>
      <w:r w:rsidR="00F8470A">
        <w:t xml:space="preserve">the </w:t>
      </w:r>
      <w:r w:rsidR="0047745E">
        <w:t>liver is working normally</w:t>
      </w:r>
      <w:r w:rsidR="002A287D">
        <w:t>)</w:t>
      </w:r>
      <w:r w:rsidR="0047745E">
        <w:t xml:space="preserve">, </w:t>
      </w:r>
      <w:r w:rsidR="00F8470A">
        <w:t>class</w:t>
      </w:r>
      <w:r w:rsidR="002A287D">
        <w:t> </w:t>
      </w:r>
      <w:r w:rsidR="0047745E">
        <w:t xml:space="preserve">B </w:t>
      </w:r>
      <w:r w:rsidR="002A287D">
        <w:t>(</w:t>
      </w:r>
      <w:r w:rsidR="0047745E">
        <w:t>mild to moderate liver damage</w:t>
      </w:r>
      <w:r w:rsidR="002A287D">
        <w:t>)</w:t>
      </w:r>
      <w:r w:rsidR="0047745E">
        <w:t xml:space="preserve">, </w:t>
      </w:r>
      <w:r w:rsidR="00F8470A">
        <w:t>class</w:t>
      </w:r>
      <w:r w:rsidR="002A287D">
        <w:t> </w:t>
      </w:r>
      <w:r w:rsidR="0047745E">
        <w:t xml:space="preserve">C </w:t>
      </w:r>
      <w:r w:rsidR="002A287D">
        <w:t>(</w:t>
      </w:r>
      <w:r w:rsidR="0047745E">
        <w:t>severe liver damage</w:t>
      </w:r>
      <w:r w:rsidR="002A287D">
        <w:t>)</w:t>
      </w:r>
      <w:r w:rsidR="0047745E">
        <w:t xml:space="preserve">. </w:t>
      </w:r>
      <w:r w:rsidR="003F6D6A">
        <w:t>Clinical experts advised that the</w:t>
      </w:r>
      <w:r w:rsidR="003F6D6A" w:rsidRPr="00646BEB">
        <w:t xml:space="preserve"> BCLC stage and the Child</w:t>
      </w:r>
      <w:r w:rsidR="003F6D6A" w:rsidRPr="00646BEB">
        <w:noBreakHyphen/>
        <w:t xml:space="preserve">Pugh score together </w:t>
      </w:r>
      <w:r w:rsidR="003F6D6A">
        <w:t>inform</w:t>
      </w:r>
      <w:r w:rsidR="003F6D6A" w:rsidRPr="00646BEB">
        <w:t xml:space="preserve"> treatment choice. People with BCLC A</w:t>
      </w:r>
      <w:r w:rsidR="003F6D6A">
        <w:t xml:space="preserve"> to</w:t>
      </w:r>
      <w:r w:rsidR="005134C2">
        <w:t> </w:t>
      </w:r>
      <w:r w:rsidR="003F6D6A" w:rsidRPr="00646BEB">
        <w:t>C can have either good liver function (Child</w:t>
      </w:r>
      <w:r w:rsidR="003F6D6A" w:rsidRPr="00646BEB">
        <w:noBreakHyphen/>
        <w:t>Pugh A) or mild to moderate liver damage (Child</w:t>
      </w:r>
      <w:r w:rsidR="003F6D6A" w:rsidRPr="00646BEB">
        <w:noBreakHyphen/>
        <w:t>Pugh B).</w:t>
      </w:r>
    </w:p>
    <w:p w14:paraId="542427AB" w14:textId="3FE1D699" w:rsidR="003F6D6A" w:rsidRPr="00546015" w:rsidRDefault="0085475D" w:rsidP="00D23F2C">
      <w:pPr>
        <w:pStyle w:val="Bulletindent1last"/>
      </w:pPr>
      <w:r>
        <w:t>More recently</w:t>
      </w:r>
      <w:r w:rsidR="003F6D6A">
        <w:t xml:space="preserve"> an alternative measure, </w:t>
      </w:r>
      <w:r w:rsidR="00C17376">
        <w:t xml:space="preserve">the </w:t>
      </w:r>
      <w:r w:rsidR="00EA5935">
        <w:t>a</w:t>
      </w:r>
      <w:r w:rsidR="00EA5935" w:rsidRPr="009F42E9">
        <w:t>lbumin-bilirubin (ALBI) grade</w:t>
      </w:r>
      <w:r w:rsidR="003F6D6A">
        <w:t>,</w:t>
      </w:r>
      <w:r w:rsidR="00EA5935">
        <w:t xml:space="preserve"> </w:t>
      </w:r>
      <w:r w:rsidR="00363DB2">
        <w:t>was developed</w:t>
      </w:r>
      <w:r w:rsidR="00B30B8C">
        <w:t xml:space="preserve"> to look at liver function</w:t>
      </w:r>
      <w:r w:rsidR="0047745E">
        <w:t xml:space="preserve">. </w:t>
      </w:r>
      <w:r w:rsidR="00C17376">
        <w:t>The committee was aware that in previous NICE guidance</w:t>
      </w:r>
      <w:r w:rsidR="007E7BD8">
        <w:t xml:space="preserve"> for HCC</w:t>
      </w:r>
      <w:r w:rsidR="00C17376">
        <w:t>, the Child</w:t>
      </w:r>
      <w:r w:rsidR="00DE1167">
        <w:noBreakHyphen/>
      </w:r>
      <w:r w:rsidR="00C17376">
        <w:t xml:space="preserve">Pugh score was used as a criterion for treatment, but that ALBI </w:t>
      </w:r>
      <w:r w:rsidR="00363DB2">
        <w:t>was</w:t>
      </w:r>
      <w:r w:rsidR="00C17376">
        <w:t xml:space="preserve"> not. </w:t>
      </w:r>
      <w:r w:rsidR="007E7BD8">
        <w:t>The committee noted that b</w:t>
      </w:r>
      <w:r w:rsidR="00EA5935">
        <w:t xml:space="preserve">oth </w:t>
      </w:r>
      <w:r w:rsidR="007E7BD8">
        <w:t>might</w:t>
      </w:r>
      <w:r w:rsidR="00C17376">
        <w:t xml:space="preserve"> </w:t>
      </w:r>
      <w:r w:rsidR="00EA5935">
        <w:t xml:space="preserve">help </w:t>
      </w:r>
      <w:r w:rsidR="003F6D6A">
        <w:t>to inform treatment decisions</w:t>
      </w:r>
      <w:r w:rsidR="00FB4441">
        <w:t>.</w:t>
      </w:r>
      <w:r w:rsidR="00B30B8C">
        <w:t xml:space="preserve"> The</w:t>
      </w:r>
      <w:r w:rsidR="00FB4441">
        <w:t xml:space="preserve"> </w:t>
      </w:r>
      <w:r w:rsidR="00B30B8C">
        <w:t>c</w:t>
      </w:r>
      <w:r w:rsidR="003F6D6A">
        <w:t>l</w:t>
      </w:r>
      <w:r w:rsidR="0062584B">
        <w:t xml:space="preserve">inical experts </w:t>
      </w:r>
      <w:r w:rsidR="003F6D6A">
        <w:t xml:space="preserve">advised </w:t>
      </w:r>
      <w:r w:rsidR="0062584B">
        <w:t xml:space="preserve">that ALBI is less frequently used for this </w:t>
      </w:r>
      <w:r w:rsidR="0062584B">
        <w:lastRenderedPageBreak/>
        <w:t>purpose</w:t>
      </w:r>
      <w:r w:rsidR="003F6D6A">
        <w:t>,</w:t>
      </w:r>
      <w:r w:rsidR="00701E46">
        <w:t xml:space="preserve"> and </w:t>
      </w:r>
      <w:r w:rsidR="00363DB2">
        <w:t>that Child</w:t>
      </w:r>
      <w:r w:rsidR="00363DB2">
        <w:noBreakHyphen/>
        <w:t xml:space="preserve">Pugh </w:t>
      </w:r>
      <w:r w:rsidR="003F6D6A">
        <w:t>is expected to be</w:t>
      </w:r>
      <w:r w:rsidR="00363DB2">
        <w:t xml:space="preserve"> the measure of choice</w:t>
      </w:r>
      <w:r w:rsidR="00701E46">
        <w:t xml:space="preserve"> </w:t>
      </w:r>
      <w:r w:rsidR="00363DB2">
        <w:t xml:space="preserve">for the </w:t>
      </w:r>
      <w:r w:rsidR="00701E46">
        <w:t>foreseeable future</w:t>
      </w:r>
      <w:r w:rsidR="00EA5935">
        <w:t xml:space="preserve">. </w:t>
      </w:r>
    </w:p>
    <w:p w14:paraId="79393948" w14:textId="5094EE18" w:rsidR="00A13DA0" w:rsidRPr="00E61D25" w:rsidRDefault="00E61D25" w:rsidP="00D30A74">
      <w:pPr>
        <w:pStyle w:val="Heading3"/>
      </w:pPr>
      <w:r>
        <w:t xml:space="preserve">Treatment of HCC differs between the 3 </w:t>
      </w:r>
      <w:r w:rsidR="009E0CD9">
        <w:t>BCLC stages</w:t>
      </w:r>
      <w:r w:rsidR="0047745E">
        <w:t xml:space="preserve"> and is influenced by Child</w:t>
      </w:r>
      <w:r w:rsidR="0047745E">
        <w:noBreakHyphen/>
        <w:t xml:space="preserve">Pugh </w:t>
      </w:r>
      <w:r w:rsidR="0097061F">
        <w:t>score</w:t>
      </w:r>
    </w:p>
    <w:p w14:paraId="6ABAD068" w14:textId="74CBA053" w:rsidR="00A13DA0" w:rsidRDefault="00D30A74" w:rsidP="00A13DA0">
      <w:pPr>
        <w:pStyle w:val="Numberedlevel2text"/>
      </w:pPr>
      <w:r w:rsidRPr="00D30A74">
        <w:t>Treatment options include ablation</w:t>
      </w:r>
      <w:r w:rsidR="00EC6AA6">
        <w:rPr>
          <w:lang w:val="en-GB"/>
        </w:rPr>
        <w:t xml:space="preserve"> and transplant</w:t>
      </w:r>
      <w:r w:rsidRPr="00D30A74">
        <w:t xml:space="preserve"> in early disease, </w:t>
      </w:r>
      <w:r w:rsidR="00C40437">
        <w:rPr>
          <w:lang w:val="en-GB"/>
        </w:rPr>
        <w:t xml:space="preserve">and </w:t>
      </w:r>
      <w:r w:rsidR="000379E1">
        <w:rPr>
          <w:lang w:val="en-GB"/>
        </w:rPr>
        <w:t xml:space="preserve">conventional </w:t>
      </w:r>
      <w:proofErr w:type="spellStart"/>
      <w:r w:rsidRPr="00D30A74">
        <w:t>transarterial</w:t>
      </w:r>
      <w:proofErr w:type="spellEnd"/>
      <w:r w:rsidRPr="00D30A74">
        <w:t xml:space="preserve"> therapies </w:t>
      </w:r>
      <w:r w:rsidR="000379E1">
        <w:rPr>
          <w:lang w:val="en-GB"/>
        </w:rPr>
        <w:t xml:space="preserve">(CTT) </w:t>
      </w:r>
      <w:r>
        <w:rPr>
          <w:lang w:val="en-GB"/>
        </w:rPr>
        <w:t xml:space="preserve">such as </w:t>
      </w:r>
      <w:proofErr w:type="spellStart"/>
      <w:r w:rsidRPr="00D30A74">
        <w:rPr>
          <w:lang w:val="en-GB"/>
        </w:rPr>
        <w:t>transarterial</w:t>
      </w:r>
      <w:proofErr w:type="spellEnd"/>
      <w:r w:rsidRPr="00D30A74">
        <w:rPr>
          <w:lang w:val="en-GB"/>
        </w:rPr>
        <w:t xml:space="preserve"> </w:t>
      </w:r>
      <w:proofErr w:type="spellStart"/>
      <w:r w:rsidRPr="00D30A74">
        <w:rPr>
          <w:lang w:val="en-GB"/>
        </w:rPr>
        <w:t>chemoembolisation</w:t>
      </w:r>
      <w:proofErr w:type="spellEnd"/>
      <w:r w:rsidRPr="00D30A74">
        <w:rPr>
          <w:lang w:val="en-GB"/>
        </w:rPr>
        <w:t xml:space="preserve"> </w:t>
      </w:r>
      <w:r>
        <w:rPr>
          <w:lang w:val="en-GB"/>
        </w:rPr>
        <w:t xml:space="preserve">(TACE) </w:t>
      </w:r>
      <w:r w:rsidRPr="00D30A74">
        <w:rPr>
          <w:lang w:val="en-GB"/>
        </w:rPr>
        <w:t xml:space="preserve">or </w:t>
      </w:r>
      <w:proofErr w:type="spellStart"/>
      <w:r w:rsidR="00FB4441">
        <w:rPr>
          <w:lang w:val="en-GB"/>
        </w:rPr>
        <w:t>transarterial</w:t>
      </w:r>
      <w:proofErr w:type="spellEnd"/>
      <w:r w:rsidR="00FB4441">
        <w:rPr>
          <w:lang w:val="en-GB"/>
        </w:rPr>
        <w:t xml:space="preserve"> </w:t>
      </w:r>
      <w:proofErr w:type="spellStart"/>
      <w:r>
        <w:rPr>
          <w:lang w:val="en-GB"/>
        </w:rPr>
        <w:t>emboli</w:t>
      </w:r>
      <w:r w:rsidR="00C40437">
        <w:rPr>
          <w:lang w:val="en-GB"/>
        </w:rPr>
        <w:t>s</w:t>
      </w:r>
      <w:r>
        <w:rPr>
          <w:lang w:val="en-GB"/>
        </w:rPr>
        <w:t>ation</w:t>
      </w:r>
      <w:proofErr w:type="spellEnd"/>
      <w:r>
        <w:rPr>
          <w:lang w:val="en-GB"/>
        </w:rPr>
        <w:t xml:space="preserve"> (TAE) </w:t>
      </w:r>
      <w:r w:rsidRPr="00D30A74">
        <w:t>in intermediate stage disease</w:t>
      </w:r>
      <w:r w:rsidR="00C40437">
        <w:rPr>
          <w:lang w:val="en-GB"/>
        </w:rPr>
        <w:t>. I</w:t>
      </w:r>
      <w:r w:rsidR="00C40437" w:rsidRPr="00D30A74">
        <w:t>n advanced stage disease</w:t>
      </w:r>
      <w:r w:rsidR="00C40437">
        <w:rPr>
          <w:lang w:val="en-GB"/>
        </w:rPr>
        <w:t xml:space="preserve">, treatment </w:t>
      </w:r>
      <w:r w:rsidR="0085042A">
        <w:rPr>
          <w:lang w:val="en-GB"/>
        </w:rPr>
        <w:t>options are</w:t>
      </w:r>
      <w:r w:rsidR="0085042A" w:rsidRPr="00D30A74">
        <w:t xml:space="preserve"> </w:t>
      </w:r>
      <w:r w:rsidRPr="00D30A74">
        <w:t>chemotherapy</w:t>
      </w:r>
      <w:r w:rsidR="00C40437">
        <w:rPr>
          <w:lang w:val="en-GB"/>
        </w:rPr>
        <w:t xml:space="preserve"> or </w:t>
      </w:r>
      <w:r>
        <w:rPr>
          <w:lang w:val="en-GB"/>
        </w:rPr>
        <w:t>systemic therapy with sorafenib</w:t>
      </w:r>
      <w:r w:rsidR="006057AA">
        <w:rPr>
          <w:lang w:val="en-GB"/>
        </w:rPr>
        <w:t xml:space="preserve"> or </w:t>
      </w:r>
      <w:proofErr w:type="spellStart"/>
      <w:r>
        <w:rPr>
          <w:lang w:val="en-GB"/>
        </w:rPr>
        <w:t>lenvatinib</w:t>
      </w:r>
      <w:proofErr w:type="spellEnd"/>
      <w:r>
        <w:rPr>
          <w:lang w:val="en-GB"/>
        </w:rPr>
        <w:t xml:space="preserve"> or regorafenib</w:t>
      </w:r>
      <w:r w:rsidRPr="00D30A74">
        <w:t xml:space="preserve">. </w:t>
      </w:r>
      <w:r w:rsidRPr="00D30A74">
        <w:rPr>
          <w:lang w:val="en-GB"/>
        </w:rPr>
        <w:t xml:space="preserve">In some people the aim of treatment </w:t>
      </w:r>
      <w:r w:rsidR="00115476">
        <w:rPr>
          <w:lang w:val="en-GB"/>
        </w:rPr>
        <w:t>might</w:t>
      </w:r>
      <w:r w:rsidR="0085042A" w:rsidRPr="00D30A74">
        <w:rPr>
          <w:lang w:val="en-GB"/>
        </w:rPr>
        <w:t xml:space="preserve"> </w:t>
      </w:r>
      <w:r w:rsidRPr="00D30A74">
        <w:rPr>
          <w:lang w:val="en-GB"/>
        </w:rPr>
        <w:t xml:space="preserve">be </w:t>
      </w:r>
      <w:r w:rsidR="0085042A">
        <w:rPr>
          <w:lang w:val="en-GB"/>
        </w:rPr>
        <w:t>to reduce</w:t>
      </w:r>
      <w:r w:rsidR="0085042A" w:rsidRPr="00D30A74">
        <w:rPr>
          <w:lang w:val="en-GB"/>
        </w:rPr>
        <w:t xml:space="preserve"> </w:t>
      </w:r>
      <w:r w:rsidRPr="00D30A74">
        <w:rPr>
          <w:lang w:val="en-GB"/>
        </w:rPr>
        <w:t xml:space="preserve">the tumour size (‘downstaging’) to </w:t>
      </w:r>
      <w:r w:rsidR="00C40437">
        <w:rPr>
          <w:lang w:val="en-GB"/>
        </w:rPr>
        <w:t>allow</w:t>
      </w:r>
      <w:r w:rsidR="00C40437" w:rsidRPr="00D30A74">
        <w:rPr>
          <w:lang w:val="en-GB"/>
        </w:rPr>
        <w:t xml:space="preserve"> </w:t>
      </w:r>
      <w:r w:rsidRPr="00D30A74">
        <w:rPr>
          <w:lang w:val="en-GB"/>
        </w:rPr>
        <w:t xml:space="preserve">subsequent transplantation </w:t>
      </w:r>
      <w:r w:rsidR="00C40437">
        <w:rPr>
          <w:lang w:val="en-GB"/>
        </w:rPr>
        <w:t>that could cure the disease</w:t>
      </w:r>
      <w:r w:rsidRPr="00D30A74">
        <w:rPr>
          <w:lang w:val="en-GB"/>
        </w:rPr>
        <w:t>.</w:t>
      </w:r>
      <w:r>
        <w:rPr>
          <w:lang w:val="en-GB"/>
        </w:rPr>
        <w:t xml:space="preserve"> </w:t>
      </w:r>
      <w:r w:rsidR="00EA5935">
        <w:rPr>
          <w:lang w:val="en-GB"/>
        </w:rPr>
        <w:t xml:space="preserve">The committee understood that people with HCC </w:t>
      </w:r>
      <w:r w:rsidR="00C40437">
        <w:rPr>
          <w:lang w:val="en-GB"/>
        </w:rPr>
        <w:t xml:space="preserve">have </w:t>
      </w:r>
      <w:r w:rsidR="00EA5935">
        <w:rPr>
          <w:lang w:val="en-GB"/>
        </w:rPr>
        <w:t xml:space="preserve">different treatment options depending on </w:t>
      </w:r>
      <w:r w:rsidR="002237AB">
        <w:rPr>
          <w:lang w:val="en-GB"/>
        </w:rPr>
        <w:t xml:space="preserve">the </w:t>
      </w:r>
      <w:r w:rsidR="00EA5935">
        <w:rPr>
          <w:lang w:val="en-GB"/>
        </w:rPr>
        <w:t xml:space="preserve">stage of </w:t>
      </w:r>
      <w:r w:rsidR="002237AB">
        <w:rPr>
          <w:lang w:val="en-GB"/>
        </w:rPr>
        <w:t xml:space="preserve">their </w:t>
      </w:r>
      <w:r w:rsidR="00EA5935">
        <w:rPr>
          <w:lang w:val="en-GB"/>
        </w:rPr>
        <w:t>disease</w:t>
      </w:r>
      <w:r w:rsidR="00EC6AA6">
        <w:rPr>
          <w:lang w:val="en-GB"/>
        </w:rPr>
        <w:t xml:space="preserve"> as assessed by BCLC and Child-Pugh</w:t>
      </w:r>
      <w:r w:rsidR="00EA5935">
        <w:rPr>
          <w:lang w:val="en-GB"/>
        </w:rPr>
        <w:t>.</w:t>
      </w:r>
    </w:p>
    <w:p w14:paraId="6A3A5DFF" w14:textId="77777777" w:rsidR="0085042A" w:rsidRDefault="0085042A" w:rsidP="0085042A">
      <w:pPr>
        <w:pStyle w:val="Heading3"/>
      </w:pPr>
      <w:bookmarkStart w:id="2" w:name="_Hlk23968850"/>
      <w:r>
        <w:t>There are 3 distinct subgroups relevant to this appraisal</w:t>
      </w:r>
    </w:p>
    <w:p w14:paraId="5C34E311" w14:textId="77777777" w:rsidR="0085042A" w:rsidRPr="008F6105" w:rsidRDefault="0085042A" w:rsidP="00D23F2C">
      <w:pPr>
        <w:pStyle w:val="Numberedlevel2text"/>
      </w:pPr>
      <w:bookmarkStart w:id="3" w:name="_Ref25611129"/>
      <w:r w:rsidRPr="008F6105">
        <w:t xml:space="preserve">The committee </w:t>
      </w:r>
      <w:r w:rsidRPr="00D23F2C">
        <w:t>concluded</w:t>
      </w:r>
      <w:r w:rsidRPr="008F6105">
        <w:t xml:space="preserve"> that there are 3 subgroups relevant for this appraisal:</w:t>
      </w:r>
      <w:bookmarkEnd w:id="3"/>
    </w:p>
    <w:p w14:paraId="73F7DE70" w14:textId="42D283D7" w:rsidR="0085042A" w:rsidRDefault="0085042A" w:rsidP="00D23F2C">
      <w:pPr>
        <w:pStyle w:val="Bulletindent1"/>
      </w:pPr>
      <w:r>
        <w:t>People for whom liver transplant is appropriate, including people with BCLC A and Child</w:t>
      </w:r>
      <w:r>
        <w:noBreakHyphen/>
        <w:t>Pugh A</w:t>
      </w:r>
      <w:r w:rsidR="00B30B8C">
        <w:t xml:space="preserve"> or</w:t>
      </w:r>
      <w:r w:rsidR="00AC1CBD">
        <w:t> </w:t>
      </w:r>
      <w:r w:rsidR="00B30B8C">
        <w:t>B</w:t>
      </w:r>
      <w:r w:rsidR="00AC1CBD">
        <w:t>.</w:t>
      </w:r>
    </w:p>
    <w:p w14:paraId="071D51AC" w14:textId="19084BB7" w:rsidR="0085042A" w:rsidRDefault="0085042A" w:rsidP="00D23F2C">
      <w:pPr>
        <w:pStyle w:val="Bulletindent1"/>
      </w:pPr>
      <w:r>
        <w:t xml:space="preserve">People for whom CTT </w:t>
      </w:r>
      <w:r w:rsidR="00F8307A">
        <w:t>is</w:t>
      </w:r>
      <w:r>
        <w:t xml:space="preserve"> appropriate, including people with BCLC B and Child</w:t>
      </w:r>
      <w:r>
        <w:noBreakHyphen/>
        <w:t>Pugh</w:t>
      </w:r>
      <w:r w:rsidR="00AC1CBD">
        <w:t> </w:t>
      </w:r>
      <w:r>
        <w:t>A or</w:t>
      </w:r>
      <w:r w:rsidR="00AC1CBD">
        <w:t> </w:t>
      </w:r>
      <w:r>
        <w:t>B</w:t>
      </w:r>
      <w:r w:rsidR="00AC1CBD">
        <w:t>.</w:t>
      </w:r>
    </w:p>
    <w:p w14:paraId="0AD2E504" w14:textId="1D367CFD" w:rsidR="0085042A" w:rsidRPr="0085475D" w:rsidRDefault="0085042A" w:rsidP="00D23F2C">
      <w:pPr>
        <w:pStyle w:val="Bulletindent1last"/>
      </w:pPr>
      <w:r>
        <w:t xml:space="preserve">People for whom CTT </w:t>
      </w:r>
      <w:r w:rsidR="00F8307A">
        <w:t>is</w:t>
      </w:r>
      <w:r>
        <w:t xml:space="preserve"> inappropriate, including people with BCLC C and Child</w:t>
      </w:r>
      <w:r>
        <w:noBreakHyphen/>
        <w:t>Pugh A or B.</w:t>
      </w:r>
    </w:p>
    <w:p w14:paraId="7EBE71E6" w14:textId="467180D7" w:rsidR="00EC6AA6" w:rsidRDefault="00EC6AA6" w:rsidP="00EA5935">
      <w:pPr>
        <w:pStyle w:val="Heading3"/>
      </w:pPr>
      <w:r>
        <w:t>In people with early stage disease</w:t>
      </w:r>
      <w:r w:rsidR="0045516A">
        <w:t>,</w:t>
      </w:r>
      <w:r>
        <w:t xml:space="preserve"> ablation and transplant are the standard of care in current NHS practice in England</w:t>
      </w:r>
    </w:p>
    <w:p w14:paraId="658D6120" w14:textId="2B6B8138" w:rsidR="00EC6AA6" w:rsidRPr="00546015" w:rsidRDefault="00ED7687" w:rsidP="00EC6AA6">
      <w:pPr>
        <w:pStyle w:val="Numberedlevel2text"/>
      </w:pPr>
      <w:bookmarkStart w:id="4" w:name="_Ref25612678"/>
      <w:r>
        <w:rPr>
          <w:lang w:val="en-GB"/>
        </w:rPr>
        <w:t>Treatment</w:t>
      </w:r>
      <w:r w:rsidR="0085042A">
        <w:rPr>
          <w:lang w:val="en-GB"/>
        </w:rPr>
        <w:t xml:space="preserve"> option</w:t>
      </w:r>
      <w:r>
        <w:rPr>
          <w:lang w:val="en-GB"/>
        </w:rPr>
        <w:t>s for e</w:t>
      </w:r>
      <w:r w:rsidR="000A65C4">
        <w:rPr>
          <w:lang w:val="en-GB"/>
        </w:rPr>
        <w:t xml:space="preserve">arly stage disease </w:t>
      </w:r>
      <w:r w:rsidR="00366E08">
        <w:rPr>
          <w:lang w:val="en-GB"/>
        </w:rPr>
        <w:t xml:space="preserve">(BCLC A) </w:t>
      </w:r>
      <w:r>
        <w:rPr>
          <w:lang w:val="en-GB"/>
        </w:rPr>
        <w:t>are</w:t>
      </w:r>
      <w:r w:rsidR="000A65C4">
        <w:rPr>
          <w:lang w:val="en-GB"/>
        </w:rPr>
        <w:t xml:space="preserve"> ablation and transplant. However, </w:t>
      </w:r>
      <w:r w:rsidR="00F0027F">
        <w:rPr>
          <w:lang w:val="en-GB"/>
        </w:rPr>
        <w:t>1</w:t>
      </w:r>
      <w:r>
        <w:rPr>
          <w:lang w:val="en-GB"/>
        </w:rPr>
        <w:t xml:space="preserve"> clinical expert explained that </w:t>
      </w:r>
      <w:r w:rsidR="000A65C4">
        <w:rPr>
          <w:lang w:val="en-GB"/>
        </w:rPr>
        <w:t xml:space="preserve">transplants might not be available </w:t>
      </w:r>
      <w:r w:rsidR="00996EC2">
        <w:rPr>
          <w:lang w:val="en-GB"/>
        </w:rPr>
        <w:t>for</w:t>
      </w:r>
      <w:r w:rsidR="000A65C4">
        <w:rPr>
          <w:lang w:val="en-GB"/>
        </w:rPr>
        <w:t xml:space="preserve"> people with good liver function (Child</w:t>
      </w:r>
      <w:r w:rsidR="0097061F">
        <w:rPr>
          <w:lang w:val="en-GB"/>
        </w:rPr>
        <w:noBreakHyphen/>
      </w:r>
      <w:r w:rsidR="000A65C4">
        <w:rPr>
          <w:lang w:val="en-GB"/>
        </w:rPr>
        <w:t>Pugh</w:t>
      </w:r>
      <w:r w:rsidR="0097061F">
        <w:rPr>
          <w:lang w:val="en-GB"/>
        </w:rPr>
        <w:t> </w:t>
      </w:r>
      <w:r w:rsidR="000A65C4">
        <w:rPr>
          <w:lang w:val="en-GB"/>
        </w:rPr>
        <w:t xml:space="preserve">A). </w:t>
      </w:r>
      <w:r w:rsidR="00EC6AA6">
        <w:rPr>
          <w:lang w:val="en-GB"/>
        </w:rPr>
        <w:t xml:space="preserve">The </w:t>
      </w:r>
      <w:r w:rsidR="00EC6AA6">
        <w:rPr>
          <w:lang w:val="en-GB"/>
        </w:rPr>
        <w:lastRenderedPageBreak/>
        <w:t xml:space="preserve">committee </w:t>
      </w:r>
      <w:r>
        <w:rPr>
          <w:lang w:val="en-GB"/>
        </w:rPr>
        <w:t>concluded</w:t>
      </w:r>
      <w:r w:rsidR="00EC6AA6">
        <w:rPr>
          <w:lang w:val="en-GB"/>
        </w:rPr>
        <w:t xml:space="preserve"> that both ablation and transplant are the standard of care</w:t>
      </w:r>
      <w:r>
        <w:rPr>
          <w:lang w:val="en-GB"/>
        </w:rPr>
        <w:t xml:space="preserve"> for people with early stage disease</w:t>
      </w:r>
      <w:r w:rsidR="00EC6AA6">
        <w:rPr>
          <w:lang w:val="en-GB"/>
        </w:rPr>
        <w:t xml:space="preserve"> in clinical practice in England.</w:t>
      </w:r>
      <w:bookmarkEnd w:id="4"/>
      <w:r w:rsidR="00EC6AA6">
        <w:rPr>
          <w:lang w:val="en-GB"/>
        </w:rPr>
        <w:t xml:space="preserve"> </w:t>
      </w:r>
    </w:p>
    <w:p w14:paraId="164EB5B9" w14:textId="56490D65" w:rsidR="00ED7687" w:rsidRDefault="00ED7687" w:rsidP="00ED7687">
      <w:pPr>
        <w:pStyle w:val="Heading3"/>
      </w:pPr>
      <w:r>
        <w:t>In people with intermediate stage disease</w:t>
      </w:r>
      <w:r w:rsidR="0045516A">
        <w:t>,</w:t>
      </w:r>
      <w:r>
        <w:t xml:space="preserve"> </w:t>
      </w:r>
      <w:r w:rsidR="00803EA0">
        <w:t>CTTs</w:t>
      </w:r>
      <w:r>
        <w:t xml:space="preserve"> are the standard of care in current NHS practice in England</w:t>
      </w:r>
    </w:p>
    <w:p w14:paraId="475537E4" w14:textId="1B8DC36B" w:rsidR="00ED7687" w:rsidRPr="00EC6AA6" w:rsidRDefault="00ED7687" w:rsidP="00546015">
      <w:pPr>
        <w:pStyle w:val="Numberedlevel2text"/>
      </w:pPr>
      <w:r>
        <w:rPr>
          <w:lang w:val="en-GB"/>
        </w:rPr>
        <w:t xml:space="preserve">Treatment for intermediate stage disease </w:t>
      </w:r>
      <w:r w:rsidR="00366E08">
        <w:rPr>
          <w:lang w:val="en-GB"/>
        </w:rPr>
        <w:t xml:space="preserve">(BCLC B) </w:t>
      </w:r>
      <w:r>
        <w:rPr>
          <w:lang w:val="en-GB"/>
        </w:rPr>
        <w:t xml:space="preserve">are CTTs including </w:t>
      </w:r>
      <w:proofErr w:type="spellStart"/>
      <w:r w:rsidRPr="00D30A74">
        <w:rPr>
          <w:lang w:val="en-GB"/>
        </w:rPr>
        <w:t>transarterial</w:t>
      </w:r>
      <w:proofErr w:type="spellEnd"/>
      <w:r w:rsidRPr="00D30A74">
        <w:rPr>
          <w:lang w:val="en-GB"/>
        </w:rPr>
        <w:t xml:space="preserve"> </w:t>
      </w:r>
      <w:proofErr w:type="spellStart"/>
      <w:r w:rsidRPr="00D30A74">
        <w:rPr>
          <w:lang w:val="en-GB"/>
        </w:rPr>
        <w:t>chemoembolisation</w:t>
      </w:r>
      <w:proofErr w:type="spellEnd"/>
      <w:r w:rsidRPr="00D30A74">
        <w:rPr>
          <w:lang w:val="en-GB"/>
        </w:rPr>
        <w:t xml:space="preserve"> </w:t>
      </w:r>
      <w:r>
        <w:rPr>
          <w:lang w:val="en-GB"/>
        </w:rPr>
        <w:t>(TACE),</w:t>
      </w:r>
      <w:r w:rsidRPr="00BA1DB8">
        <w:t xml:space="preserve"> </w:t>
      </w:r>
      <w:r>
        <w:rPr>
          <w:lang w:val="en-GB"/>
        </w:rPr>
        <w:t>d</w:t>
      </w:r>
      <w:r w:rsidRPr="00ED7687">
        <w:rPr>
          <w:lang w:val="en-GB"/>
        </w:rPr>
        <w:t xml:space="preserve">rug-eluting bead </w:t>
      </w:r>
      <w:proofErr w:type="spellStart"/>
      <w:r w:rsidRPr="00ED7687">
        <w:rPr>
          <w:lang w:val="en-GB"/>
        </w:rPr>
        <w:t>transarterial</w:t>
      </w:r>
      <w:proofErr w:type="spellEnd"/>
      <w:r w:rsidRPr="00ED7687">
        <w:rPr>
          <w:lang w:val="en-GB"/>
        </w:rPr>
        <w:t xml:space="preserve"> </w:t>
      </w:r>
      <w:proofErr w:type="spellStart"/>
      <w:r w:rsidRPr="00ED7687">
        <w:rPr>
          <w:lang w:val="en-GB"/>
        </w:rPr>
        <w:t>chemoembolisation</w:t>
      </w:r>
      <w:proofErr w:type="spellEnd"/>
      <w:r>
        <w:rPr>
          <w:lang w:val="en-GB"/>
        </w:rPr>
        <w:t xml:space="preserve"> (DEB-TACE) and </w:t>
      </w:r>
      <w:proofErr w:type="spellStart"/>
      <w:r>
        <w:rPr>
          <w:lang w:val="en-GB"/>
        </w:rPr>
        <w:t>transarterial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embolisation</w:t>
      </w:r>
      <w:proofErr w:type="spellEnd"/>
      <w:r>
        <w:rPr>
          <w:lang w:val="en-GB"/>
        </w:rPr>
        <w:t xml:space="preserve"> (TAE). The committee accepted that all </w:t>
      </w:r>
      <w:r w:rsidR="005F7E6E">
        <w:rPr>
          <w:lang w:val="en-GB"/>
        </w:rPr>
        <w:t xml:space="preserve">CTTs </w:t>
      </w:r>
      <w:r>
        <w:rPr>
          <w:lang w:val="en-GB"/>
        </w:rPr>
        <w:t xml:space="preserve">available </w:t>
      </w:r>
      <w:r w:rsidR="00701E46">
        <w:rPr>
          <w:lang w:val="en-GB"/>
        </w:rPr>
        <w:t xml:space="preserve">in the NHS </w:t>
      </w:r>
      <w:r w:rsidR="00925741">
        <w:rPr>
          <w:lang w:val="en-GB"/>
        </w:rPr>
        <w:t xml:space="preserve">in </w:t>
      </w:r>
      <w:r w:rsidR="00701E46">
        <w:rPr>
          <w:lang w:val="en-GB"/>
        </w:rPr>
        <w:t>England are appropriate comparators for people with intermediate stage disease.</w:t>
      </w:r>
    </w:p>
    <w:p w14:paraId="36ADF2B7" w14:textId="6AADD46A" w:rsidR="00EA5935" w:rsidRDefault="00AB75C7" w:rsidP="00EA5935">
      <w:pPr>
        <w:pStyle w:val="Heading3"/>
      </w:pPr>
      <w:r>
        <w:t>I</w:t>
      </w:r>
      <w:r w:rsidR="00EA5935">
        <w:t xml:space="preserve">n people with </w:t>
      </w:r>
      <w:r w:rsidR="002237AB">
        <w:t>advanced stage disease</w:t>
      </w:r>
      <w:r w:rsidR="0045516A">
        <w:t>,</w:t>
      </w:r>
      <w:r w:rsidR="00EA5935" w:rsidRPr="00B74228">
        <w:t xml:space="preserve"> </w:t>
      </w:r>
      <w:r>
        <w:t xml:space="preserve">sorafenib </w:t>
      </w:r>
      <w:r w:rsidR="00EA5935">
        <w:t>is the standard of care in</w:t>
      </w:r>
      <w:r>
        <w:t xml:space="preserve"> current</w:t>
      </w:r>
      <w:r w:rsidR="00EA5935">
        <w:t xml:space="preserve"> NHS</w:t>
      </w:r>
      <w:bookmarkEnd w:id="2"/>
      <w:r>
        <w:t xml:space="preserve"> practice in England</w:t>
      </w:r>
    </w:p>
    <w:p w14:paraId="7F1B89A0" w14:textId="7190FC17" w:rsidR="009E0CD9" w:rsidRPr="00546015" w:rsidRDefault="00EA5935" w:rsidP="009E0CD9">
      <w:pPr>
        <w:pStyle w:val="Numberedlevel2text"/>
      </w:pPr>
      <w:bookmarkStart w:id="5" w:name="_Ref25352307"/>
      <w:r>
        <w:rPr>
          <w:lang w:val="en-GB"/>
        </w:rPr>
        <w:t>Systemic therapies, sorafenib</w:t>
      </w:r>
      <w:r w:rsidR="006408A0">
        <w:rPr>
          <w:lang w:val="en-GB"/>
        </w:rPr>
        <w:t xml:space="preserve"> </w:t>
      </w:r>
      <w:r>
        <w:rPr>
          <w:lang w:val="en-GB"/>
        </w:rPr>
        <w:t xml:space="preserve">and </w:t>
      </w:r>
      <w:proofErr w:type="spellStart"/>
      <w:r>
        <w:rPr>
          <w:lang w:val="en-GB"/>
        </w:rPr>
        <w:t>lenvatinib</w:t>
      </w:r>
      <w:proofErr w:type="spellEnd"/>
      <w:r>
        <w:rPr>
          <w:lang w:val="en-GB"/>
        </w:rPr>
        <w:t xml:space="preserve"> are both recommended for advanced </w:t>
      </w:r>
      <w:r w:rsidR="002237AB">
        <w:rPr>
          <w:lang w:val="en-GB"/>
        </w:rPr>
        <w:t>HCC</w:t>
      </w:r>
      <w:r w:rsidR="00366E08">
        <w:rPr>
          <w:lang w:val="en-GB"/>
        </w:rPr>
        <w:t xml:space="preserve"> (BCLC C)</w:t>
      </w:r>
      <w:r>
        <w:rPr>
          <w:lang w:val="en-GB"/>
        </w:rPr>
        <w:t xml:space="preserve"> </w:t>
      </w:r>
      <w:bookmarkStart w:id="6" w:name="_Hlk24016213"/>
      <w:r>
        <w:rPr>
          <w:lang w:val="en-GB"/>
        </w:rPr>
        <w:t>in</w:t>
      </w:r>
      <w:r w:rsidRPr="008A5801">
        <w:t xml:space="preserve"> people with Child-Pugh grade</w:t>
      </w:r>
      <w:r w:rsidR="00C40437">
        <w:rPr>
          <w:lang w:val="en-GB"/>
        </w:rPr>
        <w:t> </w:t>
      </w:r>
      <w:r w:rsidRPr="008A5801">
        <w:t xml:space="preserve">A </w:t>
      </w:r>
      <w:bookmarkEnd w:id="6"/>
      <w:r w:rsidRPr="008A5801">
        <w:t>liver impairment</w:t>
      </w:r>
      <w:r w:rsidR="00BF0586">
        <w:rPr>
          <w:lang w:val="en-GB"/>
        </w:rPr>
        <w:t xml:space="preserve"> (NICE technology appraisal guidance on </w:t>
      </w:r>
      <w:hyperlink r:id="rId11" w:history="1">
        <w:r w:rsidR="00C40437" w:rsidRPr="00BF0586">
          <w:rPr>
            <w:rStyle w:val="Hyperlink"/>
            <w:lang w:val="en-GB"/>
          </w:rPr>
          <w:t>sorafenib for treating advanced hepatocellular carcinoma</w:t>
        </w:r>
      </w:hyperlink>
      <w:r w:rsidR="00C40437">
        <w:rPr>
          <w:lang w:val="en-GB"/>
        </w:rPr>
        <w:t xml:space="preserve"> and </w:t>
      </w:r>
      <w:hyperlink r:id="rId12" w:history="1">
        <w:proofErr w:type="spellStart"/>
        <w:r w:rsidR="00C40437" w:rsidRPr="00BF0586">
          <w:rPr>
            <w:rStyle w:val="Hyperlink"/>
            <w:lang w:val="en-GB"/>
          </w:rPr>
          <w:t>lenvatinib</w:t>
        </w:r>
        <w:proofErr w:type="spellEnd"/>
        <w:r w:rsidR="00C40437" w:rsidRPr="00BF0586">
          <w:rPr>
            <w:rStyle w:val="Hyperlink"/>
            <w:lang w:val="en-GB"/>
          </w:rPr>
          <w:t xml:space="preserve"> for untreated advanced hepatocellular carcinoma</w:t>
        </w:r>
      </w:hyperlink>
      <w:r w:rsidR="00C40437">
        <w:rPr>
          <w:lang w:val="en-GB"/>
        </w:rPr>
        <w:t>).</w:t>
      </w:r>
      <w:r>
        <w:rPr>
          <w:lang w:val="en-GB"/>
        </w:rPr>
        <w:t xml:space="preserve"> Regorafenib </w:t>
      </w:r>
      <w:r w:rsidR="006408A0">
        <w:rPr>
          <w:lang w:val="en-GB"/>
        </w:rPr>
        <w:t>is</w:t>
      </w:r>
      <w:r>
        <w:rPr>
          <w:lang w:val="en-GB"/>
        </w:rPr>
        <w:t xml:space="preserve"> only </w:t>
      </w:r>
      <w:r w:rsidR="006408A0">
        <w:rPr>
          <w:lang w:val="en-GB"/>
        </w:rPr>
        <w:t>recommended</w:t>
      </w:r>
      <w:r>
        <w:rPr>
          <w:lang w:val="en-GB"/>
        </w:rPr>
        <w:t xml:space="preserve"> after treatment with sorafenib</w:t>
      </w:r>
      <w:r w:rsidR="00BF0586">
        <w:rPr>
          <w:lang w:val="en-GB"/>
        </w:rPr>
        <w:t xml:space="preserve"> (NICE technology appraisal guidance on </w:t>
      </w:r>
      <w:hyperlink r:id="rId13" w:history="1">
        <w:r w:rsidR="00C40437" w:rsidRPr="00BF0586">
          <w:rPr>
            <w:rStyle w:val="Hyperlink"/>
            <w:lang w:val="en-GB"/>
          </w:rPr>
          <w:t>regorafenib for previously treated advanced hepatocellular carcinoma</w:t>
        </w:r>
      </w:hyperlink>
      <w:r w:rsidR="00BF0586">
        <w:rPr>
          <w:lang w:val="en-GB"/>
        </w:rPr>
        <w:t>)</w:t>
      </w:r>
      <w:r>
        <w:rPr>
          <w:lang w:val="en-GB"/>
        </w:rPr>
        <w:t xml:space="preserve">. The committee understood that sorafenib is the standard of care </w:t>
      </w:r>
      <w:r w:rsidR="006408A0">
        <w:rPr>
          <w:lang w:val="en-GB"/>
        </w:rPr>
        <w:t xml:space="preserve">in clinical practice in England because there are subsequent treatments available after progression with sorafenib. </w:t>
      </w:r>
      <w:proofErr w:type="spellStart"/>
      <w:r w:rsidR="006408A0">
        <w:rPr>
          <w:lang w:val="en-GB"/>
        </w:rPr>
        <w:t>L</w:t>
      </w:r>
      <w:r>
        <w:rPr>
          <w:lang w:val="en-GB"/>
        </w:rPr>
        <w:t>envatinib</w:t>
      </w:r>
      <w:proofErr w:type="spellEnd"/>
      <w:r>
        <w:rPr>
          <w:lang w:val="en-GB"/>
        </w:rPr>
        <w:t xml:space="preserve"> </w:t>
      </w:r>
      <w:r w:rsidR="006408A0">
        <w:rPr>
          <w:lang w:val="en-GB"/>
        </w:rPr>
        <w:t xml:space="preserve">is now </w:t>
      </w:r>
      <w:r>
        <w:rPr>
          <w:lang w:val="en-GB"/>
        </w:rPr>
        <w:t xml:space="preserve">rarely used. </w:t>
      </w:r>
      <w:r w:rsidR="00403DAA">
        <w:rPr>
          <w:lang w:val="en-GB"/>
        </w:rPr>
        <w:t>The committee concluded that s</w:t>
      </w:r>
      <w:r>
        <w:rPr>
          <w:lang w:val="en-GB"/>
        </w:rPr>
        <w:t xml:space="preserve">orafenib is the appropriate comparator for SIRTs </w:t>
      </w:r>
      <w:r w:rsidRPr="00AB589F">
        <w:rPr>
          <w:lang w:val="en-GB"/>
        </w:rPr>
        <w:t xml:space="preserve">in people </w:t>
      </w:r>
      <w:r w:rsidR="002237AB">
        <w:rPr>
          <w:lang w:val="en-GB"/>
        </w:rPr>
        <w:t>with advanced stage disease</w:t>
      </w:r>
      <w:r w:rsidRPr="00AB589F">
        <w:rPr>
          <w:lang w:val="en-GB"/>
        </w:rPr>
        <w:t xml:space="preserve"> </w:t>
      </w:r>
      <w:r>
        <w:rPr>
          <w:lang w:val="en-GB"/>
        </w:rPr>
        <w:t>and</w:t>
      </w:r>
      <w:r w:rsidRPr="00E81416">
        <w:rPr>
          <w:lang w:val="en-GB"/>
        </w:rPr>
        <w:t xml:space="preserve"> </w:t>
      </w:r>
      <w:r w:rsidR="006408A0">
        <w:rPr>
          <w:lang w:val="en-GB"/>
        </w:rPr>
        <w:t xml:space="preserve">with </w:t>
      </w:r>
      <w:r w:rsidRPr="00E81416">
        <w:rPr>
          <w:lang w:val="en-GB"/>
        </w:rPr>
        <w:t>Child-Pugh grade</w:t>
      </w:r>
      <w:r w:rsidR="00C40437">
        <w:rPr>
          <w:lang w:val="en-GB"/>
        </w:rPr>
        <w:t> </w:t>
      </w:r>
      <w:r w:rsidRPr="00E81416">
        <w:rPr>
          <w:lang w:val="en-GB"/>
        </w:rPr>
        <w:t>A</w:t>
      </w:r>
      <w:r>
        <w:rPr>
          <w:lang w:val="en-GB"/>
        </w:rPr>
        <w:t>.</w:t>
      </w:r>
      <w:bookmarkEnd w:id="5"/>
    </w:p>
    <w:p w14:paraId="53BDA318" w14:textId="7A22AEF5" w:rsidR="004D1F02" w:rsidRDefault="009F711E" w:rsidP="00C67912">
      <w:pPr>
        <w:pStyle w:val="Heading2"/>
      </w:pPr>
      <w:r>
        <w:t>Clinical evidence</w:t>
      </w:r>
    </w:p>
    <w:p w14:paraId="1F9EEF62" w14:textId="59476ACF" w:rsidR="004D1F02" w:rsidRPr="00E2634C" w:rsidRDefault="004D1F02" w:rsidP="00FD04ED">
      <w:pPr>
        <w:pStyle w:val="Heading3"/>
      </w:pPr>
      <w:r w:rsidRPr="00FD04ED">
        <w:t xml:space="preserve">The </w:t>
      </w:r>
      <w:r>
        <w:t>systematic review included non-</w:t>
      </w:r>
      <w:r w:rsidR="00D10F58">
        <w:t>randomised controlled trials (</w:t>
      </w:r>
      <w:r>
        <w:t>RCTs</w:t>
      </w:r>
      <w:r w:rsidR="00D10F58">
        <w:t>)</w:t>
      </w:r>
      <w:r>
        <w:t xml:space="preserve"> when not enough </w:t>
      </w:r>
      <w:r w:rsidR="005B02AE">
        <w:t xml:space="preserve">RCT evidence was </w:t>
      </w:r>
      <w:r w:rsidR="007A5B95">
        <w:t>identified</w:t>
      </w:r>
    </w:p>
    <w:p w14:paraId="01B5A87C" w14:textId="5CD704B0" w:rsidR="00C67912" w:rsidRDefault="004D1F02" w:rsidP="00FD04ED">
      <w:pPr>
        <w:pStyle w:val="Numberedlevel2text"/>
      </w:pPr>
      <w:r>
        <w:rPr>
          <w:lang w:val="en-GB"/>
        </w:rPr>
        <w:t>The assessment group (AG) did a</w:t>
      </w:r>
      <w:r w:rsidRPr="004D1F02">
        <w:rPr>
          <w:lang w:val="en-GB"/>
        </w:rPr>
        <w:t xml:space="preserve"> systematic review of the clinical evidence on SIRTs</w:t>
      </w:r>
      <w:r>
        <w:rPr>
          <w:lang w:val="en-GB"/>
        </w:rPr>
        <w:t xml:space="preserve"> and comparators. </w:t>
      </w:r>
      <w:r w:rsidRPr="004D1F02">
        <w:rPr>
          <w:lang w:val="en-GB"/>
        </w:rPr>
        <w:t xml:space="preserve">The research protocol is registered </w:t>
      </w:r>
      <w:r w:rsidRPr="004D1F02">
        <w:rPr>
          <w:lang w:val="en-GB"/>
        </w:rPr>
        <w:lastRenderedPageBreak/>
        <w:t>on PROSPERO, the international prospective register of systematic reviews in health and social care; registration number CRD42019128383.</w:t>
      </w:r>
      <w:r>
        <w:rPr>
          <w:lang w:val="en-GB"/>
        </w:rPr>
        <w:t xml:space="preserve"> </w:t>
      </w:r>
      <w:r>
        <w:t xml:space="preserve">RCTs were eligible for inclusion in the review. </w:t>
      </w:r>
      <w:r w:rsidR="00480272" w:rsidRPr="00FD04ED">
        <w:rPr>
          <w:lang w:val="en-GB"/>
        </w:rPr>
        <w:t xml:space="preserve">The AG had identified all the RCTs that were also identified by the companies in their submissions. </w:t>
      </w:r>
      <w:r w:rsidR="00480272">
        <w:rPr>
          <w:lang w:val="en-GB"/>
        </w:rPr>
        <w:t xml:space="preserve">The committee was aware of non-RCT evidence and agreed with the </w:t>
      </w:r>
      <w:r w:rsidR="00480272" w:rsidRPr="00FD04ED">
        <w:rPr>
          <w:lang w:val="en-GB"/>
        </w:rPr>
        <w:t>AG</w:t>
      </w:r>
      <w:r w:rsidR="00480272">
        <w:rPr>
          <w:lang w:val="en-GB"/>
        </w:rPr>
        <w:t>’s approach to</w:t>
      </w:r>
      <w:r w:rsidR="00480272" w:rsidRPr="00FD04ED">
        <w:rPr>
          <w:lang w:val="en-GB"/>
        </w:rPr>
        <w:t xml:space="preserve"> only include non-RCT evidence </w:t>
      </w:r>
      <w:r w:rsidR="00480272">
        <w:rPr>
          <w:lang w:val="en-GB"/>
        </w:rPr>
        <w:t xml:space="preserve">in the review </w:t>
      </w:r>
      <w:r w:rsidR="00480272" w:rsidRPr="00FD04ED">
        <w:rPr>
          <w:lang w:val="en-GB"/>
        </w:rPr>
        <w:t xml:space="preserve">when </w:t>
      </w:r>
      <w:r w:rsidR="00857A61">
        <w:rPr>
          <w:lang w:val="en-GB"/>
        </w:rPr>
        <w:t>there was not enough</w:t>
      </w:r>
      <w:r w:rsidR="00480272" w:rsidRPr="00FD04ED">
        <w:rPr>
          <w:lang w:val="en-GB"/>
        </w:rPr>
        <w:t xml:space="preserve"> RCT evidence. </w:t>
      </w:r>
      <w:r w:rsidR="009B6C18">
        <w:rPr>
          <w:lang w:val="en-GB"/>
        </w:rPr>
        <w:t xml:space="preserve">The committee </w:t>
      </w:r>
      <w:r w:rsidR="00000917">
        <w:rPr>
          <w:lang w:val="en-GB"/>
        </w:rPr>
        <w:t>understood that some studies might include a mixed population</w:t>
      </w:r>
      <w:r w:rsidR="00403DAA">
        <w:rPr>
          <w:lang w:val="en-GB"/>
        </w:rPr>
        <w:t xml:space="preserve">. </w:t>
      </w:r>
      <w:r w:rsidR="00000917">
        <w:rPr>
          <w:lang w:val="en-GB"/>
        </w:rPr>
        <w:t xml:space="preserve">It </w:t>
      </w:r>
      <w:r w:rsidR="009B6C18">
        <w:rPr>
          <w:lang w:val="en-GB"/>
        </w:rPr>
        <w:t xml:space="preserve">agreed to exclude </w:t>
      </w:r>
      <w:r w:rsidR="00000917">
        <w:rPr>
          <w:lang w:val="en-GB"/>
        </w:rPr>
        <w:t xml:space="preserve">these </w:t>
      </w:r>
      <w:r w:rsidR="009B6C18">
        <w:rPr>
          <w:lang w:val="en-GB"/>
        </w:rPr>
        <w:t xml:space="preserve">studies </w:t>
      </w:r>
      <w:r w:rsidR="00000917">
        <w:rPr>
          <w:lang w:val="en-GB"/>
        </w:rPr>
        <w:t>from the network meta-analyses</w:t>
      </w:r>
      <w:r w:rsidR="00403DAA" w:rsidRPr="00403DAA">
        <w:rPr>
          <w:lang w:val="en-GB"/>
        </w:rPr>
        <w:t xml:space="preserve"> </w:t>
      </w:r>
      <w:r w:rsidR="00403DAA">
        <w:rPr>
          <w:lang w:val="en-GB"/>
        </w:rPr>
        <w:t>if they d</w:t>
      </w:r>
      <w:r w:rsidR="00991A1E">
        <w:rPr>
          <w:lang w:val="en-GB"/>
        </w:rPr>
        <w:t>id</w:t>
      </w:r>
      <w:r w:rsidR="00403DAA">
        <w:rPr>
          <w:lang w:val="en-GB"/>
        </w:rPr>
        <w:t xml:space="preserve"> not provide separate results for the 3</w:t>
      </w:r>
      <w:r w:rsidR="00EF56E2">
        <w:rPr>
          <w:lang w:val="en-GB"/>
        </w:rPr>
        <w:t> </w:t>
      </w:r>
      <w:r w:rsidR="00403DAA">
        <w:rPr>
          <w:lang w:val="en-GB"/>
        </w:rPr>
        <w:t xml:space="preserve">subgroups of interest (see section </w:t>
      </w:r>
      <w:r w:rsidR="00403DAA">
        <w:rPr>
          <w:lang w:val="en-GB"/>
        </w:rPr>
        <w:fldChar w:fldCharType="begin"/>
      </w:r>
      <w:r w:rsidR="00403DAA">
        <w:rPr>
          <w:lang w:val="en-GB"/>
        </w:rPr>
        <w:instrText xml:space="preserve"> REF _Ref25611129 \r \h </w:instrText>
      </w:r>
      <w:r w:rsidR="00403DAA">
        <w:rPr>
          <w:lang w:val="en-GB"/>
        </w:rPr>
      </w:r>
      <w:r w:rsidR="00403DAA">
        <w:rPr>
          <w:lang w:val="en-GB"/>
        </w:rPr>
        <w:fldChar w:fldCharType="separate"/>
      </w:r>
      <w:r w:rsidR="00B51242">
        <w:rPr>
          <w:lang w:val="en-GB"/>
        </w:rPr>
        <w:t>3.8</w:t>
      </w:r>
      <w:r w:rsidR="00403DAA">
        <w:rPr>
          <w:lang w:val="en-GB"/>
        </w:rPr>
        <w:fldChar w:fldCharType="end"/>
      </w:r>
      <w:r w:rsidR="00403DAA">
        <w:rPr>
          <w:lang w:val="en-GB"/>
        </w:rPr>
        <w:t>)</w:t>
      </w:r>
      <w:r w:rsidR="009B6C18">
        <w:rPr>
          <w:lang w:val="en-GB"/>
        </w:rPr>
        <w:t xml:space="preserve">. </w:t>
      </w:r>
      <w:r w:rsidR="00480272">
        <w:rPr>
          <w:lang w:val="en-GB"/>
        </w:rPr>
        <w:t>The c</w:t>
      </w:r>
      <w:r w:rsidR="00B8233F" w:rsidRPr="00480272">
        <w:rPr>
          <w:lang w:val="en-GB"/>
        </w:rPr>
        <w:t>ommittee</w:t>
      </w:r>
      <w:r w:rsidR="003D0481" w:rsidRPr="00480272">
        <w:rPr>
          <w:lang w:val="en-GB"/>
        </w:rPr>
        <w:t xml:space="preserve"> used </w:t>
      </w:r>
      <w:r w:rsidR="00480272">
        <w:rPr>
          <w:lang w:val="en-GB"/>
        </w:rPr>
        <w:t xml:space="preserve">the </w:t>
      </w:r>
      <w:r w:rsidR="003D0481" w:rsidRPr="00480272">
        <w:rPr>
          <w:lang w:val="en-GB"/>
        </w:rPr>
        <w:t>AG</w:t>
      </w:r>
      <w:r w:rsidR="00403DAA">
        <w:rPr>
          <w:lang w:val="en-GB"/>
        </w:rPr>
        <w:t>’s</w:t>
      </w:r>
      <w:r w:rsidR="00480272">
        <w:rPr>
          <w:lang w:val="en-GB"/>
        </w:rPr>
        <w:t xml:space="preserve"> report</w:t>
      </w:r>
      <w:r w:rsidR="00B8233F">
        <w:rPr>
          <w:lang w:val="en-GB"/>
        </w:rPr>
        <w:t xml:space="preserve"> </w:t>
      </w:r>
      <w:r w:rsidR="00480272">
        <w:rPr>
          <w:lang w:val="en-GB"/>
        </w:rPr>
        <w:t xml:space="preserve">for </w:t>
      </w:r>
      <w:r w:rsidR="0085042A">
        <w:rPr>
          <w:lang w:val="en-GB"/>
        </w:rPr>
        <w:t xml:space="preserve">its </w:t>
      </w:r>
      <w:r w:rsidR="00480272">
        <w:rPr>
          <w:lang w:val="en-GB"/>
        </w:rPr>
        <w:t>decision making</w:t>
      </w:r>
      <w:r w:rsidR="0033606A">
        <w:rPr>
          <w:lang w:val="en-GB"/>
        </w:rPr>
        <w:t>. This was</w:t>
      </w:r>
      <w:r w:rsidR="00480272">
        <w:rPr>
          <w:lang w:val="en-GB"/>
        </w:rPr>
        <w:t xml:space="preserve"> because it</w:t>
      </w:r>
      <w:r w:rsidR="0033606A">
        <w:rPr>
          <w:lang w:val="en-GB"/>
        </w:rPr>
        <w:t xml:space="preserve"> included evidence for all 3 SIRTs and so</w:t>
      </w:r>
      <w:r w:rsidR="00480272">
        <w:rPr>
          <w:lang w:val="en-GB"/>
        </w:rPr>
        <w:t xml:space="preserve"> was more comprehensive than the companies</w:t>
      </w:r>
      <w:r w:rsidR="004668F5">
        <w:rPr>
          <w:lang w:val="en-GB"/>
        </w:rPr>
        <w:t>’</w:t>
      </w:r>
      <w:r w:rsidR="00480272">
        <w:rPr>
          <w:lang w:val="en-GB"/>
        </w:rPr>
        <w:t xml:space="preserve"> submissions.</w:t>
      </w:r>
    </w:p>
    <w:p w14:paraId="7395CAB0" w14:textId="0193B687" w:rsidR="00000917" w:rsidRPr="00671AFE" w:rsidRDefault="00000917" w:rsidP="00FD04ED">
      <w:pPr>
        <w:pStyle w:val="Heading3"/>
      </w:pPr>
      <w:r w:rsidRPr="00FB4A80">
        <w:t>The</w:t>
      </w:r>
      <w:r w:rsidR="0090678D">
        <w:t>re is not enough</w:t>
      </w:r>
      <w:r w:rsidRPr="00FB4A80">
        <w:t xml:space="preserve"> clinical evidence for </w:t>
      </w:r>
      <w:proofErr w:type="spellStart"/>
      <w:r w:rsidRPr="00FB4A80">
        <w:t>QuiremSpheres</w:t>
      </w:r>
      <w:proofErr w:type="spellEnd"/>
      <w:r w:rsidRPr="00FB4A80">
        <w:t xml:space="preserve"> </w:t>
      </w:r>
      <w:r w:rsidR="0090678D">
        <w:t>in the 3 subgroups relevant to this appraisal</w:t>
      </w:r>
    </w:p>
    <w:p w14:paraId="548DBB18" w14:textId="6D2474BE" w:rsidR="00000917" w:rsidRPr="00EE38A1" w:rsidRDefault="00000917" w:rsidP="00000917">
      <w:pPr>
        <w:pStyle w:val="Numberedlevel2text"/>
      </w:pPr>
      <w:r>
        <w:rPr>
          <w:lang w:val="en-GB"/>
        </w:rPr>
        <w:t xml:space="preserve">The clinical evidence for </w:t>
      </w:r>
      <w:proofErr w:type="spellStart"/>
      <w:r>
        <w:rPr>
          <w:lang w:val="en-GB"/>
        </w:rPr>
        <w:t>QuiremSpheres</w:t>
      </w:r>
      <w:proofErr w:type="spellEnd"/>
      <w:r>
        <w:rPr>
          <w:lang w:val="en-GB"/>
        </w:rPr>
        <w:t xml:space="preserve"> came from 1 retrospective case series including 9</w:t>
      </w:r>
      <w:r w:rsidR="00C6207E">
        <w:rPr>
          <w:lang w:val="en-GB"/>
        </w:rPr>
        <w:t> </w:t>
      </w:r>
      <w:r>
        <w:rPr>
          <w:lang w:val="en-GB"/>
        </w:rPr>
        <w:t>people that showed a 56% response rate. The committee heard that a mixed population was included, and results were only presented for the whole study population</w:t>
      </w:r>
      <w:r w:rsidR="004D16B3">
        <w:rPr>
          <w:lang w:val="en-GB"/>
        </w:rPr>
        <w:t>.</w:t>
      </w:r>
      <w:r>
        <w:rPr>
          <w:lang w:val="en-GB"/>
        </w:rPr>
        <w:t xml:space="preserve"> T</w:t>
      </w:r>
      <w:r w:rsidRPr="00671AFE">
        <w:rPr>
          <w:lang w:val="en-GB"/>
        </w:rPr>
        <w:t xml:space="preserve">he committee concluded that </w:t>
      </w:r>
      <w:r w:rsidR="0085042A">
        <w:rPr>
          <w:lang w:val="en-GB"/>
        </w:rPr>
        <w:t>the single, small retrospective study did not provide e</w:t>
      </w:r>
      <w:r w:rsidRPr="00671AFE">
        <w:rPr>
          <w:lang w:val="en-GB"/>
        </w:rPr>
        <w:t xml:space="preserve">nough data to </w:t>
      </w:r>
      <w:r>
        <w:rPr>
          <w:lang w:val="en-GB"/>
        </w:rPr>
        <w:t>assess</w:t>
      </w:r>
      <w:r w:rsidRPr="00671AFE">
        <w:rPr>
          <w:lang w:val="en-GB"/>
        </w:rPr>
        <w:t xml:space="preserve"> </w:t>
      </w:r>
      <w:r>
        <w:rPr>
          <w:lang w:val="en-GB"/>
        </w:rPr>
        <w:t xml:space="preserve">clinical effectiveness of </w:t>
      </w:r>
      <w:proofErr w:type="spellStart"/>
      <w:r>
        <w:rPr>
          <w:lang w:val="en-GB"/>
        </w:rPr>
        <w:t>QuiremSpheres</w:t>
      </w:r>
      <w:proofErr w:type="spellEnd"/>
      <w:r>
        <w:rPr>
          <w:lang w:val="en-GB"/>
        </w:rPr>
        <w:t xml:space="preserve"> in any of the 3</w:t>
      </w:r>
      <w:r w:rsidR="00C133D8">
        <w:rPr>
          <w:lang w:val="en-GB"/>
        </w:rPr>
        <w:t> </w:t>
      </w:r>
      <w:r>
        <w:rPr>
          <w:lang w:val="en-GB"/>
        </w:rPr>
        <w:t>subgroups relevant to this appraisal (see section</w:t>
      </w:r>
      <w:r w:rsidR="00DF2A70">
        <w:rPr>
          <w:lang w:val="en-GB"/>
        </w:rPr>
        <w:t xml:space="preserve"> </w:t>
      </w:r>
      <w:r w:rsidR="00D20780">
        <w:rPr>
          <w:lang w:val="en-GB"/>
        </w:rPr>
        <w:fldChar w:fldCharType="begin"/>
      </w:r>
      <w:r w:rsidR="00D20780">
        <w:rPr>
          <w:lang w:val="en-GB"/>
        </w:rPr>
        <w:instrText xml:space="preserve"> REF _Ref25611129 \r \h </w:instrText>
      </w:r>
      <w:r w:rsidR="00D20780">
        <w:rPr>
          <w:lang w:val="en-GB"/>
        </w:rPr>
      </w:r>
      <w:r w:rsidR="00D20780">
        <w:rPr>
          <w:lang w:val="en-GB"/>
        </w:rPr>
        <w:fldChar w:fldCharType="separate"/>
      </w:r>
      <w:r w:rsidR="00B51242">
        <w:rPr>
          <w:lang w:val="en-GB"/>
        </w:rPr>
        <w:t>3.8</w:t>
      </w:r>
      <w:r w:rsidR="00D20780">
        <w:rPr>
          <w:lang w:val="en-GB"/>
        </w:rPr>
        <w:fldChar w:fldCharType="end"/>
      </w:r>
      <w:r>
        <w:rPr>
          <w:lang w:val="en-GB"/>
        </w:rPr>
        <w:t>).</w:t>
      </w:r>
    </w:p>
    <w:p w14:paraId="67977A7E" w14:textId="164D891D" w:rsidR="0090678D" w:rsidRPr="008F4E54" w:rsidRDefault="0090678D" w:rsidP="0090678D">
      <w:pPr>
        <w:pStyle w:val="Heading3"/>
      </w:pPr>
      <w:r>
        <w:t xml:space="preserve">There is limited </w:t>
      </w:r>
      <w:r w:rsidR="003165A3">
        <w:t>randomised clinical</w:t>
      </w:r>
      <w:r>
        <w:t xml:space="preserve"> evidence </w:t>
      </w:r>
      <w:r w:rsidR="00535185">
        <w:t xml:space="preserve">with a high risk of bias </w:t>
      </w:r>
      <w:r>
        <w:t xml:space="preserve">for </w:t>
      </w:r>
      <w:proofErr w:type="spellStart"/>
      <w:r>
        <w:t>TheraSphere</w:t>
      </w:r>
      <w:proofErr w:type="spellEnd"/>
      <w:r>
        <w:t xml:space="preserve"> </w:t>
      </w:r>
      <w:r w:rsidR="00787627">
        <w:t>compared with</w:t>
      </w:r>
      <w:r w:rsidR="001E2064">
        <w:t xml:space="preserve"> TACE for people when transplant is appropriate</w:t>
      </w:r>
      <w:r w:rsidR="00787627">
        <w:t xml:space="preserve"> </w:t>
      </w:r>
    </w:p>
    <w:p w14:paraId="56FD9027" w14:textId="11E75A8E" w:rsidR="00B140BA" w:rsidRPr="00F35D4D" w:rsidRDefault="0090678D" w:rsidP="00860644">
      <w:pPr>
        <w:pStyle w:val="Numberedlevel2text"/>
      </w:pPr>
      <w:r>
        <w:rPr>
          <w:lang w:val="en-GB"/>
        </w:rPr>
        <w:t xml:space="preserve">The committee heard that 2 small RCTs </w:t>
      </w:r>
      <w:r w:rsidR="0036394F">
        <w:rPr>
          <w:lang w:val="en-GB"/>
        </w:rPr>
        <w:t xml:space="preserve">(PREMIERE and Kulik 2014) </w:t>
      </w:r>
      <w:r>
        <w:rPr>
          <w:lang w:val="en-GB"/>
        </w:rPr>
        <w:t xml:space="preserve">for </w:t>
      </w:r>
      <w:proofErr w:type="spellStart"/>
      <w:r>
        <w:rPr>
          <w:lang w:val="en-GB"/>
        </w:rPr>
        <w:t>TheraSphere</w:t>
      </w:r>
      <w:proofErr w:type="spellEnd"/>
      <w:r>
        <w:rPr>
          <w:lang w:val="en-GB"/>
        </w:rPr>
        <w:t xml:space="preserve"> were identified that included </w:t>
      </w:r>
      <w:r w:rsidR="003165A3">
        <w:rPr>
          <w:lang w:val="en-GB"/>
        </w:rPr>
        <w:t xml:space="preserve">people </w:t>
      </w:r>
      <w:r w:rsidR="00C8426D">
        <w:rPr>
          <w:lang w:val="en-GB"/>
        </w:rPr>
        <w:t>for who</w:t>
      </w:r>
      <w:r w:rsidR="003165A3">
        <w:rPr>
          <w:lang w:val="en-GB"/>
        </w:rPr>
        <w:t>m</w:t>
      </w:r>
      <w:r w:rsidR="00C8426D">
        <w:rPr>
          <w:lang w:val="en-GB"/>
        </w:rPr>
        <w:t xml:space="preserve"> transplant is appropriate</w:t>
      </w:r>
      <w:r w:rsidR="00B140BA">
        <w:rPr>
          <w:lang w:val="en-GB"/>
        </w:rPr>
        <w:t xml:space="preserve"> (see section</w:t>
      </w:r>
      <w:r w:rsidR="00D20780">
        <w:rPr>
          <w:lang w:val="en-GB"/>
        </w:rPr>
        <w:t xml:space="preserve"> </w:t>
      </w:r>
      <w:r w:rsidR="00D20780">
        <w:fldChar w:fldCharType="begin"/>
      </w:r>
      <w:r w:rsidR="00D20780">
        <w:rPr>
          <w:lang w:val="en-GB"/>
        </w:rPr>
        <w:instrText xml:space="preserve"> REF _Ref25611129 \r \h </w:instrText>
      </w:r>
      <w:r w:rsidR="00D20780">
        <w:fldChar w:fldCharType="separate"/>
      </w:r>
      <w:r w:rsidR="00B51242">
        <w:rPr>
          <w:lang w:val="en-GB"/>
        </w:rPr>
        <w:t>3.8</w:t>
      </w:r>
      <w:r w:rsidR="00D20780">
        <w:fldChar w:fldCharType="end"/>
      </w:r>
      <w:r w:rsidR="00B140BA">
        <w:rPr>
          <w:lang w:val="en-GB"/>
        </w:rPr>
        <w:t>)</w:t>
      </w:r>
      <w:r>
        <w:rPr>
          <w:lang w:val="en-GB"/>
        </w:rPr>
        <w:t xml:space="preserve">. </w:t>
      </w:r>
      <w:r w:rsidR="00E046C3">
        <w:rPr>
          <w:lang w:val="en-GB"/>
        </w:rPr>
        <w:t>The committee was also aware of 10 non-RCT studies</w:t>
      </w:r>
      <w:r w:rsidR="003165A3">
        <w:rPr>
          <w:lang w:val="en-GB"/>
        </w:rPr>
        <w:t>,</w:t>
      </w:r>
      <w:r w:rsidR="00E046C3">
        <w:rPr>
          <w:lang w:val="en-GB"/>
        </w:rPr>
        <w:t xml:space="preserve"> including 7</w:t>
      </w:r>
      <w:r w:rsidR="00E046C3" w:rsidRPr="00E046C3">
        <w:rPr>
          <w:lang w:val="en-GB"/>
        </w:rPr>
        <w:t xml:space="preserve"> prospective comparative studies</w:t>
      </w:r>
      <w:r w:rsidR="00C8426D">
        <w:rPr>
          <w:lang w:val="en-GB"/>
        </w:rPr>
        <w:t xml:space="preserve"> that included people from the 3 subgroups relevant to this appraisal</w:t>
      </w:r>
      <w:r w:rsidR="0036394F">
        <w:rPr>
          <w:lang w:val="en-GB"/>
        </w:rPr>
        <w:t>.</w:t>
      </w:r>
      <w:r w:rsidR="00E046C3" w:rsidRPr="00E046C3">
        <w:rPr>
          <w:lang w:val="en-GB"/>
        </w:rPr>
        <w:t xml:space="preserve"> </w:t>
      </w:r>
      <w:r w:rsidR="00B140BA" w:rsidRPr="00860644">
        <w:rPr>
          <w:lang w:val="en-GB"/>
        </w:rPr>
        <w:t xml:space="preserve">The PREMIERE study </w:t>
      </w:r>
      <w:r w:rsidR="00C8426D" w:rsidRPr="00860644">
        <w:rPr>
          <w:lang w:val="en-GB"/>
        </w:rPr>
        <w:t>was done in the US and included 45</w:t>
      </w:r>
      <w:r w:rsidR="009F356A">
        <w:rPr>
          <w:lang w:val="en-GB"/>
        </w:rPr>
        <w:t> </w:t>
      </w:r>
      <w:r w:rsidR="00C8426D" w:rsidRPr="00860644">
        <w:rPr>
          <w:lang w:val="en-GB"/>
        </w:rPr>
        <w:t xml:space="preserve">people for whom transplant would be appropriate. It </w:t>
      </w:r>
      <w:r w:rsidR="00B140BA" w:rsidRPr="001E2064">
        <w:rPr>
          <w:lang w:val="en-GB"/>
        </w:rPr>
        <w:t xml:space="preserve">compared </w:t>
      </w:r>
      <w:proofErr w:type="spellStart"/>
      <w:r w:rsidR="00B140BA" w:rsidRPr="001E2064">
        <w:rPr>
          <w:lang w:val="en-GB"/>
        </w:rPr>
        <w:t>TheraSphere</w:t>
      </w:r>
      <w:proofErr w:type="spellEnd"/>
      <w:r w:rsidR="00B140BA" w:rsidRPr="001E2064">
        <w:rPr>
          <w:lang w:val="en-GB"/>
        </w:rPr>
        <w:t xml:space="preserve"> with TACE</w:t>
      </w:r>
      <w:r w:rsidR="00C8426D" w:rsidRPr="001E2064">
        <w:rPr>
          <w:lang w:val="en-GB"/>
        </w:rPr>
        <w:t xml:space="preserve"> as an </w:t>
      </w:r>
      <w:r w:rsidR="00C8426D" w:rsidRPr="001E2064">
        <w:rPr>
          <w:lang w:val="en-GB"/>
        </w:rPr>
        <w:lastRenderedPageBreak/>
        <w:t>alternative to prepare for transplant</w:t>
      </w:r>
      <w:r w:rsidR="00B140BA" w:rsidRPr="000A3D21">
        <w:rPr>
          <w:lang w:val="en-GB"/>
        </w:rPr>
        <w:t xml:space="preserve">. </w:t>
      </w:r>
      <w:r w:rsidR="0036394F" w:rsidRPr="00230A7E">
        <w:rPr>
          <w:lang w:val="en-GB"/>
        </w:rPr>
        <w:t xml:space="preserve">The AG </w:t>
      </w:r>
      <w:r w:rsidR="003165A3" w:rsidRPr="00F41C65">
        <w:rPr>
          <w:lang w:val="en-GB"/>
        </w:rPr>
        <w:t xml:space="preserve">advised </w:t>
      </w:r>
      <w:r w:rsidR="0036394F" w:rsidRPr="00BC561A">
        <w:rPr>
          <w:lang w:val="en-GB"/>
        </w:rPr>
        <w:t>that PREMIERE had a high risk of bias because of con</w:t>
      </w:r>
      <w:r w:rsidR="0036394F" w:rsidRPr="00375759">
        <w:rPr>
          <w:lang w:val="en-GB"/>
        </w:rPr>
        <w:t xml:space="preserve">cerns with randomisation and potential deviations from the intended interventions. Also, the baseline characteristics were different in the 2 arms so that people in the TACE arm had better prognosis than people in the </w:t>
      </w:r>
      <w:proofErr w:type="spellStart"/>
      <w:r w:rsidR="0036394F" w:rsidRPr="00375759">
        <w:rPr>
          <w:lang w:val="en-GB"/>
        </w:rPr>
        <w:t>TheraSphere</w:t>
      </w:r>
      <w:proofErr w:type="spellEnd"/>
      <w:r w:rsidR="0036394F" w:rsidRPr="00375759">
        <w:rPr>
          <w:lang w:val="en-GB"/>
        </w:rPr>
        <w:t xml:space="preserve"> arm. </w:t>
      </w:r>
      <w:r w:rsidR="0036394F">
        <w:t xml:space="preserve">Overall survival </w:t>
      </w:r>
      <w:r w:rsidR="00C8426D" w:rsidRPr="00860644">
        <w:rPr>
          <w:lang w:val="en-GB"/>
        </w:rPr>
        <w:t xml:space="preserve">of people who </w:t>
      </w:r>
      <w:r w:rsidR="00860644">
        <w:rPr>
          <w:lang w:val="en-GB"/>
        </w:rPr>
        <w:t>had a</w:t>
      </w:r>
      <w:r w:rsidR="00860644" w:rsidRPr="00860644">
        <w:rPr>
          <w:lang w:val="en-GB"/>
        </w:rPr>
        <w:t xml:space="preserve"> </w:t>
      </w:r>
      <w:r w:rsidR="00C8426D" w:rsidRPr="00860644">
        <w:rPr>
          <w:lang w:val="en-GB"/>
        </w:rPr>
        <w:t xml:space="preserve">transplant </w:t>
      </w:r>
      <w:r w:rsidR="0036394F">
        <w:t xml:space="preserve">was </w:t>
      </w:r>
      <w:r w:rsidR="003165A3" w:rsidRPr="00860644">
        <w:rPr>
          <w:lang w:val="en-GB"/>
        </w:rPr>
        <w:t>numerically,</w:t>
      </w:r>
      <w:r w:rsidR="0036394F">
        <w:t xml:space="preserve"> </w:t>
      </w:r>
      <w:r w:rsidR="00C8426D" w:rsidRPr="00860644">
        <w:rPr>
          <w:lang w:val="en-GB"/>
        </w:rPr>
        <w:t>but not statistically significant</w:t>
      </w:r>
      <w:r w:rsidR="003165A3" w:rsidRPr="00860644">
        <w:rPr>
          <w:lang w:val="en-GB"/>
        </w:rPr>
        <w:t>ly,</w:t>
      </w:r>
      <w:r w:rsidR="00C8426D" w:rsidRPr="00860644">
        <w:rPr>
          <w:lang w:val="en-GB"/>
        </w:rPr>
        <w:t xml:space="preserve"> </w:t>
      </w:r>
      <w:r w:rsidR="0036394F">
        <w:t xml:space="preserve">longer in the </w:t>
      </w:r>
      <w:proofErr w:type="spellStart"/>
      <w:r w:rsidR="0036394F">
        <w:t>TheraSphere</w:t>
      </w:r>
      <w:proofErr w:type="spellEnd"/>
      <w:r w:rsidR="0036394F">
        <w:t xml:space="preserve"> arm</w:t>
      </w:r>
      <w:r w:rsidR="00CA7C12">
        <w:rPr>
          <w:lang w:val="en-US"/>
        </w:rPr>
        <w:t>. The</w:t>
      </w:r>
      <w:r w:rsidR="0036394F">
        <w:t xml:space="preserve"> </w:t>
      </w:r>
      <w:r w:rsidR="00C8426D" w:rsidRPr="00860644">
        <w:rPr>
          <w:lang w:val="en-GB"/>
        </w:rPr>
        <w:t xml:space="preserve">median overall survival </w:t>
      </w:r>
      <w:r w:rsidR="00CA7C12">
        <w:rPr>
          <w:lang w:val="en-GB"/>
        </w:rPr>
        <w:t xml:space="preserve">was </w:t>
      </w:r>
      <w:r w:rsidR="0036394F">
        <w:t>18.6</w:t>
      </w:r>
      <w:r w:rsidR="00CA7C12">
        <w:rPr>
          <w:lang w:val="en-US"/>
        </w:rPr>
        <w:t> </w:t>
      </w:r>
      <w:r w:rsidR="0036394F">
        <w:t xml:space="preserve">months </w:t>
      </w:r>
      <w:r w:rsidR="00CA7C12">
        <w:rPr>
          <w:lang w:val="en-GB"/>
        </w:rPr>
        <w:t>(</w:t>
      </w:r>
      <w:r w:rsidR="00C8426D" w:rsidRPr="00860644">
        <w:rPr>
          <w:lang w:val="en-GB"/>
        </w:rPr>
        <w:t xml:space="preserve">95% </w:t>
      </w:r>
      <w:r w:rsidR="00395BBD">
        <w:rPr>
          <w:lang w:val="en-GB"/>
        </w:rPr>
        <w:t xml:space="preserve">confidence interval </w:t>
      </w:r>
      <w:r w:rsidR="00CA7C12">
        <w:rPr>
          <w:lang w:val="en-GB"/>
        </w:rPr>
        <w:t>[</w:t>
      </w:r>
      <w:r w:rsidR="00C8426D" w:rsidRPr="00860644">
        <w:rPr>
          <w:lang w:val="en-GB"/>
        </w:rPr>
        <w:t>CI</w:t>
      </w:r>
      <w:r w:rsidR="00CA7C12">
        <w:rPr>
          <w:lang w:val="en-GB"/>
        </w:rPr>
        <w:t>]</w:t>
      </w:r>
      <w:r w:rsidR="00C8426D" w:rsidRPr="00860644">
        <w:rPr>
          <w:lang w:val="en-GB"/>
        </w:rPr>
        <w:t xml:space="preserve"> 7.4</w:t>
      </w:r>
      <w:r w:rsidR="00C8426D" w:rsidRPr="00395BBD">
        <w:rPr>
          <w:lang w:val="en-GB"/>
        </w:rPr>
        <w:t xml:space="preserve"> to 32.5</w:t>
      </w:r>
      <w:r w:rsidR="00CA7C12">
        <w:rPr>
          <w:lang w:val="en-GB"/>
        </w:rPr>
        <w:t>)</w:t>
      </w:r>
      <w:r w:rsidR="00C8426D" w:rsidRPr="00395BBD">
        <w:rPr>
          <w:lang w:val="en-GB"/>
        </w:rPr>
        <w:t xml:space="preserve"> </w:t>
      </w:r>
      <w:r w:rsidR="00395BBD">
        <w:rPr>
          <w:lang w:val="en-US"/>
        </w:rPr>
        <w:t>compared with</w:t>
      </w:r>
      <w:r w:rsidR="0036394F">
        <w:t xml:space="preserve"> 17.7</w:t>
      </w:r>
      <w:r w:rsidR="00CA7C12">
        <w:rPr>
          <w:lang w:val="en-US"/>
        </w:rPr>
        <w:t xml:space="preserve"> </w:t>
      </w:r>
      <w:r w:rsidR="0036394F">
        <w:t>months</w:t>
      </w:r>
      <w:r w:rsidR="00C8426D" w:rsidRPr="00860644">
        <w:rPr>
          <w:lang w:val="en-GB"/>
        </w:rPr>
        <w:t xml:space="preserve"> </w:t>
      </w:r>
      <w:r w:rsidR="00CA7C12">
        <w:rPr>
          <w:lang w:val="en-GB"/>
        </w:rPr>
        <w:t>(</w:t>
      </w:r>
      <w:r w:rsidR="00C8426D" w:rsidRPr="00395BBD">
        <w:rPr>
          <w:lang w:val="en-GB"/>
        </w:rPr>
        <w:t>95% CI 7.4 to 32.5</w:t>
      </w:r>
      <w:r w:rsidR="0036394F">
        <w:t>)</w:t>
      </w:r>
      <w:r w:rsidR="0036394F" w:rsidRPr="00860644">
        <w:rPr>
          <w:lang w:val="en-GB"/>
        </w:rPr>
        <w:t xml:space="preserve">. </w:t>
      </w:r>
      <w:r w:rsidR="00C8426D" w:rsidRPr="00860644">
        <w:rPr>
          <w:lang w:val="en-GB"/>
        </w:rPr>
        <w:t>The committee concluded that there was limited evidence</w:t>
      </w:r>
      <w:r w:rsidR="00673D43">
        <w:rPr>
          <w:lang w:val="en-GB"/>
        </w:rPr>
        <w:t>,</w:t>
      </w:r>
      <w:r w:rsidR="00C8426D" w:rsidRPr="00860644">
        <w:rPr>
          <w:lang w:val="en-GB"/>
        </w:rPr>
        <w:t xml:space="preserve"> </w:t>
      </w:r>
      <w:r w:rsidR="00B71EF2" w:rsidRPr="00395BBD">
        <w:rPr>
          <w:lang w:val="en-GB"/>
        </w:rPr>
        <w:t>with</w:t>
      </w:r>
      <w:r w:rsidR="00673D43">
        <w:rPr>
          <w:lang w:val="en-GB"/>
        </w:rPr>
        <w:t xml:space="preserve"> a</w:t>
      </w:r>
      <w:r w:rsidR="00B71EF2" w:rsidRPr="00395BBD">
        <w:rPr>
          <w:lang w:val="en-GB"/>
        </w:rPr>
        <w:t xml:space="preserve"> high risk of bias</w:t>
      </w:r>
      <w:r w:rsidR="00673D43">
        <w:rPr>
          <w:lang w:val="en-GB"/>
        </w:rPr>
        <w:t>,</w:t>
      </w:r>
      <w:r w:rsidR="00B71EF2" w:rsidRPr="00395BBD">
        <w:rPr>
          <w:lang w:val="en-GB"/>
        </w:rPr>
        <w:t xml:space="preserve"> </w:t>
      </w:r>
      <w:r w:rsidR="00C8426D" w:rsidRPr="00395BBD">
        <w:rPr>
          <w:lang w:val="en-GB"/>
        </w:rPr>
        <w:t xml:space="preserve">to establish whether </w:t>
      </w:r>
      <w:proofErr w:type="spellStart"/>
      <w:r w:rsidR="00C8426D" w:rsidRPr="00395BBD">
        <w:rPr>
          <w:lang w:val="en-GB"/>
        </w:rPr>
        <w:t>TheraSphere</w:t>
      </w:r>
      <w:proofErr w:type="spellEnd"/>
      <w:r w:rsidR="00C8426D" w:rsidRPr="00395BBD">
        <w:rPr>
          <w:lang w:val="en-GB"/>
        </w:rPr>
        <w:t xml:space="preserve"> </w:t>
      </w:r>
      <w:r w:rsidR="00673D43">
        <w:rPr>
          <w:lang w:val="en-GB"/>
        </w:rPr>
        <w:t>wa</w:t>
      </w:r>
      <w:r w:rsidR="00C8426D" w:rsidRPr="00395BBD">
        <w:rPr>
          <w:lang w:val="en-GB"/>
        </w:rPr>
        <w:t xml:space="preserve">s better than TACE in people </w:t>
      </w:r>
      <w:r w:rsidR="003165A3" w:rsidRPr="00395BBD">
        <w:rPr>
          <w:lang w:val="en-GB"/>
        </w:rPr>
        <w:t>for whom</w:t>
      </w:r>
      <w:r w:rsidR="00C8426D" w:rsidRPr="00395BBD">
        <w:rPr>
          <w:lang w:val="en-GB"/>
        </w:rPr>
        <w:t xml:space="preserve"> transplant is appropriate.</w:t>
      </w:r>
    </w:p>
    <w:p w14:paraId="2889B9B5" w14:textId="1E7AD66A" w:rsidR="0085797B" w:rsidRPr="00F8307A" w:rsidRDefault="0085797B" w:rsidP="00F35D4D">
      <w:pPr>
        <w:pStyle w:val="Heading3"/>
      </w:pPr>
      <w:r>
        <w:t xml:space="preserve">There is limited evidence with high risk of bias for </w:t>
      </w:r>
      <w:proofErr w:type="spellStart"/>
      <w:r>
        <w:t>TheraSphere</w:t>
      </w:r>
      <w:proofErr w:type="spellEnd"/>
      <w:r>
        <w:t xml:space="preserve"> compared with </w:t>
      </w:r>
      <w:proofErr w:type="spellStart"/>
      <w:r>
        <w:t>TheraSphere</w:t>
      </w:r>
      <w:proofErr w:type="spellEnd"/>
      <w:r>
        <w:t xml:space="preserve"> with sorafenib in people when transplant is appropriate</w:t>
      </w:r>
    </w:p>
    <w:p w14:paraId="61650208" w14:textId="0C2C4B08" w:rsidR="00B140BA" w:rsidRPr="00F8307A" w:rsidRDefault="00B140BA" w:rsidP="0090678D">
      <w:pPr>
        <w:pStyle w:val="Numberedlevel2text"/>
      </w:pPr>
      <w:r>
        <w:rPr>
          <w:lang w:val="en-GB"/>
        </w:rPr>
        <w:t xml:space="preserve">The study by Kulik 2014 </w:t>
      </w:r>
      <w:r w:rsidR="00C8426D">
        <w:rPr>
          <w:lang w:val="en-GB"/>
        </w:rPr>
        <w:t>was done in the US and included 20 people for whom transplant would be appropriate.</w:t>
      </w:r>
      <w:r>
        <w:rPr>
          <w:lang w:val="en-GB"/>
        </w:rPr>
        <w:t xml:space="preserve"> </w:t>
      </w:r>
      <w:r w:rsidR="00C8426D">
        <w:rPr>
          <w:lang w:val="en-GB"/>
        </w:rPr>
        <w:t xml:space="preserve">It compared </w:t>
      </w:r>
      <w:proofErr w:type="spellStart"/>
      <w:r>
        <w:rPr>
          <w:lang w:val="en-GB"/>
        </w:rPr>
        <w:t>TheraSphere</w:t>
      </w:r>
      <w:proofErr w:type="spellEnd"/>
      <w:r>
        <w:rPr>
          <w:lang w:val="en-GB"/>
        </w:rPr>
        <w:t xml:space="preserve"> with </w:t>
      </w:r>
      <w:proofErr w:type="spellStart"/>
      <w:r>
        <w:rPr>
          <w:lang w:val="en-GB"/>
        </w:rPr>
        <w:t>TheraSphere</w:t>
      </w:r>
      <w:proofErr w:type="spellEnd"/>
      <w:r>
        <w:rPr>
          <w:lang w:val="en-GB"/>
        </w:rPr>
        <w:t xml:space="preserve"> </w:t>
      </w:r>
      <w:r w:rsidR="00C8426D">
        <w:rPr>
          <w:lang w:val="en-GB"/>
        </w:rPr>
        <w:t>and</w:t>
      </w:r>
      <w:r>
        <w:rPr>
          <w:lang w:val="en-GB"/>
        </w:rPr>
        <w:t xml:space="preserve"> sorafenib</w:t>
      </w:r>
      <w:r w:rsidR="003165A3">
        <w:rPr>
          <w:lang w:val="en-GB"/>
        </w:rPr>
        <w:t xml:space="preserve"> in</w:t>
      </w:r>
      <w:r w:rsidR="00C8426D">
        <w:rPr>
          <w:lang w:val="en-GB"/>
        </w:rPr>
        <w:t xml:space="preserve"> combination</w:t>
      </w:r>
      <w:r>
        <w:rPr>
          <w:lang w:val="en-GB"/>
        </w:rPr>
        <w:t xml:space="preserve">. </w:t>
      </w:r>
      <w:r w:rsidR="003165A3">
        <w:rPr>
          <w:lang w:val="en-GB"/>
        </w:rPr>
        <w:t>The AG</w:t>
      </w:r>
      <w:r w:rsidR="00C8426D">
        <w:rPr>
          <w:lang w:val="en-GB"/>
        </w:rPr>
        <w:t xml:space="preserve"> </w:t>
      </w:r>
      <w:r w:rsidR="00B71EF2">
        <w:rPr>
          <w:lang w:val="en-GB"/>
        </w:rPr>
        <w:t xml:space="preserve">had some concerns with </w:t>
      </w:r>
      <w:r w:rsidR="00B71EF2">
        <w:t>the randomisation process, potential deviations from the intended interventions</w:t>
      </w:r>
      <w:r w:rsidR="00B71EF2">
        <w:rPr>
          <w:lang w:val="en-GB"/>
        </w:rPr>
        <w:t xml:space="preserve"> and measurement of outcomes.</w:t>
      </w:r>
      <w:r w:rsidR="00C8426D">
        <w:rPr>
          <w:lang w:val="en-GB"/>
        </w:rPr>
        <w:t xml:space="preserve"> </w:t>
      </w:r>
      <w:r w:rsidR="00B71EF2">
        <w:rPr>
          <w:lang w:val="en-GB"/>
        </w:rPr>
        <w:t>The baseline characteristics were different in the 2</w:t>
      </w:r>
      <w:r w:rsidR="00D6159F">
        <w:rPr>
          <w:lang w:val="en-GB"/>
        </w:rPr>
        <w:t> </w:t>
      </w:r>
      <w:r w:rsidR="00B71EF2">
        <w:rPr>
          <w:lang w:val="en-GB"/>
        </w:rPr>
        <w:t xml:space="preserve">arms so that people in the </w:t>
      </w:r>
      <w:proofErr w:type="spellStart"/>
      <w:r w:rsidR="00B71EF2">
        <w:rPr>
          <w:lang w:val="en-GB"/>
        </w:rPr>
        <w:t>TheraSphere</w:t>
      </w:r>
      <w:proofErr w:type="spellEnd"/>
      <w:r w:rsidR="00B71EF2">
        <w:rPr>
          <w:lang w:val="en-GB"/>
        </w:rPr>
        <w:t xml:space="preserve"> plus sorafenib arm had a better prognosis. There was no difference in overall survival between the 2</w:t>
      </w:r>
      <w:r w:rsidR="00230A7E">
        <w:rPr>
          <w:lang w:val="en-GB"/>
        </w:rPr>
        <w:t xml:space="preserve"> </w:t>
      </w:r>
      <w:r w:rsidR="00B71EF2">
        <w:rPr>
          <w:lang w:val="en-GB"/>
        </w:rPr>
        <w:t>arms (3</w:t>
      </w:r>
      <w:r w:rsidR="00230A7E">
        <w:rPr>
          <w:lang w:val="en-GB"/>
        </w:rPr>
        <w:t xml:space="preserve"> </w:t>
      </w:r>
      <w:r w:rsidR="00B71EF2">
        <w:rPr>
          <w:lang w:val="en-GB"/>
        </w:rPr>
        <w:t xml:space="preserve">deaths in </w:t>
      </w:r>
      <w:r w:rsidR="00F41C65">
        <w:rPr>
          <w:lang w:val="en-GB"/>
        </w:rPr>
        <w:t xml:space="preserve">the </w:t>
      </w:r>
      <w:proofErr w:type="spellStart"/>
      <w:r w:rsidR="00B71EF2">
        <w:rPr>
          <w:lang w:val="en-GB"/>
        </w:rPr>
        <w:t>TheraSphere</w:t>
      </w:r>
      <w:proofErr w:type="spellEnd"/>
      <w:r w:rsidR="00B71EF2">
        <w:rPr>
          <w:lang w:val="en-GB"/>
        </w:rPr>
        <w:t xml:space="preserve"> arm, 2</w:t>
      </w:r>
      <w:r w:rsidR="00230A7E">
        <w:rPr>
          <w:lang w:val="en-GB"/>
        </w:rPr>
        <w:t> </w:t>
      </w:r>
      <w:r w:rsidR="00B71EF2">
        <w:rPr>
          <w:lang w:val="en-GB"/>
        </w:rPr>
        <w:t xml:space="preserve">deaths in </w:t>
      </w:r>
      <w:r w:rsidR="00F41C65">
        <w:rPr>
          <w:lang w:val="en-GB"/>
        </w:rPr>
        <w:t xml:space="preserve">the </w:t>
      </w:r>
      <w:r w:rsidR="003165A3">
        <w:rPr>
          <w:lang w:val="en-GB"/>
        </w:rPr>
        <w:t>combination</w:t>
      </w:r>
      <w:r w:rsidR="00B71EF2">
        <w:rPr>
          <w:lang w:val="en-GB"/>
        </w:rPr>
        <w:t xml:space="preserve"> arm). The committee was aware that </w:t>
      </w:r>
      <w:proofErr w:type="spellStart"/>
      <w:r w:rsidR="00B71EF2">
        <w:rPr>
          <w:lang w:val="en-GB"/>
        </w:rPr>
        <w:t>TheraSphere</w:t>
      </w:r>
      <w:proofErr w:type="spellEnd"/>
      <w:r w:rsidR="00B71EF2">
        <w:rPr>
          <w:lang w:val="en-GB"/>
        </w:rPr>
        <w:t xml:space="preserve"> with sorafenib </w:t>
      </w:r>
      <w:r w:rsidR="003165A3">
        <w:rPr>
          <w:lang w:val="en-GB"/>
        </w:rPr>
        <w:t xml:space="preserve">in </w:t>
      </w:r>
      <w:r w:rsidR="00B71EF2">
        <w:rPr>
          <w:lang w:val="en-GB"/>
        </w:rPr>
        <w:t xml:space="preserve">combination </w:t>
      </w:r>
      <w:r w:rsidR="001C7765">
        <w:rPr>
          <w:lang w:val="en-GB"/>
        </w:rPr>
        <w:t>wa</w:t>
      </w:r>
      <w:r w:rsidR="00B71EF2">
        <w:rPr>
          <w:lang w:val="en-GB"/>
        </w:rPr>
        <w:t xml:space="preserve">s not included in the licence of sorafenib </w:t>
      </w:r>
      <w:r w:rsidR="003165A3">
        <w:rPr>
          <w:lang w:val="en-GB"/>
        </w:rPr>
        <w:t>or</w:t>
      </w:r>
      <w:r w:rsidR="00B71EF2">
        <w:rPr>
          <w:lang w:val="en-GB"/>
        </w:rPr>
        <w:t xml:space="preserve"> the CE mark of </w:t>
      </w:r>
      <w:proofErr w:type="spellStart"/>
      <w:r w:rsidR="00B71EF2">
        <w:rPr>
          <w:lang w:val="en-GB"/>
        </w:rPr>
        <w:t>TheraSphere</w:t>
      </w:r>
      <w:proofErr w:type="spellEnd"/>
      <w:r w:rsidR="00B71EF2">
        <w:rPr>
          <w:lang w:val="en-GB"/>
        </w:rPr>
        <w:t xml:space="preserve">. The committee concluded that there was limited evidence with </w:t>
      </w:r>
      <w:r w:rsidR="003165A3">
        <w:rPr>
          <w:lang w:val="en-GB"/>
        </w:rPr>
        <w:t xml:space="preserve">high </w:t>
      </w:r>
      <w:r w:rsidR="00B71EF2">
        <w:rPr>
          <w:lang w:val="en-GB"/>
        </w:rPr>
        <w:t xml:space="preserve">risk of bias to establish whether </w:t>
      </w:r>
      <w:proofErr w:type="spellStart"/>
      <w:r w:rsidR="00B71EF2">
        <w:rPr>
          <w:lang w:val="en-GB"/>
        </w:rPr>
        <w:t>TheraSphere</w:t>
      </w:r>
      <w:proofErr w:type="spellEnd"/>
      <w:r w:rsidR="00B71EF2">
        <w:rPr>
          <w:lang w:val="en-GB"/>
        </w:rPr>
        <w:t xml:space="preserve"> is better than </w:t>
      </w:r>
      <w:proofErr w:type="spellStart"/>
      <w:r w:rsidR="00F8307A">
        <w:rPr>
          <w:lang w:val="en-GB"/>
        </w:rPr>
        <w:t>TheraSphere</w:t>
      </w:r>
      <w:proofErr w:type="spellEnd"/>
      <w:r w:rsidR="00F8307A">
        <w:rPr>
          <w:lang w:val="en-GB"/>
        </w:rPr>
        <w:t xml:space="preserve"> with sorafenib</w:t>
      </w:r>
      <w:r w:rsidR="00B71EF2">
        <w:rPr>
          <w:lang w:val="en-GB"/>
        </w:rPr>
        <w:t xml:space="preserve"> in people when transplant is appropriate.</w:t>
      </w:r>
    </w:p>
    <w:p w14:paraId="5A999F1E" w14:textId="018C792E" w:rsidR="00E56537" w:rsidRPr="00FD04ED" w:rsidRDefault="00E56537" w:rsidP="00F8307A">
      <w:pPr>
        <w:pStyle w:val="Heading3"/>
      </w:pPr>
      <w:r>
        <w:lastRenderedPageBreak/>
        <w:t xml:space="preserve">Non-randomised evidence comparing </w:t>
      </w:r>
      <w:proofErr w:type="spellStart"/>
      <w:r>
        <w:t>TheraSphere</w:t>
      </w:r>
      <w:proofErr w:type="spellEnd"/>
      <w:r>
        <w:t xml:space="preserve"> with non-SIRT treatments is not robust and should not be used for decision making</w:t>
      </w:r>
    </w:p>
    <w:p w14:paraId="5B9499B1" w14:textId="0538CF21" w:rsidR="00B71EF2" w:rsidRPr="00546015" w:rsidRDefault="008975A5" w:rsidP="00787627">
      <w:pPr>
        <w:pStyle w:val="Numberedlevel2text"/>
      </w:pPr>
      <w:bookmarkStart w:id="7" w:name="_Ref25612133"/>
      <w:r>
        <w:rPr>
          <w:lang w:val="en-GB"/>
        </w:rPr>
        <w:t>Of the 7 prospective comparative non-RCTs</w:t>
      </w:r>
      <w:r w:rsidR="003165A3">
        <w:rPr>
          <w:lang w:val="en-GB"/>
        </w:rPr>
        <w:t>,</w:t>
      </w:r>
      <w:r>
        <w:rPr>
          <w:lang w:val="en-GB"/>
        </w:rPr>
        <w:t xml:space="preserve"> only </w:t>
      </w:r>
      <w:r w:rsidR="00D366AA">
        <w:rPr>
          <w:lang w:val="en-GB"/>
        </w:rPr>
        <w:t>4</w:t>
      </w:r>
      <w:r>
        <w:rPr>
          <w:lang w:val="en-GB"/>
        </w:rPr>
        <w:t xml:space="preserve"> reported overall survival or progression-free survival. </w:t>
      </w:r>
      <w:r w:rsidR="00D366AA">
        <w:rPr>
          <w:lang w:val="en-GB"/>
        </w:rPr>
        <w:t xml:space="preserve">Of these, 2 compared </w:t>
      </w:r>
      <w:proofErr w:type="spellStart"/>
      <w:r w:rsidR="00D366AA">
        <w:rPr>
          <w:lang w:val="en-GB"/>
        </w:rPr>
        <w:t>TheraSphere</w:t>
      </w:r>
      <w:proofErr w:type="spellEnd"/>
      <w:r w:rsidR="00D366AA">
        <w:rPr>
          <w:lang w:val="en-GB"/>
        </w:rPr>
        <w:t xml:space="preserve"> with TACE or DEB-TACE across the 3 subgroups. The </w:t>
      </w:r>
      <w:r w:rsidR="003165A3">
        <w:rPr>
          <w:lang w:val="en-GB"/>
        </w:rPr>
        <w:t>AG’s assessment suggested</w:t>
      </w:r>
      <w:r w:rsidR="00D366AA">
        <w:rPr>
          <w:lang w:val="en-GB"/>
        </w:rPr>
        <w:t xml:space="preserve"> that both studies had high risk of bias and differences in baseline characteristics</w:t>
      </w:r>
      <w:r w:rsidR="003165A3">
        <w:rPr>
          <w:lang w:val="en-GB"/>
        </w:rPr>
        <w:t>. The committee</w:t>
      </w:r>
      <w:r w:rsidR="00D366AA">
        <w:rPr>
          <w:lang w:val="en-GB"/>
        </w:rPr>
        <w:t xml:space="preserve"> concluded that</w:t>
      </w:r>
      <w:r w:rsidR="00787627">
        <w:rPr>
          <w:lang w:val="en-GB"/>
        </w:rPr>
        <w:t xml:space="preserve"> results</w:t>
      </w:r>
      <w:r w:rsidR="00D366AA">
        <w:rPr>
          <w:lang w:val="en-GB"/>
        </w:rPr>
        <w:t xml:space="preserve"> from these studies might be unreliable for decision making. Another study compared </w:t>
      </w:r>
      <w:proofErr w:type="spellStart"/>
      <w:r w:rsidR="00D366AA">
        <w:rPr>
          <w:lang w:val="en-GB"/>
        </w:rPr>
        <w:t>TheraSphere</w:t>
      </w:r>
      <w:proofErr w:type="spellEnd"/>
      <w:r w:rsidR="00D366AA">
        <w:rPr>
          <w:lang w:val="en-GB"/>
        </w:rPr>
        <w:t xml:space="preserve"> with </w:t>
      </w:r>
      <w:proofErr w:type="spellStart"/>
      <w:r w:rsidR="00D366AA">
        <w:rPr>
          <w:lang w:val="en-GB"/>
        </w:rPr>
        <w:t>TheraSphere</w:t>
      </w:r>
      <w:proofErr w:type="spellEnd"/>
      <w:r w:rsidR="00D366AA">
        <w:rPr>
          <w:lang w:val="en-GB"/>
        </w:rPr>
        <w:t xml:space="preserve"> and sorafenib </w:t>
      </w:r>
      <w:r w:rsidR="003165A3">
        <w:rPr>
          <w:lang w:val="en-GB"/>
        </w:rPr>
        <w:t xml:space="preserve">in </w:t>
      </w:r>
      <w:r w:rsidR="00D366AA">
        <w:rPr>
          <w:lang w:val="en-GB"/>
        </w:rPr>
        <w:t>combination</w:t>
      </w:r>
      <w:r w:rsidR="003165A3">
        <w:rPr>
          <w:lang w:val="en-GB"/>
        </w:rPr>
        <w:t>,</w:t>
      </w:r>
      <w:r w:rsidR="00D366AA" w:rsidRPr="00D366AA">
        <w:rPr>
          <w:lang w:val="en-GB"/>
        </w:rPr>
        <w:t xml:space="preserve"> </w:t>
      </w:r>
      <w:r w:rsidR="00D366AA">
        <w:rPr>
          <w:lang w:val="en-GB"/>
        </w:rPr>
        <w:t xml:space="preserve">in people </w:t>
      </w:r>
      <w:r w:rsidR="003165A3">
        <w:rPr>
          <w:lang w:val="en-GB"/>
        </w:rPr>
        <w:t>for whom</w:t>
      </w:r>
      <w:r w:rsidR="00D366AA">
        <w:rPr>
          <w:lang w:val="en-GB"/>
        </w:rPr>
        <w:t xml:space="preserve"> CTT </w:t>
      </w:r>
      <w:r w:rsidR="00F8307A">
        <w:rPr>
          <w:lang w:val="en-GB"/>
        </w:rPr>
        <w:t>is</w:t>
      </w:r>
      <w:r w:rsidR="00D366AA">
        <w:rPr>
          <w:lang w:val="en-GB"/>
        </w:rPr>
        <w:t xml:space="preserve"> inappropriate. This study</w:t>
      </w:r>
      <w:r w:rsidR="003165A3">
        <w:rPr>
          <w:lang w:val="en-GB"/>
        </w:rPr>
        <w:t xml:space="preserve"> also</w:t>
      </w:r>
      <w:r w:rsidR="00D366AA">
        <w:rPr>
          <w:lang w:val="en-GB"/>
        </w:rPr>
        <w:t xml:space="preserve"> had a high risk of </w:t>
      </w:r>
      <w:r w:rsidR="003165A3">
        <w:rPr>
          <w:lang w:val="en-GB"/>
        </w:rPr>
        <w:t>bias and</w:t>
      </w:r>
      <w:r w:rsidR="00787627">
        <w:rPr>
          <w:lang w:val="en-GB"/>
        </w:rPr>
        <w:t xml:space="preserve"> was only published as an abstract. The </w:t>
      </w:r>
      <w:r w:rsidR="003165A3">
        <w:rPr>
          <w:lang w:val="en-GB"/>
        </w:rPr>
        <w:t>remaining prospective</w:t>
      </w:r>
      <w:r w:rsidR="00787627">
        <w:rPr>
          <w:lang w:val="en-GB"/>
        </w:rPr>
        <w:t xml:space="preserve"> study was done in people </w:t>
      </w:r>
      <w:r w:rsidR="003165A3">
        <w:rPr>
          <w:lang w:val="en-GB"/>
        </w:rPr>
        <w:t>for</w:t>
      </w:r>
      <w:r w:rsidR="00787627">
        <w:rPr>
          <w:lang w:val="en-GB"/>
        </w:rPr>
        <w:t xml:space="preserve"> whom CTT</w:t>
      </w:r>
      <w:r w:rsidR="0047627E">
        <w:rPr>
          <w:lang w:val="en-GB"/>
        </w:rPr>
        <w:t xml:space="preserve"> i</w:t>
      </w:r>
      <w:r w:rsidR="00787627">
        <w:rPr>
          <w:lang w:val="en-GB"/>
        </w:rPr>
        <w:t xml:space="preserve">s </w:t>
      </w:r>
      <w:r w:rsidR="00FB25E0">
        <w:rPr>
          <w:lang w:val="en-GB"/>
        </w:rPr>
        <w:t>inappropriate</w:t>
      </w:r>
      <w:r w:rsidR="0069177A">
        <w:rPr>
          <w:lang w:val="en-GB"/>
        </w:rPr>
        <w:t>. This</w:t>
      </w:r>
      <w:r w:rsidR="00787627">
        <w:rPr>
          <w:lang w:val="en-GB"/>
        </w:rPr>
        <w:t xml:space="preserve"> compared </w:t>
      </w:r>
      <w:proofErr w:type="spellStart"/>
      <w:r w:rsidR="00787627">
        <w:rPr>
          <w:lang w:val="en-GB"/>
        </w:rPr>
        <w:t>TheraSphere</w:t>
      </w:r>
      <w:proofErr w:type="spellEnd"/>
      <w:r w:rsidR="00787627">
        <w:rPr>
          <w:lang w:val="en-GB"/>
        </w:rPr>
        <w:t xml:space="preserve"> in people with </w:t>
      </w:r>
      <w:r w:rsidR="0047627E">
        <w:rPr>
          <w:lang w:val="en-GB"/>
        </w:rPr>
        <w:t>PVT</w:t>
      </w:r>
      <w:r w:rsidR="00787627">
        <w:rPr>
          <w:lang w:val="en-GB"/>
        </w:rPr>
        <w:t xml:space="preserve"> with </w:t>
      </w:r>
      <w:proofErr w:type="spellStart"/>
      <w:r w:rsidR="00787627">
        <w:rPr>
          <w:lang w:val="en-GB"/>
        </w:rPr>
        <w:t>TheraSphere</w:t>
      </w:r>
      <w:proofErr w:type="spellEnd"/>
      <w:r w:rsidR="00787627">
        <w:rPr>
          <w:lang w:val="en-GB"/>
        </w:rPr>
        <w:t xml:space="preserve"> in people without </w:t>
      </w:r>
      <w:r w:rsidR="0047627E">
        <w:rPr>
          <w:lang w:val="en-GB"/>
        </w:rPr>
        <w:t>PVT</w:t>
      </w:r>
      <w:r w:rsidR="00787627">
        <w:rPr>
          <w:lang w:val="en-GB"/>
        </w:rPr>
        <w:t xml:space="preserve"> and best supportive care. The </w:t>
      </w:r>
      <w:r w:rsidR="003165A3">
        <w:rPr>
          <w:lang w:val="en-GB"/>
        </w:rPr>
        <w:t>AG advised</w:t>
      </w:r>
      <w:r w:rsidR="00787627">
        <w:rPr>
          <w:lang w:val="en-GB"/>
        </w:rPr>
        <w:t xml:space="preserve"> that this study had a high risk of bias</w:t>
      </w:r>
      <w:r w:rsidR="003165A3">
        <w:rPr>
          <w:lang w:val="en-GB"/>
        </w:rPr>
        <w:t>,</w:t>
      </w:r>
      <w:r w:rsidR="00787627">
        <w:rPr>
          <w:lang w:val="en-GB"/>
        </w:rPr>
        <w:t xml:space="preserve"> and</w:t>
      </w:r>
      <w:r w:rsidR="003165A3">
        <w:rPr>
          <w:lang w:val="en-GB"/>
        </w:rPr>
        <w:t xml:space="preserve"> that</w:t>
      </w:r>
      <w:r w:rsidR="00787627">
        <w:rPr>
          <w:lang w:val="en-GB"/>
        </w:rPr>
        <w:t xml:space="preserve"> the people in the treatment arms </w:t>
      </w:r>
      <w:r w:rsidR="003165A3">
        <w:rPr>
          <w:lang w:val="en-GB"/>
        </w:rPr>
        <w:t>had</w:t>
      </w:r>
      <w:r w:rsidR="00787627">
        <w:rPr>
          <w:lang w:val="en-GB"/>
        </w:rPr>
        <w:t xml:space="preserve"> very different</w:t>
      </w:r>
      <w:r w:rsidR="003165A3">
        <w:rPr>
          <w:lang w:val="en-GB"/>
        </w:rPr>
        <w:t xml:space="preserve"> baseline characteristics</w:t>
      </w:r>
      <w:r w:rsidR="00787627">
        <w:rPr>
          <w:lang w:val="en-GB"/>
        </w:rPr>
        <w:t xml:space="preserve">. </w:t>
      </w:r>
      <w:r w:rsidR="00D366AA" w:rsidRPr="00787627">
        <w:rPr>
          <w:lang w:val="en-GB"/>
        </w:rPr>
        <w:t>Because of th</w:t>
      </w:r>
      <w:r w:rsidR="00D614D7">
        <w:rPr>
          <w:lang w:val="en-GB"/>
        </w:rPr>
        <w:t xml:space="preserve">is, </w:t>
      </w:r>
      <w:r w:rsidR="00D366AA" w:rsidRPr="00787627">
        <w:rPr>
          <w:lang w:val="en-GB"/>
        </w:rPr>
        <w:t xml:space="preserve">the committee concluded </w:t>
      </w:r>
      <w:r w:rsidR="00E56537">
        <w:rPr>
          <w:lang w:val="en-GB"/>
        </w:rPr>
        <w:t>that</w:t>
      </w:r>
      <w:r w:rsidR="00D366AA" w:rsidRPr="00787627">
        <w:rPr>
          <w:lang w:val="en-GB"/>
        </w:rPr>
        <w:t xml:space="preserve"> </w:t>
      </w:r>
      <w:r w:rsidR="00787627">
        <w:rPr>
          <w:lang w:val="en-GB"/>
        </w:rPr>
        <w:t>these studies</w:t>
      </w:r>
      <w:r w:rsidR="00E56537">
        <w:rPr>
          <w:lang w:val="en-GB"/>
        </w:rPr>
        <w:t xml:space="preserve"> should not be used</w:t>
      </w:r>
      <w:r w:rsidR="00787627">
        <w:rPr>
          <w:lang w:val="en-GB"/>
        </w:rPr>
        <w:t xml:space="preserve"> for decision making. It </w:t>
      </w:r>
      <w:r w:rsidR="00E56537">
        <w:rPr>
          <w:lang w:val="en-GB"/>
        </w:rPr>
        <w:t xml:space="preserve">also </w:t>
      </w:r>
      <w:r w:rsidR="00787627">
        <w:rPr>
          <w:lang w:val="en-GB"/>
        </w:rPr>
        <w:t xml:space="preserve">concluded that there was not enough evidence to establish whether </w:t>
      </w:r>
      <w:proofErr w:type="spellStart"/>
      <w:r w:rsidR="00787627">
        <w:rPr>
          <w:lang w:val="en-GB"/>
        </w:rPr>
        <w:t>TheraSphere</w:t>
      </w:r>
      <w:proofErr w:type="spellEnd"/>
      <w:r w:rsidR="00787627">
        <w:rPr>
          <w:lang w:val="en-GB"/>
        </w:rPr>
        <w:t xml:space="preserve"> is better than other treatments in people </w:t>
      </w:r>
      <w:r w:rsidR="003165A3">
        <w:rPr>
          <w:lang w:val="en-GB"/>
        </w:rPr>
        <w:t>for whom</w:t>
      </w:r>
      <w:r w:rsidR="00787627">
        <w:rPr>
          <w:lang w:val="en-GB"/>
        </w:rPr>
        <w:t xml:space="preserve"> CTT </w:t>
      </w:r>
      <w:r w:rsidR="00F8307A">
        <w:rPr>
          <w:lang w:val="en-GB"/>
        </w:rPr>
        <w:t>is</w:t>
      </w:r>
      <w:r w:rsidR="00787627">
        <w:rPr>
          <w:lang w:val="en-GB"/>
        </w:rPr>
        <w:t xml:space="preserve"> appropriate and in people </w:t>
      </w:r>
      <w:r w:rsidR="003165A3">
        <w:rPr>
          <w:lang w:val="en-GB"/>
        </w:rPr>
        <w:t>for whom</w:t>
      </w:r>
      <w:r w:rsidR="00787627">
        <w:rPr>
          <w:lang w:val="en-GB"/>
        </w:rPr>
        <w:t xml:space="preserve"> CTT</w:t>
      </w:r>
      <w:r w:rsidR="00F8307A">
        <w:rPr>
          <w:lang w:val="en-GB"/>
        </w:rPr>
        <w:t xml:space="preserve"> is</w:t>
      </w:r>
      <w:r w:rsidR="00787627">
        <w:rPr>
          <w:lang w:val="en-GB"/>
        </w:rPr>
        <w:t xml:space="preserve"> </w:t>
      </w:r>
      <w:r w:rsidR="00FE3581">
        <w:rPr>
          <w:lang w:val="en-GB"/>
        </w:rPr>
        <w:t>in</w:t>
      </w:r>
      <w:r w:rsidR="00787627">
        <w:rPr>
          <w:lang w:val="en-GB"/>
        </w:rPr>
        <w:t>appropriate.</w:t>
      </w:r>
      <w:bookmarkEnd w:id="7"/>
    </w:p>
    <w:p w14:paraId="2D43DDEE" w14:textId="6F6ED64A" w:rsidR="00EE38A1" w:rsidRDefault="00CA0FA4" w:rsidP="009F711E">
      <w:pPr>
        <w:pStyle w:val="Heading3"/>
      </w:pPr>
      <w:r>
        <w:t xml:space="preserve">There were no data identified to establish </w:t>
      </w:r>
      <w:r w:rsidR="00E56537">
        <w:t xml:space="preserve">the </w:t>
      </w:r>
      <w:r>
        <w:t>clinical effectiveness of SIR-Spheres compared with non-SIRT treatment</w:t>
      </w:r>
      <w:r w:rsidR="00E56537">
        <w:t>s</w:t>
      </w:r>
      <w:r>
        <w:t xml:space="preserve"> in people </w:t>
      </w:r>
      <w:r w:rsidR="00E56537">
        <w:t>for whom</w:t>
      </w:r>
      <w:r>
        <w:t xml:space="preserve"> transplant is appropriate</w:t>
      </w:r>
    </w:p>
    <w:p w14:paraId="16DC9A4F" w14:textId="07C6D96B" w:rsidR="004A770F" w:rsidRPr="00546015" w:rsidRDefault="004A770F" w:rsidP="00EA2EDF">
      <w:pPr>
        <w:pStyle w:val="Numberedlevel2text"/>
      </w:pPr>
      <w:bookmarkStart w:id="8" w:name="_Ref25324105"/>
      <w:r>
        <w:rPr>
          <w:lang w:val="en-GB"/>
        </w:rPr>
        <w:t xml:space="preserve">The AG identified 1 RCT </w:t>
      </w:r>
      <w:r w:rsidR="007F0DD4">
        <w:rPr>
          <w:lang w:val="en-GB"/>
        </w:rPr>
        <w:t>comparing</w:t>
      </w:r>
      <w:r>
        <w:rPr>
          <w:lang w:val="en-GB"/>
        </w:rPr>
        <w:t xml:space="preserve"> SIR-Spheres with TACE (SIR-TACE) that included people for whom transplant was appropriate. </w:t>
      </w:r>
      <w:r w:rsidR="00E56537">
        <w:rPr>
          <w:lang w:val="en-GB"/>
        </w:rPr>
        <w:t xml:space="preserve">SIR-TACE </w:t>
      </w:r>
      <w:r w:rsidR="007474D6">
        <w:rPr>
          <w:lang w:val="en-GB"/>
        </w:rPr>
        <w:t xml:space="preserve">was done in Germany and Spain, and </w:t>
      </w:r>
      <w:r w:rsidR="00E56537">
        <w:rPr>
          <w:lang w:val="en-GB"/>
        </w:rPr>
        <w:t>included 28</w:t>
      </w:r>
      <w:r w:rsidR="00BC561A">
        <w:rPr>
          <w:lang w:val="en-GB"/>
        </w:rPr>
        <w:t> </w:t>
      </w:r>
      <w:r w:rsidR="00E56537">
        <w:rPr>
          <w:lang w:val="en-GB"/>
        </w:rPr>
        <w:t>people with early, intermediate and late stage disease</w:t>
      </w:r>
      <w:r w:rsidR="007474D6">
        <w:rPr>
          <w:lang w:val="en-GB"/>
        </w:rPr>
        <w:t>.</w:t>
      </w:r>
      <w:r w:rsidR="00E56537">
        <w:rPr>
          <w:lang w:val="en-GB"/>
        </w:rPr>
        <w:t xml:space="preserve"> </w:t>
      </w:r>
      <w:r w:rsidR="007474D6">
        <w:rPr>
          <w:lang w:val="en-GB"/>
        </w:rPr>
        <w:t>O</w:t>
      </w:r>
      <w:r w:rsidR="00E56537">
        <w:rPr>
          <w:lang w:val="en-GB"/>
        </w:rPr>
        <w:t>nly overall results for the mixed population were available.</w:t>
      </w:r>
      <w:r w:rsidR="00FB25E0">
        <w:rPr>
          <w:lang w:val="en-GB"/>
        </w:rPr>
        <w:t xml:space="preserve"> </w:t>
      </w:r>
      <w:r w:rsidR="00F366E6">
        <w:rPr>
          <w:lang w:val="en-GB"/>
        </w:rPr>
        <w:t xml:space="preserve">The </w:t>
      </w:r>
      <w:r w:rsidR="00E56537">
        <w:rPr>
          <w:lang w:val="en-GB"/>
        </w:rPr>
        <w:t xml:space="preserve">AG assessed that the </w:t>
      </w:r>
      <w:r w:rsidR="00F366E6">
        <w:rPr>
          <w:lang w:val="en-GB"/>
        </w:rPr>
        <w:t>study</w:t>
      </w:r>
      <w:r w:rsidR="00F366E6">
        <w:t xml:space="preserve"> had a high risk of bias </w:t>
      </w:r>
      <w:r w:rsidR="000F2473">
        <w:rPr>
          <w:lang w:val="en-US"/>
        </w:rPr>
        <w:t>because of</w:t>
      </w:r>
      <w:r w:rsidR="00F366E6">
        <w:t xml:space="preserve"> the randomisation process, missing outcome data and measurement of the outcome</w:t>
      </w:r>
      <w:r w:rsidR="00F366E6">
        <w:rPr>
          <w:lang w:val="en-GB"/>
        </w:rPr>
        <w:t xml:space="preserve">. </w:t>
      </w:r>
      <w:r>
        <w:rPr>
          <w:lang w:val="en-GB"/>
        </w:rPr>
        <w:t>Only overall results were published, and the company could not provide subgroup</w:t>
      </w:r>
      <w:r w:rsidR="00E56537">
        <w:rPr>
          <w:lang w:val="en-GB"/>
        </w:rPr>
        <w:t>-</w:t>
      </w:r>
      <w:r>
        <w:rPr>
          <w:lang w:val="en-GB"/>
        </w:rPr>
        <w:t xml:space="preserve">specific data. The committee </w:t>
      </w:r>
      <w:r>
        <w:rPr>
          <w:lang w:val="en-GB"/>
        </w:rPr>
        <w:lastRenderedPageBreak/>
        <w:t xml:space="preserve">concluded that there were </w:t>
      </w:r>
      <w:r w:rsidR="00E56537">
        <w:rPr>
          <w:lang w:val="en-GB"/>
        </w:rPr>
        <w:t>insufficient data</w:t>
      </w:r>
      <w:r w:rsidR="00CA0FA4">
        <w:rPr>
          <w:lang w:val="en-GB"/>
        </w:rPr>
        <w:t xml:space="preserve"> </w:t>
      </w:r>
      <w:r>
        <w:rPr>
          <w:lang w:val="en-GB"/>
        </w:rPr>
        <w:t>to establish whether SIR</w:t>
      </w:r>
      <w:r>
        <w:rPr>
          <w:lang w:val="en-GB"/>
        </w:rPr>
        <w:noBreakHyphen/>
        <w:t>Spheres are better than TACE in people when transplant is appropriate.</w:t>
      </w:r>
      <w:bookmarkEnd w:id="8"/>
    </w:p>
    <w:p w14:paraId="52BA8BCC" w14:textId="72497548" w:rsidR="00CA0FA4" w:rsidRPr="009B7222" w:rsidRDefault="009B7222" w:rsidP="00546015">
      <w:pPr>
        <w:pStyle w:val="Heading3"/>
      </w:pPr>
      <w:r>
        <w:t>It is unclear whether SIR-Spheres is better than DEB</w:t>
      </w:r>
      <w:r>
        <w:noBreakHyphen/>
        <w:t xml:space="preserve">TACE </w:t>
      </w:r>
      <w:r w:rsidR="00E56537">
        <w:t>or</w:t>
      </w:r>
      <w:r>
        <w:t xml:space="preserve"> TACE in people </w:t>
      </w:r>
      <w:r w:rsidR="00E56537">
        <w:t>for whom</w:t>
      </w:r>
      <w:r>
        <w:t xml:space="preserve"> CTT </w:t>
      </w:r>
      <w:r w:rsidR="00E56537">
        <w:t>is</w:t>
      </w:r>
      <w:r>
        <w:t xml:space="preserve"> appropriate</w:t>
      </w:r>
    </w:p>
    <w:p w14:paraId="3F0ADCBB" w14:textId="198CE43C" w:rsidR="00EA2EDF" w:rsidRDefault="00EA2EDF">
      <w:pPr>
        <w:pStyle w:val="Numberedlevel2text"/>
      </w:pPr>
      <w:r>
        <w:rPr>
          <w:lang w:val="en-GB"/>
        </w:rPr>
        <w:t xml:space="preserve">The AG identified </w:t>
      </w:r>
      <w:r w:rsidR="00A75058">
        <w:rPr>
          <w:lang w:val="en-GB"/>
        </w:rPr>
        <w:t xml:space="preserve">2 </w:t>
      </w:r>
      <w:r>
        <w:rPr>
          <w:lang w:val="en-GB"/>
        </w:rPr>
        <w:t>RCT</w:t>
      </w:r>
      <w:r w:rsidR="00A75058">
        <w:rPr>
          <w:lang w:val="en-GB"/>
        </w:rPr>
        <w:t>s</w:t>
      </w:r>
      <w:r>
        <w:rPr>
          <w:lang w:val="en-GB"/>
        </w:rPr>
        <w:t xml:space="preserve"> </w:t>
      </w:r>
      <w:r w:rsidR="004A770F">
        <w:rPr>
          <w:lang w:val="en-GB"/>
        </w:rPr>
        <w:t>that compared SIR</w:t>
      </w:r>
      <w:r w:rsidR="004A770F">
        <w:rPr>
          <w:lang w:val="en-GB"/>
        </w:rPr>
        <w:noBreakHyphen/>
        <w:t>Spheres with TACE (SIR-TACE) or DEB</w:t>
      </w:r>
      <w:r w:rsidR="004A770F">
        <w:rPr>
          <w:lang w:val="en-GB"/>
        </w:rPr>
        <w:noBreakHyphen/>
        <w:t>TACE (</w:t>
      </w:r>
      <w:proofErr w:type="spellStart"/>
      <w:r w:rsidR="004A770F">
        <w:rPr>
          <w:lang w:val="en-GB"/>
        </w:rPr>
        <w:t>Pitton</w:t>
      </w:r>
      <w:proofErr w:type="spellEnd"/>
      <w:r w:rsidR="004A770F">
        <w:rPr>
          <w:lang w:val="en-GB"/>
        </w:rPr>
        <w:t xml:space="preserve"> </w:t>
      </w:r>
      <w:r w:rsidR="00F8307A">
        <w:rPr>
          <w:lang w:val="en-GB"/>
        </w:rPr>
        <w:t>2015</w:t>
      </w:r>
      <w:r w:rsidR="004A770F">
        <w:rPr>
          <w:lang w:val="en-GB"/>
        </w:rPr>
        <w:t xml:space="preserve">) </w:t>
      </w:r>
      <w:r w:rsidR="00F366E6">
        <w:rPr>
          <w:lang w:val="en-GB"/>
        </w:rPr>
        <w:t xml:space="preserve">that included </w:t>
      </w:r>
      <w:r w:rsidR="00A75058">
        <w:rPr>
          <w:lang w:val="en-GB"/>
        </w:rPr>
        <w:t xml:space="preserve">people </w:t>
      </w:r>
      <w:r w:rsidR="00F366E6">
        <w:rPr>
          <w:lang w:val="en-GB"/>
        </w:rPr>
        <w:t>for whom</w:t>
      </w:r>
      <w:r w:rsidR="00A75058">
        <w:rPr>
          <w:lang w:val="en-GB"/>
        </w:rPr>
        <w:t xml:space="preserve"> CTT</w:t>
      </w:r>
      <w:r w:rsidR="00F8307A">
        <w:rPr>
          <w:lang w:val="en-GB"/>
        </w:rPr>
        <w:t xml:space="preserve"> is</w:t>
      </w:r>
      <w:r w:rsidR="00A75058">
        <w:rPr>
          <w:lang w:val="en-GB"/>
        </w:rPr>
        <w:t xml:space="preserve"> appropriate</w:t>
      </w:r>
      <w:r w:rsidR="00F366E6">
        <w:rPr>
          <w:lang w:val="en-GB"/>
        </w:rPr>
        <w:t xml:space="preserve"> in their trial populations</w:t>
      </w:r>
      <w:r>
        <w:rPr>
          <w:lang w:val="en-GB"/>
        </w:rPr>
        <w:t>.</w:t>
      </w:r>
      <w:r w:rsidR="00E56537">
        <w:rPr>
          <w:lang w:val="en-GB"/>
        </w:rPr>
        <w:t xml:space="preserve"> SIR-TACE is described in section</w:t>
      </w:r>
      <w:r w:rsidR="00014099">
        <w:rPr>
          <w:lang w:val="en-GB"/>
        </w:rPr>
        <w:t xml:space="preserve"> </w:t>
      </w:r>
      <w:r w:rsidR="00014099">
        <w:rPr>
          <w:lang w:val="en-GB"/>
        </w:rPr>
        <w:fldChar w:fldCharType="begin"/>
      </w:r>
      <w:r w:rsidR="00014099">
        <w:rPr>
          <w:lang w:val="en-GB"/>
        </w:rPr>
        <w:instrText xml:space="preserve"> REF _Ref25324105 \r \h </w:instrText>
      </w:r>
      <w:r w:rsidR="00014099">
        <w:rPr>
          <w:lang w:val="en-GB"/>
        </w:rPr>
      </w:r>
      <w:r w:rsidR="00014099">
        <w:rPr>
          <w:lang w:val="en-GB"/>
        </w:rPr>
        <w:fldChar w:fldCharType="separate"/>
      </w:r>
      <w:r w:rsidR="00014099">
        <w:rPr>
          <w:lang w:val="en-GB"/>
        </w:rPr>
        <w:t>3.17</w:t>
      </w:r>
      <w:r w:rsidR="00014099">
        <w:rPr>
          <w:lang w:val="en-GB"/>
        </w:rPr>
        <w:fldChar w:fldCharType="end"/>
      </w:r>
      <w:r w:rsidR="00E56537">
        <w:rPr>
          <w:lang w:val="en-GB"/>
        </w:rPr>
        <w:t>.</w:t>
      </w:r>
      <w:r>
        <w:rPr>
          <w:lang w:val="en-GB"/>
        </w:rPr>
        <w:t xml:space="preserve"> </w:t>
      </w:r>
      <w:proofErr w:type="spellStart"/>
      <w:r w:rsidR="00A75058">
        <w:rPr>
          <w:lang w:val="en-GB"/>
        </w:rPr>
        <w:t>Pitton</w:t>
      </w:r>
      <w:proofErr w:type="spellEnd"/>
      <w:r w:rsidR="00A75058">
        <w:rPr>
          <w:lang w:val="en-GB"/>
        </w:rPr>
        <w:t xml:space="preserve"> </w:t>
      </w:r>
      <w:r w:rsidR="00F8307A">
        <w:rPr>
          <w:lang w:val="en-GB"/>
        </w:rPr>
        <w:t>2015</w:t>
      </w:r>
      <w:r w:rsidR="00A75058">
        <w:rPr>
          <w:lang w:val="en-GB"/>
        </w:rPr>
        <w:t xml:space="preserve"> </w:t>
      </w:r>
      <w:r w:rsidR="00F366E6">
        <w:rPr>
          <w:lang w:val="en-GB"/>
        </w:rPr>
        <w:t xml:space="preserve">was done in Germany and </w:t>
      </w:r>
      <w:r w:rsidR="00E56537">
        <w:rPr>
          <w:lang w:val="en-GB"/>
        </w:rPr>
        <w:t>included</w:t>
      </w:r>
      <w:r w:rsidR="004A770F">
        <w:rPr>
          <w:lang w:val="en-GB"/>
        </w:rPr>
        <w:t xml:space="preserve"> 24 people</w:t>
      </w:r>
      <w:r w:rsidR="00F366E6">
        <w:rPr>
          <w:lang w:val="en-GB"/>
        </w:rPr>
        <w:t xml:space="preserve"> with intermediate stage disease (BCLC </w:t>
      </w:r>
      <w:r w:rsidR="007F0DD4">
        <w:rPr>
          <w:lang w:val="en-GB"/>
        </w:rPr>
        <w:t>B</w:t>
      </w:r>
      <w:r w:rsidR="00F366E6">
        <w:rPr>
          <w:lang w:val="en-GB"/>
        </w:rPr>
        <w:t>)</w:t>
      </w:r>
      <w:r w:rsidR="00A75058">
        <w:rPr>
          <w:lang w:val="en-GB"/>
        </w:rPr>
        <w:t xml:space="preserve">. </w:t>
      </w:r>
      <w:r w:rsidR="007F0DD4">
        <w:rPr>
          <w:lang w:val="en-GB"/>
        </w:rPr>
        <w:t>Overall</w:t>
      </w:r>
      <w:r>
        <w:t xml:space="preserve"> survival </w:t>
      </w:r>
      <w:r w:rsidR="007F0DD4">
        <w:rPr>
          <w:lang w:val="en-GB"/>
        </w:rPr>
        <w:t>and progression</w:t>
      </w:r>
      <w:r w:rsidR="00E66ECF">
        <w:rPr>
          <w:lang w:val="en-GB"/>
        </w:rPr>
        <w:t>-</w:t>
      </w:r>
      <w:r w:rsidR="007F0DD4">
        <w:rPr>
          <w:lang w:val="en-GB"/>
        </w:rPr>
        <w:t xml:space="preserve">free survival </w:t>
      </w:r>
      <w:r w:rsidR="00E56537">
        <w:rPr>
          <w:lang w:val="en-GB"/>
        </w:rPr>
        <w:t>were</w:t>
      </w:r>
      <w:r w:rsidR="007F0DD4">
        <w:rPr>
          <w:lang w:val="en-GB"/>
        </w:rPr>
        <w:t xml:space="preserve"> longer in the DEB</w:t>
      </w:r>
      <w:r w:rsidR="007F0DD4">
        <w:rPr>
          <w:lang w:val="en-GB"/>
        </w:rPr>
        <w:noBreakHyphen/>
        <w:t xml:space="preserve">TACE arm compared with </w:t>
      </w:r>
      <w:r>
        <w:t xml:space="preserve">SIR-Spheres </w:t>
      </w:r>
      <w:r w:rsidR="007F0DD4">
        <w:rPr>
          <w:lang w:val="en-GB"/>
        </w:rPr>
        <w:t>arm</w:t>
      </w:r>
      <w:r w:rsidR="00E56537">
        <w:rPr>
          <w:lang w:val="en-GB"/>
        </w:rPr>
        <w:t>,</w:t>
      </w:r>
      <w:r w:rsidR="007F0DD4">
        <w:rPr>
          <w:lang w:val="en-GB"/>
        </w:rPr>
        <w:t xml:space="preserve"> but this was not statistically significant </w:t>
      </w:r>
      <w:r w:rsidR="007F0DD4">
        <w:t>(788</w:t>
      </w:r>
      <w:r w:rsidR="00E66ECF">
        <w:rPr>
          <w:lang w:val="en-US"/>
        </w:rPr>
        <w:t> </w:t>
      </w:r>
      <w:r w:rsidR="007F0DD4">
        <w:t xml:space="preserve">days </w:t>
      </w:r>
      <w:r w:rsidR="00E66ECF">
        <w:rPr>
          <w:lang w:val="en-US"/>
        </w:rPr>
        <w:t>compared with</w:t>
      </w:r>
      <w:r w:rsidR="007F0DD4">
        <w:t xml:space="preserve"> 592</w:t>
      </w:r>
      <w:r w:rsidR="00E66ECF">
        <w:rPr>
          <w:lang w:val="en-US"/>
        </w:rPr>
        <w:t> </w:t>
      </w:r>
      <w:r w:rsidR="007F0DD4">
        <w:t>days and 216</w:t>
      </w:r>
      <w:r w:rsidR="00E66ECF">
        <w:rPr>
          <w:lang w:val="en-US"/>
        </w:rPr>
        <w:t> </w:t>
      </w:r>
      <w:r w:rsidR="007F0DD4">
        <w:t xml:space="preserve">days </w:t>
      </w:r>
      <w:r w:rsidR="00E66ECF">
        <w:rPr>
          <w:lang w:val="en-US"/>
        </w:rPr>
        <w:t xml:space="preserve">compared with </w:t>
      </w:r>
      <w:r w:rsidR="007F0DD4">
        <w:t>180</w:t>
      </w:r>
      <w:r w:rsidR="00E66ECF">
        <w:rPr>
          <w:lang w:val="en-US"/>
        </w:rPr>
        <w:t> </w:t>
      </w:r>
      <w:r w:rsidR="007F0DD4">
        <w:t>days, respectively</w:t>
      </w:r>
      <w:r w:rsidR="007F0DD4">
        <w:rPr>
          <w:lang w:val="en-GB"/>
        </w:rPr>
        <w:t>)</w:t>
      </w:r>
      <w:r>
        <w:t xml:space="preserve">. </w:t>
      </w:r>
      <w:r w:rsidR="007F0DD4">
        <w:rPr>
          <w:lang w:val="en-GB"/>
        </w:rPr>
        <w:t xml:space="preserve">Based on the identified </w:t>
      </w:r>
      <w:r w:rsidR="00CA0FA4">
        <w:rPr>
          <w:lang w:val="en-GB"/>
        </w:rPr>
        <w:t>evidence</w:t>
      </w:r>
      <w:r w:rsidR="007F0DD4">
        <w:rPr>
          <w:lang w:val="en-GB"/>
        </w:rPr>
        <w:t>, the committee concluded that it could not establish whether SIR</w:t>
      </w:r>
      <w:r w:rsidR="007F0DD4">
        <w:rPr>
          <w:lang w:val="en-GB"/>
        </w:rPr>
        <w:noBreakHyphen/>
        <w:t xml:space="preserve">Spheres </w:t>
      </w:r>
      <w:r w:rsidR="000F0A1B">
        <w:rPr>
          <w:lang w:val="en-GB"/>
        </w:rPr>
        <w:t>wa</w:t>
      </w:r>
      <w:r w:rsidR="007F0DD4">
        <w:rPr>
          <w:lang w:val="en-GB"/>
        </w:rPr>
        <w:t xml:space="preserve">s better than TACE </w:t>
      </w:r>
      <w:r w:rsidR="00E56537">
        <w:rPr>
          <w:lang w:val="en-GB"/>
        </w:rPr>
        <w:t>or</w:t>
      </w:r>
      <w:r w:rsidR="007F0DD4">
        <w:rPr>
          <w:lang w:val="en-GB"/>
        </w:rPr>
        <w:t xml:space="preserve"> DEB</w:t>
      </w:r>
      <w:r w:rsidR="007F0DD4">
        <w:rPr>
          <w:lang w:val="en-GB"/>
        </w:rPr>
        <w:noBreakHyphen/>
        <w:t xml:space="preserve">TACE in people </w:t>
      </w:r>
      <w:r w:rsidR="00E56537">
        <w:rPr>
          <w:lang w:val="en-GB"/>
        </w:rPr>
        <w:t>for whom</w:t>
      </w:r>
      <w:r w:rsidR="007F0DD4">
        <w:rPr>
          <w:lang w:val="en-GB"/>
        </w:rPr>
        <w:t xml:space="preserve"> CTT is appropriate.</w:t>
      </w:r>
      <w:r>
        <w:t xml:space="preserve"> </w:t>
      </w:r>
    </w:p>
    <w:p w14:paraId="55449A30" w14:textId="0282CA07" w:rsidR="009B7222" w:rsidRPr="00E73968" w:rsidRDefault="009B7222" w:rsidP="00546015">
      <w:pPr>
        <w:pStyle w:val="Heading3"/>
      </w:pPr>
      <w:r>
        <w:t xml:space="preserve">SARAH and </w:t>
      </w:r>
      <w:proofErr w:type="spellStart"/>
      <w:r>
        <w:t>SIRveNIB</w:t>
      </w:r>
      <w:proofErr w:type="spellEnd"/>
      <w:r>
        <w:t xml:space="preserve"> </w:t>
      </w:r>
      <w:r w:rsidR="00B529F6">
        <w:t xml:space="preserve">may not be generalisable to the NHS in England, but they are preferable to non-randomised evidence in </w:t>
      </w:r>
      <w:r w:rsidR="00F10C23">
        <w:t xml:space="preserve">people </w:t>
      </w:r>
      <w:r w:rsidR="0036660B">
        <w:t>when</w:t>
      </w:r>
      <w:r>
        <w:t xml:space="preserve"> CTT </w:t>
      </w:r>
      <w:r w:rsidR="00B529F6">
        <w:t>is</w:t>
      </w:r>
      <w:r>
        <w:t xml:space="preserve"> </w:t>
      </w:r>
      <w:r w:rsidR="00FE3581">
        <w:t>in</w:t>
      </w:r>
      <w:r>
        <w:t>appropriate</w:t>
      </w:r>
    </w:p>
    <w:p w14:paraId="66AD0D9B" w14:textId="51ED7ECF" w:rsidR="001A232B" w:rsidRPr="007B750E" w:rsidRDefault="007F0DD4" w:rsidP="008F4E54">
      <w:pPr>
        <w:pStyle w:val="Numberedlevel2text"/>
      </w:pPr>
      <w:bookmarkStart w:id="9" w:name="_Ref25612193"/>
      <w:bookmarkStart w:id="10" w:name="_Ref25351752"/>
      <w:r>
        <w:rPr>
          <w:lang w:val="en-GB"/>
        </w:rPr>
        <w:t xml:space="preserve">The AG </w:t>
      </w:r>
      <w:r w:rsidR="009B7222">
        <w:rPr>
          <w:lang w:val="en-GB"/>
        </w:rPr>
        <w:t>identified</w:t>
      </w:r>
      <w:r w:rsidR="00016492">
        <w:rPr>
          <w:lang w:val="en-GB"/>
        </w:rPr>
        <w:t xml:space="preserve"> 2</w:t>
      </w:r>
      <w:r w:rsidR="00961C01">
        <w:rPr>
          <w:lang w:val="en-GB"/>
        </w:rPr>
        <w:t xml:space="preserve"> </w:t>
      </w:r>
      <w:r w:rsidR="00C40437">
        <w:rPr>
          <w:lang w:val="en-GB"/>
        </w:rPr>
        <w:t>RCT</w:t>
      </w:r>
      <w:r w:rsidR="00016492">
        <w:rPr>
          <w:lang w:val="en-GB"/>
        </w:rPr>
        <w:t>s</w:t>
      </w:r>
      <w:r w:rsidR="00C40437">
        <w:rPr>
          <w:lang w:val="en-GB"/>
        </w:rPr>
        <w:t xml:space="preserve"> </w:t>
      </w:r>
      <w:r w:rsidR="001750E2" w:rsidRPr="001750E2">
        <w:rPr>
          <w:lang w:val="en-GB"/>
        </w:rPr>
        <w:t>compar</w:t>
      </w:r>
      <w:r w:rsidR="008F4E54">
        <w:rPr>
          <w:lang w:val="en-GB"/>
        </w:rPr>
        <w:t>ing</w:t>
      </w:r>
      <w:r w:rsidR="001750E2" w:rsidRPr="001750E2">
        <w:rPr>
          <w:lang w:val="en-GB"/>
        </w:rPr>
        <w:t xml:space="preserve"> SIR-Spheres with sorafenib</w:t>
      </w:r>
      <w:r w:rsidR="008F4E54">
        <w:rPr>
          <w:lang w:val="en-GB"/>
        </w:rPr>
        <w:t xml:space="preserve"> (</w:t>
      </w:r>
      <w:r w:rsidR="001750E2" w:rsidRPr="001750E2">
        <w:rPr>
          <w:lang w:val="en-GB"/>
        </w:rPr>
        <w:t xml:space="preserve">SARAH and </w:t>
      </w:r>
      <w:proofErr w:type="spellStart"/>
      <w:r w:rsidR="001750E2" w:rsidRPr="001750E2">
        <w:rPr>
          <w:lang w:val="en-GB"/>
        </w:rPr>
        <w:t>SIRveNIB</w:t>
      </w:r>
      <w:proofErr w:type="spellEnd"/>
      <w:r w:rsidR="008F4E54">
        <w:rPr>
          <w:lang w:val="en-GB"/>
        </w:rPr>
        <w:t xml:space="preserve">) </w:t>
      </w:r>
      <w:r w:rsidR="00016492">
        <w:rPr>
          <w:lang w:val="en-GB"/>
        </w:rPr>
        <w:t xml:space="preserve">in people </w:t>
      </w:r>
      <w:r w:rsidR="00B529F6">
        <w:rPr>
          <w:lang w:val="en-GB"/>
        </w:rPr>
        <w:t>for whom</w:t>
      </w:r>
      <w:r w:rsidR="00016492">
        <w:rPr>
          <w:lang w:val="en-GB"/>
        </w:rPr>
        <w:t xml:space="preserve"> CTT</w:t>
      </w:r>
      <w:r w:rsidR="00B529F6">
        <w:rPr>
          <w:lang w:val="en-GB"/>
        </w:rPr>
        <w:t xml:space="preserve"> i</w:t>
      </w:r>
      <w:r w:rsidR="00016492">
        <w:rPr>
          <w:lang w:val="en-GB"/>
        </w:rPr>
        <w:t xml:space="preserve">s </w:t>
      </w:r>
      <w:r w:rsidR="00FE3581">
        <w:rPr>
          <w:lang w:val="en-GB"/>
        </w:rPr>
        <w:t>in</w:t>
      </w:r>
      <w:r w:rsidR="00016492">
        <w:rPr>
          <w:lang w:val="en-GB"/>
        </w:rPr>
        <w:t>appropriate</w:t>
      </w:r>
      <w:r w:rsidR="001A232B">
        <w:rPr>
          <w:lang w:val="en-GB"/>
        </w:rPr>
        <w:t>:</w:t>
      </w:r>
      <w:bookmarkEnd w:id="9"/>
      <w:bookmarkEnd w:id="10"/>
      <w:r w:rsidR="001750E2" w:rsidRPr="001750E2">
        <w:rPr>
          <w:lang w:val="en-GB"/>
        </w:rPr>
        <w:t xml:space="preserve"> </w:t>
      </w:r>
    </w:p>
    <w:p w14:paraId="27247E6F" w14:textId="2158FD62" w:rsidR="001A232B" w:rsidRDefault="001750E2" w:rsidP="00D832F8">
      <w:pPr>
        <w:pStyle w:val="Bulletindent1"/>
      </w:pPr>
      <w:r w:rsidRPr="001750E2">
        <w:t>SARAH was done in France between 2011 and 2015 and included a heterogenous population of people with HCC</w:t>
      </w:r>
      <w:r w:rsidR="00962598">
        <w:t>.</w:t>
      </w:r>
      <w:r w:rsidR="00C40437">
        <w:t xml:space="preserve"> </w:t>
      </w:r>
      <w:r w:rsidR="00962598">
        <w:t xml:space="preserve">This included, </w:t>
      </w:r>
      <w:r w:rsidR="00B529F6">
        <w:t>f</w:t>
      </w:r>
      <w:r w:rsidR="00BA6E48">
        <w:t>or example, people with advanced HCC, people with HCC that w</w:t>
      </w:r>
      <w:r w:rsidR="001A232B">
        <w:t>ere</w:t>
      </w:r>
      <w:r w:rsidR="00BA6E48">
        <w:t xml:space="preserve"> previously treated with 2</w:t>
      </w:r>
      <w:r w:rsidR="00C40437">
        <w:t> </w:t>
      </w:r>
      <w:r w:rsidR="00BA6E48">
        <w:t>treatments of TACE</w:t>
      </w:r>
      <w:r w:rsidR="00627B45">
        <w:t xml:space="preserve"> and</w:t>
      </w:r>
      <w:r w:rsidR="00BA6E48">
        <w:t xml:space="preserve"> people with Child-Pugh</w:t>
      </w:r>
      <w:r w:rsidR="00C40437">
        <w:t> </w:t>
      </w:r>
      <w:r w:rsidR="00BA6E48">
        <w:t>A or</w:t>
      </w:r>
      <w:r w:rsidR="00C40437">
        <w:t> </w:t>
      </w:r>
      <w:r w:rsidR="00BA6E48">
        <w:t>B</w:t>
      </w:r>
      <w:r w:rsidRPr="001750E2">
        <w:t xml:space="preserve">. </w:t>
      </w:r>
      <w:r w:rsidR="00B21AD0">
        <w:t>T</w:t>
      </w:r>
      <w:r w:rsidR="00627B45">
        <w:t>here was no difference in overall survival or progression-free survival between the treatment arms</w:t>
      </w:r>
      <w:r w:rsidR="00962598">
        <w:t>. The</w:t>
      </w:r>
      <w:r w:rsidR="001E1E86">
        <w:t xml:space="preserve"> median overall survival </w:t>
      </w:r>
      <w:r w:rsidR="00F14A50">
        <w:t xml:space="preserve">was </w:t>
      </w:r>
      <w:r w:rsidR="001E1E86">
        <w:t>8.0</w:t>
      </w:r>
      <w:r w:rsidR="00F14A50">
        <w:t> months</w:t>
      </w:r>
      <w:r w:rsidR="001E1E86">
        <w:t xml:space="preserve"> </w:t>
      </w:r>
      <w:r w:rsidR="00962598">
        <w:t>(</w:t>
      </w:r>
      <w:r w:rsidR="001E1E86">
        <w:t>95%</w:t>
      </w:r>
      <w:r w:rsidR="005D313A">
        <w:t> </w:t>
      </w:r>
      <w:r w:rsidR="001E1E86">
        <w:t>CI</w:t>
      </w:r>
      <w:r w:rsidR="005D313A">
        <w:t> </w:t>
      </w:r>
      <w:r w:rsidR="001E1E86">
        <w:t>6.7 to 9.9</w:t>
      </w:r>
      <w:r w:rsidR="00962598">
        <w:t>)</w:t>
      </w:r>
      <w:r w:rsidR="001E1E86">
        <w:t xml:space="preserve"> for SIR</w:t>
      </w:r>
      <w:r w:rsidR="001E1E86">
        <w:noBreakHyphen/>
        <w:t>Spheres and</w:t>
      </w:r>
      <w:r w:rsidR="00962598">
        <w:t xml:space="preserve"> </w:t>
      </w:r>
      <w:r w:rsidR="001E1E86">
        <w:t>9.9</w:t>
      </w:r>
      <w:r w:rsidR="00F14A50">
        <w:t> months</w:t>
      </w:r>
      <w:r w:rsidR="001E1E86">
        <w:t xml:space="preserve"> </w:t>
      </w:r>
      <w:r w:rsidR="00962598">
        <w:t>(</w:t>
      </w:r>
      <w:r w:rsidR="001E1E86">
        <w:t>95%</w:t>
      </w:r>
      <w:r w:rsidR="005D313A">
        <w:t> </w:t>
      </w:r>
      <w:r w:rsidR="001E1E86">
        <w:t>CI</w:t>
      </w:r>
      <w:r w:rsidR="005D313A">
        <w:t> </w:t>
      </w:r>
      <w:r w:rsidR="001E1E86">
        <w:t>8.7 to 11.4</w:t>
      </w:r>
      <w:r w:rsidR="002E0DB5">
        <w:t>)</w:t>
      </w:r>
      <w:r w:rsidR="001E1E86">
        <w:t xml:space="preserve"> for sorafenib</w:t>
      </w:r>
      <w:r w:rsidR="00B529F6">
        <w:t>,</w:t>
      </w:r>
      <w:r w:rsidR="001E1E86">
        <w:t xml:space="preserve"> with hazard ratio</w:t>
      </w:r>
      <w:r w:rsidR="005D313A">
        <w:t>s</w:t>
      </w:r>
      <w:r w:rsidR="00B529F6">
        <w:t xml:space="preserve"> (HRs)</w:t>
      </w:r>
      <w:r w:rsidR="001E1E86">
        <w:t xml:space="preserve"> </w:t>
      </w:r>
      <w:r w:rsidR="00B529F6">
        <w:t xml:space="preserve">of </w:t>
      </w:r>
      <w:r w:rsidR="001E1E86">
        <w:t xml:space="preserve">1.15 </w:t>
      </w:r>
      <w:r w:rsidR="000F3B3F">
        <w:t>(</w:t>
      </w:r>
      <w:r w:rsidR="001E1E86">
        <w:t>95%</w:t>
      </w:r>
      <w:r w:rsidR="005D313A">
        <w:t> </w:t>
      </w:r>
      <w:r w:rsidR="001E1E86">
        <w:t>CI</w:t>
      </w:r>
      <w:r w:rsidR="005D313A">
        <w:t> </w:t>
      </w:r>
      <w:r w:rsidR="001E1E86">
        <w:t>0.94 to 1.41</w:t>
      </w:r>
      <w:r w:rsidR="000F3B3F">
        <w:t>)</w:t>
      </w:r>
      <w:r w:rsidR="001E1E86">
        <w:t xml:space="preserve"> for </w:t>
      </w:r>
      <w:r w:rsidR="00B529F6">
        <w:t xml:space="preserve">the </w:t>
      </w:r>
      <w:r w:rsidR="001E1E86">
        <w:t>intention</w:t>
      </w:r>
      <w:r w:rsidR="001E1E86">
        <w:noBreakHyphen/>
        <w:t>to</w:t>
      </w:r>
      <w:r w:rsidR="001E1E86">
        <w:noBreakHyphen/>
        <w:t xml:space="preserve">treat </w:t>
      </w:r>
      <w:r w:rsidR="00B529F6">
        <w:t xml:space="preserve">(ITT) </w:t>
      </w:r>
      <w:r w:rsidR="001E1E86">
        <w:t xml:space="preserve">population and 0.99 </w:t>
      </w:r>
      <w:r w:rsidR="00F26E44">
        <w:lastRenderedPageBreak/>
        <w:t>(</w:t>
      </w:r>
      <w:r w:rsidR="001E1E86">
        <w:t>95%</w:t>
      </w:r>
      <w:r w:rsidR="005D313A">
        <w:t> </w:t>
      </w:r>
      <w:r w:rsidR="001E1E86">
        <w:t>CI</w:t>
      </w:r>
      <w:r w:rsidR="005D313A">
        <w:t> </w:t>
      </w:r>
      <w:r w:rsidR="001E1E86">
        <w:t>0.79 to 1.24</w:t>
      </w:r>
      <w:r w:rsidR="00F26E44">
        <w:t>)</w:t>
      </w:r>
      <w:r w:rsidR="001E1E86">
        <w:t xml:space="preserve"> for </w:t>
      </w:r>
      <w:r w:rsidR="00B529F6">
        <w:t xml:space="preserve">the </w:t>
      </w:r>
      <w:r w:rsidR="001E1E86">
        <w:t xml:space="preserve">per-protocol </w:t>
      </w:r>
      <w:r w:rsidR="00B529F6">
        <w:t xml:space="preserve">(PP) </w:t>
      </w:r>
      <w:r w:rsidR="001E1E86">
        <w:t>population</w:t>
      </w:r>
      <w:r w:rsidR="00F26E44">
        <w:t>.</w:t>
      </w:r>
      <w:r w:rsidR="005D313A">
        <w:t xml:space="preserve"> </w:t>
      </w:r>
      <w:r w:rsidR="00F26E44">
        <w:t xml:space="preserve">The </w:t>
      </w:r>
      <w:r w:rsidR="005D313A">
        <w:t>median progression</w:t>
      </w:r>
      <w:r w:rsidR="00F26E44">
        <w:t>-</w:t>
      </w:r>
      <w:r w:rsidR="005D313A">
        <w:t xml:space="preserve">free survival </w:t>
      </w:r>
      <w:r w:rsidR="005B52F3">
        <w:t>was</w:t>
      </w:r>
      <w:r w:rsidR="005D313A">
        <w:t xml:space="preserve"> 4.1</w:t>
      </w:r>
      <w:r w:rsidR="005B52F3">
        <w:t> months</w:t>
      </w:r>
      <w:r w:rsidR="005D313A">
        <w:t xml:space="preserve"> </w:t>
      </w:r>
      <w:r w:rsidR="005B52F3">
        <w:t>(</w:t>
      </w:r>
      <w:r w:rsidR="005D313A">
        <w:t>95% CI 3.8 to 4.6</w:t>
      </w:r>
      <w:r w:rsidR="005B52F3">
        <w:t>)</w:t>
      </w:r>
      <w:r w:rsidR="005D313A">
        <w:t xml:space="preserve"> for SIR</w:t>
      </w:r>
      <w:r w:rsidR="005D313A">
        <w:noBreakHyphen/>
        <w:t>Spheres and 3.7</w:t>
      </w:r>
      <w:r w:rsidR="005B52F3">
        <w:t xml:space="preserve"> months</w:t>
      </w:r>
      <w:r w:rsidR="005D313A">
        <w:t xml:space="preserve"> </w:t>
      </w:r>
      <w:r w:rsidR="005B52F3">
        <w:t>(</w:t>
      </w:r>
      <w:r w:rsidR="005D313A">
        <w:t>95% CI 3.3 to 5.4</w:t>
      </w:r>
      <w:r w:rsidR="005B52F3">
        <w:t>)</w:t>
      </w:r>
      <w:r w:rsidR="005D313A">
        <w:t xml:space="preserve"> for sorafenib with </w:t>
      </w:r>
      <w:r w:rsidR="00B529F6">
        <w:t>a HR</w:t>
      </w:r>
      <w:r w:rsidR="005D313A">
        <w:t xml:space="preserve"> </w:t>
      </w:r>
      <w:r w:rsidR="00B529F6">
        <w:t xml:space="preserve">of </w:t>
      </w:r>
      <w:r w:rsidR="005D313A">
        <w:t xml:space="preserve">1.03 </w:t>
      </w:r>
      <w:r w:rsidR="00EA60C9">
        <w:t>(</w:t>
      </w:r>
      <w:r w:rsidR="005D313A">
        <w:t>95% CI 0.85 to 1.25</w:t>
      </w:r>
      <w:r w:rsidR="00EA60C9">
        <w:t>)</w:t>
      </w:r>
      <w:r w:rsidR="005D313A">
        <w:t xml:space="preserve"> for</w:t>
      </w:r>
      <w:r w:rsidR="00B529F6">
        <w:t xml:space="preserve"> the</w:t>
      </w:r>
      <w:r w:rsidR="005D313A">
        <w:t xml:space="preserve"> </w:t>
      </w:r>
      <w:r w:rsidR="00B529F6">
        <w:t>ITT</w:t>
      </w:r>
      <w:r w:rsidR="005D313A">
        <w:t xml:space="preserve"> population</w:t>
      </w:r>
      <w:r w:rsidR="00627B45">
        <w:t>. More adverse events were reported with sorafenib than SIR</w:t>
      </w:r>
      <w:r w:rsidR="00670285">
        <w:noBreakHyphen/>
      </w:r>
      <w:r w:rsidR="00627B45">
        <w:t>Spheres. A post-hoc analysis of SARAH focused on people with ALBI grade</w:t>
      </w:r>
      <w:r w:rsidR="00C40437">
        <w:t> </w:t>
      </w:r>
      <w:r w:rsidR="00627B45">
        <w:t xml:space="preserve">1 and low </w:t>
      </w:r>
      <w:proofErr w:type="spellStart"/>
      <w:r w:rsidR="00627B45">
        <w:t>tumour</w:t>
      </w:r>
      <w:proofErr w:type="spellEnd"/>
      <w:r w:rsidR="00627B45">
        <w:t xml:space="preserve"> burden</w:t>
      </w:r>
      <w:r w:rsidR="001E1E86">
        <w:t xml:space="preserve"> (</w:t>
      </w:r>
      <w:r w:rsidR="005D313A">
        <w:t xml:space="preserve">equal or less than </w:t>
      </w:r>
      <w:r w:rsidR="001E1E86" w:rsidRPr="001E1E86">
        <w:t xml:space="preserve">25% </w:t>
      </w:r>
      <w:proofErr w:type="spellStart"/>
      <w:r w:rsidR="001E1E86" w:rsidRPr="001E1E86">
        <w:t>tumour</w:t>
      </w:r>
      <w:proofErr w:type="spellEnd"/>
      <w:r w:rsidR="001E1E86" w:rsidRPr="001E1E86">
        <w:t xml:space="preserve"> burden</w:t>
      </w:r>
      <w:r w:rsidR="001E1E86">
        <w:t>)</w:t>
      </w:r>
      <w:r w:rsidR="00C40437">
        <w:t>.</w:t>
      </w:r>
      <w:r w:rsidR="00627B45">
        <w:t xml:space="preserve"> </w:t>
      </w:r>
      <w:r w:rsidR="00C40437">
        <w:t>A</w:t>
      </w:r>
      <w:r w:rsidR="00627B45">
        <w:t>gain, there was no difference in overall or progression</w:t>
      </w:r>
      <w:r w:rsidR="005D313A">
        <w:noBreakHyphen/>
      </w:r>
      <w:r w:rsidR="00627B45">
        <w:t>free survival between the treatment arms</w:t>
      </w:r>
      <w:r w:rsidR="00841EB7">
        <w:t>.</w:t>
      </w:r>
      <w:r w:rsidR="005D313A">
        <w:t xml:space="preserve"> </w:t>
      </w:r>
      <w:r w:rsidR="00841EB7">
        <w:t xml:space="preserve">The </w:t>
      </w:r>
      <w:r w:rsidR="005D313A">
        <w:t xml:space="preserve">median overall survival </w:t>
      </w:r>
      <w:r w:rsidR="00841EB7">
        <w:t>was</w:t>
      </w:r>
      <w:r w:rsidR="005D313A">
        <w:t xml:space="preserve"> 21.9</w:t>
      </w:r>
      <w:r w:rsidR="00841EB7">
        <w:t> months</w:t>
      </w:r>
      <w:r w:rsidR="005D313A">
        <w:t xml:space="preserve"> </w:t>
      </w:r>
      <w:r w:rsidR="00841EB7">
        <w:t>(</w:t>
      </w:r>
      <w:r w:rsidR="005D313A">
        <w:t>95% CI 15.2 to 32.5</w:t>
      </w:r>
      <w:r w:rsidR="00841EB7">
        <w:t>)</w:t>
      </w:r>
      <w:r w:rsidR="005D313A">
        <w:t xml:space="preserve"> for SIR</w:t>
      </w:r>
      <w:r w:rsidR="005D313A">
        <w:noBreakHyphen/>
        <w:t>Spheres and 17.0</w:t>
      </w:r>
      <w:r w:rsidR="00841EB7">
        <w:t> months</w:t>
      </w:r>
      <w:r w:rsidR="005D313A">
        <w:t xml:space="preserve"> </w:t>
      </w:r>
      <w:r w:rsidR="00841EB7">
        <w:t>(</w:t>
      </w:r>
      <w:r w:rsidR="005D313A">
        <w:t>95% CI 11.6 to 20.8</w:t>
      </w:r>
      <w:r w:rsidR="00841EB7">
        <w:t>)</w:t>
      </w:r>
      <w:r w:rsidR="005D313A">
        <w:t xml:space="preserve"> for sorafenib</w:t>
      </w:r>
      <w:r w:rsidR="00B529F6">
        <w:t>,</w:t>
      </w:r>
      <w:r w:rsidR="005D313A">
        <w:t xml:space="preserve"> with </w:t>
      </w:r>
      <w:r w:rsidR="00B529F6">
        <w:t>a HR of</w:t>
      </w:r>
      <w:r w:rsidR="005D313A">
        <w:t xml:space="preserve"> 0.73 </w:t>
      </w:r>
      <w:r w:rsidR="003915EE">
        <w:t>(</w:t>
      </w:r>
      <w:r w:rsidR="005D313A">
        <w:t>95% CI </w:t>
      </w:r>
      <w:r w:rsidR="00D1017E">
        <w:t>0.44 to 1.21</w:t>
      </w:r>
      <w:r w:rsidR="003915EE">
        <w:t>). The</w:t>
      </w:r>
      <w:r w:rsidR="005D313A">
        <w:t xml:space="preserve"> </w:t>
      </w:r>
      <w:r w:rsidR="00D1017E">
        <w:t>median progression</w:t>
      </w:r>
      <w:r w:rsidR="003915EE">
        <w:t>-</w:t>
      </w:r>
      <w:r w:rsidR="00D1017E">
        <w:t>free survival</w:t>
      </w:r>
      <w:r w:rsidR="00B529F6">
        <w:t xml:space="preserve"> HR </w:t>
      </w:r>
      <w:r w:rsidR="003915EE">
        <w:t xml:space="preserve">was </w:t>
      </w:r>
      <w:r w:rsidR="00D1017E">
        <w:t xml:space="preserve">0.65 </w:t>
      </w:r>
      <w:r w:rsidR="003915EE">
        <w:t>(</w:t>
      </w:r>
      <w:r w:rsidR="00D1017E">
        <w:t>95</w:t>
      </w:r>
      <w:r w:rsidR="00B529F6">
        <w:t>%</w:t>
      </w:r>
      <w:r w:rsidR="00D1017E">
        <w:t> CI 0.41 to 1.02</w:t>
      </w:r>
      <w:r w:rsidR="005D313A">
        <w:t>)</w:t>
      </w:r>
      <w:r w:rsidR="00627B45">
        <w:t xml:space="preserve">. </w:t>
      </w:r>
      <w:r w:rsidR="00B529F6">
        <w:t>The clinical expert</w:t>
      </w:r>
      <w:r w:rsidR="002917B2">
        <w:t>s</w:t>
      </w:r>
      <w:r w:rsidR="00B529F6">
        <w:t xml:space="preserve"> advised that </w:t>
      </w:r>
      <w:r w:rsidR="00D1017E">
        <w:t xml:space="preserve">the SARAH trial </w:t>
      </w:r>
      <w:r w:rsidR="007B750E">
        <w:t xml:space="preserve">had </w:t>
      </w:r>
      <w:r w:rsidR="00D1017E">
        <w:t xml:space="preserve">more </w:t>
      </w:r>
      <w:r w:rsidR="00BA6E48">
        <w:t xml:space="preserve">people </w:t>
      </w:r>
      <w:r w:rsidR="00B529F6">
        <w:t>with</w:t>
      </w:r>
      <w:r w:rsidR="00BA6E48">
        <w:t xml:space="preserve"> </w:t>
      </w:r>
      <w:r w:rsidR="00D1017E">
        <w:t xml:space="preserve">a </w:t>
      </w:r>
      <w:r w:rsidR="00D1017E" w:rsidRPr="00D1017E">
        <w:t xml:space="preserve">high </w:t>
      </w:r>
      <w:proofErr w:type="spellStart"/>
      <w:r w:rsidR="00D1017E" w:rsidRPr="00D1017E">
        <w:t>tumour</w:t>
      </w:r>
      <w:proofErr w:type="spellEnd"/>
      <w:r w:rsidR="00D1017E" w:rsidRPr="00D1017E">
        <w:t xml:space="preserve"> burden, </w:t>
      </w:r>
      <w:r w:rsidR="0047627E">
        <w:t>PVT</w:t>
      </w:r>
      <w:r w:rsidR="00D1017E" w:rsidRPr="00D1017E">
        <w:t xml:space="preserve"> </w:t>
      </w:r>
      <w:r w:rsidR="00B529F6">
        <w:t>and</w:t>
      </w:r>
      <w:r w:rsidR="00D1017E" w:rsidRPr="00D1017E">
        <w:t xml:space="preserve"> impaired liver function </w:t>
      </w:r>
      <w:r w:rsidR="00BA6E48">
        <w:t>than people seen in clinical practice</w:t>
      </w:r>
      <w:r w:rsidR="00627B45">
        <w:t xml:space="preserve"> in England</w:t>
      </w:r>
      <w:r w:rsidR="00BA6E48">
        <w:t xml:space="preserve">. </w:t>
      </w:r>
      <w:r w:rsidR="00016492">
        <w:t xml:space="preserve">The committee understood that because </w:t>
      </w:r>
      <w:r w:rsidR="00B85786">
        <w:t xml:space="preserve">of this, people in the SARAH trial had poorer prognosis than people seen in clinical practice in England. It concluded that results from the SARAH trial </w:t>
      </w:r>
      <w:r w:rsidR="00064B68">
        <w:t xml:space="preserve">may </w:t>
      </w:r>
      <w:r w:rsidR="00B529F6">
        <w:t>not be</w:t>
      </w:r>
      <w:r w:rsidR="00B85786">
        <w:t xml:space="preserve"> </w:t>
      </w:r>
      <w:proofErr w:type="spellStart"/>
      <w:r w:rsidR="00B85786">
        <w:t>generalisable</w:t>
      </w:r>
      <w:proofErr w:type="spellEnd"/>
      <w:r w:rsidR="00B85786">
        <w:t xml:space="preserve"> to people seen in the NHS</w:t>
      </w:r>
      <w:r w:rsidR="00B529F6">
        <w:t xml:space="preserve"> in England</w:t>
      </w:r>
      <w:r w:rsidR="00B85786">
        <w:t xml:space="preserve">. </w:t>
      </w:r>
    </w:p>
    <w:p w14:paraId="327DD3CB" w14:textId="054992F1" w:rsidR="009B7222" w:rsidRDefault="001750E2" w:rsidP="001A232B">
      <w:pPr>
        <w:pStyle w:val="Bulletindent1"/>
      </w:pPr>
      <w:proofErr w:type="spellStart"/>
      <w:r w:rsidRPr="001750E2">
        <w:t>SIRveNIB</w:t>
      </w:r>
      <w:proofErr w:type="spellEnd"/>
      <w:r w:rsidRPr="001750E2">
        <w:t xml:space="preserve"> was done in </w:t>
      </w:r>
      <w:r w:rsidR="00C40437">
        <w:t xml:space="preserve">the </w:t>
      </w:r>
      <w:r w:rsidRPr="001750E2">
        <w:t>Asia-Pacific region</w:t>
      </w:r>
      <w:r>
        <w:t xml:space="preserve"> between 2010 and 2018</w:t>
      </w:r>
      <w:r w:rsidRPr="001750E2">
        <w:t>.</w:t>
      </w:r>
      <w:r w:rsidR="00BA6E48">
        <w:t xml:space="preserve"> </w:t>
      </w:r>
      <w:r w:rsidR="00B529F6">
        <w:t>The clinical expert</w:t>
      </w:r>
      <w:r w:rsidR="002917B2">
        <w:t>s</w:t>
      </w:r>
      <w:r w:rsidR="00B529F6">
        <w:t xml:space="preserve"> explained that results from </w:t>
      </w:r>
      <w:proofErr w:type="spellStart"/>
      <w:r w:rsidR="00B529F6">
        <w:t>SIRveNIB</w:t>
      </w:r>
      <w:proofErr w:type="spellEnd"/>
      <w:r w:rsidR="00B529F6">
        <w:t xml:space="preserve"> might not be </w:t>
      </w:r>
      <w:proofErr w:type="spellStart"/>
      <w:r w:rsidR="00B529F6">
        <w:t>generalisable</w:t>
      </w:r>
      <w:proofErr w:type="spellEnd"/>
      <w:r w:rsidR="00B529F6">
        <w:t xml:space="preserve"> to the NHS in England</w:t>
      </w:r>
      <w:r w:rsidR="008F4447">
        <w:t>. This was</w:t>
      </w:r>
      <w:r w:rsidR="00B529F6">
        <w:t xml:space="preserve"> because i</w:t>
      </w:r>
      <w:r w:rsidR="00BA6E48">
        <w:t xml:space="preserve">n </w:t>
      </w:r>
      <w:r w:rsidR="00C40437">
        <w:t xml:space="preserve">the </w:t>
      </w:r>
      <w:r w:rsidR="00BA6E48">
        <w:t xml:space="preserve">Asia-Pacific region HCC is often caused by </w:t>
      </w:r>
      <w:r w:rsidR="00627B45">
        <w:t>h</w:t>
      </w:r>
      <w:r w:rsidR="00BA6E48">
        <w:t>epatitis</w:t>
      </w:r>
      <w:r w:rsidR="00C40437">
        <w:t> </w:t>
      </w:r>
      <w:r w:rsidR="006408A0">
        <w:t>B and</w:t>
      </w:r>
      <w:r w:rsidR="00C40437">
        <w:t> </w:t>
      </w:r>
      <w:r w:rsidR="006408A0">
        <w:t>C, whereas</w:t>
      </w:r>
      <w:r w:rsidR="00BA6E48">
        <w:t xml:space="preserve"> in the UK fatty liver disease </w:t>
      </w:r>
      <w:r w:rsidR="00D1017E">
        <w:t xml:space="preserve">and alcohol </w:t>
      </w:r>
      <w:r w:rsidR="00BA6E48">
        <w:t xml:space="preserve">are </w:t>
      </w:r>
      <w:r w:rsidR="006408A0">
        <w:t>the most</w:t>
      </w:r>
      <w:r w:rsidR="00627B45">
        <w:t xml:space="preserve"> </w:t>
      </w:r>
      <w:r w:rsidR="00BA6E48">
        <w:t xml:space="preserve">common causes. </w:t>
      </w:r>
      <w:r w:rsidR="00B21AD0">
        <w:t>T</w:t>
      </w:r>
      <w:r w:rsidR="00B21AD0" w:rsidRPr="00B21AD0">
        <w:t>here was no difference in overall survival or progression-free survival between the treatment arms</w:t>
      </w:r>
      <w:r w:rsidR="00B06CE7">
        <w:t>.</w:t>
      </w:r>
      <w:r w:rsidR="005D313A">
        <w:t xml:space="preserve"> </w:t>
      </w:r>
      <w:r w:rsidR="00B06CE7">
        <w:t xml:space="preserve">The </w:t>
      </w:r>
      <w:r w:rsidR="00FC387A">
        <w:t xml:space="preserve">median overall survival </w:t>
      </w:r>
      <w:r w:rsidR="00F040A5">
        <w:t>was</w:t>
      </w:r>
      <w:r w:rsidR="00FC387A">
        <w:t xml:space="preserve"> 8.8</w:t>
      </w:r>
      <w:r w:rsidR="00F040A5">
        <w:t> months</w:t>
      </w:r>
      <w:r w:rsidR="00FC387A">
        <w:t xml:space="preserve"> for SIR</w:t>
      </w:r>
      <w:r w:rsidR="00FC387A">
        <w:noBreakHyphen/>
        <w:t>Spheres and 10.0</w:t>
      </w:r>
      <w:r w:rsidR="00F040A5">
        <w:t> months</w:t>
      </w:r>
      <w:r w:rsidR="00FC387A">
        <w:t xml:space="preserve"> for sorafenib</w:t>
      </w:r>
      <w:r w:rsidR="00B529F6">
        <w:t>,</w:t>
      </w:r>
      <w:r w:rsidR="00FC387A">
        <w:t xml:space="preserve"> with </w:t>
      </w:r>
      <w:r w:rsidR="00B529F6">
        <w:t>HRs</w:t>
      </w:r>
      <w:r w:rsidR="00FC387A">
        <w:t xml:space="preserve"> of </w:t>
      </w:r>
      <w:r w:rsidR="00FC387A" w:rsidRPr="005D313A">
        <w:t xml:space="preserve">1.12 </w:t>
      </w:r>
      <w:r w:rsidR="007D1300">
        <w:t>(</w:t>
      </w:r>
      <w:r w:rsidR="00F10C23">
        <w:t xml:space="preserve">95% CI </w:t>
      </w:r>
      <w:r w:rsidR="00FC387A" w:rsidRPr="005D313A">
        <w:t>0.9</w:t>
      </w:r>
      <w:r w:rsidR="00FC387A">
        <w:t xml:space="preserve"> to </w:t>
      </w:r>
      <w:r w:rsidR="00FC387A" w:rsidRPr="005D313A">
        <w:t>1.4</w:t>
      </w:r>
      <w:r w:rsidR="007D1300">
        <w:t>)</w:t>
      </w:r>
      <w:r w:rsidR="00FC387A" w:rsidRPr="005D313A">
        <w:t xml:space="preserve"> </w:t>
      </w:r>
      <w:r w:rsidR="00FC387A">
        <w:t xml:space="preserve">for </w:t>
      </w:r>
      <w:r w:rsidR="00B529F6">
        <w:t>the ITT</w:t>
      </w:r>
      <w:r w:rsidR="00FC387A">
        <w:t xml:space="preserve"> population and </w:t>
      </w:r>
      <w:r w:rsidR="00FC387A" w:rsidRPr="005D313A">
        <w:rPr>
          <w:lang w:val="en-GB"/>
        </w:rPr>
        <w:t xml:space="preserve">0.86 </w:t>
      </w:r>
      <w:r w:rsidR="007D1300">
        <w:rPr>
          <w:lang w:val="en-GB"/>
        </w:rPr>
        <w:t>(</w:t>
      </w:r>
      <w:r w:rsidR="00F10C23">
        <w:rPr>
          <w:lang w:val="en-GB"/>
        </w:rPr>
        <w:t xml:space="preserve">95% CI </w:t>
      </w:r>
      <w:r w:rsidR="00FC387A" w:rsidRPr="005D313A">
        <w:rPr>
          <w:lang w:val="en-GB"/>
        </w:rPr>
        <w:t>0.7</w:t>
      </w:r>
      <w:r w:rsidR="00FC387A">
        <w:rPr>
          <w:lang w:val="en-GB"/>
        </w:rPr>
        <w:t xml:space="preserve"> to </w:t>
      </w:r>
      <w:r w:rsidR="00FC387A" w:rsidRPr="005D313A">
        <w:rPr>
          <w:lang w:val="en-GB"/>
        </w:rPr>
        <w:t>1.1</w:t>
      </w:r>
      <w:r w:rsidR="007D1300">
        <w:rPr>
          <w:lang w:val="en-GB"/>
        </w:rPr>
        <w:t>)</w:t>
      </w:r>
      <w:r w:rsidR="00FC387A" w:rsidRPr="005D313A">
        <w:rPr>
          <w:lang w:val="en-GB"/>
        </w:rPr>
        <w:t xml:space="preserve"> </w:t>
      </w:r>
      <w:r w:rsidR="00FC387A">
        <w:t>for</w:t>
      </w:r>
      <w:r w:rsidR="00B529F6">
        <w:t xml:space="preserve"> the PP</w:t>
      </w:r>
      <w:r w:rsidR="00FC387A">
        <w:t xml:space="preserve"> population</w:t>
      </w:r>
      <w:r w:rsidR="00C66256">
        <w:t>. The</w:t>
      </w:r>
      <w:r w:rsidR="00FC387A">
        <w:t xml:space="preserve"> median progression</w:t>
      </w:r>
      <w:r w:rsidR="00FC387A">
        <w:noBreakHyphen/>
        <w:t xml:space="preserve">free survival </w:t>
      </w:r>
      <w:r w:rsidR="0095323C">
        <w:t>was</w:t>
      </w:r>
      <w:r w:rsidR="00FC387A">
        <w:t xml:space="preserve"> 5.8</w:t>
      </w:r>
      <w:r w:rsidR="0095323C">
        <w:t> months</w:t>
      </w:r>
      <w:r w:rsidR="00FC387A">
        <w:t xml:space="preserve"> for SIR-Spheres and 5.1</w:t>
      </w:r>
      <w:r w:rsidR="0095323C">
        <w:t> months</w:t>
      </w:r>
      <w:r w:rsidR="00FC387A">
        <w:t xml:space="preserve"> for sorafenib</w:t>
      </w:r>
      <w:r w:rsidR="00B529F6">
        <w:t>,</w:t>
      </w:r>
      <w:r w:rsidR="00FC387A">
        <w:t xml:space="preserve"> with </w:t>
      </w:r>
      <w:r w:rsidR="00B529F6">
        <w:t>HRs</w:t>
      </w:r>
      <w:r w:rsidR="00FC387A">
        <w:t xml:space="preserve"> of 0.89 </w:t>
      </w:r>
      <w:r w:rsidR="008F5131">
        <w:t>(</w:t>
      </w:r>
      <w:r w:rsidR="00FC387A">
        <w:t>95</w:t>
      </w:r>
      <w:r w:rsidR="00B529F6">
        <w:t>%</w:t>
      </w:r>
      <w:r w:rsidR="00FC387A">
        <w:t> CI 0.7 to 1.1</w:t>
      </w:r>
      <w:r w:rsidR="008F5131">
        <w:t>)</w:t>
      </w:r>
      <w:r w:rsidR="00FC387A">
        <w:t xml:space="preserve"> for </w:t>
      </w:r>
      <w:r w:rsidR="00B529F6">
        <w:t>the ITT</w:t>
      </w:r>
      <w:r w:rsidR="00FC387A">
        <w:t xml:space="preserve"> population and 0.73 </w:t>
      </w:r>
      <w:r w:rsidR="00611478">
        <w:t>(</w:t>
      </w:r>
      <w:r w:rsidR="00FC387A">
        <w:t>95% CI 0.6 to 0.9</w:t>
      </w:r>
      <w:r w:rsidR="00611478">
        <w:t>)</w:t>
      </w:r>
      <w:r w:rsidR="00FC387A">
        <w:t xml:space="preserve"> for </w:t>
      </w:r>
      <w:r w:rsidR="00B529F6">
        <w:t>the PP</w:t>
      </w:r>
      <w:r w:rsidR="00FC387A">
        <w:t xml:space="preserve"> population</w:t>
      </w:r>
      <w:r w:rsidR="00B21AD0" w:rsidRPr="00B21AD0">
        <w:t xml:space="preserve">. More adverse events were reported with </w:t>
      </w:r>
      <w:r w:rsidR="00B21AD0" w:rsidRPr="00B21AD0">
        <w:lastRenderedPageBreak/>
        <w:t xml:space="preserve">sorafenib than SIR-Spheres. </w:t>
      </w:r>
      <w:r w:rsidR="007F0DD4">
        <w:t>The</w:t>
      </w:r>
      <w:r w:rsidR="007F0DD4" w:rsidRPr="008F4E54">
        <w:t xml:space="preserve"> </w:t>
      </w:r>
      <w:r w:rsidR="007F0DD4">
        <w:t xml:space="preserve">committee </w:t>
      </w:r>
      <w:r w:rsidR="007F0DD4" w:rsidRPr="008F4E54">
        <w:t xml:space="preserve">concluded that results from </w:t>
      </w:r>
      <w:r w:rsidR="007F0DD4">
        <w:t xml:space="preserve">the </w:t>
      </w:r>
      <w:proofErr w:type="spellStart"/>
      <w:r w:rsidR="00F10C23">
        <w:t>SIRveNIB</w:t>
      </w:r>
      <w:proofErr w:type="spellEnd"/>
      <w:r w:rsidR="007F0DD4">
        <w:t xml:space="preserve"> </w:t>
      </w:r>
      <w:r w:rsidR="00B529F6">
        <w:t>may</w:t>
      </w:r>
      <w:r w:rsidR="007F0DD4" w:rsidRPr="008F4E54">
        <w:t xml:space="preserve"> not</w:t>
      </w:r>
      <w:r w:rsidR="00064B68">
        <w:t xml:space="preserve"> be</w:t>
      </w:r>
      <w:r w:rsidR="007F0DD4" w:rsidRPr="008F4E54">
        <w:t xml:space="preserve"> </w:t>
      </w:r>
      <w:proofErr w:type="spellStart"/>
      <w:r w:rsidR="007F0DD4" w:rsidRPr="008F4E54">
        <w:t>generalisable</w:t>
      </w:r>
      <w:proofErr w:type="spellEnd"/>
      <w:r w:rsidR="007F0DD4" w:rsidRPr="008F4E54">
        <w:t xml:space="preserve"> to people seen in the NHS.</w:t>
      </w:r>
    </w:p>
    <w:p w14:paraId="7F12AE26" w14:textId="0D836158" w:rsidR="001A232B" w:rsidRDefault="00F10C23" w:rsidP="001A232B">
      <w:pPr>
        <w:pStyle w:val="Bulletindent1"/>
      </w:pPr>
      <w:r>
        <w:t xml:space="preserve">The committee considered including non-RCT evidence identified by the AG. The </w:t>
      </w:r>
      <w:r w:rsidR="0062732E">
        <w:t xml:space="preserve">AG assessed the </w:t>
      </w:r>
      <w:r w:rsidR="00845E46">
        <w:t>3</w:t>
      </w:r>
      <w:r w:rsidR="00B529F6">
        <w:t xml:space="preserve"> non-RCT</w:t>
      </w:r>
      <w:r>
        <w:t xml:space="preserve"> studies</w:t>
      </w:r>
      <w:r w:rsidR="009B7222" w:rsidRPr="009B7222">
        <w:t xml:space="preserve"> </w:t>
      </w:r>
      <w:r w:rsidR="0062732E">
        <w:t>as having a</w:t>
      </w:r>
      <w:r w:rsidR="009B7222" w:rsidRPr="009B7222">
        <w:t xml:space="preserve"> high risk of bias. </w:t>
      </w:r>
      <w:proofErr w:type="gramStart"/>
      <w:r w:rsidR="00127C73">
        <w:t>So</w:t>
      </w:r>
      <w:proofErr w:type="gramEnd"/>
      <w:r w:rsidR="009B7222" w:rsidRPr="009B7222">
        <w:t xml:space="preserve"> the </w:t>
      </w:r>
      <w:r>
        <w:t>committee</w:t>
      </w:r>
      <w:r w:rsidR="009B7222" w:rsidRPr="009B7222">
        <w:t xml:space="preserve"> </w:t>
      </w:r>
      <w:r w:rsidR="0062732E">
        <w:t xml:space="preserve">concluded that </w:t>
      </w:r>
      <w:r w:rsidR="009B7222" w:rsidRPr="009B7222">
        <w:t xml:space="preserve">the RCT evidence </w:t>
      </w:r>
      <w:r>
        <w:t xml:space="preserve">from SARAH and </w:t>
      </w:r>
      <w:proofErr w:type="spellStart"/>
      <w:r>
        <w:t>SIRveNIB</w:t>
      </w:r>
      <w:proofErr w:type="spellEnd"/>
      <w:r>
        <w:t xml:space="preserve"> </w:t>
      </w:r>
      <w:r w:rsidR="0062732E">
        <w:t xml:space="preserve">was preferable </w:t>
      </w:r>
      <w:r w:rsidR="009B7222" w:rsidRPr="009B7222">
        <w:t>for decision</w:t>
      </w:r>
      <w:r w:rsidR="0062732E">
        <w:t xml:space="preserve"> </w:t>
      </w:r>
      <w:r w:rsidR="009B7222" w:rsidRPr="009B7222">
        <w:t>making</w:t>
      </w:r>
      <w:r>
        <w:t xml:space="preserve"> in people </w:t>
      </w:r>
      <w:r w:rsidR="0062732E">
        <w:t>for whom</w:t>
      </w:r>
      <w:r>
        <w:t xml:space="preserve"> CTT</w:t>
      </w:r>
      <w:r w:rsidR="0062732E">
        <w:t xml:space="preserve"> i</w:t>
      </w:r>
      <w:r>
        <w:t>s</w:t>
      </w:r>
      <w:r w:rsidR="0062732E">
        <w:t xml:space="preserve"> </w:t>
      </w:r>
      <w:r>
        <w:t>inappropriate.</w:t>
      </w:r>
    </w:p>
    <w:p w14:paraId="343B11BE" w14:textId="5211CF52" w:rsidR="00EE38A1" w:rsidRDefault="00E73968" w:rsidP="009F711E">
      <w:pPr>
        <w:pStyle w:val="Heading3"/>
      </w:pPr>
      <w:r>
        <w:t xml:space="preserve">There is </w:t>
      </w:r>
      <w:r w:rsidR="00DD77AB">
        <w:t>no</w:t>
      </w:r>
      <w:r w:rsidR="00C40437">
        <w:t xml:space="preserve"> </w:t>
      </w:r>
      <w:r>
        <w:t xml:space="preserve">evidence </w:t>
      </w:r>
      <w:r w:rsidR="00DD77AB">
        <w:t xml:space="preserve">in people </w:t>
      </w:r>
      <w:r w:rsidR="00551FE8">
        <w:t>for whom</w:t>
      </w:r>
      <w:r w:rsidR="00DD77AB">
        <w:t xml:space="preserve"> transplant is appropriate</w:t>
      </w:r>
      <w:r w:rsidR="00551FE8">
        <w:t xml:space="preserve"> and </w:t>
      </w:r>
      <w:r w:rsidR="00DD77AB">
        <w:t xml:space="preserve">in people </w:t>
      </w:r>
      <w:r w:rsidR="00551FE8">
        <w:t>for whom</w:t>
      </w:r>
      <w:r w:rsidR="00DD77AB">
        <w:t xml:space="preserve"> CTT</w:t>
      </w:r>
      <w:r w:rsidR="00551FE8">
        <w:t xml:space="preserve"> i</w:t>
      </w:r>
      <w:r w:rsidR="00DD77AB">
        <w:t xml:space="preserve">s appropriate </w:t>
      </w:r>
      <w:r>
        <w:t xml:space="preserve">to </w:t>
      </w:r>
      <w:r w:rsidR="00372C6C">
        <w:t xml:space="preserve">compare the </w:t>
      </w:r>
      <w:r>
        <w:t>3</w:t>
      </w:r>
      <w:r w:rsidR="00C40437">
        <w:t> </w:t>
      </w:r>
      <w:r>
        <w:t>SIRTs</w:t>
      </w:r>
      <w:r w:rsidR="00372C6C">
        <w:t>’</w:t>
      </w:r>
      <w:r w:rsidR="00C40437">
        <w:t xml:space="preserve"> effectiveness</w:t>
      </w:r>
      <w:r w:rsidR="00DD77AB">
        <w:t xml:space="preserve"> </w:t>
      </w:r>
    </w:p>
    <w:p w14:paraId="6E585B60" w14:textId="364FA443" w:rsidR="00DD77AB" w:rsidRPr="00546015" w:rsidRDefault="00DD77AB" w:rsidP="00DD77AB">
      <w:pPr>
        <w:pStyle w:val="Numberedlevel2text"/>
      </w:pPr>
      <w:bookmarkStart w:id="11" w:name="_Ref25348951"/>
      <w:r w:rsidRPr="008A5801">
        <w:t xml:space="preserve">The clinical evidence for comparative effectiveness </w:t>
      </w:r>
      <w:r>
        <w:rPr>
          <w:lang w:val="en-GB"/>
        </w:rPr>
        <w:t>of</w:t>
      </w:r>
      <w:r w:rsidRPr="008A5801">
        <w:t xml:space="preserve"> the 3 SIRTs came from </w:t>
      </w:r>
      <w:r w:rsidR="003255E6">
        <w:rPr>
          <w:lang w:val="en-GB"/>
        </w:rPr>
        <w:t>5</w:t>
      </w:r>
      <w:r w:rsidRPr="008A5801">
        <w:t xml:space="preserve"> retrospective</w:t>
      </w:r>
      <w:r>
        <w:t xml:space="preserve"> studies</w:t>
      </w:r>
      <w:r w:rsidR="003255E6">
        <w:rPr>
          <w:lang w:val="en-GB"/>
        </w:rPr>
        <w:t xml:space="preserve"> that reported overall survival or progression-free survival</w:t>
      </w:r>
      <w:r>
        <w:rPr>
          <w:lang w:val="en-GB"/>
        </w:rPr>
        <w:t xml:space="preserve">. </w:t>
      </w:r>
      <w:r w:rsidR="008B4FE0">
        <w:rPr>
          <w:lang w:val="en-GB"/>
        </w:rPr>
        <w:t>Of these</w:t>
      </w:r>
      <w:r w:rsidR="00BF4A03">
        <w:rPr>
          <w:lang w:val="en-GB"/>
        </w:rPr>
        <w:t>,</w:t>
      </w:r>
      <w:r>
        <w:t xml:space="preserve"> </w:t>
      </w:r>
      <w:r w:rsidR="003255E6">
        <w:rPr>
          <w:lang w:val="en-GB"/>
        </w:rPr>
        <w:t>4</w:t>
      </w:r>
      <w:r>
        <w:t xml:space="preserve"> compar</w:t>
      </w:r>
      <w:r w:rsidR="008B4FE0">
        <w:rPr>
          <w:lang w:val="en-GB"/>
        </w:rPr>
        <w:t>ed</w:t>
      </w:r>
      <w:r>
        <w:t xml:space="preserve"> SIR-Spheres </w:t>
      </w:r>
      <w:r w:rsidR="00551FE8">
        <w:rPr>
          <w:lang w:val="en-GB"/>
        </w:rPr>
        <w:t>with</w:t>
      </w:r>
      <w:r>
        <w:t xml:space="preserve"> </w:t>
      </w:r>
      <w:proofErr w:type="spellStart"/>
      <w:r>
        <w:t>TheraSphere</w:t>
      </w:r>
      <w:proofErr w:type="spellEnd"/>
      <w:r>
        <w:t xml:space="preserve"> and 1 small study</w:t>
      </w:r>
      <w:r>
        <w:rPr>
          <w:lang w:val="en-GB"/>
        </w:rPr>
        <w:t xml:space="preserve"> of 30 people</w:t>
      </w:r>
      <w:r>
        <w:t xml:space="preserve"> compar</w:t>
      </w:r>
      <w:r w:rsidR="008B4FE0">
        <w:rPr>
          <w:lang w:val="en-GB"/>
        </w:rPr>
        <w:t>ed</w:t>
      </w:r>
      <w:r>
        <w:t xml:space="preserve"> all 3</w:t>
      </w:r>
      <w:r>
        <w:rPr>
          <w:lang w:val="en-GB"/>
        </w:rPr>
        <w:t> SIRTs</w:t>
      </w:r>
      <w:r>
        <w:t xml:space="preserve">. The </w:t>
      </w:r>
      <w:r>
        <w:rPr>
          <w:lang w:val="en-GB"/>
        </w:rPr>
        <w:t xml:space="preserve">AG </w:t>
      </w:r>
      <w:r w:rsidR="00551FE8">
        <w:rPr>
          <w:lang w:val="en-GB"/>
        </w:rPr>
        <w:t xml:space="preserve">advised </w:t>
      </w:r>
      <w:proofErr w:type="spellStart"/>
      <w:r w:rsidR="00551FE8">
        <w:rPr>
          <w:lang w:val="en-GB"/>
        </w:rPr>
        <w:t>t</w:t>
      </w:r>
      <w:r>
        <w:t>hat</w:t>
      </w:r>
      <w:proofErr w:type="spellEnd"/>
      <w:r>
        <w:t xml:space="preserve"> most </w:t>
      </w:r>
      <w:r w:rsidR="00551FE8">
        <w:rPr>
          <w:lang w:val="en-GB"/>
        </w:rPr>
        <w:t xml:space="preserve">of these </w:t>
      </w:r>
      <w:r>
        <w:t>studies had a high risk of bias.</w:t>
      </w:r>
      <w:r>
        <w:rPr>
          <w:lang w:val="en-GB"/>
        </w:rPr>
        <w:t xml:space="preserve"> None of the studies include</w:t>
      </w:r>
      <w:r w:rsidR="00551FE8">
        <w:rPr>
          <w:lang w:val="en-GB"/>
        </w:rPr>
        <w:t>d</w:t>
      </w:r>
      <w:r>
        <w:rPr>
          <w:lang w:val="en-GB"/>
        </w:rPr>
        <w:t xml:space="preserve"> people for whom transplant was appropriate. </w:t>
      </w:r>
      <w:r w:rsidR="003255E6">
        <w:rPr>
          <w:lang w:val="en-GB"/>
        </w:rPr>
        <w:t>The study comparing all 3 SIRTs</w:t>
      </w:r>
      <w:r>
        <w:rPr>
          <w:lang w:val="en-GB"/>
        </w:rPr>
        <w:t xml:space="preserve"> potentially included people for whom CTTs were appropriate but there were no results</w:t>
      </w:r>
      <w:r w:rsidR="007563C3">
        <w:rPr>
          <w:lang w:val="en-GB"/>
        </w:rPr>
        <w:t xml:space="preserve"> presented</w:t>
      </w:r>
      <w:r>
        <w:rPr>
          <w:lang w:val="en-GB"/>
        </w:rPr>
        <w:t xml:space="preserve"> for this subgroup. The committee concluded that there was no evidence identified for people when transplant or CTT </w:t>
      </w:r>
      <w:r w:rsidR="00730444">
        <w:rPr>
          <w:lang w:val="en-GB"/>
        </w:rPr>
        <w:t>wa</w:t>
      </w:r>
      <w:r w:rsidR="00551FE8">
        <w:rPr>
          <w:lang w:val="en-GB"/>
        </w:rPr>
        <w:t>s</w:t>
      </w:r>
      <w:r>
        <w:rPr>
          <w:lang w:val="en-GB"/>
        </w:rPr>
        <w:t xml:space="preserve"> appropriate.</w:t>
      </w:r>
      <w:bookmarkEnd w:id="11"/>
    </w:p>
    <w:p w14:paraId="422C9D94" w14:textId="708255B1" w:rsidR="00DD77AB" w:rsidRPr="00DD77AB" w:rsidRDefault="00DD77AB" w:rsidP="00DD77AB">
      <w:pPr>
        <w:pStyle w:val="Heading3"/>
      </w:pPr>
      <w:r>
        <w:t xml:space="preserve">There is not enough </w:t>
      </w:r>
      <w:r w:rsidR="00630893">
        <w:t xml:space="preserve">direct </w:t>
      </w:r>
      <w:r>
        <w:t xml:space="preserve">evidence </w:t>
      </w:r>
      <w:r w:rsidR="00937574">
        <w:t>for</w:t>
      </w:r>
      <w:r>
        <w:t xml:space="preserve"> people when CTT</w:t>
      </w:r>
      <w:r w:rsidR="00551FE8">
        <w:t xml:space="preserve"> i</w:t>
      </w:r>
      <w:r>
        <w:t xml:space="preserve">s </w:t>
      </w:r>
      <w:r w:rsidR="00FE3581">
        <w:t>in</w:t>
      </w:r>
      <w:r>
        <w:t xml:space="preserve">appropriate to </w:t>
      </w:r>
      <w:r w:rsidR="00937574">
        <w:t>compare</w:t>
      </w:r>
      <w:r>
        <w:t xml:space="preserve"> the 3 SIRTs</w:t>
      </w:r>
      <w:r w:rsidR="00937574">
        <w:t>’</w:t>
      </w:r>
      <w:r>
        <w:t xml:space="preserve"> effectiveness</w:t>
      </w:r>
      <w:r w:rsidR="00551FE8">
        <w:t xml:space="preserve">, </w:t>
      </w:r>
      <w:r w:rsidR="00937574">
        <w:t>so</w:t>
      </w:r>
      <w:r w:rsidR="00551FE8">
        <w:t xml:space="preserve"> mixed treatment comparison should be considered</w:t>
      </w:r>
    </w:p>
    <w:p w14:paraId="11766EA6" w14:textId="1B27264A" w:rsidR="00E73968" w:rsidRPr="0031043F" w:rsidRDefault="007563C3" w:rsidP="0031043F">
      <w:pPr>
        <w:pStyle w:val="Numberedlevel2text"/>
      </w:pPr>
      <w:bookmarkStart w:id="12" w:name="_Ref25178941"/>
      <w:r>
        <w:t>The</w:t>
      </w:r>
      <w:r w:rsidR="00E73968" w:rsidRPr="008A5801">
        <w:t xml:space="preserve"> </w:t>
      </w:r>
      <w:r w:rsidR="00014099">
        <w:rPr>
          <w:lang w:val="en-GB"/>
        </w:rPr>
        <w:t>AG</w:t>
      </w:r>
      <w:r w:rsidR="00EE72FF" w:rsidRPr="008A5801">
        <w:t xml:space="preserve"> </w:t>
      </w:r>
      <w:r>
        <w:t>identified</w:t>
      </w:r>
      <w:r w:rsidR="00014099">
        <w:rPr>
          <w:lang w:val="en-GB"/>
        </w:rPr>
        <w:t xml:space="preserve"> 5</w:t>
      </w:r>
      <w:r>
        <w:t xml:space="preserve"> </w:t>
      </w:r>
      <w:r w:rsidR="00EE72FF" w:rsidRPr="008A5801">
        <w:t>retrospective</w:t>
      </w:r>
      <w:r w:rsidR="00EE72FF">
        <w:t xml:space="preserve"> </w:t>
      </w:r>
      <w:r>
        <w:t xml:space="preserve">studies </w:t>
      </w:r>
      <w:r w:rsidR="00551FE8">
        <w:rPr>
          <w:lang w:val="en-GB"/>
        </w:rPr>
        <w:t xml:space="preserve">that </w:t>
      </w:r>
      <w:r>
        <w:t>included people for whom CTT</w:t>
      </w:r>
      <w:r w:rsidR="00551FE8">
        <w:rPr>
          <w:lang w:val="en-GB"/>
        </w:rPr>
        <w:t xml:space="preserve"> </w:t>
      </w:r>
      <w:proofErr w:type="spellStart"/>
      <w:r w:rsidR="00551FE8">
        <w:rPr>
          <w:lang w:val="en-GB"/>
        </w:rPr>
        <w:t>i</w:t>
      </w:r>
      <w:proofErr w:type="spellEnd"/>
      <w:r>
        <w:t>s inappropriate</w:t>
      </w:r>
      <w:r w:rsidR="00014099">
        <w:rPr>
          <w:lang w:val="en-GB"/>
        </w:rPr>
        <w:t xml:space="preserve"> (see section </w:t>
      </w:r>
      <w:r w:rsidR="00014099">
        <w:rPr>
          <w:lang w:val="en-GB"/>
        </w:rPr>
        <w:fldChar w:fldCharType="begin"/>
      </w:r>
      <w:r w:rsidR="00014099">
        <w:rPr>
          <w:lang w:val="en-GB"/>
        </w:rPr>
        <w:instrText xml:space="preserve"> REF _Ref25348951 \r \h </w:instrText>
      </w:r>
      <w:r w:rsidR="00014099">
        <w:rPr>
          <w:lang w:val="en-GB"/>
        </w:rPr>
      </w:r>
      <w:r w:rsidR="00014099">
        <w:rPr>
          <w:lang w:val="en-GB"/>
        </w:rPr>
        <w:fldChar w:fldCharType="separate"/>
      </w:r>
      <w:r w:rsidR="00B51242">
        <w:rPr>
          <w:lang w:val="en-GB"/>
        </w:rPr>
        <w:t>3.21</w:t>
      </w:r>
      <w:r w:rsidR="00014099">
        <w:rPr>
          <w:lang w:val="en-GB"/>
        </w:rPr>
        <w:fldChar w:fldCharType="end"/>
      </w:r>
      <w:r w:rsidR="00014099">
        <w:rPr>
          <w:lang w:val="en-GB"/>
        </w:rPr>
        <w:t>)</w:t>
      </w:r>
      <w:r>
        <w:t xml:space="preserve">. </w:t>
      </w:r>
      <w:r w:rsidR="003255E6">
        <w:t>The study comparing all 3 SIRTs also included people for whom CTTs were appropriate</w:t>
      </w:r>
      <w:r w:rsidR="00551FE8">
        <w:rPr>
          <w:lang w:val="en-GB"/>
        </w:rPr>
        <w:t>,</w:t>
      </w:r>
      <w:r w:rsidR="003255E6">
        <w:t xml:space="preserve"> but no results for subgroups were presented. </w:t>
      </w:r>
      <w:r>
        <w:t xml:space="preserve">The committee was aware that the populations were different </w:t>
      </w:r>
      <w:r w:rsidR="00551FE8">
        <w:rPr>
          <w:lang w:val="en-GB"/>
        </w:rPr>
        <w:t>across</w:t>
      </w:r>
      <w:r>
        <w:t xml:space="preserve"> the</w:t>
      </w:r>
      <w:r w:rsidR="00551FE8">
        <w:rPr>
          <w:lang w:val="en-GB"/>
        </w:rPr>
        <w:t>se</w:t>
      </w:r>
      <w:r w:rsidR="003255E6">
        <w:t xml:space="preserve"> </w:t>
      </w:r>
      <w:r>
        <w:t xml:space="preserve">studies and acknowledged that </w:t>
      </w:r>
      <w:r w:rsidR="00551FE8">
        <w:rPr>
          <w:lang w:val="en-GB"/>
        </w:rPr>
        <w:t xml:space="preserve">this meant </w:t>
      </w:r>
      <w:r>
        <w:t xml:space="preserve">results were difficult to compare. </w:t>
      </w:r>
      <w:r w:rsidR="0031043F">
        <w:rPr>
          <w:lang w:val="en-GB"/>
        </w:rPr>
        <w:t xml:space="preserve">The committee was also aware that the baseline characteristics </w:t>
      </w:r>
      <w:r w:rsidR="00551FE8">
        <w:rPr>
          <w:lang w:val="en-GB"/>
        </w:rPr>
        <w:t>were</w:t>
      </w:r>
      <w:r w:rsidR="0031043F">
        <w:rPr>
          <w:lang w:val="en-GB"/>
        </w:rPr>
        <w:t xml:space="preserve"> </w:t>
      </w:r>
      <w:r w:rsidR="00F17545">
        <w:rPr>
          <w:lang w:val="en-GB"/>
        </w:rPr>
        <w:t>different</w:t>
      </w:r>
      <w:r w:rsidR="0031043F">
        <w:rPr>
          <w:lang w:val="en-GB"/>
        </w:rPr>
        <w:t xml:space="preserve"> in most studies</w:t>
      </w:r>
      <w:r w:rsidR="00551FE8">
        <w:rPr>
          <w:lang w:val="en-GB"/>
        </w:rPr>
        <w:t>,</w:t>
      </w:r>
      <w:r w:rsidR="0031043F">
        <w:rPr>
          <w:lang w:val="en-GB"/>
        </w:rPr>
        <w:t xml:space="preserve"> and that this might affect prognosis and outcome</w:t>
      </w:r>
      <w:r w:rsidR="00551FE8">
        <w:rPr>
          <w:lang w:val="en-GB"/>
        </w:rPr>
        <w:t>s</w:t>
      </w:r>
      <w:r w:rsidR="0031043F">
        <w:rPr>
          <w:lang w:val="en-GB"/>
        </w:rPr>
        <w:t xml:space="preserve"> </w:t>
      </w:r>
      <w:r w:rsidR="00551FE8">
        <w:rPr>
          <w:lang w:val="en-GB"/>
        </w:rPr>
        <w:t>between</w:t>
      </w:r>
      <w:r w:rsidR="0031043F">
        <w:rPr>
          <w:lang w:val="en-GB"/>
        </w:rPr>
        <w:t xml:space="preserve"> the arms. </w:t>
      </w:r>
      <w:r w:rsidR="003255E6">
        <w:t xml:space="preserve">In 2 </w:t>
      </w:r>
      <w:r w:rsidR="003255E6">
        <w:lastRenderedPageBreak/>
        <w:t xml:space="preserve">studies that compared </w:t>
      </w:r>
      <w:proofErr w:type="spellStart"/>
      <w:r w:rsidR="003255E6">
        <w:t>TheraSphere</w:t>
      </w:r>
      <w:proofErr w:type="spellEnd"/>
      <w:r w:rsidR="003255E6">
        <w:t xml:space="preserve"> </w:t>
      </w:r>
      <w:r w:rsidR="00551FE8">
        <w:rPr>
          <w:lang w:val="en-GB"/>
        </w:rPr>
        <w:t>with</w:t>
      </w:r>
      <w:r w:rsidR="003255E6">
        <w:t xml:space="preserve"> SIR-Spheres</w:t>
      </w:r>
      <w:r w:rsidR="00551FE8">
        <w:rPr>
          <w:lang w:val="en-GB"/>
        </w:rPr>
        <w:t>,</w:t>
      </w:r>
      <w:r w:rsidR="003255E6">
        <w:rPr>
          <w:lang w:val="en-US"/>
        </w:rPr>
        <w:t xml:space="preserve"> there</w:t>
      </w:r>
      <w:r w:rsidR="003255E6">
        <w:t xml:space="preserve"> was no difference in overall survival</w:t>
      </w:r>
      <w:r w:rsidR="005F2ECD">
        <w:rPr>
          <w:lang w:val="en-US"/>
        </w:rPr>
        <w:t xml:space="preserve">. </w:t>
      </w:r>
      <w:r w:rsidR="005C4AA6">
        <w:rPr>
          <w:lang w:val="en-US"/>
        </w:rPr>
        <w:t>In van der Gucht et al. (2017, n=77), t</w:t>
      </w:r>
      <w:r w:rsidR="005F2ECD">
        <w:rPr>
          <w:lang w:val="en-US"/>
        </w:rPr>
        <w:t>he</w:t>
      </w:r>
      <w:r w:rsidR="003255E6">
        <w:t xml:space="preserve"> median overall survival </w:t>
      </w:r>
      <w:r w:rsidR="005F2ECD">
        <w:rPr>
          <w:lang w:val="en-US"/>
        </w:rPr>
        <w:t>was</w:t>
      </w:r>
      <w:r w:rsidR="003255E6">
        <w:t xml:space="preserve"> </w:t>
      </w:r>
      <w:r w:rsidR="0031043F" w:rsidRPr="0031043F">
        <w:t>7.0</w:t>
      </w:r>
      <w:r w:rsidR="005F2ECD">
        <w:rPr>
          <w:lang w:val="en-US"/>
        </w:rPr>
        <w:t xml:space="preserve"> months for </w:t>
      </w:r>
      <w:proofErr w:type="spellStart"/>
      <w:r w:rsidR="005F2ECD">
        <w:rPr>
          <w:lang w:val="en-US"/>
        </w:rPr>
        <w:t>Thera</w:t>
      </w:r>
      <w:r w:rsidR="008F6105">
        <w:rPr>
          <w:lang w:val="en-US"/>
        </w:rPr>
        <w:t>S</w:t>
      </w:r>
      <w:r w:rsidR="005F2ECD">
        <w:rPr>
          <w:lang w:val="en-US"/>
        </w:rPr>
        <w:t>phere</w:t>
      </w:r>
      <w:proofErr w:type="spellEnd"/>
      <w:r w:rsidR="0031043F">
        <w:t xml:space="preserve"> </w:t>
      </w:r>
      <w:r w:rsidR="005F2ECD">
        <w:rPr>
          <w:lang w:val="en-GB"/>
        </w:rPr>
        <w:t>(</w:t>
      </w:r>
      <w:r w:rsidR="0031043F">
        <w:t xml:space="preserve">95% CI </w:t>
      </w:r>
      <w:r w:rsidR="0031043F" w:rsidRPr="0031043F">
        <w:t>1.6</w:t>
      </w:r>
      <w:r w:rsidR="0031043F">
        <w:t xml:space="preserve"> to </w:t>
      </w:r>
      <w:r w:rsidR="0031043F" w:rsidRPr="0031043F">
        <w:t>12.4</w:t>
      </w:r>
      <w:r w:rsidR="005F2ECD">
        <w:rPr>
          <w:lang w:val="en-GB"/>
        </w:rPr>
        <w:t>)</w:t>
      </w:r>
      <w:r w:rsidR="0031043F">
        <w:rPr>
          <w:lang w:val="en-GB"/>
        </w:rPr>
        <w:t xml:space="preserve"> compared with</w:t>
      </w:r>
      <w:r w:rsidR="0031043F">
        <w:t xml:space="preserve"> </w:t>
      </w:r>
      <w:r w:rsidR="0031043F" w:rsidRPr="0031043F">
        <w:rPr>
          <w:lang w:val="en-GB"/>
        </w:rPr>
        <w:t>7.7</w:t>
      </w:r>
      <w:r w:rsidR="005F2ECD">
        <w:rPr>
          <w:lang w:val="en-GB"/>
        </w:rPr>
        <w:t> months for SIR-Spheres</w:t>
      </w:r>
      <w:r w:rsidR="0031043F">
        <w:rPr>
          <w:lang w:val="en-GB"/>
        </w:rPr>
        <w:t xml:space="preserve"> </w:t>
      </w:r>
      <w:r w:rsidR="005C4AA6">
        <w:rPr>
          <w:lang w:val="en-GB"/>
        </w:rPr>
        <w:t>(</w:t>
      </w:r>
      <w:r w:rsidR="0031043F">
        <w:rPr>
          <w:lang w:val="en-GB"/>
        </w:rPr>
        <w:t xml:space="preserve">95% CI </w:t>
      </w:r>
      <w:r w:rsidR="0031043F" w:rsidRPr="0031043F">
        <w:rPr>
          <w:lang w:val="en-GB"/>
        </w:rPr>
        <w:t>7.2</w:t>
      </w:r>
      <w:r w:rsidR="0031043F">
        <w:rPr>
          <w:lang w:val="en-GB"/>
        </w:rPr>
        <w:t xml:space="preserve"> to </w:t>
      </w:r>
      <w:r w:rsidR="0031043F" w:rsidRPr="0031043F">
        <w:rPr>
          <w:lang w:val="en-GB"/>
        </w:rPr>
        <w:t>8.2</w:t>
      </w:r>
      <w:r w:rsidR="005C4AA6">
        <w:rPr>
          <w:lang w:val="en-GB"/>
        </w:rPr>
        <w:t>). In</w:t>
      </w:r>
      <w:r w:rsidR="0031043F">
        <w:rPr>
          <w:lang w:val="en-GB"/>
        </w:rPr>
        <w:t xml:space="preserve"> </w:t>
      </w:r>
      <w:proofErr w:type="spellStart"/>
      <w:r w:rsidR="0031043F">
        <w:rPr>
          <w:lang w:val="en-GB"/>
        </w:rPr>
        <w:t>Bhangoo</w:t>
      </w:r>
      <w:proofErr w:type="spellEnd"/>
      <w:r w:rsidR="0031043F">
        <w:rPr>
          <w:lang w:val="en-GB"/>
        </w:rPr>
        <w:t xml:space="preserve"> </w:t>
      </w:r>
      <w:r w:rsidR="005C4AA6">
        <w:rPr>
          <w:lang w:val="en-GB"/>
        </w:rPr>
        <w:t>et al. (</w:t>
      </w:r>
      <w:r w:rsidR="00D20780">
        <w:rPr>
          <w:lang w:val="en-GB"/>
        </w:rPr>
        <w:t>2015</w:t>
      </w:r>
      <w:r w:rsidR="005C4AA6">
        <w:rPr>
          <w:lang w:val="en-GB"/>
        </w:rPr>
        <w:t>,</w:t>
      </w:r>
      <w:r w:rsidR="00D20780">
        <w:rPr>
          <w:lang w:val="en-GB"/>
        </w:rPr>
        <w:t xml:space="preserve"> </w:t>
      </w:r>
      <w:r w:rsidR="0031043F">
        <w:rPr>
          <w:lang w:val="en-GB"/>
        </w:rPr>
        <w:t>n=17</w:t>
      </w:r>
      <w:r w:rsidR="00551FE8">
        <w:rPr>
          <w:lang w:val="en-GB"/>
        </w:rPr>
        <w:t>)</w:t>
      </w:r>
      <w:r w:rsidR="00D0171E">
        <w:rPr>
          <w:lang w:val="en-GB"/>
        </w:rPr>
        <w:t xml:space="preserve"> the median overall survival for</w:t>
      </w:r>
      <w:r w:rsidR="0031043F">
        <w:rPr>
          <w:lang w:val="en-GB"/>
        </w:rPr>
        <w:t xml:space="preserve"> </w:t>
      </w:r>
      <w:proofErr w:type="spellStart"/>
      <w:r w:rsidR="0031043F">
        <w:t>TheraSphere</w:t>
      </w:r>
      <w:proofErr w:type="spellEnd"/>
      <w:r w:rsidR="0031043F">
        <w:rPr>
          <w:lang w:val="en-GB"/>
        </w:rPr>
        <w:t xml:space="preserve"> </w:t>
      </w:r>
      <w:r w:rsidR="00D0171E">
        <w:rPr>
          <w:lang w:val="en-GB"/>
        </w:rPr>
        <w:t xml:space="preserve">was </w:t>
      </w:r>
      <w:r w:rsidR="0031043F" w:rsidRPr="0031043F">
        <w:t>8.4</w:t>
      </w:r>
      <w:r w:rsidR="00D0171E">
        <w:rPr>
          <w:lang w:val="en-US"/>
        </w:rPr>
        <w:t> months</w:t>
      </w:r>
      <w:r w:rsidR="0031043F" w:rsidRPr="0031043F">
        <w:t xml:space="preserve"> </w:t>
      </w:r>
      <w:r w:rsidR="00D0171E">
        <w:rPr>
          <w:lang w:val="en-GB"/>
        </w:rPr>
        <w:t>(</w:t>
      </w:r>
      <w:r w:rsidR="0031043F">
        <w:rPr>
          <w:lang w:val="en-GB"/>
        </w:rPr>
        <w:t xml:space="preserve">95% CI </w:t>
      </w:r>
      <w:r w:rsidR="0031043F" w:rsidRPr="0031043F">
        <w:t>1.3</w:t>
      </w:r>
      <w:r w:rsidR="0031043F">
        <w:rPr>
          <w:lang w:val="en-GB"/>
        </w:rPr>
        <w:t xml:space="preserve"> to </w:t>
      </w:r>
      <w:r w:rsidR="0031043F" w:rsidRPr="0031043F">
        <w:t>21.1</w:t>
      </w:r>
      <w:r w:rsidR="00D0171E">
        <w:rPr>
          <w:lang w:val="en-GB"/>
        </w:rPr>
        <w:t>)</w:t>
      </w:r>
      <w:r w:rsidR="0031043F">
        <w:rPr>
          <w:lang w:val="en-GB"/>
        </w:rPr>
        <w:t xml:space="preserve"> compared with </w:t>
      </w:r>
      <w:r w:rsidR="0031043F" w:rsidRPr="0031043F">
        <w:rPr>
          <w:lang w:val="en-GB"/>
        </w:rPr>
        <w:t>7.8</w:t>
      </w:r>
      <w:r w:rsidR="00D0171E">
        <w:rPr>
          <w:lang w:val="en-GB"/>
        </w:rPr>
        <w:t xml:space="preserve"> months for SIR-Spheres</w:t>
      </w:r>
      <w:r w:rsidR="0031043F" w:rsidRPr="0031043F">
        <w:rPr>
          <w:lang w:val="en-GB"/>
        </w:rPr>
        <w:t xml:space="preserve"> </w:t>
      </w:r>
      <w:r w:rsidR="00D0171E">
        <w:rPr>
          <w:lang w:val="en-GB"/>
        </w:rPr>
        <w:t>(</w:t>
      </w:r>
      <w:r w:rsidR="0031043F">
        <w:rPr>
          <w:lang w:val="en-GB"/>
        </w:rPr>
        <w:t xml:space="preserve">95% CI </w:t>
      </w:r>
      <w:r w:rsidR="0031043F" w:rsidRPr="0031043F">
        <w:rPr>
          <w:lang w:val="en-GB"/>
        </w:rPr>
        <w:t>2.3</w:t>
      </w:r>
      <w:r w:rsidR="0031043F">
        <w:rPr>
          <w:lang w:val="en-GB"/>
        </w:rPr>
        <w:t xml:space="preserve"> to </w:t>
      </w:r>
      <w:r w:rsidR="0031043F" w:rsidRPr="0031043F">
        <w:rPr>
          <w:lang w:val="en-GB"/>
        </w:rPr>
        <w:t>12.5)</w:t>
      </w:r>
      <w:r w:rsidR="0031043F">
        <w:rPr>
          <w:lang w:val="en-GB"/>
        </w:rPr>
        <w:t>.</w:t>
      </w:r>
      <w:r w:rsidR="0047627E">
        <w:rPr>
          <w:lang w:val="en-GB"/>
        </w:rPr>
        <w:t xml:space="preserve"> </w:t>
      </w:r>
      <w:r w:rsidR="0031043F">
        <w:rPr>
          <w:lang w:val="en-GB"/>
        </w:rPr>
        <w:t xml:space="preserve">In 2 studies </w:t>
      </w:r>
      <w:r w:rsidR="00C70CFB">
        <w:rPr>
          <w:lang w:val="en-GB"/>
        </w:rPr>
        <w:t xml:space="preserve">(Biederman </w:t>
      </w:r>
      <w:r w:rsidR="00C75083">
        <w:rPr>
          <w:lang w:val="en-GB"/>
        </w:rPr>
        <w:t xml:space="preserve">et al. </w:t>
      </w:r>
      <w:r w:rsidR="00C70CFB">
        <w:rPr>
          <w:lang w:val="en-GB"/>
        </w:rPr>
        <w:t xml:space="preserve">2015 and </w:t>
      </w:r>
      <w:r w:rsidR="00C75083">
        <w:rPr>
          <w:lang w:val="en-GB"/>
        </w:rPr>
        <w:t xml:space="preserve">Biederman et al. </w:t>
      </w:r>
      <w:r w:rsidR="00C70CFB">
        <w:rPr>
          <w:lang w:val="en-GB"/>
        </w:rPr>
        <w:t xml:space="preserve">2016) </w:t>
      </w:r>
      <w:r w:rsidR="0031043F">
        <w:rPr>
          <w:lang w:val="en-GB"/>
        </w:rPr>
        <w:t xml:space="preserve">that compared </w:t>
      </w:r>
      <w:proofErr w:type="spellStart"/>
      <w:r w:rsidR="0031043F">
        <w:t>TheraSphere</w:t>
      </w:r>
      <w:proofErr w:type="spellEnd"/>
      <w:r w:rsidR="0031043F">
        <w:t xml:space="preserve"> </w:t>
      </w:r>
      <w:r w:rsidR="00551FE8">
        <w:rPr>
          <w:lang w:val="en-GB"/>
        </w:rPr>
        <w:t>with</w:t>
      </w:r>
      <w:r w:rsidR="0031043F">
        <w:t xml:space="preserve"> SIR-Spheres</w:t>
      </w:r>
      <w:r w:rsidR="0031043F">
        <w:rPr>
          <w:lang w:val="en-US"/>
        </w:rPr>
        <w:t xml:space="preserve"> in people with PVT</w:t>
      </w:r>
      <w:r w:rsidR="00551FE8">
        <w:rPr>
          <w:lang w:val="en-US"/>
        </w:rPr>
        <w:t>,</w:t>
      </w:r>
      <w:r w:rsidR="0031043F">
        <w:rPr>
          <w:lang w:val="en-US"/>
        </w:rPr>
        <w:t xml:space="preserve"> </w:t>
      </w:r>
      <w:r w:rsidR="00EE72FF">
        <w:t xml:space="preserve">overall survival </w:t>
      </w:r>
      <w:r w:rsidR="0031043F">
        <w:rPr>
          <w:lang w:val="en-GB"/>
        </w:rPr>
        <w:t>was better in the</w:t>
      </w:r>
      <w:r w:rsidR="00EE72FF">
        <w:t xml:space="preserve"> </w:t>
      </w:r>
      <w:proofErr w:type="spellStart"/>
      <w:r w:rsidR="00EE72FF">
        <w:t>TheraSphere</w:t>
      </w:r>
      <w:proofErr w:type="spellEnd"/>
      <w:r w:rsidR="00EE72FF">
        <w:t xml:space="preserve"> </w:t>
      </w:r>
      <w:r w:rsidR="0031043F">
        <w:rPr>
          <w:lang w:val="en-GB"/>
        </w:rPr>
        <w:t xml:space="preserve">arm than the </w:t>
      </w:r>
      <w:r w:rsidR="00EE72FF">
        <w:t>SIR-Spheres</w:t>
      </w:r>
      <w:r w:rsidR="0031043F">
        <w:rPr>
          <w:lang w:val="en-GB"/>
        </w:rPr>
        <w:t xml:space="preserve"> arm</w:t>
      </w:r>
      <w:r w:rsidR="00EE72FF">
        <w:t xml:space="preserve">. </w:t>
      </w:r>
      <w:r w:rsidR="008A5801">
        <w:t xml:space="preserve">The committee concluded that there </w:t>
      </w:r>
      <w:r w:rsidR="00551FE8">
        <w:rPr>
          <w:lang w:val="en-GB"/>
        </w:rPr>
        <w:t>was</w:t>
      </w:r>
      <w:r w:rsidR="00551FE8">
        <w:t xml:space="preserve"> </w:t>
      </w:r>
      <w:r w:rsidR="008A5801">
        <w:t xml:space="preserve">not enough </w:t>
      </w:r>
      <w:r w:rsidR="003202AB" w:rsidRPr="0031043F">
        <w:rPr>
          <w:lang w:val="en-GB"/>
        </w:rPr>
        <w:t xml:space="preserve">direct evidence </w:t>
      </w:r>
      <w:r w:rsidR="008A5801">
        <w:t xml:space="preserve">to establish the </w:t>
      </w:r>
      <w:r w:rsidR="004076DC" w:rsidRPr="0031043F">
        <w:rPr>
          <w:lang w:val="en-GB"/>
        </w:rPr>
        <w:t xml:space="preserve">relative effectiveness of the </w:t>
      </w:r>
      <w:r w:rsidR="008A5801">
        <w:t>3</w:t>
      </w:r>
      <w:r w:rsidR="00C40437" w:rsidRPr="0031043F">
        <w:rPr>
          <w:lang w:val="en-GB"/>
        </w:rPr>
        <w:t> </w:t>
      </w:r>
      <w:r w:rsidR="008A5801">
        <w:t>SIRTs in people with HCC</w:t>
      </w:r>
      <w:r w:rsidR="00551FE8">
        <w:rPr>
          <w:lang w:val="en-GB"/>
        </w:rPr>
        <w:t>,</w:t>
      </w:r>
      <w:r w:rsidR="00BE5A79" w:rsidRPr="0031043F">
        <w:rPr>
          <w:lang w:val="en-GB"/>
        </w:rPr>
        <w:t xml:space="preserve"> and </w:t>
      </w:r>
      <w:r w:rsidR="006C257B">
        <w:rPr>
          <w:lang w:val="en-GB"/>
        </w:rPr>
        <w:t>so</w:t>
      </w:r>
      <w:r w:rsidR="00BE5A79" w:rsidRPr="0031043F">
        <w:rPr>
          <w:lang w:val="en-GB"/>
        </w:rPr>
        <w:t xml:space="preserve"> decided to consider </w:t>
      </w:r>
      <w:r w:rsidR="00551FE8">
        <w:rPr>
          <w:lang w:val="en-GB"/>
        </w:rPr>
        <w:t>mixed treatment comparisons</w:t>
      </w:r>
      <w:r w:rsidR="00BE5A79" w:rsidRPr="0031043F">
        <w:rPr>
          <w:lang w:val="en-GB"/>
        </w:rPr>
        <w:t xml:space="preserve"> for decision making</w:t>
      </w:r>
      <w:r w:rsidR="008A5801">
        <w:t>.</w:t>
      </w:r>
      <w:bookmarkEnd w:id="12"/>
    </w:p>
    <w:p w14:paraId="18515BC5" w14:textId="66B32B65" w:rsidR="00470CDF" w:rsidRDefault="007307B0" w:rsidP="00470CDF">
      <w:pPr>
        <w:pStyle w:val="Heading2"/>
      </w:pPr>
      <w:r>
        <w:t>Mixed treatment comparison</w:t>
      </w:r>
      <w:r w:rsidR="00282134">
        <w:t>s</w:t>
      </w:r>
    </w:p>
    <w:p w14:paraId="043A5EF9" w14:textId="21B43A18" w:rsidR="00470CDF" w:rsidRDefault="00263D4C" w:rsidP="00470CDF">
      <w:pPr>
        <w:pStyle w:val="Heading3"/>
        <w:rPr>
          <w:lang w:val="en-US"/>
        </w:rPr>
      </w:pPr>
      <w:r>
        <w:rPr>
          <w:lang w:val="en-US"/>
        </w:rPr>
        <w:t>D</w:t>
      </w:r>
      <w:r w:rsidR="00673A47">
        <w:rPr>
          <w:lang w:val="en-US"/>
        </w:rPr>
        <w:t xml:space="preserve">ata </w:t>
      </w:r>
      <w:r w:rsidR="00266CEF">
        <w:rPr>
          <w:lang w:val="en-US"/>
        </w:rPr>
        <w:t>are not robust</w:t>
      </w:r>
      <w:r w:rsidR="003F2BFA">
        <w:rPr>
          <w:lang w:val="en-US"/>
        </w:rPr>
        <w:t xml:space="preserve"> enough</w:t>
      </w:r>
      <w:r w:rsidR="00266CEF">
        <w:rPr>
          <w:lang w:val="en-US"/>
        </w:rPr>
        <w:t xml:space="preserve"> </w:t>
      </w:r>
      <w:r w:rsidR="00673A47">
        <w:rPr>
          <w:lang w:val="en-US"/>
        </w:rPr>
        <w:t xml:space="preserve">to </w:t>
      </w:r>
      <w:r w:rsidR="00266CEF">
        <w:rPr>
          <w:lang w:val="en-US"/>
        </w:rPr>
        <w:t xml:space="preserve">provide </w:t>
      </w:r>
      <w:r w:rsidR="00551FE8">
        <w:rPr>
          <w:lang w:val="en-US"/>
        </w:rPr>
        <w:t xml:space="preserve">a </w:t>
      </w:r>
      <w:r w:rsidR="00266CEF">
        <w:rPr>
          <w:lang w:val="en-US"/>
        </w:rPr>
        <w:t xml:space="preserve">meaningful </w:t>
      </w:r>
      <w:r w:rsidR="00673A47">
        <w:rPr>
          <w:lang w:val="en-US"/>
        </w:rPr>
        <w:t>compar</w:t>
      </w:r>
      <w:r w:rsidR="00266CEF">
        <w:rPr>
          <w:lang w:val="en-US"/>
        </w:rPr>
        <w:t>ison between</w:t>
      </w:r>
      <w:r w:rsidR="00673A47">
        <w:rPr>
          <w:lang w:val="en-US"/>
        </w:rPr>
        <w:t xml:space="preserve"> treatment options</w:t>
      </w:r>
      <w:r w:rsidRPr="00263D4C">
        <w:rPr>
          <w:lang w:val="en-US"/>
        </w:rPr>
        <w:t xml:space="preserve"> </w:t>
      </w:r>
      <w:r w:rsidR="00551FE8">
        <w:rPr>
          <w:lang w:val="en-US"/>
        </w:rPr>
        <w:t>when</w:t>
      </w:r>
      <w:r>
        <w:rPr>
          <w:lang w:val="en-US"/>
        </w:rPr>
        <w:t xml:space="preserve"> transplant is appropriate</w:t>
      </w:r>
    </w:p>
    <w:p w14:paraId="62214A22" w14:textId="47F4AC37" w:rsidR="00812CBE" w:rsidRPr="00812CBE" w:rsidRDefault="00673A47" w:rsidP="00673A47">
      <w:pPr>
        <w:pStyle w:val="Numberedlevel2text"/>
      </w:pPr>
      <w:r>
        <w:rPr>
          <w:lang w:val="en-GB"/>
        </w:rPr>
        <w:t xml:space="preserve">The </w:t>
      </w:r>
      <w:r w:rsidR="000379E1">
        <w:rPr>
          <w:lang w:val="en-GB"/>
        </w:rPr>
        <w:t xml:space="preserve">AG </w:t>
      </w:r>
      <w:r w:rsidR="00551FE8">
        <w:rPr>
          <w:lang w:val="en-GB"/>
        </w:rPr>
        <w:t xml:space="preserve">assessed the feasibility of </w:t>
      </w:r>
      <w:r w:rsidR="00812CBE">
        <w:rPr>
          <w:lang w:val="en-GB"/>
        </w:rPr>
        <w:t>a</w:t>
      </w:r>
      <w:r>
        <w:rPr>
          <w:lang w:val="en-GB"/>
        </w:rPr>
        <w:t xml:space="preserve"> mixed</w:t>
      </w:r>
      <w:r w:rsidR="00551FE8">
        <w:rPr>
          <w:lang w:val="en-GB"/>
        </w:rPr>
        <w:t xml:space="preserve"> </w:t>
      </w:r>
      <w:r>
        <w:rPr>
          <w:lang w:val="en-GB"/>
        </w:rPr>
        <w:t xml:space="preserve">treatment comparison to estimate comparative effectiveness between available </w:t>
      </w:r>
      <w:r w:rsidR="00FA0C08">
        <w:rPr>
          <w:lang w:val="en-GB"/>
        </w:rPr>
        <w:t>treatment options</w:t>
      </w:r>
      <w:r>
        <w:rPr>
          <w:lang w:val="en-GB"/>
        </w:rPr>
        <w:t xml:space="preserve"> in people </w:t>
      </w:r>
      <w:r w:rsidR="00263D4C">
        <w:rPr>
          <w:lang w:val="en-GB"/>
        </w:rPr>
        <w:t>when</w:t>
      </w:r>
      <w:r w:rsidR="00F24E4E">
        <w:rPr>
          <w:lang w:val="en-GB"/>
        </w:rPr>
        <w:t xml:space="preserve"> </w:t>
      </w:r>
      <w:r>
        <w:rPr>
          <w:lang w:val="en-GB"/>
        </w:rPr>
        <w:t>transplant</w:t>
      </w:r>
      <w:r w:rsidR="00F24E4E">
        <w:rPr>
          <w:lang w:val="en-GB"/>
        </w:rPr>
        <w:t xml:space="preserve"> is appropriate</w:t>
      </w:r>
      <w:r>
        <w:rPr>
          <w:lang w:val="en-GB"/>
        </w:rPr>
        <w:t xml:space="preserve">. </w:t>
      </w:r>
      <w:r w:rsidR="00A2310C">
        <w:rPr>
          <w:lang w:val="en-GB"/>
        </w:rPr>
        <w:t>There are 2</w:t>
      </w:r>
      <w:r w:rsidR="00263D4C">
        <w:rPr>
          <w:lang w:val="en-GB"/>
        </w:rPr>
        <w:t> RCTs</w:t>
      </w:r>
      <w:r>
        <w:rPr>
          <w:lang w:val="en-GB"/>
        </w:rPr>
        <w:t xml:space="preserve"> </w:t>
      </w:r>
      <w:r w:rsidR="00A2310C">
        <w:rPr>
          <w:lang w:val="en-GB"/>
        </w:rPr>
        <w:t xml:space="preserve">that </w:t>
      </w:r>
      <w:r>
        <w:rPr>
          <w:lang w:val="en-GB"/>
        </w:rPr>
        <w:t>could be included in this analysis</w:t>
      </w:r>
      <w:r w:rsidR="00812CBE">
        <w:rPr>
          <w:lang w:val="en-GB"/>
        </w:rPr>
        <w:t xml:space="preserve">. </w:t>
      </w:r>
      <w:r w:rsidR="00551FE8">
        <w:rPr>
          <w:lang w:val="en-GB"/>
        </w:rPr>
        <w:t xml:space="preserve">Both were done in the US and </w:t>
      </w:r>
      <w:r w:rsidR="00812CBE">
        <w:rPr>
          <w:lang w:val="en-GB"/>
        </w:rPr>
        <w:t xml:space="preserve">compared </w:t>
      </w:r>
      <w:proofErr w:type="spellStart"/>
      <w:r w:rsidR="00812CBE">
        <w:rPr>
          <w:lang w:val="en-GB"/>
        </w:rPr>
        <w:t>TheraSphere</w:t>
      </w:r>
      <w:proofErr w:type="spellEnd"/>
      <w:r w:rsidR="00812CBE">
        <w:rPr>
          <w:lang w:val="en-GB"/>
        </w:rPr>
        <w:t xml:space="preserve"> with TACE </w:t>
      </w:r>
      <w:r w:rsidR="00551FE8">
        <w:rPr>
          <w:lang w:val="en-GB"/>
        </w:rPr>
        <w:t xml:space="preserve">(n=45) </w:t>
      </w:r>
      <w:r w:rsidR="00812CBE">
        <w:rPr>
          <w:lang w:val="en-GB"/>
        </w:rPr>
        <w:t xml:space="preserve">or with </w:t>
      </w:r>
      <w:r w:rsidR="00263D4C">
        <w:rPr>
          <w:lang w:val="en-GB"/>
        </w:rPr>
        <w:t xml:space="preserve">a </w:t>
      </w:r>
      <w:r w:rsidR="00812CBE">
        <w:rPr>
          <w:lang w:val="en-GB"/>
        </w:rPr>
        <w:t xml:space="preserve">combination of </w:t>
      </w:r>
      <w:proofErr w:type="spellStart"/>
      <w:r w:rsidR="00812CBE">
        <w:rPr>
          <w:lang w:val="en-GB"/>
        </w:rPr>
        <w:t>TheraSphere</w:t>
      </w:r>
      <w:proofErr w:type="spellEnd"/>
      <w:r w:rsidR="00812CBE">
        <w:rPr>
          <w:lang w:val="en-GB"/>
        </w:rPr>
        <w:t xml:space="preserve"> and sorafenib</w:t>
      </w:r>
      <w:r w:rsidR="00551FE8">
        <w:rPr>
          <w:lang w:val="en-GB"/>
        </w:rPr>
        <w:t xml:space="preserve"> (n=20)</w:t>
      </w:r>
      <w:r w:rsidR="00812CBE">
        <w:rPr>
          <w:lang w:val="en-GB"/>
        </w:rPr>
        <w:t>. The committee agreed that the evidence base was small, and not generalisable to people seen in the NHS</w:t>
      </w:r>
      <w:r w:rsidR="00D45229">
        <w:rPr>
          <w:lang w:val="en-GB"/>
        </w:rPr>
        <w:t xml:space="preserve"> (see section</w:t>
      </w:r>
      <w:r w:rsidR="00433B0A">
        <w:rPr>
          <w:lang w:val="en-GB"/>
        </w:rPr>
        <w:t xml:space="preserve"> </w:t>
      </w:r>
      <w:r w:rsidR="00433B0A">
        <w:rPr>
          <w:lang w:val="en-GB"/>
        </w:rPr>
        <w:fldChar w:fldCharType="begin"/>
      </w:r>
      <w:r w:rsidR="00433B0A">
        <w:rPr>
          <w:lang w:val="en-GB"/>
        </w:rPr>
        <w:instrText xml:space="preserve"> REF _Ref25612678 \r \h </w:instrText>
      </w:r>
      <w:r w:rsidR="00433B0A">
        <w:rPr>
          <w:lang w:val="en-GB"/>
        </w:rPr>
      </w:r>
      <w:r w:rsidR="00433B0A">
        <w:rPr>
          <w:lang w:val="en-GB"/>
        </w:rPr>
        <w:fldChar w:fldCharType="separate"/>
      </w:r>
      <w:r w:rsidR="00B51242">
        <w:rPr>
          <w:lang w:val="en-GB"/>
        </w:rPr>
        <w:t>3.9</w:t>
      </w:r>
      <w:r w:rsidR="00433B0A">
        <w:rPr>
          <w:lang w:val="en-GB"/>
        </w:rPr>
        <w:fldChar w:fldCharType="end"/>
      </w:r>
      <w:r w:rsidR="00D45229">
        <w:rPr>
          <w:lang w:val="en-GB"/>
        </w:rPr>
        <w:t>)</w:t>
      </w:r>
      <w:r w:rsidR="00812CBE">
        <w:rPr>
          <w:lang w:val="en-GB"/>
        </w:rPr>
        <w:t xml:space="preserve">. </w:t>
      </w:r>
      <w:r w:rsidR="00263D4C">
        <w:rPr>
          <w:lang w:val="en-GB"/>
        </w:rPr>
        <w:t>B</w:t>
      </w:r>
      <w:r w:rsidR="00812CBE">
        <w:rPr>
          <w:lang w:val="en-GB"/>
        </w:rPr>
        <w:t xml:space="preserve">ecause of </w:t>
      </w:r>
      <w:r w:rsidR="00D45229">
        <w:rPr>
          <w:lang w:val="en-GB"/>
        </w:rPr>
        <w:t>limited</w:t>
      </w:r>
      <w:r w:rsidR="00812CBE">
        <w:rPr>
          <w:lang w:val="en-GB"/>
        </w:rPr>
        <w:t xml:space="preserve"> data</w:t>
      </w:r>
      <w:r w:rsidR="00670285">
        <w:rPr>
          <w:lang w:val="en-GB"/>
        </w:rPr>
        <w:t>,</w:t>
      </w:r>
      <w:r w:rsidR="00812CBE">
        <w:rPr>
          <w:lang w:val="en-GB"/>
        </w:rPr>
        <w:t xml:space="preserve"> results from the mixed</w:t>
      </w:r>
      <w:r w:rsidR="00551FE8">
        <w:rPr>
          <w:lang w:val="en-GB"/>
        </w:rPr>
        <w:t xml:space="preserve"> </w:t>
      </w:r>
      <w:r w:rsidR="00812CBE">
        <w:rPr>
          <w:lang w:val="en-GB"/>
        </w:rPr>
        <w:t>treatment comparison would be very uncertain. The</w:t>
      </w:r>
      <w:r w:rsidR="00263D4C">
        <w:rPr>
          <w:lang w:val="en-GB"/>
        </w:rPr>
        <w:t xml:space="preserve"> committee</w:t>
      </w:r>
      <w:r w:rsidR="00812CBE">
        <w:rPr>
          <w:lang w:val="en-GB"/>
        </w:rPr>
        <w:t xml:space="preserve"> </w:t>
      </w:r>
      <w:r w:rsidR="00551FE8">
        <w:rPr>
          <w:lang w:val="en-GB"/>
        </w:rPr>
        <w:t>concluded</w:t>
      </w:r>
      <w:r w:rsidR="00D45229">
        <w:rPr>
          <w:lang w:val="en-GB"/>
        </w:rPr>
        <w:t xml:space="preserve"> </w:t>
      </w:r>
      <w:r w:rsidR="00812CBE">
        <w:rPr>
          <w:lang w:val="en-GB"/>
        </w:rPr>
        <w:t>that a mixed</w:t>
      </w:r>
      <w:r w:rsidR="00551FE8">
        <w:rPr>
          <w:lang w:val="en-GB"/>
        </w:rPr>
        <w:t xml:space="preserve"> </w:t>
      </w:r>
      <w:r w:rsidR="00812CBE">
        <w:rPr>
          <w:lang w:val="en-GB"/>
        </w:rPr>
        <w:t xml:space="preserve">treatment comparison in this population would not </w:t>
      </w:r>
      <w:r w:rsidR="00497C58">
        <w:rPr>
          <w:lang w:val="en-GB"/>
        </w:rPr>
        <w:t>help</w:t>
      </w:r>
      <w:r w:rsidR="00E7391F">
        <w:rPr>
          <w:lang w:val="en-GB"/>
        </w:rPr>
        <w:t xml:space="preserve"> decision making</w:t>
      </w:r>
      <w:r w:rsidR="00551FE8">
        <w:rPr>
          <w:lang w:val="en-GB"/>
        </w:rPr>
        <w:t xml:space="preserve"> for the subgroup in whom t</w:t>
      </w:r>
      <w:r w:rsidR="00843B94">
        <w:rPr>
          <w:lang w:val="en-GB"/>
        </w:rPr>
        <w:t xml:space="preserve">ransplant </w:t>
      </w:r>
      <w:r w:rsidR="00FD04ED">
        <w:rPr>
          <w:lang w:val="en-GB"/>
        </w:rPr>
        <w:t>is appropriate.</w:t>
      </w:r>
    </w:p>
    <w:p w14:paraId="53F161D1" w14:textId="08E3B623" w:rsidR="00812CBE" w:rsidRPr="00812CBE" w:rsidRDefault="00812CBE" w:rsidP="00812CBE">
      <w:pPr>
        <w:pStyle w:val="Heading3"/>
      </w:pPr>
      <w:r>
        <w:lastRenderedPageBreak/>
        <w:t xml:space="preserve">The comparative effectiveness of treatment options for people </w:t>
      </w:r>
      <w:r w:rsidR="00C10CF0">
        <w:t xml:space="preserve">for </w:t>
      </w:r>
      <w:r w:rsidR="00551FE8">
        <w:t>whom</w:t>
      </w:r>
      <w:r w:rsidR="00551FE8" w:rsidRPr="00B74228">
        <w:t xml:space="preserve"> </w:t>
      </w:r>
      <w:r w:rsidR="000379E1">
        <w:t>CTT</w:t>
      </w:r>
      <w:r w:rsidR="00551FE8">
        <w:t xml:space="preserve"> i</w:t>
      </w:r>
      <w:r w:rsidR="00FE3581">
        <w:t>s</w:t>
      </w:r>
      <w:r w:rsidR="00F24E4E" w:rsidRPr="00B74228">
        <w:t xml:space="preserve"> </w:t>
      </w:r>
      <w:r w:rsidR="00551FE8">
        <w:t>a</w:t>
      </w:r>
      <w:r w:rsidR="00F24E4E" w:rsidRPr="00B74228">
        <w:t xml:space="preserve">ppropriate </w:t>
      </w:r>
      <w:r>
        <w:t>is very uncertain</w:t>
      </w:r>
      <w:r w:rsidR="00551FE8">
        <w:t>,</w:t>
      </w:r>
      <w:r w:rsidR="00DF1D05">
        <w:t xml:space="preserve"> and </w:t>
      </w:r>
      <w:r w:rsidR="005075DC">
        <w:t xml:space="preserve">so </w:t>
      </w:r>
      <w:r w:rsidR="00551FE8">
        <w:t>is</w:t>
      </w:r>
      <w:r w:rsidR="00BE5A79">
        <w:t xml:space="preserve"> not </w:t>
      </w:r>
      <w:r w:rsidR="00551FE8">
        <w:t>suitable</w:t>
      </w:r>
      <w:r w:rsidR="00BE5A79">
        <w:t xml:space="preserve"> for</w:t>
      </w:r>
      <w:r w:rsidR="00E7391F">
        <w:t xml:space="preserve"> decision making</w:t>
      </w:r>
    </w:p>
    <w:p w14:paraId="7289139B" w14:textId="51DB6078" w:rsidR="00812CBE" w:rsidRDefault="00263D4C" w:rsidP="001D4543">
      <w:pPr>
        <w:pStyle w:val="Numberedlevel2text"/>
        <w:rPr>
          <w:lang w:val="en-GB"/>
        </w:rPr>
      </w:pPr>
      <w:bookmarkStart w:id="13" w:name="_Ref25179265"/>
      <w:r>
        <w:rPr>
          <w:lang w:val="en-GB"/>
        </w:rPr>
        <w:t xml:space="preserve">After </w:t>
      </w:r>
      <w:r w:rsidR="00E154E3">
        <w:rPr>
          <w:lang w:val="en-GB"/>
        </w:rPr>
        <w:t xml:space="preserve">consultation </w:t>
      </w:r>
      <w:r w:rsidR="00E7391F">
        <w:rPr>
          <w:lang w:val="en-GB"/>
        </w:rPr>
        <w:t xml:space="preserve">on the assessment report, </w:t>
      </w:r>
      <w:r w:rsidR="00E154E3">
        <w:rPr>
          <w:lang w:val="en-GB"/>
        </w:rPr>
        <w:t>t</w:t>
      </w:r>
      <w:r w:rsidR="00812CBE">
        <w:rPr>
          <w:lang w:val="en-GB"/>
        </w:rPr>
        <w:t xml:space="preserve">he </w:t>
      </w:r>
      <w:r w:rsidR="000379E1">
        <w:rPr>
          <w:lang w:val="en-GB"/>
        </w:rPr>
        <w:t>AG</w:t>
      </w:r>
      <w:r w:rsidR="00812CBE">
        <w:rPr>
          <w:lang w:val="en-GB"/>
        </w:rPr>
        <w:t xml:space="preserve"> did </w:t>
      </w:r>
      <w:r w:rsidR="00FA0C08">
        <w:rPr>
          <w:lang w:val="en-GB"/>
        </w:rPr>
        <w:t xml:space="preserve">a </w:t>
      </w:r>
      <w:r w:rsidR="00812CBE">
        <w:rPr>
          <w:lang w:val="en-GB"/>
        </w:rPr>
        <w:t>mixed</w:t>
      </w:r>
      <w:r w:rsidR="00551FE8">
        <w:rPr>
          <w:lang w:val="en-GB"/>
        </w:rPr>
        <w:t xml:space="preserve"> </w:t>
      </w:r>
      <w:r w:rsidR="00812CBE">
        <w:rPr>
          <w:lang w:val="en-GB"/>
        </w:rPr>
        <w:t>treatment comparison</w:t>
      </w:r>
      <w:r w:rsidR="00D45229">
        <w:rPr>
          <w:lang w:val="en-GB"/>
        </w:rPr>
        <w:t xml:space="preserve"> </w:t>
      </w:r>
      <w:r w:rsidR="00234296">
        <w:rPr>
          <w:lang w:val="en-GB"/>
        </w:rPr>
        <w:t>in</w:t>
      </w:r>
      <w:r w:rsidR="00D45229">
        <w:rPr>
          <w:lang w:val="en-GB"/>
        </w:rPr>
        <w:t xml:space="preserve"> people </w:t>
      </w:r>
      <w:r w:rsidR="00234296">
        <w:rPr>
          <w:lang w:val="en-GB"/>
        </w:rPr>
        <w:t>for whom</w:t>
      </w:r>
      <w:r w:rsidR="00D45229">
        <w:rPr>
          <w:lang w:val="en-GB"/>
        </w:rPr>
        <w:t xml:space="preserve"> CTT</w:t>
      </w:r>
      <w:r w:rsidR="00234296">
        <w:rPr>
          <w:lang w:val="en-GB"/>
        </w:rPr>
        <w:t xml:space="preserve"> </w:t>
      </w:r>
      <w:r w:rsidR="005349D8">
        <w:rPr>
          <w:lang w:val="en-GB"/>
        </w:rPr>
        <w:t>wa</w:t>
      </w:r>
      <w:r w:rsidR="00FE3581">
        <w:rPr>
          <w:lang w:val="en-GB"/>
        </w:rPr>
        <w:t>s</w:t>
      </w:r>
      <w:r w:rsidR="00D45229">
        <w:rPr>
          <w:lang w:val="en-GB"/>
        </w:rPr>
        <w:t xml:space="preserve"> appropriate</w:t>
      </w:r>
      <w:r>
        <w:rPr>
          <w:lang w:val="en-GB"/>
        </w:rPr>
        <w:t>. There were</w:t>
      </w:r>
      <w:r w:rsidR="004B0A08">
        <w:rPr>
          <w:lang w:val="en-GB"/>
        </w:rPr>
        <w:t xml:space="preserve"> 6 </w:t>
      </w:r>
      <w:r>
        <w:rPr>
          <w:lang w:val="en-GB"/>
        </w:rPr>
        <w:t>RCTs</w:t>
      </w:r>
      <w:r w:rsidR="00812CBE">
        <w:rPr>
          <w:lang w:val="en-GB"/>
        </w:rPr>
        <w:t xml:space="preserve"> </w:t>
      </w:r>
      <w:r>
        <w:rPr>
          <w:lang w:val="en-GB"/>
        </w:rPr>
        <w:t>that</w:t>
      </w:r>
      <w:r w:rsidR="00812CBE">
        <w:rPr>
          <w:lang w:val="en-GB"/>
        </w:rPr>
        <w:t xml:space="preserve"> could be included in this analysis</w:t>
      </w:r>
      <w:r w:rsidR="00234296">
        <w:rPr>
          <w:lang w:val="en-GB"/>
        </w:rPr>
        <w:t xml:space="preserve">: </w:t>
      </w:r>
      <w:r>
        <w:rPr>
          <w:lang w:val="en-GB"/>
        </w:rPr>
        <w:t>5</w:t>
      </w:r>
      <w:r w:rsidR="00B86846">
        <w:rPr>
          <w:lang w:val="en-GB"/>
        </w:rPr>
        <w:t xml:space="preserve"> compared different CTTs with each other and 1 compared SIR-Spheres with DEB</w:t>
      </w:r>
      <w:r w:rsidR="00670285">
        <w:rPr>
          <w:lang w:val="en-GB"/>
        </w:rPr>
        <w:noBreakHyphen/>
      </w:r>
      <w:r w:rsidR="00B86846">
        <w:rPr>
          <w:lang w:val="en-GB"/>
        </w:rPr>
        <w:t>TACE</w:t>
      </w:r>
      <w:r w:rsidR="00E7391F">
        <w:rPr>
          <w:lang w:val="en-GB"/>
        </w:rPr>
        <w:t xml:space="preserve"> (</w:t>
      </w:r>
      <w:r w:rsidR="00234296">
        <w:rPr>
          <w:lang w:val="en-GB"/>
        </w:rPr>
        <w:t>n=</w:t>
      </w:r>
      <w:r w:rsidR="00E7391F">
        <w:rPr>
          <w:lang w:val="en-GB"/>
        </w:rPr>
        <w:t>24)</w:t>
      </w:r>
      <w:r w:rsidR="00B86846">
        <w:rPr>
          <w:lang w:val="en-GB"/>
        </w:rPr>
        <w:t xml:space="preserve">. The </w:t>
      </w:r>
      <w:r w:rsidR="000379E1">
        <w:rPr>
          <w:lang w:val="en-GB"/>
        </w:rPr>
        <w:t>AG</w:t>
      </w:r>
      <w:r w:rsidR="00B86846">
        <w:rPr>
          <w:lang w:val="en-GB"/>
        </w:rPr>
        <w:t xml:space="preserve"> also included 1</w:t>
      </w:r>
      <w:r>
        <w:rPr>
          <w:lang w:val="en-GB"/>
        </w:rPr>
        <w:t> </w:t>
      </w:r>
      <w:r w:rsidR="00B86846">
        <w:rPr>
          <w:lang w:val="en-GB"/>
        </w:rPr>
        <w:t xml:space="preserve">retrospective study that compared SIR-Spheres </w:t>
      </w:r>
      <w:r w:rsidR="00234296">
        <w:rPr>
          <w:lang w:val="en-GB"/>
        </w:rPr>
        <w:t xml:space="preserve">with </w:t>
      </w:r>
      <w:proofErr w:type="spellStart"/>
      <w:r w:rsidR="00B86846">
        <w:rPr>
          <w:lang w:val="en-GB"/>
        </w:rPr>
        <w:t>TheraSphere</w:t>
      </w:r>
      <w:proofErr w:type="spellEnd"/>
      <w:r w:rsidR="00B86846">
        <w:rPr>
          <w:lang w:val="en-GB"/>
        </w:rPr>
        <w:t xml:space="preserve"> </w:t>
      </w:r>
      <w:r w:rsidR="00234296">
        <w:rPr>
          <w:lang w:val="en-GB"/>
        </w:rPr>
        <w:t>(n=</w:t>
      </w:r>
      <w:r w:rsidR="00385731">
        <w:rPr>
          <w:lang w:val="en-GB"/>
        </w:rPr>
        <w:t>77</w:t>
      </w:r>
      <w:r w:rsidR="00234296">
        <w:rPr>
          <w:lang w:val="en-GB"/>
        </w:rPr>
        <w:t>)</w:t>
      </w:r>
      <w:r>
        <w:rPr>
          <w:lang w:val="en-GB"/>
        </w:rPr>
        <w:t xml:space="preserve">. From this study, </w:t>
      </w:r>
      <w:r w:rsidR="00385731">
        <w:rPr>
          <w:lang w:val="en-GB"/>
        </w:rPr>
        <w:t>only a subgroup of 35</w:t>
      </w:r>
      <w:r>
        <w:rPr>
          <w:lang w:val="en-GB"/>
        </w:rPr>
        <w:t> </w:t>
      </w:r>
      <w:r w:rsidR="00385731">
        <w:rPr>
          <w:lang w:val="en-GB"/>
        </w:rPr>
        <w:t>people with early</w:t>
      </w:r>
      <w:r>
        <w:rPr>
          <w:lang w:val="en-GB"/>
        </w:rPr>
        <w:t xml:space="preserve"> or</w:t>
      </w:r>
      <w:r w:rsidR="00FB4A80">
        <w:rPr>
          <w:lang w:val="en-GB"/>
        </w:rPr>
        <w:t xml:space="preserve"> </w:t>
      </w:r>
      <w:r w:rsidR="00385731">
        <w:rPr>
          <w:lang w:val="en-GB"/>
        </w:rPr>
        <w:t>intermediate HCC could be included in the analysis</w:t>
      </w:r>
      <w:r w:rsidR="00B86846">
        <w:rPr>
          <w:lang w:val="en-GB"/>
        </w:rPr>
        <w:t xml:space="preserve">. </w:t>
      </w:r>
      <w:r w:rsidR="00A847C4">
        <w:rPr>
          <w:lang w:val="en-GB"/>
        </w:rPr>
        <w:t xml:space="preserve">The </w:t>
      </w:r>
      <w:r w:rsidR="00385731">
        <w:rPr>
          <w:lang w:val="en-GB"/>
        </w:rPr>
        <w:t>study had a high risk of bias</w:t>
      </w:r>
      <w:r w:rsidR="00A847C4">
        <w:rPr>
          <w:lang w:val="en-GB"/>
        </w:rPr>
        <w:t xml:space="preserve"> </w:t>
      </w:r>
      <w:r w:rsidR="00EB7CEB">
        <w:rPr>
          <w:lang w:val="en-GB"/>
        </w:rPr>
        <w:t>because</w:t>
      </w:r>
      <w:r w:rsidR="00234296">
        <w:rPr>
          <w:lang w:val="en-GB"/>
        </w:rPr>
        <w:t xml:space="preserve"> </w:t>
      </w:r>
      <w:r w:rsidR="00E7391F">
        <w:rPr>
          <w:lang w:val="en-GB"/>
        </w:rPr>
        <w:t>its 2</w:t>
      </w:r>
      <w:r w:rsidR="00385731">
        <w:rPr>
          <w:lang w:val="en-GB"/>
        </w:rPr>
        <w:t xml:space="preserve"> treatment groups </w:t>
      </w:r>
      <w:r w:rsidR="00385731" w:rsidRPr="00385731">
        <w:rPr>
          <w:lang w:val="en-GB"/>
        </w:rPr>
        <w:t xml:space="preserve">were not similar at baseline </w:t>
      </w:r>
      <w:r w:rsidR="0079470C">
        <w:rPr>
          <w:lang w:val="en-GB"/>
        </w:rPr>
        <w:t>(</w:t>
      </w:r>
      <w:r w:rsidR="00385731">
        <w:rPr>
          <w:lang w:val="en-GB"/>
        </w:rPr>
        <w:t>people</w:t>
      </w:r>
      <w:r w:rsidR="00385731" w:rsidRPr="00385731">
        <w:rPr>
          <w:lang w:val="en-GB"/>
        </w:rPr>
        <w:t xml:space="preserve"> with small tumour volumes were preferentially treated with </w:t>
      </w:r>
      <w:proofErr w:type="spellStart"/>
      <w:r w:rsidR="00385731" w:rsidRPr="00385731">
        <w:rPr>
          <w:lang w:val="en-GB"/>
        </w:rPr>
        <w:t>TheraSphere</w:t>
      </w:r>
      <w:proofErr w:type="spellEnd"/>
      <w:r w:rsidR="0079470C">
        <w:rPr>
          <w:lang w:val="en-GB"/>
        </w:rPr>
        <w:t>)</w:t>
      </w:r>
      <w:r w:rsidR="00385731">
        <w:rPr>
          <w:lang w:val="en-GB"/>
        </w:rPr>
        <w:t xml:space="preserve">. </w:t>
      </w:r>
      <w:r w:rsidR="00C10CF0">
        <w:rPr>
          <w:lang w:val="en-GB"/>
        </w:rPr>
        <w:t xml:space="preserve">The committee agreed that there was little evidence to link SIR-Spheres and </w:t>
      </w:r>
      <w:proofErr w:type="spellStart"/>
      <w:r w:rsidR="00C10CF0">
        <w:rPr>
          <w:lang w:val="en-GB"/>
        </w:rPr>
        <w:t>TheraSphere</w:t>
      </w:r>
      <w:proofErr w:type="spellEnd"/>
      <w:r w:rsidR="00C10CF0">
        <w:rPr>
          <w:lang w:val="en-GB"/>
        </w:rPr>
        <w:t xml:space="preserve"> to the network of treatments. Results from the </w:t>
      </w:r>
      <w:r w:rsidR="00662831">
        <w:rPr>
          <w:lang w:val="en-GB"/>
        </w:rPr>
        <w:t>mixed treatment comparison</w:t>
      </w:r>
      <w:r w:rsidR="00C10CF0">
        <w:rPr>
          <w:lang w:val="en-GB"/>
        </w:rPr>
        <w:t xml:space="preserve"> for overall survival and progression-free survival were uncertain (see </w:t>
      </w:r>
      <w:r w:rsidR="00C10CF0">
        <w:rPr>
          <w:lang w:val="en-GB"/>
        </w:rPr>
        <w:fldChar w:fldCharType="begin"/>
      </w:r>
      <w:r w:rsidR="00C10CF0">
        <w:rPr>
          <w:lang w:val="en-GB"/>
        </w:rPr>
        <w:instrText xml:space="preserve"> REF _Ref25351436 \h </w:instrText>
      </w:r>
      <w:r w:rsidR="00C10CF0">
        <w:rPr>
          <w:lang w:val="en-GB"/>
        </w:rPr>
      </w:r>
      <w:r w:rsidR="00C10CF0">
        <w:rPr>
          <w:lang w:val="en-GB"/>
        </w:rPr>
        <w:fldChar w:fldCharType="separate"/>
      </w:r>
      <w:r w:rsidR="00116B34">
        <w:rPr>
          <w:rFonts w:cs="Arial"/>
          <w:szCs w:val="24"/>
          <w:lang w:val="en-US"/>
        </w:rPr>
        <w:t>t</w:t>
      </w:r>
      <w:r w:rsidR="00C10CF0" w:rsidRPr="002C210A">
        <w:rPr>
          <w:rFonts w:cs="Arial"/>
          <w:szCs w:val="24"/>
        </w:rPr>
        <w:t xml:space="preserve">able </w:t>
      </w:r>
      <w:r w:rsidR="00C10CF0" w:rsidRPr="002C210A">
        <w:rPr>
          <w:rFonts w:cs="Arial"/>
          <w:noProof/>
          <w:szCs w:val="24"/>
        </w:rPr>
        <w:t>1</w:t>
      </w:r>
      <w:r w:rsidR="00C10CF0">
        <w:rPr>
          <w:lang w:val="en-GB"/>
        </w:rPr>
        <w:fldChar w:fldCharType="end"/>
      </w:r>
      <w:r w:rsidR="00C10CF0">
        <w:rPr>
          <w:lang w:val="en-GB"/>
        </w:rPr>
        <w:t xml:space="preserve"> and </w:t>
      </w:r>
      <w:r w:rsidR="00C10CF0">
        <w:rPr>
          <w:lang w:val="en-GB"/>
        </w:rPr>
        <w:fldChar w:fldCharType="begin"/>
      </w:r>
      <w:r w:rsidR="00C10CF0">
        <w:rPr>
          <w:lang w:val="en-GB"/>
        </w:rPr>
        <w:instrText xml:space="preserve"> REF _Ref25609702 \h </w:instrText>
      </w:r>
      <w:r w:rsidR="00C10CF0">
        <w:rPr>
          <w:lang w:val="en-GB"/>
        </w:rPr>
      </w:r>
      <w:r w:rsidR="00C10CF0">
        <w:rPr>
          <w:lang w:val="en-GB"/>
        </w:rPr>
        <w:fldChar w:fldCharType="separate"/>
      </w:r>
      <w:r w:rsidR="00116B34">
        <w:rPr>
          <w:rFonts w:cs="Arial"/>
          <w:szCs w:val="24"/>
          <w:lang w:val="en-US"/>
        </w:rPr>
        <w:t>t</w:t>
      </w:r>
      <w:r w:rsidR="00C10CF0" w:rsidRPr="00BF7E4D">
        <w:rPr>
          <w:rFonts w:cs="Arial"/>
          <w:szCs w:val="24"/>
        </w:rPr>
        <w:t xml:space="preserve">able </w:t>
      </w:r>
      <w:r w:rsidR="00C10CF0" w:rsidRPr="00BF7E4D">
        <w:rPr>
          <w:rFonts w:cs="Arial"/>
          <w:noProof/>
          <w:szCs w:val="24"/>
        </w:rPr>
        <w:t>2</w:t>
      </w:r>
      <w:r w:rsidR="00C10CF0">
        <w:rPr>
          <w:lang w:val="en-GB"/>
        </w:rPr>
        <w:fldChar w:fldCharType="end"/>
      </w:r>
      <w:r w:rsidR="00C10CF0">
        <w:rPr>
          <w:lang w:val="en-GB"/>
        </w:rPr>
        <w:t>).</w:t>
      </w:r>
      <w:r w:rsidR="00385731">
        <w:rPr>
          <w:lang w:val="en-GB"/>
        </w:rPr>
        <w:t xml:space="preserve"> </w:t>
      </w:r>
      <w:r w:rsidR="00C10CF0">
        <w:rPr>
          <w:lang w:val="en-GB"/>
        </w:rPr>
        <w:t>The committee</w:t>
      </w:r>
      <w:r w:rsidR="001D4543">
        <w:t xml:space="preserve"> concluded that the </w:t>
      </w:r>
      <w:r w:rsidR="001D4543">
        <w:rPr>
          <w:lang w:val="en-GB"/>
        </w:rPr>
        <w:t>results fro</w:t>
      </w:r>
      <w:r w:rsidR="001D4543" w:rsidRPr="001D4543">
        <w:rPr>
          <w:lang w:val="en-GB"/>
        </w:rPr>
        <w:t xml:space="preserve">m the </w:t>
      </w:r>
      <w:r w:rsidR="001D4543" w:rsidRPr="00AA4A78">
        <w:t>mixed</w:t>
      </w:r>
      <w:r w:rsidR="00234296">
        <w:rPr>
          <w:lang w:val="en-GB"/>
        </w:rPr>
        <w:t xml:space="preserve"> </w:t>
      </w:r>
      <w:r w:rsidR="001D4543" w:rsidRPr="00AA4A78">
        <w:t xml:space="preserve">treatment comparison in this population </w:t>
      </w:r>
      <w:r w:rsidR="001D4543">
        <w:t xml:space="preserve">were uncertain, and that there was </w:t>
      </w:r>
      <w:r w:rsidR="001D4543" w:rsidRPr="001D4543">
        <w:rPr>
          <w:lang w:val="en-GB"/>
        </w:rPr>
        <w:t>not enough</w:t>
      </w:r>
      <w:r w:rsidR="001D4543">
        <w:t xml:space="preserve"> evidence </w:t>
      </w:r>
      <w:r w:rsidR="00234296">
        <w:rPr>
          <w:lang w:val="en-GB"/>
        </w:rPr>
        <w:t>to compare</w:t>
      </w:r>
      <w:r w:rsidR="001D4543">
        <w:t xml:space="preserve"> </w:t>
      </w:r>
      <w:r w:rsidR="001D4543" w:rsidRPr="001D4543">
        <w:rPr>
          <w:lang w:val="en-GB"/>
        </w:rPr>
        <w:t>SIR</w:t>
      </w:r>
      <w:r w:rsidR="001D4543" w:rsidRPr="001D4543">
        <w:rPr>
          <w:lang w:val="en-GB"/>
        </w:rPr>
        <w:noBreakHyphen/>
        <w:t xml:space="preserve">Spheres </w:t>
      </w:r>
      <w:r w:rsidR="00234296">
        <w:rPr>
          <w:lang w:val="en-GB"/>
        </w:rPr>
        <w:t>with</w:t>
      </w:r>
      <w:r w:rsidR="001D4543" w:rsidRPr="001D4543">
        <w:rPr>
          <w:lang w:val="en-GB"/>
        </w:rPr>
        <w:t xml:space="preserve"> </w:t>
      </w:r>
      <w:proofErr w:type="spellStart"/>
      <w:r w:rsidR="001D4543" w:rsidRPr="001D4543">
        <w:rPr>
          <w:lang w:val="en-GB"/>
        </w:rPr>
        <w:t>TheraSphere</w:t>
      </w:r>
      <w:proofErr w:type="spellEnd"/>
      <w:r w:rsidR="00234296">
        <w:rPr>
          <w:lang w:val="en-GB"/>
        </w:rPr>
        <w:t>,</w:t>
      </w:r>
      <w:r w:rsidR="001D4543">
        <w:t xml:space="preserve"> </w:t>
      </w:r>
      <w:r w:rsidR="001D4543" w:rsidRPr="001D4543">
        <w:rPr>
          <w:lang w:val="en-GB"/>
        </w:rPr>
        <w:t xml:space="preserve">and </w:t>
      </w:r>
      <w:r w:rsidR="00234296">
        <w:rPr>
          <w:lang w:val="en-GB"/>
        </w:rPr>
        <w:t>the SIRTs with</w:t>
      </w:r>
      <w:r w:rsidR="001D4543">
        <w:t xml:space="preserve"> </w:t>
      </w:r>
      <w:r w:rsidR="001D4543" w:rsidRPr="001D4543">
        <w:rPr>
          <w:lang w:val="en-GB"/>
        </w:rPr>
        <w:t>TACE, DEB</w:t>
      </w:r>
      <w:r w:rsidR="00BE5A79">
        <w:rPr>
          <w:lang w:val="en-GB"/>
        </w:rPr>
        <w:noBreakHyphen/>
      </w:r>
      <w:r w:rsidR="001D4543" w:rsidRPr="001D4543">
        <w:rPr>
          <w:lang w:val="en-GB"/>
        </w:rPr>
        <w:t>TACE and TAE</w:t>
      </w:r>
      <w:r w:rsidR="00234296">
        <w:rPr>
          <w:lang w:val="en-GB"/>
        </w:rPr>
        <w:t>,</w:t>
      </w:r>
      <w:r w:rsidR="001D4543">
        <w:t xml:space="preserve"> in this population</w:t>
      </w:r>
      <w:r w:rsidR="002746B8" w:rsidRPr="001D4543">
        <w:rPr>
          <w:lang w:val="en-GB"/>
        </w:rPr>
        <w:t>.</w:t>
      </w:r>
      <w:r w:rsidR="00385731" w:rsidRPr="001D4543">
        <w:rPr>
          <w:lang w:val="en-GB"/>
        </w:rPr>
        <w:t xml:space="preserve"> </w:t>
      </w:r>
      <w:bookmarkEnd w:id="13"/>
    </w:p>
    <w:p w14:paraId="7C2F1047" w14:textId="42DBA699" w:rsidR="002C210A" w:rsidRPr="007B750E" w:rsidRDefault="002C210A" w:rsidP="005C3560">
      <w:pPr>
        <w:pStyle w:val="Heading4"/>
      </w:pPr>
      <w:bookmarkStart w:id="14" w:name="_Ref25351436"/>
      <w:r w:rsidRPr="007B750E">
        <w:t xml:space="preserve">Table </w:t>
      </w:r>
      <w:fldSimple w:instr=" SEQ Table \* ARABIC ">
        <w:r w:rsidRPr="007B750E">
          <w:rPr>
            <w:noProof/>
          </w:rPr>
          <w:t>1</w:t>
        </w:r>
      </w:fldSimple>
      <w:bookmarkEnd w:id="14"/>
      <w:r w:rsidRPr="007B750E">
        <w:t xml:space="preserve"> </w:t>
      </w:r>
      <w:r w:rsidR="000D5055">
        <w:t xml:space="preserve">Mixed treatment comparison </w:t>
      </w:r>
      <w:r w:rsidRPr="007B750E">
        <w:t>for overall survival</w:t>
      </w:r>
      <w:r w:rsidR="00112BF8">
        <w:t>,</w:t>
      </w:r>
      <w:r w:rsidRPr="007B750E">
        <w:t xml:space="preserve"> </w:t>
      </w:r>
      <w:r w:rsidR="005F2005">
        <w:t>(</w:t>
      </w:r>
      <w:r w:rsidRPr="007B750E">
        <w:t>H</w:t>
      </w:r>
      <w:r w:rsidR="00385E19">
        <w:t>Rs</w:t>
      </w:r>
      <w:r w:rsidRPr="007B750E">
        <w:t xml:space="preserve"> of less than 1 indicate better overall survival</w:t>
      </w:r>
      <w:r w:rsidR="005F2005">
        <w:t>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699"/>
        <w:gridCol w:w="1560"/>
        <w:gridCol w:w="1559"/>
      </w:tblGrid>
      <w:tr w:rsidR="00630893" w14:paraId="46CC6868" w14:textId="77777777" w:rsidTr="005C3560">
        <w:tc>
          <w:tcPr>
            <w:tcW w:w="1511" w:type="dxa"/>
          </w:tcPr>
          <w:p w14:paraId="44D3D3C0" w14:textId="4A0D959F" w:rsidR="00630893" w:rsidRPr="00630893" w:rsidRDefault="00630893" w:rsidP="00AC0E93">
            <w:pPr>
              <w:pStyle w:val="Numberedlevel2text"/>
              <w:numPr>
                <w:ilvl w:val="0"/>
                <w:numId w:val="0"/>
              </w:numPr>
              <w:spacing w:after="0" w:line="240" w:lineRule="auto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0D6F4DDC" w14:textId="4948E3AA" w:rsidR="00630893" w:rsidRPr="005C3560" w:rsidRDefault="00630893" w:rsidP="005C3560">
            <w:pPr>
              <w:pStyle w:val="Tabletext"/>
              <w:rPr>
                <w:b/>
              </w:rPr>
            </w:pPr>
            <w:r w:rsidRPr="005C3560">
              <w:rPr>
                <w:b/>
                <w:bCs/>
              </w:rPr>
              <w:t>TACE</w:t>
            </w:r>
            <w:r w:rsidR="00AC0E93">
              <w:rPr>
                <w:b/>
                <w:bCs/>
              </w:rPr>
              <w:t xml:space="preserve"> comparator</w:t>
            </w:r>
          </w:p>
        </w:tc>
        <w:tc>
          <w:tcPr>
            <w:tcW w:w="1511" w:type="dxa"/>
          </w:tcPr>
          <w:p w14:paraId="020AB3FD" w14:textId="04AD27B0" w:rsidR="00630893" w:rsidRPr="005C3560" w:rsidRDefault="00630893" w:rsidP="005C3560">
            <w:pPr>
              <w:pStyle w:val="Tabletext"/>
              <w:rPr>
                <w:b/>
              </w:rPr>
            </w:pPr>
            <w:r w:rsidRPr="005C3560">
              <w:rPr>
                <w:b/>
                <w:bCs/>
              </w:rPr>
              <w:t>SIR-Spheres</w:t>
            </w:r>
            <w:r w:rsidR="00AC0E93">
              <w:rPr>
                <w:b/>
                <w:bCs/>
              </w:rPr>
              <w:t xml:space="preserve"> comparator</w:t>
            </w:r>
          </w:p>
        </w:tc>
        <w:tc>
          <w:tcPr>
            <w:tcW w:w="1699" w:type="dxa"/>
          </w:tcPr>
          <w:p w14:paraId="6FA793D3" w14:textId="3C8F3686" w:rsidR="00630893" w:rsidRPr="005C3560" w:rsidRDefault="00630893" w:rsidP="005C3560">
            <w:pPr>
              <w:pStyle w:val="Tabletext"/>
              <w:rPr>
                <w:b/>
              </w:rPr>
            </w:pPr>
            <w:proofErr w:type="spellStart"/>
            <w:r w:rsidRPr="005C3560">
              <w:rPr>
                <w:b/>
                <w:bCs/>
              </w:rPr>
              <w:t>TheraSphere</w:t>
            </w:r>
            <w:proofErr w:type="spellEnd"/>
            <w:r w:rsidR="00AC0E93">
              <w:rPr>
                <w:b/>
                <w:bCs/>
              </w:rPr>
              <w:t xml:space="preserve"> comparator</w:t>
            </w:r>
          </w:p>
        </w:tc>
        <w:tc>
          <w:tcPr>
            <w:tcW w:w="1560" w:type="dxa"/>
          </w:tcPr>
          <w:p w14:paraId="0ADEF839" w14:textId="40E0E9D7" w:rsidR="00630893" w:rsidRPr="005C3560" w:rsidRDefault="00630893" w:rsidP="005C3560">
            <w:pPr>
              <w:pStyle w:val="Tabletext"/>
              <w:rPr>
                <w:b/>
              </w:rPr>
            </w:pPr>
            <w:r w:rsidRPr="005C3560">
              <w:rPr>
                <w:b/>
                <w:bCs/>
              </w:rPr>
              <w:t>DEB-TACE</w:t>
            </w:r>
            <w:r w:rsidR="00AC0E93">
              <w:rPr>
                <w:b/>
                <w:bCs/>
              </w:rPr>
              <w:t xml:space="preserve"> comparator</w:t>
            </w:r>
          </w:p>
        </w:tc>
        <w:tc>
          <w:tcPr>
            <w:tcW w:w="1559" w:type="dxa"/>
          </w:tcPr>
          <w:p w14:paraId="26E562C6" w14:textId="56AB2FA7" w:rsidR="00630893" w:rsidRPr="005C3560" w:rsidRDefault="00630893" w:rsidP="005C3560">
            <w:pPr>
              <w:pStyle w:val="Tabletext"/>
              <w:rPr>
                <w:b/>
              </w:rPr>
            </w:pPr>
            <w:r w:rsidRPr="005C3560">
              <w:rPr>
                <w:b/>
                <w:bCs/>
              </w:rPr>
              <w:t>TAE</w:t>
            </w:r>
            <w:r w:rsidR="00AC0E93">
              <w:rPr>
                <w:b/>
                <w:bCs/>
              </w:rPr>
              <w:t xml:space="preserve"> comparator</w:t>
            </w:r>
          </w:p>
        </w:tc>
      </w:tr>
      <w:tr w:rsidR="00630893" w14:paraId="001CAA26" w14:textId="77777777" w:rsidTr="005C3560">
        <w:tc>
          <w:tcPr>
            <w:tcW w:w="1511" w:type="dxa"/>
          </w:tcPr>
          <w:p w14:paraId="2ACE4496" w14:textId="1E41D61B" w:rsidR="00630893" w:rsidRPr="00333F74" w:rsidRDefault="00630893" w:rsidP="005C3560">
            <w:pPr>
              <w:pStyle w:val="Tabletext"/>
              <w:rPr>
                <w:b/>
                <w:bCs/>
              </w:rPr>
            </w:pPr>
            <w:r w:rsidRPr="005C3560">
              <w:rPr>
                <w:b/>
                <w:bCs/>
              </w:rPr>
              <w:lastRenderedPageBreak/>
              <w:t>TACE</w:t>
            </w:r>
            <w:r w:rsidR="00AC0E93">
              <w:rPr>
                <w:b/>
                <w:bCs/>
              </w:rPr>
              <w:t xml:space="preserve"> treatment</w:t>
            </w:r>
            <w:r w:rsidR="00333F74">
              <w:rPr>
                <w:b/>
                <w:bCs/>
              </w:rPr>
              <w:t xml:space="preserve"> mean </w:t>
            </w:r>
            <w:r w:rsidR="00CD6C6F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4629EA0F" w14:textId="5F9CC3D5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1" w:type="dxa"/>
          </w:tcPr>
          <w:p w14:paraId="51052ACC" w14:textId="24C6FB2C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699" w:type="dxa"/>
          </w:tcPr>
          <w:p w14:paraId="4E47BCC9" w14:textId="6EBEC00E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60" w:type="dxa"/>
          </w:tcPr>
          <w:p w14:paraId="31223B58" w14:textId="56B33797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59" w:type="dxa"/>
          </w:tcPr>
          <w:p w14:paraId="094B6E06" w14:textId="1B084318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630893" w14:paraId="43FF51C3" w14:textId="77777777" w:rsidTr="005C3560">
        <w:trPr>
          <w:trHeight w:val="369"/>
        </w:trPr>
        <w:tc>
          <w:tcPr>
            <w:tcW w:w="1511" w:type="dxa"/>
          </w:tcPr>
          <w:p w14:paraId="66B83271" w14:textId="13789004" w:rsidR="00630893" w:rsidRPr="00333F74" w:rsidRDefault="00630893" w:rsidP="005C3560">
            <w:pPr>
              <w:pStyle w:val="Tabletext"/>
              <w:rPr>
                <w:b/>
                <w:bCs/>
              </w:rPr>
            </w:pPr>
            <w:r w:rsidRPr="005C3560">
              <w:rPr>
                <w:b/>
                <w:bCs/>
              </w:rPr>
              <w:t>SIR-Spheres</w:t>
            </w:r>
            <w:r w:rsidR="00AC0E93">
              <w:rPr>
                <w:b/>
                <w:bCs/>
              </w:rPr>
              <w:t xml:space="preserve"> treatment</w:t>
            </w:r>
            <w:r w:rsidR="00333F74">
              <w:rPr>
                <w:b/>
                <w:bCs/>
              </w:rPr>
              <w:t xml:space="preserve"> </w:t>
            </w:r>
            <w:proofErr w:type="gramStart"/>
            <w:r w:rsidR="00333F74">
              <w:rPr>
                <w:b/>
                <w:bCs/>
              </w:rPr>
              <w:t>mean</w:t>
            </w:r>
            <w:proofErr w:type="gramEnd"/>
            <w:r w:rsidR="00333F74">
              <w:rPr>
                <w:b/>
                <w:bCs/>
              </w:rPr>
              <w:t xml:space="preserve"> </w:t>
            </w:r>
            <w:r w:rsidR="00CD6C6F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4374138F" w14:textId="727E9A8E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1.06 (0.21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3.31)</w:t>
            </w:r>
          </w:p>
        </w:tc>
        <w:tc>
          <w:tcPr>
            <w:tcW w:w="1511" w:type="dxa"/>
          </w:tcPr>
          <w:p w14:paraId="571F3C80" w14:textId="773D8779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699" w:type="dxa"/>
          </w:tcPr>
          <w:p w14:paraId="6460D563" w14:textId="025BDC70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60" w:type="dxa"/>
          </w:tcPr>
          <w:p w14:paraId="71E71D77" w14:textId="0AC7BBC7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59" w:type="dxa"/>
          </w:tcPr>
          <w:p w14:paraId="4A624AA7" w14:textId="2B7B8661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630893" w14:paraId="606F6637" w14:textId="77777777" w:rsidTr="005C3560">
        <w:tc>
          <w:tcPr>
            <w:tcW w:w="1511" w:type="dxa"/>
          </w:tcPr>
          <w:p w14:paraId="34F08021" w14:textId="11909DBE" w:rsidR="00630893" w:rsidRPr="00333F74" w:rsidRDefault="00630893" w:rsidP="005C3560">
            <w:pPr>
              <w:pStyle w:val="Tabletext"/>
              <w:rPr>
                <w:b/>
                <w:bCs/>
              </w:rPr>
            </w:pPr>
            <w:r w:rsidRPr="005C3560">
              <w:rPr>
                <w:b/>
                <w:bCs/>
              </w:rPr>
              <w:t>Thera</w:t>
            </w:r>
            <w:r w:rsidR="00234296" w:rsidRPr="005C3560">
              <w:rPr>
                <w:b/>
                <w:bCs/>
              </w:rPr>
              <w:t>-</w:t>
            </w:r>
            <w:r w:rsidRPr="005C3560">
              <w:rPr>
                <w:b/>
                <w:bCs/>
              </w:rPr>
              <w:t>Sphere</w:t>
            </w:r>
            <w:r w:rsidR="00AC0E93">
              <w:rPr>
                <w:b/>
                <w:bCs/>
              </w:rPr>
              <w:t xml:space="preserve"> treatment</w:t>
            </w:r>
            <w:r w:rsidR="00333F74">
              <w:rPr>
                <w:b/>
                <w:bCs/>
              </w:rPr>
              <w:t xml:space="preserve"> mean </w:t>
            </w:r>
            <w:r w:rsidR="00CD6C6F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0970471C" w14:textId="0E5621CE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1.02 (0.13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3.77)</w:t>
            </w:r>
          </w:p>
        </w:tc>
        <w:tc>
          <w:tcPr>
            <w:tcW w:w="1511" w:type="dxa"/>
          </w:tcPr>
          <w:p w14:paraId="3364BDD6" w14:textId="6D2B5E6F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0.96 (0.34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2.18)</w:t>
            </w:r>
          </w:p>
        </w:tc>
        <w:tc>
          <w:tcPr>
            <w:tcW w:w="1699" w:type="dxa"/>
          </w:tcPr>
          <w:p w14:paraId="3AD38B37" w14:textId="2722A0A2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60" w:type="dxa"/>
          </w:tcPr>
          <w:p w14:paraId="609099F7" w14:textId="6DD0F081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59" w:type="dxa"/>
          </w:tcPr>
          <w:p w14:paraId="266F8288" w14:textId="7ED2E95F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630893" w14:paraId="731B8D81" w14:textId="77777777" w:rsidTr="005C3560">
        <w:tc>
          <w:tcPr>
            <w:tcW w:w="1511" w:type="dxa"/>
          </w:tcPr>
          <w:p w14:paraId="2CB143A4" w14:textId="2B505844" w:rsidR="00630893" w:rsidRPr="00333F74" w:rsidRDefault="00630893" w:rsidP="005C3560">
            <w:pPr>
              <w:pStyle w:val="Tabletext"/>
              <w:rPr>
                <w:b/>
                <w:bCs/>
              </w:rPr>
            </w:pPr>
            <w:r w:rsidRPr="005C3560">
              <w:rPr>
                <w:b/>
                <w:bCs/>
              </w:rPr>
              <w:t>DEB-TACE</w:t>
            </w:r>
            <w:r w:rsidR="00AC0E93">
              <w:rPr>
                <w:b/>
                <w:bCs/>
              </w:rPr>
              <w:t xml:space="preserve"> treatmen</w:t>
            </w:r>
            <w:r w:rsidR="00333F74">
              <w:rPr>
                <w:b/>
                <w:bCs/>
              </w:rPr>
              <w:t xml:space="preserve">t </w:t>
            </w:r>
            <w:r w:rsidR="00333F74">
              <w:rPr>
                <w:b/>
                <w:bCs/>
              </w:rPr>
              <w:t>mean</w:t>
            </w:r>
            <w:r w:rsidR="00333F74">
              <w:rPr>
                <w:b/>
                <w:bCs/>
              </w:rPr>
              <w:t xml:space="preserve"> </w:t>
            </w:r>
            <w:r w:rsidR="00CD6C6F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277CC77E" w14:textId="621902D9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0.88 (0.29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2.09)</w:t>
            </w:r>
          </w:p>
        </w:tc>
        <w:tc>
          <w:tcPr>
            <w:tcW w:w="1511" w:type="dxa"/>
          </w:tcPr>
          <w:p w14:paraId="78FDE93D" w14:textId="2DF2AFCA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0.95 (0.35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2.56)</w:t>
            </w:r>
          </w:p>
        </w:tc>
        <w:tc>
          <w:tcPr>
            <w:tcW w:w="1699" w:type="dxa"/>
          </w:tcPr>
          <w:p w14:paraId="3FE9B967" w14:textId="6494E407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1.41 (0.28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4.34)</w:t>
            </w:r>
          </w:p>
        </w:tc>
        <w:tc>
          <w:tcPr>
            <w:tcW w:w="1560" w:type="dxa"/>
          </w:tcPr>
          <w:p w14:paraId="047A8228" w14:textId="61E1B562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59" w:type="dxa"/>
          </w:tcPr>
          <w:p w14:paraId="6ADFF4EC" w14:textId="5FAC6412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630893" w14:paraId="0114F383" w14:textId="77777777" w:rsidTr="005C3560">
        <w:tc>
          <w:tcPr>
            <w:tcW w:w="1511" w:type="dxa"/>
          </w:tcPr>
          <w:p w14:paraId="03108FA5" w14:textId="347DA61E" w:rsidR="00630893" w:rsidRPr="00333F74" w:rsidRDefault="00630893" w:rsidP="005C3560">
            <w:pPr>
              <w:pStyle w:val="Tabletext"/>
              <w:rPr>
                <w:b/>
                <w:bCs/>
              </w:rPr>
            </w:pPr>
            <w:r w:rsidRPr="005C3560">
              <w:rPr>
                <w:b/>
                <w:bCs/>
              </w:rPr>
              <w:t>TAE</w:t>
            </w:r>
            <w:r w:rsidR="00AC0E93">
              <w:rPr>
                <w:b/>
                <w:bCs/>
              </w:rPr>
              <w:t xml:space="preserve"> treatment</w:t>
            </w:r>
            <w:r w:rsidR="00CD6C6F">
              <w:rPr>
                <w:b/>
                <w:bCs/>
              </w:rPr>
              <w:t xml:space="preserve"> </w:t>
            </w:r>
            <w:proofErr w:type="gramStart"/>
            <w:r w:rsidR="00333F74">
              <w:rPr>
                <w:b/>
                <w:bCs/>
              </w:rPr>
              <w:t>mean</w:t>
            </w:r>
            <w:proofErr w:type="gramEnd"/>
            <w:r w:rsidR="00333F74">
              <w:rPr>
                <w:b/>
                <w:bCs/>
              </w:rPr>
              <w:t xml:space="preserve"> </w:t>
            </w:r>
            <w:r w:rsidR="00CD6C6F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2D635122" w14:textId="36F149B1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0.98 (0.61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1.57)</w:t>
            </w:r>
          </w:p>
        </w:tc>
        <w:tc>
          <w:tcPr>
            <w:tcW w:w="1511" w:type="dxa"/>
          </w:tcPr>
          <w:p w14:paraId="562C54ED" w14:textId="2F2DA721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1.60 (0.27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5.25)</w:t>
            </w:r>
          </w:p>
        </w:tc>
        <w:tc>
          <w:tcPr>
            <w:tcW w:w="1699" w:type="dxa"/>
          </w:tcPr>
          <w:p w14:paraId="7DC2F531" w14:textId="344D9DAD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2.08 (0.24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8.01)</w:t>
            </w:r>
          </w:p>
        </w:tc>
        <w:tc>
          <w:tcPr>
            <w:tcW w:w="1560" w:type="dxa"/>
          </w:tcPr>
          <w:p w14:paraId="3B4544A0" w14:textId="62C64C94" w:rsidR="00630893" w:rsidRPr="00630893" w:rsidRDefault="00630893" w:rsidP="005C3560">
            <w:pPr>
              <w:pStyle w:val="Tabletext"/>
            </w:pPr>
            <w:r w:rsidRPr="00630893">
              <w:rPr>
                <w:color w:val="000000" w:themeColor="text1"/>
                <w:kern w:val="24"/>
              </w:rPr>
              <w:t>1.48 (0.42</w:t>
            </w:r>
            <w:r w:rsidR="00D60B83">
              <w:rPr>
                <w:color w:val="000000" w:themeColor="text1"/>
                <w:kern w:val="24"/>
              </w:rPr>
              <w:t xml:space="preserve"> to </w:t>
            </w:r>
            <w:r w:rsidRPr="00630893">
              <w:rPr>
                <w:color w:val="000000" w:themeColor="text1"/>
                <w:kern w:val="24"/>
              </w:rPr>
              <w:t>3.77)</w:t>
            </w:r>
          </w:p>
        </w:tc>
        <w:tc>
          <w:tcPr>
            <w:tcW w:w="1559" w:type="dxa"/>
          </w:tcPr>
          <w:p w14:paraId="6B667049" w14:textId="50FF35EE" w:rsidR="00630893" w:rsidRPr="00630893" w:rsidRDefault="00054EAF" w:rsidP="005C3560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</w:tbl>
    <w:p w14:paraId="0D6E48B5" w14:textId="77777777" w:rsidR="002F1B9D" w:rsidRDefault="002F1B9D">
      <w:pPr>
        <w:rPr>
          <w:rFonts w:ascii="Arial" w:hAnsi="Arial"/>
          <w:b/>
          <w:bCs/>
          <w:i/>
          <w:szCs w:val="28"/>
        </w:rPr>
      </w:pPr>
      <w:r>
        <w:br w:type="page"/>
      </w:r>
    </w:p>
    <w:p w14:paraId="07D39B60" w14:textId="3374CFD3" w:rsidR="002C210A" w:rsidRPr="00EC1F0C" w:rsidRDefault="002C210A" w:rsidP="00333F74">
      <w:pPr>
        <w:pStyle w:val="Heading4"/>
      </w:pPr>
      <w:bookmarkStart w:id="15" w:name="_Ref25609702"/>
      <w:r w:rsidRPr="00EC1F0C">
        <w:lastRenderedPageBreak/>
        <w:t xml:space="preserve">Table </w:t>
      </w:r>
      <w:r w:rsidR="00564338">
        <w:fldChar w:fldCharType="begin"/>
      </w:r>
      <w:r w:rsidR="00564338">
        <w:instrText xml:space="preserve"> SEQ Table \* ARABIC </w:instrText>
      </w:r>
      <w:r w:rsidR="00564338">
        <w:fldChar w:fldCharType="separate"/>
      </w:r>
      <w:r w:rsidRPr="00EC1F0C">
        <w:rPr>
          <w:noProof/>
        </w:rPr>
        <w:t>2</w:t>
      </w:r>
      <w:r w:rsidR="00564338">
        <w:rPr>
          <w:noProof/>
        </w:rPr>
        <w:fldChar w:fldCharType="end"/>
      </w:r>
      <w:bookmarkEnd w:id="15"/>
      <w:r w:rsidRPr="00EC1F0C">
        <w:t xml:space="preserve"> </w:t>
      </w:r>
      <w:r w:rsidR="00B4205F">
        <w:t xml:space="preserve">Mixed treatment comparison </w:t>
      </w:r>
      <w:r w:rsidRPr="00EC1F0C">
        <w:t>for progression-free survival</w:t>
      </w:r>
      <w:r w:rsidR="00B4205F">
        <w:t>,</w:t>
      </w:r>
      <w:r w:rsidRPr="00EC1F0C">
        <w:t xml:space="preserve"> </w:t>
      </w:r>
      <w:r w:rsidR="008C1E32">
        <w:t>(</w:t>
      </w:r>
      <w:r w:rsidRPr="00EC1F0C">
        <w:t>H</w:t>
      </w:r>
      <w:r w:rsidR="00B4205F">
        <w:t>Rs</w:t>
      </w:r>
      <w:r w:rsidRPr="00EC1F0C">
        <w:t xml:space="preserve"> of less than 1 indicate better progression-free survival</w:t>
      </w:r>
      <w:r w:rsidR="008C1E32"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2C210A" w14:paraId="40D2D219" w14:textId="77777777" w:rsidTr="007C4C60">
        <w:tc>
          <w:tcPr>
            <w:tcW w:w="1511" w:type="dxa"/>
            <w:vAlign w:val="center"/>
          </w:tcPr>
          <w:p w14:paraId="0422B41C" w14:textId="77777777" w:rsidR="002C210A" w:rsidRPr="00333F74" w:rsidRDefault="002C210A" w:rsidP="00333F74">
            <w:pPr>
              <w:pStyle w:val="Tabletext"/>
              <w:rPr>
                <w:b/>
              </w:rPr>
            </w:pPr>
          </w:p>
        </w:tc>
        <w:tc>
          <w:tcPr>
            <w:tcW w:w="1511" w:type="dxa"/>
            <w:vAlign w:val="center"/>
          </w:tcPr>
          <w:p w14:paraId="42643AF6" w14:textId="0D0724F5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TACE</w:t>
            </w:r>
            <w:r w:rsidR="00E51130">
              <w:rPr>
                <w:b/>
                <w:bCs/>
              </w:rPr>
              <w:t xml:space="preserve"> comparator</w:t>
            </w:r>
            <w:r w:rsidR="00A8464B">
              <w:rPr>
                <w:b/>
                <w:bCs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1A36D054" w14:textId="5CE8CF0A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SIR-Spheres</w:t>
            </w:r>
            <w:r w:rsidR="00E51130">
              <w:rPr>
                <w:b/>
                <w:bCs/>
              </w:rPr>
              <w:t xml:space="preserve"> comparator</w:t>
            </w:r>
          </w:p>
        </w:tc>
        <w:tc>
          <w:tcPr>
            <w:tcW w:w="1511" w:type="dxa"/>
            <w:vAlign w:val="center"/>
          </w:tcPr>
          <w:p w14:paraId="43E2DBA4" w14:textId="413CB1E8" w:rsidR="002C210A" w:rsidRPr="00333F74" w:rsidRDefault="002C210A" w:rsidP="00333F74">
            <w:pPr>
              <w:pStyle w:val="Tabletext"/>
              <w:rPr>
                <w:b/>
              </w:rPr>
            </w:pPr>
            <w:proofErr w:type="spellStart"/>
            <w:r w:rsidRPr="00333F74">
              <w:rPr>
                <w:b/>
                <w:bCs/>
              </w:rPr>
              <w:t>TheraSphere</w:t>
            </w:r>
            <w:proofErr w:type="spellEnd"/>
            <w:r w:rsidR="00E51130">
              <w:rPr>
                <w:b/>
                <w:bCs/>
              </w:rPr>
              <w:t xml:space="preserve"> comparator</w:t>
            </w:r>
          </w:p>
        </w:tc>
        <w:tc>
          <w:tcPr>
            <w:tcW w:w="1511" w:type="dxa"/>
            <w:vAlign w:val="center"/>
          </w:tcPr>
          <w:p w14:paraId="7110F419" w14:textId="7BD3579C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DEB-TACE</w:t>
            </w:r>
            <w:r w:rsidR="00E51130">
              <w:rPr>
                <w:b/>
                <w:bCs/>
              </w:rPr>
              <w:t xml:space="preserve"> comparator</w:t>
            </w:r>
          </w:p>
        </w:tc>
        <w:tc>
          <w:tcPr>
            <w:tcW w:w="1512" w:type="dxa"/>
            <w:vAlign w:val="center"/>
          </w:tcPr>
          <w:p w14:paraId="327154E6" w14:textId="1DC51C86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TAE</w:t>
            </w:r>
            <w:r w:rsidR="00E51130">
              <w:rPr>
                <w:b/>
                <w:bCs/>
              </w:rPr>
              <w:t xml:space="preserve"> comparator</w:t>
            </w:r>
          </w:p>
        </w:tc>
      </w:tr>
      <w:tr w:rsidR="002C210A" w14:paraId="3A84F872" w14:textId="77777777" w:rsidTr="007C4C60">
        <w:tc>
          <w:tcPr>
            <w:tcW w:w="1511" w:type="dxa"/>
            <w:vAlign w:val="center"/>
          </w:tcPr>
          <w:p w14:paraId="72D2DB0D" w14:textId="0A5FB029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TACE</w:t>
            </w:r>
            <w:r w:rsidR="00E51130">
              <w:rPr>
                <w:b/>
                <w:bCs/>
              </w:rPr>
              <w:t xml:space="preserve"> treatment</w:t>
            </w:r>
            <w:r w:rsidR="00A8464B">
              <w:rPr>
                <w:b/>
                <w:bCs/>
              </w:rPr>
              <w:t xml:space="preserve"> </w:t>
            </w:r>
            <w:r w:rsidR="00333F74">
              <w:rPr>
                <w:b/>
                <w:bCs/>
              </w:rPr>
              <w:t>mean</w:t>
            </w:r>
            <w:r w:rsidR="00333F74">
              <w:rPr>
                <w:b/>
                <w:bCs/>
              </w:rPr>
              <w:t xml:space="preserve"> </w:t>
            </w:r>
            <w:r w:rsidR="00A8464B">
              <w:rPr>
                <w:b/>
                <w:bCs/>
              </w:rPr>
              <w:t>HR (95% CI)</w:t>
            </w:r>
          </w:p>
        </w:tc>
        <w:tc>
          <w:tcPr>
            <w:tcW w:w="1511" w:type="dxa"/>
            <w:vAlign w:val="center"/>
          </w:tcPr>
          <w:p w14:paraId="1E2A76FD" w14:textId="3F6FDDDF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1" w:type="dxa"/>
            <w:vAlign w:val="center"/>
          </w:tcPr>
          <w:p w14:paraId="5E2385B9" w14:textId="2355AB58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1" w:type="dxa"/>
            <w:vAlign w:val="center"/>
          </w:tcPr>
          <w:p w14:paraId="13CE04CB" w14:textId="289B12B5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1" w:type="dxa"/>
            <w:vAlign w:val="center"/>
          </w:tcPr>
          <w:p w14:paraId="619A9984" w14:textId="60296505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2" w:type="dxa"/>
            <w:vAlign w:val="center"/>
          </w:tcPr>
          <w:p w14:paraId="03003885" w14:textId="2F1564A8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2C210A" w14:paraId="23F663B9" w14:textId="77777777" w:rsidTr="007C4C60">
        <w:trPr>
          <w:trHeight w:val="369"/>
        </w:trPr>
        <w:tc>
          <w:tcPr>
            <w:tcW w:w="1511" w:type="dxa"/>
            <w:vAlign w:val="center"/>
          </w:tcPr>
          <w:p w14:paraId="1A3BF4C0" w14:textId="0E85441E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SIR-Spheres</w:t>
            </w:r>
            <w:r w:rsidR="00E51130">
              <w:rPr>
                <w:b/>
                <w:bCs/>
              </w:rPr>
              <w:t xml:space="preserve"> treatment</w:t>
            </w:r>
            <w:r w:rsidR="00A8464B">
              <w:rPr>
                <w:b/>
                <w:bCs/>
              </w:rPr>
              <w:t xml:space="preserve"> </w:t>
            </w:r>
            <w:proofErr w:type="gramStart"/>
            <w:r w:rsidR="00333F74">
              <w:rPr>
                <w:b/>
                <w:bCs/>
              </w:rPr>
              <w:t>mean</w:t>
            </w:r>
            <w:proofErr w:type="gramEnd"/>
            <w:r w:rsidR="00333F74">
              <w:rPr>
                <w:b/>
                <w:bCs/>
              </w:rPr>
              <w:t xml:space="preserve"> </w:t>
            </w:r>
            <w:r w:rsidR="00A8464B">
              <w:rPr>
                <w:b/>
                <w:bCs/>
              </w:rPr>
              <w:t>HR (95% CI)</w:t>
            </w:r>
          </w:p>
        </w:tc>
        <w:tc>
          <w:tcPr>
            <w:tcW w:w="1511" w:type="dxa"/>
            <w:vAlign w:val="center"/>
          </w:tcPr>
          <w:p w14:paraId="0929313C" w14:textId="62C353D3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1.20 (0.22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3.82)</w:t>
            </w:r>
          </w:p>
        </w:tc>
        <w:tc>
          <w:tcPr>
            <w:tcW w:w="1511" w:type="dxa"/>
            <w:vAlign w:val="center"/>
          </w:tcPr>
          <w:p w14:paraId="0C528937" w14:textId="290254E8" w:rsidR="002C210A" w:rsidRPr="00333F74" w:rsidRDefault="003C5EB8" w:rsidP="00333F74">
            <w:pPr>
              <w:pStyle w:val="Tabletext"/>
              <w:rPr>
                <w:i/>
                <w:color w:val="000000" w:themeColor="text1"/>
                <w:kern w:val="24"/>
              </w:rPr>
            </w:pPr>
            <w:r>
              <w:t>−</w:t>
            </w:r>
          </w:p>
        </w:tc>
        <w:tc>
          <w:tcPr>
            <w:tcW w:w="1511" w:type="dxa"/>
            <w:vAlign w:val="center"/>
          </w:tcPr>
          <w:p w14:paraId="5566C238" w14:textId="7A73BAD6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1" w:type="dxa"/>
            <w:vAlign w:val="center"/>
          </w:tcPr>
          <w:p w14:paraId="6235C3DF" w14:textId="44D3A73E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2" w:type="dxa"/>
            <w:vAlign w:val="center"/>
          </w:tcPr>
          <w:p w14:paraId="43A82092" w14:textId="06C3C6F9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2C210A" w14:paraId="5AC9D015" w14:textId="77777777" w:rsidTr="002C210A">
        <w:tc>
          <w:tcPr>
            <w:tcW w:w="1511" w:type="dxa"/>
            <w:vAlign w:val="center"/>
          </w:tcPr>
          <w:p w14:paraId="3E5C6C26" w14:textId="3B321331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Thera</w:t>
            </w:r>
            <w:r w:rsidR="00234296" w:rsidRPr="00333F74">
              <w:rPr>
                <w:b/>
                <w:bCs/>
              </w:rPr>
              <w:t>-</w:t>
            </w:r>
            <w:r w:rsidRPr="00333F74">
              <w:rPr>
                <w:b/>
                <w:bCs/>
              </w:rPr>
              <w:t>Sphere</w:t>
            </w:r>
            <w:r w:rsidR="00E51130">
              <w:rPr>
                <w:b/>
                <w:bCs/>
              </w:rPr>
              <w:t xml:space="preserve"> treatment</w:t>
            </w:r>
            <w:r w:rsidR="00A8464B">
              <w:rPr>
                <w:b/>
                <w:bCs/>
              </w:rPr>
              <w:t xml:space="preserve"> </w:t>
            </w:r>
            <w:r w:rsidR="00333F74">
              <w:rPr>
                <w:b/>
                <w:bCs/>
              </w:rPr>
              <w:t>mean</w:t>
            </w:r>
            <w:r w:rsidR="00333F74">
              <w:rPr>
                <w:b/>
                <w:bCs/>
              </w:rPr>
              <w:t xml:space="preserve"> </w:t>
            </w:r>
            <w:r w:rsidR="00A8464B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7AADD3A1" w14:textId="1FB502F2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1.14 (0.15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4.20)</w:t>
            </w:r>
          </w:p>
        </w:tc>
        <w:tc>
          <w:tcPr>
            <w:tcW w:w="1511" w:type="dxa"/>
            <w:vAlign w:val="center"/>
          </w:tcPr>
          <w:p w14:paraId="799CC1EB" w14:textId="7E3EB223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0.95 (0.36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2.05)</w:t>
            </w:r>
          </w:p>
        </w:tc>
        <w:tc>
          <w:tcPr>
            <w:tcW w:w="1511" w:type="dxa"/>
            <w:vAlign w:val="center"/>
          </w:tcPr>
          <w:p w14:paraId="0DC84D15" w14:textId="26B6C08C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1" w:type="dxa"/>
            <w:vAlign w:val="center"/>
          </w:tcPr>
          <w:p w14:paraId="5841EA15" w14:textId="4644D9B5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2" w:type="dxa"/>
            <w:vAlign w:val="center"/>
          </w:tcPr>
          <w:p w14:paraId="73BDFE18" w14:textId="5A60CB4B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2C210A" w14:paraId="494A749C" w14:textId="77777777" w:rsidTr="002C210A">
        <w:tc>
          <w:tcPr>
            <w:tcW w:w="1511" w:type="dxa"/>
            <w:vAlign w:val="center"/>
          </w:tcPr>
          <w:p w14:paraId="0B40AF17" w14:textId="150B4CC9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DEB-TACE</w:t>
            </w:r>
            <w:r w:rsidR="00E51130">
              <w:rPr>
                <w:b/>
                <w:bCs/>
              </w:rPr>
              <w:t xml:space="preserve"> treatment</w:t>
            </w:r>
            <w:r w:rsidR="00A8464B">
              <w:rPr>
                <w:b/>
                <w:bCs/>
              </w:rPr>
              <w:t xml:space="preserve"> </w:t>
            </w:r>
            <w:r w:rsidR="00333F74">
              <w:rPr>
                <w:b/>
                <w:bCs/>
              </w:rPr>
              <w:t>mean</w:t>
            </w:r>
            <w:r w:rsidR="00333F74">
              <w:rPr>
                <w:b/>
                <w:bCs/>
              </w:rPr>
              <w:t xml:space="preserve"> </w:t>
            </w:r>
            <w:r w:rsidR="00A8464B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4B89C9B1" w14:textId="4E63F495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0.86 (0.26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2.15)</w:t>
            </w:r>
          </w:p>
        </w:tc>
        <w:tc>
          <w:tcPr>
            <w:tcW w:w="1511" w:type="dxa"/>
            <w:vAlign w:val="center"/>
          </w:tcPr>
          <w:p w14:paraId="000B57F5" w14:textId="6BAAC707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0.92 (0.31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2.12)</w:t>
            </w:r>
          </w:p>
        </w:tc>
        <w:tc>
          <w:tcPr>
            <w:tcW w:w="1511" w:type="dxa"/>
            <w:vAlign w:val="center"/>
          </w:tcPr>
          <w:p w14:paraId="4E39FE83" w14:textId="11A23BA6" w:rsidR="002C210A" w:rsidRPr="002C210A" w:rsidRDefault="002C210A" w:rsidP="00333F74">
            <w:pPr>
              <w:pStyle w:val="Tabletext"/>
            </w:pPr>
            <w:r w:rsidRPr="002C210A">
              <w:rPr>
                <w:rFonts w:eastAsia="Calibri"/>
                <w:color w:val="000000" w:themeColor="text1"/>
                <w:kern w:val="24"/>
              </w:rPr>
              <w:t xml:space="preserve">0.94 </w:t>
            </w:r>
            <w:r w:rsidRPr="002C210A">
              <w:rPr>
                <w:color w:val="000000" w:themeColor="text1"/>
                <w:kern w:val="24"/>
              </w:rPr>
              <w:t>(0.26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3.44)</w:t>
            </w:r>
          </w:p>
        </w:tc>
        <w:tc>
          <w:tcPr>
            <w:tcW w:w="1511" w:type="dxa"/>
            <w:vAlign w:val="center"/>
          </w:tcPr>
          <w:p w14:paraId="21E5BD63" w14:textId="78DE278E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  <w:tc>
          <w:tcPr>
            <w:tcW w:w="1512" w:type="dxa"/>
            <w:vAlign w:val="center"/>
          </w:tcPr>
          <w:p w14:paraId="059F3F42" w14:textId="17D71C8F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  <w:tr w:rsidR="002C210A" w14:paraId="480F54EB" w14:textId="77777777" w:rsidTr="002C210A">
        <w:tc>
          <w:tcPr>
            <w:tcW w:w="1511" w:type="dxa"/>
            <w:vAlign w:val="center"/>
          </w:tcPr>
          <w:p w14:paraId="48684FE6" w14:textId="7B97BD93" w:rsidR="002C210A" w:rsidRPr="00333F74" w:rsidRDefault="002C210A" w:rsidP="00333F74">
            <w:pPr>
              <w:pStyle w:val="Tabletext"/>
              <w:rPr>
                <w:b/>
              </w:rPr>
            </w:pPr>
            <w:r w:rsidRPr="00333F74">
              <w:rPr>
                <w:b/>
                <w:bCs/>
              </w:rPr>
              <w:t>TAE</w:t>
            </w:r>
            <w:r w:rsidR="00E51130">
              <w:rPr>
                <w:b/>
                <w:bCs/>
              </w:rPr>
              <w:t xml:space="preserve"> treatment</w:t>
            </w:r>
            <w:r w:rsidR="00A8464B">
              <w:rPr>
                <w:b/>
                <w:bCs/>
              </w:rPr>
              <w:t xml:space="preserve"> </w:t>
            </w:r>
            <w:proofErr w:type="gramStart"/>
            <w:r w:rsidR="00333F74">
              <w:rPr>
                <w:b/>
                <w:bCs/>
              </w:rPr>
              <w:t>mean</w:t>
            </w:r>
            <w:proofErr w:type="gramEnd"/>
            <w:r w:rsidR="00333F74">
              <w:rPr>
                <w:b/>
                <w:bCs/>
              </w:rPr>
              <w:t xml:space="preserve"> </w:t>
            </w:r>
            <w:r w:rsidR="00A8464B">
              <w:rPr>
                <w:b/>
                <w:bCs/>
              </w:rPr>
              <w:t>HR (95% CI)</w:t>
            </w:r>
          </w:p>
        </w:tc>
        <w:tc>
          <w:tcPr>
            <w:tcW w:w="1511" w:type="dxa"/>
          </w:tcPr>
          <w:p w14:paraId="64CE127A" w14:textId="326F57D7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0.87 (0.61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1.20)</w:t>
            </w:r>
          </w:p>
        </w:tc>
        <w:tc>
          <w:tcPr>
            <w:tcW w:w="1511" w:type="dxa"/>
            <w:vAlign w:val="center"/>
          </w:tcPr>
          <w:p w14:paraId="50A7D00D" w14:textId="7489AE4A" w:rsidR="002C210A" w:rsidRPr="002C210A" w:rsidRDefault="002C210A" w:rsidP="00333F74">
            <w:pPr>
              <w:pStyle w:val="Tabletext"/>
            </w:pPr>
            <w:r w:rsidRPr="002C210A">
              <w:rPr>
                <w:rFonts w:eastAsia="Calibri"/>
                <w:color w:val="000000" w:themeColor="text1"/>
                <w:kern w:val="24"/>
              </w:rPr>
              <w:t xml:space="preserve">0.93 </w:t>
            </w:r>
            <w:r w:rsidRPr="002C210A">
              <w:rPr>
                <w:color w:val="000000" w:themeColor="text1"/>
                <w:kern w:val="24"/>
              </w:rPr>
              <w:t>(0.21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4.05)</w:t>
            </w:r>
          </w:p>
        </w:tc>
        <w:tc>
          <w:tcPr>
            <w:tcW w:w="1511" w:type="dxa"/>
            <w:vAlign w:val="center"/>
          </w:tcPr>
          <w:p w14:paraId="50E5549E" w14:textId="60F04F42" w:rsidR="002C210A" w:rsidRPr="002C210A" w:rsidRDefault="002C210A" w:rsidP="00333F74">
            <w:pPr>
              <w:pStyle w:val="Tabletext"/>
            </w:pPr>
            <w:r w:rsidRPr="002C210A">
              <w:rPr>
                <w:color w:val="000000" w:themeColor="text1"/>
                <w:kern w:val="24"/>
              </w:rPr>
              <w:t>1.58 (0.20</w:t>
            </w:r>
            <w:r w:rsidR="00E51130">
              <w:rPr>
                <w:color w:val="000000" w:themeColor="text1"/>
                <w:kern w:val="24"/>
              </w:rPr>
              <w:t xml:space="preserve"> to </w:t>
            </w:r>
            <w:r w:rsidRPr="002C210A">
              <w:rPr>
                <w:color w:val="000000" w:themeColor="text1"/>
                <w:kern w:val="24"/>
              </w:rPr>
              <w:t>5.97)</w:t>
            </w:r>
          </w:p>
        </w:tc>
        <w:tc>
          <w:tcPr>
            <w:tcW w:w="1511" w:type="dxa"/>
            <w:vAlign w:val="center"/>
          </w:tcPr>
          <w:p w14:paraId="08EC1FB2" w14:textId="7E1D72E9" w:rsidR="002C210A" w:rsidRPr="002C210A" w:rsidRDefault="002C210A" w:rsidP="00333F74">
            <w:pPr>
              <w:pStyle w:val="Tabletext"/>
            </w:pPr>
            <w:r w:rsidRPr="002C210A">
              <w:rPr>
                <w:rFonts w:eastAsiaTheme="minorEastAsia"/>
                <w:color w:val="000000" w:themeColor="text1"/>
                <w:kern w:val="24"/>
              </w:rPr>
              <w:t>1.35 (0.38</w:t>
            </w:r>
            <w:r w:rsidR="00E51130">
              <w:rPr>
                <w:rFonts w:eastAsiaTheme="minorEastAsia"/>
                <w:color w:val="000000" w:themeColor="text1"/>
                <w:kern w:val="24"/>
              </w:rPr>
              <w:t xml:space="preserve"> to </w:t>
            </w:r>
            <w:r w:rsidRPr="002C210A">
              <w:rPr>
                <w:rFonts w:eastAsiaTheme="minorEastAsia"/>
                <w:color w:val="000000" w:themeColor="text1"/>
                <w:kern w:val="24"/>
              </w:rPr>
              <w:t>3.50)</w:t>
            </w:r>
          </w:p>
        </w:tc>
        <w:tc>
          <w:tcPr>
            <w:tcW w:w="1512" w:type="dxa"/>
            <w:vAlign w:val="center"/>
          </w:tcPr>
          <w:p w14:paraId="6588B186" w14:textId="4ACE4FFA" w:rsidR="002C210A" w:rsidRPr="002C210A" w:rsidRDefault="003C5EB8" w:rsidP="00333F74">
            <w:pPr>
              <w:pStyle w:val="Tabletext"/>
            </w:pPr>
            <w:r>
              <w:rPr>
                <w:rFonts w:cs="Arial"/>
              </w:rPr>
              <w:t>−</w:t>
            </w:r>
          </w:p>
        </w:tc>
      </w:tr>
    </w:tbl>
    <w:p w14:paraId="5DD9B5DC" w14:textId="77777777" w:rsidR="002C210A" w:rsidRPr="001D4543" w:rsidRDefault="002C210A" w:rsidP="00333F74">
      <w:pPr>
        <w:pStyle w:val="NICEnormal"/>
      </w:pPr>
    </w:p>
    <w:p w14:paraId="710727A3" w14:textId="71420FBA" w:rsidR="00566A41" w:rsidRDefault="00806924" w:rsidP="00566A41">
      <w:pPr>
        <w:pStyle w:val="Heading3"/>
      </w:pPr>
      <w:r>
        <w:t xml:space="preserve">The comparative effectiveness of treatment options </w:t>
      </w:r>
      <w:r w:rsidR="00234296">
        <w:t xml:space="preserve">in </w:t>
      </w:r>
      <w:r>
        <w:t xml:space="preserve">people </w:t>
      </w:r>
      <w:r w:rsidR="00234296">
        <w:t>for whom</w:t>
      </w:r>
      <w:r w:rsidR="00234296" w:rsidRPr="00B74228">
        <w:t xml:space="preserve"> </w:t>
      </w:r>
      <w:r w:rsidR="000379E1">
        <w:t>CTT</w:t>
      </w:r>
      <w:r w:rsidR="00234296">
        <w:t xml:space="preserve"> i</w:t>
      </w:r>
      <w:r w:rsidR="00FE3581">
        <w:t>s</w:t>
      </w:r>
      <w:r w:rsidR="00F24E4E" w:rsidRPr="00B74228">
        <w:t xml:space="preserve"> inappropriate</w:t>
      </w:r>
      <w:r>
        <w:t xml:space="preserve"> is </w:t>
      </w:r>
      <w:r w:rsidR="00D155BC">
        <w:t>uncertain</w:t>
      </w:r>
      <w:r w:rsidR="00234296">
        <w:t>,</w:t>
      </w:r>
      <w:r w:rsidR="00566A41">
        <w:t xml:space="preserve"> but </w:t>
      </w:r>
      <w:r w:rsidR="00234296">
        <w:t>is useful for</w:t>
      </w:r>
      <w:r w:rsidR="00497C58">
        <w:t xml:space="preserve"> </w:t>
      </w:r>
      <w:r w:rsidR="00E7391F">
        <w:t>decision making</w:t>
      </w:r>
    </w:p>
    <w:p w14:paraId="4E5A3818" w14:textId="02920B0B" w:rsidR="00470CDF" w:rsidRPr="00AE3728" w:rsidRDefault="00D155BC" w:rsidP="00566A41">
      <w:pPr>
        <w:pStyle w:val="Numberedlevel2text"/>
      </w:pPr>
      <w:bookmarkStart w:id="16" w:name="_Ref24379362"/>
      <w:r>
        <w:t xml:space="preserve">The </w:t>
      </w:r>
      <w:r w:rsidR="000379E1">
        <w:rPr>
          <w:lang w:val="en-GB"/>
        </w:rPr>
        <w:t>AG</w:t>
      </w:r>
      <w:r>
        <w:t xml:space="preserve"> did a mixed</w:t>
      </w:r>
      <w:r w:rsidR="00234296">
        <w:rPr>
          <w:lang w:val="en-GB"/>
        </w:rPr>
        <w:t xml:space="preserve"> </w:t>
      </w:r>
      <w:r>
        <w:t xml:space="preserve">treatment comparison to estimate comparative effectiveness between available treatment options in people </w:t>
      </w:r>
      <w:r w:rsidR="00CB7F03">
        <w:rPr>
          <w:lang w:val="en-GB"/>
        </w:rPr>
        <w:t>when</w:t>
      </w:r>
      <w:r w:rsidR="00F24E4E" w:rsidRPr="00B74228">
        <w:rPr>
          <w:lang w:val="en-GB"/>
        </w:rPr>
        <w:t xml:space="preserve"> </w:t>
      </w:r>
      <w:r w:rsidR="000379E1">
        <w:rPr>
          <w:lang w:val="en-GB"/>
        </w:rPr>
        <w:t>CTT</w:t>
      </w:r>
      <w:r w:rsidR="00234296">
        <w:rPr>
          <w:lang w:val="en-GB"/>
        </w:rPr>
        <w:t xml:space="preserve"> i</w:t>
      </w:r>
      <w:r w:rsidR="00FE3581">
        <w:rPr>
          <w:lang w:val="en-GB"/>
        </w:rPr>
        <w:t>s</w:t>
      </w:r>
      <w:r w:rsidR="00F24E4E" w:rsidRPr="00B74228">
        <w:rPr>
          <w:lang w:val="en-GB"/>
        </w:rPr>
        <w:t xml:space="preserve"> inappropriate</w:t>
      </w:r>
      <w:r>
        <w:t xml:space="preserve">. </w:t>
      </w:r>
      <w:r>
        <w:rPr>
          <w:lang w:val="en-GB"/>
        </w:rPr>
        <w:t>T</w:t>
      </w:r>
      <w:r w:rsidR="00CB7F03">
        <w:rPr>
          <w:lang w:val="en-GB"/>
        </w:rPr>
        <w:t>here were 3 RCTs</w:t>
      </w:r>
      <w:r>
        <w:t xml:space="preserve"> included in this analysis.</w:t>
      </w:r>
      <w:r>
        <w:rPr>
          <w:lang w:val="en-GB"/>
        </w:rPr>
        <w:t xml:space="preserve"> </w:t>
      </w:r>
      <w:r w:rsidR="00CB7F03">
        <w:rPr>
          <w:lang w:val="en-GB"/>
        </w:rPr>
        <w:t>Of these, 1 RCT</w:t>
      </w:r>
      <w:r>
        <w:rPr>
          <w:lang w:val="en-GB"/>
        </w:rPr>
        <w:t xml:space="preserve"> compared </w:t>
      </w:r>
      <w:proofErr w:type="spellStart"/>
      <w:r>
        <w:rPr>
          <w:lang w:val="en-GB"/>
        </w:rPr>
        <w:t>lenvatinib</w:t>
      </w:r>
      <w:proofErr w:type="spellEnd"/>
      <w:r>
        <w:rPr>
          <w:lang w:val="en-GB"/>
        </w:rPr>
        <w:t xml:space="preserve"> with sorafenib and </w:t>
      </w:r>
      <w:r w:rsidR="00E7391F">
        <w:rPr>
          <w:lang w:val="en-GB"/>
        </w:rPr>
        <w:t>2</w:t>
      </w:r>
      <w:r>
        <w:rPr>
          <w:lang w:val="en-GB"/>
        </w:rPr>
        <w:t xml:space="preserve"> compared sorafenib with SIR-Spheres. </w:t>
      </w:r>
      <w:r w:rsidR="00234296">
        <w:rPr>
          <w:lang w:val="en-GB"/>
        </w:rPr>
        <w:t xml:space="preserve">To include </w:t>
      </w:r>
      <w:proofErr w:type="spellStart"/>
      <w:r w:rsidR="00234296">
        <w:rPr>
          <w:lang w:val="en-GB"/>
        </w:rPr>
        <w:t>TheraSphere</w:t>
      </w:r>
      <w:proofErr w:type="spellEnd"/>
      <w:r w:rsidR="00234296">
        <w:rPr>
          <w:lang w:val="en-GB"/>
        </w:rPr>
        <w:t xml:space="preserve"> in the network, </w:t>
      </w:r>
      <w:r>
        <w:rPr>
          <w:lang w:val="en-GB"/>
        </w:rPr>
        <w:t>2 retrospective studies compar</w:t>
      </w:r>
      <w:r w:rsidR="00662831">
        <w:rPr>
          <w:lang w:val="en-GB"/>
        </w:rPr>
        <w:t>ing</w:t>
      </w:r>
      <w:r>
        <w:rPr>
          <w:lang w:val="en-GB"/>
        </w:rPr>
        <w:t xml:space="preserve"> </w:t>
      </w:r>
      <w:proofErr w:type="spellStart"/>
      <w:r w:rsidR="00662831">
        <w:rPr>
          <w:lang w:val="en-GB"/>
        </w:rPr>
        <w:t>TheraSphere</w:t>
      </w:r>
      <w:proofErr w:type="spellEnd"/>
      <w:r w:rsidR="00662831">
        <w:rPr>
          <w:lang w:val="en-GB"/>
        </w:rPr>
        <w:t xml:space="preserve"> with </w:t>
      </w:r>
      <w:r>
        <w:rPr>
          <w:lang w:val="en-GB"/>
        </w:rPr>
        <w:t>SIR</w:t>
      </w:r>
      <w:r w:rsidR="00670285">
        <w:rPr>
          <w:lang w:val="en-GB"/>
        </w:rPr>
        <w:noBreakHyphen/>
      </w:r>
      <w:r>
        <w:rPr>
          <w:lang w:val="en-GB"/>
        </w:rPr>
        <w:t xml:space="preserve">Spheres were included in sensitivity analyses. </w:t>
      </w:r>
      <w:r w:rsidR="00EB67D5">
        <w:rPr>
          <w:lang w:val="en-GB"/>
        </w:rPr>
        <w:t xml:space="preserve">In </w:t>
      </w:r>
      <w:r w:rsidR="00BE5A79">
        <w:rPr>
          <w:lang w:val="en-GB"/>
        </w:rPr>
        <w:t xml:space="preserve">the </w:t>
      </w:r>
      <w:r w:rsidR="00687AA2">
        <w:rPr>
          <w:lang w:val="en-GB"/>
        </w:rPr>
        <w:t>main</w:t>
      </w:r>
      <w:r w:rsidR="00EB67D5">
        <w:rPr>
          <w:lang w:val="en-GB"/>
        </w:rPr>
        <w:t xml:space="preserve"> analysis, i</w:t>
      </w:r>
      <w:r>
        <w:rPr>
          <w:lang w:val="en-GB"/>
        </w:rPr>
        <w:t xml:space="preserve">n people </w:t>
      </w:r>
      <w:r w:rsidR="00F24E4E" w:rsidRPr="00B74228">
        <w:rPr>
          <w:lang w:val="en-GB"/>
        </w:rPr>
        <w:t xml:space="preserve">for whom </w:t>
      </w:r>
      <w:r w:rsidR="000379E1">
        <w:rPr>
          <w:lang w:val="en-GB"/>
        </w:rPr>
        <w:t>CTT</w:t>
      </w:r>
      <w:r w:rsidR="00234296">
        <w:rPr>
          <w:lang w:val="en-GB"/>
        </w:rPr>
        <w:t xml:space="preserve"> i</w:t>
      </w:r>
      <w:r w:rsidR="00FE3581">
        <w:rPr>
          <w:lang w:val="en-GB"/>
        </w:rPr>
        <w:t>s</w:t>
      </w:r>
      <w:r w:rsidR="00F24E4E" w:rsidRPr="00B74228">
        <w:rPr>
          <w:lang w:val="en-GB"/>
        </w:rPr>
        <w:t xml:space="preserve"> inappropriate</w:t>
      </w:r>
      <w:r>
        <w:rPr>
          <w:lang w:val="en-GB"/>
        </w:rPr>
        <w:t xml:space="preserve"> and </w:t>
      </w:r>
      <w:r w:rsidR="00E7391F">
        <w:rPr>
          <w:lang w:val="en-GB"/>
        </w:rPr>
        <w:t xml:space="preserve">with </w:t>
      </w:r>
      <w:r>
        <w:rPr>
          <w:lang w:val="en-GB"/>
        </w:rPr>
        <w:t>Child-Pugh grade</w:t>
      </w:r>
      <w:r w:rsidR="00CB7F03">
        <w:rPr>
          <w:lang w:val="en-GB"/>
        </w:rPr>
        <w:t> </w:t>
      </w:r>
      <w:r>
        <w:rPr>
          <w:lang w:val="en-GB"/>
        </w:rPr>
        <w:t>A</w:t>
      </w:r>
      <w:r w:rsidR="00234296">
        <w:rPr>
          <w:lang w:val="en-GB"/>
        </w:rPr>
        <w:t>,</w:t>
      </w:r>
      <w:r>
        <w:rPr>
          <w:lang w:val="en-GB"/>
        </w:rPr>
        <w:t xml:space="preserve"> there was no </w:t>
      </w:r>
      <w:r w:rsidR="00E7391F">
        <w:rPr>
          <w:lang w:val="en-GB"/>
        </w:rPr>
        <w:t xml:space="preserve">evidence of </w:t>
      </w:r>
      <w:r w:rsidR="00234296">
        <w:rPr>
          <w:lang w:val="en-GB"/>
        </w:rPr>
        <w:t xml:space="preserve">a </w:t>
      </w:r>
      <w:r>
        <w:rPr>
          <w:lang w:val="en-GB"/>
        </w:rPr>
        <w:t>difference between SIR</w:t>
      </w:r>
      <w:r w:rsidR="00670285">
        <w:rPr>
          <w:lang w:val="en-GB"/>
        </w:rPr>
        <w:noBreakHyphen/>
      </w:r>
      <w:r>
        <w:rPr>
          <w:lang w:val="en-GB"/>
        </w:rPr>
        <w:t xml:space="preserve">Spheres, sorafenib and </w:t>
      </w:r>
      <w:proofErr w:type="spellStart"/>
      <w:r>
        <w:rPr>
          <w:lang w:val="en-GB"/>
        </w:rPr>
        <w:t>lenvatinib</w:t>
      </w:r>
      <w:proofErr w:type="spellEnd"/>
      <w:r w:rsidR="00AF76D7">
        <w:rPr>
          <w:lang w:val="en-GB"/>
        </w:rPr>
        <w:t>. The</w:t>
      </w:r>
      <w:r w:rsidR="0021063A">
        <w:rPr>
          <w:lang w:val="en-GB"/>
        </w:rPr>
        <w:t xml:space="preserve"> </w:t>
      </w:r>
      <w:r w:rsidR="00BF7E4D">
        <w:rPr>
          <w:lang w:val="en-GB"/>
        </w:rPr>
        <w:t xml:space="preserve">mean HR </w:t>
      </w:r>
      <w:r w:rsidR="00D25644">
        <w:rPr>
          <w:lang w:val="en-GB"/>
        </w:rPr>
        <w:t>in</w:t>
      </w:r>
      <w:r w:rsidR="00AF76D7">
        <w:rPr>
          <w:lang w:val="en-GB"/>
        </w:rPr>
        <w:t xml:space="preserve"> the</w:t>
      </w:r>
      <w:r w:rsidR="00D25644">
        <w:rPr>
          <w:lang w:val="en-GB"/>
        </w:rPr>
        <w:t xml:space="preserve"> PP population for SIR</w:t>
      </w:r>
      <w:r w:rsidR="00D25644">
        <w:rPr>
          <w:lang w:val="en-GB"/>
        </w:rPr>
        <w:noBreakHyphen/>
        <w:t xml:space="preserve">Spheres </w:t>
      </w:r>
      <w:r w:rsidR="00AF76D7">
        <w:rPr>
          <w:lang w:val="en-GB"/>
        </w:rPr>
        <w:t>compared with</w:t>
      </w:r>
      <w:r w:rsidR="00D25644">
        <w:rPr>
          <w:lang w:val="en-GB"/>
        </w:rPr>
        <w:t xml:space="preserve"> sorafenib </w:t>
      </w:r>
      <w:r w:rsidR="00AF76D7">
        <w:rPr>
          <w:lang w:val="en-GB"/>
        </w:rPr>
        <w:t xml:space="preserve">was </w:t>
      </w:r>
      <w:r w:rsidR="00D25644">
        <w:rPr>
          <w:lang w:val="en-GB"/>
        </w:rPr>
        <w:t xml:space="preserve">0.94 </w:t>
      </w:r>
      <w:r w:rsidR="00AF76D7">
        <w:rPr>
          <w:lang w:val="en-GB"/>
        </w:rPr>
        <w:t xml:space="preserve">(95% </w:t>
      </w:r>
      <w:r w:rsidR="00333F74">
        <w:rPr>
          <w:lang w:val="en-GB"/>
        </w:rPr>
        <w:t>credible interval [</w:t>
      </w:r>
      <w:proofErr w:type="spellStart"/>
      <w:r w:rsidR="00AF76D7">
        <w:rPr>
          <w:lang w:val="en-GB"/>
        </w:rPr>
        <w:t>C</w:t>
      </w:r>
      <w:r w:rsidR="00333F74">
        <w:rPr>
          <w:lang w:val="en-GB"/>
        </w:rPr>
        <w:t>r</w:t>
      </w:r>
      <w:r w:rsidR="00AF76D7">
        <w:rPr>
          <w:lang w:val="en-GB"/>
        </w:rPr>
        <w:t>I</w:t>
      </w:r>
      <w:proofErr w:type="spellEnd"/>
      <w:r w:rsidR="00333F74">
        <w:rPr>
          <w:lang w:val="en-GB"/>
        </w:rPr>
        <w:t>]</w:t>
      </w:r>
      <w:r w:rsidR="00AF76D7">
        <w:rPr>
          <w:lang w:val="en-GB"/>
        </w:rPr>
        <w:t xml:space="preserve"> </w:t>
      </w:r>
      <w:r w:rsidR="00D25644">
        <w:rPr>
          <w:lang w:val="en-GB"/>
        </w:rPr>
        <w:t>0.77 to 1.14</w:t>
      </w:r>
      <w:r w:rsidR="00AF76D7">
        <w:rPr>
          <w:lang w:val="en-GB"/>
        </w:rPr>
        <w:t>)</w:t>
      </w:r>
      <w:r w:rsidR="00D25644">
        <w:rPr>
          <w:lang w:val="en-GB"/>
        </w:rPr>
        <w:t>,</w:t>
      </w:r>
      <w:r w:rsidR="00AF76D7">
        <w:rPr>
          <w:lang w:val="en-GB"/>
        </w:rPr>
        <w:t xml:space="preserve"> for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AF76D7">
        <w:rPr>
          <w:lang w:val="en-GB"/>
        </w:rPr>
        <w:t>compared with</w:t>
      </w:r>
      <w:r w:rsidR="00D25644">
        <w:rPr>
          <w:lang w:val="en-GB"/>
        </w:rPr>
        <w:t xml:space="preserve"> sorafenib </w:t>
      </w:r>
      <w:r w:rsidR="00AF76D7">
        <w:rPr>
          <w:lang w:val="en-GB"/>
        </w:rPr>
        <w:t xml:space="preserve">it was </w:t>
      </w:r>
      <w:r w:rsidR="00D25644">
        <w:rPr>
          <w:lang w:val="en-GB"/>
        </w:rPr>
        <w:t xml:space="preserve">1.06 </w:t>
      </w:r>
      <w:r w:rsidR="00AF76D7">
        <w:rPr>
          <w:lang w:val="en-GB"/>
        </w:rPr>
        <w:t xml:space="preserve">(95% </w:t>
      </w:r>
      <w:proofErr w:type="spellStart"/>
      <w:r w:rsidR="00AF76D7">
        <w:rPr>
          <w:lang w:val="en-GB"/>
        </w:rPr>
        <w:t>C</w:t>
      </w:r>
      <w:r w:rsidR="00BB702B">
        <w:rPr>
          <w:lang w:val="en-GB"/>
        </w:rPr>
        <w:t>r</w:t>
      </w:r>
      <w:r w:rsidR="00AF76D7">
        <w:rPr>
          <w:lang w:val="en-GB"/>
        </w:rPr>
        <w:t>I</w:t>
      </w:r>
      <w:proofErr w:type="spellEnd"/>
      <w:r w:rsidR="00AF76D7">
        <w:rPr>
          <w:lang w:val="en-GB"/>
        </w:rPr>
        <w:t xml:space="preserve"> </w:t>
      </w:r>
      <w:r w:rsidR="00D25644">
        <w:rPr>
          <w:lang w:val="en-GB"/>
        </w:rPr>
        <w:t>0.79 to 1.4</w:t>
      </w:r>
      <w:r w:rsidR="00AF76D7">
        <w:rPr>
          <w:lang w:val="en-GB"/>
        </w:rPr>
        <w:t>), and for</w:t>
      </w:r>
      <w:r w:rsidR="00D25644">
        <w:rPr>
          <w:lang w:val="en-GB"/>
        </w:rPr>
        <w:t xml:space="preserve">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AF76D7">
        <w:rPr>
          <w:lang w:val="en-GB"/>
        </w:rPr>
        <w:t>compared with</w:t>
      </w:r>
      <w:r w:rsidR="00D25644">
        <w:rPr>
          <w:lang w:val="en-GB"/>
        </w:rPr>
        <w:t xml:space="preserve"> SIR-Spheres </w:t>
      </w:r>
      <w:r w:rsidR="00AF76D7">
        <w:rPr>
          <w:lang w:val="en-GB"/>
        </w:rPr>
        <w:t xml:space="preserve">the HR was </w:t>
      </w:r>
      <w:r w:rsidR="00D25644">
        <w:rPr>
          <w:lang w:val="en-GB"/>
        </w:rPr>
        <w:t xml:space="preserve">1.14 </w:t>
      </w:r>
      <w:r w:rsidR="00AF76D7">
        <w:rPr>
          <w:lang w:val="en-GB"/>
        </w:rPr>
        <w:t xml:space="preserve">(95% </w:t>
      </w:r>
      <w:proofErr w:type="spellStart"/>
      <w:r w:rsidR="00AF76D7">
        <w:rPr>
          <w:lang w:val="en-GB"/>
        </w:rPr>
        <w:t>C</w:t>
      </w:r>
      <w:r w:rsidR="00BB702B">
        <w:rPr>
          <w:lang w:val="en-GB"/>
        </w:rPr>
        <w:t>r</w:t>
      </w:r>
      <w:r w:rsidR="00AF76D7">
        <w:rPr>
          <w:lang w:val="en-GB"/>
        </w:rPr>
        <w:t>I</w:t>
      </w:r>
      <w:proofErr w:type="spellEnd"/>
      <w:r w:rsidR="00AF76D7">
        <w:rPr>
          <w:lang w:val="en-GB"/>
        </w:rPr>
        <w:t xml:space="preserve"> </w:t>
      </w:r>
      <w:r w:rsidR="00D25644">
        <w:rPr>
          <w:lang w:val="en-GB"/>
        </w:rPr>
        <w:t>0.79 to 1.58</w:t>
      </w:r>
      <w:r w:rsidR="00AF76D7">
        <w:rPr>
          <w:lang w:val="en-GB"/>
        </w:rPr>
        <w:t>).</w:t>
      </w:r>
      <w:r w:rsidR="00D25644">
        <w:rPr>
          <w:lang w:val="en-GB"/>
        </w:rPr>
        <w:t xml:space="preserve"> </w:t>
      </w:r>
      <w:r w:rsidR="0053022D">
        <w:rPr>
          <w:lang w:val="en-GB"/>
        </w:rPr>
        <w:t>I</w:t>
      </w:r>
      <w:r w:rsidR="00D25644">
        <w:rPr>
          <w:lang w:val="en-GB"/>
        </w:rPr>
        <w:t>n</w:t>
      </w:r>
      <w:r w:rsidR="004C68FF">
        <w:rPr>
          <w:lang w:val="en-GB"/>
        </w:rPr>
        <w:t xml:space="preserve"> the</w:t>
      </w:r>
      <w:r w:rsidR="00D25644">
        <w:rPr>
          <w:lang w:val="en-GB"/>
        </w:rPr>
        <w:t xml:space="preserve"> ITT population for SIR</w:t>
      </w:r>
      <w:r w:rsidR="00D25644">
        <w:rPr>
          <w:lang w:val="en-GB"/>
        </w:rPr>
        <w:noBreakHyphen/>
        <w:t xml:space="preserve">Spheres </w:t>
      </w:r>
      <w:r w:rsidR="000B35AC">
        <w:rPr>
          <w:lang w:val="en-GB"/>
        </w:rPr>
        <w:lastRenderedPageBreak/>
        <w:t>compared with</w:t>
      </w:r>
      <w:r w:rsidR="00D25644">
        <w:rPr>
          <w:lang w:val="en-GB"/>
        </w:rPr>
        <w:t xml:space="preserve"> sorafenib</w:t>
      </w:r>
      <w:r w:rsidR="000B35AC">
        <w:rPr>
          <w:lang w:val="en-GB"/>
        </w:rPr>
        <w:t xml:space="preserve"> the HR was</w:t>
      </w:r>
      <w:r w:rsidR="00D25644">
        <w:rPr>
          <w:lang w:val="en-GB"/>
        </w:rPr>
        <w:t xml:space="preserve"> 1.13 </w:t>
      </w:r>
      <w:r w:rsidR="000B35AC">
        <w:rPr>
          <w:lang w:val="en-GB"/>
        </w:rPr>
        <w:t xml:space="preserve">(95% CI </w:t>
      </w:r>
      <w:r w:rsidR="00D25644">
        <w:rPr>
          <w:lang w:val="en-GB"/>
        </w:rPr>
        <w:t>0.96 to 1.32</w:t>
      </w:r>
      <w:r w:rsidR="000B35AC">
        <w:rPr>
          <w:lang w:val="en-GB"/>
        </w:rPr>
        <w:t>)</w:t>
      </w:r>
      <w:r w:rsidR="00D25644">
        <w:rPr>
          <w:lang w:val="en-GB"/>
        </w:rPr>
        <w:t xml:space="preserve">, </w:t>
      </w:r>
      <w:r w:rsidR="000B35AC">
        <w:rPr>
          <w:lang w:val="en-GB"/>
        </w:rPr>
        <w:t xml:space="preserve">for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0B35AC">
        <w:rPr>
          <w:lang w:val="en-GB"/>
        </w:rPr>
        <w:t>compared with</w:t>
      </w:r>
      <w:r w:rsidR="00D25644">
        <w:rPr>
          <w:lang w:val="en-GB"/>
        </w:rPr>
        <w:t xml:space="preserve"> sorafenib or SIR-Spheres</w:t>
      </w:r>
      <w:r w:rsidR="000B35AC">
        <w:rPr>
          <w:lang w:val="en-GB"/>
        </w:rPr>
        <w:t xml:space="preserve"> the HRs were</w:t>
      </w:r>
      <w:r w:rsidR="00D25644">
        <w:rPr>
          <w:lang w:val="en-GB"/>
        </w:rPr>
        <w:t xml:space="preserve"> 1.06 </w:t>
      </w:r>
      <w:r w:rsidR="000B35AC">
        <w:rPr>
          <w:lang w:val="en-GB"/>
        </w:rPr>
        <w:t xml:space="preserve">(95% CI </w:t>
      </w:r>
      <w:r w:rsidR="00D25644">
        <w:rPr>
          <w:lang w:val="en-GB"/>
        </w:rPr>
        <w:t>0.79 to 1.4</w:t>
      </w:r>
      <w:r w:rsidR="000B35AC">
        <w:rPr>
          <w:lang w:val="en-GB"/>
        </w:rPr>
        <w:t>)</w:t>
      </w:r>
      <w:r w:rsidR="00D25644">
        <w:rPr>
          <w:lang w:val="en-GB"/>
        </w:rPr>
        <w:t xml:space="preserve"> or 0.92 </w:t>
      </w:r>
      <w:r w:rsidR="000B35AC">
        <w:rPr>
          <w:lang w:val="en-GB"/>
        </w:rPr>
        <w:t xml:space="preserve">(95% CI </w:t>
      </w:r>
      <w:r w:rsidR="00D25644">
        <w:rPr>
          <w:lang w:val="en-GB"/>
        </w:rPr>
        <w:t>0.67 to 1.29</w:t>
      </w:r>
      <w:r w:rsidR="000B35AC">
        <w:rPr>
          <w:lang w:val="en-GB"/>
        </w:rPr>
        <w:t>)</w:t>
      </w:r>
      <w:r w:rsidR="00D25644">
        <w:rPr>
          <w:lang w:val="en-GB"/>
        </w:rPr>
        <w:t xml:space="preserve"> respectively</w:t>
      </w:r>
      <w:r w:rsidR="000B35AC">
        <w:rPr>
          <w:lang w:val="en-GB"/>
        </w:rPr>
        <w:t>.</w:t>
      </w:r>
      <w:r w:rsidR="00D25644">
        <w:rPr>
          <w:lang w:val="en-GB"/>
        </w:rPr>
        <w:t xml:space="preserve"> </w:t>
      </w:r>
      <w:r w:rsidR="000B35AC">
        <w:rPr>
          <w:lang w:val="en-GB"/>
        </w:rPr>
        <w:t>A</w:t>
      </w:r>
      <w:r w:rsidR="00D25644">
        <w:rPr>
          <w:lang w:val="en-GB"/>
        </w:rPr>
        <w:t xml:space="preserve"> value of </w:t>
      </w:r>
      <w:r w:rsidR="00D25644">
        <w:rPr>
          <w:lang w:val="en-GB"/>
        </w:rPr>
        <w:t>less than 1 indicates better overall survival</w:t>
      </w:r>
      <w:r>
        <w:rPr>
          <w:lang w:val="en-GB"/>
        </w:rPr>
        <w:t xml:space="preserve">. </w:t>
      </w:r>
      <w:r w:rsidR="00E7391F">
        <w:rPr>
          <w:lang w:val="en-GB"/>
        </w:rPr>
        <w:t>When the</w:t>
      </w:r>
      <w:r>
        <w:rPr>
          <w:lang w:val="en-GB"/>
        </w:rPr>
        <w:t xml:space="preserve"> retrospective evidence was included</w:t>
      </w:r>
      <w:r w:rsidR="00CB7F03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TheraSphere</w:t>
      </w:r>
      <w:proofErr w:type="spellEnd"/>
      <w:r>
        <w:rPr>
          <w:lang w:val="en-GB"/>
        </w:rPr>
        <w:t xml:space="preserve"> was </w:t>
      </w:r>
      <w:r w:rsidR="00234296">
        <w:rPr>
          <w:lang w:val="en-GB"/>
        </w:rPr>
        <w:t xml:space="preserve">shown to be </w:t>
      </w:r>
      <w:r>
        <w:rPr>
          <w:lang w:val="en-GB"/>
        </w:rPr>
        <w:t>more effective than SIR</w:t>
      </w:r>
      <w:r w:rsidR="00670285">
        <w:rPr>
          <w:lang w:val="en-GB"/>
        </w:rPr>
        <w:noBreakHyphen/>
      </w:r>
      <w:r>
        <w:rPr>
          <w:lang w:val="en-GB"/>
        </w:rPr>
        <w:t xml:space="preserve">Spheres, sorafenib and </w:t>
      </w:r>
      <w:proofErr w:type="spellStart"/>
      <w:r>
        <w:rPr>
          <w:lang w:val="en-GB"/>
        </w:rPr>
        <w:t>lenvatinib</w:t>
      </w:r>
      <w:bookmarkStart w:id="17" w:name="_GoBack"/>
      <w:proofErr w:type="spellEnd"/>
      <w:r w:rsidR="008D1C15">
        <w:rPr>
          <w:lang w:val="en-GB"/>
        </w:rPr>
        <w:t>.</w:t>
      </w:r>
      <w:bookmarkEnd w:id="17"/>
      <w:r w:rsidR="008D1C15">
        <w:rPr>
          <w:lang w:val="en-GB"/>
        </w:rPr>
        <w:t xml:space="preserve"> The</w:t>
      </w:r>
      <w:r w:rsidR="00BF7E4D">
        <w:rPr>
          <w:lang w:val="en-GB"/>
        </w:rPr>
        <w:t xml:space="preserve"> </w:t>
      </w:r>
      <w:r w:rsidR="00D25644">
        <w:rPr>
          <w:lang w:val="en-GB"/>
        </w:rPr>
        <w:t xml:space="preserve">mean HR in </w:t>
      </w:r>
      <w:r w:rsidR="008D1C15">
        <w:rPr>
          <w:lang w:val="en-GB"/>
        </w:rPr>
        <w:t xml:space="preserve">the </w:t>
      </w:r>
      <w:r w:rsidR="00D25644">
        <w:rPr>
          <w:lang w:val="en-GB"/>
        </w:rPr>
        <w:t>PP population for SIR</w:t>
      </w:r>
      <w:r w:rsidR="00D25644">
        <w:rPr>
          <w:lang w:val="en-GB"/>
        </w:rPr>
        <w:noBreakHyphen/>
        <w:t xml:space="preserve">Spheres </w:t>
      </w:r>
      <w:r w:rsidR="008D1C15">
        <w:rPr>
          <w:lang w:val="en-GB"/>
        </w:rPr>
        <w:t>compared with</w:t>
      </w:r>
      <w:r w:rsidR="00D25644">
        <w:rPr>
          <w:lang w:val="en-GB"/>
        </w:rPr>
        <w:t xml:space="preserve"> sorafenib </w:t>
      </w:r>
      <w:r w:rsidR="00741E71">
        <w:rPr>
          <w:lang w:val="en-GB"/>
        </w:rPr>
        <w:t>w</w:t>
      </w:r>
      <w:r w:rsidR="002309D0">
        <w:rPr>
          <w:lang w:val="en-GB"/>
        </w:rPr>
        <w:t>as</w:t>
      </w:r>
      <w:r w:rsidR="00741E71">
        <w:rPr>
          <w:lang w:val="en-GB"/>
        </w:rPr>
        <w:t xml:space="preserve"> </w:t>
      </w:r>
      <w:r w:rsidR="00D25644">
        <w:rPr>
          <w:lang w:val="en-GB"/>
        </w:rPr>
        <w:t xml:space="preserve">0.94 </w:t>
      </w:r>
      <w:r w:rsidR="00741E71">
        <w:rPr>
          <w:lang w:val="en-GB"/>
        </w:rPr>
        <w:t xml:space="preserve">(95% </w:t>
      </w:r>
      <w:proofErr w:type="spellStart"/>
      <w:r w:rsidR="00741E71">
        <w:rPr>
          <w:lang w:val="en-GB"/>
        </w:rPr>
        <w:t>C</w:t>
      </w:r>
      <w:r w:rsidR="00BB702B">
        <w:rPr>
          <w:lang w:val="en-GB"/>
        </w:rPr>
        <w:t>r</w:t>
      </w:r>
      <w:r w:rsidR="00741E71">
        <w:rPr>
          <w:lang w:val="en-GB"/>
        </w:rPr>
        <w:t>I</w:t>
      </w:r>
      <w:proofErr w:type="spellEnd"/>
      <w:r w:rsidR="00741E71">
        <w:rPr>
          <w:lang w:val="en-GB"/>
        </w:rPr>
        <w:t xml:space="preserve"> </w:t>
      </w:r>
      <w:r w:rsidR="00D25644">
        <w:rPr>
          <w:lang w:val="en-GB"/>
        </w:rPr>
        <w:t>0.77 to 1.13</w:t>
      </w:r>
      <w:r w:rsidR="00741E71">
        <w:rPr>
          <w:lang w:val="en-GB"/>
        </w:rPr>
        <w:t xml:space="preserve">) </w:t>
      </w:r>
      <w:r w:rsidR="00B009BF">
        <w:rPr>
          <w:lang w:val="en-GB"/>
        </w:rPr>
        <w:t>F</w:t>
      </w:r>
      <w:r w:rsidR="00741E71">
        <w:rPr>
          <w:lang w:val="en-GB"/>
        </w:rPr>
        <w:t>or</w:t>
      </w:r>
      <w:r w:rsidR="00D25644">
        <w:rPr>
          <w:lang w:val="en-GB"/>
        </w:rPr>
        <w:t xml:space="preserve">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741E71">
        <w:rPr>
          <w:lang w:val="en-GB"/>
        </w:rPr>
        <w:t>compared with</w:t>
      </w:r>
      <w:r w:rsidR="00D25644">
        <w:rPr>
          <w:lang w:val="en-GB"/>
        </w:rPr>
        <w:t xml:space="preserve"> sorafenib or SIR-Spheres</w:t>
      </w:r>
      <w:r w:rsidR="00741E71">
        <w:rPr>
          <w:lang w:val="en-GB"/>
        </w:rPr>
        <w:t xml:space="preserve"> </w:t>
      </w:r>
      <w:r w:rsidR="00B009BF">
        <w:rPr>
          <w:lang w:val="en-GB"/>
        </w:rPr>
        <w:t xml:space="preserve">it </w:t>
      </w:r>
      <w:r w:rsidR="00741E71">
        <w:rPr>
          <w:lang w:val="en-GB"/>
        </w:rPr>
        <w:t>was</w:t>
      </w:r>
      <w:r w:rsidR="00D25644">
        <w:rPr>
          <w:lang w:val="en-GB"/>
        </w:rPr>
        <w:t xml:space="preserve"> 1.06 </w:t>
      </w:r>
      <w:r w:rsidR="00741E71">
        <w:rPr>
          <w:lang w:val="en-GB"/>
        </w:rPr>
        <w:t xml:space="preserve">(95% </w:t>
      </w:r>
      <w:proofErr w:type="spellStart"/>
      <w:r w:rsidR="00741E71">
        <w:rPr>
          <w:lang w:val="en-GB"/>
        </w:rPr>
        <w:t>C</w:t>
      </w:r>
      <w:r w:rsidR="00BB702B">
        <w:rPr>
          <w:lang w:val="en-GB"/>
        </w:rPr>
        <w:t>r</w:t>
      </w:r>
      <w:r w:rsidR="00741E71">
        <w:rPr>
          <w:lang w:val="en-GB"/>
        </w:rPr>
        <w:t>I</w:t>
      </w:r>
      <w:proofErr w:type="spellEnd"/>
      <w:r w:rsidR="00741E71">
        <w:rPr>
          <w:lang w:val="en-GB"/>
        </w:rPr>
        <w:t xml:space="preserve"> </w:t>
      </w:r>
      <w:r w:rsidR="00D25644">
        <w:rPr>
          <w:lang w:val="en-GB"/>
        </w:rPr>
        <w:t>0.79 to 1.4</w:t>
      </w:r>
      <w:r w:rsidR="00741E71">
        <w:rPr>
          <w:lang w:val="en-GB"/>
        </w:rPr>
        <w:t>)</w:t>
      </w:r>
      <w:r w:rsidR="00D25644">
        <w:rPr>
          <w:lang w:val="en-GB"/>
        </w:rPr>
        <w:t xml:space="preserve"> or 1.13 </w:t>
      </w:r>
      <w:r w:rsidR="00741E71">
        <w:rPr>
          <w:lang w:val="en-GB"/>
        </w:rPr>
        <w:t xml:space="preserve">(95% </w:t>
      </w:r>
      <w:proofErr w:type="spellStart"/>
      <w:r w:rsidR="00741E71">
        <w:rPr>
          <w:lang w:val="en-GB"/>
        </w:rPr>
        <w:t>C</w:t>
      </w:r>
      <w:r w:rsidR="00BB702B">
        <w:rPr>
          <w:lang w:val="en-GB"/>
        </w:rPr>
        <w:t>r</w:t>
      </w:r>
      <w:r w:rsidR="00741E71">
        <w:rPr>
          <w:lang w:val="en-GB"/>
        </w:rPr>
        <w:t>I</w:t>
      </w:r>
      <w:proofErr w:type="spellEnd"/>
      <w:r w:rsidR="00741E71">
        <w:rPr>
          <w:lang w:val="en-GB"/>
        </w:rPr>
        <w:t xml:space="preserve"> </w:t>
      </w:r>
      <w:r w:rsidR="00D25644">
        <w:rPr>
          <w:lang w:val="en-GB"/>
        </w:rPr>
        <w:t>0.79 to 1.57</w:t>
      </w:r>
      <w:r w:rsidR="00741E71">
        <w:rPr>
          <w:lang w:val="en-GB"/>
        </w:rPr>
        <w:t>)</w:t>
      </w:r>
      <w:r w:rsidR="00D25644">
        <w:rPr>
          <w:lang w:val="en-GB"/>
        </w:rPr>
        <w:t xml:space="preserve"> respectively</w:t>
      </w:r>
      <w:r w:rsidR="002309D0">
        <w:rPr>
          <w:lang w:val="en-GB"/>
        </w:rPr>
        <w:t>. The mean H</w:t>
      </w:r>
      <w:r w:rsidR="00B009BF">
        <w:rPr>
          <w:lang w:val="en-GB"/>
        </w:rPr>
        <w:t>Rs</w:t>
      </w:r>
      <w:r w:rsidR="002309D0">
        <w:rPr>
          <w:lang w:val="en-GB"/>
        </w:rPr>
        <w:t xml:space="preserve"> for</w:t>
      </w:r>
      <w:r w:rsidR="00D25644">
        <w:rPr>
          <w:lang w:val="en-GB"/>
        </w:rPr>
        <w:t xml:space="preserve"> </w:t>
      </w:r>
      <w:proofErr w:type="spellStart"/>
      <w:r w:rsidR="00D25644">
        <w:rPr>
          <w:lang w:val="en-GB"/>
        </w:rPr>
        <w:t>TheraSpheres</w:t>
      </w:r>
      <w:proofErr w:type="spellEnd"/>
      <w:r w:rsidR="00D25644">
        <w:rPr>
          <w:lang w:val="en-GB"/>
        </w:rPr>
        <w:t xml:space="preserve"> </w:t>
      </w:r>
      <w:r w:rsidR="00B054A7">
        <w:rPr>
          <w:lang w:val="en-GB"/>
        </w:rPr>
        <w:t>compared with</w:t>
      </w:r>
      <w:r w:rsidR="00D25644">
        <w:rPr>
          <w:lang w:val="en-GB"/>
        </w:rPr>
        <w:t xml:space="preserve"> sorafenib or SIR-Spheres or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2309D0">
        <w:rPr>
          <w:lang w:val="en-GB"/>
        </w:rPr>
        <w:t xml:space="preserve">were </w:t>
      </w:r>
      <w:r w:rsidR="00D25644">
        <w:rPr>
          <w:lang w:val="en-GB"/>
        </w:rPr>
        <w:t xml:space="preserve">0.41 </w:t>
      </w:r>
      <w:r w:rsidR="00B009BF">
        <w:rPr>
          <w:lang w:val="en-GB"/>
        </w:rPr>
        <w:t xml:space="preserve">(95% </w:t>
      </w:r>
      <w:proofErr w:type="spellStart"/>
      <w:r w:rsidR="00B009BF">
        <w:rPr>
          <w:lang w:val="en-GB"/>
        </w:rPr>
        <w:t>C</w:t>
      </w:r>
      <w:r w:rsidR="00BB702B">
        <w:rPr>
          <w:lang w:val="en-GB"/>
        </w:rPr>
        <w:t>r</w:t>
      </w:r>
      <w:r w:rsidR="00B009BF">
        <w:rPr>
          <w:lang w:val="en-GB"/>
        </w:rPr>
        <w:t>I</w:t>
      </w:r>
      <w:proofErr w:type="spellEnd"/>
      <w:r w:rsidR="00B009BF">
        <w:rPr>
          <w:lang w:val="en-GB"/>
        </w:rPr>
        <w:t xml:space="preserve"> </w:t>
      </w:r>
      <w:r w:rsidR="00D25644">
        <w:rPr>
          <w:lang w:val="en-GB"/>
        </w:rPr>
        <w:t>0.20 to 0.77</w:t>
      </w:r>
      <w:r w:rsidR="00B009BF">
        <w:rPr>
          <w:lang w:val="en-GB"/>
        </w:rPr>
        <w:t>)</w:t>
      </w:r>
      <w:r w:rsidR="00D25644">
        <w:rPr>
          <w:lang w:val="en-GB"/>
        </w:rPr>
        <w:t xml:space="preserve"> or 0.44 </w:t>
      </w:r>
      <w:r w:rsidR="00B009BF">
        <w:rPr>
          <w:lang w:val="en-GB"/>
        </w:rPr>
        <w:t xml:space="preserve">(95% </w:t>
      </w:r>
      <w:proofErr w:type="spellStart"/>
      <w:r w:rsidR="00B009BF">
        <w:rPr>
          <w:lang w:val="en-GB"/>
        </w:rPr>
        <w:t>C</w:t>
      </w:r>
      <w:r w:rsidR="00BB702B">
        <w:rPr>
          <w:lang w:val="en-GB"/>
        </w:rPr>
        <w:t>r</w:t>
      </w:r>
      <w:r w:rsidR="00B009BF">
        <w:rPr>
          <w:lang w:val="en-GB"/>
        </w:rPr>
        <w:t>I</w:t>
      </w:r>
      <w:proofErr w:type="spellEnd"/>
      <w:r w:rsidR="00B009BF">
        <w:rPr>
          <w:lang w:val="en-GB"/>
        </w:rPr>
        <w:t xml:space="preserve"> </w:t>
      </w:r>
      <w:r w:rsidR="00D25644">
        <w:rPr>
          <w:lang w:val="en-GB"/>
        </w:rPr>
        <w:t>0.20 to 0.84</w:t>
      </w:r>
      <w:r w:rsidR="00B009BF">
        <w:rPr>
          <w:lang w:val="en-GB"/>
        </w:rPr>
        <w:t>)</w:t>
      </w:r>
      <w:r w:rsidR="00D25644">
        <w:rPr>
          <w:lang w:val="en-GB"/>
        </w:rPr>
        <w:t xml:space="preserve"> or 0.4 </w:t>
      </w:r>
      <w:r w:rsidR="00B009BF">
        <w:rPr>
          <w:lang w:val="en-GB"/>
        </w:rPr>
        <w:t xml:space="preserve">(95% </w:t>
      </w:r>
      <w:proofErr w:type="spellStart"/>
      <w:r w:rsidR="00B009BF">
        <w:rPr>
          <w:lang w:val="en-GB"/>
        </w:rPr>
        <w:t>C</w:t>
      </w:r>
      <w:r w:rsidR="00BB702B">
        <w:rPr>
          <w:lang w:val="en-GB"/>
        </w:rPr>
        <w:t>r</w:t>
      </w:r>
      <w:r w:rsidR="00B009BF">
        <w:rPr>
          <w:lang w:val="en-GB"/>
        </w:rPr>
        <w:t>I</w:t>
      </w:r>
      <w:proofErr w:type="spellEnd"/>
      <w:r w:rsidR="00B009BF">
        <w:rPr>
          <w:lang w:val="en-GB"/>
        </w:rPr>
        <w:t xml:space="preserve"> </w:t>
      </w:r>
      <w:r w:rsidR="00D25644">
        <w:rPr>
          <w:lang w:val="en-GB"/>
        </w:rPr>
        <w:t>0.18 to 0.78</w:t>
      </w:r>
      <w:r w:rsidR="00B009BF">
        <w:rPr>
          <w:lang w:val="en-GB"/>
        </w:rPr>
        <w:t>)</w:t>
      </w:r>
      <w:r w:rsidR="00D25644">
        <w:rPr>
          <w:lang w:val="en-GB"/>
        </w:rPr>
        <w:t xml:space="preserve"> respectively</w:t>
      </w:r>
      <w:r w:rsidR="00B009BF">
        <w:rPr>
          <w:lang w:val="en-GB"/>
        </w:rPr>
        <w:t>.</w:t>
      </w:r>
      <w:r w:rsidR="00D25644">
        <w:rPr>
          <w:lang w:val="en-GB"/>
        </w:rPr>
        <w:t xml:space="preserve"> </w:t>
      </w:r>
      <w:r w:rsidR="00B009BF">
        <w:rPr>
          <w:lang w:val="en-GB"/>
        </w:rPr>
        <w:t>I</w:t>
      </w:r>
      <w:r w:rsidR="00D25644">
        <w:rPr>
          <w:lang w:val="en-GB"/>
        </w:rPr>
        <w:t xml:space="preserve">n </w:t>
      </w:r>
      <w:r w:rsidR="00B009BF">
        <w:rPr>
          <w:lang w:val="en-GB"/>
        </w:rPr>
        <w:t xml:space="preserve">the </w:t>
      </w:r>
      <w:r w:rsidR="00D25644">
        <w:rPr>
          <w:lang w:val="en-GB"/>
        </w:rPr>
        <w:t xml:space="preserve">ITT population </w:t>
      </w:r>
      <w:r w:rsidR="00B009BF">
        <w:rPr>
          <w:lang w:val="en-GB"/>
        </w:rPr>
        <w:t xml:space="preserve">the mean HR </w:t>
      </w:r>
      <w:r w:rsidR="00D25644">
        <w:rPr>
          <w:lang w:val="en-GB"/>
        </w:rPr>
        <w:t>for SIR</w:t>
      </w:r>
      <w:r w:rsidR="00D25644">
        <w:rPr>
          <w:lang w:val="en-GB"/>
        </w:rPr>
        <w:noBreakHyphen/>
        <w:t xml:space="preserve">Spheres </w:t>
      </w:r>
      <w:r w:rsidR="00B009BF">
        <w:rPr>
          <w:lang w:val="en-GB"/>
        </w:rPr>
        <w:t>compared with</w:t>
      </w:r>
      <w:r w:rsidR="00D25644">
        <w:rPr>
          <w:lang w:val="en-GB"/>
        </w:rPr>
        <w:t xml:space="preserve"> sorafenib </w:t>
      </w:r>
      <w:r w:rsidR="00B009BF">
        <w:rPr>
          <w:lang w:val="en-GB"/>
        </w:rPr>
        <w:t xml:space="preserve">was </w:t>
      </w:r>
      <w:r w:rsidR="00D25644">
        <w:rPr>
          <w:lang w:val="en-GB"/>
        </w:rPr>
        <w:t xml:space="preserve">1.13 </w:t>
      </w:r>
      <w:r w:rsidR="004371B7">
        <w:rPr>
          <w:lang w:val="en-GB"/>
        </w:rPr>
        <w:t xml:space="preserve">(95% </w:t>
      </w:r>
      <w:proofErr w:type="spellStart"/>
      <w:r w:rsidR="004371B7">
        <w:rPr>
          <w:lang w:val="en-GB"/>
        </w:rPr>
        <w:t>C</w:t>
      </w:r>
      <w:r w:rsidR="00BB702B">
        <w:rPr>
          <w:lang w:val="en-GB"/>
        </w:rPr>
        <w:t>r</w:t>
      </w:r>
      <w:r w:rsidR="004371B7">
        <w:rPr>
          <w:lang w:val="en-GB"/>
        </w:rPr>
        <w:t>I</w:t>
      </w:r>
      <w:proofErr w:type="spellEnd"/>
      <w:r w:rsidR="004371B7">
        <w:rPr>
          <w:lang w:val="en-GB"/>
        </w:rPr>
        <w:t xml:space="preserve"> </w:t>
      </w:r>
      <w:r w:rsidR="00D25644">
        <w:rPr>
          <w:lang w:val="en-GB"/>
        </w:rPr>
        <w:t>0.96 to 1.32</w:t>
      </w:r>
      <w:r w:rsidR="004371B7">
        <w:rPr>
          <w:lang w:val="en-GB"/>
        </w:rPr>
        <w:t>)</w:t>
      </w:r>
      <w:r w:rsidR="00D25644">
        <w:rPr>
          <w:lang w:val="en-GB"/>
        </w:rPr>
        <w:t xml:space="preserve">, </w:t>
      </w:r>
      <w:r w:rsidR="004371B7">
        <w:rPr>
          <w:lang w:val="en-GB"/>
        </w:rPr>
        <w:t xml:space="preserve">for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4371B7">
        <w:rPr>
          <w:lang w:val="en-GB"/>
        </w:rPr>
        <w:t>compared with</w:t>
      </w:r>
      <w:r w:rsidR="00D25644">
        <w:rPr>
          <w:lang w:val="en-GB"/>
        </w:rPr>
        <w:t xml:space="preserve"> sorafenib or SIR-Spheres</w:t>
      </w:r>
      <w:r w:rsidR="004371B7">
        <w:rPr>
          <w:lang w:val="en-GB"/>
        </w:rPr>
        <w:t xml:space="preserve"> the HRs were</w:t>
      </w:r>
      <w:r w:rsidR="00D25644">
        <w:rPr>
          <w:lang w:val="en-GB"/>
        </w:rPr>
        <w:t xml:space="preserve"> 1.06 </w:t>
      </w:r>
      <w:r w:rsidR="004371B7">
        <w:rPr>
          <w:lang w:val="en-GB"/>
        </w:rPr>
        <w:t xml:space="preserve">(95% </w:t>
      </w:r>
      <w:proofErr w:type="spellStart"/>
      <w:r w:rsidR="004371B7">
        <w:rPr>
          <w:lang w:val="en-GB"/>
        </w:rPr>
        <w:t>C</w:t>
      </w:r>
      <w:r w:rsidR="00BB702B">
        <w:rPr>
          <w:lang w:val="en-GB"/>
        </w:rPr>
        <w:t>r</w:t>
      </w:r>
      <w:r w:rsidR="004371B7">
        <w:rPr>
          <w:lang w:val="en-GB"/>
        </w:rPr>
        <w:t>I</w:t>
      </w:r>
      <w:proofErr w:type="spellEnd"/>
      <w:r w:rsidR="004371B7">
        <w:rPr>
          <w:lang w:val="en-GB"/>
        </w:rPr>
        <w:t xml:space="preserve"> </w:t>
      </w:r>
      <w:r w:rsidR="00D25644">
        <w:rPr>
          <w:lang w:val="en-GB"/>
        </w:rPr>
        <w:t>0.79 to 1.4</w:t>
      </w:r>
      <w:r w:rsidR="004371B7">
        <w:rPr>
          <w:lang w:val="en-GB"/>
        </w:rPr>
        <w:t>)</w:t>
      </w:r>
      <w:r w:rsidR="00D25644">
        <w:rPr>
          <w:lang w:val="en-GB"/>
        </w:rPr>
        <w:t xml:space="preserve"> or 0.95 </w:t>
      </w:r>
      <w:r w:rsidR="004371B7">
        <w:rPr>
          <w:lang w:val="en-GB"/>
        </w:rPr>
        <w:t xml:space="preserve">(95% </w:t>
      </w:r>
      <w:proofErr w:type="spellStart"/>
      <w:r w:rsidR="004371B7">
        <w:rPr>
          <w:lang w:val="en-GB"/>
        </w:rPr>
        <w:t>C</w:t>
      </w:r>
      <w:r w:rsidR="00BB702B">
        <w:rPr>
          <w:lang w:val="en-GB"/>
        </w:rPr>
        <w:t>r</w:t>
      </w:r>
      <w:r w:rsidR="004371B7">
        <w:rPr>
          <w:lang w:val="en-GB"/>
        </w:rPr>
        <w:t>I</w:t>
      </w:r>
      <w:proofErr w:type="spellEnd"/>
      <w:r w:rsidR="004371B7">
        <w:rPr>
          <w:lang w:val="en-GB"/>
        </w:rPr>
        <w:t xml:space="preserve"> </w:t>
      </w:r>
      <w:r w:rsidR="00D25644">
        <w:rPr>
          <w:lang w:val="en-GB"/>
        </w:rPr>
        <w:t>0.67 to 1.29</w:t>
      </w:r>
      <w:r w:rsidR="004371B7">
        <w:rPr>
          <w:lang w:val="en-GB"/>
        </w:rPr>
        <w:t>)</w:t>
      </w:r>
      <w:r w:rsidR="00D25644">
        <w:rPr>
          <w:lang w:val="en-GB"/>
        </w:rPr>
        <w:t xml:space="preserve"> respectively</w:t>
      </w:r>
      <w:r w:rsidR="00DF55C5">
        <w:rPr>
          <w:lang w:val="en-GB"/>
        </w:rPr>
        <w:t>.</w:t>
      </w:r>
      <w:r w:rsidR="00D25644">
        <w:rPr>
          <w:lang w:val="en-GB"/>
        </w:rPr>
        <w:t xml:space="preserve"> </w:t>
      </w:r>
      <w:r w:rsidR="00DF55C5">
        <w:rPr>
          <w:lang w:val="en-GB"/>
        </w:rPr>
        <w:t xml:space="preserve">For </w:t>
      </w:r>
      <w:proofErr w:type="spellStart"/>
      <w:r w:rsidR="00D25644">
        <w:rPr>
          <w:lang w:val="en-GB"/>
        </w:rPr>
        <w:t>TheraSpheres</w:t>
      </w:r>
      <w:proofErr w:type="spellEnd"/>
      <w:r w:rsidR="00D25644">
        <w:rPr>
          <w:lang w:val="en-GB"/>
        </w:rPr>
        <w:t xml:space="preserve"> </w:t>
      </w:r>
      <w:r w:rsidR="00DF55C5">
        <w:rPr>
          <w:lang w:val="en-GB"/>
        </w:rPr>
        <w:t>compared with</w:t>
      </w:r>
      <w:r w:rsidR="00D25644">
        <w:rPr>
          <w:lang w:val="en-GB"/>
        </w:rPr>
        <w:t xml:space="preserve"> sorafenib or SIR-Spheres or </w:t>
      </w:r>
      <w:proofErr w:type="spellStart"/>
      <w:r w:rsidR="00D25644">
        <w:rPr>
          <w:lang w:val="en-GB"/>
        </w:rPr>
        <w:t>lenvatinib</w:t>
      </w:r>
      <w:proofErr w:type="spellEnd"/>
      <w:r w:rsidR="00D25644">
        <w:rPr>
          <w:lang w:val="en-GB"/>
        </w:rPr>
        <w:t xml:space="preserve"> </w:t>
      </w:r>
      <w:r w:rsidR="00DF55C5">
        <w:rPr>
          <w:lang w:val="en-GB"/>
        </w:rPr>
        <w:t xml:space="preserve">the HRs were </w:t>
      </w:r>
      <w:r w:rsidR="00D25644">
        <w:rPr>
          <w:lang w:val="en-GB"/>
        </w:rPr>
        <w:t xml:space="preserve">0.47 </w:t>
      </w:r>
      <w:r w:rsidR="00DF55C5">
        <w:rPr>
          <w:lang w:val="en-GB"/>
        </w:rPr>
        <w:t xml:space="preserve">(95% </w:t>
      </w:r>
      <w:proofErr w:type="spellStart"/>
      <w:r w:rsidR="00DF55C5">
        <w:rPr>
          <w:lang w:val="en-GB"/>
        </w:rPr>
        <w:t>C</w:t>
      </w:r>
      <w:r w:rsidR="00BB702B">
        <w:rPr>
          <w:lang w:val="en-GB"/>
        </w:rPr>
        <w:t>r</w:t>
      </w:r>
      <w:r w:rsidR="00DF55C5">
        <w:rPr>
          <w:lang w:val="en-GB"/>
        </w:rPr>
        <w:t>I</w:t>
      </w:r>
      <w:proofErr w:type="spellEnd"/>
      <w:r w:rsidR="00DF55C5">
        <w:rPr>
          <w:lang w:val="en-GB"/>
        </w:rPr>
        <w:t xml:space="preserve"> </w:t>
      </w:r>
      <w:r w:rsidR="00D25644">
        <w:rPr>
          <w:lang w:val="en-GB"/>
        </w:rPr>
        <w:t>0.21 to 0.88</w:t>
      </w:r>
      <w:r w:rsidR="00DF55C5">
        <w:rPr>
          <w:lang w:val="en-GB"/>
        </w:rPr>
        <w:t>)</w:t>
      </w:r>
      <w:r w:rsidR="00D25644">
        <w:rPr>
          <w:lang w:val="en-GB"/>
        </w:rPr>
        <w:t xml:space="preserve"> or 0.41 </w:t>
      </w:r>
      <w:r w:rsidR="00DF55C5">
        <w:rPr>
          <w:lang w:val="en-GB"/>
        </w:rPr>
        <w:t xml:space="preserve">(95% </w:t>
      </w:r>
      <w:proofErr w:type="spellStart"/>
      <w:r w:rsidR="00DF55C5">
        <w:rPr>
          <w:lang w:val="en-GB"/>
        </w:rPr>
        <w:t>C</w:t>
      </w:r>
      <w:r w:rsidR="00BB702B">
        <w:rPr>
          <w:lang w:val="en-GB"/>
        </w:rPr>
        <w:t>r</w:t>
      </w:r>
      <w:r w:rsidR="00DF55C5">
        <w:rPr>
          <w:lang w:val="en-GB"/>
        </w:rPr>
        <w:t>I</w:t>
      </w:r>
      <w:proofErr w:type="spellEnd"/>
      <w:r w:rsidR="00DF55C5">
        <w:rPr>
          <w:lang w:val="en-GB"/>
        </w:rPr>
        <w:t xml:space="preserve"> </w:t>
      </w:r>
      <w:r w:rsidR="00D25644">
        <w:rPr>
          <w:lang w:val="en-GB"/>
        </w:rPr>
        <w:t>0.20 to 0.77</w:t>
      </w:r>
      <w:r w:rsidR="00DF55C5">
        <w:rPr>
          <w:lang w:val="en-GB"/>
        </w:rPr>
        <w:t>)</w:t>
      </w:r>
      <w:r w:rsidR="00D25644">
        <w:rPr>
          <w:lang w:val="en-GB"/>
        </w:rPr>
        <w:t xml:space="preserve"> or 0.45 </w:t>
      </w:r>
      <w:r w:rsidR="00DF55C5">
        <w:rPr>
          <w:lang w:val="en-GB"/>
        </w:rPr>
        <w:t xml:space="preserve">(95% </w:t>
      </w:r>
      <w:proofErr w:type="spellStart"/>
      <w:r w:rsidR="00DF55C5">
        <w:rPr>
          <w:lang w:val="en-GB"/>
        </w:rPr>
        <w:t>C</w:t>
      </w:r>
      <w:r w:rsidR="00BB702B">
        <w:rPr>
          <w:lang w:val="en-GB"/>
        </w:rPr>
        <w:t>r</w:t>
      </w:r>
      <w:r w:rsidR="00DF55C5">
        <w:rPr>
          <w:lang w:val="en-GB"/>
        </w:rPr>
        <w:t>I</w:t>
      </w:r>
      <w:proofErr w:type="spellEnd"/>
      <w:r w:rsidR="00DF55C5">
        <w:rPr>
          <w:lang w:val="en-GB"/>
        </w:rPr>
        <w:t xml:space="preserve"> </w:t>
      </w:r>
      <w:r w:rsidR="00D25644">
        <w:rPr>
          <w:lang w:val="en-GB"/>
        </w:rPr>
        <w:t>0.20 to 0.89</w:t>
      </w:r>
      <w:r w:rsidR="00DF55C5">
        <w:rPr>
          <w:lang w:val="en-GB"/>
        </w:rPr>
        <w:t>)</w:t>
      </w:r>
      <w:r w:rsidR="00D25644">
        <w:rPr>
          <w:lang w:val="en-GB"/>
        </w:rPr>
        <w:t xml:space="preserve"> respectively</w:t>
      </w:r>
      <w:r w:rsidR="0018095E">
        <w:rPr>
          <w:lang w:val="en-GB"/>
        </w:rPr>
        <w:t>.</w:t>
      </w:r>
      <w:r w:rsidR="00E154E3">
        <w:rPr>
          <w:lang w:val="en-GB"/>
        </w:rPr>
        <w:t xml:space="preserve"> In an </w:t>
      </w:r>
      <w:r w:rsidR="00E154E3">
        <w:rPr>
          <w:lang w:val="en-GB"/>
        </w:rPr>
        <w:t xml:space="preserve">alternative analysis with a wider population, SIR-Spheres </w:t>
      </w:r>
      <w:r w:rsidR="00E7391F">
        <w:rPr>
          <w:lang w:val="en-GB"/>
        </w:rPr>
        <w:t>was</w:t>
      </w:r>
      <w:r w:rsidR="00E154E3">
        <w:rPr>
          <w:lang w:val="en-GB"/>
        </w:rPr>
        <w:t xml:space="preserve"> less effective than sorafenib. In the corresponding sensitivity analysis including the retrospective evidence, </w:t>
      </w:r>
      <w:proofErr w:type="spellStart"/>
      <w:r w:rsidR="00E154E3">
        <w:rPr>
          <w:lang w:val="en-GB"/>
        </w:rPr>
        <w:t>TheraSphere</w:t>
      </w:r>
      <w:proofErr w:type="spellEnd"/>
      <w:r w:rsidR="00E154E3">
        <w:rPr>
          <w:lang w:val="en-GB"/>
        </w:rPr>
        <w:t xml:space="preserve"> was </w:t>
      </w:r>
      <w:r w:rsidR="00E7391F">
        <w:rPr>
          <w:lang w:val="en-GB"/>
        </w:rPr>
        <w:t xml:space="preserve">again </w:t>
      </w:r>
      <w:r w:rsidR="00E154E3">
        <w:rPr>
          <w:lang w:val="en-GB"/>
        </w:rPr>
        <w:t xml:space="preserve">more effective than </w:t>
      </w:r>
      <w:r w:rsidR="00E154E3" w:rsidRPr="00E154E3">
        <w:rPr>
          <w:lang w:val="en-GB"/>
        </w:rPr>
        <w:t xml:space="preserve">SIR-Spheres, sorafenib and </w:t>
      </w:r>
      <w:proofErr w:type="spellStart"/>
      <w:r w:rsidR="00E154E3" w:rsidRPr="00E154E3">
        <w:rPr>
          <w:lang w:val="en-GB"/>
        </w:rPr>
        <w:t>lenvatinib</w:t>
      </w:r>
      <w:proofErr w:type="spellEnd"/>
      <w:r w:rsidR="00E154E3">
        <w:rPr>
          <w:lang w:val="en-GB"/>
        </w:rPr>
        <w:t xml:space="preserve">. </w:t>
      </w:r>
      <w:r w:rsidR="00E154E3" w:rsidRPr="00E154E3">
        <w:rPr>
          <w:lang w:val="en-GB"/>
        </w:rPr>
        <w:t xml:space="preserve">The </w:t>
      </w:r>
      <w:r w:rsidR="00234296">
        <w:rPr>
          <w:lang w:val="en-GB"/>
        </w:rPr>
        <w:t xml:space="preserve">AG assessment suggested that the </w:t>
      </w:r>
      <w:r w:rsidR="00E154E3">
        <w:rPr>
          <w:lang w:val="en-GB"/>
        </w:rPr>
        <w:t>retrospective</w:t>
      </w:r>
      <w:r w:rsidR="00E154E3" w:rsidRPr="00E154E3">
        <w:rPr>
          <w:lang w:val="en-GB"/>
        </w:rPr>
        <w:t xml:space="preserve"> studies had a high risk of bias </w:t>
      </w:r>
      <w:r w:rsidR="00E154E3">
        <w:rPr>
          <w:lang w:val="en-GB"/>
        </w:rPr>
        <w:t xml:space="preserve">and </w:t>
      </w:r>
      <w:r w:rsidR="00234296">
        <w:rPr>
          <w:lang w:val="en-GB"/>
        </w:rPr>
        <w:t xml:space="preserve">uncertain </w:t>
      </w:r>
      <w:r w:rsidR="00E154E3">
        <w:rPr>
          <w:lang w:val="en-GB"/>
        </w:rPr>
        <w:t xml:space="preserve">results </w:t>
      </w:r>
      <w:r w:rsidR="00497C58">
        <w:rPr>
          <w:lang w:val="en-GB"/>
        </w:rPr>
        <w:t>(see section</w:t>
      </w:r>
      <w:r w:rsidR="007905C4">
        <w:rPr>
          <w:lang w:val="en-GB"/>
        </w:rPr>
        <w:t xml:space="preserve"> </w:t>
      </w:r>
      <w:r w:rsidR="007905C4">
        <w:rPr>
          <w:lang w:val="en-GB"/>
        </w:rPr>
        <w:fldChar w:fldCharType="begin"/>
      </w:r>
      <w:r w:rsidR="007905C4">
        <w:rPr>
          <w:lang w:val="en-GB"/>
        </w:rPr>
        <w:instrText xml:space="preserve"> REF _Ref25612133 \r \h </w:instrText>
      </w:r>
      <w:r w:rsidR="007905C4">
        <w:rPr>
          <w:lang w:val="en-GB"/>
        </w:rPr>
      </w:r>
      <w:r w:rsidR="007905C4">
        <w:rPr>
          <w:lang w:val="en-GB"/>
        </w:rPr>
        <w:fldChar w:fldCharType="separate"/>
      </w:r>
      <w:r w:rsidR="00B51242">
        <w:rPr>
          <w:lang w:val="en-GB"/>
        </w:rPr>
        <w:t>3.17</w:t>
      </w:r>
      <w:r w:rsidR="007905C4">
        <w:rPr>
          <w:lang w:val="en-GB"/>
        </w:rPr>
        <w:fldChar w:fldCharType="end"/>
      </w:r>
      <w:r w:rsidR="00404A5B">
        <w:rPr>
          <w:lang w:val="en-GB"/>
        </w:rPr>
        <w:t>)</w:t>
      </w:r>
      <w:r w:rsidR="00E154E3" w:rsidRPr="00E154E3">
        <w:rPr>
          <w:lang w:val="en-GB"/>
        </w:rPr>
        <w:t>.</w:t>
      </w:r>
      <w:r w:rsidR="00E154E3">
        <w:rPr>
          <w:lang w:val="en-GB"/>
        </w:rPr>
        <w:t xml:space="preserve"> The committee agreed that the retrospective studies should not be included in the analysis</w:t>
      </w:r>
      <w:r w:rsidR="00C02452">
        <w:rPr>
          <w:lang w:val="en-GB"/>
        </w:rPr>
        <w:t xml:space="preserve"> because of </w:t>
      </w:r>
      <w:r w:rsidR="00234296">
        <w:rPr>
          <w:lang w:val="en-GB"/>
        </w:rPr>
        <w:t>the</w:t>
      </w:r>
      <w:r w:rsidR="00C02452">
        <w:rPr>
          <w:lang w:val="en-GB"/>
        </w:rPr>
        <w:t xml:space="preserve"> </w:t>
      </w:r>
      <w:r w:rsidR="00234296">
        <w:rPr>
          <w:lang w:val="en-GB"/>
        </w:rPr>
        <w:t xml:space="preserve">risk of </w:t>
      </w:r>
      <w:r w:rsidR="00C02452">
        <w:rPr>
          <w:lang w:val="en-GB"/>
        </w:rPr>
        <w:t>bias</w:t>
      </w:r>
      <w:r w:rsidR="00E154E3">
        <w:rPr>
          <w:lang w:val="en-GB"/>
        </w:rPr>
        <w:t xml:space="preserve">. </w:t>
      </w:r>
      <w:r w:rsidR="00CB7F03">
        <w:rPr>
          <w:lang w:val="en-GB"/>
        </w:rPr>
        <w:t>It</w:t>
      </w:r>
      <w:r w:rsidR="00E154E3">
        <w:rPr>
          <w:lang w:val="en-GB"/>
        </w:rPr>
        <w:t xml:space="preserve"> </w:t>
      </w:r>
      <w:r w:rsidR="00234296">
        <w:rPr>
          <w:lang w:val="en-GB"/>
        </w:rPr>
        <w:t xml:space="preserve">agreed </w:t>
      </w:r>
      <w:r w:rsidR="00E154E3">
        <w:rPr>
          <w:lang w:val="en-GB"/>
        </w:rPr>
        <w:t xml:space="preserve">that the comparative effectiveness results </w:t>
      </w:r>
      <w:r w:rsidR="00234296">
        <w:rPr>
          <w:lang w:val="en-GB"/>
        </w:rPr>
        <w:t>based on RCT evidence</w:t>
      </w:r>
      <w:r w:rsidR="00E154E3">
        <w:rPr>
          <w:lang w:val="en-GB"/>
        </w:rPr>
        <w:t xml:space="preserve"> could be used in a cost-effectiveness analysis. The committee concluded that </w:t>
      </w:r>
      <w:r w:rsidR="00E154E3" w:rsidRPr="00E154E3">
        <w:rPr>
          <w:lang w:val="en-GB"/>
        </w:rPr>
        <w:t xml:space="preserve">the estimates of comparative effectiveness </w:t>
      </w:r>
      <w:r w:rsidR="00E154E3">
        <w:rPr>
          <w:lang w:val="en-GB"/>
        </w:rPr>
        <w:t>were</w:t>
      </w:r>
      <w:r w:rsidR="00E154E3" w:rsidRPr="00E154E3">
        <w:rPr>
          <w:lang w:val="en-GB"/>
        </w:rPr>
        <w:t xml:space="preserve"> </w:t>
      </w:r>
      <w:proofErr w:type="gramStart"/>
      <w:r w:rsidR="00E154E3" w:rsidRPr="00E154E3">
        <w:rPr>
          <w:lang w:val="en-GB"/>
        </w:rPr>
        <w:t>uncertain</w:t>
      </w:r>
      <w:r w:rsidR="00234296">
        <w:rPr>
          <w:lang w:val="en-GB"/>
        </w:rPr>
        <w:t>,</w:t>
      </w:r>
      <w:r w:rsidR="00E154E3" w:rsidRPr="00E154E3">
        <w:rPr>
          <w:lang w:val="en-GB"/>
        </w:rPr>
        <w:t xml:space="preserve"> </w:t>
      </w:r>
      <w:r w:rsidR="00E154E3">
        <w:rPr>
          <w:lang w:val="en-GB"/>
        </w:rPr>
        <w:t>but</w:t>
      </w:r>
      <w:proofErr w:type="gramEnd"/>
      <w:r w:rsidR="00E154E3">
        <w:rPr>
          <w:lang w:val="en-GB"/>
        </w:rPr>
        <w:t xml:space="preserve"> </w:t>
      </w:r>
      <w:r w:rsidR="00234296">
        <w:rPr>
          <w:lang w:val="en-GB"/>
        </w:rPr>
        <w:t>were suitable to inform</w:t>
      </w:r>
      <w:r w:rsidR="00E154E3">
        <w:rPr>
          <w:lang w:val="en-GB"/>
        </w:rPr>
        <w:t xml:space="preserve"> </w:t>
      </w:r>
      <w:r w:rsidR="00C02452">
        <w:rPr>
          <w:lang w:val="en-GB"/>
        </w:rPr>
        <w:t>decision making</w:t>
      </w:r>
      <w:r w:rsidR="00E154E3" w:rsidRPr="00E154E3">
        <w:rPr>
          <w:lang w:val="en-GB"/>
        </w:rPr>
        <w:t>.</w:t>
      </w:r>
      <w:bookmarkEnd w:id="16"/>
    </w:p>
    <w:p w14:paraId="36C8E530" w14:textId="1A93C694" w:rsidR="00470CDF" w:rsidRDefault="00470CDF" w:rsidP="00470CDF">
      <w:pPr>
        <w:pStyle w:val="Heading2"/>
      </w:pPr>
      <w:r>
        <w:lastRenderedPageBreak/>
        <w:t>Cost-effectiveness evidence</w:t>
      </w:r>
    </w:p>
    <w:p w14:paraId="6039E4A6" w14:textId="074CB7EF" w:rsidR="00EA7925" w:rsidRDefault="00115831" w:rsidP="00EA7925">
      <w:pPr>
        <w:pStyle w:val="Heading3"/>
      </w:pPr>
      <w:r>
        <w:t>The</w:t>
      </w:r>
      <w:r w:rsidR="00EA7925">
        <w:t xml:space="preserve"> </w:t>
      </w:r>
      <w:r w:rsidR="008F6105">
        <w:t>AG</w:t>
      </w:r>
      <w:r w:rsidR="00FD04ED">
        <w:t>’</w:t>
      </w:r>
      <w:r w:rsidR="00FE5353">
        <w:t>s model w</w:t>
      </w:r>
      <w:r w:rsidR="00FD04ED">
        <w:t>as</w:t>
      </w:r>
      <w:r w:rsidR="00FE5353">
        <w:t xml:space="preserve"> used for decision making</w:t>
      </w:r>
    </w:p>
    <w:p w14:paraId="7D1BBA35" w14:textId="3D9A8627" w:rsidR="00EA7925" w:rsidRPr="00EA7925" w:rsidRDefault="005244F5" w:rsidP="00EA7925">
      <w:pPr>
        <w:pStyle w:val="Numberedlevel2text"/>
      </w:pPr>
      <w:r>
        <w:rPr>
          <w:lang w:val="en-GB"/>
        </w:rPr>
        <w:t xml:space="preserve">There were 2 </w:t>
      </w:r>
      <w:r w:rsidR="00652417">
        <w:rPr>
          <w:lang w:val="en-GB"/>
        </w:rPr>
        <w:t>companies</w:t>
      </w:r>
      <w:r w:rsidR="00EA7925">
        <w:rPr>
          <w:lang w:val="en-GB"/>
        </w:rPr>
        <w:t xml:space="preserve"> </w:t>
      </w:r>
      <w:r>
        <w:rPr>
          <w:lang w:val="en-GB"/>
        </w:rPr>
        <w:t xml:space="preserve">that </w:t>
      </w:r>
      <w:r w:rsidR="00EA7925">
        <w:rPr>
          <w:lang w:val="en-GB"/>
        </w:rPr>
        <w:t>included economic analys</w:t>
      </w:r>
      <w:r w:rsidR="00E7391F">
        <w:rPr>
          <w:lang w:val="en-GB"/>
        </w:rPr>
        <w:t>e</w:t>
      </w:r>
      <w:r w:rsidR="00EA7925">
        <w:rPr>
          <w:lang w:val="en-GB"/>
        </w:rPr>
        <w:t>s in their submission</w:t>
      </w:r>
      <w:r w:rsidR="00E7391F">
        <w:rPr>
          <w:lang w:val="en-GB"/>
        </w:rPr>
        <w:t>s</w:t>
      </w:r>
      <w:r w:rsidR="00EA7925">
        <w:rPr>
          <w:lang w:val="en-GB"/>
        </w:rPr>
        <w:t>. For SIR-Spheres</w:t>
      </w:r>
      <w:r w:rsidR="00E7391F">
        <w:rPr>
          <w:lang w:val="en-GB"/>
        </w:rPr>
        <w:t>,</w:t>
      </w:r>
      <w:r w:rsidR="00EA7925">
        <w:rPr>
          <w:lang w:val="en-GB"/>
        </w:rPr>
        <w:t xml:space="preserve"> the company submitted a cost-minimisation analysis for people </w:t>
      </w:r>
      <w:r w:rsidR="00CB7F03">
        <w:rPr>
          <w:lang w:val="en-GB"/>
        </w:rPr>
        <w:t>when</w:t>
      </w:r>
      <w:r w:rsidR="00B74228" w:rsidRPr="00B74228">
        <w:rPr>
          <w:lang w:val="en-GB"/>
        </w:rPr>
        <w:t xml:space="preserve"> </w:t>
      </w:r>
      <w:r w:rsidR="00FE3581">
        <w:rPr>
          <w:lang w:val="en-GB"/>
        </w:rPr>
        <w:t xml:space="preserve">CTT </w:t>
      </w:r>
      <w:r w:rsidR="00ED7351">
        <w:rPr>
          <w:lang w:val="en-GB"/>
        </w:rPr>
        <w:t>was</w:t>
      </w:r>
      <w:r w:rsidR="00B74228" w:rsidRPr="00B74228">
        <w:rPr>
          <w:lang w:val="en-GB"/>
        </w:rPr>
        <w:t xml:space="preserve"> appropriate</w:t>
      </w:r>
      <w:r w:rsidR="00D25729">
        <w:rPr>
          <w:lang w:val="en-GB"/>
        </w:rPr>
        <w:t>,</w:t>
      </w:r>
      <w:r w:rsidR="00B74228" w:rsidRPr="00B74228">
        <w:rPr>
          <w:lang w:val="en-GB"/>
        </w:rPr>
        <w:t xml:space="preserve"> </w:t>
      </w:r>
      <w:r w:rsidR="00EA7925">
        <w:rPr>
          <w:lang w:val="en-GB"/>
        </w:rPr>
        <w:t xml:space="preserve">and a cost-utility analysis for people </w:t>
      </w:r>
      <w:r w:rsidR="00CB7F03">
        <w:rPr>
          <w:lang w:val="en-GB"/>
        </w:rPr>
        <w:t>when</w:t>
      </w:r>
      <w:r w:rsidR="00B74228">
        <w:t xml:space="preserve"> </w:t>
      </w:r>
      <w:r w:rsidR="00FE3581">
        <w:t xml:space="preserve">CTT </w:t>
      </w:r>
      <w:r w:rsidR="005A6DA1">
        <w:rPr>
          <w:lang w:val="en-GB"/>
        </w:rPr>
        <w:t>wa</w:t>
      </w:r>
      <w:r w:rsidR="00652417">
        <w:rPr>
          <w:lang w:val="en-GB"/>
        </w:rPr>
        <w:t>s</w:t>
      </w:r>
      <w:r w:rsidR="00B74228">
        <w:t xml:space="preserve"> </w:t>
      </w:r>
      <w:r w:rsidR="00B74228">
        <w:rPr>
          <w:lang w:val="en-GB"/>
        </w:rPr>
        <w:t>in</w:t>
      </w:r>
      <w:r w:rsidR="00B74228">
        <w:t>appropriate</w:t>
      </w:r>
      <w:r w:rsidR="00EA7925">
        <w:rPr>
          <w:lang w:val="en-GB"/>
        </w:rPr>
        <w:t>.</w:t>
      </w:r>
      <w:r w:rsidR="00B74228">
        <w:rPr>
          <w:lang w:val="en-GB"/>
        </w:rPr>
        <w:t xml:space="preserve"> </w:t>
      </w:r>
      <w:r w:rsidR="00066D90">
        <w:rPr>
          <w:lang w:val="en-GB"/>
        </w:rPr>
        <w:t>The cost-utility analysis was restricted to people with ALBI</w:t>
      </w:r>
      <w:r w:rsidR="00694165">
        <w:rPr>
          <w:lang w:val="en-GB"/>
        </w:rPr>
        <w:t xml:space="preserve"> grade </w:t>
      </w:r>
      <w:r w:rsidR="00066D90">
        <w:rPr>
          <w:lang w:val="en-GB"/>
        </w:rPr>
        <w:t>1 and low tumour burden, a subpopulation from the SARAH trial</w:t>
      </w:r>
      <w:r w:rsidR="00694165">
        <w:rPr>
          <w:lang w:val="en-GB"/>
        </w:rPr>
        <w:t xml:space="preserve"> (see section</w:t>
      </w:r>
      <w:r w:rsidR="007905C4">
        <w:rPr>
          <w:lang w:val="en-GB"/>
        </w:rPr>
        <w:t xml:space="preserve"> </w:t>
      </w:r>
      <w:r w:rsidR="007905C4">
        <w:rPr>
          <w:lang w:val="en-GB"/>
        </w:rPr>
        <w:fldChar w:fldCharType="begin"/>
      </w:r>
      <w:r w:rsidR="007905C4">
        <w:rPr>
          <w:lang w:val="en-GB"/>
        </w:rPr>
        <w:instrText xml:space="preserve"> REF _Ref25612193 \r \h </w:instrText>
      </w:r>
      <w:r w:rsidR="007905C4">
        <w:rPr>
          <w:lang w:val="en-GB"/>
        </w:rPr>
      </w:r>
      <w:r w:rsidR="007905C4">
        <w:rPr>
          <w:lang w:val="en-GB"/>
        </w:rPr>
        <w:fldChar w:fldCharType="separate"/>
      </w:r>
      <w:r w:rsidR="00B51242">
        <w:rPr>
          <w:lang w:val="en-GB"/>
        </w:rPr>
        <w:t>3.20</w:t>
      </w:r>
      <w:r w:rsidR="007905C4">
        <w:rPr>
          <w:lang w:val="en-GB"/>
        </w:rPr>
        <w:fldChar w:fldCharType="end"/>
      </w:r>
      <w:r w:rsidR="00694165">
        <w:rPr>
          <w:lang w:val="en-GB"/>
        </w:rPr>
        <w:t>)</w:t>
      </w:r>
      <w:r w:rsidR="00066D90">
        <w:rPr>
          <w:lang w:val="en-GB"/>
        </w:rPr>
        <w:t>.</w:t>
      </w:r>
      <w:r w:rsidR="00EA7925">
        <w:rPr>
          <w:lang w:val="en-GB"/>
        </w:rPr>
        <w:t xml:space="preserve"> For </w:t>
      </w:r>
      <w:proofErr w:type="spellStart"/>
      <w:r w:rsidR="00EA7925">
        <w:rPr>
          <w:lang w:val="en-GB"/>
        </w:rPr>
        <w:t>TheraSphere</w:t>
      </w:r>
      <w:proofErr w:type="spellEnd"/>
      <w:r w:rsidR="00EA7925">
        <w:rPr>
          <w:lang w:val="en-GB"/>
        </w:rPr>
        <w:t xml:space="preserve"> the company submitted 2 cost-utility analyses, 1 for people </w:t>
      </w:r>
      <w:bookmarkStart w:id="18" w:name="_Hlk24025563"/>
      <w:r w:rsidR="00CB7F03">
        <w:rPr>
          <w:lang w:val="en-GB"/>
        </w:rPr>
        <w:t>when</w:t>
      </w:r>
      <w:r w:rsidR="00F24E4E" w:rsidRPr="00B74228">
        <w:rPr>
          <w:lang w:val="en-GB"/>
        </w:rPr>
        <w:t xml:space="preserve"> </w:t>
      </w:r>
      <w:r w:rsidR="00FE3581">
        <w:rPr>
          <w:lang w:val="en-GB"/>
        </w:rPr>
        <w:t>CTT</w:t>
      </w:r>
      <w:r w:rsidR="00652417">
        <w:rPr>
          <w:lang w:val="en-GB"/>
        </w:rPr>
        <w:t xml:space="preserve"> </w:t>
      </w:r>
      <w:r w:rsidR="00ED7351">
        <w:rPr>
          <w:lang w:val="en-GB"/>
        </w:rPr>
        <w:t>wa</w:t>
      </w:r>
      <w:r w:rsidR="00FE3581">
        <w:rPr>
          <w:lang w:val="en-GB"/>
        </w:rPr>
        <w:t xml:space="preserve">s </w:t>
      </w:r>
      <w:r w:rsidR="00F24E4E" w:rsidRPr="00B74228">
        <w:rPr>
          <w:lang w:val="en-GB"/>
        </w:rPr>
        <w:t xml:space="preserve">appropriate </w:t>
      </w:r>
      <w:r w:rsidR="00EA7925">
        <w:rPr>
          <w:lang w:val="en-GB"/>
        </w:rPr>
        <w:t xml:space="preserve">and 1 for people </w:t>
      </w:r>
      <w:bookmarkEnd w:id="18"/>
      <w:r w:rsidR="00CB7F03">
        <w:rPr>
          <w:lang w:val="en-GB"/>
        </w:rPr>
        <w:t>when</w:t>
      </w:r>
      <w:r w:rsidR="00F24E4E" w:rsidRPr="00B74228">
        <w:rPr>
          <w:lang w:val="en-GB"/>
        </w:rPr>
        <w:t xml:space="preserve"> </w:t>
      </w:r>
      <w:r w:rsidR="00FE3581">
        <w:rPr>
          <w:lang w:val="en-GB"/>
        </w:rPr>
        <w:t>CTT</w:t>
      </w:r>
      <w:r w:rsidR="00652417">
        <w:rPr>
          <w:lang w:val="en-GB"/>
        </w:rPr>
        <w:t xml:space="preserve"> </w:t>
      </w:r>
      <w:r w:rsidR="00857A6F">
        <w:rPr>
          <w:lang w:val="en-GB"/>
        </w:rPr>
        <w:t>wa</w:t>
      </w:r>
      <w:r w:rsidR="00FE3581">
        <w:rPr>
          <w:lang w:val="en-GB"/>
        </w:rPr>
        <w:t xml:space="preserve">s </w:t>
      </w:r>
      <w:r w:rsidR="00F24E4E" w:rsidRPr="00B74228">
        <w:rPr>
          <w:lang w:val="en-GB"/>
        </w:rPr>
        <w:t>inappropriate</w:t>
      </w:r>
      <w:r w:rsidR="00EA7925">
        <w:rPr>
          <w:lang w:val="en-GB"/>
        </w:rPr>
        <w:t xml:space="preserve">. </w:t>
      </w:r>
      <w:r w:rsidR="00804807">
        <w:rPr>
          <w:lang w:val="en-GB"/>
        </w:rPr>
        <w:t>The committee acknowledged the submission of the companies’ models</w:t>
      </w:r>
      <w:r w:rsidR="00404A5B">
        <w:rPr>
          <w:lang w:val="en-GB"/>
        </w:rPr>
        <w:t xml:space="preserve">. It noted that the AG model used a similar structure </w:t>
      </w:r>
      <w:r w:rsidR="00FD04ED">
        <w:rPr>
          <w:lang w:val="en-GB"/>
        </w:rPr>
        <w:t>(see section</w:t>
      </w:r>
      <w:r w:rsidR="007905C4">
        <w:rPr>
          <w:lang w:val="en-GB"/>
        </w:rPr>
        <w:t xml:space="preserve"> </w:t>
      </w:r>
      <w:r w:rsidR="007905C4">
        <w:rPr>
          <w:lang w:val="en-GB"/>
        </w:rPr>
        <w:fldChar w:fldCharType="begin"/>
      </w:r>
      <w:r w:rsidR="007905C4">
        <w:rPr>
          <w:lang w:val="en-GB"/>
        </w:rPr>
        <w:instrText xml:space="preserve"> REF _Ref25517507 \r \h </w:instrText>
      </w:r>
      <w:r w:rsidR="007905C4">
        <w:rPr>
          <w:lang w:val="en-GB"/>
        </w:rPr>
      </w:r>
      <w:r w:rsidR="007905C4">
        <w:rPr>
          <w:lang w:val="en-GB"/>
        </w:rPr>
        <w:fldChar w:fldCharType="separate"/>
      </w:r>
      <w:r w:rsidR="00B51242">
        <w:rPr>
          <w:lang w:val="en-GB"/>
        </w:rPr>
        <w:t>3.27</w:t>
      </w:r>
      <w:r w:rsidR="007905C4">
        <w:rPr>
          <w:lang w:val="en-GB"/>
        </w:rPr>
        <w:fldChar w:fldCharType="end"/>
      </w:r>
      <w:r w:rsidR="00FD04ED">
        <w:rPr>
          <w:lang w:val="en-GB"/>
        </w:rPr>
        <w:t xml:space="preserve">) </w:t>
      </w:r>
      <w:r w:rsidR="00404A5B">
        <w:rPr>
          <w:lang w:val="en-GB"/>
        </w:rPr>
        <w:t>as the companies’ cost-utility analys</w:t>
      </w:r>
      <w:r w:rsidR="00652417">
        <w:rPr>
          <w:lang w:val="en-GB"/>
        </w:rPr>
        <w:t>e</w:t>
      </w:r>
      <w:r w:rsidR="00404A5B">
        <w:rPr>
          <w:lang w:val="en-GB"/>
        </w:rPr>
        <w:t>s</w:t>
      </w:r>
      <w:r w:rsidR="00652417">
        <w:rPr>
          <w:lang w:val="en-GB"/>
        </w:rPr>
        <w:t>,</w:t>
      </w:r>
      <w:r w:rsidR="00404A5B">
        <w:rPr>
          <w:lang w:val="en-GB"/>
        </w:rPr>
        <w:t xml:space="preserve"> and that the AG used inputs</w:t>
      </w:r>
      <w:r w:rsidR="00652417" w:rsidRPr="00652417">
        <w:rPr>
          <w:lang w:val="en-GB"/>
        </w:rPr>
        <w:t xml:space="preserve"> </w:t>
      </w:r>
      <w:r w:rsidR="00652417">
        <w:rPr>
          <w:lang w:val="en-GB"/>
        </w:rPr>
        <w:t>from the company models</w:t>
      </w:r>
      <w:r w:rsidR="00FD04ED">
        <w:rPr>
          <w:lang w:val="en-GB"/>
        </w:rPr>
        <w:t>, such as costs and treatment frequency</w:t>
      </w:r>
      <w:r w:rsidR="00404A5B">
        <w:rPr>
          <w:lang w:val="en-GB"/>
        </w:rPr>
        <w:t>.</w:t>
      </w:r>
      <w:r w:rsidR="00CB7F03">
        <w:rPr>
          <w:lang w:val="en-GB"/>
        </w:rPr>
        <w:t xml:space="preserve"> </w:t>
      </w:r>
      <w:r w:rsidR="00FD04ED">
        <w:rPr>
          <w:lang w:val="en-GB"/>
        </w:rPr>
        <w:t>T</w:t>
      </w:r>
      <w:r w:rsidR="00404A5B">
        <w:rPr>
          <w:lang w:val="en-GB"/>
        </w:rPr>
        <w:t xml:space="preserve">he committee </w:t>
      </w:r>
      <w:r w:rsidR="005F2D84">
        <w:rPr>
          <w:lang w:val="en-GB"/>
        </w:rPr>
        <w:t xml:space="preserve">concluded that there was not enough evidence to support an economic analysis in people </w:t>
      </w:r>
      <w:r w:rsidR="00652417">
        <w:rPr>
          <w:lang w:val="en-GB"/>
        </w:rPr>
        <w:t xml:space="preserve">for whom </w:t>
      </w:r>
      <w:r w:rsidR="00FE3581">
        <w:rPr>
          <w:lang w:val="en-GB"/>
        </w:rPr>
        <w:t>CTT</w:t>
      </w:r>
      <w:r w:rsidR="00652417">
        <w:rPr>
          <w:lang w:val="en-GB"/>
        </w:rPr>
        <w:t xml:space="preserve"> </w:t>
      </w:r>
      <w:r w:rsidR="00730444">
        <w:rPr>
          <w:lang w:val="en-GB"/>
        </w:rPr>
        <w:t>wa</w:t>
      </w:r>
      <w:r w:rsidR="00FE3581">
        <w:rPr>
          <w:lang w:val="en-GB"/>
        </w:rPr>
        <w:t xml:space="preserve">s </w:t>
      </w:r>
      <w:r w:rsidR="005F2D84" w:rsidRPr="005F2D84">
        <w:rPr>
          <w:lang w:val="en-GB"/>
        </w:rPr>
        <w:t>appropriate</w:t>
      </w:r>
      <w:r w:rsidR="00404A5B">
        <w:rPr>
          <w:lang w:val="en-GB"/>
        </w:rPr>
        <w:t xml:space="preserve"> (see section</w:t>
      </w:r>
      <w:r w:rsidR="007905C4">
        <w:rPr>
          <w:lang w:val="en-GB"/>
        </w:rPr>
        <w:t xml:space="preserve"> </w:t>
      </w:r>
      <w:r w:rsidR="007905C4">
        <w:rPr>
          <w:lang w:val="en-GB"/>
        </w:rPr>
        <w:fldChar w:fldCharType="begin"/>
      </w:r>
      <w:r w:rsidR="007905C4">
        <w:rPr>
          <w:lang w:val="en-GB"/>
        </w:rPr>
        <w:instrText xml:space="preserve"> REF _Ref25179265 \r \h </w:instrText>
      </w:r>
      <w:r w:rsidR="007905C4">
        <w:rPr>
          <w:lang w:val="en-GB"/>
        </w:rPr>
      </w:r>
      <w:r w:rsidR="007905C4">
        <w:rPr>
          <w:lang w:val="en-GB"/>
        </w:rPr>
        <w:fldChar w:fldCharType="separate"/>
      </w:r>
      <w:r w:rsidR="00B51242">
        <w:rPr>
          <w:lang w:val="en-GB"/>
        </w:rPr>
        <w:t>3.24</w:t>
      </w:r>
      <w:r w:rsidR="007905C4">
        <w:rPr>
          <w:lang w:val="en-GB"/>
        </w:rPr>
        <w:fldChar w:fldCharType="end"/>
      </w:r>
      <w:r w:rsidR="00404A5B">
        <w:rPr>
          <w:lang w:val="en-GB"/>
        </w:rPr>
        <w:t>)</w:t>
      </w:r>
      <w:r w:rsidR="005F2D84">
        <w:rPr>
          <w:lang w:val="en-GB"/>
        </w:rPr>
        <w:t xml:space="preserve">. </w:t>
      </w:r>
      <w:r w:rsidR="00652417">
        <w:rPr>
          <w:lang w:val="en-GB"/>
        </w:rPr>
        <w:t xml:space="preserve">It </w:t>
      </w:r>
      <w:r w:rsidR="005F2D84">
        <w:rPr>
          <w:lang w:val="en-GB"/>
        </w:rPr>
        <w:t xml:space="preserve">also concluded that </w:t>
      </w:r>
      <w:r w:rsidR="00CB7F03">
        <w:rPr>
          <w:lang w:val="en-GB"/>
        </w:rPr>
        <w:t>when</w:t>
      </w:r>
      <w:r w:rsidR="005F2D84">
        <w:rPr>
          <w:lang w:val="en-GB"/>
        </w:rPr>
        <w:t xml:space="preserve"> </w:t>
      </w:r>
      <w:r w:rsidR="00FE3581">
        <w:rPr>
          <w:lang w:val="en-GB"/>
        </w:rPr>
        <w:t>CTT</w:t>
      </w:r>
      <w:r w:rsidR="00652417">
        <w:rPr>
          <w:lang w:val="en-GB"/>
        </w:rPr>
        <w:t xml:space="preserve"> </w:t>
      </w:r>
      <w:r w:rsidR="005B7895">
        <w:rPr>
          <w:lang w:val="en-GB"/>
        </w:rPr>
        <w:t>wa</w:t>
      </w:r>
      <w:r w:rsidR="00FE3581">
        <w:rPr>
          <w:lang w:val="en-GB"/>
        </w:rPr>
        <w:t xml:space="preserve">s </w:t>
      </w:r>
      <w:r w:rsidR="005F2D84">
        <w:rPr>
          <w:lang w:val="en-GB"/>
        </w:rPr>
        <w:t xml:space="preserve">inappropriate the AG model </w:t>
      </w:r>
      <w:r w:rsidR="00BB702B">
        <w:rPr>
          <w:lang w:val="en-GB"/>
        </w:rPr>
        <w:t>was</w:t>
      </w:r>
      <w:r w:rsidR="00FB6C88">
        <w:rPr>
          <w:lang w:val="en-GB"/>
        </w:rPr>
        <w:t xml:space="preserve"> </w:t>
      </w:r>
      <w:r w:rsidR="00652417">
        <w:rPr>
          <w:lang w:val="en-GB"/>
        </w:rPr>
        <w:t>the most</w:t>
      </w:r>
      <w:r w:rsidR="005F2D84">
        <w:rPr>
          <w:lang w:val="en-GB"/>
        </w:rPr>
        <w:t xml:space="preserve"> comprehensive analysis</w:t>
      </w:r>
      <w:r w:rsidR="00652417">
        <w:rPr>
          <w:lang w:val="en-GB"/>
        </w:rPr>
        <w:t>,</w:t>
      </w:r>
      <w:r w:rsidR="005F2D84">
        <w:rPr>
          <w:lang w:val="en-GB"/>
        </w:rPr>
        <w:t xml:space="preserve"> because it include</w:t>
      </w:r>
      <w:r w:rsidR="00962EEC">
        <w:rPr>
          <w:lang w:val="en-GB"/>
        </w:rPr>
        <w:t>d</w:t>
      </w:r>
      <w:r w:rsidR="005F2D84">
        <w:rPr>
          <w:lang w:val="en-GB"/>
        </w:rPr>
        <w:t xml:space="preserve"> all 3</w:t>
      </w:r>
      <w:r w:rsidR="00CB7F03">
        <w:rPr>
          <w:lang w:val="en-GB"/>
        </w:rPr>
        <w:t> </w:t>
      </w:r>
      <w:r w:rsidR="005F2D84">
        <w:rPr>
          <w:lang w:val="en-GB"/>
        </w:rPr>
        <w:t>SIRTs</w:t>
      </w:r>
      <w:r w:rsidR="00F41F16">
        <w:rPr>
          <w:lang w:val="en-GB"/>
        </w:rPr>
        <w:t xml:space="preserve"> as specified in the NICE scope</w:t>
      </w:r>
      <w:r w:rsidR="00652417">
        <w:rPr>
          <w:lang w:val="en-GB"/>
        </w:rPr>
        <w:t xml:space="preserve"> (see section </w:t>
      </w:r>
      <w:r w:rsidR="00652417">
        <w:rPr>
          <w:lang w:val="en-GB"/>
        </w:rPr>
        <w:fldChar w:fldCharType="begin"/>
      </w:r>
      <w:r w:rsidR="00652417">
        <w:rPr>
          <w:lang w:val="en-GB"/>
        </w:rPr>
        <w:instrText xml:space="preserve"> REF _Ref25587610 \r \h </w:instrText>
      </w:r>
      <w:r w:rsidR="00652417">
        <w:rPr>
          <w:lang w:val="en-GB"/>
        </w:rPr>
      </w:r>
      <w:r w:rsidR="00652417">
        <w:rPr>
          <w:lang w:val="en-GB"/>
        </w:rPr>
        <w:fldChar w:fldCharType="separate"/>
      </w:r>
      <w:r w:rsidR="00B51242">
        <w:rPr>
          <w:lang w:val="en-GB"/>
        </w:rPr>
        <w:t>3.3</w:t>
      </w:r>
      <w:r w:rsidR="00652417">
        <w:rPr>
          <w:lang w:val="en-GB"/>
        </w:rPr>
        <w:fldChar w:fldCharType="end"/>
      </w:r>
      <w:r w:rsidR="00652417">
        <w:rPr>
          <w:lang w:val="en-GB"/>
        </w:rPr>
        <w:t>)</w:t>
      </w:r>
      <w:r w:rsidR="005F2D84">
        <w:rPr>
          <w:lang w:val="en-GB"/>
        </w:rPr>
        <w:t>.</w:t>
      </w:r>
    </w:p>
    <w:p w14:paraId="6E63ABAC" w14:textId="25A06159" w:rsidR="00EA7925" w:rsidRDefault="00B74228" w:rsidP="00EA7925">
      <w:pPr>
        <w:pStyle w:val="Heading3"/>
      </w:pPr>
      <w:r>
        <w:t xml:space="preserve">The </w:t>
      </w:r>
      <w:r w:rsidR="003E44C0">
        <w:t xml:space="preserve">structure of the AG model for </w:t>
      </w:r>
      <w:r w:rsidR="003E44C0" w:rsidRPr="00B74228">
        <w:t xml:space="preserve">people </w:t>
      </w:r>
      <w:r w:rsidR="00CB7F03">
        <w:t>when</w:t>
      </w:r>
      <w:r w:rsidR="00F24E4E" w:rsidRPr="00B74228">
        <w:t xml:space="preserve"> </w:t>
      </w:r>
      <w:r w:rsidR="00FE3581">
        <w:t>CTT</w:t>
      </w:r>
      <w:r w:rsidR="00652417">
        <w:t xml:space="preserve"> i</w:t>
      </w:r>
      <w:r w:rsidR="00FE3581">
        <w:t xml:space="preserve">s </w:t>
      </w:r>
      <w:r w:rsidR="00F24E4E" w:rsidRPr="00B74228">
        <w:t xml:space="preserve">appropriate </w:t>
      </w:r>
      <w:r w:rsidR="00EA4D0F">
        <w:t>is</w:t>
      </w:r>
      <w:r w:rsidR="003E44C0">
        <w:t xml:space="preserve"> acceptable for decision making</w:t>
      </w:r>
    </w:p>
    <w:p w14:paraId="67F463E2" w14:textId="06B42D2D" w:rsidR="00BA27FC" w:rsidRPr="0008493D" w:rsidRDefault="00B74228" w:rsidP="00C40437">
      <w:pPr>
        <w:pStyle w:val="Numberedlevel2text"/>
      </w:pPr>
      <w:bookmarkStart w:id="19" w:name="_Ref25517507"/>
      <w:r w:rsidRPr="00B74228">
        <w:rPr>
          <w:lang w:val="en-GB"/>
        </w:rPr>
        <w:t xml:space="preserve">The </w:t>
      </w:r>
      <w:r w:rsidR="000379E1">
        <w:rPr>
          <w:lang w:val="en-GB"/>
        </w:rPr>
        <w:t>AG</w:t>
      </w:r>
      <w:r w:rsidRPr="00B74228">
        <w:rPr>
          <w:lang w:val="en-GB"/>
        </w:rPr>
        <w:t xml:space="preserve"> did a cost-utility analysis for people with unresectable intermediate (BCLC stage</w:t>
      </w:r>
      <w:r w:rsidR="00CB7F03">
        <w:rPr>
          <w:lang w:val="en-GB"/>
        </w:rPr>
        <w:t> </w:t>
      </w:r>
      <w:r w:rsidRPr="00B74228">
        <w:rPr>
          <w:lang w:val="en-GB"/>
        </w:rPr>
        <w:t>B) or advanced (BCLC stage</w:t>
      </w:r>
      <w:r w:rsidR="00CB7F03">
        <w:rPr>
          <w:lang w:val="en-GB"/>
        </w:rPr>
        <w:t> </w:t>
      </w:r>
      <w:r w:rsidRPr="00B74228">
        <w:rPr>
          <w:lang w:val="en-GB"/>
        </w:rPr>
        <w:t xml:space="preserve">C) HCC, </w:t>
      </w:r>
      <w:r w:rsidR="00A8770D">
        <w:rPr>
          <w:lang w:val="en-GB"/>
        </w:rPr>
        <w:t>when</w:t>
      </w:r>
      <w:r w:rsidR="00904F33" w:rsidRPr="00B74228">
        <w:rPr>
          <w:lang w:val="en-GB"/>
        </w:rPr>
        <w:t xml:space="preserve"> </w:t>
      </w:r>
      <w:r w:rsidR="00FE3581">
        <w:rPr>
          <w:lang w:val="en-GB"/>
        </w:rPr>
        <w:t>CTT</w:t>
      </w:r>
      <w:r w:rsidR="00652417">
        <w:rPr>
          <w:lang w:val="en-GB"/>
        </w:rPr>
        <w:t xml:space="preserve"> i</w:t>
      </w:r>
      <w:r w:rsidR="00FE3581">
        <w:rPr>
          <w:lang w:val="en-GB"/>
        </w:rPr>
        <w:t xml:space="preserve">s </w:t>
      </w:r>
      <w:r w:rsidRPr="00B74228">
        <w:rPr>
          <w:lang w:val="en-GB"/>
        </w:rPr>
        <w:t>inappropriate</w:t>
      </w:r>
      <w:r w:rsidR="00904F33">
        <w:rPr>
          <w:lang w:val="en-GB"/>
        </w:rPr>
        <w:t>,</w:t>
      </w:r>
      <w:r w:rsidRPr="00B74228">
        <w:rPr>
          <w:lang w:val="en-GB"/>
        </w:rPr>
        <w:t xml:space="preserve"> with or without macroscopic vascular invasion</w:t>
      </w:r>
      <w:r>
        <w:rPr>
          <w:lang w:val="en-GB"/>
        </w:rPr>
        <w:t xml:space="preserve"> </w:t>
      </w:r>
      <w:r w:rsidR="00115831">
        <w:rPr>
          <w:lang w:val="en-GB"/>
        </w:rPr>
        <w:t xml:space="preserve">but </w:t>
      </w:r>
      <w:r w:rsidRPr="00B74228">
        <w:rPr>
          <w:lang w:val="en-GB"/>
        </w:rPr>
        <w:t>without extrahepatic disease</w:t>
      </w:r>
      <w:r>
        <w:rPr>
          <w:lang w:val="en-GB"/>
        </w:rPr>
        <w:t>.</w:t>
      </w:r>
      <w:r w:rsidR="00066D90">
        <w:rPr>
          <w:lang w:val="en-GB"/>
        </w:rPr>
        <w:t xml:space="preserve"> </w:t>
      </w:r>
      <w:r w:rsidR="009A41CE">
        <w:rPr>
          <w:lang w:val="en-GB"/>
        </w:rPr>
        <w:t xml:space="preserve">The model consisted of a </w:t>
      </w:r>
      <w:r w:rsidR="009A41CE" w:rsidRPr="00066D90">
        <w:rPr>
          <w:lang w:val="en-GB"/>
        </w:rPr>
        <w:t xml:space="preserve">decision tree </w:t>
      </w:r>
      <w:r w:rsidR="009A41CE">
        <w:rPr>
          <w:lang w:val="en-GB"/>
        </w:rPr>
        <w:t>and</w:t>
      </w:r>
      <w:r w:rsidR="009A41CE" w:rsidRPr="00066D90">
        <w:rPr>
          <w:lang w:val="en-GB"/>
        </w:rPr>
        <w:t xml:space="preserve"> partitioned survival model with 3</w:t>
      </w:r>
      <w:r w:rsidR="00CB7F03">
        <w:rPr>
          <w:lang w:val="en-GB"/>
        </w:rPr>
        <w:t> </w:t>
      </w:r>
      <w:r w:rsidR="009A41CE" w:rsidRPr="00066D90">
        <w:rPr>
          <w:lang w:val="en-GB"/>
        </w:rPr>
        <w:t>health states</w:t>
      </w:r>
      <w:r w:rsidR="009A41CE">
        <w:rPr>
          <w:lang w:val="en-GB"/>
        </w:rPr>
        <w:t>.</w:t>
      </w:r>
      <w:r w:rsidR="009A41CE" w:rsidRPr="00066D90">
        <w:rPr>
          <w:lang w:val="en-GB"/>
        </w:rPr>
        <w:t xml:space="preserve"> </w:t>
      </w:r>
      <w:r w:rsidR="009A41CE">
        <w:rPr>
          <w:lang w:val="en-GB"/>
        </w:rPr>
        <w:t xml:space="preserve">The decision tree </w:t>
      </w:r>
      <w:r w:rsidR="009A41CE" w:rsidRPr="00FB2DBC">
        <w:rPr>
          <w:lang w:val="en-GB"/>
        </w:rPr>
        <w:t>represent</w:t>
      </w:r>
      <w:r w:rsidR="00D81F9A">
        <w:rPr>
          <w:lang w:val="en-GB"/>
        </w:rPr>
        <w:t>ed</w:t>
      </w:r>
      <w:r w:rsidR="009A41CE" w:rsidRPr="00FB2DBC">
        <w:rPr>
          <w:lang w:val="en-GB"/>
        </w:rPr>
        <w:t xml:space="preserve"> the outcome of the work-up procedure</w:t>
      </w:r>
      <w:r w:rsidR="00115831">
        <w:rPr>
          <w:lang w:val="en-GB"/>
        </w:rPr>
        <w:t xml:space="preserve"> that happens before SIRT</w:t>
      </w:r>
      <w:r w:rsidR="009A41CE">
        <w:rPr>
          <w:lang w:val="en-GB"/>
        </w:rPr>
        <w:t xml:space="preserve">. </w:t>
      </w:r>
      <w:r w:rsidR="006E64C0">
        <w:rPr>
          <w:lang w:val="en-GB"/>
        </w:rPr>
        <w:t xml:space="preserve">The </w:t>
      </w:r>
      <w:r w:rsidR="006E64C0" w:rsidRPr="00066D90">
        <w:rPr>
          <w:lang w:val="en-GB"/>
        </w:rPr>
        <w:t>partitioned survival model w</w:t>
      </w:r>
      <w:r w:rsidR="006E64C0">
        <w:rPr>
          <w:lang w:val="en-GB"/>
        </w:rPr>
        <w:t xml:space="preserve">as like that used by the companies. </w:t>
      </w:r>
      <w:r w:rsidR="00066D90">
        <w:rPr>
          <w:lang w:val="en-GB"/>
        </w:rPr>
        <w:t xml:space="preserve">The interventions were SIR-Spheres, </w:t>
      </w:r>
      <w:proofErr w:type="spellStart"/>
      <w:r w:rsidR="00066D90">
        <w:rPr>
          <w:lang w:val="en-GB"/>
        </w:rPr>
        <w:t>TheraSphere</w:t>
      </w:r>
      <w:proofErr w:type="spellEnd"/>
      <w:r w:rsidR="00066D90">
        <w:rPr>
          <w:lang w:val="en-GB"/>
        </w:rPr>
        <w:t xml:space="preserve"> and </w:t>
      </w:r>
      <w:proofErr w:type="spellStart"/>
      <w:r w:rsidR="00066D90">
        <w:rPr>
          <w:lang w:val="en-GB"/>
        </w:rPr>
        <w:t>QuiremSpheres</w:t>
      </w:r>
      <w:proofErr w:type="spellEnd"/>
      <w:r w:rsidR="00670285">
        <w:rPr>
          <w:lang w:val="en-GB"/>
        </w:rPr>
        <w:t>,</w:t>
      </w:r>
      <w:r w:rsidR="00066D90">
        <w:rPr>
          <w:lang w:val="en-GB"/>
        </w:rPr>
        <w:t xml:space="preserve"> </w:t>
      </w:r>
      <w:r w:rsidR="009A41CE">
        <w:rPr>
          <w:lang w:val="en-GB"/>
        </w:rPr>
        <w:t xml:space="preserve">which were assumed to have </w:t>
      </w:r>
      <w:r w:rsidR="00115831">
        <w:rPr>
          <w:lang w:val="en-GB"/>
        </w:rPr>
        <w:t>equal</w:t>
      </w:r>
      <w:r w:rsidR="009A41CE">
        <w:rPr>
          <w:lang w:val="en-GB"/>
        </w:rPr>
        <w:t xml:space="preserve"> effectiveness in the base case. T</w:t>
      </w:r>
      <w:r w:rsidR="00066D90">
        <w:rPr>
          <w:lang w:val="en-GB"/>
        </w:rPr>
        <w:t>he comparator</w:t>
      </w:r>
      <w:r w:rsidR="009A41CE">
        <w:rPr>
          <w:lang w:val="en-GB"/>
        </w:rPr>
        <w:t>s</w:t>
      </w:r>
      <w:r w:rsidR="00066D90">
        <w:rPr>
          <w:lang w:val="en-GB"/>
        </w:rPr>
        <w:t xml:space="preserve"> were sorafenib and </w:t>
      </w:r>
      <w:proofErr w:type="spellStart"/>
      <w:r w:rsidR="00066D90">
        <w:rPr>
          <w:lang w:val="en-GB"/>
        </w:rPr>
        <w:t>lenvatinib</w:t>
      </w:r>
      <w:proofErr w:type="spellEnd"/>
      <w:r w:rsidR="00066D90">
        <w:rPr>
          <w:lang w:val="en-GB"/>
        </w:rPr>
        <w:t xml:space="preserve">. Because sorafenib and </w:t>
      </w:r>
      <w:proofErr w:type="spellStart"/>
      <w:r w:rsidR="00066D90">
        <w:rPr>
          <w:lang w:val="en-GB"/>
        </w:rPr>
        <w:lastRenderedPageBreak/>
        <w:t>lenvatinib</w:t>
      </w:r>
      <w:proofErr w:type="spellEnd"/>
      <w:r w:rsidR="00066D90">
        <w:rPr>
          <w:lang w:val="en-GB"/>
        </w:rPr>
        <w:t xml:space="preserve"> are recommended </w:t>
      </w:r>
      <w:r w:rsidR="00FB2DBC">
        <w:rPr>
          <w:lang w:val="en-GB"/>
        </w:rPr>
        <w:t xml:space="preserve">only </w:t>
      </w:r>
      <w:r w:rsidR="00B05CA9">
        <w:rPr>
          <w:lang w:val="en-GB"/>
        </w:rPr>
        <w:t>for</w:t>
      </w:r>
      <w:r w:rsidR="00066D90">
        <w:rPr>
          <w:lang w:val="en-GB"/>
        </w:rPr>
        <w:t xml:space="preserve"> people with Child-Pugh grade</w:t>
      </w:r>
      <w:r w:rsidR="00670285">
        <w:rPr>
          <w:lang w:val="en-GB"/>
        </w:rPr>
        <w:t> </w:t>
      </w:r>
      <w:r w:rsidR="00066D90">
        <w:rPr>
          <w:lang w:val="en-GB"/>
        </w:rPr>
        <w:t>A</w:t>
      </w:r>
      <w:r w:rsidR="00904F33">
        <w:rPr>
          <w:lang w:val="en-GB"/>
        </w:rPr>
        <w:t>,</w:t>
      </w:r>
      <w:r w:rsidR="00066D90">
        <w:rPr>
          <w:lang w:val="en-GB"/>
        </w:rPr>
        <w:t xml:space="preserve"> the base case was restricted to this population. </w:t>
      </w:r>
      <w:r w:rsidR="003E44C0" w:rsidRPr="003E44C0">
        <w:rPr>
          <w:lang w:val="en-GB"/>
        </w:rPr>
        <w:t>The committee concluded that the model structure was acceptable for decision making.</w:t>
      </w:r>
      <w:bookmarkEnd w:id="19"/>
      <w:r w:rsidR="00BA27FC" w:rsidRPr="00BA27FC">
        <w:rPr>
          <w:lang w:val="en-GB"/>
        </w:rPr>
        <w:t xml:space="preserve"> </w:t>
      </w:r>
    </w:p>
    <w:p w14:paraId="53F89D76" w14:textId="3B301899" w:rsidR="00BA27FC" w:rsidRPr="00BA27FC" w:rsidRDefault="004D47AA" w:rsidP="0008493D">
      <w:pPr>
        <w:pStyle w:val="Heading3"/>
      </w:pPr>
      <w:r>
        <w:t xml:space="preserve">Sorafenib is the only relevant comparator for cost effectiveness in people </w:t>
      </w:r>
      <w:r w:rsidR="00904F33">
        <w:t>for whom</w:t>
      </w:r>
      <w:r>
        <w:t xml:space="preserve"> CTT</w:t>
      </w:r>
      <w:r w:rsidR="00904F33">
        <w:t xml:space="preserve"> i</w:t>
      </w:r>
      <w:r>
        <w:t>s inappropriate</w:t>
      </w:r>
    </w:p>
    <w:p w14:paraId="512862B2" w14:textId="77E972E4" w:rsidR="00B74228" w:rsidRPr="00B74228" w:rsidRDefault="004D47AA" w:rsidP="00C40437">
      <w:pPr>
        <w:pStyle w:val="Numberedlevel2text"/>
      </w:pPr>
      <w:bookmarkStart w:id="20" w:name="_Ref25521401"/>
      <w:r>
        <w:rPr>
          <w:lang w:val="en-GB"/>
        </w:rPr>
        <w:t>In line with the NICE scope</w:t>
      </w:r>
      <w:r w:rsidR="00904F33">
        <w:rPr>
          <w:lang w:val="en-GB"/>
        </w:rPr>
        <w:t>,</w:t>
      </w:r>
      <w:r>
        <w:rPr>
          <w:lang w:val="en-GB"/>
        </w:rPr>
        <w:t xml:space="preserve"> the AG included sorafenib and </w:t>
      </w:r>
      <w:proofErr w:type="spellStart"/>
      <w:r>
        <w:rPr>
          <w:lang w:val="en-GB"/>
        </w:rPr>
        <w:t>lenvatinib</w:t>
      </w:r>
      <w:proofErr w:type="spellEnd"/>
      <w:r>
        <w:rPr>
          <w:lang w:val="en-GB"/>
        </w:rPr>
        <w:t xml:space="preserve"> as comparators in the model. The AG used the </w:t>
      </w:r>
      <w:r w:rsidR="006E64C0">
        <w:rPr>
          <w:lang w:val="en-GB"/>
        </w:rPr>
        <w:t>hazard ratio</w:t>
      </w:r>
      <w:r>
        <w:rPr>
          <w:lang w:val="en-GB"/>
        </w:rPr>
        <w:t xml:space="preserve"> from the mixed</w:t>
      </w:r>
      <w:r w:rsidR="00904F33">
        <w:rPr>
          <w:lang w:val="en-GB"/>
        </w:rPr>
        <w:t xml:space="preserve"> </w:t>
      </w:r>
      <w:r>
        <w:rPr>
          <w:lang w:val="en-GB"/>
        </w:rPr>
        <w:t xml:space="preserve">treatment comparison </w:t>
      </w:r>
      <w:r w:rsidR="00904F33">
        <w:rPr>
          <w:lang w:val="en-GB"/>
        </w:rPr>
        <w:t xml:space="preserve">to include </w:t>
      </w:r>
      <w:proofErr w:type="spellStart"/>
      <w:r w:rsidR="00904F33">
        <w:rPr>
          <w:lang w:val="en-GB"/>
        </w:rPr>
        <w:t>lenvatinib</w:t>
      </w:r>
      <w:proofErr w:type="spellEnd"/>
      <w:r w:rsidR="00904F33">
        <w:rPr>
          <w:lang w:val="en-GB"/>
        </w:rPr>
        <w:t xml:space="preserve"> in the model and</w:t>
      </w:r>
      <w:r>
        <w:rPr>
          <w:lang w:val="en-GB"/>
        </w:rPr>
        <w:t xml:space="preserve"> assumed </w:t>
      </w:r>
      <w:r w:rsidR="00904F33">
        <w:rPr>
          <w:lang w:val="en-GB"/>
        </w:rPr>
        <w:t>proportional</w:t>
      </w:r>
      <w:r>
        <w:rPr>
          <w:lang w:val="en-GB"/>
        </w:rPr>
        <w:t xml:space="preserve"> hazards</w:t>
      </w:r>
      <w:r w:rsidR="00904F33">
        <w:rPr>
          <w:lang w:val="en-GB"/>
        </w:rPr>
        <w:t xml:space="preserve"> over time</w:t>
      </w:r>
      <w:r>
        <w:rPr>
          <w:lang w:val="en-GB"/>
        </w:rPr>
        <w:t xml:space="preserve">. Therefore, they chose the Weibull function to </w:t>
      </w:r>
      <w:r w:rsidR="00904F33">
        <w:rPr>
          <w:lang w:val="en-GB"/>
        </w:rPr>
        <w:t>model</w:t>
      </w:r>
      <w:r>
        <w:rPr>
          <w:lang w:val="en-GB"/>
        </w:rPr>
        <w:t xml:space="preserve"> overall survival and progression</w:t>
      </w:r>
      <w:r>
        <w:rPr>
          <w:lang w:val="en-GB"/>
        </w:rPr>
        <w:noBreakHyphen/>
        <w:t>free survival, even though it was not the best</w:t>
      </w:r>
      <w:r w:rsidR="00904F33">
        <w:rPr>
          <w:lang w:val="en-GB"/>
        </w:rPr>
        <w:t>-</w:t>
      </w:r>
      <w:r>
        <w:rPr>
          <w:lang w:val="en-GB"/>
        </w:rPr>
        <w:t>fitting function.</w:t>
      </w:r>
      <w:r w:rsidRPr="004D47AA">
        <w:rPr>
          <w:lang w:val="en-GB"/>
        </w:rPr>
        <w:t xml:space="preserve"> </w:t>
      </w:r>
      <w:r>
        <w:rPr>
          <w:lang w:val="en-GB"/>
        </w:rPr>
        <w:t xml:space="preserve">Following consultation on the AG report, sorafenib </w:t>
      </w:r>
      <w:proofErr w:type="gramStart"/>
      <w:r>
        <w:rPr>
          <w:lang w:val="en-GB"/>
        </w:rPr>
        <w:t xml:space="preserve">was considered </w:t>
      </w:r>
      <w:r w:rsidR="00904F33">
        <w:rPr>
          <w:lang w:val="en-GB"/>
        </w:rPr>
        <w:t>to be</w:t>
      </w:r>
      <w:proofErr w:type="gramEnd"/>
      <w:r w:rsidR="00904F33">
        <w:rPr>
          <w:lang w:val="en-GB"/>
        </w:rPr>
        <w:t xml:space="preserve"> </w:t>
      </w:r>
      <w:r>
        <w:rPr>
          <w:lang w:val="en-GB"/>
        </w:rPr>
        <w:t xml:space="preserve">the only relevant comparator (see section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_Ref25352307 \r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B51242">
        <w:rPr>
          <w:lang w:val="en-GB"/>
        </w:rPr>
        <w:t>3.11</w:t>
      </w:r>
      <w:r>
        <w:rPr>
          <w:lang w:val="en-GB"/>
        </w:rPr>
        <w:fldChar w:fldCharType="end"/>
      </w:r>
      <w:r>
        <w:rPr>
          <w:lang w:val="en-GB"/>
        </w:rPr>
        <w:t>)</w:t>
      </w:r>
      <w:r w:rsidR="00904F33">
        <w:rPr>
          <w:lang w:val="en-GB"/>
        </w:rPr>
        <w:t>. T</w:t>
      </w:r>
      <w:r>
        <w:rPr>
          <w:lang w:val="en-GB"/>
        </w:rPr>
        <w:t>he generalised gamma was used to fit overall survival and progression</w:t>
      </w:r>
      <w:r>
        <w:rPr>
          <w:lang w:val="en-GB"/>
        </w:rPr>
        <w:noBreakHyphen/>
        <w:t xml:space="preserve">free survival in the </w:t>
      </w:r>
      <w:r w:rsidR="00904F33">
        <w:rPr>
          <w:lang w:val="en-GB"/>
        </w:rPr>
        <w:t xml:space="preserve">revised </w:t>
      </w:r>
      <w:r>
        <w:rPr>
          <w:lang w:val="en-GB"/>
        </w:rPr>
        <w:t>base case</w:t>
      </w:r>
      <w:r w:rsidR="00904F33">
        <w:rPr>
          <w:lang w:val="en-GB"/>
        </w:rPr>
        <w:t>, because the proportional hazards assumption was no longer needed</w:t>
      </w:r>
      <w:r>
        <w:rPr>
          <w:lang w:val="en-GB"/>
        </w:rPr>
        <w:t>. The committee concluded that sorafenib is the only appropriate comparator</w:t>
      </w:r>
      <w:r w:rsidR="00904F33">
        <w:rPr>
          <w:lang w:val="en-GB"/>
        </w:rPr>
        <w:t>,</w:t>
      </w:r>
      <w:r>
        <w:rPr>
          <w:lang w:val="en-GB"/>
        </w:rPr>
        <w:t xml:space="preserve"> and that the best</w:t>
      </w:r>
      <w:r w:rsidR="00904F33">
        <w:rPr>
          <w:lang w:val="en-GB"/>
        </w:rPr>
        <w:t>-</w:t>
      </w:r>
      <w:r>
        <w:rPr>
          <w:lang w:val="en-GB"/>
        </w:rPr>
        <w:t>fitting function should be used to estimate overall survival and progression</w:t>
      </w:r>
      <w:r w:rsidR="00904F33">
        <w:rPr>
          <w:lang w:val="en-GB"/>
        </w:rPr>
        <w:t>-</w:t>
      </w:r>
      <w:r>
        <w:rPr>
          <w:lang w:val="en-GB"/>
        </w:rPr>
        <w:t>free survival.</w:t>
      </w:r>
      <w:bookmarkEnd w:id="20"/>
    </w:p>
    <w:p w14:paraId="7799C1B5" w14:textId="53B0E825" w:rsidR="00D32E1A" w:rsidRDefault="00FD04ED" w:rsidP="001517C1">
      <w:pPr>
        <w:pStyle w:val="Heading3"/>
        <w:rPr>
          <w:lang w:val="en-US"/>
        </w:rPr>
      </w:pPr>
      <w:r>
        <w:rPr>
          <w:lang w:val="en-US"/>
        </w:rPr>
        <w:t>There is not enough robust data for t</w:t>
      </w:r>
      <w:r w:rsidR="00115831">
        <w:rPr>
          <w:lang w:val="en-US"/>
        </w:rPr>
        <w:t xml:space="preserve">he </w:t>
      </w:r>
      <w:r w:rsidR="00D32E1A">
        <w:rPr>
          <w:lang w:val="en-US"/>
        </w:rPr>
        <w:t>ALBI</w:t>
      </w:r>
      <w:r w:rsidR="00962EEC">
        <w:rPr>
          <w:lang w:val="en-US"/>
        </w:rPr>
        <w:t xml:space="preserve"> grade </w:t>
      </w:r>
      <w:r w:rsidR="00D32E1A">
        <w:rPr>
          <w:lang w:val="en-US"/>
        </w:rPr>
        <w:t>1</w:t>
      </w:r>
      <w:r w:rsidR="00904F33">
        <w:rPr>
          <w:lang w:val="en-US"/>
        </w:rPr>
        <w:t xml:space="preserve"> and</w:t>
      </w:r>
      <w:r w:rsidR="00962EEC">
        <w:rPr>
          <w:lang w:val="en-US"/>
        </w:rPr>
        <w:t xml:space="preserve"> low </w:t>
      </w:r>
      <w:r w:rsidR="00962EEC" w:rsidRPr="00BB702B">
        <w:t>tumour</w:t>
      </w:r>
      <w:r w:rsidR="00962EEC">
        <w:rPr>
          <w:lang w:val="en-US"/>
        </w:rPr>
        <w:t xml:space="preserve"> burden</w:t>
      </w:r>
      <w:r w:rsidR="00904F33">
        <w:rPr>
          <w:lang w:val="en-US"/>
        </w:rPr>
        <w:t xml:space="preserve"> subgroup</w:t>
      </w:r>
      <w:r w:rsidR="00D32E1A">
        <w:rPr>
          <w:lang w:val="en-US"/>
        </w:rPr>
        <w:t xml:space="preserve"> </w:t>
      </w:r>
      <w:r>
        <w:rPr>
          <w:lang w:val="en-US"/>
        </w:rPr>
        <w:t>for decision making</w:t>
      </w:r>
    </w:p>
    <w:p w14:paraId="7138E249" w14:textId="4BB6020C" w:rsidR="00E34870" w:rsidRPr="00E34870" w:rsidRDefault="00DD2EA6" w:rsidP="00C9510B">
      <w:pPr>
        <w:pStyle w:val="Numberedlevel2text"/>
      </w:pPr>
      <w:bookmarkStart w:id="21" w:name="_Ref24379226"/>
      <w:bookmarkStart w:id="22" w:name="_Ref25589084"/>
      <w:r>
        <w:rPr>
          <w:lang w:val="en-GB"/>
        </w:rPr>
        <w:t>The AG presented scenario analyses that restricted the population to people with ALBI</w:t>
      </w:r>
      <w:r w:rsidR="004D4699">
        <w:rPr>
          <w:lang w:val="en-GB"/>
        </w:rPr>
        <w:t xml:space="preserve"> grade </w:t>
      </w:r>
      <w:r>
        <w:rPr>
          <w:lang w:val="en-GB"/>
        </w:rPr>
        <w:t xml:space="preserve">1 and low tumour burden. </w:t>
      </w:r>
      <w:r w:rsidR="00325A1A">
        <w:rPr>
          <w:lang w:val="en-GB"/>
        </w:rPr>
        <w:t>The</w:t>
      </w:r>
      <w:r w:rsidR="00904F33">
        <w:rPr>
          <w:lang w:val="en-GB"/>
        </w:rPr>
        <w:t xml:space="preserve"> clinical</w:t>
      </w:r>
      <w:r w:rsidR="00325A1A">
        <w:rPr>
          <w:lang w:val="en-GB"/>
        </w:rPr>
        <w:t xml:space="preserve"> experts explained that </w:t>
      </w:r>
      <w:r>
        <w:rPr>
          <w:lang w:val="en-GB"/>
        </w:rPr>
        <w:t>ALBI grade</w:t>
      </w:r>
      <w:r w:rsidR="00325A1A">
        <w:rPr>
          <w:lang w:val="en-GB"/>
        </w:rPr>
        <w:t xml:space="preserve"> </w:t>
      </w:r>
      <w:r w:rsidR="00194BA7">
        <w:rPr>
          <w:lang w:val="en-GB"/>
        </w:rPr>
        <w:t xml:space="preserve">could be a </w:t>
      </w:r>
      <w:r w:rsidR="00325A1A">
        <w:rPr>
          <w:lang w:val="en-GB"/>
        </w:rPr>
        <w:t>more objective measure than Child-Pugh score</w:t>
      </w:r>
      <w:r>
        <w:rPr>
          <w:lang w:val="en-GB"/>
        </w:rPr>
        <w:t xml:space="preserve"> for liver dysfunction and that people with ALBI</w:t>
      </w:r>
      <w:r w:rsidR="004D4699">
        <w:rPr>
          <w:lang w:val="en-GB"/>
        </w:rPr>
        <w:t xml:space="preserve"> grade </w:t>
      </w:r>
      <w:r>
        <w:rPr>
          <w:lang w:val="en-GB"/>
        </w:rPr>
        <w:t>1 have good liver function. However, this measure</w:t>
      </w:r>
      <w:r w:rsidR="00325A1A">
        <w:rPr>
          <w:lang w:val="en-GB"/>
        </w:rPr>
        <w:t xml:space="preserve"> is not </w:t>
      </w:r>
      <w:r>
        <w:rPr>
          <w:lang w:val="en-GB"/>
        </w:rPr>
        <w:t>routinely</w:t>
      </w:r>
      <w:r w:rsidR="00325A1A">
        <w:rPr>
          <w:lang w:val="en-GB"/>
        </w:rPr>
        <w:t xml:space="preserve"> used in the NHS</w:t>
      </w:r>
      <w:r w:rsidR="00880F31">
        <w:rPr>
          <w:lang w:val="en-GB"/>
        </w:rPr>
        <w:t>,</w:t>
      </w:r>
      <w:r w:rsidR="00325A1A">
        <w:rPr>
          <w:lang w:val="en-GB"/>
        </w:rPr>
        <w:t xml:space="preserve"> and </w:t>
      </w:r>
      <w:r w:rsidR="00CB7F03">
        <w:rPr>
          <w:lang w:val="en-GB"/>
        </w:rPr>
        <w:t xml:space="preserve">the </w:t>
      </w:r>
      <w:r w:rsidR="00325A1A">
        <w:rPr>
          <w:lang w:val="en-GB"/>
        </w:rPr>
        <w:t xml:space="preserve">Child-Pugh score </w:t>
      </w:r>
      <w:r w:rsidR="00194BA7">
        <w:rPr>
          <w:lang w:val="en-GB"/>
        </w:rPr>
        <w:t xml:space="preserve">is </w:t>
      </w:r>
      <w:r w:rsidR="00904F33">
        <w:rPr>
          <w:lang w:val="en-GB"/>
        </w:rPr>
        <w:t>expected to be</w:t>
      </w:r>
      <w:r w:rsidR="00CB7F03">
        <w:rPr>
          <w:lang w:val="en-GB"/>
        </w:rPr>
        <w:t xml:space="preserve"> </w:t>
      </w:r>
      <w:r w:rsidR="00325A1A">
        <w:rPr>
          <w:lang w:val="en-GB"/>
        </w:rPr>
        <w:t xml:space="preserve">the standard assessment method for liver dysfunction </w:t>
      </w:r>
      <w:r w:rsidR="00115831">
        <w:rPr>
          <w:lang w:val="en-GB"/>
        </w:rPr>
        <w:t>for the foreseeable future</w:t>
      </w:r>
      <w:r w:rsidR="006E64C0">
        <w:rPr>
          <w:lang w:val="en-GB"/>
        </w:rPr>
        <w:t xml:space="preserve"> (see section </w:t>
      </w:r>
      <w:r w:rsidR="006E64C0">
        <w:rPr>
          <w:lang w:val="en-GB"/>
        </w:rPr>
        <w:fldChar w:fldCharType="begin"/>
      </w:r>
      <w:r w:rsidR="006E64C0">
        <w:rPr>
          <w:lang w:val="en-GB"/>
        </w:rPr>
        <w:instrText xml:space="preserve"> REF _Ref25656105 \r \h </w:instrText>
      </w:r>
      <w:r w:rsidR="006E64C0">
        <w:rPr>
          <w:lang w:val="en-GB"/>
        </w:rPr>
      </w:r>
      <w:r w:rsidR="006E64C0">
        <w:rPr>
          <w:lang w:val="en-GB"/>
        </w:rPr>
        <w:fldChar w:fldCharType="separate"/>
      </w:r>
      <w:r w:rsidR="00B51242">
        <w:rPr>
          <w:lang w:val="en-GB"/>
        </w:rPr>
        <w:t>3.6</w:t>
      </w:r>
      <w:r w:rsidR="006E64C0">
        <w:rPr>
          <w:lang w:val="en-GB"/>
        </w:rPr>
        <w:fldChar w:fldCharType="end"/>
      </w:r>
      <w:r w:rsidR="006E64C0">
        <w:rPr>
          <w:lang w:val="en-GB"/>
        </w:rPr>
        <w:t>)</w:t>
      </w:r>
      <w:r w:rsidR="00325A1A">
        <w:rPr>
          <w:lang w:val="en-GB"/>
        </w:rPr>
        <w:t>.</w:t>
      </w:r>
      <w:r w:rsidR="00473928">
        <w:rPr>
          <w:lang w:val="en-GB"/>
        </w:rPr>
        <w:t xml:space="preserve"> </w:t>
      </w:r>
      <w:r w:rsidR="00102077">
        <w:rPr>
          <w:lang w:val="en-GB"/>
        </w:rPr>
        <w:t xml:space="preserve">The committee was aware that </w:t>
      </w:r>
      <w:r w:rsidR="00904F33">
        <w:rPr>
          <w:lang w:val="en-GB"/>
        </w:rPr>
        <w:t xml:space="preserve">clinical </w:t>
      </w:r>
      <w:r w:rsidR="00102077">
        <w:rPr>
          <w:lang w:val="en-GB"/>
        </w:rPr>
        <w:t>outcome</w:t>
      </w:r>
      <w:r w:rsidR="00904F33">
        <w:rPr>
          <w:lang w:val="en-GB"/>
        </w:rPr>
        <w:t>s</w:t>
      </w:r>
      <w:r w:rsidR="00102077">
        <w:rPr>
          <w:lang w:val="en-GB"/>
        </w:rPr>
        <w:t xml:space="preserve"> for the ALB</w:t>
      </w:r>
      <w:r w:rsidR="00904F33">
        <w:rPr>
          <w:lang w:val="en-GB"/>
        </w:rPr>
        <w:t>I</w:t>
      </w:r>
      <w:r w:rsidR="00102077">
        <w:rPr>
          <w:lang w:val="en-GB"/>
        </w:rPr>
        <w:t xml:space="preserve"> grade</w:t>
      </w:r>
      <w:r w:rsidR="0008493D">
        <w:rPr>
          <w:lang w:val="en-GB"/>
        </w:rPr>
        <w:t> </w:t>
      </w:r>
      <w:r w:rsidR="00102077">
        <w:rPr>
          <w:lang w:val="en-GB"/>
        </w:rPr>
        <w:t>1, low</w:t>
      </w:r>
      <w:r w:rsidR="000612A8">
        <w:rPr>
          <w:lang w:val="en-GB"/>
        </w:rPr>
        <w:t xml:space="preserve"> </w:t>
      </w:r>
      <w:r w:rsidR="00102077">
        <w:rPr>
          <w:lang w:val="en-GB"/>
        </w:rPr>
        <w:t xml:space="preserve">tumour burden subgroup came from a post-hoc analysis of the SARAH trial </w:t>
      </w:r>
      <w:r w:rsidR="00904F33">
        <w:rPr>
          <w:lang w:val="en-GB"/>
        </w:rPr>
        <w:t>(n=</w:t>
      </w:r>
      <w:r w:rsidR="00102077">
        <w:rPr>
          <w:lang w:val="en-GB"/>
        </w:rPr>
        <w:t>85</w:t>
      </w:r>
      <w:r w:rsidR="00904F33">
        <w:rPr>
          <w:lang w:val="en-GB"/>
        </w:rPr>
        <w:t>)</w:t>
      </w:r>
      <w:r w:rsidR="00E90B0F">
        <w:rPr>
          <w:lang w:val="en-GB"/>
        </w:rPr>
        <w:t xml:space="preserve"> (see section </w:t>
      </w:r>
      <w:r w:rsidR="00E90B0F">
        <w:rPr>
          <w:lang w:val="en-GB"/>
        </w:rPr>
        <w:fldChar w:fldCharType="begin"/>
      </w:r>
      <w:r w:rsidR="00E90B0F">
        <w:rPr>
          <w:lang w:val="en-GB"/>
        </w:rPr>
        <w:instrText xml:space="preserve"> REF _Ref25612193 \r \h </w:instrText>
      </w:r>
      <w:r w:rsidR="00E90B0F">
        <w:rPr>
          <w:lang w:val="en-GB"/>
        </w:rPr>
      </w:r>
      <w:r w:rsidR="00E90B0F">
        <w:rPr>
          <w:lang w:val="en-GB"/>
        </w:rPr>
        <w:fldChar w:fldCharType="separate"/>
      </w:r>
      <w:r w:rsidR="00B51242">
        <w:rPr>
          <w:lang w:val="en-GB"/>
        </w:rPr>
        <w:t>3.20</w:t>
      </w:r>
      <w:r w:rsidR="00E90B0F">
        <w:rPr>
          <w:lang w:val="en-GB"/>
        </w:rPr>
        <w:fldChar w:fldCharType="end"/>
      </w:r>
      <w:r w:rsidR="00E90B0F">
        <w:rPr>
          <w:lang w:val="en-GB"/>
        </w:rPr>
        <w:t>)</w:t>
      </w:r>
      <w:r w:rsidR="00102077">
        <w:rPr>
          <w:lang w:val="en-GB"/>
        </w:rPr>
        <w:t xml:space="preserve">. </w:t>
      </w:r>
      <w:r w:rsidR="0008493D">
        <w:rPr>
          <w:lang w:val="en-GB"/>
        </w:rPr>
        <w:t>It</w:t>
      </w:r>
      <w:r w:rsidR="00904F33">
        <w:rPr>
          <w:lang w:val="en-GB"/>
        </w:rPr>
        <w:t xml:space="preserve"> agreed that</w:t>
      </w:r>
      <w:r w:rsidR="0008493D">
        <w:rPr>
          <w:lang w:val="en-GB"/>
        </w:rPr>
        <w:t xml:space="preserve"> this analysis was not robust because the subgroup was not prespecified and the numbers </w:t>
      </w:r>
      <w:r w:rsidR="0008493D">
        <w:rPr>
          <w:lang w:val="en-GB"/>
        </w:rPr>
        <w:lastRenderedPageBreak/>
        <w:t>were small.</w:t>
      </w:r>
      <w:r w:rsidR="00904F33">
        <w:rPr>
          <w:lang w:val="en-GB"/>
        </w:rPr>
        <w:t xml:space="preserve"> </w:t>
      </w:r>
      <w:r w:rsidR="00102077" w:rsidRPr="00C9510B">
        <w:rPr>
          <w:lang w:val="en-GB"/>
        </w:rPr>
        <w:t xml:space="preserve">It concluded that </w:t>
      </w:r>
      <w:r w:rsidR="00102077" w:rsidRPr="00904F33">
        <w:rPr>
          <w:lang w:val="en-GB"/>
        </w:rPr>
        <w:t xml:space="preserve">it </w:t>
      </w:r>
      <w:r w:rsidR="00904F33">
        <w:rPr>
          <w:lang w:val="en-GB"/>
        </w:rPr>
        <w:t>had not seen</w:t>
      </w:r>
      <w:r w:rsidR="00102077" w:rsidRPr="00C9510B">
        <w:rPr>
          <w:lang w:val="en-GB"/>
        </w:rPr>
        <w:t xml:space="preserve"> </w:t>
      </w:r>
      <w:r w:rsidR="00904F33">
        <w:rPr>
          <w:lang w:val="en-GB"/>
        </w:rPr>
        <w:t>sufficiently</w:t>
      </w:r>
      <w:r w:rsidR="00102077" w:rsidRPr="00C9510B">
        <w:rPr>
          <w:lang w:val="en-GB"/>
        </w:rPr>
        <w:t xml:space="preserve"> robust data </w:t>
      </w:r>
      <w:r w:rsidR="00904F33">
        <w:rPr>
          <w:lang w:val="en-GB"/>
        </w:rPr>
        <w:t xml:space="preserve">in </w:t>
      </w:r>
      <w:r w:rsidR="00102077" w:rsidRPr="00C9510B">
        <w:rPr>
          <w:lang w:val="en-GB"/>
        </w:rPr>
        <w:t xml:space="preserve">this </w:t>
      </w:r>
      <w:proofErr w:type="gramStart"/>
      <w:r w:rsidR="00102077" w:rsidRPr="00C9510B">
        <w:rPr>
          <w:lang w:val="en-GB"/>
        </w:rPr>
        <w:t>subgroup</w:t>
      </w:r>
      <w:r w:rsidR="00904F33">
        <w:rPr>
          <w:lang w:val="en-GB"/>
        </w:rPr>
        <w:t>, but</w:t>
      </w:r>
      <w:bookmarkEnd w:id="21"/>
      <w:proofErr w:type="gramEnd"/>
      <w:r w:rsidR="00904F33">
        <w:rPr>
          <w:lang w:val="en-GB"/>
        </w:rPr>
        <w:t xml:space="preserve"> agreed that</w:t>
      </w:r>
      <w:r w:rsidR="00102077" w:rsidRPr="00C9510B">
        <w:rPr>
          <w:lang w:val="en-GB"/>
        </w:rPr>
        <w:t xml:space="preserve"> </w:t>
      </w:r>
      <w:r w:rsidR="004D4699" w:rsidRPr="00904F33">
        <w:rPr>
          <w:lang w:val="en-GB"/>
        </w:rPr>
        <w:t xml:space="preserve">more evidence </w:t>
      </w:r>
      <w:r w:rsidR="00904F33">
        <w:rPr>
          <w:lang w:val="en-GB"/>
        </w:rPr>
        <w:t>may be useful</w:t>
      </w:r>
      <w:r w:rsidR="00904F33" w:rsidRPr="00904F33">
        <w:rPr>
          <w:lang w:val="en-GB"/>
        </w:rPr>
        <w:t xml:space="preserve"> </w:t>
      </w:r>
      <w:r w:rsidR="00904F33" w:rsidRPr="00940CF7">
        <w:rPr>
          <w:lang w:val="en-GB"/>
        </w:rPr>
        <w:t xml:space="preserve">for </w:t>
      </w:r>
      <w:r w:rsidR="00904F33">
        <w:rPr>
          <w:lang w:val="en-GB"/>
        </w:rPr>
        <w:t>decision making</w:t>
      </w:r>
      <w:r w:rsidR="004D4699" w:rsidRPr="00C9510B">
        <w:rPr>
          <w:lang w:val="en-GB"/>
        </w:rPr>
        <w:t>.</w:t>
      </w:r>
      <w:bookmarkEnd w:id="22"/>
    </w:p>
    <w:p w14:paraId="24FA8DD0" w14:textId="68C3E66F" w:rsidR="000539EE" w:rsidRDefault="000539EE" w:rsidP="000539EE">
      <w:pPr>
        <w:pStyle w:val="Heading3"/>
      </w:pPr>
      <w:r>
        <w:t xml:space="preserve">Usually, only </w:t>
      </w:r>
      <w:r w:rsidR="0007775C">
        <w:t xml:space="preserve">1 </w:t>
      </w:r>
      <w:r>
        <w:t xml:space="preserve">lobe is treated </w:t>
      </w:r>
      <w:r w:rsidR="00904F33">
        <w:t xml:space="preserve">at a time </w:t>
      </w:r>
      <w:r>
        <w:t xml:space="preserve">in people with </w:t>
      </w:r>
      <w:proofErr w:type="spellStart"/>
      <w:r>
        <w:t>bilobar</w:t>
      </w:r>
      <w:proofErr w:type="spellEnd"/>
      <w:r>
        <w:t xml:space="preserve"> disease</w:t>
      </w:r>
    </w:p>
    <w:p w14:paraId="37FD4EDA" w14:textId="1008BB1E" w:rsidR="000539EE" w:rsidRPr="0008493D" w:rsidRDefault="000539EE" w:rsidP="000539EE">
      <w:pPr>
        <w:pStyle w:val="Numberedlevel2text"/>
        <w:rPr>
          <w:lang w:val="en-GB"/>
        </w:rPr>
      </w:pPr>
      <w:r>
        <w:t xml:space="preserve">HCC can be </w:t>
      </w:r>
      <w:proofErr w:type="spellStart"/>
      <w:r>
        <w:t>unilobar</w:t>
      </w:r>
      <w:proofErr w:type="spellEnd"/>
      <w:r>
        <w:t xml:space="preserve"> (tumour is in </w:t>
      </w:r>
      <w:r w:rsidR="00E371B8">
        <w:rPr>
          <w:lang w:val="en-US"/>
        </w:rPr>
        <w:t>1</w:t>
      </w:r>
      <w:r>
        <w:t xml:space="preserve"> lobe of the liver) or </w:t>
      </w:r>
      <w:proofErr w:type="spellStart"/>
      <w:r>
        <w:t>bilobar</w:t>
      </w:r>
      <w:proofErr w:type="spellEnd"/>
      <w:r>
        <w:t xml:space="preserve"> (tumours in both lobes of the liver). The </w:t>
      </w:r>
      <w:r w:rsidR="00904F33">
        <w:rPr>
          <w:lang w:val="en-GB"/>
        </w:rPr>
        <w:t>clinical e</w:t>
      </w:r>
      <w:proofErr w:type="spellStart"/>
      <w:r>
        <w:t>xperts</w:t>
      </w:r>
      <w:proofErr w:type="spellEnd"/>
      <w:r>
        <w:t xml:space="preserve"> explained that people with </w:t>
      </w:r>
      <w:proofErr w:type="spellStart"/>
      <w:r>
        <w:t>bilobar</w:t>
      </w:r>
      <w:proofErr w:type="spellEnd"/>
      <w:r>
        <w:t xml:space="preserve"> disease have a </w:t>
      </w:r>
      <w:r w:rsidR="00904F33">
        <w:rPr>
          <w:lang w:val="en-GB"/>
        </w:rPr>
        <w:t>higher</w:t>
      </w:r>
      <w:r>
        <w:t xml:space="preserve"> risk of liver impairment</w:t>
      </w:r>
      <w:r w:rsidR="00904F33">
        <w:rPr>
          <w:lang w:val="en-GB"/>
        </w:rPr>
        <w:t>,</w:t>
      </w:r>
      <w:r>
        <w:t xml:space="preserve"> and therefore usually only 1 lobe is treated</w:t>
      </w:r>
      <w:r w:rsidR="00904F33">
        <w:rPr>
          <w:lang w:val="en-GB"/>
        </w:rPr>
        <w:t xml:space="preserve"> at a time</w:t>
      </w:r>
      <w:r>
        <w:t xml:space="preserve">. </w:t>
      </w:r>
      <w:r>
        <w:rPr>
          <w:lang w:val="en-GB"/>
        </w:rPr>
        <w:t>T</w:t>
      </w:r>
      <w:r w:rsidR="00E91356">
        <w:rPr>
          <w:lang w:val="en-GB"/>
        </w:rPr>
        <w:t>he</w:t>
      </w:r>
      <w:r>
        <w:t xml:space="preserve"> same lobe might be treated </w:t>
      </w:r>
      <w:r>
        <w:rPr>
          <w:lang w:val="en-GB"/>
        </w:rPr>
        <w:t xml:space="preserve">twice </w:t>
      </w:r>
      <w:r>
        <w:t xml:space="preserve">to reduce the </w:t>
      </w:r>
      <w:r>
        <w:rPr>
          <w:lang w:val="en-GB"/>
        </w:rPr>
        <w:t>size of the tumour. The committee concluded that it is not appropriate</w:t>
      </w:r>
      <w:r w:rsidR="00F60EB3">
        <w:rPr>
          <w:lang w:val="en-GB"/>
        </w:rPr>
        <w:t xml:space="preserve"> for a model</w:t>
      </w:r>
      <w:r>
        <w:rPr>
          <w:lang w:val="en-GB"/>
        </w:rPr>
        <w:t xml:space="preserve"> to assume that both lobes are treated </w:t>
      </w:r>
      <w:r w:rsidR="009648FF">
        <w:rPr>
          <w:lang w:val="en-GB"/>
        </w:rPr>
        <w:t xml:space="preserve">simultaneously </w:t>
      </w:r>
      <w:r>
        <w:rPr>
          <w:lang w:val="en-GB"/>
        </w:rPr>
        <w:t xml:space="preserve">in </w:t>
      </w:r>
      <w:proofErr w:type="spellStart"/>
      <w:r>
        <w:rPr>
          <w:lang w:val="en-GB"/>
        </w:rPr>
        <w:t>bilobar</w:t>
      </w:r>
      <w:proofErr w:type="spellEnd"/>
      <w:r>
        <w:rPr>
          <w:lang w:val="en-GB"/>
        </w:rPr>
        <w:t xml:space="preserve"> disease</w:t>
      </w:r>
      <w:r w:rsidR="009648FF">
        <w:rPr>
          <w:lang w:val="en-GB"/>
        </w:rPr>
        <w:t>.</w:t>
      </w:r>
    </w:p>
    <w:p w14:paraId="39F2BA0B" w14:textId="2907ECEB" w:rsidR="001517C1" w:rsidRDefault="001517C1" w:rsidP="001517C1">
      <w:pPr>
        <w:pStyle w:val="Heading3"/>
        <w:rPr>
          <w:lang w:val="en-US"/>
        </w:rPr>
      </w:pPr>
      <w:r>
        <w:rPr>
          <w:lang w:val="en-US"/>
        </w:rPr>
        <w:t xml:space="preserve">Downstaging of HCC might </w:t>
      </w:r>
      <w:r w:rsidR="00EF0C30">
        <w:rPr>
          <w:lang w:val="en-US"/>
        </w:rPr>
        <w:t xml:space="preserve">benefit </w:t>
      </w:r>
      <w:r>
        <w:rPr>
          <w:lang w:val="en-US"/>
        </w:rPr>
        <w:t>some people</w:t>
      </w:r>
      <w:r w:rsidR="00F60EB3">
        <w:rPr>
          <w:lang w:val="en-US"/>
        </w:rPr>
        <w:t xml:space="preserve"> with advanced HCC,</w:t>
      </w:r>
      <w:r w:rsidR="00194BA7">
        <w:rPr>
          <w:lang w:val="en-US"/>
        </w:rPr>
        <w:t xml:space="preserve"> but the proportion of people </w:t>
      </w:r>
      <w:r w:rsidR="00F60EB3">
        <w:rPr>
          <w:lang w:val="en-US"/>
        </w:rPr>
        <w:t>and subsequent outcomes are uncertain</w:t>
      </w:r>
    </w:p>
    <w:p w14:paraId="2FD80D44" w14:textId="3AC7190B" w:rsidR="001517C1" w:rsidRPr="00546015" w:rsidRDefault="001517C1" w:rsidP="001517C1">
      <w:pPr>
        <w:pStyle w:val="Numberedlevel2text"/>
      </w:pPr>
      <w:r>
        <w:rPr>
          <w:lang w:val="en-GB"/>
        </w:rPr>
        <w:t xml:space="preserve">The clinical experts explained that downstaging might be a treatment aim </w:t>
      </w:r>
      <w:r w:rsidR="00CB7F03">
        <w:rPr>
          <w:lang w:val="en-GB"/>
        </w:rPr>
        <w:t xml:space="preserve">for </w:t>
      </w:r>
      <w:r>
        <w:rPr>
          <w:lang w:val="en-GB"/>
        </w:rPr>
        <w:t>some people</w:t>
      </w:r>
      <w:r w:rsidR="000A1302">
        <w:rPr>
          <w:lang w:val="en-GB"/>
        </w:rPr>
        <w:t xml:space="preserve"> who </w:t>
      </w:r>
      <w:r w:rsidR="00CB7F03">
        <w:rPr>
          <w:lang w:val="en-GB"/>
        </w:rPr>
        <w:t xml:space="preserve">have </w:t>
      </w:r>
      <w:r w:rsidR="000A1302">
        <w:rPr>
          <w:lang w:val="en-GB"/>
        </w:rPr>
        <w:t>SIRT</w:t>
      </w:r>
      <w:r w:rsidR="00CB7F03">
        <w:rPr>
          <w:lang w:val="en-GB"/>
        </w:rPr>
        <w:t>,</w:t>
      </w:r>
      <w:r w:rsidR="00F96834">
        <w:rPr>
          <w:lang w:val="en-GB"/>
        </w:rPr>
        <w:t xml:space="preserve"> to</w:t>
      </w:r>
      <w:r w:rsidR="00F60EB3">
        <w:rPr>
          <w:lang w:val="en-GB"/>
        </w:rPr>
        <w:t xml:space="preserve"> potentially</w:t>
      </w:r>
      <w:r w:rsidR="00F96834">
        <w:rPr>
          <w:lang w:val="en-GB"/>
        </w:rPr>
        <w:t xml:space="preserve"> allow </w:t>
      </w:r>
      <w:r w:rsidR="00F60EB3">
        <w:rPr>
          <w:lang w:val="en-GB"/>
        </w:rPr>
        <w:t xml:space="preserve">for </w:t>
      </w:r>
      <w:r w:rsidR="00F96834">
        <w:rPr>
          <w:lang w:val="en-GB"/>
        </w:rPr>
        <w:t>subsequent liver transplantation</w:t>
      </w:r>
      <w:r>
        <w:rPr>
          <w:lang w:val="en-GB"/>
        </w:rPr>
        <w:t xml:space="preserve">. </w:t>
      </w:r>
      <w:r w:rsidR="000A1302">
        <w:rPr>
          <w:lang w:val="en-GB"/>
        </w:rPr>
        <w:t xml:space="preserve">However, </w:t>
      </w:r>
      <w:r w:rsidR="00065199">
        <w:rPr>
          <w:lang w:val="en-GB"/>
        </w:rPr>
        <w:t xml:space="preserve">these people are </w:t>
      </w:r>
      <w:r w:rsidR="00CB7F03">
        <w:rPr>
          <w:lang w:val="en-GB"/>
        </w:rPr>
        <w:t xml:space="preserve">rarely </w:t>
      </w:r>
      <w:r w:rsidR="00065199">
        <w:rPr>
          <w:lang w:val="en-GB"/>
        </w:rPr>
        <w:t xml:space="preserve">included in </w:t>
      </w:r>
      <w:r w:rsidR="00DD2EA6">
        <w:rPr>
          <w:lang w:val="en-GB"/>
        </w:rPr>
        <w:t>clinical trials</w:t>
      </w:r>
      <w:r w:rsidR="00065199">
        <w:rPr>
          <w:lang w:val="en-GB"/>
        </w:rPr>
        <w:t xml:space="preserve"> </w:t>
      </w:r>
      <w:r w:rsidR="004224A6">
        <w:rPr>
          <w:lang w:val="en-GB"/>
        </w:rPr>
        <w:t>because trials mainly include people with advanced stage disease. T</w:t>
      </w:r>
      <w:r w:rsidR="00065199">
        <w:rPr>
          <w:lang w:val="en-GB"/>
        </w:rPr>
        <w:t>h</w:t>
      </w:r>
      <w:r w:rsidR="001B6D9F">
        <w:rPr>
          <w:lang w:val="en-GB"/>
        </w:rPr>
        <w:t>is means</w:t>
      </w:r>
      <w:r w:rsidR="00065199">
        <w:rPr>
          <w:lang w:val="en-GB"/>
        </w:rPr>
        <w:t xml:space="preserve"> there is limited evidence on downstaging and overall survival</w:t>
      </w:r>
      <w:r w:rsidR="00F60EB3">
        <w:rPr>
          <w:lang w:val="en-GB"/>
        </w:rPr>
        <w:t xml:space="preserve"> in advanced HCC</w:t>
      </w:r>
      <w:r w:rsidR="000A1302">
        <w:rPr>
          <w:lang w:val="en-GB"/>
        </w:rPr>
        <w:t xml:space="preserve">. </w:t>
      </w:r>
      <w:r w:rsidR="00445E72">
        <w:rPr>
          <w:lang w:val="en-GB"/>
        </w:rPr>
        <w:t xml:space="preserve">The committee concluded that downstaging </w:t>
      </w:r>
      <w:r w:rsidR="00F60EB3">
        <w:rPr>
          <w:lang w:val="en-GB"/>
        </w:rPr>
        <w:t xml:space="preserve">may </w:t>
      </w:r>
      <w:r w:rsidR="00445E72">
        <w:rPr>
          <w:lang w:val="en-GB"/>
        </w:rPr>
        <w:t xml:space="preserve">be </w:t>
      </w:r>
      <w:r w:rsidR="009E2B4D">
        <w:rPr>
          <w:lang w:val="en-GB"/>
        </w:rPr>
        <w:t>an appropriate consideration</w:t>
      </w:r>
      <w:r w:rsidR="00445E72">
        <w:rPr>
          <w:lang w:val="en-GB"/>
        </w:rPr>
        <w:t xml:space="preserve"> for </w:t>
      </w:r>
      <w:r w:rsidR="00F60EB3">
        <w:rPr>
          <w:lang w:val="en-GB"/>
        </w:rPr>
        <w:t>a small proportion of people with advanced HCC,</w:t>
      </w:r>
      <w:r w:rsidR="00A371EB">
        <w:rPr>
          <w:lang w:val="en-GB"/>
        </w:rPr>
        <w:t xml:space="preserve"> so</w:t>
      </w:r>
      <w:r w:rsidR="00445E72">
        <w:rPr>
          <w:lang w:val="en-GB"/>
        </w:rPr>
        <w:t xml:space="preserve"> the base</w:t>
      </w:r>
      <w:r w:rsidR="00F60EB3">
        <w:rPr>
          <w:lang w:val="en-GB"/>
        </w:rPr>
        <w:t>-</w:t>
      </w:r>
      <w:r w:rsidR="00445E72">
        <w:rPr>
          <w:lang w:val="en-GB"/>
        </w:rPr>
        <w:t>case model should include downstaging</w:t>
      </w:r>
      <w:r w:rsidR="00CB7F03">
        <w:rPr>
          <w:lang w:val="en-GB"/>
        </w:rPr>
        <w:t>. However,</w:t>
      </w:r>
      <w:r w:rsidR="003475B9">
        <w:rPr>
          <w:lang w:val="en-GB"/>
        </w:rPr>
        <w:t xml:space="preserve"> </w:t>
      </w:r>
      <w:r w:rsidR="00F60EB3">
        <w:rPr>
          <w:lang w:val="en-GB"/>
        </w:rPr>
        <w:t>the proportion of</w:t>
      </w:r>
      <w:r w:rsidR="003475B9">
        <w:rPr>
          <w:lang w:val="en-GB"/>
        </w:rPr>
        <w:t xml:space="preserve"> people </w:t>
      </w:r>
      <w:r w:rsidR="00A87F2C">
        <w:rPr>
          <w:lang w:val="en-GB"/>
        </w:rPr>
        <w:t>who have</w:t>
      </w:r>
      <w:r w:rsidR="00E90B0F">
        <w:rPr>
          <w:lang w:val="en-GB"/>
        </w:rPr>
        <w:t xml:space="preserve"> tumour</w:t>
      </w:r>
      <w:r w:rsidR="00A87F2C">
        <w:rPr>
          <w:lang w:val="en-GB"/>
        </w:rPr>
        <w:t>s that</w:t>
      </w:r>
      <w:r w:rsidR="00F60EB3">
        <w:rPr>
          <w:lang w:val="en-GB"/>
        </w:rPr>
        <w:t xml:space="preserve"> downstage</w:t>
      </w:r>
      <w:r w:rsidR="00D62291">
        <w:rPr>
          <w:lang w:val="en-GB"/>
        </w:rPr>
        <w:t>,</w:t>
      </w:r>
      <w:r w:rsidR="00F60EB3">
        <w:rPr>
          <w:lang w:val="en-GB"/>
        </w:rPr>
        <w:t xml:space="preserve"> and subsequent outcomes</w:t>
      </w:r>
      <w:r w:rsidR="008E38D4">
        <w:rPr>
          <w:lang w:val="en-GB"/>
        </w:rPr>
        <w:t>,</w:t>
      </w:r>
      <w:r w:rsidR="00F60EB3">
        <w:rPr>
          <w:lang w:val="en-GB"/>
        </w:rPr>
        <w:t xml:space="preserve"> are uncertain</w:t>
      </w:r>
      <w:r w:rsidR="00445E72">
        <w:rPr>
          <w:lang w:val="en-GB"/>
        </w:rPr>
        <w:t>.</w:t>
      </w:r>
    </w:p>
    <w:p w14:paraId="2F80F70E" w14:textId="3624C77A" w:rsidR="005724A0" w:rsidRPr="005724A0" w:rsidRDefault="003E44C0" w:rsidP="005724A0">
      <w:pPr>
        <w:pStyle w:val="Heading3"/>
      </w:pPr>
      <w:r>
        <w:t>Some aspects of health-related quality of life might not be captured in the utility values</w:t>
      </w:r>
    </w:p>
    <w:p w14:paraId="5364369C" w14:textId="0A0DC974" w:rsidR="005724A0" w:rsidRPr="005724A0" w:rsidRDefault="00176223" w:rsidP="00176223">
      <w:pPr>
        <w:pStyle w:val="Numberedlevel2text"/>
      </w:pPr>
      <w:r>
        <w:rPr>
          <w:lang w:val="en-GB"/>
        </w:rPr>
        <w:t xml:space="preserve">Both </w:t>
      </w:r>
      <w:r w:rsidR="00115831">
        <w:rPr>
          <w:lang w:val="en-GB"/>
        </w:rPr>
        <w:t xml:space="preserve">the </w:t>
      </w:r>
      <w:r>
        <w:rPr>
          <w:lang w:val="en-GB"/>
        </w:rPr>
        <w:t xml:space="preserve">SARAH and </w:t>
      </w:r>
      <w:proofErr w:type="spellStart"/>
      <w:r>
        <w:rPr>
          <w:lang w:val="en-GB"/>
        </w:rPr>
        <w:t>SIRveNIB</w:t>
      </w:r>
      <w:proofErr w:type="spellEnd"/>
      <w:r>
        <w:rPr>
          <w:lang w:val="en-GB"/>
        </w:rPr>
        <w:t xml:space="preserve"> trials collected data on health-related quality of life. </w:t>
      </w:r>
      <w:r w:rsidR="00CB7F03">
        <w:rPr>
          <w:lang w:val="en-GB"/>
        </w:rPr>
        <w:t>SARAH</w:t>
      </w:r>
      <w:r>
        <w:rPr>
          <w:lang w:val="en-GB"/>
        </w:rPr>
        <w:t xml:space="preserve"> used the </w:t>
      </w:r>
      <w:r w:rsidRPr="00176223">
        <w:rPr>
          <w:lang w:val="en-GB"/>
        </w:rPr>
        <w:t>European Organisation for Research and Treatment of Cancer Quality-of-life Questionnaire Core</w:t>
      </w:r>
      <w:r w:rsidR="00CB7F03">
        <w:rPr>
          <w:lang w:val="en-GB"/>
        </w:rPr>
        <w:t> </w:t>
      </w:r>
      <w:r w:rsidRPr="00176223">
        <w:rPr>
          <w:lang w:val="en-GB"/>
        </w:rPr>
        <w:t xml:space="preserve">30 </w:t>
      </w:r>
      <w:r>
        <w:rPr>
          <w:lang w:val="en-GB"/>
        </w:rPr>
        <w:t>(</w:t>
      </w:r>
      <w:r w:rsidRPr="00176223">
        <w:rPr>
          <w:lang w:val="en-GB"/>
        </w:rPr>
        <w:t>EORTC</w:t>
      </w:r>
      <w:r w:rsidR="009D3CC2">
        <w:rPr>
          <w:lang w:val="en-GB"/>
        </w:rPr>
        <w:noBreakHyphen/>
      </w:r>
      <w:r w:rsidRPr="00176223">
        <w:rPr>
          <w:lang w:val="en-GB"/>
        </w:rPr>
        <w:t>QLQ</w:t>
      </w:r>
      <w:r w:rsidR="009D3CC2">
        <w:rPr>
          <w:lang w:val="en-GB"/>
        </w:rPr>
        <w:noBreakHyphen/>
      </w:r>
      <w:r w:rsidRPr="00176223">
        <w:rPr>
          <w:lang w:val="en-GB"/>
        </w:rPr>
        <w:t>C30</w:t>
      </w:r>
      <w:r>
        <w:rPr>
          <w:lang w:val="en-GB"/>
        </w:rPr>
        <w:t>) questionnaire</w:t>
      </w:r>
      <w:r w:rsidR="00F60EB3">
        <w:rPr>
          <w:lang w:val="en-GB"/>
        </w:rPr>
        <w:t>,</w:t>
      </w:r>
      <w:r>
        <w:rPr>
          <w:lang w:val="en-GB"/>
        </w:rPr>
        <w:t xml:space="preserve"> </w:t>
      </w:r>
      <w:r w:rsidR="009A41CE">
        <w:rPr>
          <w:lang w:val="en-GB"/>
        </w:rPr>
        <w:t>which the company mapped onto</w:t>
      </w:r>
      <w:r w:rsidR="00F60EB3">
        <w:rPr>
          <w:lang w:val="en-GB"/>
        </w:rPr>
        <w:t xml:space="preserve"> the</w:t>
      </w:r>
      <w:r w:rsidR="009A41CE">
        <w:rPr>
          <w:lang w:val="en-GB"/>
        </w:rPr>
        <w:t xml:space="preserve"> EQ</w:t>
      </w:r>
      <w:r w:rsidR="009D3CC2">
        <w:rPr>
          <w:lang w:val="en-GB"/>
        </w:rPr>
        <w:noBreakHyphen/>
      </w:r>
      <w:r w:rsidR="009A41CE">
        <w:rPr>
          <w:lang w:val="en-GB"/>
        </w:rPr>
        <w:t>5D</w:t>
      </w:r>
      <w:r w:rsidR="009A41CE" w:rsidRPr="009A41CE">
        <w:rPr>
          <w:lang w:val="en-GB"/>
        </w:rPr>
        <w:t xml:space="preserve"> </w:t>
      </w:r>
      <w:r w:rsidR="00F60EB3">
        <w:rPr>
          <w:lang w:val="en-GB"/>
        </w:rPr>
        <w:t xml:space="preserve">scale </w:t>
      </w:r>
      <w:r w:rsidR="009A41CE" w:rsidRPr="00176223">
        <w:rPr>
          <w:lang w:val="en-GB"/>
        </w:rPr>
        <w:t xml:space="preserve">using </w:t>
      </w:r>
      <w:r w:rsidR="00115831">
        <w:rPr>
          <w:lang w:val="en-GB"/>
        </w:rPr>
        <w:t xml:space="preserve">the </w:t>
      </w:r>
      <w:r w:rsidR="009A41CE" w:rsidRPr="00176223">
        <w:rPr>
          <w:lang w:val="en-GB"/>
        </w:rPr>
        <w:t>Longworth et al. algorithm</w:t>
      </w:r>
      <w:r w:rsidR="009A41CE">
        <w:rPr>
          <w:lang w:val="en-GB"/>
        </w:rPr>
        <w:t xml:space="preserve">. The </w:t>
      </w:r>
      <w:r w:rsidR="000379E1">
        <w:rPr>
          <w:lang w:val="en-GB"/>
        </w:rPr>
        <w:t>AG</w:t>
      </w:r>
      <w:r w:rsidR="009A41CE">
        <w:rPr>
          <w:lang w:val="en-GB"/>
        </w:rPr>
        <w:t xml:space="preserve"> used these </w:t>
      </w:r>
      <w:r w:rsidR="009A41CE">
        <w:rPr>
          <w:lang w:val="en-GB"/>
        </w:rPr>
        <w:lastRenderedPageBreak/>
        <w:t xml:space="preserve">estimates in </w:t>
      </w:r>
      <w:r w:rsidR="00F60EB3">
        <w:rPr>
          <w:lang w:val="en-GB"/>
        </w:rPr>
        <w:t xml:space="preserve">its </w:t>
      </w:r>
      <w:r w:rsidR="009A41CE">
        <w:rPr>
          <w:lang w:val="en-GB"/>
        </w:rPr>
        <w:t xml:space="preserve">model. The committee noted that utility values were similar </w:t>
      </w:r>
      <w:r w:rsidR="00F60EB3">
        <w:rPr>
          <w:lang w:val="en-GB"/>
        </w:rPr>
        <w:t xml:space="preserve">between </w:t>
      </w:r>
      <w:r w:rsidR="009A41CE">
        <w:rPr>
          <w:lang w:val="en-GB"/>
        </w:rPr>
        <w:t>SIRTs and systemic therapies</w:t>
      </w:r>
      <w:r w:rsidR="00E90B0F">
        <w:rPr>
          <w:lang w:val="en-GB"/>
        </w:rPr>
        <w:t xml:space="preserve"> (sorafenib or </w:t>
      </w:r>
      <w:proofErr w:type="spellStart"/>
      <w:r w:rsidR="00E90B0F">
        <w:rPr>
          <w:lang w:val="en-GB"/>
        </w:rPr>
        <w:t>lenvatinib</w:t>
      </w:r>
      <w:proofErr w:type="spellEnd"/>
      <w:r w:rsidR="00E90B0F">
        <w:rPr>
          <w:lang w:val="en-GB"/>
        </w:rPr>
        <w:t>)</w:t>
      </w:r>
      <w:r w:rsidR="009A41CE">
        <w:rPr>
          <w:lang w:val="en-GB"/>
        </w:rPr>
        <w:t xml:space="preserve"> for the </w:t>
      </w:r>
      <w:r w:rsidR="009D3CC2">
        <w:rPr>
          <w:lang w:val="en-GB"/>
        </w:rPr>
        <w:t xml:space="preserve">following </w:t>
      </w:r>
      <w:r w:rsidR="009A41CE">
        <w:rPr>
          <w:lang w:val="en-GB"/>
        </w:rPr>
        <w:t>disease states</w:t>
      </w:r>
      <w:r w:rsidR="009D3CC2">
        <w:rPr>
          <w:lang w:val="en-GB"/>
        </w:rPr>
        <w:t>:</w:t>
      </w:r>
      <w:r w:rsidR="009A41CE">
        <w:rPr>
          <w:lang w:val="en-GB"/>
        </w:rPr>
        <w:t xml:space="preserve"> progression-free survival, progressive disease and post-transplant. </w:t>
      </w:r>
      <w:r w:rsidR="009D3CC2">
        <w:rPr>
          <w:lang w:val="en-GB"/>
        </w:rPr>
        <w:t>T</w:t>
      </w:r>
      <w:r w:rsidR="009A41CE">
        <w:rPr>
          <w:lang w:val="en-GB"/>
        </w:rPr>
        <w:t xml:space="preserve">here were only small differences in utilities between progression-free survival and progressive disease. </w:t>
      </w:r>
      <w:r w:rsidR="00492859">
        <w:rPr>
          <w:lang w:val="en-GB"/>
        </w:rPr>
        <w:t>The clinical expert</w:t>
      </w:r>
      <w:r w:rsidR="006057AA">
        <w:rPr>
          <w:lang w:val="en-GB"/>
        </w:rPr>
        <w:t>s</w:t>
      </w:r>
      <w:r w:rsidR="00492859">
        <w:rPr>
          <w:lang w:val="en-GB"/>
        </w:rPr>
        <w:t xml:space="preserve"> explained that people </w:t>
      </w:r>
      <w:r w:rsidR="009D3CC2">
        <w:rPr>
          <w:lang w:val="en-GB"/>
        </w:rPr>
        <w:t xml:space="preserve">who have </w:t>
      </w:r>
      <w:r w:rsidR="004224A6">
        <w:rPr>
          <w:lang w:val="en-GB"/>
        </w:rPr>
        <w:t>sorafenib</w:t>
      </w:r>
      <w:r w:rsidR="00492859">
        <w:rPr>
          <w:lang w:val="en-GB"/>
        </w:rPr>
        <w:t xml:space="preserve"> </w:t>
      </w:r>
      <w:r w:rsidR="009D3CC2">
        <w:rPr>
          <w:lang w:val="en-GB"/>
        </w:rPr>
        <w:t xml:space="preserve">for </w:t>
      </w:r>
      <w:r w:rsidR="00492859">
        <w:rPr>
          <w:lang w:val="en-GB"/>
        </w:rPr>
        <w:t xml:space="preserve">a long time </w:t>
      </w:r>
      <w:r w:rsidR="00F60EB3">
        <w:rPr>
          <w:lang w:val="en-GB"/>
        </w:rPr>
        <w:t xml:space="preserve">may </w:t>
      </w:r>
      <w:r w:rsidR="00115831">
        <w:rPr>
          <w:lang w:val="en-GB"/>
        </w:rPr>
        <w:t>have</w:t>
      </w:r>
      <w:r w:rsidR="00492859">
        <w:rPr>
          <w:lang w:val="en-GB"/>
        </w:rPr>
        <w:t xml:space="preserve"> a long-lasting </w:t>
      </w:r>
      <w:r w:rsidR="00D06228">
        <w:rPr>
          <w:lang w:val="en-GB"/>
        </w:rPr>
        <w:t xml:space="preserve">negative </w:t>
      </w:r>
      <w:r w:rsidR="009D3CC2">
        <w:rPr>
          <w:lang w:val="en-GB"/>
        </w:rPr>
        <w:t xml:space="preserve">effect </w:t>
      </w:r>
      <w:r w:rsidR="00492859">
        <w:rPr>
          <w:lang w:val="en-GB"/>
        </w:rPr>
        <w:t xml:space="preserve">on </w:t>
      </w:r>
      <w:r w:rsidR="009D3CC2">
        <w:rPr>
          <w:lang w:val="en-GB"/>
        </w:rPr>
        <w:t xml:space="preserve">their </w:t>
      </w:r>
      <w:r w:rsidR="00492859">
        <w:rPr>
          <w:lang w:val="en-GB"/>
        </w:rPr>
        <w:t>quality of life</w:t>
      </w:r>
      <w:r w:rsidR="00B51242">
        <w:rPr>
          <w:lang w:val="en-GB"/>
        </w:rPr>
        <w:t xml:space="preserve">. </w:t>
      </w:r>
      <w:r w:rsidR="00492859">
        <w:rPr>
          <w:lang w:val="en-GB"/>
        </w:rPr>
        <w:t xml:space="preserve">SIRTs are given in </w:t>
      </w:r>
      <w:r w:rsidR="009D3CC2">
        <w:rPr>
          <w:lang w:val="en-GB"/>
        </w:rPr>
        <w:t>1 </w:t>
      </w:r>
      <w:r w:rsidR="00492859">
        <w:rPr>
          <w:lang w:val="en-GB"/>
        </w:rPr>
        <w:t>procedure</w:t>
      </w:r>
      <w:r w:rsidR="00F60EB3">
        <w:rPr>
          <w:lang w:val="en-GB"/>
        </w:rPr>
        <w:t>, meaning there is a shorter duration of impaired</w:t>
      </w:r>
      <w:r w:rsidR="00492859">
        <w:rPr>
          <w:lang w:val="en-GB"/>
        </w:rPr>
        <w:t xml:space="preserve"> health-related quality of life. The committee </w:t>
      </w:r>
      <w:r w:rsidR="004B17B0">
        <w:rPr>
          <w:lang w:val="en-GB"/>
        </w:rPr>
        <w:t xml:space="preserve">considered </w:t>
      </w:r>
      <w:r w:rsidR="00492859">
        <w:rPr>
          <w:lang w:val="en-GB"/>
        </w:rPr>
        <w:t>that</w:t>
      </w:r>
      <w:r w:rsidR="00115831">
        <w:rPr>
          <w:lang w:val="en-GB"/>
        </w:rPr>
        <w:t xml:space="preserve"> the potential difference in long-term quality of life might </w:t>
      </w:r>
      <w:r w:rsidR="00492859">
        <w:rPr>
          <w:lang w:val="en-GB"/>
        </w:rPr>
        <w:t>not</w:t>
      </w:r>
      <w:r w:rsidR="00115831">
        <w:rPr>
          <w:lang w:val="en-GB"/>
        </w:rPr>
        <w:t xml:space="preserve"> be</w:t>
      </w:r>
      <w:r w:rsidR="00492859">
        <w:rPr>
          <w:lang w:val="en-GB"/>
        </w:rPr>
        <w:t xml:space="preserve"> captured in clinical trial results</w:t>
      </w:r>
      <w:r w:rsidR="004224A6">
        <w:rPr>
          <w:lang w:val="en-GB"/>
        </w:rPr>
        <w:t xml:space="preserve"> because quality</w:t>
      </w:r>
      <w:r w:rsidR="00122C44">
        <w:rPr>
          <w:lang w:val="en-GB"/>
        </w:rPr>
        <w:t>-</w:t>
      </w:r>
      <w:r w:rsidR="004224A6">
        <w:rPr>
          <w:lang w:val="en-GB"/>
        </w:rPr>
        <w:t>of</w:t>
      </w:r>
      <w:r w:rsidR="00122C44">
        <w:rPr>
          <w:lang w:val="en-GB"/>
        </w:rPr>
        <w:t>-</w:t>
      </w:r>
      <w:r w:rsidR="004224A6">
        <w:rPr>
          <w:lang w:val="en-GB"/>
        </w:rPr>
        <w:t>life data are collected at fixed time point</w:t>
      </w:r>
      <w:r w:rsidR="00F60EB3">
        <w:rPr>
          <w:lang w:val="en-GB"/>
        </w:rPr>
        <w:t>s</w:t>
      </w:r>
      <w:r w:rsidR="00492859">
        <w:rPr>
          <w:lang w:val="en-GB"/>
        </w:rPr>
        <w:t xml:space="preserve">. </w:t>
      </w:r>
      <w:r w:rsidR="009D3CC2">
        <w:rPr>
          <w:lang w:val="en-GB"/>
        </w:rPr>
        <w:t>It</w:t>
      </w:r>
      <w:r w:rsidR="00D06228">
        <w:rPr>
          <w:lang w:val="en-GB"/>
        </w:rPr>
        <w:t xml:space="preserve"> acknowledged that </w:t>
      </w:r>
      <w:r w:rsidR="002F41D7">
        <w:rPr>
          <w:lang w:val="en-GB"/>
        </w:rPr>
        <w:t xml:space="preserve">the cancer, liver function and other comorbidities </w:t>
      </w:r>
      <w:r w:rsidR="009D3CC2">
        <w:rPr>
          <w:lang w:val="en-GB"/>
        </w:rPr>
        <w:t xml:space="preserve">affect </w:t>
      </w:r>
      <w:r w:rsidR="002F41D7">
        <w:rPr>
          <w:lang w:val="en-GB"/>
        </w:rPr>
        <w:t>health-related quality of life in people with HCC.</w:t>
      </w:r>
      <w:r w:rsidR="00DD45FD">
        <w:rPr>
          <w:lang w:val="en-GB"/>
        </w:rPr>
        <w:t xml:space="preserve"> </w:t>
      </w:r>
      <w:r w:rsidR="00492859">
        <w:rPr>
          <w:lang w:val="en-GB"/>
        </w:rPr>
        <w:t xml:space="preserve">The committee concluded that some aspects of </w:t>
      </w:r>
      <w:r w:rsidR="00492859" w:rsidRPr="00492859">
        <w:rPr>
          <w:lang w:val="en-GB"/>
        </w:rPr>
        <w:t xml:space="preserve">health-related quality of life might not be captured in the utility </w:t>
      </w:r>
      <w:r w:rsidR="00104BD6" w:rsidRPr="00492859">
        <w:rPr>
          <w:lang w:val="en-GB"/>
        </w:rPr>
        <w:t>values,</w:t>
      </w:r>
      <w:r w:rsidR="002F41D7">
        <w:rPr>
          <w:lang w:val="en-GB"/>
        </w:rPr>
        <w:t xml:space="preserve"> but it </w:t>
      </w:r>
      <w:r w:rsidR="003475B9">
        <w:rPr>
          <w:lang w:val="en-GB"/>
        </w:rPr>
        <w:t xml:space="preserve">was not presented with evidence </w:t>
      </w:r>
      <w:r w:rsidR="009D3CC2">
        <w:rPr>
          <w:lang w:val="en-GB"/>
        </w:rPr>
        <w:t>comparing this benefit</w:t>
      </w:r>
      <w:r w:rsidR="003475B9">
        <w:rPr>
          <w:lang w:val="en-GB"/>
        </w:rPr>
        <w:t xml:space="preserve"> with</w:t>
      </w:r>
      <w:r w:rsidR="00C9510B">
        <w:rPr>
          <w:lang w:val="en-GB"/>
        </w:rPr>
        <w:t xml:space="preserve"> the relevant non-SIRT comparator,</w:t>
      </w:r>
      <w:r w:rsidR="003475B9">
        <w:rPr>
          <w:lang w:val="en-GB"/>
        </w:rPr>
        <w:t xml:space="preserve"> sorafenib</w:t>
      </w:r>
      <w:r w:rsidR="008348CF">
        <w:rPr>
          <w:lang w:val="en-GB"/>
        </w:rPr>
        <w:t>.</w:t>
      </w:r>
    </w:p>
    <w:p w14:paraId="14B0B1A4" w14:textId="77777777" w:rsidR="003A04BF" w:rsidRDefault="003A04BF" w:rsidP="003A04BF">
      <w:pPr>
        <w:pStyle w:val="Heading2"/>
      </w:pPr>
      <w:r>
        <w:t>Cost-effectiveness results</w:t>
      </w:r>
    </w:p>
    <w:p w14:paraId="599BA01E" w14:textId="61A53B42" w:rsidR="003A04BF" w:rsidRDefault="00A57513" w:rsidP="003A04BF">
      <w:pPr>
        <w:pStyle w:val="Heading3"/>
      </w:pPr>
      <w:r>
        <w:t xml:space="preserve">In the AG’s model </w:t>
      </w:r>
      <w:r w:rsidR="003A04BF">
        <w:t xml:space="preserve">sorafenib dominated SIRTs in all plausible scenarios </w:t>
      </w:r>
      <w:r w:rsidR="009D3CC2">
        <w:t>using</w:t>
      </w:r>
      <w:r w:rsidR="003A04BF">
        <w:t xml:space="preserve"> confidential patient access schemes for </w:t>
      </w:r>
      <w:proofErr w:type="spellStart"/>
      <w:r w:rsidR="003A04BF">
        <w:t>QuiremSpheres</w:t>
      </w:r>
      <w:proofErr w:type="spellEnd"/>
      <w:r w:rsidR="003A04BF">
        <w:t xml:space="preserve"> and sorafenib</w:t>
      </w:r>
    </w:p>
    <w:p w14:paraId="2404BA44" w14:textId="7994C008" w:rsidR="003A04BF" w:rsidRPr="000F2D8A" w:rsidRDefault="00D95265" w:rsidP="00DD2EA6">
      <w:pPr>
        <w:pStyle w:val="Numberedlevel2text"/>
      </w:pPr>
      <w:r>
        <w:rPr>
          <w:lang w:val="en-GB"/>
        </w:rPr>
        <w:t>The probabilistic base case of the AG model</w:t>
      </w:r>
      <w:r w:rsidR="00670285">
        <w:rPr>
          <w:lang w:val="en-GB"/>
        </w:rPr>
        <w:t>,</w:t>
      </w:r>
      <w:r>
        <w:rPr>
          <w:lang w:val="en-GB"/>
        </w:rPr>
        <w:t xml:space="preserve"> including confidential patient access schemes for </w:t>
      </w:r>
      <w:proofErr w:type="spellStart"/>
      <w:r>
        <w:rPr>
          <w:lang w:val="en-GB"/>
        </w:rPr>
        <w:t>QuiremS</w:t>
      </w:r>
      <w:r w:rsidR="00395877">
        <w:rPr>
          <w:lang w:val="en-GB"/>
        </w:rPr>
        <w:t>p</w:t>
      </w:r>
      <w:r>
        <w:rPr>
          <w:lang w:val="en-GB"/>
        </w:rPr>
        <w:t>heres</w:t>
      </w:r>
      <w:proofErr w:type="spellEnd"/>
      <w:r>
        <w:rPr>
          <w:lang w:val="en-GB"/>
        </w:rPr>
        <w:t xml:space="preserve"> and sorafenib</w:t>
      </w:r>
      <w:r w:rsidR="001E1E86">
        <w:rPr>
          <w:lang w:val="en-GB"/>
        </w:rPr>
        <w:t>,</w:t>
      </w:r>
      <w:r>
        <w:rPr>
          <w:lang w:val="en-GB"/>
        </w:rPr>
        <w:t xml:space="preserve"> showed that all SIRTs were less effective and more expensive than sorafenib</w:t>
      </w:r>
      <w:r w:rsidR="00837D04">
        <w:rPr>
          <w:lang w:val="en-GB"/>
        </w:rPr>
        <w:t xml:space="preserve"> (</w:t>
      </w:r>
      <w:r w:rsidR="00837D04" w:rsidRPr="00837D04">
        <w:rPr>
          <w:lang w:val="en-GB"/>
        </w:rPr>
        <w:t>exact incremental cost-effectiveness ratios [ICERs] are confidential and cannot be reported here</w:t>
      </w:r>
      <w:r w:rsidR="00837D04">
        <w:rPr>
          <w:lang w:val="en-GB"/>
        </w:rPr>
        <w:t>)</w:t>
      </w:r>
      <w:r>
        <w:rPr>
          <w:lang w:val="en-GB"/>
        </w:rPr>
        <w:t xml:space="preserve">. </w:t>
      </w:r>
      <w:r w:rsidR="00DD2EA6" w:rsidRPr="00D42758">
        <w:t>Because of uncertaint</w:t>
      </w:r>
      <w:r w:rsidR="00C9510B">
        <w:rPr>
          <w:lang w:val="en-GB"/>
        </w:rPr>
        <w:t>ies in</w:t>
      </w:r>
      <w:r w:rsidR="00DD2EA6" w:rsidRPr="00D42758">
        <w:t xml:space="preserve"> the </w:t>
      </w:r>
      <w:r w:rsidR="00C9510B">
        <w:rPr>
          <w:lang w:val="en-GB"/>
        </w:rPr>
        <w:t>evidence</w:t>
      </w:r>
      <w:r w:rsidR="00DD2EA6" w:rsidRPr="00D42758">
        <w:t>, the AG presented 17 scenario analyses</w:t>
      </w:r>
      <w:r w:rsidR="00C9510B">
        <w:rPr>
          <w:lang w:val="en-GB"/>
        </w:rPr>
        <w:t>, for example using</w:t>
      </w:r>
      <w:r w:rsidR="004D47AA">
        <w:rPr>
          <w:lang w:val="en-GB"/>
        </w:rPr>
        <w:t xml:space="preserve"> </w:t>
      </w:r>
      <w:r w:rsidR="00C9510B">
        <w:rPr>
          <w:lang w:val="en-GB"/>
        </w:rPr>
        <w:t>alternative</w:t>
      </w:r>
      <w:r w:rsidR="004D47AA">
        <w:rPr>
          <w:lang w:val="en-GB"/>
        </w:rPr>
        <w:t xml:space="preserve"> functions to </w:t>
      </w:r>
      <w:r w:rsidR="00C9510B">
        <w:rPr>
          <w:lang w:val="en-GB"/>
        </w:rPr>
        <w:t>model</w:t>
      </w:r>
      <w:r w:rsidR="004D47AA">
        <w:rPr>
          <w:lang w:val="en-GB"/>
        </w:rPr>
        <w:t xml:space="preserve"> overall survival and progression</w:t>
      </w:r>
      <w:r w:rsidR="004D47AA">
        <w:rPr>
          <w:lang w:val="en-GB"/>
        </w:rPr>
        <w:noBreakHyphen/>
        <w:t xml:space="preserve">free survival (see section </w:t>
      </w:r>
      <w:r w:rsidR="004D47AA">
        <w:rPr>
          <w:lang w:val="en-GB"/>
        </w:rPr>
        <w:fldChar w:fldCharType="begin"/>
      </w:r>
      <w:r w:rsidR="004D47AA">
        <w:rPr>
          <w:lang w:val="en-GB"/>
        </w:rPr>
        <w:instrText xml:space="preserve"> REF _Ref25521401 \r \h </w:instrText>
      </w:r>
      <w:r w:rsidR="004D47AA">
        <w:rPr>
          <w:lang w:val="en-GB"/>
        </w:rPr>
      </w:r>
      <w:r w:rsidR="004D47AA">
        <w:rPr>
          <w:lang w:val="en-GB"/>
        </w:rPr>
        <w:fldChar w:fldCharType="separate"/>
      </w:r>
      <w:r w:rsidR="00B51242">
        <w:rPr>
          <w:lang w:val="en-GB"/>
        </w:rPr>
        <w:t>3.28</w:t>
      </w:r>
      <w:r w:rsidR="004D47AA">
        <w:rPr>
          <w:lang w:val="en-GB"/>
        </w:rPr>
        <w:fldChar w:fldCharType="end"/>
      </w:r>
      <w:r w:rsidR="004D47AA">
        <w:rPr>
          <w:lang w:val="en-GB"/>
        </w:rPr>
        <w:t>)</w:t>
      </w:r>
      <w:r w:rsidR="00DD2EA6">
        <w:rPr>
          <w:lang w:val="en-GB"/>
        </w:rPr>
        <w:t xml:space="preserve">. The committee noted that </w:t>
      </w:r>
      <w:r w:rsidR="004726FC">
        <w:rPr>
          <w:lang w:val="en-GB"/>
        </w:rPr>
        <w:t>ICERs</w:t>
      </w:r>
      <w:r w:rsidR="00DD2EA6">
        <w:rPr>
          <w:lang w:val="en-GB"/>
        </w:rPr>
        <w:t xml:space="preserve"> did not change much if </w:t>
      </w:r>
      <w:r w:rsidR="00C9510B">
        <w:rPr>
          <w:lang w:val="en-GB"/>
        </w:rPr>
        <w:t>alternative</w:t>
      </w:r>
      <w:r w:rsidR="00DD2EA6">
        <w:rPr>
          <w:lang w:val="en-GB"/>
        </w:rPr>
        <w:t xml:space="preserve"> functions </w:t>
      </w:r>
      <w:r w:rsidR="00395877">
        <w:rPr>
          <w:lang w:val="en-GB"/>
        </w:rPr>
        <w:t>were used</w:t>
      </w:r>
      <w:r w:rsidR="00DD2EA6">
        <w:rPr>
          <w:lang w:val="en-GB"/>
        </w:rPr>
        <w:t xml:space="preserve">. </w:t>
      </w:r>
      <w:r w:rsidR="00C9510B">
        <w:rPr>
          <w:lang w:val="en-GB"/>
        </w:rPr>
        <w:t xml:space="preserve">The committee also </w:t>
      </w:r>
      <w:r>
        <w:rPr>
          <w:lang w:val="en-GB"/>
        </w:rPr>
        <w:t>accepted</w:t>
      </w:r>
      <w:r w:rsidR="00DD2EA6">
        <w:rPr>
          <w:lang w:val="en-GB"/>
        </w:rPr>
        <w:t xml:space="preserve"> that alternative costs and utility values </w:t>
      </w:r>
      <w:r w:rsidR="009D3CC2">
        <w:rPr>
          <w:lang w:val="en-GB"/>
        </w:rPr>
        <w:t>did not have a big effect</w:t>
      </w:r>
      <w:r w:rsidR="00DD2EA6">
        <w:rPr>
          <w:lang w:val="en-GB"/>
        </w:rPr>
        <w:t xml:space="preserve"> on </w:t>
      </w:r>
      <w:r w:rsidR="009D3CC2">
        <w:rPr>
          <w:lang w:val="en-GB"/>
        </w:rPr>
        <w:t>ICERs</w:t>
      </w:r>
      <w:r w:rsidR="00DD2EA6">
        <w:rPr>
          <w:lang w:val="en-GB"/>
        </w:rPr>
        <w:t xml:space="preserve">. </w:t>
      </w:r>
      <w:r w:rsidR="00C9510B">
        <w:rPr>
          <w:lang w:val="en-GB"/>
        </w:rPr>
        <w:t>It</w:t>
      </w:r>
      <w:r>
        <w:rPr>
          <w:lang w:val="en-GB"/>
        </w:rPr>
        <w:t xml:space="preserve"> acknowledged that </w:t>
      </w:r>
      <w:r w:rsidR="00E02F6D">
        <w:rPr>
          <w:lang w:val="en-GB"/>
        </w:rPr>
        <w:t>in scenarios that restricted the population to people with ALBI grade</w:t>
      </w:r>
      <w:r w:rsidR="009D3CC2">
        <w:rPr>
          <w:lang w:val="en-GB"/>
        </w:rPr>
        <w:t> </w:t>
      </w:r>
      <w:r w:rsidR="00E02F6D">
        <w:rPr>
          <w:lang w:val="en-GB"/>
        </w:rPr>
        <w:t>1 and low tumour burden</w:t>
      </w:r>
      <w:r w:rsidR="004D47AA">
        <w:rPr>
          <w:lang w:val="en-GB"/>
        </w:rPr>
        <w:t xml:space="preserve"> (see section </w:t>
      </w:r>
      <w:r w:rsidR="00C9510B">
        <w:rPr>
          <w:lang w:val="en-GB"/>
        </w:rPr>
        <w:fldChar w:fldCharType="begin"/>
      </w:r>
      <w:r w:rsidR="00C9510B">
        <w:rPr>
          <w:lang w:val="en-GB"/>
        </w:rPr>
        <w:instrText xml:space="preserve"> REF _Ref25589084 \r \h </w:instrText>
      </w:r>
      <w:r w:rsidR="00C9510B">
        <w:rPr>
          <w:lang w:val="en-GB"/>
        </w:rPr>
      </w:r>
      <w:r w:rsidR="00C9510B">
        <w:rPr>
          <w:lang w:val="en-GB"/>
        </w:rPr>
        <w:fldChar w:fldCharType="separate"/>
      </w:r>
      <w:r w:rsidR="00B51242">
        <w:rPr>
          <w:lang w:val="en-GB"/>
        </w:rPr>
        <w:t>3.29</w:t>
      </w:r>
      <w:r w:rsidR="00C9510B">
        <w:rPr>
          <w:lang w:val="en-GB"/>
        </w:rPr>
        <w:fldChar w:fldCharType="end"/>
      </w:r>
      <w:r w:rsidR="004D47AA">
        <w:rPr>
          <w:lang w:val="en-GB"/>
        </w:rPr>
        <w:t>)</w:t>
      </w:r>
      <w:r w:rsidR="001E1E86">
        <w:rPr>
          <w:lang w:val="en-GB"/>
        </w:rPr>
        <w:t>,</w:t>
      </w:r>
      <w:r w:rsidR="00E02F6D">
        <w:rPr>
          <w:lang w:val="en-GB"/>
        </w:rPr>
        <w:t xml:space="preserve"> </w:t>
      </w:r>
      <w:proofErr w:type="spellStart"/>
      <w:r w:rsidR="00E02F6D">
        <w:rPr>
          <w:lang w:val="en-GB"/>
        </w:rPr>
        <w:t>TheraSphere</w:t>
      </w:r>
      <w:proofErr w:type="spellEnd"/>
      <w:r w:rsidR="00E02F6D">
        <w:rPr>
          <w:lang w:val="en-GB"/>
        </w:rPr>
        <w:t xml:space="preserve"> </w:t>
      </w:r>
      <w:r w:rsidR="00395877">
        <w:rPr>
          <w:lang w:val="en-GB"/>
        </w:rPr>
        <w:t>was</w:t>
      </w:r>
      <w:r w:rsidR="00E02F6D">
        <w:rPr>
          <w:lang w:val="en-GB"/>
        </w:rPr>
        <w:t xml:space="preserve"> more </w:t>
      </w:r>
      <w:r w:rsidR="00A40AD2">
        <w:rPr>
          <w:lang w:val="en-GB"/>
        </w:rPr>
        <w:t xml:space="preserve">cost </w:t>
      </w:r>
      <w:r w:rsidR="00E02F6D">
        <w:rPr>
          <w:lang w:val="en-GB"/>
        </w:rPr>
        <w:lastRenderedPageBreak/>
        <w:t xml:space="preserve">effective than sorafenib. However, the committee agreed that </w:t>
      </w:r>
      <w:r w:rsidR="00C9510B">
        <w:rPr>
          <w:lang w:val="en-GB"/>
        </w:rPr>
        <w:t xml:space="preserve">such </w:t>
      </w:r>
      <w:r w:rsidR="00E02F6D">
        <w:rPr>
          <w:lang w:val="en-GB"/>
        </w:rPr>
        <w:t>scenarios are not plausible because this population is not relevant to NHS</w:t>
      </w:r>
      <w:r w:rsidR="00C9510B">
        <w:rPr>
          <w:lang w:val="en-GB"/>
        </w:rPr>
        <w:t xml:space="preserve"> practice in England</w:t>
      </w:r>
      <w:r w:rsidR="00E02F6D">
        <w:rPr>
          <w:lang w:val="en-GB"/>
        </w:rPr>
        <w:t xml:space="preserve"> (see section </w:t>
      </w:r>
      <w:r w:rsidR="00D07558">
        <w:rPr>
          <w:lang w:val="en-GB"/>
        </w:rPr>
        <w:fldChar w:fldCharType="begin"/>
      </w:r>
      <w:r w:rsidR="00D07558">
        <w:rPr>
          <w:lang w:val="en-GB"/>
        </w:rPr>
        <w:instrText xml:space="preserve"> REF _Ref24379226 \r \h </w:instrText>
      </w:r>
      <w:r w:rsidR="00D07558">
        <w:rPr>
          <w:lang w:val="en-GB"/>
        </w:rPr>
      </w:r>
      <w:r w:rsidR="00D07558">
        <w:rPr>
          <w:lang w:val="en-GB"/>
        </w:rPr>
        <w:fldChar w:fldCharType="separate"/>
      </w:r>
      <w:r w:rsidR="00B51242">
        <w:rPr>
          <w:lang w:val="en-GB"/>
        </w:rPr>
        <w:t>3.29</w:t>
      </w:r>
      <w:r w:rsidR="00D07558">
        <w:rPr>
          <w:lang w:val="en-GB"/>
        </w:rPr>
        <w:fldChar w:fldCharType="end"/>
      </w:r>
      <w:r w:rsidR="00E02F6D">
        <w:rPr>
          <w:lang w:val="en-GB"/>
        </w:rPr>
        <w:t xml:space="preserve">). </w:t>
      </w:r>
      <w:proofErr w:type="spellStart"/>
      <w:r w:rsidR="00E02F6D">
        <w:rPr>
          <w:lang w:val="en-GB"/>
        </w:rPr>
        <w:t>TheraSphere</w:t>
      </w:r>
      <w:proofErr w:type="spellEnd"/>
      <w:r w:rsidR="00E02F6D">
        <w:rPr>
          <w:lang w:val="en-GB"/>
        </w:rPr>
        <w:t xml:space="preserve"> was also more effective in the scenario that included retrospective studies with high risk of bias. The committee agreed that this scenario </w:t>
      </w:r>
      <w:r w:rsidR="00C9510B">
        <w:rPr>
          <w:lang w:val="en-GB"/>
        </w:rPr>
        <w:t>should not be considered</w:t>
      </w:r>
      <w:r w:rsidR="00E02F6D">
        <w:rPr>
          <w:lang w:val="en-GB"/>
        </w:rPr>
        <w:t xml:space="preserve"> because of the high </w:t>
      </w:r>
      <w:r w:rsidR="00C9510B">
        <w:rPr>
          <w:lang w:val="en-GB"/>
        </w:rPr>
        <w:t xml:space="preserve">risk of bias and </w:t>
      </w:r>
      <w:r w:rsidR="00E02F6D">
        <w:rPr>
          <w:lang w:val="en-GB"/>
        </w:rPr>
        <w:t xml:space="preserve">uncertainty of the data (see section </w:t>
      </w:r>
      <w:r w:rsidR="00D45C14">
        <w:rPr>
          <w:lang w:val="en-GB"/>
        </w:rPr>
        <w:fldChar w:fldCharType="begin"/>
      </w:r>
      <w:r w:rsidR="00D45C14">
        <w:rPr>
          <w:lang w:val="en-GB"/>
        </w:rPr>
        <w:instrText xml:space="preserve"> REF _Ref24379362 \r \h </w:instrText>
      </w:r>
      <w:r w:rsidR="00D45C14">
        <w:rPr>
          <w:lang w:val="en-GB"/>
        </w:rPr>
      </w:r>
      <w:r w:rsidR="00D45C14">
        <w:rPr>
          <w:lang w:val="en-GB"/>
        </w:rPr>
        <w:fldChar w:fldCharType="separate"/>
      </w:r>
      <w:r w:rsidR="00B51242">
        <w:rPr>
          <w:lang w:val="en-GB"/>
        </w:rPr>
        <w:t>3.25</w:t>
      </w:r>
      <w:r w:rsidR="00D45C14">
        <w:rPr>
          <w:lang w:val="en-GB"/>
        </w:rPr>
        <w:fldChar w:fldCharType="end"/>
      </w:r>
      <w:r w:rsidR="00E02F6D">
        <w:rPr>
          <w:lang w:val="en-GB"/>
        </w:rPr>
        <w:t xml:space="preserve">). </w:t>
      </w:r>
      <w:r w:rsidR="00D75B2F" w:rsidRPr="00D75B2F">
        <w:rPr>
          <w:lang w:val="en-GB"/>
        </w:rPr>
        <w:t xml:space="preserve">The </w:t>
      </w:r>
      <w:r w:rsidR="00C9510B">
        <w:rPr>
          <w:lang w:val="en-GB"/>
        </w:rPr>
        <w:t xml:space="preserve">committee agreed that while the </w:t>
      </w:r>
      <w:r w:rsidR="00D75B2F" w:rsidRPr="00D75B2F">
        <w:rPr>
          <w:lang w:val="en-GB"/>
        </w:rPr>
        <w:t>modelling may not capture all health-related quality</w:t>
      </w:r>
      <w:r w:rsidR="00D11B00">
        <w:rPr>
          <w:lang w:val="en-GB"/>
        </w:rPr>
        <w:t>-</w:t>
      </w:r>
      <w:r w:rsidR="00D75B2F" w:rsidRPr="00D75B2F">
        <w:rPr>
          <w:lang w:val="en-GB"/>
        </w:rPr>
        <w:t>of</w:t>
      </w:r>
      <w:r w:rsidR="00D11B00">
        <w:rPr>
          <w:lang w:val="en-GB"/>
        </w:rPr>
        <w:t>-</w:t>
      </w:r>
      <w:r w:rsidR="00D75B2F" w:rsidRPr="00D75B2F">
        <w:rPr>
          <w:lang w:val="en-GB"/>
        </w:rPr>
        <w:t xml:space="preserve">life outcomes for people with HCC and SIRT, </w:t>
      </w:r>
      <w:r w:rsidR="00C9510B">
        <w:rPr>
          <w:lang w:val="en-GB"/>
        </w:rPr>
        <w:t>this</w:t>
      </w:r>
      <w:r w:rsidR="00D75B2F" w:rsidRPr="00D75B2F">
        <w:rPr>
          <w:lang w:val="en-GB"/>
        </w:rPr>
        <w:t xml:space="preserve"> was unlikely to </w:t>
      </w:r>
      <w:r w:rsidR="00C9510B">
        <w:rPr>
          <w:lang w:val="en-GB"/>
        </w:rPr>
        <w:t>change</w:t>
      </w:r>
      <w:r w:rsidR="00C9510B" w:rsidRPr="00D75B2F">
        <w:rPr>
          <w:lang w:val="en-GB"/>
        </w:rPr>
        <w:t xml:space="preserve"> </w:t>
      </w:r>
      <w:r w:rsidR="00C9510B">
        <w:rPr>
          <w:lang w:val="en-GB"/>
        </w:rPr>
        <w:t xml:space="preserve">the </w:t>
      </w:r>
      <w:r w:rsidR="00C9510B" w:rsidRPr="00D75B2F">
        <w:rPr>
          <w:lang w:val="en-GB"/>
        </w:rPr>
        <w:t>cost</w:t>
      </w:r>
      <w:r w:rsidR="00C9510B">
        <w:rPr>
          <w:lang w:val="en-GB"/>
        </w:rPr>
        <w:t>-</w:t>
      </w:r>
      <w:r w:rsidR="00C9510B" w:rsidRPr="00D75B2F">
        <w:rPr>
          <w:lang w:val="en-GB"/>
        </w:rPr>
        <w:t>effectiveness</w:t>
      </w:r>
      <w:r w:rsidR="00C9510B">
        <w:rPr>
          <w:lang w:val="en-GB"/>
        </w:rPr>
        <w:t xml:space="preserve"> estimates for SIRTs enough to change </w:t>
      </w:r>
      <w:r w:rsidR="00D75B2F" w:rsidRPr="00D75B2F">
        <w:rPr>
          <w:lang w:val="en-GB"/>
        </w:rPr>
        <w:t>its conclusions</w:t>
      </w:r>
      <w:r w:rsidR="00D75B2F">
        <w:rPr>
          <w:lang w:val="en-GB"/>
        </w:rPr>
        <w:t xml:space="preserve">. </w:t>
      </w:r>
      <w:r w:rsidR="00C9510B">
        <w:rPr>
          <w:lang w:val="en-GB"/>
        </w:rPr>
        <w:t>The committee</w:t>
      </w:r>
      <w:r w:rsidR="00D42758">
        <w:t xml:space="preserve"> concluded that </w:t>
      </w:r>
      <w:r w:rsidR="002315B7" w:rsidRPr="00DD2EA6">
        <w:rPr>
          <w:lang w:val="en-GB"/>
        </w:rPr>
        <w:t xml:space="preserve">sorafenib dominated SIRTs </w:t>
      </w:r>
      <w:r w:rsidR="00D42758" w:rsidRPr="00DD2EA6">
        <w:rPr>
          <w:lang w:val="en-GB"/>
        </w:rPr>
        <w:t xml:space="preserve">in </w:t>
      </w:r>
      <w:r w:rsidR="006F5D4F">
        <w:rPr>
          <w:lang w:val="en-GB"/>
        </w:rPr>
        <w:t>all</w:t>
      </w:r>
      <w:r w:rsidR="00D42758" w:rsidRPr="00DD2EA6">
        <w:rPr>
          <w:lang w:val="en-GB"/>
        </w:rPr>
        <w:t xml:space="preserve"> plausible scenarios</w:t>
      </w:r>
      <w:r w:rsidR="00D42758">
        <w:t>.</w:t>
      </w:r>
      <w:r w:rsidR="00D42758" w:rsidRPr="008D1306">
        <w:t xml:space="preserve"> </w:t>
      </w:r>
      <w:r w:rsidR="00D42758">
        <w:t xml:space="preserve">Therefore, it </w:t>
      </w:r>
      <w:r w:rsidR="00395877">
        <w:rPr>
          <w:lang w:val="en-GB"/>
        </w:rPr>
        <w:t>did</w:t>
      </w:r>
      <w:r w:rsidR="00D42758">
        <w:t xml:space="preserve"> not </w:t>
      </w:r>
      <w:r w:rsidR="00BD4C8F">
        <w:rPr>
          <w:lang w:val="en-US"/>
        </w:rPr>
        <w:t>consider</w:t>
      </w:r>
      <w:r w:rsidR="00BD4C8F">
        <w:t xml:space="preserve"> </w:t>
      </w:r>
      <w:r w:rsidR="00D42758" w:rsidRPr="00DD2EA6">
        <w:rPr>
          <w:lang w:val="en-GB"/>
        </w:rPr>
        <w:t>SIRTs</w:t>
      </w:r>
      <w:r w:rsidR="00BD4C8F">
        <w:rPr>
          <w:lang w:val="en-GB"/>
        </w:rPr>
        <w:t xml:space="preserve"> to be a cost-effective use of NHS resources</w:t>
      </w:r>
      <w:r w:rsidR="00D42758">
        <w:t xml:space="preserve"> for treating </w:t>
      </w:r>
      <w:r w:rsidR="00D42758" w:rsidRPr="00DD2EA6">
        <w:rPr>
          <w:lang w:val="en-GB" w:eastAsia="en-GB"/>
        </w:rPr>
        <w:t>unresectable HCC</w:t>
      </w:r>
      <w:r w:rsidR="00D42758">
        <w:t>.</w:t>
      </w:r>
    </w:p>
    <w:p w14:paraId="128C311E" w14:textId="77777777" w:rsidR="00D75B2F" w:rsidRDefault="00D75B2F" w:rsidP="00D75B2F">
      <w:pPr>
        <w:pStyle w:val="Heading2"/>
      </w:pPr>
      <w:r>
        <w:t>End of life</w:t>
      </w:r>
    </w:p>
    <w:p w14:paraId="274514F5" w14:textId="7F7BFD72" w:rsidR="00D75B2F" w:rsidRPr="00DF0C5C" w:rsidRDefault="00D75B2F" w:rsidP="00D75B2F">
      <w:pPr>
        <w:pStyle w:val="Heading3"/>
      </w:pPr>
      <w:r>
        <w:t>The</w:t>
      </w:r>
      <w:r w:rsidR="00C02452">
        <w:t xml:space="preserve"> </w:t>
      </w:r>
      <w:r>
        <w:t>end</w:t>
      </w:r>
      <w:r w:rsidR="00DE38D9">
        <w:noBreakHyphen/>
      </w:r>
      <w:r>
        <w:t>of</w:t>
      </w:r>
      <w:r w:rsidR="00DE38D9">
        <w:noBreakHyphen/>
      </w:r>
      <w:r>
        <w:t xml:space="preserve">life criteria </w:t>
      </w:r>
      <w:r w:rsidR="00670285">
        <w:t xml:space="preserve">are </w:t>
      </w:r>
      <w:r>
        <w:t>not met</w:t>
      </w:r>
    </w:p>
    <w:p w14:paraId="2041B24E" w14:textId="77777777" w:rsidR="00D75B2F" w:rsidRDefault="00D75B2F" w:rsidP="00D75B2F">
      <w:pPr>
        <w:pStyle w:val="Numberedlevel2text"/>
      </w:pPr>
      <w:r>
        <w:t xml:space="preserve">The committee considered the </w:t>
      </w:r>
      <w:r w:rsidRPr="00611D94">
        <w:t>advice</w:t>
      </w:r>
      <w:r>
        <w:t xml:space="preserve"> about life-extending treatments for people with a short life expectancy in NICE’s </w:t>
      </w:r>
      <w:hyperlink r:id="rId14" w:history="1">
        <w:r>
          <w:rPr>
            <w:rStyle w:val="Hyperlink"/>
          </w:rPr>
          <w:t>guide to the methods of technology appraisal</w:t>
        </w:r>
      </w:hyperlink>
      <w:r>
        <w:t>.</w:t>
      </w:r>
    </w:p>
    <w:p w14:paraId="60D77A9F" w14:textId="6BCC7F05" w:rsidR="00DE38D9" w:rsidRPr="00D75B2F" w:rsidRDefault="00DE38D9" w:rsidP="0047745E">
      <w:pPr>
        <w:pStyle w:val="Bulletindent1"/>
      </w:pPr>
      <w:r>
        <w:t xml:space="preserve">When transplant or </w:t>
      </w:r>
      <w:r w:rsidR="00FE3581">
        <w:t xml:space="preserve">CTT </w:t>
      </w:r>
      <w:r w:rsidR="00C9510B">
        <w:t>is</w:t>
      </w:r>
      <w:r>
        <w:t xml:space="preserve"> appropriate, people have a life expectancy of more than 24 months. </w:t>
      </w:r>
      <w:r w:rsidRPr="008B7A9D">
        <w:t>Th</w:t>
      </w:r>
      <w:r>
        <w:t>is means</w:t>
      </w:r>
      <w:r w:rsidRPr="008B7A9D">
        <w:t xml:space="preserve"> that the life-</w:t>
      </w:r>
      <w:r>
        <w:t>expectancy</w:t>
      </w:r>
      <w:r w:rsidRPr="008B7A9D">
        <w:t xml:space="preserve"> criterion </w:t>
      </w:r>
      <w:r w:rsidR="00E04B74">
        <w:t xml:space="preserve">(that is, </w:t>
      </w:r>
      <w:r w:rsidR="00A927CE">
        <w:t>the treatment is indicated for patients with a short life expectancy, normally less than 24</w:t>
      </w:r>
      <w:r w:rsidR="00A73B18">
        <w:t> </w:t>
      </w:r>
      <w:r w:rsidR="00A927CE">
        <w:t>months</w:t>
      </w:r>
      <w:r w:rsidR="00E04B74">
        <w:t>)</w:t>
      </w:r>
      <w:r w:rsidR="00A927CE">
        <w:t xml:space="preserve"> </w:t>
      </w:r>
      <w:r w:rsidR="00C9510B">
        <w:t>was</w:t>
      </w:r>
      <w:r w:rsidR="00C9510B" w:rsidRPr="008B7A9D">
        <w:t xml:space="preserve"> </w:t>
      </w:r>
      <w:r w:rsidRPr="008B7A9D">
        <w:t>not met</w:t>
      </w:r>
      <w:r>
        <w:t xml:space="preserve"> for these subgroups</w:t>
      </w:r>
      <w:r w:rsidRPr="008B7A9D">
        <w:t>.</w:t>
      </w:r>
    </w:p>
    <w:p w14:paraId="45880093" w14:textId="49F45E8E" w:rsidR="00DE38D9" w:rsidRPr="00E675E8" w:rsidRDefault="00DE38D9" w:rsidP="00DE38D9">
      <w:pPr>
        <w:pStyle w:val="Bulletindent1"/>
      </w:pPr>
      <w:r>
        <w:t xml:space="preserve">When </w:t>
      </w:r>
      <w:r w:rsidR="00FE3581">
        <w:t>CTT</w:t>
      </w:r>
      <w:r w:rsidR="00C9510B">
        <w:t xml:space="preserve"> i</w:t>
      </w:r>
      <w:r w:rsidR="00FE3581">
        <w:t xml:space="preserve">s </w:t>
      </w:r>
      <w:r>
        <w:t xml:space="preserve">inappropriate, </w:t>
      </w:r>
      <w:r w:rsidR="00C9510B">
        <w:t xml:space="preserve">in advanced stage disease, </w:t>
      </w:r>
      <w:r>
        <w:t>people</w:t>
      </w:r>
      <w:r w:rsidRPr="00B74228">
        <w:t xml:space="preserve"> </w:t>
      </w:r>
      <w:r>
        <w:t xml:space="preserve">have a poor prognosis with a life expectancy of </w:t>
      </w:r>
      <w:r w:rsidRPr="00E675E8">
        <w:t>less than 24</w:t>
      </w:r>
      <w:r>
        <w:t> </w:t>
      </w:r>
      <w:r w:rsidRPr="00E675E8">
        <w:t>months</w:t>
      </w:r>
      <w:r>
        <w:t>. Therefore,</w:t>
      </w:r>
      <w:r w:rsidRPr="00E675E8">
        <w:t xml:space="preserve"> the short life-expectancy criterion </w:t>
      </w:r>
      <w:r w:rsidR="00C9510B">
        <w:t>was</w:t>
      </w:r>
      <w:r w:rsidRPr="00E675E8">
        <w:t xml:space="preserve"> met</w:t>
      </w:r>
      <w:r>
        <w:t xml:space="preserve"> for this subgroup</w:t>
      </w:r>
      <w:r w:rsidRPr="00E675E8">
        <w:t>.</w:t>
      </w:r>
    </w:p>
    <w:p w14:paraId="0D8AE6F0" w14:textId="325AC961" w:rsidR="00DE38D9" w:rsidRPr="003475B9" w:rsidRDefault="00DE38D9" w:rsidP="0047745E">
      <w:pPr>
        <w:pStyle w:val="Bulletindent1last"/>
      </w:pPr>
      <w:r>
        <w:t>In all plausible scenarios</w:t>
      </w:r>
      <w:r w:rsidR="00D406C6">
        <w:t>,</w:t>
      </w:r>
      <w:r>
        <w:t xml:space="preserve"> there was no increase in the </w:t>
      </w:r>
      <w:r w:rsidRPr="00713855">
        <w:t xml:space="preserve">modelled undiscounted </w:t>
      </w:r>
      <w:r w:rsidR="00D406C6">
        <w:t>life expectancy</w:t>
      </w:r>
      <w:r>
        <w:t xml:space="preserve"> with SIRTs compared with sorafenib</w:t>
      </w:r>
      <w:r w:rsidRPr="00713855">
        <w:t>.</w:t>
      </w:r>
      <w:r>
        <w:t xml:space="preserve"> The committee concluded that the life-extending criterion </w:t>
      </w:r>
      <w:r w:rsidR="00A927CE">
        <w:t xml:space="preserve">(that is, there is </w:t>
      </w:r>
      <w:proofErr w:type="gramStart"/>
      <w:r w:rsidR="00A927CE">
        <w:t>sufficient</w:t>
      </w:r>
      <w:proofErr w:type="gramEnd"/>
      <w:r w:rsidR="00A927CE">
        <w:t xml:space="preserve"> evidence that the treatment </w:t>
      </w:r>
      <w:r w:rsidR="00FF1DE4">
        <w:t>could</w:t>
      </w:r>
      <w:r w:rsidR="00F0497E">
        <w:t xml:space="preserve"> </w:t>
      </w:r>
      <w:r w:rsidR="00A927CE">
        <w:t>exten</w:t>
      </w:r>
      <w:r w:rsidR="00F0497E">
        <w:t>d</w:t>
      </w:r>
      <w:r w:rsidR="00A927CE">
        <w:t xml:space="preserve"> life, normally </w:t>
      </w:r>
      <w:r w:rsidR="00C81DF2">
        <w:t>by</w:t>
      </w:r>
      <w:r w:rsidR="00A927CE">
        <w:t xml:space="preserve"> a </w:t>
      </w:r>
      <w:r w:rsidR="00A927CE">
        <w:lastRenderedPageBreak/>
        <w:t>mean value of at least an additional 3</w:t>
      </w:r>
      <w:r w:rsidR="00C81DF2">
        <w:t> </w:t>
      </w:r>
      <w:r w:rsidR="00A927CE">
        <w:t xml:space="preserve">months, compared with current NHS treatment) </w:t>
      </w:r>
      <w:r>
        <w:t>was not met.</w:t>
      </w:r>
    </w:p>
    <w:p w14:paraId="24CA4F5E" w14:textId="08910E73" w:rsidR="00DE38D9" w:rsidRPr="00E675E8" w:rsidRDefault="00DE38D9" w:rsidP="009F21FC">
      <w:pPr>
        <w:pStyle w:val="Numberedlevel2text"/>
        <w:numPr>
          <w:ilvl w:val="0"/>
          <w:numId w:val="0"/>
        </w:numPr>
        <w:ind w:left="1134"/>
      </w:pPr>
      <w:r>
        <w:t xml:space="preserve">Because both </w:t>
      </w:r>
      <w:r>
        <w:rPr>
          <w:lang w:val="en-US"/>
        </w:rPr>
        <w:t>parts of the criteria</w:t>
      </w:r>
      <w:r>
        <w:t xml:space="preserve"> </w:t>
      </w:r>
      <w:proofErr w:type="spellStart"/>
      <w:r>
        <w:t>were</w:t>
      </w:r>
      <w:proofErr w:type="spellEnd"/>
      <w:r>
        <w:t xml:space="preserve"> not </w:t>
      </w:r>
      <w:r>
        <w:rPr>
          <w:lang w:val="en-US"/>
        </w:rPr>
        <w:t>met</w:t>
      </w:r>
      <w:r>
        <w:t>, t</w:t>
      </w:r>
      <w:r w:rsidRPr="00D84175">
        <w:t xml:space="preserve">he committee concluded that the </w:t>
      </w:r>
      <w:r w:rsidR="00FB47CB">
        <w:rPr>
          <w:lang w:val="en-GB"/>
        </w:rPr>
        <w:t>end</w:t>
      </w:r>
      <w:r w:rsidR="009F21FC">
        <w:rPr>
          <w:lang w:val="en-GB"/>
        </w:rPr>
        <w:noBreakHyphen/>
      </w:r>
      <w:r w:rsidR="00FB47CB">
        <w:rPr>
          <w:lang w:val="en-GB"/>
        </w:rPr>
        <w:t>of</w:t>
      </w:r>
      <w:r w:rsidR="009F21FC">
        <w:rPr>
          <w:lang w:val="en-GB"/>
        </w:rPr>
        <w:noBreakHyphen/>
      </w:r>
      <w:r w:rsidR="00FB47CB">
        <w:rPr>
          <w:lang w:val="en-GB"/>
        </w:rPr>
        <w:t>life</w:t>
      </w:r>
      <w:r w:rsidRPr="00D84175">
        <w:t xml:space="preserve"> criteri</w:t>
      </w:r>
      <w:r>
        <w:t>a</w:t>
      </w:r>
      <w:r w:rsidRPr="00D84175">
        <w:t xml:space="preserve"> </w:t>
      </w:r>
      <w:r w:rsidR="00670285">
        <w:rPr>
          <w:lang w:val="en-US"/>
        </w:rPr>
        <w:t>were</w:t>
      </w:r>
      <w:r w:rsidR="00670285" w:rsidRPr="00D84175">
        <w:t xml:space="preserve"> </w:t>
      </w:r>
      <w:r w:rsidRPr="00D84175">
        <w:t>not met.</w:t>
      </w:r>
    </w:p>
    <w:p w14:paraId="4C89EDE8" w14:textId="5DE66F02" w:rsidR="005545E7" w:rsidRDefault="005545E7" w:rsidP="005545E7">
      <w:pPr>
        <w:pStyle w:val="Heading2"/>
        <w:rPr>
          <w:lang w:val="en-GB"/>
        </w:rPr>
      </w:pPr>
      <w:r>
        <w:t>Innovation</w:t>
      </w:r>
    </w:p>
    <w:p w14:paraId="3F5EE6DC" w14:textId="0E3B9E60" w:rsidR="005545E7" w:rsidRPr="005545E7" w:rsidRDefault="005545E7" w:rsidP="005545E7">
      <w:pPr>
        <w:pStyle w:val="Heading3"/>
      </w:pPr>
      <w:r>
        <w:t xml:space="preserve">No evidence </w:t>
      </w:r>
      <w:r w:rsidR="00D406C6">
        <w:t>was identified</w:t>
      </w:r>
      <w:r w:rsidR="00D406C6" w:rsidDel="00D406C6">
        <w:t xml:space="preserve"> </w:t>
      </w:r>
      <w:r w:rsidR="00D406C6">
        <w:t>showing</w:t>
      </w:r>
      <w:r>
        <w:t xml:space="preserve"> </w:t>
      </w:r>
      <w:r w:rsidR="00D406C6">
        <w:t xml:space="preserve">additional </w:t>
      </w:r>
      <w:r>
        <w:t>benefit</w:t>
      </w:r>
      <w:r w:rsidR="00D406C6">
        <w:t>s</w:t>
      </w:r>
      <w:r>
        <w:t xml:space="preserve"> of SIRT</w:t>
      </w:r>
      <w:r w:rsidR="00D406C6">
        <w:t>,</w:t>
      </w:r>
      <w:r>
        <w:t xml:space="preserve"> </w:t>
      </w:r>
      <w:r w:rsidR="00DE38D9">
        <w:t xml:space="preserve">above </w:t>
      </w:r>
      <w:r w:rsidR="00D406C6">
        <w:t xml:space="preserve">those </w:t>
      </w:r>
      <w:r>
        <w:t>captured in the cost-effectiveness analysis</w:t>
      </w:r>
      <w:r w:rsidR="00D406C6">
        <w:t xml:space="preserve"> </w:t>
      </w:r>
    </w:p>
    <w:p w14:paraId="228232BF" w14:textId="0A9F5A65" w:rsidR="005545E7" w:rsidRPr="007828DD" w:rsidRDefault="005545E7" w:rsidP="005545E7">
      <w:pPr>
        <w:pStyle w:val="Numberedlevel2text"/>
      </w:pPr>
      <w:r w:rsidRPr="005545E7">
        <w:rPr>
          <w:lang w:val="en-GB"/>
        </w:rPr>
        <w:t>The compan</w:t>
      </w:r>
      <w:r>
        <w:rPr>
          <w:lang w:val="en-GB"/>
        </w:rPr>
        <w:t>ies</w:t>
      </w:r>
      <w:r w:rsidRPr="005545E7">
        <w:rPr>
          <w:lang w:val="en-GB"/>
        </w:rPr>
        <w:t xml:space="preserve"> considered </w:t>
      </w:r>
      <w:r>
        <w:rPr>
          <w:lang w:val="en-GB"/>
        </w:rPr>
        <w:t>SIRTs</w:t>
      </w:r>
      <w:r w:rsidRPr="005545E7">
        <w:rPr>
          <w:lang w:val="en-GB"/>
        </w:rPr>
        <w:t xml:space="preserve"> to be innovative</w:t>
      </w:r>
      <w:r>
        <w:rPr>
          <w:lang w:val="en-GB"/>
        </w:rPr>
        <w:t xml:space="preserve"> because they offer a more personalised treatment option</w:t>
      </w:r>
      <w:r w:rsidRPr="005545E7">
        <w:rPr>
          <w:lang w:val="en-GB"/>
        </w:rPr>
        <w:t xml:space="preserve">. The </w:t>
      </w:r>
      <w:r>
        <w:rPr>
          <w:lang w:val="en-GB"/>
        </w:rPr>
        <w:t>patient experts</w:t>
      </w:r>
      <w:r w:rsidRPr="005545E7">
        <w:rPr>
          <w:lang w:val="en-GB"/>
        </w:rPr>
        <w:t xml:space="preserve"> stated that </w:t>
      </w:r>
      <w:r>
        <w:rPr>
          <w:lang w:val="en-GB"/>
        </w:rPr>
        <w:t>SIRTs</w:t>
      </w:r>
      <w:r w:rsidRPr="005545E7">
        <w:rPr>
          <w:lang w:val="en-GB"/>
        </w:rPr>
        <w:t xml:space="preserve"> would be a substantial change in treating </w:t>
      </w:r>
      <w:r>
        <w:rPr>
          <w:lang w:val="en-GB"/>
        </w:rPr>
        <w:t>HCC</w:t>
      </w:r>
      <w:r w:rsidRPr="005545E7">
        <w:rPr>
          <w:lang w:val="en-GB"/>
        </w:rPr>
        <w:t xml:space="preserve"> because </w:t>
      </w:r>
      <w:r>
        <w:rPr>
          <w:lang w:val="en-GB"/>
        </w:rPr>
        <w:t xml:space="preserve">they could offer a chance </w:t>
      </w:r>
      <w:r w:rsidR="00DE38D9">
        <w:rPr>
          <w:lang w:val="en-GB"/>
        </w:rPr>
        <w:t xml:space="preserve">for </w:t>
      </w:r>
      <w:r>
        <w:rPr>
          <w:lang w:val="en-GB"/>
        </w:rPr>
        <w:t xml:space="preserve">subsequent curative treatment </w:t>
      </w:r>
      <w:r w:rsidR="00194F82">
        <w:rPr>
          <w:lang w:val="en-GB"/>
        </w:rPr>
        <w:t>for</w:t>
      </w:r>
      <w:r>
        <w:rPr>
          <w:lang w:val="en-GB"/>
        </w:rPr>
        <w:t xml:space="preserve"> people who would not otherwise have this option</w:t>
      </w:r>
      <w:r w:rsidRPr="005545E7">
        <w:rPr>
          <w:lang w:val="en-GB"/>
        </w:rPr>
        <w:t xml:space="preserve">. The committee concluded it </w:t>
      </w:r>
      <w:r w:rsidR="00DE38D9">
        <w:rPr>
          <w:lang w:val="en-GB"/>
        </w:rPr>
        <w:t>was</w:t>
      </w:r>
      <w:r w:rsidR="00DE38D9" w:rsidRPr="005545E7">
        <w:rPr>
          <w:lang w:val="en-GB"/>
        </w:rPr>
        <w:t xml:space="preserve"> </w:t>
      </w:r>
      <w:r w:rsidRPr="005545E7">
        <w:rPr>
          <w:lang w:val="en-GB"/>
        </w:rPr>
        <w:t xml:space="preserve">not shown evidence of any additional benefits that were not captured in the measurement of </w:t>
      </w:r>
      <w:r w:rsidR="00D406C6">
        <w:rPr>
          <w:lang w:val="en-GB"/>
        </w:rPr>
        <w:t>quality-adjusted life years in the model</w:t>
      </w:r>
      <w:r w:rsidRPr="005545E7">
        <w:rPr>
          <w:lang w:val="en-GB"/>
        </w:rPr>
        <w:t>.</w:t>
      </w:r>
      <w:r>
        <w:rPr>
          <w:lang w:val="en-GB"/>
        </w:rPr>
        <w:t xml:space="preserve"> </w:t>
      </w:r>
    </w:p>
    <w:p w14:paraId="6033866B" w14:textId="23B598ED" w:rsidR="003A04BF" w:rsidRDefault="005545E7" w:rsidP="00C67912">
      <w:pPr>
        <w:pStyle w:val="Heading2"/>
      </w:pPr>
      <w:r>
        <w:t>Equality</w:t>
      </w:r>
    </w:p>
    <w:p w14:paraId="7EC31643" w14:textId="4A6BA688" w:rsidR="00C67912" w:rsidRPr="00AE3728" w:rsidRDefault="003A04BF" w:rsidP="005545E7">
      <w:pPr>
        <w:pStyle w:val="Numberedlevel2text"/>
      </w:pPr>
      <w:r>
        <w:t>No equality or social judgement issues were identified.</w:t>
      </w:r>
    </w:p>
    <w:p w14:paraId="0A022716" w14:textId="77777777" w:rsidR="000F2D8A" w:rsidRPr="000F2D8A" w:rsidRDefault="000F2D8A" w:rsidP="00887068">
      <w:pPr>
        <w:pStyle w:val="Numberedheading1"/>
      </w:pPr>
      <w:r w:rsidRPr="000F2D8A">
        <w:rPr>
          <w:noProof/>
        </w:rPr>
        <w:t>Proposed date</w:t>
      </w:r>
      <w:r w:rsidRPr="000F2D8A">
        <w:t xml:space="preserve"> for review of guidance</w:t>
      </w:r>
    </w:p>
    <w:p w14:paraId="0FA2278D" w14:textId="5075A70B" w:rsidR="00C67912" w:rsidRDefault="0017090E" w:rsidP="00887068">
      <w:pPr>
        <w:pStyle w:val="Numberedlevel2text"/>
      </w:pPr>
      <w:r>
        <w:t xml:space="preserve">NICE proposes that the guidance on this technology </w:t>
      </w:r>
      <w:r w:rsidRPr="000F2D8A">
        <w:t xml:space="preserve">is considered for review </w:t>
      </w:r>
      <w:r w:rsidR="006B6B5F">
        <w:t xml:space="preserve">by the </w:t>
      </w:r>
      <w:r w:rsidR="000A2EAA">
        <w:rPr>
          <w:lang w:val="en-GB"/>
        </w:rPr>
        <w:t>g</w:t>
      </w:r>
      <w:proofErr w:type="spellStart"/>
      <w:r w:rsidR="006B6B5F">
        <w:t>uidance</w:t>
      </w:r>
      <w:proofErr w:type="spellEnd"/>
      <w:r w:rsidR="006B6B5F">
        <w:t xml:space="preserve"> </w:t>
      </w:r>
      <w:r w:rsidR="000A2EAA">
        <w:rPr>
          <w:lang w:val="en-GB"/>
        </w:rPr>
        <w:t>e</w:t>
      </w:r>
      <w:proofErr w:type="spellStart"/>
      <w:r w:rsidR="006B6B5F">
        <w:t>xec</w:t>
      </w:r>
      <w:r w:rsidR="006B6B5F" w:rsidRPr="00D979FC">
        <w:t>uti</w:t>
      </w:r>
      <w:r w:rsidR="006B6B5F">
        <w:t>ve</w:t>
      </w:r>
      <w:proofErr w:type="spellEnd"/>
      <w:r w:rsidR="0049573F">
        <w:rPr>
          <w:lang w:val="en-GB"/>
        </w:rPr>
        <w:t xml:space="preserve"> 3</w:t>
      </w:r>
      <w:r w:rsidR="00102F67">
        <w:rPr>
          <w:lang w:val="en-GB"/>
        </w:rPr>
        <w:t> </w:t>
      </w:r>
      <w:r w:rsidR="0049573F">
        <w:rPr>
          <w:lang w:val="en-GB"/>
        </w:rPr>
        <w:t>years after publication of the guidance</w:t>
      </w:r>
      <w:r w:rsidRPr="000F2D8A">
        <w:t xml:space="preserve">. </w:t>
      </w:r>
      <w:r>
        <w:t>NICE</w:t>
      </w:r>
      <w:r w:rsidRPr="000F2D8A">
        <w:t xml:space="preserve"> welcome</w:t>
      </w:r>
      <w:r w:rsidR="00F871F6">
        <w:t>s</w:t>
      </w:r>
      <w:r w:rsidRPr="000F2D8A">
        <w:t xml:space="preserve"> comment on this proposed date. </w:t>
      </w:r>
      <w:r w:rsidR="000F2D8A" w:rsidRPr="000F2D8A">
        <w:t xml:space="preserve">The </w:t>
      </w:r>
      <w:r w:rsidR="000A2EAA">
        <w:rPr>
          <w:lang w:val="en-GB"/>
        </w:rPr>
        <w:t>g</w:t>
      </w:r>
      <w:proofErr w:type="spellStart"/>
      <w:r w:rsidR="000F2D8A" w:rsidRPr="000F2D8A">
        <w:t>uidance</w:t>
      </w:r>
      <w:proofErr w:type="spellEnd"/>
      <w:r w:rsidR="000F2D8A" w:rsidRPr="000F2D8A">
        <w:t xml:space="preserve"> </w:t>
      </w:r>
      <w:r w:rsidR="000A2EAA">
        <w:rPr>
          <w:lang w:val="en-GB"/>
        </w:rPr>
        <w:t>e</w:t>
      </w:r>
      <w:proofErr w:type="spellStart"/>
      <w:r w:rsidR="000F2D8A" w:rsidRPr="000F2D8A">
        <w:t>xecutive</w:t>
      </w:r>
      <w:proofErr w:type="spellEnd"/>
      <w:r w:rsidR="000F2D8A" w:rsidRPr="000F2D8A">
        <w:t xml:space="preserve"> will </w:t>
      </w:r>
      <w:r w:rsidR="006128B7">
        <w:t xml:space="preserve">decide </w:t>
      </w:r>
      <w:r w:rsidR="000F2D8A" w:rsidRPr="000F2D8A">
        <w:t>whether the technology should be reviewed</w:t>
      </w:r>
      <w:r w:rsidR="006128B7">
        <w:t xml:space="preserve"> based on </w:t>
      </w:r>
      <w:r w:rsidR="000F2D8A" w:rsidRPr="000F2D8A">
        <w:t xml:space="preserve">information gathered by </w:t>
      </w:r>
      <w:r w:rsidR="00B56EFF">
        <w:t>NICE</w:t>
      </w:r>
      <w:r w:rsidR="000F2D8A" w:rsidRPr="000F2D8A">
        <w:t xml:space="preserve">, and in consultation with consultees and commentators. </w:t>
      </w:r>
    </w:p>
    <w:p w14:paraId="3BA934BF" w14:textId="0DA5B44E" w:rsidR="000F2D8A" w:rsidRPr="000F2D8A" w:rsidRDefault="009E2B4D" w:rsidP="00255BB2">
      <w:pPr>
        <w:pStyle w:val="NICEnormal"/>
      </w:pPr>
      <w:r>
        <w:t>Stephen O’Brien</w:t>
      </w:r>
      <w:r w:rsidR="00255BB2">
        <w:t xml:space="preserve"> </w:t>
      </w:r>
      <w:r w:rsidR="00887068">
        <w:br/>
      </w:r>
      <w:r w:rsidR="000F2D8A" w:rsidRPr="000F2D8A">
        <w:t xml:space="preserve">Chair, </w:t>
      </w:r>
      <w:r w:rsidR="001032BC">
        <w:t>a</w:t>
      </w:r>
      <w:r w:rsidR="000F2D8A" w:rsidRPr="000F2D8A">
        <w:t xml:space="preserve">ppraisal </w:t>
      </w:r>
      <w:r w:rsidR="001032BC">
        <w:t>c</w:t>
      </w:r>
      <w:r w:rsidR="000F2D8A" w:rsidRPr="000F2D8A">
        <w:t>ommittee</w:t>
      </w:r>
      <w:r w:rsidR="00887068">
        <w:br/>
      </w:r>
      <w:r>
        <w:t>November 2019</w:t>
      </w:r>
    </w:p>
    <w:p w14:paraId="65596803" w14:textId="77777777" w:rsidR="001F01E5" w:rsidRPr="007D7F83" w:rsidRDefault="001F01E5" w:rsidP="001F01E5">
      <w:pPr>
        <w:pStyle w:val="Numberedheading1"/>
      </w:pPr>
      <w:bookmarkStart w:id="23" w:name="_Ref23755622"/>
      <w:r w:rsidRPr="007D7F83">
        <w:lastRenderedPageBreak/>
        <w:t xml:space="preserve">Appraisal </w:t>
      </w:r>
      <w:r>
        <w:t>c</w:t>
      </w:r>
      <w:r w:rsidRPr="007D7F83">
        <w:t>ommittee members and NICE project team</w:t>
      </w:r>
      <w:bookmarkEnd w:id="23"/>
    </w:p>
    <w:p w14:paraId="31F8391F" w14:textId="77777777" w:rsidR="001F01E5" w:rsidRPr="007D7F83" w:rsidRDefault="001F01E5" w:rsidP="001F01E5">
      <w:pPr>
        <w:pStyle w:val="Heading2"/>
      </w:pPr>
      <w:r w:rsidRPr="007D7F83">
        <w:t xml:space="preserve">Appraisal </w:t>
      </w:r>
      <w:r>
        <w:t>c</w:t>
      </w:r>
      <w:r w:rsidRPr="007D7F83">
        <w:t>ommittee members</w:t>
      </w:r>
    </w:p>
    <w:p w14:paraId="1AB421AC" w14:textId="6C59D0C0" w:rsidR="00742089" w:rsidRPr="00742089" w:rsidRDefault="00742089" w:rsidP="00742089">
      <w:pPr>
        <w:pStyle w:val="NICEnormal"/>
        <w:rPr>
          <w:rFonts w:eastAsia="Calibri"/>
        </w:rPr>
      </w:pPr>
      <w:r>
        <w:t xml:space="preserve">The 4 technology appraisal committees are standing advisory committees of NICE. This topic was considered by </w:t>
      </w:r>
      <w:hyperlink r:id="rId15" w:history="1">
        <w:r>
          <w:rPr>
            <w:rStyle w:val="Hyperlink"/>
            <w:rFonts w:eastAsia="Calibri"/>
          </w:rPr>
          <w:t xml:space="preserve">committee </w:t>
        </w:r>
        <w:r w:rsidR="005D33B4">
          <w:rPr>
            <w:rStyle w:val="Hyperlink"/>
            <w:rFonts w:eastAsia="Calibri"/>
          </w:rPr>
          <w:t>C</w:t>
        </w:r>
      </w:hyperlink>
      <w:r>
        <w:t xml:space="preserve">. </w:t>
      </w:r>
    </w:p>
    <w:p w14:paraId="0B7C7AEF" w14:textId="77777777" w:rsidR="00742089" w:rsidRDefault="00742089" w:rsidP="00742089">
      <w:pPr>
        <w:pStyle w:val="NICEnormal"/>
      </w:pPr>
      <w:r>
        <w:t xml:space="preserve">Committee members are asked to declare any interests in the technology to be appraised. If it is considered there is a conflict of interest, the member is excluded from participating further in that appraisal. </w:t>
      </w:r>
    </w:p>
    <w:p w14:paraId="4184E62F" w14:textId="77777777" w:rsidR="001F01E5" w:rsidRDefault="00742089" w:rsidP="001F01E5">
      <w:pPr>
        <w:pStyle w:val="NICEnormal"/>
      </w:pPr>
      <w:r>
        <w:t xml:space="preserve">The </w:t>
      </w:r>
      <w:hyperlink r:id="rId16" w:history="1">
        <w:r w:rsidRPr="00742089">
          <w:rPr>
            <w:rStyle w:val="Hyperlink"/>
            <w:rFonts w:eastAsia="Calibri"/>
          </w:rPr>
          <w:t>minutes</w:t>
        </w:r>
      </w:hyperlink>
      <w:r>
        <w:t xml:space="preserve"> of each appraisal committee meeting, which include the names of the members who attended and their declarations of interests, are posted on the NICE website.</w:t>
      </w:r>
    </w:p>
    <w:p w14:paraId="5DDAFE17" w14:textId="77777777" w:rsidR="00DD0F85" w:rsidRPr="007D7F83" w:rsidRDefault="00DD0F85" w:rsidP="00DD0F85">
      <w:pPr>
        <w:pStyle w:val="NICEnormal"/>
      </w:pPr>
      <w:r>
        <w:t>Committee members are asked to declare any interests in the technology to be appraised. If it is considered there is a conflict of interest, the member is excluded from participating further in that appraisal.</w:t>
      </w:r>
    </w:p>
    <w:p w14:paraId="355298CA" w14:textId="77777777" w:rsidR="001F01E5" w:rsidRPr="007D7F83" w:rsidRDefault="001F01E5" w:rsidP="001F01E5">
      <w:pPr>
        <w:pStyle w:val="Heading2"/>
      </w:pPr>
      <w:r w:rsidRPr="007D7F83">
        <w:t>NICE project team</w:t>
      </w:r>
    </w:p>
    <w:p w14:paraId="3CBC4E75" w14:textId="0B2DB6C4" w:rsidR="001F01E5" w:rsidRPr="000F2D8A" w:rsidRDefault="001F01E5" w:rsidP="001F01E5">
      <w:pPr>
        <w:pStyle w:val="NICEnormal"/>
      </w:pPr>
      <w:r w:rsidRPr="0058413D">
        <w:t xml:space="preserve">Each technology appraisal is assigned to a team consisting of </w:t>
      </w:r>
      <w:r>
        <w:t>1</w:t>
      </w:r>
      <w:r w:rsidRPr="0058413D">
        <w:t xml:space="preserve"> or more health technology analysts (who act as technical leads for the appraisal), a technical adviser and a project manager. </w:t>
      </w:r>
    </w:p>
    <w:p w14:paraId="1F1AA683" w14:textId="0445C165" w:rsidR="001F01E5" w:rsidRPr="000F2D8A" w:rsidRDefault="00630797" w:rsidP="001F01E5">
      <w:pPr>
        <w:pStyle w:val="NICEnormal"/>
      </w:pPr>
      <w:bookmarkStart w:id="24" w:name="Text45"/>
      <w:r>
        <w:rPr>
          <w:b/>
        </w:rPr>
        <w:t>Verena Wolfram</w:t>
      </w:r>
      <w:r w:rsidR="001F01E5">
        <w:br/>
      </w:r>
      <w:r w:rsidR="001F01E5" w:rsidRPr="000F2D8A">
        <w:t xml:space="preserve">Technical </w:t>
      </w:r>
      <w:r w:rsidR="001032BC">
        <w:t>l</w:t>
      </w:r>
      <w:r w:rsidR="001F01E5" w:rsidRPr="000F2D8A">
        <w:t>ead</w:t>
      </w:r>
    </w:p>
    <w:p w14:paraId="5C72B86B" w14:textId="7E6EF0CB" w:rsidR="001F01E5" w:rsidRPr="000F2D8A" w:rsidRDefault="00630797" w:rsidP="001F01E5">
      <w:pPr>
        <w:pStyle w:val="NICEnormal"/>
      </w:pPr>
      <w:r>
        <w:rPr>
          <w:b/>
        </w:rPr>
        <w:t>Jamie Elvidge</w:t>
      </w:r>
      <w:r w:rsidR="001F01E5">
        <w:br/>
      </w:r>
      <w:r w:rsidR="001F01E5" w:rsidRPr="00AF59A2">
        <w:t xml:space="preserve">Technical </w:t>
      </w:r>
      <w:r w:rsidR="001032BC">
        <w:t>a</w:t>
      </w:r>
      <w:r w:rsidR="001F01E5" w:rsidRPr="00AF59A2">
        <w:t>dviser</w:t>
      </w:r>
    </w:p>
    <w:p w14:paraId="3819CFFE" w14:textId="25EF4E1E" w:rsidR="001F01E5" w:rsidRDefault="00630797" w:rsidP="001F01E5">
      <w:pPr>
        <w:pStyle w:val="NICEnormal"/>
      </w:pPr>
      <w:r>
        <w:rPr>
          <w:b/>
        </w:rPr>
        <w:t>Louise Jafferally</w:t>
      </w:r>
      <w:r w:rsidR="001F01E5">
        <w:br/>
      </w:r>
      <w:r w:rsidR="001F01E5" w:rsidRPr="000F2D8A">
        <w:t xml:space="preserve">Project </w:t>
      </w:r>
      <w:r w:rsidR="001032BC">
        <w:t>m</w:t>
      </w:r>
      <w:r w:rsidR="001F01E5" w:rsidRPr="000F2D8A">
        <w:t>anager</w:t>
      </w:r>
    </w:p>
    <w:bookmarkEnd w:id="24"/>
    <w:p w14:paraId="514D050F" w14:textId="77777777" w:rsidR="001F01E5" w:rsidRPr="000F2D8A" w:rsidRDefault="001F01E5" w:rsidP="002646AF">
      <w:pPr>
        <w:pStyle w:val="NICEnormal"/>
      </w:pPr>
      <w:r>
        <w:t xml:space="preserve">ISBN: </w:t>
      </w:r>
      <w:r w:rsidRPr="004D7C92">
        <w:rPr>
          <w:highlight w:val="green"/>
        </w:rPr>
        <w:t>[to be added at publication]</w:t>
      </w:r>
    </w:p>
    <w:sectPr w:rsidR="001F01E5" w:rsidRPr="000F2D8A" w:rsidSect="00682578">
      <w:headerReference w:type="default" r:id="rId17"/>
      <w:footerReference w:type="default" r:id="rId18"/>
      <w:pgSz w:w="11907" w:h="16840" w:code="9"/>
      <w:pgMar w:top="1440" w:right="1440" w:bottom="1440" w:left="1440" w:header="709" w:footer="709" w:gutter="0"/>
      <w:pgNumType w:start="1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4FE3" w14:textId="77777777" w:rsidR="00D23F2C" w:rsidRDefault="00D23F2C">
      <w:r>
        <w:separator/>
      </w:r>
    </w:p>
  </w:endnote>
  <w:endnote w:type="continuationSeparator" w:id="0">
    <w:p w14:paraId="6617AF77" w14:textId="77777777" w:rsidR="00D23F2C" w:rsidRDefault="00D2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E28B4" w14:textId="2D47E2E4" w:rsidR="00D23F2C" w:rsidRPr="003D33FB" w:rsidRDefault="00D23F2C" w:rsidP="00541499">
    <w:pPr>
      <w:pStyle w:val="NICEnormalsinglespacing"/>
      <w:spacing w:after="120"/>
      <w:rPr>
        <w:sz w:val="18"/>
        <w:szCs w:val="18"/>
      </w:rPr>
    </w:pPr>
    <w:r w:rsidRPr="003D33FB">
      <w:rPr>
        <w:sz w:val="18"/>
        <w:szCs w:val="18"/>
      </w:rPr>
      <w:t xml:space="preserve">Appraisal consultation document – </w:t>
    </w:r>
    <w:r w:rsidRPr="0029359E">
      <w:rPr>
        <w:sz w:val="18"/>
        <w:szCs w:val="18"/>
      </w:rPr>
      <w:t>Selective internal radiation therapies</w:t>
    </w:r>
    <w:r>
      <w:rPr>
        <w:sz w:val="18"/>
        <w:szCs w:val="18"/>
      </w:rPr>
      <w:t xml:space="preserve"> (SIRTs)</w:t>
    </w:r>
    <w:r w:rsidRPr="0029359E">
      <w:rPr>
        <w:sz w:val="18"/>
        <w:szCs w:val="18"/>
      </w:rPr>
      <w:t xml:space="preserve"> for treating hepatocellular carcinoma</w:t>
    </w:r>
    <w:r>
      <w:rPr>
        <w:sz w:val="18"/>
        <w:szCs w:val="18"/>
      </w:rPr>
      <w:t xml:space="preserve"> (ID1276)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2E7C3218" w14:textId="263211AF" w:rsidR="00D23F2C" w:rsidRDefault="00D23F2C" w:rsidP="00541499">
    <w:pPr>
      <w:pStyle w:val="NICEnormalsinglespacing"/>
      <w:spacing w:after="120"/>
      <w:rPr>
        <w:sz w:val="18"/>
        <w:szCs w:val="18"/>
      </w:rPr>
    </w:pPr>
    <w:r w:rsidRPr="003D33FB">
      <w:rPr>
        <w:sz w:val="18"/>
        <w:szCs w:val="18"/>
      </w:rPr>
      <w:t xml:space="preserve">Issue date: </w:t>
    </w:r>
    <w:r>
      <w:rPr>
        <w:sz w:val="18"/>
        <w:szCs w:val="18"/>
      </w:rPr>
      <w:t>November</w:t>
    </w:r>
    <w:r w:rsidRPr="003D33FB">
      <w:rPr>
        <w:sz w:val="18"/>
        <w:szCs w:val="18"/>
      </w:rPr>
      <w:t xml:space="preserve"> </w:t>
    </w:r>
    <w:r>
      <w:rPr>
        <w:sz w:val="18"/>
        <w:szCs w:val="18"/>
      </w:rPr>
      <w:t>2019</w:t>
    </w:r>
  </w:p>
  <w:p w14:paraId="6D9A9F1B" w14:textId="67C93681" w:rsidR="00D23F2C" w:rsidRPr="003D33FB" w:rsidRDefault="00D23F2C" w:rsidP="00541499">
    <w:pPr>
      <w:pStyle w:val="NICEnormalsinglespacing"/>
      <w:spacing w:after="120"/>
      <w:rPr>
        <w:sz w:val="18"/>
        <w:szCs w:val="18"/>
      </w:rPr>
    </w:pPr>
    <w:r>
      <w:rPr>
        <w:sz w:val="18"/>
        <w:szCs w:val="18"/>
      </w:rPr>
      <w:t xml:space="preserve">© NICE 2019. All rights reserved. Subject to </w:t>
    </w:r>
    <w:hyperlink r:id="rId1" w:history="1">
      <w:r>
        <w:rPr>
          <w:rStyle w:val="Hyperlink"/>
          <w:sz w:val="18"/>
          <w:szCs w:val="18"/>
        </w:rPr>
        <w:t>Notice of rights</w:t>
      </w:r>
    </w:hyperlink>
    <w:r w:rsidRPr="00AB1BB0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7FCB9" w14:textId="77777777" w:rsidR="00D23F2C" w:rsidRDefault="00D23F2C">
      <w:r>
        <w:separator/>
      </w:r>
    </w:p>
  </w:footnote>
  <w:footnote w:type="continuationSeparator" w:id="0">
    <w:p w14:paraId="63A3E414" w14:textId="77777777" w:rsidR="00D23F2C" w:rsidRDefault="00D2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25F3B" w14:textId="77777777" w:rsidR="00D23F2C" w:rsidRPr="0066179F" w:rsidRDefault="00D23F2C" w:rsidP="0066179F">
    <w:pPr>
      <w:pStyle w:val="Header"/>
      <w:jc w:val="right"/>
      <w:rPr>
        <w:b/>
      </w:rPr>
    </w:pPr>
    <w:r w:rsidRPr="0066179F">
      <w:rPr>
        <w:b/>
      </w:rPr>
      <w:t>CONFIDENTIAL</w:t>
    </w:r>
    <w:r>
      <w:rPr>
        <w:b/>
      </w:rPr>
      <w:t xml:space="preserve"> UNTIL PUBLISHED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4E0E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74E75FB"/>
    <w:multiLevelType w:val="multilevel"/>
    <w:tmpl w:val="EBAE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0F2A5F86"/>
    <w:multiLevelType w:val="multilevel"/>
    <w:tmpl w:val="299E02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1563488"/>
    <w:multiLevelType w:val="hybridMultilevel"/>
    <w:tmpl w:val="E85C93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47AFE"/>
    <w:multiLevelType w:val="hybridMultilevel"/>
    <w:tmpl w:val="600ACA82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E82154F"/>
    <w:multiLevelType w:val="hybridMultilevel"/>
    <w:tmpl w:val="7C58E3B2"/>
    <w:lvl w:ilvl="0" w:tplc="6B96DA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1422F"/>
    <w:multiLevelType w:val="hybridMultilevel"/>
    <w:tmpl w:val="6B14741C"/>
    <w:lvl w:ilvl="0" w:tplc="B6AC7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74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2C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68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8C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8E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23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BA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7F707D"/>
    <w:multiLevelType w:val="hybridMultilevel"/>
    <w:tmpl w:val="87D6AE54"/>
    <w:lvl w:ilvl="0" w:tplc="79D41878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C3584"/>
    <w:multiLevelType w:val="multilevel"/>
    <w:tmpl w:val="095085C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2269"/>
        </w:tabs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C86DD0"/>
    <w:multiLevelType w:val="multilevel"/>
    <w:tmpl w:val="36B6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26E2E"/>
    <w:multiLevelType w:val="hybridMultilevel"/>
    <w:tmpl w:val="5EB82B2A"/>
    <w:lvl w:ilvl="0" w:tplc="C824C56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810A0"/>
    <w:multiLevelType w:val="hybridMultilevel"/>
    <w:tmpl w:val="A34C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D105E"/>
    <w:multiLevelType w:val="hybridMultilevel"/>
    <w:tmpl w:val="47001F08"/>
    <w:lvl w:ilvl="0" w:tplc="50AA0F7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63C2ADC"/>
    <w:multiLevelType w:val="multilevel"/>
    <w:tmpl w:val="0FE6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A1D1102"/>
    <w:multiLevelType w:val="hybridMultilevel"/>
    <w:tmpl w:val="36D4B3D8"/>
    <w:lvl w:ilvl="0" w:tplc="1222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CD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8A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26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08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9A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ED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8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2F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BD783C"/>
    <w:multiLevelType w:val="hybridMultilevel"/>
    <w:tmpl w:val="23A0264C"/>
    <w:lvl w:ilvl="0" w:tplc="DE0CF6EA">
      <w:start w:val="1"/>
      <w:numFmt w:val="upperRoman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74E0BA3"/>
    <w:multiLevelType w:val="hybridMultilevel"/>
    <w:tmpl w:val="4032267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8" w15:restartNumberingAfterBreak="0">
    <w:nsid w:val="588F36E6"/>
    <w:multiLevelType w:val="hybridMultilevel"/>
    <w:tmpl w:val="14320908"/>
    <w:lvl w:ilvl="0" w:tplc="4EEC47A6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C3FA8"/>
    <w:multiLevelType w:val="hybridMultilevel"/>
    <w:tmpl w:val="AB3C9B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B16514"/>
    <w:multiLevelType w:val="hybridMultilevel"/>
    <w:tmpl w:val="0D1C6444"/>
    <w:lvl w:ilvl="0" w:tplc="25CE9C96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3" w15:restartNumberingAfterBreak="0">
    <w:nsid w:val="685676D3"/>
    <w:multiLevelType w:val="hybridMultilevel"/>
    <w:tmpl w:val="AA982508"/>
    <w:lvl w:ilvl="0" w:tplc="05BECA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469E5"/>
    <w:multiLevelType w:val="hybridMultilevel"/>
    <w:tmpl w:val="7246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F6245"/>
    <w:multiLevelType w:val="hybridMultilevel"/>
    <w:tmpl w:val="8226756E"/>
    <w:lvl w:ilvl="0" w:tplc="EE7C94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E0108"/>
    <w:multiLevelType w:val="hybridMultilevel"/>
    <w:tmpl w:val="5C384AF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32"/>
  </w:num>
  <w:num w:numId="3">
    <w:abstractNumId w:val="20"/>
  </w:num>
  <w:num w:numId="4">
    <w:abstractNumId w:val="22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17"/>
  </w:num>
  <w:num w:numId="10">
    <w:abstractNumId w:val="16"/>
  </w:num>
  <w:num w:numId="11">
    <w:abstractNumId w:val="19"/>
  </w:num>
  <w:num w:numId="12">
    <w:abstractNumId w:val="25"/>
  </w:num>
  <w:num w:numId="13">
    <w:abstractNumId w:val="7"/>
  </w:num>
  <w:num w:numId="14">
    <w:abstractNumId w:val="31"/>
  </w:num>
  <w:num w:numId="15">
    <w:abstractNumId w:val="13"/>
  </w:num>
  <w:num w:numId="16">
    <w:abstractNumId w:val="24"/>
  </w:num>
  <w:num w:numId="17">
    <w:abstractNumId w:val="28"/>
  </w:num>
  <w:num w:numId="18">
    <w:abstractNumId w:val="10"/>
  </w:num>
  <w:num w:numId="19">
    <w:abstractNumId w:val="35"/>
  </w:num>
  <w:num w:numId="20">
    <w:abstractNumId w:val="14"/>
  </w:num>
  <w:num w:numId="21">
    <w:abstractNumId w:val="4"/>
  </w:num>
  <w:num w:numId="22">
    <w:abstractNumId w:val="33"/>
  </w:num>
  <w:num w:numId="23">
    <w:abstractNumId w:val="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15"/>
  </w:num>
  <w:num w:numId="32">
    <w:abstractNumId w:val="21"/>
  </w:num>
  <w:num w:numId="33">
    <w:abstractNumId w:val="14"/>
  </w:num>
  <w:num w:numId="3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2"/>
  </w:num>
  <w:num w:numId="43">
    <w:abstractNumId w:val="5"/>
  </w:num>
  <w:num w:numId="44">
    <w:abstractNumId w:val="23"/>
  </w:num>
  <w:num w:numId="45">
    <w:abstractNumId w:val="34"/>
  </w:num>
  <w:num w:numId="46">
    <w:abstractNumId w:val="0"/>
  </w:num>
  <w:num w:numId="47">
    <w:abstractNumId w:val="27"/>
  </w:num>
  <w:num w:numId="48">
    <w:abstractNumId w:val="3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5"/>
    <w:rsid w:val="000005B9"/>
    <w:rsid w:val="00000917"/>
    <w:rsid w:val="00000973"/>
    <w:rsid w:val="0000303A"/>
    <w:rsid w:val="0000502C"/>
    <w:rsid w:val="00005B83"/>
    <w:rsid w:val="00010822"/>
    <w:rsid w:val="000119FB"/>
    <w:rsid w:val="00014099"/>
    <w:rsid w:val="000140B6"/>
    <w:rsid w:val="00014FFB"/>
    <w:rsid w:val="00016492"/>
    <w:rsid w:val="00020D2F"/>
    <w:rsid w:val="00021681"/>
    <w:rsid w:val="0002380D"/>
    <w:rsid w:val="000246BB"/>
    <w:rsid w:val="00025E90"/>
    <w:rsid w:val="00026416"/>
    <w:rsid w:val="00027909"/>
    <w:rsid w:val="000323CF"/>
    <w:rsid w:val="00036C56"/>
    <w:rsid w:val="000379E1"/>
    <w:rsid w:val="00037F62"/>
    <w:rsid w:val="00040868"/>
    <w:rsid w:val="00040A51"/>
    <w:rsid w:val="000412F6"/>
    <w:rsid w:val="000416CA"/>
    <w:rsid w:val="00041C83"/>
    <w:rsid w:val="00042B82"/>
    <w:rsid w:val="00043302"/>
    <w:rsid w:val="00043F89"/>
    <w:rsid w:val="00045BA3"/>
    <w:rsid w:val="00046989"/>
    <w:rsid w:val="0004792B"/>
    <w:rsid w:val="00051774"/>
    <w:rsid w:val="00051EA1"/>
    <w:rsid w:val="00052BB0"/>
    <w:rsid w:val="000539EE"/>
    <w:rsid w:val="000543EE"/>
    <w:rsid w:val="00054EAF"/>
    <w:rsid w:val="000604CE"/>
    <w:rsid w:val="000612A8"/>
    <w:rsid w:val="000614BD"/>
    <w:rsid w:val="00062B0E"/>
    <w:rsid w:val="00062D82"/>
    <w:rsid w:val="000641D1"/>
    <w:rsid w:val="00064B68"/>
    <w:rsid w:val="00065199"/>
    <w:rsid w:val="00065FA9"/>
    <w:rsid w:val="00066D90"/>
    <w:rsid w:val="00067680"/>
    <w:rsid w:val="000709FE"/>
    <w:rsid w:val="00073512"/>
    <w:rsid w:val="00074103"/>
    <w:rsid w:val="000746AA"/>
    <w:rsid w:val="00075445"/>
    <w:rsid w:val="00075CFF"/>
    <w:rsid w:val="0007775C"/>
    <w:rsid w:val="00077811"/>
    <w:rsid w:val="00077AB0"/>
    <w:rsid w:val="00081D27"/>
    <w:rsid w:val="00083B07"/>
    <w:rsid w:val="00084663"/>
    <w:rsid w:val="0008493D"/>
    <w:rsid w:val="00085620"/>
    <w:rsid w:val="000903A3"/>
    <w:rsid w:val="00091782"/>
    <w:rsid w:val="000918B0"/>
    <w:rsid w:val="00092046"/>
    <w:rsid w:val="00093298"/>
    <w:rsid w:val="00094788"/>
    <w:rsid w:val="000967BC"/>
    <w:rsid w:val="00096CDA"/>
    <w:rsid w:val="000A1302"/>
    <w:rsid w:val="000A2EAA"/>
    <w:rsid w:val="000A3D21"/>
    <w:rsid w:val="000A5557"/>
    <w:rsid w:val="000A65C4"/>
    <w:rsid w:val="000A7DB8"/>
    <w:rsid w:val="000B058E"/>
    <w:rsid w:val="000B35AC"/>
    <w:rsid w:val="000B3DCF"/>
    <w:rsid w:val="000B5A5C"/>
    <w:rsid w:val="000C1459"/>
    <w:rsid w:val="000C4E7C"/>
    <w:rsid w:val="000D24AA"/>
    <w:rsid w:val="000D34D0"/>
    <w:rsid w:val="000D5055"/>
    <w:rsid w:val="000D605D"/>
    <w:rsid w:val="000E0F9F"/>
    <w:rsid w:val="000E13BE"/>
    <w:rsid w:val="000E13F5"/>
    <w:rsid w:val="000E15AB"/>
    <w:rsid w:val="000E4733"/>
    <w:rsid w:val="000E7525"/>
    <w:rsid w:val="000E7A6D"/>
    <w:rsid w:val="000F0A1B"/>
    <w:rsid w:val="000F2473"/>
    <w:rsid w:val="000F2D8A"/>
    <w:rsid w:val="000F3504"/>
    <w:rsid w:val="000F3B3F"/>
    <w:rsid w:val="000F4CC3"/>
    <w:rsid w:val="000F5744"/>
    <w:rsid w:val="000F5AF1"/>
    <w:rsid w:val="00100915"/>
    <w:rsid w:val="00101F34"/>
    <w:rsid w:val="00102077"/>
    <w:rsid w:val="00102F67"/>
    <w:rsid w:val="001032BC"/>
    <w:rsid w:val="00103D34"/>
    <w:rsid w:val="00104BD6"/>
    <w:rsid w:val="0010762C"/>
    <w:rsid w:val="00112BF8"/>
    <w:rsid w:val="00114C2C"/>
    <w:rsid w:val="00115476"/>
    <w:rsid w:val="00115831"/>
    <w:rsid w:val="00115A26"/>
    <w:rsid w:val="00116B34"/>
    <w:rsid w:val="00121C68"/>
    <w:rsid w:val="00122C44"/>
    <w:rsid w:val="001234C4"/>
    <w:rsid w:val="001240DF"/>
    <w:rsid w:val="00127C73"/>
    <w:rsid w:val="00127FDF"/>
    <w:rsid w:val="00131D12"/>
    <w:rsid w:val="00132522"/>
    <w:rsid w:val="00133011"/>
    <w:rsid w:val="001335D1"/>
    <w:rsid w:val="00133741"/>
    <w:rsid w:val="00133F5A"/>
    <w:rsid w:val="00136D00"/>
    <w:rsid w:val="00141829"/>
    <w:rsid w:val="001448A4"/>
    <w:rsid w:val="00150DBD"/>
    <w:rsid w:val="001517C1"/>
    <w:rsid w:val="001518BB"/>
    <w:rsid w:val="0015353C"/>
    <w:rsid w:val="00154D5D"/>
    <w:rsid w:val="00154F35"/>
    <w:rsid w:val="0015534A"/>
    <w:rsid w:val="00156467"/>
    <w:rsid w:val="001569C3"/>
    <w:rsid w:val="001600C6"/>
    <w:rsid w:val="00160462"/>
    <w:rsid w:val="001608B7"/>
    <w:rsid w:val="00161AA0"/>
    <w:rsid w:val="00161B33"/>
    <w:rsid w:val="00162C59"/>
    <w:rsid w:val="0016710D"/>
    <w:rsid w:val="00167819"/>
    <w:rsid w:val="0017090E"/>
    <w:rsid w:val="00174C82"/>
    <w:rsid w:val="001750E2"/>
    <w:rsid w:val="001753D7"/>
    <w:rsid w:val="00176223"/>
    <w:rsid w:val="001768BB"/>
    <w:rsid w:val="0018056F"/>
    <w:rsid w:val="0018095E"/>
    <w:rsid w:val="00181D1B"/>
    <w:rsid w:val="00182049"/>
    <w:rsid w:val="0018600B"/>
    <w:rsid w:val="00186914"/>
    <w:rsid w:val="00187A15"/>
    <w:rsid w:val="001902D2"/>
    <w:rsid w:val="001906C2"/>
    <w:rsid w:val="00192321"/>
    <w:rsid w:val="0019384E"/>
    <w:rsid w:val="00194BA7"/>
    <w:rsid w:val="00194F82"/>
    <w:rsid w:val="001956FC"/>
    <w:rsid w:val="0019699A"/>
    <w:rsid w:val="00196D9D"/>
    <w:rsid w:val="00197C94"/>
    <w:rsid w:val="00197E7B"/>
    <w:rsid w:val="001A0F29"/>
    <w:rsid w:val="001A175E"/>
    <w:rsid w:val="001A232B"/>
    <w:rsid w:val="001A2A4A"/>
    <w:rsid w:val="001A35FD"/>
    <w:rsid w:val="001A3931"/>
    <w:rsid w:val="001A3F6D"/>
    <w:rsid w:val="001A4A92"/>
    <w:rsid w:val="001A5E81"/>
    <w:rsid w:val="001B2E51"/>
    <w:rsid w:val="001B33D5"/>
    <w:rsid w:val="001B461D"/>
    <w:rsid w:val="001B5365"/>
    <w:rsid w:val="001B5564"/>
    <w:rsid w:val="001B6D9F"/>
    <w:rsid w:val="001C127D"/>
    <w:rsid w:val="001C12A4"/>
    <w:rsid w:val="001C2013"/>
    <w:rsid w:val="001C4368"/>
    <w:rsid w:val="001C5B4D"/>
    <w:rsid w:val="001C725B"/>
    <w:rsid w:val="001C73A6"/>
    <w:rsid w:val="001C7765"/>
    <w:rsid w:val="001D0DE7"/>
    <w:rsid w:val="001D149C"/>
    <w:rsid w:val="001D21A0"/>
    <w:rsid w:val="001D21D4"/>
    <w:rsid w:val="001D4543"/>
    <w:rsid w:val="001D6B7D"/>
    <w:rsid w:val="001D71C9"/>
    <w:rsid w:val="001D71DD"/>
    <w:rsid w:val="001E1693"/>
    <w:rsid w:val="001E1E86"/>
    <w:rsid w:val="001E2038"/>
    <w:rsid w:val="001E2064"/>
    <w:rsid w:val="001E24FB"/>
    <w:rsid w:val="001E287A"/>
    <w:rsid w:val="001E388C"/>
    <w:rsid w:val="001E392F"/>
    <w:rsid w:val="001E3FE4"/>
    <w:rsid w:val="001E434F"/>
    <w:rsid w:val="001E580C"/>
    <w:rsid w:val="001F01E5"/>
    <w:rsid w:val="001F41E7"/>
    <w:rsid w:val="001F60E0"/>
    <w:rsid w:val="0020089B"/>
    <w:rsid w:val="0020150B"/>
    <w:rsid w:val="00201FE6"/>
    <w:rsid w:val="00203A2D"/>
    <w:rsid w:val="002043CB"/>
    <w:rsid w:val="00205B95"/>
    <w:rsid w:val="00206BC2"/>
    <w:rsid w:val="00207CF1"/>
    <w:rsid w:val="0021063A"/>
    <w:rsid w:val="00210F1F"/>
    <w:rsid w:val="00211D91"/>
    <w:rsid w:val="002154EB"/>
    <w:rsid w:val="0021595F"/>
    <w:rsid w:val="00216084"/>
    <w:rsid w:val="00221177"/>
    <w:rsid w:val="0022351F"/>
    <w:rsid w:val="002237AB"/>
    <w:rsid w:val="00225C58"/>
    <w:rsid w:val="002309D0"/>
    <w:rsid w:val="00230A7E"/>
    <w:rsid w:val="002315B7"/>
    <w:rsid w:val="002316F1"/>
    <w:rsid w:val="002322F9"/>
    <w:rsid w:val="00233062"/>
    <w:rsid w:val="00234296"/>
    <w:rsid w:val="00235984"/>
    <w:rsid w:val="00235CAB"/>
    <w:rsid w:val="00236409"/>
    <w:rsid w:val="0023641F"/>
    <w:rsid w:val="002409A2"/>
    <w:rsid w:val="00243A38"/>
    <w:rsid w:val="00244E0C"/>
    <w:rsid w:val="002457B9"/>
    <w:rsid w:val="00254FB6"/>
    <w:rsid w:val="00255B5D"/>
    <w:rsid w:val="00255BB2"/>
    <w:rsid w:val="0025604F"/>
    <w:rsid w:val="00263745"/>
    <w:rsid w:val="00263D4C"/>
    <w:rsid w:val="002646AF"/>
    <w:rsid w:val="002656A7"/>
    <w:rsid w:val="002657F7"/>
    <w:rsid w:val="00265D15"/>
    <w:rsid w:val="00266CEF"/>
    <w:rsid w:val="00270265"/>
    <w:rsid w:val="00270ABE"/>
    <w:rsid w:val="002718EA"/>
    <w:rsid w:val="00272E06"/>
    <w:rsid w:val="002746B8"/>
    <w:rsid w:val="0027560D"/>
    <w:rsid w:val="002760B9"/>
    <w:rsid w:val="00276C00"/>
    <w:rsid w:val="00282134"/>
    <w:rsid w:val="00282D7E"/>
    <w:rsid w:val="00283CB6"/>
    <w:rsid w:val="00283FE5"/>
    <w:rsid w:val="002911FD"/>
    <w:rsid w:val="00291318"/>
    <w:rsid w:val="00291512"/>
    <w:rsid w:val="002917B2"/>
    <w:rsid w:val="0029359E"/>
    <w:rsid w:val="002964A4"/>
    <w:rsid w:val="002A21A8"/>
    <w:rsid w:val="002A287D"/>
    <w:rsid w:val="002A49A7"/>
    <w:rsid w:val="002A4C83"/>
    <w:rsid w:val="002A6125"/>
    <w:rsid w:val="002A6F25"/>
    <w:rsid w:val="002B470B"/>
    <w:rsid w:val="002B7667"/>
    <w:rsid w:val="002C1619"/>
    <w:rsid w:val="002C210A"/>
    <w:rsid w:val="002C32B4"/>
    <w:rsid w:val="002C3A3A"/>
    <w:rsid w:val="002C5F74"/>
    <w:rsid w:val="002C65D9"/>
    <w:rsid w:val="002C6F15"/>
    <w:rsid w:val="002C7B44"/>
    <w:rsid w:val="002D0289"/>
    <w:rsid w:val="002D17A5"/>
    <w:rsid w:val="002D20A1"/>
    <w:rsid w:val="002D40D9"/>
    <w:rsid w:val="002D6CB0"/>
    <w:rsid w:val="002D7665"/>
    <w:rsid w:val="002D7718"/>
    <w:rsid w:val="002D7AB1"/>
    <w:rsid w:val="002E0DB5"/>
    <w:rsid w:val="002E2333"/>
    <w:rsid w:val="002E5ECB"/>
    <w:rsid w:val="002E66FD"/>
    <w:rsid w:val="002E6CB2"/>
    <w:rsid w:val="002E7D59"/>
    <w:rsid w:val="002F0CF7"/>
    <w:rsid w:val="002F0DAB"/>
    <w:rsid w:val="002F1B9D"/>
    <w:rsid w:val="002F217A"/>
    <w:rsid w:val="002F2ADC"/>
    <w:rsid w:val="002F2D48"/>
    <w:rsid w:val="002F41D7"/>
    <w:rsid w:val="002F4C51"/>
    <w:rsid w:val="002F66E5"/>
    <w:rsid w:val="002F6861"/>
    <w:rsid w:val="00301919"/>
    <w:rsid w:val="003028A8"/>
    <w:rsid w:val="00302FD9"/>
    <w:rsid w:val="00304085"/>
    <w:rsid w:val="00305AC6"/>
    <w:rsid w:val="00306D78"/>
    <w:rsid w:val="0031043F"/>
    <w:rsid w:val="00311B95"/>
    <w:rsid w:val="003134AD"/>
    <w:rsid w:val="003152B1"/>
    <w:rsid w:val="00315E6F"/>
    <w:rsid w:val="003165A3"/>
    <w:rsid w:val="0031664C"/>
    <w:rsid w:val="003202AB"/>
    <w:rsid w:val="00320FA0"/>
    <w:rsid w:val="003210A5"/>
    <w:rsid w:val="00321D1F"/>
    <w:rsid w:val="00321E66"/>
    <w:rsid w:val="003253AC"/>
    <w:rsid w:val="003255E6"/>
    <w:rsid w:val="00325A1A"/>
    <w:rsid w:val="0032656E"/>
    <w:rsid w:val="003330E6"/>
    <w:rsid w:val="00333F74"/>
    <w:rsid w:val="00335807"/>
    <w:rsid w:val="00335FF9"/>
    <w:rsid w:val="0033606A"/>
    <w:rsid w:val="00336E51"/>
    <w:rsid w:val="00341216"/>
    <w:rsid w:val="0034207F"/>
    <w:rsid w:val="00342D92"/>
    <w:rsid w:val="00343C29"/>
    <w:rsid w:val="00344774"/>
    <w:rsid w:val="00346492"/>
    <w:rsid w:val="00346A29"/>
    <w:rsid w:val="003475B9"/>
    <w:rsid w:val="00353C65"/>
    <w:rsid w:val="00354413"/>
    <w:rsid w:val="00360B5F"/>
    <w:rsid w:val="00363279"/>
    <w:rsid w:val="0036393D"/>
    <w:rsid w:val="0036394F"/>
    <w:rsid w:val="00363DB2"/>
    <w:rsid w:val="00363FC6"/>
    <w:rsid w:val="0036482D"/>
    <w:rsid w:val="00365BD5"/>
    <w:rsid w:val="0036660B"/>
    <w:rsid w:val="00366E08"/>
    <w:rsid w:val="00367BF2"/>
    <w:rsid w:val="00372C6C"/>
    <w:rsid w:val="00375759"/>
    <w:rsid w:val="00376F7D"/>
    <w:rsid w:val="00377C11"/>
    <w:rsid w:val="00382E4B"/>
    <w:rsid w:val="00383079"/>
    <w:rsid w:val="00383D1B"/>
    <w:rsid w:val="00385731"/>
    <w:rsid w:val="00385E19"/>
    <w:rsid w:val="00386A4E"/>
    <w:rsid w:val="003915EE"/>
    <w:rsid w:val="0039306F"/>
    <w:rsid w:val="00395877"/>
    <w:rsid w:val="00395BBD"/>
    <w:rsid w:val="003A04BF"/>
    <w:rsid w:val="003A3974"/>
    <w:rsid w:val="003A3BD8"/>
    <w:rsid w:val="003A4D65"/>
    <w:rsid w:val="003A6681"/>
    <w:rsid w:val="003A7701"/>
    <w:rsid w:val="003B011A"/>
    <w:rsid w:val="003B257B"/>
    <w:rsid w:val="003B2745"/>
    <w:rsid w:val="003B4445"/>
    <w:rsid w:val="003B4625"/>
    <w:rsid w:val="003B46F6"/>
    <w:rsid w:val="003B60EC"/>
    <w:rsid w:val="003B7F9C"/>
    <w:rsid w:val="003C0F49"/>
    <w:rsid w:val="003C1E8F"/>
    <w:rsid w:val="003C36AC"/>
    <w:rsid w:val="003C4515"/>
    <w:rsid w:val="003C5EB8"/>
    <w:rsid w:val="003C7E7C"/>
    <w:rsid w:val="003D0481"/>
    <w:rsid w:val="003D135F"/>
    <w:rsid w:val="003D16A7"/>
    <w:rsid w:val="003D1C36"/>
    <w:rsid w:val="003D33FB"/>
    <w:rsid w:val="003D51A9"/>
    <w:rsid w:val="003E0D66"/>
    <w:rsid w:val="003E1AD6"/>
    <w:rsid w:val="003E2004"/>
    <w:rsid w:val="003E3313"/>
    <w:rsid w:val="003E44C0"/>
    <w:rsid w:val="003F200C"/>
    <w:rsid w:val="003F2BFA"/>
    <w:rsid w:val="003F3FDC"/>
    <w:rsid w:val="003F5B2B"/>
    <w:rsid w:val="003F6D6A"/>
    <w:rsid w:val="003F7C16"/>
    <w:rsid w:val="00402891"/>
    <w:rsid w:val="00403D1C"/>
    <w:rsid w:val="00403DAA"/>
    <w:rsid w:val="004045D8"/>
    <w:rsid w:val="00404A5B"/>
    <w:rsid w:val="00404DF9"/>
    <w:rsid w:val="0040523D"/>
    <w:rsid w:val="00407076"/>
    <w:rsid w:val="004076DC"/>
    <w:rsid w:val="00407810"/>
    <w:rsid w:val="00412C6E"/>
    <w:rsid w:val="00413630"/>
    <w:rsid w:val="0041505D"/>
    <w:rsid w:val="00416188"/>
    <w:rsid w:val="0041654E"/>
    <w:rsid w:val="00417C70"/>
    <w:rsid w:val="0042012D"/>
    <w:rsid w:val="004202C1"/>
    <w:rsid w:val="004214B3"/>
    <w:rsid w:val="004220F7"/>
    <w:rsid w:val="004224A6"/>
    <w:rsid w:val="004234B2"/>
    <w:rsid w:val="00432C98"/>
    <w:rsid w:val="00433B0A"/>
    <w:rsid w:val="00434677"/>
    <w:rsid w:val="004371B7"/>
    <w:rsid w:val="00442951"/>
    <w:rsid w:val="00443146"/>
    <w:rsid w:val="00445E72"/>
    <w:rsid w:val="00447C6C"/>
    <w:rsid w:val="004502D2"/>
    <w:rsid w:val="00450DB7"/>
    <w:rsid w:val="004515E4"/>
    <w:rsid w:val="00452B8C"/>
    <w:rsid w:val="00453522"/>
    <w:rsid w:val="0045516A"/>
    <w:rsid w:val="00455CE4"/>
    <w:rsid w:val="004573BE"/>
    <w:rsid w:val="004607A7"/>
    <w:rsid w:val="0046122E"/>
    <w:rsid w:val="004617E5"/>
    <w:rsid w:val="00462652"/>
    <w:rsid w:val="004639E3"/>
    <w:rsid w:val="00465CE3"/>
    <w:rsid w:val="00466193"/>
    <w:rsid w:val="004668F5"/>
    <w:rsid w:val="004669B5"/>
    <w:rsid w:val="00467D12"/>
    <w:rsid w:val="00470CDF"/>
    <w:rsid w:val="004726FC"/>
    <w:rsid w:val="004734CF"/>
    <w:rsid w:val="00473734"/>
    <w:rsid w:val="00473928"/>
    <w:rsid w:val="004741F9"/>
    <w:rsid w:val="004746F4"/>
    <w:rsid w:val="0047627E"/>
    <w:rsid w:val="0047745E"/>
    <w:rsid w:val="00480272"/>
    <w:rsid w:val="0048199D"/>
    <w:rsid w:val="004819B6"/>
    <w:rsid w:val="004820E9"/>
    <w:rsid w:val="0048361F"/>
    <w:rsid w:val="0049180C"/>
    <w:rsid w:val="00492859"/>
    <w:rsid w:val="004937F3"/>
    <w:rsid w:val="004941B0"/>
    <w:rsid w:val="0049573F"/>
    <w:rsid w:val="00497C58"/>
    <w:rsid w:val="004A0844"/>
    <w:rsid w:val="004A3B51"/>
    <w:rsid w:val="004A6B96"/>
    <w:rsid w:val="004A770F"/>
    <w:rsid w:val="004A7C59"/>
    <w:rsid w:val="004B00E7"/>
    <w:rsid w:val="004B095A"/>
    <w:rsid w:val="004B0A08"/>
    <w:rsid w:val="004B12DD"/>
    <w:rsid w:val="004B17B0"/>
    <w:rsid w:val="004B2C8F"/>
    <w:rsid w:val="004B514C"/>
    <w:rsid w:val="004B6779"/>
    <w:rsid w:val="004C064F"/>
    <w:rsid w:val="004C17DF"/>
    <w:rsid w:val="004C33D1"/>
    <w:rsid w:val="004C37C2"/>
    <w:rsid w:val="004C4481"/>
    <w:rsid w:val="004C450A"/>
    <w:rsid w:val="004C68FF"/>
    <w:rsid w:val="004C778F"/>
    <w:rsid w:val="004D0498"/>
    <w:rsid w:val="004D16B3"/>
    <w:rsid w:val="004D1A9F"/>
    <w:rsid w:val="004D1F02"/>
    <w:rsid w:val="004D27CF"/>
    <w:rsid w:val="004D3C35"/>
    <w:rsid w:val="004D4699"/>
    <w:rsid w:val="004D47AA"/>
    <w:rsid w:val="004D7289"/>
    <w:rsid w:val="004D7C92"/>
    <w:rsid w:val="004E0B59"/>
    <w:rsid w:val="004E479D"/>
    <w:rsid w:val="004E4B15"/>
    <w:rsid w:val="004E5C60"/>
    <w:rsid w:val="004E65EF"/>
    <w:rsid w:val="004E7FFB"/>
    <w:rsid w:val="004F03F5"/>
    <w:rsid w:val="004F0C58"/>
    <w:rsid w:val="004F0DAC"/>
    <w:rsid w:val="004F0E41"/>
    <w:rsid w:val="004F1DD2"/>
    <w:rsid w:val="004F752B"/>
    <w:rsid w:val="00500C65"/>
    <w:rsid w:val="00501960"/>
    <w:rsid w:val="00501D36"/>
    <w:rsid w:val="0050276F"/>
    <w:rsid w:val="00504601"/>
    <w:rsid w:val="00507549"/>
    <w:rsid w:val="005075DC"/>
    <w:rsid w:val="00507EDD"/>
    <w:rsid w:val="005134C2"/>
    <w:rsid w:val="0052027F"/>
    <w:rsid w:val="005234D4"/>
    <w:rsid w:val="00523C12"/>
    <w:rsid w:val="005244F5"/>
    <w:rsid w:val="0052507B"/>
    <w:rsid w:val="005263D2"/>
    <w:rsid w:val="00526BDE"/>
    <w:rsid w:val="00526C07"/>
    <w:rsid w:val="0053022D"/>
    <w:rsid w:val="00531624"/>
    <w:rsid w:val="00531BA7"/>
    <w:rsid w:val="00533411"/>
    <w:rsid w:val="0053387C"/>
    <w:rsid w:val="005349D8"/>
    <w:rsid w:val="00535185"/>
    <w:rsid w:val="00535ABA"/>
    <w:rsid w:val="00535D8B"/>
    <w:rsid w:val="00536BF2"/>
    <w:rsid w:val="0053715B"/>
    <w:rsid w:val="005373A5"/>
    <w:rsid w:val="00537774"/>
    <w:rsid w:val="00537965"/>
    <w:rsid w:val="00541499"/>
    <w:rsid w:val="0054154C"/>
    <w:rsid w:val="005415D6"/>
    <w:rsid w:val="005425B2"/>
    <w:rsid w:val="005426A7"/>
    <w:rsid w:val="005432CF"/>
    <w:rsid w:val="00544ABD"/>
    <w:rsid w:val="005456B1"/>
    <w:rsid w:val="00546015"/>
    <w:rsid w:val="00546FC2"/>
    <w:rsid w:val="0054719F"/>
    <w:rsid w:val="00551FE8"/>
    <w:rsid w:val="00553C72"/>
    <w:rsid w:val="005545E7"/>
    <w:rsid w:val="005548F6"/>
    <w:rsid w:val="005556BD"/>
    <w:rsid w:val="005565FE"/>
    <w:rsid w:val="005567AF"/>
    <w:rsid w:val="00556D13"/>
    <w:rsid w:val="00560393"/>
    <w:rsid w:val="00561164"/>
    <w:rsid w:val="005620B3"/>
    <w:rsid w:val="00562D61"/>
    <w:rsid w:val="00564338"/>
    <w:rsid w:val="0056452D"/>
    <w:rsid w:val="005648EE"/>
    <w:rsid w:val="00566183"/>
    <w:rsid w:val="00566A41"/>
    <w:rsid w:val="00570670"/>
    <w:rsid w:val="005718EA"/>
    <w:rsid w:val="005724A0"/>
    <w:rsid w:val="00574ACA"/>
    <w:rsid w:val="00575FB6"/>
    <w:rsid w:val="00580146"/>
    <w:rsid w:val="005803CE"/>
    <w:rsid w:val="00581F51"/>
    <w:rsid w:val="005826BE"/>
    <w:rsid w:val="00584049"/>
    <w:rsid w:val="0058413D"/>
    <w:rsid w:val="005848E4"/>
    <w:rsid w:val="005879DE"/>
    <w:rsid w:val="00587D07"/>
    <w:rsid w:val="00587E26"/>
    <w:rsid w:val="00591708"/>
    <w:rsid w:val="00594B95"/>
    <w:rsid w:val="00595120"/>
    <w:rsid w:val="005A09AA"/>
    <w:rsid w:val="005A107B"/>
    <w:rsid w:val="005A5D58"/>
    <w:rsid w:val="005A69E0"/>
    <w:rsid w:val="005A6BC7"/>
    <w:rsid w:val="005A6DA1"/>
    <w:rsid w:val="005B02AE"/>
    <w:rsid w:val="005B12F2"/>
    <w:rsid w:val="005B14B1"/>
    <w:rsid w:val="005B2546"/>
    <w:rsid w:val="005B26C1"/>
    <w:rsid w:val="005B4CE5"/>
    <w:rsid w:val="005B52F3"/>
    <w:rsid w:val="005B6159"/>
    <w:rsid w:val="005B6B96"/>
    <w:rsid w:val="005B6F79"/>
    <w:rsid w:val="005B77BE"/>
    <w:rsid w:val="005B7895"/>
    <w:rsid w:val="005C051F"/>
    <w:rsid w:val="005C2153"/>
    <w:rsid w:val="005C22B1"/>
    <w:rsid w:val="005C272C"/>
    <w:rsid w:val="005C3560"/>
    <w:rsid w:val="005C4AA6"/>
    <w:rsid w:val="005C6084"/>
    <w:rsid w:val="005C642C"/>
    <w:rsid w:val="005C734C"/>
    <w:rsid w:val="005C762E"/>
    <w:rsid w:val="005D098C"/>
    <w:rsid w:val="005D0DED"/>
    <w:rsid w:val="005D14FD"/>
    <w:rsid w:val="005D313A"/>
    <w:rsid w:val="005D31D4"/>
    <w:rsid w:val="005D33B4"/>
    <w:rsid w:val="005D3C87"/>
    <w:rsid w:val="005D71B2"/>
    <w:rsid w:val="005D7A80"/>
    <w:rsid w:val="005E169E"/>
    <w:rsid w:val="005E4070"/>
    <w:rsid w:val="005E4BEB"/>
    <w:rsid w:val="005E546D"/>
    <w:rsid w:val="005E777E"/>
    <w:rsid w:val="005E77C1"/>
    <w:rsid w:val="005F15B2"/>
    <w:rsid w:val="005F2005"/>
    <w:rsid w:val="005F2D84"/>
    <w:rsid w:val="005F2ECD"/>
    <w:rsid w:val="005F6FAC"/>
    <w:rsid w:val="005F7B77"/>
    <w:rsid w:val="005F7E6E"/>
    <w:rsid w:val="0060000D"/>
    <w:rsid w:val="006007BA"/>
    <w:rsid w:val="0060378F"/>
    <w:rsid w:val="00603C94"/>
    <w:rsid w:val="00603E31"/>
    <w:rsid w:val="006057AA"/>
    <w:rsid w:val="00605F1D"/>
    <w:rsid w:val="0060662A"/>
    <w:rsid w:val="00611478"/>
    <w:rsid w:val="00611591"/>
    <w:rsid w:val="00612789"/>
    <w:rsid w:val="006128B7"/>
    <w:rsid w:val="00614B2E"/>
    <w:rsid w:val="00614BDA"/>
    <w:rsid w:val="00615E48"/>
    <w:rsid w:val="00617C09"/>
    <w:rsid w:val="00620FDD"/>
    <w:rsid w:val="00621B58"/>
    <w:rsid w:val="00622020"/>
    <w:rsid w:val="006220B9"/>
    <w:rsid w:val="00623F6F"/>
    <w:rsid w:val="0062584B"/>
    <w:rsid w:val="00625F50"/>
    <w:rsid w:val="0062732E"/>
    <w:rsid w:val="00627B45"/>
    <w:rsid w:val="00630797"/>
    <w:rsid w:val="00630893"/>
    <w:rsid w:val="006331B4"/>
    <w:rsid w:val="00633618"/>
    <w:rsid w:val="006343F3"/>
    <w:rsid w:val="006344A4"/>
    <w:rsid w:val="006408A0"/>
    <w:rsid w:val="00642902"/>
    <w:rsid w:val="00642906"/>
    <w:rsid w:val="00642BBF"/>
    <w:rsid w:val="006432A5"/>
    <w:rsid w:val="006434F0"/>
    <w:rsid w:val="00643B03"/>
    <w:rsid w:val="00643DB2"/>
    <w:rsid w:val="00643E16"/>
    <w:rsid w:val="006457EF"/>
    <w:rsid w:val="00646852"/>
    <w:rsid w:val="00646F42"/>
    <w:rsid w:val="0064772D"/>
    <w:rsid w:val="006504F8"/>
    <w:rsid w:val="00651535"/>
    <w:rsid w:val="00651614"/>
    <w:rsid w:val="00652417"/>
    <w:rsid w:val="006525B5"/>
    <w:rsid w:val="00652D74"/>
    <w:rsid w:val="00652DB1"/>
    <w:rsid w:val="0065556F"/>
    <w:rsid w:val="00656CA9"/>
    <w:rsid w:val="00656EA7"/>
    <w:rsid w:val="006570A7"/>
    <w:rsid w:val="00657509"/>
    <w:rsid w:val="0066179F"/>
    <w:rsid w:val="006622B0"/>
    <w:rsid w:val="0066238A"/>
    <w:rsid w:val="00662831"/>
    <w:rsid w:val="0066418C"/>
    <w:rsid w:val="006642D3"/>
    <w:rsid w:val="00664D65"/>
    <w:rsid w:val="006656E7"/>
    <w:rsid w:val="00667122"/>
    <w:rsid w:val="00670285"/>
    <w:rsid w:val="0067039F"/>
    <w:rsid w:val="00671AFE"/>
    <w:rsid w:val="00672EFB"/>
    <w:rsid w:val="00673A47"/>
    <w:rsid w:val="00673B31"/>
    <w:rsid w:val="00673D43"/>
    <w:rsid w:val="00673D9D"/>
    <w:rsid w:val="006759F6"/>
    <w:rsid w:val="00681321"/>
    <w:rsid w:val="00681541"/>
    <w:rsid w:val="00682578"/>
    <w:rsid w:val="00685750"/>
    <w:rsid w:val="00686E17"/>
    <w:rsid w:val="00687AA2"/>
    <w:rsid w:val="0069177A"/>
    <w:rsid w:val="0069257D"/>
    <w:rsid w:val="00692ED8"/>
    <w:rsid w:val="00693903"/>
    <w:rsid w:val="00694165"/>
    <w:rsid w:val="00694535"/>
    <w:rsid w:val="00697201"/>
    <w:rsid w:val="006A2D99"/>
    <w:rsid w:val="006A368C"/>
    <w:rsid w:val="006A6751"/>
    <w:rsid w:val="006A721F"/>
    <w:rsid w:val="006B29B6"/>
    <w:rsid w:val="006B4833"/>
    <w:rsid w:val="006B6132"/>
    <w:rsid w:val="006B678A"/>
    <w:rsid w:val="006B6B5F"/>
    <w:rsid w:val="006B71F3"/>
    <w:rsid w:val="006B745C"/>
    <w:rsid w:val="006C0934"/>
    <w:rsid w:val="006C0DD3"/>
    <w:rsid w:val="006C257B"/>
    <w:rsid w:val="006C2DBF"/>
    <w:rsid w:val="006C3205"/>
    <w:rsid w:val="006C4915"/>
    <w:rsid w:val="006C573C"/>
    <w:rsid w:val="006C5FE7"/>
    <w:rsid w:val="006C626E"/>
    <w:rsid w:val="006C6296"/>
    <w:rsid w:val="006C6395"/>
    <w:rsid w:val="006C6561"/>
    <w:rsid w:val="006C791B"/>
    <w:rsid w:val="006C7C86"/>
    <w:rsid w:val="006D629C"/>
    <w:rsid w:val="006D73F1"/>
    <w:rsid w:val="006E09FE"/>
    <w:rsid w:val="006E146E"/>
    <w:rsid w:val="006E1B4A"/>
    <w:rsid w:val="006E2A4A"/>
    <w:rsid w:val="006E2C34"/>
    <w:rsid w:val="006E348A"/>
    <w:rsid w:val="006E40EC"/>
    <w:rsid w:val="006E64C0"/>
    <w:rsid w:val="006E68CD"/>
    <w:rsid w:val="006F1A64"/>
    <w:rsid w:val="006F4071"/>
    <w:rsid w:val="006F4169"/>
    <w:rsid w:val="006F5D4F"/>
    <w:rsid w:val="006F6348"/>
    <w:rsid w:val="00701349"/>
    <w:rsid w:val="00701E46"/>
    <w:rsid w:val="00703D5F"/>
    <w:rsid w:val="00705A23"/>
    <w:rsid w:val="00706D45"/>
    <w:rsid w:val="00711205"/>
    <w:rsid w:val="0071173A"/>
    <w:rsid w:val="00713855"/>
    <w:rsid w:val="00713E5D"/>
    <w:rsid w:val="00714136"/>
    <w:rsid w:val="00714611"/>
    <w:rsid w:val="00714683"/>
    <w:rsid w:val="00715BC7"/>
    <w:rsid w:val="00717BC2"/>
    <w:rsid w:val="007213A1"/>
    <w:rsid w:val="0072753D"/>
    <w:rsid w:val="00730444"/>
    <w:rsid w:val="007307B0"/>
    <w:rsid w:val="00731B05"/>
    <w:rsid w:val="00732519"/>
    <w:rsid w:val="0073572F"/>
    <w:rsid w:val="00737FD4"/>
    <w:rsid w:val="00740CEE"/>
    <w:rsid w:val="00741E71"/>
    <w:rsid w:val="00742089"/>
    <w:rsid w:val="00745ED4"/>
    <w:rsid w:val="007474D6"/>
    <w:rsid w:val="00750FDB"/>
    <w:rsid w:val="0075402C"/>
    <w:rsid w:val="007563C3"/>
    <w:rsid w:val="0075706D"/>
    <w:rsid w:val="00757B24"/>
    <w:rsid w:val="007610CE"/>
    <w:rsid w:val="00761449"/>
    <w:rsid w:val="00763148"/>
    <w:rsid w:val="007636AC"/>
    <w:rsid w:val="00764256"/>
    <w:rsid w:val="0077555F"/>
    <w:rsid w:val="00777F0A"/>
    <w:rsid w:val="00781423"/>
    <w:rsid w:val="007868B9"/>
    <w:rsid w:val="00787627"/>
    <w:rsid w:val="007905C4"/>
    <w:rsid w:val="0079351D"/>
    <w:rsid w:val="007939FC"/>
    <w:rsid w:val="0079470C"/>
    <w:rsid w:val="00795D83"/>
    <w:rsid w:val="00797158"/>
    <w:rsid w:val="007A0B99"/>
    <w:rsid w:val="007A1A6F"/>
    <w:rsid w:val="007A1B41"/>
    <w:rsid w:val="007A4EEE"/>
    <w:rsid w:val="007A5B95"/>
    <w:rsid w:val="007A63DC"/>
    <w:rsid w:val="007B4A58"/>
    <w:rsid w:val="007B750E"/>
    <w:rsid w:val="007C0BAA"/>
    <w:rsid w:val="007C0DEC"/>
    <w:rsid w:val="007C25F5"/>
    <w:rsid w:val="007C35B0"/>
    <w:rsid w:val="007C3FD5"/>
    <w:rsid w:val="007C43DD"/>
    <w:rsid w:val="007C466A"/>
    <w:rsid w:val="007C4C60"/>
    <w:rsid w:val="007C68B0"/>
    <w:rsid w:val="007C6A1D"/>
    <w:rsid w:val="007D034D"/>
    <w:rsid w:val="007D097C"/>
    <w:rsid w:val="007D1300"/>
    <w:rsid w:val="007D2F8D"/>
    <w:rsid w:val="007D7ED6"/>
    <w:rsid w:val="007E0E8D"/>
    <w:rsid w:val="007E3C5F"/>
    <w:rsid w:val="007E4953"/>
    <w:rsid w:val="007E7689"/>
    <w:rsid w:val="007E7BD8"/>
    <w:rsid w:val="007F0DD4"/>
    <w:rsid w:val="007F44F6"/>
    <w:rsid w:val="007F6B30"/>
    <w:rsid w:val="007F72D3"/>
    <w:rsid w:val="00800379"/>
    <w:rsid w:val="00800667"/>
    <w:rsid w:val="00801121"/>
    <w:rsid w:val="008028ED"/>
    <w:rsid w:val="00802FAA"/>
    <w:rsid w:val="00803582"/>
    <w:rsid w:val="00803EA0"/>
    <w:rsid w:val="00804807"/>
    <w:rsid w:val="008048B0"/>
    <w:rsid w:val="008056BA"/>
    <w:rsid w:val="008056E7"/>
    <w:rsid w:val="00805B96"/>
    <w:rsid w:val="008065BE"/>
    <w:rsid w:val="008067DD"/>
    <w:rsid w:val="00806924"/>
    <w:rsid w:val="00807BC3"/>
    <w:rsid w:val="00807CDD"/>
    <w:rsid w:val="00811B6B"/>
    <w:rsid w:val="00812CBE"/>
    <w:rsid w:val="00813191"/>
    <w:rsid w:val="0081478A"/>
    <w:rsid w:val="00814937"/>
    <w:rsid w:val="00814DEF"/>
    <w:rsid w:val="00815392"/>
    <w:rsid w:val="008205F9"/>
    <w:rsid w:val="0082287D"/>
    <w:rsid w:val="00824C92"/>
    <w:rsid w:val="00832511"/>
    <w:rsid w:val="008328B9"/>
    <w:rsid w:val="00832A2E"/>
    <w:rsid w:val="00832C5F"/>
    <w:rsid w:val="0083423D"/>
    <w:rsid w:val="008348AE"/>
    <w:rsid w:val="008348CF"/>
    <w:rsid w:val="0083566D"/>
    <w:rsid w:val="008357DE"/>
    <w:rsid w:val="00836EAC"/>
    <w:rsid w:val="00837A9C"/>
    <w:rsid w:val="00837D04"/>
    <w:rsid w:val="00841A9A"/>
    <w:rsid w:val="00841EB7"/>
    <w:rsid w:val="00843B94"/>
    <w:rsid w:val="00844641"/>
    <w:rsid w:val="008459B8"/>
    <w:rsid w:val="00845E46"/>
    <w:rsid w:val="00846A13"/>
    <w:rsid w:val="00846BCB"/>
    <w:rsid w:val="00847B70"/>
    <w:rsid w:val="0085042A"/>
    <w:rsid w:val="008505C3"/>
    <w:rsid w:val="00850C11"/>
    <w:rsid w:val="008527AE"/>
    <w:rsid w:val="00852913"/>
    <w:rsid w:val="0085475D"/>
    <w:rsid w:val="00855371"/>
    <w:rsid w:val="00856887"/>
    <w:rsid w:val="00856C4C"/>
    <w:rsid w:val="0085797B"/>
    <w:rsid w:val="00857A61"/>
    <w:rsid w:val="00857A6F"/>
    <w:rsid w:val="00857B99"/>
    <w:rsid w:val="00860644"/>
    <w:rsid w:val="008617F9"/>
    <w:rsid w:val="0086334F"/>
    <w:rsid w:val="0086472B"/>
    <w:rsid w:val="008649F8"/>
    <w:rsid w:val="00867FDE"/>
    <w:rsid w:val="00870FE9"/>
    <w:rsid w:val="0087328A"/>
    <w:rsid w:val="00873B95"/>
    <w:rsid w:val="00876665"/>
    <w:rsid w:val="00876779"/>
    <w:rsid w:val="0087734B"/>
    <w:rsid w:val="0088008C"/>
    <w:rsid w:val="008804C5"/>
    <w:rsid w:val="0088099B"/>
    <w:rsid w:val="00880F31"/>
    <w:rsid w:val="00882F9A"/>
    <w:rsid w:val="00884258"/>
    <w:rsid w:val="00885566"/>
    <w:rsid w:val="0088700E"/>
    <w:rsid w:val="00887068"/>
    <w:rsid w:val="008879F1"/>
    <w:rsid w:val="0089166E"/>
    <w:rsid w:val="00892D0F"/>
    <w:rsid w:val="00892D51"/>
    <w:rsid w:val="008930EA"/>
    <w:rsid w:val="008975A5"/>
    <w:rsid w:val="008A3427"/>
    <w:rsid w:val="008A34B5"/>
    <w:rsid w:val="008A5801"/>
    <w:rsid w:val="008A7A3A"/>
    <w:rsid w:val="008A7DA7"/>
    <w:rsid w:val="008A7F55"/>
    <w:rsid w:val="008B0B6C"/>
    <w:rsid w:val="008B1C02"/>
    <w:rsid w:val="008B2FFB"/>
    <w:rsid w:val="008B4FE0"/>
    <w:rsid w:val="008B526D"/>
    <w:rsid w:val="008B5A22"/>
    <w:rsid w:val="008B6491"/>
    <w:rsid w:val="008B7A9D"/>
    <w:rsid w:val="008C14E2"/>
    <w:rsid w:val="008C1B72"/>
    <w:rsid w:val="008C1E32"/>
    <w:rsid w:val="008C2246"/>
    <w:rsid w:val="008C6478"/>
    <w:rsid w:val="008C7E44"/>
    <w:rsid w:val="008D0542"/>
    <w:rsid w:val="008D1C15"/>
    <w:rsid w:val="008D1C5E"/>
    <w:rsid w:val="008D22AE"/>
    <w:rsid w:val="008D62D8"/>
    <w:rsid w:val="008E34FE"/>
    <w:rsid w:val="008E38D4"/>
    <w:rsid w:val="008E4C37"/>
    <w:rsid w:val="008E6413"/>
    <w:rsid w:val="008E65C3"/>
    <w:rsid w:val="008E7585"/>
    <w:rsid w:val="008F1596"/>
    <w:rsid w:val="008F4447"/>
    <w:rsid w:val="008F4E54"/>
    <w:rsid w:val="008F5131"/>
    <w:rsid w:val="008F60A8"/>
    <w:rsid w:val="008F6105"/>
    <w:rsid w:val="00900782"/>
    <w:rsid w:val="00901786"/>
    <w:rsid w:val="009029B4"/>
    <w:rsid w:val="00902E6C"/>
    <w:rsid w:val="00903F5D"/>
    <w:rsid w:val="00904823"/>
    <w:rsid w:val="00904F33"/>
    <w:rsid w:val="0090678D"/>
    <w:rsid w:val="009108EC"/>
    <w:rsid w:val="00910D22"/>
    <w:rsid w:val="00911ABE"/>
    <w:rsid w:val="00911F5B"/>
    <w:rsid w:val="00916C4E"/>
    <w:rsid w:val="00917344"/>
    <w:rsid w:val="00917A30"/>
    <w:rsid w:val="009212AF"/>
    <w:rsid w:val="009212D5"/>
    <w:rsid w:val="00921B24"/>
    <w:rsid w:val="00921D99"/>
    <w:rsid w:val="00923174"/>
    <w:rsid w:val="00924568"/>
    <w:rsid w:val="00924CAB"/>
    <w:rsid w:val="00925741"/>
    <w:rsid w:val="009263BF"/>
    <w:rsid w:val="009264EA"/>
    <w:rsid w:val="0092657D"/>
    <w:rsid w:val="009279F6"/>
    <w:rsid w:val="009315E0"/>
    <w:rsid w:val="0093655E"/>
    <w:rsid w:val="00936DBF"/>
    <w:rsid w:val="00937574"/>
    <w:rsid w:val="00940EFE"/>
    <w:rsid w:val="0094366C"/>
    <w:rsid w:val="0094534D"/>
    <w:rsid w:val="009468C7"/>
    <w:rsid w:val="00946C67"/>
    <w:rsid w:val="0095323C"/>
    <w:rsid w:val="00953ADF"/>
    <w:rsid w:val="0095434A"/>
    <w:rsid w:val="009554BC"/>
    <w:rsid w:val="00961C01"/>
    <w:rsid w:val="00962598"/>
    <w:rsid w:val="00962EEC"/>
    <w:rsid w:val="00963978"/>
    <w:rsid w:val="009648FF"/>
    <w:rsid w:val="0096542D"/>
    <w:rsid w:val="00965476"/>
    <w:rsid w:val="00965CB5"/>
    <w:rsid w:val="0097061F"/>
    <w:rsid w:val="00973BE6"/>
    <w:rsid w:val="00975DD7"/>
    <w:rsid w:val="00977A3F"/>
    <w:rsid w:val="00982AE4"/>
    <w:rsid w:val="00986AD4"/>
    <w:rsid w:val="00986DC8"/>
    <w:rsid w:val="009875B7"/>
    <w:rsid w:val="00987ED9"/>
    <w:rsid w:val="00991A1E"/>
    <w:rsid w:val="00993555"/>
    <w:rsid w:val="009946F8"/>
    <w:rsid w:val="0099532C"/>
    <w:rsid w:val="00996EC2"/>
    <w:rsid w:val="00996ECF"/>
    <w:rsid w:val="009A0DE7"/>
    <w:rsid w:val="009A1881"/>
    <w:rsid w:val="009A41CE"/>
    <w:rsid w:val="009A70FF"/>
    <w:rsid w:val="009A7EF6"/>
    <w:rsid w:val="009B0D61"/>
    <w:rsid w:val="009B4FFB"/>
    <w:rsid w:val="009B5F75"/>
    <w:rsid w:val="009B621A"/>
    <w:rsid w:val="009B6C18"/>
    <w:rsid w:val="009B710F"/>
    <w:rsid w:val="009B7222"/>
    <w:rsid w:val="009B7275"/>
    <w:rsid w:val="009B7E21"/>
    <w:rsid w:val="009C20EF"/>
    <w:rsid w:val="009C267A"/>
    <w:rsid w:val="009C45D9"/>
    <w:rsid w:val="009C45E0"/>
    <w:rsid w:val="009C6F32"/>
    <w:rsid w:val="009D0471"/>
    <w:rsid w:val="009D1DCB"/>
    <w:rsid w:val="009D240C"/>
    <w:rsid w:val="009D2B9B"/>
    <w:rsid w:val="009D36F3"/>
    <w:rsid w:val="009D3CC2"/>
    <w:rsid w:val="009D76C9"/>
    <w:rsid w:val="009E0CD9"/>
    <w:rsid w:val="009E2B4D"/>
    <w:rsid w:val="009E3187"/>
    <w:rsid w:val="009F21FC"/>
    <w:rsid w:val="009F2748"/>
    <w:rsid w:val="009F356A"/>
    <w:rsid w:val="009F42E9"/>
    <w:rsid w:val="009F66B4"/>
    <w:rsid w:val="009F711E"/>
    <w:rsid w:val="00A005EB"/>
    <w:rsid w:val="00A020B2"/>
    <w:rsid w:val="00A02477"/>
    <w:rsid w:val="00A04252"/>
    <w:rsid w:val="00A057F2"/>
    <w:rsid w:val="00A06657"/>
    <w:rsid w:val="00A108E2"/>
    <w:rsid w:val="00A11F71"/>
    <w:rsid w:val="00A12B67"/>
    <w:rsid w:val="00A13439"/>
    <w:rsid w:val="00A13DA0"/>
    <w:rsid w:val="00A13F87"/>
    <w:rsid w:val="00A173D6"/>
    <w:rsid w:val="00A17F27"/>
    <w:rsid w:val="00A202DE"/>
    <w:rsid w:val="00A20A4F"/>
    <w:rsid w:val="00A2157E"/>
    <w:rsid w:val="00A21F19"/>
    <w:rsid w:val="00A22F1F"/>
    <w:rsid w:val="00A2310C"/>
    <w:rsid w:val="00A239BD"/>
    <w:rsid w:val="00A24025"/>
    <w:rsid w:val="00A252A0"/>
    <w:rsid w:val="00A25376"/>
    <w:rsid w:val="00A30D5F"/>
    <w:rsid w:val="00A30EDD"/>
    <w:rsid w:val="00A31713"/>
    <w:rsid w:val="00A31CD7"/>
    <w:rsid w:val="00A33DF1"/>
    <w:rsid w:val="00A342AC"/>
    <w:rsid w:val="00A352DF"/>
    <w:rsid w:val="00A36BCA"/>
    <w:rsid w:val="00A371EB"/>
    <w:rsid w:val="00A40AD2"/>
    <w:rsid w:val="00A41CB8"/>
    <w:rsid w:val="00A42059"/>
    <w:rsid w:val="00A44681"/>
    <w:rsid w:val="00A4765F"/>
    <w:rsid w:val="00A503D9"/>
    <w:rsid w:val="00A513BB"/>
    <w:rsid w:val="00A537E4"/>
    <w:rsid w:val="00A53999"/>
    <w:rsid w:val="00A53A17"/>
    <w:rsid w:val="00A53D91"/>
    <w:rsid w:val="00A54C61"/>
    <w:rsid w:val="00A57513"/>
    <w:rsid w:val="00A57C04"/>
    <w:rsid w:val="00A6159B"/>
    <w:rsid w:val="00A62C30"/>
    <w:rsid w:val="00A64AE3"/>
    <w:rsid w:val="00A65EF3"/>
    <w:rsid w:val="00A66142"/>
    <w:rsid w:val="00A66402"/>
    <w:rsid w:val="00A67425"/>
    <w:rsid w:val="00A67D76"/>
    <w:rsid w:val="00A722CC"/>
    <w:rsid w:val="00A72585"/>
    <w:rsid w:val="00A7343D"/>
    <w:rsid w:val="00A73B18"/>
    <w:rsid w:val="00A75058"/>
    <w:rsid w:val="00A75434"/>
    <w:rsid w:val="00A75477"/>
    <w:rsid w:val="00A76017"/>
    <w:rsid w:val="00A76457"/>
    <w:rsid w:val="00A77792"/>
    <w:rsid w:val="00A83EC1"/>
    <w:rsid w:val="00A8464B"/>
    <w:rsid w:val="00A847C4"/>
    <w:rsid w:val="00A8648E"/>
    <w:rsid w:val="00A86D3D"/>
    <w:rsid w:val="00A8770D"/>
    <w:rsid w:val="00A87DE1"/>
    <w:rsid w:val="00A87F2C"/>
    <w:rsid w:val="00A90EA0"/>
    <w:rsid w:val="00A927CE"/>
    <w:rsid w:val="00A93367"/>
    <w:rsid w:val="00A95B5D"/>
    <w:rsid w:val="00A968F6"/>
    <w:rsid w:val="00A9796E"/>
    <w:rsid w:val="00AA0D56"/>
    <w:rsid w:val="00AA4A78"/>
    <w:rsid w:val="00AA4F0F"/>
    <w:rsid w:val="00AA574F"/>
    <w:rsid w:val="00AA5E9B"/>
    <w:rsid w:val="00AA7004"/>
    <w:rsid w:val="00AA76DA"/>
    <w:rsid w:val="00AB173B"/>
    <w:rsid w:val="00AB1BB0"/>
    <w:rsid w:val="00AB2169"/>
    <w:rsid w:val="00AB2948"/>
    <w:rsid w:val="00AB39FA"/>
    <w:rsid w:val="00AB46EA"/>
    <w:rsid w:val="00AB589F"/>
    <w:rsid w:val="00AB75C7"/>
    <w:rsid w:val="00AC0E93"/>
    <w:rsid w:val="00AC1CBD"/>
    <w:rsid w:val="00AC42A4"/>
    <w:rsid w:val="00AC574D"/>
    <w:rsid w:val="00AC6C62"/>
    <w:rsid w:val="00AC7259"/>
    <w:rsid w:val="00AC7A93"/>
    <w:rsid w:val="00AC7E67"/>
    <w:rsid w:val="00AD2043"/>
    <w:rsid w:val="00AD3919"/>
    <w:rsid w:val="00AD443D"/>
    <w:rsid w:val="00AD5718"/>
    <w:rsid w:val="00AD6933"/>
    <w:rsid w:val="00AD6B7B"/>
    <w:rsid w:val="00AD7BE5"/>
    <w:rsid w:val="00AE2E09"/>
    <w:rsid w:val="00AE3A36"/>
    <w:rsid w:val="00AE6276"/>
    <w:rsid w:val="00AE7003"/>
    <w:rsid w:val="00AF35EA"/>
    <w:rsid w:val="00AF3FBB"/>
    <w:rsid w:val="00AF59A2"/>
    <w:rsid w:val="00AF76D7"/>
    <w:rsid w:val="00B009BF"/>
    <w:rsid w:val="00B01758"/>
    <w:rsid w:val="00B01F01"/>
    <w:rsid w:val="00B021C6"/>
    <w:rsid w:val="00B02702"/>
    <w:rsid w:val="00B03328"/>
    <w:rsid w:val="00B054A7"/>
    <w:rsid w:val="00B05CA9"/>
    <w:rsid w:val="00B06CBB"/>
    <w:rsid w:val="00B06CE7"/>
    <w:rsid w:val="00B06F3B"/>
    <w:rsid w:val="00B0703D"/>
    <w:rsid w:val="00B10A67"/>
    <w:rsid w:val="00B11BDD"/>
    <w:rsid w:val="00B13378"/>
    <w:rsid w:val="00B140BA"/>
    <w:rsid w:val="00B16EA8"/>
    <w:rsid w:val="00B177C1"/>
    <w:rsid w:val="00B20CBF"/>
    <w:rsid w:val="00B21AD0"/>
    <w:rsid w:val="00B239C6"/>
    <w:rsid w:val="00B30B8C"/>
    <w:rsid w:val="00B331EE"/>
    <w:rsid w:val="00B407D1"/>
    <w:rsid w:val="00B40D0B"/>
    <w:rsid w:val="00B41978"/>
    <w:rsid w:val="00B4205F"/>
    <w:rsid w:val="00B44BC9"/>
    <w:rsid w:val="00B44FBD"/>
    <w:rsid w:val="00B464CC"/>
    <w:rsid w:val="00B47EFB"/>
    <w:rsid w:val="00B503F7"/>
    <w:rsid w:val="00B51242"/>
    <w:rsid w:val="00B528B3"/>
    <w:rsid w:val="00B529F6"/>
    <w:rsid w:val="00B5304F"/>
    <w:rsid w:val="00B56EFF"/>
    <w:rsid w:val="00B57F88"/>
    <w:rsid w:val="00B6033C"/>
    <w:rsid w:val="00B61A4D"/>
    <w:rsid w:val="00B65CB3"/>
    <w:rsid w:val="00B6782B"/>
    <w:rsid w:val="00B70252"/>
    <w:rsid w:val="00B71EF2"/>
    <w:rsid w:val="00B74228"/>
    <w:rsid w:val="00B743C2"/>
    <w:rsid w:val="00B76533"/>
    <w:rsid w:val="00B76ABD"/>
    <w:rsid w:val="00B771C2"/>
    <w:rsid w:val="00B774DB"/>
    <w:rsid w:val="00B77C63"/>
    <w:rsid w:val="00B77E77"/>
    <w:rsid w:val="00B800E3"/>
    <w:rsid w:val="00B81C78"/>
    <w:rsid w:val="00B8229E"/>
    <w:rsid w:val="00B8233F"/>
    <w:rsid w:val="00B85786"/>
    <w:rsid w:val="00B86846"/>
    <w:rsid w:val="00B86859"/>
    <w:rsid w:val="00B91357"/>
    <w:rsid w:val="00B95273"/>
    <w:rsid w:val="00B952F7"/>
    <w:rsid w:val="00B97028"/>
    <w:rsid w:val="00BA005C"/>
    <w:rsid w:val="00BA0E6C"/>
    <w:rsid w:val="00BA1D1B"/>
    <w:rsid w:val="00BA1DB8"/>
    <w:rsid w:val="00BA27FC"/>
    <w:rsid w:val="00BA3921"/>
    <w:rsid w:val="00BA564B"/>
    <w:rsid w:val="00BA5664"/>
    <w:rsid w:val="00BA591A"/>
    <w:rsid w:val="00BA62B8"/>
    <w:rsid w:val="00BA6E48"/>
    <w:rsid w:val="00BB004C"/>
    <w:rsid w:val="00BB047B"/>
    <w:rsid w:val="00BB0F00"/>
    <w:rsid w:val="00BB41EB"/>
    <w:rsid w:val="00BB4D82"/>
    <w:rsid w:val="00BB6398"/>
    <w:rsid w:val="00BB6AE1"/>
    <w:rsid w:val="00BB702B"/>
    <w:rsid w:val="00BB781C"/>
    <w:rsid w:val="00BB7C09"/>
    <w:rsid w:val="00BC006D"/>
    <w:rsid w:val="00BC0267"/>
    <w:rsid w:val="00BC18D2"/>
    <w:rsid w:val="00BC2816"/>
    <w:rsid w:val="00BC2C23"/>
    <w:rsid w:val="00BC517F"/>
    <w:rsid w:val="00BC561A"/>
    <w:rsid w:val="00BC6D48"/>
    <w:rsid w:val="00BD0359"/>
    <w:rsid w:val="00BD0372"/>
    <w:rsid w:val="00BD1A25"/>
    <w:rsid w:val="00BD3811"/>
    <w:rsid w:val="00BD3CEB"/>
    <w:rsid w:val="00BD44D2"/>
    <w:rsid w:val="00BD4C1E"/>
    <w:rsid w:val="00BD4C6D"/>
    <w:rsid w:val="00BD4C8F"/>
    <w:rsid w:val="00BE0FF7"/>
    <w:rsid w:val="00BE1970"/>
    <w:rsid w:val="00BE37BA"/>
    <w:rsid w:val="00BE4A56"/>
    <w:rsid w:val="00BE4DC3"/>
    <w:rsid w:val="00BE5A79"/>
    <w:rsid w:val="00BE7B8D"/>
    <w:rsid w:val="00BF0586"/>
    <w:rsid w:val="00BF3D9B"/>
    <w:rsid w:val="00BF3EB3"/>
    <w:rsid w:val="00BF4A03"/>
    <w:rsid w:val="00BF5A31"/>
    <w:rsid w:val="00BF77A3"/>
    <w:rsid w:val="00BF7E4D"/>
    <w:rsid w:val="00C016A5"/>
    <w:rsid w:val="00C02452"/>
    <w:rsid w:val="00C062C6"/>
    <w:rsid w:val="00C06827"/>
    <w:rsid w:val="00C0734B"/>
    <w:rsid w:val="00C10CF0"/>
    <w:rsid w:val="00C11E5A"/>
    <w:rsid w:val="00C12263"/>
    <w:rsid w:val="00C133D8"/>
    <w:rsid w:val="00C139CA"/>
    <w:rsid w:val="00C13ACD"/>
    <w:rsid w:val="00C15B87"/>
    <w:rsid w:val="00C17376"/>
    <w:rsid w:val="00C1762A"/>
    <w:rsid w:val="00C1793E"/>
    <w:rsid w:val="00C17FD0"/>
    <w:rsid w:val="00C2059C"/>
    <w:rsid w:val="00C206E2"/>
    <w:rsid w:val="00C21FEA"/>
    <w:rsid w:val="00C23323"/>
    <w:rsid w:val="00C3168D"/>
    <w:rsid w:val="00C33108"/>
    <w:rsid w:val="00C33791"/>
    <w:rsid w:val="00C34331"/>
    <w:rsid w:val="00C35CA2"/>
    <w:rsid w:val="00C36339"/>
    <w:rsid w:val="00C37225"/>
    <w:rsid w:val="00C3797A"/>
    <w:rsid w:val="00C40437"/>
    <w:rsid w:val="00C40D08"/>
    <w:rsid w:val="00C44AC8"/>
    <w:rsid w:val="00C45003"/>
    <w:rsid w:val="00C460E7"/>
    <w:rsid w:val="00C465AC"/>
    <w:rsid w:val="00C468FA"/>
    <w:rsid w:val="00C478B8"/>
    <w:rsid w:val="00C51429"/>
    <w:rsid w:val="00C52F4F"/>
    <w:rsid w:val="00C54F90"/>
    <w:rsid w:val="00C6207E"/>
    <w:rsid w:val="00C63CE5"/>
    <w:rsid w:val="00C65204"/>
    <w:rsid w:val="00C66256"/>
    <w:rsid w:val="00C67912"/>
    <w:rsid w:val="00C70CFB"/>
    <w:rsid w:val="00C71139"/>
    <w:rsid w:val="00C715E3"/>
    <w:rsid w:val="00C744AF"/>
    <w:rsid w:val="00C75083"/>
    <w:rsid w:val="00C75CD7"/>
    <w:rsid w:val="00C75EB4"/>
    <w:rsid w:val="00C81DF2"/>
    <w:rsid w:val="00C83188"/>
    <w:rsid w:val="00C83FD7"/>
    <w:rsid w:val="00C8426D"/>
    <w:rsid w:val="00C84FE0"/>
    <w:rsid w:val="00C85C5B"/>
    <w:rsid w:val="00C909CB"/>
    <w:rsid w:val="00C90E41"/>
    <w:rsid w:val="00C93DA9"/>
    <w:rsid w:val="00C94CF5"/>
    <w:rsid w:val="00C94F0A"/>
    <w:rsid w:val="00C9510B"/>
    <w:rsid w:val="00C95DFA"/>
    <w:rsid w:val="00CA0299"/>
    <w:rsid w:val="00CA0FA4"/>
    <w:rsid w:val="00CA1186"/>
    <w:rsid w:val="00CA1DC5"/>
    <w:rsid w:val="00CA265F"/>
    <w:rsid w:val="00CA2C26"/>
    <w:rsid w:val="00CA5438"/>
    <w:rsid w:val="00CA6802"/>
    <w:rsid w:val="00CA78F6"/>
    <w:rsid w:val="00CA7C12"/>
    <w:rsid w:val="00CB09AA"/>
    <w:rsid w:val="00CB7139"/>
    <w:rsid w:val="00CB7F03"/>
    <w:rsid w:val="00CC12CE"/>
    <w:rsid w:val="00CC1742"/>
    <w:rsid w:val="00CC4AF5"/>
    <w:rsid w:val="00CC5867"/>
    <w:rsid w:val="00CC7C30"/>
    <w:rsid w:val="00CD1DD7"/>
    <w:rsid w:val="00CD292F"/>
    <w:rsid w:val="00CD2D91"/>
    <w:rsid w:val="00CD48A0"/>
    <w:rsid w:val="00CD51E5"/>
    <w:rsid w:val="00CD6611"/>
    <w:rsid w:val="00CD6A5E"/>
    <w:rsid w:val="00CD6C6F"/>
    <w:rsid w:val="00CD7225"/>
    <w:rsid w:val="00CD77E8"/>
    <w:rsid w:val="00CE0399"/>
    <w:rsid w:val="00CE36D9"/>
    <w:rsid w:val="00CE42A5"/>
    <w:rsid w:val="00CE5BC4"/>
    <w:rsid w:val="00CE7AA8"/>
    <w:rsid w:val="00CE7AE7"/>
    <w:rsid w:val="00CF1955"/>
    <w:rsid w:val="00CF7A03"/>
    <w:rsid w:val="00D0162D"/>
    <w:rsid w:val="00D0171E"/>
    <w:rsid w:val="00D01D6E"/>
    <w:rsid w:val="00D03FA7"/>
    <w:rsid w:val="00D04800"/>
    <w:rsid w:val="00D05460"/>
    <w:rsid w:val="00D06228"/>
    <w:rsid w:val="00D06C38"/>
    <w:rsid w:val="00D07558"/>
    <w:rsid w:val="00D07B96"/>
    <w:rsid w:val="00D07DCB"/>
    <w:rsid w:val="00D1017E"/>
    <w:rsid w:val="00D104EA"/>
    <w:rsid w:val="00D10F58"/>
    <w:rsid w:val="00D116A2"/>
    <w:rsid w:val="00D11916"/>
    <w:rsid w:val="00D11B00"/>
    <w:rsid w:val="00D1406E"/>
    <w:rsid w:val="00D1422A"/>
    <w:rsid w:val="00D1494B"/>
    <w:rsid w:val="00D155BC"/>
    <w:rsid w:val="00D1700C"/>
    <w:rsid w:val="00D20780"/>
    <w:rsid w:val="00D2264C"/>
    <w:rsid w:val="00D23F2C"/>
    <w:rsid w:val="00D2452A"/>
    <w:rsid w:val="00D2550C"/>
    <w:rsid w:val="00D25644"/>
    <w:rsid w:val="00D25729"/>
    <w:rsid w:val="00D26035"/>
    <w:rsid w:val="00D26910"/>
    <w:rsid w:val="00D30385"/>
    <w:rsid w:val="00D30A74"/>
    <w:rsid w:val="00D31347"/>
    <w:rsid w:val="00D3135E"/>
    <w:rsid w:val="00D32009"/>
    <w:rsid w:val="00D32E1A"/>
    <w:rsid w:val="00D3612A"/>
    <w:rsid w:val="00D366AA"/>
    <w:rsid w:val="00D36B30"/>
    <w:rsid w:val="00D37703"/>
    <w:rsid w:val="00D37F25"/>
    <w:rsid w:val="00D406C6"/>
    <w:rsid w:val="00D42758"/>
    <w:rsid w:val="00D43919"/>
    <w:rsid w:val="00D44A49"/>
    <w:rsid w:val="00D45229"/>
    <w:rsid w:val="00D45C14"/>
    <w:rsid w:val="00D45F8B"/>
    <w:rsid w:val="00D46110"/>
    <w:rsid w:val="00D50571"/>
    <w:rsid w:val="00D52099"/>
    <w:rsid w:val="00D53391"/>
    <w:rsid w:val="00D539F7"/>
    <w:rsid w:val="00D546E7"/>
    <w:rsid w:val="00D56C3A"/>
    <w:rsid w:val="00D60B83"/>
    <w:rsid w:val="00D614D7"/>
    <w:rsid w:val="00D6159F"/>
    <w:rsid w:val="00D62291"/>
    <w:rsid w:val="00D6338D"/>
    <w:rsid w:val="00D6502E"/>
    <w:rsid w:val="00D65B52"/>
    <w:rsid w:val="00D70AFE"/>
    <w:rsid w:val="00D70D08"/>
    <w:rsid w:val="00D71B63"/>
    <w:rsid w:val="00D73161"/>
    <w:rsid w:val="00D737BC"/>
    <w:rsid w:val="00D75AC7"/>
    <w:rsid w:val="00D75B2F"/>
    <w:rsid w:val="00D7603E"/>
    <w:rsid w:val="00D76EE3"/>
    <w:rsid w:val="00D774CA"/>
    <w:rsid w:val="00D80527"/>
    <w:rsid w:val="00D81AD5"/>
    <w:rsid w:val="00D81F9A"/>
    <w:rsid w:val="00D832F8"/>
    <w:rsid w:val="00D83810"/>
    <w:rsid w:val="00D83E54"/>
    <w:rsid w:val="00D8441C"/>
    <w:rsid w:val="00D856CE"/>
    <w:rsid w:val="00D878A6"/>
    <w:rsid w:val="00D903C9"/>
    <w:rsid w:val="00D91771"/>
    <w:rsid w:val="00D91ECC"/>
    <w:rsid w:val="00D9207E"/>
    <w:rsid w:val="00D949FC"/>
    <w:rsid w:val="00D95265"/>
    <w:rsid w:val="00D955E2"/>
    <w:rsid w:val="00D9680F"/>
    <w:rsid w:val="00D979FC"/>
    <w:rsid w:val="00D97C30"/>
    <w:rsid w:val="00DA2496"/>
    <w:rsid w:val="00DA4CCB"/>
    <w:rsid w:val="00DA6223"/>
    <w:rsid w:val="00DA622B"/>
    <w:rsid w:val="00DA635F"/>
    <w:rsid w:val="00DA7A6A"/>
    <w:rsid w:val="00DB0003"/>
    <w:rsid w:val="00DB158B"/>
    <w:rsid w:val="00DB40F0"/>
    <w:rsid w:val="00DB5574"/>
    <w:rsid w:val="00DB57F2"/>
    <w:rsid w:val="00DB73C9"/>
    <w:rsid w:val="00DC280A"/>
    <w:rsid w:val="00DC3757"/>
    <w:rsid w:val="00DC40B1"/>
    <w:rsid w:val="00DC451C"/>
    <w:rsid w:val="00DC4A55"/>
    <w:rsid w:val="00DC5B4B"/>
    <w:rsid w:val="00DC6282"/>
    <w:rsid w:val="00DC7AEB"/>
    <w:rsid w:val="00DD0F85"/>
    <w:rsid w:val="00DD2A02"/>
    <w:rsid w:val="00DD2EA6"/>
    <w:rsid w:val="00DD45FD"/>
    <w:rsid w:val="00DD5C70"/>
    <w:rsid w:val="00DD5FE7"/>
    <w:rsid w:val="00DD77AB"/>
    <w:rsid w:val="00DE05B8"/>
    <w:rsid w:val="00DE1167"/>
    <w:rsid w:val="00DE1D60"/>
    <w:rsid w:val="00DE38D9"/>
    <w:rsid w:val="00DE3E5C"/>
    <w:rsid w:val="00DE4667"/>
    <w:rsid w:val="00DE643F"/>
    <w:rsid w:val="00DE644A"/>
    <w:rsid w:val="00DE65DB"/>
    <w:rsid w:val="00DE7BCC"/>
    <w:rsid w:val="00DE7FAB"/>
    <w:rsid w:val="00DF05EF"/>
    <w:rsid w:val="00DF0BDA"/>
    <w:rsid w:val="00DF1D05"/>
    <w:rsid w:val="00DF2A70"/>
    <w:rsid w:val="00DF2EBE"/>
    <w:rsid w:val="00DF55C5"/>
    <w:rsid w:val="00DF6670"/>
    <w:rsid w:val="00DF66DC"/>
    <w:rsid w:val="00E00566"/>
    <w:rsid w:val="00E02F6D"/>
    <w:rsid w:val="00E03C31"/>
    <w:rsid w:val="00E046C3"/>
    <w:rsid w:val="00E04B74"/>
    <w:rsid w:val="00E06FDE"/>
    <w:rsid w:val="00E0748A"/>
    <w:rsid w:val="00E07F60"/>
    <w:rsid w:val="00E125F1"/>
    <w:rsid w:val="00E137C6"/>
    <w:rsid w:val="00E154E3"/>
    <w:rsid w:val="00E157A4"/>
    <w:rsid w:val="00E170B8"/>
    <w:rsid w:val="00E17498"/>
    <w:rsid w:val="00E20D91"/>
    <w:rsid w:val="00E2634C"/>
    <w:rsid w:val="00E30122"/>
    <w:rsid w:val="00E3013A"/>
    <w:rsid w:val="00E306E7"/>
    <w:rsid w:val="00E331C7"/>
    <w:rsid w:val="00E34870"/>
    <w:rsid w:val="00E37127"/>
    <w:rsid w:val="00E371B8"/>
    <w:rsid w:val="00E3726C"/>
    <w:rsid w:val="00E4159A"/>
    <w:rsid w:val="00E42B11"/>
    <w:rsid w:val="00E456E4"/>
    <w:rsid w:val="00E45859"/>
    <w:rsid w:val="00E4622C"/>
    <w:rsid w:val="00E4658C"/>
    <w:rsid w:val="00E47E9C"/>
    <w:rsid w:val="00E507B7"/>
    <w:rsid w:val="00E51130"/>
    <w:rsid w:val="00E51FFB"/>
    <w:rsid w:val="00E536E0"/>
    <w:rsid w:val="00E54A95"/>
    <w:rsid w:val="00E56537"/>
    <w:rsid w:val="00E56D5B"/>
    <w:rsid w:val="00E61D25"/>
    <w:rsid w:val="00E625EB"/>
    <w:rsid w:val="00E6396F"/>
    <w:rsid w:val="00E64DB7"/>
    <w:rsid w:val="00E66596"/>
    <w:rsid w:val="00E66ECF"/>
    <w:rsid w:val="00E675E8"/>
    <w:rsid w:val="00E7391F"/>
    <w:rsid w:val="00E73968"/>
    <w:rsid w:val="00E74710"/>
    <w:rsid w:val="00E81416"/>
    <w:rsid w:val="00E85BD6"/>
    <w:rsid w:val="00E8732E"/>
    <w:rsid w:val="00E877D5"/>
    <w:rsid w:val="00E9029F"/>
    <w:rsid w:val="00E907B4"/>
    <w:rsid w:val="00E90B0F"/>
    <w:rsid w:val="00E91356"/>
    <w:rsid w:val="00EA0DA5"/>
    <w:rsid w:val="00EA2EDF"/>
    <w:rsid w:val="00EA4D0F"/>
    <w:rsid w:val="00EA5935"/>
    <w:rsid w:val="00EA60C9"/>
    <w:rsid w:val="00EA616F"/>
    <w:rsid w:val="00EA6EF3"/>
    <w:rsid w:val="00EA7925"/>
    <w:rsid w:val="00EB02C5"/>
    <w:rsid w:val="00EB1EFE"/>
    <w:rsid w:val="00EB2762"/>
    <w:rsid w:val="00EB3C59"/>
    <w:rsid w:val="00EB524C"/>
    <w:rsid w:val="00EB63E4"/>
    <w:rsid w:val="00EB67D5"/>
    <w:rsid w:val="00EB7CEB"/>
    <w:rsid w:val="00EC1F0C"/>
    <w:rsid w:val="00EC6AA6"/>
    <w:rsid w:val="00ED5C02"/>
    <w:rsid w:val="00ED7351"/>
    <w:rsid w:val="00ED7687"/>
    <w:rsid w:val="00ED797F"/>
    <w:rsid w:val="00EE0576"/>
    <w:rsid w:val="00EE058F"/>
    <w:rsid w:val="00EE0607"/>
    <w:rsid w:val="00EE1453"/>
    <w:rsid w:val="00EE2914"/>
    <w:rsid w:val="00EE2E9F"/>
    <w:rsid w:val="00EE38A1"/>
    <w:rsid w:val="00EE424B"/>
    <w:rsid w:val="00EE45B3"/>
    <w:rsid w:val="00EE58D9"/>
    <w:rsid w:val="00EE6F1B"/>
    <w:rsid w:val="00EE72FF"/>
    <w:rsid w:val="00EF0C30"/>
    <w:rsid w:val="00EF56E2"/>
    <w:rsid w:val="00EF5718"/>
    <w:rsid w:val="00F0027F"/>
    <w:rsid w:val="00F032AC"/>
    <w:rsid w:val="00F040A5"/>
    <w:rsid w:val="00F0497E"/>
    <w:rsid w:val="00F05A87"/>
    <w:rsid w:val="00F05B39"/>
    <w:rsid w:val="00F10C23"/>
    <w:rsid w:val="00F12A8F"/>
    <w:rsid w:val="00F14A50"/>
    <w:rsid w:val="00F16B4E"/>
    <w:rsid w:val="00F17545"/>
    <w:rsid w:val="00F179E3"/>
    <w:rsid w:val="00F215BF"/>
    <w:rsid w:val="00F21BBA"/>
    <w:rsid w:val="00F24349"/>
    <w:rsid w:val="00F24E4E"/>
    <w:rsid w:val="00F26A9F"/>
    <w:rsid w:val="00F26E44"/>
    <w:rsid w:val="00F31CA6"/>
    <w:rsid w:val="00F329FB"/>
    <w:rsid w:val="00F33FA9"/>
    <w:rsid w:val="00F35D4D"/>
    <w:rsid w:val="00F366E6"/>
    <w:rsid w:val="00F36F10"/>
    <w:rsid w:val="00F409A9"/>
    <w:rsid w:val="00F40C38"/>
    <w:rsid w:val="00F41C65"/>
    <w:rsid w:val="00F41F16"/>
    <w:rsid w:val="00F4489C"/>
    <w:rsid w:val="00F45D6A"/>
    <w:rsid w:val="00F462AF"/>
    <w:rsid w:val="00F467F9"/>
    <w:rsid w:val="00F500D8"/>
    <w:rsid w:val="00F5355B"/>
    <w:rsid w:val="00F57016"/>
    <w:rsid w:val="00F5789E"/>
    <w:rsid w:val="00F60EB3"/>
    <w:rsid w:val="00F62396"/>
    <w:rsid w:val="00F648C7"/>
    <w:rsid w:val="00F65EA5"/>
    <w:rsid w:val="00F65FE6"/>
    <w:rsid w:val="00F6672F"/>
    <w:rsid w:val="00F667E5"/>
    <w:rsid w:val="00F66E3A"/>
    <w:rsid w:val="00F67213"/>
    <w:rsid w:val="00F676DD"/>
    <w:rsid w:val="00F67D94"/>
    <w:rsid w:val="00F7026F"/>
    <w:rsid w:val="00F7175D"/>
    <w:rsid w:val="00F7205A"/>
    <w:rsid w:val="00F75F90"/>
    <w:rsid w:val="00F760EC"/>
    <w:rsid w:val="00F765C7"/>
    <w:rsid w:val="00F76645"/>
    <w:rsid w:val="00F76E78"/>
    <w:rsid w:val="00F77477"/>
    <w:rsid w:val="00F8101D"/>
    <w:rsid w:val="00F8307A"/>
    <w:rsid w:val="00F835C5"/>
    <w:rsid w:val="00F845F1"/>
    <w:rsid w:val="00F8470A"/>
    <w:rsid w:val="00F852E6"/>
    <w:rsid w:val="00F86FAC"/>
    <w:rsid w:val="00F871F6"/>
    <w:rsid w:val="00F906DD"/>
    <w:rsid w:val="00F92A9F"/>
    <w:rsid w:val="00F940DE"/>
    <w:rsid w:val="00F94A31"/>
    <w:rsid w:val="00F952D1"/>
    <w:rsid w:val="00F965B0"/>
    <w:rsid w:val="00F96834"/>
    <w:rsid w:val="00F970BC"/>
    <w:rsid w:val="00FA0842"/>
    <w:rsid w:val="00FA0C08"/>
    <w:rsid w:val="00FA21A0"/>
    <w:rsid w:val="00FA23CC"/>
    <w:rsid w:val="00FA5F08"/>
    <w:rsid w:val="00FA714E"/>
    <w:rsid w:val="00FB17F6"/>
    <w:rsid w:val="00FB1B46"/>
    <w:rsid w:val="00FB25E0"/>
    <w:rsid w:val="00FB2DBC"/>
    <w:rsid w:val="00FB34CB"/>
    <w:rsid w:val="00FB3C1B"/>
    <w:rsid w:val="00FB4441"/>
    <w:rsid w:val="00FB47CB"/>
    <w:rsid w:val="00FB4A80"/>
    <w:rsid w:val="00FB4EFE"/>
    <w:rsid w:val="00FB5017"/>
    <w:rsid w:val="00FB6C88"/>
    <w:rsid w:val="00FC09CF"/>
    <w:rsid w:val="00FC1A9B"/>
    <w:rsid w:val="00FC26FF"/>
    <w:rsid w:val="00FC387A"/>
    <w:rsid w:val="00FC3F99"/>
    <w:rsid w:val="00FC406D"/>
    <w:rsid w:val="00FC4802"/>
    <w:rsid w:val="00FC7762"/>
    <w:rsid w:val="00FD04ED"/>
    <w:rsid w:val="00FD1E0B"/>
    <w:rsid w:val="00FD22AE"/>
    <w:rsid w:val="00FD2EC8"/>
    <w:rsid w:val="00FD7489"/>
    <w:rsid w:val="00FE00BB"/>
    <w:rsid w:val="00FE3581"/>
    <w:rsid w:val="00FE5353"/>
    <w:rsid w:val="00FF1DE4"/>
    <w:rsid w:val="00FF38E3"/>
    <w:rsid w:val="00FF52F3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64AD8F0F"/>
  <w15:chartTrackingRefBased/>
  <w15:docId w15:val="{51A4B26B-9ABE-4416-914C-09933885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174C82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174C82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 2"/>
    <w:basedOn w:val="Normal"/>
    <w:rsid w:val="00F765C7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qFormat/>
    <w:rsid w:val="00282D7E"/>
    <w:pPr>
      <w:numPr>
        <w:numId w:val="20"/>
      </w:numPr>
    </w:pPr>
    <w:rPr>
      <w:szCs w:val="24"/>
      <w:lang w:val="en-GB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GB" w:eastAsia="en-US" w:bidi="ar-SA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D3612A"/>
    <w:pPr>
      <w:numPr>
        <w:numId w:val="5"/>
      </w:numPr>
      <w:spacing w:after="0"/>
    </w:pPr>
    <w:rPr>
      <w:lang w:val="en-US"/>
    </w:rPr>
  </w:style>
  <w:style w:type="character" w:customStyle="1" w:styleId="Bulletindent1Char">
    <w:name w:val="Bullet indent 1 Char"/>
    <w:link w:val="Bulletindent1"/>
    <w:rsid w:val="00F86FAC"/>
    <w:rPr>
      <w:rFonts w:ascii="Arial" w:hAnsi="Arial"/>
      <w:sz w:val="24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F765C7"/>
    <w:pPr>
      <w:numPr>
        <w:ilvl w:val="1"/>
        <w:numId w:val="20"/>
      </w:numPr>
      <w:tabs>
        <w:tab w:val="clear" w:pos="2269"/>
        <w:tab w:val="num" w:pos="1134"/>
      </w:tabs>
      <w:spacing w:after="240" w:line="360" w:lineRule="auto"/>
      <w:ind w:left="1134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qFormat/>
    <w:rsid w:val="00EE2914"/>
    <w:rPr>
      <w:rFonts w:ascii="Arial" w:hAnsi="Arial"/>
      <w:bCs/>
      <w:iCs/>
      <w:sz w:val="24"/>
      <w:szCs w:val="28"/>
      <w:lang w:val="x-none" w:eastAsia="en-US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7"/>
      </w:numPr>
    </w:pPr>
    <w:rPr>
      <w:rFonts w:cs="Arial"/>
    </w:r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table" w:styleId="TableGrid">
    <w:name w:val="Table Grid"/>
    <w:basedOn w:val="TableNormal"/>
    <w:rsid w:val="00BB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1DD7"/>
    <w:rPr>
      <w:color w:val="0000FF"/>
      <w:u w:val="single"/>
    </w:rPr>
  </w:style>
  <w:style w:type="paragraph" w:styleId="BalloonText">
    <w:name w:val="Balloon Text"/>
    <w:basedOn w:val="Normal"/>
    <w:semiHidden/>
    <w:rsid w:val="003253AC"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sid w:val="00283FE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283F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3FE5"/>
    <w:rPr>
      <w:b/>
      <w:bCs/>
    </w:rPr>
  </w:style>
  <w:style w:type="paragraph" w:customStyle="1" w:styleId="Title1">
    <w:name w:val="Title 1"/>
    <w:basedOn w:val="Normal"/>
    <w:qFormat/>
    <w:rsid w:val="00F765C7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132522"/>
    <w:rPr>
      <w:lang w:val="en-US"/>
    </w:rPr>
  </w:style>
  <w:style w:type="paragraph" w:customStyle="1" w:styleId="Documentissuedate">
    <w:name w:val="Document issue date"/>
    <w:basedOn w:val="NICEnormal"/>
    <w:qFormat/>
    <w:rsid w:val="00132522"/>
    <w:rPr>
      <w:lang w:val="en-US"/>
    </w:rPr>
  </w:style>
  <w:style w:type="character" w:styleId="FollowedHyperlink">
    <w:name w:val="FollowedHyperlink"/>
    <w:rsid w:val="00CD51E5"/>
    <w:rPr>
      <w:color w:val="800080"/>
      <w:u w:val="single"/>
    </w:rPr>
  </w:style>
  <w:style w:type="character" w:customStyle="1" w:styleId="CommentTextChar">
    <w:name w:val="Comment Text Char"/>
    <w:link w:val="CommentText"/>
    <w:rsid w:val="00DE65DB"/>
    <w:rPr>
      <w:lang w:eastAsia="en-US"/>
    </w:rPr>
  </w:style>
  <w:style w:type="character" w:styleId="Strong">
    <w:name w:val="Strong"/>
    <w:uiPriority w:val="22"/>
    <w:qFormat/>
    <w:rsid w:val="00B464CC"/>
    <w:rPr>
      <w:b/>
      <w:bCs/>
    </w:rPr>
  </w:style>
  <w:style w:type="paragraph" w:styleId="NormalWeb">
    <w:name w:val="Normal (Web)"/>
    <w:basedOn w:val="Normal"/>
    <w:uiPriority w:val="99"/>
    <w:unhideWhenUsed/>
    <w:rsid w:val="00B464CC"/>
    <w:pPr>
      <w:spacing w:after="180"/>
    </w:pPr>
    <w:rPr>
      <w:lang w:eastAsia="en-GB"/>
    </w:rPr>
  </w:style>
  <w:style w:type="character" w:customStyle="1" w:styleId="Bulletleft1lastChar">
    <w:name w:val="Bullet left 1 last Char"/>
    <w:link w:val="Bulletleft1last"/>
    <w:rsid w:val="001F01E5"/>
    <w:rPr>
      <w:rFonts w:ascii="Arial" w:hAnsi="Arial" w:cs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1E1693"/>
    <w:rPr>
      <w:sz w:val="20"/>
      <w:szCs w:val="20"/>
    </w:rPr>
  </w:style>
  <w:style w:type="character" w:customStyle="1" w:styleId="FootnoteTextChar">
    <w:name w:val="Footnote Text Char"/>
    <w:link w:val="FootnoteText"/>
    <w:rsid w:val="001E1693"/>
    <w:rPr>
      <w:lang w:eastAsia="en-US"/>
    </w:rPr>
  </w:style>
  <w:style w:type="character" w:styleId="FootnoteReference">
    <w:name w:val="footnote reference"/>
    <w:rsid w:val="001E1693"/>
    <w:rPr>
      <w:vertAlign w:val="superscript"/>
    </w:rPr>
  </w:style>
  <w:style w:type="paragraph" w:styleId="Revision">
    <w:name w:val="Revision"/>
    <w:hidden/>
    <w:uiPriority w:val="99"/>
    <w:semiHidden/>
    <w:rsid w:val="00B6033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75E8"/>
    <w:pPr>
      <w:ind w:left="720"/>
      <w:contextualSpacing/>
    </w:pPr>
    <w:rPr>
      <w:lang w:eastAsia="en-GB"/>
    </w:rPr>
  </w:style>
  <w:style w:type="paragraph" w:styleId="Caption">
    <w:name w:val="caption"/>
    <w:basedOn w:val="Normal"/>
    <w:next w:val="Normal"/>
    <w:unhideWhenUsed/>
    <w:qFormat/>
    <w:rsid w:val="0070134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nonumbers">
    <w:name w:val="Paragraph no numbers"/>
    <w:basedOn w:val="Normal"/>
    <w:uiPriority w:val="99"/>
    <w:qFormat/>
    <w:rsid w:val="00321D1F"/>
    <w:pPr>
      <w:spacing w:after="240" w:line="276" w:lineRule="auto"/>
    </w:pPr>
    <w:rPr>
      <w:rFonts w:ascii="Arial" w:hAnsi="Arial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427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427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0586"/>
    <w:rPr>
      <w:color w:val="605E5C"/>
      <w:shd w:val="clear" w:color="auto" w:fill="E1DFDD"/>
    </w:rPr>
  </w:style>
  <w:style w:type="paragraph" w:styleId="ListBullet">
    <w:name w:val="List Bullet"/>
    <w:basedOn w:val="Normal"/>
    <w:rsid w:val="00363DB2"/>
    <w:pPr>
      <w:numPr>
        <w:numId w:val="4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888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6525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6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25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8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07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573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3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6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0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5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27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38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381" TargetMode="External"/><Relationship Id="rId13" Type="http://schemas.openxmlformats.org/officeDocument/2006/relationships/hyperlink" Target="https://www.nice.org.uk/guidance/ta55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et-involved/meetings-in-public/technology-appraisal-committ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4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et-Involved/Meetings-in-public/Technology-appraisal-Committee/Committee-C-Members" TargetMode="External"/><Relationship Id="rId10" Type="http://schemas.openxmlformats.org/officeDocument/2006/relationships/hyperlink" Target="https://www.nice.org.uk/guidance/indevelopment/gid-ta103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ce.org.uk/article/pmg19/chapter/Foreword" TargetMode="External"/><Relationship Id="rId14" Type="http://schemas.openxmlformats.org/officeDocument/2006/relationships/hyperlink" Target="https://www.nice.org.uk/process/pmg9/chapter/the-appraisal-of-the-evidence-and-structured-decision-mak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Global\NICE\NICE%20Templates\Tech%20App\MTA%20ACD%20template%20from%20April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9431-1FD6-4A58-81D0-609C888E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MTA ACD template from April17</Template>
  <TotalTime>121</TotalTime>
  <Pages>27</Pages>
  <Words>7356</Words>
  <Characters>41049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48309</CharactersWithSpaces>
  <SharedDoc>false</SharedDoc>
  <HLinks>
    <vt:vector size="102" baseType="variant">
      <vt:variant>
        <vt:i4>3211303</vt:i4>
      </vt:variant>
      <vt:variant>
        <vt:i4>396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3211303</vt:i4>
      </vt:variant>
      <vt:variant>
        <vt:i4>393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2687086</vt:i4>
      </vt:variant>
      <vt:variant>
        <vt:i4>390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https://www.nice.org.uk/Get-Involved/Meetings-in-public/Technology-appraisal-Committee/Committee-X-Members</vt:lpwstr>
      </vt:variant>
      <vt:variant>
        <vt:lpwstr/>
      </vt:variant>
      <vt:variant>
        <vt:i4>8192049</vt:i4>
      </vt:variant>
      <vt:variant>
        <vt:i4>381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2818165</vt:i4>
      </vt:variant>
      <vt:variant>
        <vt:i4>354</vt:i4>
      </vt:variant>
      <vt:variant>
        <vt:i4>0</vt:i4>
      </vt:variant>
      <vt:variant>
        <vt:i4>5</vt:i4>
      </vt:variant>
      <vt:variant>
        <vt:lpwstr>https://www.england.nhs.uk/cancer/cdf/</vt:lpwstr>
      </vt:variant>
      <vt:variant>
        <vt:lpwstr/>
      </vt:variant>
      <vt:variant>
        <vt:i4>4522076</vt:i4>
      </vt:variant>
      <vt:variant>
        <vt:i4>333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852042</vt:i4>
      </vt:variant>
      <vt:variant>
        <vt:i4>330</vt:i4>
      </vt:variant>
      <vt:variant>
        <vt:i4>0</vt:i4>
      </vt:variant>
      <vt:variant>
        <vt:i4>5</vt:i4>
      </vt:variant>
      <vt:variant>
        <vt:lpwstr>https://www.gov.uk/government/publications/early-access-to-medicines-scheme-eams-how-the-scheme-works</vt:lpwstr>
      </vt:variant>
      <vt:variant>
        <vt:lpwstr/>
      </vt:variant>
      <vt:variant>
        <vt:i4>1572937</vt:i4>
      </vt:variant>
      <vt:variant>
        <vt:i4>324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https://www.nice.org.uk/about/what-we-do/our-programmes/nice-guidance/nice-technology-appraisal-guidance/process</vt:lpwstr>
      </vt:variant>
      <vt:variant>
        <vt:lpwstr/>
      </vt:variant>
      <vt:variant>
        <vt:i4>4522076</vt:i4>
      </vt:variant>
      <vt:variant>
        <vt:i4>318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7274531</vt:i4>
      </vt:variant>
      <vt:variant>
        <vt:i4>276</vt:i4>
      </vt:variant>
      <vt:variant>
        <vt:i4>0</vt:i4>
      </vt:variant>
      <vt:variant>
        <vt:i4>5</vt:i4>
      </vt:variant>
      <vt:variant>
        <vt:lpwstr>\\nice.nhs.uk\Data\CHTE\Appraisals\STAR project\WS 3 - Managing uncertainty &amp; risk\3.b Managed access models\3.b.i Quantifying uncertainty\Draft approach\Guidance to committee\CDF guidance to ctee v0.9.pptx</vt:lpwstr>
      </vt:variant>
      <vt:variant>
        <vt:lpwstr/>
      </vt:variant>
      <vt:variant>
        <vt:i4>8192049</vt:i4>
      </vt:variant>
      <vt:variant>
        <vt:i4>273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5373979</vt:i4>
      </vt:variant>
      <vt:variant>
        <vt:i4>258</vt:i4>
      </vt:variant>
      <vt:variant>
        <vt:i4>0</vt:i4>
      </vt:variant>
      <vt:variant>
        <vt:i4>5</vt:i4>
      </vt:variant>
      <vt:variant>
        <vt:lpwstr>https://www.nice.org.uk/process/pmg9/chapter/the-appraisal-of-the-evidence-and-structured-decision-making</vt:lpwstr>
      </vt:variant>
      <vt:variant>
        <vt:lpwstr/>
      </vt:variant>
      <vt:variant>
        <vt:i4>5701707</vt:i4>
      </vt:variant>
      <vt:variant>
        <vt:i4>162</vt:i4>
      </vt:variant>
      <vt:variant>
        <vt:i4>0</vt:i4>
      </vt:variant>
      <vt:variant>
        <vt:i4>5</vt:i4>
      </vt:variant>
      <vt:variant>
        <vt:lpwstr>http://www.nice.org.uk/Guidance/GID-xxxxxx/Documents</vt:lpwstr>
      </vt:variant>
      <vt:variant>
        <vt:lpwstr/>
      </vt:variant>
      <vt:variant>
        <vt:i4>2162708</vt:i4>
      </vt:variant>
      <vt:variant>
        <vt:i4>108</vt:i4>
      </vt:variant>
      <vt:variant>
        <vt:i4>0</vt:i4>
      </vt:variant>
      <vt:variant>
        <vt:i4>5</vt:i4>
      </vt:variant>
      <vt:variant>
        <vt:lpwstr>\\nice.nhs.uk\Data\Global\NICE\NICE Templates\Tech App</vt:lpwstr>
      </vt:variant>
      <vt:variant>
        <vt:lpwstr/>
      </vt:variant>
      <vt:variant>
        <vt:i4>1507346</vt:i4>
      </vt:variant>
      <vt:variant>
        <vt:i4>18</vt:i4>
      </vt:variant>
      <vt:variant>
        <vt:i4>0</vt:i4>
      </vt:variant>
      <vt:variant>
        <vt:i4>5</vt:i4>
      </vt:variant>
      <vt:variant>
        <vt:lpwstr>http://www.nice.org.uk/article/pmg19/chapter/Foreword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http://www.nice.org.uk/guidance/indevelopment/gid-tagXXX/documents</vt:lpwstr>
      </vt:variant>
      <vt:variant>
        <vt:lpwstr/>
      </vt:variant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Verena Wolfram</dc:creator>
  <cp:keywords/>
  <cp:lastModifiedBy>Verena Wolfram</cp:lastModifiedBy>
  <cp:revision>7</cp:revision>
  <cp:lastPrinted>2019-11-07T15:04:00Z</cp:lastPrinted>
  <dcterms:created xsi:type="dcterms:W3CDTF">2019-11-27T08:51:00Z</dcterms:created>
  <dcterms:modified xsi:type="dcterms:W3CDTF">2019-11-27T10:49:00Z</dcterms:modified>
</cp:coreProperties>
</file>