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DFFA7" w14:textId="77777777" w:rsidR="000F48EC" w:rsidRPr="000F48EC" w:rsidRDefault="000F48EC" w:rsidP="0093671F">
      <w:pPr>
        <w:pStyle w:val="Title2"/>
      </w:pPr>
      <w:r w:rsidRPr="000F48EC">
        <w:t>NATIONAL INSTITUTE FOR HEALTH AND C</w:t>
      </w:r>
      <w:r w:rsidR="00CC63EB">
        <w:t>ARE</w:t>
      </w:r>
      <w:r w:rsidRPr="000F48EC">
        <w:t xml:space="preserve"> EXCELLENCE</w:t>
      </w:r>
    </w:p>
    <w:p w14:paraId="5B756B3B" w14:textId="5BAFAEDE" w:rsidR="000F48EC" w:rsidRPr="000F48EC" w:rsidRDefault="007A2801" w:rsidP="000069F9">
      <w:pPr>
        <w:pStyle w:val="Title2"/>
      </w:pPr>
      <w:r>
        <w:t>Appraisal consultation document</w:t>
      </w:r>
    </w:p>
    <w:p w14:paraId="429F8DCD" w14:textId="0DFAEBCD" w:rsidR="000F48EC" w:rsidRDefault="00642DB2" w:rsidP="00034110">
      <w:pPr>
        <w:pStyle w:val="Title1"/>
      </w:pPr>
      <w:r>
        <w:t>Acalabrutinib for treating chronic lymphocytic leukaemia</w:t>
      </w:r>
    </w:p>
    <w:p w14:paraId="18A97EAC" w14:textId="6A6399C4" w:rsidR="007A2801" w:rsidRDefault="007A2801">
      <w:r>
        <w:br w:type="page"/>
      </w:r>
    </w:p>
    <w:p w14:paraId="396D4DE6" w14:textId="77777777" w:rsidR="000F48EC" w:rsidRPr="000F48EC" w:rsidRDefault="00B379C5" w:rsidP="00F130AD">
      <w:pPr>
        <w:pStyle w:val="Numberedheading1"/>
      </w:pPr>
      <w:r>
        <w:lastRenderedPageBreak/>
        <w:t>Recommendations</w:t>
      </w:r>
    </w:p>
    <w:p w14:paraId="315239FC" w14:textId="0D1E9BFA" w:rsidR="00255679" w:rsidRDefault="00B142B4" w:rsidP="00255679">
      <w:pPr>
        <w:pStyle w:val="Numberedlevel2text"/>
      </w:pPr>
      <w:r>
        <w:rPr>
          <w:lang w:val="en-GB"/>
        </w:rPr>
        <w:t xml:space="preserve">Acalabrutinib is recommended as an option for </w:t>
      </w:r>
      <w:r w:rsidR="003545F6">
        <w:rPr>
          <w:lang w:val="en-GB"/>
        </w:rPr>
        <w:t>untreated</w:t>
      </w:r>
      <w:r>
        <w:rPr>
          <w:lang w:val="en-GB"/>
        </w:rPr>
        <w:t xml:space="preserve"> chronic lymphocytic leukaemia (CLL) in adults, only if:</w:t>
      </w:r>
    </w:p>
    <w:p w14:paraId="39BBAAE7" w14:textId="7A9812E5" w:rsidR="00B142B4" w:rsidRPr="006C7E52" w:rsidRDefault="002F205C" w:rsidP="00A62F75">
      <w:pPr>
        <w:pStyle w:val="NICEnormalindented"/>
        <w:numPr>
          <w:ilvl w:val="0"/>
          <w:numId w:val="27"/>
        </w:numPr>
        <w:spacing w:after="0"/>
        <w:ind w:left="1418" w:hanging="284"/>
        <w:rPr>
          <w:szCs w:val="28"/>
        </w:rPr>
      </w:pPr>
      <w:r>
        <w:rPr>
          <w:rStyle w:val="Numberedlevel2textChar"/>
          <w:bCs w:val="0"/>
          <w:iCs w:val="0"/>
          <w:lang w:val="en-GB"/>
        </w:rPr>
        <w:t>they</w:t>
      </w:r>
      <w:r w:rsidR="005E2099">
        <w:rPr>
          <w:rStyle w:val="Numberedlevel2textChar"/>
          <w:bCs w:val="0"/>
          <w:iCs w:val="0"/>
          <w:lang w:val="en-GB"/>
        </w:rPr>
        <w:t xml:space="preserve"> </w:t>
      </w:r>
      <w:r w:rsidR="00644803">
        <w:rPr>
          <w:rStyle w:val="Numberedlevel2textChar"/>
          <w:bCs w:val="0"/>
          <w:iCs w:val="0"/>
          <w:lang w:val="en-GB"/>
        </w:rPr>
        <w:t>have</w:t>
      </w:r>
      <w:r w:rsidR="00380B9C">
        <w:rPr>
          <w:rStyle w:val="Numberedlevel2textChar"/>
          <w:bCs w:val="0"/>
          <w:iCs w:val="0"/>
          <w:lang w:val="en-GB"/>
        </w:rPr>
        <w:t xml:space="preserve"> a</w:t>
      </w:r>
      <w:r w:rsidR="006C7E52" w:rsidRPr="00024E88">
        <w:t xml:space="preserve"> 17p deletion or TP53 mutation</w:t>
      </w:r>
      <w:r w:rsidR="006C7E52">
        <w:t xml:space="preserve"> </w:t>
      </w:r>
      <w:r>
        <w:t>and</w:t>
      </w:r>
    </w:p>
    <w:p w14:paraId="0702E7F1" w14:textId="1705A319" w:rsidR="006C7E52" w:rsidRDefault="00A62F75" w:rsidP="002F205C">
      <w:pPr>
        <w:pStyle w:val="Bulletindent1last"/>
        <w:rPr>
          <w:rStyle w:val="Numberedlevel2textChar"/>
          <w:bCs w:val="0"/>
          <w:iCs w:val="0"/>
          <w:lang w:val="en-GB"/>
        </w:rPr>
      </w:pPr>
      <w:r>
        <w:rPr>
          <w:rStyle w:val="Numberedlevel2textChar"/>
          <w:bCs w:val="0"/>
          <w:iCs w:val="0"/>
          <w:lang w:val="en-GB"/>
        </w:rPr>
        <w:t xml:space="preserve">the company provides </w:t>
      </w:r>
      <w:r w:rsidR="008717F5">
        <w:rPr>
          <w:rStyle w:val="Numberedlevel2textChar"/>
          <w:bCs w:val="0"/>
          <w:iCs w:val="0"/>
          <w:lang w:val="en-GB"/>
        </w:rPr>
        <w:t>it</w:t>
      </w:r>
      <w:r>
        <w:rPr>
          <w:rStyle w:val="Numberedlevel2textChar"/>
          <w:bCs w:val="0"/>
          <w:iCs w:val="0"/>
          <w:lang w:val="en-GB"/>
        </w:rPr>
        <w:t xml:space="preserve"> according to the </w:t>
      </w:r>
      <w:r w:rsidRPr="008717F5">
        <w:rPr>
          <w:rStyle w:val="Numberedlevel2textChar"/>
          <w:bCs w:val="0"/>
          <w:iCs w:val="0"/>
          <w:szCs w:val="24"/>
          <w:lang w:val="en-GB"/>
        </w:rPr>
        <w:t>commercial</w:t>
      </w:r>
      <w:r>
        <w:rPr>
          <w:rStyle w:val="Numberedlevel2textChar"/>
          <w:bCs w:val="0"/>
          <w:iCs w:val="0"/>
          <w:lang w:val="en-GB"/>
        </w:rPr>
        <w:t xml:space="preserve"> arrangement (see section</w:t>
      </w:r>
      <w:r w:rsidR="002F205C">
        <w:rPr>
          <w:rStyle w:val="Numberedlevel2textChar"/>
          <w:bCs w:val="0"/>
          <w:iCs w:val="0"/>
          <w:lang w:val="en-GB"/>
        </w:rPr>
        <w:t> </w:t>
      </w:r>
      <w:r>
        <w:rPr>
          <w:rStyle w:val="Numberedlevel2textChar"/>
          <w:bCs w:val="0"/>
          <w:iCs w:val="0"/>
          <w:lang w:val="en-GB"/>
        </w:rPr>
        <w:t>2)</w:t>
      </w:r>
      <w:r w:rsidR="00FA7C9F">
        <w:rPr>
          <w:rStyle w:val="Numberedlevel2textChar"/>
          <w:bCs w:val="0"/>
          <w:iCs w:val="0"/>
          <w:lang w:val="en-GB"/>
        </w:rPr>
        <w:t>.</w:t>
      </w:r>
    </w:p>
    <w:p w14:paraId="4581AADA" w14:textId="7B209644" w:rsidR="002F205C" w:rsidRDefault="002F205C" w:rsidP="004C17B5">
      <w:pPr>
        <w:pStyle w:val="Numberedlevel2text"/>
      </w:pPr>
      <w:r>
        <w:t xml:space="preserve">Acalabrutinib is recommended as an option for treating CLL in adults who have had </w:t>
      </w:r>
      <w:r w:rsidR="004C17B5">
        <w:rPr>
          <w:lang w:val="en-GB"/>
        </w:rPr>
        <w:t xml:space="preserve">at least </w:t>
      </w:r>
      <w:r>
        <w:t>1</w:t>
      </w:r>
      <w:r>
        <w:rPr>
          <w:lang w:val="en-GB"/>
        </w:rPr>
        <w:t> </w:t>
      </w:r>
      <w:r>
        <w:t>previous treatment, only if:</w:t>
      </w:r>
    </w:p>
    <w:p w14:paraId="1A8453DA" w14:textId="3E6C6937" w:rsidR="002F205C" w:rsidRDefault="000F7797" w:rsidP="004C17B5">
      <w:pPr>
        <w:pStyle w:val="Bulletindent1"/>
      </w:pPr>
      <w:r>
        <w:t>ib</w:t>
      </w:r>
      <w:r w:rsidR="00387BB3">
        <w:t>r</w:t>
      </w:r>
      <w:r>
        <w:t>utinib is the</w:t>
      </w:r>
      <w:r w:rsidR="000819B9">
        <w:t>ir</w:t>
      </w:r>
      <w:r>
        <w:t xml:space="preserve"> only </w:t>
      </w:r>
      <w:r w:rsidR="000819B9">
        <w:t xml:space="preserve">suitable </w:t>
      </w:r>
      <w:r>
        <w:t>treatment option</w:t>
      </w:r>
      <w:r w:rsidR="00BC69C1">
        <w:t>,</w:t>
      </w:r>
      <w:r w:rsidR="002F205C">
        <w:t xml:space="preserve"> and</w:t>
      </w:r>
    </w:p>
    <w:p w14:paraId="7F4F5249" w14:textId="7D275237" w:rsidR="002F205C" w:rsidRDefault="002F205C" w:rsidP="004C17B5">
      <w:pPr>
        <w:pStyle w:val="Bulletindent1last"/>
      </w:pPr>
      <w:r>
        <w:t>the company provides it according to the commercial arrangement (see section 2).</w:t>
      </w:r>
    </w:p>
    <w:p w14:paraId="1531936A" w14:textId="6F67D370" w:rsidR="001366A5" w:rsidRPr="008B4290" w:rsidRDefault="002F2C1A" w:rsidP="00234257">
      <w:pPr>
        <w:pStyle w:val="Numberedlevel2text"/>
      </w:pPr>
      <w:r w:rsidRPr="0009129B">
        <w:t>Th</w:t>
      </w:r>
      <w:r w:rsidR="002F205C">
        <w:rPr>
          <w:lang w:val="en-GB"/>
        </w:rPr>
        <w:t>ese</w:t>
      </w:r>
      <w:r>
        <w:t xml:space="preserve"> recommendatio</w:t>
      </w:r>
      <w:r w:rsidR="001366A5">
        <w:t>n</w:t>
      </w:r>
      <w:r w:rsidR="002F205C">
        <w:rPr>
          <w:lang w:val="en-GB"/>
        </w:rPr>
        <w:t>s</w:t>
      </w:r>
      <w:r>
        <w:t xml:space="preserve"> </w:t>
      </w:r>
      <w:r w:rsidR="002F205C">
        <w:rPr>
          <w:lang w:val="en-GB"/>
        </w:rPr>
        <w:t>are</w:t>
      </w:r>
      <w:r w:rsidRPr="0009129B">
        <w:t xml:space="preserve"> not intended to affect </w:t>
      </w:r>
      <w:r w:rsidRPr="006A2D99">
        <w:t xml:space="preserve">treatment with </w:t>
      </w:r>
      <w:r w:rsidR="001366A5">
        <w:t>acalabrutinib</w:t>
      </w:r>
      <w:r w:rsidRPr="006A2D99">
        <w:t xml:space="preserve"> </w:t>
      </w:r>
      <w:r>
        <w:t xml:space="preserve">that </w:t>
      </w:r>
      <w:r w:rsidRPr="006A2D99">
        <w:t>was started in the NHS befo</w:t>
      </w:r>
      <w:r>
        <w:t>re this guidance was published. People having treatment outside th</w:t>
      </w:r>
      <w:r w:rsidR="002F205C">
        <w:rPr>
          <w:lang w:val="en-GB"/>
        </w:rPr>
        <w:t>ese</w:t>
      </w:r>
      <w:r>
        <w:t xml:space="preserve"> recommendation</w:t>
      </w:r>
      <w:r w:rsidR="002F205C">
        <w:rPr>
          <w:lang w:val="en-GB"/>
        </w:rPr>
        <w:t>s</w:t>
      </w:r>
      <w:r>
        <w:t xml:space="preserve"> may </w:t>
      </w:r>
      <w:r w:rsidRPr="006A2D99">
        <w:t xml:space="preserve">continue </w:t>
      </w:r>
      <w:r>
        <w:t>without change to the funding arrangements in place for them before this guidance was published,</w:t>
      </w:r>
      <w:r w:rsidRPr="006A2D99">
        <w:t xml:space="preserve"> until they and their NHS clinician consider it appropriate to stop</w:t>
      </w:r>
      <w:r w:rsidRPr="007C0BAA">
        <w:t>.</w:t>
      </w:r>
    </w:p>
    <w:p w14:paraId="1D207863" w14:textId="77777777" w:rsidR="00C11F58" w:rsidRPr="008522C6" w:rsidRDefault="00C11F58" w:rsidP="008522C6">
      <w:pPr>
        <w:pStyle w:val="NICEnormal"/>
        <w:rPr>
          <w:b/>
        </w:rPr>
      </w:pPr>
      <w:r w:rsidRPr="008522C6">
        <w:rPr>
          <w:b/>
        </w:rPr>
        <w:t>Why the committee made these recommendations</w:t>
      </w:r>
    </w:p>
    <w:p w14:paraId="4C3B47D1" w14:textId="27E2CCD5" w:rsidR="002709F7" w:rsidRDefault="00BF526E" w:rsidP="00C52CE9">
      <w:pPr>
        <w:pStyle w:val="NICEnormal"/>
      </w:pPr>
      <w:bookmarkStart w:id="0" w:name="_Hlk56084830"/>
      <w:r w:rsidRPr="00024E88">
        <w:t xml:space="preserve">People with untreated CLL </w:t>
      </w:r>
      <w:r w:rsidR="009624FB">
        <w:t>and</w:t>
      </w:r>
      <w:r w:rsidRPr="00024E88">
        <w:t xml:space="preserve"> a 17p deletion or TP53 mutation</w:t>
      </w:r>
      <w:r w:rsidR="009624FB">
        <w:t xml:space="preserve"> usually </w:t>
      </w:r>
      <w:r w:rsidR="008806A6">
        <w:t>have</w:t>
      </w:r>
      <w:r w:rsidRPr="00024E88">
        <w:t xml:space="preserve"> ibrutinib. </w:t>
      </w:r>
      <w:r w:rsidR="002371E7">
        <w:t xml:space="preserve">For </w:t>
      </w:r>
      <w:r w:rsidR="001145FA">
        <w:t xml:space="preserve">this </w:t>
      </w:r>
      <w:r w:rsidR="00207E3D">
        <w:t>group</w:t>
      </w:r>
      <w:r w:rsidR="002371E7">
        <w:t>, a</w:t>
      </w:r>
      <w:r w:rsidR="002709F7">
        <w:t>calabrutinib</w:t>
      </w:r>
      <w:r w:rsidR="002709F7" w:rsidRPr="00024E88">
        <w:t xml:space="preserve"> has not been directly compared with ibrutinib</w:t>
      </w:r>
      <w:r w:rsidR="00F533B2">
        <w:t xml:space="preserve"> in a clinical trial</w:t>
      </w:r>
      <w:r w:rsidR="002709F7" w:rsidRPr="00024E88">
        <w:t xml:space="preserve">, and the results of an indirect comparison are uncertain. The </w:t>
      </w:r>
      <w:r w:rsidR="00EF3BFB">
        <w:t xml:space="preserve">company assumed </w:t>
      </w:r>
      <w:r w:rsidR="00EF3BFB" w:rsidRPr="00024E88">
        <w:t xml:space="preserve">that </w:t>
      </w:r>
      <w:r w:rsidR="00EF3BFB">
        <w:t>acalabrutinib</w:t>
      </w:r>
      <w:r w:rsidR="00EF3BFB" w:rsidRPr="00024E88">
        <w:t xml:space="preserve"> is </w:t>
      </w:r>
      <w:r w:rsidR="00EF3BFB">
        <w:t>equally</w:t>
      </w:r>
      <w:r w:rsidR="00EF3BFB" w:rsidRPr="00024E88">
        <w:t xml:space="preserve"> effective </w:t>
      </w:r>
      <w:r w:rsidR="00EF3BFB">
        <w:t xml:space="preserve">as </w:t>
      </w:r>
      <w:r w:rsidR="00EF3BFB" w:rsidRPr="00024E88">
        <w:t>ibrutinib</w:t>
      </w:r>
      <w:r w:rsidR="00EF3BFB">
        <w:t xml:space="preserve"> in </w:t>
      </w:r>
      <w:r w:rsidR="00727803">
        <w:t>a</w:t>
      </w:r>
      <w:r w:rsidR="00EF3BFB">
        <w:t xml:space="preserve"> </w:t>
      </w:r>
      <w:r w:rsidR="002709F7" w:rsidRPr="00024E88">
        <w:t>cost-</w:t>
      </w:r>
      <w:r w:rsidR="00EF3BFB">
        <w:t>minimisation analys</w:t>
      </w:r>
      <w:r w:rsidR="0023696B">
        <w:t>i</w:t>
      </w:r>
      <w:r w:rsidR="00EF3BFB">
        <w:t>s</w:t>
      </w:r>
      <w:r w:rsidR="00BC69C1">
        <w:t>.</w:t>
      </w:r>
      <w:r w:rsidR="002709F7" w:rsidRPr="00024E88">
        <w:t xml:space="preserve"> </w:t>
      </w:r>
      <w:r w:rsidR="00BE6C04">
        <w:t>Despite th</w:t>
      </w:r>
      <w:r w:rsidR="00A40BE6">
        <w:t>e uncertaint</w:t>
      </w:r>
      <w:r w:rsidR="0023696B">
        <w:t>ies</w:t>
      </w:r>
      <w:r w:rsidR="00B94DFA">
        <w:t>,</w:t>
      </w:r>
      <w:r w:rsidR="00BE6C04">
        <w:t xml:space="preserve"> </w:t>
      </w:r>
      <w:r w:rsidR="0023696B">
        <w:t>acalabrutinib is likely to be cost-saving compared with ibrutinib</w:t>
      </w:r>
      <w:r w:rsidR="00762DCA">
        <w:t>.</w:t>
      </w:r>
      <w:r w:rsidR="002709F7" w:rsidRPr="00024E88">
        <w:t xml:space="preserve"> </w:t>
      </w:r>
      <w:r w:rsidR="00762DCA">
        <w:t>S</w:t>
      </w:r>
      <w:r w:rsidR="002709F7" w:rsidRPr="00024E88">
        <w:t xml:space="preserve">o </w:t>
      </w:r>
      <w:r w:rsidR="00EC013E">
        <w:t>acalabrutinib</w:t>
      </w:r>
      <w:r w:rsidR="002709F7" w:rsidRPr="00024E88">
        <w:t xml:space="preserve"> is recommended for routine use in the NHS for </w:t>
      </w:r>
      <w:r w:rsidR="00AB64AE">
        <w:t>this group</w:t>
      </w:r>
      <w:r w:rsidR="002709F7">
        <w:t>.</w:t>
      </w:r>
    </w:p>
    <w:p w14:paraId="2ED5A007" w14:textId="1E00EC8A" w:rsidR="002709F7" w:rsidRDefault="001145FA" w:rsidP="00C52CE9">
      <w:pPr>
        <w:pStyle w:val="NICEnormal"/>
      </w:pPr>
      <w:r>
        <w:t>P</w:t>
      </w:r>
      <w:r w:rsidRPr="00024E88">
        <w:t xml:space="preserve">eople </w:t>
      </w:r>
      <w:r>
        <w:t xml:space="preserve">with untreated CLL </w:t>
      </w:r>
      <w:r w:rsidRPr="00024E88">
        <w:t>without a 17p deletion or TP53 mutation</w:t>
      </w:r>
      <w:r>
        <w:t xml:space="preserve"> usually have</w:t>
      </w:r>
      <w:r w:rsidRPr="00024E88">
        <w:t xml:space="preserve"> </w:t>
      </w:r>
      <w:r w:rsidRPr="00BF526E">
        <w:t>fludarabine, cyclophosphamide and rituximab</w:t>
      </w:r>
      <w:r>
        <w:t xml:space="preserve"> (</w:t>
      </w:r>
      <w:r w:rsidRPr="00024E88">
        <w:t>FCR</w:t>
      </w:r>
      <w:r>
        <w:t>)</w:t>
      </w:r>
      <w:r w:rsidRPr="00024E88">
        <w:t xml:space="preserve"> or </w:t>
      </w:r>
      <w:r w:rsidRPr="00BF526E">
        <w:t>bendamustine plus rituximab</w:t>
      </w:r>
      <w:r>
        <w:t xml:space="preserve"> (</w:t>
      </w:r>
      <w:r w:rsidRPr="00024E88">
        <w:t>BR</w:t>
      </w:r>
      <w:r>
        <w:t>)</w:t>
      </w:r>
      <w:r w:rsidRPr="00024E88">
        <w:t>. If FCR or BR is unsuitable, chlorambucil</w:t>
      </w:r>
      <w:r>
        <w:t xml:space="preserve"> plus</w:t>
      </w:r>
      <w:r w:rsidRPr="00024E88">
        <w:t xml:space="preserve"> obinutuzumab is </w:t>
      </w:r>
      <w:r>
        <w:t>offered</w:t>
      </w:r>
      <w:r w:rsidRPr="00024E88">
        <w:t xml:space="preserve"> instead.</w:t>
      </w:r>
      <w:r>
        <w:t xml:space="preserve"> </w:t>
      </w:r>
      <w:r w:rsidR="002371E7">
        <w:lastRenderedPageBreak/>
        <w:t xml:space="preserve">For </w:t>
      </w:r>
      <w:r w:rsidR="000D636B">
        <w:t>th</w:t>
      </w:r>
      <w:r w:rsidR="00A40BE6">
        <w:t>e</w:t>
      </w:r>
      <w:r w:rsidR="000D636B">
        <w:t xml:space="preserve"> </w:t>
      </w:r>
      <w:r w:rsidR="00207E3D">
        <w:t>group</w:t>
      </w:r>
      <w:r w:rsidR="000D636B">
        <w:t xml:space="preserve"> when</w:t>
      </w:r>
      <w:r w:rsidR="002371E7" w:rsidRPr="00024E88">
        <w:t xml:space="preserve"> FCR or BR is unsuitable</w:t>
      </w:r>
      <w:r w:rsidR="002371E7">
        <w:t>,</w:t>
      </w:r>
      <w:r w:rsidR="002371E7" w:rsidRPr="00024E88">
        <w:t xml:space="preserve"> </w:t>
      </w:r>
      <w:r w:rsidR="002371E7">
        <w:t>c</w:t>
      </w:r>
      <w:r w:rsidR="002709F7" w:rsidRPr="00024E88">
        <w:t xml:space="preserve">linical trial evidence shows that CLL treated with </w:t>
      </w:r>
      <w:r w:rsidR="002709F7">
        <w:t>acalabrutinib</w:t>
      </w:r>
      <w:r w:rsidR="00547C85">
        <w:t xml:space="preserve"> therapy</w:t>
      </w:r>
      <w:r w:rsidR="002709F7" w:rsidRPr="00024E88">
        <w:t xml:space="preserve"> takes longer to progress than CLL treated with chlorambucil</w:t>
      </w:r>
      <w:r w:rsidR="00DC5B43">
        <w:t xml:space="preserve"> plus</w:t>
      </w:r>
      <w:r w:rsidR="00DC5B43" w:rsidRPr="00DC5B43">
        <w:t xml:space="preserve"> </w:t>
      </w:r>
      <w:r w:rsidR="00DC5B43" w:rsidRPr="00024E88">
        <w:t>obinutuzumab</w:t>
      </w:r>
      <w:r w:rsidR="002709F7" w:rsidRPr="00024E88">
        <w:t xml:space="preserve">. </w:t>
      </w:r>
      <w:r w:rsidR="00037C6F">
        <w:t xml:space="preserve">However, the overall survival benefit is uncertain. </w:t>
      </w:r>
      <w:r w:rsidR="00F03FE0">
        <w:t>T</w:t>
      </w:r>
      <w:r w:rsidR="002709F7" w:rsidRPr="00024E88">
        <w:t xml:space="preserve">he cost-effectiveness estimates are higher than </w:t>
      </w:r>
      <w:r w:rsidR="00810107">
        <w:t>what</w:t>
      </w:r>
      <w:r w:rsidR="002709F7" w:rsidRPr="00024E88">
        <w:t xml:space="preserve"> NICE normally considers acceptable</w:t>
      </w:r>
      <w:r w:rsidR="00615D9D">
        <w:t>,</w:t>
      </w:r>
      <w:r w:rsidR="002709F7" w:rsidRPr="00024E88">
        <w:t xml:space="preserve"> </w:t>
      </w:r>
      <w:r w:rsidR="00615D9D">
        <w:t>s</w:t>
      </w:r>
      <w:r w:rsidR="00EC013E">
        <w:t>o</w:t>
      </w:r>
      <w:r w:rsidR="002709F7" w:rsidRPr="00024E88">
        <w:t xml:space="preserve"> </w:t>
      </w:r>
      <w:r w:rsidR="00F03FE0">
        <w:t>acalabrutinib</w:t>
      </w:r>
      <w:r w:rsidR="002709F7" w:rsidRPr="00024E88">
        <w:t xml:space="preserve"> cannot be recommended for routine use in the NHS for th</w:t>
      </w:r>
      <w:r w:rsidR="00893AA8">
        <w:t>is group</w:t>
      </w:r>
      <w:r w:rsidR="00F03FE0">
        <w:t>.</w:t>
      </w:r>
      <w:r w:rsidR="007C3158">
        <w:t xml:space="preserve"> Acalabrutinib d</w:t>
      </w:r>
      <w:r w:rsidR="005D0DF6">
        <w:t>oes</w:t>
      </w:r>
      <w:r w:rsidR="007C3158">
        <w:t xml:space="preserve"> not meet the criteria to be included in the Cancer Drugs Fund.</w:t>
      </w:r>
    </w:p>
    <w:p w14:paraId="46FD48B0" w14:textId="3FEA39A4" w:rsidR="001145FA" w:rsidRPr="00B8464A" w:rsidRDefault="001145FA" w:rsidP="00C52CE9">
      <w:pPr>
        <w:pStyle w:val="NICEnormal"/>
      </w:pPr>
      <w:r>
        <w:t>People with previously treated CLL who</w:t>
      </w:r>
      <w:r w:rsidR="00BA60E9">
        <w:t>se disease has</w:t>
      </w:r>
      <w:r>
        <w:t xml:space="preserve"> relapsed or </w:t>
      </w:r>
      <w:r w:rsidR="00BA60E9">
        <w:t>does not respond</w:t>
      </w:r>
      <w:r>
        <w:t xml:space="preserve"> </w:t>
      </w:r>
      <w:r w:rsidR="00BA60E9">
        <w:t xml:space="preserve">to treatment </w:t>
      </w:r>
      <w:r>
        <w:t xml:space="preserve">usually have ibrutinib or </w:t>
      </w:r>
      <w:r w:rsidRPr="00BF526E">
        <w:t>venetoclax plus rituximab</w:t>
      </w:r>
      <w:r>
        <w:t xml:space="preserve">. </w:t>
      </w:r>
      <w:r w:rsidR="002371E7">
        <w:t xml:space="preserve">For </w:t>
      </w:r>
      <w:r>
        <w:t xml:space="preserve">this </w:t>
      </w:r>
      <w:r w:rsidR="002F1C88">
        <w:t>group</w:t>
      </w:r>
      <w:r w:rsidR="002371E7">
        <w:t>, a</w:t>
      </w:r>
      <w:r w:rsidR="00F03FE0">
        <w:t>calabrutinib</w:t>
      </w:r>
      <w:r w:rsidR="00F03FE0" w:rsidRPr="00024E88">
        <w:t xml:space="preserve"> has not been directly compared with ibrutinib</w:t>
      </w:r>
      <w:r w:rsidR="00F25CA7">
        <w:t xml:space="preserve"> or </w:t>
      </w:r>
      <w:r w:rsidR="002D42E9">
        <w:t xml:space="preserve">with </w:t>
      </w:r>
      <w:r w:rsidR="00F25CA7" w:rsidRPr="00BF526E">
        <w:t>venetoclax plus rituximab</w:t>
      </w:r>
      <w:r w:rsidR="00F533B2">
        <w:t xml:space="preserve"> in a clinical trial</w:t>
      </w:r>
      <w:r w:rsidR="00F25CA7">
        <w:t>.</w:t>
      </w:r>
      <w:r w:rsidR="00F03FE0" w:rsidRPr="00024E88">
        <w:t xml:space="preserve"> </w:t>
      </w:r>
      <w:r w:rsidR="00F25CA7">
        <w:t>T</w:t>
      </w:r>
      <w:r w:rsidR="00F03FE0" w:rsidRPr="00024E88">
        <w:t>he results of an indirect comparison</w:t>
      </w:r>
      <w:r w:rsidR="00F25CA7">
        <w:t xml:space="preserve"> with ibrutinib</w:t>
      </w:r>
      <w:r w:rsidR="00F03FE0" w:rsidRPr="00024E88">
        <w:t xml:space="preserve"> are uncertain</w:t>
      </w:r>
      <w:r w:rsidR="00F03FE0">
        <w:t>.</w:t>
      </w:r>
      <w:r w:rsidR="00F03FE0" w:rsidRPr="00F03FE0">
        <w:t xml:space="preserve"> </w:t>
      </w:r>
      <w:r w:rsidR="00EF3BFB" w:rsidRPr="00024E88">
        <w:t xml:space="preserve">The </w:t>
      </w:r>
      <w:r w:rsidR="00EF3BFB">
        <w:t xml:space="preserve">company assumed </w:t>
      </w:r>
      <w:r w:rsidR="00EF3BFB" w:rsidRPr="00024E88">
        <w:t xml:space="preserve">that </w:t>
      </w:r>
      <w:r w:rsidR="00EF3BFB">
        <w:t>acalabrutinib</w:t>
      </w:r>
      <w:r w:rsidR="00EF3BFB" w:rsidRPr="00024E88">
        <w:t xml:space="preserve"> </w:t>
      </w:r>
      <w:r w:rsidR="00195409">
        <w:t>was</w:t>
      </w:r>
      <w:r w:rsidR="00EF3BFB" w:rsidRPr="00024E88">
        <w:t xml:space="preserve"> </w:t>
      </w:r>
      <w:r w:rsidR="00EF3BFB">
        <w:t>equally</w:t>
      </w:r>
      <w:r w:rsidR="00EF3BFB" w:rsidRPr="00024E88">
        <w:t xml:space="preserve"> effective </w:t>
      </w:r>
      <w:r w:rsidR="00EF3BFB">
        <w:t xml:space="preserve">as </w:t>
      </w:r>
      <w:r w:rsidR="00EF3BFB" w:rsidRPr="00024E88">
        <w:t>ibrutinib</w:t>
      </w:r>
      <w:r w:rsidR="00EF3BFB">
        <w:t xml:space="preserve"> in the </w:t>
      </w:r>
      <w:r w:rsidR="00EF3BFB" w:rsidRPr="00024E88">
        <w:t>cost-</w:t>
      </w:r>
      <w:r w:rsidR="00EF3BFB">
        <w:t>minimisation analyses presented</w:t>
      </w:r>
      <w:r w:rsidR="00EF3BFB" w:rsidRPr="00024E88">
        <w:t xml:space="preserve"> </w:t>
      </w:r>
      <w:r w:rsidR="00EF3BFB">
        <w:t>which resulted in acalabrutinib</w:t>
      </w:r>
      <w:r w:rsidR="00EF3BFB" w:rsidRPr="00024E88">
        <w:t xml:space="preserve"> </w:t>
      </w:r>
      <w:r w:rsidR="00EF3BFB">
        <w:t xml:space="preserve">being </w:t>
      </w:r>
      <w:r w:rsidR="00EF3BFB" w:rsidRPr="00024E88">
        <w:t>less costly than ibrutinib</w:t>
      </w:r>
      <w:r w:rsidR="00A40BE6">
        <w:t xml:space="preserve">. </w:t>
      </w:r>
      <w:r w:rsidR="00D74F58">
        <w:t>Despite th</w:t>
      </w:r>
      <w:r w:rsidR="00A40BE6">
        <w:t>e uncertainty</w:t>
      </w:r>
      <w:r w:rsidR="00D74F58">
        <w:t>,</w:t>
      </w:r>
      <w:r w:rsidR="004C16F6">
        <w:t xml:space="preserve"> </w:t>
      </w:r>
      <w:r w:rsidR="007E20E3">
        <w:t>acalabrutinib is likely to be cost-saving compared with ibrutinib</w:t>
      </w:r>
      <w:r w:rsidR="00325EC1">
        <w:t>.</w:t>
      </w:r>
      <w:r w:rsidR="004C16F6" w:rsidRPr="004C16F6">
        <w:t xml:space="preserve"> </w:t>
      </w:r>
      <w:r w:rsidR="00325EC1">
        <w:t>S</w:t>
      </w:r>
      <w:r w:rsidR="004C16F6" w:rsidRPr="00024E88">
        <w:t xml:space="preserve">o </w:t>
      </w:r>
      <w:r w:rsidR="0036579F">
        <w:t>acalabrutinib</w:t>
      </w:r>
      <w:r w:rsidR="004C16F6" w:rsidRPr="00024E88">
        <w:t xml:space="preserve"> is recommended for routine use in the NHS for people</w:t>
      </w:r>
      <w:r w:rsidR="00B307E3">
        <w:t xml:space="preserve"> with previously treated CLL</w:t>
      </w:r>
      <w:r w:rsidR="006C4021">
        <w:t xml:space="preserve">. However, because the company did not present any analyses comparing acalabrutinib with venetoclax plus rituximab, it is only recommended if </w:t>
      </w:r>
      <w:r w:rsidR="000819B9">
        <w:t>ibrutinib is their only suitable treatment option</w:t>
      </w:r>
      <w:r w:rsidR="00D74F58">
        <w:t>.</w:t>
      </w:r>
    </w:p>
    <w:bookmarkEnd w:id="0"/>
    <w:p w14:paraId="6D1434FC" w14:textId="16DDC9D5" w:rsidR="00EA1CB1" w:rsidRDefault="00EA1CB1" w:rsidP="00EA1CB1">
      <w:pPr>
        <w:pStyle w:val="Numberedheading1"/>
        <w:keepLines/>
      </w:pPr>
      <w:r>
        <w:t xml:space="preserve">Information about </w:t>
      </w:r>
      <w:r w:rsidR="005A0B6B">
        <w:t>acalabrutinib</w:t>
      </w:r>
    </w:p>
    <w:p w14:paraId="3B418729" w14:textId="7607FB44" w:rsidR="00B82A82" w:rsidRDefault="005A0B6B" w:rsidP="00B82A82">
      <w:pPr>
        <w:pStyle w:val="Heading2"/>
      </w:pPr>
      <w:r>
        <w:t>A</w:t>
      </w:r>
      <w:r w:rsidR="00B82A82" w:rsidRPr="00A76391">
        <w:t>nticipated marketing authorisation indication</w:t>
      </w:r>
    </w:p>
    <w:p w14:paraId="5B8BC2D5" w14:textId="742DA087" w:rsidR="00FC6D59" w:rsidRPr="00D759B8" w:rsidRDefault="00FC6D59" w:rsidP="00252292">
      <w:pPr>
        <w:pStyle w:val="Numberedlevel2text"/>
      </w:pPr>
      <w:r>
        <w:rPr>
          <w:lang w:val="en-US"/>
        </w:rPr>
        <w:t>Acalabrutinib (</w:t>
      </w:r>
      <w:proofErr w:type="spellStart"/>
      <w:r>
        <w:rPr>
          <w:lang w:val="en-US"/>
        </w:rPr>
        <w:t>Calquence</w:t>
      </w:r>
      <w:proofErr w:type="spellEnd"/>
      <w:r>
        <w:rPr>
          <w:lang w:val="en-US"/>
        </w:rPr>
        <w:t>, AstraZeneca) is indicated:</w:t>
      </w:r>
    </w:p>
    <w:p w14:paraId="1B42B985" w14:textId="2A1FC59B" w:rsidR="00FC6D59" w:rsidRDefault="00FC6D59" w:rsidP="00FC6D59">
      <w:pPr>
        <w:pStyle w:val="Numberedlevel2text"/>
        <w:numPr>
          <w:ilvl w:val="0"/>
          <w:numId w:val="27"/>
        </w:numPr>
      </w:pPr>
      <w:r>
        <w:rPr>
          <w:lang w:val="en-US"/>
        </w:rPr>
        <w:t xml:space="preserve">as </w:t>
      </w:r>
      <w:r>
        <w:t>monotherapy or in combination with obinutuzumab for the treatment of adult patients with previously untreated chronic lymphocytic leukaemia (CLL)</w:t>
      </w:r>
      <w:r>
        <w:rPr>
          <w:lang w:val="en-US"/>
        </w:rPr>
        <w:t xml:space="preserve">; and </w:t>
      </w:r>
    </w:p>
    <w:p w14:paraId="1ECEA079" w14:textId="33614C1F" w:rsidR="00B82A82" w:rsidRDefault="00FC6D59" w:rsidP="00FC6D59">
      <w:pPr>
        <w:pStyle w:val="Numberedlevel2text"/>
        <w:numPr>
          <w:ilvl w:val="0"/>
          <w:numId w:val="27"/>
        </w:numPr>
      </w:pPr>
      <w:r>
        <w:rPr>
          <w:lang w:val="en-US"/>
        </w:rPr>
        <w:t xml:space="preserve">as monotherapy </w:t>
      </w:r>
      <w:r>
        <w:t>for the treatment of adult patients with chronic lymphocytic leukaemia (CLL) who have received at least one prior therapy</w:t>
      </w:r>
      <w:r w:rsidR="00B82A82" w:rsidRPr="00331D9B">
        <w:t>.</w:t>
      </w:r>
    </w:p>
    <w:p w14:paraId="41A71457" w14:textId="398AA299" w:rsidR="00FC6D59" w:rsidRPr="00FC6D59" w:rsidRDefault="00D40C9C" w:rsidP="00FC6D59">
      <w:pPr>
        <w:pStyle w:val="NICEnormal"/>
      </w:pPr>
      <w:r>
        <w:lastRenderedPageBreak/>
        <w:t>The company</w:t>
      </w:r>
      <w:r w:rsidR="00FC6D59">
        <w:t xml:space="preserve"> did not submit evidence to support reimbursement for acalabrutinib in combination with obinutuzumab. It also did not provide evidence for previously untreated </w:t>
      </w:r>
      <w:r>
        <w:t>adults</w:t>
      </w:r>
      <w:r w:rsidR="00FC6D59">
        <w:t xml:space="preserve"> with CLL who are eligible for fludarabine, cyclophos</w:t>
      </w:r>
      <w:r>
        <w:t>phamide and rituximab-based (FCR) therapy (see section 3.</w:t>
      </w:r>
      <w:r w:rsidR="00EF7CF8">
        <w:t>5</w:t>
      </w:r>
      <w:r>
        <w:t>).</w:t>
      </w:r>
    </w:p>
    <w:p w14:paraId="77EF0B62" w14:textId="77777777" w:rsidR="00B82A82" w:rsidRDefault="00B82A82" w:rsidP="00B82A82">
      <w:pPr>
        <w:pStyle w:val="Heading2"/>
      </w:pPr>
      <w:r>
        <w:t>Dosage in the marketing authorisation</w:t>
      </w:r>
    </w:p>
    <w:p w14:paraId="2894AF1B" w14:textId="58365294" w:rsidR="00B82A82" w:rsidRPr="00570524" w:rsidRDefault="00D40C9C" w:rsidP="001A5561">
      <w:pPr>
        <w:pStyle w:val="Numberedlevel2text"/>
        <w:numPr>
          <w:ilvl w:val="1"/>
          <w:numId w:val="1"/>
        </w:numPr>
        <w:rPr>
          <w:rStyle w:val="Numberedlevel2textChar"/>
        </w:rPr>
      </w:pPr>
      <w:r w:rsidRPr="00A957FB">
        <w:rPr>
          <w:lang w:val="en-GB"/>
        </w:rPr>
        <w:t xml:space="preserve">The </w:t>
      </w:r>
      <w:r>
        <w:rPr>
          <w:lang w:val="en-GB"/>
        </w:rPr>
        <w:t xml:space="preserve">dosage schedule is available in the </w:t>
      </w:r>
      <w:hyperlink r:id="rId8" w:history="1">
        <w:r w:rsidRPr="00D40C9C">
          <w:rPr>
            <w:rStyle w:val="Hyperlink"/>
            <w:lang w:val="en-GB"/>
          </w:rPr>
          <w:t>summary of product characteristics</w:t>
        </w:r>
      </w:hyperlink>
      <w:r w:rsidRPr="00BE3BE7">
        <w:rPr>
          <w:lang w:val="en-GB"/>
        </w:rPr>
        <w:t>.</w:t>
      </w:r>
    </w:p>
    <w:p w14:paraId="6B0E6610" w14:textId="77777777" w:rsidR="00B82A82" w:rsidRDefault="00B82A82" w:rsidP="00B82A82">
      <w:pPr>
        <w:pStyle w:val="Heading2"/>
      </w:pPr>
      <w:r>
        <w:t>Price</w:t>
      </w:r>
    </w:p>
    <w:p w14:paraId="42A1544C" w14:textId="412B37BE" w:rsidR="00B82A82" w:rsidRDefault="00FA0F01" w:rsidP="00F82CB1">
      <w:pPr>
        <w:pStyle w:val="Numberedlevel2text"/>
        <w:numPr>
          <w:ilvl w:val="1"/>
          <w:numId w:val="1"/>
        </w:numPr>
      </w:pPr>
      <w:r>
        <w:rPr>
          <w:rStyle w:val="NICEnormalChar"/>
        </w:rPr>
        <w:t xml:space="preserve">A 30-day pack of acalabrutinib </w:t>
      </w:r>
      <w:r w:rsidR="000358E4">
        <w:rPr>
          <w:rStyle w:val="NICEnormalChar"/>
        </w:rPr>
        <w:t xml:space="preserve">100 mg </w:t>
      </w:r>
      <w:r>
        <w:rPr>
          <w:rStyle w:val="NICEnormalChar"/>
        </w:rPr>
        <w:t xml:space="preserve">tablets costs </w:t>
      </w:r>
      <w:r w:rsidRPr="00D759B8">
        <w:rPr>
          <w:rStyle w:val="NICEnormalChar"/>
        </w:rPr>
        <w:t>£5,059</w:t>
      </w:r>
      <w:r>
        <w:rPr>
          <w:rStyle w:val="NICEnormalChar"/>
        </w:rPr>
        <w:t>. The company has a commercial arrangement (simple discount patient access scheme).</w:t>
      </w:r>
      <w:r w:rsidR="00B82A82" w:rsidRPr="00844D3D">
        <w:t xml:space="preserve"> </w:t>
      </w:r>
      <w:r w:rsidR="00B82A82">
        <w:t>This</w:t>
      </w:r>
      <w:r w:rsidR="00B82A82" w:rsidRPr="00B520D8">
        <w:t xml:space="preserve"> makes </w:t>
      </w:r>
      <w:r>
        <w:rPr>
          <w:lang w:val="en-GB"/>
        </w:rPr>
        <w:t>acalabrutinib</w:t>
      </w:r>
      <w:r w:rsidR="00B82A82" w:rsidRPr="00B520D8">
        <w:t xml:space="preserve"> available to the NHS with a discount. The size of the discount is commercial in confidence. It is the company</w:t>
      </w:r>
      <w:r w:rsidR="00B82A82">
        <w:t>’s responsibility</w:t>
      </w:r>
      <w:r w:rsidR="00B82A82" w:rsidRPr="00B520D8">
        <w:t xml:space="preserve"> to </w:t>
      </w:r>
      <w:r w:rsidR="00B82A82">
        <w:t>let</w:t>
      </w:r>
      <w:r w:rsidR="00B82A82" w:rsidRPr="00B520D8">
        <w:t xml:space="preserve"> relevant NHS organisations</w:t>
      </w:r>
      <w:r w:rsidR="00B82A82">
        <w:t xml:space="preserve"> know details of the discount.</w:t>
      </w:r>
    </w:p>
    <w:p w14:paraId="586D864B" w14:textId="77777777" w:rsidR="00F130AD" w:rsidRDefault="00222BEA" w:rsidP="00F130AD">
      <w:pPr>
        <w:pStyle w:val="Numberedheading1"/>
      </w:pPr>
      <w:r w:rsidRPr="000F48EC">
        <w:t>Co</w:t>
      </w:r>
      <w:r>
        <w:t>mmittee discussion</w:t>
      </w:r>
    </w:p>
    <w:p w14:paraId="7CC5C921" w14:textId="664DAD1E" w:rsidR="002B5772" w:rsidRPr="00C63D4E" w:rsidRDefault="00BC7D9E" w:rsidP="002B5772">
      <w:pPr>
        <w:pStyle w:val="NICEnormal"/>
      </w:pPr>
      <w:r w:rsidRPr="007D7F83">
        <w:t xml:space="preserve">The </w:t>
      </w:r>
      <w:hyperlink w:anchor="_Appraisal_committee_members" w:history="1">
        <w:r w:rsidR="00343B53" w:rsidRPr="00866CC6">
          <w:rPr>
            <w:rStyle w:val="Hyperlink"/>
          </w:rPr>
          <w:t>a</w:t>
        </w:r>
        <w:r w:rsidRPr="00866CC6">
          <w:rPr>
            <w:rStyle w:val="Hyperlink"/>
          </w:rPr>
          <w:t xml:space="preserve">ppraisal </w:t>
        </w:r>
        <w:r w:rsidR="00343B53" w:rsidRPr="00866CC6">
          <w:rPr>
            <w:rStyle w:val="Hyperlink"/>
          </w:rPr>
          <w:t>c</w:t>
        </w:r>
        <w:r w:rsidRPr="00866CC6">
          <w:rPr>
            <w:rStyle w:val="Hyperlink"/>
          </w:rPr>
          <w:t>ommittee</w:t>
        </w:r>
      </w:hyperlink>
      <w:r w:rsidRPr="007D7F83">
        <w:t xml:space="preserve"> considered evidence submitted by </w:t>
      </w:r>
      <w:r w:rsidR="007F5ABF">
        <w:t>AstraZeneca</w:t>
      </w:r>
      <w:r w:rsidR="002B5772">
        <w:t>,</w:t>
      </w:r>
      <w:r w:rsidRPr="00981B9F">
        <w:t xml:space="preserve"> </w:t>
      </w:r>
      <w:r w:rsidRPr="007D7F83">
        <w:t xml:space="preserve">a review of this submission by the </w:t>
      </w:r>
      <w:r w:rsidR="00343B53">
        <w:t>e</w:t>
      </w:r>
      <w:r w:rsidRPr="007D7F83">
        <w:t xml:space="preserve">vidence </w:t>
      </w:r>
      <w:r w:rsidR="00343B53">
        <w:t>r</w:t>
      </w:r>
      <w:r w:rsidRPr="007D7F83">
        <w:t xml:space="preserve">eview </w:t>
      </w:r>
      <w:r w:rsidR="00343B53">
        <w:t>g</w:t>
      </w:r>
      <w:r w:rsidRPr="007D7F83">
        <w:t>roup (ERG)</w:t>
      </w:r>
      <w:r w:rsidR="000B1027">
        <w:t>, and responses from</w:t>
      </w:r>
      <w:r w:rsidR="00E9265B">
        <w:t xml:space="preserve"> stakeholders</w:t>
      </w:r>
      <w:r w:rsidRPr="007D7F83">
        <w:t>.</w:t>
      </w:r>
      <w:r w:rsidR="00C63D4E">
        <w:t xml:space="preserve"> </w:t>
      </w:r>
      <w:r w:rsidR="002B5772">
        <w:t xml:space="preserve">See the </w:t>
      </w:r>
      <w:hyperlink r:id="rId9" w:history="1">
        <w:r w:rsidR="002B5772">
          <w:rPr>
            <w:rStyle w:val="Hyperlink"/>
          </w:rPr>
          <w:t>committee papers</w:t>
        </w:r>
      </w:hyperlink>
      <w:r w:rsidR="002B5772">
        <w:t xml:space="preserve"> for full details of the evidence</w:t>
      </w:r>
      <w:r w:rsidR="002B5772" w:rsidRPr="000F2D8A">
        <w:t>.</w:t>
      </w:r>
    </w:p>
    <w:p w14:paraId="2D72ED12" w14:textId="77777777" w:rsidR="003E7EC4" w:rsidRPr="00B73A30" w:rsidRDefault="003E7EC4" w:rsidP="003E7EC4">
      <w:pPr>
        <w:pStyle w:val="Heading2"/>
      </w:pPr>
      <w:r w:rsidRPr="00B73A30">
        <w:t>The condition</w:t>
      </w:r>
    </w:p>
    <w:p w14:paraId="2CFD9E1D" w14:textId="3206446C" w:rsidR="003E7EC4" w:rsidRPr="00B73A30" w:rsidRDefault="003E7EC4" w:rsidP="003E7EC4">
      <w:pPr>
        <w:pStyle w:val="Heading3"/>
      </w:pPr>
      <w:r>
        <w:t>C</w:t>
      </w:r>
      <w:r w:rsidR="00E70CBB">
        <w:t>hronic lymphocytic leukaemia</w:t>
      </w:r>
      <w:r w:rsidRPr="00B73A30">
        <w:t xml:space="preserve"> </w:t>
      </w:r>
      <w:r w:rsidR="00157CAA">
        <w:t>has substantial effects on</w:t>
      </w:r>
      <w:r w:rsidRPr="00B73A30">
        <w:t xml:space="preserve"> quality of life</w:t>
      </w:r>
    </w:p>
    <w:p w14:paraId="1DC1F64B" w14:textId="17ADFBA8" w:rsidR="00643582" w:rsidRPr="00DC0D79" w:rsidRDefault="00E70CBB" w:rsidP="00157CAA">
      <w:pPr>
        <w:pStyle w:val="Numberedlevel2text"/>
      </w:pPr>
      <w:r>
        <w:rPr>
          <w:lang w:val="en-GB"/>
        </w:rPr>
        <w:t>Chronic lymphocytic leukaemia (</w:t>
      </w:r>
      <w:r w:rsidR="00157CAA">
        <w:rPr>
          <w:lang w:val="en-GB"/>
        </w:rPr>
        <w:t>CLL</w:t>
      </w:r>
      <w:r>
        <w:rPr>
          <w:lang w:val="en-GB"/>
        </w:rPr>
        <w:t>)</w:t>
      </w:r>
      <w:r w:rsidR="00157CAA">
        <w:rPr>
          <w:lang w:val="en-GB"/>
        </w:rPr>
        <w:t xml:space="preserve"> is a malignant disorder of white blood cells and is the most common type of leukaemia in England. The patient experts explained th</w:t>
      </w:r>
      <w:r w:rsidR="00CC34EC">
        <w:rPr>
          <w:lang w:val="en-GB"/>
        </w:rPr>
        <w:t xml:space="preserve">at </w:t>
      </w:r>
      <w:r w:rsidR="005F770E">
        <w:rPr>
          <w:lang w:val="en-GB"/>
        </w:rPr>
        <w:t xml:space="preserve">the </w:t>
      </w:r>
      <w:r w:rsidR="00CC34EC">
        <w:rPr>
          <w:lang w:val="en-GB"/>
        </w:rPr>
        <w:t>physical and psychological effects of CLL have a</w:t>
      </w:r>
      <w:r w:rsidR="00157CAA">
        <w:rPr>
          <w:lang w:val="en-GB"/>
        </w:rPr>
        <w:t xml:space="preserve"> debilitating </w:t>
      </w:r>
      <w:r w:rsidR="00EA75FB">
        <w:rPr>
          <w:lang w:val="en-GB"/>
        </w:rPr>
        <w:t>effect</w:t>
      </w:r>
      <w:r w:rsidR="00157CAA">
        <w:rPr>
          <w:lang w:val="en-GB"/>
        </w:rPr>
        <w:t xml:space="preserve"> on their daily lives</w:t>
      </w:r>
      <w:r w:rsidR="00CC34EC">
        <w:rPr>
          <w:lang w:val="en-GB"/>
        </w:rPr>
        <w:t>.</w:t>
      </w:r>
      <w:r w:rsidR="00DC0D79">
        <w:rPr>
          <w:lang w:val="en-GB"/>
        </w:rPr>
        <w:t xml:space="preserve"> The committee </w:t>
      </w:r>
      <w:r w:rsidR="00547C85">
        <w:rPr>
          <w:lang w:val="en-GB"/>
        </w:rPr>
        <w:t>noted</w:t>
      </w:r>
      <w:r w:rsidR="00DC0D79">
        <w:rPr>
          <w:lang w:val="en-GB"/>
        </w:rPr>
        <w:t xml:space="preserve"> the increase in prevalence of CLL with age and the additional </w:t>
      </w:r>
      <w:r w:rsidR="00EA75FB">
        <w:rPr>
          <w:lang w:val="en-GB"/>
        </w:rPr>
        <w:t xml:space="preserve">effect </w:t>
      </w:r>
      <w:r w:rsidR="00DC0D79">
        <w:rPr>
          <w:lang w:val="en-GB"/>
        </w:rPr>
        <w:t xml:space="preserve">of the condition on family and carers. </w:t>
      </w:r>
      <w:r w:rsidR="005F770E">
        <w:rPr>
          <w:lang w:val="en-GB"/>
        </w:rPr>
        <w:t>It</w:t>
      </w:r>
      <w:r w:rsidR="00DC0D79">
        <w:rPr>
          <w:lang w:val="en-GB"/>
        </w:rPr>
        <w:t xml:space="preserve"> concluded that CLL substantially affects both physical and psychological aspects of quality of life.</w:t>
      </w:r>
    </w:p>
    <w:p w14:paraId="02C677A4" w14:textId="6754E31A" w:rsidR="00DC0D79" w:rsidRDefault="006F09B5" w:rsidP="00DC0D79">
      <w:pPr>
        <w:pStyle w:val="Heading2"/>
      </w:pPr>
      <w:r>
        <w:lastRenderedPageBreak/>
        <w:t>Treatment pathway and comparators</w:t>
      </w:r>
    </w:p>
    <w:p w14:paraId="3E9955C1" w14:textId="34E43B4F" w:rsidR="006F09B5" w:rsidRDefault="006F09B5" w:rsidP="006F09B5">
      <w:pPr>
        <w:pStyle w:val="Heading3"/>
      </w:pPr>
      <w:r>
        <w:t xml:space="preserve">There is an unmet need </w:t>
      </w:r>
      <w:r w:rsidR="00BE7340">
        <w:t xml:space="preserve">for </w:t>
      </w:r>
      <w:r w:rsidR="00F93821">
        <w:t>more effective</w:t>
      </w:r>
      <w:r w:rsidR="00547C85">
        <w:t xml:space="preserve"> treatments for</w:t>
      </w:r>
      <w:r>
        <w:t xml:space="preserve"> CLL</w:t>
      </w:r>
      <w:r w:rsidR="005F770E">
        <w:t xml:space="preserve"> and a new treatment option would be welcomed</w:t>
      </w:r>
    </w:p>
    <w:p w14:paraId="258F4CFD" w14:textId="09FB0D58" w:rsidR="006F09B5" w:rsidRPr="00056559" w:rsidRDefault="006F09B5" w:rsidP="006F09B5">
      <w:pPr>
        <w:pStyle w:val="Numberedlevel2text"/>
      </w:pPr>
      <w:r w:rsidRPr="00024E88">
        <w:t>The clinical and patient experts noted that people with untreated CLL are a heterogeneous population</w:t>
      </w:r>
      <w:r w:rsidR="00AE1B23">
        <w:rPr>
          <w:lang w:val="en-GB"/>
        </w:rPr>
        <w:t xml:space="preserve">, with </w:t>
      </w:r>
      <w:r w:rsidR="0070698B">
        <w:rPr>
          <w:lang w:val="en-GB"/>
        </w:rPr>
        <w:t>differ</w:t>
      </w:r>
      <w:r w:rsidR="00AE1B23">
        <w:rPr>
          <w:lang w:val="en-GB"/>
        </w:rPr>
        <w:t>ent</w:t>
      </w:r>
      <w:r w:rsidRPr="00024E88">
        <w:t xml:space="preserve"> mutation status and comorbidities. They agreed that there is an unmet need for </w:t>
      </w:r>
      <w:r w:rsidR="00547C85">
        <w:rPr>
          <w:lang w:val="en-GB"/>
        </w:rPr>
        <w:t xml:space="preserve">more </w:t>
      </w:r>
      <w:r w:rsidRPr="00024E88">
        <w:t>effective</w:t>
      </w:r>
      <w:r>
        <w:rPr>
          <w:lang w:val="en-GB"/>
        </w:rPr>
        <w:t>, targeted</w:t>
      </w:r>
      <w:r w:rsidRPr="00024E88">
        <w:t xml:space="preserve"> treatment</w:t>
      </w:r>
      <w:r w:rsidR="00547C85">
        <w:rPr>
          <w:lang w:val="en-GB"/>
        </w:rPr>
        <w:t>s</w:t>
      </w:r>
      <w:r w:rsidRPr="00024E88">
        <w:t xml:space="preserve"> with fewer side effects than existing </w:t>
      </w:r>
      <w:r w:rsidR="009158E1">
        <w:rPr>
          <w:lang w:val="en-GB"/>
        </w:rPr>
        <w:t xml:space="preserve">NHS </w:t>
      </w:r>
      <w:r w:rsidRPr="00024E88">
        <w:t xml:space="preserve">treatments. They considered that this unmet need is particularly </w:t>
      </w:r>
      <w:r w:rsidR="00581377">
        <w:rPr>
          <w:lang w:val="en-GB"/>
        </w:rPr>
        <w:t>high for</w:t>
      </w:r>
      <w:r w:rsidRPr="00024E88">
        <w:t xml:space="preserve"> p</w:t>
      </w:r>
      <w:r w:rsidR="00581377">
        <w:rPr>
          <w:lang w:val="en-GB"/>
        </w:rPr>
        <w:t>eople</w:t>
      </w:r>
      <w:r w:rsidRPr="00024E88">
        <w:t xml:space="preserve"> with a 17p deletion or TP53 mutation. This is because ibrutinib and idelalisib plus rituximab are the only available treatments, and idelalisib is poorly tolerated and not widely used. However, </w:t>
      </w:r>
      <w:r w:rsidR="002311E5">
        <w:rPr>
          <w:lang w:val="en-GB"/>
        </w:rPr>
        <w:t>for people</w:t>
      </w:r>
      <w:r w:rsidRPr="00024E88">
        <w:t xml:space="preserve"> without a 17p deletion or TP53 mutation there is also a need for greater treatment choice. Around one-third of this population are offered </w:t>
      </w:r>
      <w:r w:rsidR="00F10388" w:rsidRPr="00BF526E">
        <w:t>fludarabine, cyclophosphamide and rituximab</w:t>
      </w:r>
      <w:r w:rsidR="00F10388" w:rsidRPr="00024E88">
        <w:t xml:space="preserve"> </w:t>
      </w:r>
      <w:r w:rsidR="00F10388">
        <w:rPr>
          <w:lang w:val="en-GB"/>
        </w:rPr>
        <w:t>(</w:t>
      </w:r>
      <w:r w:rsidRPr="00024E88">
        <w:t>FCR</w:t>
      </w:r>
      <w:r w:rsidR="00F10388">
        <w:rPr>
          <w:lang w:val="en-GB"/>
        </w:rPr>
        <w:t>)</w:t>
      </w:r>
      <w:r w:rsidRPr="00024E88">
        <w:t xml:space="preserve"> or </w:t>
      </w:r>
      <w:r w:rsidR="00F10388">
        <w:rPr>
          <w:lang w:val="en-GB"/>
        </w:rPr>
        <w:t>bendamustine plus rituximab (</w:t>
      </w:r>
      <w:r w:rsidRPr="00024E88">
        <w:t>BR</w:t>
      </w:r>
      <w:r w:rsidR="00F10388">
        <w:rPr>
          <w:lang w:val="en-GB"/>
        </w:rPr>
        <w:t>)</w:t>
      </w:r>
      <w:r w:rsidRPr="00024E88">
        <w:t xml:space="preserve">, which have </w:t>
      </w:r>
      <w:r w:rsidR="00547C85">
        <w:rPr>
          <w:lang w:val="en-GB"/>
        </w:rPr>
        <w:t>many</w:t>
      </w:r>
      <w:r w:rsidRPr="00024E88">
        <w:t xml:space="preserve"> long-term side effects</w:t>
      </w:r>
      <w:r w:rsidR="00056559">
        <w:rPr>
          <w:lang w:val="en-GB"/>
        </w:rPr>
        <w:t xml:space="preserve">. The patient experts also noted that access to treatments other than </w:t>
      </w:r>
      <w:r w:rsidR="00B2673C">
        <w:rPr>
          <w:lang w:val="en-GB"/>
        </w:rPr>
        <w:t xml:space="preserve">these </w:t>
      </w:r>
      <w:r w:rsidR="00056559" w:rsidRPr="00024E88">
        <w:t>chemo-immunotherap</w:t>
      </w:r>
      <w:r w:rsidR="00B2673C">
        <w:rPr>
          <w:lang w:val="en-GB"/>
        </w:rPr>
        <w:t>ies</w:t>
      </w:r>
      <w:r w:rsidR="00056559">
        <w:rPr>
          <w:lang w:val="en-GB"/>
        </w:rPr>
        <w:t xml:space="preserve"> </w:t>
      </w:r>
      <w:r w:rsidR="00B968D7">
        <w:rPr>
          <w:lang w:val="en-GB"/>
        </w:rPr>
        <w:t>is</w:t>
      </w:r>
      <w:r w:rsidR="00056559">
        <w:rPr>
          <w:lang w:val="en-GB"/>
        </w:rPr>
        <w:t xml:space="preserve"> limited</w:t>
      </w:r>
      <w:r w:rsidR="00F10388">
        <w:rPr>
          <w:lang w:val="en-GB"/>
        </w:rPr>
        <w:t>.</w:t>
      </w:r>
      <w:r w:rsidR="00056559">
        <w:rPr>
          <w:lang w:val="en-GB"/>
        </w:rPr>
        <w:t xml:space="preserve"> </w:t>
      </w:r>
      <w:r w:rsidR="00F10388">
        <w:rPr>
          <w:lang w:val="en-GB"/>
        </w:rPr>
        <w:t>C</w:t>
      </w:r>
      <w:r w:rsidR="00056559" w:rsidRPr="00056559">
        <w:rPr>
          <w:lang w:val="en-GB"/>
        </w:rPr>
        <w:t xml:space="preserve">hlorambucil plus </w:t>
      </w:r>
      <w:r w:rsidR="00056559">
        <w:rPr>
          <w:lang w:val="en-GB"/>
        </w:rPr>
        <w:t xml:space="preserve">obinutuzumab </w:t>
      </w:r>
      <w:r w:rsidR="005F770E">
        <w:rPr>
          <w:lang w:val="en-GB"/>
        </w:rPr>
        <w:t>i</w:t>
      </w:r>
      <w:r w:rsidR="00056559">
        <w:rPr>
          <w:lang w:val="en-GB"/>
        </w:rPr>
        <w:t xml:space="preserve">s the only other option </w:t>
      </w:r>
      <w:r w:rsidR="005F770E">
        <w:rPr>
          <w:lang w:val="en-GB"/>
        </w:rPr>
        <w:t>so</w:t>
      </w:r>
      <w:r w:rsidR="00056559">
        <w:rPr>
          <w:lang w:val="en-GB"/>
        </w:rPr>
        <w:t xml:space="preserve"> targeted treatments </w:t>
      </w:r>
      <w:r w:rsidR="00B2673C">
        <w:rPr>
          <w:lang w:val="en-GB"/>
        </w:rPr>
        <w:t xml:space="preserve">such as </w:t>
      </w:r>
      <w:r w:rsidR="00056559">
        <w:rPr>
          <w:lang w:val="en-GB"/>
        </w:rPr>
        <w:t>acalabrutinib</w:t>
      </w:r>
      <w:r w:rsidR="00B2673C">
        <w:rPr>
          <w:lang w:val="en-GB"/>
        </w:rPr>
        <w:t xml:space="preserve"> are needed</w:t>
      </w:r>
      <w:r w:rsidR="00056559">
        <w:rPr>
          <w:lang w:val="en-GB"/>
        </w:rPr>
        <w:t xml:space="preserve">. The committee acknowledged that for previously treated </w:t>
      </w:r>
      <w:r w:rsidR="005F770E">
        <w:rPr>
          <w:lang w:val="en-GB"/>
        </w:rPr>
        <w:t>CLL that has</w:t>
      </w:r>
      <w:r w:rsidR="00056559">
        <w:rPr>
          <w:lang w:val="en-GB"/>
        </w:rPr>
        <w:t xml:space="preserve"> progressed, the </w:t>
      </w:r>
      <w:r w:rsidR="005F770E">
        <w:rPr>
          <w:lang w:val="en-GB"/>
        </w:rPr>
        <w:t xml:space="preserve">treatment </w:t>
      </w:r>
      <w:r w:rsidR="00056559">
        <w:rPr>
          <w:lang w:val="en-GB"/>
        </w:rPr>
        <w:t xml:space="preserve">options are </w:t>
      </w:r>
      <w:r w:rsidR="00FD2B77">
        <w:rPr>
          <w:lang w:val="en-GB"/>
        </w:rPr>
        <w:t xml:space="preserve">currently limited to either ibrutinib or </w:t>
      </w:r>
      <w:r w:rsidR="00FD2B77" w:rsidRPr="00FD2B77">
        <w:rPr>
          <w:lang w:val="en-GB"/>
        </w:rPr>
        <w:t>venetoclax plus rituximab</w:t>
      </w:r>
      <w:r w:rsidRPr="00024E88">
        <w:t xml:space="preserve">. </w:t>
      </w:r>
      <w:r>
        <w:rPr>
          <w:lang w:val="en-GB"/>
        </w:rPr>
        <w:t>The patient experts explained that acalabrutinib is generally well tolerated</w:t>
      </w:r>
      <w:r w:rsidR="005F770E">
        <w:rPr>
          <w:lang w:val="en-GB"/>
        </w:rPr>
        <w:t xml:space="preserve"> and</w:t>
      </w:r>
      <w:r>
        <w:rPr>
          <w:lang w:val="en-GB"/>
        </w:rPr>
        <w:t xml:space="preserve"> </w:t>
      </w:r>
      <w:r w:rsidR="004D7267">
        <w:rPr>
          <w:lang w:val="en-GB"/>
        </w:rPr>
        <w:t>cause</w:t>
      </w:r>
      <w:r w:rsidR="006F6256">
        <w:rPr>
          <w:lang w:val="en-GB"/>
        </w:rPr>
        <w:t>s</w:t>
      </w:r>
      <w:r w:rsidR="004D7267">
        <w:rPr>
          <w:lang w:val="en-GB"/>
        </w:rPr>
        <w:t xml:space="preserve"> fewer </w:t>
      </w:r>
      <w:r>
        <w:rPr>
          <w:lang w:val="en-GB"/>
        </w:rPr>
        <w:t>side effects than current treatments</w:t>
      </w:r>
      <w:r w:rsidR="005F770E">
        <w:rPr>
          <w:lang w:val="en-GB"/>
        </w:rPr>
        <w:t>. Also</w:t>
      </w:r>
      <w:r w:rsidR="00A654B3">
        <w:rPr>
          <w:lang w:val="en-GB"/>
        </w:rPr>
        <w:t>,</w:t>
      </w:r>
      <w:r>
        <w:rPr>
          <w:lang w:val="en-GB"/>
        </w:rPr>
        <w:t xml:space="preserve"> it is an option when ibrutinib is not suitable for some people with cardiovascular comorbidities</w:t>
      </w:r>
      <w:r w:rsidRPr="00024E88">
        <w:t xml:space="preserve">. The committee concluded that </w:t>
      </w:r>
      <w:r w:rsidR="006A18DF">
        <w:rPr>
          <w:lang w:val="en-GB"/>
        </w:rPr>
        <w:t>acalabrutinib</w:t>
      </w:r>
      <w:r w:rsidRPr="00024E88">
        <w:t xml:space="preserve"> would be welcomed as a new treatment option for people with CLL</w:t>
      </w:r>
      <w:r w:rsidR="006A18DF">
        <w:rPr>
          <w:lang w:val="en-GB"/>
        </w:rPr>
        <w:t>.</w:t>
      </w:r>
    </w:p>
    <w:p w14:paraId="12814D5E" w14:textId="3FCFF0AE" w:rsidR="00056559" w:rsidRDefault="00DC5B43" w:rsidP="002673A5">
      <w:pPr>
        <w:pStyle w:val="Heading3"/>
      </w:pPr>
      <w:r w:rsidRPr="00024E88">
        <w:t>Treatment varies depending on mutation status and comorbidities</w:t>
      </w:r>
    </w:p>
    <w:p w14:paraId="580DAEB0" w14:textId="67F9C434" w:rsidR="002673A5" w:rsidRPr="006667C6" w:rsidRDefault="006B4830" w:rsidP="002673A5">
      <w:pPr>
        <w:pStyle w:val="Numberedlevel2text"/>
      </w:pPr>
      <w:r>
        <w:rPr>
          <w:lang w:val="en-GB"/>
        </w:rPr>
        <w:t xml:space="preserve">The </w:t>
      </w:r>
      <w:r w:rsidR="00D40C9C">
        <w:rPr>
          <w:lang w:val="en-GB"/>
        </w:rPr>
        <w:t>clinical</w:t>
      </w:r>
      <w:r w:rsidR="00D40C9C" w:rsidRPr="00024E88">
        <w:t xml:space="preserve"> </w:t>
      </w:r>
      <w:r w:rsidR="00DC5B43" w:rsidRPr="00024E88">
        <w:t xml:space="preserve">experts confirmed that mutation status and comorbidities affect the treatment options for people with untreated CLL. </w:t>
      </w:r>
      <w:r w:rsidR="00D40C9C">
        <w:rPr>
          <w:lang w:val="en-GB"/>
        </w:rPr>
        <w:t>People</w:t>
      </w:r>
      <w:r w:rsidR="00D40C9C" w:rsidRPr="00024E88">
        <w:t xml:space="preserve"> </w:t>
      </w:r>
      <w:r w:rsidR="00DC5B43" w:rsidRPr="00024E88">
        <w:t>without a 17p deletion or TP53 mutation who have comorbidities that make FCR and BR unsuitable for them would be offered</w:t>
      </w:r>
      <w:bookmarkStart w:id="1" w:name="_Hlk47444535"/>
      <w:r w:rsidR="00DC5B43" w:rsidRPr="00024E88">
        <w:t xml:space="preserve"> chlorambucil</w:t>
      </w:r>
      <w:bookmarkEnd w:id="1"/>
      <w:r w:rsidR="00DC5B43">
        <w:rPr>
          <w:lang w:val="en-GB"/>
        </w:rPr>
        <w:t xml:space="preserve"> plus</w:t>
      </w:r>
      <w:r w:rsidR="00DC5B43" w:rsidRPr="00DC5B43">
        <w:t xml:space="preserve"> </w:t>
      </w:r>
      <w:r w:rsidR="00DC5B43" w:rsidRPr="00024E88">
        <w:t xml:space="preserve">obinutuzumab. People with a 17p deletion or TP53 mutation would usually </w:t>
      </w:r>
      <w:r w:rsidR="00DC5B43" w:rsidRPr="00024E88">
        <w:lastRenderedPageBreak/>
        <w:t xml:space="preserve">be offered ibrutinib. Idelalisib plus rituximab is rarely used in clinical practice because it has an intensive dosing regimen and is associated with increased </w:t>
      </w:r>
      <w:r w:rsidR="0086652D">
        <w:rPr>
          <w:lang w:val="en-GB"/>
        </w:rPr>
        <w:t xml:space="preserve">infection </w:t>
      </w:r>
      <w:r w:rsidR="00DC5B43" w:rsidRPr="00024E88">
        <w:t xml:space="preserve">risk. </w:t>
      </w:r>
      <w:proofErr w:type="spellStart"/>
      <w:r>
        <w:rPr>
          <w:lang w:val="en-GB"/>
        </w:rPr>
        <w:t>T</w:t>
      </w:r>
      <w:r w:rsidR="00DC5B43" w:rsidRPr="00024E88">
        <w:t>he</w:t>
      </w:r>
      <w:proofErr w:type="spellEnd"/>
      <w:r w:rsidR="00DC5B43" w:rsidRPr="00024E88">
        <w:t xml:space="preserve"> clinical experts </w:t>
      </w:r>
      <w:r>
        <w:rPr>
          <w:lang w:val="en-GB"/>
        </w:rPr>
        <w:t xml:space="preserve">also </w:t>
      </w:r>
      <w:r w:rsidR="00DC5B43" w:rsidRPr="00024E88">
        <w:t>stated that</w:t>
      </w:r>
      <w:r w:rsidR="00DC5B43" w:rsidRPr="00DC5B43">
        <w:t xml:space="preserve"> </w:t>
      </w:r>
      <w:r w:rsidR="0086652D">
        <w:rPr>
          <w:lang w:val="en-GB"/>
        </w:rPr>
        <w:t xml:space="preserve">ibrutinib is the most commonly used treatment </w:t>
      </w:r>
      <w:r w:rsidR="00DC5B43" w:rsidRPr="00DC5B43">
        <w:t xml:space="preserve">for </w:t>
      </w:r>
      <w:r>
        <w:rPr>
          <w:lang w:val="en-GB"/>
        </w:rPr>
        <w:t xml:space="preserve">previously treated </w:t>
      </w:r>
      <w:r w:rsidR="00DC5B43" w:rsidRPr="00DC5B43">
        <w:t>CLL that has progressed</w:t>
      </w:r>
      <w:r w:rsidR="00617A36">
        <w:rPr>
          <w:lang w:val="en-GB"/>
        </w:rPr>
        <w:t>, but venetoclax plus rituximab is also used</w:t>
      </w:r>
      <w:r w:rsidR="00DC5B43">
        <w:rPr>
          <w:lang w:val="en-GB"/>
        </w:rPr>
        <w:t>.</w:t>
      </w:r>
      <w:r w:rsidR="00DC5B43" w:rsidRPr="00024E88">
        <w:t xml:space="preserve"> The committee agreed that </w:t>
      </w:r>
      <w:r w:rsidR="00617A36">
        <w:rPr>
          <w:lang w:val="en-GB"/>
        </w:rPr>
        <w:t>it was appropriate to model different treatments depending on mutation status and comorbidities</w:t>
      </w:r>
      <w:r w:rsidR="00DC5B43">
        <w:rPr>
          <w:lang w:val="en-GB"/>
        </w:rPr>
        <w:t>.</w:t>
      </w:r>
    </w:p>
    <w:p w14:paraId="2C66ADDD" w14:textId="77777777" w:rsidR="006667C6" w:rsidRDefault="006667C6" w:rsidP="006667C6">
      <w:pPr>
        <w:pStyle w:val="Heading3"/>
      </w:pPr>
      <w:r>
        <w:t xml:space="preserve">For previously treated CLL, </w:t>
      </w:r>
      <w:r w:rsidRPr="008E044E">
        <w:t>venetoclax plus rituximab</w:t>
      </w:r>
      <w:r>
        <w:t xml:space="preserve"> is a relevant comparator</w:t>
      </w:r>
    </w:p>
    <w:p w14:paraId="7A28CDAD" w14:textId="5816660E" w:rsidR="006667C6" w:rsidRPr="008E044E" w:rsidRDefault="006667C6" w:rsidP="006667C6">
      <w:pPr>
        <w:pStyle w:val="Numberedlevel2text"/>
      </w:pPr>
      <w:r>
        <w:rPr>
          <w:lang w:val="en-GB"/>
        </w:rPr>
        <w:t xml:space="preserve">The company did not present evidence comparing acalabrutinib with </w:t>
      </w:r>
      <w:r w:rsidRPr="00521FD8">
        <w:rPr>
          <w:lang w:val="en-GB"/>
        </w:rPr>
        <w:t>venetoclax plus rituximab</w:t>
      </w:r>
      <w:r>
        <w:rPr>
          <w:lang w:val="en-GB"/>
        </w:rPr>
        <w:t xml:space="preserve"> for the population with previously treated relapsed or refractory CLL. It did not consider </w:t>
      </w:r>
      <w:r w:rsidRPr="00521FD8">
        <w:rPr>
          <w:lang w:val="en-GB"/>
        </w:rPr>
        <w:t>venetoclax plus rituximab</w:t>
      </w:r>
      <w:r>
        <w:rPr>
          <w:lang w:val="en-GB"/>
        </w:rPr>
        <w:t xml:space="preserve"> to be a commonly used treatment in this population in the NHS. Instead, it regarded ibrutinib to be the established treatment for relapsed or refractory CLL in the NHS and was the only comparator in </w:t>
      </w:r>
      <w:r w:rsidR="001420A6">
        <w:rPr>
          <w:lang w:val="en-GB"/>
        </w:rPr>
        <w:t>its</w:t>
      </w:r>
      <w:r>
        <w:rPr>
          <w:lang w:val="en-GB"/>
        </w:rPr>
        <w:t xml:space="preserve"> cost-minimisation analysis for this population. The committee noted that a proportion of this population would likely have </w:t>
      </w:r>
      <w:r w:rsidRPr="00521FD8">
        <w:rPr>
          <w:lang w:val="en-GB"/>
        </w:rPr>
        <w:t>venetoclax plus rituximab</w:t>
      </w:r>
      <w:r>
        <w:rPr>
          <w:lang w:val="en-GB"/>
        </w:rPr>
        <w:t xml:space="preserve">, but </w:t>
      </w:r>
      <w:r w:rsidRPr="00521FD8">
        <w:rPr>
          <w:lang w:val="en-GB"/>
        </w:rPr>
        <w:t xml:space="preserve">the economic analysis </w:t>
      </w:r>
      <w:r>
        <w:rPr>
          <w:lang w:val="en-GB"/>
        </w:rPr>
        <w:t xml:space="preserve">did not include costs for this combination. The committee concluded that although </w:t>
      </w:r>
      <w:r w:rsidRPr="00521FD8">
        <w:rPr>
          <w:lang w:val="en-GB"/>
        </w:rPr>
        <w:t>venetoclax plus rituximab</w:t>
      </w:r>
      <w:r>
        <w:rPr>
          <w:lang w:val="en-GB"/>
        </w:rPr>
        <w:t xml:space="preserve"> was a relevant comparator for previously treated relapsed or refractory CLL, the results of the cost-minimisation analysis only apply when ibrutinib is </w:t>
      </w:r>
      <w:r w:rsidR="001420A6">
        <w:rPr>
          <w:lang w:val="en-GB"/>
        </w:rPr>
        <w:t xml:space="preserve">the only </w:t>
      </w:r>
      <w:r>
        <w:rPr>
          <w:lang w:val="en-GB"/>
        </w:rPr>
        <w:t>suitable</w:t>
      </w:r>
      <w:r w:rsidR="001420A6">
        <w:rPr>
          <w:lang w:val="en-GB"/>
        </w:rPr>
        <w:t xml:space="preserve"> treatment option</w:t>
      </w:r>
      <w:r>
        <w:rPr>
          <w:lang w:val="en-GB"/>
        </w:rPr>
        <w:t>.</w:t>
      </w:r>
    </w:p>
    <w:p w14:paraId="1C438336" w14:textId="6E6BD98D" w:rsidR="00D279A9" w:rsidRDefault="002D00DF" w:rsidP="00D279A9">
      <w:pPr>
        <w:pStyle w:val="Heading3"/>
      </w:pPr>
      <w:r>
        <w:t xml:space="preserve">The company does not present any </w:t>
      </w:r>
      <w:r w:rsidR="00F847ED">
        <w:t xml:space="preserve">evidence </w:t>
      </w:r>
      <w:r w:rsidR="00011FE0">
        <w:t>for</w:t>
      </w:r>
      <w:r w:rsidR="00F847ED">
        <w:t xml:space="preserve"> a population with</w:t>
      </w:r>
      <w:r w:rsidR="00D279A9" w:rsidRPr="00024E88">
        <w:t xml:space="preserve"> untreated CLL for whom FCR or BR </w:t>
      </w:r>
      <w:r w:rsidR="00304ED7">
        <w:t xml:space="preserve">is </w:t>
      </w:r>
      <w:r w:rsidR="00D279A9" w:rsidRPr="00024E88">
        <w:t>suitable</w:t>
      </w:r>
    </w:p>
    <w:p w14:paraId="2A345279" w14:textId="28184C66" w:rsidR="00D279A9" w:rsidRPr="007E51BF" w:rsidRDefault="00D279A9" w:rsidP="00D279A9">
      <w:pPr>
        <w:pStyle w:val="Numberedlevel2text"/>
      </w:pPr>
      <w:r>
        <w:rPr>
          <w:lang w:val="en-GB"/>
        </w:rPr>
        <w:t xml:space="preserve">The company’s submission </w:t>
      </w:r>
      <w:r w:rsidRPr="00024E88">
        <w:t xml:space="preserve">did not include people </w:t>
      </w:r>
      <w:r w:rsidR="001B6E50">
        <w:rPr>
          <w:lang w:val="en-GB"/>
        </w:rPr>
        <w:t xml:space="preserve">with untreated CLL </w:t>
      </w:r>
      <w:r w:rsidRPr="00024E88">
        <w:t>for whom FCR or BR is suitable, although this population was in the NICE scope and is included in the</w:t>
      </w:r>
      <w:r w:rsidR="00A9205D">
        <w:rPr>
          <w:lang w:val="en-GB"/>
        </w:rPr>
        <w:t xml:space="preserve"> </w:t>
      </w:r>
      <w:hyperlink r:id="rId10" w:history="1">
        <w:r w:rsidR="00A9205D" w:rsidRPr="00A9205D">
          <w:rPr>
            <w:rStyle w:val="Hyperlink"/>
            <w:lang w:val="en-GB"/>
          </w:rPr>
          <w:t>anticipated marketing authorisation for acalabrutinib</w:t>
        </w:r>
      </w:hyperlink>
      <w:r w:rsidR="00A9205D">
        <w:rPr>
          <w:lang w:val="en-GB"/>
        </w:rPr>
        <w:t>.</w:t>
      </w:r>
      <w:r w:rsidR="00001DE1">
        <w:rPr>
          <w:lang w:val="en-GB"/>
        </w:rPr>
        <w:t xml:space="preserve"> </w:t>
      </w:r>
      <w:r w:rsidR="00EF7A0D">
        <w:rPr>
          <w:lang w:val="en-GB"/>
        </w:rPr>
        <w:t xml:space="preserve">The patient experts suggested that acalabrutinib should </w:t>
      </w:r>
      <w:r w:rsidR="00392062">
        <w:rPr>
          <w:lang w:val="en-GB"/>
        </w:rPr>
        <w:t xml:space="preserve">have </w:t>
      </w:r>
      <w:r w:rsidR="00EF7A0D">
        <w:rPr>
          <w:lang w:val="en-GB"/>
        </w:rPr>
        <w:t>be</w:t>
      </w:r>
      <w:r w:rsidR="00392062">
        <w:rPr>
          <w:lang w:val="en-GB"/>
        </w:rPr>
        <w:t>en presented</w:t>
      </w:r>
      <w:r w:rsidR="00EF7A0D">
        <w:rPr>
          <w:lang w:val="en-GB"/>
        </w:rPr>
        <w:t xml:space="preserve"> </w:t>
      </w:r>
      <w:r w:rsidR="00392062">
        <w:rPr>
          <w:lang w:val="en-GB"/>
        </w:rPr>
        <w:t xml:space="preserve">in the company’s submission </w:t>
      </w:r>
      <w:r w:rsidR="00EF7A0D">
        <w:rPr>
          <w:lang w:val="en-GB"/>
        </w:rPr>
        <w:t xml:space="preserve">as an alternative to chemo-immunotherapy </w:t>
      </w:r>
      <w:r w:rsidR="00011FE0">
        <w:rPr>
          <w:lang w:val="en-GB"/>
        </w:rPr>
        <w:t>for</w:t>
      </w:r>
      <w:r w:rsidR="00EF7A0D">
        <w:rPr>
          <w:lang w:val="en-GB"/>
        </w:rPr>
        <w:t xml:space="preserve"> this population.</w:t>
      </w:r>
      <w:r w:rsidR="00EF7A0D" w:rsidRPr="00024E88">
        <w:t xml:space="preserve"> </w:t>
      </w:r>
      <w:r w:rsidR="00EF7A0D">
        <w:rPr>
          <w:lang w:val="en-GB"/>
        </w:rPr>
        <w:t xml:space="preserve">However, </w:t>
      </w:r>
      <w:r w:rsidR="00392062">
        <w:rPr>
          <w:lang w:val="en-US"/>
        </w:rPr>
        <w:t>the</w:t>
      </w:r>
      <w:r w:rsidR="00430D7C">
        <w:rPr>
          <w:lang w:val="en-US"/>
        </w:rPr>
        <w:t xml:space="preserve"> company’s</w:t>
      </w:r>
      <w:r w:rsidR="00392062">
        <w:rPr>
          <w:lang w:val="en-US"/>
        </w:rPr>
        <w:t xml:space="preserve"> clinical experts suggested excluding this </w:t>
      </w:r>
      <w:r w:rsidR="00001DE1" w:rsidRPr="00024E88">
        <w:t xml:space="preserve">population </w:t>
      </w:r>
      <w:r w:rsidR="00392062">
        <w:rPr>
          <w:lang w:val="en-US"/>
        </w:rPr>
        <w:t>from</w:t>
      </w:r>
      <w:r w:rsidR="00392062" w:rsidRPr="00024E88">
        <w:t xml:space="preserve"> </w:t>
      </w:r>
      <w:r w:rsidR="00001DE1" w:rsidRPr="00024E88">
        <w:t>its clinical trial</w:t>
      </w:r>
      <w:r w:rsidR="00001DE1">
        <w:rPr>
          <w:lang w:val="en-GB"/>
        </w:rPr>
        <w:t xml:space="preserve">, </w:t>
      </w:r>
      <w:r w:rsidR="00001DE1">
        <w:rPr>
          <w:lang w:val="en-GB"/>
        </w:rPr>
        <w:lastRenderedPageBreak/>
        <w:t>ELEVATE-TN</w:t>
      </w:r>
      <w:r w:rsidR="008A567A">
        <w:rPr>
          <w:lang w:val="en-GB"/>
        </w:rPr>
        <w:t>,</w:t>
      </w:r>
      <w:r w:rsidR="000129CE">
        <w:rPr>
          <w:lang w:val="en-GB"/>
        </w:rPr>
        <w:t xml:space="preserve"> in line with expected clinical practice</w:t>
      </w:r>
      <w:r w:rsidR="00001DE1">
        <w:rPr>
          <w:lang w:val="en-GB"/>
        </w:rPr>
        <w:t>.</w:t>
      </w:r>
      <w:r w:rsidR="00EF7A0D">
        <w:rPr>
          <w:lang w:val="en-GB"/>
        </w:rPr>
        <w:t xml:space="preserve"> </w:t>
      </w:r>
      <w:r w:rsidR="00001DE1">
        <w:rPr>
          <w:lang w:val="en-GB"/>
        </w:rPr>
        <w:t xml:space="preserve">The company explained that ELEVATE-TN </w:t>
      </w:r>
      <w:r w:rsidR="003153FB">
        <w:rPr>
          <w:lang w:val="en-GB"/>
        </w:rPr>
        <w:t xml:space="preserve">did </w:t>
      </w:r>
      <w:r w:rsidR="00392062">
        <w:rPr>
          <w:lang w:val="en-GB"/>
        </w:rPr>
        <w:t xml:space="preserve">include </w:t>
      </w:r>
      <w:r w:rsidR="003153FB" w:rsidRPr="00024E88">
        <w:t xml:space="preserve">people </w:t>
      </w:r>
      <w:r w:rsidR="001B6E50">
        <w:rPr>
          <w:lang w:val="en-GB"/>
        </w:rPr>
        <w:t>with untreated CLL</w:t>
      </w:r>
      <w:r w:rsidR="003153FB" w:rsidRPr="00024E88">
        <w:t xml:space="preserve"> for whom FCR or BR is suitable</w:t>
      </w:r>
      <w:r w:rsidR="00392062">
        <w:rPr>
          <w:lang w:val="en-GB"/>
        </w:rPr>
        <w:t xml:space="preserve">, </w:t>
      </w:r>
      <w:r w:rsidR="008A567A">
        <w:rPr>
          <w:lang w:val="en-GB"/>
        </w:rPr>
        <w:t xml:space="preserve">but </w:t>
      </w:r>
      <w:r w:rsidR="00304ED7">
        <w:rPr>
          <w:lang w:val="en-GB"/>
        </w:rPr>
        <w:t xml:space="preserve">the company presented </w:t>
      </w:r>
      <w:r w:rsidR="00001DE1">
        <w:rPr>
          <w:lang w:val="en-GB"/>
        </w:rPr>
        <w:t xml:space="preserve">no </w:t>
      </w:r>
      <w:r w:rsidR="003153FB">
        <w:rPr>
          <w:lang w:val="en-GB"/>
        </w:rPr>
        <w:t xml:space="preserve">clinical or cost </w:t>
      </w:r>
      <w:r w:rsidR="00001DE1">
        <w:rPr>
          <w:lang w:val="en-GB"/>
        </w:rPr>
        <w:t xml:space="preserve">evidence </w:t>
      </w:r>
      <w:r w:rsidR="00392062">
        <w:rPr>
          <w:lang w:val="en-GB"/>
        </w:rPr>
        <w:t>for</w:t>
      </w:r>
      <w:r w:rsidR="003153FB">
        <w:rPr>
          <w:lang w:val="en-GB"/>
        </w:rPr>
        <w:t xml:space="preserve"> this group.</w:t>
      </w:r>
      <w:r w:rsidR="007372A8">
        <w:rPr>
          <w:lang w:val="en-GB"/>
        </w:rPr>
        <w:t xml:space="preserve"> The committee acknowledged that the company </w:t>
      </w:r>
      <w:r w:rsidR="008A567A">
        <w:rPr>
          <w:lang w:val="en-GB"/>
        </w:rPr>
        <w:t>w</w:t>
      </w:r>
      <w:r w:rsidR="00744657">
        <w:rPr>
          <w:lang w:val="en-GB"/>
        </w:rPr>
        <w:t>as</w:t>
      </w:r>
      <w:r w:rsidR="007372A8">
        <w:rPr>
          <w:lang w:val="en-GB"/>
        </w:rPr>
        <w:t xml:space="preserve"> not seeking </w:t>
      </w:r>
      <w:r w:rsidR="00DD271F">
        <w:rPr>
          <w:lang w:val="en-GB"/>
        </w:rPr>
        <w:t>reimbursement</w:t>
      </w:r>
      <w:r w:rsidR="005D6408">
        <w:rPr>
          <w:lang w:val="en-GB"/>
        </w:rPr>
        <w:t xml:space="preserve"> </w:t>
      </w:r>
      <w:r w:rsidR="00C11092">
        <w:rPr>
          <w:lang w:val="en-GB"/>
        </w:rPr>
        <w:t>for</w:t>
      </w:r>
      <w:r w:rsidR="007372A8">
        <w:rPr>
          <w:lang w:val="en-GB"/>
        </w:rPr>
        <w:t xml:space="preserve"> </w:t>
      </w:r>
      <w:r w:rsidR="00430D7C">
        <w:rPr>
          <w:lang w:val="en-GB"/>
        </w:rPr>
        <w:t xml:space="preserve">acalabrutinib for </w:t>
      </w:r>
      <w:r w:rsidR="007372A8">
        <w:rPr>
          <w:lang w:val="en-GB"/>
        </w:rPr>
        <w:t>this population</w:t>
      </w:r>
      <w:r w:rsidR="00EF7A0D">
        <w:rPr>
          <w:lang w:val="en-GB"/>
        </w:rPr>
        <w:t xml:space="preserve"> and that no comparative evidence was presented</w:t>
      </w:r>
      <w:r w:rsidR="007372A8">
        <w:rPr>
          <w:lang w:val="en-GB"/>
        </w:rPr>
        <w:t>.</w:t>
      </w:r>
      <w:r w:rsidR="003153FB">
        <w:rPr>
          <w:lang w:val="en-GB"/>
        </w:rPr>
        <w:t xml:space="preserve"> The committee concluded that </w:t>
      </w:r>
      <w:r w:rsidR="00392062">
        <w:rPr>
          <w:lang w:val="en-GB"/>
        </w:rPr>
        <w:t xml:space="preserve">although </w:t>
      </w:r>
      <w:r w:rsidR="007372A8">
        <w:rPr>
          <w:lang w:val="en-GB"/>
        </w:rPr>
        <w:t xml:space="preserve">people with untreated CLL for whom FCR or BR is suitable </w:t>
      </w:r>
      <w:r w:rsidR="00392062">
        <w:rPr>
          <w:lang w:val="en-GB"/>
        </w:rPr>
        <w:t xml:space="preserve">is an important subgroup, it could not make a recommendation </w:t>
      </w:r>
      <w:r w:rsidR="008A567A">
        <w:rPr>
          <w:lang w:val="en-GB"/>
        </w:rPr>
        <w:t>for</w:t>
      </w:r>
      <w:r w:rsidR="00392062">
        <w:rPr>
          <w:lang w:val="en-GB"/>
        </w:rPr>
        <w:t xml:space="preserve"> this group </w:t>
      </w:r>
      <w:r w:rsidR="008A567A">
        <w:rPr>
          <w:lang w:val="en-GB"/>
        </w:rPr>
        <w:t>because</w:t>
      </w:r>
      <w:r w:rsidR="00392062">
        <w:rPr>
          <w:lang w:val="en-GB"/>
        </w:rPr>
        <w:t xml:space="preserve"> no evidence </w:t>
      </w:r>
      <w:r w:rsidR="00DD380F">
        <w:rPr>
          <w:lang w:val="en-GB"/>
        </w:rPr>
        <w:t>had been presented</w:t>
      </w:r>
      <w:r w:rsidR="007372A8">
        <w:rPr>
          <w:lang w:val="en-GB"/>
        </w:rPr>
        <w:t>.</w:t>
      </w:r>
    </w:p>
    <w:p w14:paraId="024A1D80" w14:textId="47AC6451" w:rsidR="00963E20" w:rsidRDefault="00963E20" w:rsidP="00963E20">
      <w:pPr>
        <w:pStyle w:val="Heading2"/>
      </w:pPr>
      <w:r>
        <w:t>Clinical effectiveness</w:t>
      </w:r>
    </w:p>
    <w:p w14:paraId="3B9145E0" w14:textId="7CDF2FBE" w:rsidR="00963E20" w:rsidRDefault="00963E20" w:rsidP="00963E20">
      <w:pPr>
        <w:pStyle w:val="Heading3"/>
      </w:pPr>
      <w:r w:rsidRPr="00024E88">
        <w:t>The clinical</w:t>
      </w:r>
      <w:r w:rsidR="000C5811">
        <w:t xml:space="preserve"> </w:t>
      </w:r>
      <w:r w:rsidRPr="00024E88">
        <w:t>effectiveness evidence is largely relevant to NHS clinical practice in England</w:t>
      </w:r>
    </w:p>
    <w:p w14:paraId="13A3CB7C" w14:textId="3B8163F3" w:rsidR="00745DAE" w:rsidRPr="00DD271F" w:rsidRDefault="000E48EE" w:rsidP="00FC0C42">
      <w:pPr>
        <w:pStyle w:val="Numberedlevel2text"/>
      </w:pPr>
      <w:r>
        <w:rPr>
          <w:lang w:val="en-GB"/>
        </w:rPr>
        <w:t>The company presented results</w:t>
      </w:r>
      <w:r w:rsidR="00745DAE">
        <w:rPr>
          <w:lang w:val="en-GB"/>
        </w:rPr>
        <w:t xml:space="preserve"> for the </w:t>
      </w:r>
      <w:r w:rsidR="006C1EFA">
        <w:rPr>
          <w:lang w:val="en-GB"/>
        </w:rPr>
        <w:t xml:space="preserve">population with </w:t>
      </w:r>
      <w:r w:rsidR="00745DAE">
        <w:rPr>
          <w:lang w:val="en-GB"/>
        </w:rPr>
        <w:t xml:space="preserve">untreated CLL </w:t>
      </w:r>
      <w:r>
        <w:rPr>
          <w:lang w:val="en-GB"/>
        </w:rPr>
        <w:t xml:space="preserve">from ELEVATE-TN, an open-label randomised controlled trial comparing acalabrutinib monotherapy (n=179) with chlorambucil plus obinutuzumab (n=177). ELEVATE-TN </w:t>
      </w:r>
      <w:r w:rsidRPr="00024E88">
        <w:t xml:space="preserve">included people </w:t>
      </w:r>
      <w:r>
        <w:rPr>
          <w:lang w:val="en-GB"/>
        </w:rPr>
        <w:t xml:space="preserve">over </w:t>
      </w:r>
      <w:r w:rsidRPr="00024E88">
        <w:t xml:space="preserve">18 years with untreated CLL whose </w:t>
      </w:r>
      <w:r w:rsidR="0092369B">
        <w:rPr>
          <w:lang w:val="en-GB"/>
        </w:rPr>
        <w:t>multi</w:t>
      </w:r>
      <w:r w:rsidRPr="00024E88">
        <w:t>morbidities made FCR or BR unsuitable</w:t>
      </w:r>
      <w:r>
        <w:rPr>
          <w:lang w:val="en-GB"/>
        </w:rPr>
        <w:t xml:space="preserve">. </w:t>
      </w:r>
      <w:r w:rsidRPr="00024E88">
        <w:t xml:space="preserve">People in </w:t>
      </w:r>
      <w:r>
        <w:rPr>
          <w:lang w:val="en-GB"/>
        </w:rPr>
        <w:t>ELEVATE-TN</w:t>
      </w:r>
      <w:r w:rsidRPr="00024E88">
        <w:t xml:space="preserve"> had to have a Cumulative Illness Rating Scale score greater than 6, or a creatinine clearance of less than 70 ml/min (low creatinine clearance levels indicate serious kidney damage). The company considered that these criteria meant that FCR or BR would be unsuitable for similar patients in NHS clinical practice</w:t>
      </w:r>
      <w:r>
        <w:rPr>
          <w:lang w:val="en-GB"/>
        </w:rPr>
        <w:t xml:space="preserve">. ELEVATE-TN also included </w:t>
      </w:r>
      <w:r w:rsidR="006C1EFA">
        <w:rPr>
          <w:lang w:val="en-GB"/>
        </w:rPr>
        <w:t xml:space="preserve">an </w:t>
      </w:r>
      <w:r>
        <w:rPr>
          <w:lang w:val="en-GB"/>
        </w:rPr>
        <w:t>acalabrutinib plus obinutuzumab arm but this was not part of the company</w:t>
      </w:r>
      <w:r w:rsidR="00884341">
        <w:rPr>
          <w:lang w:val="en-GB"/>
        </w:rPr>
        <w:t>’s</w:t>
      </w:r>
      <w:r>
        <w:rPr>
          <w:lang w:val="en-GB"/>
        </w:rPr>
        <w:t xml:space="preserve"> </w:t>
      </w:r>
      <w:r w:rsidR="006C1EFA">
        <w:rPr>
          <w:lang w:val="en-GB"/>
        </w:rPr>
        <w:t>submission</w:t>
      </w:r>
      <w:r>
        <w:rPr>
          <w:lang w:val="en-GB"/>
        </w:rPr>
        <w:t xml:space="preserve"> and </w:t>
      </w:r>
      <w:r w:rsidR="006C1EFA">
        <w:rPr>
          <w:lang w:val="en-GB"/>
        </w:rPr>
        <w:t>was</w:t>
      </w:r>
      <w:r>
        <w:rPr>
          <w:lang w:val="en-GB"/>
        </w:rPr>
        <w:t xml:space="preserve"> not considered further. Of the 356</w:t>
      </w:r>
      <w:r w:rsidR="006C1EFA">
        <w:rPr>
          <w:lang w:val="en-GB"/>
        </w:rPr>
        <w:t> </w:t>
      </w:r>
      <w:r>
        <w:rPr>
          <w:lang w:val="en-GB"/>
        </w:rPr>
        <w:t xml:space="preserve">people in ELEVATE-TN, 35 </w:t>
      </w:r>
      <w:r w:rsidRPr="00024E88">
        <w:t>had a 17p deletion or TP53 mutation</w:t>
      </w:r>
      <w:r>
        <w:rPr>
          <w:lang w:val="en-GB"/>
        </w:rPr>
        <w:t>.</w:t>
      </w:r>
      <w:r w:rsidR="00FC0C42">
        <w:rPr>
          <w:lang w:val="en-GB"/>
        </w:rPr>
        <w:t xml:space="preserve"> </w:t>
      </w:r>
      <w:r w:rsidR="00745DAE" w:rsidRPr="00FC0C42">
        <w:rPr>
          <w:lang w:val="en-GB"/>
        </w:rPr>
        <w:t xml:space="preserve">For the </w:t>
      </w:r>
      <w:r w:rsidR="006C1EFA">
        <w:rPr>
          <w:lang w:val="en-GB"/>
        </w:rPr>
        <w:t xml:space="preserve">population with </w:t>
      </w:r>
      <w:r w:rsidR="00745DAE" w:rsidRPr="00FC0C42">
        <w:rPr>
          <w:lang w:val="en-GB"/>
        </w:rPr>
        <w:t xml:space="preserve">previously treated CLL, the company presented clinical effectiveness evidence from </w:t>
      </w:r>
      <w:r w:rsidR="007B5202" w:rsidRPr="00FC0C42">
        <w:rPr>
          <w:lang w:val="en-GB"/>
        </w:rPr>
        <w:t>ASCEND</w:t>
      </w:r>
      <w:r w:rsidR="006C1EFA">
        <w:rPr>
          <w:lang w:val="en-GB"/>
        </w:rPr>
        <w:t>. This was an</w:t>
      </w:r>
      <w:r w:rsidR="00745DAE" w:rsidRPr="00FC0C42">
        <w:rPr>
          <w:lang w:val="en-GB"/>
        </w:rPr>
        <w:t xml:space="preserve"> open-label randomised controlled </w:t>
      </w:r>
      <w:r w:rsidR="007B5202" w:rsidRPr="00FC0C42">
        <w:rPr>
          <w:lang w:val="en-GB"/>
        </w:rPr>
        <w:t>trial</w:t>
      </w:r>
      <w:r w:rsidR="00FC0C42" w:rsidRPr="00FC0C42">
        <w:rPr>
          <w:lang w:val="en-GB"/>
        </w:rPr>
        <w:t xml:space="preserve"> comparing acalabrutinib (n=15</w:t>
      </w:r>
      <w:r w:rsidR="009A7FCF">
        <w:rPr>
          <w:lang w:val="en-GB"/>
        </w:rPr>
        <w:t>5</w:t>
      </w:r>
      <w:r w:rsidR="00FC0C42" w:rsidRPr="00FC0C42">
        <w:rPr>
          <w:lang w:val="en-GB"/>
        </w:rPr>
        <w:t xml:space="preserve">) with either idelalisib plus rituximab or </w:t>
      </w:r>
      <w:r w:rsidR="00811CFC">
        <w:rPr>
          <w:lang w:val="en-GB"/>
        </w:rPr>
        <w:t>BR</w:t>
      </w:r>
      <w:r w:rsidR="00FC0C42" w:rsidRPr="00FC0C42">
        <w:rPr>
          <w:lang w:val="en-GB"/>
        </w:rPr>
        <w:t xml:space="preserve"> (n=15</w:t>
      </w:r>
      <w:r w:rsidR="009A7FCF">
        <w:rPr>
          <w:lang w:val="en-GB"/>
        </w:rPr>
        <w:t>5</w:t>
      </w:r>
      <w:r w:rsidR="00FC0C42" w:rsidRPr="00FC0C42">
        <w:rPr>
          <w:lang w:val="en-GB"/>
        </w:rPr>
        <w:t>). The ERG considered that the population in ELEVATE-TN broadly represent</w:t>
      </w:r>
      <w:r w:rsidR="006C1EFA">
        <w:rPr>
          <w:lang w:val="en-GB"/>
        </w:rPr>
        <w:t>ed</w:t>
      </w:r>
      <w:r w:rsidR="00FC0C42" w:rsidRPr="00FC0C42">
        <w:rPr>
          <w:lang w:val="en-GB"/>
        </w:rPr>
        <w:t xml:space="preserve"> the population </w:t>
      </w:r>
      <w:r w:rsidR="006C1EFA">
        <w:rPr>
          <w:lang w:val="en-GB"/>
        </w:rPr>
        <w:t>with untreated CLL for whom</w:t>
      </w:r>
      <w:r w:rsidR="00FC0C42" w:rsidRPr="00FC0C42">
        <w:rPr>
          <w:lang w:val="en-GB"/>
        </w:rPr>
        <w:t xml:space="preserve"> FCR</w:t>
      </w:r>
      <w:r w:rsidR="00FC0C42">
        <w:rPr>
          <w:lang w:val="en-GB"/>
        </w:rPr>
        <w:t xml:space="preserve"> or </w:t>
      </w:r>
      <w:r w:rsidR="00FC0C42" w:rsidRPr="00FC0C42">
        <w:rPr>
          <w:lang w:val="en-GB"/>
        </w:rPr>
        <w:t>BR</w:t>
      </w:r>
      <w:r w:rsidR="006C1EFA">
        <w:rPr>
          <w:lang w:val="en-GB"/>
        </w:rPr>
        <w:t xml:space="preserve"> was </w:t>
      </w:r>
      <w:r w:rsidR="003D323D">
        <w:rPr>
          <w:lang w:val="en-GB"/>
        </w:rPr>
        <w:t>un</w:t>
      </w:r>
      <w:r w:rsidR="006C1EFA">
        <w:rPr>
          <w:lang w:val="en-GB"/>
        </w:rPr>
        <w:t>suitable</w:t>
      </w:r>
      <w:r w:rsidR="00CB4853">
        <w:rPr>
          <w:lang w:val="en-GB"/>
        </w:rPr>
        <w:t xml:space="preserve"> seen in the NHS</w:t>
      </w:r>
      <w:r w:rsidR="00DD271F">
        <w:rPr>
          <w:lang w:val="en-GB"/>
        </w:rPr>
        <w:t xml:space="preserve"> in </w:t>
      </w:r>
      <w:r w:rsidR="00DD271F">
        <w:rPr>
          <w:lang w:val="en-GB"/>
        </w:rPr>
        <w:lastRenderedPageBreak/>
        <w:t>England</w:t>
      </w:r>
      <w:r w:rsidR="006C1EFA">
        <w:rPr>
          <w:lang w:val="en-GB"/>
        </w:rPr>
        <w:t xml:space="preserve">. Also, </w:t>
      </w:r>
      <w:r w:rsidR="00FC0C42" w:rsidRPr="00FC0C42">
        <w:rPr>
          <w:lang w:val="en-GB"/>
        </w:rPr>
        <w:t>the population in ASCEND broadly represent</w:t>
      </w:r>
      <w:r w:rsidR="006C1EFA">
        <w:rPr>
          <w:lang w:val="en-GB"/>
        </w:rPr>
        <w:t>ed</w:t>
      </w:r>
      <w:r w:rsidR="00FC0C42" w:rsidRPr="00FC0C42">
        <w:rPr>
          <w:lang w:val="en-GB"/>
        </w:rPr>
        <w:t xml:space="preserve"> the population with previously treated </w:t>
      </w:r>
      <w:r w:rsidR="006C1EFA">
        <w:rPr>
          <w:lang w:val="en-GB"/>
        </w:rPr>
        <w:t>relapsed or refractory</w:t>
      </w:r>
      <w:r w:rsidR="00FC0C42" w:rsidRPr="00FC0C42">
        <w:rPr>
          <w:lang w:val="en-GB"/>
        </w:rPr>
        <w:t xml:space="preserve"> CLL who would be eligible for treatment with acalabrutinib</w:t>
      </w:r>
      <w:r w:rsidR="00FC0C42">
        <w:rPr>
          <w:lang w:val="en-GB"/>
        </w:rPr>
        <w:t xml:space="preserve">. The committee was satisfied that the </w:t>
      </w:r>
      <w:r w:rsidR="00FC0C42" w:rsidRPr="00FC0C42">
        <w:rPr>
          <w:lang w:val="en-GB"/>
        </w:rPr>
        <w:t>clinical</w:t>
      </w:r>
      <w:r w:rsidR="00B26008">
        <w:rPr>
          <w:lang w:val="en-GB"/>
        </w:rPr>
        <w:t xml:space="preserve"> </w:t>
      </w:r>
      <w:r w:rsidR="00FC0C42" w:rsidRPr="00FC0C42">
        <w:rPr>
          <w:lang w:val="en-GB"/>
        </w:rPr>
        <w:t xml:space="preserve">effectiveness evidence </w:t>
      </w:r>
      <w:r w:rsidR="00B26008">
        <w:rPr>
          <w:lang w:val="en-GB"/>
        </w:rPr>
        <w:t>was</w:t>
      </w:r>
      <w:r w:rsidR="00FC0C42" w:rsidRPr="00FC0C42">
        <w:rPr>
          <w:lang w:val="en-GB"/>
        </w:rPr>
        <w:t xml:space="preserve"> largely relevant to NHS clinical practice</w:t>
      </w:r>
      <w:r w:rsidR="00FC0C42">
        <w:rPr>
          <w:lang w:val="en-GB"/>
        </w:rPr>
        <w:t>.</w:t>
      </w:r>
    </w:p>
    <w:p w14:paraId="52DA06E3" w14:textId="77777777" w:rsidR="00304ED7" w:rsidRDefault="00304ED7" w:rsidP="00304ED7">
      <w:pPr>
        <w:pStyle w:val="Heading3"/>
      </w:pPr>
      <w:r>
        <w:t>It is acceptable to use the full trial data from ELEVATE-TN in the untreated CLL model</w:t>
      </w:r>
    </w:p>
    <w:p w14:paraId="114706FD" w14:textId="77777777" w:rsidR="00304ED7" w:rsidRPr="00406A0D" w:rsidRDefault="00304ED7" w:rsidP="00304ED7">
      <w:pPr>
        <w:pStyle w:val="Numberedlevel2text"/>
      </w:pPr>
      <w:r>
        <w:rPr>
          <w:lang w:val="en-GB"/>
        </w:rPr>
        <w:t xml:space="preserve">The company used data from ELEVATE-TN to inform the economic analysis for the populations with untreated CLL. ELEVATE-TN included 35 people with </w:t>
      </w:r>
      <w:r w:rsidRPr="00696437">
        <w:rPr>
          <w:lang w:val="en-GB"/>
        </w:rPr>
        <w:t>high-risk</w:t>
      </w:r>
      <w:r>
        <w:rPr>
          <w:lang w:val="en-GB"/>
        </w:rPr>
        <w:t xml:space="preserve"> CLL, that is, with</w:t>
      </w:r>
      <w:r w:rsidRPr="00696437">
        <w:rPr>
          <w:lang w:val="en-GB"/>
        </w:rPr>
        <w:t xml:space="preserve"> </w:t>
      </w:r>
      <w:r>
        <w:rPr>
          <w:lang w:val="en-GB"/>
        </w:rPr>
        <w:t xml:space="preserve">a </w:t>
      </w:r>
      <w:r w:rsidRPr="00696437">
        <w:rPr>
          <w:lang w:val="en-GB"/>
        </w:rPr>
        <w:t>17p</w:t>
      </w:r>
      <w:r>
        <w:rPr>
          <w:lang w:val="en-GB"/>
        </w:rPr>
        <w:t> deletion</w:t>
      </w:r>
      <w:r w:rsidRPr="00696437">
        <w:rPr>
          <w:lang w:val="en-GB"/>
        </w:rPr>
        <w:t xml:space="preserve"> </w:t>
      </w:r>
      <w:r>
        <w:rPr>
          <w:lang w:val="en-GB"/>
        </w:rPr>
        <w:t>or</w:t>
      </w:r>
      <w:r w:rsidRPr="00696437">
        <w:rPr>
          <w:lang w:val="en-GB"/>
        </w:rPr>
        <w:t xml:space="preserve"> TP53</w:t>
      </w:r>
      <w:r>
        <w:rPr>
          <w:lang w:val="en-GB"/>
        </w:rPr>
        <w:t> </w:t>
      </w:r>
      <w:r w:rsidRPr="00696437">
        <w:rPr>
          <w:lang w:val="en-GB"/>
        </w:rPr>
        <w:t>mutation</w:t>
      </w:r>
      <w:r>
        <w:rPr>
          <w:lang w:val="en-GB"/>
        </w:rPr>
        <w:t>. The ERG explained that the company’s economic model for untreated CLL used the full population from ELEVATE-TN. Because there is a separate model for people with high-risk CLL, this resulted in the same population with high-risk CLL being included in 2 different models with different comparators. The ERG noted that the effect of including the population with high-risk CLL in the untreated CLL model was uncertain. The clinical experts explained that it was reasonable to assume a similar treatment effect of acalabrutinib for the populations with untreated CLL whether or not they had high-risk CLL. They considered that it was therefore acceptable to include both populations in the same model. The committee agreed and concluded that it was acceptable to use the full trial data from ELEVATE-TN in the untreated CLL model.</w:t>
      </w:r>
    </w:p>
    <w:p w14:paraId="22F46F68" w14:textId="0F07D4D9" w:rsidR="00963E20" w:rsidRDefault="00F32962" w:rsidP="00F32962">
      <w:pPr>
        <w:pStyle w:val="Heading3"/>
      </w:pPr>
      <w:r>
        <w:t xml:space="preserve">For untreated CLL </w:t>
      </w:r>
      <w:r w:rsidR="00E126B8">
        <w:t>when FCR or BR is unsuitable</w:t>
      </w:r>
      <w:r>
        <w:t>, acalabrutinib improves progression-free survival but the overall survival benefit is uncertain</w:t>
      </w:r>
    </w:p>
    <w:p w14:paraId="6CF56A4E" w14:textId="2576055F" w:rsidR="00F32962" w:rsidRPr="00F32962" w:rsidRDefault="00853BB3" w:rsidP="00F32962">
      <w:pPr>
        <w:pStyle w:val="Numberedlevel2text"/>
      </w:pPr>
      <w:r>
        <w:rPr>
          <w:lang w:val="en-GB"/>
        </w:rPr>
        <w:t>After a median follow-up of 28</w:t>
      </w:r>
      <w:r w:rsidR="000129CE">
        <w:rPr>
          <w:lang w:val="en-GB"/>
        </w:rPr>
        <w:t> </w:t>
      </w:r>
      <w:r>
        <w:rPr>
          <w:lang w:val="en-GB"/>
        </w:rPr>
        <w:t>months, there was a statistically significant i</w:t>
      </w:r>
      <w:r w:rsidR="007A3DD3">
        <w:rPr>
          <w:lang w:val="en-GB"/>
        </w:rPr>
        <w:t>ncrease</w:t>
      </w:r>
      <w:r>
        <w:rPr>
          <w:lang w:val="en-GB"/>
        </w:rPr>
        <w:t xml:space="preserve"> in progression-free survival for acalabrutinib compared with chlorambucil plus obinutuzumab (hazard ratio [HR] </w:t>
      </w:r>
      <w:r w:rsidRPr="00853BB3">
        <w:rPr>
          <w:lang w:val="en-GB"/>
        </w:rPr>
        <w:t>0.20</w:t>
      </w:r>
      <w:r>
        <w:rPr>
          <w:lang w:val="en-GB"/>
        </w:rPr>
        <w:t>,</w:t>
      </w:r>
      <w:r w:rsidRPr="00853BB3">
        <w:rPr>
          <w:lang w:val="en-GB"/>
        </w:rPr>
        <w:t xml:space="preserve"> </w:t>
      </w:r>
      <w:r>
        <w:rPr>
          <w:lang w:val="en-GB"/>
        </w:rPr>
        <w:t>95% confidence interval [CI]</w:t>
      </w:r>
      <w:r w:rsidRPr="00853BB3">
        <w:rPr>
          <w:lang w:val="en-GB"/>
        </w:rPr>
        <w:t xml:space="preserve"> 0.13</w:t>
      </w:r>
      <w:r>
        <w:rPr>
          <w:lang w:val="en-GB"/>
        </w:rPr>
        <w:t xml:space="preserve"> to </w:t>
      </w:r>
      <w:r w:rsidRPr="00853BB3">
        <w:rPr>
          <w:lang w:val="en-GB"/>
        </w:rPr>
        <w:t>0.30</w:t>
      </w:r>
      <w:r>
        <w:rPr>
          <w:lang w:val="en-GB"/>
        </w:rPr>
        <w:t>,</w:t>
      </w:r>
      <w:r w:rsidRPr="00853BB3">
        <w:rPr>
          <w:lang w:val="en-GB"/>
        </w:rPr>
        <w:t xml:space="preserve"> p&lt;0.0001</w:t>
      </w:r>
      <w:r>
        <w:rPr>
          <w:lang w:val="en-GB"/>
        </w:rPr>
        <w:t xml:space="preserve">). </w:t>
      </w:r>
      <w:r w:rsidRPr="00024E88">
        <w:t xml:space="preserve">Median progression-free survival was not reached in the </w:t>
      </w:r>
      <w:r>
        <w:rPr>
          <w:lang w:val="en-GB"/>
        </w:rPr>
        <w:t xml:space="preserve">acalabrutinib </w:t>
      </w:r>
      <w:r w:rsidRPr="00024E88">
        <w:t>arm and wa</w:t>
      </w:r>
      <w:r>
        <w:rPr>
          <w:lang w:val="en-GB"/>
        </w:rPr>
        <w:t>s 22</w:t>
      </w:r>
      <w:r w:rsidRPr="00024E88">
        <w:t>.6 months in the chlorambucil</w:t>
      </w:r>
      <w:r>
        <w:rPr>
          <w:lang w:val="en-GB"/>
        </w:rPr>
        <w:t xml:space="preserve"> plus</w:t>
      </w:r>
      <w:r w:rsidRPr="00024E88">
        <w:t xml:space="preserve"> obinutuzumab arm</w:t>
      </w:r>
      <w:r>
        <w:rPr>
          <w:lang w:val="en-GB"/>
        </w:rPr>
        <w:t xml:space="preserve">. </w:t>
      </w:r>
      <w:r w:rsidRPr="00024E88">
        <w:t xml:space="preserve">Median time to next treatment was </w:t>
      </w:r>
      <w:r w:rsidRPr="00024E88">
        <w:lastRenderedPageBreak/>
        <w:t>not reached in either treatment arm</w:t>
      </w:r>
      <w:r>
        <w:rPr>
          <w:lang w:val="en-GB"/>
        </w:rPr>
        <w:t xml:space="preserve"> but the trend </w:t>
      </w:r>
      <w:r w:rsidR="003C6D12">
        <w:rPr>
          <w:lang w:val="en-GB"/>
        </w:rPr>
        <w:t>was t</w:t>
      </w:r>
      <w:r w:rsidR="005C62D8">
        <w:rPr>
          <w:lang w:val="en-GB"/>
        </w:rPr>
        <w:t>owards</w:t>
      </w:r>
      <w:r w:rsidR="003C6D12">
        <w:rPr>
          <w:lang w:val="en-GB"/>
        </w:rPr>
        <w:t xml:space="preserve"> this </w:t>
      </w:r>
      <w:r w:rsidR="005C62D8">
        <w:rPr>
          <w:lang w:val="en-GB"/>
        </w:rPr>
        <w:t>being</w:t>
      </w:r>
      <w:r w:rsidR="003C6D12">
        <w:rPr>
          <w:lang w:val="en-GB"/>
        </w:rPr>
        <w:t xml:space="preserve"> longer with</w:t>
      </w:r>
      <w:r>
        <w:rPr>
          <w:lang w:val="en-GB"/>
        </w:rPr>
        <w:t xml:space="preserve"> acalabrutinib. </w:t>
      </w:r>
      <w:r w:rsidRPr="00024E88">
        <w:t>Median overall survival was not reached in either treatment arm and there was no difference in overall survival between the 2</w:t>
      </w:r>
      <w:r w:rsidR="000129CE">
        <w:rPr>
          <w:lang w:val="en-US"/>
        </w:rPr>
        <w:t> </w:t>
      </w:r>
      <w:r w:rsidRPr="00024E88">
        <w:t>arms (HR </w:t>
      </w:r>
      <w:r>
        <w:rPr>
          <w:lang w:val="en-GB"/>
        </w:rPr>
        <w:t>0.60</w:t>
      </w:r>
      <w:r w:rsidRPr="00024E88">
        <w:t>, 95% CI 0.</w:t>
      </w:r>
      <w:r>
        <w:rPr>
          <w:lang w:val="en-GB"/>
        </w:rPr>
        <w:t>28</w:t>
      </w:r>
      <w:r w:rsidRPr="00024E88">
        <w:t> to 1.</w:t>
      </w:r>
      <w:r>
        <w:rPr>
          <w:lang w:val="en-GB"/>
        </w:rPr>
        <w:t>27</w:t>
      </w:r>
      <w:r w:rsidRPr="00024E88">
        <w:t>, p=0.</w:t>
      </w:r>
      <w:r>
        <w:rPr>
          <w:lang w:val="en-GB"/>
        </w:rPr>
        <w:t>1556</w:t>
      </w:r>
      <w:r w:rsidRPr="00024E88">
        <w:t>).</w:t>
      </w:r>
      <w:r w:rsidRPr="00853BB3">
        <w:t xml:space="preserve"> </w:t>
      </w:r>
      <w:r w:rsidRPr="00024E88">
        <w:t xml:space="preserve">The committee concluded that the trial data showed that </w:t>
      </w:r>
      <w:r>
        <w:rPr>
          <w:lang w:val="en-GB"/>
        </w:rPr>
        <w:t>acalabrutinib</w:t>
      </w:r>
      <w:r w:rsidRPr="00024E88">
        <w:t xml:space="preserve"> i</w:t>
      </w:r>
      <w:r w:rsidR="007A3DD3">
        <w:rPr>
          <w:lang w:val="en-GB"/>
        </w:rPr>
        <w:t>ncreased</w:t>
      </w:r>
      <w:r w:rsidRPr="00024E88">
        <w:t xml:space="preserve"> progression-free survival and time to next treatment compared with chlorambucil</w:t>
      </w:r>
      <w:r w:rsidRPr="00853BB3">
        <w:t xml:space="preserve"> </w:t>
      </w:r>
      <w:r>
        <w:rPr>
          <w:lang w:val="en-GB"/>
        </w:rPr>
        <w:t xml:space="preserve">plus </w:t>
      </w:r>
      <w:r w:rsidRPr="00024E88">
        <w:t xml:space="preserve">obinutuzumab. The committee considered that the benefit of </w:t>
      </w:r>
      <w:r>
        <w:rPr>
          <w:lang w:val="en-GB"/>
        </w:rPr>
        <w:t xml:space="preserve">acalabrutinib </w:t>
      </w:r>
      <w:r w:rsidRPr="00024E88">
        <w:t xml:space="preserve">on overall survival was </w:t>
      </w:r>
      <w:r w:rsidR="00A61C4B">
        <w:rPr>
          <w:lang w:val="en-GB"/>
        </w:rPr>
        <w:t>uncertain</w:t>
      </w:r>
      <w:r w:rsidRPr="00024E88">
        <w:t>, noting the immaturity of the data</w:t>
      </w:r>
      <w:r w:rsidR="00D30D1A">
        <w:rPr>
          <w:lang w:val="en-GB"/>
        </w:rPr>
        <w:t xml:space="preserve"> (that is, the endpoints had not been reached)</w:t>
      </w:r>
      <w:r>
        <w:rPr>
          <w:lang w:val="en-GB"/>
        </w:rPr>
        <w:t>.</w:t>
      </w:r>
    </w:p>
    <w:p w14:paraId="6B125E69" w14:textId="5F3CEE48" w:rsidR="00F32962" w:rsidRDefault="00F32962" w:rsidP="00F32962">
      <w:pPr>
        <w:pStyle w:val="Heading3"/>
      </w:pPr>
      <w:r>
        <w:t xml:space="preserve">For untreated </w:t>
      </w:r>
      <w:r w:rsidR="00A8194D">
        <w:t xml:space="preserve">high-risk </w:t>
      </w:r>
      <w:r>
        <w:t xml:space="preserve">CLL, </w:t>
      </w:r>
      <w:r w:rsidR="008A2902">
        <w:t xml:space="preserve">an indirect treatment comparison </w:t>
      </w:r>
      <w:r w:rsidR="001C5E86">
        <w:t xml:space="preserve">in a different population </w:t>
      </w:r>
      <w:r w:rsidR="008A2902">
        <w:t>is used</w:t>
      </w:r>
      <w:r w:rsidR="007610D6">
        <w:t xml:space="preserve"> but is acceptable for decision making</w:t>
      </w:r>
    </w:p>
    <w:p w14:paraId="1B7C2FDE" w14:textId="336BE787" w:rsidR="00F32962" w:rsidRPr="00F32962" w:rsidRDefault="00BF3036" w:rsidP="00F32962">
      <w:pPr>
        <w:pStyle w:val="Numberedlevel2text"/>
      </w:pPr>
      <w:r>
        <w:rPr>
          <w:lang w:val="en-GB"/>
        </w:rPr>
        <w:t xml:space="preserve">The company’s economic model for the </w:t>
      </w:r>
      <w:r w:rsidR="00A8194D">
        <w:rPr>
          <w:lang w:val="en-GB"/>
        </w:rPr>
        <w:t xml:space="preserve">population with </w:t>
      </w:r>
      <w:r>
        <w:rPr>
          <w:lang w:val="en-GB"/>
        </w:rPr>
        <w:t xml:space="preserve">untreated </w:t>
      </w:r>
      <w:r w:rsidR="00A8194D">
        <w:rPr>
          <w:lang w:val="en-GB"/>
        </w:rPr>
        <w:t xml:space="preserve">high-risk </w:t>
      </w:r>
      <w:r>
        <w:rPr>
          <w:lang w:val="en-GB"/>
        </w:rPr>
        <w:t>CLL used data from an indirect treatment comparison in the population</w:t>
      </w:r>
      <w:r w:rsidR="00A8194D">
        <w:rPr>
          <w:lang w:val="en-GB"/>
        </w:rPr>
        <w:t xml:space="preserve"> with relapsed or refractory disease</w:t>
      </w:r>
      <w:r w:rsidR="00AD5187">
        <w:rPr>
          <w:lang w:val="en-GB"/>
        </w:rPr>
        <w:t xml:space="preserve"> (see next section)</w:t>
      </w:r>
      <w:r>
        <w:rPr>
          <w:lang w:val="en-GB"/>
        </w:rPr>
        <w:t xml:space="preserve">. The company considered that the results from the indirect comparison could </w:t>
      </w:r>
      <w:r w:rsidR="00F24665">
        <w:rPr>
          <w:lang w:val="en-GB"/>
        </w:rPr>
        <w:t>apply</w:t>
      </w:r>
      <w:r w:rsidR="00705AAF">
        <w:rPr>
          <w:lang w:val="en-GB"/>
        </w:rPr>
        <w:t xml:space="preserve"> </w:t>
      </w:r>
      <w:r>
        <w:rPr>
          <w:lang w:val="en-GB"/>
        </w:rPr>
        <w:t>to the population</w:t>
      </w:r>
      <w:r w:rsidR="00453112">
        <w:rPr>
          <w:lang w:val="en-GB"/>
        </w:rPr>
        <w:t xml:space="preserve"> with high-risk CLL</w:t>
      </w:r>
      <w:r>
        <w:rPr>
          <w:lang w:val="en-GB"/>
        </w:rPr>
        <w:t>.</w:t>
      </w:r>
      <w:r w:rsidR="00AD5187">
        <w:rPr>
          <w:lang w:val="en-GB"/>
        </w:rPr>
        <w:t xml:space="preserve"> and </w:t>
      </w:r>
      <w:r>
        <w:rPr>
          <w:lang w:val="en-GB"/>
        </w:rPr>
        <w:t xml:space="preserve">that acalabrutinib is clinically equivalent to ibrutinib. The ERG explained that </w:t>
      </w:r>
      <w:r w:rsidR="00AD5187">
        <w:rPr>
          <w:lang w:val="en-GB"/>
        </w:rPr>
        <w:t>as the data</w:t>
      </w:r>
      <w:r w:rsidR="008A3817">
        <w:rPr>
          <w:lang w:val="en-GB"/>
        </w:rPr>
        <w:t xml:space="preserve"> </w:t>
      </w:r>
      <w:r>
        <w:rPr>
          <w:lang w:val="en-GB"/>
        </w:rPr>
        <w:t>did not specifically relate to this population</w:t>
      </w:r>
      <w:r w:rsidR="007A26C5">
        <w:rPr>
          <w:lang w:val="en-GB"/>
        </w:rPr>
        <w:t>,</w:t>
      </w:r>
      <w:r>
        <w:rPr>
          <w:lang w:val="en-GB"/>
        </w:rPr>
        <w:t xml:space="preserve"> there </w:t>
      </w:r>
      <w:r w:rsidR="008A3817">
        <w:rPr>
          <w:lang w:val="en-GB"/>
        </w:rPr>
        <w:t>wa</w:t>
      </w:r>
      <w:r>
        <w:rPr>
          <w:lang w:val="en-GB"/>
        </w:rPr>
        <w:t xml:space="preserve">s uncertainty in assuming clinical equivalence based on the separate </w:t>
      </w:r>
      <w:r w:rsidR="008A3817">
        <w:rPr>
          <w:lang w:val="en-GB"/>
        </w:rPr>
        <w:t>relapsed or refractory</w:t>
      </w:r>
      <w:r>
        <w:rPr>
          <w:lang w:val="en-GB"/>
        </w:rPr>
        <w:t xml:space="preserve"> </w:t>
      </w:r>
      <w:r w:rsidR="00705AAF">
        <w:rPr>
          <w:lang w:val="en-GB"/>
        </w:rPr>
        <w:t xml:space="preserve">CLL </w:t>
      </w:r>
      <w:r>
        <w:rPr>
          <w:lang w:val="en-GB"/>
        </w:rPr>
        <w:t>population analysis</w:t>
      </w:r>
      <w:r w:rsidR="00A61C4B">
        <w:rPr>
          <w:lang w:val="en-GB"/>
        </w:rPr>
        <w:t xml:space="preserve">. The clinical experts explained that there was no reason to consider acalabrutinib to be clinically inferior to ibrutinib and that </w:t>
      </w:r>
      <w:r w:rsidR="008A3817">
        <w:rPr>
          <w:lang w:val="en-GB"/>
        </w:rPr>
        <w:t xml:space="preserve">assuming </w:t>
      </w:r>
      <w:r w:rsidR="00A61C4B">
        <w:rPr>
          <w:lang w:val="en-GB"/>
        </w:rPr>
        <w:t>equivalen</w:t>
      </w:r>
      <w:r w:rsidR="008A3817">
        <w:rPr>
          <w:lang w:val="en-GB"/>
        </w:rPr>
        <w:t>t</w:t>
      </w:r>
      <w:r w:rsidR="00A61C4B">
        <w:rPr>
          <w:lang w:val="en-GB"/>
        </w:rPr>
        <w:t xml:space="preserve"> effectiveness </w:t>
      </w:r>
      <w:r w:rsidR="008A3817">
        <w:rPr>
          <w:lang w:val="en-GB"/>
        </w:rPr>
        <w:t>was</w:t>
      </w:r>
      <w:r w:rsidR="00A61C4B">
        <w:rPr>
          <w:lang w:val="en-GB"/>
        </w:rPr>
        <w:t xml:space="preserve"> reasonable</w:t>
      </w:r>
      <w:r>
        <w:rPr>
          <w:lang w:val="en-GB"/>
        </w:rPr>
        <w:t xml:space="preserve">. The committee </w:t>
      </w:r>
      <w:r w:rsidR="00A61C4B">
        <w:rPr>
          <w:lang w:val="en-GB"/>
        </w:rPr>
        <w:t>noted</w:t>
      </w:r>
      <w:r>
        <w:rPr>
          <w:lang w:val="en-GB"/>
        </w:rPr>
        <w:t xml:space="preserve"> that there was no direct evidence presented for the </w:t>
      </w:r>
      <w:r w:rsidR="00D02036">
        <w:rPr>
          <w:lang w:val="en-GB"/>
        </w:rPr>
        <w:t xml:space="preserve">population with </w:t>
      </w:r>
      <w:r>
        <w:rPr>
          <w:lang w:val="en-GB"/>
        </w:rPr>
        <w:t xml:space="preserve">high-risk </w:t>
      </w:r>
      <w:r w:rsidR="00D02036">
        <w:rPr>
          <w:lang w:val="en-GB"/>
        </w:rPr>
        <w:t>CLL</w:t>
      </w:r>
      <w:r w:rsidR="007610D6">
        <w:rPr>
          <w:lang w:val="en-GB"/>
        </w:rPr>
        <w:t xml:space="preserve">. Although </w:t>
      </w:r>
      <w:r w:rsidR="008F1B17">
        <w:rPr>
          <w:lang w:val="en-GB"/>
        </w:rPr>
        <w:t xml:space="preserve">there was </w:t>
      </w:r>
      <w:r w:rsidR="00453112">
        <w:rPr>
          <w:lang w:val="en-GB"/>
        </w:rPr>
        <w:t>uncertainty</w:t>
      </w:r>
      <w:r w:rsidR="007610D6">
        <w:rPr>
          <w:lang w:val="en-GB"/>
        </w:rPr>
        <w:t xml:space="preserve">, </w:t>
      </w:r>
      <w:r w:rsidR="00453112">
        <w:rPr>
          <w:lang w:val="en-GB"/>
        </w:rPr>
        <w:t xml:space="preserve">it </w:t>
      </w:r>
      <w:r w:rsidR="007610D6">
        <w:rPr>
          <w:lang w:val="en-GB"/>
        </w:rPr>
        <w:t xml:space="preserve">concluded that it </w:t>
      </w:r>
      <w:r w:rsidR="00453112">
        <w:rPr>
          <w:lang w:val="en-GB"/>
        </w:rPr>
        <w:t>wa</w:t>
      </w:r>
      <w:r w:rsidR="007610D6">
        <w:rPr>
          <w:lang w:val="en-GB"/>
        </w:rPr>
        <w:t xml:space="preserve">s plausible that </w:t>
      </w:r>
      <w:r>
        <w:rPr>
          <w:lang w:val="en-GB"/>
        </w:rPr>
        <w:t xml:space="preserve">clinical equivalence </w:t>
      </w:r>
      <w:r w:rsidR="006A7A14">
        <w:rPr>
          <w:lang w:val="en-GB"/>
        </w:rPr>
        <w:t xml:space="preserve">between acalabrutinib and ibrutinib </w:t>
      </w:r>
      <w:r>
        <w:rPr>
          <w:lang w:val="en-GB"/>
        </w:rPr>
        <w:t>c</w:t>
      </w:r>
      <w:r w:rsidR="008F1B17">
        <w:rPr>
          <w:lang w:val="en-GB"/>
        </w:rPr>
        <w:t>ould</w:t>
      </w:r>
      <w:r>
        <w:rPr>
          <w:lang w:val="en-GB"/>
        </w:rPr>
        <w:t xml:space="preserve"> be assumed in </w:t>
      </w:r>
      <w:r w:rsidR="00C6445C">
        <w:rPr>
          <w:lang w:val="en-GB"/>
        </w:rPr>
        <w:t xml:space="preserve">both </w:t>
      </w:r>
      <w:r>
        <w:rPr>
          <w:lang w:val="en-GB"/>
        </w:rPr>
        <w:t>population</w:t>
      </w:r>
      <w:r w:rsidR="00C6445C">
        <w:rPr>
          <w:lang w:val="en-GB"/>
        </w:rPr>
        <w:t>s</w:t>
      </w:r>
      <w:r w:rsidR="007610D6">
        <w:rPr>
          <w:lang w:val="en-GB"/>
        </w:rPr>
        <w:t xml:space="preserve"> and </w:t>
      </w:r>
      <w:r w:rsidR="006A7A14">
        <w:rPr>
          <w:lang w:val="en-GB"/>
        </w:rPr>
        <w:t xml:space="preserve">this </w:t>
      </w:r>
      <w:r w:rsidR="008F1B17">
        <w:rPr>
          <w:lang w:val="en-GB"/>
        </w:rPr>
        <w:t>was</w:t>
      </w:r>
      <w:r w:rsidR="007610D6">
        <w:rPr>
          <w:lang w:val="en-GB"/>
        </w:rPr>
        <w:t xml:space="preserve"> acceptable </w:t>
      </w:r>
      <w:r w:rsidR="008B10C7">
        <w:rPr>
          <w:lang w:val="en-GB"/>
        </w:rPr>
        <w:t>for</w:t>
      </w:r>
      <w:r w:rsidR="007610D6">
        <w:rPr>
          <w:lang w:val="en-GB"/>
        </w:rPr>
        <w:t xml:space="preserve"> decision making.</w:t>
      </w:r>
    </w:p>
    <w:p w14:paraId="04C306DE" w14:textId="1C06F6FB" w:rsidR="00F32962" w:rsidRDefault="00F32962" w:rsidP="00F32962">
      <w:pPr>
        <w:pStyle w:val="Heading3"/>
      </w:pPr>
      <w:r>
        <w:t xml:space="preserve">For previously treated CLL, the company’s </w:t>
      </w:r>
      <w:r w:rsidRPr="00024E88">
        <w:t>indirect treatment comparison with ibrutinib is acceptable for decision making</w:t>
      </w:r>
    </w:p>
    <w:p w14:paraId="03BFE4B5" w14:textId="71C882BE" w:rsidR="00F32962" w:rsidRPr="006C7B96" w:rsidRDefault="00BF3036" w:rsidP="00F32962">
      <w:pPr>
        <w:pStyle w:val="Numberedlevel2text"/>
      </w:pPr>
      <w:r>
        <w:rPr>
          <w:lang w:val="en-GB"/>
        </w:rPr>
        <w:t xml:space="preserve">No direct evidence was presented comparing acalabrutinib with ibrutinib for the </w:t>
      </w:r>
      <w:r w:rsidR="00501B06">
        <w:rPr>
          <w:lang w:val="en-GB"/>
        </w:rPr>
        <w:t xml:space="preserve">population with </w:t>
      </w:r>
      <w:r>
        <w:rPr>
          <w:lang w:val="en-GB"/>
        </w:rPr>
        <w:t xml:space="preserve">previously treated </w:t>
      </w:r>
      <w:r w:rsidR="00501B06">
        <w:rPr>
          <w:lang w:val="en-GB"/>
        </w:rPr>
        <w:t>relapsed or refractory</w:t>
      </w:r>
      <w:r>
        <w:rPr>
          <w:lang w:val="en-GB"/>
        </w:rPr>
        <w:t xml:space="preserve"> CLL. The company </w:t>
      </w:r>
      <w:r w:rsidR="00DB7459">
        <w:rPr>
          <w:lang w:val="en-GB"/>
        </w:rPr>
        <w:t xml:space="preserve">did </w:t>
      </w:r>
      <w:r>
        <w:rPr>
          <w:lang w:val="en-GB"/>
        </w:rPr>
        <w:t xml:space="preserve">an unanchored matching adjusted indirect comparison </w:t>
      </w:r>
      <w:r>
        <w:rPr>
          <w:lang w:val="en-GB"/>
        </w:rPr>
        <w:lastRenderedPageBreak/>
        <w:t xml:space="preserve">(MAIC) using data from the acalabrutinib arm of ASCEND and </w:t>
      </w:r>
      <w:r w:rsidR="00DB7459">
        <w:rPr>
          <w:lang w:val="en-GB"/>
        </w:rPr>
        <w:t xml:space="preserve">the </w:t>
      </w:r>
      <w:r>
        <w:rPr>
          <w:lang w:val="en-GB"/>
        </w:rPr>
        <w:t xml:space="preserve">ibrutinib arm of RESONATE. Individual patient data were </w:t>
      </w:r>
      <w:r w:rsidRPr="00BF3036">
        <w:rPr>
          <w:lang w:val="en-GB"/>
        </w:rPr>
        <w:t>weighted to match baseline characteristics between arms</w:t>
      </w:r>
      <w:r>
        <w:rPr>
          <w:lang w:val="en-GB"/>
        </w:rPr>
        <w:t xml:space="preserve"> and </w:t>
      </w:r>
      <w:r w:rsidRPr="00BF3036">
        <w:rPr>
          <w:lang w:val="en-GB"/>
        </w:rPr>
        <w:t xml:space="preserve">all </w:t>
      </w:r>
      <w:r w:rsidR="00030CF2">
        <w:rPr>
          <w:lang w:val="en-GB"/>
        </w:rPr>
        <w:t xml:space="preserve">observed </w:t>
      </w:r>
      <w:r w:rsidRPr="00BF3036">
        <w:rPr>
          <w:lang w:val="en-GB"/>
        </w:rPr>
        <w:t xml:space="preserve">effect modifiers </w:t>
      </w:r>
      <w:r w:rsidR="002F2B0E">
        <w:rPr>
          <w:lang w:val="en-GB"/>
        </w:rPr>
        <w:t>and</w:t>
      </w:r>
      <w:r w:rsidRPr="00BF3036">
        <w:rPr>
          <w:lang w:val="en-GB"/>
        </w:rPr>
        <w:t xml:space="preserve"> prognostic variables accounted for</w:t>
      </w:r>
      <w:r>
        <w:rPr>
          <w:lang w:val="en-GB"/>
        </w:rPr>
        <w:t xml:space="preserve"> in the analysis. </w:t>
      </w:r>
      <w:r w:rsidRPr="00BF3036">
        <w:rPr>
          <w:lang w:val="en-GB"/>
        </w:rPr>
        <w:t>Kaplan</w:t>
      </w:r>
      <w:r w:rsidR="00DB7459">
        <w:rPr>
          <w:lang w:val="en-GB"/>
        </w:rPr>
        <w:t>–</w:t>
      </w:r>
      <w:r w:rsidRPr="00BF3036">
        <w:rPr>
          <w:lang w:val="en-GB"/>
        </w:rPr>
        <w:t xml:space="preserve">Meier estimates for </w:t>
      </w:r>
      <w:r>
        <w:rPr>
          <w:lang w:val="en-GB"/>
        </w:rPr>
        <w:t>progression-free survival</w:t>
      </w:r>
      <w:r w:rsidRPr="00BF3036">
        <w:rPr>
          <w:lang w:val="en-GB"/>
        </w:rPr>
        <w:t xml:space="preserve"> </w:t>
      </w:r>
      <w:r>
        <w:rPr>
          <w:lang w:val="en-GB"/>
        </w:rPr>
        <w:t>and</w:t>
      </w:r>
      <w:r w:rsidRPr="00BF3036">
        <w:rPr>
          <w:lang w:val="en-GB"/>
        </w:rPr>
        <w:t xml:space="preserve"> </w:t>
      </w:r>
      <w:r>
        <w:rPr>
          <w:lang w:val="en-GB"/>
        </w:rPr>
        <w:t>overall survival</w:t>
      </w:r>
      <w:r w:rsidRPr="00BF3036">
        <w:rPr>
          <w:lang w:val="en-GB"/>
        </w:rPr>
        <w:t xml:space="preserve"> </w:t>
      </w:r>
      <w:r>
        <w:rPr>
          <w:lang w:val="en-GB"/>
        </w:rPr>
        <w:t>were found</w:t>
      </w:r>
      <w:r w:rsidRPr="00BF3036">
        <w:rPr>
          <w:lang w:val="en-GB"/>
        </w:rPr>
        <w:t xml:space="preserve"> to be similar for both interventions</w:t>
      </w:r>
      <w:r>
        <w:rPr>
          <w:lang w:val="en-GB"/>
        </w:rPr>
        <w:t xml:space="preserve"> (the exact </w:t>
      </w:r>
      <w:r w:rsidR="00FD1C09">
        <w:rPr>
          <w:lang w:val="en-GB"/>
        </w:rPr>
        <w:t>hazard ratios and statistical values are confidential and cannot be reported here)</w:t>
      </w:r>
      <w:r>
        <w:rPr>
          <w:lang w:val="en-GB"/>
        </w:rPr>
        <w:t>.</w:t>
      </w:r>
      <w:r w:rsidR="00FD1C09">
        <w:rPr>
          <w:lang w:val="en-GB"/>
        </w:rPr>
        <w:t xml:space="preserve"> The results of the MAIC were used to inform the cost-minimisation approach for the </w:t>
      </w:r>
      <w:r w:rsidR="00DB7459">
        <w:rPr>
          <w:lang w:val="en-GB"/>
        </w:rPr>
        <w:t xml:space="preserve">population with </w:t>
      </w:r>
      <w:r w:rsidR="00FD1C09">
        <w:rPr>
          <w:lang w:val="en-GB"/>
        </w:rPr>
        <w:t xml:space="preserve">previously treated </w:t>
      </w:r>
      <w:r w:rsidR="00DB7459">
        <w:rPr>
          <w:lang w:val="en-GB"/>
        </w:rPr>
        <w:t>relapsed or refractory</w:t>
      </w:r>
      <w:r w:rsidR="00FD1C09">
        <w:rPr>
          <w:lang w:val="en-GB"/>
        </w:rPr>
        <w:t xml:space="preserve"> CLL. The company considered </w:t>
      </w:r>
      <w:r w:rsidR="00D00868">
        <w:rPr>
          <w:lang w:val="en-GB"/>
        </w:rPr>
        <w:t xml:space="preserve">that </w:t>
      </w:r>
      <w:r w:rsidR="00FD1C09">
        <w:rPr>
          <w:lang w:val="en-GB"/>
        </w:rPr>
        <w:t>the results justif</w:t>
      </w:r>
      <w:r w:rsidR="00D00868">
        <w:rPr>
          <w:lang w:val="en-GB"/>
        </w:rPr>
        <w:t>ied</w:t>
      </w:r>
      <w:r w:rsidR="00FD1C09">
        <w:rPr>
          <w:lang w:val="en-GB"/>
        </w:rPr>
        <w:t xml:space="preserve"> the </w:t>
      </w:r>
      <w:r w:rsidR="00FD1C09" w:rsidRPr="00FD1C09">
        <w:rPr>
          <w:lang w:val="en-GB"/>
        </w:rPr>
        <w:t>assumption of equivalent efficacy between acalabrutinib and ibrutinib</w:t>
      </w:r>
      <w:r w:rsidR="00FD1C09">
        <w:rPr>
          <w:lang w:val="en-GB"/>
        </w:rPr>
        <w:t xml:space="preserve"> in the </w:t>
      </w:r>
      <w:r w:rsidR="00D00868">
        <w:rPr>
          <w:lang w:val="en-GB"/>
        </w:rPr>
        <w:t xml:space="preserve">populations with </w:t>
      </w:r>
      <w:r w:rsidR="00FD1C09">
        <w:rPr>
          <w:lang w:val="en-GB"/>
        </w:rPr>
        <w:t xml:space="preserve">previously treated </w:t>
      </w:r>
      <w:r w:rsidR="00D00868">
        <w:rPr>
          <w:lang w:val="en-GB"/>
        </w:rPr>
        <w:t>relapsed or refractory</w:t>
      </w:r>
      <w:r w:rsidR="00FD1C09">
        <w:rPr>
          <w:lang w:val="en-GB"/>
        </w:rPr>
        <w:t xml:space="preserve"> CLL and untreated high-risk CLL. The ERG considered that the methods for the indirect comparison were appropriate</w:t>
      </w:r>
      <w:r w:rsidR="00D00868">
        <w:rPr>
          <w:lang w:val="en-GB"/>
        </w:rPr>
        <w:t>,</w:t>
      </w:r>
      <w:r w:rsidR="00FD1C09">
        <w:rPr>
          <w:lang w:val="en-GB"/>
        </w:rPr>
        <w:t xml:space="preserve"> </w:t>
      </w:r>
      <w:r w:rsidR="00D00868">
        <w:rPr>
          <w:lang w:val="en-GB"/>
        </w:rPr>
        <w:t>concluding</w:t>
      </w:r>
      <w:r w:rsidR="00FD1C09">
        <w:rPr>
          <w:lang w:val="en-GB"/>
        </w:rPr>
        <w:t xml:space="preserve"> that </w:t>
      </w:r>
      <w:r w:rsidR="00271591">
        <w:rPr>
          <w:lang w:val="en-GB"/>
        </w:rPr>
        <w:t xml:space="preserve">it was reasonable to </w:t>
      </w:r>
      <w:r w:rsidR="002F2B0E">
        <w:rPr>
          <w:lang w:val="en-GB"/>
        </w:rPr>
        <w:t xml:space="preserve">assume </w:t>
      </w:r>
      <w:r w:rsidR="00FD1C09">
        <w:rPr>
          <w:lang w:val="en-GB"/>
        </w:rPr>
        <w:t xml:space="preserve">clinical equivalence </w:t>
      </w:r>
      <w:r w:rsidR="00D00868">
        <w:rPr>
          <w:lang w:val="en-GB"/>
        </w:rPr>
        <w:t>of acalabrutinib and</w:t>
      </w:r>
      <w:r w:rsidR="00271591">
        <w:rPr>
          <w:lang w:val="en-GB"/>
        </w:rPr>
        <w:t xml:space="preserve"> </w:t>
      </w:r>
      <w:r w:rsidR="00D00868">
        <w:rPr>
          <w:lang w:val="en-GB"/>
        </w:rPr>
        <w:t xml:space="preserve">ibrutinib </w:t>
      </w:r>
      <w:r w:rsidR="00FD1C09">
        <w:rPr>
          <w:lang w:val="en-GB"/>
        </w:rPr>
        <w:t xml:space="preserve">in the </w:t>
      </w:r>
      <w:r w:rsidR="00D00868">
        <w:rPr>
          <w:lang w:val="en-GB"/>
        </w:rPr>
        <w:t xml:space="preserve">population with </w:t>
      </w:r>
      <w:r w:rsidR="00FD1C09">
        <w:rPr>
          <w:lang w:val="en-GB"/>
        </w:rPr>
        <w:t xml:space="preserve">previously treated </w:t>
      </w:r>
      <w:r w:rsidR="00D00868">
        <w:rPr>
          <w:lang w:val="en-GB"/>
        </w:rPr>
        <w:t>relapsed or refractory CLL</w:t>
      </w:r>
      <w:r w:rsidR="00FD1C09">
        <w:rPr>
          <w:lang w:val="en-GB"/>
        </w:rPr>
        <w:t xml:space="preserve">. The committee concluded that the indirect treatment comparison </w:t>
      </w:r>
      <w:r w:rsidR="003426EE">
        <w:rPr>
          <w:lang w:val="en-GB"/>
        </w:rPr>
        <w:t>wa</w:t>
      </w:r>
      <w:r w:rsidR="00B85934">
        <w:rPr>
          <w:lang w:val="en-GB"/>
        </w:rPr>
        <w:t>s acceptable for decision making.</w:t>
      </w:r>
    </w:p>
    <w:p w14:paraId="129CA040" w14:textId="16188277" w:rsidR="006C7B96" w:rsidRDefault="006C7B96" w:rsidP="006C7B96">
      <w:pPr>
        <w:pStyle w:val="Heading2"/>
      </w:pPr>
      <w:r>
        <w:t>Adverse effects</w:t>
      </w:r>
    </w:p>
    <w:p w14:paraId="4551DE82" w14:textId="25833A0B" w:rsidR="006C7B96" w:rsidRDefault="006C7B96" w:rsidP="006C7B96">
      <w:pPr>
        <w:pStyle w:val="Heading3"/>
      </w:pPr>
      <w:r>
        <w:t>Acalabrutinib is generally well tolerated compared with current treatments</w:t>
      </w:r>
    </w:p>
    <w:p w14:paraId="3656754A" w14:textId="0B9B4294" w:rsidR="006C7B96" w:rsidRPr="006C7B96" w:rsidRDefault="00327F57" w:rsidP="006C7B96">
      <w:pPr>
        <w:pStyle w:val="Numberedlevel2text"/>
      </w:pPr>
      <w:r>
        <w:rPr>
          <w:lang w:val="en-GB"/>
        </w:rPr>
        <w:t xml:space="preserve">The results of ELEVATE-TN showed that acalabrutinib had an acceptable tolerability profile compared with </w:t>
      </w:r>
      <w:r w:rsidRPr="00024E88">
        <w:t>chlorambucil</w:t>
      </w:r>
      <w:r w:rsidRPr="00853BB3">
        <w:t xml:space="preserve"> </w:t>
      </w:r>
      <w:r>
        <w:rPr>
          <w:lang w:val="en-GB"/>
        </w:rPr>
        <w:t xml:space="preserve">plus </w:t>
      </w:r>
      <w:r w:rsidRPr="00024E88">
        <w:t>obinutuzumab</w:t>
      </w:r>
      <w:r>
        <w:rPr>
          <w:lang w:val="en-GB"/>
        </w:rPr>
        <w:t xml:space="preserve">. The patient experts highlighted that acalabrutinib was associated with fewer adverse effects and was generally well tolerated. They explained that some people noted reduced adverse effects after changing to acalabrutinib from other treatments. </w:t>
      </w:r>
      <w:r w:rsidRPr="00024E88">
        <w:t xml:space="preserve">The committee agreed that </w:t>
      </w:r>
      <w:r>
        <w:rPr>
          <w:lang w:val="en-GB"/>
        </w:rPr>
        <w:t>acalabrutinib</w:t>
      </w:r>
      <w:r w:rsidRPr="00024E88">
        <w:t xml:space="preserve"> </w:t>
      </w:r>
      <w:r w:rsidR="00F42FD4">
        <w:rPr>
          <w:lang w:val="en-GB"/>
        </w:rPr>
        <w:t>was</w:t>
      </w:r>
      <w:r w:rsidRPr="00024E88">
        <w:t xml:space="preserve"> likely to be generally well tolerated compared with current treatments</w:t>
      </w:r>
      <w:r>
        <w:rPr>
          <w:lang w:val="en-GB"/>
        </w:rPr>
        <w:t>.</w:t>
      </w:r>
    </w:p>
    <w:p w14:paraId="203BFF95" w14:textId="10F5AFEF" w:rsidR="006C7B96" w:rsidRDefault="006C7B96" w:rsidP="006C7B96">
      <w:pPr>
        <w:pStyle w:val="Heading2"/>
      </w:pPr>
      <w:r>
        <w:lastRenderedPageBreak/>
        <w:t>Cost-effectiveness model structure</w:t>
      </w:r>
    </w:p>
    <w:p w14:paraId="3C6B2430" w14:textId="1401766B" w:rsidR="006C7B96" w:rsidRDefault="006C7B96" w:rsidP="006C7B96">
      <w:pPr>
        <w:pStyle w:val="Heading3"/>
      </w:pPr>
      <w:r w:rsidRPr="00024E88">
        <w:t xml:space="preserve">The model structure </w:t>
      </w:r>
      <w:r w:rsidR="00795A47">
        <w:t>is</w:t>
      </w:r>
      <w:r w:rsidRPr="00024E88">
        <w:t xml:space="preserve"> appropriate for decision making</w:t>
      </w:r>
    </w:p>
    <w:p w14:paraId="4B92DFDD" w14:textId="2B94DDC7" w:rsidR="006C7B96" w:rsidRPr="006C7B96" w:rsidRDefault="004D3D09" w:rsidP="006C7B96">
      <w:pPr>
        <w:pStyle w:val="Numberedlevel2text"/>
      </w:pPr>
      <w:r>
        <w:rPr>
          <w:lang w:val="en-GB"/>
        </w:rPr>
        <w:t xml:space="preserve">For the </w:t>
      </w:r>
      <w:r w:rsidR="00795A47">
        <w:rPr>
          <w:lang w:val="en-GB"/>
        </w:rPr>
        <w:t xml:space="preserve">population with </w:t>
      </w:r>
      <w:r>
        <w:rPr>
          <w:lang w:val="en-GB"/>
        </w:rPr>
        <w:t>untreated CLL, the company submitted a semi-Markov model</w:t>
      </w:r>
      <w:r w:rsidR="00ED1B93">
        <w:rPr>
          <w:lang w:val="en-GB"/>
        </w:rPr>
        <w:t xml:space="preserve"> </w:t>
      </w:r>
      <w:r>
        <w:rPr>
          <w:lang w:val="en-GB"/>
        </w:rPr>
        <w:t>with 3</w:t>
      </w:r>
      <w:r w:rsidR="003A64BD">
        <w:rPr>
          <w:lang w:val="en-GB"/>
        </w:rPr>
        <w:t> </w:t>
      </w:r>
      <w:r>
        <w:rPr>
          <w:lang w:val="en-GB"/>
        </w:rPr>
        <w:t>states (</w:t>
      </w:r>
      <w:r w:rsidRPr="00024E88">
        <w:t>progression-free, progressed disease and death</w:t>
      </w:r>
      <w:r>
        <w:rPr>
          <w:lang w:val="en-GB"/>
        </w:rPr>
        <w:t xml:space="preserve">). The </w:t>
      </w:r>
      <w:r w:rsidRPr="00024E88">
        <w:t xml:space="preserve">company used data from </w:t>
      </w:r>
      <w:r>
        <w:rPr>
          <w:lang w:val="en-GB"/>
        </w:rPr>
        <w:t>ELEVATE-TN</w:t>
      </w:r>
      <w:r w:rsidRPr="00024E88">
        <w:t xml:space="preserve"> to estimate progression-free survival, overall survival and time to next treatment using parametric curves fitted to Kaplan–Meier data</w:t>
      </w:r>
      <w:r>
        <w:rPr>
          <w:lang w:val="en-GB"/>
        </w:rPr>
        <w:t>. Post-progression survival was estimate</w:t>
      </w:r>
      <w:r w:rsidR="00700545">
        <w:rPr>
          <w:lang w:val="en-GB"/>
        </w:rPr>
        <w:t>d</w:t>
      </w:r>
      <w:r>
        <w:rPr>
          <w:lang w:val="en-GB"/>
        </w:rPr>
        <w:t xml:space="preserve"> from the overall survival data from</w:t>
      </w:r>
      <w:r w:rsidR="00125CFB">
        <w:rPr>
          <w:lang w:val="en-GB"/>
        </w:rPr>
        <w:t xml:space="preserve"> trials in previously treated CLL;</w:t>
      </w:r>
      <w:r>
        <w:rPr>
          <w:lang w:val="en-GB"/>
        </w:rPr>
        <w:t xml:space="preserve"> MURANO and RESONATE</w:t>
      </w:r>
      <w:r w:rsidR="00125CFB">
        <w:rPr>
          <w:lang w:val="en-GB"/>
        </w:rPr>
        <w:t xml:space="preserve">. </w:t>
      </w:r>
      <w:r w:rsidR="00524B68">
        <w:rPr>
          <w:lang w:val="en-GB"/>
        </w:rPr>
        <w:t>Data from t</w:t>
      </w:r>
      <w:r w:rsidR="00125CFB">
        <w:rPr>
          <w:lang w:val="en-GB"/>
        </w:rPr>
        <w:t>he venetoclax plus rituximab arm of MURANO</w:t>
      </w:r>
      <w:r w:rsidR="00524B68">
        <w:rPr>
          <w:lang w:val="en-GB"/>
        </w:rPr>
        <w:t xml:space="preserve"> w</w:t>
      </w:r>
      <w:r w:rsidR="00697ACC">
        <w:rPr>
          <w:lang w:val="en-GB"/>
        </w:rPr>
        <w:t>ere</w:t>
      </w:r>
      <w:r w:rsidR="00524B68">
        <w:rPr>
          <w:lang w:val="en-GB"/>
        </w:rPr>
        <w:t xml:space="preserve"> applied to people progressing on first-line acalabrutinib</w:t>
      </w:r>
      <w:r w:rsidR="007F755F">
        <w:rPr>
          <w:lang w:val="en-GB"/>
        </w:rPr>
        <w:t>.</w:t>
      </w:r>
      <w:r w:rsidR="00524B68">
        <w:rPr>
          <w:lang w:val="en-GB"/>
        </w:rPr>
        <w:t xml:space="preserve"> </w:t>
      </w:r>
      <w:r w:rsidR="007F755F">
        <w:rPr>
          <w:lang w:val="en-GB"/>
        </w:rPr>
        <w:t>D</w:t>
      </w:r>
      <w:r w:rsidR="00524B68">
        <w:rPr>
          <w:lang w:val="en-GB"/>
        </w:rPr>
        <w:t>ata from the ibrutinib arm of RESONATE w</w:t>
      </w:r>
      <w:r w:rsidR="00697ACC">
        <w:rPr>
          <w:lang w:val="en-GB"/>
        </w:rPr>
        <w:t>ere</w:t>
      </w:r>
      <w:r w:rsidR="00524B68">
        <w:rPr>
          <w:lang w:val="en-GB"/>
        </w:rPr>
        <w:t xml:space="preserve"> applied to people progressing on chlorambucil plus obinutuzumab.</w:t>
      </w:r>
      <w:r w:rsidR="00125CFB">
        <w:rPr>
          <w:lang w:val="en-GB"/>
        </w:rPr>
        <w:t xml:space="preserve"> </w:t>
      </w:r>
      <w:r w:rsidR="00026D27">
        <w:rPr>
          <w:lang w:val="en-GB"/>
        </w:rPr>
        <w:t>A</w:t>
      </w:r>
      <w:r w:rsidR="003130E2">
        <w:rPr>
          <w:lang w:val="en-GB"/>
        </w:rPr>
        <w:t xml:space="preserve">calabrutinib </w:t>
      </w:r>
      <w:r w:rsidR="00026D27">
        <w:rPr>
          <w:lang w:val="en-GB"/>
        </w:rPr>
        <w:t xml:space="preserve">treatment </w:t>
      </w:r>
      <w:r w:rsidR="003130E2">
        <w:rPr>
          <w:lang w:val="en-GB"/>
        </w:rPr>
        <w:t>was assumed to continue until disease progression or death. C</w:t>
      </w:r>
      <w:r w:rsidR="003130E2" w:rsidRPr="003130E2">
        <w:rPr>
          <w:lang w:val="en-GB"/>
        </w:rPr>
        <w:t>hlorambucil plus obinutuzumab</w:t>
      </w:r>
      <w:r w:rsidR="003130E2">
        <w:rPr>
          <w:lang w:val="en-GB"/>
        </w:rPr>
        <w:t xml:space="preserve"> was given for 6</w:t>
      </w:r>
      <w:r w:rsidR="00697ACC">
        <w:rPr>
          <w:lang w:val="en-GB"/>
        </w:rPr>
        <w:t> </w:t>
      </w:r>
      <w:r w:rsidR="003130E2">
        <w:rPr>
          <w:lang w:val="en-GB"/>
        </w:rPr>
        <w:t xml:space="preserve">cycles or until disease progression or death. </w:t>
      </w:r>
      <w:r w:rsidR="00563BE9">
        <w:rPr>
          <w:lang w:val="en-GB"/>
        </w:rPr>
        <w:t xml:space="preserve">Following </w:t>
      </w:r>
      <w:r w:rsidR="003130E2">
        <w:rPr>
          <w:lang w:val="en-GB"/>
        </w:rPr>
        <w:t xml:space="preserve">disease progression after </w:t>
      </w:r>
      <w:r w:rsidR="00563BE9">
        <w:rPr>
          <w:lang w:val="en-GB"/>
        </w:rPr>
        <w:t xml:space="preserve">initial treatment, the model included a delay between disease progression and </w:t>
      </w:r>
      <w:r w:rsidR="00B21987">
        <w:rPr>
          <w:lang w:val="en-GB"/>
        </w:rPr>
        <w:t>starting</w:t>
      </w:r>
      <w:r w:rsidR="00563BE9">
        <w:rPr>
          <w:lang w:val="en-GB"/>
        </w:rPr>
        <w:t xml:space="preserve"> subsequent treatment. The ERG highlighted that the model structure did not allow for a second </w:t>
      </w:r>
      <w:r w:rsidR="00156CF1">
        <w:rPr>
          <w:lang w:val="en-GB"/>
        </w:rPr>
        <w:t xml:space="preserve">progression event and subsequent treatment costs were applied from the start of </w:t>
      </w:r>
      <w:r w:rsidR="00026D27">
        <w:rPr>
          <w:lang w:val="en-GB"/>
        </w:rPr>
        <w:t xml:space="preserve">the </w:t>
      </w:r>
      <w:r w:rsidR="00156CF1">
        <w:rPr>
          <w:lang w:val="en-GB"/>
        </w:rPr>
        <w:t>second treatment until death or the maximum treatment duration. The committee noted the uncertainty about the duration of subsequent treatment (see sections</w:t>
      </w:r>
      <w:r w:rsidR="00B21987">
        <w:rPr>
          <w:lang w:val="en-GB"/>
        </w:rPr>
        <w:t> </w:t>
      </w:r>
      <w:r w:rsidR="00156CF1">
        <w:rPr>
          <w:lang w:val="en-GB"/>
        </w:rPr>
        <w:t>3.13 and 3.14) but concluded that the model structure was appropriate for decision making.</w:t>
      </w:r>
    </w:p>
    <w:p w14:paraId="7897F8E6" w14:textId="12E6BD09" w:rsidR="006C7B96" w:rsidRDefault="006C7B96" w:rsidP="006C7B96">
      <w:pPr>
        <w:pStyle w:val="Heading2"/>
      </w:pPr>
      <w:r>
        <w:t>Subsequent treatment</w:t>
      </w:r>
    </w:p>
    <w:p w14:paraId="17A25B53" w14:textId="34B4CC84" w:rsidR="006C7B96" w:rsidRDefault="007E51BF" w:rsidP="006C7B96">
      <w:pPr>
        <w:pStyle w:val="Heading3"/>
      </w:pPr>
      <w:r>
        <w:t xml:space="preserve">For untreated CLL the </w:t>
      </w:r>
      <w:r w:rsidR="00D424E5">
        <w:t xml:space="preserve">distribution </w:t>
      </w:r>
      <w:r w:rsidR="008548FE">
        <w:t xml:space="preserve">of </w:t>
      </w:r>
      <w:r>
        <w:t>subsequent treatment</w:t>
      </w:r>
      <w:r w:rsidR="008548FE">
        <w:t>s</w:t>
      </w:r>
      <w:r>
        <w:t xml:space="preserve"> </w:t>
      </w:r>
      <w:r w:rsidR="008548FE">
        <w:t>is</w:t>
      </w:r>
      <w:r>
        <w:t xml:space="preserve"> uncertain</w:t>
      </w:r>
    </w:p>
    <w:p w14:paraId="4CE8DA6D" w14:textId="5E1A35E6" w:rsidR="007E51BF" w:rsidRPr="008548FE" w:rsidRDefault="00496C3E" w:rsidP="007E51BF">
      <w:pPr>
        <w:pStyle w:val="Numberedlevel2text"/>
      </w:pPr>
      <w:r>
        <w:rPr>
          <w:lang w:val="en-GB"/>
        </w:rPr>
        <w:t xml:space="preserve">In the company’s untreated CLL model, it assumed that the type of second-line treatment would depend on their first-line treatment. </w:t>
      </w:r>
      <w:r w:rsidR="00C5487F">
        <w:rPr>
          <w:lang w:val="en-GB"/>
        </w:rPr>
        <w:t xml:space="preserve">After </w:t>
      </w:r>
      <w:r>
        <w:rPr>
          <w:lang w:val="en-GB"/>
        </w:rPr>
        <w:t xml:space="preserve">disease progression, </w:t>
      </w:r>
      <w:r w:rsidR="005D695C">
        <w:rPr>
          <w:lang w:val="en-GB"/>
        </w:rPr>
        <w:t>the company</w:t>
      </w:r>
      <w:r w:rsidR="009B465B">
        <w:rPr>
          <w:lang w:val="en-GB"/>
        </w:rPr>
        <w:t xml:space="preserve"> assumed that people in the acalabrutinib group would have </w:t>
      </w:r>
      <w:r>
        <w:rPr>
          <w:lang w:val="en-GB"/>
        </w:rPr>
        <w:t xml:space="preserve">second-line treatment with </w:t>
      </w:r>
      <w:r w:rsidRPr="00496C3E">
        <w:rPr>
          <w:lang w:val="en-GB"/>
        </w:rPr>
        <w:t>venetoclax plus rituximab</w:t>
      </w:r>
      <w:r>
        <w:rPr>
          <w:lang w:val="en-GB"/>
        </w:rPr>
        <w:t xml:space="preserve"> </w:t>
      </w:r>
      <w:r w:rsidR="009B465B">
        <w:rPr>
          <w:lang w:val="en-GB"/>
        </w:rPr>
        <w:t>and</w:t>
      </w:r>
      <w:r>
        <w:rPr>
          <w:lang w:val="en-GB"/>
        </w:rPr>
        <w:t xml:space="preserve"> people in the c</w:t>
      </w:r>
      <w:r w:rsidRPr="003130E2">
        <w:rPr>
          <w:lang w:val="en-GB"/>
        </w:rPr>
        <w:t xml:space="preserve">hlorambucil plus </w:t>
      </w:r>
      <w:r>
        <w:rPr>
          <w:lang w:val="en-GB"/>
        </w:rPr>
        <w:t>obinutuzumab group</w:t>
      </w:r>
      <w:r w:rsidR="009B465B">
        <w:rPr>
          <w:lang w:val="en-GB"/>
        </w:rPr>
        <w:t xml:space="preserve"> would have ibrutinib</w:t>
      </w:r>
      <w:r>
        <w:rPr>
          <w:lang w:val="en-GB"/>
        </w:rPr>
        <w:t xml:space="preserve">. </w:t>
      </w:r>
      <w:r w:rsidR="00F82CB1">
        <w:rPr>
          <w:lang w:val="en-GB"/>
        </w:rPr>
        <w:t xml:space="preserve">This sequence was assumed </w:t>
      </w:r>
      <w:r w:rsidR="00C5487F">
        <w:rPr>
          <w:lang w:val="en-GB"/>
        </w:rPr>
        <w:t>bec</w:t>
      </w:r>
      <w:r w:rsidR="00F82CB1">
        <w:rPr>
          <w:lang w:val="en-GB"/>
        </w:rPr>
        <w:t>a</w:t>
      </w:r>
      <w:r w:rsidR="00C5487F">
        <w:rPr>
          <w:lang w:val="en-GB"/>
        </w:rPr>
        <w:t>u</w:t>
      </w:r>
      <w:r w:rsidR="00F82CB1">
        <w:rPr>
          <w:lang w:val="en-GB"/>
        </w:rPr>
        <w:t>s</w:t>
      </w:r>
      <w:r w:rsidR="00C5487F">
        <w:rPr>
          <w:lang w:val="en-GB"/>
        </w:rPr>
        <w:t>e,</w:t>
      </w:r>
      <w:r w:rsidR="00F82CB1">
        <w:rPr>
          <w:lang w:val="en-GB"/>
        </w:rPr>
        <w:t xml:space="preserve"> in clinical </w:t>
      </w:r>
      <w:r w:rsidR="00F82CB1">
        <w:rPr>
          <w:lang w:val="en-GB"/>
        </w:rPr>
        <w:lastRenderedPageBreak/>
        <w:t>practice</w:t>
      </w:r>
      <w:r w:rsidR="00C5487F">
        <w:rPr>
          <w:lang w:val="en-GB"/>
        </w:rPr>
        <w:t>,</w:t>
      </w:r>
      <w:r w:rsidR="00F82CB1">
        <w:rPr>
          <w:lang w:val="en-GB"/>
        </w:rPr>
        <w:t xml:space="preserve"> </w:t>
      </w:r>
      <w:r w:rsidR="00C5487F">
        <w:rPr>
          <w:lang w:val="en-GB"/>
        </w:rPr>
        <w:t>it is unlikely that people would</w:t>
      </w:r>
      <w:r w:rsidR="00F82CB1">
        <w:rPr>
          <w:lang w:val="en-GB"/>
        </w:rPr>
        <w:t xml:space="preserve"> </w:t>
      </w:r>
      <w:r w:rsidR="00C5487F">
        <w:rPr>
          <w:lang w:val="en-GB"/>
        </w:rPr>
        <w:t>have a</w:t>
      </w:r>
      <w:r w:rsidR="00F82CB1">
        <w:rPr>
          <w:lang w:val="en-GB"/>
        </w:rPr>
        <w:t xml:space="preserve"> </w:t>
      </w:r>
      <w:r w:rsidR="00F82CB1" w:rsidRPr="00F82CB1">
        <w:rPr>
          <w:lang w:val="en-GB"/>
        </w:rPr>
        <w:t>Bruton’s Tyrosine Kinase (BTK)</w:t>
      </w:r>
      <w:r w:rsidR="00F82CB1">
        <w:rPr>
          <w:lang w:val="en-GB"/>
        </w:rPr>
        <w:t xml:space="preserve"> inhibitor such as acalabrutinib </w:t>
      </w:r>
      <w:r w:rsidR="00C5487F">
        <w:rPr>
          <w:lang w:val="en-GB"/>
        </w:rPr>
        <w:t>after</w:t>
      </w:r>
      <w:r w:rsidR="00F82CB1">
        <w:rPr>
          <w:lang w:val="en-GB"/>
        </w:rPr>
        <w:t xml:space="preserve"> another </w:t>
      </w:r>
      <w:r w:rsidR="00C5487F">
        <w:rPr>
          <w:lang w:val="en-GB"/>
        </w:rPr>
        <w:t xml:space="preserve">BTK inhibitor </w:t>
      </w:r>
      <w:r w:rsidR="00F82CB1">
        <w:rPr>
          <w:lang w:val="en-GB"/>
        </w:rPr>
        <w:t xml:space="preserve">such as ibrutinib. The company considered </w:t>
      </w:r>
      <w:r w:rsidR="00704185">
        <w:rPr>
          <w:lang w:val="en-GB"/>
        </w:rPr>
        <w:t xml:space="preserve">that </w:t>
      </w:r>
      <w:r w:rsidR="00F82CB1">
        <w:rPr>
          <w:lang w:val="en-GB"/>
        </w:rPr>
        <w:t xml:space="preserve">ibrutinib </w:t>
      </w:r>
      <w:r w:rsidR="00704185">
        <w:rPr>
          <w:lang w:val="en-GB"/>
        </w:rPr>
        <w:t>was mainly</w:t>
      </w:r>
      <w:r w:rsidR="008038DA">
        <w:rPr>
          <w:lang w:val="en-GB"/>
        </w:rPr>
        <w:t xml:space="preserve"> used after c</w:t>
      </w:r>
      <w:r w:rsidR="008038DA" w:rsidRPr="003130E2">
        <w:rPr>
          <w:lang w:val="en-GB"/>
        </w:rPr>
        <w:t xml:space="preserve">hlorambucil plus </w:t>
      </w:r>
      <w:r w:rsidR="008038DA">
        <w:rPr>
          <w:lang w:val="en-GB"/>
        </w:rPr>
        <w:t>obinutuzumab in the NHS. The company’s model accounted for a proportion of people in the c</w:t>
      </w:r>
      <w:r w:rsidR="008038DA" w:rsidRPr="003130E2">
        <w:rPr>
          <w:lang w:val="en-GB"/>
        </w:rPr>
        <w:t xml:space="preserve">hlorambucil plus </w:t>
      </w:r>
      <w:r w:rsidR="008038DA">
        <w:rPr>
          <w:lang w:val="en-GB"/>
        </w:rPr>
        <w:t>obinutuzumab group hav</w:t>
      </w:r>
      <w:r w:rsidR="00C5487F">
        <w:rPr>
          <w:lang w:val="en-GB"/>
        </w:rPr>
        <w:t>ing</w:t>
      </w:r>
      <w:r w:rsidR="008038DA">
        <w:rPr>
          <w:lang w:val="en-GB"/>
        </w:rPr>
        <w:t xml:space="preserve"> </w:t>
      </w:r>
      <w:r w:rsidR="008038DA" w:rsidRPr="00496C3E">
        <w:rPr>
          <w:lang w:val="en-GB"/>
        </w:rPr>
        <w:t>venetoclax plus rituximab</w:t>
      </w:r>
      <w:r w:rsidR="008038DA">
        <w:rPr>
          <w:lang w:val="en-GB"/>
        </w:rPr>
        <w:t xml:space="preserve">. The ERG highlighted that there </w:t>
      </w:r>
      <w:r w:rsidR="00D540FF">
        <w:rPr>
          <w:lang w:val="en-GB"/>
        </w:rPr>
        <w:t>was</w:t>
      </w:r>
      <w:r w:rsidR="008038DA">
        <w:rPr>
          <w:lang w:val="en-GB"/>
        </w:rPr>
        <w:t xml:space="preserve"> some uncertainty in the proportion of people who would have </w:t>
      </w:r>
      <w:r w:rsidR="008038DA" w:rsidRPr="00496C3E">
        <w:rPr>
          <w:lang w:val="en-GB"/>
        </w:rPr>
        <w:t>venetoclax plus rituximab</w:t>
      </w:r>
      <w:r w:rsidR="008038DA">
        <w:rPr>
          <w:lang w:val="en-GB"/>
        </w:rPr>
        <w:t xml:space="preserve"> in the c</w:t>
      </w:r>
      <w:r w:rsidR="008038DA" w:rsidRPr="003130E2">
        <w:rPr>
          <w:lang w:val="en-GB"/>
        </w:rPr>
        <w:t xml:space="preserve">hlorambucil plus </w:t>
      </w:r>
      <w:r w:rsidR="008038DA">
        <w:rPr>
          <w:lang w:val="en-GB"/>
        </w:rPr>
        <w:t xml:space="preserve">obinutuzumab group. The clinical experts </w:t>
      </w:r>
      <w:r w:rsidR="000D0F13">
        <w:rPr>
          <w:lang w:val="en-GB"/>
        </w:rPr>
        <w:t xml:space="preserve">explained </w:t>
      </w:r>
      <w:r w:rsidR="008038DA">
        <w:rPr>
          <w:lang w:val="en-GB"/>
        </w:rPr>
        <w:t xml:space="preserve">that </w:t>
      </w:r>
      <w:r w:rsidR="008038DA" w:rsidRPr="00496C3E">
        <w:rPr>
          <w:lang w:val="en-GB"/>
        </w:rPr>
        <w:t>venetoclax plus rituximab</w:t>
      </w:r>
      <w:r w:rsidR="008038DA">
        <w:rPr>
          <w:lang w:val="en-GB"/>
        </w:rPr>
        <w:t xml:space="preserve"> </w:t>
      </w:r>
      <w:r w:rsidR="00D540FF">
        <w:rPr>
          <w:lang w:val="en-GB"/>
        </w:rPr>
        <w:t>was</w:t>
      </w:r>
      <w:r w:rsidR="008038DA">
        <w:rPr>
          <w:lang w:val="en-GB"/>
        </w:rPr>
        <w:t xml:space="preserve"> a relatively recent treatment option</w:t>
      </w:r>
      <w:r w:rsidR="00024E08">
        <w:rPr>
          <w:lang w:val="en-GB"/>
        </w:rPr>
        <w:t>. It</w:t>
      </w:r>
      <w:r w:rsidR="003851F0">
        <w:rPr>
          <w:lang w:val="en-GB"/>
        </w:rPr>
        <w:t xml:space="preserve"> </w:t>
      </w:r>
      <w:r w:rsidR="00D540FF">
        <w:rPr>
          <w:lang w:val="en-GB"/>
        </w:rPr>
        <w:t>wa</w:t>
      </w:r>
      <w:r w:rsidR="003851F0">
        <w:rPr>
          <w:lang w:val="en-GB"/>
        </w:rPr>
        <w:t>s likely to account for between 2</w:t>
      </w:r>
      <w:r w:rsidR="00304ED7">
        <w:rPr>
          <w:lang w:val="en-GB"/>
        </w:rPr>
        <w:t>0</w:t>
      </w:r>
      <w:r w:rsidR="003851F0">
        <w:rPr>
          <w:lang w:val="en-GB"/>
        </w:rPr>
        <w:t xml:space="preserve">% </w:t>
      </w:r>
      <w:r w:rsidR="00D540FF">
        <w:rPr>
          <w:lang w:val="en-GB"/>
        </w:rPr>
        <w:t>and</w:t>
      </w:r>
      <w:r w:rsidR="003851F0">
        <w:rPr>
          <w:lang w:val="en-GB"/>
        </w:rPr>
        <w:t xml:space="preserve"> 50% of second-line treatment </w:t>
      </w:r>
      <w:r w:rsidR="00D540FF">
        <w:rPr>
          <w:lang w:val="en-GB"/>
        </w:rPr>
        <w:t xml:space="preserve">after </w:t>
      </w:r>
      <w:r w:rsidR="003851F0">
        <w:rPr>
          <w:lang w:val="en-GB"/>
        </w:rPr>
        <w:t>c</w:t>
      </w:r>
      <w:r w:rsidR="003851F0" w:rsidRPr="003130E2">
        <w:rPr>
          <w:lang w:val="en-GB"/>
        </w:rPr>
        <w:t xml:space="preserve">hlorambucil plus </w:t>
      </w:r>
      <w:r w:rsidR="003851F0">
        <w:rPr>
          <w:lang w:val="en-GB"/>
        </w:rPr>
        <w:t>obinutuzumab and w</w:t>
      </w:r>
      <w:r w:rsidR="00FA6DEE">
        <w:rPr>
          <w:lang w:val="en-GB"/>
        </w:rPr>
        <w:t>ould</w:t>
      </w:r>
      <w:r w:rsidR="003851F0">
        <w:rPr>
          <w:lang w:val="en-GB"/>
        </w:rPr>
        <w:t xml:space="preserve"> increase over time. The committee acknowledged that these proportions </w:t>
      </w:r>
      <w:r w:rsidR="00D540FF">
        <w:rPr>
          <w:lang w:val="en-GB"/>
        </w:rPr>
        <w:t>were</w:t>
      </w:r>
      <w:r w:rsidR="003851F0">
        <w:rPr>
          <w:lang w:val="en-GB"/>
        </w:rPr>
        <w:t xml:space="preserve"> substantially higher than those proposed </w:t>
      </w:r>
      <w:r w:rsidR="00D540FF">
        <w:rPr>
          <w:lang w:val="en-GB"/>
        </w:rPr>
        <w:t>in</w:t>
      </w:r>
      <w:r w:rsidR="003851F0">
        <w:rPr>
          <w:lang w:val="en-GB"/>
        </w:rPr>
        <w:t xml:space="preserve"> the company’s model and considered scenarios with a range of proportions. The committee </w:t>
      </w:r>
      <w:r w:rsidR="00304ED7">
        <w:rPr>
          <w:lang w:val="en-GB"/>
        </w:rPr>
        <w:t xml:space="preserve">agreed </w:t>
      </w:r>
      <w:r w:rsidR="003851F0">
        <w:rPr>
          <w:lang w:val="en-GB"/>
        </w:rPr>
        <w:t xml:space="preserve">that the </w:t>
      </w:r>
      <w:r w:rsidR="00D424E5">
        <w:rPr>
          <w:lang w:val="en-GB"/>
        </w:rPr>
        <w:t>distribution</w:t>
      </w:r>
      <w:r w:rsidR="003851F0">
        <w:rPr>
          <w:lang w:val="en-GB"/>
        </w:rPr>
        <w:t xml:space="preserve"> of subsequent treatment</w:t>
      </w:r>
      <w:r w:rsidR="00C26DBC">
        <w:rPr>
          <w:lang w:val="en-GB"/>
        </w:rPr>
        <w:t>s</w:t>
      </w:r>
      <w:r w:rsidR="003851F0">
        <w:rPr>
          <w:lang w:val="en-GB"/>
        </w:rPr>
        <w:t xml:space="preserve"> </w:t>
      </w:r>
      <w:r w:rsidR="00C26DBC">
        <w:rPr>
          <w:lang w:val="en-GB"/>
        </w:rPr>
        <w:t xml:space="preserve">after </w:t>
      </w:r>
      <w:r w:rsidR="003851F0">
        <w:rPr>
          <w:lang w:val="en-GB"/>
        </w:rPr>
        <w:t xml:space="preserve">disease progression in the untreated CLL model </w:t>
      </w:r>
      <w:r w:rsidR="00C26DBC">
        <w:rPr>
          <w:lang w:val="en-GB"/>
        </w:rPr>
        <w:t xml:space="preserve">was </w:t>
      </w:r>
      <w:r w:rsidR="003851F0">
        <w:rPr>
          <w:lang w:val="en-GB"/>
        </w:rPr>
        <w:t>uncertain</w:t>
      </w:r>
      <w:r w:rsidR="003532C8">
        <w:rPr>
          <w:lang w:val="en-GB"/>
        </w:rPr>
        <w:t>. It</w:t>
      </w:r>
      <w:r w:rsidR="00304ED7">
        <w:rPr>
          <w:lang w:val="en-GB"/>
        </w:rPr>
        <w:t xml:space="preserve"> concluded </w:t>
      </w:r>
      <w:r w:rsidR="00EE146C">
        <w:rPr>
          <w:lang w:val="en-GB"/>
        </w:rPr>
        <w:t xml:space="preserve">that it was plausible </w:t>
      </w:r>
      <w:r w:rsidR="00304ED7" w:rsidRPr="00496C3E">
        <w:rPr>
          <w:lang w:val="en-GB"/>
        </w:rPr>
        <w:t>venetoclax plus rituximab</w:t>
      </w:r>
      <w:r w:rsidR="00304ED7">
        <w:rPr>
          <w:lang w:val="en-GB"/>
        </w:rPr>
        <w:t xml:space="preserve"> </w:t>
      </w:r>
      <w:r w:rsidR="00D424E5">
        <w:rPr>
          <w:lang w:val="en-GB"/>
        </w:rPr>
        <w:t>w</w:t>
      </w:r>
      <w:r w:rsidR="00EE146C">
        <w:rPr>
          <w:lang w:val="en-GB"/>
        </w:rPr>
        <w:t>ould account for at least 20% of second-line treatment after chlorambucil plus obinutuzumab</w:t>
      </w:r>
      <w:r w:rsidR="003532C8">
        <w:rPr>
          <w:lang w:val="en-GB"/>
        </w:rPr>
        <w:t xml:space="preserve"> and possibly up to 40%</w:t>
      </w:r>
      <w:r w:rsidR="003851F0">
        <w:rPr>
          <w:lang w:val="en-GB"/>
        </w:rPr>
        <w:t>.</w:t>
      </w:r>
    </w:p>
    <w:p w14:paraId="1D4216C2" w14:textId="059D5E05" w:rsidR="008548FE" w:rsidRDefault="008548FE" w:rsidP="008548FE">
      <w:pPr>
        <w:pStyle w:val="Heading3"/>
      </w:pPr>
      <w:r>
        <w:t>For untreated CLL subsequent treatment costs are likely to be overestimated</w:t>
      </w:r>
    </w:p>
    <w:p w14:paraId="3CCF3B21" w14:textId="1E23F1BD" w:rsidR="005934B5" w:rsidRPr="00CC2B31" w:rsidRDefault="00A86F54" w:rsidP="001A4191">
      <w:pPr>
        <w:pStyle w:val="Numberedlevel2text"/>
      </w:pPr>
      <w:r>
        <w:rPr>
          <w:lang w:val="en-GB"/>
        </w:rPr>
        <w:t>In t</w:t>
      </w:r>
      <w:r w:rsidR="0020525B" w:rsidRPr="001D6B20">
        <w:rPr>
          <w:lang w:val="en-GB"/>
        </w:rPr>
        <w:t>he c</w:t>
      </w:r>
      <w:r w:rsidR="00496EF2" w:rsidRPr="001D6B20">
        <w:rPr>
          <w:lang w:val="en-GB"/>
        </w:rPr>
        <w:t>ompany</w:t>
      </w:r>
      <w:r w:rsidR="0020525B" w:rsidRPr="001D6B20">
        <w:rPr>
          <w:lang w:val="en-GB"/>
        </w:rPr>
        <w:t>’s</w:t>
      </w:r>
      <w:r w:rsidR="00496EF2" w:rsidRPr="001D6B20">
        <w:rPr>
          <w:lang w:val="en-GB"/>
        </w:rPr>
        <w:t xml:space="preserve"> original </w:t>
      </w:r>
      <w:r w:rsidR="0020525B" w:rsidRPr="001D6B20">
        <w:rPr>
          <w:lang w:val="en-GB"/>
        </w:rPr>
        <w:t xml:space="preserve">economic </w:t>
      </w:r>
      <w:r w:rsidR="00496EF2" w:rsidRPr="001D6B20">
        <w:rPr>
          <w:lang w:val="en-GB"/>
        </w:rPr>
        <w:t xml:space="preserve">model </w:t>
      </w:r>
      <w:r>
        <w:rPr>
          <w:lang w:val="en-GB"/>
        </w:rPr>
        <w:t>s</w:t>
      </w:r>
      <w:r w:rsidR="0020525B" w:rsidRPr="001D6B20">
        <w:rPr>
          <w:lang w:val="en-GB"/>
        </w:rPr>
        <w:t xml:space="preserve">ubsequent </w:t>
      </w:r>
      <w:r w:rsidR="0020525B" w:rsidRPr="00024E88">
        <w:t>treatment and its associated costs were modelled to continue from the start of subsequent treatment until death</w:t>
      </w:r>
      <w:r w:rsidR="00A72315" w:rsidRPr="001D6B20">
        <w:rPr>
          <w:lang w:val="en-GB"/>
        </w:rPr>
        <w:t xml:space="preserve">. </w:t>
      </w:r>
      <w:r w:rsidR="0020525B" w:rsidRPr="001D6B20">
        <w:rPr>
          <w:lang w:val="en-GB"/>
        </w:rPr>
        <w:t>However, t</w:t>
      </w:r>
      <w:r w:rsidR="00A72315" w:rsidRPr="001D6B20">
        <w:rPr>
          <w:lang w:val="en-GB"/>
        </w:rPr>
        <w:t>he ERG highlighted</w:t>
      </w:r>
      <w:r w:rsidR="0062068E" w:rsidRPr="001D6B20">
        <w:rPr>
          <w:lang w:val="en-GB"/>
        </w:rPr>
        <w:t xml:space="preserve"> </w:t>
      </w:r>
      <w:r w:rsidR="002D0F74">
        <w:rPr>
          <w:lang w:val="en-GB"/>
        </w:rPr>
        <w:t xml:space="preserve">that </w:t>
      </w:r>
      <w:r w:rsidR="0062068E" w:rsidRPr="001D6B20">
        <w:rPr>
          <w:lang w:val="en-GB"/>
        </w:rPr>
        <w:t>the model incorrectly applie</w:t>
      </w:r>
      <w:r w:rsidR="002D0F74">
        <w:rPr>
          <w:lang w:val="en-GB"/>
        </w:rPr>
        <w:t>d</w:t>
      </w:r>
      <w:r w:rsidR="0062068E" w:rsidRPr="001D6B20">
        <w:rPr>
          <w:lang w:val="en-GB"/>
        </w:rPr>
        <w:t xml:space="preserve"> second-line treatment costs because</w:t>
      </w:r>
      <w:r w:rsidR="00A72315" w:rsidRPr="001D6B20">
        <w:rPr>
          <w:lang w:val="en-GB"/>
        </w:rPr>
        <w:t xml:space="preserve"> </w:t>
      </w:r>
      <w:r w:rsidR="003B1CA7">
        <w:rPr>
          <w:lang w:val="en-GB"/>
        </w:rPr>
        <w:t xml:space="preserve">people would only have </w:t>
      </w:r>
      <w:r w:rsidR="00A72315" w:rsidRPr="001D6B20">
        <w:rPr>
          <w:lang w:val="en-GB"/>
        </w:rPr>
        <w:t>second</w:t>
      </w:r>
      <w:r w:rsidR="0020525B" w:rsidRPr="001D6B20">
        <w:rPr>
          <w:lang w:val="en-GB"/>
        </w:rPr>
        <w:t>-</w:t>
      </w:r>
      <w:r w:rsidR="00A72315" w:rsidRPr="001D6B20">
        <w:rPr>
          <w:lang w:val="en-GB"/>
        </w:rPr>
        <w:t>line</w:t>
      </w:r>
      <w:r w:rsidR="00496EF2" w:rsidRPr="001D6B20">
        <w:rPr>
          <w:lang w:val="en-GB"/>
        </w:rPr>
        <w:t xml:space="preserve"> treatment until progression</w:t>
      </w:r>
      <w:r w:rsidR="002D0F74">
        <w:rPr>
          <w:lang w:val="en-GB"/>
        </w:rPr>
        <w:t>. A</w:t>
      </w:r>
      <w:r w:rsidR="00A72315" w:rsidRPr="001D6B20">
        <w:rPr>
          <w:lang w:val="en-GB"/>
        </w:rPr>
        <w:t xml:space="preserve">t </w:t>
      </w:r>
      <w:r w:rsidR="002D0F74">
        <w:rPr>
          <w:lang w:val="en-GB"/>
        </w:rPr>
        <w:t>this</w:t>
      </w:r>
      <w:r w:rsidR="002D0F74" w:rsidRPr="001D6B20">
        <w:rPr>
          <w:lang w:val="en-GB"/>
        </w:rPr>
        <w:t xml:space="preserve"> </w:t>
      </w:r>
      <w:r w:rsidR="00A72315" w:rsidRPr="001D6B20">
        <w:rPr>
          <w:lang w:val="en-GB"/>
        </w:rPr>
        <w:t>point treatment, and costs, would stop.</w:t>
      </w:r>
      <w:r w:rsidR="0062068E" w:rsidRPr="001D6B20">
        <w:rPr>
          <w:lang w:val="en-GB"/>
        </w:rPr>
        <w:t xml:space="preserve"> </w:t>
      </w:r>
      <w:r w:rsidR="00496EF2" w:rsidRPr="001D6B20">
        <w:rPr>
          <w:lang w:val="en-GB"/>
        </w:rPr>
        <w:t>In response</w:t>
      </w:r>
      <w:r w:rsidR="00BB60CD">
        <w:rPr>
          <w:lang w:val="en-GB"/>
        </w:rPr>
        <w:t xml:space="preserve"> to comments submitted by the company as part of their check of the</w:t>
      </w:r>
      <w:r w:rsidR="00496EF2" w:rsidRPr="001D6B20">
        <w:rPr>
          <w:lang w:val="en-GB"/>
        </w:rPr>
        <w:t xml:space="preserve"> fact</w:t>
      </w:r>
      <w:r w:rsidR="00AE52FD">
        <w:rPr>
          <w:lang w:val="en-GB"/>
        </w:rPr>
        <w:t>ual accuracy</w:t>
      </w:r>
      <w:r w:rsidR="00496EF2" w:rsidRPr="001D6B20">
        <w:rPr>
          <w:lang w:val="en-GB"/>
        </w:rPr>
        <w:t xml:space="preserve"> </w:t>
      </w:r>
      <w:r w:rsidR="00BB60CD">
        <w:rPr>
          <w:lang w:val="en-GB"/>
        </w:rPr>
        <w:t>of the ERG report</w:t>
      </w:r>
      <w:r w:rsidR="0062068E" w:rsidRPr="001D6B20">
        <w:rPr>
          <w:lang w:val="en-GB"/>
        </w:rPr>
        <w:t xml:space="preserve">, the </w:t>
      </w:r>
      <w:r w:rsidR="00496EF2" w:rsidRPr="001D6B20">
        <w:rPr>
          <w:lang w:val="en-GB"/>
        </w:rPr>
        <w:t xml:space="preserve">ERG </w:t>
      </w:r>
      <w:r w:rsidR="003A64BD" w:rsidRPr="001D6B20">
        <w:rPr>
          <w:lang w:val="en-GB"/>
        </w:rPr>
        <w:t>developed</w:t>
      </w:r>
      <w:r w:rsidR="00496EF2" w:rsidRPr="001D6B20">
        <w:rPr>
          <w:lang w:val="en-GB"/>
        </w:rPr>
        <w:t xml:space="preserve"> a </w:t>
      </w:r>
      <w:r w:rsidR="0062068E" w:rsidRPr="001D6B20">
        <w:rPr>
          <w:lang w:val="en-GB"/>
        </w:rPr>
        <w:t>second-</w:t>
      </w:r>
      <w:r w:rsidR="00496EF2" w:rsidRPr="001D6B20">
        <w:rPr>
          <w:lang w:val="en-GB"/>
        </w:rPr>
        <w:t>line</w:t>
      </w:r>
      <w:r w:rsidR="0062068E" w:rsidRPr="001D6B20">
        <w:rPr>
          <w:lang w:val="en-GB"/>
        </w:rPr>
        <w:t xml:space="preserve"> treatment</w:t>
      </w:r>
      <w:r w:rsidR="00496EF2" w:rsidRPr="001D6B20">
        <w:rPr>
          <w:lang w:val="en-GB"/>
        </w:rPr>
        <w:t xml:space="preserve"> costing model</w:t>
      </w:r>
      <w:r w:rsidR="002D0F74">
        <w:rPr>
          <w:lang w:val="en-GB"/>
        </w:rPr>
        <w:t>.</w:t>
      </w:r>
      <w:r w:rsidR="00496EF2" w:rsidRPr="001D6B20">
        <w:rPr>
          <w:lang w:val="en-GB"/>
        </w:rPr>
        <w:t xml:space="preserve"> </w:t>
      </w:r>
      <w:bookmarkStart w:id="2" w:name="_Hlk57707463"/>
      <w:r w:rsidR="008C04AD" w:rsidRPr="001D6B20">
        <w:rPr>
          <w:lang w:val="en-GB"/>
        </w:rPr>
        <w:t xml:space="preserve">In the ERG’s model, mean </w:t>
      </w:r>
      <w:r w:rsidR="002D0F74">
        <w:rPr>
          <w:lang w:val="en-GB"/>
        </w:rPr>
        <w:t>progression-free survival</w:t>
      </w:r>
      <w:r w:rsidR="002D0F74" w:rsidRPr="001D6B20">
        <w:rPr>
          <w:lang w:val="en-GB"/>
        </w:rPr>
        <w:t xml:space="preserve"> </w:t>
      </w:r>
      <w:r w:rsidR="00E07F1E" w:rsidRPr="001D6B20">
        <w:rPr>
          <w:lang w:val="en-GB"/>
        </w:rPr>
        <w:t xml:space="preserve">for second-line ibrutinib treatment was extrapolated from </w:t>
      </w:r>
      <w:r w:rsidR="002D0F74">
        <w:rPr>
          <w:lang w:val="en-GB"/>
        </w:rPr>
        <w:t xml:space="preserve">the </w:t>
      </w:r>
      <w:r w:rsidR="00E07F1E" w:rsidRPr="001D6B20">
        <w:rPr>
          <w:lang w:val="en-GB"/>
        </w:rPr>
        <w:t xml:space="preserve">RESONATE </w:t>
      </w:r>
      <w:r w:rsidR="002D0F74">
        <w:rPr>
          <w:lang w:val="en-GB"/>
        </w:rPr>
        <w:t>progression-free survival</w:t>
      </w:r>
      <w:r w:rsidR="002D0F74" w:rsidRPr="001D6B20">
        <w:rPr>
          <w:lang w:val="en-GB"/>
        </w:rPr>
        <w:t xml:space="preserve"> </w:t>
      </w:r>
      <w:r w:rsidR="00E07F1E" w:rsidRPr="001D6B20">
        <w:rPr>
          <w:lang w:val="en-GB"/>
        </w:rPr>
        <w:t>data</w:t>
      </w:r>
      <w:r w:rsidR="00006F05">
        <w:rPr>
          <w:lang w:val="en-GB"/>
        </w:rPr>
        <w:t xml:space="preserve"> for </w:t>
      </w:r>
      <w:r w:rsidR="00006F05" w:rsidRPr="001D6B20">
        <w:rPr>
          <w:lang w:val="en-GB"/>
        </w:rPr>
        <w:lastRenderedPageBreak/>
        <w:t>1</w:t>
      </w:r>
      <w:r w:rsidR="00006F05">
        <w:rPr>
          <w:lang w:val="en-GB"/>
        </w:rPr>
        <w:t xml:space="preserve"> to </w:t>
      </w:r>
      <w:r w:rsidR="00006F05" w:rsidRPr="001D6B20">
        <w:rPr>
          <w:lang w:val="en-GB"/>
        </w:rPr>
        <w:t>2</w:t>
      </w:r>
      <w:r w:rsidR="00006F05">
        <w:rPr>
          <w:lang w:val="en-GB"/>
        </w:rPr>
        <w:t> </w:t>
      </w:r>
      <w:r w:rsidR="00006F05" w:rsidRPr="001D6B20">
        <w:rPr>
          <w:lang w:val="en-GB"/>
        </w:rPr>
        <w:t>prior lines of treatment</w:t>
      </w:r>
      <w:r w:rsidR="00B952B4" w:rsidRPr="001D6B20">
        <w:rPr>
          <w:lang w:val="en-GB"/>
        </w:rPr>
        <w:t>.</w:t>
      </w:r>
      <w:r w:rsidR="008C04AD" w:rsidRPr="001D6B20">
        <w:rPr>
          <w:lang w:val="en-GB"/>
        </w:rPr>
        <w:t xml:space="preserve"> The c</w:t>
      </w:r>
      <w:r w:rsidR="00496EF2" w:rsidRPr="001D6B20">
        <w:rPr>
          <w:lang w:val="en-GB"/>
        </w:rPr>
        <w:t>ompany agree</w:t>
      </w:r>
      <w:r w:rsidR="00E07F1E" w:rsidRPr="001D6B20">
        <w:rPr>
          <w:lang w:val="en-GB"/>
        </w:rPr>
        <w:t>d</w:t>
      </w:r>
      <w:r w:rsidR="00496EF2" w:rsidRPr="001D6B20">
        <w:rPr>
          <w:lang w:val="en-GB"/>
        </w:rPr>
        <w:t xml:space="preserve"> </w:t>
      </w:r>
      <w:r w:rsidR="00BB60CD">
        <w:rPr>
          <w:lang w:val="en-GB"/>
        </w:rPr>
        <w:t>with</w:t>
      </w:r>
      <w:r w:rsidR="00E07F1E" w:rsidRPr="001D6B20">
        <w:rPr>
          <w:lang w:val="en-GB"/>
        </w:rPr>
        <w:t xml:space="preserve"> this</w:t>
      </w:r>
      <w:r w:rsidR="00496EF2" w:rsidRPr="001D6B20">
        <w:rPr>
          <w:lang w:val="en-GB"/>
        </w:rPr>
        <w:t xml:space="preserve"> </w:t>
      </w:r>
      <w:r w:rsidR="003A64BD">
        <w:rPr>
          <w:lang w:val="en-GB"/>
        </w:rPr>
        <w:t>approach</w:t>
      </w:r>
      <w:r w:rsidR="001D43D1" w:rsidRPr="001D6B20">
        <w:rPr>
          <w:lang w:val="en-GB"/>
        </w:rPr>
        <w:t>,</w:t>
      </w:r>
      <w:r w:rsidR="00496EF2" w:rsidRPr="001D6B20">
        <w:rPr>
          <w:lang w:val="en-GB"/>
        </w:rPr>
        <w:t xml:space="preserve"> </w:t>
      </w:r>
      <w:r w:rsidR="005934B5">
        <w:rPr>
          <w:lang w:val="en-GB"/>
        </w:rPr>
        <w:t xml:space="preserve">but </w:t>
      </w:r>
      <w:r w:rsidR="00A26C55" w:rsidRPr="001D6B20">
        <w:rPr>
          <w:lang w:val="en-GB"/>
        </w:rPr>
        <w:t>disagree</w:t>
      </w:r>
      <w:r w:rsidR="00E07F1E" w:rsidRPr="001D6B20">
        <w:rPr>
          <w:lang w:val="en-GB"/>
        </w:rPr>
        <w:t>d</w:t>
      </w:r>
      <w:r w:rsidR="00A26C55" w:rsidRPr="001D6B20">
        <w:rPr>
          <w:lang w:val="en-GB"/>
        </w:rPr>
        <w:t xml:space="preserve"> </w:t>
      </w:r>
      <w:r w:rsidR="00E07F1E" w:rsidRPr="001D6B20">
        <w:rPr>
          <w:lang w:val="en-GB"/>
        </w:rPr>
        <w:t xml:space="preserve">with the ERG </w:t>
      </w:r>
      <w:r w:rsidR="00A26C55" w:rsidRPr="001D6B20">
        <w:rPr>
          <w:lang w:val="en-GB"/>
        </w:rPr>
        <w:t>on 2</w:t>
      </w:r>
      <w:r w:rsidR="005934B5">
        <w:rPr>
          <w:lang w:val="en-GB"/>
        </w:rPr>
        <w:t> </w:t>
      </w:r>
      <w:r w:rsidR="00A26C55" w:rsidRPr="001D6B20">
        <w:rPr>
          <w:lang w:val="en-GB"/>
        </w:rPr>
        <w:t>points</w:t>
      </w:r>
      <w:r w:rsidR="005934B5">
        <w:rPr>
          <w:lang w:val="en-GB"/>
        </w:rPr>
        <w:t>:</w:t>
      </w:r>
    </w:p>
    <w:p w14:paraId="389C45A4" w14:textId="54C0BC1A" w:rsidR="0018689B" w:rsidRDefault="005934B5" w:rsidP="005934B5">
      <w:pPr>
        <w:pStyle w:val="Bulletindent1"/>
      </w:pPr>
      <w:r>
        <w:t>T</w:t>
      </w:r>
      <w:r w:rsidR="00404C92" w:rsidRPr="001D6B20">
        <w:t xml:space="preserve">he company preferred a log-normal </w:t>
      </w:r>
      <w:r w:rsidR="00701BB1" w:rsidRPr="001D6B20">
        <w:t xml:space="preserve">parametric curve for second-line </w:t>
      </w:r>
      <w:r w:rsidR="007364DC">
        <w:t xml:space="preserve">treatment </w:t>
      </w:r>
      <w:r w:rsidR="00EE146C">
        <w:t>duration</w:t>
      </w:r>
      <w:r>
        <w:t>,</w:t>
      </w:r>
      <w:r w:rsidR="00701BB1" w:rsidRPr="001D6B20">
        <w:t xml:space="preserve"> which </w:t>
      </w:r>
      <w:r w:rsidR="003B1D25">
        <w:t>estimated</w:t>
      </w:r>
      <w:r w:rsidR="003B1D25" w:rsidRPr="001D6B20">
        <w:t xml:space="preserve"> </w:t>
      </w:r>
      <w:r w:rsidR="00701BB1" w:rsidRPr="001D6B20">
        <w:t>a duration of 5.56</w:t>
      </w:r>
      <w:r>
        <w:t> </w:t>
      </w:r>
      <w:r w:rsidR="00701BB1" w:rsidRPr="001D6B20">
        <w:t>years for ibrutinib treatment</w:t>
      </w:r>
      <w:r>
        <w:t>. T</w:t>
      </w:r>
      <w:r w:rsidR="00701BB1" w:rsidRPr="001D6B20">
        <w:t>he ERG preferred the Weibull curve</w:t>
      </w:r>
      <w:r w:rsidR="0018689B">
        <w:t>,</w:t>
      </w:r>
      <w:r w:rsidR="00701BB1" w:rsidRPr="001D6B20">
        <w:t xml:space="preserve"> which </w:t>
      </w:r>
      <w:r w:rsidR="003B1D25">
        <w:t>estimated</w:t>
      </w:r>
      <w:r w:rsidR="003B1D25" w:rsidRPr="001D6B20">
        <w:t xml:space="preserve"> </w:t>
      </w:r>
      <w:r w:rsidR="00701BB1" w:rsidRPr="001D6B20">
        <w:t xml:space="preserve">a </w:t>
      </w:r>
      <w:r w:rsidR="0018689B">
        <w:t xml:space="preserve">duration of </w:t>
      </w:r>
      <w:r w:rsidR="00701BB1" w:rsidRPr="001D6B20">
        <w:t>4.78</w:t>
      </w:r>
      <w:r w:rsidR="0018689B">
        <w:t> </w:t>
      </w:r>
      <w:r w:rsidR="00701BB1" w:rsidRPr="001D6B20">
        <w:t>year</w:t>
      </w:r>
      <w:r w:rsidR="0018689B">
        <w:t>s</w:t>
      </w:r>
      <w:r w:rsidR="00701BB1" w:rsidRPr="001D6B20">
        <w:t>.</w:t>
      </w:r>
    </w:p>
    <w:bookmarkEnd w:id="2"/>
    <w:p w14:paraId="42D50627" w14:textId="4AE8EE5A" w:rsidR="007364DC" w:rsidRDefault="0018689B">
      <w:pPr>
        <w:pStyle w:val="Bulletindent1last"/>
      </w:pPr>
      <w:r>
        <w:t>T</w:t>
      </w:r>
      <w:r w:rsidR="007E15A6" w:rsidRPr="001D6B20">
        <w:t>he company assumed that the delay from progressi</w:t>
      </w:r>
      <w:r w:rsidR="006835AC">
        <w:t>ng</w:t>
      </w:r>
      <w:r w:rsidR="007E15A6" w:rsidRPr="001D6B20">
        <w:t xml:space="preserve"> on first-line treatment through to </w:t>
      </w:r>
      <w:r w:rsidR="006835AC">
        <w:t>starting</w:t>
      </w:r>
      <w:r w:rsidR="006835AC" w:rsidRPr="001D6B20">
        <w:t xml:space="preserve"> </w:t>
      </w:r>
      <w:r w:rsidR="007E15A6" w:rsidRPr="001D6B20">
        <w:t>second-line treatment would be 1</w:t>
      </w:r>
      <w:r w:rsidR="00AB25DC">
        <w:t> </w:t>
      </w:r>
      <w:r w:rsidR="007E15A6" w:rsidRPr="001D6B20">
        <w:t>cycle</w:t>
      </w:r>
      <w:r w:rsidR="00AB25DC">
        <w:t>. B</w:t>
      </w:r>
      <w:r w:rsidR="007E15A6" w:rsidRPr="001D6B20">
        <w:t>ut the ERG used the company’s original assumption of a 14</w:t>
      </w:r>
      <w:r w:rsidR="00AB25DC">
        <w:t>-</w:t>
      </w:r>
      <w:r w:rsidR="007E15A6" w:rsidRPr="001D6B20">
        <w:t>cycle delay.</w:t>
      </w:r>
    </w:p>
    <w:p w14:paraId="394094B7" w14:textId="15AA5882" w:rsidR="00A274F4" w:rsidRPr="008548FE" w:rsidRDefault="007C078A" w:rsidP="00CC2B31">
      <w:pPr>
        <w:pStyle w:val="NICEnormalindented"/>
      </w:pPr>
      <w:r w:rsidRPr="001D6B20">
        <w:t>The ERG highlighted that the subsequent treatment cost</w:t>
      </w:r>
      <w:r w:rsidR="00AB25DC">
        <w:t>s</w:t>
      </w:r>
      <w:r w:rsidRPr="001D6B20">
        <w:t xml:space="preserve"> account</w:t>
      </w:r>
      <w:r w:rsidR="004F6174">
        <w:t>ed</w:t>
      </w:r>
      <w:r w:rsidRPr="001D6B20">
        <w:t xml:space="preserve"> for a substantial proportion of the overall cost</w:t>
      </w:r>
      <w:r w:rsidR="00AB25DC">
        <w:t>s</w:t>
      </w:r>
      <w:r w:rsidRPr="001D6B20">
        <w:t xml:space="preserve"> of the chlorambucil plus obinutuzumab comparator group. </w:t>
      </w:r>
      <w:proofErr w:type="gramStart"/>
      <w:r w:rsidR="004D6941">
        <w:t>So</w:t>
      </w:r>
      <w:proofErr w:type="gramEnd"/>
      <w:r w:rsidR="007E15A6" w:rsidRPr="001D6B20">
        <w:t xml:space="preserve"> i</w:t>
      </w:r>
      <w:r w:rsidR="00A26C55" w:rsidRPr="001D6B20">
        <w:t>ncreasing the duration of second</w:t>
      </w:r>
      <w:r w:rsidR="007E15A6" w:rsidRPr="001D6B20">
        <w:t>-</w:t>
      </w:r>
      <w:r w:rsidR="00A26C55" w:rsidRPr="001D6B20">
        <w:t xml:space="preserve">line ibrutinib treatment in the </w:t>
      </w:r>
      <w:r w:rsidR="007E15A6" w:rsidRPr="001D6B20">
        <w:t>chlorambucil plus obinutuzumab</w:t>
      </w:r>
      <w:r w:rsidR="00A26C55" w:rsidRPr="001D6B20">
        <w:t xml:space="preserve"> group </w:t>
      </w:r>
      <w:r w:rsidR="000432D4" w:rsidRPr="001D6B20">
        <w:t xml:space="preserve">substantially </w:t>
      </w:r>
      <w:r w:rsidR="00A26C55" w:rsidRPr="001D6B20">
        <w:t>increase</w:t>
      </w:r>
      <w:r w:rsidR="00AB25DC">
        <w:t>d</w:t>
      </w:r>
      <w:r w:rsidR="00A26C55" w:rsidRPr="001D6B20">
        <w:t xml:space="preserve"> the overall cost</w:t>
      </w:r>
      <w:r w:rsidR="00AB25DC">
        <w:t>s</w:t>
      </w:r>
      <w:r w:rsidR="00EB3401">
        <w:t xml:space="preserve"> compared</w:t>
      </w:r>
      <w:r w:rsidRPr="001D6B20">
        <w:t xml:space="preserve"> to the acalabrutinib group</w:t>
      </w:r>
      <w:r w:rsidR="00B9720D" w:rsidRPr="001D6B20">
        <w:t>.</w:t>
      </w:r>
      <w:r w:rsidR="00070F69" w:rsidRPr="001D6B20">
        <w:t xml:space="preserve"> The company consider</w:t>
      </w:r>
      <w:r w:rsidRPr="001D6B20">
        <w:t>ed</w:t>
      </w:r>
      <w:r w:rsidR="00070F69" w:rsidRPr="001D6B20">
        <w:t xml:space="preserve"> </w:t>
      </w:r>
      <w:r w:rsidR="00AB25DC">
        <w:t xml:space="preserve">that </w:t>
      </w:r>
      <w:r w:rsidR="00070F69" w:rsidRPr="001D6B20">
        <w:t>the log</w:t>
      </w:r>
      <w:r w:rsidRPr="001D6B20">
        <w:t>-</w:t>
      </w:r>
      <w:r w:rsidR="00070F69" w:rsidRPr="001D6B20">
        <w:t>normal distribution provide</w:t>
      </w:r>
      <w:r w:rsidR="00AB25DC">
        <w:t>d</w:t>
      </w:r>
      <w:r w:rsidR="00070F69" w:rsidRPr="001D6B20">
        <w:t xml:space="preserve"> the most clinically realistic second</w:t>
      </w:r>
      <w:r w:rsidRPr="001D6B20">
        <w:t>-</w:t>
      </w:r>
      <w:r w:rsidR="00070F69" w:rsidRPr="001D6B20">
        <w:t>line ibrutinib treatment duration and provide</w:t>
      </w:r>
      <w:r w:rsidR="00AB25DC">
        <w:t>d</w:t>
      </w:r>
      <w:r w:rsidR="00070F69" w:rsidRPr="001D6B20">
        <w:t xml:space="preserve"> the best statistical fit to the data</w:t>
      </w:r>
      <w:r w:rsidR="00A26C55" w:rsidRPr="001D6B20">
        <w:t>.</w:t>
      </w:r>
      <w:r w:rsidRPr="001D6B20">
        <w:t xml:space="preserve"> </w:t>
      </w:r>
      <w:r w:rsidR="00796915" w:rsidRPr="001D6B20">
        <w:t>The c</w:t>
      </w:r>
      <w:r w:rsidR="008123EF" w:rsidRPr="001D6B20">
        <w:t>linical expert</w:t>
      </w:r>
      <w:r w:rsidR="00796915" w:rsidRPr="001D6B20">
        <w:t>s</w:t>
      </w:r>
      <w:r w:rsidR="008123EF" w:rsidRPr="001D6B20">
        <w:t xml:space="preserve"> </w:t>
      </w:r>
      <w:r w:rsidR="00796915" w:rsidRPr="001D6B20">
        <w:t>suggested that a second</w:t>
      </w:r>
      <w:r w:rsidRPr="001D6B20">
        <w:t>-</w:t>
      </w:r>
      <w:r w:rsidR="00796915" w:rsidRPr="001D6B20">
        <w:t xml:space="preserve">line treatment duration of </w:t>
      </w:r>
      <w:r w:rsidRPr="001D6B20">
        <w:t xml:space="preserve">around </w:t>
      </w:r>
      <w:r w:rsidR="00796915" w:rsidRPr="001D6B20">
        <w:t>4.5</w:t>
      </w:r>
      <w:r w:rsidR="00AB25DC">
        <w:t> </w:t>
      </w:r>
      <w:r w:rsidR="00796915" w:rsidRPr="001D6B20">
        <w:t xml:space="preserve">years for ibrutinib </w:t>
      </w:r>
      <w:r w:rsidR="00AB25DC">
        <w:t>wa</w:t>
      </w:r>
      <w:r w:rsidR="00796915" w:rsidRPr="001D6B20">
        <w:t>s reasonable</w:t>
      </w:r>
      <w:r w:rsidR="00AB25DC">
        <w:t>,</w:t>
      </w:r>
      <w:r w:rsidR="00524B68">
        <w:t xml:space="preserve"> which corresponded to the ERG’s approach</w:t>
      </w:r>
      <w:r w:rsidR="00796915" w:rsidRPr="001D6B20">
        <w:t>.</w:t>
      </w:r>
      <w:r w:rsidR="00CC2B31">
        <w:t xml:space="preserve"> </w:t>
      </w:r>
      <w:r w:rsidR="006F21CC" w:rsidRPr="001D6B20">
        <w:t xml:space="preserve">The ERG </w:t>
      </w:r>
      <w:r w:rsidRPr="001D6B20">
        <w:t xml:space="preserve">also </w:t>
      </w:r>
      <w:r w:rsidR="006F21CC" w:rsidRPr="001D6B20">
        <w:t>highlighted that reducing the delay</w:t>
      </w:r>
      <w:r w:rsidR="0074708C" w:rsidRPr="001D6B20">
        <w:t xml:space="preserve"> from progression to second-line treatment</w:t>
      </w:r>
      <w:r w:rsidR="006F21CC" w:rsidRPr="001D6B20">
        <w:t xml:space="preserve"> led to a much greater increase in the subsequent treatment cost of ibrutinib in the </w:t>
      </w:r>
      <w:r w:rsidR="0074708C" w:rsidRPr="001D6B20">
        <w:t>chlorambucil plus obinutuzumab</w:t>
      </w:r>
      <w:r w:rsidR="006F21CC" w:rsidRPr="001D6B20">
        <w:t xml:space="preserve"> group than </w:t>
      </w:r>
      <w:r w:rsidR="002E67FF">
        <w:t xml:space="preserve">in </w:t>
      </w:r>
      <w:r w:rsidR="006F21CC" w:rsidRPr="001D6B20">
        <w:t>the subsequent treatment cost of venetoclax plus rituximab in the acalabrutinib group.</w:t>
      </w:r>
      <w:r w:rsidR="00B67F9A" w:rsidRPr="001D6B20">
        <w:t xml:space="preserve"> The c</w:t>
      </w:r>
      <w:r w:rsidR="00B952B4" w:rsidRPr="001D6B20">
        <w:t xml:space="preserve">ompany </w:t>
      </w:r>
      <w:r w:rsidR="00B67F9A" w:rsidRPr="001D6B20">
        <w:t>explained that the 14</w:t>
      </w:r>
      <w:r w:rsidR="002A3706">
        <w:t>-</w:t>
      </w:r>
      <w:r w:rsidR="00B67F9A" w:rsidRPr="001D6B20">
        <w:t xml:space="preserve">cycle delay was </w:t>
      </w:r>
      <w:r w:rsidR="00B952B4" w:rsidRPr="001D6B20">
        <w:t xml:space="preserve">included to account for the </w:t>
      </w:r>
      <w:r w:rsidR="00B67F9A" w:rsidRPr="001D6B20">
        <w:t>assumption</w:t>
      </w:r>
      <w:r w:rsidR="00B952B4" w:rsidRPr="001D6B20">
        <w:t xml:space="preserve"> that patients would </w:t>
      </w:r>
      <w:r w:rsidR="002A3706">
        <w:t>have</w:t>
      </w:r>
      <w:r w:rsidR="00B952B4" w:rsidRPr="001D6B20">
        <w:t xml:space="preserve"> subsequent treatments at different ages depending on when they progressed.</w:t>
      </w:r>
      <w:r w:rsidR="00B67F9A" w:rsidRPr="001D6B20">
        <w:t xml:space="preserve"> </w:t>
      </w:r>
      <w:r w:rsidR="002E67FF">
        <w:t>The company</w:t>
      </w:r>
      <w:r w:rsidR="002E67FF" w:rsidRPr="001D6B20">
        <w:t xml:space="preserve"> </w:t>
      </w:r>
      <w:r w:rsidR="00B67F9A" w:rsidRPr="001D6B20">
        <w:t>reduced the delay to 1</w:t>
      </w:r>
      <w:r w:rsidR="002E67FF">
        <w:t> </w:t>
      </w:r>
      <w:r w:rsidR="00B67F9A" w:rsidRPr="001D6B20">
        <w:t>cycle</w:t>
      </w:r>
      <w:r w:rsidR="00B952B4" w:rsidRPr="001D6B20">
        <w:t xml:space="preserve"> because </w:t>
      </w:r>
      <w:r w:rsidR="002E67FF">
        <w:t>it</w:t>
      </w:r>
      <w:r w:rsidR="00B952B4" w:rsidRPr="001D6B20">
        <w:t xml:space="preserve"> consider</w:t>
      </w:r>
      <w:r w:rsidR="00B67F9A" w:rsidRPr="001D6B20">
        <w:t>ed</w:t>
      </w:r>
      <w:r w:rsidR="00B952B4" w:rsidRPr="001D6B20">
        <w:t xml:space="preserve"> </w:t>
      </w:r>
      <w:r w:rsidR="007364DC">
        <w:t xml:space="preserve">that </w:t>
      </w:r>
      <w:r w:rsidR="00053664">
        <w:t>the ERG’s model use</w:t>
      </w:r>
      <w:r w:rsidR="007364DC">
        <w:t>d</w:t>
      </w:r>
      <w:r w:rsidR="00B952B4" w:rsidRPr="001D6B20">
        <w:t xml:space="preserve"> a more personalised approach.</w:t>
      </w:r>
      <w:r w:rsidR="00B67F9A" w:rsidRPr="001D6B20">
        <w:t xml:space="preserve"> The c</w:t>
      </w:r>
      <w:r w:rsidR="00B952B4" w:rsidRPr="001D6B20">
        <w:t>ompany</w:t>
      </w:r>
      <w:r w:rsidR="00B67F9A" w:rsidRPr="001D6B20">
        <w:t xml:space="preserve"> also</w:t>
      </w:r>
      <w:r w:rsidR="00B952B4" w:rsidRPr="001D6B20">
        <w:t xml:space="preserve"> explained that the 14</w:t>
      </w:r>
      <w:r w:rsidR="002E67FF">
        <w:t>-</w:t>
      </w:r>
      <w:r w:rsidR="00B952B4" w:rsidRPr="001D6B20">
        <w:t>cycle</w:t>
      </w:r>
      <w:r w:rsidR="00B67F9A" w:rsidRPr="001D6B20">
        <w:t xml:space="preserve"> d</w:t>
      </w:r>
      <w:r w:rsidR="002E67FF">
        <w:t>elay</w:t>
      </w:r>
      <w:r w:rsidR="00B952B4" w:rsidRPr="001D6B20">
        <w:t xml:space="preserve"> was based on immature data from ELEVATE-TN</w:t>
      </w:r>
      <w:r w:rsidR="002E67FF">
        <w:t xml:space="preserve">. It </w:t>
      </w:r>
      <w:r w:rsidR="00B67F9A" w:rsidRPr="001D6B20">
        <w:t>d</w:t>
      </w:r>
      <w:r w:rsidR="00B952B4" w:rsidRPr="001D6B20">
        <w:t>iscuss</w:t>
      </w:r>
      <w:r w:rsidR="002E67FF">
        <w:t>ed</w:t>
      </w:r>
      <w:r w:rsidR="00B952B4" w:rsidRPr="001D6B20">
        <w:t xml:space="preserve"> </w:t>
      </w:r>
      <w:r w:rsidR="002E67FF">
        <w:t xml:space="preserve">this </w:t>
      </w:r>
      <w:r w:rsidR="00B952B4" w:rsidRPr="001D6B20">
        <w:t xml:space="preserve">with </w:t>
      </w:r>
      <w:r w:rsidR="002E67FF">
        <w:t>its</w:t>
      </w:r>
      <w:r w:rsidR="002E67FF" w:rsidRPr="001D6B20">
        <w:t xml:space="preserve"> </w:t>
      </w:r>
      <w:r w:rsidR="00B952B4" w:rsidRPr="001D6B20">
        <w:t xml:space="preserve">clinical </w:t>
      </w:r>
      <w:r w:rsidR="00B952B4" w:rsidRPr="001D6B20">
        <w:lastRenderedPageBreak/>
        <w:t xml:space="preserve">advisers </w:t>
      </w:r>
      <w:r w:rsidR="002E67FF">
        <w:t xml:space="preserve">who </w:t>
      </w:r>
      <w:r w:rsidR="00B952B4" w:rsidRPr="001D6B20">
        <w:t xml:space="preserve">suggested </w:t>
      </w:r>
      <w:r w:rsidR="002E67FF">
        <w:t xml:space="preserve">that </w:t>
      </w:r>
      <w:r w:rsidR="00B952B4" w:rsidRPr="001D6B20">
        <w:t>the 14</w:t>
      </w:r>
      <w:r w:rsidR="00883130">
        <w:t>-</w:t>
      </w:r>
      <w:r w:rsidR="00B952B4" w:rsidRPr="001D6B20">
        <w:t>cycle d</w:t>
      </w:r>
      <w:r w:rsidR="00883130">
        <w:t>elay</w:t>
      </w:r>
      <w:r w:rsidR="00B952B4" w:rsidRPr="001D6B20">
        <w:t xml:space="preserve"> was not clinically plausible </w:t>
      </w:r>
      <w:r w:rsidR="00B67F9A" w:rsidRPr="001D6B20">
        <w:t>because</w:t>
      </w:r>
      <w:r w:rsidR="00B952B4" w:rsidRPr="001D6B20">
        <w:t xml:space="preserve"> patients would not </w:t>
      </w:r>
      <w:r w:rsidR="00883130">
        <w:t>have</w:t>
      </w:r>
      <w:r w:rsidR="00B952B4" w:rsidRPr="001D6B20">
        <w:t xml:space="preserve"> to wait </w:t>
      </w:r>
      <w:r w:rsidR="00883130">
        <w:t>for</w:t>
      </w:r>
      <w:r w:rsidR="00883130" w:rsidRPr="001D6B20">
        <w:t xml:space="preserve"> </w:t>
      </w:r>
      <w:r w:rsidR="00B952B4" w:rsidRPr="001D6B20">
        <w:t>1</w:t>
      </w:r>
      <w:r w:rsidR="00F9157D">
        <w:t> </w:t>
      </w:r>
      <w:r w:rsidR="00B952B4" w:rsidRPr="001D6B20">
        <w:t>year before starting second</w:t>
      </w:r>
      <w:r w:rsidR="00B67F9A" w:rsidRPr="001D6B20">
        <w:t>-</w:t>
      </w:r>
      <w:r w:rsidR="00B952B4" w:rsidRPr="001D6B20">
        <w:t>line treatment</w:t>
      </w:r>
      <w:r w:rsidR="00B67F9A" w:rsidRPr="001D6B20">
        <w:t xml:space="preserve">. The </w:t>
      </w:r>
      <w:r w:rsidR="00A72315" w:rsidRPr="001D6B20">
        <w:t>ERG noted that the company</w:t>
      </w:r>
      <w:r w:rsidR="00884341">
        <w:t>’s</w:t>
      </w:r>
      <w:r w:rsidR="00A72315" w:rsidRPr="001D6B20">
        <w:t xml:space="preserve"> submission did not clearly identify the rationale for assuming a 14</w:t>
      </w:r>
      <w:r w:rsidR="002E67FF">
        <w:t>-</w:t>
      </w:r>
      <w:r w:rsidR="00A72315" w:rsidRPr="001D6B20">
        <w:t>cycle delay and that data from ELEVATE-TN could be used to determine the mean delay but th</w:t>
      </w:r>
      <w:r w:rsidR="0054745A">
        <w:t>ose</w:t>
      </w:r>
      <w:r w:rsidR="00A72315" w:rsidRPr="001D6B20">
        <w:t xml:space="preserve"> data w</w:t>
      </w:r>
      <w:r w:rsidR="002E67FF">
        <w:t>ere</w:t>
      </w:r>
      <w:r w:rsidR="00A72315" w:rsidRPr="001D6B20">
        <w:t xml:space="preserve"> not presented.</w:t>
      </w:r>
      <w:r w:rsidR="00B67F9A" w:rsidRPr="001D6B20">
        <w:t xml:space="preserve"> </w:t>
      </w:r>
      <w:r w:rsidR="000432D4" w:rsidRPr="001D6B20">
        <w:t>The clinical expert</w:t>
      </w:r>
      <w:r w:rsidR="003E3431">
        <w:t>s</w:t>
      </w:r>
      <w:r w:rsidR="000432D4" w:rsidRPr="001D6B20">
        <w:t xml:space="preserve"> </w:t>
      </w:r>
      <w:r w:rsidR="004138A0" w:rsidRPr="001D6B20">
        <w:t xml:space="preserve">explained that </w:t>
      </w:r>
      <w:r w:rsidR="00CD2369" w:rsidRPr="001D6B20">
        <w:t xml:space="preserve">in </w:t>
      </w:r>
      <w:r w:rsidR="001520F6">
        <w:t>practice</w:t>
      </w:r>
      <w:r w:rsidR="001520F6" w:rsidRPr="001D6B20">
        <w:t xml:space="preserve"> </w:t>
      </w:r>
      <w:r w:rsidR="00E655A4" w:rsidRPr="001D6B20">
        <w:t>it is sometimes reasonable to wait 1</w:t>
      </w:r>
      <w:r w:rsidR="00F9157D">
        <w:t> </w:t>
      </w:r>
      <w:r w:rsidR="00E655A4" w:rsidRPr="001D6B20">
        <w:t xml:space="preserve">year before starting </w:t>
      </w:r>
      <w:r w:rsidR="004138A0" w:rsidRPr="001D6B20">
        <w:t>second</w:t>
      </w:r>
      <w:r w:rsidR="00B67F9A" w:rsidRPr="001D6B20">
        <w:t>-</w:t>
      </w:r>
      <w:r w:rsidR="004138A0" w:rsidRPr="001D6B20">
        <w:t xml:space="preserve">line treatment </w:t>
      </w:r>
      <w:r w:rsidR="001C4BA6">
        <w:t>after</w:t>
      </w:r>
      <w:r w:rsidR="001C4BA6" w:rsidRPr="001D6B20">
        <w:t xml:space="preserve"> </w:t>
      </w:r>
      <w:r w:rsidR="00E655A4" w:rsidRPr="001D6B20">
        <w:t xml:space="preserve">progression </w:t>
      </w:r>
      <w:r w:rsidR="001C4BA6">
        <w:t>with</w:t>
      </w:r>
      <w:r w:rsidR="001C4BA6" w:rsidRPr="001D6B20">
        <w:t xml:space="preserve"> </w:t>
      </w:r>
      <w:r w:rsidR="00E655A4" w:rsidRPr="001D6B20">
        <w:t>chlorambucil plus obinutuzumab.</w:t>
      </w:r>
      <w:r w:rsidR="00B67F9A" w:rsidRPr="001D6B20">
        <w:t xml:space="preserve"> </w:t>
      </w:r>
      <w:r w:rsidR="006C545E" w:rsidRPr="001D6B20">
        <w:t xml:space="preserve">The committee </w:t>
      </w:r>
      <w:r w:rsidR="001D6B20" w:rsidRPr="001D6B20">
        <w:t xml:space="preserve">considered the </w:t>
      </w:r>
      <w:r w:rsidR="006C545E" w:rsidRPr="001D6B20">
        <w:t>log</w:t>
      </w:r>
      <w:r w:rsidR="001D6B20" w:rsidRPr="001D6B20">
        <w:t>-</w:t>
      </w:r>
      <w:r w:rsidR="006C545E" w:rsidRPr="001D6B20">
        <w:t xml:space="preserve">normal </w:t>
      </w:r>
      <w:r w:rsidR="001D6B20" w:rsidRPr="001D6B20">
        <w:t>parametric model to be plausible</w:t>
      </w:r>
      <w:r w:rsidR="006C545E" w:rsidRPr="001D6B20">
        <w:t xml:space="preserve"> </w:t>
      </w:r>
      <w:r w:rsidR="001D6B20" w:rsidRPr="001D6B20">
        <w:t xml:space="preserve">but </w:t>
      </w:r>
      <w:r w:rsidR="00226DFB">
        <w:t xml:space="preserve">preferred the </w:t>
      </w:r>
      <w:r w:rsidR="00226DFB" w:rsidRPr="001D6B20">
        <w:t>Weibull</w:t>
      </w:r>
      <w:r w:rsidR="00226DFB">
        <w:t xml:space="preserve"> as it was less constrained by overall survival gains</w:t>
      </w:r>
      <w:r w:rsidR="006C545E" w:rsidRPr="001D6B20">
        <w:t>.</w:t>
      </w:r>
      <w:r w:rsidR="001D6B20" w:rsidRPr="001D6B20">
        <w:t xml:space="preserve"> </w:t>
      </w:r>
      <w:r w:rsidR="0054745A">
        <w:t>It</w:t>
      </w:r>
      <w:r w:rsidR="001D6B20" w:rsidRPr="001D6B20">
        <w:t xml:space="preserve"> noted </w:t>
      </w:r>
      <w:r w:rsidR="006C545E" w:rsidRPr="001D6B20">
        <w:t xml:space="preserve">some uncertainty </w:t>
      </w:r>
      <w:r w:rsidR="000E2586">
        <w:t>about</w:t>
      </w:r>
      <w:r w:rsidR="000E2586" w:rsidRPr="001D6B20">
        <w:t xml:space="preserve"> </w:t>
      </w:r>
      <w:r w:rsidR="006C545E" w:rsidRPr="001D6B20">
        <w:t xml:space="preserve">the appropriate delay between progression and </w:t>
      </w:r>
      <w:r w:rsidR="00742633">
        <w:t>starting</w:t>
      </w:r>
      <w:r w:rsidR="006C545E" w:rsidRPr="001D6B20">
        <w:t xml:space="preserve"> second</w:t>
      </w:r>
      <w:r w:rsidR="001D6B20" w:rsidRPr="001D6B20">
        <w:t>-</w:t>
      </w:r>
      <w:r w:rsidR="006C545E" w:rsidRPr="001D6B20">
        <w:t>line treatment</w:t>
      </w:r>
      <w:r w:rsidR="001D6B20" w:rsidRPr="001D6B20">
        <w:t xml:space="preserve"> and</w:t>
      </w:r>
      <w:r w:rsidR="006C545E" w:rsidRPr="001D6B20">
        <w:t xml:space="preserve"> </w:t>
      </w:r>
      <w:r w:rsidR="00A274F4" w:rsidRPr="001D6B20">
        <w:t>separate scenarios were considered for the 14</w:t>
      </w:r>
      <w:r w:rsidR="00742633">
        <w:t>-</w:t>
      </w:r>
      <w:r w:rsidR="00A274F4" w:rsidRPr="001D6B20">
        <w:t>cycle and the 1</w:t>
      </w:r>
      <w:r w:rsidR="00742633">
        <w:t>-</w:t>
      </w:r>
      <w:r w:rsidR="00A274F4" w:rsidRPr="001D6B20">
        <w:t>cycle delay</w:t>
      </w:r>
      <w:r w:rsidR="001D6B20" w:rsidRPr="001D6B20">
        <w:t>s</w:t>
      </w:r>
      <w:r w:rsidR="00A274F4" w:rsidRPr="001D6B20">
        <w:t>.</w:t>
      </w:r>
      <w:r w:rsidR="001D6B20" w:rsidRPr="001D6B20">
        <w:t xml:space="preserve"> The c</w:t>
      </w:r>
      <w:r w:rsidR="00A274F4" w:rsidRPr="001D6B20">
        <w:t xml:space="preserve">ommittee also acknowledged the </w:t>
      </w:r>
      <w:r w:rsidR="00742633">
        <w:t>effect</w:t>
      </w:r>
      <w:r w:rsidR="00742633" w:rsidRPr="001D6B20">
        <w:t xml:space="preserve"> </w:t>
      </w:r>
      <w:r w:rsidR="00A274F4" w:rsidRPr="001D6B20">
        <w:t>of sequencing on costs of subsequent treatments (see section</w:t>
      </w:r>
      <w:r w:rsidR="00742633">
        <w:t> </w:t>
      </w:r>
      <w:r w:rsidR="00A274F4" w:rsidRPr="001D6B20">
        <w:t>3.13).</w:t>
      </w:r>
      <w:r w:rsidR="001D6B20" w:rsidRPr="001D6B20">
        <w:t xml:space="preserve"> </w:t>
      </w:r>
      <w:r w:rsidR="00742633">
        <w:t>It</w:t>
      </w:r>
      <w:r w:rsidR="00742633" w:rsidRPr="001D6B20">
        <w:t xml:space="preserve"> </w:t>
      </w:r>
      <w:r w:rsidR="00A274F4" w:rsidRPr="001D6B20">
        <w:t xml:space="preserve">concluded that the costs of subsequent treatments in the chlorambucil plus </w:t>
      </w:r>
      <w:r w:rsidR="006A1EF8" w:rsidRPr="001D6B20">
        <w:t xml:space="preserve">obinutuzumab group </w:t>
      </w:r>
      <w:r w:rsidR="00742633">
        <w:t>were</w:t>
      </w:r>
      <w:r w:rsidR="006A1EF8" w:rsidRPr="001D6B20">
        <w:t xml:space="preserve"> likely overestimated in the company base case and considered different scenarios</w:t>
      </w:r>
      <w:r w:rsidR="001D6B20">
        <w:t xml:space="preserve"> in their decision making.</w:t>
      </w:r>
    </w:p>
    <w:p w14:paraId="696A31BA" w14:textId="7525A4E3" w:rsidR="008548FE" w:rsidRDefault="008548FE" w:rsidP="008548FE">
      <w:pPr>
        <w:pStyle w:val="Heading2"/>
      </w:pPr>
      <w:r>
        <w:t>Survival extrapolations</w:t>
      </w:r>
    </w:p>
    <w:p w14:paraId="403383B0" w14:textId="00028031" w:rsidR="008548FE" w:rsidRDefault="008548FE" w:rsidP="008548FE">
      <w:pPr>
        <w:pStyle w:val="Heading3"/>
      </w:pPr>
      <w:r>
        <w:t xml:space="preserve">For untreated CLL the </w:t>
      </w:r>
      <w:r w:rsidR="00841129">
        <w:t xml:space="preserve">overall survival </w:t>
      </w:r>
      <w:r>
        <w:t>data are immature</w:t>
      </w:r>
      <w:r w:rsidR="00841129">
        <w:t>,</w:t>
      </w:r>
      <w:r>
        <w:t xml:space="preserve"> leading to highly uncertain survival estimates</w:t>
      </w:r>
    </w:p>
    <w:p w14:paraId="7766FD34" w14:textId="269B2B5C" w:rsidR="000B123C" w:rsidRPr="00460716" w:rsidRDefault="00780223" w:rsidP="001A4191">
      <w:pPr>
        <w:pStyle w:val="Numberedlevel2text"/>
      </w:pPr>
      <w:r w:rsidRPr="008249F1">
        <w:rPr>
          <w:lang w:val="en-GB"/>
        </w:rPr>
        <w:t>The data from ELEVATE-TN show</w:t>
      </w:r>
      <w:r w:rsidR="00183CE6" w:rsidRPr="008249F1">
        <w:rPr>
          <w:lang w:val="en-GB"/>
        </w:rPr>
        <w:t>ed</w:t>
      </w:r>
      <w:r w:rsidRPr="008249F1">
        <w:rPr>
          <w:lang w:val="en-GB"/>
        </w:rPr>
        <w:t xml:space="preserve"> a trend towards improved overall survival for acalabrutinib compared with chlorambucil plus obinutuzumab</w:t>
      </w:r>
      <w:r w:rsidR="00841129">
        <w:rPr>
          <w:lang w:val="en-GB"/>
        </w:rPr>
        <w:t>.</w:t>
      </w:r>
      <w:r w:rsidRPr="008249F1">
        <w:rPr>
          <w:lang w:val="en-GB"/>
        </w:rPr>
        <w:t xml:space="preserve"> </w:t>
      </w:r>
      <w:r w:rsidR="00841129">
        <w:rPr>
          <w:lang w:val="en-GB"/>
        </w:rPr>
        <w:t>B</w:t>
      </w:r>
      <w:r w:rsidRPr="008249F1">
        <w:rPr>
          <w:lang w:val="en-GB"/>
        </w:rPr>
        <w:t xml:space="preserve">ut the data </w:t>
      </w:r>
      <w:r w:rsidR="00841129">
        <w:rPr>
          <w:lang w:val="en-GB"/>
        </w:rPr>
        <w:t>were</w:t>
      </w:r>
      <w:r w:rsidRPr="008249F1">
        <w:rPr>
          <w:lang w:val="en-GB"/>
        </w:rPr>
        <w:t xml:space="preserve"> immature</w:t>
      </w:r>
      <w:r w:rsidR="00841129">
        <w:rPr>
          <w:lang w:val="en-GB"/>
        </w:rPr>
        <w:t>,</w:t>
      </w:r>
      <w:r w:rsidRPr="008249F1">
        <w:rPr>
          <w:lang w:val="en-GB"/>
        </w:rPr>
        <w:t xml:space="preserve"> with median follow-up at 28</w:t>
      </w:r>
      <w:r w:rsidR="00841129">
        <w:rPr>
          <w:lang w:val="en-GB"/>
        </w:rPr>
        <w:t> </w:t>
      </w:r>
      <w:r w:rsidRPr="008249F1">
        <w:rPr>
          <w:lang w:val="en-GB"/>
        </w:rPr>
        <w:t>months</w:t>
      </w:r>
      <w:r w:rsidR="00C336B7">
        <w:rPr>
          <w:lang w:val="en-GB"/>
        </w:rPr>
        <w:t>,</w:t>
      </w:r>
      <w:r w:rsidRPr="008249F1">
        <w:rPr>
          <w:lang w:val="en-GB"/>
        </w:rPr>
        <w:t xml:space="preserve"> and the difference </w:t>
      </w:r>
      <w:r w:rsidR="00C336B7">
        <w:rPr>
          <w:lang w:val="en-GB"/>
        </w:rPr>
        <w:t xml:space="preserve">between the groups </w:t>
      </w:r>
      <w:r w:rsidR="00183CE6" w:rsidRPr="008249F1">
        <w:rPr>
          <w:lang w:val="en-GB"/>
        </w:rPr>
        <w:t>wa</w:t>
      </w:r>
      <w:r w:rsidRPr="008249F1">
        <w:rPr>
          <w:lang w:val="en-GB"/>
        </w:rPr>
        <w:t>s not statistically significant.</w:t>
      </w:r>
      <w:r w:rsidR="00BE4707" w:rsidRPr="008249F1">
        <w:rPr>
          <w:lang w:val="en-GB"/>
        </w:rPr>
        <w:t xml:space="preserve"> The company</w:t>
      </w:r>
      <w:r w:rsidR="00290AD6">
        <w:rPr>
          <w:lang w:val="en-GB"/>
        </w:rPr>
        <w:t xml:space="preserve"> </w:t>
      </w:r>
      <w:r w:rsidR="00BE4707" w:rsidRPr="008249F1">
        <w:rPr>
          <w:lang w:val="en-GB"/>
        </w:rPr>
        <w:t>estimate</w:t>
      </w:r>
      <w:r w:rsidR="00183CE6" w:rsidRPr="008249F1">
        <w:rPr>
          <w:lang w:val="en-GB"/>
        </w:rPr>
        <w:t>d</w:t>
      </w:r>
      <w:r w:rsidR="00BE4707" w:rsidRPr="008249F1">
        <w:rPr>
          <w:lang w:val="en-GB"/>
        </w:rPr>
        <w:t xml:space="preserve"> overall survival as a function of time to progression, pre-progression mortality and post-progression survival.</w:t>
      </w:r>
      <w:r w:rsidR="00183CE6" w:rsidRPr="008249F1">
        <w:rPr>
          <w:lang w:val="en-GB"/>
        </w:rPr>
        <w:t xml:space="preserve"> </w:t>
      </w:r>
      <w:r w:rsidR="00BE4707" w:rsidRPr="008249F1">
        <w:rPr>
          <w:lang w:val="en-GB"/>
        </w:rPr>
        <w:t xml:space="preserve">Parametric survival models were fitted to data from ELEVATE-TN to model </w:t>
      </w:r>
      <w:r w:rsidR="00841129" w:rsidRPr="008249F1">
        <w:rPr>
          <w:lang w:val="en-GB"/>
        </w:rPr>
        <w:t>time to progression</w:t>
      </w:r>
      <w:r w:rsidR="00BE4707" w:rsidRPr="008249F1">
        <w:rPr>
          <w:lang w:val="en-GB"/>
        </w:rPr>
        <w:t xml:space="preserve"> and </w:t>
      </w:r>
      <w:r w:rsidR="00841129" w:rsidRPr="008249F1">
        <w:rPr>
          <w:lang w:val="en-GB"/>
        </w:rPr>
        <w:t>pre-progression mortality</w:t>
      </w:r>
      <w:r w:rsidR="00183CE6" w:rsidRPr="008249F1">
        <w:rPr>
          <w:lang w:val="en-GB"/>
        </w:rPr>
        <w:t xml:space="preserve">. </w:t>
      </w:r>
      <w:r w:rsidR="00290AD6">
        <w:rPr>
          <w:lang w:val="en-GB"/>
        </w:rPr>
        <w:t>P</w:t>
      </w:r>
      <w:r w:rsidR="00841129" w:rsidRPr="008249F1">
        <w:rPr>
          <w:lang w:val="en-GB"/>
        </w:rPr>
        <w:t>ost-progression survival</w:t>
      </w:r>
      <w:r w:rsidR="005B4060" w:rsidRPr="008249F1">
        <w:rPr>
          <w:lang w:val="en-GB"/>
        </w:rPr>
        <w:t xml:space="preserve"> in the acalabrutinib arm used overall survival data from the </w:t>
      </w:r>
      <w:r w:rsidR="00183CE6" w:rsidRPr="008249F1">
        <w:rPr>
          <w:lang w:val="en-GB"/>
        </w:rPr>
        <w:t>v</w:t>
      </w:r>
      <w:r w:rsidR="005B4060" w:rsidRPr="008249F1">
        <w:rPr>
          <w:lang w:val="en-GB"/>
        </w:rPr>
        <w:t>en</w:t>
      </w:r>
      <w:r w:rsidR="00183CE6" w:rsidRPr="008249F1">
        <w:rPr>
          <w:lang w:val="en-GB"/>
        </w:rPr>
        <w:t>etoclax plus rituximab</w:t>
      </w:r>
      <w:r w:rsidR="005B4060" w:rsidRPr="008249F1">
        <w:rPr>
          <w:lang w:val="en-GB"/>
        </w:rPr>
        <w:t xml:space="preserve"> arm of </w:t>
      </w:r>
      <w:r w:rsidR="00183CE6" w:rsidRPr="008249F1">
        <w:rPr>
          <w:lang w:val="en-GB"/>
        </w:rPr>
        <w:t xml:space="preserve">the </w:t>
      </w:r>
      <w:r w:rsidR="005B4060" w:rsidRPr="008249F1">
        <w:rPr>
          <w:lang w:val="en-GB"/>
        </w:rPr>
        <w:t xml:space="preserve">MURANO trial. In the chlorambucil plus </w:t>
      </w:r>
      <w:r w:rsidR="005B4060" w:rsidRPr="008249F1">
        <w:rPr>
          <w:lang w:val="en-GB"/>
        </w:rPr>
        <w:lastRenderedPageBreak/>
        <w:t xml:space="preserve">obinutuzumab group, data from </w:t>
      </w:r>
      <w:r w:rsidR="00183CE6" w:rsidRPr="008249F1">
        <w:rPr>
          <w:lang w:val="en-GB"/>
        </w:rPr>
        <w:t xml:space="preserve">the </w:t>
      </w:r>
      <w:r w:rsidR="005B4060" w:rsidRPr="008249F1">
        <w:rPr>
          <w:lang w:val="en-GB"/>
        </w:rPr>
        <w:t>ibrutinib arm of RESONATE</w:t>
      </w:r>
      <w:r w:rsidR="00183CE6" w:rsidRPr="008249F1">
        <w:rPr>
          <w:lang w:val="en-GB"/>
        </w:rPr>
        <w:t xml:space="preserve"> w</w:t>
      </w:r>
      <w:r w:rsidR="00854995">
        <w:rPr>
          <w:lang w:val="en-GB"/>
        </w:rPr>
        <w:t>ere</w:t>
      </w:r>
      <w:r w:rsidR="005B4060" w:rsidRPr="008249F1">
        <w:rPr>
          <w:lang w:val="en-GB"/>
        </w:rPr>
        <w:t xml:space="preserve"> used</w:t>
      </w:r>
      <w:r w:rsidR="008C3B79">
        <w:rPr>
          <w:lang w:val="en-GB"/>
        </w:rPr>
        <w:t xml:space="preserve"> in a similar way</w:t>
      </w:r>
      <w:r w:rsidR="00F8125F">
        <w:rPr>
          <w:lang w:val="en-GB"/>
        </w:rPr>
        <w:t>, but</w:t>
      </w:r>
      <w:r w:rsidR="005B4060" w:rsidRPr="008249F1">
        <w:rPr>
          <w:lang w:val="en-GB"/>
        </w:rPr>
        <w:t xml:space="preserve"> </w:t>
      </w:r>
      <w:r w:rsidR="00183CE6" w:rsidRPr="008249F1">
        <w:rPr>
          <w:lang w:val="en-GB"/>
        </w:rPr>
        <w:t>result</w:t>
      </w:r>
      <w:r w:rsidR="00854995">
        <w:rPr>
          <w:lang w:val="en-GB"/>
        </w:rPr>
        <w:t>ed</w:t>
      </w:r>
      <w:r w:rsidR="00183CE6" w:rsidRPr="008249F1">
        <w:rPr>
          <w:lang w:val="en-GB"/>
        </w:rPr>
        <w:t xml:space="preserve"> in</w:t>
      </w:r>
      <w:r w:rsidR="005B4060" w:rsidRPr="008249F1">
        <w:rPr>
          <w:lang w:val="en-GB"/>
        </w:rPr>
        <w:t xml:space="preserve"> a lower overall survival</w:t>
      </w:r>
      <w:r w:rsidR="00183CE6" w:rsidRPr="008249F1">
        <w:rPr>
          <w:lang w:val="en-GB"/>
        </w:rPr>
        <w:t xml:space="preserve"> rate</w:t>
      </w:r>
      <w:r w:rsidR="005B4060" w:rsidRPr="008249F1">
        <w:rPr>
          <w:lang w:val="en-GB"/>
        </w:rPr>
        <w:t xml:space="preserve">. </w:t>
      </w:r>
      <w:r w:rsidR="00183CE6" w:rsidRPr="008249F1">
        <w:rPr>
          <w:lang w:val="en-GB"/>
        </w:rPr>
        <w:t>The ERG considered</w:t>
      </w:r>
      <w:r w:rsidR="005B4060" w:rsidRPr="008249F1">
        <w:rPr>
          <w:lang w:val="en-GB"/>
        </w:rPr>
        <w:t xml:space="preserve"> this </w:t>
      </w:r>
      <w:r w:rsidR="00156E7F">
        <w:rPr>
          <w:lang w:val="en-GB"/>
        </w:rPr>
        <w:t>approach f</w:t>
      </w:r>
      <w:r w:rsidR="005B4060" w:rsidRPr="008249F1">
        <w:rPr>
          <w:lang w:val="en-GB"/>
        </w:rPr>
        <w:t>avour</w:t>
      </w:r>
      <w:r w:rsidR="00156E7F">
        <w:rPr>
          <w:lang w:val="en-GB"/>
        </w:rPr>
        <w:t>ed</w:t>
      </w:r>
      <w:r w:rsidR="005B4060" w:rsidRPr="008249F1">
        <w:rPr>
          <w:lang w:val="en-GB"/>
        </w:rPr>
        <w:t xml:space="preserve"> </w:t>
      </w:r>
      <w:r w:rsidR="00F8125F">
        <w:rPr>
          <w:lang w:val="en-GB"/>
        </w:rPr>
        <w:t>the</w:t>
      </w:r>
      <w:r w:rsidR="005B4060" w:rsidRPr="008249F1">
        <w:rPr>
          <w:lang w:val="en-GB"/>
        </w:rPr>
        <w:t xml:space="preserve"> sequence </w:t>
      </w:r>
      <w:r w:rsidR="00F8125F">
        <w:rPr>
          <w:lang w:val="en-GB"/>
        </w:rPr>
        <w:t xml:space="preserve">using </w:t>
      </w:r>
      <w:r w:rsidR="00183CE6" w:rsidRPr="008249F1">
        <w:rPr>
          <w:lang w:val="en-GB"/>
        </w:rPr>
        <w:t>v</w:t>
      </w:r>
      <w:r w:rsidR="005B4060" w:rsidRPr="008249F1">
        <w:rPr>
          <w:lang w:val="en-GB"/>
        </w:rPr>
        <w:t>en</w:t>
      </w:r>
      <w:r w:rsidR="00183CE6" w:rsidRPr="008249F1">
        <w:rPr>
          <w:lang w:val="en-GB"/>
        </w:rPr>
        <w:t>etoclax plus rituximab</w:t>
      </w:r>
      <w:r w:rsidR="005B4060" w:rsidRPr="008249F1">
        <w:rPr>
          <w:lang w:val="en-GB"/>
        </w:rPr>
        <w:t xml:space="preserve"> </w:t>
      </w:r>
      <w:r w:rsidR="00156E7F">
        <w:rPr>
          <w:lang w:val="en-GB"/>
        </w:rPr>
        <w:t xml:space="preserve">but </w:t>
      </w:r>
      <w:r w:rsidR="00143B31" w:rsidRPr="008249F1">
        <w:rPr>
          <w:lang w:val="en-GB"/>
        </w:rPr>
        <w:t xml:space="preserve">that it </w:t>
      </w:r>
      <w:r w:rsidR="00854995">
        <w:rPr>
          <w:lang w:val="en-GB"/>
        </w:rPr>
        <w:t>was</w:t>
      </w:r>
      <w:r w:rsidR="00EF1CF9" w:rsidRPr="008249F1">
        <w:rPr>
          <w:lang w:val="en-GB"/>
        </w:rPr>
        <w:t xml:space="preserve"> possible the difference in overall survival </w:t>
      </w:r>
      <w:r w:rsidR="00854995">
        <w:rPr>
          <w:lang w:val="en-GB"/>
        </w:rPr>
        <w:t>wa</w:t>
      </w:r>
      <w:r w:rsidR="00EF1CF9" w:rsidRPr="008249F1">
        <w:rPr>
          <w:lang w:val="en-GB"/>
        </w:rPr>
        <w:t xml:space="preserve">s because of confounding due to the </w:t>
      </w:r>
      <w:r w:rsidR="00143B31" w:rsidRPr="008249F1">
        <w:rPr>
          <w:lang w:val="en-GB"/>
        </w:rPr>
        <w:t xml:space="preserve">unadjusted </w:t>
      </w:r>
      <w:r w:rsidR="00EF1CF9" w:rsidRPr="008249F1">
        <w:rPr>
          <w:lang w:val="en-GB"/>
        </w:rPr>
        <w:t>arm-based comparison.</w:t>
      </w:r>
      <w:r w:rsidR="00143B31" w:rsidRPr="008249F1">
        <w:rPr>
          <w:lang w:val="en-GB"/>
        </w:rPr>
        <w:t xml:space="preserve"> The c</w:t>
      </w:r>
      <w:r w:rsidR="00EF1CF9" w:rsidRPr="008249F1">
        <w:rPr>
          <w:lang w:val="en-GB"/>
        </w:rPr>
        <w:t>ompany consider</w:t>
      </w:r>
      <w:r w:rsidR="00143B31" w:rsidRPr="008249F1">
        <w:rPr>
          <w:lang w:val="en-GB"/>
        </w:rPr>
        <w:t>ed</w:t>
      </w:r>
      <w:r w:rsidR="00EF1CF9" w:rsidRPr="008249F1">
        <w:rPr>
          <w:lang w:val="en-GB"/>
        </w:rPr>
        <w:t xml:space="preserve"> that the MURANO and RESONATE trials </w:t>
      </w:r>
      <w:r w:rsidR="00C56EA0">
        <w:rPr>
          <w:lang w:val="en-GB"/>
        </w:rPr>
        <w:t>reflected</w:t>
      </w:r>
      <w:r w:rsidR="00EF1CF9" w:rsidRPr="008249F1">
        <w:rPr>
          <w:lang w:val="en-GB"/>
        </w:rPr>
        <w:t xml:space="preserve"> clinical practice for subsequent treatments as indicated by </w:t>
      </w:r>
      <w:r w:rsidR="00A62033">
        <w:rPr>
          <w:lang w:val="en-GB"/>
        </w:rPr>
        <w:t>its</w:t>
      </w:r>
      <w:r w:rsidR="00EF1CF9" w:rsidRPr="008249F1">
        <w:rPr>
          <w:lang w:val="en-GB"/>
        </w:rPr>
        <w:t xml:space="preserve"> clinical advisers. </w:t>
      </w:r>
      <w:proofErr w:type="gramStart"/>
      <w:r w:rsidR="00C56EA0">
        <w:rPr>
          <w:lang w:val="en-GB"/>
        </w:rPr>
        <w:t>So</w:t>
      </w:r>
      <w:proofErr w:type="gramEnd"/>
      <w:r w:rsidR="00C56EA0">
        <w:rPr>
          <w:lang w:val="en-GB"/>
        </w:rPr>
        <w:t xml:space="preserve"> i</w:t>
      </w:r>
      <w:r w:rsidR="00854995">
        <w:rPr>
          <w:lang w:val="en-GB"/>
        </w:rPr>
        <w:t>t</w:t>
      </w:r>
      <w:r w:rsidR="00854995" w:rsidRPr="008249F1">
        <w:rPr>
          <w:lang w:val="en-GB"/>
        </w:rPr>
        <w:t xml:space="preserve"> </w:t>
      </w:r>
      <w:r w:rsidR="00EF1CF9" w:rsidRPr="008249F1">
        <w:rPr>
          <w:lang w:val="en-GB"/>
        </w:rPr>
        <w:t>consider</w:t>
      </w:r>
      <w:r w:rsidR="00143B31" w:rsidRPr="008249F1">
        <w:rPr>
          <w:lang w:val="en-GB"/>
        </w:rPr>
        <w:t>ed</w:t>
      </w:r>
      <w:r w:rsidR="00EF1CF9" w:rsidRPr="008249F1">
        <w:rPr>
          <w:lang w:val="en-GB"/>
        </w:rPr>
        <w:t xml:space="preserve"> th</w:t>
      </w:r>
      <w:r w:rsidR="00C56EA0">
        <w:rPr>
          <w:lang w:val="en-GB"/>
        </w:rPr>
        <w:t>e</w:t>
      </w:r>
      <w:r w:rsidR="00EF1CF9" w:rsidRPr="008249F1">
        <w:rPr>
          <w:lang w:val="en-GB"/>
        </w:rPr>
        <w:t xml:space="preserve"> </w:t>
      </w:r>
      <w:r w:rsidR="00854995" w:rsidRPr="008249F1">
        <w:rPr>
          <w:lang w:val="en-GB"/>
        </w:rPr>
        <w:t>post-progression survival</w:t>
      </w:r>
      <w:r w:rsidR="00EF1CF9" w:rsidRPr="008249F1">
        <w:rPr>
          <w:lang w:val="en-GB"/>
        </w:rPr>
        <w:t xml:space="preserve"> </w:t>
      </w:r>
      <w:r w:rsidR="00C56EA0">
        <w:rPr>
          <w:lang w:val="en-GB"/>
        </w:rPr>
        <w:t>estimates reasonable</w:t>
      </w:r>
      <w:r w:rsidR="00EF1CF9" w:rsidRPr="008249F1">
        <w:rPr>
          <w:lang w:val="en-GB"/>
        </w:rPr>
        <w:t>.</w:t>
      </w:r>
      <w:r w:rsidR="00143B31" w:rsidRPr="008249F1">
        <w:rPr>
          <w:lang w:val="en-GB"/>
        </w:rPr>
        <w:t xml:space="preserve"> The </w:t>
      </w:r>
      <w:r w:rsidR="00A13255" w:rsidRPr="008249F1">
        <w:rPr>
          <w:lang w:val="en-GB"/>
        </w:rPr>
        <w:t xml:space="preserve">ERG highlighted that when modelling </w:t>
      </w:r>
      <w:r w:rsidR="00854995" w:rsidRPr="008249F1">
        <w:rPr>
          <w:lang w:val="en-GB"/>
        </w:rPr>
        <w:t>post-progression survival</w:t>
      </w:r>
      <w:r w:rsidR="00A13255" w:rsidRPr="008249F1">
        <w:rPr>
          <w:lang w:val="en-GB"/>
        </w:rPr>
        <w:t xml:space="preserve"> </w:t>
      </w:r>
      <w:r w:rsidR="0068308A">
        <w:rPr>
          <w:lang w:val="en-GB"/>
        </w:rPr>
        <w:t>using</w:t>
      </w:r>
      <w:r w:rsidR="0068308A" w:rsidRPr="008249F1">
        <w:rPr>
          <w:lang w:val="en-GB"/>
        </w:rPr>
        <w:t xml:space="preserve"> </w:t>
      </w:r>
      <w:r w:rsidR="00A13255" w:rsidRPr="008249F1">
        <w:rPr>
          <w:lang w:val="en-GB"/>
        </w:rPr>
        <w:t>MURANO, the overall survival hazard converge</w:t>
      </w:r>
      <w:r w:rsidR="00E21523">
        <w:rPr>
          <w:lang w:val="en-GB"/>
        </w:rPr>
        <w:t>d</w:t>
      </w:r>
      <w:r w:rsidR="00A13255" w:rsidRPr="008249F1">
        <w:rPr>
          <w:lang w:val="en-GB"/>
        </w:rPr>
        <w:t xml:space="preserve"> </w:t>
      </w:r>
      <w:r w:rsidR="0068308A">
        <w:rPr>
          <w:lang w:val="en-GB"/>
        </w:rPr>
        <w:t xml:space="preserve">with that for </w:t>
      </w:r>
      <w:r w:rsidR="00A13255" w:rsidRPr="008249F1">
        <w:rPr>
          <w:lang w:val="en-GB"/>
        </w:rPr>
        <w:t>the general population</w:t>
      </w:r>
      <w:r w:rsidR="00E21523">
        <w:rPr>
          <w:lang w:val="en-GB"/>
        </w:rPr>
        <w:t>. This</w:t>
      </w:r>
      <w:r w:rsidR="00A13255" w:rsidRPr="008249F1">
        <w:rPr>
          <w:lang w:val="en-GB"/>
        </w:rPr>
        <w:t xml:space="preserve"> led to </w:t>
      </w:r>
      <w:r w:rsidR="00DD0FA9">
        <w:rPr>
          <w:lang w:val="en-GB"/>
        </w:rPr>
        <w:t>most</w:t>
      </w:r>
      <w:r w:rsidR="00D76EA2" w:rsidRPr="008249F1">
        <w:rPr>
          <w:lang w:val="en-GB"/>
        </w:rPr>
        <w:t xml:space="preserve"> people having acalabrutinib followed by </w:t>
      </w:r>
      <w:r w:rsidR="00143B31" w:rsidRPr="008249F1">
        <w:rPr>
          <w:lang w:val="en-GB"/>
        </w:rPr>
        <w:t>venetoclax plus rituximab</w:t>
      </w:r>
      <w:r w:rsidR="00D76EA2" w:rsidRPr="008249F1">
        <w:rPr>
          <w:lang w:val="en-GB"/>
        </w:rPr>
        <w:t xml:space="preserve"> </w:t>
      </w:r>
      <w:r w:rsidR="00A14768">
        <w:rPr>
          <w:lang w:val="en-GB"/>
        </w:rPr>
        <w:t>having similar</w:t>
      </w:r>
      <w:r w:rsidR="00D76EA2" w:rsidRPr="008249F1">
        <w:rPr>
          <w:lang w:val="en-GB"/>
        </w:rPr>
        <w:t xml:space="preserve"> </w:t>
      </w:r>
      <w:r w:rsidR="00DD0FA9">
        <w:rPr>
          <w:lang w:val="en-GB"/>
        </w:rPr>
        <w:t xml:space="preserve">survival </w:t>
      </w:r>
      <w:r w:rsidR="00D76EA2" w:rsidRPr="008249F1">
        <w:rPr>
          <w:lang w:val="en-GB"/>
        </w:rPr>
        <w:t>to the general population.</w:t>
      </w:r>
      <w:r w:rsidR="00143B31" w:rsidRPr="008249F1">
        <w:rPr>
          <w:lang w:val="en-GB"/>
        </w:rPr>
        <w:t xml:space="preserve"> The</w:t>
      </w:r>
      <w:r w:rsidR="00D6417F">
        <w:rPr>
          <w:lang w:val="en-GB"/>
        </w:rPr>
        <w:t xml:space="preserve"> ERG</w:t>
      </w:r>
      <w:r w:rsidR="00EF1CF9" w:rsidRPr="008249F1">
        <w:rPr>
          <w:lang w:val="en-GB"/>
        </w:rPr>
        <w:t xml:space="preserve"> prefer</w:t>
      </w:r>
      <w:r w:rsidR="00D6417F">
        <w:rPr>
          <w:lang w:val="en-GB"/>
        </w:rPr>
        <w:t>red</w:t>
      </w:r>
      <w:r w:rsidR="00EF1CF9" w:rsidRPr="008249F1">
        <w:rPr>
          <w:lang w:val="en-GB"/>
        </w:rPr>
        <w:t xml:space="preserve"> to assume equal rates of </w:t>
      </w:r>
      <w:r w:rsidR="00D6417F" w:rsidRPr="008249F1">
        <w:rPr>
          <w:lang w:val="en-GB"/>
        </w:rPr>
        <w:t>post-progression survival</w:t>
      </w:r>
      <w:r w:rsidR="00EF1CF9" w:rsidRPr="008249F1">
        <w:rPr>
          <w:lang w:val="en-GB"/>
        </w:rPr>
        <w:t xml:space="preserve"> for the acalabrutinib and </w:t>
      </w:r>
      <w:r w:rsidR="00143B31" w:rsidRPr="008249F1">
        <w:rPr>
          <w:lang w:val="en-GB"/>
        </w:rPr>
        <w:t>chlorambucil plus obinutuzumab</w:t>
      </w:r>
      <w:r w:rsidR="00EF1CF9" w:rsidRPr="008249F1">
        <w:rPr>
          <w:lang w:val="en-GB"/>
        </w:rPr>
        <w:t xml:space="preserve"> groups based on </w:t>
      </w:r>
      <w:r w:rsidR="00E21523">
        <w:rPr>
          <w:lang w:val="en-GB"/>
        </w:rPr>
        <w:t>post-progression survival</w:t>
      </w:r>
      <w:r w:rsidR="00E21523" w:rsidRPr="008249F1">
        <w:rPr>
          <w:lang w:val="en-GB"/>
        </w:rPr>
        <w:t xml:space="preserve"> </w:t>
      </w:r>
      <w:r w:rsidR="00EF1CF9" w:rsidRPr="008249F1">
        <w:rPr>
          <w:lang w:val="en-GB"/>
        </w:rPr>
        <w:t>data from RESONATE</w:t>
      </w:r>
      <w:r w:rsidR="00143B31" w:rsidRPr="008249F1">
        <w:rPr>
          <w:lang w:val="en-GB"/>
        </w:rPr>
        <w:t xml:space="preserve"> </w:t>
      </w:r>
      <w:r w:rsidR="009F4754">
        <w:rPr>
          <w:lang w:val="en-GB"/>
        </w:rPr>
        <w:t>because</w:t>
      </w:r>
      <w:r w:rsidR="009F4754" w:rsidRPr="008249F1">
        <w:rPr>
          <w:lang w:val="en-GB"/>
        </w:rPr>
        <w:t xml:space="preserve"> </w:t>
      </w:r>
      <w:r w:rsidR="00143B31" w:rsidRPr="008249F1">
        <w:rPr>
          <w:lang w:val="en-GB"/>
        </w:rPr>
        <w:t>this leads to less optimistic projections of overall survival</w:t>
      </w:r>
      <w:r w:rsidR="00EF1CF9" w:rsidRPr="008249F1">
        <w:rPr>
          <w:lang w:val="en-GB"/>
        </w:rPr>
        <w:t>.</w:t>
      </w:r>
      <w:r w:rsidR="00143B31" w:rsidRPr="008249F1">
        <w:rPr>
          <w:lang w:val="en-GB"/>
        </w:rPr>
        <w:t xml:space="preserve"> </w:t>
      </w:r>
      <w:r w:rsidR="000B123C" w:rsidRPr="008249F1">
        <w:rPr>
          <w:lang w:val="en-GB"/>
        </w:rPr>
        <w:t>The c</w:t>
      </w:r>
      <w:r w:rsidR="00114313" w:rsidRPr="008249F1">
        <w:rPr>
          <w:lang w:val="en-GB"/>
        </w:rPr>
        <w:t>linical expert</w:t>
      </w:r>
      <w:r w:rsidR="008A2000">
        <w:rPr>
          <w:lang w:val="en-GB"/>
        </w:rPr>
        <w:t>s</w:t>
      </w:r>
      <w:r w:rsidR="00114313" w:rsidRPr="008249F1">
        <w:rPr>
          <w:lang w:val="en-GB"/>
        </w:rPr>
        <w:t xml:space="preserve"> suggested that overall survival </w:t>
      </w:r>
      <w:r w:rsidR="009F4754">
        <w:rPr>
          <w:lang w:val="en-GB"/>
        </w:rPr>
        <w:t>wa</w:t>
      </w:r>
      <w:r w:rsidR="00114313" w:rsidRPr="008249F1">
        <w:rPr>
          <w:lang w:val="en-GB"/>
        </w:rPr>
        <w:t>s likely to be longer when starting treatment with acalabrutinib followed by venetoclax plus rituximab</w:t>
      </w:r>
      <w:r w:rsidR="00A07DF2">
        <w:rPr>
          <w:lang w:val="en-GB"/>
        </w:rPr>
        <w:t>. This is</w:t>
      </w:r>
      <w:r w:rsidR="00114313" w:rsidRPr="008249F1">
        <w:rPr>
          <w:lang w:val="en-GB"/>
        </w:rPr>
        <w:t xml:space="preserve"> because it is more effective</w:t>
      </w:r>
      <w:r w:rsidR="00A07DF2">
        <w:rPr>
          <w:lang w:val="en-GB"/>
        </w:rPr>
        <w:t xml:space="preserve"> and</w:t>
      </w:r>
      <w:r w:rsidR="00114313" w:rsidRPr="008249F1">
        <w:rPr>
          <w:lang w:val="en-GB"/>
        </w:rPr>
        <w:t xml:space="preserve"> less toxic</w:t>
      </w:r>
      <w:r w:rsidR="000B5021">
        <w:rPr>
          <w:lang w:val="en-GB"/>
        </w:rPr>
        <w:t xml:space="preserve"> </w:t>
      </w:r>
      <w:r w:rsidR="00114313" w:rsidRPr="008249F1">
        <w:rPr>
          <w:lang w:val="en-GB"/>
        </w:rPr>
        <w:t>than chlorambucil plus obinutuzumab followed by ibrutinib.</w:t>
      </w:r>
      <w:r w:rsidR="00547C85">
        <w:rPr>
          <w:lang w:val="en-GB"/>
        </w:rPr>
        <w:t xml:space="preserve"> However, long-term data confirming overall survival benefit is lacking at present.</w:t>
      </w:r>
      <w:r w:rsidR="000B123C" w:rsidRPr="008249F1">
        <w:rPr>
          <w:lang w:val="en-GB"/>
        </w:rPr>
        <w:t xml:space="preserve"> They</w:t>
      </w:r>
      <w:r w:rsidR="00D76EA2" w:rsidRPr="008249F1">
        <w:rPr>
          <w:lang w:val="en-GB"/>
        </w:rPr>
        <w:t xml:space="preserve"> </w:t>
      </w:r>
      <w:r w:rsidR="008249F1" w:rsidRPr="008249F1">
        <w:rPr>
          <w:lang w:val="en-GB"/>
        </w:rPr>
        <w:t>considered it</w:t>
      </w:r>
      <w:r w:rsidR="00D76EA2" w:rsidRPr="008249F1">
        <w:rPr>
          <w:lang w:val="en-GB"/>
        </w:rPr>
        <w:t xml:space="preserve"> reasonable to use MURANO because it accurately reflects the most likely treatment sequence of acalabrutinib followed by </w:t>
      </w:r>
      <w:r w:rsidR="000B123C" w:rsidRPr="008249F1">
        <w:rPr>
          <w:lang w:val="en-GB"/>
        </w:rPr>
        <w:t xml:space="preserve">venetoclax plus rituximab. </w:t>
      </w:r>
      <w:r w:rsidR="00661AB9" w:rsidRPr="00024E88">
        <w:t>The clinical experts also explained that it was reasonable to expect that many people will reach the life expectancy of the general population after treatment</w:t>
      </w:r>
      <w:r w:rsidR="008249F1" w:rsidRPr="008249F1">
        <w:rPr>
          <w:lang w:val="en-GB"/>
        </w:rPr>
        <w:t xml:space="preserve"> with</w:t>
      </w:r>
      <w:r w:rsidR="00661AB9" w:rsidRPr="00024E88">
        <w:t xml:space="preserve"> </w:t>
      </w:r>
      <w:r w:rsidR="00661AB9" w:rsidRPr="008249F1">
        <w:rPr>
          <w:lang w:val="en-GB"/>
        </w:rPr>
        <w:t>acalabrutinib</w:t>
      </w:r>
      <w:r w:rsidR="008249F1" w:rsidRPr="008249F1">
        <w:rPr>
          <w:lang w:val="en-GB"/>
        </w:rPr>
        <w:t xml:space="preserve"> </w:t>
      </w:r>
      <w:r w:rsidR="00661AB9" w:rsidRPr="00024E88">
        <w:t>and will be functionally cured</w:t>
      </w:r>
      <w:r w:rsidR="00661AB9" w:rsidRPr="008249F1">
        <w:rPr>
          <w:lang w:val="en-GB"/>
        </w:rPr>
        <w:t>.</w:t>
      </w:r>
      <w:r w:rsidR="008249F1">
        <w:rPr>
          <w:lang w:val="en-GB"/>
        </w:rPr>
        <w:t xml:space="preserve"> The c</w:t>
      </w:r>
      <w:r w:rsidR="000B123C" w:rsidRPr="008249F1">
        <w:rPr>
          <w:lang w:val="en-GB"/>
        </w:rPr>
        <w:t>ommittee</w:t>
      </w:r>
      <w:r w:rsidR="008249F1">
        <w:rPr>
          <w:lang w:val="en-GB"/>
        </w:rPr>
        <w:t xml:space="preserve"> concluded that</w:t>
      </w:r>
      <w:r w:rsidR="000B123C" w:rsidRPr="008249F1">
        <w:rPr>
          <w:lang w:val="en-GB"/>
        </w:rPr>
        <w:t xml:space="preserve"> there </w:t>
      </w:r>
      <w:r w:rsidR="008A2000">
        <w:rPr>
          <w:lang w:val="en-GB"/>
        </w:rPr>
        <w:t>wa</w:t>
      </w:r>
      <w:r w:rsidR="000B123C" w:rsidRPr="008249F1">
        <w:rPr>
          <w:lang w:val="en-GB"/>
        </w:rPr>
        <w:t>s</w:t>
      </w:r>
      <w:r w:rsidR="008249F1">
        <w:rPr>
          <w:lang w:val="en-GB"/>
        </w:rPr>
        <w:t xml:space="preserve"> considerable</w:t>
      </w:r>
      <w:r w:rsidR="000B123C" w:rsidRPr="008249F1">
        <w:rPr>
          <w:lang w:val="en-GB"/>
        </w:rPr>
        <w:t xml:space="preserve"> uncertainty in the </w:t>
      </w:r>
      <w:r w:rsidR="008249F1">
        <w:rPr>
          <w:lang w:val="en-GB"/>
        </w:rPr>
        <w:t>overall survival estimates</w:t>
      </w:r>
      <w:r w:rsidR="000B123C" w:rsidRPr="008249F1">
        <w:rPr>
          <w:lang w:val="en-GB"/>
        </w:rPr>
        <w:t xml:space="preserve"> for acalabrutinib</w:t>
      </w:r>
      <w:r w:rsidR="008249F1">
        <w:rPr>
          <w:lang w:val="en-GB"/>
        </w:rPr>
        <w:t xml:space="preserve"> </w:t>
      </w:r>
      <w:r w:rsidR="000B123C" w:rsidRPr="008249F1">
        <w:rPr>
          <w:lang w:val="en-GB"/>
        </w:rPr>
        <w:t xml:space="preserve">because of the extrapolation using data from trials </w:t>
      </w:r>
      <w:r w:rsidR="008A2000">
        <w:rPr>
          <w:lang w:val="en-GB"/>
        </w:rPr>
        <w:t>for</w:t>
      </w:r>
      <w:r w:rsidR="000B123C" w:rsidRPr="008249F1">
        <w:rPr>
          <w:lang w:val="en-GB"/>
        </w:rPr>
        <w:t xml:space="preserve"> other treatments and the immature data from ELEVATE-TN.</w:t>
      </w:r>
      <w:r w:rsidR="008249F1">
        <w:rPr>
          <w:lang w:val="en-GB"/>
        </w:rPr>
        <w:t xml:space="preserve"> </w:t>
      </w:r>
    </w:p>
    <w:p w14:paraId="1D3BB767" w14:textId="1D8E6F10" w:rsidR="00460716" w:rsidRDefault="00460716" w:rsidP="00460716">
      <w:pPr>
        <w:pStyle w:val="Heading2"/>
      </w:pPr>
      <w:r>
        <w:lastRenderedPageBreak/>
        <w:t>Cost-effectiveness results</w:t>
      </w:r>
    </w:p>
    <w:p w14:paraId="7C476DEF" w14:textId="6B9A33DD" w:rsidR="00460716" w:rsidRPr="00C35F1B" w:rsidRDefault="00E725D8" w:rsidP="00460716">
      <w:pPr>
        <w:pStyle w:val="Heading3"/>
      </w:pPr>
      <w:r w:rsidRPr="00A06809">
        <w:t>For</w:t>
      </w:r>
      <w:r w:rsidR="00460716" w:rsidRPr="00C35F1B">
        <w:t xml:space="preserve"> untreated CLL</w:t>
      </w:r>
      <w:r w:rsidR="009F5920" w:rsidRPr="00C35F1B">
        <w:t xml:space="preserve"> </w:t>
      </w:r>
      <w:r w:rsidR="00460716" w:rsidRPr="00C35F1B">
        <w:t>whe</w:t>
      </w:r>
      <w:r w:rsidR="002B39F7" w:rsidRPr="00C35F1B">
        <w:t>n</w:t>
      </w:r>
      <w:r w:rsidR="00460716" w:rsidRPr="00C35F1B">
        <w:t xml:space="preserve"> FCR or BR is unsuitable, the ICERs are higher than normally consider</w:t>
      </w:r>
      <w:r w:rsidR="002B39F7" w:rsidRPr="00C35F1B">
        <w:t>ed</w:t>
      </w:r>
      <w:r w:rsidR="00460716" w:rsidRPr="00C35F1B">
        <w:t xml:space="preserve"> acceptable</w:t>
      </w:r>
    </w:p>
    <w:p w14:paraId="4AFD7B71" w14:textId="147D05CF" w:rsidR="008624E0" w:rsidRPr="00234F54" w:rsidRDefault="00234F54" w:rsidP="00460716">
      <w:pPr>
        <w:pStyle w:val="Numberedlevel2text"/>
      </w:pPr>
      <w:r w:rsidRPr="00C35F1B">
        <w:t xml:space="preserve">The ICERs used by the committee </w:t>
      </w:r>
      <w:r>
        <w:rPr>
          <w:lang w:val="en-US"/>
        </w:rPr>
        <w:t xml:space="preserve">for </w:t>
      </w:r>
      <w:r w:rsidRPr="00C35F1B">
        <w:t>decision-making took account of all available confidential discounts, including those for comparators and follow-up treatments</w:t>
      </w:r>
      <w:r w:rsidRPr="00C35F1B">
        <w:rPr>
          <w:lang w:val="en-GB"/>
        </w:rPr>
        <w:t xml:space="preserve">. </w:t>
      </w:r>
      <w:r w:rsidR="00136C12" w:rsidRPr="00C35F1B">
        <w:rPr>
          <w:lang w:val="en-GB"/>
        </w:rPr>
        <w:t>The company’s revised base</w:t>
      </w:r>
      <w:r w:rsidR="002B39F7" w:rsidRPr="00C35F1B">
        <w:rPr>
          <w:lang w:val="en-GB"/>
        </w:rPr>
        <w:t>-</w:t>
      </w:r>
      <w:r w:rsidR="00136C12" w:rsidRPr="00C35F1B">
        <w:rPr>
          <w:lang w:val="en-GB"/>
        </w:rPr>
        <w:t>case incremental cost-effectiveness ratio (ICER) for acalabrutinib compared with chlorambucil plus obinutuzumab for untreated CLL whe</w:t>
      </w:r>
      <w:r w:rsidR="00DB5B3E" w:rsidRPr="00C35F1B">
        <w:rPr>
          <w:lang w:val="en-GB"/>
        </w:rPr>
        <w:t>n</w:t>
      </w:r>
      <w:r w:rsidR="00136C12" w:rsidRPr="00C35F1B">
        <w:rPr>
          <w:lang w:val="en-GB"/>
        </w:rPr>
        <w:t xml:space="preserve"> FCR or BR is unsuitable was </w:t>
      </w:r>
      <w:r w:rsidR="001E2F39">
        <w:rPr>
          <w:lang w:val="en-GB"/>
        </w:rPr>
        <w:t>above what would normally be considered cost-effectiv</w:t>
      </w:r>
      <w:r>
        <w:rPr>
          <w:lang w:val="en-GB"/>
        </w:rPr>
        <w:t>e</w:t>
      </w:r>
      <w:r w:rsidR="001A4191" w:rsidRPr="00C35F1B">
        <w:rPr>
          <w:lang w:val="en-GB"/>
        </w:rPr>
        <w:t>. Incorporating the ERG’s preferred assumptions on applying a 14</w:t>
      </w:r>
      <w:r w:rsidR="00DB5B3E" w:rsidRPr="00C35F1B">
        <w:rPr>
          <w:lang w:val="en-GB"/>
        </w:rPr>
        <w:t>-</w:t>
      </w:r>
      <w:r w:rsidR="001A4191" w:rsidRPr="00C35F1B">
        <w:rPr>
          <w:lang w:val="en-GB"/>
        </w:rPr>
        <w:t>cycle delay and using the Weibull model for subsequent treatment (see section</w:t>
      </w:r>
      <w:r w:rsidR="00DB5B3E" w:rsidRPr="00C35F1B">
        <w:rPr>
          <w:lang w:val="en-GB"/>
        </w:rPr>
        <w:t> </w:t>
      </w:r>
      <w:r w:rsidR="001A4191" w:rsidRPr="00C35F1B">
        <w:rPr>
          <w:lang w:val="en-GB"/>
        </w:rPr>
        <w:t xml:space="preserve">3.14) and using RESONATE </w:t>
      </w:r>
      <w:r w:rsidR="00DB5B3E" w:rsidRPr="00C35F1B">
        <w:rPr>
          <w:lang w:val="en-GB"/>
        </w:rPr>
        <w:t>post-progression survival</w:t>
      </w:r>
      <w:r w:rsidR="001A4191" w:rsidRPr="00C35F1B">
        <w:rPr>
          <w:lang w:val="en-GB"/>
        </w:rPr>
        <w:t xml:space="preserve"> for both treatment arms (see section</w:t>
      </w:r>
      <w:r w:rsidR="00DB5B3E" w:rsidRPr="00C35F1B">
        <w:rPr>
          <w:lang w:val="en-GB"/>
        </w:rPr>
        <w:t> </w:t>
      </w:r>
      <w:r w:rsidR="001A4191" w:rsidRPr="00C35F1B">
        <w:rPr>
          <w:lang w:val="en-GB"/>
        </w:rPr>
        <w:t xml:space="preserve">3.15) increased the ICER considerably. </w:t>
      </w:r>
      <w:r w:rsidR="008624E0">
        <w:rPr>
          <w:lang w:val="en-GB"/>
        </w:rPr>
        <w:t xml:space="preserve">The committee </w:t>
      </w:r>
      <w:r w:rsidR="00085A80">
        <w:rPr>
          <w:lang w:val="en-GB"/>
        </w:rPr>
        <w:t xml:space="preserve">used </w:t>
      </w:r>
      <w:r w:rsidR="008624E0">
        <w:rPr>
          <w:lang w:val="en-GB"/>
        </w:rPr>
        <w:t>the ERG’s base case</w:t>
      </w:r>
      <w:r w:rsidR="00085A80">
        <w:rPr>
          <w:lang w:val="en-GB"/>
        </w:rPr>
        <w:t xml:space="preserve"> for decision making</w:t>
      </w:r>
      <w:r w:rsidR="008624E0">
        <w:rPr>
          <w:lang w:val="en-GB"/>
        </w:rPr>
        <w:t>. However</w:t>
      </w:r>
      <w:r w:rsidR="000D6F3D">
        <w:rPr>
          <w:lang w:val="en-GB"/>
        </w:rPr>
        <w:t>,</w:t>
      </w:r>
      <w:r w:rsidR="008624E0">
        <w:rPr>
          <w:lang w:val="en-GB"/>
        </w:rPr>
        <w:t xml:space="preserve"> it also considered </w:t>
      </w:r>
      <w:r w:rsidR="00085A80">
        <w:rPr>
          <w:lang w:val="en-GB"/>
        </w:rPr>
        <w:t>that further assumptions should be included in that base case</w:t>
      </w:r>
      <w:r w:rsidR="008624E0">
        <w:rPr>
          <w:lang w:val="en-GB"/>
        </w:rPr>
        <w:t>:</w:t>
      </w:r>
    </w:p>
    <w:p w14:paraId="07C25DC0" w14:textId="7CD8E858" w:rsidR="008624E0" w:rsidRPr="00234F54" w:rsidRDefault="000D6F3D" w:rsidP="008624E0">
      <w:pPr>
        <w:pStyle w:val="Numberedlevel2text"/>
        <w:numPr>
          <w:ilvl w:val="0"/>
          <w:numId w:val="27"/>
        </w:numPr>
      </w:pPr>
      <w:r>
        <w:rPr>
          <w:lang w:val="en-GB"/>
        </w:rPr>
        <w:t>The p</w:t>
      </w:r>
      <w:r w:rsidR="008624E0">
        <w:rPr>
          <w:lang w:val="en-GB"/>
        </w:rPr>
        <w:t>roportion of patients having second-line venetoclax plus rituximab was at least 20%</w:t>
      </w:r>
      <w:r w:rsidR="003532C8">
        <w:rPr>
          <w:lang w:val="en-GB"/>
        </w:rPr>
        <w:t>, and possibly up to 40%</w:t>
      </w:r>
      <w:r w:rsidR="008624E0">
        <w:rPr>
          <w:lang w:val="en-GB"/>
        </w:rPr>
        <w:t xml:space="preserve"> (see section </w:t>
      </w:r>
      <w:r w:rsidR="00DD271F">
        <w:rPr>
          <w:lang w:val="en-GB"/>
        </w:rPr>
        <w:t>3.13</w:t>
      </w:r>
      <w:r w:rsidR="008624E0">
        <w:rPr>
          <w:lang w:val="en-GB"/>
        </w:rPr>
        <w:t>)</w:t>
      </w:r>
    </w:p>
    <w:p w14:paraId="280A845D" w14:textId="287E687F" w:rsidR="000D6F3D" w:rsidRPr="00234F54" w:rsidRDefault="00511F9F" w:rsidP="00234F54">
      <w:pPr>
        <w:pStyle w:val="Numberedlevel2text"/>
        <w:numPr>
          <w:ilvl w:val="0"/>
          <w:numId w:val="27"/>
        </w:numPr>
      </w:pPr>
      <w:r>
        <w:rPr>
          <w:lang w:val="en-GB"/>
        </w:rPr>
        <w:t>Adjusting t</w:t>
      </w:r>
      <w:r w:rsidR="000D6F3D">
        <w:rPr>
          <w:lang w:val="en-GB"/>
        </w:rPr>
        <w:t xml:space="preserve">he </w:t>
      </w:r>
      <w:r w:rsidR="00975817">
        <w:rPr>
          <w:lang w:val="en-GB"/>
        </w:rPr>
        <w:t>overall</w:t>
      </w:r>
      <w:r w:rsidR="000D6F3D">
        <w:rPr>
          <w:lang w:val="en-GB"/>
        </w:rPr>
        <w:t xml:space="preserve"> survival gain for acalabrutinib </w:t>
      </w:r>
      <w:r w:rsidR="00975817">
        <w:rPr>
          <w:lang w:val="en-GB"/>
        </w:rPr>
        <w:t xml:space="preserve">compared with chlorambucil plus obinutuzumab </w:t>
      </w:r>
      <w:r>
        <w:rPr>
          <w:lang w:val="en-GB"/>
        </w:rPr>
        <w:t xml:space="preserve">such that it </w:t>
      </w:r>
      <w:r w:rsidR="00975817">
        <w:rPr>
          <w:lang w:val="en-GB"/>
        </w:rPr>
        <w:t>was 50% low</w:t>
      </w:r>
      <w:r>
        <w:rPr>
          <w:lang w:val="en-GB"/>
        </w:rPr>
        <w:t>er</w:t>
      </w:r>
      <w:r w:rsidR="00975817">
        <w:rPr>
          <w:lang w:val="en-GB"/>
        </w:rPr>
        <w:t xml:space="preserve">, reflecting uncertainty about the immature survival data in ELEVATE-TN (see section </w:t>
      </w:r>
      <w:r w:rsidR="00EF7CF8">
        <w:rPr>
          <w:lang w:val="en-GB"/>
        </w:rPr>
        <w:t>3.15</w:t>
      </w:r>
      <w:r w:rsidR="00975817">
        <w:rPr>
          <w:lang w:val="en-GB"/>
        </w:rPr>
        <w:t>)</w:t>
      </w:r>
      <w:r w:rsidR="000D6F3D">
        <w:rPr>
          <w:lang w:val="en-GB"/>
        </w:rPr>
        <w:t xml:space="preserve"> </w:t>
      </w:r>
    </w:p>
    <w:p w14:paraId="6E6BE17E" w14:textId="27A05379" w:rsidR="00460716" w:rsidRPr="00A06809" w:rsidRDefault="001A4191" w:rsidP="00234F54">
      <w:pPr>
        <w:pStyle w:val="Numberedlevel2text"/>
        <w:numPr>
          <w:ilvl w:val="0"/>
          <w:numId w:val="0"/>
        </w:numPr>
        <w:ind w:left="1134"/>
      </w:pPr>
      <w:r w:rsidRPr="00C35F1B">
        <w:rPr>
          <w:lang w:val="en-GB"/>
        </w:rPr>
        <w:t>In all the ERG</w:t>
      </w:r>
      <w:r w:rsidR="00EA22F3">
        <w:rPr>
          <w:lang w:val="en-GB"/>
        </w:rPr>
        <w:t>’s</w:t>
      </w:r>
      <w:r w:rsidRPr="00EA22F3">
        <w:rPr>
          <w:lang w:val="en-GB"/>
        </w:rPr>
        <w:t xml:space="preserve"> scenarios explored by the committee the ICERs remained higher than the range NICE normally considers an acceptable use of NHS resources</w:t>
      </w:r>
      <w:r w:rsidR="00136C12" w:rsidRPr="00C35F1B">
        <w:rPr>
          <w:lang w:val="en-GB"/>
        </w:rPr>
        <w:t>. T</w:t>
      </w:r>
      <w:r w:rsidRPr="00C35F1B">
        <w:rPr>
          <w:lang w:val="en-GB"/>
        </w:rPr>
        <w:t>aking the uncertainties in subsequent treatment costs and survival estimates into account, the</w:t>
      </w:r>
      <w:r w:rsidR="00136C12" w:rsidRPr="00C35F1B">
        <w:rPr>
          <w:lang w:val="en-GB"/>
        </w:rPr>
        <w:t xml:space="preserve"> committee </w:t>
      </w:r>
      <w:r w:rsidRPr="00C35F1B">
        <w:rPr>
          <w:lang w:val="en-GB"/>
        </w:rPr>
        <w:t xml:space="preserve">concluded that, in all scenarios, </w:t>
      </w:r>
      <w:r w:rsidR="00AB14BC" w:rsidRPr="00C35F1B">
        <w:rPr>
          <w:lang w:val="en-GB"/>
        </w:rPr>
        <w:t xml:space="preserve">acalabrutinib would not be considered an acceptable use of NHS resources </w:t>
      </w:r>
      <w:r w:rsidR="00DB5B3E" w:rsidRPr="00C35F1B">
        <w:rPr>
          <w:lang w:val="en-GB"/>
        </w:rPr>
        <w:t>for</w:t>
      </w:r>
      <w:r w:rsidR="00AB14BC" w:rsidRPr="00C35F1B">
        <w:rPr>
          <w:lang w:val="en-GB"/>
        </w:rPr>
        <w:t xml:space="preserve"> untreated CLL </w:t>
      </w:r>
      <w:r w:rsidR="00DB5B3E" w:rsidRPr="00C35F1B">
        <w:rPr>
          <w:lang w:val="en-GB"/>
        </w:rPr>
        <w:t xml:space="preserve">that is not </w:t>
      </w:r>
      <w:r w:rsidR="00AB14BC" w:rsidRPr="00C35F1B">
        <w:rPr>
          <w:lang w:val="en-GB"/>
        </w:rPr>
        <w:t xml:space="preserve">high risk </w:t>
      </w:r>
      <w:r w:rsidR="00DB5B3E" w:rsidRPr="00C35F1B">
        <w:rPr>
          <w:lang w:val="en-GB"/>
        </w:rPr>
        <w:t xml:space="preserve">and </w:t>
      </w:r>
      <w:r w:rsidR="00AB14BC" w:rsidRPr="00C35F1B">
        <w:rPr>
          <w:lang w:val="en-GB"/>
        </w:rPr>
        <w:t>whe</w:t>
      </w:r>
      <w:r w:rsidR="00DB5B3E" w:rsidRPr="00C35F1B">
        <w:rPr>
          <w:lang w:val="en-GB"/>
        </w:rPr>
        <w:t>n</w:t>
      </w:r>
      <w:r w:rsidR="00AB14BC" w:rsidRPr="00C35F1B">
        <w:rPr>
          <w:lang w:val="en-GB"/>
        </w:rPr>
        <w:t xml:space="preserve"> FCR or BR is unsuitable</w:t>
      </w:r>
      <w:r w:rsidR="00AB14BC" w:rsidRPr="009E32B0">
        <w:rPr>
          <w:lang w:val="en-GB"/>
        </w:rPr>
        <w:t>.</w:t>
      </w:r>
    </w:p>
    <w:p w14:paraId="1EC6439E" w14:textId="26D9F1BB" w:rsidR="00460716" w:rsidRDefault="00A8667E" w:rsidP="00723AF0">
      <w:pPr>
        <w:pStyle w:val="Heading3"/>
      </w:pPr>
      <w:r>
        <w:lastRenderedPageBreak/>
        <w:t>For</w:t>
      </w:r>
      <w:r w:rsidR="00460716" w:rsidRPr="00024E88">
        <w:t xml:space="preserve"> people with a 17p deletion or TP53 mutation, </w:t>
      </w:r>
      <w:r w:rsidR="002C0919">
        <w:t>acalabrutinib likely to be cost-saving</w:t>
      </w:r>
      <w:r w:rsidR="00502918">
        <w:t xml:space="preserve"> compared with ibrutinib</w:t>
      </w:r>
    </w:p>
    <w:p w14:paraId="1648ECEC" w14:textId="43523B80" w:rsidR="00460716" w:rsidRPr="00460716" w:rsidRDefault="000A0BF6" w:rsidP="00460716">
      <w:pPr>
        <w:pStyle w:val="Numberedlevel2text"/>
      </w:pPr>
      <w:r>
        <w:rPr>
          <w:lang w:val="en-GB"/>
        </w:rPr>
        <w:t>In t</w:t>
      </w:r>
      <w:r w:rsidR="00C26120">
        <w:rPr>
          <w:lang w:val="en-GB"/>
        </w:rPr>
        <w:t xml:space="preserve">he company’s base case from </w:t>
      </w:r>
      <w:r w:rsidR="00A8667E">
        <w:rPr>
          <w:lang w:val="en-GB"/>
        </w:rPr>
        <w:t>its</w:t>
      </w:r>
      <w:r w:rsidR="00C26120">
        <w:rPr>
          <w:lang w:val="en-GB"/>
        </w:rPr>
        <w:t xml:space="preserve"> cost-minimisation analysis</w:t>
      </w:r>
      <w:r>
        <w:rPr>
          <w:lang w:val="en-GB"/>
        </w:rPr>
        <w:t>,</w:t>
      </w:r>
      <w:r w:rsidR="001F14A4">
        <w:rPr>
          <w:lang w:val="en-GB"/>
        </w:rPr>
        <w:t xml:space="preserve"> costs for</w:t>
      </w:r>
      <w:r w:rsidR="00C26120">
        <w:rPr>
          <w:lang w:val="en-GB"/>
        </w:rPr>
        <w:t xml:space="preserve"> acalabrutinib</w:t>
      </w:r>
      <w:r w:rsidR="001F14A4">
        <w:rPr>
          <w:lang w:val="en-GB"/>
        </w:rPr>
        <w:t xml:space="preserve"> were lower than</w:t>
      </w:r>
      <w:r w:rsidR="00C26120">
        <w:rPr>
          <w:lang w:val="en-GB"/>
        </w:rPr>
        <w:t xml:space="preserve"> </w:t>
      </w:r>
      <w:r w:rsidR="001F14A4">
        <w:rPr>
          <w:lang w:val="en-GB"/>
        </w:rPr>
        <w:t xml:space="preserve">costs for </w:t>
      </w:r>
      <w:r w:rsidR="00C26120">
        <w:rPr>
          <w:lang w:val="en-GB"/>
        </w:rPr>
        <w:t xml:space="preserve">ibrutinib </w:t>
      </w:r>
      <w:r>
        <w:rPr>
          <w:lang w:val="en-GB"/>
        </w:rPr>
        <w:t>for</w:t>
      </w:r>
      <w:r w:rsidR="00C26120">
        <w:rPr>
          <w:lang w:val="en-GB"/>
        </w:rPr>
        <w:t xml:space="preserve"> people with untreated CLL with </w:t>
      </w:r>
      <w:r w:rsidR="001F14A4" w:rsidRPr="001F14A4">
        <w:rPr>
          <w:lang w:val="en-GB"/>
        </w:rPr>
        <w:t>a 17p deletion or TP53 mutation</w:t>
      </w:r>
      <w:r w:rsidR="006E6385">
        <w:rPr>
          <w:lang w:val="en-GB"/>
        </w:rPr>
        <w:t xml:space="preserve"> (high</w:t>
      </w:r>
      <w:r w:rsidR="00B27F3B">
        <w:rPr>
          <w:lang w:val="en-GB"/>
        </w:rPr>
        <w:t>-</w:t>
      </w:r>
      <w:r w:rsidR="006E6385">
        <w:rPr>
          <w:lang w:val="en-GB"/>
        </w:rPr>
        <w:t>risk</w:t>
      </w:r>
      <w:r>
        <w:rPr>
          <w:lang w:val="en-GB"/>
        </w:rPr>
        <w:t xml:space="preserve"> CLL</w:t>
      </w:r>
      <w:r w:rsidR="006E6385">
        <w:rPr>
          <w:lang w:val="en-GB"/>
        </w:rPr>
        <w:t>)</w:t>
      </w:r>
      <w:r w:rsidR="001F14A4">
        <w:rPr>
          <w:lang w:val="en-GB"/>
        </w:rPr>
        <w:t>.</w:t>
      </w:r>
      <w:r w:rsidR="00544EC3">
        <w:rPr>
          <w:lang w:val="en-GB"/>
        </w:rPr>
        <w:t xml:space="preserve"> </w:t>
      </w:r>
      <w:r w:rsidR="00DE3D07">
        <w:rPr>
          <w:lang w:val="en-GB"/>
        </w:rPr>
        <w:t xml:space="preserve">The cost-minimisation analysis </w:t>
      </w:r>
      <w:r w:rsidR="00DE3D07" w:rsidRPr="00DE3D07">
        <w:rPr>
          <w:lang w:val="en-GB"/>
        </w:rPr>
        <w:t>consider</w:t>
      </w:r>
      <w:r w:rsidR="00DE3D07">
        <w:rPr>
          <w:lang w:val="en-GB"/>
        </w:rPr>
        <w:t>ed</w:t>
      </w:r>
      <w:r w:rsidR="00DE3D07" w:rsidRPr="00DE3D07">
        <w:rPr>
          <w:lang w:val="en-GB"/>
        </w:rPr>
        <w:t xml:space="preserve"> whether </w:t>
      </w:r>
      <w:r w:rsidR="00DE3D07">
        <w:rPr>
          <w:lang w:val="en-GB"/>
        </w:rPr>
        <w:t xml:space="preserve">the </w:t>
      </w:r>
      <w:r w:rsidR="00DE3D07" w:rsidRPr="00DE3D07">
        <w:rPr>
          <w:lang w:val="en-GB"/>
        </w:rPr>
        <w:t>acquisition and management of adverse event</w:t>
      </w:r>
      <w:r>
        <w:rPr>
          <w:lang w:val="en-GB"/>
        </w:rPr>
        <w:t>s</w:t>
      </w:r>
      <w:r w:rsidR="00DE3D07" w:rsidRPr="00DE3D07">
        <w:rPr>
          <w:lang w:val="en-GB"/>
        </w:rPr>
        <w:t xml:space="preserve"> cost</w:t>
      </w:r>
      <w:r w:rsidR="006111BD">
        <w:rPr>
          <w:lang w:val="en-GB"/>
        </w:rPr>
        <w:t>s</w:t>
      </w:r>
      <w:r w:rsidR="00DE3D07" w:rsidRPr="00DE3D07">
        <w:rPr>
          <w:lang w:val="en-GB"/>
        </w:rPr>
        <w:t xml:space="preserve"> for acalabrutinib </w:t>
      </w:r>
      <w:r>
        <w:rPr>
          <w:lang w:val="en-GB"/>
        </w:rPr>
        <w:t>we</w:t>
      </w:r>
      <w:r w:rsidRPr="00DE3D07">
        <w:rPr>
          <w:lang w:val="en-GB"/>
        </w:rPr>
        <w:t xml:space="preserve">re </w:t>
      </w:r>
      <w:r w:rsidR="00DE3D07" w:rsidRPr="00DE3D07">
        <w:rPr>
          <w:lang w:val="en-GB"/>
        </w:rPr>
        <w:t>lower than for ibrutinib</w:t>
      </w:r>
      <w:r w:rsidR="00DE3D07">
        <w:rPr>
          <w:lang w:val="en-GB"/>
        </w:rPr>
        <w:t xml:space="preserve">. The ERG’s analysis made no substantial changes to the company’s base case and resulted in mostly unchanged cost savings for acalabrutinib treatment. </w:t>
      </w:r>
      <w:r w:rsidR="00FF2288">
        <w:rPr>
          <w:lang w:val="en-GB"/>
        </w:rPr>
        <w:t>final costs considered</w:t>
      </w:r>
      <w:r w:rsidR="00DE3D07" w:rsidRPr="00024E88">
        <w:t xml:space="preserve"> by the committee took account of all available confidential discounts, including those for comparators</w:t>
      </w:r>
      <w:r w:rsidR="00DE3D07">
        <w:rPr>
          <w:lang w:val="en-GB"/>
        </w:rPr>
        <w:t xml:space="preserve">. The committee concluded that </w:t>
      </w:r>
      <w:r>
        <w:rPr>
          <w:lang w:val="en-GB"/>
        </w:rPr>
        <w:t>for</w:t>
      </w:r>
      <w:r w:rsidRPr="00DE3D07">
        <w:rPr>
          <w:lang w:val="en-GB"/>
        </w:rPr>
        <w:t xml:space="preserve"> </w:t>
      </w:r>
      <w:r w:rsidR="00DE3D07" w:rsidRPr="00DE3D07">
        <w:rPr>
          <w:lang w:val="en-GB"/>
        </w:rPr>
        <w:t>people with</w:t>
      </w:r>
      <w:r w:rsidR="00DE3D07">
        <w:rPr>
          <w:lang w:val="en-GB"/>
        </w:rPr>
        <w:t xml:space="preserve"> untreated CLL with</w:t>
      </w:r>
      <w:r w:rsidR="00DE3D07" w:rsidRPr="00DE3D07">
        <w:rPr>
          <w:lang w:val="en-GB"/>
        </w:rPr>
        <w:t xml:space="preserve"> a 17p deletion or TP53 mutation,</w:t>
      </w:r>
      <w:r w:rsidR="00FF2288">
        <w:rPr>
          <w:lang w:val="en-GB"/>
        </w:rPr>
        <w:t xml:space="preserve"> acalabrutinib is likely to be cost-savin</w:t>
      </w:r>
      <w:r w:rsidR="00502918">
        <w:rPr>
          <w:lang w:val="en-GB"/>
        </w:rPr>
        <w:t>g compared with ibrutinib</w:t>
      </w:r>
      <w:r w:rsidR="00DE3D07">
        <w:rPr>
          <w:lang w:val="en-GB"/>
        </w:rPr>
        <w:t>.</w:t>
      </w:r>
    </w:p>
    <w:p w14:paraId="6E239E41" w14:textId="688677D6" w:rsidR="00460716" w:rsidRDefault="00E725D8" w:rsidP="00460716">
      <w:pPr>
        <w:pStyle w:val="Heading3"/>
      </w:pPr>
      <w:r>
        <w:t>For</w:t>
      </w:r>
      <w:r w:rsidR="00460716">
        <w:t xml:space="preserve"> previously treated CLL, </w:t>
      </w:r>
      <w:r w:rsidR="00FF2288">
        <w:t>acalabrutinib is likely to be cost-saving</w:t>
      </w:r>
      <w:r w:rsidR="00502918">
        <w:t xml:space="preserve"> compared with ibrutinib</w:t>
      </w:r>
    </w:p>
    <w:p w14:paraId="7484379D" w14:textId="6DB28359" w:rsidR="00460716" w:rsidRPr="00460716" w:rsidRDefault="008D392B" w:rsidP="00460716">
      <w:pPr>
        <w:pStyle w:val="Numberedlevel2text"/>
      </w:pPr>
      <w:r>
        <w:rPr>
          <w:lang w:val="en-GB"/>
        </w:rPr>
        <w:t>In t</w:t>
      </w:r>
      <w:r w:rsidR="00D0103C">
        <w:rPr>
          <w:lang w:val="en-GB"/>
        </w:rPr>
        <w:t xml:space="preserve">he company’s base case from </w:t>
      </w:r>
      <w:r>
        <w:rPr>
          <w:lang w:val="en-GB"/>
        </w:rPr>
        <w:t xml:space="preserve">its </w:t>
      </w:r>
      <w:r w:rsidR="00D0103C">
        <w:rPr>
          <w:lang w:val="en-GB"/>
        </w:rPr>
        <w:t>cost-minimisation analysis</w:t>
      </w:r>
      <w:r>
        <w:rPr>
          <w:lang w:val="en-GB"/>
        </w:rPr>
        <w:t>,</w:t>
      </w:r>
      <w:r w:rsidR="00D0103C">
        <w:rPr>
          <w:lang w:val="en-GB"/>
        </w:rPr>
        <w:t xml:space="preserve"> costs for acalabrutinib were lower than costs for ibrutinib </w:t>
      </w:r>
      <w:r>
        <w:rPr>
          <w:lang w:val="en-GB"/>
        </w:rPr>
        <w:t>for</w:t>
      </w:r>
      <w:r w:rsidR="00D0103C">
        <w:rPr>
          <w:lang w:val="en-GB"/>
        </w:rPr>
        <w:t xml:space="preserve"> people with previously treated CLL. The cost-minimisation analysis </w:t>
      </w:r>
      <w:r w:rsidR="00D0103C" w:rsidRPr="00DE3D07">
        <w:rPr>
          <w:lang w:val="en-GB"/>
        </w:rPr>
        <w:t>consider</w:t>
      </w:r>
      <w:r w:rsidR="00D0103C">
        <w:rPr>
          <w:lang w:val="en-GB"/>
        </w:rPr>
        <w:t>ed</w:t>
      </w:r>
      <w:r w:rsidR="00D0103C" w:rsidRPr="00DE3D07">
        <w:rPr>
          <w:lang w:val="en-GB"/>
        </w:rPr>
        <w:t xml:space="preserve"> whether </w:t>
      </w:r>
      <w:r w:rsidR="00D0103C">
        <w:rPr>
          <w:lang w:val="en-GB"/>
        </w:rPr>
        <w:t xml:space="preserve">the </w:t>
      </w:r>
      <w:r w:rsidR="00D0103C" w:rsidRPr="00DE3D07">
        <w:rPr>
          <w:lang w:val="en-GB"/>
        </w:rPr>
        <w:t>acquisition and management of adverse event</w:t>
      </w:r>
      <w:r>
        <w:rPr>
          <w:lang w:val="en-GB"/>
        </w:rPr>
        <w:t>s</w:t>
      </w:r>
      <w:r w:rsidR="00D0103C" w:rsidRPr="00DE3D07">
        <w:rPr>
          <w:lang w:val="en-GB"/>
        </w:rPr>
        <w:t xml:space="preserve"> cost</w:t>
      </w:r>
      <w:r w:rsidR="006111BD">
        <w:rPr>
          <w:lang w:val="en-GB"/>
        </w:rPr>
        <w:t>s</w:t>
      </w:r>
      <w:r w:rsidR="00D0103C" w:rsidRPr="00DE3D07">
        <w:rPr>
          <w:lang w:val="en-GB"/>
        </w:rPr>
        <w:t xml:space="preserve"> for acalabrutinib </w:t>
      </w:r>
      <w:r>
        <w:rPr>
          <w:lang w:val="en-GB"/>
        </w:rPr>
        <w:t>were</w:t>
      </w:r>
      <w:r w:rsidR="00D0103C" w:rsidRPr="00DE3D07">
        <w:rPr>
          <w:lang w:val="en-GB"/>
        </w:rPr>
        <w:t xml:space="preserve"> lower than for ibrutinib</w:t>
      </w:r>
      <w:r w:rsidR="00D0103C">
        <w:rPr>
          <w:lang w:val="en-GB"/>
        </w:rPr>
        <w:t xml:space="preserve">. The ERG’s analysis made no substantial changes to the company’s base case and resulted in mostly unchanged cost savings for acalabrutinib treatment. </w:t>
      </w:r>
      <w:r w:rsidR="00D0103C" w:rsidRPr="00024E88">
        <w:t xml:space="preserve">The </w:t>
      </w:r>
      <w:r w:rsidR="00806789">
        <w:rPr>
          <w:lang w:val="en-GB"/>
        </w:rPr>
        <w:t>final costs considered</w:t>
      </w:r>
      <w:r w:rsidR="00D0103C" w:rsidRPr="00024E88">
        <w:t xml:space="preserve"> by the committee took account of all available confidential discounts, including those for comparators</w:t>
      </w:r>
      <w:r w:rsidR="00D0103C">
        <w:rPr>
          <w:lang w:val="en-GB"/>
        </w:rPr>
        <w:t xml:space="preserve">. The committee concluded that </w:t>
      </w:r>
      <w:r>
        <w:rPr>
          <w:lang w:val="en-GB"/>
        </w:rPr>
        <w:t>for</w:t>
      </w:r>
      <w:r w:rsidR="00D0103C" w:rsidRPr="00DE3D07">
        <w:rPr>
          <w:lang w:val="en-GB"/>
        </w:rPr>
        <w:t xml:space="preserve"> people with</w:t>
      </w:r>
      <w:r w:rsidR="00D0103C">
        <w:rPr>
          <w:lang w:val="en-GB"/>
        </w:rPr>
        <w:t xml:space="preserve"> previously treated CLL</w:t>
      </w:r>
      <w:r w:rsidR="0092530B">
        <w:rPr>
          <w:lang w:val="en-GB"/>
        </w:rPr>
        <w:t xml:space="preserve"> </w:t>
      </w:r>
      <w:r w:rsidR="00806789">
        <w:rPr>
          <w:lang w:val="en-GB"/>
        </w:rPr>
        <w:t>acalabrutinib was likely to be cost-saving</w:t>
      </w:r>
      <w:r w:rsidR="00502918">
        <w:rPr>
          <w:lang w:val="en-GB"/>
        </w:rPr>
        <w:t xml:space="preserve"> comparing with ibrutinib</w:t>
      </w:r>
      <w:r w:rsidR="0092530B">
        <w:rPr>
          <w:lang w:val="en-GB"/>
        </w:rPr>
        <w:t>.</w:t>
      </w:r>
      <w:r w:rsidR="00806789">
        <w:rPr>
          <w:lang w:val="en-GB"/>
        </w:rPr>
        <w:t xml:space="preserve"> However, the committee considered that venetoclax plus rituximab was a relevant comparator for this population but </w:t>
      </w:r>
      <w:r w:rsidR="00502918">
        <w:rPr>
          <w:lang w:val="en-GB"/>
        </w:rPr>
        <w:t xml:space="preserve">the company did </w:t>
      </w:r>
      <w:r w:rsidR="00806789">
        <w:rPr>
          <w:lang w:val="en-GB"/>
        </w:rPr>
        <w:t>no</w:t>
      </w:r>
      <w:r w:rsidR="00502918">
        <w:rPr>
          <w:lang w:val="en-GB"/>
        </w:rPr>
        <w:t>t present a</w:t>
      </w:r>
      <w:r w:rsidR="00806789">
        <w:rPr>
          <w:lang w:val="en-GB"/>
        </w:rPr>
        <w:t xml:space="preserve"> compar</w:t>
      </w:r>
      <w:r w:rsidR="00502918">
        <w:rPr>
          <w:lang w:val="en-GB"/>
        </w:rPr>
        <w:t>ison with</w:t>
      </w:r>
      <w:r w:rsidR="00806789">
        <w:rPr>
          <w:lang w:val="en-GB"/>
        </w:rPr>
        <w:t xml:space="preserve"> acalabrutinib (see</w:t>
      </w:r>
      <w:r w:rsidR="00EF7CF8">
        <w:rPr>
          <w:lang w:val="en-GB"/>
        </w:rPr>
        <w:t> </w:t>
      </w:r>
      <w:r w:rsidR="00806789">
        <w:rPr>
          <w:lang w:val="en-GB"/>
        </w:rPr>
        <w:t>section 3.</w:t>
      </w:r>
      <w:r w:rsidR="00511F9F">
        <w:rPr>
          <w:lang w:val="en-GB"/>
        </w:rPr>
        <w:t>5</w:t>
      </w:r>
      <w:r w:rsidR="00806789">
        <w:rPr>
          <w:lang w:val="en-GB"/>
        </w:rPr>
        <w:t>).</w:t>
      </w:r>
    </w:p>
    <w:p w14:paraId="0017F0FC" w14:textId="25C47F52" w:rsidR="00643582" w:rsidRDefault="00DF1A4F" w:rsidP="00643582">
      <w:pPr>
        <w:pStyle w:val="Heading2"/>
      </w:pPr>
      <w:r>
        <w:lastRenderedPageBreak/>
        <w:t>End of life</w:t>
      </w:r>
    </w:p>
    <w:p w14:paraId="3184A4DA" w14:textId="5AA099BB" w:rsidR="00643582" w:rsidRPr="00DF0C5C" w:rsidRDefault="00F926D8" w:rsidP="0073007E">
      <w:pPr>
        <w:pStyle w:val="Heading3"/>
      </w:pPr>
      <w:r>
        <w:t xml:space="preserve">Acalabrutinib </w:t>
      </w:r>
      <w:r w:rsidRPr="00F926D8">
        <w:t>does not meet the criteria to be considered a life-extending treatment at the end of life</w:t>
      </w:r>
    </w:p>
    <w:p w14:paraId="63CB2D64" w14:textId="0AF81BD0" w:rsidR="00643582" w:rsidRDefault="00643582" w:rsidP="00F926D8">
      <w:pPr>
        <w:pStyle w:val="Numberedlevel2text"/>
      </w:pPr>
      <w:r>
        <w:t xml:space="preserve">The committee considered the </w:t>
      </w:r>
      <w:r w:rsidRPr="00611D94">
        <w:t>advice</w:t>
      </w:r>
      <w:r>
        <w:t xml:space="preserve"> about life-extending treatments for people with a short life expectancy in </w:t>
      </w:r>
      <w:hyperlink r:id="rId11" w:history="1">
        <w:r w:rsidRPr="00D019BA">
          <w:rPr>
            <w:rStyle w:val="Hyperlink"/>
          </w:rPr>
          <w:t xml:space="preserve">NICE’s </w:t>
        </w:r>
        <w:r w:rsidR="00746B57" w:rsidRPr="00D019BA">
          <w:rPr>
            <w:rStyle w:val="Hyperlink"/>
          </w:rPr>
          <w:t>guide to the methods of technology appraisal</w:t>
        </w:r>
      </w:hyperlink>
      <w:r>
        <w:t>.</w:t>
      </w:r>
      <w:r w:rsidR="00F926D8">
        <w:rPr>
          <w:lang w:val="en-GB"/>
        </w:rPr>
        <w:t xml:space="preserve"> </w:t>
      </w:r>
      <w:r w:rsidR="00091479">
        <w:rPr>
          <w:lang w:val="en-GB"/>
        </w:rPr>
        <w:t>It</w:t>
      </w:r>
      <w:r w:rsidR="00F926D8" w:rsidRPr="00024E88">
        <w:t xml:space="preserve"> considered that the short life</w:t>
      </w:r>
      <w:r w:rsidR="00F926D8">
        <w:t xml:space="preserve"> </w:t>
      </w:r>
      <w:r w:rsidR="00F926D8" w:rsidRPr="00024E88">
        <w:t xml:space="preserve">expectancy criterion of less than 24 months was not met because people with CLL have a life expectancy of more than 2 years. The committee concluded that </w:t>
      </w:r>
      <w:r w:rsidR="00F926D8">
        <w:rPr>
          <w:lang w:val="en-GB"/>
        </w:rPr>
        <w:t>acalabrutinib</w:t>
      </w:r>
      <w:r w:rsidR="00F926D8" w:rsidRPr="00024E88">
        <w:t xml:space="preserve"> does not meet the criteria to be considered a life-extending treatment at end of life</w:t>
      </w:r>
      <w:r w:rsidR="00F926D8">
        <w:rPr>
          <w:lang w:val="en-GB"/>
        </w:rPr>
        <w:t>.</w:t>
      </w:r>
    </w:p>
    <w:p w14:paraId="31201C9D" w14:textId="00CEC1C8" w:rsidR="00643582" w:rsidRDefault="00050A6A" w:rsidP="00643582">
      <w:pPr>
        <w:pStyle w:val="Heading2"/>
      </w:pPr>
      <w:r>
        <w:t>Conclusions</w:t>
      </w:r>
    </w:p>
    <w:p w14:paraId="37F67097" w14:textId="7FC94A41" w:rsidR="00DC3177" w:rsidRPr="00DC3177" w:rsidRDefault="00050A6A" w:rsidP="0073007E">
      <w:pPr>
        <w:pStyle w:val="Heading3"/>
      </w:pPr>
      <w:r>
        <w:t xml:space="preserve">Acalabrutinib is not recommended for untreated CLL </w:t>
      </w:r>
      <w:r w:rsidR="007A008A">
        <w:t xml:space="preserve">that is not high risk and </w:t>
      </w:r>
      <w:r>
        <w:t>when FCR or BR is unsuitable</w:t>
      </w:r>
    </w:p>
    <w:p w14:paraId="044A1FDF" w14:textId="6C692ACC" w:rsidR="00F81F50" w:rsidRDefault="00B05DA6" w:rsidP="00F81F50">
      <w:pPr>
        <w:pStyle w:val="Numberedlevel2text"/>
      </w:pPr>
      <w:r>
        <w:rPr>
          <w:lang w:val="en-GB"/>
        </w:rPr>
        <w:t>The committee considered the uncertainties with subsequent treatment costs and survival estimates</w:t>
      </w:r>
      <w:r w:rsidR="00CB337D">
        <w:rPr>
          <w:lang w:val="en-GB"/>
        </w:rPr>
        <w:t>.</w:t>
      </w:r>
      <w:r>
        <w:rPr>
          <w:lang w:val="en-GB"/>
        </w:rPr>
        <w:t xml:space="preserve"> </w:t>
      </w:r>
      <w:r w:rsidR="00CB337D">
        <w:rPr>
          <w:lang w:val="en-GB"/>
        </w:rPr>
        <w:t>It</w:t>
      </w:r>
      <w:r>
        <w:rPr>
          <w:lang w:val="en-GB"/>
        </w:rPr>
        <w:t xml:space="preserve"> concluded that, in all scenarios, the ICERs for acalabrutinib would not be considered an acceptable use of NHS resources </w:t>
      </w:r>
      <w:r w:rsidR="00CB337D">
        <w:rPr>
          <w:lang w:val="en-GB"/>
        </w:rPr>
        <w:t>for</w:t>
      </w:r>
      <w:r>
        <w:rPr>
          <w:lang w:val="en-GB"/>
        </w:rPr>
        <w:t xml:space="preserve"> untreated CLL </w:t>
      </w:r>
      <w:r w:rsidR="00CB337D">
        <w:rPr>
          <w:lang w:val="en-GB"/>
        </w:rPr>
        <w:t xml:space="preserve">that is not </w:t>
      </w:r>
      <w:r>
        <w:rPr>
          <w:lang w:val="en-GB"/>
        </w:rPr>
        <w:t xml:space="preserve">high risk </w:t>
      </w:r>
      <w:r w:rsidR="00CB337D">
        <w:rPr>
          <w:lang w:val="en-GB"/>
        </w:rPr>
        <w:t xml:space="preserve">and </w:t>
      </w:r>
      <w:r>
        <w:rPr>
          <w:lang w:val="en-GB"/>
        </w:rPr>
        <w:t>whe</w:t>
      </w:r>
      <w:r w:rsidR="00CB337D">
        <w:rPr>
          <w:lang w:val="en-GB"/>
        </w:rPr>
        <w:t>n</w:t>
      </w:r>
      <w:r>
        <w:rPr>
          <w:lang w:val="en-GB"/>
        </w:rPr>
        <w:t xml:space="preserve"> FCR or BR is unsuitable (see section</w:t>
      </w:r>
      <w:r w:rsidR="00CB337D">
        <w:rPr>
          <w:lang w:val="en-GB"/>
        </w:rPr>
        <w:t> </w:t>
      </w:r>
      <w:r>
        <w:rPr>
          <w:lang w:val="en-GB"/>
        </w:rPr>
        <w:t xml:space="preserve">3.16). </w:t>
      </w:r>
      <w:r w:rsidRPr="00024E88">
        <w:t xml:space="preserve">The committee concluded that </w:t>
      </w:r>
      <w:r>
        <w:rPr>
          <w:lang w:val="en-GB"/>
        </w:rPr>
        <w:t>acalabrutinib</w:t>
      </w:r>
      <w:r w:rsidRPr="00024E88">
        <w:t xml:space="preserve"> could not be recommended for routine use in the NHS </w:t>
      </w:r>
      <w:r w:rsidR="00CB337D">
        <w:rPr>
          <w:lang w:val="en-GB"/>
        </w:rPr>
        <w:t>for</w:t>
      </w:r>
      <w:r w:rsidRPr="00024E88">
        <w:t xml:space="preserve"> this population.</w:t>
      </w:r>
    </w:p>
    <w:p w14:paraId="633344F9" w14:textId="09833A5E" w:rsidR="00B05DA6" w:rsidRDefault="00B05DA6" w:rsidP="00B05DA6">
      <w:pPr>
        <w:pStyle w:val="Heading3"/>
      </w:pPr>
      <w:r>
        <w:t xml:space="preserve">Acalabrutinib </w:t>
      </w:r>
      <w:r w:rsidRPr="00024E88">
        <w:t xml:space="preserve">is recommended </w:t>
      </w:r>
      <w:r w:rsidR="00CB337D">
        <w:t>for people with</w:t>
      </w:r>
      <w:r w:rsidRPr="00024E88">
        <w:t xml:space="preserve"> a 17p deletion or TP53 mutation</w:t>
      </w:r>
    </w:p>
    <w:p w14:paraId="7B1CFD5C" w14:textId="6DECD9A8" w:rsidR="00B05DA6" w:rsidRPr="00EA2B25" w:rsidRDefault="00066448" w:rsidP="00B05DA6">
      <w:pPr>
        <w:pStyle w:val="Numberedlevel2text"/>
      </w:pPr>
      <w:r>
        <w:rPr>
          <w:lang w:val="en-GB"/>
        </w:rPr>
        <w:t>The committee considered the uncertainty in the evidence for a population with untreated CLL with a 17p deletion or TP53 mutation</w:t>
      </w:r>
      <w:r w:rsidR="00CB337D">
        <w:rPr>
          <w:lang w:val="en-GB"/>
        </w:rPr>
        <w:t>.</w:t>
      </w:r>
      <w:r>
        <w:rPr>
          <w:lang w:val="en-GB"/>
        </w:rPr>
        <w:t xml:space="preserve"> </w:t>
      </w:r>
      <w:r w:rsidR="00CB337D">
        <w:rPr>
          <w:lang w:val="en-GB"/>
        </w:rPr>
        <w:t>H</w:t>
      </w:r>
      <w:r>
        <w:rPr>
          <w:lang w:val="en-GB"/>
        </w:rPr>
        <w:t>owever</w:t>
      </w:r>
      <w:r w:rsidR="00CB337D">
        <w:rPr>
          <w:lang w:val="en-GB"/>
        </w:rPr>
        <w:t>,</w:t>
      </w:r>
      <w:r>
        <w:rPr>
          <w:lang w:val="en-GB"/>
        </w:rPr>
        <w:t xml:space="preserve"> </w:t>
      </w:r>
      <w:r w:rsidR="00EA2B25">
        <w:rPr>
          <w:lang w:val="en-GB"/>
        </w:rPr>
        <w:t>it considered the economic model to be appropriate for decision making (see section</w:t>
      </w:r>
      <w:r w:rsidR="00CB337D">
        <w:rPr>
          <w:lang w:val="en-GB"/>
        </w:rPr>
        <w:t> </w:t>
      </w:r>
      <w:r w:rsidR="00EA2B25">
        <w:rPr>
          <w:lang w:val="en-GB"/>
        </w:rPr>
        <w:t xml:space="preserve">3.17). The committee concluded that </w:t>
      </w:r>
      <w:r w:rsidR="00CB337D">
        <w:rPr>
          <w:lang w:val="en-GB"/>
        </w:rPr>
        <w:t>for</w:t>
      </w:r>
      <w:r w:rsidR="00EA2B25" w:rsidRPr="00DE3D07">
        <w:rPr>
          <w:lang w:val="en-GB"/>
        </w:rPr>
        <w:t xml:space="preserve"> people with</w:t>
      </w:r>
      <w:r w:rsidR="00EA2B25">
        <w:rPr>
          <w:lang w:val="en-GB"/>
        </w:rPr>
        <w:t xml:space="preserve"> untreated CLL with</w:t>
      </w:r>
      <w:r w:rsidR="00EA2B25" w:rsidRPr="00DE3D07">
        <w:rPr>
          <w:lang w:val="en-GB"/>
        </w:rPr>
        <w:t xml:space="preserve"> a 17p deletion or TP53 mutation, </w:t>
      </w:r>
      <w:r w:rsidR="00EA2B25">
        <w:rPr>
          <w:lang w:val="en-GB"/>
        </w:rPr>
        <w:t>acalabrutinib</w:t>
      </w:r>
      <w:r w:rsidR="00540C99">
        <w:rPr>
          <w:lang w:val="en-GB"/>
        </w:rPr>
        <w:t xml:space="preserve"> was likely to be cost-saving compared with ibrutinib</w:t>
      </w:r>
      <w:r w:rsidR="00CB337D">
        <w:rPr>
          <w:lang w:val="en-GB"/>
        </w:rPr>
        <w:t>.</w:t>
      </w:r>
      <w:r w:rsidR="00EA2B25">
        <w:rPr>
          <w:lang w:val="en-GB"/>
        </w:rPr>
        <w:t xml:space="preserve"> </w:t>
      </w:r>
      <w:proofErr w:type="gramStart"/>
      <w:r w:rsidR="00884341">
        <w:rPr>
          <w:lang w:val="en-GB"/>
        </w:rPr>
        <w:t>So</w:t>
      </w:r>
      <w:proofErr w:type="gramEnd"/>
      <w:r w:rsidR="00CB337D">
        <w:rPr>
          <w:lang w:val="en-GB"/>
        </w:rPr>
        <w:t xml:space="preserve"> it</w:t>
      </w:r>
      <w:r w:rsidR="00EA2B25">
        <w:rPr>
          <w:lang w:val="en-GB"/>
        </w:rPr>
        <w:t xml:space="preserve"> could be recommended as an option for this population.</w:t>
      </w:r>
    </w:p>
    <w:p w14:paraId="0647F90E" w14:textId="7B318323" w:rsidR="00EA2B25" w:rsidRDefault="00EA2B25" w:rsidP="00EA2B25">
      <w:pPr>
        <w:pStyle w:val="Heading3"/>
      </w:pPr>
      <w:r>
        <w:lastRenderedPageBreak/>
        <w:t xml:space="preserve">Acalabrutinib is recommended for previously treated CLL when ibrutinib is </w:t>
      </w:r>
      <w:r w:rsidR="00471974">
        <w:t xml:space="preserve">the only </w:t>
      </w:r>
      <w:r>
        <w:t>suitable</w:t>
      </w:r>
      <w:r w:rsidR="00471974">
        <w:t xml:space="preserve"> treatment option</w:t>
      </w:r>
    </w:p>
    <w:p w14:paraId="4FF04C03" w14:textId="0C5D3570" w:rsidR="00EA2B25" w:rsidRPr="004E02B1" w:rsidRDefault="00EA2B25" w:rsidP="00EA2B25">
      <w:pPr>
        <w:pStyle w:val="Numberedlevel2text"/>
      </w:pPr>
      <w:r>
        <w:rPr>
          <w:lang w:val="en-GB"/>
        </w:rPr>
        <w:t xml:space="preserve">The committee considered that venetoclax plus rituximab </w:t>
      </w:r>
      <w:r w:rsidR="00CB337D">
        <w:rPr>
          <w:lang w:val="en-GB"/>
        </w:rPr>
        <w:t>wa</w:t>
      </w:r>
      <w:r>
        <w:rPr>
          <w:lang w:val="en-GB"/>
        </w:rPr>
        <w:t xml:space="preserve">s a relevant comparator </w:t>
      </w:r>
      <w:r w:rsidR="00CB337D">
        <w:rPr>
          <w:lang w:val="en-GB"/>
        </w:rPr>
        <w:t>for</w:t>
      </w:r>
      <w:r>
        <w:rPr>
          <w:lang w:val="en-GB"/>
        </w:rPr>
        <w:t xml:space="preserve"> this population but no evidence </w:t>
      </w:r>
      <w:r w:rsidR="007A008A">
        <w:rPr>
          <w:lang w:val="en-GB"/>
        </w:rPr>
        <w:t xml:space="preserve">comparing it with </w:t>
      </w:r>
      <w:r>
        <w:rPr>
          <w:lang w:val="en-GB"/>
        </w:rPr>
        <w:t>acalabrutinib was presented (see section</w:t>
      </w:r>
      <w:r w:rsidR="00CB337D">
        <w:rPr>
          <w:lang w:val="en-GB"/>
        </w:rPr>
        <w:t> </w:t>
      </w:r>
      <w:r>
        <w:rPr>
          <w:lang w:val="en-GB"/>
        </w:rPr>
        <w:t>3.18). It con</w:t>
      </w:r>
      <w:r w:rsidR="00CB337D">
        <w:rPr>
          <w:lang w:val="en-GB"/>
        </w:rPr>
        <w:t>cluded</w:t>
      </w:r>
      <w:r>
        <w:rPr>
          <w:lang w:val="en-GB"/>
        </w:rPr>
        <w:t xml:space="preserve"> </w:t>
      </w:r>
      <w:r w:rsidR="00CB337D">
        <w:rPr>
          <w:lang w:val="en-GB"/>
        </w:rPr>
        <w:t xml:space="preserve">that </w:t>
      </w:r>
      <w:r>
        <w:rPr>
          <w:lang w:val="en-GB"/>
        </w:rPr>
        <w:t xml:space="preserve">the economic model was appropriate to compare acalabrutinib with ibrutinib and </w:t>
      </w:r>
      <w:r w:rsidR="00540C99">
        <w:rPr>
          <w:lang w:val="en-GB"/>
        </w:rPr>
        <w:t>acalabrutinib was likely to be cost-saving compared with ibrutinib</w:t>
      </w:r>
      <w:r w:rsidR="00CB337D">
        <w:rPr>
          <w:lang w:val="en-GB"/>
        </w:rPr>
        <w:t xml:space="preserve">. </w:t>
      </w:r>
      <w:proofErr w:type="gramStart"/>
      <w:r w:rsidR="00884341">
        <w:rPr>
          <w:lang w:val="en-GB"/>
        </w:rPr>
        <w:t>So</w:t>
      </w:r>
      <w:proofErr w:type="gramEnd"/>
      <w:r w:rsidR="00CB337D">
        <w:rPr>
          <w:lang w:val="en-GB"/>
        </w:rPr>
        <w:t xml:space="preserve"> it</w:t>
      </w:r>
      <w:r>
        <w:rPr>
          <w:lang w:val="en-GB"/>
        </w:rPr>
        <w:t xml:space="preserve"> could</w:t>
      </w:r>
      <w:r w:rsidR="004669D7">
        <w:rPr>
          <w:lang w:val="en-GB"/>
        </w:rPr>
        <w:t xml:space="preserve"> </w:t>
      </w:r>
      <w:r>
        <w:rPr>
          <w:lang w:val="en-GB"/>
        </w:rPr>
        <w:t>be recommended as an option for previously treated CLL</w:t>
      </w:r>
      <w:r w:rsidR="00471974">
        <w:rPr>
          <w:lang w:val="en-GB"/>
        </w:rPr>
        <w:t>, but only</w:t>
      </w:r>
      <w:r>
        <w:rPr>
          <w:lang w:val="en-GB"/>
        </w:rPr>
        <w:t xml:space="preserve"> when </w:t>
      </w:r>
      <w:r w:rsidR="000819B9">
        <w:t>ibrutinib is the</w:t>
      </w:r>
      <w:r w:rsidR="00471974">
        <w:rPr>
          <w:lang w:val="en-GB"/>
        </w:rPr>
        <w:t xml:space="preserve"> </w:t>
      </w:r>
      <w:r w:rsidR="000819B9">
        <w:t>only suitable treatment option</w:t>
      </w:r>
      <w:r>
        <w:rPr>
          <w:lang w:val="en-GB"/>
        </w:rPr>
        <w:t>.</w:t>
      </w:r>
    </w:p>
    <w:p w14:paraId="6BC1D1D5" w14:textId="77777777" w:rsidR="004E02B1" w:rsidRDefault="004E02B1" w:rsidP="004E02B1">
      <w:pPr>
        <w:pStyle w:val="Heading2"/>
      </w:pPr>
      <w:r>
        <w:t>Cancer Drugs Fund</w:t>
      </w:r>
    </w:p>
    <w:p w14:paraId="059BBA04" w14:textId="77777777" w:rsidR="004E02B1" w:rsidRDefault="004E02B1" w:rsidP="004E02B1">
      <w:pPr>
        <w:pStyle w:val="Heading3"/>
      </w:pPr>
      <w:r>
        <w:t>Acalabrutinib does not meet the criteria for the Cancer Drugs Fund</w:t>
      </w:r>
    </w:p>
    <w:p w14:paraId="423BD2A4" w14:textId="212DD464" w:rsidR="004E02B1" w:rsidRDefault="004E02B1" w:rsidP="004E02B1">
      <w:pPr>
        <w:pStyle w:val="Numberedlevel2text"/>
        <w:numPr>
          <w:ilvl w:val="1"/>
          <w:numId w:val="1"/>
        </w:numPr>
      </w:pPr>
      <w:r w:rsidRPr="00386A4E">
        <w:t xml:space="preserve">Having concluded that </w:t>
      </w:r>
      <w:r>
        <w:rPr>
          <w:lang w:val="en-GB"/>
        </w:rPr>
        <w:t>acalabrutinib</w:t>
      </w:r>
      <w:r w:rsidRPr="00386A4E">
        <w:t xml:space="preserve"> could not be recommended for routine use</w:t>
      </w:r>
      <w:r>
        <w:rPr>
          <w:lang w:val="en-GB"/>
        </w:rPr>
        <w:t xml:space="preserve"> for untreated CLL when FCR or BR is unsuitable (see section 3.16)</w:t>
      </w:r>
      <w:r w:rsidRPr="00386A4E">
        <w:t xml:space="preserve">, the committee then considered if it could be recommended </w:t>
      </w:r>
      <w:r>
        <w:rPr>
          <w:lang w:val="en-GB"/>
        </w:rPr>
        <w:t xml:space="preserve">for use </w:t>
      </w:r>
      <w:r w:rsidRPr="00386A4E">
        <w:t xml:space="preserve">within the Cancer Drugs Fund. The committee discussed the arrangements for the Cancer Drugs Fund agreed by NICE and NHS England in 2016, noting </w:t>
      </w:r>
      <w:hyperlink r:id="rId12" w:history="1">
        <w:r w:rsidRPr="00D019BA">
          <w:rPr>
            <w:rStyle w:val="Hyperlink"/>
          </w:rPr>
          <w:t>NICE’s Cancer Drugs Fund methods guide (addendum)</w:t>
        </w:r>
      </w:hyperlink>
      <w:r w:rsidRPr="00386A4E">
        <w:t xml:space="preserve">. </w:t>
      </w:r>
      <w:r w:rsidRPr="00024E88">
        <w:t xml:space="preserve">The committee considered whether the clinical uncertainty associated with </w:t>
      </w:r>
      <w:r>
        <w:rPr>
          <w:lang w:val="en-GB"/>
        </w:rPr>
        <w:t>acalabrutinib</w:t>
      </w:r>
      <w:r w:rsidRPr="00024E88">
        <w:t xml:space="preserve"> </w:t>
      </w:r>
      <w:r>
        <w:rPr>
          <w:lang w:val="en-GB"/>
        </w:rPr>
        <w:t>for</w:t>
      </w:r>
      <w:r w:rsidRPr="00024E88">
        <w:t xml:space="preserve"> this patient population could be addressed </w:t>
      </w:r>
      <w:r>
        <w:rPr>
          <w:lang w:val="en-GB"/>
        </w:rPr>
        <w:t>by</w:t>
      </w:r>
      <w:r w:rsidRPr="00024E88">
        <w:t xml:space="preserve"> collecting more data</w:t>
      </w:r>
      <w:r>
        <w:rPr>
          <w:lang w:val="en-GB"/>
        </w:rPr>
        <w:t xml:space="preserve">. The committee acknowledged that ELEVATE-TN is ongoing. However, given that overall survival could be similar to the general population (see section </w:t>
      </w:r>
      <w:r w:rsidR="00511F9F">
        <w:rPr>
          <w:lang w:val="en-GB"/>
        </w:rPr>
        <w:t>3.15</w:t>
      </w:r>
      <w:r>
        <w:rPr>
          <w:lang w:val="en-GB"/>
        </w:rPr>
        <w:t>), further follow-up within the usual time-frame of the Cancer Drugs Fund was unlikely to resolve the uncertainty. In addition, the committee noted that</w:t>
      </w:r>
      <w:r w:rsidRPr="00024E88">
        <w:t xml:space="preserve"> </w:t>
      </w:r>
      <w:r>
        <w:rPr>
          <w:lang w:val="en-GB"/>
        </w:rPr>
        <w:t xml:space="preserve">acalabrutinib was not plausibly cost-effective in any of the scenarios it considered (see section </w:t>
      </w:r>
      <w:r w:rsidR="00F42FD4">
        <w:rPr>
          <w:lang w:val="en-GB"/>
        </w:rPr>
        <w:t>3.16</w:t>
      </w:r>
      <w:r>
        <w:rPr>
          <w:lang w:val="en-GB"/>
        </w:rPr>
        <w:t>). So</w:t>
      </w:r>
      <w:r>
        <w:t xml:space="preserve"> </w:t>
      </w:r>
      <w:r>
        <w:rPr>
          <w:lang w:val="en-GB"/>
        </w:rPr>
        <w:t>acalabrutinib did not</w:t>
      </w:r>
      <w:r>
        <w:t xml:space="preserve"> me</w:t>
      </w:r>
      <w:r>
        <w:rPr>
          <w:lang w:val="en-GB"/>
        </w:rPr>
        <w:t>e</w:t>
      </w:r>
      <w:r>
        <w:t>t the criteria to be considered for inclusion in the Cancer Drugs Fund.</w:t>
      </w:r>
    </w:p>
    <w:p w14:paraId="6FA23238" w14:textId="77777777" w:rsidR="00EF7CF8" w:rsidRDefault="00EF7CF8" w:rsidP="00EF7CF8">
      <w:pPr>
        <w:pStyle w:val="Heading2"/>
      </w:pPr>
      <w:r>
        <w:lastRenderedPageBreak/>
        <w:t>Equality considerations</w:t>
      </w:r>
    </w:p>
    <w:p w14:paraId="3C6D8AA6" w14:textId="77777777" w:rsidR="00EF7CF8" w:rsidRPr="00735682" w:rsidRDefault="00EF7CF8" w:rsidP="00EF7CF8">
      <w:pPr>
        <w:pStyle w:val="Heading3"/>
      </w:pPr>
      <w:r w:rsidRPr="00024E88">
        <w:t>There are no equality issues relevant to the recommendations</w:t>
      </w:r>
    </w:p>
    <w:p w14:paraId="516CE955" w14:textId="43F27B2B" w:rsidR="00EF7CF8" w:rsidRPr="0023204D" w:rsidRDefault="00EF7CF8" w:rsidP="00EF7CF8">
      <w:pPr>
        <w:pStyle w:val="Numberedlevel2text"/>
        <w:numPr>
          <w:ilvl w:val="1"/>
          <w:numId w:val="1"/>
        </w:numPr>
      </w:pPr>
      <w:r w:rsidRPr="00024E88">
        <w:t xml:space="preserve">The company’s submission did not include people </w:t>
      </w:r>
      <w:r>
        <w:rPr>
          <w:lang w:val="en-GB"/>
        </w:rPr>
        <w:t>with untreated CLL</w:t>
      </w:r>
      <w:r w:rsidRPr="00024E88">
        <w:t xml:space="preserve"> for whom FCR or BR is suitable. Patient submissions highlighted that this would potentially deny</w:t>
      </w:r>
      <w:r>
        <w:rPr>
          <w:lang w:val="en-GB"/>
        </w:rPr>
        <w:t xml:space="preserve"> younger and fitter</w:t>
      </w:r>
      <w:r w:rsidRPr="00024E88">
        <w:t xml:space="preserve"> people access to a new treatment option that is well tolerated</w:t>
      </w:r>
      <w:r>
        <w:rPr>
          <w:lang w:val="en-GB"/>
        </w:rPr>
        <w:t xml:space="preserve">. However, the committee could not make a recommendation about the clinical and cost effectiveness of acalabrutinib for this population because the company did not present any evidence. </w:t>
      </w:r>
      <w:proofErr w:type="gramStart"/>
      <w:r>
        <w:rPr>
          <w:lang w:val="en-GB"/>
        </w:rPr>
        <w:t>So</w:t>
      </w:r>
      <w:proofErr w:type="gramEnd"/>
      <w:r>
        <w:rPr>
          <w:lang w:val="en-GB"/>
        </w:rPr>
        <w:t xml:space="preserve"> the committee did not consider this an equality issue it could resolve.</w:t>
      </w:r>
    </w:p>
    <w:p w14:paraId="5A40325A" w14:textId="77777777" w:rsidR="00EF7CF8" w:rsidRDefault="00EF7CF8" w:rsidP="00EF7CF8">
      <w:pPr>
        <w:pStyle w:val="Heading2"/>
      </w:pPr>
      <w:r>
        <w:t>Innovation</w:t>
      </w:r>
    </w:p>
    <w:p w14:paraId="6BD883AE" w14:textId="77777777" w:rsidR="00EF7CF8" w:rsidRPr="0023204D" w:rsidRDefault="00EF7CF8" w:rsidP="00EF7CF8">
      <w:pPr>
        <w:pStyle w:val="Heading3"/>
      </w:pPr>
      <w:r w:rsidRPr="00024E88">
        <w:t xml:space="preserve">There are no additional benefits that are not captured in the </w:t>
      </w:r>
      <w:r>
        <w:t>QALY</w:t>
      </w:r>
      <w:r w:rsidRPr="00024E88">
        <w:t xml:space="preserve"> calculations</w:t>
      </w:r>
    </w:p>
    <w:p w14:paraId="6C409402" w14:textId="77777777" w:rsidR="00EF7CF8" w:rsidRPr="007828DD" w:rsidRDefault="00EF7CF8" w:rsidP="00EF7CF8">
      <w:pPr>
        <w:pStyle w:val="Numberedlevel2text"/>
        <w:numPr>
          <w:ilvl w:val="1"/>
          <w:numId w:val="1"/>
        </w:numPr>
      </w:pPr>
      <w:r>
        <w:rPr>
          <w:lang w:val="en-GB"/>
        </w:rPr>
        <w:t xml:space="preserve">The company considered acalabrutinib to be an innovative treatment because it is a highly selective BTK inhibitor that addresses a significant unmet need in first-line CLL treatment. Also, it offers an alternative option to the first-generation BTK inhibitor in previously treated CLL. Its targeted mechanism of action means it offers improved safety and tolerability compared with current treatments. The committee concluded that acalabrutinib </w:t>
      </w:r>
      <w:r w:rsidRPr="00024E88">
        <w:t xml:space="preserve">would be a beneficial additional treatment option. However, it noted that it had not been presented with evidence of any additional benefits that were not captured in the measurement of </w:t>
      </w:r>
      <w:r>
        <w:rPr>
          <w:lang w:val="en-GB"/>
        </w:rPr>
        <w:t>quality-adjusted life years (</w:t>
      </w:r>
      <w:r w:rsidRPr="00024E88">
        <w:t>QALYs</w:t>
      </w:r>
      <w:r>
        <w:rPr>
          <w:lang w:val="en-GB"/>
        </w:rPr>
        <w:t>).</w:t>
      </w:r>
    </w:p>
    <w:p w14:paraId="2AB56310" w14:textId="77777777" w:rsidR="000F48EC" w:rsidRPr="00232061" w:rsidRDefault="000F48EC" w:rsidP="00F130AD">
      <w:pPr>
        <w:pStyle w:val="Numberedheading1"/>
      </w:pPr>
      <w:r w:rsidRPr="00232061">
        <w:t>Implementation</w:t>
      </w:r>
    </w:p>
    <w:p w14:paraId="004110BA" w14:textId="38E27CD1" w:rsidR="002A686F" w:rsidRDefault="00F73339" w:rsidP="00C37890">
      <w:pPr>
        <w:pStyle w:val="Numberedlevel2text"/>
      </w:pPr>
      <w:hyperlink r:id="rId13" w:history="1">
        <w:r w:rsidR="002A686F" w:rsidRPr="00D019BA">
          <w:rPr>
            <w:rStyle w:val="Hyperlink"/>
          </w:rPr>
          <w:t>Section 7(6) of the National Institute for Health and Care Excellence (Constitution and Functions) and the Health and Social Care Information Centre (Functions) Regulations 2013</w:t>
        </w:r>
      </w:hyperlink>
      <w:r w:rsidR="002A686F" w:rsidRPr="00EE2914">
        <w:t xml:space="preserve"> requires clinical commissioning groups, NHS England and, with respect to their public health functions, local authorities to comply with the recommendations in this appraisal </w:t>
      </w:r>
      <w:r w:rsidR="002A686F" w:rsidRPr="00EE2914">
        <w:lastRenderedPageBreak/>
        <w:t>within 3 months of its date of publication</w:t>
      </w:r>
      <w:r w:rsidR="002A686F">
        <w:t xml:space="preserve">. Because </w:t>
      </w:r>
      <w:r w:rsidR="00C37890">
        <w:t>acalabrutinib</w:t>
      </w:r>
      <w:r w:rsidR="002A686F">
        <w:t xml:space="preserve"> has been available through the </w:t>
      </w:r>
      <w:hyperlink r:id="rId14" w:history="1">
        <w:r w:rsidR="002A686F" w:rsidRPr="00CD2D91">
          <w:rPr>
            <w:rStyle w:val="Hyperlink"/>
          </w:rPr>
          <w:t>early access to medicines scheme</w:t>
        </w:r>
      </w:hyperlink>
      <w:r w:rsidR="002A686F">
        <w:t>, NHS England and commissioning groups have agreed to provide funding to implement this guidance 30 days after publication</w:t>
      </w:r>
      <w:r w:rsidR="002A686F" w:rsidRPr="00EE2914">
        <w:t>.</w:t>
      </w:r>
    </w:p>
    <w:p w14:paraId="5B2B5F4C" w14:textId="44CC0218" w:rsidR="002A686F" w:rsidRDefault="00F73339" w:rsidP="002A686F">
      <w:pPr>
        <w:pStyle w:val="Numberedlevel2text"/>
      </w:pPr>
      <w:hyperlink r:id="rId15" w:history="1">
        <w:r w:rsidR="002A686F" w:rsidRPr="00D019BA">
          <w:rPr>
            <w:rStyle w:val="Hyperlink"/>
          </w:rPr>
          <w:t>Chapter 2 of Appraisal and funding of cancer drugs from July 2016 (including the new Cancer Drugs Fund) – A new deal for patients, taxpayers and industry</w:t>
        </w:r>
      </w:hyperlink>
      <w:r w:rsidR="002A686F">
        <w:t xml:space="preserve"> states </w:t>
      </w:r>
      <w:r w:rsidR="002A686F" w:rsidRPr="00C51325">
        <w:rPr>
          <w:lang w:val="en-US"/>
        </w:rPr>
        <w:t xml:space="preserve">that </w:t>
      </w:r>
      <w:r w:rsidR="002A686F">
        <w:t xml:space="preserve">for those drugs </w:t>
      </w:r>
      <w:r w:rsidR="002A686F" w:rsidRPr="00C51325">
        <w:rPr>
          <w:lang w:val="en-US"/>
        </w:rPr>
        <w:t>with</w:t>
      </w:r>
      <w:r w:rsidR="002A686F">
        <w:t xml:space="preserve"> a draft recommendation for routine commissioning, interim funding will be available (from the overall C</w:t>
      </w:r>
      <w:r w:rsidR="002A686F" w:rsidRPr="00C51325">
        <w:rPr>
          <w:lang w:val="en-US"/>
        </w:rPr>
        <w:t xml:space="preserve">ancer </w:t>
      </w:r>
      <w:r w:rsidR="002A686F">
        <w:t>D</w:t>
      </w:r>
      <w:r w:rsidR="002A686F" w:rsidRPr="00C51325">
        <w:rPr>
          <w:lang w:val="en-US"/>
        </w:rPr>
        <w:t xml:space="preserve">rugs </w:t>
      </w:r>
      <w:r w:rsidR="002A686F">
        <w:t>F</w:t>
      </w:r>
      <w:r w:rsidR="002A686F" w:rsidRPr="00C51325">
        <w:rPr>
          <w:lang w:val="en-US"/>
        </w:rPr>
        <w:t>und</w:t>
      </w:r>
      <w:r w:rsidR="002A686F">
        <w:t xml:space="preserve"> budget) from the point of marketing authorisation, or from release of positive draft guidance, whichever is later. Interim funding will end 90 days after positive </w:t>
      </w:r>
      <w:r w:rsidR="00F42FD4">
        <w:rPr>
          <w:lang w:val="en-US"/>
        </w:rPr>
        <w:t>final</w:t>
      </w:r>
      <w:r w:rsidR="002A686F">
        <w:t xml:space="preserve"> </w:t>
      </w:r>
      <w:r w:rsidR="00F42FD4">
        <w:rPr>
          <w:lang w:val="en-US"/>
        </w:rPr>
        <w:t>guidance</w:t>
      </w:r>
      <w:r w:rsidR="002A686F">
        <w:t xml:space="preserve"> is published (or 30 days in the case of drugs with an </w:t>
      </w:r>
      <w:r w:rsidR="00F42FD4">
        <w:rPr>
          <w:lang w:val="en-GB"/>
        </w:rPr>
        <w:t>early</w:t>
      </w:r>
      <w:r w:rsidR="002A686F">
        <w:t xml:space="preserve"> </w:t>
      </w:r>
      <w:r w:rsidR="00F42FD4">
        <w:rPr>
          <w:lang w:val="en-GB"/>
        </w:rPr>
        <w:t xml:space="preserve">access </w:t>
      </w:r>
      <w:r w:rsidR="002A686F">
        <w:t xml:space="preserve">to </w:t>
      </w:r>
      <w:r w:rsidR="00F42FD4">
        <w:rPr>
          <w:lang w:val="en-GB"/>
        </w:rPr>
        <w:t>medicines</w:t>
      </w:r>
      <w:r w:rsidR="002A686F">
        <w:t xml:space="preserve"> </w:t>
      </w:r>
      <w:r w:rsidR="00F42FD4">
        <w:rPr>
          <w:lang w:val="en-GB"/>
        </w:rPr>
        <w:t>scheme</w:t>
      </w:r>
      <w:r w:rsidR="002A686F">
        <w:t xml:space="preserve"> designation or fast track appraisal), at which point funding will switch to routine commissioning budgets.</w:t>
      </w:r>
      <w:r w:rsidR="002A686F" w:rsidRPr="00C51325">
        <w:rPr>
          <w:lang w:val="en-US"/>
        </w:rPr>
        <w:t xml:space="preserve"> </w:t>
      </w:r>
      <w:r w:rsidR="002A686F">
        <w:t xml:space="preserve">The </w:t>
      </w:r>
      <w:hyperlink r:id="rId16" w:history="1">
        <w:r w:rsidR="002A686F" w:rsidRPr="00A97C46">
          <w:rPr>
            <w:rStyle w:val="Hyperlink"/>
          </w:rPr>
          <w:t>NHS England and NHS Improvement Cancer Drugs Fund list</w:t>
        </w:r>
      </w:hyperlink>
      <w:r w:rsidR="002A686F">
        <w:t xml:space="preserve"> provides up</w:t>
      </w:r>
      <w:r w:rsidR="002A686F" w:rsidRPr="00C51325">
        <w:rPr>
          <w:lang w:val="en-US"/>
        </w:rPr>
        <w:t>-</w:t>
      </w:r>
      <w:r w:rsidR="002A686F">
        <w:t>to</w:t>
      </w:r>
      <w:r w:rsidR="002A686F" w:rsidRPr="00C51325">
        <w:rPr>
          <w:lang w:val="en-US"/>
        </w:rPr>
        <w:t>-</w:t>
      </w:r>
      <w:r w:rsidR="002A686F">
        <w:t>date information on all cancer treatments recommended by NICE since 2016</w:t>
      </w:r>
      <w:r w:rsidR="002A686F" w:rsidRPr="00C51325">
        <w:rPr>
          <w:lang w:val="en-US"/>
        </w:rPr>
        <w:t>. This includes whether they</w:t>
      </w:r>
      <w:r w:rsidR="002A686F">
        <w:t xml:space="preserve"> have received a marketing authorisation and </w:t>
      </w:r>
      <w:r w:rsidR="002A686F" w:rsidRPr="00C51325">
        <w:rPr>
          <w:lang w:val="en-US"/>
        </w:rPr>
        <w:t xml:space="preserve">been </w:t>
      </w:r>
      <w:r w:rsidR="002A686F">
        <w:t>launched in the UK.</w:t>
      </w:r>
    </w:p>
    <w:p w14:paraId="29F3DB80" w14:textId="500FFAB5" w:rsidR="002A686F" w:rsidRDefault="002A686F" w:rsidP="002A686F">
      <w:pPr>
        <w:pStyle w:val="Numberedlevel2text"/>
      </w:pPr>
      <w:r>
        <w:t>The Welsh ministers have issued directions to the NHS in Wales on implementing NICE technology appraisal guidance. When a NICE technology appraisal recommends the use of a drug or treatment, or other technology, the NHS in Wales must usually provide funding and resources for it within 2 months of the first publication of the final appraisal document.</w:t>
      </w:r>
    </w:p>
    <w:p w14:paraId="54AE8CB9" w14:textId="5E002515" w:rsidR="002A686F" w:rsidRDefault="002A686F" w:rsidP="00C37890">
      <w:pPr>
        <w:pStyle w:val="Numberedlevel2text"/>
      </w:pPr>
      <w:r w:rsidRPr="00EE2914">
        <w:t>When NICE recommends a treatment ‘as an option’, the NHS must make sure it is available within the period set out in the paragraph</w:t>
      </w:r>
      <w:r>
        <w:t>s</w:t>
      </w:r>
      <w:r w:rsidRPr="00EE2914">
        <w:t xml:space="preserve"> above. This means that, if a patient has </w:t>
      </w:r>
      <w:r w:rsidR="00E4366D">
        <w:rPr>
          <w:lang w:val="en-GB"/>
        </w:rPr>
        <w:t>chronic lymphocytic leukaemia</w:t>
      </w:r>
      <w:r w:rsidR="00E4366D" w:rsidRPr="00EE2914">
        <w:t xml:space="preserve"> </w:t>
      </w:r>
      <w:r w:rsidRPr="00EE2914">
        <w:t xml:space="preserve">and the doctor responsible for their care thinks that </w:t>
      </w:r>
      <w:r w:rsidR="00C37890">
        <w:rPr>
          <w:lang w:val="en-GB"/>
        </w:rPr>
        <w:t>acalabrutinib</w:t>
      </w:r>
      <w:r w:rsidRPr="00EE2914">
        <w:t xml:space="preserve"> is the right treatment, it should be available for use, in l</w:t>
      </w:r>
      <w:r>
        <w:t>ine with NICE’s recommendations</w:t>
      </w:r>
      <w:r w:rsidRPr="00EE2914">
        <w:t>.</w:t>
      </w:r>
    </w:p>
    <w:p w14:paraId="713845A2" w14:textId="77777777" w:rsidR="000F48EC" w:rsidRPr="000F48EC" w:rsidRDefault="007A2801" w:rsidP="002E73E7">
      <w:pPr>
        <w:pStyle w:val="Numberedheading1"/>
      </w:pPr>
      <w:r>
        <w:lastRenderedPageBreak/>
        <w:t xml:space="preserve">Proposed date for </w:t>
      </w:r>
      <w:r w:rsidR="00000441">
        <w:t>r</w:t>
      </w:r>
      <w:r w:rsidR="000F48EC" w:rsidRPr="000F48EC">
        <w:t>eview of guidance</w:t>
      </w:r>
    </w:p>
    <w:p w14:paraId="06EA3168" w14:textId="512993D6" w:rsidR="00C52FC0" w:rsidRPr="000F48EC" w:rsidRDefault="001823EB" w:rsidP="00C37890">
      <w:pPr>
        <w:pStyle w:val="Numberedlevel2text"/>
      </w:pPr>
      <w:r w:rsidRPr="00044CC7">
        <w:t xml:space="preserve">NICE proposes that the guidance on this technology is considered for review by the </w:t>
      </w:r>
      <w:r>
        <w:t>g</w:t>
      </w:r>
      <w:r w:rsidRPr="00044CC7">
        <w:t xml:space="preserve">uidance </w:t>
      </w:r>
      <w:r>
        <w:t>e</w:t>
      </w:r>
      <w:r w:rsidRPr="00044CC7">
        <w:t>xecutive</w:t>
      </w:r>
      <w:r>
        <w:t xml:space="preserve"> 3 years after publication of the guidance</w:t>
      </w:r>
      <w:r w:rsidRPr="00044CC7">
        <w:t xml:space="preserve">. NICE welcomes comment on this proposed date. The </w:t>
      </w:r>
      <w:r>
        <w:t>g</w:t>
      </w:r>
      <w:r w:rsidRPr="00044CC7">
        <w:t xml:space="preserve">uidance </w:t>
      </w:r>
      <w:r>
        <w:t>e</w:t>
      </w:r>
      <w:r w:rsidRPr="00044CC7">
        <w:t>xecutive will decide whether the technology should be reviewed based on information gathered by NICE, and in consultation with consultees and commentators.</w:t>
      </w:r>
    </w:p>
    <w:p w14:paraId="6176162E" w14:textId="75F17417" w:rsidR="004845D0" w:rsidRDefault="00C37890" w:rsidP="00ED5F88">
      <w:pPr>
        <w:pStyle w:val="NICEnormal"/>
      </w:pPr>
      <w:r>
        <w:t>Stephen O’Brien</w:t>
      </w:r>
      <w:r w:rsidR="004845D0">
        <w:br/>
      </w:r>
      <w:r w:rsidR="004845D0" w:rsidRPr="000F2D8A">
        <w:t xml:space="preserve">Chair, </w:t>
      </w:r>
      <w:r w:rsidR="003847B9">
        <w:t>a</w:t>
      </w:r>
      <w:r w:rsidR="004845D0" w:rsidRPr="000F2D8A">
        <w:t xml:space="preserve">ppraisal </w:t>
      </w:r>
      <w:r w:rsidR="003847B9">
        <w:t>c</w:t>
      </w:r>
      <w:r w:rsidR="004845D0" w:rsidRPr="000F2D8A">
        <w:t>ommittee</w:t>
      </w:r>
      <w:r w:rsidR="004845D0">
        <w:br/>
      </w:r>
      <w:r w:rsidR="008E7F73">
        <w:t>November 2020</w:t>
      </w:r>
    </w:p>
    <w:p w14:paraId="0A3DD3C8" w14:textId="77777777" w:rsidR="00B16431" w:rsidRPr="007D7F83" w:rsidRDefault="00B16431" w:rsidP="00B16431">
      <w:pPr>
        <w:pStyle w:val="Numberedheading1"/>
        <w:numPr>
          <w:ilvl w:val="0"/>
          <w:numId w:val="1"/>
        </w:numPr>
      </w:pPr>
      <w:r w:rsidRPr="007D7F83">
        <w:t xml:space="preserve">Appraisal </w:t>
      </w:r>
      <w:r w:rsidR="00343B53">
        <w:t>c</w:t>
      </w:r>
      <w:r w:rsidRPr="007D7F83">
        <w:t>ommittee members and NICE project team</w:t>
      </w:r>
    </w:p>
    <w:p w14:paraId="00F256CF" w14:textId="77777777" w:rsidR="00B16431" w:rsidRPr="007D7F83" w:rsidRDefault="00B16431" w:rsidP="00B16431">
      <w:pPr>
        <w:pStyle w:val="Heading2"/>
      </w:pPr>
      <w:bookmarkStart w:id="3" w:name="_Appraisal_committee_members"/>
      <w:bookmarkEnd w:id="3"/>
      <w:r w:rsidRPr="007D7F83">
        <w:t xml:space="preserve">Appraisal </w:t>
      </w:r>
      <w:r w:rsidR="00343B53">
        <w:t>c</w:t>
      </w:r>
      <w:r w:rsidRPr="007D7F83">
        <w:t>ommittee members</w:t>
      </w:r>
    </w:p>
    <w:p w14:paraId="6BF8EAAF" w14:textId="65043C9D" w:rsidR="002F2583" w:rsidRPr="00742089" w:rsidRDefault="002F2583" w:rsidP="002F2583">
      <w:pPr>
        <w:pStyle w:val="NICEnormal"/>
        <w:rPr>
          <w:rFonts w:eastAsia="Calibri"/>
        </w:rPr>
      </w:pPr>
      <w:r>
        <w:t xml:space="preserve">The 4 technology appraisal committees are standing advisory committees of NICE. This topic was considered by </w:t>
      </w:r>
      <w:hyperlink r:id="rId17" w:history="1">
        <w:r w:rsidRPr="000235AD">
          <w:rPr>
            <w:rStyle w:val="Hyperlink"/>
            <w:rFonts w:eastAsia="Calibri"/>
          </w:rPr>
          <w:t xml:space="preserve">committee </w:t>
        </w:r>
        <w:r w:rsidR="008E7F73" w:rsidRPr="000235AD">
          <w:rPr>
            <w:rStyle w:val="Hyperlink"/>
            <w:rFonts w:eastAsia="Calibri"/>
          </w:rPr>
          <w:t>C</w:t>
        </w:r>
      </w:hyperlink>
      <w:r>
        <w:t>.</w:t>
      </w:r>
    </w:p>
    <w:p w14:paraId="47503136" w14:textId="469B7424" w:rsidR="002F2583" w:rsidRDefault="002F2583" w:rsidP="002F2583">
      <w:pPr>
        <w:pStyle w:val="NICEnormal"/>
      </w:pPr>
      <w:r>
        <w:t>Committee members are asked to declare any interests in the technology to be appraised. If it is considered there is a conflict of interest, the member is excluded from participating further in that appraisal.</w:t>
      </w:r>
    </w:p>
    <w:p w14:paraId="6A7CD0BD" w14:textId="77777777" w:rsidR="002F2583" w:rsidRDefault="002F2583" w:rsidP="002F2583">
      <w:pPr>
        <w:pStyle w:val="NICEnormal"/>
      </w:pPr>
      <w:r>
        <w:t xml:space="preserve">The </w:t>
      </w:r>
      <w:hyperlink r:id="rId18" w:history="1">
        <w:r w:rsidRPr="007620C2">
          <w:rPr>
            <w:rStyle w:val="Hyperlink"/>
            <w:rFonts w:eastAsia="Calibri"/>
          </w:rPr>
          <w:t>minutes</w:t>
        </w:r>
        <w:r w:rsidRPr="007620C2">
          <w:rPr>
            <w:rStyle w:val="Hyperlink"/>
          </w:rPr>
          <w:t xml:space="preserve"> of each appraisal committee meeting</w:t>
        </w:r>
      </w:hyperlink>
      <w:r>
        <w:t>, which include the names of the members who attended and their declarations of interests, are posted on the NICE website.</w:t>
      </w:r>
    </w:p>
    <w:p w14:paraId="133A2541" w14:textId="77777777" w:rsidR="00B16431" w:rsidRPr="007D7F83" w:rsidRDefault="00B16431" w:rsidP="00B16431">
      <w:pPr>
        <w:pStyle w:val="Heading2"/>
      </w:pPr>
      <w:r w:rsidRPr="007D7F83">
        <w:t>NICE project team</w:t>
      </w:r>
    </w:p>
    <w:p w14:paraId="38B3F891" w14:textId="66AD4787" w:rsidR="00B16431" w:rsidRPr="000F2D8A" w:rsidRDefault="00B16431" w:rsidP="00B16431">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w:t>
      </w:r>
    </w:p>
    <w:p w14:paraId="6B53B73A" w14:textId="26E89246" w:rsidR="00B16431" w:rsidRPr="000F2D8A" w:rsidRDefault="008E7F73" w:rsidP="00B16431">
      <w:pPr>
        <w:pStyle w:val="NICEnormal"/>
      </w:pPr>
      <w:bookmarkStart w:id="4" w:name="Text45"/>
      <w:r>
        <w:rPr>
          <w:b/>
        </w:rPr>
        <w:lastRenderedPageBreak/>
        <w:t>Omar Moreea</w:t>
      </w:r>
      <w:r w:rsidR="00B16431">
        <w:br/>
      </w:r>
      <w:r w:rsidR="00B16431" w:rsidRPr="000F2D8A">
        <w:t xml:space="preserve">Technical </w:t>
      </w:r>
      <w:r w:rsidR="00E65C76">
        <w:t>l</w:t>
      </w:r>
      <w:r w:rsidR="00B16431" w:rsidRPr="000F2D8A">
        <w:t>ead</w:t>
      </w:r>
    </w:p>
    <w:p w14:paraId="05A92323" w14:textId="182DA2FD" w:rsidR="00B16431" w:rsidRPr="000F2D8A" w:rsidRDefault="008E7F73" w:rsidP="00B16431">
      <w:pPr>
        <w:pStyle w:val="NICEnormal"/>
      </w:pPr>
      <w:r>
        <w:rPr>
          <w:b/>
        </w:rPr>
        <w:t>Richard Diaz</w:t>
      </w:r>
      <w:r w:rsidR="00B16431">
        <w:br/>
      </w:r>
      <w:r w:rsidR="00B16431" w:rsidRPr="00AF59A2">
        <w:t xml:space="preserve">Technical </w:t>
      </w:r>
      <w:r w:rsidR="00E65C76">
        <w:t>a</w:t>
      </w:r>
      <w:r w:rsidR="00B16431" w:rsidRPr="00AF59A2">
        <w:t>dviser</w:t>
      </w:r>
    </w:p>
    <w:p w14:paraId="44B59AF4" w14:textId="3E938B42" w:rsidR="00B16431" w:rsidRPr="000F2D8A" w:rsidRDefault="008E7F73" w:rsidP="005D3FD9">
      <w:pPr>
        <w:pStyle w:val="NICEnormal"/>
      </w:pPr>
      <w:r>
        <w:rPr>
          <w:b/>
        </w:rPr>
        <w:t>Louise Jafferally</w:t>
      </w:r>
      <w:r w:rsidR="00B16431">
        <w:br/>
      </w:r>
      <w:r w:rsidR="00B16431" w:rsidRPr="000F2D8A">
        <w:t xml:space="preserve">Project </w:t>
      </w:r>
      <w:r w:rsidR="00E65C76">
        <w:t>m</w:t>
      </w:r>
      <w:r w:rsidR="00B16431" w:rsidRPr="000F2D8A">
        <w:t>anager</w:t>
      </w:r>
      <w:bookmarkEnd w:id="4"/>
    </w:p>
    <w:p w14:paraId="0606670C" w14:textId="77777777" w:rsidR="006E7647" w:rsidRPr="000F48EC" w:rsidRDefault="006E7647" w:rsidP="00F05E37">
      <w:pPr>
        <w:pStyle w:val="NICEnormal"/>
      </w:pPr>
      <w:r>
        <w:t xml:space="preserve">ISBN: </w:t>
      </w:r>
      <w:r w:rsidRPr="004D7C92">
        <w:rPr>
          <w:highlight w:val="green"/>
        </w:rPr>
        <w:t>[to be added at publication]</w:t>
      </w:r>
    </w:p>
    <w:sectPr w:rsidR="006E7647" w:rsidRPr="000F48EC" w:rsidSect="00C76DDA">
      <w:headerReference w:type="even" r:id="rId19"/>
      <w:headerReference w:type="default" r:id="rId20"/>
      <w:footerReference w:type="even" r:id="rId21"/>
      <w:footerReference w:type="default" r:id="rId22"/>
      <w:headerReference w:type="first" r:id="rId23"/>
      <w:footerReference w:type="first" r:id="rId2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B91AEC" w14:textId="77777777" w:rsidR="005601C0" w:rsidRDefault="005601C0">
      <w:r>
        <w:separator/>
      </w:r>
    </w:p>
  </w:endnote>
  <w:endnote w:type="continuationSeparator" w:id="0">
    <w:p w14:paraId="5ECB8FEB" w14:textId="77777777" w:rsidR="005601C0" w:rsidRDefault="0056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3D855" w14:textId="77777777" w:rsidR="009E2439" w:rsidRDefault="009E2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CC7C7" w14:textId="3A28BD0D" w:rsidR="00A86F54" w:rsidRPr="003D33FB" w:rsidRDefault="00A86F54" w:rsidP="007A7EC8">
    <w:pPr>
      <w:pStyle w:val="NICEnormalsinglespacing"/>
      <w:spacing w:after="120"/>
      <w:rPr>
        <w:sz w:val="18"/>
        <w:szCs w:val="18"/>
      </w:rPr>
    </w:pPr>
    <w:r>
      <w:rPr>
        <w:sz w:val="18"/>
        <w:szCs w:val="18"/>
      </w:rPr>
      <w:t>Appraisal consultation document</w:t>
    </w:r>
    <w:r w:rsidRPr="003D33FB">
      <w:rPr>
        <w:sz w:val="18"/>
        <w:szCs w:val="18"/>
      </w:rPr>
      <w:t xml:space="preserve"> – </w:t>
    </w:r>
    <w:r>
      <w:rPr>
        <w:sz w:val="18"/>
        <w:szCs w:val="18"/>
      </w:rPr>
      <w:t>acalabrutinib for treating chronic lymphocytic leukaemia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06A8FF74" w14:textId="06F8BC13" w:rsidR="00A86F54" w:rsidRDefault="00A86F54" w:rsidP="007A7EC8">
    <w:pPr>
      <w:pStyle w:val="NICEnormalsinglespacing"/>
      <w:spacing w:after="120"/>
      <w:rPr>
        <w:sz w:val="18"/>
        <w:szCs w:val="18"/>
      </w:rPr>
    </w:pPr>
    <w:r w:rsidRPr="003D33FB">
      <w:rPr>
        <w:sz w:val="18"/>
        <w:szCs w:val="18"/>
      </w:rPr>
      <w:t>Issue date:</w:t>
    </w:r>
    <w:r>
      <w:rPr>
        <w:sz w:val="18"/>
        <w:szCs w:val="18"/>
      </w:rPr>
      <w:t xml:space="preserve"> </w:t>
    </w:r>
    <w:r w:rsidR="009E2439">
      <w:rPr>
        <w:sz w:val="18"/>
        <w:szCs w:val="18"/>
      </w:rPr>
      <w:t>Decem</w:t>
    </w:r>
    <w:r>
      <w:rPr>
        <w:sz w:val="18"/>
        <w:szCs w:val="18"/>
      </w:rPr>
      <w:t>ber 2020</w:t>
    </w:r>
  </w:p>
  <w:p w14:paraId="1C5CB6AC" w14:textId="16EA9C9E" w:rsidR="00A86F54" w:rsidRPr="007A7EC8" w:rsidRDefault="00A86F54"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9EA81" w14:textId="77777777" w:rsidR="009E2439" w:rsidRDefault="009E2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FFF46" w14:textId="77777777" w:rsidR="005601C0" w:rsidRDefault="005601C0">
      <w:r>
        <w:separator/>
      </w:r>
    </w:p>
  </w:footnote>
  <w:footnote w:type="continuationSeparator" w:id="0">
    <w:p w14:paraId="65CE9885" w14:textId="77777777" w:rsidR="005601C0" w:rsidRDefault="00560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0D9DF" w14:textId="77777777" w:rsidR="009E2439" w:rsidRDefault="009E2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7C809" w14:textId="77777777" w:rsidR="00A86F54" w:rsidRPr="004E6427" w:rsidRDefault="00A86F54" w:rsidP="004E6427">
    <w:pPr>
      <w:pStyle w:val="Header"/>
      <w:jc w:val="right"/>
      <w:rPr>
        <w:b/>
      </w:rPr>
    </w:pPr>
    <w:r w:rsidRPr="004E6427">
      <w:rPr>
        <w:b/>
      </w:rPr>
      <w:t>CONFIDENTIAL</w:t>
    </w:r>
    <w:r>
      <w:rPr>
        <w:b/>
      </w:rPr>
      <w:t xml:space="preserve"> UNTIL PUBLISHED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562B9" w14:textId="77777777" w:rsidR="009E2439" w:rsidRDefault="009E2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20EB8"/>
    <w:multiLevelType w:val="multilevel"/>
    <w:tmpl w:val="C90A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CC3584"/>
    <w:multiLevelType w:val="multilevel"/>
    <w:tmpl w:val="7390C4D4"/>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E6352C9"/>
    <w:multiLevelType w:val="multilevel"/>
    <w:tmpl w:val="4A0A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0" w15:restartNumberingAfterBreak="0">
    <w:nsid w:val="6F973C03"/>
    <w:multiLevelType w:val="hybridMultilevel"/>
    <w:tmpl w:val="102CD06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1" w15:restartNumberingAfterBreak="0">
    <w:nsid w:val="77415BEF"/>
    <w:multiLevelType w:val="hybridMultilevel"/>
    <w:tmpl w:val="5FC6CB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1"/>
  </w:num>
  <w:num w:numId="3">
    <w:abstractNumId w:val="17"/>
  </w:num>
  <w:num w:numId="4">
    <w:abstractNumId w:val="11"/>
  </w:num>
  <w:num w:numId="5">
    <w:abstractNumId w:val="12"/>
  </w:num>
  <w:num w:numId="6">
    <w:abstractNumId w:val="0"/>
  </w:num>
  <w:num w:numId="7">
    <w:abstractNumId w:val="2"/>
  </w:num>
  <w:num w:numId="8">
    <w:abstractNumId w:val="4"/>
  </w:num>
  <w:num w:numId="9">
    <w:abstractNumId w:val="6"/>
  </w:num>
  <w:num w:numId="10">
    <w:abstractNumId w:val="7"/>
  </w:num>
  <w:num w:numId="11">
    <w:abstractNumId w:val="10"/>
  </w:num>
  <w:num w:numId="12">
    <w:abstractNumId w:val="8"/>
  </w:num>
  <w:num w:numId="13">
    <w:abstractNumId w:val="3"/>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8"/>
  </w:num>
  <w:num w:numId="1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num>
  <w:num w:numId="21">
    <w:abstractNumId w:val="7"/>
  </w:num>
  <w:num w:numId="22">
    <w:abstractNumId w:val="15"/>
  </w:num>
  <w:num w:numId="23">
    <w:abstractNumId w:val="16"/>
  </w:num>
  <w:num w:numId="24">
    <w:abstractNumId w:val="7"/>
  </w:num>
  <w:num w:numId="25">
    <w:abstractNumId w:val="15"/>
  </w:num>
  <w:num w:numId="26">
    <w:abstractNumId w:val="13"/>
  </w:num>
  <w:num w:numId="27">
    <w:abstractNumId w:val="20"/>
  </w:num>
  <w:num w:numId="28">
    <w:abstractNumId w:val="5"/>
  </w:num>
  <w:num w:numId="29">
    <w:abstractNumId w:val="9"/>
  </w:num>
  <w:num w:numId="30">
    <w:abstractNumId w:val="21"/>
  </w:num>
  <w:num w:numId="3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09"/>
    <w:rsid w:val="00000441"/>
    <w:rsid w:val="00001DE1"/>
    <w:rsid w:val="00005C4F"/>
    <w:rsid w:val="00006590"/>
    <w:rsid w:val="000069A4"/>
    <w:rsid w:val="000069F9"/>
    <w:rsid w:val="00006F05"/>
    <w:rsid w:val="0000727D"/>
    <w:rsid w:val="000119FB"/>
    <w:rsid w:val="00011FE0"/>
    <w:rsid w:val="000129CE"/>
    <w:rsid w:val="00012DE6"/>
    <w:rsid w:val="000138E6"/>
    <w:rsid w:val="00014990"/>
    <w:rsid w:val="00016A22"/>
    <w:rsid w:val="00016DC1"/>
    <w:rsid w:val="00016E5E"/>
    <w:rsid w:val="00017610"/>
    <w:rsid w:val="000205C6"/>
    <w:rsid w:val="00021FB0"/>
    <w:rsid w:val="000221AA"/>
    <w:rsid w:val="0002331F"/>
    <w:rsid w:val="000235AD"/>
    <w:rsid w:val="00023F26"/>
    <w:rsid w:val="000249F8"/>
    <w:rsid w:val="00024E08"/>
    <w:rsid w:val="00026D27"/>
    <w:rsid w:val="00026E82"/>
    <w:rsid w:val="00030676"/>
    <w:rsid w:val="00030714"/>
    <w:rsid w:val="00030CF2"/>
    <w:rsid w:val="0003322C"/>
    <w:rsid w:val="00034110"/>
    <w:rsid w:val="000358E4"/>
    <w:rsid w:val="00035AC1"/>
    <w:rsid w:val="000368FC"/>
    <w:rsid w:val="000376EE"/>
    <w:rsid w:val="00037C6F"/>
    <w:rsid w:val="000421F8"/>
    <w:rsid w:val="00043262"/>
    <w:rsid w:val="000432D4"/>
    <w:rsid w:val="0004533D"/>
    <w:rsid w:val="00045528"/>
    <w:rsid w:val="00050A6A"/>
    <w:rsid w:val="00052063"/>
    <w:rsid w:val="00053664"/>
    <w:rsid w:val="00055DDF"/>
    <w:rsid w:val="00056559"/>
    <w:rsid w:val="00057724"/>
    <w:rsid w:val="00061C83"/>
    <w:rsid w:val="0006624B"/>
    <w:rsid w:val="00066448"/>
    <w:rsid w:val="00070F69"/>
    <w:rsid w:val="000711F1"/>
    <w:rsid w:val="00073DA8"/>
    <w:rsid w:val="000755E6"/>
    <w:rsid w:val="000764D3"/>
    <w:rsid w:val="00077633"/>
    <w:rsid w:val="00080A47"/>
    <w:rsid w:val="000819B9"/>
    <w:rsid w:val="00082F77"/>
    <w:rsid w:val="00084781"/>
    <w:rsid w:val="00085A80"/>
    <w:rsid w:val="00085C5A"/>
    <w:rsid w:val="000862FC"/>
    <w:rsid w:val="00087323"/>
    <w:rsid w:val="000879ED"/>
    <w:rsid w:val="00091479"/>
    <w:rsid w:val="00093649"/>
    <w:rsid w:val="00096246"/>
    <w:rsid w:val="00097666"/>
    <w:rsid w:val="000A0A6E"/>
    <w:rsid w:val="000A0BF6"/>
    <w:rsid w:val="000A0EDD"/>
    <w:rsid w:val="000A3F04"/>
    <w:rsid w:val="000A4016"/>
    <w:rsid w:val="000A6C40"/>
    <w:rsid w:val="000B1027"/>
    <w:rsid w:val="000B123C"/>
    <w:rsid w:val="000B5021"/>
    <w:rsid w:val="000B67D7"/>
    <w:rsid w:val="000B70D6"/>
    <w:rsid w:val="000B7F7A"/>
    <w:rsid w:val="000C04A1"/>
    <w:rsid w:val="000C194F"/>
    <w:rsid w:val="000C2222"/>
    <w:rsid w:val="000C5811"/>
    <w:rsid w:val="000D09ED"/>
    <w:rsid w:val="000D0A87"/>
    <w:rsid w:val="000D0F13"/>
    <w:rsid w:val="000D0FB1"/>
    <w:rsid w:val="000D11B8"/>
    <w:rsid w:val="000D145B"/>
    <w:rsid w:val="000D6016"/>
    <w:rsid w:val="000D636B"/>
    <w:rsid w:val="000D6F3D"/>
    <w:rsid w:val="000D7185"/>
    <w:rsid w:val="000E1CED"/>
    <w:rsid w:val="000E24BD"/>
    <w:rsid w:val="000E2586"/>
    <w:rsid w:val="000E29D1"/>
    <w:rsid w:val="000E48EE"/>
    <w:rsid w:val="000E6F19"/>
    <w:rsid w:val="000F1B3B"/>
    <w:rsid w:val="000F1E3F"/>
    <w:rsid w:val="000F3DBC"/>
    <w:rsid w:val="000F48EC"/>
    <w:rsid w:val="000F5D8D"/>
    <w:rsid w:val="000F7797"/>
    <w:rsid w:val="00100349"/>
    <w:rsid w:val="001017A9"/>
    <w:rsid w:val="00101F34"/>
    <w:rsid w:val="001030E1"/>
    <w:rsid w:val="001033D5"/>
    <w:rsid w:val="001039F7"/>
    <w:rsid w:val="00105409"/>
    <w:rsid w:val="00106AB0"/>
    <w:rsid w:val="00107DBD"/>
    <w:rsid w:val="00113666"/>
    <w:rsid w:val="00114313"/>
    <w:rsid w:val="001145FA"/>
    <w:rsid w:val="00115C0F"/>
    <w:rsid w:val="001169FE"/>
    <w:rsid w:val="00116D19"/>
    <w:rsid w:val="00117513"/>
    <w:rsid w:val="001209CD"/>
    <w:rsid w:val="00121E78"/>
    <w:rsid w:val="001230AC"/>
    <w:rsid w:val="00123F4B"/>
    <w:rsid w:val="00124604"/>
    <w:rsid w:val="00125CFB"/>
    <w:rsid w:val="001265C0"/>
    <w:rsid w:val="001337B7"/>
    <w:rsid w:val="00133921"/>
    <w:rsid w:val="001344B3"/>
    <w:rsid w:val="001366A5"/>
    <w:rsid w:val="00136C12"/>
    <w:rsid w:val="00140866"/>
    <w:rsid w:val="00140C93"/>
    <w:rsid w:val="001420A6"/>
    <w:rsid w:val="00142D21"/>
    <w:rsid w:val="00143536"/>
    <w:rsid w:val="00143B31"/>
    <w:rsid w:val="00145B2F"/>
    <w:rsid w:val="001464B2"/>
    <w:rsid w:val="00150440"/>
    <w:rsid w:val="00151D8E"/>
    <w:rsid w:val="00151DB2"/>
    <w:rsid w:val="001520F6"/>
    <w:rsid w:val="00156CF1"/>
    <w:rsid w:val="00156E7F"/>
    <w:rsid w:val="001570BC"/>
    <w:rsid w:val="001579BF"/>
    <w:rsid w:val="00157CAA"/>
    <w:rsid w:val="00161AA0"/>
    <w:rsid w:val="001662BC"/>
    <w:rsid w:val="0016740B"/>
    <w:rsid w:val="0017072D"/>
    <w:rsid w:val="00170B60"/>
    <w:rsid w:val="00171A2B"/>
    <w:rsid w:val="00172C4E"/>
    <w:rsid w:val="00176FB2"/>
    <w:rsid w:val="001823EB"/>
    <w:rsid w:val="00183650"/>
    <w:rsid w:val="00183CE6"/>
    <w:rsid w:val="00184506"/>
    <w:rsid w:val="00184A64"/>
    <w:rsid w:val="0018689B"/>
    <w:rsid w:val="0018716E"/>
    <w:rsid w:val="001873CB"/>
    <w:rsid w:val="00191B56"/>
    <w:rsid w:val="00193945"/>
    <w:rsid w:val="00195409"/>
    <w:rsid w:val="001956FC"/>
    <w:rsid w:val="00196FE1"/>
    <w:rsid w:val="0019718A"/>
    <w:rsid w:val="001A1AE2"/>
    <w:rsid w:val="001A4191"/>
    <w:rsid w:val="001A4A6E"/>
    <w:rsid w:val="001A5561"/>
    <w:rsid w:val="001B04CD"/>
    <w:rsid w:val="001B2DD8"/>
    <w:rsid w:val="001B6E50"/>
    <w:rsid w:val="001B7E00"/>
    <w:rsid w:val="001C0EF4"/>
    <w:rsid w:val="001C2681"/>
    <w:rsid w:val="001C2C55"/>
    <w:rsid w:val="001C38B8"/>
    <w:rsid w:val="001C4BA6"/>
    <w:rsid w:val="001C59E4"/>
    <w:rsid w:val="001C5E86"/>
    <w:rsid w:val="001D1D43"/>
    <w:rsid w:val="001D43D1"/>
    <w:rsid w:val="001D6B20"/>
    <w:rsid w:val="001E27E5"/>
    <w:rsid w:val="001E2CAF"/>
    <w:rsid w:val="001E2F39"/>
    <w:rsid w:val="001E4D37"/>
    <w:rsid w:val="001F1400"/>
    <w:rsid w:val="001F14A4"/>
    <w:rsid w:val="001F6078"/>
    <w:rsid w:val="001F7251"/>
    <w:rsid w:val="0020157D"/>
    <w:rsid w:val="00202E09"/>
    <w:rsid w:val="00204F82"/>
    <w:rsid w:val="0020525B"/>
    <w:rsid w:val="00207E3D"/>
    <w:rsid w:val="0021081C"/>
    <w:rsid w:val="002119CD"/>
    <w:rsid w:val="00213B20"/>
    <w:rsid w:val="002159C9"/>
    <w:rsid w:val="00216C50"/>
    <w:rsid w:val="00217FB0"/>
    <w:rsid w:val="002218BC"/>
    <w:rsid w:val="00222BEA"/>
    <w:rsid w:val="00225439"/>
    <w:rsid w:val="00225F9B"/>
    <w:rsid w:val="00226DFB"/>
    <w:rsid w:val="002311E5"/>
    <w:rsid w:val="0023204D"/>
    <w:rsid w:val="00232061"/>
    <w:rsid w:val="00234257"/>
    <w:rsid w:val="00234F54"/>
    <w:rsid w:val="00235945"/>
    <w:rsid w:val="00235CAB"/>
    <w:rsid w:val="0023696B"/>
    <w:rsid w:val="002371D9"/>
    <w:rsid w:val="002371E7"/>
    <w:rsid w:val="0025042B"/>
    <w:rsid w:val="00252292"/>
    <w:rsid w:val="00253EB9"/>
    <w:rsid w:val="002555BE"/>
    <w:rsid w:val="00255679"/>
    <w:rsid w:val="00257B1C"/>
    <w:rsid w:val="002614EA"/>
    <w:rsid w:val="00263E2B"/>
    <w:rsid w:val="00263EA5"/>
    <w:rsid w:val="00263FCE"/>
    <w:rsid w:val="00265B0E"/>
    <w:rsid w:val="002673A5"/>
    <w:rsid w:val="002709F7"/>
    <w:rsid w:val="00271591"/>
    <w:rsid w:val="002747A7"/>
    <w:rsid w:val="00277A48"/>
    <w:rsid w:val="00282C30"/>
    <w:rsid w:val="00282D7E"/>
    <w:rsid w:val="00290445"/>
    <w:rsid w:val="00290AD6"/>
    <w:rsid w:val="00291CE6"/>
    <w:rsid w:val="00292044"/>
    <w:rsid w:val="002933D7"/>
    <w:rsid w:val="00293811"/>
    <w:rsid w:val="002A151A"/>
    <w:rsid w:val="002A2687"/>
    <w:rsid w:val="002A3706"/>
    <w:rsid w:val="002A5C23"/>
    <w:rsid w:val="002A686F"/>
    <w:rsid w:val="002B3340"/>
    <w:rsid w:val="002B39F7"/>
    <w:rsid w:val="002B5772"/>
    <w:rsid w:val="002B6D1D"/>
    <w:rsid w:val="002C0551"/>
    <w:rsid w:val="002C0919"/>
    <w:rsid w:val="002C110E"/>
    <w:rsid w:val="002C257D"/>
    <w:rsid w:val="002C2774"/>
    <w:rsid w:val="002C381D"/>
    <w:rsid w:val="002D00DF"/>
    <w:rsid w:val="002D0F74"/>
    <w:rsid w:val="002D42E9"/>
    <w:rsid w:val="002D79A7"/>
    <w:rsid w:val="002E399E"/>
    <w:rsid w:val="002E3F68"/>
    <w:rsid w:val="002E5C16"/>
    <w:rsid w:val="002E67FF"/>
    <w:rsid w:val="002E73E7"/>
    <w:rsid w:val="002F0AA7"/>
    <w:rsid w:val="002F1B28"/>
    <w:rsid w:val="002F1C88"/>
    <w:rsid w:val="002F205C"/>
    <w:rsid w:val="002F2583"/>
    <w:rsid w:val="002F279A"/>
    <w:rsid w:val="002F2B0E"/>
    <w:rsid w:val="002F2C1A"/>
    <w:rsid w:val="002F4019"/>
    <w:rsid w:val="002F4F5B"/>
    <w:rsid w:val="002F68FE"/>
    <w:rsid w:val="00300DF8"/>
    <w:rsid w:val="0030276D"/>
    <w:rsid w:val="00303156"/>
    <w:rsid w:val="00304ED7"/>
    <w:rsid w:val="003107AB"/>
    <w:rsid w:val="0031127A"/>
    <w:rsid w:val="00311A01"/>
    <w:rsid w:val="003130E2"/>
    <w:rsid w:val="003153FB"/>
    <w:rsid w:val="003154E8"/>
    <w:rsid w:val="00315C29"/>
    <w:rsid w:val="0031664C"/>
    <w:rsid w:val="00324997"/>
    <w:rsid w:val="003256B1"/>
    <w:rsid w:val="00325EC1"/>
    <w:rsid w:val="00327F57"/>
    <w:rsid w:val="00331545"/>
    <w:rsid w:val="003330E6"/>
    <w:rsid w:val="0033333E"/>
    <w:rsid w:val="003359B5"/>
    <w:rsid w:val="003368C0"/>
    <w:rsid w:val="003401EF"/>
    <w:rsid w:val="003426EE"/>
    <w:rsid w:val="00343439"/>
    <w:rsid w:val="00343B53"/>
    <w:rsid w:val="003459E9"/>
    <w:rsid w:val="00346BA7"/>
    <w:rsid w:val="003532C8"/>
    <w:rsid w:val="003545F6"/>
    <w:rsid w:val="00354915"/>
    <w:rsid w:val="00357DE5"/>
    <w:rsid w:val="00364E30"/>
    <w:rsid w:val="0036579F"/>
    <w:rsid w:val="00365AB7"/>
    <w:rsid w:val="00372031"/>
    <w:rsid w:val="003738C2"/>
    <w:rsid w:val="003777EA"/>
    <w:rsid w:val="00380B9C"/>
    <w:rsid w:val="00383594"/>
    <w:rsid w:val="003847B9"/>
    <w:rsid w:val="003851F0"/>
    <w:rsid w:val="00385E85"/>
    <w:rsid w:val="00387BB3"/>
    <w:rsid w:val="0039118D"/>
    <w:rsid w:val="00391AC8"/>
    <w:rsid w:val="00392062"/>
    <w:rsid w:val="00392ABA"/>
    <w:rsid w:val="00392FB4"/>
    <w:rsid w:val="00394DFF"/>
    <w:rsid w:val="00395C05"/>
    <w:rsid w:val="003A0250"/>
    <w:rsid w:val="003A04CD"/>
    <w:rsid w:val="003A11AB"/>
    <w:rsid w:val="003A1F14"/>
    <w:rsid w:val="003A242D"/>
    <w:rsid w:val="003A3974"/>
    <w:rsid w:val="003A5838"/>
    <w:rsid w:val="003A64BD"/>
    <w:rsid w:val="003B0BC2"/>
    <w:rsid w:val="003B19F1"/>
    <w:rsid w:val="003B1CA7"/>
    <w:rsid w:val="003B1D25"/>
    <w:rsid w:val="003B2384"/>
    <w:rsid w:val="003B37BB"/>
    <w:rsid w:val="003C36AC"/>
    <w:rsid w:val="003C6D12"/>
    <w:rsid w:val="003C7EF9"/>
    <w:rsid w:val="003D323D"/>
    <w:rsid w:val="003D68D5"/>
    <w:rsid w:val="003D7050"/>
    <w:rsid w:val="003D7871"/>
    <w:rsid w:val="003E14CF"/>
    <w:rsid w:val="003E3431"/>
    <w:rsid w:val="003E684C"/>
    <w:rsid w:val="003E7EC4"/>
    <w:rsid w:val="003F168A"/>
    <w:rsid w:val="003F77B5"/>
    <w:rsid w:val="003F7E64"/>
    <w:rsid w:val="00404835"/>
    <w:rsid w:val="00404C92"/>
    <w:rsid w:val="00406A0D"/>
    <w:rsid w:val="00407D59"/>
    <w:rsid w:val="004138A0"/>
    <w:rsid w:val="0041525E"/>
    <w:rsid w:val="00415939"/>
    <w:rsid w:val="00420742"/>
    <w:rsid w:val="00421005"/>
    <w:rsid w:val="00430D7C"/>
    <w:rsid w:val="00431372"/>
    <w:rsid w:val="00433564"/>
    <w:rsid w:val="00437CA3"/>
    <w:rsid w:val="0044027B"/>
    <w:rsid w:val="004408F8"/>
    <w:rsid w:val="00445CAC"/>
    <w:rsid w:val="0044648F"/>
    <w:rsid w:val="00446DA2"/>
    <w:rsid w:val="00453112"/>
    <w:rsid w:val="00457843"/>
    <w:rsid w:val="00457E1C"/>
    <w:rsid w:val="004605FA"/>
    <w:rsid w:val="00460716"/>
    <w:rsid w:val="0046139E"/>
    <w:rsid w:val="00462002"/>
    <w:rsid w:val="0046212F"/>
    <w:rsid w:val="00462733"/>
    <w:rsid w:val="00463227"/>
    <w:rsid w:val="00463973"/>
    <w:rsid w:val="00466674"/>
    <w:rsid w:val="004669D7"/>
    <w:rsid w:val="00471113"/>
    <w:rsid w:val="00471200"/>
    <w:rsid w:val="004712E7"/>
    <w:rsid w:val="00471974"/>
    <w:rsid w:val="00472FF8"/>
    <w:rsid w:val="00475F03"/>
    <w:rsid w:val="004804B3"/>
    <w:rsid w:val="00480CE8"/>
    <w:rsid w:val="00481E06"/>
    <w:rsid w:val="004820E9"/>
    <w:rsid w:val="00483119"/>
    <w:rsid w:val="0048361F"/>
    <w:rsid w:val="004845D0"/>
    <w:rsid w:val="004852FF"/>
    <w:rsid w:val="00485B86"/>
    <w:rsid w:val="00486822"/>
    <w:rsid w:val="004921C3"/>
    <w:rsid w:val="00492FDA"/>
    <w:rsid w:val="00493604"/>
    <w:rsid w:val="00494E73"/>
    <w:rsid w:val="00496C3E"/>
    <w:rsid w:val="00496EF2"/>
    <w:rsid w:val="004A2830"/>
    <w:rsid w:val="004A6155"/>
    <w:rsid w:val="004B514C"/>
    <w:rsid w:val="004B7D57"/>
    <w:rsid w:val="004C00D8"/>
    <w:rsid w:val="004C16F6"/>
    <w:rsid w:val="004C17B5"/>
    <w:rsid w:val="004C3DAD"/>
    <w:rsid w:val="004C5923"/>
    <w:rsid w:val="004C6116"/>
    <w:rsid w:val="004C7C61"/>
    <w:rsid w:val="004D0DFD"/>
    <w:rsid w:val="004D1FBE"/>
    <w:rsid w:val="004D3D09"/>
    <w:rsid w:val="004D4A86"/>
    <w:rsid w:val="004D6941"/>
    <w:rsid w:val="004D7267"/>
    <w:rsid w:val="004D7664"/>
    <w:rsid w:val="004E02B1"/>
    <w:rsid w:val="004E074F"/>
    <w:rsid w:val="004E6427"/>
    <w:rsid w:val="004E7625"/>
    <w:rsid w:val="004E7E43"/>
    <w:rsid w:val="004F1956"/>
    <w:rsid w:val="004F5FC6"/>
    <w:rsid w:val="004F6174"/>
    <w:rsid w:val="004F69FA"/>
    <w:rsid w:val="00501B06"/>
    <w:rsid w:val="00502918"/>
    <w:rsid w:val="005037B2"/>
    <w:rsid w:val="0050455E"/>
    <w:rsid w:val="005047AD"/>
    <w:rsid w:val="005061FB"/>
    <w:rsid w:val="00510B1D"/>
    <w:rsid w:val="0051107D"/>
    <w:rsid w:val="00511167"/>
    <w:rsid w:val="00511F9F"/>
    <w:rsid w:val="00514829"/>
    <w:rsid w:val="00521FD8"/>
    <w:rsid w:val="00524B68"/>
    <w:rsid w:val="0052667A"/>
    <w:rsid w:val="00526C07"/>
    <w:rsid w:val="005273A6"/>
    <w:rsid w:val="00527533"/>
    <w:rsid w:val="00527E88"/>
    <w:rsid w:val="005302A9"/>
    <w:rsid w:val="005306E5"/>
    <w:rsid w:val="0053387C"/>
    <w:rsid w:val="00534F74"/>
    <w:rsid w:val="00536789"/>
    <w:rsid w:val="00536D2F"/>
    <w:rsid w:val="00540052"/>
    <w:rsid w:val="00540C99"/>
    <w:rsid w:val="0054146B"/>
    <w:rsid w:val="00543DB4"/>
    <w:rsid w:val="00543E08"/>
    <w:rsid w:val="005449AD"/>
    <w:rsid w:val="00544EC3"/>
    <w:rsid w:val="0054745A"/>
    <w:rsid w:val="00547C85"/>
    <w:rsid w:val="005505ED"/>
    <w:rsid w:val="00554521"/>
    <w:rsid w:val="005601C0"/>
    <w:rsid w:val="0056161B"/>
    <w:rsid w:val="00563BE9"/>
    <w:rsid w:val="00563E6B"/>
    <w:rsid w:val="00564B04"/>
    <w:rsid w:val="00570524"/>
    <w:rsid w:val="00573059"/>
    <w:rsid w:val="0057621E"/>
    <w:rsid w:val="00577B05"/>
    <w:rsid w:val="00580589"/>
    <w:rsid w:val="00580D6F"/>
    <w:rsid w:val="005812C6"/>
    <w:rsid w:val="00581377"/>
    <w:rsid w:val="0058382A"/>
    <w:rsid w:val="005934B5"/>
    <w:rsid w:val="005948FA"/>
    <w:rsid w:val="005951BF"/>
    <w:rsid w:val="005959BE"/>
    <w:rsid w:val="00596210"/>
    <w:rsid w:val="00596286"/>
    <w:rsid w:val="00596999"/>
    <w:rsid w:val="005A0B6B"/>
    <w:rsid w:val="005A0F31"/>
    <w:rsid w:val="005A28A1"/>
    <w:rsid w:val="005A46D0"/>
    <w:rsid w:val="005A6FB5"/>
    <w:rsid w:val="005B25E4"/>
    <w:rsid w:val="005B30C8"/>
    <w:rsid w:val="005B4060"/>
    <w:rsid w:val="005B7778"/>
    <w:rsid w:val="005C051F"/>
    <w:rsid w:val="005C62D8"/>
    <w:rsid w:val="005C6E7B"/>
    <w:rsid w:val="005C762E"/>
    <w:rsid w:val="005D098C"/>
    <w:rsid w:val="005D0DF6"/>
    <w:rsid w:val="005D311B"/>
    <w:rsid w:val="005D3FD9"/>
    <w:rsid w:val="005D6408"/>
    <w:rsid w:val="005D695C"/>
    <w:rsid w:val="005E2099"/>
    <w:rsid w:val="005E2139"/>
    <w:rsid w:val="005E46BB"/>
    <w:rsid w:val="005E7605"/>
    <w:rsid w:val="005F770E"/>
    <w:rsid w:val="006001CC"/>
    <w:rsid w:val="00600C2B"/>
    <w:rsid w:val="00602B4D"/>
    <w:rsid w:val="00603C94"/>
    <w:rsid w:val="006048E0"/>
    <w:rsid w:val="00604FAD"/>
    <w:rsid w:val="0060662A"/>
    <w:rsid w:val="006111BD"/>
    <w:rsid w:val="00612789"/>
    <w:rsid w:val="00613D24"/>
    <w:rsid w:val="006141F5"/>
    <w:rsid w:val="00614BDA"/>
    <w:rsid w:val="00615D9D"/>
    <w:rsid w:val="00617A36"/>
    <w:rsid w:val="0062068E"/>
    <w:rsid w:val="00621AFB"/>
    <w:rsid w:val="0062589A"/>
    <w:rsid w:val="00627DAC"/>
    <w:rsid w:val="006307C7"/>
    <w:rsid w:val="00632B82"/>
    <w:rsid w:val="006331B4"/>
    <w:rsid w:val="006343F3"/>
    <w:rsid w:val="00640CF2"/>
    <w:rsid w:val="006417D6"/>
    <w:rsid w:val="00642906"/>
    <w:rsid w:val="00642DB2"/>
    <w:rsid w:val="00643582"/>
    <w:rsid w:val="00643698"/>
    <w:rsid w:val="00643B75"/>
    <w:rsid w:val="00644803"/>
    <w:rsid w:val="006457EF"/>
    <w:rsid w:val="00650F96"/>
    <w:rsid w:val="006512B7"/>
    <w:rsid w:val="00651C22"/>
    <w:rsid w:val="00655679"/>
    <w:rsid w:val="00655B4D"/>
    <w:rsid w:val="00655ED5"/>
    <w:rsid w:val="00661246"/>
    <w:rsid w:val="00661AB9"/>
    <w:rsid w:val="006649E7"/>
    <w:rsid w:val="00665734"/>
    <w:rsid w:val="006667C6"/>
    <w:rsid w:val="006710C4"/>
    <w:rsid w:val="00671977"/>
    <w:rsid w:val="00671D80"/>
    <w:rsid w:val="00672EFB"/>
    <w:rsid w:val="006739CF"/>
    <w:rsid w:val="00675B01"/>
    <w:rsid w:val="0067752C"/>
    <w:rsid w:val="006776A2"/>
    <w:rsid w:val="00677874"/>
    <w:rsid w:val="006801A6"/>
    <w:rsid w:val="0068124B"/>
    <w:rsid w:val="00681610"/>
    <w:rsid w:val="0068308A"/>
    <w:rsid w:val="006835AC"/>
    <w:rsid w:val="00684AD6"/>
    <w:rsid w:val="00685D36"/>
    <w:rsid w:val="00686444"/>
    <w:rsid w:val="00687304"/>
    <w:rsid w:val="00692C71"/>
    <w:rsid w:val="006931A0"/>
    <w:rsid w:val="006935BC"/>
    <w:rsid w:val="00694976"/>
    <w:rsid w:val="00696437"/>
    <w:rsid w:val="00696E55"/>
    <w:rsid w:val="00697ACC"/>
    <w:rsid w:val="006A0B0E"/>
    <w:rsid w:val="006A18DF"/>
    <w:rsid w:val="006A1EF8"/>
    <w:rsid w:val="006A3A9C"/>
    <w:rsid w:val="006A3CC5"/>
    <w:rsid w:val="006A4794"/>
    <w:rsid w:val="006A4FA8"/>
    <w:rsid w:val="006A59A4"/>
    <w:rsid w:val="006A713B"/>
    <w:rsid w:val="006A721F"/>
    <w:rsid w:val="006A7A14"/>
    <w:rsid w:val="006A7CCF"/>
    <w:rsid w:val="006B0581"/>
    <w:rsid w:val="006B0F36"/>
    <w:rsid w:val="006B30FD"/>
    <w:rsid w:val="006B4254"/>
    <w:rsid w:val="006B42D2"/>
    <w:rsid w:val="006B4830"/>
    <w:rsid w:val="006B5CB4"/>
    <w:rsid w:val="006B6DCF"/>
    <w:rsid w:val="006B791B"/>
    <w:rsid w:val="006C06D5"/>
    <w:rsid w:val="006C089A"/>
    <w:rsid w:val="006C1EFA"/>
    <w:rsid w:val="006C4021"/>
    <w:rsid w:val="006C46E1"/>
    <w:rsid w:val="006C4793"/>
    <w:rsid w:val="006C545E"/>
    <w:rsid w:val="006C7B96"/>
    <w:rsid w:val="006C7E52"/>
    <w:rsid w:val="006D36FB"/>
    <w:rsid w:val="006D42ED"/>
    <w:rsid w:val="006D4D1A"/>
    <w:rsid w:val="006D73F1"/>
    <w:rsid w:val="006E2A29"/>
    <w:rsid w:val="006E3514"/>
    <w:rsid w:val="006E3AB2"/>
    <w:rsid w:val="006E6385"/>
    <w:rsid w:val="006E7421"/>
    <w:rsid w:val="006E7647"/>
    <w:rsid w:val="006F09B5"/>
    <w:rsid w:val="006F162C"/>
    <w:rsid w:val="006F1DA8"/>
    <w:rsid w:val="006F21CC"/>
    <w:rsid w:val="006F22E9"/>
    <w:rsid w:val="006F2C58"/>
    <w:rsid w:val="006F4CFA"/>
    <w:rsid w:val="006F5310"/>
    <w:rsid w:val="006F6256"/>
    <w:rsid w:val="006F696E"/>
    <w:rsid w:val="006F6B91"/>
    <w:rsid w:val="00700545"/>
    <w:rsid w:val="00701BB1"/>
    <w:rsid w:val="007040CB"/>
    <w:rsid w:val="00704185"/>
    <w:rsid w:val="0070523B"/>
    <w:rsid w:val="00705AAF"/>
    <w:rsid w:val="0070698B"/>
    <w:rsid w:val="00707D16"/>
    <w:rsid w:val="00715E8A"/>
    <w:rsid w:val="00717226"/>
    <w:rsid w:val="00720FDD"/>
    <w:rsid w:val="00722883"/>
    <w:rsid w:val="00723AF0"/>
    <w:rsid w:val="00723D67"/>
    <w:rsid w:val="00727803"/>
    <w:rsid w:val="00727911"/>
    <w:rsid w:val="0073007E"/>
    <w:rsid w:val="007311E2"/>
    <w:rsid w:val="00732519"/>
    <w:rsid w:val="0073365B"/>
    <w:rsid w:val="00734F5A"/>
    <w:rsid w:val="0073579D"/>
    <w:rsid w:val="007364DC"/>
    <w:rsid w:val="00736D97"/>
    <w:rsid w:val="007372A8"/>
    <w:rsid w:val="00737CEF"/>
    <w:rsid w:val="00737DDA"/>
    <w:rsid w:val="00742633"/>
    <w:rsid w:val="007439D7"/>
    <w:rsid w:val="007443B5"/>
    <w:rsid w:val="00744657"/>
    <w:rsid w:val="00745DAE"/>
    <w:rsid w:val="00746B57"/>
    <w:rsid w:val="0074708C"/>
    <w:rsid w:val="00747D90"/>
    <w:rsid w:val="007501B9"/>
    <w:rsid w:val="00751CB9"/>
    <w:rsid w:val="00752BDB"/>
    <w:rsid w:val="007543F4"/>
    <w:rsid w:val="0075624F"/>
    <w:rsid w:val="00756580"/>
    <w:rsid w:val="00756D96"/>
    <w:rsid w:val="007610D6"/>
    <w:rsid w:val="007620C2"/>
    <w:rsid w:val="00762DCA"/>
    <w:rsid w:val="00763641"/>
    <w:rsid w:val="007668BA"/>
    <w:rsid w:val="00770596"/>
    <w:rsid w:val="0077277D"/>
    <w:rsid w:val="007747D4"/>
    <w:rsid w:val="00774963"/>
    <w:rsid w:val="00780223"/>
    <w:rsid w:val="00781B7F"/>
    <w:rsid w:val="00782DCB"/>
    <w:rsid w:val="00784156"/>
    <w:rsid w:val="00791280"/>
    <w:rsid w:val="007933B3"/>
    <w:rsid w:val="007936BF"/>
    <w:rsid w:val="00794D72"/>
    <w:rsid w:val="00795A47"/>
    <w:rsid w:val="00796915"/>
    <w:rsid w:val="007A008A"/>
    <w:rsid w:val="007A048E"/>
    <w:rsid w:val="007A19AF"/>
    <w:rsid w:val="007A1E9D"/>
    <w:rsid w:val="007A26C5"/>
    <w:rsid w:val="007A2801"/>
    <w:rsid w:val="007A3DD3"/>
    <w:rsid w:val="007A4EEE"/>
    <w:rsid w:val="007A6DAA"/>
    <w:rsid w:val="007A7EC8"/>
    <w:rsid w:val="007B032C"/>
    <w:rsid w:val="007B1AF8"/>
    <w:rsid w:val="007B2A16"/>
    <w:rsid w:val="007B4B3F"/>
    <w:rsid w:val="007B5202"/>
    <w:rsid w:val="007B5674"/>
    <w:rsid w:val="007B5E6B"/>
    <w:rsid w:val="007B787D"/>
    <w:rsid w:val="007B7B7B"/>
    <w:rsid w:val="007C078A"/>
    <w:rsid w:val="007C3158"/>
    <w:rsid w:val="007C3165"/>
    <w:rsid w:val="007C34B2"/>
    <w:rsid w:val="007C361E"/>
    <w:rsid w:val="007C41E1"/>
    <w:rsid w:val="007C58D6"/>
    <w:rsid w:val="007C732D"/>
    <w:rsid w:val="007D1008"/>
    <w:rsid w:val="007D3956"/>
    <w:rsid w:val="007D5B27"/>
    <w:rsid w:val="007D5C80"/>
    <w:rsid w:val="007D62AE"/>
    <w:rsid w:val="007D67B6"/>
    <w:rsid w:val="007E013D"/>
    <w:rsid w:val="007E15A6"/>
    <w:rsid w:val="007E20E3"/>
    <w:rsid w:val="007E2754"/>
    <w:rsid w:val="007E51BF"/>
    <w:rsid w:val="007E5818"/>
    <w:rsid w:val="007E61A7"/>
    <w:rsid w:val="007E65D7"/>
    <w:rsid w:val="007F227E"/>
    <w:rsid w:val="007F5ABF"/>
    <w:rsid w:val="007F755F"/>
    <w:rsid w:val="0080089C"/>
    <w:rsid w:val="00803318"/>
    <w:rsid w:val="00803456"/>
    <w:rsid w:val="008038DA"/>
    <w:rsid w:val="0080390A"/>
    <w:rsid w:val="00806789"/>
    <w:rsid w:val="00810107"/>
    <w:rsid w:val="00811BBD"/>
    <w:rsid w:val="00811CFC"/>
    <w:rsid w:val="008123EF"/>
    <w:rsid w:val="00812976"/>
    <w:rsid w:val="00814DEF"/>
    <w:rsid w:val="008174E6"/>
    <w:rsid w:val="0082239E"/>
    <w:rsid w:val="00823B61"/>
    <w:rsid w:val="008249F1"/>
    <w:rsid w:val="00825A87"/>
    <w:rsid w:val="00831B9B"/>
    <w:rsid w:val="00835008"/>
    <w:rsid w:val="00835321"/>
    <w:rsid w:val="00841129"/>
    <w:rsid w:val="00842A7E"/>
    <w:rsid w:val="00844D3D"/>
    <w:rsid w:val="0084532E"/>
    <w:rsid w:val="00845810"/>
    <w:rsid w:val="00845F3C"/>
    <w:rsid w:val="00846159"/>
    <w:rsid w:val="008505C3"/>
    <w:rsid w:val="00851677"/>
    <w:rsid w:val="008522C6"/>
    <w:rsid w:val="00852E40"/>
    <w:rsid w:val="00853BB3"/>
    <w:rsid w:val="00853CE2"/>
    <w:rsid w:val="008548FE"/>
    <w:rsid w:val="00854995"/>
    <w:rsid w:val="00857A90"/>
    <w:rsid w:val="00857CDD"/>
    <w:rsid w:val="0086006E"/>
    <w:rsid w:val="00860EA8"/>
    <w:rsid w:val="008624E0"/>
    <w:rsid w:val="0086472B"/>
    <w:rsid w:val="0086652D"/>
    <w:rsid w:val="00866CC6"/>
    <w:rsid w:val="00866FB4"/>
    <w:rsid w:val="008717F5"/>
    <w:rsid w:val="00871908"/>
    <w:rsid w:val="0087368E"/>
    <w:rsid w:val="008759BD"/>
    <w:rsid w:val="008802D9"/>
    <w:rsid w:val="008806A6"/>
    <w:rsid w:val="00880B98"/>
    <w:rsid w:val="00881F26"/>
    <w:rsid w:val="00882CA9"/>
    <w:rsid w:val="00883130"/>
    <w:rsid w:val="008838A1"/>
    <w:rsid w:val="00884341"/>
    <w:rsid w:val="0088685E"/>
    <w:rsid w:val="0088689E"/>
    <w:rsid w:val="00891794"/>
    <w:rsid w:val="00891929"/>
    <w:rsid w:val="00893176"/>
    <w:rsid w:val="00893AA8"/>
    <w:rsid w:val="00895446"/>
    <w:rsid w:val="008A05E4"/>
    <w:rsid w:val="008A0BDD"/>
    <w:rsid w:val="008A1BB2"/>
    <w:rsid w:val="008A2000"/>
    <w:rsid w:val="008A2098"/>
    <w:rsid w:val="008A2902"/>
    <w:rsid w:val="008A32D1"/>
    <w:rsid w:val="008A3817"/>
    <w:rsid w:val="008A567A"/>
    <w:rsid w:val="008B02F9"/>
    <w:rsid w:val="008B03D8"/>
    <w:rsid w:val="008B10C7"/>
    <w:rsid w:val="008B27D6"/>
    <w:rsid w:val="008B4290"/>
    <w:rsid w:val="008B61CD"/>
    <w:rsid w:val="008C04AD"/>
    <w:rsid w:val="008C05EE"/>
    <w:rsid w:val="008C3B79"/>
    <w:rsid w:val="008C4A61"/>
    <w:rsid w:val="008C4CB3"/>
    <w:rsid w:val="008C4F0F"/>
    <w:rsid w:val="008C6CFD"/>
    <w:rsid w:val="008C7D07"/>
    <w:rsid w:val="008C7F38"/>
    <w:rsid w:val="008D392B"/>
    <w:rsid w:val="008D3B9E"/>
    <w:rsid w:val="008D55C9"/>
    <w:rsid w:val="008E044E"/>
    <w:rsid w:val="008E7460"/>
    <w:rsid w:val="008E7585"/>
    <w:rsid w:val="008E7F73"/>
    <w:rsid w:val="008F0557"/>
    <w:rsid w:val="008F1B17"/>
    <w:rsid w:val="008F2E5C"/>
    <w:rsid w:val="008F3E73"/>
    <w:rsid w:val="008F646F"/>
    <w:rsid w:val="00905BC5"/>
    <w:rsid w:val="00906982"/>
    <w:rsid w:val="009076D0"/>
    <w:rsid w:val="009110F5"/>
    <w:rsid w:val="00914F38"/>
    <w:rsid w:val="009158E1"/>
    <w:rsid w:val="0091776B"/>
    <w:rsid w:val="00917B81"/>
    <w:rsid w:val="00920396"/>
    <w:rsid w:val="00922764"/>
    <w:rsid w:val="0092369B"/>
    <w:rsid w:val="0092530B"/>
    <w:rsid w:val="0092657D"/>
    <w:rsid w:val="00931E1D"/>
    <w:rsid w:val="00932B67"/>
    <w:rsid w:val="00935018"/>
    <w:rsid w:val="0093671F"/>
    <w:rsid w:val="00937D0C"/>
    <w:rsid w:val="00937F0D"/>
    <w:rsid w:val="00940E6A"/>
    <w:rsid w:val="00941D1F"/>
    <w:rsid w:val="009434A3"/>
    <w:rsid w:val="0094366C"/>
    <w:rsid w:val="0094666B"/>
    <w:rsid w:val="00946A52"/>
    <w:rsid w:val="009479C0"/>
    <w:rsid w:val="00950914"/>
    <w:rsid w:val="00950C51"/>
    <w:rsid w:val="00951973"/>
    <w:rsid w:val="0095252E"/>
    <w:rsid w:val="00952591"/>
    <w:rsid w:val="00952C90"/>
    <w:rsid w:val="00953ADF"/>
    <w:rsid w:val="00953B55"/>
    <w:rsid w:val="0095579B"/>
    <w:rsid w:val="00957E73"/>
    <w:rsid w:val="0096135C"/>
    <w:rsid w:val="009624FB"/>
    <w:rsid w:val="00963E20"/>
    <w:rsid w:val="009746D7"/>
    <w:rsid w:val="00975817"/>
    <w:rsid w:val="009808B4"/>
    <w:rsid w:val="00983391"/>
    <w:rsid w:val="00984821"/>
    <w:rsid w:val="00985055"/>
    <w:rsid w:val="009961A7"/>
    <w:rsid w:val="0099716A"/>
    <w:rsid w:val="009A0593"/>
    <w:rsid w:val="009A2797"/>
    <w:rsid w:val="009A2C14"/>
    <w:rsid w:val="009A3D97"/>
    <w:rsid w:val="009A3ED6"/>
    <w:rsid w:val="009A598B"/>
    <w:rsid w:val="009A698B"/>
    <w:rsid w:val="009A7FCF"/>
    <w:rsid w:val="009B2D86"/>
    <w:rsid w:val="009B3F94"/>
    <w:rsid w:val="009B465B"/>
    <w:rsid w:val="009B5E70"/>
    <w:rsid w:val="009B621A"/>
    <w:rsid w:val="009B672F"/>
    <w:rsid w:val="009B6EAB"/>
    <w:rsid w:val="009B718D"/>
    <w:rsid w:val="009C0BCC"/>
    <w:rsid w:val="009C3FA3"/>
    <w:rsid w:val="009C45D9"/>
    <w:rsid w:val="009C6530"/>
    <w:rsid w:val="009C6F32"/>
    <w:rsid w:val="009D21D5"/>
    <w:rsid w:val="009D2BEF"/>
    <w:rsid w:val="009D358E"/>
    <w:rsid w:val="009D7187"/>
    <w:rsid w:val="009D783B"/>
    <w:rsid w:val="009E01DD"/>
    <w:rsid w:val="009E2439"/>
    <w:rsid w:val="009E32B0"/>
    <w:rsid w:val="009E4221"/>
    <w:rsid w:val="009E547A"/>
    <w:rsid w:val="009F22EA"/>
    <w:rsid w:val="009F30C8"/>
    <w:rsid w:val="009F4054"/>
    <w:rsid w:val="009F4754"/>
    <w:rsid w:val="009F58D8"/>
    <w:rsid w:val="009F5920"/>
    <w:rsid w:val="00A02F7D"/>
    <w:rsid w:val="00A03791"/>
    <w:rsid w:val="00A0469B"/>
    <w:rsid w:val="00A06657"/>
    <w:rsid w:val="00A06809"/>
    <w:rsid w:val="00A07DF2"/>
    <w:rsid w:val="00A12DA0"/>
    <w:rsid w:val="00A13255"/>
    <w:rsid w:val="00A14768"/>
    <w:rsid w:val="00A16DFA"/>
    <w:rsid w:val="00A17C0A"/>
    <w:rsid w:val="00A22FA7"/>
    <w:rsid w:val="00A238D0"/>
    <w:rsid w:val="00A26C55"/>
    <w:rsid w:val="00A26E5A"/>
    <w:rsid w:val="00A274F4"/>
    <w:rsid w:val="00A33919"/>
    <w:rsid w:val="00A346B2"/>
    <w:rsid w:val="00A3601F"/>
    <w:rsid w:val="00A36968"/>
    <w:rsid w:val="00A36EC5"/>
    <w:rsid w:val="00A372D1"/>
    <w:rsid w:val="00A40BE6"/>
    <w:rsid w:val="00A41149"/>
    <w:rsid w:val="00A44745"/>
    <w:rsid w:val="00A44F15"/>
    <w:rsid w:val="00A47B7B"/>
    <w:rsid w:val="00A50621"/>
    <w:rsid w:val="00A54175"/>
    <w:rsid w:val="00A56809"/>
    <w:rsid w:val="00A60D9A"/>
    <w:rsid w:val="00A61C4B"/>
    <w:rsid w:val="00A62033"/>
    <w:rsid w:val="00A62F75"/>
    <w:rsid w:val="00A63A07"/>
    <w:rsid w:val="00A654A2"/>
    <w:rsid w:val="00A654B3"/>
    <w:rsid w:val="00A67183"/>
    <w:rsid w:val="00A70079"/>
    <w:rsid w:val="00A72315"/>
    <w:rsid w:val="00A76391"/>
    <w:rsid w:val="00A76452"/>
    <w:rsid w:val="00A77E03"/>
    <w:rsid w:val="00A80AB6"/>
    <w:rsid w:val="00A8194D"/>
    <w:rsid w:val="00A83F5F"/>
    <w:rsid w:val="00A84DF8"/>
    <w:rsid w:val="00A8667E"/>
    <w:rsid w:val="00A86D3D"/>
    <w:rsid w:val="00A86F54"/>
    <w:rsid w:val="00A87A68"/>
    <w:rsid w:val="00A9013E"/>
    <w:rsid w:val="00A915F3"/>
    <w:rsid w:val="00A9205D"/>
    <w:rsid w:val="00A94B17"/>
    <w:rsid w:val="00A94F1F"/>
    <w:rsid w:val="00A95347"/>
    <w:rsid w:val="00AA349C"/>
    <w:rsid w:val="00AA471D"/>
    <w:rsid w:val="00AA4B1C"/>
    <w:rsid w:val="00AA6188"/>
    <w:rsid w:val="00AA7E33"/>
    <w:rsid w:val="00AB14BC"/>
    <w:rsid w:val="00AB25DC"/>
    <w:rsid w:val="00AB265E"/>
    <w:rsid w:val="00AB284C"/>
    <w:rsid w:val="00AB2948"/>
    <w:rsid w:val="00AB39FA"/>
    <w:rsid w:val="00AB3B30"/>
    <w:rsid w:val="00AB426C"/>
    <w:rsid w:val="00AB451C"/>
    <w:rsid w:val="00AB59F2"/>
    <w:rsid w:val="00AB64AE"/>
    <w:rsid w:val="00AB69DE"/>
    <w:rsid w:val="00AC3E62"/>
    <w:rsid w:val="00AC5620"/>
    <w:rsid w:val="00AC5AF9"/>
    <w:rsid w:val="00AC6192"/>
    <w:rsid w:val="00AD2F03"/>
    <w:rsid w:val="00AD5187"/>
    <w:rsid w:val="00AD57FE"/>
    <w:rsid w:val="00AD5BE2"/>
    <w:rsid w:val="00AD6933"/>
    <w:rsid w:val="00AD6B7B"/>
    <w:rsid w:val="00AD7CAB"/>
    <w:rsid w:val="00AE0D6A"/>
    <w:rsid w:val="00AE10BE"/>
    <w:rsid w:val="00AE16C9"/>
    <w:rsid w:val="00AE1B23"/>
    <w:rsid w:val="00AE3EF5"/>
    <w:rsid w:val="00AE4F2A"/>
    <w:rsid w:val="00AE52FD"/>
    <w:rsid w:val="00AE5F33"/>
    <w:rsid w:val="00AF0AD5"/>
    <w:rsid w:val="00AF15E6"/>
    <w:rsid w:val="00AF51E7"/>
    <w:rsid w:val="00AF6744"/>
    <w:rsid w:val="00B0480A"/>
    <w:rsid w:val="00B05620"/>
    <w:rsid w:val="00B05DA6"/>
    <w:rsid w:val="00B05FF2"/>
    <w:rsid w:val="00B12E05"/>
    <w:rsid w:val="00B12EBE"/>
    <w:rsid w:val="00B142B4"/>
    <w:rsid w:val="00B16431"/>
    <w:rsid w:val="00B166A4"/>
    <w:rsid w:val="00B2093A"/>
    <w:rsid w:val="00B21987"/>
    <w:rsid w:val="00B219B7"/>
    <w:rsid w:val="00B25038"/>
    <w:rsid w:val="00B26008"/>
    <w:rsid w:val="00B2673C"/>
    <w:rsid w:val="00B27F3B"/>
    <w:rsid w:val="00B27FF1"/>
    <w:rsid w:val="00B307E3"/>
    <w:rsid w:val="00B3159A"/>
    <w:rsid w:val="00B32B90"/>
    <w:rsid w:val="00B33465"/>
    <w:rsid w:val="00B3368D"/>
    <w:rsid w:val="00B35C09"/>
    <w:rsid w:val="00B379C5"/>
    <w:rsid w:val="00B4183F"/>
    <w:rsid w:val="00B42198"/>
    <w:rsid w:val="00B46AD2"/>
    <w:rsid w:val="00B64BBE"/>
    <w:rsid w:val="00B67DE1"/>
    <w:rsid w:val="00B67F9A"/>
    <w:rsid w:val="00B70CC6"/>
    <w:rsid w:val="00B73894"/>
    <w:rsid w:val="00B776B5"/>
    <w:rsid w:val="00B8193F"/>
    <w:rsid w:val="00B82A82"/>
    <w:rsid w:val="00B8464A"/>
    <w:rsid w:val="00B8473D"/>
    <w:rsid w:val="00B85934"/>
    <w:rsid w:val="00B90410"/>
    <w:rsid w:val="00B90E10"/>
    <w:rsid w:val="00B94DFA"/>
    <w:rsid w:val="00B952B4"/>
    <w:rsid w:val="00B956F3"/>
    <w:rsid w:val="00B964CA"/>
    <w:rsid w:val="00B968D7"/>
    <w:rsid w:val="00B969D7"/>
    <w:rsid w:val="00B9720D"/>
    <w:rsid w:val="00BA1109"/>
    <w:rsid w:val="00BA31C4"/>
    <w:rsid w:val="00BA34C5"/>
    <w:rsid w:val="00BA4655"/>
    <w:rsid w:val="00BA60E9"/>
    <w:rsid w:val="00BA6335"/>
    <w:rsid w:val="00BA78B6"/>
    <w:rsid w:val="00BA7935"/>
    <w:rsid w:val="00BB047B"/>
    <w:rsid w:val="00BB242A"/>
    <w:rsid w:val="00BB3A55"/>
    <w:rsid w:val="00BB4818"/>
    <w:rsid w:val="00BB4AF3"/>
    <w:rsid w:val="00BB60CD"/>
    <w:rsid w:val="00BB6398"/>
    <w:rsid w:val="00BC25EF"/>
    <w:rsid w:val="00BC2DAF"/>
    <w:rsid w:val="00BC4FD3"/>
    <w:rsid w:val="00BC6827"/>
    <w:rsid w:val="00BC69C1"/>
    <w:rsid w:val="00BC6C7A"/>
    <w:rsid w:val="00BC7D9E"/>
    <w:rsid w:val="00BD0372"/>
    <w:rsid w:val="00BD44F5"/>
    <w:rsid w:val="00BE1557"/>
    <w:rsid w:val="00BE4340"/>
    <w:rsid w:val="00BE4707"/>
    <w:rsid w:val="00BE5C41"/>
    <w:rsid w:val="00BE6C04"/>
    <w:rsid w:val="00BE7340"/>
    <w:rsid w:val="00BF0646"/>
    <w:rsid w:val="00BF1C32"/>
    <w:rsid w:val="00BF3036"/>
    <w:rsid w:val="00BF526E"/>
    <w:rsid w:val="00BF76A6"/>
    <w:rsid w:val="00C0068D"/>
    <w:rsid w:val="00C01F23"/>
    <w:rsid w:val="00C037A1"/>
    <w:rsid w:val="00C044BE"/>
    <w:rsid w:val="00C04BAB"/>
    <w:rsid w:val="00C0607B"/>
    <w:rsid w:val="00C06DEF"/>
    <w:rsid w:val="00C075A2"/>
    <w:rsid w:val="00C107CB"/>
    <w:rsid w:val="00C11092"/>
    <w:rsid w:val="00C118C4"/>
    <w:rsid w:val="00C11F58"/>
    <w:rsid w:val="00C120D7"/>
    <w:rsid w:val="00C132D1"/>
    <w:rsid w:val="00C139CA"/>
    <w:rsid w:val="00C13A7D"/>
    <w:rsid w:val="00C241A8"/>
    <w:rsid w:val="00C24ABA"/>
    <w:rsid w:val="00C26120"/>
    <w:rsid w:val="00C264CB"/>
    <w:rsid w:val="00C26DBC"/>
    <w:rsid w:val="00C31253"/>
    <w:rsid w:val="00C336B7"/>
    <w:rsid w:val="00C35129"/>
    <w:rsid w:val="00C35F1B"/>
    <w:rsid w:val="00C36F5B"/>
    <w:rsid w:val="00C37890"/>
    <w:rsid w:val="00C41197"/>
    <w:rsid w:val="00C419DB"/>
    <w:rsid w:val="00C476F1"/>
    <w:rsid w:val="00C51429"/>
    <w:rsid w:val="00C51E8F"/>
    <w:rsid w:val="00C52CE9"/>
    <w:rsid w:val="00C52FC0"/>
    <w:rsid w:val="00C53F9E"/>
    <w:rsid w:val="00C545EC"/>
    <w:rsid w:val="00C5487F"/>
    <w:rsid w:val="00C559E9"/>
    <w:rsid w:val="00C56EA0"/>
    <w:rsid w:val="00C5721B"/>
    <w:rsid w:val="00C608C1"/>
    <w:rsid w:val="00C612F0"/>
    <w:rsid w:val="00C61360"/>
    <w:rsid w:val="00C63D4E"/>
    <w:rsid w:val="00C63EA9"/>
    <w:rsid w:val="00C6445C"/>
    <w:rsid w:val="00C665A0"/>
    <w:rsid w:val="00C67725"/>
    <w:rsid w:val="00C700F3"/>
    <w:rsid w:val="00C7092F"/>
    <w:rsid w:val="00C76DDA"/>
    <w:rsid w:val="00C807B3"/>
    <w:rsid w:val="00C825C9"/>
    <w:rsid w:val="00C83083"/>
    <w:rsid w:val="00C86CC3"/>
    <w:rsid w:val="00C86E37"/>
    <w:rsid w:val="00C901B1"/>
    <w:rsid w:val="00C90865"/>
    <w:rsid w:val="00C90EBC"/>
    <w:rsid w:val="00C91B69"/>
    <w:rsid w:val="00CA3856"/>
    <w:rsid w:val="00CA5A3F"/>
    <w:rsid w:val="00CA67E0"/>
    <w:rsid w:val="00CB0122"/>
    <w:rsid w:val="00CB0269"/>
    <w:rsid w:val="00CB0833"/>
    <w:rsid w:val="00CB18F5"/>
    <w:rsid w:val="00CB337D"/>
    <w:rsid w:val="00CB4853"/>
    <w:rsid w:val="00CC008E"/>
    <w:rsid w:val="00CC02ED"/>
    <w:rsid w:val="00CC2B31"/>
    <w:rsid w:val="00CC34EC"/>
    <w:rsid w:val="00CC6004"/>
    <w:rsid w:val="00CC63EB"/>
    <w:rsid w:val="00CD022A"/>
    <w:rsid w:val="00CD03BE"/>
    <w:rsid w:val="00CD0707"/>
    <w:rsid w:val="00CD1A25"/>
    <w:rsid w:val="00CD2369"/>
    <w:rsid w:val="00CD2E16"/>
    <w:rsid w:val="00CD65E7"/>
    <w:rsid w:val="00CD71CF"/>
    <w:rsid w:val="00CD7BFC"/>
    <w:rsid w:val="00CE2B95"/>
    <w:rsid w:val="00CE2F1A"/>
    <w:rsid w:val="00CE4BCD"/>
    <w:rsid w:val="00CF1A11"/>
    <w:rsid w:val="00CF27DC"/>
    <w:rsid w:val="00CF30FC"/>
    <w:rsid w:val="00CF4286"/>
    <w:rsid w:val="00CF5CB2"/>
    <w:rsid w:val="00CF5EAD"/>
    <w:rsid w:val="00D00868"/>
    <w:rsid w:val="00D0103C"/>
    <w:rsid w:val="00D019BA"/>
    <w:rsid w:val="00D01B9F"/>
    <w:rsid w:val="00D02036"/>
    <w:rsid w:val="00D03B38"/>
    <w:rsid w:val="00D03F87"/>
    <w:rsid w:val="00D04CD4"/>
    <w:rsid w:val="00D07174"/>
    <w:rsid w:val="00D12095"/>
    <w:rsid w:val="00D120A4"/>
    <w:rsid w:val="00D21AEC"/>
    <w:rsid w:val="00D22D06"/>
    <w:rsid w:val="00D238DD"/>
    <w:rsid w:val="00D24772"/>
    <w:rsid w:val="00D26E91"/>
    <w:rsid w:val="00D272A6"/>
    <w:rsid w:val="00D279A9"/>
    <w:rsid w:val="00D3094F"/>
    <w:rsid w:val="00D30D1A"/>
    <w:rsid w:val="00D3104C"/>
    <w:rsid w:val="00D334AB"/>
    <w:rsid w:val="00D3441D"/>
    <w:rsid w:val="00D355C4"/>
    <w:rsid w:val="00D3612A"/>
    <w:rsid w:val="00D37703"/>
    <w:rsid w:val="00D37DBF"/>
    <w:rsid w:val="00D37F25"/>
    <w:rsid w:val="00D40C9C"/>
    <w:rsid w:val="00D421CD"/>
    <w:rsid w:val="00D424E5"/>
    <w:rsid w:val="00D42F4F"/>
    <w:rsid w:val="00D44141"/>
    <w:rsid w:val="00D4795B"/>
    <w:rsid w:val="00D540FF"/>
    <w:rsid w:val="00D56A53"/>
    <w:rsid w:val="00D6324F"/>
    <w:rsid w:val="00D63458"/>
    <w:rsid w:val="00D6417F"/>
    <w:rsid w:val="00D66D37"/>
    <w:rsid w:val="00D74F58"/>
    <w:rsid w:val="00D750CC"/>
    <w:rsid w:val="00D758DC"/>
    <w:rsid w:val="00D759B8"/>
    <w:rsid w:val="00D75F19"/>
    <w:rsid w:val="00D76EA2"/>
    <w:rsid w:val="00D84369"/>
    <w:rsid w:val="00D84C8F"/>
    <w:rsid w:val="00D873AD"/>
    <w:rsid w:val="00D90BEE"/>
    <w:rsid w:val="00D91AAC"/>
    <w:rsid w:val="00D91C06"/>
    <w:rsid w:val="00D91C9F"/>
    <w:rsid w:val="00D93FD1"/>
    <w:rsid w:val="00D95EBF"/>
    <w:rsid w:val="00DA08F5"/>
    <w:rsid w:val="00DA2ADC"/>
    <w:rsid w:val="00DB01E2"/>
    <w:rsid w:val="00DB0764"/>
    <w:rsid w:val="00DB3506"/>
    <w:rsid w:val="00DB420A"/>
    <w:rsid w:val="00DB5B3E"/>
    <w:rsid w:val="00DB7459"/>
    <w:rsid w:val="00DB7A9A"/>
    <w:rsid w:val="00DC01EE"/>
    <w:rsid w:val="00DC04E9"/>
    <w:rsid w:val="00DC0D79"/>
    <w:rsid w:val="00DC3177"/>
    <w:rsid w:val="00DC3276"/>
    <w:rsid w:val="00DC5B43"/>
    <w:rsid w:val="00DD0FA9"/>
    <w:rsid w:val="00DD13AB"/>
    <w:rsid w:val="00DD16FF"/>
    <w:rsid w:val="00DD271F"/>
    <w:rsid w:val="00DD2841"/>
    <w:rsid w:val="00DD323F"/>
    <w:rsid w:val="00DD37D8"/>
    <w:rsid w:val="00DD380F"/>
    <w:rsid w:val="00DD4EB5"/>
    <w:rsid w:val="00DD5902"/>
    <w:rsid w:val="00DE01A4"/>
    <w:rsid w:val="00DE0960"/>
    <w:rsid w:val="00DE3D07"/>
    <w:rsid w:val="00DE3E40"/>
    <w:rsid w:val="00DE4597"/>
    <w:rsid w:val="00DE643F"/>
    <w:rsid w:val="00DF1A4F"/>
    <w:rsid w:val="00DF5252"/>
    <w:rsid w:val="00DF6840"/>
    <w:rsid w:val="00E010AB"/>
    <w:rsid w:val="00E015AD"/>
    <w:rsid w:val="00E0233F"/>
    <w:rsid w:val="00E02678"/>
    <w:rsid w:val="00E050EC"/>
    <w:rsid w:val="00E06262"/>
    <w:rsid w:val="00E0748A"/>
    <w:rsid w:val="00E07F1E"/>
    <w:rsid w:val="00E126B8"/>
    <w:rsid w:val="00E128A9"/>
    <w:rsid w:val="00E143DA"/>
    <w:rsid w:val="00E14BA3"/>
    <w:rsid w:val="00E16744"/>
    <w:rsid w:val="00E21523"/>
    <w:rsid w:val="00E24CDE"/>
    <w:rsid w:val="00E25953"/>
    <w:rsid w:val="00E27F5A"/>
    <w:rsid w:val="00E32BEA"/>
    <w:rsid w:val="00E32F5B"/>
    <w:rsid w:val="00E3799F"/>
    <w:rsid w:val="00E37DA2"/>
    <w:rsid w:val="00E4121B"/>
    <w:rsid w:val="00E42FA4"/>
    <w:rsid w:val="00E4366D"/>
    <w:rsid w:val="00E43ACF"/>
    <w:rsid w:val="00E43B5E"/>
    <w:rsid w:val="00E44295"/>
    <w:rsid w:val="00E45864"/>
    <w:rsid w:val="00E4622C"/>
    <w:rsid w:val="00E47F40"/>
    <w:rsid w:val="00E51B0F"/>
    <w:rsid w:val="00E51FFB"/>
    <w:rsid w:val="00E52DD3"/>
    <w:rsid w:val="00E5471E"/>
    <w:rsid w:val="00E558A4"/>
    <w:rsid w:val="00E576D9"/>
    <w:rsid w:val="00E61913"/>
    <w:rsid w:val="00E655A4"/>
    <w:rsid w:val="00E65C76"/>
    <w:rsid w:val="00E65EA1"/>
    <w:rsid w:val="00E6605D"/>
    <w:rsid w:val="00E6611F"/>
    <w:rsid w:val="00E6633B"/>
    <w:rsid w:val="00E70CBB"/>
    <w:rsid w:val="00E725D8"/>
    <w:rsid w:val="00E861FE"/>
    <w:rsid w:val="00E90F28"/>
    <w:rsid w:val="00E9168B"/>
    <w:rsid w:val="00E91A28"/>
    <w:rsid w:val="00E923A0"/>
    <w:rsid w:val="00E9265B"/>
    <w:rsid w:val="00E9387E"/>
    <w:rsid w:val="00E95253"/>
    <w:rsid w:val="00E95569"/>
    <w:rsid w:val="00E978F3"/>
    <w:rsid w:val="00EA1CB1"/>
    <w:rsid w:val="00EA22F3"/>
    <w:rsid w:val="00EA2B25"/>
    <w:rsid w:val="00EA5597"/>
    <w:rsid w:val="00EA6125"/>
    <w:rsid w:val="00EA75FB"/>
    <w:rsid w:val="00EB3401"/>
    <w:rsid w:val="00EB3408"/>
    <w:rsid w:val="00EC013E"/>
    <w:rsid w:val="00EC0435"/>
    <w:rsid w:val="00EC7180"/>
    <w:rsid w:val="00ED1B93"/>
    <w:rsid w:val="00ED209D"/>
    <w:rsid w:val="00ED418D"/>
    <w:rsid w:val="00ED46C4"/>
    <w:rsid w:val="00ED5F88"/>
    <w:rsid w:val="00ED664B"/>
    <w:rsid w:val="00ED7359"/>
    <w:rsid w:val="00ED7C2E"/>
    <w:rsid w:val="00EE0F69"/>
    <w:rsid w:val="00EE146C"/>
    <w:rsid w:val="00EE19F1"/>
    <w:rsid w:val="00EE5111"/>
    <w:rsid w:val="00EF0EED"/>
    <w:rsid w:val="00EF157F"/>
    <w:rsid w:val="00EF1CF9"/>
    <w:rsid w:val="00EF2730"/>
    <w:rsid w:val="00EF28D7"/>
    <w:rsid w:val="00EF3BFB"/>
    <w:rsid w:val="00EF5550"/>
    <w:rsid w:val="00EF7A0D"/>
    <w:rsid w:val="00EF7CF8"/>
    <w:rsid w:val="00F00986"/>
    <w:rsid w:val="00F01D63"/>
    <w:rsid w:val="00F03786"/>
    <w:rsid w:val="00F03AB8"/>
    <w:rsid w:val="00F03FE0"/>
    <w:rsid w:val="00F04BFA"/>
    <w:rsid w:val="00F05E37"/>
    <w:rsid w:val="00F072C8"/>
    <w:rsid w:val="00F07897"/>
    <w:rsid w:val="00F07EF7"/>
    <w:rsid w:val="00F10388"/>
    <w:rsid w:val="00F112AC"/>
    <w:rsid w:val="00F130AD"/>
    <w:rsid w:val="00F2002D"/>
    <w:rsid w:val="00F22093"/>
    <w:rsid w:val="00F225E0"/>
    <w:rsid w:val="00F227E8"/>
    <w:rsid w:val="00F2433E"/>
    <w:rsid w:val="00F24647"/>
    <w:rsid w:val="00F24665"/>
    <w:rsid w:val="00F25CA7"/>
    <w:rsid w:val="00F26374"/>
    <w:rsid w:val="00F26A9F"/>
    <w:rsid w:val="00F30DE4"/>
    <w:rsid w:val="00F32962"/>
    <w:rsid w:val="00F331B5"/>
    <w:rsid w:val="00F34907"/>
    <w:rsid w:val="00F34AF9"/>
    <w:rsid w:val="00F367B3"/>
    <w:rsid w:val="00F41E62"/>
    <w:rsid w:val="00F42FD4"/>
    <w:rsid w:val="00F45725"/>
    <w:rsid w:val="00F458A9"/>
    <w:rsid w:val="00F45F64"/>
    <w:rsid w:val="00F47924"/>
    <w:rsid w:val="00F47B58"/>
    <w:rsid w:val="00F47BED"/>
    <w:rsid w:val="00F533B2"/>
    <w:rsid w:val="00F53521"/>
    <w:rsid w:val="00F53991"/>
    <w:rsid w:val="00F61722"/>
    <w:rsid w:val="00F617C6"/>
    <w:rsid w:val="00F6208E"/>
    <w:rsid w:val="00F66A33"/>
    <w:rsid w:val="00F66F7C"/>
    <w:rsid w:val="00F70BA5"/>
    <w:rsid w:val="00F71818"/>
    <w:rsid w:val="00F71E03"/>
    <w:rsid w:val="00F73339"/>
    <w:rsid w:val="00F73842"/>
    <w:rsid w:val="00F73B39"/>
    <w:rsid w:val="00F74981"/>
    <w:rsid w:val="00F75C04"/>
    <w:rsid w:val="00F76D83"/>
    <w:rsid w:val="00F8125F"/>
    <w:rsid w:val="00F81F50"/>
    <w:rsid w:val="00F82CB1"/>
    <w:rsid w:val="00F847ED"/>
    <w:rsid w:val="00F90692"/>
    <w:rsid w:val="00F9157D"/>
    <w:rsid w:val="00F926D8"/>
    <w:rsid w:val="00F93821"/>
    <w:rsid w:val="00F95772"/>
    <w:rsid w:val="00FA0846"/>
    <w:rsid w:val="00FA0F01"/>
    <w:rsid w:val="00FA27ED"/>
    <w:rsid w:val="00FA6DEE"/>
    <w:rsid w:val="00FA7C9F"/>
    <w:rsid w:val="00FB2CA2"/>
    <w:rsid w:val="00FB2EA2"/>
    <w:rsid w:val="00FB4289"/>
    <w:rsid w:val="00FB4899"/>
    <w:rsid w:val="00FB5140"/>
    <w:rsid w:val="00FC0149"/>
    <w:rsid w:val="00FC0C42"/>
    <w:rsid w:val="00FC1824"/>
    <w:rsid w:val="00FC2985"/>
    <w:rsid w:val="00FC3D27"/>
    <w:rsid w:val="00FC6D59"/>
    <w:rsid w:val="00FC7254"/>
    <w:rsid w:val="00FD008B"/>
    <w:rsid w:val="00FD0E0E"/>
    <w:rsid w:val="00FD12A2"/>
    <w:rsid w:val="00FD1C09"/>
    <w:rsid w:val="00FD1DF7"/>
    <w:rsid w:val="00FD2B77"/>
    <w:rsid w:val="00FD424D"/>
    <w:rsid w:val="00FD5803"/>
    <w:rsid w:val="00FE2CE3"/>
    <w:rsid w:val="00FE2CF0"/>
    <w:rsid w:val="00FE7F11"/>
    <w:rsid w:val="00FF20D4"/>
    <w:rsid w:val="00FF2288"/>
    <w:rsid w:val="00FF2AF6"/>
    <w:rsid w:val="00FF3F44"/>
    <w:rsid w:val="00FF4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864EFA"/>
  <w15:chartTrackingRefBased/>
  <w15:docId w15:val="{BB7C2DF6-956B-4F1E-810A-30F79286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numbered-paragraph">
    <w:name w:val="numbered-paragraph"/>
    <w:basedOn w:val="Normal"/>
    <w:rsid w:val="006A713B"/>
    <w:pPr>
      <w:spacing w:before="100" w:beforeAutospacing="1" w:after="100" w:afterAutospacing="1"/>
    </w:pPr>
    <w:rPr>
      <w:lang w:eastAsia="en-GB"/>
    </w:rPr>
  </w:style>
  <w:style w:type="paragraph" w:styleId="NormalWeb">
    <w:name w:val="Normal (Web)"/>
    <w:basedOn w:val="Normal"/>
    <w:uiPriority w:val="99"/>
    <w:unhideWhenUsed/>
    <w:rsid w:val="006A713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4302">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242057384">
      <w:bodyDiv w:val="1"/>
      <w:marLeft w:val="0"/>
      <w:marRight w:val="0"/>
      <w:marTop w:val="0"/>
      <w:marBottom w:val="0"/>
      <w:divBdr>
        <w:top w:val="none" w:sz="0" w:space="0" w:color="auto"/>
        <w:left w:val="none" w:sz="0" w:space="0" w:color="auto"/>
        <w:bottom w:val="none" w:sz="0" w:space="0" w:color="auto"/>
        <w:right w:val="none" w:sz="0" w:space="0" w:color="auto"/>
      </w:divBdr>
      <w:divsChild>
        <w:div w:id="1458260872">
          <w:marLeft w:val="960"/>
          <w:marRight w:val="0"/>
          <w:marTop w:val="0"/>
          <w:marBottom w:val="0"/>
          <w:divBdr>
            <w:top w:val="none" w:sz="0" w:space="0" w:color="auto"/>
            <w:left w:val="none" w:sz="0" w:space="0" w:color="auto"/>
            <w:bottom w:val="none" w:sz="0" w:space="0" w:color="auto"/>
            <w:right w:val="none" w:sz="0" w:space="0" w:color="auto"/>
          </w:divBdr>
        </w:div>
      </w:divsChild>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676568249">
      <w:bodyDiv w:val="1"/>
      <w:marLeft w:val="0"/>
      <w:marRight w:val="0"/>
      <w:marTop w:val="0"/>
      <w:marBottom w:val="0"/>
      <w:divBdr>
        <w:top w:val="none" w:sz="0" w:space="0" w:color="auto"/>
        <w:left w:val="none" w:sz="0" w:space="0" w:color="auto"/>
        <w:bottom w:val="none" w:sz="0" w:space="0" w:color="auto"/>
        <w:right w:val="none" w:sz="0" w:space="0" w:color="auto"/>
      </w:divBdr>
      <w:divsChild>
        <w:div w:id="765610749">
          <w:marLeft w:val="960"/>
          <w:marRight w:val="0"/>
          <w:marTop w:val="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product-information/calquence-epar-product-information_en.pdf" TargetMode="External"/><Relationship Id="rId13" Type="http://schemas.openxmlformats.org/officeDocument/2006/relationships/hyperlink" Target="http://www.legislation.gov.uk/uksi/2013/259/contents/made" TargetMode="External"/><Relationship Id="rId18" Type="http://schemas.openxmlformats.org/officeDocument/2006/relationships/hyperlink" Target="https://www.nice.org.uk/get-involved/meetings-in-public/technology-appraisal-committe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about/what-we-do/our-programmes/nice-guidance/nice-technology-appraisal-guidance/cancer-drugs-fund" TargetMode="External"/><Relationship Id="rId17" Type="http://schemas.openxmlformats.org/officeDocument/2006/relationships/hyperlink" Target="https://www.nice.org.uk/Get-Involved/Meetings-in-public/Technology-appraisal-Committee/Committee-C-Member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ngland.nhs.uk/cancer/cdf/cancer-drugs-fund-lis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ocess/pmg9/chapter/the-appraisal-of-the-evidence-and-structured-decision-makin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ngland.nhs.uk/cancer/cdf/" TargetMode="External"/><Relationship Id="rId23" Type="http://schemas.openxmlformats.org/officeDocument/2006/relationships/header" Target="header3.xml"/><Relationship Id="rId10" Type="http://schemas.openxmlformats.org/officeDocument/2006/relationships/hyperlink" Target="https://www.ema.europa.eu/en/medicines/human/summaries-opinion/calquenc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indevelopment/gid-ta10532/documents" TargetMode="External"/><Relationship Id="rId14" Type="http://schemas.openxmlformats.org/officeDocument/2006/relationships/hyperlink" Target="https://www.gov.uk/government/publications/early-access-to-medicines-scheme-eams-how-the-scheme-work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6092</Words>
  <Characters>34728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40739</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Omar Moreea</dc:creator>
  <cp:keywords/>
  <cp:lastModifiedBy>Louise Jafferally</cp:lastModifiedBy>
  <cp:revision>2</cp:revision>
  <cp:lastPrinted>2012-11-14T14:34:00Z</cp:lastPrinted>
  <dcterms:created xsi:type="dcterms:W3CDTF">2020-12-08T12:12:00Z</dcterms:created>
  <dcterms:modified xsi:type="dcterms:W3CDTF">2020-12-08T12:12:00Z</dcterms:modified>
</cp:coreProperties>
</file>